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B123">
      <w:pPr>
        <w:pStyle w:val="20"/>
        <w:ind w:left="0" w:leftChars="0" w:firstLine="0" w:firstLineChars="0"/>
        <w:jc w:val="center"/>
        <w:rPr>
          <w:rFonts w:hint="eastAsia" w:ascii="仿宋" w:hAnsi="仿宋" w:eastAsia="仿宋" w:cs="仿宋"/>
          <w:b/>
          <w:bCs/>
          <w:color w:val="auto"/>
          <w:sz w:val="84"/>
          <w:szCs w:val="84"/>
          <w:highlight w:val="none"/>
          <w:lang w:eastAsia="zh-CN"/>
        </w:rPr>
      </w:pPr>
    </w:p>
    <w:p w14:paraId="177A9AE4">
      <w:pPr>
        <w:pStyle w:val="20"/>
        <w:ind w:left="0" w:leftChars="0" w:firstLine="0" w:firstLineChars="0"/>
        <w:jc w:val="center"/>
        <w:rPr>
          <w:rFonts w:hint="eastAsia" w:ascii="仿宋" w:hAnsi="仿宋" w:eastAsia="仿宋" w:cs="仿宋"/>
          <w:b/>
          <w:bCs/>
          <w:sz w:val="52"/>
          <w:szCs w:val="52"/>
          <w:highlight w:val="none"/>
          <w:lang w:val="en-US" w:eastAsia="zh-CN"/>
        </w:rPr>
      </w:pPr>
      <w:r>
        <w:rPr>
          <w:rFonts w:hint="eastAsia" w:ascii="仿宋" w:hAnsi="仿宋" w:eastAsia="仿宋" w:cs="仿宋"/>
          <w:b/>
          <w:bCs/>
          <w:color w:val="auto"/>
          <w:sz w:val="84"/>
          <w:szCs w:val="84"/>
          <w:highlight w:val="none"/>
          <w:lang w:eastAsia="zh-CN"/>
        </w:rPr>
        <w:drawing>
          <wp:inline distT="0" distB="0" distL="114300" distR="114300">
            <wp:extent cx="2693035" cy="3002280"/>
            <wp:effectExtent l="0" t="0" r="12065" b="7620"/>
            <wp:docPr id="1"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公司LOGO"/>
                    <pic:cNvPicPr>
                      <a:picLocks noChangeAspect="1"/>
                    </pic:cNvPicPr>
                  </pic:nvPicPr>
                  <pic:blipFill>
                    <a:blip r:embed="rId17"/>
                    <a:srcRect l="24214" t="16469" r="28638" b="21736"/>
                    <a:stretch>
                      <a:fillRect/>
                    </a:stretch>
                  </pic:blipFill>
                  <pic:spPr>
                    <a:xfrm>
                      <a:off x="0" y="0"/>
                      <a:ext cx="2693035" cy="3002280"/>
                    </a:xfrm>
                    <a:prstGeom prst="rect">
                      <a:avLst/>
                    </a:prstGeom>
                    <a:noFill/>
                    <a:ln>
                      <a:noFill/>
                    </a:ln>
                  </pic:spPr>
                </pic:pic>
              </a:graphicData>
            </a:graphic>
          </wp:inline>
        </w:drawing>
      </w:r>
    </w:p>
    <w:p w14:paraId="3B4EE4E0">
      <w:pPr>
        <w:rPr>
          <w:rFonts w:hint="eastAsia" w:ascii="仿宋" w:hAnsi="仿宋" w:eastAsia="仿宋" w:cs="仿宋"/>
          <w:highlight w:val="none"/>
          <w:lang w:val="en-US" w:eastAsia="zh-CN"/>
        </w:rPr>
      </w:pPr>
    </w:p>
    <w:p w14:paraId="455B03CC">
      <w:pPr>
        <w:pStyle w:val="93"/>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招 标 文 件</w:t>
      </w:r>
    </w:p>
    <w:p w14:paraId="59A468B6">
      <w:pPr>
        <w:pStyle w:val="93"/>
        <w:jc w:val="center"/>
        <w:rPr>
          <w:rFonts w:hint="eastAsia" w:ascii="仿宋" w:hAnsi="仿宋" w:eastAsia="仿宋" w:cs="仿宋"/>
          <w:b/>
          <w:bCs/>
          <w:color w:val="auto"/>
          <w:sz w:val="48"/>
          <w:szCs w:val="48"/>
          <w:highlight w:val="none"/>
          <w:lang w:eastAsia="zh-CN"/>
        </w:rPr>
      </w:pPr>
    </w:p>
    <w:p w14:paraId="4BBA5AD2">
      <w:pPr>
        <w:pStyle w:val="93"/>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w:t>
      </w:r>
      <w:r>
        <w:rPr>
          <w:rFonts w:hint="eastAsia" w:ascii="仿宋" w:hAnsi="仿宋" w:eastAsia="仿宋" w:cs="仿宋"/>
          <w:b/>
          <w:bCs/>
          <w:color w:val="auto"/>
          <w:sz w:val="48"/>
          <w:szCs w:val="48"/>
          <w:highlight w:val="none"/>
          <w:lang w:val="en-US" w:eastAsia="zh-CN"/>
        </w:rPr>
        <w:t>货物类</w:t>
      </w:r>
      <w:r>
        <w:rPr>
          <w:rFonts w:hint="eastAsia" w:ascii="仿宋" w:hAnsi="仿宋" w:eastAsia="仿宋" w:cs="仿宋"/>
          <w:b/>
          <w:bCs/>
          <w:color w:val="auto"/>
          <w:sz w:val="48"/>
          <w:szCs w:val="48"/>
          <w:highlight w:val="none"/>
          <w:lang w:eastAsia="zh-CN"/>
        </w:rPr>
        <w:t>）</w:t>
      </w:r>
    </w:p>
    <w:p w14:paraId="4D8FB6ED">
      <w:pPr>
        <w:pStyle w:val="93"/>
        <w:jc w:val="center"/>
        <w:rPr>
          <w:rFonts w:hint="eastAsia" w:ascii="仿宋" w:hAnsi="仿宋" w:eastAsia="仿宋" w:cs="仿宋"/>
          <w:b/>
          <w:bCs/>
          <w:color w:val="auto"/>
          <w:sz w:val="48"/>
          <w:szCs w:val="48"/>
          <w:highlight w:val="none"/>
          <w:lang w:eastAsia="zh-CN"/>
        </w:rPr>
      </w:pPr>
    </w:p>
    <w:p w14:paraId="4588E5B1">
      <w:pPr>
        <w:pStyle w:val="93"/>
        <w:jc w:val="both"/>
        <w:rPr>
          <w:rFonts w:hint="eastAsia" w:ascii="仿宋" w:hAnsi="仿宋" w:eastAsia="仿宋" w:cs="仿宋"/>
          <w:b/>
          <w:bCs/>
          <w:color w:val="auto"/>
          <w:sz w:val="21"/>
          <w:szCs w:val="21"/>
          <w:highlight w:val="none"/>
          <w:lang w:eastAsia="zh-CN"/>
        </w:rPr>
      </w:pPr>
    </w:p>
    <w:p w14:paraId="28AD9303">
      <w:pPr>
        <w:tabs>
          <w:tab w:val="left" w:pos="3240"/>
          <w:tab w:val="left" w:pos="3420"/>
        </w:tabs>
        <w:spacing w:line="360" w:lineRule="auto"/>
        <w:jc w:val="left"/>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项目名称</w:t>
      </w:r>
      <w:r>
        <w:rPr>
          <w:rFonts w:hint="eastAsia" w:ascii="仿宋" w:hAnsi="仿宋" w:eastAsia="仿宋" w:cs="仿宋"/>
          <w:bCs/>
          <w:sz w:val="30"/>
          <w:szCs w:val="30"/>
          <w:highlight w:val="none"/>
          <w:lang w:eastAsia="zh-CN"/>
        </w:rPr>
        <w:t>：墨玉县村级畜牧防疫服务体系提升项目（</w:t>
      </w:r>
      <w:r>
        <w:rPr>
          <w:rFonts w:hint="eastAsia" w:ascii="仿宋" w:hAnsi="仿宋" w:eastAsia="仿宋" w:cs="仿宋"/>
          <w:bCs/>
          <w:sz w:val="30"/>
          <w:szCs w:val="30"/>
          <w:highlight w:val="none"/>
          <w:lang w:val="en-US" w:eastAsia="zh-CN"/>
        </w:rPr>
        <w:t>包一：设备购置</w:t>
      </w:r>
      <w:r>
        <w:rPr>
          <w:rFonts w:hint="eastAsia" w:ascii="仿宋" w:hAnsi="仿宋" w:eastAsia="仿宋" w:cs="仿宋"/>
          <w:bCs/>
          <w:sz w:val="30"/>
          <w:szCs w:val="30"/>
          <w:highlight w:val="none"/>
          <w:lang w:eastAsia="zh-CN"/>
        </w:rPr>
        <w:t>）</w:t>
      </w:r>
    </w:p>
    <w:p w14:paraId="4BE12EBF">
      <w:pPr>
        <w:tabs>
          <w:tab w:val="left" w:pos="3240"/>
          <w:tab w:val="left" w:pos="3420"/>
        </w:tabs>
        <w:spacing w:line="360" w:lineRule="auto"/>
        <w:jc w:val="left"/>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项目编号/包号</w:t>
      </w:r>
      <w:r>
        <w:rPr>
          <w:rFonts w:hint="eastAsia" w:ascii="仿宋" w:hAnsi="仿宋" w:eastAsia="仿宋" w:cs="仿宋"/>
          <w:bCs/>
          <w:sz w:val="30"/>
          <w:szCs w:val="30"/>
          <w:highlight w:val="none"/>
          <w:lang w:eastAsia="zh-CN"/>
        </w:rPr>
        <w:t>：ZXZC-MYXCG-2025-00</w:t>
      </w:r>
      <w:r>
        <w:rPr>
          <w:rFonts w:hint="eastAsia" w:ascii="仿宋" w:hAnsi="仿宋" w:eastAsia="仿宋" w:cs="仿宋"/>
          <w:bCs/>
          <w:sz w:val="30"/>
          <w:szCs w:val="30"/>
          <w:highlight w:val="none"/>
          <w:lang w:val="en-US" w:eastAsia="zh-CN"/>
        </w:rPr>
        <w:t>5</w:t>
      </w:r>
      <w:r>
        <w:rPr>
          <w:rFonts w:hint="eastAsia" w:ascii="仿宋" w:hAnsi="仿宋" w:eastAsia="仿宋" w:cs="仿宋"/>
          <w:bCs/>
          <w:sz w:val="30"/>
          <w:szCs w:val="30"/>
          <w:highlight w:val="none"/>
          <w:lang w:eastAsia="zh-CN"/>
        </w:rPr>
        <w:t>-01号</w:t>
      </w:r>
    </w:p>
    <w:p w14:paraId="2CF98393">
      <w:pPr>
        <w:tabs>
          <w:tab w:val="left" w:pos="3240"/>
          <w:tab w:val="left" w:pos="3420"/>
        </w:tabs>
        <w:spacing w:line="360" w:lineRule="auto"/>
        <w:jc w:val="left"/>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采 购 人</w:t>
      </w:r>
      <w:r>
        <w:rPr>
          <w:rFonts w:hint="eastAsia" w:ascii="仿宋" w:hAnsi="仿宋" w:eastAsia="仿宋" w:cs="仿宋"/>
          <w:bCs/>
          <w:sz w:val="30"/>
          <w:szCs w:val="30"/>
          <w:highlight w:val="none"/>
          <w:lang w:eastAsia="zh-CN"/>
        </w:rPr>
        <w:t>：墨玉县农业农村局</w:t>
      </w:r>
    </w:p>
    <w:p w14:paraId="4FCA8182">
      <w:pPr>
        <w:tabs>
          <w:tab w:val="left" w:pos="3240"/>
          <w:tab w:val="left" w:pos="3420"/>
        </w:tabs>
        <w:spacing w:line="360" w:lineRule="auto"/>
        <w:jc w:val="left"/>
        <w:rPr>
          <w:rFonts w:hint="eastAsia" w:ascii="仿宋" w:hAnsi="仿宋" w:eastAsia="仿宋" w:cs="仿宋"/>
          <w:bCs/>
          <w:sz w:val="36"/>
          <w:szCs w:val="36"/>
          <w:highlight w:val="none"/>
        </w:rPr>
      </w:pPr>
      <w:r>
        <w:rPr>
          <w:rFonts w:hint="eastAsia" w:ascii="仿宋" w:hAnsi="仿宋" w:eastAsia="仿宋" w:cs="仿宋"/>
          <w:bCs/>
          <w:sz w:val="30"/>
          <w:szCs w:val="30"/>
          <w:highlight w:val="none"/>
        </w:rPr>
        <w:t>采购代理机构</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墨玉县众信智诚工程项目管理有限公司</w:t>
      </w:r>
      <w:r>
        <w:rPr>
          <w:rFonts w:hint="eastAsia" w:ascii="仿宋" w:hAnsi="仿宋" w:eastAsia="仿宋" w:cs="仿宋"/>
          <w:bCs/>
          <w:sz w:val="36"/>
          <w:szCs w:val="36"/>
          <w:highlight w:val="none"/>
        </w:rPr>
        <w:t xml:space="preserve"> </w:t>
      </w:r>
    </w:p>
    <w:p w14:paraId="6B6A59FD">
      <w:pPr>
        <w:autoSpaceDE w:val="0"/>
        <w:autoSpaceDN w:val="0"/>
        <w:jc w:val="center"/>
        <w:rPr>
          <w:rFonts w:hint="eastAsia" w:ascii="仿宋" w:hAnsi="仿宋" w:eastAsia="仿宋" w:cs="仿宋"/>
          <w:bCs/>
          <w:sz w:val="44"/>
          <w:szCs w:val="44"/>
          <w:highlight w:val="none"/>
          <w:lang w:val="zh-CN"/>
        </w:rPr>
      </w:pPr>
    </w:p>
    <w:p w14:paraId="42BDB700">
      <w:pPr>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2025年  0</w:t>
      </w:r>
      <w:r>
        <w:rPr>
          <w:rFonts w:hint="eastAsia" w:ascii="仿宋" w:hAnsi="仿宋" w:eastAsia="仿宋" w:cs="仿宋"/>
          <w:b/>
          <w:bCs/>
          <w:color w:val="auto"/>
          <w:sz w:val="30"/>
          <w:szCs w:val="30"/>
          <w:highlight w:val="none"/>
          <w:lang w:val="en-US" w:eastAsia="zh-CN"/>
        </w:rPr>
        <w:t>3</w:t>
      </w:r>
      <w:bookmarkStart w:id="615" w:name="_GoBack"/>
      <w:bookmarkEnd w:id="615"/>
      <w:r>
        <w:rPr>
          <w:rFonts w:hint="eastAsia" w:ascii="仿宋" w:hAnsi="仿宋" w:eastAsia="仿宋" w:cs="仿宋"/>
          <w:b/>
          <w:bCs/>
          <w:color w:val="auto"/>
          <w:sz w:val="30"/>
          <w:szCs w:val="30"/>
          <w:highlight w:val="none"/>
          <w:lang w:eastAsia="zh-CN"/>
        </w:rPr>
        <w:t xml:space="preserve">  月</w:t>
      </w:r>
    </w:p>
    <w:p w14:paraId="3F539A52">
      <w:pPr>
        <w:snapToGrid w:val="0"/>
        <w:spacing w:line="700" w:lineRule="exact"/>
        <w:ind w:left="-12" w:leftChars="-95" w:hanging="187" w:hangingChars="62"/>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B69E4E2">
      <w:pPr>
        <w:snapToGrid w:val="0"/>
        <w:spacing w:line="700" w:lineRule="exact"/>
        <w:ind w:left="-12" w:leftChars="-95" w:hanging="187" w:hangingChars="62"/>
        <w:rPr>
          <w:rFonts w:hint="eastAsia" w:ascii="仿宋" w:hAnsi="仿宋" w:eastAsia="仿宋" w:cs="仿宋"/>
          <w:b/>
          <w:bCs/>
          <w:color w:val="auto"/>
          <w:sz w:val="30"/>
          <w:szCs w:val="30"/>
          <w:highlight w:val="none"/>
        </w:rPr>
      </w:pPr>
    </w:p>
    <w:p w14:paraId="686C20AF">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项目名称 ：墨玉县村级畜牧防疫服务体系提升项目（包一：设备购置）</w:t>
      </w:r>
    </w:p>
    <w:p w14:paraId="3C1F20BE">
      <w:pPr>
        <w:snapToGrid w:val="0"/>
        <w:spacing w:line="700" w:lineRule="exact"/>
        <w:ind w:left="-26" w:leftChars="-95" w:hanging="173" w:hangingChars="62"/>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w:t>
      </w:r>
      <w:r>
        <w:rPr>
          <w:rFonts w:hint="eastAsia" w:ascii="仿宋" w:hAnsi="仿宋" w:eastAsia="仿宋" w:cs="仿宋"/>
          <w:bCs/>
          <w:sz w:val="28"/>
          <w:szCs w:val="28"/>
          <w:highlight w:val="none"/>
        </w:rPr>
        <w:t>人</w:t>
      </w:r>
      <w:r>
        <w:rPr>
          <w:rFonts w:hint="eastAsia" w:ascii="仿宋" w:hAnsi="仿宋" w:eastAsia="仿宋" w:cs="仿宋"/>
          <w:bCs/>
          <w:sz w:val="28"/>
          <w:szCs w:val="28"/>
          <w:highlight w:val="none"/>
          <w:lang w:eastAsia="zh-CN"/>
        </w:rPr>
        <w:t xml:space="preserve"> ：墨玉县农业农村局（</w:t>
      </w:r>
      <w:r>
        <w:rPr>
          <w:rFonts w:hint="eastAsia" w:ascii="仿宋" w:hAnsi="仿宋" w:eastAsia="仿宋" w:cs="仿宋"/>
          <w:bCs/>
          <w:sz w:val="28"/>
          <w:szCs w:val="28"/>
          <w:highlight w:val="none"/>
          <w:lang w:val="en-US" w:eastAsia="zh-CN"/>
        </w:rPr>
        <w:t>盖章</w:t>
      </w:r>
      <w:r>
        <w:rPr>
          <w:rFonts w:hint="eastAsia" w:ascii="仿宋" w:hAnsi="仿宋" w:eastAsia="仿宋" w:cs="仿宋"/>
          <w:bCs/>
          <w:sz w:val="28"/>
          <w:szCs w:val="28"/>
          <w:highlight w:val="none"/>
          <w:lang w:eastAsia="zh-CN"/>
        </w:rPr>
        <w:t>）</w:t>
      </w:r>
    </w:p>
    <w:p w14:paraId="4F2DD0F3">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地址 ：墨玉县政务中心5楼        </w:t>
      </w:r>
    </w:p>
    <w:p w14:paraId="44AD0CDE">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联系人</w:t>
      </w:r>
      <w:r>
        <w:rPr>
          <w:rFonts w:hint="eastAsia" w:ascii="仿宋" w:hAnsi="仿宋" w:eastAsia="仿宋" w:cs="仿宋"/>
          <w:bCs/>
          <w:sz w:val="28"/>
          <w:szCs w:val="28"/>
          <w:highlight w:val="none"/>
          <w:lang w:eastAsia="zh-CN"/>
        </w:rPr>
        <w:t xml:space="preserve"> ：</w:t>
      </w:r>
      <w:r>
        <w:rPr>
          <w:rFonts w:hint="eastAsia" w:ascii="仿宋" w:hAnsi="仿宋" w:eastAsia="仿宋" w:cs="仿宋"/>
          <w:bCs/>
          <w:sz w:val="28"/>
          <w:szCs w:val="28"/>
          <w:highlight w:val="none"/>
          <w:lang w:val="en-US" w:eastAsia="zh-CN"/>
        </w:rPr>
        <w:t>张永波</w:t>
      </w:r>
    </w:p>
    <w:p w14:paraId="24221876">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联系电话</w:t>
      </w:r>
      <w:r>
        <w:rPr>
          <w:rFonts w:hint="eastAsia" w:ascii="仿宋" w:hAnsi="仿宋" w:eastAsia="仿宋" w:cs="仿宋"/>
          <w:bCs/>
          <w:sz w:val="28"/>
          <w:szCs w:val="28"/>
          <w:highlight w:val="none"/>
          <w:lang w:eastAsia="zh-CN"/>
        </w:rPr>
        <w:t xml:space="preserve"> ：0903-6512925</w:t>
      </w:r>
    </w:p>
    <w:p w14:paraId="373A7371">
      <w:pPr>
        <w:snapToGrid w:val="0"/>
        <w:spacing w:line="700" w:lineRule="exact"/>
        <w:ind w:left="-26" w:leftChars="-95" w:hanging="173" w:hangingChars="62"/>
        <w:rPr>
          <w:rFonts w:hint="eastAsia" w:ascii="仿宋" w:hAnsi="仿宋" w:eastAsia="仿宋" w:cs="仿宋"/>
          <w:bCs/>
          <w:sz w:val="28"/>
          <w:szCs w:val="28"/>
          <w:highlight w:val="none"/>
        </w:rPr>
      </w:pPr>
    </w:p>
    <w:p w14:paraId="36ABC1D3">
      <w:pPr>
        <w:snapToGrid w:val="0"/>
        <w:spacing w:line="700" w:lineRule="exact"/>
        <w:ind w:left="-26" w:leftChars="-95" w:hanging="173" w:hangingChars="62"/>
        <w:rPr>
          <w:rFonts w:hint="eastAsia" w:ascii="仿宋" w:hAnsi="仿宋" w:eastAsia="仿宋" w:cs="仿宋"/>
          <w:bCs/>
          <w:sz w:val="28"/>
          <w:szCs w:val="28"/>
          <w:highlight w:val="none"/>
        </w:rPr>
      </w:pPr>
    </w:p>
    <w:p w14:paraId="4A7F6CF4">
      <w:pPr>
        <w:snapToGrid w:val="0"/>
        <w:spacing w:line="700" w:lineRule="exact"/>
        <w:ind w:left="-26" w:leftChars="-95" w:hanging="173" w:hangingChars="62"/>
        <w:rPr>
          <w:rFonts w:hint="eastAsia" w:ascii="仿宋" w:hAnsi="仿宋" w:eastAsia="仿宋" w:cs="仿宋"/>
          <w:bCs/>
          <w:sz w:val="28"/>
          <w:szCs w:val="28"/>
          <w:highlight w:val="none"/>
        </w:rPr>
      </w:pPr>
    </w:p>
    <w:p w14:paraId="16C7A84C">
      <w:pPr>
        <w:snapToGrid w:val="0"/>
        <w:spacing w:line="700" w:lineRule="exact"/>
        <w:ind w:left="-26" w:leftChars="-95" w:hanging="173" w:hangingChars="62"/>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招标代理机构</w:t>
      </w:r>
      <w:r>
        <w:rPr>
          <w:rFonts w:hint="eastAsia" w:ascii="仿宋" w:hAnsi="仿宋" w:eastAsia="仿宋" w:cs="仿宋"/>
          <w:bCs/>
          <w:sz w:val="28"/>
          <w:szCs w:val="28"/>
          <w:highlight w:val="none"/>
          <w:lang w:eastAsia="zh-CN"/>
        </w:rPr>
        <w:t xml:space="preserve"> ：</w:t>
      </w:r>
      <w:r>
        <w:rPr>
          <w:rFonts w:hint="eastAsia" w:ascii="仿宋" w:hAnsi="仿宋" w:eastAsia="仿宋" w:cs="仿宋"/>
          <w:bCs/>
          <w:sz w:val="28"/>
          <w:szCs w:val="28"/>
          <w:highlight w:val="none"/>
          <w:lang w:val="en-US" w:eastAsia="zh-CN"/>
        </w:rPr>
        <w:t>墨玉县众信智诚工程项目管理有限公司</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盖章</w:t>
      </w:r>
      <w:r>
        <w:rPr>
          <w:rFonts w:hint="eastAsia" w:ascii="仿宋" w:hAnsi="仿宋" w:eastAsia="仿宋" w:cs="仿宋"/>
          <w:bCs/>
          <w:sz w:val="28"/>
          <w:szCs w:val="28"/>
          <w:highlight w:val="none"/>
          <w:lang w:eastAsia="zh-CN"/>
        </w:rPr>
        <w:t>）</w:t>
      </w:r>
    </w:p>
    <w:p w14:paraId="1C3856DF">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地址 ：墨玉县乐民社区B栋二楼</w:t>
      </w:r>
    </w:p>
    <w:p w14:paraId="28A996A5">
      <w:pPr>
        <w:snapToGrid w:val="0"/>
        <w:spacing w:line="700" w:lineRule="exact"/>
        <w:ind w:left="-26" w:leftChars="-95" w:hanging="173" w:hangingChars="62"/>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联系人</w:t>
      </w:r>
      <w:r>
        <w:rPr>
          <w:rFonts w:hint="eastAsia" w:ascii="仿宋" w:hAnsi="仿宋" w:eastAsia="仿宋" w:cs="仿宋"/>
          <w:bCs/>
          <w:sz w:val="28"/>
          <w:szCs w:val="28"/>
          <w:highlight w:val="none"/>
          <w:lang w:eastAsia="zh-CN"/>
        </w:rPr>
        <w:t xml:space="preserve"> ：</w:t>
      </w:r>
      <w:r>
        <w:rPr>
          <w:rFonts w:hint="eastAsia" w:ascii="仿宋" w:hAnsi="仿宋" w:eastAsia="仿宋" w:cs="仿宋"/>
          <w:bCs/>
          <w:sz w:val="28"/>
          <w:szCs w:val="28"/>
          <w:highlight w:val="none"/>
          <w:lang w:val="en-US" w:eastAsia="zh-CN"/>
        </w:rPr>
        <w:t>张俊哲</w:t>
      </w:r>
    </w:p>
    <w:p w14:paraId="46BB1DA4">
      <w:pPr>
        <w:snapToGrid w:val="0"/>
        <w:spacing w:line="700" w:lineRule="exact"/>
        <w:ind w:left="-26" w:leftChars="-95" w:hanging="173" w:hangingChars="62"/>
        <w:rPr>
          <w:rFonts w:hint="eastAsia" w:ascii="仿宋" w:hAnsi="仿宋" w:eastAsia="仿宋" w:cs="仿宋"/>
          <w:bCs/>
          <w:sz w:val="32"/>
          <w:highlight w:val="none"/>
          <w:lang w:val="en-US" w:eastAsia="zh-CN"/>
        </w:rPr>
      </w:pPr>
      <w:r>
        <w:rPr>
          <w:rFonts w:hint="eastAsia" w:ascii="仿宋" w:hAnsi="仿宋" w:eastAsia="仿宋" w:cs="仿宋"/>
          <w:bCs/>
          <w:sz w:val="28"/>
          <w:szCs w:val="28"/>
          <w:highlight w:val="none"/>
        </w:rPr>
        <w:t>联系电话</w:t>
      </w:r>
      <w:r>
        <w:rPr>
          <w:rFonts w:hint="eastAsia" w:ascii="仿宋" w:hAnsi="仿宋" w:eastAsia="仿宋" w:cs="仿宋"/>
          <w:bCs/>
          <w:sz w:val="28"/>
          <w:szCs w:val="28"/>
          <w:highlight w:val="none"/>
          <w:lang w:eastAsia="zh-CN"/>
        </w:rPr>
        <w:t xml:space="preserve"> ：</w:t>
      </w:r>
      <w:r>
        <w:rPr>
          <w:rFonts w:hint="eastAsia" w:ascii="仿宋" w:hAnsi="仿宋" w:eastAsia="仿宋" w:cs="仿宋"/>
          <w:bCs/>
          <w:sz w:val="28"/>
          <w:szCs w:val="28"/>
          <w:highlight w:val="none"/>
          <w:lang w:val="en-US" w:eastAsia="zh-CN"/>
        </w:rPr>
        <w:t>0903-6530990</w:t>
      </w:r>
    </w:p>
    <w:p w14:paraId="12322B7F">
      <w:pPr>
        <w:rPr>
          <w:rFonts w:hint="eastAsia" w:ascii="仿宋" w:hAnsi="仿宋" w:eastAsia="仿宋" w:cs="仿宋"/>
          <w:b/>
          <w:bCs/>
          <w:sz w:val="28"/>
          <w:szCs w:val="28"/>
          <w:highlight w:val="none"/>
        </w:rPr>
      </w:pPr>
    </w:p>
    <w:p w14:paraId="4BA5F92E">
      <w:pPr>
        <w:rPr>
          <w:rFonts w:hint="eastAsia" w:ascii="仿宋" w:hAnsi="仿宋" w:eastAsia="仿宋" w:cs="仿宋"/>
          <w:b/>
          <w:bCs/>
          <w:sz w:val="28"/>
          <w:szCs w:val="28"/>
          <w:highlight w:val="none"/>
        </w:rPr>
      </w:pPr>
    </w:p>
    <w:p w14:paraId="4550A33F">
      <w:pPr>
        <w:pStyle w:val="20"/>
        <w:ind w:firstLine="480"/>
        <w:rPr>
          <w:rFonts w:hint="eastAsia" w:ascii="仿宋" w:hAnsi="仿宋" w:eastAsia="仿宋" w:cs="仿宋"/>
          <w:highlight w:val="none"/>
        </w:rPr>
      </w:pPr>
    </w:p>
    <w:p w14:paraId="16A3CDB2">
      <w:pPr>
        <w:overflowPunct w:val="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color w:val="auto"/>
          <w:sz w:val="28"/>
          <w:szCs w:val="28"/>
          <w:highlight w:val="none"/>
        </w:rPr>
        <w:br w:type="page"/>
      </w:r>
      <w:r>
        <w:rPr>
          <w:rFonts w:hint="eastAsia" w:ascii="仿宋" w:hAnsi="仿宋" w:eastAsia="仿宋" w:cs="仿宋"/>
          <w:b/>
          <w:bCs/>
          <w:kern w:val="0"/>
          <w:sz w:val="36"/>
          <w:szCs w:val="36"/>
          <w:highlight w:val="none"/>
        </w:rPr>
        <w:t>目  录</w:t>
      </w:r>
    </w:p>
    <w:p w14:paraId="7A29FFD6">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p>
    <w:p w14:paraId="611CF947">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_Toc9170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_Toc9170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D22CC85">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_Toc2108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C2645F2">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_Toc17346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资格审查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_Toc17346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B264B60">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_Toc24338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评标程序、评标方法和评标标准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_Toc24338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6855B2F">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_Toc19178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_Toc19178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0068667">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_Toc6078 </w:instrText>
      </w:r>
      <w:r>
        <w:rPr>
          <w:rFonts w:hint="eastAsia" w:ascii="仿宋" w:hAnsi="仿宋" w:eastAsia="仿宋" w:cs="仿宋"/>
          <w:sz w:val="28"/>
          <w:szCs w:val="28"/>
          <w:highlight w:val="none"/>
        </w:rPr>
        <w:fldChar w:fldCharType="separate"/>
      </w:r>
      <w:r>
        <w:rPr>
          <w:rFonts w:hint="eastAsia" w:ascii="仿宋" w:hAnsi="仿宋" w:eastAsia="仿宋" w:cs="仿宋"/>
          <w:kern w:val="2"/>
          <w:sz w:val="28"/>
          <w:szCs w:val="28"/>
          <w:highlight w:val="none"/>
          <w:lang w:val="en-US" w:eastAsia="zh-CN" w:bidi="ar-SA"/>
        </w:rPr>
        <w:t>第六章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_Toc6078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903CB86">
      <w:pPr>
        <w:pStyle w:val="54"/>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_Toc25374 </w:instrText>
      </w:r>
      <w:r>
        <w:rPr>
          <w:rFonts w:hint="eastAsia" w:ascii="仿宋" w:hAnsi="仿宋" w:eastAsia="仿宋" w:cs="仿宋"/>
          <w:sz w:val="28"/>
          <w:szCs w:val="28"/>
          <w:highlight w:val="none"/>
        </w:rPr>
        <w:fldChar w:fldCharType="separate"/>
      </w:r>
      <w:r>
        <w:rPr>
          <w:rFonts w:hint="eastAsia" w:ascii="仿宋" w:hAnsi="仿宋" w:eastAsia="仿宋" w:cs="仿宋"/>
          <w:kern w:val="2"/>
          <w:sz w:val="28"/>
          <w:szCs w:val="28"/>
          <w:highlight w:val="none"/>
          <w:lang w:val="en-US" w:eastAsia="zh-CN" w:bidi="ar-SA"/>
        </w:rPr>
        <w:t>第七章　投标文件格式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_Toc25374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354410B">
      <w:pPr>
        <w:rPr>
          <w:rFonts w:hint="eastAsia" w:ascii="仿宋" w:hAnsi="仿宋" w:eastAsia="仿宋" w:cs="仿宋"/>
          <w:highlight w:val="none"/>
        </w:rPr>
      </w:pPr>
      <w:r>
        <w:rPr>
          <w:rFonts w:hint="eastAsia" w:ascii="仿宋" w:hAnsi="仿宋" w:eastAsia="仿宋" w:cs="仿宋"/>
          <w:sz w:val="28"/>
          <w:szCs w:val="28"/>
          <w:highlight w:val="none"/>
        </w:rPr>
        <w:fldChar w:fldCharType="end"/>
      </w:r>
    </w:p>
    <w:p w14:paraId="362A24F7">
      <w:pPr>
        <w:ind w:left="0" w:firstLine="0" w:firstLineChars="0"/>
        <w:jc w:val="center"/>
        <w:outlineLvl w:val="0"/>
        <w:rPr>
          <w:rFonts w:hint="eastAsia" w:ascii="仿宋" w:hAnsi="仿宋" w:eastAsia="仿宋" w:cs="仿宋"/>
          <w:b w:val="0"/>
          <w:bCs w:val="0"/>
          <w:color w:val="auto"/>
          <w:sz w:val="20"/>
          <w:szCs w:val="20"/>
          <w:highlight w:val="none"/>
          <w:lang w:val="en-US" w:eastAsia="zh-CN"/>
        </w:rPr>
      </w:pPr>
      <w:bookmarkStart w:id="0" w:name="_Toc9170"/>
      <w:bookmarkStart w:id="1" w:name="_Toc17774"/>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第一章</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招标公告</w:t>
      </w:r>
      <w:bookmarkEnd w:id="0"/>
      <w:bookmarkEnd w:id="1"/>
      <w:r>
        <w:rPr>
          <w:rFonts w:hint="eastAsia" w:ascii="仿宋" w:hAnsi="仿宋" w:eastAsia="仿宋" w:cs="仿宋"/>
          <w:b/>
          <w:sz w:val="28"/>
          <w:szCs w:val="28"/>
          <w:highlight w:val="none"/>
          <w:lang w:val="en-US" w:eastAsia="zh-CN"/>
        </w:rPr>
        <w:t xml:space="preserve">  </w:t>
      </w:r>
      <w:r>
        <w:rPr>
          <w:rFonts w:hint="eastAsia" w:ascii="仿宋" w:hAnsi="仿宋" w:eastAsia="仿宋" w:cs="仿宋"/>
          <w:b w:val="0"/>
          <w:bCs w:val="0"/>
          <w:color w:val="auto"/>
          <w:sz w:val="18"/>
          <w:szCs w:val="18"/>
          <w:highlight w:val="none"/>
          <w:lang w:val="en-US" w:eastAsia="zh-CN"/>
        </w:rPr>
        <w:t xml:space="preserve"> </w:t>
      </w:r>
    </w:p>
    <w:p w14:paraId="4820C7AB">
      <w:pPr>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墨玉县村级畜牧防疫服务体系提升项目（包一：设备购置）公开招标公告</w:t>
      </w:r>
    </w:p>
    <w:p w14:paraId="3CFAEB43">
      <w:pPr>
        <w:pBdr>
          <w:top w:val="single" w:color="auto" w:sz="4" w:space="0"/>
          <w:left w:val="single" w:color="auto" w:sz="4" w:space="4"/>
          <w:bottom w:val="single" w:color="auto" w:sz="4" w:space="1"/>
          <w:right w:val="single" w:color="auto" w:sz="4" w:space="4"/>
        </w:pBdr>
        <w:spacing w:line="240" w:lineRule="auto"/>
        <w:rPr>
          <w:rFonts w:hint="eastAsia" w:ascii="仿宋" w:hAnsi="仿宋" w:eastAsia="仿宋" w:cs="仿宋"/>
          <w:i w:val="0"/>
          <w:iCs w:val="0"/>
          <w:caps w:val="0"/>
          <w:color w:val="000000"/>
          <w:spacing w:val="0"/>
          <w:kern w:val="0"/>
          <w:sz w:val="24"/>
          <w:szCs w:val="24"/>
          <w:highlight w:val="none"/>
          <w:lang w:val="en-US" w:eastAsia="zh-CN" w:bidi="ar-SA"/>
        </w:rPr>
      </w:pPr>
      <w:bookmarkStart w:id="2" w:name="_Toc28359079"/>
      <w:bookmarkStart w:id="3" w:name="_Toc28359002"/>
      <w:bookmarkStart w:id="4" w:name="_Toc35393621"/>
      <w:bookmarkStart w:id="5" w:name="_Toc35393790"/>
      <w:bookmarkStart w:id="6" w:name="_Hlk24379207"/>
      <w:r>
        <w:rPr>
          <w:rFonts w:hint="eastAsia" w:ascii="仿宋" w:hAnsi="仿宋" w:eastAsia="仿宋" w:cs="仿宋"/>
          <w:i w:val="0"/>
          <w:iCs w:val="0"/>
          <w:caps w:val="0"/>
          <w:color w:val="000000"/>
          <w:spacing w:val="0"/>
          <w:kern w:val="0"/>
          <w:sz w:val="24"/>
          <w:szCs w:val="24"/>
          <w:highlight w:val="none"/>
          <w:lang w:val="en-US" w:eastAsia="zh-CN" w:bidi="ar-SA"/>
        </w:rPr>
        <w:t>项目概况</w:t>
      </w:r>
    </w:p>
    <w:p w14:paraId="18D020FD">
      <w:pPr>
        <w:pBdr>
          <w:top w:val="single" w:color="auto" w:sz="4" w:space="0"/>
          <w:left w:val="single" w:color="auto" w:sz="4" w:space="4"/>
          <w:bottom w:val="single" w:color="auto" w:sz="4" w:space="1"/>
          <w:right w:val="single" w:color="auto" w:sz="4" w:space="4"/>
        </w:pBdr>
        <w:spacing w:line="240" w:lineRule="auto"/>
        <w:ind w:firstLine="480"/>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墨玉县村级畜牧防疫服务体系提升项目（包一：设备购置）的潜在投标人，应在政采云平台https://www.zcygov.cn/在线申请获取采购文件（进入“项目采购”应用，在获取采购文件菜单中选择项目，申请获取采购文件），并于2025 年 03 月 28日11点00分（北京时间）前递交投标文件。</w:t>
      </w:r>
    </w:p>
    <w:bookmarkEnd w:id="2"/>
    <w:bookmarkEnd w:id="3"/>
    <w:bookmarkEnd w:id="4"/>
    <w:bookmarkEnd w:id="5"/>
    <w:bookmarkEnd w:id="6"/>
    <w:p w14:paraId="6539BA7E">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Style w:val="75"/>
          <w:rFonts w:hint="eastAsia" w:ascii="仿宋" w:hAnsi="仿宋" w:eastAsia="仿宋" w:cs="仿宋"/>
          <w:b/>
          <w:i w:val="0"/>
          <w:iCs w:val="0"/>
          <w:caps w:val="0"/>
          <w:color w:val="000000"/>
          <w:spacing w:val="0"/>
          <w:sz w:val="24"/>
          <w:szCs w:val="24"/>
          <w:highlight w:val="none"/>
        </w:rPr>
      </w:pPr>
      <w:bookmarkStart w:id="7" w:name="_Toc30392"/>
      <w:bookmarkStart w:id="8" w:name="_Toc24430"/>
      <w:bookmarkStart w:id="9" w:name="_Toc27595"/>
      <w:r>
        <w:rPr>
          <w:rFonts w:hint="eastAsia" w:ascii="仿宋" w:hAnsi="仿宋" w:eastAsia="仿宋" w:cs="仿宋"/>
          <w:b/>
          <w:bCs/>
          <w:i w:val="0"/>
          <w:iCs w:val="0"/>
          <w:caps w:val="0"/>
          <w:color w:val="000000"/>
          <w:spacing w:val="0"/>
          <w:kern w:val="0"/>
          <w:sz w:val="24"/>
          <w:szCs w:val="24"/>
          <w:highlight w:val="none"/>
          <w:lang w:val="en-US" w:eastAsia="zh-CN" w:bidi="ar"/>
        </w:rPr>
        <w:t>一、项目基本情况</w:t>
      </w:r>
      <w:bookmarkEnd w:id="7"/>
      <w:bookmarkEnd w:id="8"/>
      <w:bookmarkEnd w:id="9"/>
    </w:p>
    <w:p w14:paraId="54376D3F">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eastAsia="zh-CN"/>
        </w:rPr>
        <w:t xml:space="preserve"> ：ZXZC-MYXCG-2025-00</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lang w:eastAsia="zh-CN"/>
        </w:rPr>
        <w:t>-01号</w:t>
      </w:r>
    </w:p>
    <w:p w14:paraId="0FE88F2A">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 xml:space="preserve"> ：</w:t>
      </w:r>
      <w:r>
        <w:rPr>
          <w:rFonts w:hint="eastAsia" w:ascii="仿宋" w:hAnsi="仿宋" w:eastAsia="仿宋" w:cs="仿宋"/>
          <w:i w:val="0"/>
          <w:iCs w:val="0"/>
          <w:caps w:val="0"/>
          <w:color w:val="000000"/>
          <w:spacing w:val="0"/>
          <w:kern w:val="0"/>
          <w:sz w:val="24"/>
          <w:szCs w:val="24"/>
          <w:highlight w:val="none"/>
          <w:lang w:val="en-US" w:eastAsia="zh-CN" w:bidi="ar-SA"/>
        </w:rPr>
        <w:t>墨玉县村级畜牧防疫服务体系提升项目（包一：设备购置）</w:t>
      </w:r>
    </w:p>
    <w:p w14:paraId="5297851E">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采购方式</w:t>
      </w:r>
      <w:r>
        <w:rPr>
          <w:rFonts w:hint="eastAsia" w:ascii="仿宋" w:hAnsi="仿宋" w:eastAsia="仿宋" w:cs="仿宋"/>
          <w:i w:val="0"/>
          <w:iCs w:val="0"/>
          <w:caps w:val="0"/>
          <w:color w:val="000000"/>
          <w:spacing w:val="0"/>
          <w:sz w:val="24"/>
          <w:szCs w:val="24"/>
          <w:highlight w:val="none"/>
          <w:lang w:eastAsia="zh-CN"/>
        </w:rPr>
        <w:t xml:space="preserve"> ：</w:t>
      </w:r>
      <w:r>
        <w:rPr>
          <w:rFonts w:hint="eastAsia" w:ascii="仿宋" w:hAnsi="仿宋" w:eastAsia="仿宋" w:cs="仿宋"/>
          <w:i w:val="0"/>
          <w:iCs w:val="0"/>
          <w:caps w:val="0"/>
          <w:color w:val="000000"/>
          <w:spacing w:val="0"/>
          <w:sz w:val="24"/>
          <w:szCs w:val="24"/>
          <w:highlight w:val="none"/>
          <w:lang w:val="en-US" w:eastAsia="zh-CN"/>
        </w:rPr>
        <w:t>公开招标</w:t>
      </w:r>
    </w:p>
    <w:p w14:paraId="234DD06F">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预算金额</w:t>
      </w:r>
      <w:r>
        <w:rPr>
          <w:rFonts w:hint="eastAsia" w:ascii="仿宋" w:hAnsi="仿宋" w:eastAsia="仿宋" w:cs="仿宋"/>
          <w:i w:val="0"/>
          <w:iCs w:val="0"/>
          <w:caps w:val="0"/>
          <w:color w:val="000000"/>
          <w:spacing w:val="0"/>
          <w:sz w:val="24"/>
          <w:szCs w:val="24"/>
          <w:highlight w:val="none"/>
          <w:lang w:eastAsia="zh-CN"/>
        </w:rPr>
        <w:t xml:space="preserve"> ：</w:t>
      </w:r>
      <w:r>
        <w:rPr>
          <w:rFonts w:hint="eastAsia" w:ascii="仿宋" w:hAnsi="仿宋" w:eastAsia="仿宋" w:cs="仿宋"/>
          <w:i w:val="0"/>
          <w:iCs w:val="0"/>
          <w:caps w:val="0"/>
          <w:color w:val="000000"/>
          <w:spacing w:val="0"/>
          <w:sz w:val="24"/>
          <w:szCs w:val="24"/>
          <w:highlight w:val="none"/>
          <w:lang w:val="en-US" w:eastAsia="zh-CN"/>
        </w:rPr>
        <w:t>700万元</w:t>
      </w:r>
    </w:p>
    <w:p w14:paraId="62FACE8E">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最高限价</w:t>
      </w:r>
      <w:r>
        <w:rPr>
          <w:rFonts w:hint="eastAsia" w:ascii="仿宋" w:hAnsi="仿宋" w:eastAsia="仿宋" w:cs="仿宋"/>
          <w:i w:val="0"/>
          <w:iCs w:val="0"/>
          <w:caps w:val="0"/>
          <w:color w:val="000000"/>
          <w:spacing w:val="0"/>
          <w:sz w:val="24"/>
          <w:szCs w:val="24"/>
          <w:highlight w:val="none"/>
          <w:lang w:eastAsia="zh-CN"/>
        </w:rPr>
        <w:t xml:space="preserve"> ：</w:t>
      </w:r>
      <w:r>
        <w:rPr>
          <w:rFonts w:hint="eastAsia" w:ascii="仿宋" w:hAnsi="仿宋" w:eastAsia="仿宋" w:cs="仿宋"/>
          <w:i w:val="0"/>
          <w:iCs w:val="0"/>
          <w:caps w:val="0"/>
          <w:color w:val="000000"/>
          <w:spacing w:val="0"/>
          <w:sz w:val="24"/>
          <w:szCs w:val="24"/>
          <w:highlight w:val="none"/>
          <w:lang w:val="en-US" w:eastAsia="zh-CN"/>
        </w:rPr>
        <w:t>223.18万元</w:t>
      </w:r>
    </w:p>
    <w:p w14:paraId="55DB6387">
      <w:pPr>
        <w:pStyle w:val="67"/>
        <w:keepNext w:val="0"/>
        <w:keepLines w:val="0"/>
        <w:widowControl/>
        <w:suppressLineNumbers w:val="0"/>
        <w:spacing w:before="75" w:beforeAutospacing="0" w:after="75" w:afterAutospacing="0" w:line="240" w:lineRule="auto"/>
        <w:ind w:left="0" w:leftChars="0" w:right="0" w:firstLine="420" w:firstLineChars="175"/>
        <w:outlineLvl w:val="9"/>
        <w:rPr>
          <w:rFonts w:hint="eastAsia" w:ascii="仿宋" w:hAnsi="仿宋" w:eastAsia="仿宋" w:cs="仿宋"/>
          <w:i w:val="0"/>
          <w:iCs w:val="0"/>
          <w:caps w:val="0"/>
          <w:color w:val="000000"/>
          <w:spacing w:val="0"/>
          <w:sz w:val="24"/>
          <w:szCs w:val="24"/>
          <w:highlight w:val="none"/>
          <w:lang w:val="en-US" w:eastAsia="zh-CN"/>
        </w:rPr>
      </w:pPr>
      <w:bookmarkStart w:id="10" w:name="_Toc15068"/>
      <w:r>
        <w:rPr>
          <w:rFonts w:hint="eastAsia" w:ascii="仿宋" w:hAnsi="仿宋" w:eastAsia="仿宋" w:cs="仿宋"/>
          <w:i w:val="0"/>
          <w:iCs w:val="0"/>
          <w:caps w:val="0"/>
          <w:color w:val="000000"/>
          <w:spacing w:val="0"/>
          <w:sz w:val="24"/>
          <w:szCs w:val="24"/>
          <w:highlight w:val="none"/>
          <w:lang w:val="en-US" w:eastAsia="zh-CN"/>
        </w:rPr>
        <w:t>资金来源</w:t>
      </w:r>
      <w:bookmarkEnd w:id="10"/>
      <w:r>
        <w:rPr>
          <w:rFonts w:hint="eastAsia" w:ascii="仿宋" w:hAnsi="仿宋" w:eastAsia="仿宋" w:cs="仿宋"/>
          <w:i w:val="0"/>
          <w:iCs w:val="0"/>
          <w:caps w:val="0"/>
          <w:color w:val="000000"/>
          <w:spacing w:val="0"/>
          <w:sz w:val="24"/>
          <w:szCs w:val="24"/>
          <w:highlight w:val="none"/>
          <w:lang w:val="en-US" w:eastAsia="zh-CN"/>
        </w:rPr>
        <w:t xml:space="preserve"> ：财政衔接推进乡村振兴补助资金</w:t>
      </w:r>
    </w:p>
    <w:p w14:paraId="5C621124">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val="en-US" w:eastAsia="zh-CN"/>
        </w:rPr>
        <w:t>采购需求</w:t>
      </w:r>
      <w:r>
        <w:rPr>
          <w:rFonts w:hint="eastAsia" w:ascii="仿宋" w:hAnsi="仿宋" w:eastAsia="仿宋" w:cs="仿宋"/>
          <w:i w:val="0"/>
          <w:iCs w:val="0"/>
          <w:caps w:val="0"/>
          <w:color w:val="000000"/>
          <w:spacing w:val="0"/>
          <w:sz w:val="24"/>
          <w:szCs w:val="24"/>
          <w:highlight w:val="none"/>
          <w:lang w:eastAsia="zh-CN"/>
        </w:rPr>
        <w:t xml:space="preserve"> ：本项目为提升畜禽养殖、防疫质量和服务能力，全县共计划新建畜牧兽医社会化“六点合一”多功能服务网点20个，对41个点位配种器材进行补充，对2个点位进行提升改造。（具体参数详见招标文件）</w:t>
      </w:r>
    </w:p>
    <w:p w14:paraId="4459AA27">
      <w:pPr>
        <w:pStyle w:val="67"/>
        <w:keepNext w:val="0"/>
        <w:keepLines w:val="0"/>
        <w:widowControl/>
        <w:suppressLineNumbers w:val="0"/>
        <w:spacing w:before="75" w:beforeAutospacing="0" w:after="75" w:afterAutospacing="0" w:line="240" w:lineRule="auto"/>
        <w:ind w:left="0" w:leftChars="0" w:right="0" w:firstLine="420" w:firstLineChars="175"/>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合同履约期限</w:t>
      </w:r>
      <w:r>
        <w:rPr>
          <w:rFonts w:hint="eastAsia" w:ascii="仿宋" w:hAnsi="仿宋" w:eastAsia="仿宋" w:cs="仿宋"/>
          <w:i w:val="0"/>
          <w:iCs w:val="0"/>
          <w:caps w:val="0"/>
          <w:color w:val="000000"/>
          <w:spacing w:val="0"/>
          <w:sz w:val="24"/>
          <w:szCs w:val="24"/>
          <w:highlight w:val="none"/>
          <w:lang w:eastAsia="zh-CN"/>
        </w:rPr>
        <w:t xml:space="preserve"> ：</w:t>
      </w:r>
      <w:r>
        <w:rPr>
          <w:rFonts w:hint="eastAsia" w:ascii="仿宋" w:hAnsi="仿宋" w:eastAsia="仿宋" w:cs="仿宋"/>
          <w:i w:val="0"/>
          <w:iCs w:val="0"/>
          <w:caps w:val="0"/>
          <w:color w:val="000000"/>
          <w:spacing w:val="0"/>
          <w:sz w:val="24"/>
          <w:szCs w:val="24"/>
          <w:highlight w:val="none"/>
          <w:lang w:val="en-US" w:eastAsia="zh-CN"/>
        </w:rPr>
        <w:t>自合同签订之日起60天(日历日)</w:t>
      </w:r>
      <w:r>
        <w:rPr>
          <w:rFonts w:hint="eastAsia" w:ascii="仿宋" w:hAnsi="仿宋" w:eastAsia="仿宋" w:cs="仿宋"/>
          <w:i w:val="0"/>
          <w:iCs w:val="0"/>
          <w:caps w:val="0"/>
          <w:color w:val="000000"/>
          <w:spacing w:val="0"/>
          <w:sz w:val="24"/>
          <w:szCs w:val="24"/>
          <w:highlight w:val="none"/>
          <w:lang w:val="en-US" w:eastAsia="zh-CN"/>
        </w:rPr>
        <w:t>内完成设备采购、运输、安装、调试，并配合采购人完成验收工作，保证正常投入使用。</w:t>
      </w:r>
    </w:p>
    <w:p w14:paraId="2E3106AA">
      <w:pPr>
        <w:pStyle w:val="3"/>
        <w:pageBreakBefore w:val="0"/>
        <w:widowControl w:val="0"/>
        <w:kinsoku/>
        <w:wordWrap/>
        <w:overflowPunct/>
        <w:topLinePunct w:val="0"/>
        <w:autoSpaceDE/>
        <w:autoSpaceDN/>
        <w:bidi w:val="0"/>
        <w:adjustRightInd/>
        <w:snapToGrid/>
        <w:spacing w:before="0" w:after="0" w:line="240" w:lineRule="auto"/>
        <w:ind w:left="0" w:leftChars="0" w:firstLine="420" w:firstLineChars="175"/>
        <w:jc w:val="both"/>
        <w:textAlignment w:val="auto"/>
        <w:rPr>
          <w:rFonts w:hint="eastAsia" w:ascii="仿宋" w:hAnsi="仿宋" w:eastAsia="仿宋" w:cs="仿宋"/>
          <w:b w:val="0"/>
          <w:bCs w:val="0"/>
          <w:i w:val="0"/>
          <w:iCs w:val="0"/>
          <w:caps w:val="0"/>
          <w:color w:val="000000"/>
          <w:spacing w:val="0"/>
          <w:kern w:val="0"/>
          <w:sz w:val="24"/>
          <w:szCs w:val="24"/>
          <w:highlight w:val="none"/>
          <w:lang w:val="en-US" w:eastAsia="zh-CN" w:bidi="ar"/>
        </w:rPr>
      </w:pPr>
      <w:bookmarkStart w:id="11" w:name="_Toc22510"/>
      <w:bookmarkStart w:id="12" w:name="_Toc22990"/>
      <w:bookmarkStart w:id="13" w:name="_Toc11569"/>
      <w:r>
        <w:rPr>
          <w:rFonts w:hint="eastAsia" w:ascii="仿宋" w:hAnsi="仿宋" w:eastAsia="仿宋" w:cs="仿宋"/>
          <w:b w:val="0"/>
          <w:bCs w:val="0"/>
          <w:i w:val="0"/>
          <w:iCs w:val="0"/>
          <w:caps w:val="0"/>
          <w:color w:val="000000"/>
          <w:spacing w:val="0"/>
          <w:kern w:val="0"/>
          <w:sz w:val="24"/>
          <w:szCs w:val="24"/>
          <w:highlight w:val="none"/>
          <w:lang w:val="en-US" w:eastAsia="zh-CN" w:bidi="ar"/>
        </w:rPr>
        <w:t>本项目（是/否）接受联合体投标 ：是</w:t>
      </w:r>
    </w:p>
    <w:p w14:paraId="11B726BF">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r>
        <w:rPr>
          <w:rFonts w:hint="eastAsia" w:ascii="仿宋" w:hAnsi="仿宋" w:eastAsia="仿宋" w:cs="仿宋"/>
          <w:b/>
          <w:bCs/>
          <w:i w:val="0"/>
          <w:iCs w:val="0"/>
          <w:caps w:val="0"/>
          <w:color w:val="000000"/>
          <w:spacing w:val="0"/>
          <w:kern w:val="0"/>
          <w:sz w:val="24"/>
          <w:szCs w:val="24"/>
          <w:highlight w:val="none"/>
          <w:lang w:val="en-US" w:eastAsia="zh-CN" w:bidi="ar"/>
        </w:rPr>
        <w:t>二、申请人的资格要求</w:t>
      </w:r>
      <w:bookmarkEnd w:id="11"/>
      <w:bookmarkEnd w:id="12"/>
      <w:bookmarkEnd w:id="13"/>
      <w:r>
        <w:rPr>
          <w:rFonts w:hint="eastAsia" w:ascii="仿宋" w:hAnsi="仿宋" w:eastAsia="仿宋" w:cs="仿宋"/>
          <w:b/>
          <w:bCs/>
          <w:i w:val="0"/>
          <w:iCs w:val="0"/>
          <w:caps w:val="0"/>
          <w:color w:val="000000"/>
          <w:spacing w:val="0"/>
          <w:kern w:val="0"/>
          <w:sz w:val="24"/>
          <w:szCs w:val="24"/>
          <w:highlight w:val="none"/>
          <w:lang w:val="en-US" w:eastAsia="zh-CN" w:bidi="ar"/>
        </w:rPr>
        <w:t xml:space="preserve"> ：</w:t>
      </w:r>
    </w:p>
    <w:p w14:paraId="6A9590B3">
      <w:pPr>
        <w:pStyle w:val="67"/>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leftChars="0" w:right="0" w:firstLine="480" w:firstLineChars="200"/>
        <w:textAlignment w:val="auto"/>
        <w:outlineLvl w:val="2"/>
        <w:rPr>
          <w:rFonts w:hint="eastAsia" w:ascii="仿宋" w:hAnsi="仿宋" w:eastAsia="仿宋" w:cs="仿宋"/>
          <w:i w:val="0"/>
          <w:iCs w:val="0"/>
          <w:caps w:val="0"/>
          <w:color w:val="000000"/>
          <w:spacing w:val="0"/>
          <w:sz w:val="24"/>
          <w:szCs w:val="24"/>
          <w:highlight w:val="none"/>
          <w:lang w:val="en-US" w:eastAsia="zh-CN"/>
        </w:rPr>
      </w:pPr>
      <w:bookmarkStart w:id="14" w:name="_Toc23893"/>
      <w:r>
        <w:rPr>
          <w:rFonts w:hint="eastAsia" w:ascii="仿宋" w:hAnsi="仿宋" w:eastAsia="仿宋" w:cs="仿宋"/>
          <w:i w:val="0"/>
          <w:iCs w:val="0"/>
          <w:caps w:val="0"/>
          <w:color w:val="000000"/>
          <w:spacing w:val="0"/>
          <w:sz w:val="24"/>
          <w:szCs w:val="24"/>
          <w:highlight w:val="none"/>
          <w:lang w:val="en-US" w:eastAsia="zh-CN"/>
        </w:rPr>
        <w:t>1.满足《中华人民共和国政府采购法》第二十二条规定；</w:t>
      </w:r>
      <w:bookmarkEnd w:id="14"/>
    </w:p>
    <w:p w14:paraId="10283FC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sz w:val="24"/>
          <w:szCs w:val="24"/>
          <w:highlight w:val="none"/>
          <w:lang w:val="en-US" w:eastAsia="zh-CN"/>
        </w:rPr>
        <w:t>2.落实政府采购政策需满足的资格要求 ：</w:t>
      </w:r>
    </w:p>
    <w:p w14:paraId="00A6CDDA">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 中小企业政策</w:t>
      </w:r>
    </w:p>
    <w:p w14:paraId="5D7D4EE0">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□本项目不专门面向中小企业预留采购份额。</w:t>
      </w:r>
    </w:p>
    <w:p w14:paraId="5A3477CD">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☑本项目专门面向  ☑中小 ☑小微企业  采购。即 ：提供的货物或服务全部由符合政策要求的中小/小微企业制造、服务全部由符合政策要求的中小/小微企业承接。</w:t>
      </w:r>
    </w:p>
    <w:p w14:paraId="0209B3FF">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 ：</w:t>
      </w:r>
      <w:r>
        <w:rPr>
          <w:rFonts w:hint="eastAsia" w:ascii="仿宋" w:hAnsi="仿宋" w:eastAsia="仿宋" w:cs="仿宋"/>
          <w:kern w:val="2"/>
          <w:sz w:val="24"/>
          <w:szCs w:val="24"/>
          <w:highlight w:val="none"/>
          <w:u w:val="single"/>
          <w:lang w:val="en-US" w:eastAsia="zh-CN" w:bidi="ar-SA"/>
        </w:rPr>
        <w:t xml:space="preserve"> “供应商为中小企业，或供应商以联合体形式参加采购活动且联合体中中小企业承担的部分达到一定比例，或获得采购合同的供应商将采购项目中的一定比例分包给一家或者多家中小企业” </w:t>
      </w:r>
      <w:r>
        <w:rPr>
          <w:rFonts w:hint="eastAsia" w:ascii="仿宋" w:hAnsi="仿宋" w:eastAsia="仿宋" w:cs="仿宋"/>
          <w:kern w:val="2"/>
          <w:sz w:val="24"/>
          <w:szCs w:val="24"/>
          <w:highlight w:val="none"/>
          <w:lang w:val="en-US" w:eastAsia="zh-CN" w:bidi="ar-SA"/>
        </w:rPr>
        <w:t>。</w:t>
      </w:r>
    </w:p>
    <w:p w14:paraId="1F300682">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 其他落实政府采购政策的资格要求</w:t>
      </w:r>
    </w:p>
    <w:p w14:paraId="45E55D50">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（1）财政部、国家发展改革委、生态环境部、市场监管总局《关于调整优化节能产品、环境标志产品政府采购执行机制的通知》（财库[2019]9号文）；</w:t>
      </w:r>
    </w:p>
    <w:p w14:paraId="1C03618F">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（2）财政部、生态环境部《关于印发环境标志产品政府采购品目清单的通知》（财库[2019]18号文）； </w:t>
      </w:r>
    </w:p>
    <w:p w14:paraId="7ED3FAF5">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（3）财政部、发展改革委《关于印发节能产品政府采购品目清单的通知》（财库[2019]19号文）； </w:t>
      </w:r>
    </w:p>
    <w:p w14:paraId="35A1DBB9">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（4）市场监管总局《市场监管总局关于发布参与实施政府采购节能产品、环境标志产品认证机构名录的公告》（2019年第16号）；</w:t>
      </w:r>
    </w:p>
    <w:p w14:paraId="3BA8C0C3">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4E7F0A9C">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（6）财政部、民政部、中国残疾人联合会《关于促进残疾人就业政府采购政策的通知》（财库[2017]141号）；  </w:t>
      </w:r>
    </w:p>
    <w:p w14:paraId="79F6CC19">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（7）财政部、SF部《关于政府采购支持监狱企业发展有关问题的通知》（财库[2014]68号文）； </w:t>
      </w:r>
    </w:p>
    <w:p w14:paraId="0435EAA8">
      <w:pPr>
        <w:pStyle w:val="44"/>
        <w:keepNext w:val="0"/>
        <w:keepLines w:val="0"/>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14:paraId="2F426B1E">
      <w:pPr>
        <w:pStyle w:val="67"/>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标项1 ：</w:t>
      </w:r>
    </w:p>
    <w:p w14:paraId="4135E1BE">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（1）供应商须具备三证合一的营业执照；</w:t>
      </w:r>
    </w:p>
    <w:p w14:paraId="357AE305">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供应商代表为法定代表人需提供法定代表人证明书及法定代表人身份证，委托代理人需提供法定代表人授权委托书及委托代理人身份证，并提供近6个月任意1个月社保证明材料（社保缴费凭证及个人明细表）；新公司按实际发生提供；</w:t>
      </w:r>
    </w:p>
    <w:p w14:paraId="16F3C2C7">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（3）提供税务机关出具近6个月任意1个月的完税证明或报税材料（依法免缴的，应提供依法免缴的相关证明文件），新公司按实际发生提供；</w:t>
      </w:r>
    </w:p>
    <w:p w14:paraId="3DBDA5CB">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（4）提供2023年度由第三方财务审计机构出具的财务审计报告或提供银行出具的近一个月的资信证明；</w:t>
      </w:r>
    </w:p>
    <w:p w14:paraId="40EBBFD5">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（5）提供参加政府采购活动前 3 年内在经营活动中没有重大违法记录的书面声明；</w:t>
      </w:r>
    </w:p>
    <w:p w14:paraId="3133216B">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（6）企业负责人为同一人或者存在直接控股、管理关系的不同投标人，不得参加同一合同项下的政府采购活动声明函。</w:t>
      </w:r>
    </w:p>
    <w:p w14:paraId="72C8221D">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（7）本项目不接受联合体投标；</w:t>
      </w:r>
    </w:p>
    <w:p w14:paraId="1FC49E4A">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（8）投标保证金或电子保函 ：20000元整（大写 ：贰万元整）。</w:t>
      </w:r>
    </w:p>
    <w:p w14:paraId="2A7CBE60">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outlineLvl w:val="2"/>
        <w:rPr>
          <w:rFonts w:hint="eastAsia" w:ascii="仿宋" w:hAnsi="仿宋" w:eastAsia="仿宋" w:cs="仿宋"/>
          <w:i w:val="0"/>
          <w:iCs w:val="0"/>
          <w:caps w:val="0"/>
          <w:color w:val="000000"/>
          <w:spacing w:val="0"/>
          <w:sz w:val="24"/>
          <w:szCs w:val="24"/>
          <w:highlight w:val="none"/>
          <w:lang w:val="en-US" w:eastAsia="zh-CN"/>
        </w:rPr>
      </w:pPr>
      <w:bookmarkStart w:id="15" w:name="_Toc5294"/>
      <w:r>
        <w:rPr>
          <w:rFonts w:hint="eastAsia" w:ascii="仿宋" w:hAnsi="仿宋" w:eastAsia="仿宋" w:cs="仿宋"/>
          <w:i w:val="0"/>
          <w:iCs w:val="0"/>
          <w:caps w:val="0"/>
          <w:color w:val="000000"/>
          <w:spacing w:val="0"/>
          <w:sz w:val="24"/>
          <w:szCs w:val="24"/>
          <w:highlight w:val="none"/>
          <w:lang w:val="en-US" w:eastAsia="zh-CN"/>
        </w:rPr>
        <w:t>3.本项目的特定资格要求</w:t>
      </w:r>
      <w:bookmarkEnd w:id="15"/>
      <w:r>
        <w:rPr>
          <w:rFonts w:hint="eastAsia" w:ascii="仿宋" w:hAnsi="仿宋" w:eastAsia="仿宋" w:cs="仿宋"/>
          <w:i w:val="0"/>
          <w:iCs w:val="0"/>
          <w:caps w:val="0"/>
          <w:color w:val="000000"/>
          <w:spacing w:val="0"/>
          <w:sz w:val="24"/>
          <w:szCs w:val="24"/>
          <w:highlight w:val="none"/>
          <w:lang w:val="en-US" w:eastAsia="zh-CN"/>
        </w:rPr>
        <w:t xml:space="preserve"> ：无</w:t>
      </w:r>
    </w:p>
    <w:p w14:paraId="4E2F480B">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bookmarkStart w:id="16" w:name="_Toc29122"/>
      <w:bookmarkStart w:id="17" w:name="_Toc14519"/>
      <w:bookmarkStart w:id="18" w:name="_Toc4096"/>
      <w:r>
        <w:rPr>
          <w:rFonts w:hint="eastAsia" w:ascii="仿宋" w:hAnsi="仿宋" w:eastAsia="仿宋" w:cs="仿宋"/>
          <w:b/>
          <w:bCs/>
          <w:i w:val="0"/>
          <w:iCs w:val="0"/>
          <w:caps w:val="0"/>
          <w:color w:val="000000"/>
          <w:spacing w:val="0"/>
          <w:kern w:val="0"/>
          <w:sz w:val="24"/>
          <w:szCs w:val="24"/>
          <w:highlight w:val="none"/>
          <w:lang w:val="en-US" w:eastAsia="zh-CN" w:bidi="ar"/>
        </w:rPr>
        <w:t>三、获取招标文件</w:t>
      </w:r>
      <w:bookmarkEnd w:id="16"/>
      <w:bookmarkEnd w:id="17"/>
      <w:bookmarkEnd w:id="18"/>
    </w:p>
    <w:p w14:paraId="033D3482">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19" w:leftChars="9" w:right="0" w:firstLine="400" w:firstLineChars="167"/>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 ：2025年03月08日至2025年 03月27日，每天上午00:00至12:00，下午12:00至23:59（北京时间，法定节假日除外）</w:t>
      </w:r>
    </w:p>
    <w:p w14:paraId="3F185C15">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237" w:leftChars="113" w:right="0" w:firstLine="180" w:firstLineChars="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地点 ：政采云平台https://www.zcygov.cn/线上获取</w:t>
      </w:r>
    </w:p>
    <w:p w14:paraId="58E93B87">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方式 ：供应商登录政采云平台https://www.zcygov.cn/在线申请获取采购文件（进入“项目采购”应用，在获取采购文件菜单中选择项目，申请获取采购文件）</w:t>
      </w:r>
    </w:p>
    <w:p w14:paraId="5E35BA11">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 ：0</w:t>
      </w:r>
    </w:p>
    <w:p w14:paraId="3432C621">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bookmarkStart w:id="19" w:name="_Toc20322"/>
      <w:bookmarkStart w:id="20" w:name="_Toc4398"/>
      <w:bookmarkStart w:id="21" w:name="_Toc4068"/>
      <w:r>
        <w:rPr>
          <w:rFonts w:hint="eastAsia" w:ascii="仿宋" w:hAnsi="仿宋" w:eastAsia="仿宋" w:cs="仿宋"/>
          <w:b/>
          <w:bCs/>
          <w:i w:val="0"/>
          <w:iCs w:val="0"/>
          <w:caps w:val="0"/>
          <w:color w:val="000000"/>
          <w:spacing w:val="0"/>
          <w:kern w:val="0"/>
          <w:sz w:val="24"/>
          <w:szCs w:val="24"/>
          <w:highlight w:val="none"/>
          <w:lang w:val="en-US" w:eastAsia="zh-CN" w:bidi="ar"/>
        </w:rPr>
        <w:t>四、提交投标文件截止时间、开标时间和地点</w:t>
      </w:r>
      <w:bookmarkEnd w:id="19"/>
      <w:bookmarkEnd w:id="20"/>
      <w:bookmarkEnd w:id="21"/>
    </w:p>
    <w:p w14:paraId="184B6021">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17" w:leftChars="8" w:right="0" w:firstLine="398" w:firstLineChars="166"/>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 ：2025 年 03 月 28日11 ：00分（北京时间）</w:t>
      </w:r>
    </w:p>
    <w:p w14:paraId="7F5E386A">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 ：投标人应于2025 年 03 月 28日11 ：00分（北京时间）之前将电子投标文件上传到新疆政府采购云平台。应按照本项目招标文件和新疆政府采购平台的要求编制、加密传输投标文件。</w:t>
      </w:r>
    </w:p>
    <w:p w14:paraId="50822FCF">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 ：2025 年 03 月 28日11 ：00分（北京时间）</w:t>
      </w:r>
    </w:p>
    <w:p w14:paraId="35FF1FC0">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leftChars="0" w:right="0" w:firstLine="420" w:firstLineChars="175"/>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 ：墨玉县公共资源交易平台中心（墨玉县玉华社区院内）（投标供应商无需到场）</w:t>
      </w:r>
    </w:p>
    <w:p w14:paraId="114F3232">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bookmarkStart w:id="22" w:name="_Toc9151"/>
      <w:bookmarkStart w:id="23" w:name="_Toc19015"/>
      <w:bookmarkStart w:id="24" w:name="_Toc30941"/>
      <w:r>
        <w:rPr>
          <w:rFonts w:hint="eastAsia" w:ascii="仿宋" w:hAnsi="仿宋" w:eastAsia="仿宋" w:cs="仿宋"/>
          <w:b/>
          <w:bCs/>
          <w:i w:val="0"/>
          <w:iCs w:val="0"/>
          <w:caps w:val="0"/>
          <w:color w:val="000000"/>
          <w:spacing w:val="0"/>
          <w:kern w:val="0"/>
          <w:sz w:val="24"/>
          <w:szCs w:val="24"/>
          <w:highlight w:val="none"/>
          <w:lang w:val="en-US" w:eastAsia="zh-CN" w:bidi="ar"/>
        </w:rPr>
        <w:t>五、公告期限</w:t>
      </w:r>
      <w:bookmarkEnd w:id="22"/>
      <w:bookmarkEnd w:id="23"/>
      <w:bookmarkEnd w:id="24"/>
    </w:p>
    <w:p w14:paraId="598A5B28">
      <w:pPr>
        <w:pStyle w:val="67"/>
        <w:keepNext w:val="0"/>
        <w:keepLines w:val="0"/>
        <w:widowControl/>
        <w:suppressLineNumbers w:val="0"/>
        <w:spacing w:before="75" w:beforeAutospacing="0" w:after="75" w:afterAutospacing="0" w:line="240" w:lineRule="auto"/>
        <w:ind w:left="17" w:leftChars="8" w:right="0" w:firstLine="398" w:firstLineChars="166"/>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14:paraId="61A6A8D8">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bookmarkStart w:id="25" w:name="_Toc32428"/>
      <w:bookmarkStart w:id="26" w:name="_Toc1504"/>
      <w:bookmarkStart w:id="27" w:name="_Toc2426"/>
      <w:r>
        <w:rPr>
          <w:rFonts w:hint="eastAsia" w:ascii="仿宋" w:hAnsi="仿宋" w:eastAsia="仿宋" w:cs="仿宋"/>
          <w:b/>
          <w:bCs/>
          <w:i w:val="0"/>
          <w:iCs w:val="0"/>
          <w:caps w:val="0"/>
          <w:color w:val="000000"/>
          <w:spacing w:val="0"/>
          <w:kern w:val="0"/>
          <w:sz w:val="24"/>
          <w:szCs w:val="24"/>
          <w:highlight w:val="none"/>
          <w:lang w:val="en-US" w:eastAsia="zh-CN" w:bidi="ar"/>
        </w:rPr>
        <w:t>六、其他补充事宜</w:t>
      </w:r>
      <w:bookmarkEnd w:id="25"/>
      <w:bookmarkEnd w:id="26"/>
      <w:bookmarkEnd w:id="27"/>
    </w:p>
    <w:p w14:paraId="61F7E807">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1、本项目实行网上投标，采用电子投标文件。若供应商参与投标，自行承担投标一切费用。</w:t>
      </w:r>
    </w:p>
    <w:p w14:paraId="1F5FD5C7">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38A4CE2F">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6C2C564">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p w14:paraId="542446D6">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b/>
          <w:bCs/>
          <w:i w:val="0"/>
          <w:caps w:val="0"/>
          <w:color w:val="000000"/>
          <w:spacing w:val="0"/>
          <w:kern w:val="0"/>
          <w:sz w:val="24"/>
          <w:szCs w:val="24"/>
          <w:highlight w:val="none"/>
          <w:vertAlign w:val="baseline"/>
          <w:lang w:val="en-US" w:eastAsia="zh-CN" w:bidi="ar"/>
        </w:rPr>
      </w:pPr>
      <w:r>
        <w:rPr>
          <w:rFonts w:hint="eastAsia" w:ascii="仿宋" w:hAnsi="仿宋" w:eastAsia="仿宋" w:cs="仿宋"/>
          <w:i w:val="0"/>
          <w:iCs w:val="0"/>
          <w:caps w:val="0"/>
          <w:color w:val="000000"/>
          <w:spacing w:val="0"/>
          <w:sz w:val="24"/>
          <w:szCs w:val="24"/>
          <w:highlight w:val="none"/>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招标文件格式提供《中小企业声明函》等政府采购政策。《财政部发展改革委 生态环境部 市场监管总局关于调整优化节能产品、环境标志产品政府采购执行机制的通知》（财库〔2019〕9号）。</w:t>
      </w:r>
    </w:p>
    <w:p w14:paraId="04B5C8ED">
      <w:pPr>
        <w:pStyle w:val="67"/>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caps w:val="0"/>
          <w:color w:val="000000"/>
          <w:spacing w:val="0"/>
          <w:kern w:val="0"/>
          <w:sz w:val="24"/>
          <w:szCs w:val="24"/>
          <w:highlight w:val="none"/>
          <w:vertAlign w:val="baseline"/>
          <w:lang w:val="en-US" w:eastAsia="zh-CN" w:bidi="ar"/>
        </w:rPr>
        <w:t>特别强调 ：</w:t>
      </w:r>
    </w:p>
    <w:p w14:paraId="6957E493">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分的6％～10％作为其价格分。</w:t>
      </w:r>
    </w:p>
    <w:p w14:paraId="1EF3BB17">
      <w:pPr>
        <w:pStyle w:val="67"/>
        <w:keepNext w:val="0"/>
        <w:keepLines w:val="0"/>
        <w:widowControl/>
        <w:suppressLineNumbers w:val="0"/>
        <w:spacing w:before="75" w:beforeAutospacing="0" w:after="75" w:afterAutospacing="0" w:line="240" w:lineRule="auto"/>
        <w:ind w:left="0" w:leftChars="0" w:right="0" w:firstLine="420" w:firstLineChars="175"/>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41646B6">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仿宋" w:hAnsi="仿宋" w:eastAsia="仿宋" w:cs="仿宋"/>
          <w:b/>
          <w:bCs/>
          <w:i w:val="0"/>
          <w:iCs w:val="0"/>
          <w:caps w:val="0"/>
          <w:color w:val="000000"/>
          <w:spacing w:val="0"/>
          <w:kern w:val="0"/>
          <w:sz w:val="24"/>
          <w:szCs w:val="24"/>
          <w:highlight w:val="none"/>
          <w:lang w:val="en-US" w:eastAsia="zh-CN" w:bidi="ar"/>
        </w:rPr>
      </w:pPr>
      <w:bookmarkStart w:id="28" w:name="_Toc3331"/>
      <w:bookmarkStart w:id="29" w:name="_Toc9402"/>
      <w:bookmarkStart w:id="30" w:name="_Toc3294"/>
      <w:r>
        <w:rPr>
          <w:rFonts w:hint="eastAsia" w:ascii="仿宋" w:hAnsi="仿宋" w:eastAsia="仿宋" w:cs="仿宋"/>
          <w:b/>
          <w:bCs/>
          <w:i w:val="0"/>
          <w:iCs w:val="0"/>
          <w:caps w:val="0"/>
          <w:color w:val="000000"/>
          <w:spacing w:val="0"/>
          <w:kern w:val="0"/>
          <w:sz w:val="24"/>
          <w:szCs w:val="24"/>
          <w:highlight w:val="none"/>
          <w:lang w:val="en-US" w:eastAsia="zh-CN" w:bidi="ar"/>
        </w:rPr>
        <w:t>七、对本次采购提出询问，请按以下方式联系</w:t>
      </w:r>
      <w:bookmarkEnd w:id="28"/>
      <w:bookmarkEnd w:id="29"/>
      <w:bookmarkEnd w:id="30"/>
    </w:p>
    <w:p w14:paraId="2B360724">
      <w:pPr>
        <w:pStyle w:val="93"/>
        <w:outlineLvl w:val="2"/>
        <w:rPr>
          <w:rFonts w:hint="eastAsia" w:ascii="仿宋" w:hAnsi="仿宋" w:eastAsia="仿宋" w:cs="仿宋"/>
          <w:i w:val="0"/>
          <w:iCs w:val="0"/>
          <w:caps w:val="0"/>
          <w:color w:val="000000"/>
          <w:spacing w:val="0"/>
          <w:kern w:val="0"/>
          <w:sz w:val="24"/>
          <w:szCs w:val="24"/>
          <w:highlight w:val="none"/>
          <w:lang w:val="en-US" w:eastAsia="zh-CN" w:bidi="ar"/>
        </w:rPr>
      </w:pPr>
      <w:bookmarkStart w:id="31" w:name="_Toc7331"/>
      <w:r>
        <w:rPr>
          <w:rFonts w:hint="eastAsia" w:ascii="仿宋" w:hAnsi="仿宋" w:eastAsia="仿宋" w:cs="仿宋"/>
          <w:i w:val="0"/>
          <w:iCs w:val="0"/>
          <w:caps w:val="0"/>
          <w:color w:val="000000"/>
          <w:spacing w:val="0"/>
          <w:kern w:val="0"/>
          <w:sz w:val="24"/>
          <w:szCs w:val="24"/>
          <w:highlight w:val="none"/>
          <w:lang w:val="en-US" w:eastAsia="zh-CN" w:bidi="ar"/>
        </w:rPr>
        <w:t>1、采购单位信息</w:t>
      </w:r>
      <w:bookmarkEnd w:id="31"/>
    </w:p>
    <w:p w14:paraId="223E5B72">
      <w:pPr>
        <w:pStyle w:val="93"/>
        <w:outlineLvl w:val="2"/>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采购人名称 ：墨玉县农业农村局              </w:t>
      </w:r>
    </w:p>
    <w:p w14:paraId="733D0C5D">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地址 ：墨玉县政务中心5楼                        </w:t>
      </w:r>
    </w:p>
    <w:p w14:paraId="15B171E4">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联系人 ：张永波                </w:t>
      </w:r>
    </w:p>
    <w:p w14:paraId="18EC699B">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联系电话 ：0903-6512925</w:t>
      </w:r>
    </w:p>
    <w:p w14:paraId="07394303">
      <w:pPr>
        <w:pStyle w:val="93"/>
        <w:rPr>
          <w:rFonts w:hint="eastAsia" w:ascii="仿宋" w:hAnsi="仿宋" w:eastAsia="仿宋" w:cs="仿宋"/>
          <w:i w:val="0"/>
          <w:iCs w:val="0"/>
          <w:caps w:val="0"/>
          <w:color w:val="000000"/>
          <w:spacing w:val="0"/>
          <w:kern w:val="0"/>
          <w:sz w:val="24"/>
          <w:szCs w:val="24"/>
          <w:highlight w:val="none"/>
          <w:lang w:val="en-US" w:eastAsia="zh-CN" w:bidi="ar"/>
        </w:rPr>
      </w:pPr>
    </w:p>
    <w:p w14:paraId="45A487D4">
      <w:pPr>
        <w:pStyle w:val="93"/>
        <w:numPr>
          <w:ilvl w:val="0"/>
          <w:numId w:val="4"/>
        </w:numPr>
        <w:outlineLvl w:val="2"/>
        <w:rPr>
          <w:rFonts w:hint="eastAsia" w:ascii="仿宋" w:hAnsi="仿宋" w:eastAsia="仿宋" w:cs="仿宋"/>
          <w:i w:val="0"/>
          <w:iCs w:val="0"/>
          <w:caps w:val="0"/>
          <w:color w:val="000000"/>
          <w:spacing w:val="0"/>
          <w:kern w:val="0"/>
          <w:sz w:val="24"/>
          <w:szCs w:val="24"/>
          <w:highlight w:val="none"/>
          <w:lang w:val="en-US" w:eastAsia="zh-CN" w:bidi="ar"/>
        </w:rPr>
      </w:pPr>
      <w:bookmarkStart w:id="32" w:name="_Toc1309"/>
      <w:r>
        <w:rPr>
          <w:rFonts w:hint="eastAsia" w:ascii="仿宋" w:hAnsi="仿宋" w:eastAsia="仿宋" w:cs="仿宋"/>
          <w:i w:val="0"/>
          <w:iCs w:val="0"/>
          <w:caps w:val="0"/>
          <w:color w:val="000000"/>
          <w:spacing w:val="0"/>
          <w:kern w:val="0"/>
          <w:sz w:val="24"/>
          <w:szCs w:val="24"/>
          <w:highlight w:val="none"/>
          <w:lang w:val="en-US" w:eastAsia="zh-CN" w:bidi="ar"/>
        </w:rPr>
        <w:t>采购代理机构</w:t>
      </w:r>
      <w:bookmarkEnd w:id="32"/>
      <w:r>
        <w:rPr>
          <w:rFonts w:hint="eastAsia" w:ascii="仿宋" w:hAnsi="仿宋" w:eastAsia="仿宋" w:cs="仿宋"/>
          <w:i w:val="0"/>
          <w:iCs w:val="0"/>
          <w:caps w:val="0"/>
          <w:color w:val="000000"/>
          <w:spacing w:val="0"/>
          <w:kern w:val="0"/>
          <w:sz w:val="24"/>
          <w:szCs w:val="24"/>
          <w:highlight w:val="none"/>
          <w:lang w:val="en-US" w:eastAsia="zh-CN" w:bidi="ar"/>
        </w:rPr>
        <w:t>信息</w:t>
      </w:r>
    </w:p>
    <w:p w14:paraId="55937C6E">
      <w:pPr>
        <w:pStyle w:val="93"/>
        <w:numPr>
          <w:ilvl w:val="0"/>
          <w:numId w:val="0"/>
        </w:numPr>
        <w:outlineLvl w:val="2"/>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代理机构名称 ：墨玉县众信智诚工程项目管理有限公司</w:t>
      </w:r>
    </w:p>
    <w:p w14:paraId="7982BC66">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地址 ：墨玉县乐民社区B栋二楼                               </w:t>
      </w:r>
    </w:p>
    <w:p w14:paraId="2FD3A76D">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项目联系人 ：张俊哲            </w:t>
      </w:r>
    </w:p>
    <w:p w14:paraId="78E05B0E">
      <w:pPr>
        <w:pStyle w:val="93"/>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联系电话 ：0903-6530990</w:t>
      </w:r>
    </w:p>
    <w:p w14:paraId="52B41510">
      <w:pPr>
        <w:pStyle w:val="93"/>
        <w:rPr>
          <w:rFonts w:hint="eastAsia" w:ascii="仿宋" w:hAnsi="仿宋" w:eastAsia="仿宋" w:cs="仿宋"/>
          <w:i w:val="0"/>
          <w:iCs w:val="0"/>
          <w:caps w:val="0"/>
          <w:color w:val="000000"/>
          <w:spacing w:val="0"/>
          <w:kern w:val="0"/>
          <w:sz w:val="24"/>
          <w:szCs w:val="24"/>
          <w:highlight w:val="none"/>
          <w:lang w:val="en-US" w:eastAsia="zh-CN" w:bidi="ar"/>
        </w:rPr>
      </w:pPr>
    </w:p>
    <w:p w14:paraId="06FDF442">
      <w:pPr>
        <w:pStyle w:val="93"/>
        <w:numPr>
          <w:ilvl w:val="0"/>
          <w:numId w:val="4"/>
        </w:numPr>
        <w:ind w:left="0" w:leftChars="0" w:firstLine="0" w:firstLineChars="0"/>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同级政府采购监督管理部门</w:t>
      </w:r>
    </w:p>
    <w:p w14:paraId="69404549">
      <w:pPr>
        <w:pStyle w:val="93"/>
        <w:numPr>
          <w:ilvl w:val="0"/>
          <w:numId w:val="0"/>
        </w:numPr>
        <w:ind w:leftChars="0"/>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名称 ：墨玉县财政局</w:t>
      </w:r>
    </w:p>
    <w:p w14:paraId="32A53ED2">
      <w:pPr>
        <w:pStyle w:val="93"/>
        <w:numPr>
          <w:ilvl w:val="0"/>
          <w:numId w:val="0"/>
        </w:numPr>
        <w:ind w:leftChars="0"/>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地址 ：墨玉县行政服务中心</w:t>
      </w:r>
    </w:p>
    <w:p w14:paraId="0B4B5C33">
      <w:pPr>
        <w:pStyle w:val="93"/>
        <w:numPr>
          <w:ilvl w:val="0"/>
          <w:numId w:val="0"/>
        </w:numPr>
        <w:ind w:leftChars="0"/>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联系人 ：杨先生</w:t>
      </w:r>
    </w:p>
    <w:p w14:paraId="5FD1C2F8">
      <w:pPr>
        <w:pStyle w:val="93"/>
        <w:numPr>
          <w:ilvl w:val="0"/>
          <w:numId w:val="0"/>
        </w:numPr>
        <w:ind w:leftChars="0"/>
        <w:rPr>
          <w:rFonts w:hint="default"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联系电话 ：0903-6565062</w:t>
      </w:r>
    </w:p>
    <w:p w14:paraId="4BE56CB9">
      <w:pPr>
        <w:pStyle w:val="93"/>
        <w:numPr>
          <w:ilvl w:val="0"/>
          <w:numId w:val="0"/>
        </w:numPr>
        <w:ind w:leftChars="0"/>
        <w:rPr>
          <w:rFonts w:hint="eastAsia" w:ascii="仿宋" w:hAnsi="仿宋" w:eastAsia="仿宋" w:cs="仿宋"/>
          <w:b/>
          <w:sz w:val="28"/>
          <w:szCs w:val="28"/>
          <w:highlight w:val="none"/>
        </w:rPr>
      </w:pPr>
      <w:r>
        <w:rPr>
          <w:rFonts w:hint="eastAsia" w:ascii="仿宋" w:hAnsi="仿宋" w:eastAsia="仿宋" w:cs="仿宋"/>
          <w:i w:val="0"/>
          <w:iCs w:val="0"/>
          <w:caps w:val="0"/>
          <w:color w:val="000000"/>
          <w:spacing w:val="0"/>
          <w:kern w:val="0"/>
          <w:sz w:val="24"/>
          <w:szCs w:val="24"/>
          <w:highlight w:val="none"/>
          <w:lang w:val="en-US" w:eastAsia="zh-CN" w:bidi="ar"/>
        </w:rPr>
        <w:br w:type="page"/>
      </w:r>
    </w:p>
    <w:p w14:paraId="409E44C1">
      <w:pPr>
        <w:pStyle w:val="180"/>
        <w:pageBreakBefore w:val="0"/>
        <w:kinsoku/>
        <w:wordWrap/>
        <w:topLinePunct w:val="0"/>
        <w:bidi w:val="0"/>
        <w:spacing w:line="360" w:lineRule="auto"/>
        <w:ind w:left="0" w:leftChars="0" w:firstLine="0" w:firstLineChars="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特别提醒 ：</w:t>
      </w:r>
    </w:p>
    <w:p w14:paraId="67F1EB2B">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仿宋" w:hAnsi="仿宋" w:eastAsia="仿宋" w:cs="仿宋"/>
          <w:b/>
          <w:bCs/>
          <w:color w:val="auto"/>
          <w:kern w:val="2"/>
          <w:sz w:val="24"/>
          <w:szCs w:val="24"/>
          <w:highlight w:val="none"/>
          <w:lang w:val="en-US" w:eastAsia="zh-CN" w:bidi="ar-SA"/>
        </w:rPr>
        <w:t>投标截止时间之前</w:t>
      </w:r>
      <w:r>
        <w:rPr>
          <w:rFonts w:hint="eastAsia" w:ascii="仿宋" w:hAnsi="仿宋" w:eastAsia="仿宋" w:cs="仿宋"/>
          <w:b/>
          <w:bCs/>
          <w:i w:val="0"/>
          <w:iCs w:val="0"/>
          <w:caps w:val="0"/>
          <w:color w:val="auto"/>
          <w:spacing w:val="0"/>
          <w:kern w:val="0"/>
          <w:sz w:val="24"/>
          <w:szCs w:val="24"/>
          <w:highlight w:val="none"/>
          <w:lang w:val="en-US" w:eastAsia="zh-CN" w:bidi="ar"/>
        </w:rPr>
        <w:t>到账，超过时间则不予认可。投标单位须在汇款单备注栏标明 ：XXX项目XXX包段（标段）或采购项目编号。该项目不换取保证金收据，由银行出具投标企业保证金缴纳情况。晚于规定时间缴纳保证金的企业一切责任将由贵公司自行承担。</w:t>
      </w:r>
    </w:p>
    <w:p w14:paraId="08F4124F">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2、投标企业下载招标文件后请仔细阅读，如对招标文件内容有质疑，投标人应在投标截止7日前按招标文件中载明的邮箱 ：3060380044@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208016FE">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3、退保证金说明 ：为了方便各企业投标保证金能在公示期后及时退回，请在开标结束后向墨玉县公共资源交易平台中心提供以下材料 ：</w:t>
      </w:r>
    </w:p>
    <w:p w14:paraId="2A39BD32">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所有复印件上必须加盖公司公章发送至1471513927@qq.com，联系电话 ：0903-7863806；</w:t>
      </w:r>
    </w:p>
    <w:p w14:paraId="68F65F87">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（1）开户许可证复印件或账户基本信息（与缴纳投标保证金账户一致）；</w:t>
      </w:r>
    </w:p>
    <w:p w14:paraId="34E40E55">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（2）法人身份证复印件或办理退付手续委托书原件；</w:t>
      </w:r>
    </w:p>
    <w:p w14:paraId="58E909B8">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（3）该公司缴纳投标保证金回单；</w:t>
      </w:r>
    </w:p>
    <w:p w14:paraId="4EF1B4D4">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（4）该公司所开具的收据。</w:t>
      </w:r>
    </w:p>
    <w:p w14:paraId="357E125B">
      <w:pPr>
        <w:spacing w:line="360" w:lineRule="auto"/>
        <w:ind w:left="0" w:leftChars="0" w:firstLine="422" w:firstLineChars="175"/>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中标企业应在签订合同后5个工作日内，另行提供；甲方单位关于退付投标保证金证明原件、中标通知书和合同复印件（合同第一部分及质保约定部分）、缴纳履约保证金的收据复印件（不缴纳履约保证金的忽略）；</w:t>
      </w:r>
    </w:p>
    <w:p w14:paraId="0E15CC0F">
      <w:pPr>
        <w:pStyle w:val="17"/>
        <w:ind w:left="0" w:leftChars="0" w:firstLine="422" w:firstLineChars="175"/>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4.电子保函使用方法 ：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服务热线 ：400-9039583</w:t>
      </w:r>
    </w:p>
    <w:p w14:paraId="271F5CB8">
      <w:pPr>
        <w:pStyle w:val="17"/>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br w:type="page"/>
      </w:r>
      <w:bookmarkStart w:id="33" w:name="_Toc2108"/>
      <w:bookmarkStart w:id="34" w:name="_Toc16152"/>
      <w:r>
        <w:rPr>
          <w:rFonts w:hint="eastAsia" w:ascii="仿宋" w:hAnsi="仿宋" w:eastAsia="仿宋" w:cs="仿宋"/>
          <w:b/>
          <w:sz w:val="28"/>
          <w:szCs w:val="28"/>
          <w:highlight w:val="none"/>
        </w:rPr>
        <w:t>第二章  投标人须知</w:t>
      </w:r>
      <w:bookmarkEnd w:id="33"/>
      <w:bookmarkEnd w:id="34"/>
    </w:p>
    <w:p w14:paraId="369FB196">
      <w:pPr>
        <w:widowControl/>
        <w:spacing w:line="320" w:lineRule="exact"/>
        <w:ind w:left="141" w:hanging="141"/>
        <w:rPr>
          <w:rFonts w:hint="eastAsia" w:ascii="仿宋" w:hAnsi="仿宋" w:eastAsia="仿宋" w:cs="仿宋"/>
          <w:b/>
          <w:sz w:val="28"/>
          <w:szCs w:val="28"/>
          <w:highlight w:val="none"/>
        </w:rPr>
      </w:pPr>
    </w:p>
    <w:p w14:paraId="51030D69">
      <w:pPr>
        <w:widowControl/>
        <w:spacing w:line="320" w:lineRule="exact"/>
        <w:ind w:left="141" w:hanging="141"/>
        <w:jc w:val="center"/>
        <w:outlineLvl w:val="1"/>
        <w:rPr>
          <w:rFonts w:hint="eastAsia" w:ascii="仿宋" w:hAnsi="仿宋" w:eastAsia="仿宋" w:cs="仿宋"/>
          <w:b/>
          <w:sz w:val="32"/>
          <w:szCs w:val="32"/>
          <w:highlight w:val="none"/>
        </w:rPr>
      </w:pPr>
      <w:bookmarkStart w:id="35" w:name="_Toc10036"/>
      <w:r>
        <w:rPr>
          <w:rFonts w:hint="eastAsia" w:ascii="仿宋" w:hAnsi="仿宋" w:eastAsia="仿宋" w:cs="仿宋"/>
          <w:b/>
          <w:sz w:val="32"/>
          <w:szCs w:val="32"/>
          <w:highlight w:val="none"/>
        </w:rPr>
        <w:t>投标人须知前附表</w:t>
      </w:r>
      <w:bookmarkEnd w:id="35"/>
    </w:p>
    <w:tbl>
      <w:tblPr>
        <w:tblStyle w:val="72"/>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27"/>
        <w:gridCol w:w="1616"/>
        <w:gridCol w:w="7512"/>
      </w:tblGrid>
      <w:tr w14:paraId="5E0F9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tcBorders>
              <w:top w:val="single" w:color="auto" w:sz="12" w:space="0"/>
            </w:tcBorders>
            <w:noWrap w:val="0"/>
            <w:vAlign w:val="center"/>
          </w:tcPr>
          <w:p w14:paraId="0D72476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16" w:type="dxa"/>
            <w:tcBorders>
              <w:top w:val="single" w:color="auto" w:sz="12" w:space="0"/>
              <w:right w:val="single" w:color="auto" w:sz="4" w:space="0"/>
            </w:tcBorders>
            <w:noWrap w:val="0"/>
            <w:vAlign w:val="center"/>
          </w:tcPr>
          <w:p w14:paraId="48B8CB3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条款名称</w:t>
            </w:r>
          </w:p>
        </w:tc>
        <w:tc>
          <w:tcPr>
            <w:tcW w:w="7512" w:type="dxa"/>
            <w:tcBorders>
              <w:top w:val="single" w:color="auto" w:sz="12" w:space="0"/>
              <w:left w:val="single" w:color="auto" w:sz="4" w:space="0"/>
            </w:tcBorders>
            <w:noWrap w:val="0"/>
            <w:vAlign w:val="center"/>
          </w:tcPr>
          <w:p w14:paraId="152F070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说明和要求</w:t>
            </w:r>
          </w:p>
        </w:tc>
      </w:tr>
      <w:tr w14:paraId="76E0C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427" w:type="dxa"/>
            <w:noWrap w:val="0"/>
            <w:vAlign w:val="center"/>
          </w:tcPr>
          <w:p w14:paraId="0BBE172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16" w:type="dxa"/>
            <w:tcBorders>
              <w:right w:val="single" w:color="auto" w:sz="4" w:space="0"/>
            </w:tcBorders>
            <w:noWrap w:val="0"/>
            <w:vAlign w:val="center"/>
          </w:tcPr>
          <w:p w14:paraId="5CFBD798">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7512" w:type="dxa"/>
            <w:tcBorders>
              <w:left w:val="single" w:color="auto" w:sz="4" w:space="0"/>
            </w:tcBorders>
            <w:noWrap w:val="0"/>
            <w:vAlign w:val="center"/>
          </w:tcPr>
          <w:p w14:paraId="20EF9FF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 xml:space="preserve"> ：</w:t>
            </w:r>
            <w:r>
              <w:rPr>
                <w:rFonts w:hint="eastAsia" w:ascii="仿宋" w:hAnsi="仿宋" w:eastAsia="仿宋" w:cs="仿宋"/>
                <w:kern w:val="0"/>
                <w:sz w:val="24"/>
                <w:szCs w:val="24"/>
                <w:highlight w:val="none"/>
                <w:lang w:val="en-US" w:eastAsia="zh-CN"/>
              </w:rPr>
              <w:t>墨玉县农业农村局</w:t>
            </w:r>
          </w:p>
          <w:p w14:paraId="226DF38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地  址 ：墨玉县政务中心5楼</w:t>
            </w:r>
          </w:p>
          <w:p w14:paraId="1C5CFA5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联系人 ：</w:t>
            </w:r>
            <w:r>
              <w:rPr>
                <w:rFonts w:hint="eastAsia" w:ascii="仿宋" w:hAnsi="仿宋" w:eastAsia="仿宋" w:cs="仿宋"/>
                <w:sz w:val="24"/>
                <w:szCs w:val="24"/>
                <w:highlight w:val="none"/>
                <w:lang w:val="en-US" w:eastAsia="zh-CN"/>
              </w:rPr>
              <w:t>张永波</w:t>
            </w:r>
          </w:p>
          <w:p w14:paraId="76EF6C4C">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电  话 ：</w:t>
            </w:r>
            <w:r>
              <w:rPr>
                <w:rFonts w:hint="eastAsia" w:ascii="仿宋" w:hAnsi="仿宋" w:eastAsia="仿宋" w:cs="仿宋"/>
                <w:sz w:val="24"/>
                <w:szCs w:val="24"/>
                <w:highlight w:val="none"/>
                <w:lang w:val="zh-CN" w:eastAsia="zh-CN"/>
              </w:rPr>
              <w:t>0903-6512925</w:t>
            </w:r>
          </w:p>
        </w:tc>
      </w:tr>
      <w:tr w14:paraId="33AA8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427" w:type="dxa"/>
            <w:noWrap w:val="0"/>
            <w:vAlign w:val="center"/>
          </w:tcPr>
          <w:p w14:paraId="2FD77B3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616" w:type="dxa"/>
            <w:tcBorders>
              <w:right w:val="single" w:color="auto" w:sz="4" w:space="0"/>
            </w:tcBorders>
            <w:noWrap w:val="0"/>
            <w:vAlign w:val="center"/>
          </w:tcPr>
          <w:p w14:paraId="00041A5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代理机构</w:t>
            </w:r>
          </w:p>
        </w:tc>
        <w:tc>
          <w:tcPr>
            <w:tcW w:w="7512" w:type="dxa"/>
            <w:tcBorders>
              <w:left w:val="single" w:color="auto" w:sz="4" w:space="0"/>
            </w:tcBorders>
            <w:noWrap w:val="0"/>
            <w:vAlign w:val="center"/>
          </w:tcPr>
          <w:p w14:paraId="3CDD2B57">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墨玉县众信智诚工程项目管理有限公司</w:t>
            </w:r>
          </w:p>
          <w:p w14:paraId="304E5966">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墨玉县乐民社区B栋二楼</w:t>
            </w:r>
          </w:p>
          <w:p w14:paraId="645CE6C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张俊哲</w:t>
            </w:r>
          </w:p>
          <w:p w14:paraId="77B61830">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0903-6530990</w:t>
            </w:r>
          </w:p>
        </w:tc>
      </w:tr>
      <w:tr w14:paraId="354F0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427" w:type="dxa"/>
            <w:noWrap w:val="0"/>
            <w:vAlign w:val="center"/>
          </w:tcPr>
          <w:p w14:paraId="55BE689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616" w:type="dxa"/>
            <w:tcBorders>
              <w:right w:val="single" w:color="auto" w:sz="4" w:space="0"/>
            </w:tcBorders>
            <w:noWrap w:val="0"/>
            <w:vAlign w:val="center"/>
          </w:tcPr>
          <w:p w14:paraId="021447D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lang w:val="en-US" w:eastAsia="zh-CN"/>
              </w:rPr>
              <w:t>及项目编号</w:t>
            </w:r>
          </w:p>
        </w:tc>
        <w:tc>
          <w:tcPr>
            <w:tcW w:w="7512" w:type="dxa"/>
            <w:tcBorders>
              <w:left w:val="single" w:color="auto" w:sz="4" w:space="0"/>
            </w:tcBorders>
            <w:noWrap w:val="0"/>
            <w:vAlign w:val="center"/>
          </w:tcPr>
          <w:p w14:paraId="295CB15C">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 ：</w:t>
            </w:r>
            <w:r>
              <w:rPr>
                <w:rFonts w:hint="eastAsia" w:ascii="仿宋" w:hAnsi="仿宋" w:eastAsia="仿宋" w:cs="仿宋"/>
                <w:i w:val="0"/>
                <w:iCs w:val="0"/>
                <w:caps w:val="0"/>
                <w:color w:val="000000"/>
                <w:spacing w:val="0"/>
                <w:kern w:val="0"/>
                <w:sz w:val="24"/>
                <w:szCs w:val="24"/>
                <w:highlight w:val="none"/>
                <w:lang w:val="en-US" w:eastAsia="zh-CN" w:bidi="ar-SA"/>
              </w:rPr>
              <w:t>墨玉县村级畜牧防疫服务体系提升项目（包一：设备购置）</w:t>
            </w:r>
          </w:p>
          <w:p w14:paraId="7CAB278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项目编号 ： ZXZC-MYXCG-2025-005-01号</w:t>
            </w:r>
          </w:p>
        </w:tc>
      </w:tr>
      <w:tr w14:paraId="62A08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427" w:type="dxa"/>
            <w:noWrap w:val="0"/>
            <w:vAlign w:val="center"/>
          </w:tcPr>
          <w:p w14:paraId="2CEB8ED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616" w:type="dxa"/>
            <w:tcBorders>
              <w:right w:val="single" w:color="auto" w:sz="4" w:space="0"/>
            </w:tcBorders>
            <w:noWrap w:val="0"/>
            <w:vAlign w:val="center"/>
          </w:tcPr>
          <w:p w14:paraId="73013F9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7512" w:type="dxa"/>
            <w:tcBorders>
              <w:left w:val="single" w:color="auto" w:sz="4" w:space="0"/>
            </w:tcBorders>
            <w:noWrap w:val="0"/>
            <w:vAlign w:val="center"/>
          </w:tcPr>
          <w:p w14:paraId="490B53B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本项目为提升畜禽养殖、防疫质量和服务能力，全县共计划新建畜牧兽医社会化“六点合一”多功能服务网点20个，对41个点位配种器材进行补充，对2个点位进行提升改造。（具体参数详见招标文件）</w:t>
            </w:r>
          </w:p>
        </w:tc>
      </w:tr>
      <w:tr w14:paraId="12905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427" w:type="dxa"/>
            <w:noWrap w:val="0"/>
            <w:vAlign w:val="center"/>
          </w:tcPr>
          <w:p w14:paraId="5C42CF3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616" w:type="dxa"/>
            <w:tcBorders>
              <w:right w:val="single" w:color="auto" w:sz="4" w:space="0"/>
            </w:tcBorders>
            <w:noWrap w:val="0"/>
            <w:vAlign w:val="center"/>
          </w:tcPr>
          <w:p w14:paraId="6F4575D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7512" w:type="dxa"/>
            <w:tcBorders>
              <w:left w:val="single" w:color="auto" w:sz="4" w:space="0"/>
            </w:tcBorders>
            <w:noWrap w:val="0"/>
            <w:vAlign w:val="center"/>
          </w:tcPr>
          <w:p w14:paraId="2826CA3E">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财政衔接推进乡村振兴补助资金</w:t>
            </w:r>
          </w:p>
        </w:tc>
      </w:tr>
      <w:tr w14:paraId="17CA6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48EB8FE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616" w:type="dxa"/>
            <w:tcBorders>
              <w:right w:val="single" w:color="auto" w:sz="4" w:space="0"/>
            </w:tcBorders>
            <w:noWrap w:val="0"/>
            <w:vAlign w:val="center"/>
          </w:tcPr>
          <w:p w14:paraId="530380F6">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采购概算价</w:t>
            </w:r>
          </w:p>
        </w:tc>
        <w:tc>
          <w:tcPr>
            <w:tcW w:w="7512" w:type="dxa"/>
            <w:tcBorders>
              <w:left w:val="single" w:color="auto" w:sz="4" w:space="0"/>
            </w:tcBorders>
            <w:noWrap w:val="0"/>
            <w:vAlign w:val="center"/>
          </w:tcPr>
          <w:p w14:paraId="55896873">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 ：223.18万元（此采购预算为最高限价、如超过预算价的报价为无效报价）</w:t>
            </w:r>
          </w:p>
          <w:p w14:paraId="5BA825A8">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rPr>
              <w:t>投标报价高于预算限价按废标处理，敬请投标人注意</w:t>
            </w:r>
            <w:r>
              <w:rPr>
                <w:rFonts w:hint="eastAsia" w:ascii="仿宋" w:hAnsi="仿宋" w:eastAsia="仿宋" w:cs="仿宋"/>
                <w:b/>
                <w:bCs/>
                <w:color w:val="auto"/>
                <w:kern w:val="0"/>
                <w:sz w:val="24"/>
                <w:szCs w:val="24"/>
                <w:highlight w:val="none"/>
                <w:lang w:eastAsia="zh-CN"/>
              </w:rPr>
              <w:t>！</w:t>
            </w:r>
          </w:p>
        </w:tc>
      </w:tr>
      <w:tr w14:paraId="33111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010EE32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616" w:type="dxa"/>
            <w:tcBorders>
              <w:right w:val="single" w:color="auto" w:sz="4" w:space="0"/>
            </w:tcBorders>
            <w:noWrap w:val="0"/>
            <w:vAlign w:val="center"/>
          </w:tcPr>
          <w:p w14:paraId="3797555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w:t>
            </w:r>
          </w:p>
        </w:tc>
        <w:tc>
          <w:tcPr>
            <w:tcW w:w="7512" w:type="dxa"/>
            <w:tcBorders>
              <w:left w:val="single" w:color="auto" w:sz="4" w:space="0"/>
            </w:tcBorders>
            <w:noWrap w:val="0"/>
            <w:vAlign w:val="center"/>
          </w:tcPr>
          <w:p w14:paraId="385F182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公开招标</w:t>
            </w:r>
          </w:p>
        </w:tc>
      </w:tr>
      <w:tr w14:paraId="23006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5E685A3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616" w:type="dxa"/>
            <w:tcBorders>
              <w:right w:val="single" w:color="auto" w:sz="4" w:space="0"/>
            </w:tcBorders>
            <w:noWrap w:val="0"/>
            <w:vAlign w:val="center"/>
          </w:tcPr>
          <w:p w14:paraId="3AEA5A7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评标方法</w:t>
            </w:r>
          </w:p>
        </w:tc>
        <w:tc>
          <w:tcPr>
            <w:tcW w:w="7512" w:type="dxa"/>
            <w:tcBorders>
              <w:left w:val="single" w:color="auto" w:sz="4" w:space="0"/>
            </w:tcBorders>
            <w:noWrap w:val="0"/>
            <w:vAlign w:val="center"/>
          </w:tcPr>
          <w:p w14:paraId="15A6CB47">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根据《政府采购货物和服务招标投标管理办法》（中华人民共和国财政部令第87号）规定的评审标准，采用综合评分法。</w:t>
            </w:r>
          </w:p>
        </w:tc>
      </w:tr>
      <w:tr w14:paraId="4FA0E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7E2D425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616" w:type="dxa"/>
            <w:tcBorders>
              <w:right w:val="single" w:color="auto" w:sz="4" w:space="0"/>
            </w:tcBorders>
            <w:noWrap w:val="0"/>
            <w:vAlign w:val="center"/>
          </w:tcPr>
          <w:p w14:paraId="67257A2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信息公告媒体</w:t>
            </w:r>
          </w:p>
        </w:tc>
        <w:tc>
          <w:tcPr>
            <w:tcW w:w="7512" w:type="dxa"/>
            <w:tcBorders>
              <w:left w:val="single" w:color="auto" w:sz="4" w:space="0"/>
            </w:tcBorders>
            <w:noWrap w:val="0"/>
            <w:vAlign w:val="center"/>
          </w:tcPr>
          <w:p w14:paraId="7385404F">
            <w:pPr>
              <w:keepNext w:val="0"/>
              <w:keepLines w:val="0"/>
              <w:pageBreakBefore w:val="0"/>
              <w:kinsoku/>
              <w:wordWrap/>
              <w:overflowPunct/>
              <w:topLinePunct w:val="0"/>
              <w:autoSpaceDE/>
              <w:autoSpaceDN/>
              <w:bidi w:val="0"/>
              <w:adjustRightInd/>
              <w:snapToGrid/>
              <w:spacing w:line="300" w:lineRule="exact"/>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新疆政府采购网（http://www.ccgp-xinjiang.gov.cn/）</w:t>
            </w:r>
          </w:p>
        </w:tc>
      </w:tr>
      <w:tr w14:paraId="555ED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2782A13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616" w:type="dxa"/>
            <w:tcBorders>
              <w:right w:val="single" w:color="auto" w:sz="4" w:space="0"/>
            </w:tcBorders>
            <w:noWrap w:val="0"/>
            <w:vAlign w:val="center"/>
          </w:tcPr>
          <w:p w14:paraId="67052F3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资格要求</w:t>
            </w:r>
          </w:p>
        </w:tc>
        <w:tc>
          <w:tcPr>
            <w:tcW w:w="7512" w:type="dxa"/>
            <w:tcBorders>
              <w:left w:val="single" w:color="auto" w:sz="4" w:space="0"/>
            </w:tcBorders>
            <w:noWrap w:val="0"/>
            <w:vAlign w:val="center"/>
          </w:tcPr>
          <w:p w14:paraId="6D4D02B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投标供应商资格要求 ：</w:t>
            </w:r>
          </w:p>
          <w:p w14:paraId="095B5C6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1.满足《中华人民共和国政府采购法》第二十二条规定；</w:t>
            </w:r>
          </w:p>
          <w:p w14:paraId="1EE9E08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2.落实政府采购政策需满足的资格要求 ：</w:t>
            </w:r>
          </w:p>
          <w:p w14:paraId="2E5A69CD">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 中小企业政策</w:t>
            </w:r>
          </w:p>
          <w:p w14:paraId="407E32D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□本项目不专门面向中小企业预留采购份额。</w:t>
            </w:r>
          </w:p>
          <w:p w14:paraId="5F0FA5A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☑本项目专小微企业  采购。即 ：提供的货物或服务全部由符合政策要求的中小/小门面向  ☑中小 ☑微企业制造、服务全部由符合政策要求的中小/小微企业承接。</w:t>
            </w:r>
          </w:p>
          <w:p w14:paraId="4183F8E4">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□本项目预留部分采购项目预算专门面向中小企业采购。对于预留份额，提供的货物由符合政策要求的中小企业制造、服务由符合政策要求的中小企业承接。预留份额通过以下措施进行 ： </w:t>
            </w:r>
            <w:r>
              <w:rPr>
                <w:rFonts w:hint="eastAsia" w:ascii="仿宋" w:hAnsi="仿宋" w:eastAsia="仿宋" w:cs="仿宋"/>
                <w:b/>
                <w:bCs/>
                <w:sz w:val="24"/>
                <w:szCs w:val="24"/>
                <w:highlight w:val="none"/>
                <w:lang w:val="en-US" w:eastAsia="zh-CN"/>
              </w:rPr>
              <w:t>“供应商为中小企业，或供应商以联合体形式参加采购活动且联合体中中小企业承担的部分达到一定比例，或获得采购合同的供应商将采购项目中的一定比例分包给一家或者多家中小企业。”</w:t>
            </w:r>
          </w:p>
          <w:p w14:paraId="47DF2DC1">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 其他落实政府采购政策的资格要求</w:t>
            </w:r>
          </w:p>
          <w:p w14:paraId="3F4EE6F5">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（1）财政部、国家发展改革委、生态环境部、市场监管总局《关于调整优化节能产品、环境标志产品政府采购执行机制的通知》（财库[2019]9号文）；  </w:t>
            </w:r>
          </w:p>
          <w:p w14:paraId="1A8F5BE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（2）财政部、生态环境部《关于印发环境标志产品政府采购品目清单的通知》（财库[2019]18号文）； </w:t>
            </w:r>
          </w:p>
          <w:p w14:paraId="4143F0D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（3）财政部、发展改革委《关于印发节能产品政府采购品目清单的通知》（财库[2019]19号文）； </w:t>
            </w:r>
          </w:p>
          <w:p w14:paraId="6191BA8F">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（4）市场监管总局《市场监管总局关于发布参与实施政府采购节能产品、环境标志产品认证机构名录的公告》（2019年第16号）；  </w:t>
            </w:r>
          </w:p>
          <w:p w14:paraId="11F5112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（5）财政部、工业和信息化部《关于印发《政府采购促进中小企业发展管理办法》的通知》（财库[2020]46号文）《关于进一步加大政府采购支持中小企业力度的通知》（财库[2022]19号文）执行； </w:t>
            </w:r>
          </w:p>
          <w:p w14:paraId="1CD0DE8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（6）财政部、民政部、中国残疾人联合会《关于促进残疾人就业政府采购政策的通知》（财库[2017]141号）；  </w:t>
            </w:r>
          </w:p>
          <w:p w14:paraId="5CAB023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（7）财政部、SF部《关于政府采购支持监狱企业发展有关问题的通知》（财库[2014]68号文）； </w:t>
            </w:r>
          </w:p>
          <w:p w14:paraId="4E5F023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（8）财政部、生态环境部、国家邮政局《关于印发《商品包装政府采购需求标准（试行）》、 《快递包装政府采购需求标准（试行）》的通知》（财办库〔2020〕123号）。</w:t>
            </w:r>
          </w:p>
          <w:p w14:paraId="5C2DB7C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标项1 ：</w:t>
            </w:r>
          </w:p>
          <w:p w14:paraId="2DD9B244">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（1）供应商须具备三证合一的营业执照；</w:t>
            </w:r>
          </w:p>
          <w:p w14:paraId="41207CE8">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代表法定代表人需提供法定代表人证明书及法定代表人身份证，委托代理人需提供法定代表人授权委托书及委托代理人身份证，并提供近6个月任意1个月社保证明材料（社保缴费凭证及个人明细表）；新公司按实际发生提供；</w:t>
            </w:r>
          </w:p>
          <w:p w14:paraId="59676F95">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（3）提供税务机关出具近6个月任意1个月的完税证明或报税材料（依法免缴的，应提供依法免缴的相关证明文件），新公司按实际发生提供；</w:t>
            </w:r>
          </w:p>
          <w:p w14:paraId="5113ACE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（4）提供2023年度由第三方财务审计机构出具的财务审计报告或提供银行出具的近一个月的资信证明；</w:t>
            </w:r>
          </w:p>
          <w:p w14:paraId="1A8700D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（5）提供参加政府采购活动前 3 年内在经营活动中没有重大违法记录的书面声明；</w:t>
            </w:r>
          </w:p>
          <w:p w14:paraId="62F5B5B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（6）企业负责人为同一人或者存在直接控股、管理关系的不同投标人，不得参加同一合同项下的政府采购活动声明函。</w:t>
            </w:r>
          </w:p>
          <w:p w14:paraId="2AC08D4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（7）本项目不接受联合体投标；</w:t>
            </w:r>
          </w:p>
          <w:p w14:paraId="1BAD8771">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（8）投标保证金或电子保函 ：20000.00元整（大写 ：贰万元整）。</w:t>
            </w:r>
          </w:p>
          <w:p w14:paraId="20F01AB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 ：无</w:t>
            </w:r>
          </w:p>
        </w:tc>
      </w:tr>
      <w:tr w14:paraId="4E406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427" w:type="dxa"/>
            <w:noWrap w:val="0"/>
            <w:vAlign w:val="center"/>
          </w:tcPr>
          <w:p w14:paraId="5AA97E7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616" w:type="dxa"/>
            <w:tcBorders>
              <w:right w:val="single" w:color="auto" w:sz="4" w:space="0"/>
            </w:tcBorders>
            <w:noWrap w:val="0"/>
            <w:vAlign w:val="center"/>
          </w:tcPr>
          <w:p w14:paraId="6199AF0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合同履行期限</w:t>
            </w:r>
          </w:p>
        </w:tc>
        <w:tc>
          <w:tcPr>
            <w:tcW w:w="7512" w:type="dxa"/>
            <w:tcBorders>
              <w:left w:val="single" w:color="auto" w:sz="4" w:space="0"/>
            </w:tcBorders>
            <w:noWrap w:val="0"/>
            <w:vAlign w:val="center"/>
          </w:tcPr>
          <w:p w14:paraId="6C816483">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bCs/>
                <w:sz w:val="24"/>
                <w:szCs w:val="24"/>
                <w:highlight w:val="none"/>
                <w:lang w:val="en-US"/>
              </w:rPr>
            </w:pPr>
            <w:r>
              <w:rPr>
                <w:rFonts w:hint="eastAsia" w:ascii="仿宋" w:hAnsi="仿宋" w:eastAsia="仿宋" w:cs="仿宋"/>
                <w:sz w:val="24"/>
                <w:szCs w:val="24"/>
                <w:highlight w:val="none"/>
                <w:lang w:val="en-US" w:eastAsia="zh-CN"/>
              </w:rPr>
              <w:t>合同签订之日起60日内完成本项目（具体以甲方签订合同为准）。。</w:t>
            </w:r>
          </w:p>
        </w:tc>
      </w:tr>
      <w:tr w14:paraId="69C72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511B2C2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1616" w:type="dxa"/>
            <w:tcBorders>
              <w:right w:val="single" w:color="auto" w:sz="4" w:space="0"/>
            </w:tcBorders>
            <w:noWrap w:val="0"/>
            <w:vAlign w:val="center"/>
          </w:tcPr>
          <w:p w14:paraId="49CD594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val="en-US" w:eastAsia="zh-CN"/>
              </w:rPr>
              <w:t>标准</w:t>
            </w:r>
          </w:p>
        </w:tc>
        <w:tc>
          <w:tcPr>
            <w:tcW w:w="7512" w:type="dxa"/>
            <w:tcBorders>
              <w:left w:val="single" w:color="auto" w:sz="4" w:space="0"/>
            </w:tcBorders>
            <w:noWrap w:val="0"/>
            <w:vAlign w:val="center"/>
          </w:tcPr>
          <w:p w14:paraId="259C18FF">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满足国家和地方相关技术规范和标准要求</w:t>
            </w:r>
          </w:p>
        </w:tc>
      </w:tr>
      <w:tr w14:paraId="3CB4A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192482C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616" w:type="dxa"/>
            <w:tcBorders>
              <w:right w:val="single" w:color="auto" w:sz="4" w:space="0"/>
            </w:tcBorders>
            <w:noWrap w:val="0"/>
            <w:vAlign w:val="center"/>
          </w:tcPr>
          <w:p w14:paraId="59073DC8">
            <w:pPr>
              <w:spacing w:line="360" w:lineRule="exact"/>
              <w:ind w:left="120" w:leftChars="0" w:right="62" w:rightChars="0" w:hanging="120" w:hanging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val="en-US" w:eastAsia="zh-CN"/>
              </w:rPr>
              <w:t>合同付款方式</w:t>
            </w:r>
          </w:p>
        </w:tc>
        <w:tc>
          <w:tcPr>
            <w:tcW w:w="7512" w:type="dxa"/>
            <w:tcBorders>
              <w:left w:val="single" w:color="auto" w:sz="4" w:space="0"/>
            </w:tcBorders>
            <w:noWrap w:val="0"/>
            <w:vAlign w:val="center"/>
          </w:tcPr>
          <w:p w14:paraId="0DBC2CF2">
            <w:pPr>
              <w:keepNext w:val="0"/>
              <w:keepLines w:val="0"/>
              <w:pageBreakBefore w:val="0"/>
              <w:numPr>
                <w:ilvl w:val="0"/>
                <w:numId w:val="5"/>
              </w:numPr>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项目完成30%后支付合同价的50%；</w:t>
            </w:r>
          </w:p>
          <w:p w14:paraId="1F78CB66">
            <w:pPr>
              <w:pStyle w:val="71"/>
              <w:numPr>
                <w:ilvl w:val="0"/>
                <w:numId w:val="5"/>
              </w:numPr>
              <w:spacing w:line="240" w:lineRule="auto"/>
              <w:ind w:left="0" w:leftChars="0" w:right="62" w:righ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货物到场后经招标人签收合格后支付35%；</w:t>
            </w:r>
          </w:p>
          <w:p w14:paraId="3D10A79C">
            <w:pPr>
              <w:pStyle w:val="71"/>
              <w:numPr>
                <w:ilvl w:val="0"/>
                <w:numId w:val="5"/>
              </w:numPr>
              <w:spacing w:line="240" w:lineRule="auto"/>
              <w:ind w:left="0" w:leftChars="0" w:right="62" w:rightChars="0" w:firstLine="0" w:firstLineChars="0"/>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安装成后经招标人验收合格后，项目审计决算完成后，所有项目资料移交完成经招标人确认后支付15%。（具体以甲方签订合同为准）</w:t>
            </w:r>
          </w:p>
        </w:tc>
      </w:tr>
      <w:tr w14:paraId="453D3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50A632F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616" w:type="dxa"/>
            <w:tcBorders>
              <w:right w:val="single" w:color="auto" w:sz="4" w:space="0"/>
            </w:tcBorders>
            <w:noWrap w:val="0"/>
            <w:vAlign w:val="center"/>
          </w:tcPr>
          <w:p w14:paraId="7796F88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验收要求</w:t>
            </w:r>
          </w:p>
        </w:tc>
        <w:tc>
          <w:tcPr>
            <w:tcW w:w="7512" w:type="dxa"/>
            <w:tcBorders>
              <w:left w:val="single" w:color="auto" w:sz="4" w:space="0"/>
            </w:tcBorders>
            <w:noWrap w:val="0"/>
            <w:vAlign w:val="center"/>
          </w:tcPr>
          <w:p w14:paraId="1379C40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政府采购合同履行完毕后，收到中标人验收申请10日内组织履约验收</w:t>
            </w:r>
          </w:p>
        </w:tc>
      </w:tr>
      <w:tr w14:paraId="5A4A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427" w:type="dxa"/>
            <w:noWrap w:val="0"/>
            <w:vAlign w:val="center"/>
          </w:tcPr>
          <w:p w14:paraId="65E8CA1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1616" w:type="dxa"/>
            <w:tcBorders>
              <w:right w:val="single" w:color="auto" w:sz="4" w:space="0"/>
            </w:tcBorders>
            <w:noWrap w:val="0"/>
            <w:vAlign w:val="center"/>
          </w:tcPr>
          <w:p w14:paraId="6086F19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7512" w:type="dxa"/>
            <w:tcBorders>
              <w:left w:val="single" w:color="auto" w:sz="4" w:space="0"/>
            </w:tcBorders>
            <w:noWrap w:val="0"/>
            <w:vAlign w:val="center"/>
          </w:tcPr>
          <w:p w14:paraId="0E31EA26">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w:t>
            </w:r>
          </w:p>
        </w:tc>
      </w:tr>
      <w:tr w14:paraId="5D746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27" w:type="dxa"/>
            <w:noWrap w:val="0"/>
            <w:vAlign w:val="center"/>
          </w:tcPr>
          <w:p w14:paraId="04922D4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1616" w:type="dxa"/>
            <w:tcBorders>
              <w:right w:val="single" w:color="auto" w:sz="4" w:space="0"/>
            </w:tcBorders>
            <w:noWrap w:val="0"/>
            <w:vAlign w:val="center"/>
          </w:tcPr>
          <w:p w14:paraId="4E71FD8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踏勘</w:t>
            </w:r>
            <w:r>
              <w:rPr>
                <w:rFonts w:hint="eastAsia" w:ascii="仿宋" w:hAnsi="仿宋" w:eastAsia="仿宋" w:cs="仿宋"/>
                <w:sz w:val="24"/>
                <w:szCs w:val="24"/>
                <w:highlight w:val="none"/>
              </w:rPr>
              <w:t>现场</w:t>
            </w:r>
          </w:p>
        </w:tc>
        <w:tc>
          <w:tcPr>
            <w:tcW w:w="7512" w:type="dxa"/>
            <w:tcBorders>
              <w:left w:val="single" w:color="auto" w:sz="4" w:space="0"/>
            </w:tcBorders>
            <w:noWrap w:val="0"/>
            <w:vAlign w:val="center"/>
          </w:tcPr>
          <w:p w14:paraId="3FC2F8C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2B28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27" w:type="dxa"/>
            <w:noWrap w:val="0"/>
            <w:vAlign w:val="center"/>
          </w:tcPr>
          <w:p w14:paraId="316C6BB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616" w:type="dxa"/>
            <w:tcBorders>
              <w:right w:val="single" w:color="auto" w:sz="4" w:space="0"/>
            </w:tcBorders>
            <w:noWrap w:val="0"/>
            <w:vAlign w:val="center"/>
          </w:tcPr>
          <w:p w14:paraId="4F28B8F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分包</w:t>
            </w:r>
          </w:p>
        </w:tc>
        <w:tc>
          <w:tcPr>
            <w:tcW w:w="7512" w:type="dxa"/>
            <w:tcBorders>
              <w:left w:val="single" w:color="auto" w:sz="4" w:space="0"/>
            </w:tcBorders>
            <w:noWrap w:val="0"/>
            <w:vAlign w:val="center"/>
          </w:tcPr>
          <w:p w14:paraId="48CB0F5C">
            <w:pPr>
              <w:shd w:val="clear" w:color="auto" w:fill="auto"/>
              <w:spacing w:line="440" w:lineRule="exact"/>
              <w:ind w:left="120" w:leftChars="0" w:right="62" w:rightChars="0" w:hanging="120" w:hangingChars="5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允许</w:t>
            </w:r>
          </w:p>
        </w:tc>
      </w:tr>
      <w:tr w14:paraId="50DCA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27" w:type="dxa"/>
            <w:noWrap w:val="0"/>
            <w:vAlign w:val="center"/>
          </w:tcPr>
          <w:p w14:paraId="71C9FE9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616" w:type="dxa"/>
            <w:tcBorders>
              <w:right w:val="single" w:color="auto" w:sz="4" w:space="0"/>
            </w:tcBorders>
            <w:noWrap w:val="0"/>
            <w:vAlign w:val="center"/>
          </w:tcPr>
          <w:p w14:paraId="44B4E6C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转包</w:t>
            </w:r>
          </w:p>
        </w:tc>
        <w:tc>
          <w:tcPr>
            <w:tcW w:w="7512" w:type="dxa"/>
            <w:tcBorders>
              <w:left w:val="single" w:color="auto" w:sz="4" w:space="0"/>
            </w:tcBorders>
            <w:noWrap w:val="0"/>
            <w:vAlign w:val="center"/>
          </w:tcPr>
          <w:p w14:paraId="4E20FCDE">
            <w:pPr>
              <w:shd w:val="clear" w:color="auto" w:fill="auto"/>
              <w:spacing w:line="440" w:lineRule="exact"/>
              <w:ind w:left="120" w:leftChars="0" w:right="62" w:rightChars="0" w:hanging="120" w:hangingChars="5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不接受</w:t>
            </w:r>
          </w:p>
        </w:tc>
      </w:tr>
      <w:tr w14:paraId="4D78C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427" w:type="dxa"/>
            <w:noWrap w:val="0"/>
            <w:vAlign w:val="center"/>
          </w:tcPr>
          <w:p w14:paraId="11F0F1B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p>
        </w:tc>
        <w:tc>
          <w:tcPr>
            <w:tcW w:w="1616" w:type="dxa"/>
            <w:tcBorders>
              <w:right w:val="single" w:color="auto" w:sz="4" w:space="0"/>
            </w:tcBorders>
            <w:noWrap w:val="0"/>
            <w:vAlign w:val="center"/>
          </w:tcPr>
          <w:p w14:paraId="61454B5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投标人对招标文件提出质疑的时间</w:t>
            </w:r>
          </w:p>
        </w:tc>
        <w:tc>
          <w:tcPr>
            <w:tcW w:w="7512" w:type="dxa"/>
            <w:tcBorders>
              <w:left w:val="single" w:color="auto" w:sz="4" w:space="0"/>
            </w:tcBorders>
            <w:noWrap w:val="0"/>
            <w:vAlign w:val="center"/>
          </w:tcPr>
          <w:p w14:paraId="7D5757F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投标人认为招标文件、招标过程或中标结果使自己的合法权益受到损害的，应当在知道或者应知其权益受到损害之日起七个工作日内，以书面形式向招标人、招标代理机构提出质疑；投标人须对质疑内容的真实性承担责任，由招标人或招标代理机构负责解释。如在规定的日期内未收到任何投标人递交的质疑书，视为投标人可完全响应。质疑函的方式 ：以书面形式提出质疑，质疑书应列明理由、依据，盖章递交至墨玉县众信智诚工程项目管理有限公司或将PDF格式电子版质疑文件加盖章扫描发送至邮箱</w:t>
            </w:r>
          </w:p>
          <w:p w14:paraId="6EF4B94C">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接受质疑的单位 ：</w:t>
            </w:r>
            <w:r>
              <w:rPr>
                <w:rFonts w:hint="eastAsia" w:ascii="仿宋" w:hAnsi="仿宋" w:eastAsia="仿宋" w:cs="仿宋"/>
                <w:sz w:val="24"/>
                <w:szCs w:val="24"/>
                <w:highlight w:val="none"/>
              </w:rPr>
              <w:t>墨玉县众信智诚工程项目管理有限公司</w:t>
            </w:r>
          </w:p>
          <w:p w14:paraId="3E6D9ECF">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联系电话 ：</w:t>
            </w:r>
            <w:r>
              <w:rPr>
                <w:rFonts w:hint="eastAsia" w:ascii="仿宋" w:hAnsi="仿宋" w:eastAsia="仿宋" w:cs="仿宋"/>
                <w:sz w:val="24"/>
                <w:szCs w:val="24"/>
                <w:highlight w:val="none"/>
              </w:rPr>
              <w:t>0903-6530990</w:t>
            </w:r>
          </w:p>
          <w:p w14:paraId="7E6DCB6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邮箱：</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"mailto:3060380044@qq.com" </w:instrText>
            </w:r>
            <w:r>
              <w:rPr>
                <w:rFonts w:hint="eastAsia" w:ascii="仿宋" w:hAnsi="仿宋" w:eastAsia="仿宋" w:cs="仿宋"/>
                <w:sz w:val="24"/>
                <w:szCs w:val="24"/>
                <w:highlight w:val="none"/>
                <w:lang w:val="en-US" w:eastAsia="zh-CN"/>
              </w:rPr>
              <w:fldChar w:fldCharType="separate"/>
            </w:r>
            <w:r>
              <w:rPr>
                <w:rStyle w:val="79"/>
                <w:rFonts w:hint="eastAsia" w:ascii="仿宋" w:hAnsi="仿宋" w:eastAsia="仿宋" w:cs="仿宋"/>
                <w:sz w:val="24"/>
                <w:szCs w:val="24"/>
                <w:highlight w:val="none"/>
                <w:lang w:val="en-US" w:eastAsia="zh-CN"/>
              </w:rPr>
              <w:t>3060380044@qq.com</w:t>
            </w:r>
            <w:r>
              <w:rPr>
                <w:rFonts w:hint="eastAsia" w:ascii="仿宋" w:hAnsi="仿宋" w:eastAsia="仿宋" w:cs="仿宋"/>
                <w:sz w:val="24"/>
                <w:szCs w:val="24"/>
                <w:highlight w:val="none"/>
                <w:lang w:val="en-US" w:eastAsia="zh-CN"/>
              </w:rPr>
              <w:fldChar w:fldCharType="end"/>
            </w:r>
          </w:p>
          <w:p w14:paraId="1FC217A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注 ：供应商认为采购文件、采购过程、中标或者成交结果使自己的权益受到损害的，可以根据中华人民共和国财政部令第94号中第十条，以书面形式向采购人、供应商在法定质疑期内一次性提出针对同一采购程序环节的质疑。</w:t>
            </w:r>
          </w:p>
        </w:tc>
      </w:tr>
      <w:tr w14:paraId="02215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427" w:type="dxa"/>
            <w:noWrap w:val="0"/>
            <w:vAlign w:val="center"/>
          </w:tcPr>
          <w:p w14:paraId="4E8ECB8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16" w:type="dxa"/>
            <w:tcBorders>
              <w:right w:val="single" w:color="auto" w:sz="4" w:space="0"/>
            </w:tcBorders>
            <w:noWrap w:val="0"/>
            <w:vAlign w:val="center"/>
          </w:tcPr>
          <w:p w14:paraId="7F479AD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构成招标文件的其他文件</w:t>
            </w:r>
          </w:p>
        </w:tc>
        <w:tc>
          <w:tcPr>
            <w:tcW w:w="7512" w:type="dxa"/>
            <w:tcBorders>
              <w:left w:val="single" w:color="auto" w:sz="4" w:space="0"/>
            </w:tcBorders>
            <w:noWrap w:val="0"/>
            <w:vAlign w:val="center"/>
          </w:tcPr>
          <w:p w14:paraId="74285260">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招标文件的澄清、</w:t>
            </w:r>
            <w:r>
              <w:rPr>
                <w:rFonts w:hint="eastAsia" w:ascii="仿宋" w:hAnsi="仿宋" w:eastAsia="仿宋" w:cs="仿宋"/>
                <w:color w:val="auto"/>
                <w:sz w:val="24"/>
                <w:szCs w:val="24"/>
                <w:highlight w:val="none"/>
                <w:lang w:eastAsia="zh-CN"/>
              </w:rPr>
              <w:t>修改</w:t>
            </w:r>
            <w:r>
              <w:rPr>
                <w:rFonts w:hint="eastAsia" w:ascii="仿宋" w:hAnsi="仿宋" w:eastAsia="仿宋" w:cs="仿宋"/>
                <w:color w:val="auto"/>
                <w:sz w:val="24"/>
                <w:szCs w:val="24"/>
                <w:highlight w:val="none"/>
              </w:rPr>
              <w:t>及有关补充通知为招标文件的有效组成部分</w:t>
            </w:r>
            <w:r>
              <w:rPr>
                <w:rFonts w:hint="eastAsia" w:ascii="仿宋" w:hAnsi="仿宋" w:eastAsia="仿宋" w:cs="仿宋"/>
                <w:color w:val="auto"/>
                <w:sz w:val="24"/>
                <w:szCs w:val="24"/>
                <w:highlight w:val="none"/>
                <w:lang w:eastAsia="zh-CN"/>
              </w:rPr>
              <w:t>。</w:t>
            </w:r>
          </w:p>
        </w:tc>
      </w:tr>
      <w:tr w14:paraId="09BB2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427" w:type="dxa"/>
            <w:noWrap w:val="0"/>
            <w:vAlign w:val="center"/>
          </w:tcPr>
          <w:p w14:paraId="6CC0DDC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16" w:type="dxa"/>
            <w:tcBorders>
              <w:right w:val="single" w:color="auto" w:sz="4" w:space="0"/>
            </w:tcBorders>
            <w:noWrap w:val="0"/>
            <w:vAlign w:val="center"/>
          </w:tcPr>
          <w:p w14:paraId="3005D4D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tc>
        <w:tc>
          <w:tcPr>
            <w:tcW w:w="7512" w:type="dxa"/>
            <w:tcBorders>
              <w:left w:val="single" w:color="auto" w:sz="4" w:space="0"/>
            </w:tcBorders>
            <w:noWrap w:val="0"/>
            <w:vAlign w:val="center"/>
          </w:tcPr>
          <w:p w14:paraId="6B146C8A">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2025 年 03 月 28日</w:t>
            </w:r>
            <w:r>
              <w:rPr>
                <w:rFonts w:hint="eastAsia" w:ascii="仿宋" w:hAnsi="仿宋" w:eastAsia="仿宋" w:cs="仿宋"/>
                <w:color w:val="auto"/>
                <w:sz w:val="24"/>
                <w:szCs w:val="24"/>
                <w:highlight w:val="none"/>
                <w:lang w:eastAsia="zh-CN"/>
              </w:rPr>
              <w:t>11 ：00分</w:t>
            </w:r>
            <w:r>
              <w:rPr>
                <w:rFonts w:hint="eastAsia" w:ascii="仿宋" w:hAnsi="仿宋" w:eastAsia="仿宋" w:cs="仿宋"/>
                <w:color w:val="auto"/>
                <w:sz w:val="24"/>
                <w:szCs w:val="24"/>
                <w:highlight w:val="none"/>
              </w:rPr>
              <w:t>（北京时间）</w:t>
            </w:r>
          </w:p>
        </w:tc>
      </w:tr>
      <w:tr w14:paraId="3869B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 w:hRule="atLeast"/>
          <w:jc w:val="center"/>
        </w:trPr>
        <w:tc>
          <w:tcPr>
            <w:tcW w:w="427" w:type="dxa"/>
            <w:noWrap w:val="0"/>
            <w:vAlign w:val="center"/>
          </w:tcPr>
          <w:p w14:paraId="546C0AE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16" w:type="dxa"/>
            <w:tcBorders>
              <w:right w:val="single" w:color="auto" w:sz="4" w:space="0"/>
            </w:tcBorders>
            <w:noWrap w:val="0"/>
            <w:vAlign w:val="center"/>
          </w:tcPr>
          <w:p w14:paraId="1F40177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bCs/>
                <w:color w:val="auto"/>
                <w:sz w:val="24"/>
                <w:szCs w:val="24"/>
                <w:highlight w:val="none"/>
              </w:rPr>
              <w:t>有效期</w:t>
            </w:r>
          </w:p>
        </w:tc>
        <w:tc>
          <w:tcPr>
            <w:tcW w:w="7512" w:type="dxa"/>
            <w:tcBorders>
              <w:left w:val="single" w:color="auto" w:sz="4" w:space="0"/>
            </w:tcBorders>
            <w:noWrap w:val="0"/>
            <w:vAlign w:val="center"/>
          </w:tcPr>
          <w:p w14:paraId="688179E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日历天（从投标截止之日算起）</w:t>
            </w:r>
          </w:p>
        </w:tc>
      </w:tr>
      <w:tr w14:paraId="4D89C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427" w:type="dxa"/>
            <w:noWrap w:val="0"/>
            <w:vAlign w:val="center"/>
          </w:tcPr>
          <w:p w14:paraId="237AAEB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616" w:type="dxa"/>
            <w:tcBorders>
              <w:right w:val="single" w:color="auto" w:sz="4" w:space="0"/>
            </w:tcBorders>
            <w:noWrap w:val="0"/>
            <w:vAlign w:val="center"/>
          </w:tcPr>
          <w:p w14:paraId="0702786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tc>
        <w:tc>
          <w:tcPr>
            <w:tcW w:w="7512" w:type="dxa"/>
            <w:tcBorders>
              <w:left w:val="single" w:color="auto" w:sz="4" w:space="0"/>
            </w:tcBorders>
            <w:noWrap w:val="0"/>
            <w:vAlign w:val="center"/>
          </w:tcPr>
          <w:p w14:paraId="592CE75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投标保证金的形式</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rPr>
              <w:t>转账、</w:t>
            </w:r>
            <w:r>
              <w:rPr>
                <w:rFonts w:hint="eastAsia" w:ascii="仿宋" w:hAnsi="仿宋" w:eastAsia="仿宋" w:cs="仿宋"/>
                <w:b/>
                <w:bCs/>
                <w:sz w:val="24"/>
                <w:szCs w:val="24"/>
                <w:highlight w:val="none"/>
                <w:lang w:val="en-US" w:eastAsia="zh-CN"/>
              </w:rPr>
              <w:t>电汇、电子保函</w:t>
            </w:r>
          </w:p>
          <w:p w14:paraId="11C7809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投标保证金的金额</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lang w:val="en-US" w:eastAsia="zh-CN"/>
              </w:rPr>
              <w:t>20000.00元（贰万元整）</w:t>
            </w:r>
          </w:p>
          <w:p w14:paraId="093BAD9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投标保证金缴纳账户</w:t>
            </w:r>
            <w:r>
              <w:rPr>
                <w:rFonts w:hint="eastAsia" w:ascii="仿宋" w:hAnsi="仿宋" w:eastAsia="仿宋" w:cs="仿宋"/>
                <w:sz w:val="24"/>
                <w:szCs w:val="24"/>
                <w:highlight w:val="none"/>
                <w:lang w:eastAsia="zh-CN"/>
              </w:rPr>
              <w:t xml:space="preserve"> ：</w:t>
            </w:r>
          </w:p>
          <w:p w14:paraId="4487B8E2">
            <w:pPr>
              <w:spacing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账户名称</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lang w:val="en-US" w:eastAsia="zh-CN"/>
              </w:rPr>
              <w:t>墨玉县公共资源交易平台中心</w:t>
            </w:r>
          </w:p>
          <w:p w14:paraId="2C4433C9">
            <w:pPr>
              <w:spacing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账号 ：</w:t>
            </w:r>
            <w:r>
              <w:rPr>
                <w:rFonts w:hint="eastAsia" w:ascii="仿宋" w:hAnsi="仿宋" w:eastAsia="仿宋" w:cs="仿宋"/>
                <w:b/>
                <w:bCs/>
                <w:sz w:val="24"/>
                <w:szCs w:val="24"/>
                <w:highlight w:val="none"/>
                <w:lang w:val="en-US" w:eastAsia="zh-CN"/>
              </w:rPr>
              <w:t>8790 1001 2010 1789 15451</w:t>
            </w:r>
          </w:p>
          <w:p w14:paraId="0FDAE868">
            <w:pPr>
              <w:spacing w:line="24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lang w:val="en-US" w:eastAsia="zh-CN"/>
              </w:rPr>
              <w:t>墨玉县农村信用合作联社</w:t>
            </w:r>
          </w:p>
          <w:p w14:paraId="2E6E9BE1">
            <w:pPr>
              <w:spacing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行号</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lang w:val="en-US" w:eastAsia="zh-CN"/>
              </w:rPr>
              <w:t>4028 9630 0016</w:t>
            </w:r>
          </w:p>
          <w:p w14:paraId="4091F444">
            <w:pPr>
              <w:pStyle w:val="93"/>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联系电话 ：0903-7863806</w:t>
            </w:r>
          </w:p>
          <w:p w14:paraId="7C1358E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 ：1.采用银行转账或电汇的方式的，由报名单位基本账户于2025年 03月26日20 ：00（北京时间）前汇至墨玉县公共资源交易平台中心专用账户，不得以现金和其他形式缴纳，不得以分公司、办事处或其他机构的名义缴纳，报名单位在缴纳保证金时，需在进账凭证上明确资金用途、项目名称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，以便查对核实。投标保证金缴纳截止时间为递交投标文件截止时间，无须到墨玉县公共资源交易平台中心换取收据。</w:t>
            </w:r>
          </w:p>
          <w:p w14:paraId="7B2229E3">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2.电子保函使用方法 ：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服务热线 ：400-9039583</w:t>
            </w:r>
          </w:p>
          <w:p w14:paraId="7024A9ED">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保函投保金额（元） ：20000.00元（贰万元整）</w:t>
            </w:r>
          </w:p>
          <w:p w14:paraId="6F42726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保函承保期限 ：2025 年 03 月 28日--2025年06月26日（90日历天）</w:t>
            </w:r>
          </w:p>
        </w:tc>
      </w:tr>
      <w:tr w14:paraId="66C4F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427" w:type="dxa"/>
            <w:noWrap w:val="0"/>
            <w:vAlign w:val="center"/>
          </w:tcPr>
          <w:p w14:paraId="22F5A92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616" w:type="dxa"/>
            <w:tcBorders>
              <w:right w:val="single" w:color="auto" w:sz="4" w:space="0"/>
            </w:tcBorders>
            <w:noWrap w:val="0"/>
            <w:vAlign w:val="center"/>
          </w:tcPr>
          <w:p w14:paraId="6029FAE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签字盖章</w:t>
            </w:r>
          </w:p>
        </w:tc>
        <w:tc>
          <w:tcPr>
            <w:tcW w:w="7512" w:type="dxa"/>
            <w:tcBorders>
              <w:left w:val="single" w:color="auto" w:sz="4" w:space="0"/>
            </w:tcBorders>
            <w:noWrap w:val="0"/>
            <w:vAlign w:val="center"/>
          </w:tcPr>
          <w:p w14:paraId="5335DCA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w:t>
            </w:r>
            <w:r>
              <w:rPr>
                <w:rFonts w:hint="eastAsia" w:ascii="仿宋" w:hAnsi="仿宋" w:eastAsia="仿宋" w:cs="仿宋"/>
                <w:color w:val="auto"/>
                <w:sz w:val="24"/>
                <w:szCs w:val="24"/>
                <w:highlight w:val="none"/>
                <w:lang w:eastAsia="zh-CN"/>
              </w:rPr>
              <w:t>签字盖章</w:t>
            </w:r>
          </w:p>
        </w:tc>
      </w:tr>
      <w:tr w14:paraId="03E1A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18B45F2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616" w:type="dxa"/>
            <w:tcBorders>
              <w:right w:val="single" w:color="auto" w:sz="4" w:space="0"/>
            </w:tcBorders>
            <w:noWrap w:val="0"/>
            <w:vAlign w:val="center"/>
          </w:tcPr>
          <w:p w14:paraId="36A3FFB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512" w:type="dxa"/>
            <w:tcBorders>
              <w:left w:val="single" w:color="auto" w:sz="4" w:space="0"/>
            </w:tcBorders>
            <w:noWrap w:val="0"/>
            <w:vAlign w:val="center"/>
          </w:tcPr>
          <w:p w14:paraId="33358F0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墨玉县公共资源交易平台中心（墨玉县玉华社区院内）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供应商无需到场</w:t>
            </w:r>
            <w:r>
              <w:rPr>
                <w:rFonts w:hint="eastAsia" w:ascii="仿宋" w:hAnsi="仿宋" w:eastAsia="仿宋" w:cs="仿宋"/>
                <w:color w:val="auto"/>
                <w:sz w:val="24"/>
                <w:szCs w:val="24"/>
                <w:highlight w:val="none"/>
                <w:lang w:eastAsia="zh-CN"/>
              </w:rPr>
              <w:t>）</w:t>
            </w:r>
          </w:p>
          <w:p w14:paraId="453815E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递交投标文件的地点及方式</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Cs/>
                <w:color w:val="auto"/>
                <w:sz w:val="24"/>
                <w:szCs w:val="24"/>
                <w:highlight w:val="none"/>
              </w:rPr>
              <w:t>投标人应</w:t>
            </w:r>
            <w:r>
              <w:rPr>
                <w:rFonts w:hint="eastAsia" w:ascii="仿宋" w:hAnsi="仿宋" w:eastAsia="仿宋" w:cs="仿宋"/>
                <w:bCs/>
                <w:color w:val="auto"/>
                <w:sz w:val="24"/>
                <w:szCs w:val="24"/>
                <w:highlight w:val="none"/>
                <w:lang w:eastAsia="zh-CN"/>
              </w:rPr>
              <w:t>2025 年 03 月 2</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点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lang w:val="en-US" w:eastAsia="zh-CN"/>
              </w:rPr>
              <w:t>95763</w:t>
            </w:r>
            <w:r>
              <w:rPr>
                <w:rFonts w:hint="eastAsia" w:ascii="仿宋" w:hAnsi="仿宋" w:eastAsia="仿宋" w:cs="仿宋"/>
                <w:bCs/>
                <w:color w:val="auto"/>
                <w:sz w:val="24"/>
                <w:szCs w:val="24"/>
                <w:highlight w:val="none"/>
              </w:rPr>
              <w:t>。</w:t>
            </w:r>
          </w:p>
          <w:p w14:paraId="0ABD2238">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投标文件 ：开标结束后中标投标人将上传政府采购网的投标文件使用A4纸胶装成册（1正2副）递交或邮寄至墨玉县众信智诚工程项目管理有限公司（墨玉县乐民社区B栋二楼）（投标文件不支持邮件到付）</w:t>
            </w:r>
          </w:p>
        </w:tc>
      </w:tr>
      <w:tr w14:paraId="068C2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27" w:type="dxa"/>
            <w:noWrap w:val="0"/>
            <w:vAlign w:val="center"/>
          </w:tcPr>
          <w:p w14:paraId="7AECFF2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616" w:type="dxa"/>
            <w:tcBorders>
              <w:right w:val="single" w:color="auto" w:sz="4" w:space="0"/>
            </w:tcBorders>
            <w:noWrap w:val="0"/>
            <w:vAlign w:val="center"/>
          </w:tcPr>
          <w:p w14:paraId="49DD1C09">
            <w:pPr>
              <w:keepNext w:val="0"/>
              <w:keepLines w:val="0"/>
              <w:pageBreakBefore w:val="0"/>
              <w:kinsoku/>
              <w:wordWrap/>
              <w:overflowPunct/>
              <w:topLinePunct w:val="0"/>
              <w:autoSpaceDE/>
              <w:autoSpaceDN/>
              <w:bidi w:val="0"/>
              <w:adjustRightInd/>
              <w:snapToGrid/>
              <w:spacing w:line="300" w:lineRule="exact"/>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rPr>
              <w:t>标前准备</w:t>
            </w:r>
          </w:p>
        </w:tc>
        <w:tc>
          <w:tcPr>
            <w:tcW w:w="7512" w:type="dxa"/>
            <w:tcBorders>
              <w:left w:val="single" w:color="auto" w:sz="4" w:space="0"/>
            </w:tcBorders>
            <w:noWrap w:val="0"/>
            <w:vAlign w:val="center"/>
          </w:tcPr>
          <w:p w14:paraId="1C9B7803">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1、本项目实行网上投标，采用电子投标文件。供应商应按照相关格式要求上传投标文件即可，无需到现场开标。若供应商参与投标，自行承担投标一切费用。</w:t>
            </w:r>
          </w:p>
          <w:p w14:paraId="66A3EAF0">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5D5CF27">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75154C9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663FA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27" w:type="dxa"/>
            <w:noWrap w:val="0"/>
            <w:vAlign w:val="center"/>
          </w:tcPr>
          <w:p w14:paraId="7619100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1616" w:type="dxa"/>
            <w:tcBorders>
              <w:right w:val="single" w:color="auto" w:sz="4" w:space="0"/>
            </w:tcBorders>
            <w:noWrap w:val="0"/>
            <w:vAlign w:val="center"/>
          </w:tcPr>
          <w:p w14:paraId="662576CC">
            <w:pPr>
              <w:spacing w:line="360" w:lineRule="exact"/>
              <w:ind w:left="120" w:leftChars="0" w:right="62" w:rightChars="0" w:hanging="120" w:hanging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eastAsia="zh-CN"/>
              </w:rPr>
              <w:t>招标文件解密时间</w:t>
            </w:r>
          </w:p>
        </w:tc>
        <w:tc>
          <w:tcPr>
            <w:tcW w:w="7512" w:type="dxa"/>
            <w:tcBorders>
              <w:left w:val="single" w:color="auto" w:sz="4" w:space="0"/>
            </w:tcBorders>
            <w:noWrap w:val="0"/>
            <w:vAlign w:val="center"/>
          </w:tcPr>
          <w:p w14:paraId="28E397D7">
            <w:pPr>
              <w:keepNext w:val="0"/>
              <w:keepLines w:val="0"/>
              <w:pageBreakBefore w:val="0"/>
              <w:kinsoku/>
              <w:wordWrap/>
              <w:overflowPunct/>
              <w:topLinePunct w:val="0"/>
              <w:autoSpaceDE/>
              <w:autoSpaceDN/>
              <w:bidi w:val="0"/>
              <w:adjustRightInd/>
              <w:snapToGrid/>
              <w:spacing w:line="300" w:lineRule="exact"/>
              <w:ind w:left="120" w:leftChars="0" w:right="62" w:rightChars="0" w:hanging="120" w:hangingChars="5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 xml:space="preserve"> 2025 年 03 月 28日</w:t>
            </w:r>
            <w:r>
              <w:rPr>
                <w:rFonts w:hint="eastAsia" w:ascii="仿宋" w:hAnsi="仿宋" w:eastAsia="仿宋" w:cs="仿宋"/>
                <w:b w:val="0"/>
                <w:bCs w:val="0"/>
                <w:color w:val="auto"/>
                <w:sz w:val="24"/>
                <w:szCs w:val="24"/>
                <w:highlight w:val="none"/>
                <w:lang w:eastAsia="zh-CN"/>
              </w:rPr>
              <w:t>11 ：00</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北京时间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前供应商可以登录“</w:t>
            </w:r>
            <w:r>
              <w:rPr>
                <w:rFonts w:hint="eastAsia" w:ascii="仿宋" w:hAnsi="仿宋" w:eastAsia="仿宋" w:cs="仿宋"/>
                <w:b w:val="0"/>
                <w:bCs w:val="0"/>
                <w:color w:val="auto"/>
                <w:sz w:val="24"/>
                <w:szCs w:val="24"/>
                <w:highlight w:val="none"/>
                <w:lang w:val="en-US" w:eastAsia="zh-CN"/>
              </w:rPr>
              <w:t>政采云</w:t>
            </w:r>
            <w:r>
              <w:rPr>
                <w:rFonts w:hint="eastAsia" w:ascii="仿宋" w:hAnsi="仿宋" w:eastAsia="仿宋" w:cs="仿宋"/>
                <w:b w:val="0"/>
                <w:bCs w:val="0"/>
                <w:color w:val="auto"/>
                <w:sz w:val="24"/>
                <w:szCs w:val="24"/>
                <w:highlight w:val="none"/>
              </w:rPr>
              <w:t>”平台，用“项目采购</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开标评标”功能进行解密投标文件。若供应商在规定时间内（</w:t>
            </w:r>
            <w:r>
              <w:rPr>
                <w:rFonts w:hint="eastAsia" w:ascii="仿宋" w:hAnsi="仿宋" w:eastAsia="仿宋" w:cs="仿宋"/>
                <w:b w:val="0"/>
                <w:bCs w:val="0"/>
                <w:color w:val="auto"/>
                <w:sz w:val="24"/>
                <w:szCs w:val="24"/>
                <w:highlight w:val="none"/>
                <w:lang w:val="en-US" w:eastAsia="zh-CN"/>
              </w:rPr>
              <w:t>2025 年 03 月 28日上午11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0前）未按时解密的，视为投标文件撤回。</w:t>
            </w:r>
          </w:p>
        </w:tc>
      </w:tr>
      <w:tr w14:paraId="4D4FC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27" w:type="dxa"/>
            <w:noWrap w:val="0"/>
            <w:vAlign w:val="center"/>
          </w:tcPr>
          <w:p w14:paraId="4162BC9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616" w:type="dxa"/>
            <w:tcBorders>
              <w:right w:val="single" w:color="auto" w:sz="4" w:space="0"/>
            </w:tcBorders>
            <w:noWrap w:val="0"/>
            <w:vAlign w:val="center"/>
          </w:tcPr>
          <w:p w14:paraId="761030B7">
            <w:pPr>
              <w:spacing w:line="360" w:lineRule="exact"/>
              <w:ind w:left="120" w:leftChars="0" w:right="62" w:rightChars="0" w:hanging="120" w:hangingChars="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auto"/>
              </w:rPr>
              <w:t>招标代理服务费</w:t>
            </w:r>
            <w:r>
              <w:rPr>
                <w:rFonts w:hint="eastAsia" w:ascii="仿宋" w:hAnsi="仿宋" w:eastAsia="仿宋" w:cs="仿宋"/>
                <w:color w:val="auto"/>
                <w:kern w:val="0"/>
                <w:sz w:val="24"/>
                <w:szCs w:val="24"/>
                <w:highlight w:val="none"/>
                <w:shd w:val="clear" w:color="auto" w:fill="auto"/>
                <w:lang w:val="en-US" w:eastAsia="zh-CN"/>
              </w:rPr>
              <w:t>收取标准</w:t>
            </w:r>
          </w:p>
        </w:tc>
        <w:tc>
          <w:tcPr>
            <w:tcW w:w="7512" w:type="dxa"/>
            <w:tcBorders>
              <w:left w:val="single" w:color="auto" w:sz="4" w:space="0"/>
            </w:tcBorders>
            <w:noWrap w:val="0"/>
            <w:vAlign w:val="center"/>
          </w:tcPr>
          <w:p w14:paraId="565B9F43">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标准 ：</w:t>
            </w:r>
            <w:r>
              <w:rPr>
                <w:rFonts w:hint="eastAsia" w:ascii="仿宋" w:hAnsi="仿宋" w:eastAsia="仿宋" w:cs="仿宋"/>
                <w:sz w:val="24"/>
                <w:szCs w:val="24"/>
              </w:rPr>
              <w:t>参照新建招协[2024]4号《新疆维吾尔自治区招标代理服务收费指导意见》文件计取</w:t>
            </w:r>
          </w:p>
          <w:p w14:paraId="4C1D0C8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以 (☑ 中标金额/□采购预算/□暂定中标金额/□其他 ) 为计费额， 按货物招标采用差额定率累进法计算出收费基准价格，采购代理收费以 (☑ 收费基准价格□收费基准价格下浮</w:t>
            </w:r>
            <w:r>
              <w:rPr>
                <w:rFonts w:hint="eastAsia" w:ascii="仿宋" w:hAnsi="仿宋" w:eastAsia="仿宋" w:cs="仿宋"/>
                <w:bCs/>
                <w:color w:val="auto"/>
                <w:sz w:val="24"/>
                <w:szCs w:val="24"/>
                <w:highlight w:val="none"/>
                <w:u w:val="single"/>
                <w:lang w:val="en-US" w:eastAsia="zh-CN"/>
              </w:rPr>
              <w:t xml:space="preserve"> / </w:t>
            </w:r>
            <w:r>
              <w:rPr>
                <w:rFonts w:hint="eastAsia" w:ascii="仿宋" w:hAnsi="仿宋" w:eastAsia="仿宋" w:cs="仿宋"/>
                <w:bCs/>
                <w:color w:val="auto"/>
                <w:sz w:val="24"/>
                <w:szCs w:val="24"/>
                <w:highlight w:val="none"/>
                <w:lang w:val="en-US" w:eastAsia="zh-CN"/>
              </w:rPr>
              <w:t>%□收费基准价格上浮</w:t>
            </w:r>
            <w:r>
              <w:rPr>
                <w:rFonts w:hint="eastAsia" w:ascii="仿宋" w:hAnsi="仿宋" w:eastAsia="仿宋" w:cs="仿宋"/>
                <w:bCs/>
                <w:color w:val="auto"/>
                <w:sz w:val="24"/>
                <w:szCs w:val="24"/>
                <w:highlight w:val="none"/>
                <w:u w:val="single"/>
                <w:lang w:val="en-US" w:eastAsia="zh-CN"/>
              </w:rPr>
              <w:t xml:space="preserve"> / </w:t>
            </w:r>
            <w:r>
              <w:rPr>
                <w:rFonts w:hint="eastAsia" w:ascii="仿宋" w:hAnsi="仿宋" w:eastAsia="仿宋" w:cs="仿宋"/>
                <w:bCs/>
                <w:color w:val="auto"/>
                <w:sz w:val="24"/>
                <w:szCs w:val="24"/>
                <w:highlight w:val="none"/>
                <w:lang w:val="en-US" w:eastAsia="zh-CN"/>
              </w:rPr>
              <w:t>%) 收取。</w:t>
            </w:r>
          </w:p>
          <w:p w14:paraId="46EB5838">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□固定采购代理收费  </w:t>
            </w:r>
            <w:r>
              <w:rPr>
                <w:rFonts w:hint="eastAsia" w:ascii="仿宋" w:hAnsi="仿宋" w:eastAsia="仿宋" w:cs="仿宋"/>
                <w:bCs/>
                <w:color w:val="auto"/>
                <w:sz w:val="24"/>
                <w:szCs w:val="24"/>
                <w:highlight w:val="none"/>
                <w:u w:val="single"/>
                <w:lang w:val="en-US" w:eastAsia="zh-CN"/>
              </w:rPr>
              <w:t xml:space="preserve">      /      </w:t>
            </w:r>
          </w:p>
        </w:tc>
      </w:tr>
      <w:tr w14:paraId="7066D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27" w:type="dxa"/>
            <w:noWrap w:val="0"/>
            <w:vAlign w:val="center"/>
          </w:tcPr>
          <w:p w14:paraId="1E6113F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616" w:type="dxa"/>
            <w:tcBorders>
              <w:right w:val="single" w:color="auto" w:sz="4" w:space="0"/>
            </w:tcBorders>
            <w:noWrap w:val="0"/>
            <w:vAlign w:val="center"/>
          </w:tcPr>
          <w:p w14:paraId="772426E4">
            <w:pPr>
              <w:spacing w:line="360" w:lineRule="exact"/>
              <w:ind w:left="129" w:leftChars="0" w:right="62" w:rightChars="0" w:hanging="129" w:hangingChars="50"/>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spacing w:val="9"/>
                <w:sz w:val="24"/>
                <w:szCs w:val="24"/>
                <w:highlight w:val="none"/>
                <w:lang w:val="en-US" w:eastAsia="zh-CN"/>
              </w:rPr>
              <w:t>招标</w:t>
            </w:r>
            <w:r>
              <w:rPr>
                <w:rFonts w:hint="eastAsia" w:ascii="仿宋" w:hAnsi="仿宋" w:eastAsia="仿宋" w:cs="仿宋"/>
                <w:spacing w:val="9"/>
                <w:sz w:val="24"/>
                <w:szCs w:val="24"/>
                <w:highlight w:val="none"/>
              </w:rPr>
              <w:t>代理费支付方式</w:t>
            </w:r>
          </w:p>
        </w:tc>
        <w:tc>
          <w:tcPr>
            <w:tcW w:w="7512" w:type="dxa"/>
            <w:tcBorders>
              <w:left w:val="single" w:color="auto" w:sz="4" w:space="0"/>
            </w:tcBorders>
            <w:noWrap w:val="0"/>
            <w:vAlign w:val="center"/>
          </w:tcPr>
          <w:p w14:paraId="27ABF713">
            <w:pPr>
              <w:spacing w:before="152" w:line="290" w:lineRule="auto"/>
              <w:ind w:left="110" w:right="109" w:firstLine="21"/>
              <w:rPr>
                <w:rFonts w:hint="eastAsia" w:ascii="仿宋" w:hAnsi="仿宋" w:eastAsia="仿宋" w:cs="仿宋"/>
                <w:sz w:val="24"/>
                <w:szCs w:val="24"/>
                <w:highlight w:val="none"/>
              </w:rPr>
            </w:pPr>
            <w:r>
              <w:rPr>
                <w:rFonts w:hint="eastAsia" w:ascii="仿宋" w:hAnsi="仿宋" w:eastAsia="仿宋" w:cs="仿宋"/>
                <w:spacing w:val="14"/>
                <w:sz w:val="24"/>
                <w:szCs w:val="24"/>
                <w:highlight w:val="none"/>
                <w:lang w:eastAsia="zh-CN"/>
              </w:rPr>
              <w:t>☑</w:t>
            </w:r>
            <w:r>
              <w:rPr>
                <w:rFonts w:hint="eastAsia" w:ascii="仿宋" w:hAnsi="仿宋" w:eastAsia="仿宋" w:cs="仿宋"/>
                <w:spacing w:val="12"/>
                <w:sz w:val="24"/>
                <w:szCs w:val="24"/>
                <w:highlight w:val="none"/>
              </w:rPr>
              <w:t>本</w:t>
            </w:r>
            <w:r>
              <w:rPr>
                <w:rFonts w:hint="eastAsia" w:ascii="仿宋" w:hAnsi="仿宋" w:eastAsia="仿宋" w:cs="仿宋"/>
                <w:spacing w:val="7"/>
                <w:sz w:val="24"/>
                <w:szCs w:val="24"/>
                <w:highlight w:val="none"/>
              </w:rPr>
              <w:t>项目代理服务费由</w:t>
            </w:r>
            <w:r>
              <w:rPr>
                <w:rFonts w:hint="eastAsia" w:ascii="仿宋" w:hAnsi="仿宋" w:eastAsia="仿宋" w:cs="仿宋"/>
                <w:spacing w:val="7"/>
                <w:sz w:val="24"/>
                <w:szCs w:val="24"/>
                <w:highlight w:val="none"/>
                <w:u w:val="single" w:color="auto"/>
              </w:rPr>
              <w:t>中标人</w:t>
            </w:r>
            <w:r>
              <w:rPr>
                <w:rFonts w:hint="eastAsia" w:ascii="仿宋" w:hAnsi="仿宋" w:eastAsia="仿宋" w:cs="仿宋"/>
                <w:spacing w:val="7"/>
                <w:sz w:val="24"/>
                <w:szCs w:val="24"/>
                <w:highlight w:val="none"/>
              </w:rPr>
              <w:t>在领取中标通知书前，一次性向采购代理机构支</w:t>
            </w:r>
            <w:r>
              <w:rPr>
                <w:rFonts w:hint="eastAsia" w:ascii="仿宋" w:hAnsi="仿宋" w:eastAsia="仿宋" w:cs="仿宋"/>
                <w:sz w:val="24"/>
                <w:szCs w:val="24"/>
                <w:highlight w:val="none"/>
              </w:rPr>
              <w:t xml:space="preserve"> 付。</w:t>
            </w:r>
          </w:p>
          <w:p w14:paraId="2E221C14">
            <w:pPr>
              <w:spacing w:before="131" w:line="228" w:lineRule="auto"/>
              <w:ind w:left="13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w:t>
            </w:r>
            <w:r>
              <w:rPr>
                <w:rFonts w:hint="eastAsia" w:ascii="仿宋" w:hAnsi="仿宋" w:eastAsia="仿宋" w:cs="仿宋"/>
                <w:spacing w:val="4"/>
                <w:sz w:val="24"/>
                <w:szCs w:val="24"/>
                <w:highlight w:val="none"/>
              </w:rPr>
              <w:t>采购人支付。</w:t>
            </w:r>
          </w:p>
          <w:p w14:paraId="7B318CE7">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spacing w:val="7"/>
                <w:sz w:val="24"/>
                <w:szCs w:val="24"/>
                <w:highlight w:val="none"/>
              </w:rPr>
              <w:t>□本项目不收取代理服务费</w:t>
            </w:r>
            <w:r>
              <w:rPr>
                <w:rFonts w:hint="eastAsia" w:ascii="仿宋" w:hAnsi="仿宋" w:eastAsia="仿宋" w:cs="仿宋"/>
                <w:spacing w:val="7"/>
                <w:sz w:val="24"/>
                <w:szCs w:val="24"/>
                <w:highlight w:val="none"/>
                <w:lang w:eastAsia="zh-CN"/>
              </w:rPr>
              <w:t>。</w:t>
            </w:r>
          </w:p>
        </w:tc>
      </w:tr>
      <w:tr w14:paraId="4500C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427" w:type="dxa"/>
            <w:noWrap w:val="0"/>
            <w:vAlign w:val="center"/>
          </w:tcPr>
          <w:p w14:paraId="1783564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616" w:type="dxa"/>
            <w:tcBorders>
              <w:right w:val="single" w:color="auto" w:sz="4" w:space="0"/>
            </w:tcBorders>
            <w:noWrap w:val="0"/>
            <w:vAlign w:val="center"/>
          </w:tcPr>
          <w:p w14:paraId="7206694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招标代理费收款账户信息</w:t>
            </w:r>
          </w:p>
        </w:tc>
        <w:tc>
          <w:tcPr>
            <w:tcW w:w="7512" w:type="dxa"/>
            <w:tcBorders>
              <w:left w:val="single" w:color="auto" w:sz="4" w:space="0"/>
            </w:tcBorders>
            <w:noWrap w:val="0"/>
            <w:vAlign w:val="center"/>
          </w:tcPr>
          <w:p w14:paraId="28E5776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账户名称 ：墨玉县众信智诚工程项目管理有限公司</w:t>
            </w:r>
          </w:p>
          <w:p w14:paraId="2C8E30E0">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 ：中国银行股份有限公司墨玉县支行</w:t>
            </w:r>
          </w:p>
          <w:p w14:paraId="525C39BE">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银行账号 ：108296516643</w:t>
            </w:r>
          </w:p>
          <w:p w14:paraId="1E581772">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开户行行号 ：104896302018</w:t>
            </w:r>
          </w:p>
        </w:tc>
      </w:tr>
      <w:tr w14:paraId="3DA71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427" w:type="dxa"/>
            <w:noWrap w:val="0"/>
            <w:vAlign w:val="center"/>
          </w:tcPr>
          <w:p w14:paraId="70CC260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616" w:type="dxa"/>
            <w:tcBorders>
              <w:right w:val="single" w:color="auto" w:sz="4" w:space="0"/>
            </w:tcBorders>
            <w:noWrap w:val="0"/>
            <w:vAlign w:val="center"/>
          </w:tcPr>
          <w:p w14:paraId="3B7754E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评标委员的组建</w:t>
            </w:r>
          </w:p>
        </w:tc>
        <w:tc>
          <w:tcPr>
            <w:tcW w:w="7512" w:type="dxa"/>
            <w:tcBorders>
              <w:left w:val="single" w:color="auto" w:sz="4" w:space="0"/>
            </w:tcBorders>
            <w:noWrap w:val="0"/>
            <w:vAlign w:val="center"/>
          </w:tcPr>
          <w:p w14:paraId="41A1C063">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业主代表0人，评标专家5人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6A46DA8">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评标专家确定方式</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由招标代理在开标前</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小时在新疆政府采购专家库中随机抽取此次评标专家</w:t>
            </w:r>
            <w:r>
              <w:rPr>
                <w:rFonts w:hint="eastAsia" w:ascii="仿宋" w:hAnsi="仿宋" w:eastAsia="仿宋" w:cs="仿宋"/>
                <w:color w:val="auto"/>
                <w:sz w:val="24"/>
                <w:szCs w:val="24"/>
                <w:highlight w:val="none"/>
                <w:lang w:eastAsia="zh-CN"/>
              </w:rPr>
              <w:t>。</w:t>
            </w:r>
          </w:p>
        </w:tc>
      </w:tr>
      <w:tr w14:paraId="35F07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427" w:type="dxa"/>
            <w:tcBorders>
              <w:top w:val="single" w:color="auto" w:sz="4" w:space="0"/>
            </w:tcBorders>
            <w:noWrap w:val="0"/>
            <w:vAlign w:val="center"/>
          </w:tcPr>
          <w:p w14:paraId="4FF4F6D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616" w:type="dxa"/>
            <w:tcBorders>
              <w:top w:val="single" w:color="auto" w:sz="4" w:space="0"/>
              <w:right w:val="single" w:color="auto" w:sz="4" w:space="0"/>
            </w:tcBorders>
            <w:noWrap w:val="0"/>
            <w:vAlign w:val="center"/>
          </w:tcPr>
          <w:p w14:paraId="7534A5A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512" w:type="dxa"/>
            <w:tcBorders>
              <w:top w:val="single" w:color="auto" w:sz="4" w:space="0"/>
              <w:left w:val="single" w:color="auto" w:sz="4" w:space="0"/>
            </w:tcBorders>
            <w:noWrap w:val="0"/>
            <w:vAlign w:val="center"/>
          </w:tcPr>
          <w:p w14:paraId="3436876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超过合同总价的10%，（具体金额与招标人签订合同为准）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301BB74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Cs/>
                <w:color w:val="auto"/>
                <w:sz w:val="24"/>
                <w:szCs w:val="24"/>
                <w:highlight w:val="none"/>
                <w:lang w:val="en-US"/>
              </w:rPr>
            </w:pPr>
            <w:r>
              <w:rPr>
                <w:rFonts w:hint="eastAsia" w:ascii="仿宋" w:hAnsi="仿宋" w:eastAsia="仿宋" w:cs="仿宋"/>
                <w:sz w:val="24"/>
                <w:szCs w:val="24"/>
                <w:highlight w:val="none"/>
                <w:lang w:val="en-US" w:eastAsia="zh-CN"/>
              </w:rPr>
              <w:t>履约保证金形式 ：支票、汇票、本票，或者金融机构、担保机构出具的保函等非现金形式提交（履约赔付地点为项目所在地）</w:t>
            </w:r>
          </w:p>
        </w:tc>
      </w:tr>
      <w:tr w14:paraId="0B7EB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0" w:hRule="atLeast"/>
          <w:jc w:val="center"/>
        </w:trPr>
        <w:tc>
          <w:tcPr>
            <w:tcW w:w="427" w:type="dxa"/>
            <w:tcBorders>
              <w:top w:val="single" w:color="auto" w:sz="4" w:space="0"/>
            </w:tcBorders>
            <w:noWrap w:val="0"/>
            <w:vAlign w:val="center"/>
          </w:tcPr>
          <w:p w14:paraId="2FBFFDC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616" w:type="dxa"/>
            <w:tcBorders>
              <w:top w:val="single" w:color="auto" w:sz="4" w:space="0"/>
              <w:right w:val="single" w:color="auto" w:sz="4" w:space="0"/>
            </w:tcBorders>
            <w:noWrap w:val="0"/>
            <w:vAlign w:val="center"/>
          </w:tcPr>
          <w:p w14:paraId="62491EC8">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政府采购政策支持</w:t>
            </w:r>
          </w:p>
        </w:tc>
        <w:tc>
          <w:tcPr>
            <w:tcW w:w="7512" w:type="dxa"/>
            <w:tcBorders>
              <w:top w:val="single" w:color="auto" w:sz="4" w:space="0"/>
              <w:left w:val="single" w:color="auto" w:sz="4" w:space="0"/>
            </w:tcBorders>
            <w:noWrap w:val="0"/>
            <w:vAlign w:val="top"/>
          </w:tcPr>
          <w:p w14:paraId="46A458B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08A64D2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价格扣除幅度 ：货物服务采购项目给予小微企业的价格扣除优惠，由财库〔2020〕46 号文件规定的 6%—10%提高至 10%—20%。大中型企业与小微企业组成联合体或者大中型企业向小微企业分包的，评审优惠幅度由 2%—3%提高至 4%—6%。政府采购工程的价格评审优惠按照财库〔2020〕46 号文件的规定执行。</w:t>
            </w:r>
          </w:p>
          <w:p w14:paraId="78ED4F2D">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 ：供应商应当对《中小企业声明函》、JY企业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122E4E9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本项目所属行业（货物） ：</w:t>
            </w:r>
            <w:r>
              <w:rPr>
                <w:rFonts w:hint="eastAsia" w:ascii="仿宋" w:hAnsi="仿宋" w:eastAsia="仿宋" w:cs="仿宋"/>
                <w:b/>
                <w:bCs/>
                <w:sz w:val="24"/>
                <w:szCs w:val="24"/>
                <w:highlight w:val="none"/>
                <w:lang w:val="en-US" w:eastAsia="zh-CN"/>
              </w:rPr>
              <w:t xml:space="preserve">农、林、牧、渔业 </w:t>
            </w:r>
          </w:p>
        </w:tc>
      </w:tr>
      <w:tr w14:paraId="628C5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91" w:hRule="atLeast"/>
          <w:jc w:val="center"/>
        </w:trPr>
        <w:tc>
          <w:tcPr>
            <w:tcW w:w="427" w:type="dxa"/>
            <w:tcBorders>
              <w:top w:val="single" w:color="auto" w:sz="4" w:space="0"/>
            </w:tcBorders>
            <w:noWrap w:val="0"/>
            <w:vAlign w:val="center"/>
          </w:tcPr>
          <w:p w14:paraId="4198595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1616" w:type="dxa"/>
            <w:tcBorders>
              <w:top w:val="single" w:color="auto" w:sz="4" w:space="0"/>
              <w:right w:val="single" w:color="auto" w:sz="4" w:space="0"/>
            </w:tcBorders>
            <w:noWrap w:val="0"/>
            <w:vAlign w:val="center"/>
          </w:tcPr>
          <w:p w14:paraId="712C2429">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关于小微企业报价扣除比例说明</w:t>
            </w:r>
          </w:p>
        </w:tc>
        <w:tc>
          <w:tcPr>
            <w:tcW w:w="7512" w:type="dxa"/>
            <w:tcBorders>
              <w:top w:val="single" w:color="auto" w:sz="4" w:space="0"/>
              <w:left w:val="single" w:color="auto" w:sz="4" w:space="0"/>
            </w:tcBorders>
            <w:noWrap w:val="0"/>
            <w:vAlign w:val="top"/>
          </w:tcPr>
          <w:p w14:paraId="0421574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1.投标人为非联合体投标的，对其投标货物的制造商为小微型企业的给予10%的扣除，以扣除后的报价参与评审。</w:t>
            </w:r>
          </w:p>
          <w:p w14:paraId="720EC3E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由采购人在幅度范围内确定）的扣除，用扣除后的价格参加评审。</w:t>
            </w:r>
          </w:p>
          <w:p w14:paraId="767919D3">
            <w:pPr>
              <w:pStyle w:val="1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3.JY企业、残疾人福利性单位视同小型、微型企业。</w:t>
            </w:r>
          </w:p>
          <w:p w14:paraId="3DCA247D">
            <w:pPr>
              <w:ind w:left="239" w:leftChars="114" w:firstLine="120" w:firstLineChars="50"/>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ar-SA"/>
              </w:rPr>
              <w:t>4.如专门面向中小企业的采购项目，不再享受价格扣除。</w:t>
            </w:r>
          </w:p>
        </w:tc>
      </w:tr>
      <w:tr w14:paraId="2B074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37ACAA5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1616" w:type="dxa"/>
            <w:tcBorders>
              <w:right w:val="single" w:color="auto" w:sz="4" w:space="0"/>
            </w:tcBorders>
            <w:noWrap w:val="0"/>
            <w:vAlign w:val="center"/>
          </w:tcPr>
          <w:p w14:paraId="189E3E9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512" w:type="dxa"/>
            <w:tcBorders>
              <w:left w:val="single" w:color="auto" w:sz="4" w:space="0"/>
            </w:tcBorders>
            <w:noWrap w:val="0"/>
            <w:vAlign w:val="center"/>
          </w:tcPr>
          <w:p w14:paraId="7609C819">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特别提醒 ：</w:t>
            </w:r>
          </w:p>
          <w:p w14:paraId="19170665">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1、所有投标人的报价高于本项目（标项）最高限价额度的视为无效报价（即作否决投标处理）。</w:t>
            </w:r>
          </w:p>
          <w:p w14:paraId="7C852CF6">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10F6ADFC">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投标处理。</w:t>
            </w:r>
          </w:p>
          <w:p w14:paraId="2F008880">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4、更正补充公告请自行登录新疆政府采购网查看下载。</w:t>
            </w:r>
          </w:p>
          <w:p w14:paraId="38659C4F">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5、采购代理机构将拒绝接受未在政采云平台获取招标文件的投标人的投标文件。</w:t>
            </w:r>
          </w:p>
          <w:p w14:paraId="5D579892">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6、所有投标单位对招标文件中所有条款如有疑问或异议请在开标以书面形式提出，否则不予受理。</w:t>
            </w:r>
          </w:p>
          <w:p w14:paraId="7C5EFCE4">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7、为确保投标保证金的及时退还，结果公示后投标企业需提供保证金汇款凭证、开户许可证复印件、收据并注明开户行行号、联系方式（加盖公司鲜公章）发送至墨玉县公共资源交易平台中心财务室办理。（注 ：废标项目投标保证金在后续项目再次招标时银行系统不做统计，投标企业及时办理退款）。</w:t>
            </w:r>
          </w:p>
          <w:p w14:paraId="358D1CD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8、本项目资格审查模块由采购人及其采购代理机构依法进行资格审查。</w:t>
            </w:r>
          </w:p>
        </w:tc>
      </w:tr>
      <w:tr w14:paraId="649AD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10F91FD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1616" w:type="dxa"/>
            <w:tcBorders>
              <w:right w:val="single" w:color="auto" w:sz="4" w:space="0"/>
            </w:tcBorders>
            <w:noWrap w:val="0"/>
            <w:vAlign w:val="center"/>
          </w:tcPr>
          <w:p w14:paraId="61E3D49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512" w:type="dxa"/>
            <w:tcBorders>
              <w:left w:val="single" w:color="auto" w:sz="4" w:space="0"/>
            </w:tcBorders>
            <w:noWrap w:val="0"/>
            <w:vAlign w:val="center"/>
          </w:tcPr>
          <w:p w14:paraId="03B0BAD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FE521C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2981F2A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zh-CN" w:eastAsia="zh-CN"/>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lang w:val="zh-CN" w:eastAsia="zh-CN"/>
              </w:rPr>
              <w:t>本项目的招标投标活动以及相关当事人须接受财政监督部门依法实施的监督。</w:t>
            </w:r>
          </w:p>
          <w:p w14:paraId="4F362F3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成本（应根据供应商企业类型予以区别）、税金及附加、销售费用、管理费用、财务费用等成本构成事项详细陈述。</w:t>
            </w:r>
          </w:p>
          <w:p w14:paraId="07AC20AD">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供应商书面说明应当签字确认或者加盖章，否则无效。书面说明的签字确认，供应商为法人的，由其法定代表人或者代理人签字确认；供应商为其他组织的，由其主要负责人或者代理人签字确认；供应商为自然人的，由其本人或者代理人签字确认。</w:t>
            </w:r>
          </w:p>
          <w:p w14:paraId="7345249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4DB9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3FACF51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1616" w:type="dxa"/>
            <w:tcBorders>
              <w:right w:val="single" w:color="auto" w:sz="4" w:space="0"/>
            </w:tcBorders>
            <w:noWrap w:val="0"/>
            <w:vAlign w:val="center"/>
          </w:tcPr>
          <w:p w14:paraId="6D3D1E79">
            <w:pPr>
              <w:shd w:val="clear" w:color="auto" w:fill="auto"/>
              <w:spacing w:line="360" w:lineRule="exact"/>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重要提示</w:t>
            </w:r>
          </w:p>
        </w:tc>
        <w:tc>
          <w:tcPr>
            <w:tcW w:w="7512" w:type="dxa"/>
            <w:tcBorders>
              <w:left w:val="single" w:color="auto" w:sz="4" w:space="0"/>
            </w:tcBorders>
            <w:noWrap w:val="0"/>
            <w:vAlign w:val="center"/>
          </w:tcPr>
          <w:p w14:paraId="77C979A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2C51522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34B959D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38A9F69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（4）中标供应商中标后被监管部门查实存在违法行为，不满足中标条件的，由采购人取消中标资格，并做好项目后续工作； </w:t>
            </w:r>
          </w:p>
          <w:p w14:paraId="39A4964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101A0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0A5907A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1616" w:type="dxa"/>
            <w:tcBorders>
              <w:right w:val="single" w:color="auto" w:sz="4" w:space="0"/>
            </w:tcBorders>
            <w:noWrap w:val="0"/>
            <w:vAlign w:val="center"/>
          </w:tcPr>
          <w:p w14:paraId="2842294E">
            <w:pPr>
              <w:shd w:val="clear" w:color="auto" w:fill="auto"/>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其他方式采购</w:t>
            </w:r>
          </w:p>
        </w:tc>
        <w:tc>
          <w:tcPr>
            <w:tcW w:w="7512" w:type="dxa"/>
            <w:tcBorders>
              <w:left w:val="single" w:color="auto" w:sz="4" w:space="0"/>
            </w:tcBorders>
            <w:noWrap w:val="0"/>
            <w:vAlign w:val="center"/>
          </w:tcPr>
          <w:p w14:paraId="6EE49E8D">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 ：</w:t>
            </w:r>
          </w:p>
          <w:p w14:paraId="013B7C1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（1）招标文件存在不合理条款或者采购程序不符合规定的，采购人、采购代理机构改正后依法重新采购；</w:t>
            </w:r>
          </w:p>
          <w:p w14:paraId="496DF86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000000"/>
                <w:sz w:val="24"/>
                <w:szCs w:val="24"/>
                <w:highlight w:val="none"/>
                <w:lang w:val="en-US" w:eastAsia="zh-CN"/>
              </w:rPr>
              <w:t>（2）招标文件没有不合理条款、采购程序符合规定，需要采用其他采购方式采购的，采购人应当依法报财政部门批准。</w:t>
            </w:r>
          </w:p>
        </w:tc>
      </w:tr>
      <w:tr w14:paraId="58E16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4502E7A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1616" w:type="dxa"/>
            <w:tcBorders>
              <w:right w:val="single" w:color="auto" w:sz="4" w:space="0"/>
            </w:tcBorders>
            <w:noWrap w:val="0"/>
            <w:vAlign w:val="center"/>
          </w:tcPr>
          <w:p w14:paraId="6A1E662D">
            <w:pPr>
              <w:shd w:val="clear" w:color="auto" w:fill="auto"/>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w:t>
            </w:r>
          </w:p>
        </w:tc>
        <w:tc>
          <w:tcPr>
            <w:tcW w:w="7512" w:type="dxa"/>
            <w:tcBorders>
              <w:left w:val="single" w:color="auto" w:sz="4" w:space="0"/>
            </w:tcBorders>
            <w:noWrap w:val="0"/>
            <w:vAlign w:val="center"/>
          </w:tcPr>
          <w:p w14:paraId="4FC2F8B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作出答复的，可以在答复期满后五个工作日内向有关监管部门投诉。</w:t>
            </w:r>
          </w:p>
          <w:p w14:paraId="2E5E795A">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val="en-US" w:eastAsia="zh-CN"/>
              </w:rPr>
              <w:t>注 ：根据《中华人民共和国政府采购法》的规定，供应商质疑不得超出公开招标文件、公开招标过程及公开招标结果的范围及时效限制。</w:t>
            </w:r>
          </w:p>
        </w:tc>
      </w:tr>
      <w:tr w14:paraId="24DA2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4F5CE61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616" w:type="dxa"/>
            <w:tcBorders>
              <w:right w:val="single" w:color="auto" w:sz="4" w:space="0"/>
            </w:tcBorders>
            <w:noWrap w:val="0"/>
            <w:vAlign w:val="center"/>
          </w:tcPr>
          <w:p w14:paraId="04351DDF">
            <w:pPr>
              <w:shd w:val="clear" w:color="auto" w:fill="auto"/>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w:t>
            </w:r>
          </w:p>
        </w:tc>
        <w:tc>
          <w:tcPr>
            <w:tcW w:w="7512" w:type="dxa"/>
            <w:tcBorders>
              <w:left w:val="single" w:color="auto" w:sz="4" w:space="0"/>
            </w:tcBorders>
            <w:noWrap w:val="0"/>
            <w:vAlign w:val="center"/>
          </w:tcPr>
          <w:p w14:paraId="3E2235C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2141B13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2A59F3C7">
            <w:pPr>
              <w:spacing w:line="300" w:lineRule="exact"/>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 ：根据《中华人民共和国政府采购法实施条例》的规定，供应商投诉事项不得超出已质疑事项的范围。</w:t>
            </w:r>
          </w:p>
          <w:p w14:paraId="6C7A761B">
            <w:pPr>
              <w:spacing w:line="300" w:lineRule="exact"/>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采购监管部门：墨玉县财政局</w:t>
            </w:r>
          </w:p>
          <w:p w14:paraId="6AE1ED3A">
            <w:pPr>
              <w:spacing w:line="300" w:lineRule="exact"/>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联系方式（传真）：0903-6565602</w:t>
            </w:r>
          </w:p>
        </w:tc>
      </w:tr>
      <w:tr w14:paraId="75871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5" w:type="dxa"/>
            <w:gridSpan w:val="3"/>
            <w:noWrap w:val="0"/>
            <w:vAlign w:val="center"/>
          </w:tcPr>
          <w:p w14:paraId="1EE8C28C">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50241402">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请注意 ：供应商需在投标文件截止时间前，将加密投标文件上传至云平台项目采购系统，逾期上传或错误方式投递送达将导致投标无效。</w:t>
            </w:r>
          </w:p>
          <w:p w14:paraId="14DC781B">
            <w:pPr>
              <w:pStyle w:val="93"/>
              <w:ind w:firstLine="482" w:firstLineChars="200"/>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2AEB1006">
      <w:pPr>
        <w:shd w:val="clear" w:color="auto" w:fill="auto"/>
        <w:spacing w:line="36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eastAsia="zh-CN"/>
        </w:rPr>
        <w:t xml:space="preserve"> ：</w:t>
      </w:r>
    </w:p>
    <w:p w14:paraId="27DCE94A">
      <w:pPr>
        <w:shd w:val="clear" w:color="auto" w:fill="auto"/>
        <w:spacing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本须知前附表内容与招标文件的内容相对应，如有矛盾，应以投标须知前附表为准。</w:t>
      </w:r>
    </w:p>
    <w:p w14:paraId="2A2A738C">
      <w:pPr>
        <w:jc w:val="center"/>
        <w:rPr>
          <w:rFonts w:hint="eastAsia" w:ascii="仿宋" w:hAnsi="仿宋" w:eastAsia="仿宋" w:cs="仿宋"/>
          <w:b/>
          <w:sz w:val="24"/>
          <w:highlight w:val="none"/>
        </w:rPr>
      </w:pPr>
      <w:r>
        <w:rPr>
          <w:rFonts w:hint="eastAsia" w:ascii="仿宋" w:hAnsi="仿宋" w:eastAsia="仿宋" w:cs="仿宋"/>
          <w:b/>
          <w:sz w:val="24"/>
          <w:szCs w:val="24"/>
          <w:highlight w:val="none"/>
        </w:rPr>
        <w:br w:type="page"/>
      </w:r>
      <w:r>
        <w:rPr>
          <w:rFonts w:hint="eastAsia" w:ascii="仿宋" w:hAnsi="仿宋" w:eastAsia="仿宋" w:cs="仿宋"/>
          <w:b/>
          <w:sz w:val="28"/>
          <w:szCs w:val="28"/>
          <w:highlight w:val="none"/>
        </w:rPr>
        <w:t>投标人须知正文部分</w:t>
      </w:r>
    </w:p>
    <w:p w14:paraId="5F0CFAD8">
      <w:pPr>
        <w:spacing w:line="500" w:lineRule="exact"/>
        <w:ind w:left="120" w:hanging="120"/>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 xml:space="preserve"> </w:t>
      </w:r>
      <w:bookmarkStart w:id="36" w:name="_Toc17382"/>
      <w:r>
        <w:rPr>
          <w:rFonts w:hint="eastAsia" w:ascii="仿宋" w:hAnsi="仿宋" w:eastAsia="仿宋" w:cs="仿宋"/>
          <w:b/>
          <w:sz w:val="28"/>
          <w:szCs w:val="28"/>
          <w:highlight w:val="none"/>
          <w:lang w:val="en-US" w:eastAsia="zh-CN"/>
        </w:rPr>
        <w:t>（一）总则</w:t>
      </w:r>
      <w:bookmarkEnd w:id="36"/>
    </w:p>
    <w:p w14:paraId="256F8779">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1、适用范围</w:t>
      </w:r>
    </w:p>
    <w:p w14:paraId="650AA44B">
      <w:pPr>
        <w:spacing w:line="360" w:lineRule="auto"/>
        <w:ind w:left="0" w:right="0" w:firstLine="48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本招标文件适用于墨玉县乡村振兴发展资金项目（二期）新建内容-设备采购四次-实验设备采购包一的招标、投标、评标、定标、验收、合同履约、付款等行为（法律法规另有规定的，从其规定）。</w:t>
      </w:r>
    </w:p>
    <w:p w14:paraId="7624C3DB">
      <w:pPr>
        <w:spacing w:line="300" w:lineRule="auto"/>
        <w:outlineLvl w:val="1"/>
        <w:rPr>
          <w:rFonts w:hint="eastAsia" w:ascii="仿宋" w:hAnsi="仿宋" w:eastAsia="仿宋" w:cs="仿宋"/>
          <w:b/>
          <w:bCs/>
          <w:sz w:val="24"/>
          <w:szCs w:val="24"/>
          <w:highlight w:val="none"/>
          <w:lang w:val="en-US" w:eastAsia="zh-CN"/>
        </w:rPr>
      </w:pPr>
      <w:bookmarkStart w:id="37" w:name="_Toc21374"/>
      <w:bookmarkStart w:id="38" w:name="_Toc13192"/>
      <w:r>
        <w:rPr>
          <w:rFonts w:hint="eastAsia" w:ascii="仿宋" w:hAnsi="仿宋" w:eastAsia="仿宋" w:cs="仿宋"/>
          <w:b/>
          <w:bCs/>
          <w:sz w:val="24"/>
          <w:szCs w:val="24"/>
          <w:highlight w:val="none"/>
          <w:lang w:val="en-US" w:eastAsia="zh-CN"/>
        </w:rPr>
        <w:t>2、定义</w:t>
      </w:r>
      <w:bookmarkEnd w:id="37"/>
      <w:bookmarkEnd w:id="38"/>
    </w:p>
    <w:p w14:paraId="3AC22B81">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（1）招标采购单位系指组织本次招标的代理机构（“招标人”）和采购单位。</w:t>
      </w:r>
    </w:p>
    <w:p w14:paraId="741DF8C3">
      <w:pPr>
        <w:spacing w:line="300" w:lineRule="auto"/>
        <w:ind w:left="210" w:leftChars="100" w:firstLine="120" w:firstLineChars="50"/>
        <w:outlineLvl w:val="2"/>
        <w:rPr>
          <w:rFonts w:hint="eastAsia" w:ascii="仿宋" w:hAnsi="仿宋" w:eastAsia="仿宋" w:cs="仿宋"/>
          <w:sz w:val="24"/>
          <w:szCs w:val="24"/>
          <w:highlight w:val="none"/>
          <w:lang w:val="en-US" w:eastAsia="zh-CN"/>
        </w:rPr>
      </w:pPr>
      <w:bookmarkStart w:id="39" w:name="_Toc16199"/>
      <w:r>
        <w:rPr>
          <w:rFonts w:hint="eastAsia" w:ascii="仿宋" w:hAnsi="仿宋" w:eastAsia="仿宋" w:cs="仿宋"/>
          <w:sz w:val="24"/>
          <w:szCs w:val="24"/>
          <w:highlight w:val="none"/>
          <w:lang w:val="en-US" w:eastAsia="zh-CN"/>
        </w:rPr>
        <w:t>（2）“投标人”系指向招标方提交投标文件的单位或个人。</w:t>
      </w:r>
      <w:bookmarkEnd w:id="39"/>
    </w:p>
    <w:p w14:paraId="072F8EA9">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（3）“产品”系指供方按招标文件规定，须向招标人提供的一切服务及其他有关技术资料和材料。</w:t>
      </w:r>
    </w:p>
    <w:p w14:paraId="68021AF1">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（4）“服务”系指招标文件规定投标人须承担的技术协助、校准、培训、技术指导以及其他类似的义务。</w:t>
      </w:r>
    </w:p>
    <w:p w14:paraId="0EBF7166">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（5）“项目”系指投标人按招标文件规定向招标人提供的产品和服务。</w:t>
      </w:r>
    </w:p>
    <w:p w14:paraId="76D5D3BF">
      <w:pPr>
        <w:spacing w:line="300" w:lineRule="auto"/>
        <w:ind w:left="210" w:leftChars="100" w:firstLine="120" w:firstLineChars="50"/>
        <w:outlineLvl w:val="2"/>
        <w:rPr>
          <w:rFonts w:hint="eastAsia" w:ascii="仿宋" w:hAnsi="仿宋" w:eastAsia="仿宋" w:cs="仿宋"/>
          <w:sz w:val="24"/>
          <w:szCs w:val="24"/>
          <w:highlight w:val="none"/>
          <w:lang w:val="en-US" w:eastAsia="zh-CN"/>
        </w:rPr>
      </w:pPr>
      <w:bookmarkStart w:id="40" w:name="_Toc20586"/>
      <w:r>
        <w:rPr>
          <w:rFonts w:hint="eastAsia" w:ascii="仿宋" w:hAnsi="仿宋" w:eastAsia="仿宋" w:cs="仿宋"/>
          <w:sz w:val="24"/>
          <w:szCs w:val="24"/>
          <w:highlight w:val="none"/>
          <w:lang w:val="en-US" w:eastAsia="zh-CN"/>
        </w:rPr>
        <w:t>（6）“书面形式”包括信函、传真、电报等。</w:t>
      </w:r>
      <w:bookmarkEnd w:id="40"/>
    </w:p>
    <w:p w14:paraId="285C5D7C">
      <w:pPr>
        <w:spacing w:line="300" w:lineRule="auto"/>
        <w:outlineLvl w:val="1"/>
        <w:rPr>
          <w:rFonts w:hint="eastAsia" w:ascii="仿宋" w:hAnsi="仿宋" w:eastAsia="仿宋" w:cs="仿宋"/>
          <w:b/>
          <w:bCs/>
          <w:sz w:val="24"/>
          <w:szCs w:val="24"/>
          <w:highlight w:val="none"/>
          <w:lang w:val="en-US" w:eastAsia="zh-CN"/>
        </w:rPr>
      </w:pPr>
      <w:bookmarkStart w:id="41" w:name="_Toc15840"/>
      <w:bookmarkStart w:id="42" w:name="_Toc14030"/>
      <w:r>
        <w:rPr>
          <w:rFonts w:hint="eastAsia" w:ascii="仿宋" w:hAnsi="仿宋" w:eastAsia="仿宋" w:cs="仿宋"/>
          <w:b/>
          <w:bCs/>
          <w:sz w:val="24"/>
          <w:szCs w:val="24"/>
          <w:highlight w:val="none"/>
          <w:lang w:val="en-US" w:eastAsia="zh-CN"/>
        </w:rPr>
        <w:t>3、招标方式</w:t>
      </w:r>
      <w:bookmarkEnd w:id="41"/>
      <w:bookmarkEnd w:id="42"/>
    </w:p>
    <w:p w14:paraId="769B2DF8">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本次招标采用公开招标方式进行。</w:t>
      </w:r>
    </w:p>
    <w:p w14:paraId="7851C079">
      <w:pPr>
        <w:spacing w:line="300" w:lineRule="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color w:val="auto"/>
          <w:sz w:val="24"/>
          <w:szCs w:val="24"/>
          <w:highlight w:val="none"/>
          <w:lang w:val="en-US" w:eastAsia="zh-CN"/>
        </w:rPr>
        <w:t>采购文件获取</w:t>
      </w:r>
    </w:p>
    <w:p w14:paraId="7A65E123">
      <w:pPr>
        <w:pStyle w:val="67"/>
        <w:keepNext w:val="0"/>
        <w:keepLines w:val="0"/>
        <w:widowControl/>
        <w:suppressLineNumbers w:val="0"/>
        <w:spacing w:before="75" w:beforeAutospacing="0" w:after="75" w:afterAutospacing="0" w:line="240" w:lineRule="auto"/>
        <w:ind w:left="0" w:leftChars="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u w:val="single"/>
          <w:lang w:val="en-US" w:eastAsia="zh-CN"/>
        </w:rPr>
        <w:t>供应商登录政采云平台https://www.zcygov.cn/在线申请获取采购文件（进入“项目采购”应用，在获取采购文件菜单中选择项目，申请获取采购文件）</w:t>
      </w:r>
    </w:p>
    <w:p w14:paraId="6FAD4297">
      <w:pPr>
        <w:spacing w:line="300" w:lineRule="auto"/>
        <w:outlineLvl w:val="1"/>
        <w:rPr>
          <w:rFonts w:hint="eastAsia" w:ascii="仿宋" w:hAnsi="仿宋" w:eastAsia="仿宋" w:cs="仿宋"/>
          <w:b/>
          <w:bCs/>
          <w:sz w:val="24"/>
          <w:szCs w:val="24"/>
          <w:highlight w:val="none"/>
          <w:lang w:val="en-US" w:eastAsia="zh-CN"/>
        </w:rPr>
      </w:pPr>
      <w:bookmarkStart w:id="43" w:name="_Toc17293"/>
      <w:bookmarkStart w:id="44" w:name="_Toc1704"/>
      <w:r>
        <w:rPr>
          <w:rFonts w:hint="eastAsia" w:ascii="仿宋" w:hAnsi="仿宋" w:eastAsia="仿宋" w:cs="仿宋"/>
          <w:b/>
          <w:bCs/>
          <w:sz w:val="24"/>
          <w:szCs w:val="24"/>
          <w:highlight w:val="none"/>
          <w:lang w:val="en-US" w:eastAsia="zh-CN"/>
        </w:rPr>
        <w:t>5、投标费用</w:t>
      </w:r>
      <w:bookmarkEnd w:id="43"/>
      <w:bookmarkEnd w:id="44"/>
    </w:p>
    <w:p w14:paraId="03DC776A">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不论投标结果如何，投标人均应自行承担所有与投标有关的全部费用。</w:t>
      </w:r>
    </w:p>
    <w:p w14:paraId="1302C9EB">
      <w:pPr>
        <w:spacing w:line="300" w:lineRule="auto"/>
        <w:outlineLvl w:val="1"/>
        <w:rPr>
          <w:rFonts w:hint="eastAsia" w:ascii="仿宋" w:hAnsi="仿宋" w:eastAsia="仿宋" w:cs="仿宋"/>
          <w:b/>
          <w:bCs/>
          <w:sz w:val="24"/>
          <w:szCs w:val="24"/>
          <w:highlight w:val="none"/>
          <w:lang w:val="en-US" w:eastAsia="zh-CN"/>
        </w:rPr>
      </w:pPr>
      <w:bookmarkStart w:id="45" w:name="_Toc22117"/>
      <w:bookmarkStart w:id="46" w:name="_Toc19554"/>
      <w:r>
        <w:rPr>
          <w:rFonts w:hint="eastAsia" w:ascii="仿宋" w:hAnsi="仿宋" w:eastAsia="仿宋" w:cs="仿宋"/>
          <w:b/>
          <w:bCs/>
          <w:sz w:val="24"/>
          <w:szCs w:val="24"/>
          <w:highlight w:val="none"/>
          <w:lang w:val="en-US" w:eastAsia="zh-CN"/>
        </w:rPr>
        <w:t>6、联合体投标</w:t>
      </w:r>
      <w:bookmarkEnd w:id="45"/>
      <w:bookmarkEnd w:id="46"/>
    </w:p>
    <w:p w14:paraId="1E933B62">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联合体各方均应当满足《中华人民共和国政府采购法》第二十二条规定的条件，并在投标文件中提供联合体各方的相关证明材料。</w:t>
      </w:r>
    </w:p>
    <w:p w14:paraId="1D231982">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A9C68FD">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64C00135">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联合体成员存在不良信用记录的，视同联合体存在不良信用记录。</w:t>
      </w:r>
    </w:p>
    <w:p w14:paraId="26605F84">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504F7151">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联合体各方应当共同与采购人签订采购合同，就合同约定的事项对采购人承担连带责任。</w:t>
      </w:r>
    </w:p>
    <w:p w14:paraId="4F91D7DD">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本项目接受联合体投标。</w:t>
      </w:r>
    </w:p>
    <w:p w14:paraId="4E42B44C">
      <w:pPr>
        <w:spacing w:line="300" w:lineRule="auto"/>
        <w:outlineLvl w:val="1"/>
        <w:rPr>
          <w:rFonts w:hint="eastAsia" w:ascii="仿宋" w:hAnsi="仿宋" w:eastAsia="仿宋" w:cs="仿宋"/>
          <w:b/>
          <w:bCs/>
          <w:sz w:val="24"/>
          <w:szCs w:val="24"/>
          <w:highlight w:val="none"/>
          <w:lang w:val="en-US" w:eastAsia="zh-CN"/>
        </w:rPr>
      </w:pPr>
      <w:bookmarkStart w:id="47" w:name="_Toc11478"/>
      <w:bookmarkStart w:id="48" w:name="_Toc21389"/>
      <w:r>
        <w:rPr>
          <w:rFonts w:hint="eastAsia" w:ascii="仿宋" w:hAnsi="仿宋" w:eastAsia="仿宋" w:cs="仿宋"/>
          <w:b/>
          <w:bCs/>
          <w:sz w:val="24"/>
          <w:szCs w:val="24"/>
          <w:highlight w:val="none"/>
          <w:lang w:val="en-US" w:eastAsia="zh-CN"/>
        </w:rPr>
        <w:t>7、转包与分包</w:t>
      </w:r>
      <w:bookmarkEnd w:id="47"/>
      <w:bookmarkEnd w:id="48"/>
    </w:p>
    <w:p w14:paraId="791D41CB">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（1）本项目不允许转包。</w:t>
      </w:r>
    </w:p>
    <w:p w14:paraId="60265D64">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（2）本项目不可以分包。</w:t>
      </w:r>
    </w:p>
    <w:p w14:paraId="35523592">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（3）投标人应仔细阅读招标文件的所有内容，按照招标文件的要求提交投标文件，并对所提供的全部资料的真实性承担法律责任。</w:t>
      </w:r>
    </w:p>
    <w:p w14:paraId="5B80AAB4">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006C957C">
      <w:pPr>
        <w:spacing w:line="300" w:lineRule="auto"/>
        <w:outlineLvl w:val="1"/>
        <w:rPr>
          <w:rFonts w:hint="eastAsia" w:ascii="仿宋" w:hAnsi="仿宋" w:eastAsia="仿宋" w:cs="仿宋"/>
          <w:b/>
          <w:bCs/>
          <w:sz w:val="24"/>
          <w:szCs w:val="24"/>
          <w:highlight w:val="none"/>
          <w:lang w:val="en-US" w:eastAsia="zh-CN"/>
        </w:rPr>
      </w:pPr>
      <w:bookmarkStart w:id="49" w:name="_Toc4294"/>
      <w:bookmarkStart w:id="50" w:name="_Toc14774"/>
      <w:r>
        <w:rPr>
          <w:rFonts w:hint="eastAsia" w:ascii="仿宋" w:hAnsi="仿宋" w:eastAsia="仿宋" w:cs="仿宋"/>
          <w:b/>
          <w:bCs/>
          <w:sz w:val="24"/>
          <w:szCs w:val="24"/>
          <w:highlight w:val="none"/>
          <w:lang w:val="en-US" w:eastAsia="zh-CN"/>
        </w:rPr>
        <w:t>8、质疑和投诉</w:t>
      </w:r>
      <w:bookmarkEnd w:id="49"/>
      <w:bookmarkEnd w:id="50"/>
    </w:p>
    <w:p w14:paraId="64B2C996">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6D2020C6">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2C2E234">
      <w:pPr>
        <w:spacing w:line="300" w:lineRule="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9、纪律与保密事项</w:t>
      </w:r>
    </w:p>
    <w:p w14:paraId="54DAF436">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7AFAD81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在确定中标供应商之前，投标人不得与采购人就投标价格、投标方案等实质性内容进行谈判，也不得私下接触评标委员会成员。</w:t>
      </w:r>
    </w:p>
    <w:p w14:paraId="205116F2">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在确定中标供应商之前，投标人试图在投标文件审查、澄清、比较和评价时对评标委员会、采购人和采购代理机构施加任何影响都可能导致其投标无效。</w:t>
      </w:r>
    </w:p>
    <w:p w14:paraId="202C878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获得本招标文件者，须履行本项目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保密义务，不得将因本次项目获得的信息向第三人外传，不得将招标文件用作本次投标以外的任何用途。</w:t>
      </w:r>
    </w:p>
    <w:p w14:paraId="6B202A4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由采购人向投标人提供的图纸、详细资料、样品、模型、模件和所有</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资料，均为保密资料，</w:t>
      </w:r>
      <w:r>
        <w:rPr>
          <w:rFonts w:hint="eastAsia" w:ascii="仿宋" w:hAnsi="仿宋" w:eastAsia="仿宋" w:cs="仿宋"/>
          <w:sz w:val="24"/>
          <w:szCs w:val="24"/>
          <w:highlight w:val="none"/>
          <w:lang w:eastAsia="zh-CN"/>
        </w:rPr>
        <w:t>仅</w:t>
      </w:r>
      <w:r>
        <w:rPr>
          <w:rFonts w:hint="eastAsia" w:ascii="仿宋" w:hAnsi="仿宋" w:eastAsia="仿宋" w:cs="仿宋"/>
          <w:sz w:val="24"/>
          <w:szCs w:val="24"/>
          <w:highlight w:val="none"/>
        </w:rPr>
        <w:t>用于它所规定的用途。除非得到采购人的同意，不能向任何第三方透露。开标结束后，应采购人要求，投标人应归还所有从采购人处获得的保密资料。</w:t>
      </w:r>
    </w:p>
    <w:p w14:paraId="0BC0907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采购人或采购代理机构有权将供应商提供的所有资料向有关政府部门或评审小组披露。</w:t>
      </w:r>
    </w:p>
    <w:p w14:paraId="0612D8B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7518447">
      <w:pPr>
        <w:keepNext w:val="0"/>
        <w:keepLines w:val="0"/>
        <w:pageBreakBefore w:val="0"/>
        <w:numPr>
          <w:ilvl w:val="0"/>
          <w:numId w:val="6"/>
        </w:numPr>
        <w:kinsoku/>
        <w:wordWrap/>
        <w:overflowPunct/>
        <w:topLinePunct w:val="0"/>
        <w:autoSpaceDE/>
        <w:autoSpaceDN/>
        <w:bidi w:val="0"/>
        <w:adjustRightInd/>
        <w:snapToGrid/>
        <w:spacing w:line="300" w:lineRule="exact"/>
        <w:ind w:left="0" w:right="0" w:firstLine="562" w:firstLineChars="200"/>
        <w:jc w:val="center"/>
        <w:textAlignment w:val="auto"/>
        <w:rPr>
          <w:rFonts w:hint="eastAsia" w:ascii="仿宋" w:hAnsi="仿宋" w:eastAsia="仿宋" w:cs="仿宋"/>
          <w:b/>
          <w:bCs/>
          <w:color w:val="000000"/>
          <w:sz w:val="28"/>
          <w:szCs w:val="28"/>
          <w:highlight w:val="none"/>
          <w:lang w:val="en-US" w:eastAsia="zh-CN"/>
        </w:rPr>
      </w:pPr>
      <w:bookmarkStart w:id="51" w:name="_Toc521014777"/>
      <w:bookmarkStart w:id="52" w:name="_Toc28270"/>
      <w:bookmarkStart w:id="53" w:name="_Toc32144"/>
      <w:bookmarkStart w:id="54" w:name="_Toc30350"/>
      <w:bookmarkStart w:id="55" w:name="_Toc503212209"/>
      <w:r>
        <w:rPr>
          <w:rFonts w:hint="eastAsia" w:ascii="仿宋" w:hAnsi="仿宋" w:eastAsia="仿宋" w:cs="仿宋"/>
          <w:b/>
          <w:bCs/>
          <w:color w:val="000000"/>
          <w:sz w:val="28"/>
          <w:szCs w:val="28"/>
          <w:highlight w:val="none"/>
          <w:lang w:val="en-US" w:eastAsia="zh-CN"/>
        </w:rPr>
        <w:t>招标文件</w:t>
      </w:r>
      <w:bookmarkEnd w:id="51"/>
      <w:bookmarkEnd w:id="52"/>
      <w:bookmarkEnd w:id="53"/>
      <w:bookmarkEnd w:id="54"/>
      <w:bookmarkEnd w:id="55"/>
    </w:p>
    <w:p w14:paraId="5623864E">
      <w:pPr>
        <w:keepNext w:val="0"/>
        <w:keepLines w:val="0"/>
        <w:pageBreakBefore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eastAsia" w:ascii="仿宋" w:hAnsi="仿宋" w:eastAsia="仿宋" w:cs="仿宋"/>
          <w:b/>
          <w:bCs/>
          <w:color w:val="000000"/>
          <w:sz w:val="28"/>
          <w:szCs w:val="28"/>
          <w:highlight w:val="none"/>
          <w:lang w:val="en-US" w:eastAsia="zh-CN"/>
        </w:rPr>
      </w:pPr>
    </w:p>
    <w:p w14:paraId="34808A09">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 w:hAnsi="仿宋" w:eastAsia="仿宋" w:cs="仿宋"/>
          <w:b/>
          <w:bCs/>
          <w:sz w:val="24"/>
          <w:szCs w:val="32"/>
          <w:highlight w:val="none"/>
          <w:lang w:val="en-US" w:eastAsia="zh-CN"/>
        </w:rPr>
      </w:pPr>
      <w:r>
        <w:rPr>
          <w:rFonts w:hint="eastAsia" w:ascii="仿宋" w:hAnsi="仿宋" w:eastAsia="仿宋" w:cs="仿宋"/>
          <w:b/>
          <w:bCs/>
          <w:sz w:val="24"/>
          <w:szCs w:val="32"/>
          <w:highlight w:val="none"/>
          <w:lang w:val="en-US" w:eastAsia="zh-CN"/>
        </w:rPr>
        <w:t>1、招标文件的构成。本招标文件由以下部分组成 ：</w:t>
      </w:r>
    </w:p>
    <w:p w14:paraId="73A4E69D">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第一章 招标公告</w:t>
      </w:r>
    </w:p>
    <w:p w14:paraId="4C10516A">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第二章 投标人须知</w:t>
      </w:r>
    </w:p>
    <w:p w14:paraId="079B8D89">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第三章 资格审查</w:t>
      </w:r>
    </w:p>
    <w:p w14:paraId="3753F4FD">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第四章 评标程序、评标办法和评标标准</w:t>
      </w:r>
    </w:p>
    <w:p w14:paraId="10D6FD94">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第四章 采购需求</w:t>
      </w:r>
    </w:p>
    <w:p w14:paraId="0F80B7EA">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第五章 拟签订的合同文本</w:t>
      </w:r>
    </w:p>
    <w:p w14:paraId="1E176245">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第六章 投标文件格式</w:t>
      </w:r>
    </w:p>
    <w:p w14:paraId="60DEBE2D">
      <w:pPr>
        <w:spacing w:line="300" w:lineRule="auto"/>
        <w:outlineLvl w:val="1"/>
        <w:rPr>
          <w:rFonts w:hint="eastAsia" w:ascii="仿宋" w:hAnsi="仿宋" w:eastAsia="仿宋" w:cs="仿宋"/>
          <w:b/>
          <w:bCs/>
          <w:sz w:val="24"/>
          <w:szCs w:val="32"/>
          <w:highlight w:val="none"/>
          <w:lang w:val="en-US" w:eastAsia="zh-CN"/>
        </w:rPr>
      </w:pPr>
      <w:bookmarkStart w:id="56" w:name="_Toc18044"/>
      <w:bookmarkStart w:id="57" w:name="_Toc12877"/>
      <w:r>
        <w:rPr>
          <w:rFonts w:hint="eastAsia" w:ascii="仿宋" w:hAnsi="仿宋" w:eastAsia="仿宋" w:cs="仿宋"/>
          <w:b/>
          <w:bCs/>
          <w:sz w:val="24"/>
          <w:szCs w:val="32"/>
          <w:highlight w:val="none"/>
          <w:lang w:val="en-US" w:eastAsia="zh-CN"/>
        </w:rPr>
        <w:t>2、投标人的风险</w:t>
      </w:r>
      <w:bookmarkEnd w:id="56"/>
      <w:bookmarkEnd w:id="57"/>
    </w:p>
    <w:p w14:paraId="0CD5EDF3">
      <w:pPr>
        <w:spacing w:line="300" w:lineRule="auto"/>
        <w:ind w:left="210" w:leftChars="100"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投标人没有按照招标文件要求提供全部资料，或者投标人没有对招标文件在各方面作出实质性响应是投标人的风险，并可能导致其投标为无效标。</w:t>
      </w:r>
    </w:p>
    <w:p w14:paraId="42525D52">
      <w:pPr>
        <w:spacing w:line="300" w:lineRule="auto"/>
        <w:outlineLvl w:val="1"/>
        <w:rPr>
          <w:rFonts w:hint="eastAsia" w:ascii="仿宋" w:hAnsi="仿宋" w:eastAsia="仿宋" w:cs="仿宋"/>
          <w:b/>
          <w:bCs/>
          <w:sz w:val="24"/>
          <w:szCs w:val="32"/>
          <w:highlight w:val="none"/>
          <w:lang w:val="en-US" w:eastAsia="zh-CN"/>
        </w:rPr>
      </w:pPr>
      <w:bookmarkStart w:id="58" w:name="_Toc15241"/>
      <w:bookmarkStart w:id="59" w:name="_Toc27766"/>
      <w:r>
        <w:rPr>
          <w:rFonts w:hint="eastAsia" w:ascii="仿宋" w:hAnsi="仿宋" w:eastAsia="仿宋" w:cs="仿宋"/>
          <w:b/>
          <w:bCs/>
          <w:sz w:val="24"/>
          <w:szCs w:val="32"/>
          <w:highlight w:val="none"/>
          <w:lang w:val="en-US" w:eastAsia="zh-CN"/>
        </w:rPr>
        <w:t>3、招标文件的澄清与修改</w:t>
      </w:r>
      <w:bookmarkEnd w:id="58"/>
      <w:bookmarkEnd w:id="59"/>
      <w:r>
        <w:rPr>
          <w:rFonts w:hint="eastAsia" w:ascii="仿宋" w:hAnsi="仿宋" w:eastAsia="仿宋" w:cs="仿宋"/>
          <w:b/>
          <w:bCs/>
          <w:sz w:val="24"/>
          <w:szCs w:val="32"/>
          <w:highlight w:val="none"/>
          <w:lang w:val="en-US" w:eastAsia="zh-CN"/>
        </w:rPr>
        <w:t xml:space="preserve"> </w:t>
      </w:r>
    </w:p>
    <w:p w14:paraId="2155A58F">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7E584971">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14:paraId="0FC5C5E2">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（3）招标文件的澄清、答复、修改或补充都应该通过本代理机构以法定形式发布，招标人非通过本机构，不得擅自澄清、答复、修改或补充招标文件。</w:t>
      </w:r>
    </w:p>
    <w:p w14:paraId="1D6AA378">
      <w:pPr>
        <w:spacing w:line="300" w:lineRule="auto"/>
        <w:jc w:val="center"/>
        <w:rPr>
          <w:rFonts w:hint="eastAsia" w:ascii="仿宋" w:hAnsi="仿宋" w:eastAsia="仿宋" w:cs="仿宋"/>
          <w:b/>
          <w:bCs/>
          <w:color w:val="000000"/>
          <w:kern w:val="2"/>
          <w:sz w:val="28"/>
          <w:szCs w:val="28"/>
          <w:highlight w:val="none"/>
          <w:lang w:val="en-US" w:eastAsia="zh-CN" w:bidi="ar-SA"/>
        </w:rPr>
      </w:pPr>
      <w:bookmarkStart w:id="60" w:name="_Toc27918"/>
      <w:bookmarkStart w:id="61" w:name="_Toc521014778"/>
      <w:bookmarkStart w:id="62" w:name="_Toc765"/>
      <w:bookmarkStart w:id="63" w:name="_Toc12173"/>
      <w:bookmarkStart w:id="64" w:name="_Toc503212210"/>
      <w:bookmarkStart w:id="65" w:name="_Toc10814"/>
      <w:bookmarkStart w:id="66" w:name="_Toc8746"/>
      <w:r>
        <w:rPr>
          <w:rFonts w:hint="eastAsia" w:ascii="仿宋" w:hAnsi="仿宋" w:eastAsia="仿宋" w:cs="仿宋"/>
          <w:b/>
          <w:bCs/>
          <w:color w:val="000000"/>
          <w:kern w:val="2"/>
          <w:sz w:val="28"/>
          <w:szCs w:val="28"/>
          <w:highlight w:val="none"/>
          <w:lang w:val="en-US" w:eastAsia="zh-CN" w:bidi="ar-SA"/>
        </w:rPr>
        <w:t>（三）投标文件的编制</w:t>
      </w:r>
      <w:bookmarkEnd w:id="60"/>
      <w:bookmarkEnd w:id="61"/>
      <w:bookmarkEnd w:id="62"/>
      <w:bookmarkEnd w:id="63"/>
      <w:bookmarkEnd w:id="64"/>
      <w:bookmarkEnd w:id="65"/>
      <w:bookmarkEnd w:id="66"/>
    </w:p>
    <w:p w14:paraId="14053092">
      <w:pPr>
        <w:spacing w:line="300" w:lineRule="auto"/>
        <w:rPr>
          <w:rFonts w:hint="eastAsia" w:ascii="仿宋" w:hAnsi="仿宋" w:eastAsia="仿宋" w:cs="仿宋"/>
          <w:b/>
          <w:bCs/>
          <w:sz w:val="24"/>
          <w:szCs w:val="32"/>
          <w:highlight w:val="none"/>
        </w:rPr>
      </w:pPr>
      <w:bookmarkStart w:id="67" w:name="_Toc29977"/>
      <w:bookmarkStart w:id="68" w:name="_Toc23068"/>
      <w:bookmarkStart w:id="69" w:name="_Toc521014779"/>
      <w:bookmarkStart w:id="70" w:name="_Toc503212211"/>
      <w:r>
        <w:rPr>
          <w:rFonts w:hint="eastAsia" w:ascii="仿宋" w:hAnsi="仿宋" w:eastAsia="仿宋" w:cs="仿宋"/>
          <w:b/>
          <w:bCs/>
          <w:sz w:val="24"/>
          <w:szCs w:val="32"/>
          <w:highlight w:val="none"/>
        </w:rPr>
        <w:t>投标文件的组成</w:t>
      </w:r>
      <w:bookmarkEnd w:id="67"/>
      <w:bookmarkEnd w:id="68"/>
      <w:bookmarkEnd w:id="69"/>
      <w:bookmarkEnd w:id="70"/>
    </w:p>
    <w:p w14:paraId="0BEB1E58">
      <w:pPr>
        <w:spacing w:line="300" w:lineRule="auto"/>
        <w:outlineLvl w:val="2"/>
        <w:rPr>
          <w:rFonts w:hint="eastAsia" w:ascii="仿宋" w:hAnsi="仿宋" w:eastAsia="仿宋" w:cs="仿宋"/>
          <w:sz w:val="24"/>
          <w:szCs w:val="32"/>
          <w:highlight w:val="none"/>
        </w:rPr>
      </w:pPr>
      <w:bookmarkStart w:id="71" w:name="_Toc21340"/>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投标文件由报价部分</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商务</w:t>
      </w:r>
      <w:r>
        <w:rPr>
          <w:rFonts w:hint="eastAsia" w:ascii="仿宋" w:hAnsi="仿宋" w:eastAsia="仿宋" w:cs="仿宋"/>
          <w:sz w:val="24"/>
          <w:szCs w:val="32"/>
          <w:highlight w:val="none"/>
          <w:lang w:val="en-US" w:eastAsia="zh-CN"/>
        </w:rPr>
        <w:t>部分、</w:t>
      </w:r>
      <w:r>
        <w:rPr>
          <w:rFonts w:hint="eastAsia" w:ascii="仿宋" w:hAnsi="仿宋" w:eastAsia="仿宋" w:cs="仿宋"/>
          <w:sz w:val="24"/>
          <w:szCs w:val="32"/>
          <w:highlight w:val="none"/>
        </w:rPr>
        <w:t>技术部分组成。</w:t>
      </w:r>
      <w:bookmarkEnd w:id="71"/>
    </w:p>
    <w:p w14:paraId="0E231CA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、投标单位应按招标文件的要求提供招标文件，并保证所有材料的真实性，以确保其投标对招标文件做出实质性的响应。</w:t>
      </w:r>
    </w:p>
    <w:p w14:paraId="53B337C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、招标文件使用的计量单位，应采用国家法定的计量单位。</w:t>
      </w:r>
    </w:p>
    <w:p w14:paraId="3D5BA448">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、投标人所递交的投标文件应包含以下文件</w:t>
      </w:r>
      <w:r>
        <w:rPr>
          <w:rFonts w:hint="eastAsia" w:ascii="仿宋" w:hAnsi="仿宋" w:eastAsia="仿宋" w:cs="仿宋"/>
          <w:sz w:val="24"/>
          <w:szCs w:val="32"/>
          <w:highlight w:val="none"/>
          <w:lang w:eastAsia="zh-CN"/>
        </w:rPr>
        <w:t xml:space="preserve"> ：</w:t>
      </w:r>
    </w:p>
    <w:p w14:paraId="46DA1CDD">
      <w:pPr>
        <w:spacing w:line="300" w:lineRule="auto"/>
        <w:rPr>
          <w:rFonts w:hint="eastAsia" w:ascii="仿宋" w:hAnsi="仿宋" w:eastAsia="仿宋" w:cs="仿宋"/>
          <w:b/>
          <w:bCs/>
          <w:sz w:val="24"/>
          <w:szCs w:val="32"/>
          <w:highlight w:val="none"/>
          <w:lang w:eastAsia="zh-CN"/>
        </w:rPr>
      </w:pPr>
      <w:bookmarkStart w:id="72" w:name="_Toc24112"/>
      <w:bookmarkStart w:id="73" w:name="_Toc18015"/>
      <w:bookmarkStart w:id="74" w:name="_Toc521014780"/>
      <w:bookmarkStart w:id="75" w:name="_Toc28971"/>
      <w:bookmarkStart w:id="76" w:name="_Toc14838"/>
      <w:bookmarkStart w:id="77" w:name="_Toc503212212"/>
      <w:r>
        <w:rPr>
          <w:rFonts w:hint="eastAsia" w:ascii="仿宋" w:hAnsi="仿宋" w:eastAsia="仿宋" w:cs="仿宋"/>
          <w:b/>
          <w:bCs/>
          <w:sz w:val="24"/>
          <w:szCs w:val="32"/>
          <w:highlight w:val="none"/>
        </w:rPr>
        <w:t>报价部分</w:t>
      </w:r>
      <w:r>
        <w:rPr>
          <w:rFonts w:hint="eastAsia" w:ascii="仿宋" w:hAnsi="仿宋" w:eastAsia="仿宋" w:cs="仿宋"/>
          <w:b/>
          <w:bCs/>
          <w:sz w:val="24"/>
          <w:szCs w:val="32"/>
          <w:highlight w:val="none"/>
          <w:lang w:eastAsia="zh-CN"/>
        </w:rPr>
        <w:t xml:space="preserve"> ：</w:t>
      </w:r>
    </w:p>
    <w:p w14:paraId="01E48AD1">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1、投标函；</w:t>
      </w:r>
    </w:p>
    <w:p w14:paraId="39281C65">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2、开标一览表；</w:t>
      </w:r>
    </w:p>
    <w:p w14:paraId="41F2A5B6">
      <w:pPr>
        <w:spacing w:line="300" w:lineRule="auto"/>
        <w:rPr>
          <w:rFonts w:hint="eastAsia" w:ascii="仿宋" w:hAnsi="仿宋" w:eastAsia="仿宋" w:cs="仿宋"/>
          <w:b/>
          <w:bCs/>
          <w:sz w:val="24"/>
          <w:szCs w:val="32"/>
          <w:highlight w:val="none"/>
          <w:lang w:eastAsia="zh-CN"/>
        </w:rPr>
      </w:pPr>
      <w:r>
        <w:rPr>
          <w:rFonts w:hint="eastAsia" w:ascii="仿宋" w:hAnsi="仿宋" w:eastAsia="仿宋" w:cs="仿宋"/>
          <w:b/>
          <w:bCs/>
          <w:sz w:val="24"/>
          <w:szCs w:val="32"/>
          <w:highlight w:val="none"/>
        </w:rPr>
        <w:t>商务部分</w:t>
      </w:r>
      <w:r>
        <w:rPr>
          <w:rFonts w:hint="eastAsia" w:ascii="仿宋" w:hAnsi="仿宋" w:eastAsia="仿宋" w:cs="仿宋"/>
          <w:b/>
          <w:bCs/>
          <w:sz w:val="24"/>
          <w:szCs w:val="32"/>
          <w:highlight w:val="none"/>
          <w:lang w:eastAsia="zh-CN"/>
        </w:rPr>
        <w:t xml:space="preserve"> ：</w:t>
      </w:r>
    </w:p>
    <w:p w14:paraId="38F3747C">
      <w:pPr>
        <w:spacing w:line="300" w:lineRule="auto"/>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3、投标单位基本情况表</w:t>
      </w:r>
    </w:p>
    <w:p w14:paraId="566321C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出具法人营业执照函（格式见附件）；</w:t>
      </w:r>
    </w:p>
    <w:p w14:paraId="05BA0FB1">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投标单位简介，并附投标人资质证件等；</w:t>
      </w:r>
    </w:p>
    <w:p w14:paraId="37CA1BB9">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5、联合体协议书（如是）</w:t>
      </w:r>
    </w:p>
    <w:p w14:paraId="3B532912">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6、法定代表人身份证明</w:t>
      </w:r>
    </w:p>
    <w:p w14:paraId="09B3A0A1">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7、法定代表人授权委托书</w:t>
      </w:r>
      <w:r>
        <w:rPr>
          <w:rFonts w:hint="eastAsia" w:ascii="仿宋" w:hAnsi="仿宋" w:eastAsia="仿宋" w:cs="仿宋"/>
          <w:sz w:val="24"/>
          <w:szCs w:val="32"/>
          <w:highlight w:val="none"/>
        </w:rPr>
        <w:t>；</w:t>
      </w:r>
    </w:p>
    <w:p w14:paraId="0BC914B2">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8、项目负责人任命书</w:t>
      </w:r>
      <w:r>
        <w:rPr>
          <w:rFonts w:hint="eastAsia" w:ascii="仿宋" w:hAnsi="仿宋" w:eastAsia="仿宋" w:cs="仿宋"/>
          <w:sz w:val="24"/>
          <w:szCs w:val="32"/>
          <w:highlight w:val="none"/>
        </w:rPr>
        <w:t>；</w:t>
      </w:r>
    </w:p>
    <w:p w14:paraId="2BFC3505">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9、投标人资格声明函；</w:t>
      </w:r>
    </w:p>
    <w:p w14:paraId="7199C6E6">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10、信用查询记录；</w:t>
      </w:r>
    </w:p>
    <w:p w14:paraId="79F2171A">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11、资格证明文件；</w:t>
      </w:r>
    </w:p>
    <w:p w14:paraId="3A6FE177">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12、 投标保证金说明；</w:t>
      </w:r>
    </w:p>
    <w:p w14:paraId="444BFB94">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13、</w:t>
      </w:r>
      <w:r>
        <w:rPr>
          <w:rFonts w:hint="eastAsia" w:ascii="仿宋" w:hAnsi="仿宋" w:eastAsia="仿宋" w:cs="仿宋"/>
          <w:sz w:val="24"/>
          <w:szCs w:val="32"/>
          <w:highlight w:val="none"/>
        </w:rPr>
        <w:t xml:space="preserve">商务偏离表（格式见附件）；  </w:t>
      </w:r>
    </w:p>
    <w:p w14:paraId="05EAA10A">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14、</w:t>
      </w:r>
      <w:r>
        <w:rPr>
          <w:rFonts w:hint="eastAsia" w:ascii="仿宋" w:hAnsi="仿宋" w:eastAsia="仿宋" w:cs="仿宋"/>
          <w:sz w:val="24"/>
          <w:szCs w:val="32"/>
          <w:highlight w:val="none"/>
          <w:lang w:eastAsia="zh-CN"/>
        </w:rPr>
        <w:t>投标人</w:t>
      </w:r>
      <w:r>
        <w:rPr>
          <w:rFonts w:hint="eastAsia" w:ascii="仿宋" w:hAnsi="仿宋" w:eastAsia="仿宋" w:cs="仿宋"/>
          <w:sz w:val="24"/>
          <w:szCs w:val="32"/>
          <w:highlight w:val="none"/>
        </w:rPr>
        <w:t>反商业贿赂承诺书（格式见附件）；</w:t>
      </w:r>
    </w:p>
    <w:p w14:paraId="6C65EDA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15、无围标、串标等违法违规行为承诺书</w:t>
      </w:r>
      <w:r>
        <w:rPr>
          <w:rFonts w:hint="eastAsia" w:ascii="仿宋" w:hAnsi="仿宋" w:eastAsia="仿宋" w:cs="仿宋"/>
          <w:sz w:val="24"/>
          <w:szCs w:val="32"/>
          <w:highlight w:val="none"/>
        </w:rPr>
        <w:t>（格式见附件）；</w:t>
      </w:r>
    </w:p>
    <w:p w14:paraId="396F6AE3">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16、中小企业声明函、JY企业、残疾人福利性单位及其他相关的充分的证明材料</w:t>
      </w:r>
      <w:r>
        <w:rPr>
          <w:rFonts w:hint="eastAsia" w:ascii="仿宋" w:hAnsi="仿宋" w:eastAsia="仿宋" w:cs="仿宋"/>
          <w:sz w:val="24"/>
          <w:szCs w:val="32"/>
          <w:highlight w:val="none"/>
        </w:rPr>
        <w:t>；</w:t>
      </w:r>
    </w:p>
    <w:p w14:paraId="2E2253A5">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17、虚假应标承担责任声明（统一格式）；</w:t>
      </w:r>
    </w:p>
    <w:p w14:paraId="412CCEE9">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18、关于对本投标文件中资料真实性的承诺；</w:t>
      </w:r>
    </w:p>
    <w:p w14:paraId="4E30ACA1">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19、其它材料；</w:t>
      </w:r>
    </w:p>
    <w:p w14:paraId="7509D912">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20、主要相关项目业绩一览表</w:t>
      </w:r>
    </w:p>
    <w:p w14:paraId="5EFB702F">
      <w:pPr>
        <w:spacing w:line="300" w:lineRule="auto"/>
        <w:rPr>
          <w:rFonts w:hint="eastAsia" w:ascii="仿宋" w:hAnsi="仿宋" w:eastAsia="仿宋" w:cs="仿宋"/>
          <w:b/>
          <w:bCs/>
          <w:sz w:val="24"/>
          <w:szCs w:val="32"/>
          <w:highlight w:val="none"/>
          <w:lang w:eastAsia="zh-CN"/>
        </w:rPr>
      </w:pPr>
      <w:r>
        <w:rPr>
          <w:rFonts w:hint="eastAsia" w:ascii="仿宋" w:hAnsi="仿宋" w:eastAsia="仿宋" w:cs="仿宋"/>
          <w:b/>
          <w:bCs/>
          <w:sz w:val="24"/>
          <w:szCs w:val="32"/>
          <w:highlight w:val="none"/>
        </w:rPr>
        <w:t>技术部分</w:t>
      </w:r>
      <w:r>
        <w:rPr>
          <w:rFonts w:hint="eastAsia" w:ascii="仿宋" w:hAnsi="仿宋" w:eastAsia="仿宋" w:cs="仿宋"/>
          <w:b/>
          <w:bCs/>
          <w:sz w:val="24"/>
          <w:szCs w:val="32"/>
          <w:highlight w:val="none"/>
          <w:lang w:eastAsia="zh-CN"/>
        </w:rPr>
        <w:t xml:space="preserve"> ：</w:t>
      </w:r>
    </w:p>
    <w:p w14:paraId="46FB2499">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21、</w:t>
      </w:r>
      <w:r>
        <w:rPr>
          <w:rFonts w:hint="eastAsia" w:ascii="仿宋" w:hAnsi="仿宋" w:eastAsia="仿宋" w:cs="仿宋"/>
          <w:sz w:val="24"/>
          <w:szCs w:val="32"/>
          <w:highlight w:val="none"/>
        </w:rPr>
        <w:t>对本次</w:t>
      </w:r>
      <w:r>
        <w:rPr>
          <w:rFonts w:hint="eastAsia" w:ascii="仿宋" w:hAnsi="仿宋" w:eastAsia="仿宋" w:cs="仿宋"/>
          <w:sz w:val="24"/>
          <w:szCs w:val="32"/>
          <w:highlight w:val="none"/>
          <w:lang w:val="en-US" w:eastAsia="zh-CN"/>
        </w:rPr>
        <w:t>投标项目的技术方案（</w:t>
      </w:r>
      <w:r>
        <w:rPr>
          <w:rFonts w:hint="eastAsia" w:ascii="仿宋" w:hAnsi="仿宋" w:eastAsia="仿宋" w:cs="仿宋"/>
          <w:sz w:val="24"/>
          <w:szCs w:val="32"/>
          <w:highlight w:val="none"/>
        </w:rPr>
        <w:t>投标人视需要自行编写</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w:t>
      </w:r>
    </w:p>
    <w:p w14:paraId="2234794B">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22、服务承诺书</w:t>
      </w:r>
    </w:p>
    <w:p w14:paraId="09BF020E">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23、</w:t>
      </w:r>
      <w:r>
        <w:rPr>
          <w:rFonts w:hint="eastAsia" w:ascii="仿宋" w:hAnsi="仿宋" w:eastAsia="仿宋" w:cs="仿宋"/>
          <w:sz w:val="24"/>
          <w:szCs w:val="32"/>
          <w:highlight w:val="none"/>
          <w:lang w:eastAsia="zh-CN"/>
        </w:rPr>
        <w:t>其他有利于投标人的资料（如有）</w:t>
      </w:r>
    </w:p>
    <w:p w14:paraId="0ED3F687">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rPr>
        <w:t>▲注</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投标文件应由法定代表人或授权代表</w:t>
      </w:r>
      <w:r>
        <w:rPr>
          <w:rFonts w:hint="eastAsia" w:ascii="仿宋" w:hAnsi="仿宋" w:eastAsia="仿宋" w:cs="仿宋"/>
          <w:sz w:val="24"/>
          <w:szCs w:val="32"/>
          <w:highlight w:val="none"/>
          <w:lang w:eastAsia="zh-CN"/>
        </w:rPr>
        <w:t>在</w:t>
      </w:r>
      <w:r>
        <w:rPr>
          <w:rFonts w:hint="eastAsia" w:ascii="仿宋" w:hAnsi="仿宋" w:eastAsia="仿宋" w:cs="仿宋"/>
          <w:sz w:val="24"/>
          <w:szCs w:val="32"/>
          <w:highlight w:val="none"/>
        </w:rPr>
        <w:t>规定</w:t>
      </w:r>
      <w:r>
        <w:rPr>
          <w:rFonts w:hint="eastAsia" w:ascii="仿宋" w:hAnsi="仿宋" w:eastAsia="仿宋" w:cs="仿宋"/>
          <w:sz w:val="24"/>
          <w:szCs w:val="32"/>
          <w:highlight w:val="none"/>
          <w:lang w:eastAsia="zh-CN"/>
        </w:rPr>
        <w:t>签字盖章</w:t>
      </w:r>
      <w:r>
        <w:rPr>
          <w:rFonts w:hint="eastAsia" w:ascii="仿宋" w:hAnsi="仿宋" w:eastAsia="仿宋" w:cs="仿宋"/>
          <w:sz w:val="24"/>
          <w:szCs w:val="32"/>
          <w:highlight w:val="none"/>
        </w:rPr>
        <w:t>处逐一签署及</w:t>
      </w:r>
      <w:r>
        <w:rPr>
          <w:rFonts w:hint="eastAsia" w:ascii="仿宋" w:hAnsi="仿宋" w:eastAsia="仿宋" w:cs="仿宋"/>
          <w:sz w:val="24"/>
          <w:szCs w:val="32"/>
          <w:highlight w:val="none"/>
          <w:lang w:eastAsia="zh-CN"/>
        </w:rPr>
        <w:t>盖章（逐页盖章）</w:t>
      </w:r>
      <w:r>
        <w:rPr>
          <w:rFonts w:hint="eastAsia" w:ascii="仿宋" w:hAnsi="仿宋" w:eastAsia="仿宋" w:cs="仿宋"/>
          <w:sz w:val="24"/>
          <w:szCs w:val="32"/>
          <w:highlight w:val="none"/>
        </w:rPr>
        <w:t>。</w:t>
      </w:r>
    </w:p>
    <w:p w14:paraId="694F1C3E">
      <w:pPr>
        <w:spacing w:line="300" w:lineRule="auto"/>
        <w:outlineLvl w:val="1"/>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投标文件的语言及计量</w:t>
      </w:r>
      <w:bookmarkEnd w:id="72"/>
      <w:bookmarkEnd w:id="73"/>
      <w:bookmarkEnd w:id="74"/>
      <w:bookmarkEnd w:id="75"/>
      <w:bookmarkEnd w:id="76"/>
      <w:bookmarkEnd w:id="77"/>
    </w:p>
    <w:p w14:paraId="307EE8B6">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▲1.投标文件以及投标方与招标方就有关投标事宜的所有来往函电，均应以中文汉语书写。除签名、盖章、专用名称等特殊情形外，以中文汉语以外的文字表述的投标文件视同未提供。</w:t>
      </w:r>
    </w:p>
    <w:p w14:paraId="52913E5B">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▲2.投标计量单位，招标文件已有明确规定的，使用招标文件规定的计量单位；招标文件没有规定的，应采用中华人民共和国法定计量单位（货币单位</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人民币元），否则视同未响应。</w:t>
      </w:r>
    </w:p>
    <w:p w14:paraId="25F6B5AB">
      <w:pPr>
        <w:spacing w:line="300" w:lineRule="auto"/>
        <w:rPr>
          <w:rFonts w:hint="eastAsia" w:ascii="仿宋" w:hAnsi="仿宋" w:eastAsia="仿宋" w:cs="仿宋"/>
          <w:b/>
          <w:bCs/>
          <w:sz w:val="24"/>
          <w:szCs w:val="32"/>
          <w:highlight w:val="none"/>
        </w:rPr>
      </w:pPr>
      <w:bookmarkStart w:id="78" w:name="_Toc521014781"/>
      <w:bookmarkStart w:id="79" w:name="_Toc6985"/>
      <w:bookmarkStart w:id="80" w:name="_Toc3970"/>
      <w:bookmarkStart w:id="81" w:name="_Toc503212213"/>
      <w:r>
        <w:rPr>
          <w:rFonts w:hint="eastAsia" w:ascii="仿宋" w:hAnsi="仿宋" w:eastAsia="仿宋" w:cs="仿宋"/>
          <w:b/>
          <w:bCs/>
          <w:sz w:val="24"/>
          <w:szCs w:val="32"/>
          <w:highlight w:val="none"/>
        </w:rPr>
        <w:t>投标报价</w:t>
      </w:r>
      <w:bookmarkEnd w:id="78"/>
      <w:bookmarkEnd w:id="79"/>
      <w:bookmarkEnd w:id="80"/>
      <w:bookmarkEnd w:id="81"/>
    </w:p>
    <w:p w14:paraId="49098A6F">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rPr>
        <w:t>▲1</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rPr>
        <w:t>报价应在招标报价表上标明单价和总价。单价和总价要相符。价格不一致时，根据《中华人民共和国财政部令第87号</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政府采购货物和服务招标投标管理办法》第五十九条投标文件报价出现前后不一致的，除招标文件另有规定外，按照下列规定修正</w:t>
      </w:r>
      <w:r>
        <w:rPr>
          <w:rFonts w:hint="eastAsia" w:ascii="仿宋" w:hAnsi="仿宋" w:eastAsia="仿宋" w:cs="仿宋"/>
          <w:sz w:val="24"/>
          <w:szCs w:val="32"/>
          <w:highlight w:val="none"/>
          <w:lang w:eastAsia="zh-CN"/>
        </w:rPr>
        <w:t xml:space="preserve"> ：</w:t>
      </w:r>
    </w:p>
    <w:p w14:paraId="3C2B770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（一）投标文件中开标一览表（报价表）内容与投标文件中相应内容不一致的，以开标一览表（报价表）为准；</w:t>
      </w:r>
    </w:p>
    <w:p w14:paraId="6FEA7C51">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（二）大写金额和小写金额不一致的，以大写金额为准；</w:t>
      </w:r>
    </w:p>
    <w:p w14:paraId="51DD149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（三）单价金额小数点或者百分比有明显错位的，以开标一览表的总价为准，并修改单价；</w:t>
      </w:r>
    </w:p>
    <w:p w14:paraId="1BF84E1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（四）总价金额与单价汇总金额不一致的，以单价金额计算结果为准。</w:t>
      </w:r>
    </w:p>
    <w:p w14:paraId="408AC89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▲2 供应商应在投标报价表中标明其提供的所有货物及其相关工作范围内</w:t>
      </w:r>
      <w:r>
        <w:rPr>
          <w:rFonts w:hint="eastAsia" w:ascii="仿宋" w:hAnsi="仿宋" w:eastAsia="仿宋" w:cs="仿宋"/>
          <w:sz w:val="24"/>
          <w:szCs w:val="32"/>
          <w:highlight w:val="none"/>
          <w:lang w:eastAsia="zh-CN"/>
        </w:rPr>
        <w:t>所有</w:t>
      </w:r>
      <w:r>
        <w:rPr>
          <w:rFonts w:hint="eastAsia" w:ascii="仿宋" w:hAnsi="仿宋" w:eastAsia="仿宋" w:cs="仿宋"/>
          <w:sz w:val="24"/>
          <w:szCs w:val="32"/>
          <w:highlight w:val="none"/>
        </w:rPr>
        <w:t>费用的总价，不接受有任何选择性报价。</w:t>
      </w:r>
    </w:p>
    <w:p w14:paraId="405FBE60">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rPr>
        <w:t>▲3</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rPr>
        <w:t>报价时应对下列几点特别注明</w:t>
      </w:r>
      <w:r>
        <w:rPr>
          <w:rFonts w:hint="eastAsia" w:ascii="仿宋" w:hAnsi="仿宋" w:eastAsia="仿宋" w:cs="仿宋"/>
          <w:sz w:val="24"/>
          <w:szCs w:val="32"/>
          <w:highlight w:val="none"/>
          <w:lang w:eastAsia="zh-CN"/>
        </w:rPr>
        <w:t xml:space="preserve"> ：</w:t>
      </w:r>
    </w:p>
    <w:p w14:paraId="5431611C">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3.1招标文件中特别要求的备品备件、易损件和专用工具的费用；</w:t>
      </w:r>
    </w:p>
    <w:p w14:paraId="4F8EF6E5">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3.2招标文件中特别要求的货物、运输、装卸、验收、税费和相关售后服务等费用</w:t>
      </w:r>
      <w:r>
        <w:rPr>
          <w:rFonts w:hint="eastAsia" w:ascii="仿宋" w:hAnsi="仿宋" w:eastAsia="仿宋" w:cs="仿宋"/>
          <w:sz w:val="24"/>
          <w:szCs w:val="32"/>
          <w:highlight w:val="none"/>
          <w:lang w:eastAsia="zh-CN"/>
        </w:rPr>
        <w:t>及其他</w:t>
      </w:r>
      <w:r>
        <w:rPr>
          <w:rFonts w:hint="eastAsia" w:ascii="仿宋" w:hAnsi="仿宋" w:eastAsia="仿宋" w:cs="仿宋"/>
          <w:sz w:val="24"/>
          <w:szCs w:val="32"/>
          <w:highlight w:val="none"/>
        </w:rPr>
        <w:t>附带服务的全部费用；</w:t>
      </w:r>
    </w:p>
    <w:p w14:paraId="396C445B">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4B3ABDC9">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rPr>
        <w:t>▲4 算术性修正。算术性修正是指对招标响应文件的报价明细进行校核，并对其算术上和运算上的差错给予修正。修正的原则如下</w:t>
      </w:r>
      <w:r>
        <w:rPr>
          <w:rFonts w:hint="eastAsia" w:ascii="仿宋" w:hAnsi="仿宋" w:eastAsia="仿宋" w:cs="仿宋"/>
          <w:sz w:val="24"/>
          <w:szCs w:val="32"/>
          <w:highlight w:val="none"/>
          <w:lang w:eastAsia="zh-CN"/>
        </w:rPr>
        <w:t xml:space="preserve"> ：</w:t>
      </w:r>
    </w:p>
    <w:p w14:paraId="7FE48B98">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4.1 当以数字表示的金额与文字表示的金额有差异时，以文字表示的金额为准；</w:t>
      </w:r>
    </w:p>
    <w:p w14:paraId="0CC35922">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4.2 当单价与数量相乘不等于合价时，以单价计算为准。如果单价有明显的小数点位置差错，应以标出的合价为准，同时对单价予以修正；</w:t>
      </w:r>
    </w:p>
    <w:p w14:paraId="65904B69">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4.3 当各明细部分的价格累计不等于合价时，应以各明细的累计计数为准，修正合价。</w:t>
      </w:r>
    </w:p>
    <w:p w14:paraId="21D994AB">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4.4 按以上原则对</w:t>
      </w:r>
      <w:r>
        <w:rPr>
          <w:rFonts w:hint="eastAsia" w:ascii="仿宋" w:hAnsi="仿宋" w:eastAsia="仿宋" w:cs="仿宋"/>
          <w:sz w:val="24"/>
          <w:szCs w:val="32"/>
          <w:highlight w:val="none"/>
          <w:lang w:eastAsia="zh-CN"/>
        </w:rPr>
        <w:t>技术</w:t>
      </w:r>
      <w:r>
        <w:rPr>
          <w:rFonts w:hint="eastAsia" w:ascii="仿宋" w:hAnsi="仿宋" w:eastAsia="仿宋" w:cs="仿宋"/>
          <w:sz w:val="24"/>
          <w:szCs w:val="32"/>
          <w:highlight w:val="none"/>
        </w:rPr>
        <w:t>性差错修正，应取得供应商的同意，并确认修正后最终招标报价。如果供应商拒绝确认，则其招标响应文件将不予以评审并按废标处理，没收其投标担保。</w:t>
      </w:r>
    </w:p>
    <w:p w14:paraId="4C00FE60">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 xml:space="preserve">5 </w:t>
      </w:r>
      <w:r>
        <w:rPr>
          <w:rFonts w:hint="eastAsia" w:ascii="仿宋" w:hAnsi="仿宋" w:eastAsia="仿宋" w:cs="仿宋"/>
          <w:sz w:val="24"/>
          <w:szCs w:val="32"/>
          <w:highlight w:val="none"/>
        </w:rPr>
        <w:t>投标文件只允许有一个报价，有选择的或有条件的报价将不予接受。</w:t>
      </w:r>
    </w:p>
    <w:p w14:paraId="29AE6153">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 xml:space="preserve">6 </w:t>
      </w:r>
      <w:r>
        <w:rPr>
          <w:rFonts w:hint="eastAsia" w:ascii="仿宋" w:hAnsi="仿宋" w:eastAsia="仿宋" w:cs="仿宋"/>
          <w:sz w:val="24"/>
          <w:szCs w:val="32"/>
          <w:highlight w:val="none"/>
        </w:rPr>
        <w:t>招标代理服务费由中标单位支付，投标单位在报价时请考虑。</w:t>
      </w:r>
    </w:p>
    <w:p w14:paraId="2BA59C1E">
      <w:pPr>
        <w:spacing w:line="300" w:lineRule="auto"/>
        <w:rPr>
          <w:rFonts w:hint="eastAsia" w:ascii="仿宋" w:hAnsi="仿宋" w:eastAsia="仿宋" w:cs="仿宋"/>
          <w:b/>
          <w:bCs/>
          <w:sz w:val="24"/>
          <w:szCs w:val="32"/>
          <w:highlight w:val="none"/>
        </w:rPr>
      </w:pPr>
      <w:bookmarkStart w:id="82" w:name="_Toc21211"/>
      <w:bookmarkStart w:id="83" w:name="_Toc503212214"/>
      <w:bookmarkStart w:id="84" w:name="_Toc521014782"/>
      <w:bookmarkStart w:id="85" w:name="_Toc21800"/>
      <w:r>
        <w:rPr>
          <w:rFonts w:hint="eastAsia" w:ascii="仿宋" w:hAnsi="仿宋" w:eastAsia="仿宋" w:cs="仿宋"/>
          <w:b/>
          <w:bCs/>
          <w:sz w:val="24"/>
          <w:szCs w:val="32"/>
          <w:highlight w:val="none"/>
        </w:rPr>
        <w:t>投标文件的有效期</w:t>
      </w:r>
      <w:bookmarkEnd w:id="82"/>
      <w:bookmarkEnd w:id="83"/>
      <w:bookmarkEnd w:id="84"/>
      <w:bookmarkEnd w:id="85"/>
    </w:p>
    <w:p w14:paraId="29E313A5">
      <w:pPr>
        <w:spacing w:line="300" w:lineRule="auto"/>
        <w:ind w:left="0" w:leftChars="0" w:firstLine="0" w:firstLineChars="0"/>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▲1.自投标截止日起 </w:t>
      </w:r>
      <w:r>
        <w:rPr>
          <w:rFonts w:hint="eastAsia" w:ascii="仿宋" w:hAnsi="仿宋" w:eastAsia="仿宋" w:cs="仿宋"/>
          <w:sz w:val="24"/>
          <w:szCs w:val="32"/>
          <w:highlight w:val="none"/>
          <w:u w:val="single"/>
          <w:lang w:val="en-US" w:eastAsia="zh-CN"/>
        </w:rPr>
        <w:t xml:space="preserve"> </w:t>
      </w:r>
      <w:r>
        <w:rPr>
          <w:rFonts w:hint="eastAsia" w:ascii="仿宋" w:hAnsi="仿宋" w:eastAsia="仿宋" w:cs="仿宋"/>
          <w:sz w:val="24"/>
          <w:szCs w:val="32"/>
          <w:highlight w:val="none"/>
          <w:u w:val="single"/>
        </w:rPr>
        <w:t>90</w:t>
      </w:r>
      <w:r>
        <w:rPr>
          <w:rFonts w:hint="eastAsia" w:ascii="仿宋" w:hAnsi="仿宋" w:eastAsia="仿宋" w:cs="仿宋"/>
          <w:sz w:val="24"/>
          <w:szCs w:val="32"/>
          <w:highlight w:val="none"/>
          <w:u w:val="single"/>
          <w:lang w:val="en-US" w:eastAsia="zh-CN"/>
        </w:rPr>
        <w:t xml:space="preserve"> </w:t>
      </w:r>
      <w:r>
        <w:rPr>
          <w:rFonts w:hint="eastAsia" w:ascii="仿宋" w:hAnsi="仿宋" w:eastAsia="仿宋" w:cs="仿宋"/>
          <w:sz w:val="24"/>
          <w:szCs w:val="32"/>
          <w:highlight w:val="none"/>
        </w:rPr>
        <w:t>天投标文件应保持有效。有效期不足的投标文件将被拒绝。</w:t>
      </w:r>
    </w:p>
    <w:p w14:paraId="3B5D643C">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2.在特殊情况下，招标人可与投标人协商延长投标书的有效期，这种要求和答复均以书面形式进行。</w:t>
      </w:r>
    </w:p>
    <w:p w14:paraId="5741EA6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3.投标人可拒绝接受延期要求而不会导致投标保证金被没收。同意延长有效期的投标人需要相应延长投标保证金的有效期，但不能修改投标文件。 </w:t>
      </w:r>
    </w:p>
    <w:p w14:paraId="00F1D2CD">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4.中标人的投标文件自开标之日起至合同履行完毕止均应保持有效。</w:t>
      </w:r>
    </w:p>
    <w:p w14:paraId="79291E07">
      <w:pPr>
        <w:spacing w:line="300" w:lineRule="auto"/>
        <w:rPr>
          <w:rFonts w:hint="eastAsia" w:ascii="仿宋" w:hAnsi="仿宋" w:eastAsia="仿宋" w:cs="仿宋"/>
          <w:b/>
          <w:bCs/>
          <w:sz w:val="24"/>
          <w:szCs w:val="32"/>
          <w:highlight w:val="none"/>
        </w:rPr>
      </w:pPr>
      <w:bookmarkStart w:id="86" w:name="_Toc521014783"/>
      <w:bookmarkStart w:id="87" w:name="_Toc503212215"/>
      <w:bookmarkStart w:id="88" w:name="_Toc22838"/>
      <w:bookmarkStart w:id="89" w:name="_Toc16117"/>
      <w:r>
        <w:rPr>
          <w:rFonts w:hint="eastAsia" w:ascii="仿宋" w:hAnsi="仿宋" w:eastAsia="仿宋" w:cs="仿宋"/>
          <w:b/>
          <w:bCs/>
          <w:sz w:val="24"/>
          <w:szCs w:val="32"/>
          <w:highlight w:val="none"/>
        </w:rPr>
        <w:t>投标保证金</w:t>
      </w:r>
      <w:bookmarkEnd w:id="86"/>
      <w:bookmarkEnd w:id="87"/>
      <w:bookmarkEnd w:id="88"/>
      <w:bookmarkEnd w:id="89"/>
    </w:p>
    <w:p w14:paraId="5563422D">
      <w:pPr>
        <w:spacing w:line="300" w:lineRule="auto"/>
        <w:ind w:left="0" w:leftChars="0" w:firstLine="0" w:firstLineChars="0"/>
        <w:rPr>
          <w:rFonts w:hint="eastAsia" w:ascii="仿宋" w:hAnsi="仿宋" w:eastAsia="仿宋" w:cs="仿宋"/>
          <w:sz w:val="24"/>
          <w:szCs w:val="32"/>
          <w:highlight w:val="none"/>
        </w:rPr>
      </w:pPr>
      <w:r>
        <w:rPr>
          <w:rFonts w:hint="eastAsia" w:ascii="仿宋" w:hAnsi="仿宋" w:eastAsia="仿宋" w:cs="仿宋"/>
          <w:sz w:val="24"/>
          <w:szCs w:val="32"/>
          <w:highlight w:val="none"/>
        </w:rPr>
        <w:t>▲1.投标人须按规定提交投标保证金</w:t>
      </w:r>
      <w:r>
        <w:rPr>
          <w:rFonts w:hint="eastAsia" w:ascii="仿宋" w:hAnsi="仿宋" w:eastAsia="仿宋" w:cs="仿宋"/>
          <w:sz w:val="24"/>
          <w:szCs w:val="32"/>
          <w:highlight w:val="none"/>
          <w:lang w:val="en-US" w:eastAsia="zh-CN"/>
        </w:rPr>
        <w:t>或电子保函</w:t>
      </w:r>
      <w:r>
        <w:rPr>
          <w:rFonts w:hint="eastAsia" w:ascii="仿宋" w:hAnsi="仿宋" w:eastAsia="仿宋" w:cs="仿宋"/>
          <w:sz w:val="24"/>
          <w:szCs w:val="32"/>
          <w:highlight w:val="none"/>
        </w:rPr>
        <w:t>。否则，其投标将被拒绝。</w:t>
      </w:r>
    </w:p>
    <w:p w14:paraId="1C6C648A">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2.保证金形式</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lang w:val="en-US" w:eastAsia="zh-CN"/>
        </w:rPr>
        <w:t>转账、汇款</w:t>
      </w:r>
      <w:r>
        <w:rPr>
          <w:rFonts w:hint="eastAsia" w:ascii="仿宋" w:hAnsi="仿宋" w:eastAsia="仿宋" w:cs="仿宋"/>
          <w:sz w:val="24"/>
          <w:szCs w:val="32"/>
          <w:highlight w:val="none"/>
        </w:rPr>
        <w:t>（必须从基本账户转出）</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电子保函</w:t>
      </w:r>
      <w:r>
        <w:rPr>
          <w:rFonts w:hint="eastAsia" w:ascii="仿宋" w:hAnsi="仿宋" w:eastAsia="仿宋" w:cs="仿宋"/>
          <w:sz w:val="24"/>
          <w:szCs w:val="32"/>
          <w:highlight w:val="none"/>
        </w:rPr>
        <w:t xml:space="preserve">。 </w:t>
      </w:r>
    </w:p>
    <w:p w14:paraId="7E1F3E3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3.未中标人的投标保证金在公示期截止后退还。</w:t>
      </w:r>
    </w:p>
    <w:p w14:paraId="0D236B39">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4.中标人的投标保证金在中标通知书发出签订正式采购合同，</w:t>
      </w:r>
      <w:r>
        <w:rPr>
          <w:rFonts w:hint="eastAsia" w:ascii="仿宋" w:hAnsi="仿宋" w:eastAsia="仿宋" w:cs="仿宋"/>
          <w:sz w:val="24"/>
          <w:szCs w:val="32"/>
          <w:highlight w:val="none"/>
          <w:lang w:val="en-US" w:eastAsia="zh-CN"/>
        </w:rPr>
        <w:t>需提供一份合同原件及相关材料办理退还投标保证金事宜</w:t>
      </w:r>
      <w:r>
        <w:rPr>
          <w:rFonts w:hint="eastAsia" w:ascii="仿宋" w:hAnsi="仿宋" w:eastAsia="仿宋" w:cs="仿宋"/>
          <w:sz w:val="24"/>
          <w:szCs w:val="32"/>
          <w:highlight w:val="none"/>
        </w:rPr>
        <w:t>。</w:t>
      </w:r>
    </w:p>
    <w:p w14:paraId="16FAA35E">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5.保证金不计息。</w:t>
      </w:r>
    </w:p>
    <w:p w14:paraId="77F6358E">
      <w:pPr>
        <w:spacing w:line="300" w:lineRule="auto"/>
        <w:ind w:left="210" w:leftChars="100" w:firstLine="120" w:firstLineChars="50"/>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rPr>
        <w:t>6.投标人有下列情形之一的，投标保证金将不予退还</w:t>
      </w:r>
      <w:r>
        <w:rPr>
          <w:rFonts w:hint="eastAsia" w:ascii="仿宋" w:hAnsi="仿宋" w:eastAsia="仿宋" w:cs="仿宋"/>
          <w:sz w:val="24"/>
          <w:szCs w:val="32"/>
          <w:highlight w:val="none"/>
          <w:lang w:eastAsia="zh-CN"/>
        </w:rPr>
        <w:t xml:space="preserve"> ：</w:t>
      </w:r>
    </w:p>
    <w:p w14:paraId="36370546">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（1）投标人在投标有效期内撤回投标文件的；</w:t>
      </w:r>
    </w:p>
    <w:p w14:paraId="6855559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（2）投标人在投标过程中弄虚作假，提供虚假材料的；</w:t>
      </w:r>
    </w:p>
    <w:p w14:paraId="5D4CE834">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（3）中标人无正当理由不与招标人签订合同的；</w:t>
      </w:r>
    </w:p>
    <w:p w14:paraId="0758D12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（4）其他严重扰乱招投标程序的。</w:t>
      </w:r>
    </w:p>
    <w:p w14:paraId="29FB8083">
      <w:pPr>
        <w:spacing w:line="300" w:lineRule="auto"/>
        <w:rPr>
          <w:rFonts w:hint="eastAsia" w:ascii="仿宋" w:hAnsi="仿宋" w:eastAsia="仿宋" w:cs="仿宋"/>
          <w:b/>
          <w:bCs/>
          <w:sz w:val="24"/>
          <w:szCs w:val="32"/>
          <w:highlight w:val="none"/>
        </w:rPr>
      </w:pPr>
      <w:bookmarkStart w:id="90" w:name="_Toc25982"/>
      <w:bookmarkStart w:id="91" w:name="_Toc521014784"/>
      <w:bookmarkStart w:id="92" w:name="_Toc503212216"/>
      <w:bookmarkStart w:id="93" w:name="_Toc4584"/>
      <w:r>
        <w:rPr>
          <w:rFonts w:hint="eastAsia" w:ascii="仿宋" w:hAnsi="仿宋" w:eastAsia="仿宋" w:cs="仿宋"/>
          <w:b/>
          <w:bCs/>
          <w:sz w:val="24"/>
          <w:szCs w:val="32"/>
          <w:highlight w:val="none"/>
        </w:rPr>
        <w:t>投标文件的签署和</w:t>
      </w:r>
      <w:bookmarkEnd w:id="90"/>
      <w:bookmarkEnd w:id="91"/>
      <w:bookmarkEnd w:id="92"/>
      <w:bookmarkEnd w:id="93"/>
      <w:r>
        <w:rPr>
          <w:rFonts w:hint="eastAsia" w:ascii="仿宋" w:hAnsi="仿宋" w:eastAsia="仿宋" w:cs="仿宋"/>
          <w:b/>
          <w:bCs/>
          <w:sz w:val="24"/>
          <w:szCs w:val="32"/>
          <w:highlight w:val="none"/>
          <w:lang w:eastAsia="zh-CN"/>
        </w:rPr>
        <w:t>递交</w:t>
      </w:r>
    </w:p>
    <w:p w14:paraId="7914FE6B">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投标人应按本招标文件规定的格式和顺序编制、装订投标文件并标注页码，投标文件内容不完整、编排混乱</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上传不完整</w:t>
      </w:r>
      <w:r>
        <w:rPr>
          <w:rFonts w:hint="eastAsia" w:ascii="仿宋" w:hAnsi="仿宋" w:eastAsia="仿宋" w:cs="仿宋"/>
          <w:sz w:val="24"/>
          <w:szCs w:val="32"/>
          <w:highlight w:val="none"/>
        </w:rPr>
        <w:t>导致投标文件被误读、漏读或者查找不到相关内容的，是投标人的责任。</w:t>
      </w:r>
    </w:p>
    <w:p w14:paraId="0643DB4B">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投标人应于</w:t>
      </w:r>
      <w:r>
        <w:rPr>
          <w:rFonts w:hint="eastAsia" w:ascii="仿宋" w:hAnsi="仿宋" w:eastAsia="仿宋" w:cs="仿宋"/>
          <w:color w:val="auto"/>
          <w:sz w:val="24"/>
          <w:szCs w:val="32"/>
          <w:highlight w:val="none"/>
          <w:lang w:val="en-US" w:eastAsia="zh-CN"/>
        </w:rPr>
        <w:t>2025 年 03 月 28日</w:t>
      </w:r>
      <w:r>
        <w:rPr>
          <w:rFonts w:hint="eastAsia" w:ascii="仿宋" w:hAnsi="仿宋" w:eastAsia="仿宋" w:cs="仿宋"/>
          <w:sz w:val="24"/>
          <w:szCs w:val="32"/>
          <w:highlight w:val="none"/>
        </w:rPr>
        <w:t>1</w:t>
      </w:r>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00</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北京时间</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前将电子投标文件上传到“</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云</w:t>
      </w:r>
      <w:r>
        <w:rPr>
          <w:rFonts w:hint="eastAsia" w:ascii="仿宋" w:hAnsi="仿宋" w:eastAsia="仿宋" w:cs="仿宋"/>
          <w:sz w:val="24"/>
          <w:szCs w:val="32"/>
          <w:highlight w:val="none"/>
        </w:rPr>
        <w:t>平台。应按照本项目招标文件和</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lang w:val="en-US" w:eastAsia="zh-CN"/>
        </w:rPr>
        <w:t>云</w:t>
      </w:r>
      <w:r>
        <w:rPr>
          <w:rFonts w:hint="eastAsia" w:ascii="仿宋" w:hAnsi="仿宋" w:eastAsia="仿宋" w:cs="仿宋"/>
          <w:sz w:val="24"/>
          <w:szCs w:val="32"/>
          <w:highlight w:val="none"/>
        </w:rPr>
        <w:t>平台的要求编制、加密传输投标文件。供应商在使用系统进行投标的过程中遇到涉及平台使用的任何问题，可致电</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rPr>
        <w:t>平台技术支持热线咨询，联系方式</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lang w:val="en-US" w:eastAsia="zh-CN"/>
        </w:rPr>
        <w:t>95763</w:t>
      </w:r>
      <w:r>
        <w:rPr>
          <w:rFonts w:hint="eastAsia" w:ascii="仿宋" w:hAnsi="仿宋" w:eastAsia="仿宋" w:cs="仿宋"/>
          <w:sz w:val="24"/>
          <w:szCs w:val="32"/>
          <w:highlight w:val="none"/>
        </w:rPr>
        <w:t>。</w:t>
      </w:r>
    </w:p>
    <w:p w14:paraId="125E296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.投标文件须由投标人在规定位置盖章并由法定代表人或法定代表人的授权委托人签署，投标人应写全称。</w:t>
      </w:r>
    </w:p>
    <w:p w14:paraId="69AED17A">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.投标文件</w:t>
      </w:r>
      <w:r>
        <w:rPr>
          <w:rFonts w:hint="eastAsia" w:ascii="仿宋" w:hAnsi="仿宋" w:eastAsia="仿宋" w:cs="仿宋"/>
          <w:sz w:val="24"/>
          <w:szCs w:val="32"/>
          <w:highlight w:val="none"/>
          <w:lang w:val="en-US" w:eastAsia="zh-CN"/>
        </w:rPr>
        <w:t>应严格响应招标文件要求，有表述</w:t>
      </w:r>
      <w:r>
        <w:rPr>
          <w:rFonts w:hint="eastAsia" w:ascii="仿宋" w:hAnsi="仿宋" w:eastAsia="仿宋" w:cs="仿宋"/>
          <w:sz w:val="24"/>
          <w:szCs w:val="32"/>
          <w:highlight w:val="none"/>
        </w:rPr>
        <w:t>不清所引起的后果由投标人负责。</w:t>
      </w:r>
      <w:bookmarkStart w:id="94" w:name="_Toc28926"/>
      <w:bookmarkStart w:id="95" w:name="_Toc9280"/>
    </w:p>
    <w:p w14:paraId="1A96177C">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5</w:t>
      </w:r>
      <w:r>
        <w:rPr>
          <w:rFonts w:hint="eastAsia" w:ascii="仿宋" w:hAnsi="仿宋" w:eastAsia="仿宋" w:cs="仿宋"/>
          <w:b/>
          <w:bCs/>
          <w:sz w:val="24"/>
          <w:szCs w:val="32"/>
          <w:highlight w:val="none"/>
        </w:rPr>
        <w:t xml:space="preserve">、本项目实行网上投标，采用电子投标文件。若供应商参与投标，自行承担投标一切费用。 </w:t>
      </w:r>
    </w:p>
    <w:p w14:paraId="75ABC4ED">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6</w:t>
      </w:r>
      <w:r>
        <w:rPr>
          <w:rFonts w:hint="eastAsia" w:ascii="仿宋" w:hAnsi="仿宋" w:eastAsia="仿宋" w:cs="仿宋"/>
          <w:b/>
          <w:bCs/>
          <w:sz w:val="24"/>
          <w:szCs w:val="32"/>
          <w:highlight w:val="none"/>
        </w:rPr>
        <w:t xml:space="preserve">、各供应商应在开标前应确保成为正式注册入库供应商，并完成CA数字证书申领。因未注册入库、未办理CA数字证书等原因造成无法投标或投标失败等后果由供应商自行承担。 </w:t>
      </w:r>
    </w:p>
    <w:p w14:paraId="35DBE496">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7</w:t>
      </w:r>
      <w:r>
        <w:rPr>
          <w:rFonts w:hint="eastAsia" w:ascii="仿宋" w:hAnsi="仿宋" w:eastAsia="仿宋" w:cs="仿宋"/>
          <w:b/>
          <w:bCs/>
          <w:sz w:val="24"/>
          <w:szCs w:val="32"/>
          <w:highlight w:val="none"/>
        </w:rPr>
        <w:t>、本项目为电子招投标，投标人需要使用CA加密设备，有意向参与新疆区域电子开评标的供应商，请访问新疆数字证书认证中心官方网站（https://www.xjca.com.cn/）或下载</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“新疆政务通”APP自行进行申领。如需咨询，请联系新疆CA服务热线0991-2819290</w:t>
      </w:r>
    </w:p>
    <w:p w14:paraId="422237D0">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8</w:t>
      </w:r>
      <w:r>
        <w:rPr>
          <w:rFonts w:hint="eastAsia" w:ascii="仿宋" w:hAnsi="仿宋" w:eastAsia="仿宋" w:cs="仿宋"/>
          <w:b/>
          <w:bCs/>
          <w:sz w:val="24"/>
          <w:szCs w:val="32"/>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b/>
          <w:bCs/>
          <w:sz w:val="24"/>
          <w:szCs w:val="32"/>
          <w:highlight w:val="none"/>
          <w:lang w:eastAsia="zh-CN"/>
        </w:rPr>
        <w:t>http://www.ccgp-xinjiang.gov.cn/</w:t>
      </w:r>
      <w:r>
        <w:rPr>
          <w:rFonts w:hint="eastAsia" w:ascii="仿宋" w:hAnsi="仿宋" w:eastAsia="仿宋" w:cs="仿宋"/>
          <w:b/>
          <w:bCs/>
          <w:sz w:val="24"/>
          <w:szCs w:val="32"/>
          <w:highlight w:val="none"/>
        </w:rPr>
        <w:t>/）下载专区查看，如有问题可拨打政采云客户服务热线</w:t>
      </w:r>
      <w:r>
        <w:rPr>
          <w:rFonts w:hint="eastAsia" w:ascii="仿宋" w:hAnsi="仿宋" w:eastAsia="仿宋" w:cs="仿宋"/>
          <w:b/>
          <w:bCs/>
          <w:sz w:val="24"/>
          <w:szCs w:val="32"/>
          <w:highlight w:val="none"/>
          <w:lang w:eastAsia="zh-CN"/>
        </w:rPr>
        <w:t>95763</w:t>
      </w:r>
      <w:r>
        <w:rPr>
          <w:rFonts w:hint="eastAsia" w:ascii="仿宋" w:hAnsi="仿宋" w:eastAsia="仿宋" w:cs="仿宋"/>
          <w:b/>
          <w:bCs/>
          <w:sz w:val="24"/>
          <w:szCs w:val="32"/>
          <w:highlight w:val="none"/>
        </w:rPr>
        <w:t>进行咨询。</w:t>
      </w:r>
    </w:p>
    <w:p w14:paraId="026DB553">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9、</w:t>
      </w:r>
      <w:r>
        <w:rPr>
          <w:rFonts w:hint="eastAsia" w:ascii="仿宋" w:hAnsi="仿宋" w:eastAsia="仿宋" w:cs="仿宋"/>
          <w:b/>
          <w:bCs/>
          <w:sz w:val="24"/>
          <w:szCs w:val="32"/>
          <w:highlight w:val="none"/>
          <w:lang w:eastAsia="zh-CN"/>
        </w:rPr>
        <w:t>开标时间后</w:t>
      </w:r>
      <w:r>
        <w:rPr>
          <w:rFonts w:hint="eastAsia" w:ascii="仿宋" w:hAnsi="仿宋" w:eastAsia="仿宋" w:cs="仿宋"/>
          <w:b/>
          <w:bCs/>
          <w:sz w:val="24"/>
          <w:szCs w:val="32"/>
          <w:highlight w:val="none"/>
          <w:lang w:val="en-US" w:eastAsia="zh-CN"/>
        </w:rPr>
        <w:t>3</w:t>
      </w:r>
      <w:r>
        <w:rPr>
          <w:rFonts w:hint="eastAsia" w:ascii="仿宋" w:hAnsi="仿宋" w:eastAsia="仿宋" w:cs="仿宋"/>
          <w:b/>
          <w:bCs/>
          <w:sz w:val="24"/>
          <w:szCs w:val="32"/>
          <w:highlight w:val="none"/>
          <w:lang w:eastAsia="zh-CN"/>
        </w:rPr>
        <w:t>0分钟内</w:t>
      </w:r>
      <w:r>
        <w:rPr>
          <w:rFonts w:hint="eastAsia" w:ascii="仿宋" w:hAnsi="仿宋" w:eastAsia="仿宋" w:cs="仿宋"/>
          <w:b/>
          <w:bCs/>
          <w:sz w:val="24"/>
          <w:szCs w:val="32"/>
          <w:highlight w:val="none"/>
        </w:rPr>
        <w:t>供应商可以登录“政采云”平台，用“项目采购</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开标评标”功能进行解密投标文件。若供应商在规定时间内未按时解密的，视为投标文件撤回。</w:t>
      </w:r>
    </w:p>
    <w:p w14:paraId="6BA2EB6F">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10、</w:t>
      </w:r>
      <w:r>
        <w:rPr>
          <w:rFonts w:hint="eastAsia" w:ascii="仿宋" w:hAnsi="仿宋" w:eastAsia="仿宋" w:cs="仿宋"/>
          <w:b/>
          <w:bCs/>
          <w:sz w:val="24"/>
          <w:szCs w:val="32"/>
          <w:highlight w:val="none"/>
        </w:rPr>
        <w:t>因系统（非投标供应商行为）的原因，造成投标供应商未能在规定的解密时限内解密的，请及时与招标代理机构或与新疆政府采购网投标客户端进行联系。</w:t>
      </w:r>
    </w:p>
    <w:p w14:paraId="184717E4">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11、</w:t>
      </w:r>
      <w:r>
        <w:rPr>
          <w:rFonts w:hint="eastAsia" w:ascii="仿宋" w:hAnsi="仿宋" w:eastAsia="仿宋" w:cs="仿宋"/>
          <w:b/>
          <w:bCs/>
          <w:sz w:val="24"/>
          <w:szCs w:val="32"/>
          <w:highlight w:val="none"/>
        </w:rPr>
        <w:t>投标文件未按规定上传的，视为其自动放弃投标。</w:t>
      </w:r>
    </w:p>
    <w:bookmarkEnd w:id="94"/>
    <w:bookmarkEnd w:id="95"/>
    <w:p w14:paraId="1CC2D694">
      <w:pPr>
        <w:spacing w:line="300" w:lineRule="auto"/>
        <w:rPr>
          <w:rFonts w:hint="eastAsia" w:ascii="仿宋" w:hAnsi="仿宋" w:eastAsia="仿宋" w:cs="仿宋"/>
          <w:b/>
          <w:bCs/>
          <w:sz w:val="24"/>
          <w:szCs w:val="32"/>
          <w:highlight w:val="none"/>
        </w:rPr>
      </w:pPr>
      <w:bookmarkStart w:id="96" w:name="_Toc521014786"/>
      <w:bookmarkStart w:id="97" w:name="_Toc6355"/>
      <w:bookmarkStart w:id="98" w:name="_Toc503212218"/>
      <w:bookmarkStart w:id="99" w:name="_Toc4197"/>
      <w:r>
        <w:rPr>
          <w:rFonts w:hint="eastAsia" w:ascii="仿宋" w:hAnsi="仿宋" w:eastAsia="仿宋" w:cs="仿宋"/>
          <w:b/>
          <w:bCs/>
          <w:sz w:val="24"/>
          <w:szCs w:val="32"/>
          <w:highlight w:val="none"/>
        </w:rPr>
        <w:t>投标文件的修改、撤回与撤销</w:t>
      </w:r>
    </w:p>
    <w:p w14:paraId="3AE991F0">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D48B37B">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2投标人在投标截止期后不得修改、撤回投标文件。投标人在投标截止期后修改投标文件的，其投标无效。</w:t>
      </w:r>
    </w:p>
    <w:p w14:paraId="7FAC87FD">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3若供应商在规定的时间内（“投标人须知前附表”</w:t>
      </w:r>
      <w:r>
        <w:rPr>
          <w:rFonts w:hint="eastAsia" w:ascii="仿宋" w:hAnsi="仿宋" w:eastAsia="仿宋" w:cs="仿宋"/>
          <w:b/>
          <w:bCs/>
          <w:sz w:val="24"/>
          <w:szCs w:val="32"/>
          <w:highlight w:val="none"/>
          <w:lang w:eastAsia="zh-CN"/>
        </w:rPr>
        <w:t>的规定</w:t>
      </w:r>
      <w:r>
        <w:rPr>
          <w:rFonts w:hint="eastAsia" w:ascii="仿宋" w:hAnsi="仿宋" w:eastAsia="仿宋" w:cs="仿宋"/>
          <w:b/>
          <w:bCs/>
          <w:sz w:val="24"/>
          <w:szCs w:val="32"/>
          <w:highlight w:val="none"/>
        </w:rPr>
        <w:t>）未能解密的，也将被视为供应商对其投标文件的撤回。</w:t>
      </w:r>
    </w:p>
    <w:p w14:paraId="6A139EBA">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投标文件的解密</w:t>
      </w:r>
    </w:p>
    <w:p w14:paraId="21591090">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w:t>
      </w:r>
      <w:r>
        <w:rPr>
          <w:rFonts w:hint="eastAsia" w:ascii="仿宋" w:hAnsi="仿宋" w:eastAsia="仿宋" w:cs="仿宋"/>
          <w:sz w:val="24"/>
          <w:szCs w:val="32"/>
          <w:highlight w:val="none"/>
          <w:lang w:eastAsia="zh-CN"/>
        </w:rPr>
        <w:t>密的</w:t>
      </w:r>
      <w:r>
        <w:rPr>
          <w:rFonts w:hint="eastAsia" w:ascii="仿宋" w:hAnsi="仿宋" w:eastAsia="仿宋" w:cs="仿宋"/>
          <w:sz w:val="24"/>
          <w:szCs w:val="32"/>
          <w:highlight w:val="none"/>
        </w:rPr>
        <w:t>投标文件，将作无效投标处理。</w:t>
      </w:r>
    </w:p>
    <w:p w14:paraId="2E850D50">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投标有效期</w:t>
      </w:r>
    </w:p>
    <w:p w14:paraId="35BE779E">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1投标有效期内投标人撤销投标文件的，采购人或者采购代理机构可以不退还投标保证金（如有）。采用投标保函方式替代保证金的，采购人或者采购代理机构可以向担保机构索赔保证金。</w:t>
      </w:r>
    </w:p>
    <w:p w14:paraId="49117CF0">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1A103DF9">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样品（演示）</w:t>
      </w:r>
    </w:p>
    <w:p w14:paraId="4158AC5C">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1招标文件规定投标人提交样品的，样品属于投标文件的组成部分。样品的生产、运输、安装、保全等一切费用由投标人自理。</w:t>
      </w:r>
    </w:p>
    <w:p w14:paraId="619D6A72">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2投标截止时间前，投标人应将样品</w:t>
      </w:r>
      <w:r>
        <w:rPr>
          <w:rFonts w:hint="eastAsia" w:ascii="仿宋" w:hAnsi="仿宋" w:eastAsia="仿宋" w:cs="仿宋"/>
          <w:sz w:val="24"/>
          <w:szCs w:val="32"/>
          <w:highlight w:val="none"/>
          <w:lang w:eastAsia="zh-CN"/>
        </w:rPr>
        <w:t>送达</w:t>
      </w:r>
      <w:r>
        <w:rPr>
          <w:rFonts w:hint="eastAsia" w:ascii="仿宋" w:hAnsi="仿宋" w:eastAsia="仿宋" w:cs="仿宋"/>
          <w:sz w:val="24"/>
          <w:szCs w:val="32"/>
          <w:highlight w:val="none"/>
        </w:rPr>
        <w:t>指定地点。若需要现场演示的，投标人应提前做好演示准备（包括演示设备）。</w:t>
      </w:r>
    </w:p>
    <w:p w14:paraId="0421CF8E">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F03E40A">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投标无效的情形</w:t>
      </w:r>
      <w:bookmarkEnd w:id="96"/>
      <w:bookmarkEnd w:id="97"/>
      <w:bookmarkEnd w:id="98"/>
      <w:bookmarkEnd w:id="99"/>
    </w:p>
    <w:p w14:paraId="4559E233">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实质上没有响应招标文件要求的投标将被视为无效投标。投标人不得通过修正或</w:t>
      </w:r>
      <w:r>
        <w:rPr>
          <w:rFonts w:hint="eastAsia" w:ascii="仿宋" w:hAnsi="仿宋" w:eastAsia="仿宋" w:cs="仿宋"/>
          <w:sz w:val="24"/>
          <w:szCs w:val="32"/>
          <w:highlight w:val="none"/>
          <w:lang w:eastAsia="zh-CN"/>
        </w:rPr>
        <w:t>撤销</w:t>
      </w:r>
      <w:r>
        <w:rPr>
          <w:rFonts w:hint="eastAsia" w:ascii="仿宋" w:hAnsi="仿宋" w:eastAsia="仿宋" w:cs="仿宋"/>
          <w:sz w:val="24"/>
          <w:szCs w:val="32"/>
          <w:highlight w:val="none"/>
        </w:rPr>
        <w:t>不合要求的偏离或保留从而使其投标成为实质上响应的投标，但经评标委员会认定属于投标人疏忽、笔误所造成的差错，应当允许其在评标结束之前进行修改或者补正（可以是复印件、传真件等，原件必须</w:t>
      </w:r>
      <w:r>
        <w:rPr>
          <w:rFonts w:hint="eastAsia" w:ascii="仿宋" w:hAnsi="仿宋" w:eastAsia="仿宋" w:cs="仿宋"/>
          <w:sz w:val="24"/>
          <w:szCs w:val="32"/>
          <w:highlight w:val="none"/>
          <w:lang w:eastAsia="zh-CN"/>
        </w:rPr>
        <w:t>盖章</w:t>
      </w:r>
      <w:r>
        <w:rPr>
          <w:rFonts w:hint="eastAsia" w:ascii="仿宋" w:hAnsi="仿宋" w:eastAsia="仿宋" w:cs="仿宋"/>
          <w:sz w:val="24"/>
          <w:szCs w:val="32"/>
          <w:highlight w:val="none"/>
        </w:rPr>
        <w:t>）。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100" w:name="_Toc13224"/>
      <w:bookmarkStart w:id="101" w:name="_Toc4280"/>
    </w:p>
    <w:p w14:paraId="2DD9A25D">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1投标文件未按照招标文件要求签署、盖章；</w:t>
      </w:r>
    </w:p>
    <w:p w14:paraId="085F10EC">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2不符合招标文件中规定的资格要求；</w:t>
      </w:r>
    </w:p>
    <w:p w14:paraId="526B175E">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3投标报价超过招标文件中规定的预算金额或最高限价；</w:t>
      </w:r>
    </w:p>
    <w:p w14:paraId="4FD2776E">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4投标文件含有采购人不能接受的附加条件；</w:t>
      </w:r>
    </w:p>
    <w:p w14:paraId="0E0AD386">
      <w:pPr>
        <w:spacing w:line="360" w:lineRule="auto"/>
        <w:ind w:firstLine="480"/>
        <w:rPr>
          <w:rFonts w:hint="eastAsia" w:ascii="仿宋" w:hAnsi="仿宋" w:eastAsia="仿宋" w:cs="仿宋"/>
          <w:highlight w:val="none"/>
        </w:rPr>
      </w:pPr>
      <w:r>
        <w:rPr>
          <w:rFonts w:hint="eastAsia" w:ascii="仿宋" w:hAnsi="仿宋" w:eastAsia="仿宋" w:cs="仿宋"/>
          <w:sz w:val="24"/>
          <w:szCs w:val="32"/>
          <w:highlight w:val="none"/>
        </w:rPr>
        <w:t>5有关</w:t>
      </w:r>
      <w:r>
        <w:rPr>
          <w:rFonts w:hint="eastAsia" w:ascii="仿宋" w:hAnsi="仿宋" w:eastAsia="仿宋" w:cs="仿宋"/>
          <w:sz w:val="24"/>
          <w:szCs w:val="32"/>
          <w:highlight w:val="none"/>
          <w:lang w:eastAsia="zh-CN"/>
        </w:rPr>
        <w:t>法律法规</w:t>
      </w:r>
      <w:r>
        <w:rPr>
          <w:rFonts w:hint="eastAsia" w:ascii="仿宋" w:hAnsi="仿宋" w:eastAsia="仿宋" w:cs="仿宋"/>
          <w:sz w:val="24"/>
          <w:szCs w:val="32"/>
          <w:highlight w:val="none"/>
        </w:rPr>
        <w:t>和规章及招标文件规定的其他无效情形。</w:t>
      </w:r>
    </w:p>
    <w:p w14:paraId="3EE737CA">
      <w:pPr>
        <w:pStyle w:val="3"/>
        <w:numPr>
          <w:ilvl w:val="0"/>
          <w:numId w:val="0"/>
        </w:numPr>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02" w:name="_Toc521014787"/>
      <w:bookmarkStart w:id="103" w:name="_Toc3022"/>
      <w:bookmarkStart w:id="104" w:name="_Toc31877"/>
      <w:bookmarkStart w:id="105" w:name="_Toc503212219"/>
      <w:bookmarkStart w:id="106" w:name="_Toc11270"/>
      <w:r>
        <w:rPr>
          <w:rFonts w:hint="eastAsia" w:ascii="仿宋" w:hAnsi="仿宋" w:eastAsia="仿宋" w:cs="仿宋"/>
          <w:b/>
          <w:bCs/>
          <w:color w:val="000000"/>
          <w:kern w:val="2"/>
          <w:sz w:val="28"/>
          <w:szCs w:val="28"/>
          <w:highlight w:val="none"/>
          <w:lang w:val="en-US" w:eastAsia="zh-CN" w:bidi="ar-SA"/>
        </w:rPr>
        <w:t>（四）开标</w:t>
      </w:r>
      <w:bookmarkEnd w:id="100"/>
      <w:bookmarkEnd w:id="101"/>
      <w:bookmarkEnd w:id="102"/>
      <w:bookmarkEnd w:id="103"/>
      <w:bookmarkEnd w:id="104"/>
      <w:bookmarkEnd w:id="105"/>
      <w:bookmarkEnd w:id="106"/>
    </w:p>
    <w:p w14:paraId="01F10C21">
      <w:pPr>
        <w:pStyle w:val="44"/>
        <w:snapToGrid w:val="0"/>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1、开标准备</w:t>
      </w:r>
    </w:p>
    <w:p w14:paraId="522C88C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kern w:val="2"/>
          <w:sz w:val="24"/>
          <w:szCs w:val="32"/>
          <w:highlight w:val="none"/>
          <w:lang w:val="en-US" w:eastAsia="zh-CN" w:bidi="ar-SA"/>
        </w:rPr>
        <w:fldChar w:fldCharType="begin"/>
      </w:r>
      <w:r>
        <w:rPr>
          <w:rFonts w:hint="eastAsia" w:ascii="仿宋" w:hAnsi="仿宋" w:eastAsia="仿宋" w:cs="仿宋"/>
          <w:kern w:val="2"/>
          <w:sz w:val="24"/>
          <w:szCs w:val="32"/>
          <w:highlight w:val="none"/>
          <w:lang w:val="en-US" w:eastAsia="zh-CN" w:bidi="ar-SA"/>
        </w:rPr>
        <w:instrText xml:space="preserve"> HYPERLINK "http://www.ccgp-xinjiang.gov.cn/" </w:instrText>
      </w:r>
      <w:r>
        <w:rPr>
          <w:rFonts w:hint="eastAsia" w:ascii="仿宋" w:hAnsi="仿宋" w:eastAsia="仿宋" w:cs="仿宋"/>
          <w:kern w:val="2"/>
          <w:sz w:val="24"/>
          <w:szCs w:val="32"/>
          <w:highlight w:val="none"/>
          <w:lang w:val="en-US" w:eastAsia="zh-CN" w:bidi="ar-SA"/>
        </w:rPr>
        <w:fldChar w:fldCharType="separate"/>
      </w:r>
      <w:r>
        <w:rPr>
          <w:rFonts w:hint="eastAsia" w:ascii="仿宋" w:hAnsi="仿宋" w:eastAsia="仿宋" w:cs="仿宋"/>
          <w:kern w:val="2"/>
          <w:sz w:val="24"/>
          <w:szCs w:val="32"/>
          <w:highlight w:val="none"/>
          <w:lang w:val="en-US" w:eastAsia="zh-CN" w:bidi="ar-SA"/>
        </w:rPr>
        <w:t>http://www.ccgp-xinjiang.gov.cn/</w:t>
      </w:r>
      <w:r>
        <w:rPr>
          <w:rFonts w:hint="eastAsia" w:ascii="仿宋" w:hAnsi="仿宋" w:eastAsia="仿宋" w:cs="仿宋"/>
          <w:kern w:val="2"/>
          <w:sz w:val="24"/>
          <w:szCs w:val="32"/>
          <w:highlight w:val="none"/>
          <w:lang w:val="en-US" w:eastAsia="zh-CN" w:bidi="ar-SA"/>
        </w:rPr>
        <w:fldChar w:fldCharType="end"/>
      </w:r>
      <w:r>
        <w:rPr>
          <w:rFonts w:hint="eastAsia" w:ascii="仿宋" w:hAnsi="仿宋" w:eastAsia="仿宋" w:cs="仿宋"/>
          <w:kern w:val="2"/>
          <w:sz w:val="24"/>
          <w:szCs w:val="32"/>
          <w:highlight w:val="none"/>
          <w:lang w:val="en-US" w:eastAsia="zh-CN" w:bidi="ar-SA"/>
        </w:rPr>
        <w:t>）下载专区查看，如有问题可拨打新疆政府采购客户服务热线95763进行咨询。）</w:t>
      </w:r>
    </w:p>
    <w:p w14:paraId="0FAEF751">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07" w:name="_Toc24853"/>
      <w:bookmarkStart w:id="108" w:name="_Toc1875"/>
      <w:r>
        <w:rPr>
          <w:rFonts w:hint="eastAsia" w:ascii="仿宋" w:hAnsi="仿宋" w:eastAsia="仿宋" w:cs="仿宋"/>
          <w:b/>
          <w:bCs/>
          <w:kern w:val="2"/>
          <w:sz w:val="24"/>
          <w:szCs w:val="32"/>
          <w:highlight w:val="none"/>
          <w:lang w:val="en-US" w:eastAsia="zh-CN" w:bidi="ar-SA"/>
        </w:rPr>
        <w:t>2、 开标程序</w:t>
      </w:r>
      <w:bookmarkEnd w:id="107"/>
      <w:bookmarkEnd w:id="108"/>
      <w:r>
        <w:rPr>
          <w:rFonts w:hint="eastAsia" w:ascii="仿宋" w:hAnsi="仿宋" w:eastAsia="仿宋" w:cs="仿宋"/>
          <w:b/>
          <w:bCs/>
          <w:kern w:val="2"/>
          <w:sz w:val="24"/>
          <w:szCs w:val="32"/>
          <w:highlight w:val="none"/>
          <w:lang w:val="en-US" w:eastAsia="zh-CN" w:bidi="ar-SA"/>
        </w:rPr>
        <w:t xml:space="preserve"> ：</w:t>
      </w:r>
    </w:p>
    <w:p w14:paraId="404CFE12">
      <w:pPr>
        <w:spacing w:line="360" w:lineRule="auto"/>
        <w:ind w:firstLine="480"/>
        <w:rPr>
          <w:rFonts w:hint="eastAsia" w:ascii="仿宋" w:hAnsi="仿宋" w:eastAsia="仿宋" w:cs="仿宋"/>
          <w:sz w:val="24"/>
          <w:szCs w:val="32"/>
          <w:highlight w:val="none"/>
        </w:rPr>
      </w:pPr>
      <w:bookmarkStart w:id="109" w:name="_Toc3024"/>
      <w:bookmarkStart w:id="110" w:name="_Toc20288"/>
      <w:bookmarkStart w:id="111" w:name="_Toc503212220"/>
      <w:bookmarkStart w:id="112" w:name="_Toc24288"/>
      <w:bookmarkStart w:id="113" w:name="_Toc521014788"/>
      <w:bookmarkStart w:id="114" w:name="_Toc12263"/>
      <w:bookmarkStart w:id="115" w:name="_Toc20065"/>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.1 开标程序</w:t>
      </w:r>
    </w:p>
    <w:p w14:paraId="15A66397">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590929FC">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采用现场电子开标的</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投标人的法定代表人或其委托代理人应当按照本招标公告载明的时间和地点前往参加开标，并携带编制本项目（采购包）电子投标文件时加密所用的数字证书、存储有备用电子投标文件的U盘前往开标现场。</w:t>
      </w:r>
    </w:p>
    <w:p w14:paraId="310E76B8">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采用远程电子开标的</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70B67511">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792FBA4">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.2开标异议</w:t>
      </w:r>
    </w:p>
    <w:p w14:paraId="11AB5E04">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投标人代表对开标过程和开标记录有疑义，以及认为采购人、采购代理机构相关工作人员有需要回避的情形的，应当场提出询问或者回避申请。投标人未参加开标的，视同认可开标结果。</w:t>
      </w:r>
    </w:p>
    <w:p w14:paraId="5A54EF85">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.3 投标截止时间后，投标人不足须知前附表中约定的有效供应商家数的，不得开标。同时，本次采购活动结束。</w:t>
      </w:r>
    </w:p>
    <w:p w14:paraId="0B3C02C6">
      <w:pPr>
        <w:spacing w:line="360" w:lineRule="auto"/>
        <w:ind w:firstLine="480"/>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.4开标时出现下列情况的，视为投标无效处理</w:t>
      </w:r>
      <w:r>
        <w:rPr>
          <w:rFonts w:hint="eastAsia" w:ascii="仿宋" w:hAnsi="仿宋" w:eastAsia="仿宋" w:cs="仿宋"/>
          <w:sz w:val="24"/>
          <w:szCs w:val="32"/>
          <w:highlight w:val="none"/>
          <w:lang w:eastAsia="zh-CN"/>
        </w:rPr>
        <w:t xml:space="preserve"> ：</w:t>
      </w:r>
    </w:p>
    <w:p w14:paraId="3ADB15CC">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（1）经检查数字证书无效的；</w:t>
      </w:r>
    </w:p>
    <w:p w14:paraId="0F67A9A4">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（2）因投标人自身原因，未在规定时间内完成电子投标文件解密的；</w:t>
      </w:r>
    </w:p>
    <w:p w14:paraId="078ADDD4">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639BD2B9">
      <w:pPr>
        <w:pStyle w:val="3"/>
        <w:numPr>
          <w:ilvl w:val="0"/>
          <w:numId w:val="0"/>
        </w:numPr>
        <w:ind w:leftChars="-50" w:right="62" w:rightChars="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（五）评标</w:t>
      </w:r>
      <w:bookmarkEnd w:id="109"/>
      <w:bookmarkEnd w:id="110"/>
      <w:bookmarkEnd w:id="111"/>
      <w:bookmarkEnd w:id="112"/>
      <w:bookmarkEnd w:id="113"/>
      <w:bookmarkEnd w:id="114"/>
      <w:bookmarkEnd w:id="115"/>
    </w:p>
    <w:p w14:paraId="0FF3B4D4">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1、组建评标委员会</w:t>
      </w:r>
    </w:p>
    <w:p w14:paraId="1D553BB6">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评标委员会或评标小组（以下简称评标委员会）的评标工作由招标单位负责组织，具体评标事务由评标委员会负责，并独立履行其法规规定的职责。</w:t>
      </w:r>
    </w:p>
    <w:p w14:paraId="75AD2ECE">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本项目评标委员会由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其中评标专家5人，采购人代表0人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kern w:val="2"/>
          <w:sz w:val="24"/>
          <w:szCs w:val="32"/>
          <w:highlight w:val="none"/>
          <w:lang w:val="en-US" w:eastAsia="zh-CN" w:bidi="ar-SA"/>
        </w:rPr>
        <w:t>专家由招标代理机构在开标前48小时在新疆政府采购专家中随机抽取。其中熟悉相关技术方面的专家不得少于成员总数的三分之二。并对投标文件进行审查、评估和比较，并做出授予合同的建议。</w:t>
      </w:r>
    </w:p>
    <w:p w14:paraId="41BDDBAE">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16" w:name="_Toc26886"/>
      <w:bookmarkStart w:id="117" w:name="_Toc27271"/>
      <w:r>
        <w:rPr>
          <w:rFonts w:hint="eastAsia" w:ascii="仿宋" w:hAnsi="仿宋" w:eastAsia="仿宋" w:cs="仿宋"/>
          <w:b/>
          <w:bCs/>
          <w:kern w:val="2"/>
          <w:sz w:val="24"/>
          <w:szCs w:val="32"/>
          <w:highlight w:val="none"/>
          <w:lang w:val="en-US" w:eastAsia="zh-CN" w:bidi="ar-SA"/>
        </w:rPr>
        <w:t>2、评标的方式</w:t>
      </w:r>
      <w:bookmarkEnd w:id="116"/>
      <w:bookmarkEnd w:id="117"/>
    </w:p>
    <w:p w14:paraId="4BA5F52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本项目采用不公开方式评标，评标的依据为《中华人民共和国招标投标法》《中华人民共和国政府采购法》《中华人民共和国财政部令第87号－－政府采购货物和服务招标投标管理办法》及招标文件。</w:t>
      </w:r>
    </w:p>
    <w:p w14:paraId="49E5F83D">
      <w:pPr>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3、评标原则</w:t>
      </w:r>
    </w:p>
    <w:p w14:paraId="1F4F077E">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（1）评标活动遵循公平、公正、科学和择优的原则，以招标文件和投标文件为评标的基本依据，并按照招标文件规定的评标方法和评标标准进行评标。</w:t>
      </w:r>
    </w:p>
    <w:p w14:paraId="6F93C752">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评标委员会必须公平、公正、客观，不带任何倾向性和启发性；不得向外界透露任何与评标有关的内容；任何单位和个人不得干扰、影响评标的正常进行；评标委员会及有关工作人员不得私下与投标人接触。</w:t>
      </w:r>
    </w:p>
    <w:p w14:paraId="457810DF">
      <w:pPr>
        <w:pStyle w:val="44"/>
        <w:snapToGrid w:val="0"/>
        <w:spacing w:line="360" w:lineRule="auto"/>
        <w:ind w:left="0" w:leftChars="0" w:firstLine="480" w:firstLineChars="200"/>
        <w:outlineLvl w:val="2"/>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（3）具体评标事项由评标委员会负责，并按招标文件的规定办法进行评审。</w:t>
      </w:r>
    </w:p>
    <w:p w14:paraId="3C4024A5">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（4）合</w:t>
      </w:r>
      <w:r>
        <w:rPr>
          <w:rFonts w:hint="eastAsia" w:ascii="仿宋" w:hAnsi="仿宋" w:eastAsia="仿宋" w:cs="仿宋"/>
          <w:kern w:val="2"/>
          <w:sz w:val="24"/>
          <w:szCs w:val="32"/>
          <w:highlight w:val="none"/>
          <w:lang w:val="en-US" w:eastAsia="zh-CN" w:bidi="ar-SA"/>
        </w:rPr>
        <w:t>格投标人不足须知前附表中约定的有效供应商家数的，不得评标。</w:t>
      </w:r>
    </w:p>
    <w:p w14:paraId="2D4E73C8">
      <w:pPr>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4、评标应遵守下列评标纪律 ：</w:t>
      </w:r>
    </w:p>
    <w:p w14:paraId="4A16DE72">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（1）评标情况不得私自外泄，有关信息由墨玉县众信智诚工程项目管理有限公司统一对外发布。</w:t>
      </w:r>
    </w:p>
    <w:p w14:paraId="63D43687">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（2）对墨玉县众信智诚工程项目管理有限公司或投标人提供的要求保密的资料，不得抄录翻印和外传。</w:t>
      </w:r>
    </w:p>
    <w:p w14:paraId="560B68D6">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（3）不得收受投标供应商或有关人员的任何礼物，不得串联鼓动其他人袒护某投标人。若与投标人存在利害关系，则应主动声明并回避。</w:t>
      </w:r>
    </w:p>
    <w:p w14:paraId="012B9A8B">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（4）全体评委应按照招标文件规定进行评标，一切认定事项应查有实据且不得弄虚作假。</w:t>
      </w:r>
    </w:p>
    <w:p w14:paraId="569B9229">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（5）评标委员会各成员应当独立对每个投标人的投标文件进行评价，并对评价意见承担个人责任。评审过程中，不得发表倾向性言论。</w:t>
      </w:r>
    </w:p>
    <w:p w14:paraId="25C2D05D">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※对违反评标纪律的评委，将取消其评委资格，对评标工作造成严重损失者将予以通报批评乃至追究法律责任。</w:t>
      </w:r>
    </w:p>
    <w:p w14:paraId="411852CF">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18" w:name="_Toc4747"/>
      <w:bookmarkStart w:id="119" w:name="_Toc13223"/>
      <w:r>
        <w:rPr>
          <w:rFonts w:hint="eastAsia" w:ascii="仿宋" w:hAnsi="仿宋" w:eastAsia="仿宋" w:cs="仿宋"/>
          <w:b/>
          <w:bCs/>
          <w:kern w:val="2"/>
          <w:sz w:val="24"/>
          <w:szCs w:val="32"/>
          <w:highlight w:val="none"/>
          <w:lang w:val="en-US" w:eastAsia="zh-CN" w:bidi="ar-SA"/>
        </w:rPr>
        <w:t>5、评标程序</w:t>
      </w:r>
      <w:bookmarkEnd w:id="118"/>
      <w:bookmarkEnd w:id="119"/>
    </w:p>
    <w:p w14:paraId="54AB387A">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 本项目采用</w:t>
      </w:r>
      <w:r>
        <w:rPr>
          <w:rFonts w:hint="eastAsia" w:ascii="仿宋" w:hAnsi="仿宋" w:eastAsia="仿宋" w:cs="仿宋"/>
          <w:sz w:val="24"/>
          <w:szCs w:val="24"/>
          <w:highlight w:val="none"/>
        </w:rPr>
        <w:t>综合评分法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是指投标文件满足招标文件全部实质性要求，且按照评审因素的量化指标评审得分最高的投标人为中标候选人的评标方法。（最低报价不是中标的唯一依据。）</w:t>
      </w:r>
    </w:p>
    <w:p w14:paraId="667EC45E">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20" w:name="_Toc17462"/>
      <w:r>
        <w:rPr>
          <w:rFonts w:hint="eastAsia" w:ascii="仿宋" w:hAnsi="仿宋" w:eastAsia="仿宋" w:cs="仿宋"/>
          <w:kern w:val="2"/>
          <w:sz w:val="24"/>
          <w:szCs w:val="32"/>
          <w:highlight w:val="none"/>
          <w:lang w:val="en-US" w:eastAsia="zh-CN" w:bidi="ar-SA"/>
        </w:rPr>
        <w:t>（2） 评标的依据为招标文件和投标文件。</w:t>
      </w:r>
      <w:bookmarkEnd w:id="120"/>
    </w:p>
    <w:p w14:paraId="0704EDE9">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 评标过程的保密性。开标后，直到授予投标人合同为止，凡是属于审查、澄清、评价和比较的有关资料以及授标建议等均不得向投标人或其他无关的人员透露。</w:t>
      </w:r>
    </w:p>
    <w:p w14:paraId="2F17367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 投标人在评标过程中所进行的试图影响评标结果、有悖于招标规则的活动，可能导致取消其中标资格。</w:t>
      </w:r>
    </w:p>
    <w:p w14:paraId="3A2CE108">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 与招标文件有重大偏离的投标文件将被拒绝。且此重大偏离在开标后不许修改。</w:t>
      </w:r>
    </w:p>
    <w:p w14:paraId="190DC23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（6） 根据国家计委等七部委颁发的《评标委员会和评标方法暂行规定》以下为重大偏离 ：</w:t>
      </w:r>
    </w:p>
    <w:p w14:paraId="3E06E33B">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（一）投标保证金的缴纳主体与投标人不一致的，没有按照招标文件要求提供投标担保，或者所提供的投标担保有瑕疵的；</w:t>
      </w:r>
    </w:p>
    <w:p w14:paraId="40BD3640">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（二）投标文件没有投标人法定代表人或其授权代表签字（章）和加盖投标单位公章的；</w:t>
      </w:r>
    </w:p>
    <w:p w14:paraId="53A1183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（三）投标文件记载的招标项目完成期限超过招标文件规定的完成期限；</w:t>
      </w:r>
    </w:p>
    <w:p w14:paraId="47C76B19">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（四）明显不符合技术规格和技术标准（技术规格、合同条款有偏离情况的）；</w:t>
      </w:r>
    </w:p>
    <w:p w14:paraId="718FE1A9">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（五）商务条款有偏离情况的；</w:t>
      </w:r>
    </w:p>
    <w:p w14:paraId="4DE21B65">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（六）投标附有招标人不能接受的条件；</w:t>
      </w:r>
    </w:p>
    <w:p w14:paraId="590E4BBA">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（七）不符合招标文件中规定的其他实质性要求。</w:t>
      </w:r>
    </w:p>
    <w:p w14:paraId="63743B2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（八） 投标报价不符合招标文件规定的要求。</w:t>
      </w:r>
    </w:p>
    <w:p w14:paraId="61B5AF38">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投标文件有上述情形之一的，视为非实质性响应招标，并按规定作废标处理。招标文件对重大偏差另有规定的，从其规定。</w:t>
      </w:r>
    </w:p>
    <w:p w14:paraId="2C8502D6">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评标委员会应当审查每一投标文件是否对招标文件提出的所有实质性要求和条件作出响应。未能在实质上响应招标的投标，将作废标处理。</w:t>
      </w:r>
    </w:p>
    <w:p w14:paraId="3F1E9EBE">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21" w:name="_Toc3963"/>
      <w:r>
        <w:rPr>
          <w:rFonts w:hint="eastAsia" w:ascii="仿宋" w:hAnsi="仿宋" w:eastAsia="仿宋" w:cs="仿宋"/>
          <w:kern w:val="2"/>
          <w:sz w:val="24"/>
          <w:szCs w:val="32"/>
          <w:highlight w:val="none"/>
          <w:lang w:val="en-US" w:eastAsia="zh-CN" w:bidi="ar-SA"/>
        </w:rPr>
        <w:t>（7）对投标文件的初步审查和响应性确定</w:t>
      </w:r>
      <w:bookmarkEnd w:id="121"/>
    </w:p>
    <w:p w14:paraId="5CAA54F3">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7B7E7F23">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（9） 在对投标文件进行详细评估之前，评标委员会将审查每一份投标文件是否对招标文件的要求做出了实质性的响应。实质性响应的投标文件应该是与招标文件的全部条款、条件和技术规格相符，而没有重大偏离。</w:t>
      </w:r>
    </w:p>
    <w:p w14:paraId="3861158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（10）招标人判断投标文件的响应性是基于投标文件本身而不靠外部证据。</w:t>
      </w:r>
    </w:p>
    <w:p w14:paraId="64CAE6E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（11）招标人将拒绝被定为非响应性的投标，投标人不能通过修正或撤销不符之处而使其投标成为响应性投标。</w:t>
      </w:r>
    </w:p>
    <w:p w14:paraId="4F1EA39F">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22" w:name="_Toc32133"/>
      <w:bookmarkStart w:id="123" w:name="_Toc13450"/>
      <w:r>
        <w:rPr>
          <w:rFonts w:hint="eastAsia" w:ascii="仿宋" w:hAnsi="仿宋" w:eastAsia="仿宋" w:cs="仿宋"/>
          <w:b/>
          <w:bCs/>
          <w:kern w:val="2"/>
          <w:sz w:val="24"/>
          <w:szCs w:val="32"/>
          <w:highlight w:val="none"/>
          <w:lang w:val="en-US" w:eastAsia="zh-CN" w:bidi="ar-SA"/>
        </w:rPr>
        <w:t>6、澄清问题的形式</w:t>
      </w:r>
      <w:bookmarkEnd w:id="122"/>
      <w:bookmarkEnd w:id="123"/>
    </w:p>
    <w:p w14:paraId="2822EA9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盖章确认，并不得超出投标文件的范围或者改变投标文件的实质性内容。</w:t>
      </w:r>
    </w:p>
    <w:p w14:paraId="4CBF6B31">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24" w:name="_Toc31156"/>
      <w:bookmarkStart w:id="125" w:name="_Toc30297"/>
      <w:r>
        <w:rPr>
          <w:rFonts w:hint="eastAsia" w:ascii="仿宋" w:hAnsi="仿宋" w:eastAsia="仿宋" w:cs="仿宋"/>
          <w:b/>
          <w:bCs/>
          <w:kern w:val="2"/>
          <w:sz w:val="24"/>
          <w:szCs w:val="32"/>
          <w:highlight w:val="none"/>
          <w:lang w:val="en-US" w:eastAsia="zh-CN" w:bidi="ar-SA"/>
        </w:rPr>
        <w:t>7、错误修正</w:t>
      </w:r>
      <w:bookmarkEnd w:id="124"/>
      <w:bookmarkEnd w:id="125"/>
    </w:p>
    <w:p w14:paraId="0ECD196E">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投标文件如果出现计算或表达上的错误，修正错误的原则如下 ：</w:t>
      </w:r>
    </w:p>
    <w:p w14:paraId="53E91CC6">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（1）投标报价一览表总价与投标报价明细表汇总数不一致的，以投标报价一览表为准；</w:t>
      </w:r>
    </w:p>
    <w:p w14:paraId="0E656205">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26" w:name="_Toc29280"/>
      <w:r>
        <w:rPr>
          <w:rFonts w:hint="eastAsia" w:ascii="仿宋" w:hAnsi="仿宋" w:eastAsia="仿宋" w:cs="仿宋"/>
          <w:kern w:val="2"/>
          <w:sz w:val="24"/>
          <w:szCs w:val="32"/>
          <w:highlight w:val="none"/>
          <w:lang w:val="en-US" w:eastAsia="zh-CN" w:bidi="ar-SA"/>
        </w:rPr>
        <w:t>（2）投标文件的大写金额和小写金额不一致的，以大写金额为准；</w:t>
      </w:r>
      <w:bookmarkEnd w:id="126"/>
    </w:p>
    <w:p w14:paraId="1C4787A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（3）总价金额与按单价汇总金额不一致的，以单价金额计算结果为准；</w:t>
      </w:r>
    </w:p>
    <w:p w14:paraId="18170F79">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27" w:name="_Toc16465"/>
      <w:r>
        <w:rPr>
          <w:rFonts w:hint="eastAsia" w:ascii="仿宋" w:hAnsi="仿宋" w:eastAsia="仿宋" w:cs="仿宋"/>
          <w:kern w:val="2"/>
          <w:sz w:val="24"/>
          <w:szCs w:val="32"/>
          <w:highlight w:val="none"/>
          <w:lang w:val="en-US" w:eastAsia="zh-CN" w:bidi="ar-SA"/>
        </w:rPr>
        <w:t>（4）对不同文字文本投标文件的解释发生异议的，以中文文本为准。</w:t>
      </w:r>
      <w:bookmarkEnd w:id="127"/>
    </w:p>
    <w:p w14:paraId="11BCC1A6">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0333F578">
      <w:pPr>
        <w:pStyle w:val="44"/>
        <w:snapToGrid w:val="0"/>
        <w:spacing w:line="360" w:lineRule="auto"/>
        <w:ind w:left="0" w:leftChars="0" w:firstLine="0" w:firstLineChars="0"/>
        <w:outlineLvl w:val="1"/>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8、有下列情形之一的，视为投标人串通投标，其投标无效</w:t>
      </w:r>
    </w:p>
    <w:p w14:paraId="1D201D45">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bookmarkStart w:id="128" w:name="_Toc9664"/>
      <w:bookmarkStart w:id="129" w:name="_Toc29743"/>
      <w:r>
        <w:rPr>
          <w:rFonts w:hint="eastAsia" w:ascii="仿宋" w:hAnsi="仿宋" w:eastAsia="仿宋" w:cs="仿宋"/>
          <w:kern w:val="2"/>
          <w:sz w:val="24"/>
          <w:szCs w:val="32"/>
          <w:highlight w:val="none"/>
          <w:lang w:val="en-US" w:eastAsia="zh-CN" w:bidi="ar-SA"/>
        </w:rPr>
        <w:t>（1）不同投标人的投标文件由同一单位或者个人编制；</w:t>
      </w:r>
    </w:p>
    <w:p w14:paraId="116B0CC1">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（2）不同投标人委托同一单位或者个人办理投标事宜；</w:t>
      </w:r>
    </w:p>
    <w:p w14:paraId="22CD544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（3）不同投标人的投标文件载明的项目管理成员或者联系人员为同一人；</w:t>
      </w:r>
    </w:p>
    <w:p w14:paraId="0CC17BA5">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（4）不同投标人的投标文件异常一致或者投标报价呈规律性差异；</w:t>
      </w:r>
    </w:p>
    <w:p w14:paraId="4D71A64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（5）不同投标人的投标文件相互混装；</w:t>
      </w:r>
    </w:p>
    <w:p w14:paraId="74DB5A1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（6）不同投标人的投标保证金或购买电子保函支付款为从同一单位或个人的账户转出；</w:t>
      </w:r>
    </w:p>
    <w:p w14:paraId="2D04FAB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（7）投标人上传的电子投标文件使用该项目其他投标人的数字证书加密的或加盖该项目的其他投标人的电子印章的。</w:t>
      </w:r>
    </w:p>
    <w:p w14:paraId="1DDC4920">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 xml:space="preserve"> 说明 ：在评标过程中发现投标人有上述情形的，评标委员会应当认定其投标无效。同时，项目评审时被认定为串通投标的投标人不得参加该合同项下的采购活动。</w:t>
      </w:r>
    </w:p>
    <w:p w14:paraId="0925E985">
      <w:pPr>
        <w:pStyle w:val="44"/>
        <w:snapToGrid w:val="0"/>
        <w:spacing w:line="360" w:lineRule="auto"/>
        <w:ind w:left="0" w:leftChars="0" w:firstLine="0" w:firstLineChars="0"/>
        <w:outlineLvl w:val="1"/>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9、评标过程的监控</w:t>
      </w:r>
      <w:bookmarkEnd w:id="128"/>
      <w:bookmarkEnd w:id="129"/>
    </w:p>
    <w:p w14:paraId="78AE58E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本项目评标过程实行录像监控、照片记录，且由监标人员进行现场监督，评标过程中所发生的试图影响评标结果的不公正活动，可能导致其投标被拒绝。</w:t>
      </w:r>
      <w:bookmarkStart w:id="130" w:name="_Toc28372"/>
      <w:bookmarkStart w:id="131" w:name="_Toc26644"/>
      <w:bookmarkStart w:id="132" w:name="_Toc2497"/>
      <w:bookmarkStart w:id="133" w:name="_Toc21069"/>
      <w:bookmarkStart w:id="134" w:name="_Toc10823"/>
      <w:bookmarkStart w:id="135" w:name="_Toc503212221"/>
      <w:bookmarkStart w:id="136" w:name="_Toc521014789"/>
    </w:p>
    <w:p w14:paraId="45148B2C">
      <w:pPr>
        <w:pStyle w:val="44"/>
        <w:snapToGrid w:val="0"/>
        <w:spacing w:line="360" w:lineRule="auto"/>
        <w:ind w:firstLine="562" w:firstLineChars="20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（六）定标</w:t>
      </w:r>
      <w:bookmarkEnd w:id="130"/>
      <w:bookmarkEnd w:id="131"/>
      <w:bookmarkEnd w:id="132"/>
      <w:bookmarkEnd w:id="133"/>
      <w:bookmarkEnd w:id="134"/>
      <w:bookmarkEnd w:id="135"/>
      <w:bookmarkEnd w:id="136"/>
    </w:p>
    <w:p w14:paraId="1BC7CBD7">
      <w:pPr>
        <w:snapToGrid w:val="0"/>
        <w:spacing w:line="360" w:lineRule="auto"/>
        <w:ind w:left="10" w:leftChars="0" w:hanging="10" w:firstLineChars="0"/>
        <w:rPr>
          <w:rFonts w:hint="eastAsia" w:ascii="仿宋" w:hAnsi="仿宋" w:eastAsia="仿宋" w:cs="仿宋"/>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确定中标人 ：</w:t>
      </w:r>
      <w:r>
        <w:rPr>
          <w:rFonts w:hint="eastAsia" w:ascii="仿宋" w:hAnsi="仿宋" w:eastAsia="仿宋" w:cs="仿宋"/>
          <w:kern w:val="2"/>
          <w:sz w:val="24"/>
          <w:szCs w:val="32"/>
          <w:highlight w:val="none"/>
          <w:lang w:val="en-US" w:eastAsia="zh-CN" w:bidi="ar-SA"/>
        </w:rPr>
        <w:t>本项目由招标人根据评标结果排名第一位的候选人为中标人。</w:t>
      </w:r>
    </w:p>
    <w:p w14:paraId="279232AC">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中标公告</w:t>
      </w:r>
      <w:r>
        <w:rPr>
          <w:rFonts w:hint="eastAsia" w:ascii="仿宋" w:hAnsi="仿宋" w:eastAsia="仿宋" w:cs="仿宋"/>
          <w:b/>
          <w:bCs/>
          <w:sz w:val="24"/>
          <w:szCs w:val="32"/>
          <w:highlight w:val="none"/>
          <w:lang w:eastAsia="zh-CN"/>
        </w:rPr>
        <w:t xml:space="preserve"> ：</w:t>
      </w:r>
      <w:r>
        <w:rPr>
          <w:rFonts w:hint="eastAsia" w:ascii="仿宋" w:hAnsi="仿宋" w:eastAsia="仿宋" w:cs="仿宋"/>
          <w:sz w:val="24"/>
          <w:szCs w:val="32"/>
          <w:highlight w:val="none"/>
        </w:rPr>
        <w:t>中标供应商确定之日起2个工作日内，采购人或采购代理机构将在中国政府采购网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http://</w:t>
      </w:r>
      <w:r>
        <w:rPr>
          <w:rFonts w:hint="eastAsia" w:ascii="仿宋" w:hAnsi="仿宋" w:eastAsia="仿宋" w:cs="仿宋"/>
          <w:sz w:val="24"/>
          <w:szCs w:val="32"/>
          <w:highlight w:val="none"/>
        </w:rPr>
        <w:t>www.ccgp.gov.cn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、新疆政府采购网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http://www.ccgp-xinjiang.gov.cn/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上以公告的形式发布中标结果，中标公告的公告期限为 1个工作日。中标公告同时作为采购代理机构通知除中标供应商外的其他投标人没有中标的书面形式，采购代理机构不再</w:t>
      </w:r>
      <w:r>
        <w:rPr>
          <w:rFonts w:hint="eastAsia" w:ascii="仿宋" w:hAnsi="仿宋" w:eastAsia="仿宋" w:cs="仿宋"/>
          <w:sz w:val="24"/>
          <w:szCs w:val="32"/>
          <w:highlight w:val="none"/>
          <w:lang w:eastAsia="zh-CN"/>
        </w:rPr>
        <w:t>以其他方式</w:t>
      </w:r>
      <w:r>
        <w:rPr>
          <w:rFonts w:hint="eastAsia" w:ascii="仿宋" w:hAnsi="仿宋" w:eastAsia="仿宋" w:cs="仿宋"/>
          <w:sz w:val="24"/>
          <w:szCs w:val="32"/>
          <w:highlight w:val="none"/>
        </w:rPr>
        <w:t>另行通知。</w:t>
      </w:r>
    </w:p>
    <w:p w14:paraId="03FBF030">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中标通知书</w:t>
      </w:r>
      <w:r>
        <w:rPr>
          <w:rFonts w:hint="eastAsia" w:ascii="仿宋" w:hAnsi="仿宋" w:eastAsia="仿宋" w:cs="仿宋"/>
          <w:b/>
          <w:bCs/>
          <w:sz w:val="24"/>
          <w:szCs w:val="32"/>
          <w:highlight w:val="none"/>
          <w:lang w:eastAsia="zh-CN"/>
        </w:rPr>
        <w:t xml:space="preserve"> ：</w:t>
      </w:r>
      <w:r>
        <w:rPr>
          <w:rFonts w:hint="eastAsia" w:ascii="仿宋" w:hAnsi="仿宋" w:eastAsia="仿宋" w:cs="仿宋"/>
          <w:sz w:val="24"/>
          <w:szCs w:val="32"/>
          <w:highlight w:val="none"/>
        </w:rPr>
        <w:t>中标通知书在发布中标公告时，同步发</w:t>
      </w:r>
      <w:r>
        <w:rPr>
          <w:rFonts w:hint="eastAsia" w:ascii="仿宋" w:hAnsi="仿宋" w:eastAsia="仿宋" w:cs="仿宋"/>
          <w:sz w:val="24"/>
          <w:szCs w:val="32"/>
          <w:highlight w:val="none"/>
          <w:lang w:eastAsia="zh-CN"/>
        </w:rPr>
        <w:t>出</w:t>
      </w:r>
      <w:r>
        <w:rPr>
          <w:rFonts w:hint="eastAsia" w:ascii="仿宋" w:hAnsi="仿宋" w:eastAsia="仿宋" w:cs="仿宋"/>
          <w:sz w:val="24"/>
          <w:szCs w:val="32"/>
          <w:highlight w:val="none"/>
        </w:rPr>
        <w:t>中标通知书至中标供应商。中标通知书发出后，采购人不得违法改变中标结果，中标供应商不得放弃中标。中标供应商放弃中标的，应当依法承担相应的法律责任。</w:t>
      </w:r>
    </w:p>
    <w:p w14:paraId="7FA6DE7A">
      <w:pPr>
        <w:spacing w:line="360" w:lineRule="auto"/>
        <w:ind w:left="10" w:leftChars="0" w:hanging="10" w:firstLineChars="0"/>
        <w:jc w:val="left"/>
        <w:rPr>
          <w:rFonts w:hint="eastAsia" w:ascii="仿宋" w:hAnsi="仿宋" w:eastAsia="仿宋" w:cs="仿宋"/>
          <w:sz w:val="24"/>
          <w:szCs w:val="32"/>
          <w:highlight w:val="none"/>
          <w:lang w:eastAsia="zh-CN"/>
        </w:rPr>
      </w:pPr>
      <w:r>
        <w:rPr>
          <w:rFonts w:hint="eastAsia" w:ascii="仿宋" w:hAnsi="仿宋" w:eastAsia="仿宋" w:cs="仿宋"/>
          <w:b/>
          <w:bCs/>
          <w:sz w:val="24"/>
          <w:szCs w:val="32"/>
          <w:highlight w:val="none"/>
        </w:rPr>
        <w:t>项目废标处理</w:t>
      </w:r>
      <w:r>
        <w:rPr>
          <w:rFonts w:hint="eastAsia" w:ascii="仿宋" w:hAnsi="仿宋" w:eastAsia="仿宋" w:cs="仿宋"/>
          <w:b/>
          <w:bCs/>
          <w:sz w:val="24"/>
          <w:szCs w:val="32"/>
          <w:highlight w:val="none"/>
          <w:lang w:eastAsia="zh-CN"/>
        </w:rPr>
        <w:t xml:space="preserve"> ：</w:t>
      </w:r>
      <w:r>
        <w:rPr>
          <w:rFonts w:hint="eastAsia" w:ascii="仿宋" w:hAnsi="仿宋" w:eastAsia="仿宋" w:cs="仿宋"/>
          <w:sz w:val="24"/>
          <w:szCs w:val="32"/>
          <w:highlight w:val="none"/>
        </w:rPr>
        <w:t>根据《中华人民共和国政府采购法》第三十六条及招标文件的约定，本项目或分包下列情况出现将作废标处理</w:t>
      </w:r>
      <w:r>
        <w:rPr>
          <w:rFonts w:hint="eastAsia" w:ascii="仿宋" w:hAnsi="仿宋" w:eastAsia="仿宋" w:cs="仿宋"/>
          <w:sz w:val="24"/>
          <w:szCs w:val="32"/>
          <w:highlight w:val="none"/>
          <w:lang w:eastAsia="zh-CN"/>
        </w:rPr>
        <w:t xml:space="preserve"> ：</w:t>
      </w:r>
    </w:p>
    <w:p w14:paraId="592B9BDD">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（1）符合专业资格条件的投标人或者对招标文件作实质响应的有效投标人不足三家的（说明</w:t>
      </w:r>
      <w:r>
        <w:rPr>
          <w:rFonts w:hint="eastAsia" w:ascii="仿宋" w:hAnsi="仿宋" w:eastAsia="仿宋" w:cs="仿宋"/>
          <w:sz w:val="24"/>
          <w:szCs w:val="32"/>
          <w:highlight w:val="none"/>
          <w:lang w:eastAsia="zh-CN"/>
        </w:rPr>
        <w:t xml:space="preserve"> ：</w:t>
      </w:r>
      <w:r>
        <w:rPr>
          <w:rFonts w:hint="eastAsia" w:ascii="仿宋" w:hAnsi="仿宋" w:eastAsia="仿宋" w:cs="仿宋"/>
          <w:sz w:val="24"/>
          <w:szCs w:val="32"/>
          <w:highlight w:val="none"/>
        </w:rPr>
        <w:t>使用综合评分法的采购项目，提供相同品牌产品且通过资格审查、符合性审查的不同投标人参加同一合同项下投标的，按一家投标人计算） 。</w:t>
      </w:r>
    </w:p>
    <w:p w14:paraId="608CE829">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（2）出现影响采购公正的违法、违规行为的。</w:t>
      </w:r>
    </w:p>
    <w:p w14:paraId="64BD2916">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（3）投标人的报价均超过了采购预算，采购人不能支付的。</w:t>
      </w:r>
    </w:p>
    <w:p w14:paraId="78DD5885">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（4）因重大变故，采购任务取消的。</w:t>
      </w:r>
    </w:p>
    <w:p w14:paraId="6DC76859">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对废标的采购项目，评标委员会应出具采购文件是否存在不合理条款的论证意见。</w:t>
      </w:r>
    </w:p>
    <w:p w14:paraId="628D55C9">
      <w:pPr>
        <w:spacing w:line="360" w:lineRule="auto"/>
        <w:ind w:firstLine="48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终止公告</w:t>
      </w:r>
      <w:r>
        <w:rPr>
          <w:rFonts w:hint="eastAsia" w:ascii="仿宋" w:hAnsi="仿宋" w:eastAsia="仿宋" w:cs="仿宋"/>
          <w:b/>
          <w:bCs/>
          <w:sz w:val="24"/>
          <w:szCs w:val="32"/>
          <w:highlight w:val="none"/>
          <w:lang w:eastAsia="zh-CN"/>
        </w:rPr>
        <w:t xml:space="preserve"> ：</w:t>
      </w:r>
      <w:r>
        <w:rPr>
          <w:rFonts w:hint="eastAsia" w:ascii="仿宋" w:hAnsi="仿宋" w:eastAsia="仿宋" w:cs="仿宋"/>
          <w:sz w:val="24"/>
          <w:szCs w:val="32"/>
          <w:highlight w:val="none"/>
        </w:rPr>
        <w:t>项目废标后，采购人或采购代理机构将在中国政府采购网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http://</w:t>
      </w:r>
      <w:r>
        <w:rPr>
          <w:rFonts w:hint="eastAsia" w:ascii="仿宋" w:hAnsi="仿宋" w:eastAsia="仿宋" w:cs="仿宋"/>
          <w:sz w:val="24"/>
          <w:szCs w:val="32"/>
          <w:highlight w:val="none"/>
        </w:rPr>
        <w:t>www.ccgp.gov.cn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、新疆政府采购网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http://www.ccgp-xinjiang.gov.cn/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、上发布终止公告，终止公告的公告期限为1个工作日。</w:t>
      </w:r>
    </w:p>
    <w:p w14:paraId="1588C760">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137" w:name="_Toc15327"/>
      <w:bookmarkStart w:id="138" w:name="_Toc503212222"/>
      <w:bookmarkStart w:id="139" w:name="_Toc11259"/>
      <w:bookmarkStart w:id="140" w:name="_Toc521014790"/>
      <w:bookmarkStart w:id="141" w:name="_Toc20063"/>
    </w:p>
    <w:p w14:paraId="5DD8CA54">
      <w:pPr>
        <w:snapToGrid w:val="0"/>
        <w:spacing w:line="360" w:lineRule="auto"/>
        <w:ind w:firstLine="562" w:firstLineChars="200"/>
        <w:jc w:val="center"/>
        <w:outlineLvl w:val="1"/>
        <w:rPr>
          <w:rFonts w:hint="eastAsia" w:ascii="仿宋" w:hAnsi="仿宋" w:eastAsia="仿宋" w:cs="仿宋"/>
          <w:color w:val="000000"/>
          <w:highlight w:val="none"/>
        </w:rPr>
      </w:pPr>
      <w:bookmarkStart w:id="142" w:name="_Toc20117"/>
      <w:bookmarkStart w:id="143" w:name="_Toc20345"/>
      <w:r>
        <w:rPr>
          <w:rFonts w:hint="eastAsia" w:ascii="仿宋" w:hAnsi="仿宋" w:eastAsia="仿宋" w:cs="仿宋"/>
          <w:b/>
          <w:bCs/>
          <w:color w:val="000000"/>
          <w:kern w:val="2"/>
          <w:sz w:val="28"/>
          <w:szCs w:val="28"/>
          <w:highlight w:val="none"/>
          <w:lang w:val="en-US" w:eastAsia="zh-CN" w:bidi="ar-SA"/>
        </w:rPr>
        <w:t>（七）合同授予</w:t>
      </w:r>
      <w:bookmarkEnd w:id="137"/>
      <w:bookmarkEnd w:id="138"/>
      <w:bookmarkEnd w:id="139"/>
      <w:bookmarkEnd w:id="140"/>
      <w:bookmarkEnd w:id="141"/>
      <w:bookmarkEnd w:id="142"/>
      <w:bookmarkEnd w:id="143"/>
    </w:p>
    <w:p w14:paraId="0B023075">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1.合同签订</w:t>
      </w:r>
    </w:p>
    <w:p w14:paraId="5883A3A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6450E7B2">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1.2采购人不得提出试用合格等任何不合理的要求作为签订合同的条件，且不得与中标供应商私下订立背离合同实质性内容的协议。</w:t>
      </w:r>
    </w:p>
    <w:p w14:paraId="6F71AD9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14:paraId="0634B30D">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2BE3C056">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2.合同的履行</w:t>
      </w:r>
    </w:p>
    <w:p w14:paraId="2E176445">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1FB4ED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2.2政府采购合同履行中，采购人需追加与合同标的相同的货物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1B5532A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2.3有融资要求的中标供应商可根据自身情况，在新疆政府采购网上自行选择金融机构及其融资产品，凭政府采购中标通知书或政府采购合同向金融机构提出融资申请。</w:t>
      </w:r>
    </w:p>
    <w:p w14:paraId="075FD7DF">
      <w:pPr>
        <w:snapToGrid w:val="0"/>
        <w:spacing w:line="360" w:lineRule="auto"/>
        <w:ind w:firstLine="562" w:firstLineChars="200"/>
        <w:jc w:val="center"/>
        <w:outlineLvl w:val="1"/>
        <w:rPr>
          <w:rFonts w:hint="eastAsia" w:ascii="仿宋" w:hAnsi="仿宋" w:eastAsia="仿宋" w:cs="仿宋"/>
          <w:b/>
          <w:bCs/>
          <w:color w:val="000000"/>
          <w:kern w:val="2"/>
          <w:sz w:val="28"/>
          <w:szCs w:val="28"/>
          <w:highlight w:val="none"/>
          <w:lang w:val="en-US" w:eastAsia="zh-CN" w:bidi="ar-SA"/>
        </w:rPr>
      </w:pPr>
      <w:bookmarkStart w:id="144" w:name="_Toc17664"/>
      <w:bookmarkStart w:id="145" w:name="_Toc115436070"/>
      <w:bookmarkStart w:id="146" w:name="_Toc28496"/>
      <w:bookmarkStart w:id="147" w:name="_Toc18703"/>
      <w:r>
        <w:rPr>
          <w:rFonts w:hint="eastAsia" w:ascii="仿宋" w:hAnsi="仿宋" w:eastAsia="仿宋" w:cs="仿宋"/>
          <w:b/>
          <w:bCs/>
          <w:color w:val="000000"/>
          <w:kern w:val="2"/>
          <w:sz w:val="28"/>
          <w:szCs w:val="28"/>
          <w:highlight w:val="none"/>
          <w:lang w:val="en-US" w:eastAsia="zh-CN" w:bidi="ar-SA"/>
        </w:rPr>
        <w:t>（八）法律责任</w:t>
      </w:r>
      <w:bookmarkEnd w:id="144"/>
      <w:bookmarkEnd w:id="145"/>
    </w:p>
    <w:p w14:paraId="2AE2CACF">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14:paraId="5DA770E9">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 </w:t>
      </w:r>
    </w:p>
    <w:p w14:paraId="1CBFFFAA">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（一）提供虚假材料谋取中标的； </w:t>
      </w:r>
    </w:p>
    <w:p w14:paraId="0B993C0F">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（二）采取不正当手段诋毁、排挤其他投标人的；</w:t>
      </w:r>
    </w:p>
    <w:p w14:paraId="3BCDFC43">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（三）与招标人、采购人、其他投标人恶意串通的； </w:t>
      </w:r>
    </w:p>
    <w:p w14:paraId="29FD64D2">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（四）向招标人、采购人行贿或者提供其他不正当利益的； </w:t>
      </w:r>
    </w:p>
    <w:p w14:paraId="2DA05DAA">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14:paraId="669D56D2">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（六）拒绝有关部门监督检查或者提供虚假情况的。 </w:t>
      </w:r>
    </w:p>
    <w:p w14:paraId="3D2881AC">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投标人有前款第（一）至（五）项情形之一的，中标无效。 </w:t>
      </w:r>
    </w:p>
    <w:p w14:paraId="06FAF091">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 ：</w:t>
      </w:r>
    </w:p>
    <w:p w14:paraId="52D9A540">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（一）中标后无正当理由不与采购人签订合同的；</w:t>
      </w:r>
    </w:p>
    <w:p w14:paraId="05FF90E5">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（二）将中标项目转让给他人，或者在投标文件中未说明，且未经招标人同意，将中标项目分包给他人的；</w:t>
      </w:r>
    </w:p>
    <w:p w14:paraId="5EB64A4F">
      <w:pPr>
        <w:pStyle w:val="44"/>
        <w:snapToGrid w:val="0"/>
        <w:spacing w:line="360" w:lineRule="auto"/>
        <w:ind w:left="210" w:leftChars="100"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（三）拒绝履行合同义务的。</w:t>
      </w:r>
    </w:p>
    <w:p w14:paraId="2AAE1D31">
      <w:pPr>
        <w:numPr>
          <w:ilvl w:val="0"/>
          <w:numId w:val="0"/>
        </w:numPr>
        <w:shd w:val="clear" w:color="auto" w:fill="auto"/>
        <w:spacing w:line="460" w:lineRule="exact"/>
        <w:ind w:leftChars="-50" w:right="62" w:rightChars="0"/>
        <w:jc w:val="center"/>
        <w:outlineLvl w:val="1"/>
        <w:rPr>
          <w:rFonts w:hint="eastAsia" w:ascii="仿宋" w:hAnsi="仿宋" w:eastAsia="仿宋" w:cs="仿宋"/>
          <w:b/>
          <w:color w:val="auto"/>
          <w:sz w:val="28"/>
          <w:szCs w:val="28"/>
          <w:highlight w:val="none"/>
        </w:rPr>
      </w:pPr>
      <w:bookmarkStart w:id="148" w:name="_Toc5688"/>
      <w:bookmarkStart w:id="149" w:name="_Toc115436071"/>
      <w:r>
        <w:rPr>
          <w:rFonts w:hint="eastAsia" w:ascii="仿宋" w:hAnsi="仿宋" w:eastAsia="仿宋" w:cs="仿宋"/>
          <w:b/>
          <w:bCs/>
          <w:color w:val="000000"/>
          <w:kern w:val="2"/>
          <w:sz w:val="28"/>
          <w:szCs w:val="28"/>
          <w:highlight w:val="none"/>
          <w:lang w:val="en-US" w:eastAsia="zh-CN" w:bidi="ar-SA"/>
        </w:rPr>
        <w:t>（九）</w:t>
      </w:r>
      <w:r>
        <w:rPr>
          <w:rFonts w:hint="eastAsia" w:ascii="仿宋" w:hAnsi="仿宋" w:eastAsia="仿宋" w:cs="仿宋"/>
          <w:b/>
          <w:color w:val="auto"/>
          <w:sz w:val="28"/>
          <w:szCs w:val="28"/>
          <w:highlight w:val="none"/>
        </w:rPr>
        <w:t>特别提示</w:t>
      </w:r>
      <w:bookmarkEnd w:id="146"/>
      <w:bookmarkEnd w:id="147"/>
      <w:bookmarkEnd w:id="148"/>
      <w:bookmarkEnd w:id="149"/>
    </w:p>
    <w:p w14:paraId="6F6FF8BE">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1、投标人应认真研读招标文件，充分考虑招标文件中的技术要求和合同条款后编制投标文件。</w:t>
      </w:r>
    </w:p>
    <w:p w14:paraId="11419A2E">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2、如招标文件中未提供的各类表格样式，投标人可另行设计表格样式，但力求内容完整，表达清晰、准确。</w:t>
      </w:r>
    </w:p>
    <w:p w14:paraId="2417806A">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3、本项目实行网上投标，采用电子投标文件。若供应商参与投标，自行承担投标一切费用。 </w:t>
      </w:r>
    </w:p>
    <w:p w14:paraId="7AB66B09">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4、各供应商应在开标前应确保成为正式注册入库供应商，并完成CA数字证书申领。因未注册入库、未办理CA数字证书等原因造成无法投标或投标失败等后果由供应商自行承担。 </w:t>
      </w:r>
    </w:p>
    <w:p w14:paraId="5907FAD5">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909A0D7">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352E7C0">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7、本招标文件是根据《中华人民共和国政府采购法》等相关规定编制的，解释权属墨玉县众信智诚工程项目管理有限公司。</w:t>
      </w:r>
    </w:p>
    <w:p w14:paraId="64877AA8">
      <w:pPr>
        <w:numPr>
          <w:ilvl w:val="0"/>
          <w:numId w:val="0"/>
        </w:numPr>
        <w:shd w:val="clear" w:color="auto" w:fill="auto"/>
        <w:spacing w:line="460" w:lineRule="exact"/>
        <w:ind w:leftChars="-50" w:right="62" w:rightChars="0"/>
        <w:jc w:val="center"/>
        <w:outlineLvl w:val="1"/>
        <w:rPr>
          <w:rFonts w:hint="eastAsia" w:ascii="仿宋" w:hAnsi="仿宋" w:eastAsia="仿宋" w:cs="仿宋"/>
          <w:b/>
          <w:color w:val="auto"/>
          <w:sz w:val="28"/>
          <w:szCs w:val="28"/>
          <w:highlight w:val="none"/>
        </w:rPr>
      </w:pPr>
      <w:bookmarkStart w:id="150" w:name="_Toc4516"/>
      <w:bookmarkStart w:id="151" w:name="_Toc115436072"/>
      <w:r>
        <w:rPr>
          <w:rFonts w:hint="eastAsia" w:ascii="仿宋" w:hAnsi="仿宋" w:eastAsia="仿宋" w:cs="仿宋"/>
          <w:b/>
          <w:bCs/>
          <w:color w:val="000000"/>
          <w:kern w:val="2"/>
          <w:sz w:val="28"/>
          <w:szCs w:val="28"/>
          <w:highlight w:val="none"/>
          <w:lang w:val="en-US" w:eastAsia="zh-CN" w:bidi="ar-SA"/>
        </w:rPr>
        <w:t>（十）</w:t>
      </w:r>
      <w:r>
        <w:rPr>
          <w:rFonts w:hint="eastAsia" w:ascii="仿宋" w:hAnsi="仿宋" w:eastAsia="仿宋" w:cs="仿宋"/>
          <w:b/>
          <w:color w:val="auto"/>
          <w:sz w:val="28"/>
          <w:szCs w:val="28"/>
          <w:highlight w:val="none"/>
        </w:rPr>
        <w:t>重新招标和其他方式采购</w:t>
      </w:r>
      <w:bookmarkEnd w:id="150"/>
      <w:bookmarkEnd w:id="151"/>
    </w:p>
    <w:p w14:paraId="4CC91BFE">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1.重新招标</w:t>
      </w:r>
    </w:p>
    <w:p w14:paraId="0F23533D">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1.1在招标采购中，出现下列情形之一的，应当在废标后重新招标 ：</w:t>
      </w:r>
    </w:p>
    <w:p w14:paraId="24E0740B">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（1）符合专业条件的供应商或者对招标文件做实质响应的供应商不足三家的；</w:t>
      </w:r>
    </w:p>
    <w:p w14:paraId="6F60506B">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（2）出现影响采购公正的违法、违规行为的；</w:t>
      </w:r>
    </w:p>
    <w:p w14:paraId="7E848090">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（3）投标人的报价均超过了采购预算，采购人不能支付的；</w:t>
      </w:r>
    </w:p>
    <w:p w14:paraId="24D607A0">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（4）因重大变故，采购任务取消的。</w:t>
      </w:r>
    </w:p>
    <w:p w14:paraId="52902C12">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14:paraId="25C599C7">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2其他方式采购</w:t>
      </w:r>
    </w:p>
    <w:p w14:paraId="533C9B39">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14:paraId="43F694A8">
      <w:pPr>
        <w:shd w:val="clear" w:color="auto" w:fill="auto"/>
        <w:spacing w:line="460" w:lineRule="exact"/>
        <w:jc w:val="center"/>
        <w:outlineLvl w:val="1"/>
        <w:rPr>
          <w:rFonts w:hint="eastAsia" w:ascii="仿宋" w:hAnsi="仿宋" w:eastAsia="仿宋" w:cs="仿宋"/>
          <w:color w:val="auto"/>
          <w:sz w:val="24"/>
          <w:highlight w:val="none"/>
          <w:lang w:val="en-US" w:eastAsia="zh-CN"/>
        </w:rPr>
      </w:pPr>
      <w:bookmarkStart w:id="152" w:name="_Toc115436073"/>
      <w:bookmarkStart w:id="153" w:name="_Toc2805"/>
      <w:bookmarkStart w:id="154" w:name="_Toc13351"/>
      <w:bookmarkStart w:id="155" w:name="_Toc26775"/>
      <w:r>
        <w:rPr>
          <w:rFonts w:hint="eastAsia" w:ascii="仿宋" w:hAnsi="仿宋" w:eastAsia="仿宋" w:cs="仿宋"/>
          <w:b/>
          <w:bCs/>
          <w:color w:val="000000"/>
          <w:kern w:val="2"/>
          <w:sz w:val="28"/>
          <w:szCs w:val="28"/>
          <w:highlight w:val="none"/>
          <w:lang w:val="en-US" w:eastAsia="zh-CN" w:bidi="ar-SA"/>
        </w:rPr>
        <w:t>（十</w:t>
      </w:r>
      <w:r>
        <w:rPr>
          <w:rFonts w:hint="eastAsia" w:ascii="仿宋" w:hAnsi="仿宋" w:eastAsia="仿宋" w:cs="仿宋"/>
          <w:b/>
          <w:color w:val="auto"/>
          <w:sz w:val="28"/>
          <w:szCs w:val="28"/>
          <w:highlight w:val="none"/>
        </w:rPr>
        <w:t>一</w:t>
      </w:r>
      <w:r>
        <w:rPr>
          <w:rFonts w:hint="eastAsia" w:ascii="仿宋" w:hAnsi="仿宋" w:eastAsia="仿宋" w:cs="仿宋"/>
          <w:b/>
          <w:bCs/>
          <w:color w:val="000000"/>
          <w:kern w:val="2"/>
          <w:sz w:val="28"/>
          <w:szCs w:val="28"/>
          <w:highlight w:val="none"/>
          <w:lang w:val="en-US" w:eastAsia="zh-CN" w:bidi="ar-SA"/>
        </w:rPr>
        <w:t>）</w:t>
      </w:r>
      <w:r>
        <w:rPr>
          <w:rFonts w:hint="eastAsia" w:ascii="仿宋" w:hAnsi="仿宋" w:eastAsia="仿宋" w:cs="仿宋"/>
          <w:b/>
          <w:color w:val="auto"/>
          <w:sz w:val="28"/>
          <w:highlight w:val="none"/>
        </w:rPr>
        <w:t>质疑及答复</w:t>
      </w:r>
      <w:bookmarkEnd w:id="152"/>
      <w:bookmarkEnd w:id="153"/>
      <w:bookmarkEnd w:id="154"/>
      <w:bookmarkEnd w:id="155"/>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lang w:val="en-US" w:eastAsia="zh-CN"/>
        </w:rPr>
        <w:t>投诉</w:t>
      </w:r>
    </w:p>
    <w:p w14:paraId="0AA67EC0">
      <w:pPr>
        <w:shd w:val="clear" w:color="auto" w:fill="auto"/>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14:paraId="4B4F834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本采购文件中所称质疑及答复，是指参加本次采购活动的供应商对政府采购活动中的采购文件、采购过程和中标结果向采购方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14:paraId="23BA460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供应商认为采购文件、采购过程和中标结果使自己的权益受到损害的，可以在知道或者应知其权益受到损害之日起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14:paraId="155ED75B">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供应商应知其权益受到损害之日，是指</w:t>
      </w:r>
      <w:r>
        <w:rPr>
          <w:rFonts w:hint="eastAsia" w:ascii="仿宋" w:hAnsi="仿宋" w:eastAsia="仿宋" w:cs="仿宋"/>
          <w:color w:val="auto"/>
          <w:sz w:val="24"/>
          <w:szCs w:val="24"/>
          <w:highlight w:val="none"/>
          <w:lang w:eastAsia="zh-CN"/>
        </w:rPr>
        <w:t xml:space="preserve"> ：</w:t>
      </w:r>
    </w:p>
    <w:p w14:paraId="03C07E0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16236A20">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270BAEA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3D1950A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2DFD1A8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即从采购项目信息公告发布起到中标结果公告止，包括采购文件的发出、提交投标文件、投标文件开启、评审等各个采购程序环节。</w:t>
      </w:r>
    </w:p>
    <w:p w14:paraId="68A36E84">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r>
        <w:rPr>
          <w:rFonts w:hint="eastAsia" w:ascii="仿宋" w:hAnsi="仿宋" w:eastAsia="仿宋" w:cs="仿宋"/>
          <w:color w:val="auto"/>
          <w:sz w:val="24"/>
          <w:szCs w:val="24"/>
          <w:highlight w:val="none"/>
          <w:lang w:eastAsia="zh-CN"/>
        </w:rPr>
        <w:t xml:space="preserve"> ：</w:t>
      </w:r>
    </w:p>
    <w:p w14:paraId="7AB34B9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55AF64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1459D648">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6AA92B9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、规章规定的其他条件。</w:t>
      </w:r>
    </w:p>
    <w:p w14:paraId="338C718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即质疑人在质疑函中提出的，要求采购方对其予以支持的主张。必要的证明材料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即能够证明质疑人的质疑请求成立的必要材料，包括相关证据、依据和其他有关材料。</w:t>
      </w:r>
    </w:p>
    <w:p w14:paraId="3163E1A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593B0A06">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r>
        <w:rPr>
          <w:rFonts w:hint="eastAsia" w:ascii="仿宋" w:hAnsi="仿宋" w:eastAsia="仿宋" w:cs="仿宋"/>
          <w:color w:val="auto"/>
          <w:sz w:val="24"/>
          <w:szCs w:val="24"/>
          <w:highlight w:val="none"/>
          <w:lang w:eastAsia="zh-CN"/>
        </w:rPr>
        <w:t xml:space="preserve"> ：</w:t>
      </w:r>
    </w:p>
    <w:p w14:paraId="0594319A">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27380D69">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21A6EA98">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71067025">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69FCEAA1">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5D156AA6">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5401E9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，并附有效身份证明文件。</w:t>
      </w:r>
    </w:p>
    <w:p w14:paraId="70D2898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5D4A713E">
      <w:pPr>
        <w:shd w:val="clear" w:color="auto" w:fill="auto"/>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14:paraId="390B9B63">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14:paraId="4CDA7542">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r>
        <w:rPr>
          <w:rFonts w:hint="eastAsia" w:ascii="仿宋" w:hAnsi="仿宋" w:eastAsia="仿宋" w:cs="仿宋"/>
          <w:color w:val="auto"/>
          <w:sz w:val="24"/>
          <w:szCs w:val="24"/>
          <w:highlight w:val="none"/>
          <w:lang w:eastAsia="zh-CN"/>
        </w:rPr>
        <w:t xml:space="preserve"> ：</w:t>
      </w:r>
    </w:p>
    <w:p w14:paraId="2C02F495">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4420E280">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38AB2C1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04E0BAB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188DA3F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184D49B7">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4C80882E">
      <w:pPr>
        <w:shd w:val="clear" w:color="auto" w:fill="auto"/>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14:paraId="0618B4E2">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14:paraId="794D6895">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w:t>
      </w:r>
      <w:r>
        <w:rPr>
          <w:rFonts w:hint="eastAsia" w:ascii="仿宋" w:hAnsi="仿宋" w:eastAsia="仿宋" w:cs="仿宋"/>
          <w:color w:val="auto"/>
          <w:sz w:val="24"/>
          <w:szCs w:val="24"/>
          <w:highlight w:val="none"/>
          <w:lang w:eastAsia="zh-CN"/>
        </w:rPr>
        <w:t>期限内</w:t>
      </w:r>
      <w:r>
        <w:rPr>
          <w:rFonts w:hint="eastAsia" w:ascii="仿宋" w:hAnsi="仿宋" w:eastAsia="仿宋" w:cs="仿宋"/>
          <w:color w:val="auto"/>
          <w:sz w:val="24"/>
          <w:szCs w:val="24"/>
          <w:highlight w:val="none"/>
        </w:rPr>
        <w:t>提交书面答复，同时提供有关证据、依据和相关材料。</w:t>
      </w:r>
    </w:p>
    <w:p w14:paraId="684402D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14:paraId="38AB8AE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14:paraId="4A9D176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14:paraId="1377A6F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14:paraId="3B78398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14:paraId="1E317C01">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r>
        <w:rPr>
          <w:rFonts w:hint="eastAsia" w:ascii="仿宋" w:hAnsi="仿宋" w:eastAsia="仿宋" w:cs="仿宋"/>
          <w:color w:val="auto"/>
          <w:sz w:val="24"/>
          <w:szCs w:val="24"/>
          <w:highlight w:val="none"/>
          <w:lang w:eastAsia="zh-CN"/>
        </w:rPr>
        <w:t xml:space="preserve"> ：</w:t>
      </w:r>
    </w:p>
    <w:p w14:paraId="393A699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797253B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205B54C7">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r>
        <w:rPr>
          <w:rFonts w:hint="eastAsia" w:ascii="仿宋" w:hAnsi="仿宋" w:eastAsia="仿宋" w:cs="仿宋"/>
          <w:color w:val="auto"/>
          <w:sz w:val="24"/>
          <w:szCs w:val="24"/>
          <w:highlight w:val="none"/>
          <w:lang w:eastAsia="zh-CN"/>
        </w:rPr>
        <w:t xml:space="preserve"> ：</w:t>
      </w:r>
    </w:p>
    <w:p w14:paraId="54048D9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14:paraId="226079E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14:paraId="24F39462">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767C147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14:paraId="0DB4C363">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14:paraId="7A8F0622">
      <w:pPr>
        <w:shd w:val="clear" w:color="auto" w:fill="auto"/>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r>
        <w:rPr>
          <w:rFonts w:hint="eastAsia" w:ascii="仿宋" w:hAnsi="仿宋" w:eastAsia="仿宋" w:cs="仿宋"/>
          <w:color w:val="auto"/>
          <w:sz w:val="24"/>
          <w:szCs w:val="24"/>
          <w:highlight w:val="none"/>
          <w:lang w:eastAsia="zh-CN"/>
        </w:rPr>
        <w:t xml:space="preserve"> ：</w:t>
      </w:r>
    </w:p>
    <w:p w14:paraId="39AE5BA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14:paraId="6173A9F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14:paraId="5175E02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14:paraId="6F72245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14:paraId="168EF36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14:paraId="12DD7CF7">
      <w:pPr>
        <w:shd w:val="clear" w:color="auto" w:fill="auto"/>
        <w:spacing w:before="101" w:line="224" w:lineRule="auto"/>
        <w:outlineLvl w:val="2"/>
        <w:rPr>
          <w:rFonts w:hint="eastAsia" w:ascii="仿宋" w:hAnsi="仿宋" w:eastAsia="仿宋" w:cs="仿宋"/>
          <w:b/>
          <w:bCs/>
          <w:color w:val="auto"/>
          <w:sz w:val="28"/>
          <w:szCs w:val="28"/>
          <w:highlight w:val="none"/>
        </w:rPr>
      </w:pPr>
      <w:bookmarkStart w:id="156" w:name="_Toc21178"/>
      <w:bookmarkStart w:id="157" w:name="_Toc1224"/>
      <w:bookmarkStart w:id="158" w:name="_Toc110010424"/>
      <w:r>
        <w:rPr>
          <w:rFonts w:hint="eastAsia" w:ascii="仿宋" w:hAnsi="仿宋" w:eastAsia="仿宋" w:cs="仿宋"/>
          <w:color w:val="auto"/>
          <w:spacing w:val="8"/>
          <w:sz w:val="24"/>
          <w:szCs w:val="24"/>
          <w:highlight w:val="none"/>
        </w:rPr>
        <w:br w:type="page"/>
      </w:r>
      <w:r>
        <w:rPr>
          <w:rFonts w:hint="eastAsia" w:ascii="仿宋" w:hAnsi="仿宋" w:eastAsia="仿宋" w:cs="仿宋"/>
          <w:b/>
          <w:bCs/>
          <w:color w:val="auto"/>
          <w:spacing w:val="8"/>
          <w:sz w:val="28"/>
          <w:szCs w:val="28"/>
          <w:highlight w:val="none"/>
        </w:rPr>
        <w:t>附</w:t>
      </w:r>
      <w:r>
        <w:rPr>
          <w:rFonts w:hint="eastAsia" w:ascii="仿宋" w:hAnsi="仿宋" w:eastAsia="仿宋" w:cs="仿宋"/>
          <w:b/>
          <w:bCs/>
          <w:color w:val="auto"/>
          <w:spacing w:val="6"/>
          <w:sz w:val="28"/>
          <w:szCs w:val="28"/>
          <w:highlight w:val="none"/>
        </w:rPr>
        <w:t>件</w:t>
      </w:r>
      <w:r>
        <w:rPr>
          <w:rFonts w:hint="eastAsia" w:ascii="仿宋" w:hAnsi="仿宋" w:eastAsia="仿宋" w:cs="仿宋"/>
          <w:b/>
          <w:bCs/>
          <w:color w:val="auto"/>
          <w:spacing w:val="6"/>
          <w:sz w:val="28"/>
          <w:szCs w:val="28"/>
          <w:highlight w:val="none"/>
          <w:lang w:eastAsia="zh-CN"/>
        </w:rPr>
        <w:t xml:space="preserve"> ：</w:t>
      </w:r>
      <w:r>
        <w:rPr>
          <w:rFonts w:hint="eastAsia" w:ascii="仿宋" w:hAnsi="仿宋" w:eastAsia="仿宋" w:cs="仿宋"/>
          <w:b/>
          <w:bCs/>
          <w:color w:val="auto"/>
          <w:spacing w:val="6"/>
          <w:sz w:val="28"/>
          <w:szCs w:val="28"/>
          <w:highlight w:val="none"/>
        </w:rPr>
        <w:t>质疑函范本</w:t>
      </w:r>
      <w:bookmarkEnd w:id="156"/>
      <w:bookmarkEnd w:id="157"/>
      <w:bookmarkEnd w:id="158"/>
    </w:p>
    <w:p w14:paraId="17E7C9FE">
      <w:pPr>
        <w:shd w:val="clear" w:color="auto" w:fill="auto"/>
        <w:spacing w:before="101" w:line="225" w:lineRule="auto"/>
        <w:ind w:left="3656"/>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25"/>
          <w:sz w:val="28"/>
          <w:szCs w:val="28"/>
          <w:highlight w:val="none"/>
        </w:rPr>
        <w:t>质</w:t>
      </w:r>
      <w:r>
        <w:rPr>
          <w:rFonts w:hint="eastAsia" w:ascii="仿宋" w:hAnsi="仿宋" w:eastAsia="仿宋" w:cs="仿宋"/>
          <w:b/>
          <w:bCs/>
          <w:color w:val="auto"/>
          <w:spacing w:val="24"/>
          <w:sz w:val="28"/>
          <w:szCs w:val="28"/>
          <w:highlight w:val="none"/>
        </w:rPr>
        <w:t>疑函</w:t>
      </w:r>
    </w:p>
    <w:p w14:paraId="2595007A">
      <w:pPr>
        <w:shd w:val="clear" w:color="auto" w:fill="auto"/>
        <w:spacing w:before="237" w:line="468" w:lineRule="exact"/>
        <w:ind w:left="27"/>
        <w:outlineLvl w:val="2"/>
        <w:rPr>
          <w:rFonts w:hint="eastAsia" w:ascii="仿宋" w:hAnsi="仿宋" w:eastAsia="仿宋" w:cs="仿宋"/>
          <w:color w:val="auto"/>
          <w:sz w:val="24"/>
          <w:szCs w:val="24"/>
          <w:highlight w:val="none"/>
        </w:rPr>
      </w:pPr>
      <w:bookmarkStart w:id="159" w:name="_Toc25739"/>
      <w:bookmarkStart w:id="160" w:name="_Toc110010425"/>
      <w:bookmarkStart w:id="161" w:name="_Toc1299"/>
      <w:bookmarkStart w:id="162" w:name="_Toc5896"/>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疑供应商基本信息</w:t>
      </w:r>
      <w:bookmarkEnd w:id="159"/>
      <w:bookmarkEnd w:id="160"/>
      <w:bookmarkEnd w:id="161"/>
      <w:bookmarkEnd w:id="162"/>
    </w:p>
    <w:p w14:paraId="51B20C21">
      <w:pPr>
        <w:keepNext w:val="0"/>
        <w:keepLines w:val="0"/>
        <w:pageBreakBefore w:val="0"/>
        <w:widowControl w:val="0"/>
        <w:shd w:val="clear" w:color="auto" w:fill="auto"/>
        <w:kinsoku/>
        <w:wordWrap/>
        <w:overflowPunct/>
        <w:topLinePunct w:val="0"/>
        <w:autoSpaceDE/>
        <w:autoSpaceDN/>
        <w:bidi w:val="0"/>
        <w:adjustRightInd/>
        <w:snapToGrid/>
        <w:spacing w:before="77"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疑供应商</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06B7161C">
      <w:pPr>
        <w:keepNext w:val="0"/>
        <w:keepLines w:val="0"/>
        <w:pageBreakBefore w:val="0"/>
        <w:widowControl w:val="0"/>
        <w:shd w:val="clear" w:color="auto" w:fill="auto"/>
        <w:kinsoku/>
        <w:wordWrap/>
        <w:overflowPunct/>
        <w:topLinePunct w:val="0"/>
        <w:autoSpaceDE/>
        <w:autoSpaceDN/>
        <w:bidi w:val="0"/>
        <w:adjustRightInd/>
        <w:snapToGrid/>
        <w:spacing w:before="212"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261AEFB9">
      <w:pPr>
        <w:keepNext w:val="0"/>
        <w:keepLines w:val="0"/>
        <w:pageBreakBefore w:val="0"/>
        <w:widowControl w:val="0"/>
        <w:shd w:val="clear" w:color="auto" w:fill="auto"/>
        <w:kinsoku/>
        <w:wordWrap/>
        <w:overflowPunct/>
        <w:topLinePunct w:val="0"/>
        <w:autoSpaceDE/>
        <w:autoSpaceDN/>
        <w:bidi w:val="0"/>
        <w:adjustRightInd/>
        <w:snapToGrid/>
        <w:spacing w:before="211"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29F9E157">
      <w:pPr>
        <w:keepNext w:val="0"/>
        <w:keepLines w:val="0"/>
        <w:pageBreakBefore w:val="0"/>
        <w:widowControl w:val="0"/>
        <w:shd w:val="clear" w:color="auto" w:fill="auto"/>
        <w:kinsoku/>
        <w:wordWrap/>
        <w:overflowPunct/>
        <w:topLinePunct w:val="0"/>
        <w:autoSpaceDE/>
        <w:autoSpaceDN/>
        <w:bidi w:val="0"/>
        <w:adjustRightInd/>
        <w:snapToGrid/>
        <w:spacing w:before="205"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6DC06F4">
      <w:pPr>
        <w:keepNext w:val="0"/>
        <w:keepLines w:val="0"/>
        <w:pageBreakBefore w:val="0"/>
        <w:widowControl w:val="0"/>
        <w:shd w:val="clear" w:color="auto" w:fill="auto"/>
        <w:kinsoku/>
        <w:wordWrap/>
        <w:overflowPunct/>
        <w:topLinePunct w:val="0"/>
        <w:autoSpaceDE/>
        <w:autoSpaceDN/>
        <w:bidi w:val="0"/>
        <w:adjustRightInd/>
        <w:snapToGrid/>
        <w:spacing w:before="214"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611F2859">
      <w:pPr>
        <w:keepNext w:val="0"/>
        <w:keepLines w:val="0"/>
        <w:pageBreakBefore w:val="0"/>
        <w:widowControl w:val="0"/>
        <w:shd w:val="clear" w:color="auto" w:fill="auto"/>
        <w:kinsoku/>
        <w:wordWrap/>
        <w:overflowPunct/>
        <w:topLinePunct w:val="0"/>
        <w:autoSpaceDE/>
        <w:autoSpaceDN/>
        <w:bidi w:val="0"/>
        <w:adjustRightInd/>
        <w:snapToGrid/>
        <w:spacing w:before="208"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64A03D8F">
      <w:pPr>
        <w:shd w:val="clear" w:color="auto" w:fill="auto"/>
        <w:spacing w:before="209" w:line="371" w:lineRule="exact"/>
        <w:ind w:left="27"/>
        <w:outlineLvl w:val="2"/>
        <w:rPr>
          <w:rFonts w:hint="eastAsia" w:ascii="仿宋" w:hAnsi="仿宋" w:eastAsia="仿宋" w:cs="仿宋"/>
          <w:color w:val="auto"/>
          <w:sz w:val="24"/>
          <w:szCs w:val="24"/>
          <w:highlight w:val="none"/>
        </w:rPr>
      </w:pPr>
      <w:bookmarkStart w:id="163" w:name="_Toc3585"/>
      <w:bookmarkStart w:id="164" w:name="_Toc1061"/>
      <w:bookmarkStart w:id="165" w:name="_Toc15098"/>
      <w:bookmarkStart w:id="166" w:name="_Toc110010426"/>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63"/>
      <w:bookmarkEnd w:id="164"/>
      <w:bookmarkEnd w:id="165"/>
      <w:bookmarkEnd w:id="166"/>
    </w:p>
    <w:p w14:paraId="1FDB44B1">
      <w:pPr>
        <w:shd w:val="clear" w:color="auto" w:fill="auto"/>
        <w:spacing w:before="173" w:line="221"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C9E0CA3">
      <w:pPr>
        <w:shd w:val="clear" w:color="auto" w:fill="auto"/>
        <w:spacing w:before="210"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0A9D9D4D">
      <w:pPr>
        <w:shd w:val="clear" w:color="auto" w:fill="auto"/>
        <w:spacing w:before="21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B0238D6">
      <w:pPr>
        <w:shd w:val="clear" w:color="auto" w:fill="auto"/>
        <w:spacing w:before="21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5ACCFFDF">
      <w:pPr>
        <w:shd w:val="clear" w:color="auto" w:fill="auto"/>
        <w:spacing w:before="213" w:line="237" w:lineRule="auto"/>
        <w:ind w:left="22"/>
        <w:outlineLvl w:val="2"/>
        <w:rPr>
          <w:rFonts w:hint="eastAsia" w:ascii="仿宋" w:hAnsi="仿宋" w:eastAsia="仿宋" w:cs="仿宋"/>
          <w:color w:val="auto"/>
          <w:sz w:val="24"/>
          <w:szCs w:val="24"/>
          <w:highlight w:val="none"/>
        </w:rPr>
      </w:pPr>
      <w:bookmarkStart w:id="167" w:name="_Toc32569"/>
      <w:bookmarkStart w:id="168" w:name="_Toc14686"/>
      <w:bookmarkStart w:id="169" w:name="_Toc110010427"/>
      <w:bookmarkStart w:id="170" w:name="_Toc22496"/>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67"/>
      <w:bookmarkEnd w:id="168"/>
      <w:bookmarkEnd w:id="169"/>
      <w:bookmarkEnd w:id="170"/>
    </w:p>
    <w:p w14:paraId="01B385DB">
      <w:pPr>
        <w:shd w:val="clear" w:color="auto" w:fill="auto"/>
        <w:spacing w:before="184" w:line="221"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4481EE3E">
      <w:pPr>
        <w:shd w:val="clear" w:color="auto" w:fill="auto"/>
        <w:spacing w:before="211" w:line="219"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489D2096">
      <w:pPr>
        <w:shd w:val="clear" w:color="auto" w:fill="auto"/>
        <w:spacing w:before="230" w:line="219"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1401746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textAlignment w:val="auto"/>
        <w:rPr>
          <w:rFonts w:hint="eastAsia" w:ascii="仿宋" w:hAnsi="仿宋" w:eastAsia="仿宋" w:cs="仿宋"/>
          <w:color w:val="auto"/>
          <w:spacing w:val="-11"/>
          <w:position w:val="19"/>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r>
        <w:rPr>
          <w:rFonts w:hint="eastAsia" w:ascii="仿宋" w:hAnsi="仿宋" w:eastAsia="仿宋" w:cs="仿宋"/>
          <w:color w:val="auto"/>
          <w:spacing w:val="-11"/>
          <w:position w:val="19"/>
          <w:sz w:val="24"/>
          <w:szCs w:val="24"/>
          <w:highlight w:val="none"/>
          <w:lang w:eastAsia="zh-CN"/>
        </w:rPr>
        <w:t>：</w:t>
      </w:r>
      <w:r>
        <w:rPr>
          <w:rFonts w:hint="eastAsia" w:ascii="仿宋" w:hAnsi="仿宋" w:eastAsia="仿宋" w:cs="仿宋"/>
          <w:color w:val="auto"/>
          <w:sz w:val="24"/>
          <w:szCs w:val="24"/>
          <w:highlight w:val="none"/>
          <w:u w:val="dotted"/>
        </w:rPr>
        <w:t xml:space="preserve">                                             </w:t>
      </w:r>
    </w:p>
    <w:p w14:paraId="6FBF0D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textAlignment w:val="auto"/>
        <w:rPr>
          <w:rFonts w:hint="eastAsia" w:ascii="仿宋" w:hAnsi="仿宋" w:eastAsia="仿宋" w:cs="仿宋"/>
          <w:color w:val="auto"/>
          <w:position w:val="3"/>
          <w:sz w:val="24"/>
          <w:szCs w:val="24"/>
          <w:highlight w:val="none"/>
          <w:lang w:eastAsia="zh-CN"/>
        </w:rPr>
      </w:pPr>
      <w:r>
        <w:rPr>
          <w:rFonts w:hint="eastAsia" w:ascii="仿宋" w:hAnsi="仿宋" w:eastAsia="仿宋" w:cs="仿宋"/>
          <w:color w:val="auto"/>
          <w:position w:val="3"/>
          <w:sz w:val="24"/>
          <w:szCs w:val="24"/>
          <w:highlight w:val="none"/>
        </w:rPr>
        <w:t>签字</w:t>
      </w:r>
      <w:r>
        <w:rPr>
          <w:rFonts w:hint="eastAsia" w:ascii="仿宋" w:hAnsi="仿宋" w:eastAsia="仿宋" w:cs="仿宋"/>
          <w:color w:val="auto"/>
          <w:position w:val="3"/>
          <w:sz w:val="24"/>
          <w:szCs w:val="24"/>
          <w:highlight w:val="none"/>
          <w:lang w:eastAsia="zh-CN"/>
        </w:rPr>
        <w:t>（签字盖章） ：</w:t>
      </w:r>
      <w:r>
        <w:rPr>
          <w:rFonts w:hint="eastAsia" w:ascii="仿宋" w:hAnsi="仿宋" w:eastAsia="仿宋" w:cs="仿宋"/>
          <w:color w:val="auto"/>
          <w:position w:val="3"/>
          <w:sz w:val="24"/>
          <w:szCs w:val="24"/>
          <w:highlight w:val="none"/>
        </w:rPr>
        <w:t xml:space="preserve">                          日期</w:t>
      </w:r>
      <w:r>
        <w:rPr>
          <w:rFonts w:hint="eastAsia" w:ascii="仿宋" w:hAnsi="仿宋" w:eastAsia="仿宋" w:cs="仿宋"/>
          <w:color w:val="auto"/>
          <w:position w:val="3"/>
          <w:sz w:val="24"/>
          <w:szCs w:val="24"/>
          <w:highlight w:val="none"/>
          <w:lang w:eastAsia="zh-CN"/>
        </w:rPr>
        <w:t xml:space="preserve"> ：</w:t>
      </w:r>
    </w:p>
    <w:p w14:paraId="2B1DE04D">
      <w:pPr>
        <w:shd w:val="clear" w:color="auto" w:fill="auto"/>
        <w:spacing w:before="91" w:line="22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r>
        <w:rPr>
          <w:rFonts w:hint="eastAsia" w:ascii="仿宋" w:hAnsi="仿宋" w:eastAsia="仿宋" w:cs="仿宋"/>
          <w:color w:val="auto"/>
          <w:spacing w:val="-1"/>
          <w:sz w:val="24"/>
          <w:szCs w:val="24"/>
          <w:highlight w:val="none"/>
          <w:lang w:eastAsia="zh-CN"/>
        </w:rPr>
        <w:t xml:space="preserve"> ：</w:t>
      </w:r>
    </w:p>
    <w:p w14:paraId="22AFF495">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1.供应商提出质疑时，应提交质疑函和必要的证明材料。</w:t>
      </w:r>
    </w:p>
    <w:p w14:paraId="67DB09A8">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4A61636A">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3.质疑供应商若对项目的某一分包进行质疑，质疑函中应列明具体分包号。</w:t>
      </w:r>
    </w:p>
    <w:p w14:paraId="77FA998A">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14:paraId="673B9E7F">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14:paraId="675A0BE3">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6.质疑供应商为自然人的，质疑函应由本人签字；质疑供应商为法人或者其他组织的，质疑函应由法定代表人、主要负责人，或者其 授权代表签字或者盖章，并加</w:t>
      </w:r>
      <w:r>
        <w:rPr>
          <w:rFonts w:hint="eastAsia" w:ascii="仿宋" w:hAnsi="仿宋" w:eastAsia="仿宋" w:cs="仿宋"/>
          <w:color w:val="auto"/>
          <w:spacing w:val="-2"/>
          <w:sz w:val="24"/>
          <w:szCs w:val="24"/>
          <w:highlight w:val="none"/>
          <w:lang w:eastAsia="zh-CN"/>
        </w:rPr>
        <w:t>盖章</w:t>
      </w:r>
      <w:r>
        <w:rPr>
          <w:rFonts w:hint="eastAsia" w:ascii="仿宋" w:hAnsi="仿宋" w:eastAsia="仿宋" w:cs="仿宋"/>
          <w:color w:val="auto"/>
          <w:spacing w:val="-2"/>
          <w:sz w:val="24"/>
          <w:szCs w:val="24"/>
          <w:highlight w:val="none"/>
        </w:rPr>
        <w:t>。</w:t>
      </w:r>
    </w:p>
    <w:p w14:paraId="32F7DA71">
      <w:pPr>
        <w:shd w:val="clear" w:color="auto" w:fill="auto"/>
        <w:spacing w:before="101" w:line="224" w:lineRule="auto"/>
        <w:ind w:left="49"/>
        <w:outlineLvl w:val="2"/>
        <w:rPr>
          <w:rFonts w:hint="eastAsia" w:ascii="仿宋" w:hAnsi="仿宋" w:eastAsia="仿宋" w:cs="仿宋"/>
          <w:color w:val="auto"/>
          <w:sz w:val="28"/>
          <w:szCs w:val="28"/>
          <w:highlight w:val="none"/>
        </w:rPr>
      </w:pPr>
      <w:bookmarkStart w:id="171" w:name="_Toc31259"/>
      <w:bookmarkStart w:id="172" w:name="_Toc23110"/>
      <w:bookmarkStart w:id="173" w:name="_Toc110010428"/>
      <w:bookmarkStart w:id="174" w:name="_Toc22150"/>
      <w:r>
        <w:rPr>
          <w:rFonts w:hint="eastAsia" w:ascii="仿宋" w:hAnsi="仿宋" w:eastAsia="仿宋" w:cs="仿宋"/>
          <w:color w:val="auto"/>
          <w:spacing w:val="8"/>
          <w:sz w:val="28"/>
          <w:szCs w:val="28"/>
          <w:highlight w:val="none"/>
        </w:rPr>
        <w:br w:type="page"/>
      </w:r>
      <w:r>
        <w:rPr>
          <w:rFonts w:hint="eastAsia" w:ascii="仿宋" w:hAnsi="仿宋" w:eastAsia="仿宋" w:cs="仿宋"/>
          <w:color w:val="auto"/>
          <w:spacing w:val="8"/>
          <w:sz w:val="28"/>
          <w:szCs w:val="28"/>
          <w:highlight w:val="none"/>
        </w:rPr>
        <w:t>附</w:t>
      </w:r>
      <w:r>
        <w:rPr>
          <w:rFonts w:hint="eastAsia" w:ascii="仿宋" w:hAnsi="仿宋" w:eastAsia="仿宋" w:cs="仿宋"/>
          <w:color w:val="auto"/>
          <w:spacing w:val="6"/>
          <w:sz w:val="28"/>
          <w:szCs w:val="28"/>
          <w:highlight w:val="none"/>
        </w:rPr>
        <w:t>件</w:t>
      </w:r>
      <w:r>
        <w:rPr>
          <w:rFonts w:hint="eastAsia" w:ascii="仿宋" w:hAnsi="仿宋" w:eastAsia="仿宋" w:cs="仿宋"/>
          <w:color w:val="auto"/>
          <w:spacing w:val="6"/>
          <w:sz w:val="28"/>
          <w:szCs w:val="28"/>
          <w:highlight w:val="none"/>
          <w:lang w:eastAsia="zh-CN"/>
        </w:rPr>
        <w:t xml:space="preserve"> ：</w:t>
      </w:r>
      <w:r>
        <w:rPr>
          <w:rFonts w:hint="eastAsia" w:ascii="仿宋" w:hAnsi="仿宋" w:eastAsia="仿宋" w:cs="仿宋"/>
          <w:color w:val="auto"/>
          <w:spacing w:val="6"/>
          <w:sz w:val="28"/>
          <w:szCs w:val="28"/>
          <w:highlight w:val="none"/>
        </w:rPr>
        <w:t>投诉书范本</w:t>
      </w:r>
      <w:bookmarkEnd w:id="171"/>
      <w:bookmarkEnd w:id="172"/>
      <w:bookmarkEnd w:id="173"/>
      <w:bookmarkEnd w:id="174"/>
    </w:p>
    <w:p w14:paraId="08C6F54B">
      <w:pPr>
        <w:shd w:val="clear" w:color="auto" w:fill="auto"/>
        <w:spacing w:before="115" w:line="224"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24"/>
          <w:sz w:val="28"/>
          <w:szCs w:val="28"/>
          <w:highlight w:val="none"/>
        </w:rPr>
        <w:t>投诉</w:t>
      </w:r>
      <w:r>
        <w:rPr>
          <w:rFonts w:hint="eastAsia" w:ascii="仿宋" w:hAnsi="仿宋" w:eastAsia="仿宋" w:cs="仿宋"/>
          <w:color w:val="auto"/>
          <w:spacing w:val="23"/>
          <w:sz w:val="28"/>
          <w:szCs w:val="28"/>
          <w:highlight w:val="none"/>
        </w:rPr>
        <w:t>书</w:t>
      </w:r>
    </w:p>
    <w:p w14:paraId="6B508CB7">
      <w:pPr>
        <w:shd w:val="clear" w:color="auto" w:fill="auto"/>
        <w:spacing w:before="265" w:line="434" w:lineRule="exact"/>
        <w:ind w:left="27"/>
        <w:outlineLvl w:val="2"/>
        <w:rPr>
          <w:rFonts w:hint="eastAsia" w:ascii="仿宋" w:hAnsi="仿宋" w:eastAsia="仿宋" w:cs="仿宋"/>
          <w:color w:val="auto"/>
          <w:sz w:val="24"/>
          <w:szCs w:val="24"/>
          <w:highlight w:val="none"/>
        </w:rPr>
      </w:pPr>
      <w:bookmarkStart w:id="175" w:name="_Toc21592"/>
      <w:bookmarkStart w:id="176" w:name="_Toc110010429"/>
      <w:bookmarkStart w:id="177" w:name="_Toc5746"/>
      <w:bookmarkStart w:id="178" w:name="_Toc26371"/>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175"/>
      <w:bookmarkEnd w:id="176"/>
      <w:bookmarkEnd w:id="177"/>
      <w:bookmarkEnd w:id="178"/>
    </w:p>
    <w:p w14:paraId="3D475E24">
      <w:pPr>
        <w:shd w:val="clear" w:color="auto" w:fill="auto"/>
        <w:spacing w:before="1" w:line="22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1E0EFD7C">
      <w:pPr>
        <w:shd w:val="clear" w:color="auto" w:fill="auto"/>
        <w:spacing w:before="102"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2A52E06">
      <w:pPr>
        <w:shd w:val="clear" w:color="auto" w:fill="auto"/>
        <w:spacing w:before="101"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181F4576">
      <w:pPr>
        <w:shd w:val="clear" w:color="auto" w:fill="auto"/>
        <w:spacing w:before="104" w:line="222"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18BA1993">
      <w:pPr>
        <w:shd w:val="clear" w:color="auto" w:fill="auto"/>
        <w:spacing w:before="99" w:line="22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0F53292">
      <w:pPr>
        <w:shd w:val="clear" w:color="auto" w:fill="auto"/>
        <w:spacing w:before="101"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087DFA82">
      <w:pPr>
        <w:shd w:val="clear" w:color="auto" w:fill="auto"/>
        <w:spacing w:before="103"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r>
        <w:rPr>
          <w:rFonts w:hint="eastAsia" w:ascii="仿宋" w:hAnsi="仿宋" w:eastAsia="仿宋" w:cs="仿宋"/>
          <w:color w:val="auto"/>
          <w:spacing w:val="-11"/>
          <w:sz w:val="24"/>
          <w:szCs w:val="24"/>
          <w:highlight w:val="none"/>
          <w:lang w:eastAsia="zh-CN"/>
        </w:rPr>
        <w:t xml:space="preserve"> ：</w:t>
      </w:r>
    </w:p>
    <w:p w14:paraId="577749D8">
      <w:pPr>
        <w:shd w:val="clear" w:color="auto" w:fill="auto"/>
        <w:spacing w:before="101" w:line="185"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A002EC1">
      <w:pPr>
        <w:shd w:val="clear" w:color="auto" w:fill="auto"/>
        <w:rPr>
          <w:rFonts w:hint="eastAsia" w:ascii="仿宋" w:hAnsi="仿宋" w:eastAsia="仿宋" w:cs="仿宋"/>
          <w:color w:val="auto"/>
          <w:sz w:val="24"/>
          <w:szCs w:val="24"/>
          <w:highlight w:val="none"/>
        </w:rPr>
      </w:pPr>
    </w:p>
    <w:p w14:paraId="6BCD71C6">
      <w:pPr>
        <w:shd w:val="clear" w:color="auto" w:fill="auto"/>
        <w:spacing w:before="103" w:line="22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联系电话</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17"/>
          <w:sz w:val="24"/>
          <w:szCs w:val="24"/>
          <w:highlight w:val="none"/>
        </w:rPr>
        <w:t xml:space="preserve">                </w:t>
      </w:r>
    </w:p>
    <w:p w14:paraId="23AF58A1">
      <w:pPr>
        <w:shd w:val="clear" w:color="auto" w:fill="auto"/>
        <w:spacing w:before="103"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联系电话</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z w:val="24"/>
          <w:szCs w:val="24"/>
          <w:highlight w:val="none"/>
          <w:u w:val="dotted"/>
        </w:rPr>
        <w:t xml:space="preserve">           </w:t>
      </w:r>
    </w:p>
    <w:p w14:paraId="7B7E03D8">
      <w:pPr>
        <w:shd w:val="clear" w:color="auto" w:fill="auto"/>
        <w:spacing w:before="100" w:line="371" w:lineRule="exact"/>
        <w:ind w:left="27"/>
        <w:outlineLvl w:val="2"/>
        <w:rPr>
          <w:rFonts w:hint="eastAsia" w:ascii="仿宋" w:hAnsi="仿宋" w:eastAsia="仿宋" w:cs="仿宋"/>
          <w:color w:val="auto"/>
          <w:sz w:val="24"/>
          <w:szCs w:val="24"/>
          <w:highlight w:val="none"/>
        </w:rPr>
      </w:pPr>
      <w:bookmarkStart w:id="179" w:name="_Toc25199"/>
      <w:bookmarkStart w:id="180" w:name="_Toc27620"/>
      <w:bookmarkStart w:id="181" w:name="_Toc110010430"/>
      <w:bookmarkStart w:id="182" w:name="_Toc377"/>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179"/>
      <w:bookmarkEnd w:id="180"/>
      <w:bookmarkEnd w:id="181"/>
      <w:bookmarkEnd w:id="182"/>
    </w:p>
    <w:p w14:paraId="19D283F3">
      <w:pPr>
        <w:shd w:val="clear" w:color="auto" w:fill="auto"/>
        <w:spacing w:before="6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0A456E8F">
      <w:pPr>
        <w:shd w:val="clear" w:color="auto" w:fill="auto"/>
        <w:spacing w:before="10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5353C90F">
      <w:pPr>
        <w:shd w:val="clear" w:color="auto" w:fill="auto"/>
        <w:spacing w:before="10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601CC314">
      <w:pPr>
        <w:shd w:val="clear" w:color="auto" w:fill="auto"/>
        <w:spacing w:before="105"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6EE64E25">
      <w:pPr>
        <w:shd w:val="clear" w:color="auto" w:fill="auto"/>
        <w:spacing w:before="10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221C023A">
      <w:pPr>
        <w:shd w:val="clear" w:color="auto" w:fill="auto"/>
        <w:spacing w:before="103" w:line="287"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70470C58">
      <w:pPr>
        <w:shd w:val="clear" w:color="auto" w:fill="auto"/>
        <w:spacing w:before="100" w:line="371" w:lineRule="exact"/>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14:paraId="018404F9">
      <w:pPr>
        <w:shd w:val="clear" w:color="auto" w:fill="auto"/>
        <w:spacing w:before="1" w:line="287" w:lineRule="auto"/>
        <w:ind w:left="23" w:right="11" w:firstLine="48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 xml:space="preserve">日 </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14:paraId="6AFEBCE9">
      <w:pPr>
        <w:shd w:val="clear" w:color="auto" w:fill="auto"/>
        <w:spacing w:before="1"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4CF9E1F9">
      <w:pPr>
        <w:shd w:val="clear" w:color="auto" w:fill="auto"/>
        <w:spacing w:before="103" w:line="287" w:lineRule="auto"/>
        <w:ind w:left="459" w:right="11" w:firstLine="1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答复。</w:t>
      </w:r>
    </w:p>
    <w:p w14:paraId="17C3FD77">
      <w:pPr>
        <w:shd w:val="clear" w:color="auto" w:fill="auto"/>
        <w:spacing w:before="100" w:line="371" w:lineRule="exact"/>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14:paraId="1B8CF3EB">
      <w:pPr>
        <w:shd w:val="clear" w:color="auto" w:fill="auto"/>
        <w:spacing w:before="98" w:line="221"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 xml:space="preserve">诉事项 1 </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0CE54AB0">
      <w:pPr>
        <w:shd w:val="clear" w:color="auto" w:fill="auto"/>
        <w:spacing w:before="100" w:line="219"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343B57D0">
      <w:pPr>
        <w:shd w:val="clear" w:color="auto" w:fill="auto"/>
        <w:tabs>
          <w:tab w:val="left" w:pos="8322"/>
        </w:tabs>
        <w:spacing w:before="179" w:line="242" w:lineRule="exact"/>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14:paraId="7DBCE341">
      <w:pPr>
        <w:shd w:val="clear" w:color="auto" w:fill="auto"/>
        <w:spacing w:before="118" w:line="219"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z w:val="24"/>
          <w:szCs w:val="24"/>
          <w:highlight w:val="none"/>
          <w:u w:val="dotted"/>
        </w:rPr>
        <w:t xml:space="preserve">                                             </w:t>
      </w:r>
    </w:p>
    <w:p w14:paraId="20164425">
      <w:pPr>
        <w:shd w:val="clear" w:color="auto" w:fill="auto"/>
        <w:tabs>
          <w:tab w:val="left" w:pos="8322"/>
        </w:tabs>
        <w:spacing w:before="179" w:line="242" w:lineRule="exact"/>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14:paraId="53E697B9">
      <w:pPr>
        <w:shd w:val="clear" w:color="auto" w:fill="auto"/>
        <w:spacing w:before="118" w:line="437" w:lineRule="exact"/>
        <w:ind w:left="508"/>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14:paraId="088C031A">
      <w:pPr>
        <w:shd w:val="clear" w:color="auto" w:fill="auto"/>
        <w:spacing w:line="437" w:lineRule="exact"/>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14:paraId="7E764CEA">
      <w:pPr>
        <w:shd w:val="clear" w:color="auto" w:fill="auto"/>
        <w:spacing w:line="239" w:lineRule="exact"/>
        <w:rPr>
          <w:rFonts w:hint="eastAsia" w:ascii="仿宋" w:hAnsi="仿宋" w:eastAsia="仿宋" w:cs="仿宋"/>
          <w:color w:val="auto"/>
          <w:sz w:val="24"/>
          <w:szCs w:val="24"/>
          <w:highlight w:val="none"/>
        </w:rPr>
      </w:pPr>
    </w:p>
    <w:p w14:paraId="341C551C">
      <w:pPr>
        <w:shd w:val="clear" w:color="auto" w:fill="auto"/>
        <w:spacing w:before="56" w:line="437" w:lineRule="exact"/>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w:t>
      </w:r>
      <w:r>
        <w:rPr>
          <w:rFonts w:hint="eastAsia" w:ascii="仿宋" w:hAnsi="仿宋" w:eastAsia="仿宋" w:cs="仿宋"/>
          <w:color w:val="auto"/>
          <w:spacing w:val="-2"/>
          <w:position w:val="11"/>
          <w:sz w:val="24"/>
          <w:szCs w:val="24"/>
          <w:highlight w:val="none"/>
          <w:lang w:eastAsia="zh-CN"/>
        </w:rPr>
        <w:t>（签字盖章</w:t>
      </w:r>
      <w:r>
        <w:rPr>
          <w:rFonts w:hint="eastAsia" w:ascii="仿宋" w:hAnsi="仿宋" w:eastAsia="仿宋" w:cs="仿宋"/>
          <w:color w:val="auto"/>
          <w:spacing w:val="-1"/>
          <w:position w:val="11"/>
          <w:sz w:val="24"/>
          <w:szCs w:val="24"/>
          <w:highlight w:val="none"/>
          <w:lang w:eastAsia="zh-CN"/>
        </w:rPr>
        <w:t>） ：</w:t>
      </w:r>
      <w:r>
        <w:rPr>
          <w:rFonts w:hint="eastAsia" w:ascii="仿宋" w:hAnsi="仿宋" w:eastAsia="仿宋" w:cs="仿宋"/>
          <w:color w:val="auto"/>
          <w:spacing w:val="-1"/>
          <w:position w:val="11"/>
          <w:sz w:val="24"/>
          <w:szCs w:val="24"/>
          <w:highlight w:val="none"/>
        </w:rPr>
        <w:t xml:space="preserve"> </w:t>
      </w:r>
    </w:p>
    <w:p w14:paraId="590BA7AA">
      <w:pPr>
        <w:shd w:val="clear" w:color="auto" w:fill="auto"/>
        <w:spacing w:before="56" w:line="437" w:lineRule="exact"/>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9"/>
          <w:sz w:val="24"/>
          <w:szCs w:val="24"/>
          <w:highlight w:val="none"/>
          <w:lang w:eastAsia="zh-CN"/>
        </w:rPr>
        <w:t xml:space="preserve"> ：</w:t>
      </w:r>
      <w:r>
        <w:rPr>
          <w:rFonts w:hint="eastAsia" w:ascii="仿宋" w:hAnsi="仿宋" w:eastAsia="仿宋" w:cs="仿宋"/>
          <w:color w:val="auto"/>
          <w:spacing w:val="-1"/>
          <w:position w:val="11"/>
          <w:sz w:val="24"/>
          <w:szCs w:val="24"/>
          <w:highlight w:val="none"/>
        </w:rPr>
        <w:t xml:space="preserve"> </w:t>
      </w:r>
    </w:p>
    <w:p w14:paraId="1FB5B9B7">
      <w:pPr>
        <w:shd w:val="clear" w:color="auto" w:fill="auto"/>
        <w:spacing w:line="392" w:lineRule="auto"/>
        <w:rPr>
          <w:rFonts w:hint="eastAsia" w:ascii="仿宋" w:hAnsi="仿宋" w:eastAsia="仿宋" w:cs="仿宋"/>
          <w:color w:val="auto"/>
          <w:sz w:val="24"/>
          <w:szCs w:val="24"/>
          <w:highlight w:val="none"/>
        </w:rPr>
      </w:pPr>
    </w:p>
    <w:p w14:paraId="06A0347E">
      <w:pPr>
        <w:shd w:val="clear" w:color="auto" w:fill="auto"/>
        <w:spacing w:before="91" w:line="219" w:lineRule="auto"/>
        <w:ind w:left="5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r>
        <w:rPr>
          <w:rFonts w:hint="eastAsia" w:ascii="仿宋" w:hAnsi="仿宋" w:eastAsia="仿宋" w:cs="仿宋"/>
          <w:color w:val="auto"/>
          <w:spacing w:val="-1"/>
          <w:sz w:val="24"/>
          <w:szCs w:val="24"/>
          <w:highlight w:val="none"/>
          <w:lang w:eastAsia="zh-CN"/>
        </w:rPr>
        <w:t xml:space="preserve"> ：</w:t>
      </w:r>
    </w:p>
    <w:p w14:paraId="28E6AA48">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照被投诉人和与投诉事项有关的供应商数量提供投诉书副本。</w:t>
      </w:r>
    </w:p>
    <w:p w14:paraId="481B31A3">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30B81321">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14:paraId="22C17662">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14:paraId="18554BD5">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14:paraId="0E3DD43B">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14:paraId="5A96F927">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w:t>
      </w:r>
      <w:r>
        <w:rPr>
          <w:rFonts w:hint="eastAsia" w:ascii="仿宋" w:hAnsi="仿宋" w:eastAsia="仿宋" w:cs="仿宋"/>
          <w:color w:val="auto"/>
          <w:spacing w:val="-2"/>
          <w:sz w:val="24"/>
          <w:szCs w:val="24"/>
          <w:highlight w:val="none"/>
          <w:lang w:eastAsia="zh-CN"/>
        </w:rPr>
        <w:t>盖章</w:t>
      </w:r>
      <w:r>
        <w:rPr>
          <w:rFonts w:hint="eastAsia" w:ascii="仿宋" w:hAnsi="仿宋" w:eastAsia="仿宋" w:cs="仿宋"/>
          <w:color w:val="auto"/>
          <w:spacing w:val="-2"/>
          <w:sz w:val="24"/>
          <w:szCs w:val="24"/>
          <w:highlight w:val="none"/>
        </w:rPr>
        <w:t>。</w:t>
      </w:r>
    </w:p>
    <w:p w14:paraId="44383601">
      <w:pPr>
        <w:shd w:val="clear" w:color="auto" w:fill="auto"/>
        <w:spacing w:line="460" w:lineRule="exact"/>
        <w:jc w:val="center"/>
        <w:rPr>
          <w:rFonts w:hint="eastAsia" w:ascii="仿宋" w:hAnsi="仿宋" w:eastAsia="仿宋" w:cs="仿宋"/>
          <w:b/>
          <w:sz w:val="36"/>
          <w:szCs w:val="36"/>
          <w:highlight w:val="none"/>
        </w:rPr>
      </w:pPr>
      <w:r>
        <w:rPr>
          <w:rFonts w:hint="eastAsia" w:ascii="仿宋" w:hAnsi="仿宋" w:eastAsia="仿宋" w:cs="仿宋"/>
          <w:kern w:val="2"/>
          <w:sz w:val="24"/>
          <w:szCs w:val="32"/>
          <w:highlight w:val="none"/>
          <w:lang w:val="en-US" w:eastAsia="zh-CN" w:bidi="ar-SA"/>
        </w:rPr>
        <w:br w:type="page"/>
      </w:r>
      <w:bookmarkStart w:id="183" w:name="_Toc17346"/>
      <w:bookmarkStart w:id="184" w:name="_Toc2362"/>
      <w:bookmarkStart w:id="185" w:name="_Toc6417"/>
      <w:bookmarkStart w:id="186" w:name="_Toc23291"/>
      <w:bookmarkStart w:id="187" w:name="_Toc1354"/>
      <w:bookmarkStart w:id="188" w:name="_Toc4147"/>
      <w:bookmarkStart w:id="189" w:name="_Toc521014791"/>
      <w:bookmarkStart w:id="190" w:name="_Toc503212223"/>
      <w:bookmarkStart w:id="191" w:name="_Toc23028"/>
      <w:bookmarkStart w:id="192" w:name="_Toc17238"/>
      <w:bookmarkStart w:id="193" w:name="_Toc24395"/>
      <w:bookmarkStart w:id="194" w:name="_Toc115436075"/>
      <w:bookmarkStart w:id="195" w:name="_Toc29710"/>
      <w:bookmarkStart w:id="196" w:name="_Toc115435536"/>
      <w:bookmarkStart w:id="197" w:name="_Toc20110"/>
      <w:r>
        <w:rPr>
          <w:rFonts w:hint="eastAsia" w:ascii="仿宋" w:hAnsi="仿宋" w:eastAsia="仿宋" w:cs="仿宋"/>
          <w:b/>
          <w:sz w:val="36"/>
          <w:szCs w:val="36"/>
          <w:highlight w:val="none"/>
        </w:rPr>
        <w:t>第三章   资格审查</w:t>
      </w:r>
      <w:bookmarkEnd w:id="183"/>
      <w:bookmarkStart w:id="198" w:name="_Toc487900382"/>
    </w:p>
    <w:p w14:paraId="3B36679C">
      <w:pPr>
        <w:tabs>
          <w:tab w:val="left" w:pos="360"/>
          <w:tab w:val="left" w:pos="900"/>
        </w:tabs>
        <w:snapToGrid w:val="0"/>
        <w:spacing w:line="360" w:lineRule="auto"/>
        <w:jc w:val="both"/>
        <w:outlineLvl w:val="1"/>
        <w:rPr>
          <w:rFonts w:hint="eastAsia" w:ascii="仿宋" w:hAnsi="仿宋" w:eastAsia="仿宋" w:cs="仿宋"/>
          <w:b/>
          <w:sz w:val="24"/>
          <w:szCs w:val="24"/>
          <w:highlight w:val="none"/>
        </w:rPr>
      </w:pPr>
      <w:bookmarkStart w:id="199" w:name="_Toc99301422"/>
      <w:r>
        <w:rPr>
          <w:rFonts w:hint="eastAsia" w:ascii="仿宋" w:hAnsi="仿宋" w:eastAsia="仿宋" w:cs="仿宋"/>
          <w:b/>
          <w:sz w:val="24"/>
          <w:szCs w:val="24"/>
          <w:highlight w:val="none"/>
        </w:rPr>
        <w:t>一、资格审查程序</w:t>
      </w:r>
      <w:bookmarkEnd w:id="199"/>
    </w:p>
    <w:p w14:paraId="5C05233E">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开标结束后，采购人或采购代理机构将根据《资格审查要求》中的规定，对投标人进行资格审查，并形成资格审查结果。</w:t>
      </w:r>
    </w:p>
    <w:p w14:paraId="096378F4">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《资格审查要求》中对格式有要求的，除招标文件另有规定外，均为“实质性格式”文件。</w:t>
      </w:r>
    </w:p>
    <w:p w14:paraId="0E6A66FE">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投标人《资格证明文件》有任何一项不符合《资格审查要求》的，资格审查不合格，其</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135F9AD0">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资格审查合格的投标人不足3家的，不进行评标。</w:t>
      </w:r>
    </w:p>
    <w:p w14:paraId="4FF3D8D2">
      <w:pPr>
        <w:widowControl/>
        <w:jc w:val="left"/>
        <w:rPr>
          <w:rFonts w:hint="eastAsia" w:ascii="仿宋" w:hAnsi="仿宋" w:eastAsia="仿宋" w:cs="仿宋"/>
          <w:sz w:val="24"/>
          <w:szCs w:val="24"/>
          <w:highlight w:val="none"/>
        </w:rPr>
      </w:pPr>
    </w:p>
    <w:p w14:paraId="27E58955">
      <w:pPr>
        <w:tabs>
          <w:tab w:val="left" w:pos="360"/>
          <w:tab w:val="left" w:pos="900"/>
        </w:tabs>
        <w:snapToGrid w:val="0"/>
        <w:spacing w:line="360" w:lineRule="auto"/>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二、资格审查要求</w:t>
      </w:r>
    </w:p>
    <w:tbl>
      <w:tblPr>
        <w:tblStyle w:val="7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2127"/>
        <w:gridCol w:w="5174"/>
        <w:gridCol w:w="1759"/>
      </w:tblGrid>
      <w:tr w14:paraId="5012B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14:paraId="77EEAC24">
            <w:pPr>
              <w:tabs>
                <w:tab w:val="left" w:pos="1080"/>
              </w:tabs>
              <w:snapToGrid w:val="0"/>
              <w:jc w:val="center"/>
              <w:rPr>
                <w:rFonts w:hint="eastAsia" w:ascii="仿宋" w:hAnsi="仿宋" w:eastAsia="仿宋" w:cs="仿宋"/>
                <w:b/>
                <w:sz w:val="24"/>
                <w:szCs w:val="24"/>
                <w:highlight w:val="none"/>
              </w:rPr>
            </w:pPr>
            <w:bookmarkStart w:id="200" w:name="_Hlt487972895"/>
            <w:bookmarkEnd w:id="200"/>
            <w:r>
              <w:rPr>
                <w:rFonts w:hint="eastAsia" w:ascii="仿宋" w:hAnsi="仿宋" w:eastAsia="仿宋" w:cs="仿宋"/>
                <w:b/>
                <w:sz w:val="24"/>
                <w:szCs w:val="24"/>
                <w:highlight w:val="none"/>
              </w:rPr>
              <w:t>序号</w:t>
            </w:r>
          </w:p>
        </w:tc>
        <w:tc>
          <w:tcPr>
            <w:tcW w:w="1067" w:type="pct"/>
            <w:noWrap w:val="0"/>
            <w:vAlign w:val="center"/>
          </w:tcPr>
          <w:p w14:paraId="25B906D8">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审查因素</w:t>
            </w:r>
          </w:p>
        </w:tc>
        <w:tc>
          <w:tcPr>
            <w:tcW w:w="2595" w:type="pct"/>
            <w:noWrap w:val="0"/>
            <w:vAlign w:val="center"/>
          </w:tcPr>
          <w:p w14:paraId="4B613CFB">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审查内容</w:t>
            </w:r>
          </w:p>
        </w:tc>
        <w:tc>
          <w:tcPr>
            <w:tcW w:w="882" w:type="pct"/>
            <w:noWrap w:val="0"/>
            <w:vAlign w:val="center"/>
          </w:tcPr>
          <w:p w14:paraId="3E5CE8B6">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格式要求</w:t>
            </w:r>
          </w:p>
        </w:tc>
      </w:tr>
      <w:tr w14:paraId="4D1B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7762EA1A">
            <w:pPr>
              <w:tabs>
                <w:tab w:val="left" w:pos="1080"/>
              </w:tabs>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67" w:type="pct"/>
            <w:noWrap w:val="0"/>
            <w:vAlign w:val="center"/>
          </w:tcPr>
          <w:p w14:paraId="13C6221F">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具有独立承担民事责任的能力 ：</w:t>
            </w:r>
          </w:p>
        </w:tc>
        <w:tc>
          <w:tcPr>
            <w:tcW w:w="2595" w:type="pct"/>
            <w:noWrap w:val="0"/>
            <w:vAlign w:val="center"/>
          </w:tcPr>
          <w:p w14:paraId="09EB9B28">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供应商须具备三证合一的营业执照</w:t>
            </w:r>
          </w:p>
        </w:tc>
        <w:tc>
          <w:tcPr>
            <w:tcW w:w="882" w:type="pct"/>
            <w:noWrap w:val="0"/>
            <w:vAlign w:val="center"/>
          </w:tcPr>
          <w:p w14:paraId="217E0A90">
            <w:pPr>
              <w:tabs>
                <w:tab w:val="left" w:pos="1080"/>
              </w:tabs>
              <w:snapToGrid w:val="0"/>
              <w:spacing w:line="240" w:lineRule="auto"/>
              <w:rPr>
                <w:rFonts w:hint="eastAsia" w:ascii="仿宋" w:hAnsi="仿宋" w:eastAsia="仿宋" w:cs="仿宋"/>
                <w:sz w:val="24"/>
                <w:szCs w:val="24"/>
                <w:highlight w:val="none"/>
              </w:rPr>
            </w:pPr>
          </w:p>
        </w:tc>
      </w:tr>
      <w:tr w14:paraId="02EF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E6EFD3E">
            <w:pPr>
              <w:tabs>
                <w:tab w:val="left" w:pos="1080"/>
              </w:tabs>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067" w:type="pct"/>
            <w:noWrap w:val="0"/>
            <w:vAlign w:val="center"/>
          </w:tcPr>
          <w:p w14:paraId="02D17373">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有依法缴纳税收和社会保障资金的良好记录 ：</w:t>
            </w:r>
          </w:p>
        </w:tc>
        <w:tc>
          <w:tcPr>
            <w:tcW w:w="2595" w:type="pct"/>
            <w:noWrap w:val="0"/>
            <w:vAlign w:val="center"/>
          </w:tcPr>
          <w:p w14:paraId="181A55CE">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投标截止日前6个月内任意1个月的社保证明材料，如依法不需要缴纳社会保障资金的，应提供相应文件证明；提供投标截止日前6个月内任意1个月的缴纳税收的完税证明或税务部门出具的纳税证明；如依法免税的，应提供相应文件证明。</w:t>
            </w:r>
          </w:p>
        </w:tc>
        <w:tc>
          <w:tcPr>
            <w:tcW w:w="882" w:type="pct"/>
            <w:noWrap w:val="0"/>
            <w:vAlign w:val="center"/>
          </w:tcPr>
          <w:p w14:paraId="6EB6BB17">
            <w:pPr>
              <w:tabs>
                <w:tab w:val="left" w:pos="1080"/>
              </w:tabs>
              <w:snapToGrid w:val="0"/>
              <w:spacing w:line="240" w:lineRule="auto"/>
              <w:rPr>
                <w:rFonts w:hint="eastAsia" w:ascii="仿宋" w:hAnsi="仿宋" w:eastAsia="仿宋" w:cs="仿宋"/>
                <w:sz w:val="24"/>
                <w:szCs w:val="24"/>
                <w:highlight w:val="none"/>
              </w:rPr>
            </w:pPr>
          </w:p>
        </w:tc>
      </w:tr>
      <w:tr w14:paraId="1BB2A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123A3809">
            <w:pPr>
              <w:tabs>
                <w:tab w:val="left" w:pos="1080"/>
              </w:tabs>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67" w:type="pct"/>
            <w:noWrap w:val="0"/>
            <w:vAlign w:val="center"/>
          </w:tcPr>
          <w:p w14:paraId="071AB530">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具有良好的商业信誉和健全的财务会计制度</w:t>
            </w:r>
          </w:p>
        </w:tc>
        <w:tc>
          <w:tcPr>
            <w:tcW w:w="2595" w:type="pct"/>
            <w:noWrap w:val="0"/>
            <w:vAlign w:val="center"/>
          </w:tcPr>
          <w:p w14:paraId="3A7B7FE5">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提供2023年度由第三方财务审计机构出具的财务审计报告或提供银行出具的近一个月的资信证明。</w:t>
            </w:r>
          </w:p>
        </w:tc>
        <w:tc>
          <w:tcPr>
            <w:tcW w:w="882" w:type="pct"/>
            <w:noWrap w:val="0"/>
            <w:vAlign w:val="center"/>
          </w:tcPr>
          <w:p w14:paraId="084DC927">
            <w:pPr>
              <w:tabs>
                <w:tab w:val="left" w:pos="1080"/>
              </w:tabs>
              <w:snapToGrid w:val="0"/>
              <w:spacing w:line="240" w:lineRule="auto"/>
              <w:rPr>
                <w:rFonts w:hint="eastAsia" w:ascii="仿宋" w:hAnsi="仿宋" w:eastAsia="仿宋" w:cs="仿宋"/>
                <w:sz w:val="24"/>
                <w:szCs w:val="24"/>
                <w:highlight w:val="none"/>
              </w:rPr>
            </w:pPr>
          </w:p>
        </w:tc>
      </w:tr>
      <w:tr w14:paraId="5D5C1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1C82DD89">
            <w:pPr>
              <w:tabs>
                <w:tab w:val="left" w:pos="1080"/>
              </w:tabs>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067" w:type="pct"/>
            <w:noWrap w:val="0"/>
            <w:vAlign w:val="center"/>
          </w:tcPr>
          <w:p w14:paraId="2E69F394">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参加采购活动前3年内，在经营活动中没有重大违法记录</w:t>
            </w:r>
          </w:p>
        </w:tc>
        <w:tc>
          <w:tcPr>
            <w:tcW w:w="2595" w:type="pct"/>
            <w:noWrap w:val="0"/>
            <w:vAlign w:val="center"/>
          </w:tcPr>
          <w:p w14:paraId="17B10292">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82" w:type="pct"/>
            <w:noWrap w:val="0"/>
            <w:vAlign w:val="center"/>
          </w:tcPr>
          <w:p w14:paraId="52873996">
            <w:pPr>
              <w:tabs>
                <w:tab w:val="left" w:pos="1080"/>
              </w:tabs>
              <w:snapToGrid w:val="0"/>
              <w:spacing w:line="240" w:lineRule="auto"/>
              <w:rPr>
                <w:rFonts w:hint="eastAsia" w:ascii="仿宋" w:hAnsi="仿宋" w:eastAsia="仿宋" w:cs="仿宋"/>
                <w:sz w:val="24"/>
                <w:szCs w:val="24"/>
                <w:highlight w:val="none"/>
              </w:rPr>
            </w:pPr>
          </w:p>
        </w:tc>
      </w:tr>
      <w:tr w14:paraId="0DF01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8256F26">
            <w:pPr>
              <w:tabs>
                <w:tab w:val="left" w:pos="1080"/>
              </w:tabs>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067" w:type="pct"/>
            <w:noWrap w:val="0"/>
            <w:vAlign w:val="center"/>
          </w:tcPr>
          <w:p w14:paraId="1532A550">
            <w:pPr>
              <w:tabs>
                <w:tab w:val="left" w:pos="1080"/>
              </w:tabs>
              <w:snapToGrid w:val="0"/>
              <w:spacing w:line="240" w:lineRule="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sz w:val="24"/>
                <w:szCs w:val="24"/>
                <w:highlight w:val="none"/>
              </w:rPr>
              <w:t>投标人信用记录</w:t>
            </w:r>
          </w:p>
        </w:tc>
        <w:tc>
          <w:tcPr>
            <w:tcW w:w="2595" w:type="pct"/>
            <w:noWrap w:val="0"/>
            <w:vAlign w:val="center"/>
          </w:tcPr>
          <w:p w14:paraId="40E2BC34">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查询渠道</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信用中国网站和中国政府采购网</w:t>
            </w: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http://</w:t>
            </w:r>
            <w:r>
              <w:rPr>
                <w:rFonts w:hint="eastAsia" w:ascii="仿宋" w:hAnsi="仿宋" w:eastAsia="仿宋" w:cs="仿宋"/>
                <w:sz w:val="24"/>
                <w:szCs w:val="24"/>
                <w:highlight w:val="none"/>
              </w:rPr>
              <w:t>www.creditchina.gov.cn、www.ccgp.gov.cn）；</w:t>
            </w:r>
          </w:p>
          <w:p w14:paraId="3BDC4A80">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截止时点</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投标截止时间以后、资格审查阶段采购人或采购代理机构的实际查询时间；</w:t>
            </w:r>
          </w:p>
          <w:p w14:paraId="79F8581A">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信用信息查询记录和证据留存具体方式</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查询结果网页打印页作为查询记录和证据，与其他采购文件一并保存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并形成承诺</w:t>
            </w:r>
            <w:r>
              <w:rPr>
                <w:rFonts w:hint="eastAsia" w:ascii="仿宋" w:hAnsi="仿宋" w:eastAsia="仿宋" w:cs="仿宋"/>
                <w:sz w:val="24"/>
                <w:szCs w:val="24"/>
                <w:highlight w:val="none"/>
              </w:rPr>
              <w:t>；</w:t>
            </w:r>
          </w:p>
          <w:p w14:paraId="0161DE8C">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信用信息的使用原则</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82" w:type="pct"/>
            <w:noWrap w:val="0"/>
            <w:vAlign w:val="center"/>
          </w:tcPr>
          <w:p w14:paraId="66F0A401">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无须投标人提供，由采购人或采购代理机构查询。</w:t>
            </w:r>
          </w:p>
        </w:tc>
      </w:tr>
      <w:tr w14:paraId="7BAA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44F337B1">
            <w:pPr>
              <w:tabs>
                <w:tab w:val="left" w:pos="1080"/>
              </w:tabs>
              <w:snapToGri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067" w:type="pct"/>
            <w:noWrap w:val="0"/>
            <w:vAlign w:val="center"/>
          </w:tcPr>
          <w:p w14:paraId="280A81E8">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存在直接控股、管理关系</w:t>
            </w:r>
          </w:p>
        </w:tc>
        <w:tc>
          <w:tcPr>
            <w:tcW w:w="2595" w:type="pct"/>
            <w:noWrap w:val="0"/>
            <w:vAlign w:val="center"/>
          </w:tcPr>
          <w:p w14:paraId="3A6B02D0">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企业负责人为同一人或者存在直接控股、管理关系的不同投标人，不得参加同一合同项下的政府采购活动，并形成承诺；否则，皆取消投标资格</w:t>
            </w:r>
          </w:p>
        </w:tc>
        <w:tc>
          <w:tcPr>
            <w:tcW w:w="882" w:type="pct"/>
            <w:noWrap w:val="0"/>
            <w:vAlign w:val="center"/>
          </w:tcPr>
          <w:p w14:paraId="103A3E03">
            <w:pPr>
              <w:tabs>
                <w:tab w:val="left" w:pos="1080"/>
              </w:tabs>
              <w:snapToGrid w:val="0"/>
              <w:spacing w:line="240" w:lineRule="auto"/>
              <w:rPr>
                <w:rFonts w:hint="eastAsia" w:ascii="仿宋" w:hAnsi="仿宋" w:eastAsia="仿宋" w:cs="仿宋"/>
                <w:sz w:val="24"/>
                <w:szCs w:val="24"/>
                <w:highlight w:val="none"/>
              </w:rPr>
            </w:pPr>
          </w:p>
        </w:tc>
      </w:tr>
      <w:tr w14:paraId="4564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339A4C5F">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067" w:type="pct"/>
            <w:noWrap w:val="0"/>
            <w:vAlign w:val="center"/>
          </w:tcPr>
          <w:p w14:paraId="362BE93B">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投标保证金或电子保函 ：</w:t>
            </w:r>
          </w:p>
        </w:tc>
        <w:tc>
          <w:tcPr>
            <w:tcW w:w="2595" w:type="pct"/>
            <w:noWrap w:val="0"/>
            <w:vAlign w:val="center"/>
          </w:tcPr>
          <w:p w14:paraId="6C05F104">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20000.00元整（大写 ：贰万元整）</w:t>
            </w:r>
          </w:p>
        </w:tc>
        <w:tc>
          <w:tcPr>
            <w:tcW w:w="882" w:type="pct"/>
            <w:noWrap w:val="0"/>
            <w:vAlign w:val="center"/>
          </w:tcPr>
          <w:p w14:paraId="45FA25FD">
            <w:pPr>
              <w:tabs>
                <w:tab w:val="left" w:pos="1080"/>
              </w:tabs>
              <w:snapToGrid w:val="0"/>
              <w:spacing w:line="240" w:lineRule="auto"/>
              <w:rPr>
                <w:rFonts w:hint="eastAsia" w:ascii="仿宋" w:hAnsi="仿宋" w:eastAsia="仿宋" w:cs="仿宋"/>
                <w:sz w:val="24"/>
                <w:szCs w:val="24"/>
                <w:highlight w:val="none"/>
              </w:rPr>
            </w:pPr>
          </w:p>
        </w:tc>
      </w:tr>
      <w:tr w14:paraId="238F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58FEC5D7">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067" w:type="pct"/>
            <w:noWrap w:val="0"/>
            <w:vAlign w:val="center"/>
          </w:tcPr>
          <w:p w14:paraId="760541EE">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中小企业声明函</w:t>
            </w:r>
          </w:p>
        </w:tc>
        <w:tc>
          <w:tcPr>
            <w:tcW w:w="2595" w:type="pct"/>
            <w:noWrap w:val="0"/>
            <w:vAlign w:val="center"/>
          </w:tcPr>
          <w:p w14:paraId="47352F5B">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当本项目（包）涉及预留份额专门面向中小企业采购，此时建议在《资格证明文件》中提供。</w:t>
            </w:r>
          </w:p>
          <w:p w14:paraId="1235993F">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1、投标人单独投标的，应提供中小企业声明函；如为</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企业或残疾人福利性单位，不必提供中小企业声明函，但须按注1或注2要求提供证明材料。</w:t>
            </w:r>
          </w:p>
          <w:p w14:paraId="00FF8BEF">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中如实填报。上述中小企业如为</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企业或残疾人福利性单位应在声明函中如实列明单位性质，并按注1或注2要求提供证明材料。</w:t>
            </w:r>
          </w:p>
          <w:p w14:paraId="637A7B6C">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 xml:space="preserve"> ：JY</w:t>
            </w:r>
            <w:r>
              <w:rPr>
                <w:rFonts w:hint="eastAsia" w:ascii="仿宋" w:hAnsi="仿宋" w:eastAsia="仿宋" w:cs="仿宋"/>
                <w:sz w:val="24"/>
                <w:szCs w:val="24"/>
                <w:highlight w:val="none"/>
              </w:rPr>
              <w:t>企业须提供由省级以上</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管理局（北京市含教育矫治局）、</w:t>
            </w:r>
            <w:r>
              <w:rPr>
                <w:rFonts w:hint="eastAsia" w:ascii="仿宋" w:hAnsi="仿宋" w:eastAsia="仿宋" w:cs="仿宋"/>
                <w:sz w:val="24"/>
                <w:szCs w:val="24"/>
                <w:highlight w:val="none"/>
                <w:lang w:eastAsia="zh-CN"/>
              </w:rPr>
              <w:t>JD</w:t>
            </w:r>
            <w:r>
              <w:rPr>
                <w:rFonts w:hint="eastAsia" w:ascii="仿宋" w:hAnsi="仿宋" w:eastAsia="仿宋" w:cs="仿宋"/>
                <w:sz w:val="24"/>
                <w:szCs w:val="24"/>
                <w:highlight w:val="none"/>
              </w:rPr>
              <w:t>管理局（含新疆生产建设兵团）出具的属于</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企业的证明文件。</w:t>
            </w:r>
          </w:p>
          <w:p w14:paraId="4E5924ED">
            <w:pPr>
              <w:tabs>
                <w:tab w:val="left" w:pos="1080"/>
              </w:tabs>
              <w:snapToGrid w:val="0"/>
              <w:spacing w:line="240" w:lineRule="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sz w:val="24"/>
                <w:szCs w:val="24"/>
                <w:highlight w:val="none"/>
              </w:rPr>
              <w:t>注2</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残疾人福利性单位须按招标文件要求提供《残疾人福利性单位声明函》。</w:t>
            </w:r>
          </w:p>
        </w:tc>
        <w:tc>
          <w:tcPr>
            <w:tcW w:w="882" w:type="pct"/>
            <w:noWrap w:val="0"/>
            <w:vAlign w:val="center"/>
          </w:tcPr>
          <w:p w14:paraId="74FB4DEB">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格式见《投标文件格式》</w:t>
            </w:r>
          </w:p>
        </w:tc>
      </w:tr>
      <w:bookmarkEnd w:id="198"/>
    </w:tbl>
    <w:p w14:paraId="5FBFA049">
      <w:pPr>
        <w:spacing w:line="360" w:lineRule="auto"/>
        <w:jc w:val="center"/>
        <w:outlineLvl w:val="0"/>
        <w:rPr>
          <w:rFonts w:hint="eastAsia" w:ascii="仿宋" w:hAnsi="仿宋" w:eastAsia="仿宋" w:cs="仿宋"/>
          <w:b/>
          <w:sz w:val="36"/>
          <w:szCs w:val="36"/>
          <w:highlight w:val="none"/>
        </w:rPr>
      </w:pPr>
      <w:bookmarkStart w:id="201" w:name="_Toc24338"/>
    </w:p>
    <w:p w14:paraId="603F8EB5">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r>
        <w:rPr>
          <w:rFonts w:hint="eastAsia" w:ascii="仿宋" w:hAnsi="仿宋" w:eastAsia="仿宋" w:cs="仿宋"/>
          <w:b/>
          <w:sz w:val="36"/>
          <w:szCs w:val="36"/>
          <w:highlight w:val="none"/>
        </w:rPr>
        <w:t xml:space="preserve">第四章   </w:t>
      </w:r>
      <w:bookmarkStart w:id="202" w:name="_Hlt164229061"/>
      <w:bookmarkEnd w:id="202"/>
      <w:r>
        <w:rPr>
          <w:rFonts w:hint="eastAsia" w:ascii="仿宋" w:hAnsi="仿宋" w:eastAsia="仿宋" w:cs="仿宋"/>
          <w:b/>
          <w:sz w:val="36"/>
          <w:szCs w:val="36"/>
          <w:highlight w:val="none"/>
        </w:rPr>
        <w:t>评标程序、评标方法和评标标准</w:t>
      </w:r>
      <w:bookmarkEnd w:id="201"/>
    </w:p>
    <w:p w14:paraId="56EE588D">
      <w:pPr>
        <w:tabs>
          <w:tab w:val="left" w:pos="360"/>
          <w:tab w:val="left" w:pos="900"/>
        </w:tabs>
        <w:snapToGrid w:val="0"/>
        <w:spacing w:line="360" w:lineRule="auto"/>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一、评标方法</w:t>
      </w:r>
    </w:p>
    <w:p w14:paraId="5ECCF3B1">
      <w:pPr>
        <w:numPr>
          <w:ilvl w:val="0"/>
          <w:numId w:val="8"/>
        </w:numPr>
        <w:tabs>
          <w:tab w:val="left" w:pos="360"/>
        </w:tabs>
        <w:snapToGrid w:val="0"/>
        <w:spacing w:line="360" w:lineRule="auto"/>
        <w:outlineLvl w:val="1"/>
        <w:rPr>
          <w:rFonts w:hint="eastAsia" w:ascii="仿宋" w:hAnsi="仿宋" w:eastAsia="仿宋" w:cs="仿宋"/>
          <w:sz w:val="24"/>
          <w:szCs w:val="24"/>
          <w:highlight w:val="none"/>
        </w:rPr>
      </w:pPr>
      <w:bookmarkStart w:id="203" w:name="_Toc226965814"/>
      <w:bookmarkStart w:id="204" w:name="_Toc127151742"/>
      <w:bookmarkStart w:id="205" w:name="_Toc151193929"/>
      <w:bookmarkStart w:id="206" w:name="_Toc150509292"/>
      <w:bookmarkStart w:id="207" w:name="_Toc150480779"/>
      <w:bookmarkStart w:id="208" w:name="_Toc151190168"/>
      <w:bookmarkStart w:id="209" w:name="_Toc149720834"/>
      <w:bookmarkStart w:id="210" w:name="_Toc142311043"/>
      <w:bookmarkStart w:id="211" w:name="_Toc151193639"/>
      <w:bookmarkStart w:id="212" w:name="_Toc164229236"/>
      <w:bookmarkStart w:id="213" w:name="_Toc226965731"/>
      <w:bookmarkStart w:id="214" w:name="_Toc195842906"/>
      <w:bookmarkStart w:id="215" w:name="_Toc164229382"/>
      <w:bookmarkStart w:id="216" w:name="_Toc150774641"/>
      <w:bookmarkStart w:id="217" w:name="_Toc164351635"/>
      <w:bookmarkStart w:id="218" w:name="_Toc127151541"/>
      <w:bookmarkStart w:id="219" w:name="_Toc151193855"/>
      <w:bookmarkStart w:id="220" w:name="_Toc305158883"/>
      <w:bookmarkStart w:id="221" w:name="_Toc265228379"/>
      <w:bookmarkStart w:id="222" w:name="_Toc164608810"/>
      <w:bookmarkStart w:id="223" w:name="_Toc151193711"/>
      <w:bookmarkStart w:id="224" w:name="_Toc151193783"/>
      <w:bookmarkStart w:id="225" w:name="_Toc264969231"/>
      <w:bookmarkStart w:id="226" w:name="_Toc127161455"/>
      <w:bookmarkStart w:id="227" w:name="_Toc164608655"/>
      <w:bookmarkStart w:id="228" w:name="_Toc226337237"/>
      <w:bookmarkStart w:id="229" w:name="_Toc226309785"/>
      <w:bookmarkStart w:id="230" w:name="_Toc150774746"/>
      <w:bookmarkStart w:id="231" w:name="_Toc305158809"/>
      <w:bookmarkStart w:id="232" w:name="_Toc353873941"/>
      <w:bookmarkStart w:id="233" w:name="_Toc353825551"/>
      <w:r>
        <w:rPr>
          <w:rFonts w:hint="eastAsia" w:ascii="仿宋" w:hAnsi="仿宋" w:eastAsia="仿宋" w:cs="仿宋"/>
          <w:sz w:val="24"/>
          <w:szCs w:val="24"/>
          <w:highlight w:val="none"/>
        </w:rPr>
        <w:t>投标文件的符合性审查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6A389F2">
      <w:pPr>
        <w:numPr>
          <w:ilvl w:val="0"/>
          <w:numId w:val="0"/>
        </w:numPr>
        <w:tabs>
          <w:tab w:val="left" w:pos="1080"/>
        </w:tabs>
        <w:snapToGrid w:val="0"/>
        <w:spacing w:line="360" w:lineRule="auto"/>
        <w:ind w:leftChars="-50" w:right="62" w:rightChars="0"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评标委员会对资格审查合格的投标人的投标文件进行符合性审查，以确定其是否满足招标文件的实质性要求。</w:t>
      </w:r>
      <w:bookmarkStart w:id="234" w:name="_Toc520356167"/>
    </w:p>
    <w:p w14:paraId="291260D6">
      <w:pPr>
        <w:numPr>
          <w:ilvl w:val="0"/>
          <w:numId w:val="0"/>
        </w:numPr>
        <w:tabs>
          <w:tab w:val="left" w:pos="1080"/>
        </w:tabs>
        <w:snapToGrid w:val="0"/>
        <w:spacing w:line="360" w:lineRule="auto"/>
        <w:ind w:leftChars="-50" w:right="62" w:rightChars="0"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34"/>
      <w:r>
        <w:rPr>
          <w:rFonts w:hint="eastAsia" w:ascii="仿宋" w:hAnsi="仿宋" w:eastAsia="仿宋" w:cs="仿宋"/>
          <w:sz w:val="24"/>
          <w:szCs w:val="24"/>
          <w:highlight w:val="none"/>
        </w:rPr>
        <w:t>要求的，</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0C945A30">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sz w:val="24"/>
          <w:highlight w:val="none"/>
        </w:rPr>
      </w:pPr>
    </w:p>
    <w:p w14:paraId="5383F052">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sz w:val="24"/>
          <w:highlight w:val="none"/>
        </w:rPr>
      </w:pPr>
      <w:r>
        <w:rPr>
          <w:rFonts w:hint="eastAsia" w:ascii="仿宋" w:hAnsi="仿宋" w:eastAsia="仿宋" w:cs="仿宋"/>
          <w:b/>
          <w:sz w:val="24"/>
          <w:highlight w:val="none"/>
        </w:rPr>
        <w:t>符合性审查要求</w:t>
      </w:r>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44"/>
        <w:gridCol w:w="7217"/>
      </w:tblGrid>
      <w:tr w14:paraId="2A29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67DDE541">
            <w:pPr>
              <w:widowControl/>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序号</w:t>
            </w:r>
          </w:p>
        </w:tc>
        <w:tc>
          <w:tcPr>
            <w:tcW w:w="975" w:type="pct"/>
            <w:noWrap w:val="0"/>
            <w:vAlign w:val="center"/>
          </w:tcPr>
          <w:p w14:paraId="4969B9E2">
            <w:pPr>
              <w:widowControl/>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审查因素</w:t>
            </w:r>
          </w:p>
        </w:tc>
        <w:tc>
          <w:tcPr>
            <w:tcW w:w="3620" w:type="pct"/>
            <w:noWrap w:val="0"/>
            <w:vAlign w:val="center"/>
          </w:tcPr>
          <w:p w14:paraId="1AEEF7E2">
            <w:pPr>
              <w:widowControl/>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审查内容</w:t>
            </w:r>
          </w:p>
        </w:tc>
      </w:tr>
      <w:tr w14:paraId="1FC4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73B3D8E">
            <w:pPr>
              <w:tabs>
                <w:tab w:val="left" w:pos="1080"/>
              </w:tabs>
              <w:snapToGri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975" w:type="pct"/>
            <w:noWrap w:val="0"/>
            <w:vAlign w:val="center"/>
          </w:tcPr>
          <w:p w14:paraId="6B9479F6">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投标完整性</w:t>
            </w:r>
          </w:p>
        </w:tc>
        <w:tc>
          <w:tcPr>
            <w:tcW w:w="3620" w:type="pct"/>
            <w:noWrap w:val="0"/>
            <w:vAlign w:val="center"/>
          </w:tcPr>
          <w:p w14:paraId="20B5ED33">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投标文件是否不齐全或者内容虚假的；</w:t>
            </w:r>
          </w:p>
        </w:tc>
      </w:tr>
      <w:tr w14:paraId="115C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C2F7E2F">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975" w:type="pct"/>
            <w:noWrap w:val="0"/>
            <w:vAlign w:val="center"/>
          </w:tcPr>
          <w:p w14:paraId="158EEF52">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3620" w:type="pct"/>
            <w:noWrap w:val="0"/>
            <w:vAlign w:val="center"/>
          </w:tcPr>
          <w:p w14:paraId="11CE1342">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投标报价未超过招标文件中规定的项目/采购包预算金额或者项目/采购包最高限价；</w:t>
            </w:r>
          </w:p>
        </w:tc>
      </w:tr>
      <w:tr w14:paraId="4EB7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41D7262">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975" w:type="pct"/>
            <w:noWrap w:val="0"/>
            <w:vAlign w:val="center"/>
          </w:tcPr>
          <w:p w14:paraId="60B7E5CF">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3620" w:type="pct"/>
            <w:noWrap w:val="0"/>
            <w:vAlign w:val="center"/>
          </w:tcPr>
          <w:p w14:paraId="5A45A26A">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投标文件未出现可选择性或可调整的报价（招标文件另有规定的除外）；</w:t>
            </w:r>
          </w:p>
        </w:tc>
      </w:tr>
      <w:tr w14:paraId="0D76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5CBDD51">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975" w:type="pct"/>
            <w:noWrap w:val="0"/>
            <w:vAlign w:val="center"/>
          </w:tcPr>
          <w:p w14:paraId="1D0C0E04">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3620" w:type="pct"/>
            <w:noWrap w:val="0"/>
            <w:vAlign w:val="center"/>
          </w:tcPr>
          <w:p w14:paraId="1BB8DE5A">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投标文件中承诺的投标有效期满足招标文件中载明的投标有效期的；</w:t>
            </w:r>
          </w:p>
        </w:tc>
      </w:tr>
      <w:tr w14:paraId="5D1A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0630766">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975" w:type="pct"/>
            <w:noWrap w:val="0"/>
            <w:vAlign w:val="center"/>
          </w:tcPr>
          <w:p w14:paraId="30162759">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签署、盖章</w:t>
            </w:r>
          </w:p>
        </w:tc>
        <w:tc>
          <w:tcPr>
            <w:tcW w:w="3620" w:type="pct"/>
            <w:noWrap w:val="0"/>
            <w:vAlign w:val="center"/>
          </w:tcPr>
          <w:p w14:paraId="1C3C2259">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按照招标文件要求</w:t>
            </w:r>
            <w:r>
              <w:rPr>
                <w:rFonts w:hint="eastAsia" w:ascii="仿宋" w:hAnsi="仿宋" w:eastAsia="仿宋" w:cs="仿宋"/>
                <w:sz w:val="24"/>
                <w:szCs w:val="24"/>
                <w:highlight w:val="none"/>
                <w:lang w:eastAsia="zh-CN"/>
              </w:rPr>
              <w:t>签字盖章</w:t>
            </w:r>
            <w:r>
              <w:rPr>
                <w:rFonts w:hint="eastAsia" w:ascii="仿宋" w:hAnsi="仿宋" w:eastAsia="仿宋" w:cs="仿宋"/>
                <w:sz w:val="24"/>
                <w:szCs w:val="24"/>
                <w:highlight w:val="none"/>
              </w:rPr>
              <w:t>的；</w:t>
            </w:r>
          </w:p>
        </w:tc>
      </w:tr>
      <w:tr w14:paraId="7517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552E7AF">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975" w:type="pct"/>
            <w:noWrap w:val="0"/>
            <w:vAlign w:val="center"/>
          </w:tcPr>
          <w:p w14:paraId="3B81A8A0">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附加条件</w:t>
            </w:r>
          </w:p>
        </w:tc>
        <w:tc>
          <w:tcPr>
            <w:tcW w:w="3620" w:type="pct"/>
            <w:noWrap w:val="0"/>
            <w:vAlign w:val="center"/>
          </w:tcPr>
          <w:p w14:paraId="1A3C9811">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投标文件未含有采购人不能接受的附加条件的；</w:t>
            </w:r>
          </w:p>
        </w:tc>
      </w:tr>
      <w:tr w14:paraId="20D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937EEFC">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975" w:type="pct"/>
            <w:noWrap w:val="0"/>
            <w:vAlign w:val="center"/>
          </w:tcPr>
          <w:p w14:paraId="5D0D54A1">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其他无效情形</w:t>
            </w:r>
          </w:p>
        </w:tc>
        <w:tc>
          <w:tcPr>
            <w:tcW w:w="3620" w:type="pct"/>
            <w:noWrap w:val="0"/>
            <w:vAlign w:val="center"/>
          </w:tcPr>
          <w:p w14:paraId="0F288A55">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投标人、投标文件不存在不符合</w:t>
            </w:r>
            <w:r>
              <w:rPr>
                <w:rFonts w:hint="eastAsia" w:ascii="仿宋" w:hAnsi="仿宋" w:eastAsia="仿宋" w:cs="仿宋"/>
                <w:sz w:val="24"/>
                <w:szCs w:val="24"/>
                <w:highlight w:val="none"/>
                <w:lang w:eastAsia="zh-CN"/>
              </w:rPr>
              <w:t>法律法规</w:t>
            </w:r>
            <w:r>
              <w:rPr>
                <w:rFonts w:hint="eastAsia" w:ascii="仿宋" w:hAnsi="仿宋" w:eastAsia="仿宋" w:cs="仿宋"/>
                <w:sz w:val="24"/>
                <w:szCs w:val="24"/>
                <w:highlight w:val="none"/>
              </w:rPr>
              <w:t>和招标文件规定的其他无效情形。</w:t>
            </w:r>
          </w:p>
        </w:tc>
      </w:tr>
      <w:tr w14:paraId="32A1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8A213A0">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975" w:type="pct"/>
            <w:noWrap w:val="0"/>
            <w:vAlign w:val="center"/>
          </w:tcPr>
          <w:p w14:paraId="44CC51D3">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w:t>
            </w:r>
          </w:p>
        </w:tc>
        <w:tc>
          <w:tcPr>
            <w:tcW w:w="3620" w:type="pct"/>
            <w:noWrap w:val="0"/>
            <w:vAlign w:val="center"/>
          </w:tcPr>
          <w:p w14:paraId="0B016523">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合同履约期限是否满足采购文件规定合同履约期限</w:t>
            </w:r>
          </w:p>
        </w:tc>
      </w:tr>
    </w:tbl>
    <w:p w14:paraId="213A6D60">
      <w:pPr>
        <w:numPr>
          <w:ilvl w:val="0"/>
          <w:numId w:val="8"/>
        </w:numPr>
        <w:tabs>
          <w:tab w:val="left" w:pos="360"/>
        </w:tabs>
        <w:snapToGrid w:val="0"/>
        <w:spacing w:line="360" w:lineRule="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投标文件有关事项的澄清或者说明</w:t>
      </w:r>
    </w:p>
    <w:p w14:paraId="1A9AE9A6">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w:t>
      </w:r>
      <w:r>
        <w:rPr>
          <w:rFonts w:hint="eastAsia" w:ascii="仿宋" w:hAnsi="仿宋" w:eastAsia="仿宋" w:cs="仿宋"/>
          <w:sz w:val="24"/>
          <w:szCs w:val="24"/>
          <w:highlight w:val="none"/>
          <w:lang w:eastAsia="zh-CN"/>
        </w:rPr>
        <w:t>盖章</w:t>
      </w:r>
      <w:r>
        <w:rPr>
          <w:rFonts w:hint="eastAsia" w:ascii="仿宋" w:hAnsi="仿宋" w:eastAsia="仿宋" w:cs="仿宋"/>
          <w:sz w:val="24"/>
          <w:szCs w:val="24"/>
          <w:highlight w:val="none"/>
        </w:rPr>
        <w:t>，或者由法定代表人或其授权的代表签字。投标人的澄清、说明或者补正不得超出投标文件的范围或者改变投标文件的实质性内容。澄清文件将作为投标文件内容的一部分。</w:t>
      </w:r>
    </w:p>
    <w:p w14:paraId="7E35FE1A">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评标委员会认为投标人的报价明显低于其他通过符合性审</w:t>
      </w:r>
      <w:r>
        <w:rPr>
          <w:rFonts w:hint="eastAsia" w:ascii="仿宋" w:hAnsi="仿宋" w:eastAsia="仿宋" w:cs="仿宋"/>
          <w:sz w:val="24"/>
          <w:szCs w:val="24"/>
          <w:highlight w:val="none"/>
          <w:lang w:eastAsia="zh-CN"/>
        </w:rPr>
        <w:t>查的</w:t>
      </w:r>
      <w:r>
        <w:rPr>
          <w:rFonts w:hint="eastAsia" w:ascii="仿宋" w:hAnsi="仿宋" w:eastAsia="仿宋" w:cs="仿宋"/>
          <w:sz w:val="24"/>
          <w:szCs w:val="24"/>
          <w:highlight w:val="none"/>
        </w:rPr>
        <w:t>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sz w:val="24"/>
          <w:szCs w:val="24"/>
          <w:highlight w:val="none"/>
        </w:rPr>
        <w:t>无效投标处理</w:t>
      </w:r>
      <w:r>
        <w:rPr>
          <w:rFonts w:hint="eastAsia" w:ascii="仿宋" w:hAnsi="仿宋" w:eastAsia="仿宋" w:cs="仿宋"/>
          <w:sz w:val="24"/>
          <w:szCs w:val="24"/>
          <w:highlight w:val="none"/>
        </w:rPr>
        <w:t>。</w:t>
      </w:r>
    </w:p>
    <w:p w14:paraId="25971034">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6E68167F">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投标文件报价出现前后不一致的，按照下列规定修正</w:t>
      </w:r>
      <w:r>
        <w:rPr>
          <w:rFonts w:hint="eastAsia" w:ascii="仿宋" w:hAnsi="仿宋" w:eastAsia="仿宋" w:cs="仿宋"/>
          <w:sz w:val="24"/>
          <w:szCs w:val="24"/>
          <w:highlight w:val="none"/>
          <w:lang w:eastAsia="zh-CN"/>
        </w:rPr>
        <w:t xml:space="preserve"> ：</w:t>
      </w:r>
    </w:p>
    <w:p w14:paraId="125C51B6">
      <w:pPr>
        <w:numPr>
          <w:ilvl w:val="2"/>
          <w:numId w:val="8"/>
        </w:numPr>
        <w:tabs>
          <w:tab w:val="left" w:pos="1080"/>
          <w:tab w:val="left" w:pos="1589"/>
          <w:tab w:val="left" w:pos="2035"/>
          <w:tab w:val="left" w:pos="2114"/>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招标文件对于报价修正是否另有规定</w:t>
      </w:r>
      <w:r>
        <w:rPr>
          <w:rFonts w:hint="eastAsia" w:ascii="仿宋" w:hAnsi="仿宋" w:eastAsia="仿宋" w:cs="仿宋"/>
          <w:sz w:val="24"/>
          <w:szCs w:val="24"/>
          <w:highlight w:val="none"/>
          <w:lang w:eastAsia="zh-CN"/>
        </w:rPr>
        <w:t xml:space="preserve"> ：</w:t>
      </w:r>
    </w:p>
    <w:p w14:paraId="7B65DC23">
      <w:pPr>
        <w:tabs>
          <w:tab w:val="left" w:pos="1080"/>
          <w:tab w:val="left" w:pos="1589"/>
          <w:tab w:val="left" w:pos="2035"/>
          <w:tab w:val="left" w:pos="2114"/>
        </w:tabs>
        <w:snapToGrid w:val="0"/>
        <w:spacing w:line="360" w:lineRule="auto"/>
        <w:ind w:left="20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□有，具体规定为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______________</w:t>
      </w:r>
    </w:p>
    <w:p w14:paraId="46C0BB89">
      <w:pPr>
        <w:tabs>
          <w:tab w:val="left" w:pos="1080"/>
          <w:tab w:val="left" w:pos="1589"/>
          <w:tab w:val="left" w:pos="2035"/>
          <w:tab w:val="left" w:pos="2114"/>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无，按下述2.4.2-2.4.7项规定修正。</w:t>
      </w:r>
    </w:p>
    <w:p w14:paraId="034C1885">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单独递交的开标一览表（报价表）与投标文件中开标一览表（报价表）内容不一致的，以单独递交的开标一览表（报价表）为准；</w:t>
      </w:r>
    </w:p>
    <w:p w14:paraId="4B5A576A">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投标文件中开标一览表（报价表）内容与投标文件中相应内容不一致的，以开标一览表（报价表）为准；</w:t>
      </w:r>
    </w:p>
    <w:p w14:paraId="480EC9FE">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大写金额和小写金额不一致的，以大写金额为准；</w:t>
      </w:r>
    </w:p>
    <w:p w14:paraId="5293BB93">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单价金额小数点或者百分比有明显错位的，以开标一览表的总价为准，并修改单价；</w:t>
      </w:r>
    </w:p>
    <w:p w14:paraId="47F63DE1">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总价金额与按单价汇总金额不一致的，以单价金额计算结果为准。</w:t>
      </w:r>
    </w:p>
    <w:p w14:paraId="250D90C4">
      <w:pPr>
        <w:numPr>
          <w:ilvl w:val="2"/>
          <w:numId w:val="8"/>
        </w:numPr>
        <w:tabs>
          <w:tab w:val="left" w:pos="1080"/>
          <w:tab w:val="left" w:pos="1589"/>
          <w:tab w:val="left" w:pos="2035"/>
          <w:tab w:val="left" w:pos="2114"/>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同时出现两种以上不一致的，按照前款规定的顺序修正。修正后的报价经投标人书面确认后产生约束力，投标人不确认的，其</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715CB597">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落实政府采购政策的价格调整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只有符合第二章《投标人须知》规定情形的，可以享受中小企业扶持政策，用扣除后的价格参加评审；否则，评标时价格不予扣除。</w:t>
      </w:r>
    </w:p>
    <w:p w14:paraId="184535AC">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对于未预留份额专门面向中小企业采购的采购项目，以及预留份额项目中的非预留部分采购包，对小微企业报价给予</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的扣除，用扣除后的价格参加评审。</w:t>
      </w:r>
    </w:p>
    <w:p w14:paraId="063B9797">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0%以上的联合体或者大中型企业的报价给予</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的扣除，用扣除后的价格参加评审。</w:t>
      </w:r>
    </w:p>
    <w:p w14:paraId="2F3A5DC6">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组成联合体或者接受分包的小微企业与联合体内其他企业、分包企业之间存在直接控股、管理关系的，不享受价格扣除优惠政策。</w:t>
      </w:r>
    </w:p>
    <w:p w14:paraId="36B90ED6">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价格扣除比例对小型企业和微型企业同等对待，不作区分。</w:t>
      </w:r>
    </w:p>
    <w:p w14:paraId="7737BD42">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中小企业参加政府采购活动，应当按照招标文件给定的格式出具《中小企业声明函》，否则不得享受相关中小企业扶持政策。</w:t>
      </w:r>
    </w:p>
    <w:p w14:paraId="0EF80C41">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企业提供了由省级以上</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管理局（北京市含教育矫治局）、</w:t>
      </w:r>
      <w:r>
        <w:rPr>
          <w:rFonts w:hint="eastAsia" w:ascii="仿宋" w:hAnsi="仿宋" w:eastAsia="仿宋" w:cs="仿宋"/>
          <w:sz w:val="24"/>
          <w:szCs w:val="24"/>
          <w:highlight w:val="none"/>
          <w:lang w:eastAsia="zh-CN"/>
        </w:rPr>
        <w:t>JD</w:t>
      </w:r>
      <w:r>
        <w:rPr>
          <w:rFonts w:hint="eastAsia" w:ascii="仿宋" w:hAnsi="仿宋" w:eastAsia="仿宋" w:cs="仿宋"/>
          <w:sz w:val="24"/>
          <w:szCs w:val="24"/>
          <w:highlight w:val="none"/>
        </w:rPr>
        <w:t>管理局（含新疆生产建设兵团）出具的属于</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企业的证明文件的，视同小微企业。</w:t>
      </w:r>
    </w:p>
    <w:p w14:paraId="7182840B">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残疾人福利性单位按招标文件要求提供了《残疾人福利性单位声明函》（见附件）的，视同小微企业。</w:t>
      </w:r>
    </w:p>
    <w:p w14:paraId="26A65C16">
      <w:pPr>
        <w:numPr>
          <w:ilvl w:val="2"/>
          <w:numId w:val="8"/>
        </w:numPr>
        <w:tabs>
          <w:tab w:val="left" w:pos="1080"/>
          <w:tab w:val="left" w:pos="1589"/>
          <w:tab w:val="left" w:pos="2014"/>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若投标人同时属于小型或微型企业、</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企业、残疾人福利性单位中的两种及以上，将不重复享受小微企业价格扣减的优惠政策。</w:t>
      </w:r>
    </w:p>
    <w:p w14:paraId="652F4CF1">
      <w:pPr>
        <w:numPr>
          <w:ilvl w:val="0"/>
          <w:numId w:val="8"/>
        </w:numPr>
        <w:tabs>
          <w:tab w:val="left" w:pos="360"/>
        </w:tabs>
        <w:snapToGrid w:val="0"/>
        <w:spacing w:line="360" w:lineRule="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投标文件的比较和评价</w:t>
      </w:r>
      <w:bookmarkEnd w:id="232"/>
      <w:bookmarkEnd w:id="233"/>
    </w:p>
    <w:p w14:paraId="745DECB8">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02DD505D">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评标方法和评标标准</w:t>
      </w:r>
    </w:p>
    <w:p w14:paraId="67E672BB">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本项目采用的评标方法为</w:t>
      </w:r>
      <w:r>
        <w:rPr>
          <w:rFonts w:hint="eastAsia" w:ascii="仿宋" w:hAnsi="仿宋" w:eastAsia="仿宋" w:cs="仿宋"/>
          <w:sz w:val="24"/>
          <w:szCs w:val="24"/>
          <w:highlight w:val="none"/>
          <w:lang w:eastAsia="zh-CN"/>
        </w:rPr>
        <w:t xml:space="preserve"> ：</w:t>
      </w:r>
    </w:p>
    <w:p w14:paraId="34A63003">
      <w:pPr>
        <w:tabs>
          <w:tab w:val="left" w:pos="900"/>
          <w:tab w:val="left" w:pos="1589"/>
          <w:tab w:val="left" w:pos="1701"/>
        </w:tabs>
        <w:snapToGrid w:val="0"/>
        <w:spacing w:line="360" w:lineRule="auto"/>
        <w:ind w:left="1985"/>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8524FC7">
      <w:pPr>
        <w:tabs>
          <w:tab w:val="left" w:pos="900"/>
          <w:tab w:val="left" w:pos="1589"/>
          <w:tab w:val="left" w:pos="1701"/>
        </w:tabs>
        <w:snapToGrid w:val="0"/>
        <w:spacing w:line="360" w:lineRule="auto"/>
        <w:ind w:left="1985"/>
        <w:rPr>
          <w:rFonts w:hint="eastAsia" w:ascii="仿宋" w:hAnsi="仿宋" w:eastAsia="仿宋" w:cs="仿宋"/>
          <w:sz w:val="24"/>
          <w:szCs w:val="24"/>
          <w:highlight w:val="none"/>
        </w:rPr>
      </w:pPr>
      <w:r>
        <w:rPr>
          <w:rFonts w:hint="eastAsia" w:ascii="仿宋" w:hAnsi="仿宋" w:eastAsia="仿宋" w:cs="仿宋"/>
          <w:sz w:val="24"/>
          <w:szCs w:val="24"/>
          <w:highlight w:val="none"/>
        </w:rPr>
        <w:t>□最低评标价法，指投标文件满足招标文件全部实质性要求，且投标报价最低的投标人为中标候选人的评标方法。</w:t>
      </w:r>
    </w:p>
    <w:p w14:paraId="5B961A3F">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0BBBF049">
      <w:p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□随机抽取</w:t>
      </w:r>
    </w:p>
    <w:p w14:paraId="7076A1BB">
      <w:pPr>
        <w:tabs>
          <w:tab w:val="left" w:pos="1080"/>
          <w:tab w:val="left" w:pos="1589"/>
          <w:tab w:val="left" w:pos="2035"/>
        </w:tabs>
        <w:snapToGrid w:val="0"/>
        <w:spacing w:line="360" w:lineRule="auto"/>
        <w:ind w:left="20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□其他方式，具体要求</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_____</w:t>
      </w:r>
    </w:p>
    <w:p w14:paraId="02350A53">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非政府强制采购的节能产品或环境标志产品，依据品目清单和认证证书实施政府优先采购。优先采购的具体规定（如涉及）_____。</w:t>
      </w:r>
    </w:p>
    <w:p w14:paraId="7A305A8D">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highlight w:val="none"/>
        </w:rPr>
      </w:pPr>
      <w:r>
        <w:rPr>
          <w:rFonts w:hint="eastAsia" w:ascii="仿宋" w:hAnsi="仿宋" w:eastAsia="仿宋" w:cs="仿宋"/>
          <w:sz w:val="24"/>
          <w:szCs w:val="24"/>
          <w:highlight w:val="none"/>
        </w:rPr>
        <w:t>关于无线局域网认证产品政府采购清单中的产品，优先采购的具体规定（如涉及）_____。</w:t>
      </w:r>
    </w:p>
    <w:p w14:paraId="13A44424">
      <w:pPr>
        <w:numPr>
          <w:ilvl w:val="0"/>
          <w:numId w:val="8"/>
        </w:numPr>
        <w:tabs>
          <w:tab w:val="left" w:pos="360"/>
        </w:tabs>
        <w:snapToGrid w:val="0"/>
        <w:spacing w:line="360" w:lineRule="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确定</w:t>
      </w:r>
      <w:bookmarkStart w:id="235" w:name="_Toc164608660"/>
      <w:bookmarkStart w:id="236" w:name="_Toc151193860"/>
      <w:bookmarkStart w:id="237" w:name="_Toc226965819"/>
      <w:bookmarkStart w:id="238" w:name="_Toc151193934"/>
      <w:bookmarkStart w:id="239" w:name="_Ref467307010"/>
      <w:bookmarkStart w:id="240" w:name="_Toc150509297"/>
      <w:bookmarkStart w:id="241" w:name="_Toc127151747"/>
      <w:bookmarkStart w:id="242" w:name="_Toc226337242"/>
      <w:bookmarkStart w:id="243" w:name="_Toc164229241"/>
      <w:bookmarkStart w:id="244" w:name="_Toc164229387"/>
      <w:bookmarkStart w:id="245" w:name="_Toc150480784"/>
      <w:bookmarkStart w:id="246" w:name="_Toc142311048"/>
      <w:bookmarkStart w:id="247" w:name="_Toc150774751"/>
      <w:bookmarkStart w:id="248" w:name="_Toc151193644"/>
      <w:bookmarkStart w:id="249" w:name="_Toc151190173"/>
      <w:bookmarkStart w:id="250" w:name="_Toc520356170"/>
      <w:bookmarkStart w:id="251" w:name="_Toc164351640"/>
      <w:bookmarkStart w:id="252" w:name="_Toc164608815"/>
      <w:bookmarkStart w:id="253" w:name="_Toc127151546"/>
      <w:bookmarkStart w:id="254" w:name="_Toc264969236"/>
      <w:bookmarkStart w:id="255" w:name="_Toc305158888"/>
      <w:bookmarkStart w:id="256" w:name="_Toc150774646"/>
      <w:bookmarkStart w:id="257" w:name="_Toc151193788"/>
      <w:bookmarkStart w:id="258" w:name="_Toc265228384"/>
      <w:bookmarkStart w:id="259" w:name="_Toc195842911"/>
      <w:bookmarkStart w:id="260" w:name="_Toc226309790"/>
      <w:bookmarkStart w:id="261" w:name="_Toc305158814"/>
      <w:bookmarkStart w:id="262" w:name="_Toc127161460"/>
      <w:bookmarkStart w:id="263" w:name="_Toc226965736"/>
      <w:bookmarkStart w:id="264" w:name="_Toc151193716"/>
      <w:bookmarkStart w:id="265" w:name="_Toc149720839"/>
      <w:r>
        <w:rPr>
          <w:rFonts w:hint="eastAsia" w:ascii="仿宋" w:hAnsi="仿宋" w:eastAsia="仿宋" w:cs="仿宋"/>
          <w:sz w:val="24"/>
          <w:szCs w:val="24"/>
          <w:highlight w:val="none"/>
        </w:rPr>
        <w:t>中标候选人名单</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8428351">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EEEF8FB">
      <w:pPr>
        <w:pStyle w:val="44"/>
        <w:tabs>
          <w:tab w:val="left" w:pos="900"/>
          <w:tab w:val="left" w:pos="2127"/>
        </w:tabs>
        <w:adjustRightInd w:val="0"/>
        <w:snapToGrid w:val="0"/>
        <w:spacing w:line="360" w:lineRule="auto"/>
        <w:ind w:left="993" w:firstLine="136" w:firstLineChars="57"/>
        <w:rPr>
          <w:rFonts w:hint="eastAsia" w:ascii="仿宋" w:hAnsi="仿宋" w:eastAsia="仿宋" w:cs="仿宋"/>
          <w:sz w:val="24"/>
          <w:szCs w:val="24"/>
          <w:highlight w:val="none"/>
        </w:rPr>
      </w:pPr>
      <w:r>
        <w:rPr>
          <w:rFonts w:hint="eastAsia" w:ascii="仿宋" w:hAnsi="仿宋" w:eastAsia="仿宋" w:cs="仿宋"/>
          <w:sz w:val="24"/>
          <w:szCs w:val="24"/>
          <w:highlight w:val="none"/>
        </w:rPr>
        <w:t>□随机抽取</w:t>
      </w:r>
    </w:p>
    <w:p w14:paraId="796F2E04">
      <w:pPr>
        <w:pStyle w:val="44"/>
        <w:tabs>
          <w:tab w:val="left" w:pos="900"/>
          <w:tab w:val="left" w:pos="2127"/>
        </w:tabs>
        <w:adjustRightInd w:val="0"/>
        <w:snapToGrid w:val="0"/>
        <w:spacing w:line="360" w:lineRule="auto"/>
        <w:ind w:left="993" w:firstLine="136" w:firstLineChars="57"/>
        <w:rPr>
          <w:rFonts w:hint="eastAsia" w:ascii="仿宋" w:hAnsi="仿宋" w:eastAsia="仿宋" w:cs="仿宋"/>
          <w:sz w:val="24"/>
          <w:szCs w:val="24"/>
          <w:highlight w:val="none"/>
        </w:rPr>
      </w:pPr>
      <w:r>
        <w:rPr>
          <w:rFonts w:hint="eastAsia" w:ascii="仿宋" w:hAnsi="仿宋" w:eastAsia="仿宋" w:cs="仿宋"/>
          <w:sz w:val="24"/>
          <w:szCs w:val="24"/>
          <w:highlight w:val="none"/>
        </w:rPr>
        <w:t>□其他方式，具体要求</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_____</w:t>
      </w:r>
    </w:p>
    <w:p w14:paraId="57843FA6">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947DCBC">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A3E2D60">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评标委员会要对评分汇总情况进行复核，特别是对排名第一的、报价最低的、投标或响应文件被认定为无效的情形进行重点复核。</w:t>
      </w:r>
    </w:p>
    <w:p w14:paraId="482E76CD">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评标委员会将根据各投标人的评标排序，依次推荐本项目（各采购包）的中标候选人，起草并签署评标报告。本项目（各采购包）评标委员会共（各）推荐</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rPr>
        <w:t>名中标候选人。</w:t>
      </w:r>
    </w:p>
    <w:p w14:paraId="2A4F7501">
      <w:pPr>
        <w:numPr>
          <w:ilvl w:val="0"/>
          <w:numId w:val="8"/>
        </w:numPr>
        <w:tabs>
          <w:tab w:val="left" w:pos="360"/>
        </w:tabs>
        <w:snapToGrid w:val="0"/>
        <w:spacing w:line="360" w:lineRule="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报告违法行为</w:t>
      </w:r>
    </w:p>
    <w:p w14:paraId="201983DF">
      <w:pPr>
        <w:numPr>
          <w:ilvl w:val="1"/>
          <w:numId w:val="8"/>
        </w:numPr>
        <w:tabs>
          <w:tab w:val="left" w:pos="1080"/>
        </w:tabs>
        <w:snapToGrid w:val="0"/>
        <w:spacing w:line="360" w:lineRule="auto"/>
        <w:ind w:left="1077"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评标委员会在评标过程中发现投标人有行贿、提供虚假材料或者串通等违法行为时，有向采购人、采购代理机构或者有关部门报告的职责。</w:t>
      </w:r>
    </w:p>
    <w:p w14:paraId="6A525DBB">
      <w:pPr>
        <w:widowControl/>
        <w:jc w:val="center"/>
        <w:rPr>
          <w:rFonts w:hint="eastAsia" w:ascii="仿宋" w:hAnsi="仿宋" w:eastAsia="仿宋" w:cs="仿宋"/>
          <w:sz w:val="24"/>
          <w:highlight w:val="none"/>
        </w:rPr>
      </w:pPr>
      <w:r>
        <w:rPr>
          <w:rFonts w:hint="eastAsia" w:ascii="仿宋" w:hAnsi="仿宋" w:eastAsia="仿宋" w:cs="仿宋"/>
          <w:b/>
          <w:sz w:val="24"/>
          <w:highlight w:val="none"/>
        </w:rPr>
        <w:br w:type="page"/>
      </w:r>
      <w:r>
        <w:rPr>
          <w:rFonts w:hint="eastAsia" w:ascii="仿宋" w:hAnsi="仿宋" w:eastAsia="仿宋" w:cs="仿宋"/>
          <w:b/>
          <w:sz w:val="28"/>
          <w:szCs w:val="28"/>
          <w:highlight w:val="none"/>
        </w:rPr>
        <w:t>二、评标标准</w:t>
      </w:r>
    </w:p>
    <w:tbl>
      <w:tblPr>
        <w:tblStyle w:val="72"/>
        <w:tblW w:w="9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4"/>
        <w:gridCol w:w="1273"/>
        <w:gridCol w:w="927"/>
        <w:gridCol w:w="6720"/>
      </w:tblGrid>
      <w:tr w14:paraId="50560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21531F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评审项</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DC8AADD">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w:t>
            </w:r>
          </w:p>
          <w:p w14:paraId="7796C168">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内容</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101F9095">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分值</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54B30E52">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评分标准</w:t>
            </w:r>
          </w:p>
        </w:tc>
      </w:tr>
      <w:tr w14:paraId="41153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79F1C0A">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bookmarkStart w:id="266" w:name="OLE_LINK2"/>
            <w:r>
              <w:rPr>
                <w:rFonts w:hint="eastAsia" w:ascii="仿宋" w:hAnsi="仿宋" w:eastAsia="仿宋" w:cs="仿宋"/>
                <w:sz w:val="24"/>
                <w:szCs w:val="24"/>
                <w:highlight w:val="none"/>
                <w:lang w:val="en-US" w:eastAsia="zh-CN"/>
              </w:rPr>
              <w:t>价格</w:t>
            </w:r>
          </w:p>
          <w:p w14:paraId="7A45ABD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部分</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AE3B991">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w:t>
            </w:r>
          </w:p>
          <w:p w14:paraId="33FC5496">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计算</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2CB35D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9A2F0A2">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评分法中的价格分统一采用低价优先法计算，即满足招标要求且投标价格最低的投标报价为评标基准价，其价格分为满分。其他供应商的价格分统一按照下列公式计算：投标报价得分=(评标基准价／投标报价)×30。（计算分值时，百分比按四舍五入原则，保留小数点后二位数）</w:t>
            </w:r>
          </w:p>
          <w:p w14:paraId="44CF3A6F">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说明：评标委员会认为，供应商的最低投标价或者某些分项报价明显不合理或者低于成本，有可能影响商品质量和不能诚信履约的，应当要求其在规定的期限内提供书面文件予以解释说明，并提交相关证明材料；否则，评标委员会可以取消该供应商的中标候选资格。为保证本项目产品质量、良好的售后服务，最低报价不作为中标的唯一依据。</w:t>
            </w:r>
          </w:p>
        </w:tc>
      </w:tr>
      <w:tr w14:paraId="559E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74" w:type="dxa"/>
            <w:vMerge w:val="restart"/>
            <w:tcBorders>
              <w:top w:val="single" w:color="auto" w:sz="4" w:space="0"/>
              <w:left w:val="single" w:color="auto" w:sz="4" w:space="0"/>
              <w:right w:val="single" w:color="auto" w:sz="4" w:space="0"/>
            </w:tcBorders>
            <w:noWrap w:val="0"/>
            <w:vAlign w:val="center"/>
          </w:tcPr>
          <w:p w14:paraId="7638620E">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w:t>
            </w:r>
          </w:p>
          <w:p w14:paraId="4C85E54B">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部分</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2114346">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近三年类似业绩</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A1B0349">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2F5870E">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提供近三年(2022年1月1日-至今)完成的与本项目类似的业绩，须提供中标通知书或合同，以合同签订的时间为准。每提供一个业绩得1分，最多得2分,不提供不得分。</w:t>
            </w:r>
          </w:p>
        </w:tc>
      </w:tr>
      <w:tr w14:paraId="5AD83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74" w:type="dxa"/>
            <w:vMerge w:val="continue"/>
            <w:tcBorders>
              <w:left w:val="single" w:color="auto" w:sz="4" w:space="0"/>
              <w:right w:val="single" w:color="auto" w:sz="4" w:space="0"/>
            </w:tcBorders>
            <w:noWrap w:val="0"/>
            <w:vAlign w:val="center"/>
          </w:tcPr>
          <w:p w14:paraId="24B063F1">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0B0D98F">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项目团队人员配置</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EE90BB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1D6322FD">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拟派项目工作人员满足项目实施需要（5人）的，得5分（须提供身份证，劳动合同，社保证明材料，提供的每一人得1分，不提供不得分）。</w:t>
            </w:r>
          </w:p>
        </w:tc>
      </w:tr>
      <w:tr w14:paraId="35917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74" w:type="dxa"/>
            <w:vMerge w:val="continue"/>
            <w:tcBorders>
              <w:left w:val="single" w:color="auto" w:sz="4" w:space="0"/>
              <w:right w:val="single" w:color="auto" w:sz="4" w:space="0"/>
            </w:tcBorders>
            <w:noWrap w:val="0"/>
            <w:vAlign w:val="center"/>
          </w:tcPr>
          <w:p w14:paraId="3CCA90CE">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2E7D585">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yellow"/>
                <w:lang w:val="en-US" w:eastAsia="zh-CN"/>
              </w:rPr>
            </w:pPr>
            <w:r>
              <w:rPr>
                <w:rFonts w:hint="eastAsia" w:ascii="仿宋" w:hAnsi="仿宋" w:eastAsia="仿宋" w:cs="仿宋"/>
                <w:b w:val="0"/>
                <w:bCs/>
                <w:sz w:val="24"/>
                <w:szCs w:val="24"/>
                <w:highlight w:val="none"/>
                <w:lang w:val="en-US" w:eastAsia="zh-CN"/>
              </w:rPr>
              <w:t>可操作、可维护性</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E92B5B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8分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3D7EA6D9">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b w:val="0"/>
                <w:bCs/>
                <w:sz w:val="24"/>
                <w:szCs w:val="24"/>
                <w:highlight w:val="none"/>
                <w:lang w:val="en-US" w:eastAsia="zh-CN"/>
              </w:rPr>
              <w:t>以利于配种工作需要为前提，根据设备配置符合程度综合评判：所投产品①配置齐全；②便于使用；③操作简便；④便于维护。以上符合一项得2分，最多得8分，不符合不得分。</w:t>
            </w:r>
          </w:p>
        </w:tc>
      </w:tr>
      <w:tr w14:paraId="58C26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74" w:type="dxa"/>
            <w:vMerge w:val="continue"/>
            <w:tcBorders>
              <w:left w:val="single" w:color="auto" w:sz="4" w:space="0"/>
              <w:bottom w:val="single" w:color="auto" w:sz="4" w:space="0"/>
              <w:right w:val="single" w:color="auto" w:sz="4" w:space="0"/>
            </w:tcBorders>
            <w:noWrap w:val="0"/>
            <w:vAlign w:val="center"/>
          </w:tcPr>
          <w:p w14:paraId="12D231E2">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128A211">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w:t>
            </w:r>
          </w:p>
          <w:p w14:paraId="19C56ED3">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2C43B72">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2E13F6F4">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售后服务方案内容包括但不限于：1.维修保养方案；2.提供复杂设备维修服务的专业性；3.技术支持响应时间；4.备品备件供应；5.应急预案及故障处理方案；6.质保期后维修服务的承诺。</w:t>
            </w:r>
          </w:p>
          <w:p w14:paraId="5A9653DD">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以上六项内容齐全且完全满足项目需求得 9分，每缺一项内容扣1.5分，每项内容里每有一处内容缺陷扣0.5 分，扣完为止。</w:t>
            </w:r>
          </w:p>
          <w:p w14:paraId="734778B6">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错误或缺陷是指：内容阐述不全面、不符合项目实际情况、无法满足采购需求，前后内容不一致、缺少针对性、前后逻辑错误、涉及的规范及标准错误、项目名称或实施地点区域错误、内容简略不够详细或与本项目无关等。</w:t>
            </w:r>
            <w:r>
              <w:rPr>
                <w:rFonts w:hint="eastAsia" w:ascii="仿宋" w:hAnsi="仿宋" w:eastAsia="仿宋" w:cs="仿宋"/>
                <w:sz w:val="24"/>
                <w:szCs w:val="24"/>
                <w:highlight w:val="none"/>
                <w:lang w:val="en-GB" w:eastAsia="zh-CN"/>
              </w:rPr>
              <w:t xml:space="preserve">            </w:t>
            </w:r>
          </w:p>
        </w:tc>
      </w:tr>
      <w:tr w14:paraId="439E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74" w:type="dxa"/>
            <w:vMerge w:val="restart"/>
            <w:tcBorders>
              <w:top w:val="single" w:color="auto" w:sz="4" w:space="0"/>
              <w:left w:val="single" w:color="auto" w:sz="4" w:space="0"/>
              <w:right w:val="single" w:color="auto" w:sz="4" w:space="0"/>
            </w:tcBorders>
            <w:noWrap w:val="0"/>
            <w:vAlign w:val="center"/>
          </w:tcPr>
          <w:p w14:paraId="26EFA9C9">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w:t>
            </w:r>
          </w:p>
          <w:p w14:paraId="5C55E0CA">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部分</w:t>
            </w:r>
          </w:p>
        </w:tc>
        <w:tc>
          <w:tcPr>
            <w:tcW w:w="1273" w:type="dxa"/>
            <w:tcBorders>
              <w:top w:val="single" w:color="auto" w:sz="4" w:space="0"/>
              <w:left w:val="single" w:color="auto" w:sz="4" w:space="0"/>
              <w:right w:val="single" w:color="auto" w:sz="4" w:space="0"/>
            </w:tcBorders>
            <w:noWrap w:val="0"/>
            <w:vAlign w:val="center"/>
          </w:tcPr>
          <w:p w14:paraId="60D5C3FA">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产品参数</w:t>
            </w:r>
          </w:p>
          <w:p w14:paraId="532CC4E4">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指标产品</w:t>
            </w:r>
          </w:p>
          <w:p w14:paraId="4D6BEE79">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性能</w:t>
            </w:r>
          </w:p>
        </w:tc>
        <w:tc>
          <w:tcPr>
            <w:tcW w:w="927" w:type="dxa"/>
            <w:tcBorders>
              <w:top w:val="single" w:color="auto" w:sz="4" w:space="0"/>
              <w:left w:val="single" w:color="auto" w:sz="4" w:space="0"/>
              <w:right w:val="single" w:color="auto" w:sz="4" w:space="0"/>
            </w:tcBorders>
            <w:noWrap w:val="0"/>
            <w:vAlign w:val="center"/>
          </w:tcPr>
          <w:p w14:paraId="4157DFA4">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38316CFF">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在本项目“设备购置技术要求”中，为了满足货物的参数功能、性能及技术指标要求，设置了带“▲”号的要求，每提供一个满足要求证明材料的，得1分，不满足要求的不得分，最多得25分。</w:t>
            </w:r>
          </w:p>
        </w:tc>
      </w:tr>
      <w:tr w14:paraId="74E65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8" w:hRule="atLeast"/>
          <w:jc w:val="center"/>
        </w:trPr>
        <w:tc>
          <w:tcPr>
            <w:tcW w:w="1074" w:type="dxa"/>
            <w:vMerge w:val="continue"/>
            <w:tcBorders>
              <w:left w:val="single" w:color="auto" w:sz="4" w:space="0"/>
              <w:right w:val="single" w:color="auto" w:sz="4" w:space="0"/>
            </w:tcBorders>
            <w:noWrap w:val="0"/>
            <w:vAlign w:val="center"/>
          </w:tcPr>
          <w:p w14:paraId="2F6FDA2F">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05E1EBE">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w:t>
            </w:r>
          </w:p>
          <w:p w14:paraId="126ED8FD">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方案 </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EDE82A3">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76A80C80">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项目实施方案内容包括但不限于:</w:t>
            </w:r>
          </w:p>
          <w:p w14:paraId="6C445B87">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GB" w:eastAsia="zh-CN"/>
              </w:rPr>
              <w:t>供货及</w:t>
            </w:r>
            <w:r>
              <w:rPr>
                <w:rFonts w:hint="eastAsia" w:ascii="仿宋" w:hAnsi="仿宋" w:eastAsia="仿宋" w:cs="仿宋"/>
                <w:sz w:val="24"/>
                <w:szCs w:val="24"/>
                <w:highlight w:val="none"/>
                <w:lang w:val="en-US" w:eastAsia="zh-CN"/>
              </w:rPr>
              <w:t>进度计划；2.供货期保证措施；3.质量保证措施；4.人力物力投入计划；5.运输方案；6.安装方案；7.系统调试；8.验收组织；9.资料整理。</w:t>
            </w:r>
          </w:p>
          <w:p w14:paraId="5347C184">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以上九项内容齐全、无缺陷的得满分9分，每缺少一项内容扣1分；每项内容中每有一处错误或缺陷的扣0.5分，扣完为止。</w:t>
            </w:r>
          </w:p>
          <w:p w14:paraId="5A0AC2CB">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错误或缺陷是指：前后内容不一致、缺少针对性、存在凭空编造、前后逻辑错误、涉及的规范及标准错误、项目名称或实施地点区域错误、内容简略不够详细或与本项目无关等。</w:t>
            </w:r>
          </w:p>
        </w:tc>
      </w:tr>
      <w:tr w14:paraId="76A80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1" w:hRule="atLeast"/>
          <w:jc w:val="center"/>
        </w:trPr>
        <w:tc>
          <w:tcPr>
            <w:tcW w:w="1074" w:type="dxa"/>
            <w:vMerge w:val="continue"/>
            <w:tcBorders>
              <w:left w:val="single" w:color="auto" w:sz="4" w:space="0"/>
              <w:right w:val="single" w:color="auto" w:sz="4" w:space="0"/>
            </w:tcBorders>
            <w:noWrap w:val="0"/>
            <w:vAlign w:val="center"/>
          </w:tcPr>
          <w:p w14:paraId="489B3204">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right w:val="single" w:color="auto" w:sz="4" w:space="0"/>
            </w:tcBorders>
            <w:noWrap w:val="0"/>
            <w:vAlign w:val="center"/>
          </w:tcPr>
          <w:p w14:paraId="6B1716F1">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质量管理</w:t>
            </w:r>
          </w:p>
          <w:p w14:paraId="2F13E651">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p>
        </w:tc>
        <w:tc>
          <w:tcPr>
            <w:tcW w:w="927" w:type="dxa"/>
            <w:tcBorders>
              <w:top w:val="single" w:color="auto" w:sz="4" w:space="0"/>
              <w:left w:val="single" w:color="auto" w:sz="4" w:space="0"/>
              <w:right w:val="single" w:color="auto" w:sz="4" w:space="0"/>
            </w:tcBorders>
            <w:noWrap w:val="0"/>
            <w:vAlign w:val="center"/>
          </w:tcPr>
          <w:p w14:paraId="192173BB">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p w14:paraId="6EBBD0BF">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23A045D">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质量管理方案内容包括但不限于:</w:t>
            </w:r>
          </w:p>
          <w:p w14:paraId="28447929">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1.完善的质量管理体系；2.有效的质量管理制度，完全满足采购需求。 </w:t>
            </w:r>
          </w:p>
          <w:p w14:paraId="42F68FC5">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要求：有针对本项目的具体描述，内容完整、科学合理、措施得当。</w:t>
            </w:r>
          </w:p>
          <w:p w14:paraId="224C1121">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以上2项内容齐全、无缺陷的得满分5分，每缺少一项内容扣2.5分；每项内容中每有一处错误或缺陷的扣0.5分，扣完为止。</w:t>
            </w:r>
          </w:p>
          <w:p w14:paraId="3C177463">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错误或缺陷是指：对项目的具体内容阐述不全面、不符合项目实际情况、无法满足采购需求，前后内容不一致、缺少针对性、存在凭空编造、前后逻辑错误、涉及的规范及标准错误、项目名称或实施地点区域错误、内容简略不够详细或与本项目无关等。</w:t>
            </w:r>
          </w:p>
        </w:tc>
      </w:tr>
      <w:tr w14:paraId="0802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5" w:hRule="atLeast"/>
          <w:jc w:val="center"/>
        </w:trPr>
        <w:tc>
          <w:tcPr>
            <w:tcW w:w="1074" w:type="dxa"/>
            <w:vMerge w:val="continue"/>
            <w:tcBorders>
              <w:left w:val="single" w:color="auto" w:sz="4" w:space="0"/>
              <w:right w:val="single" w:color="auto" w:sz="4" w:space="0"/>
            </w:tcBorders>
            <w:noWrap w:val="0"/>
            <w:vAlign w:val="center"/>
          </w:tcPr>
          <w:p w14:paraId="25C3F13D">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p>
        </w:tc>
        <w:tc>
          <w:tcPr>
            <w:tcW w:w="1273" w:type="dxa"/>
            <w:tcBorders>
              <w:top w:val="single" w:color="auto" w:sz="4" w:space="0"/>
              <w:left w:val="single" w:color="auto" w:sz="4" w:space="0"/>
              <w:right w:val="single" w:color="auto" w:sz="4" w:space="0"/>
            </w:tcBorders>
            <w:noWrap w:val="0"/>
            <w:vAlign w:val="center"/>
          </w:tcPr>
          <w:p w14:paraId="73CB09ED">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培训</w:t>
            </w:r>
          </w:p>
          <w:p w14:paraId="0827513F">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A56AB9E">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7分</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521590BD">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GB" w:eastAsia="zh-CN"/>
              </w:rPr>
            </w:pPr>
            <w:r>
              <w:rPr>
                <w:rFonts w:hint="eastAsia" w:ascii="仿宋" w:hAnsi="仿宋" w:eastAsia="仿宋" w:cs="仿宋"/>
                <w:sz w:val="24"/>
                <w:szCs w:val="24"/>
                <w:highlight w:val="none"/>
                <w:lang w:val="en-US" w:eastAsia="zh-CN"/>
              </w:rPr>
              <w:t>培训方案一般内容包括但不限于：1.培训的时间、地点、频率；2.培训师资配备；3.培训教材；主要内容包括但不限于:A.</w:t>
            </w:r>
            <w:r>
              <w:rPr>
                <w:rFonts w:hint="eastAsia" w:ascii="仿宋" w:hAnsi="仿宋" w:eastAsia="仿宋" w:cs="仿宋"/>
                <w:sz w:val="24"/>
                <w:szCs w:val="24"/>
                <w:highlight w:val="none"/>
                <w:lang w:val="en-GB" w:eastAsia="zh-CN"/>
              </w:rPr>
              <w:t>技术操作；</w:t>
            </w: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lang w:val="en-GB" w:eastAsia="zh-CN"/>
              </w:rPr>
              <w:t>技术原理讲解。</w:t>
            </w:r>
          </w:p>
          <w:p w14:paraId="4DE7AC22">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GB" w:eastAsia="zh-CN"/>
              </w:rPr>
            </w:pPr>
            <w:r>
              <w:rPr>
                <w:rFonts w:hint="eastAsia" w:ascii="仿宋" w:hAnsi="仿宋" w:eastAsia="仿宋" w:cs="仿宋"/>
                <w:sz w:val="24"/>
                <w:szCs w:val="24"/>
                <w:highlight w:val="none"/>
                <w:lang w:val="en-GB" w:eastAsia="zh-CN"/>
              </w:rPr>
              <w:t>要求：一般内容全面，科学可行。主要内容技术操作培训示范性强，能够全面地深入浅出地讲解技术原理，对技术操作的步骤、程序、注意事项细化分类。</w:t>
            </w:r>
          </w:p>
          <w:p w14:paraId="3E3386B6">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以上1-3三项一般培训内容内容齐全、无缺陷的得满分3分，每缺少一项内容扣1分；每项内容中每有一处错误或缺陷的扣0.5分，扣完为止。</w:t>
            </w:r>
          </w:p>
          <w:p w14:paraId="39996771">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以上A、B二项主要培训内容内容齐全、无缺陷的得满分4分，每缺少一项内容扣2分；每项内容中每有一处错误或缺陷的扣1分，扣完为止。</w:t>
            </w:r>
          </w:p>
          <w:p w14:paraId="729214CB">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GB" w:eastAsia="zh-CN"/>
              </w:rPr>
              <w:t xml:space="preserve"> </w:t>
            </w:r>
            <w:r>
              <w:rPr>
                <w:rFonts w:hint="eastAsia" w:ascii="仿宋" w:hAnsi="仿宋" w:eastAsia="仿宋" w:cs="仿宋"/>
                <w:sz w:val="24"/>
                <w:szCs w:val="24"/>
                <w:highlight w:val="none"/>
                <w:lang w:val="en-US" w:eastAsia="zh-CN"/>
              </w:rPr>
              <w:t>错误或缺陷是指：对项目的具体内容阐述不全面、不符合项目实际情况、无法满足采购需求，前后内容不一致、缺少针对性、前后逻辑错误、涉及的规范及标准错误、项目名称或实施地点区域错误、内容简略不够详细或与本项目无关等。</w:t>
            </w:r>
          </w:p>
        </w:tc>
      </w:tr>
      <w:bookmarkEnd w:id="266"/>
      <w:tr w14:paraId="1865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7" w:type="dxa"/>
            <w:gridSpan w:val="2"/>
            <w:noWrap w:val="0"/>
            <w:vAlign w:val="center"/>
          </w:tcPr>
          <w:p w14:paraId="623AAC1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合计</w:t>
            </w:r>
          </w:p>
        </w:tc>
        <w:tc>
          <w:tcPr>
            <w:tcW w:w="927" w:type="dxa"/>
            <w:noWrap w:val="0"/>
            <w:vAlign w:val="center"/>
          </w:tcPr>
          <w:p w14:paraId="3A5A4D77">
            <w:pPr>
              <w:keepNext w:val="0"/>
              <w:keepLines w:val="0"/>
              <w:pageBreakBefore w:val="0"/>
              <w:widowControl w:val="0"/>
              <w:kinsoku/>
              <w:wordWrap/>
              <w:overflowPunct/>
              <w:topLinePunct w:val="0"/>
              <w:autoSpaceDE/>
              <w:autoSpaceDN/>
              <w:bidi w:val="0"/>
              <w:adjustRightInd w:val="0"/>
              <w:snapToGrid w:val="0"/>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100</w:t>
            </w:r>
            <w:r>
              <w:rPr>
                <w:rFonts w:hint="eastAsia" w:ascii="仿宋" w:hAnsi="仿宋" w:eastAsia="仿宋" w:cs="仿宋"/>
                <w:sz w:val="24"/>
                <w:szCs w:val="24"/>
                <w:highlight w:val="none"/>
                <w:lang w:val="en-US" w:eastAsia="zh-CN"/>
              </w:rPr>
              <w:t>分</w:t>
            </w:r>
          </w:p>
        </w:tc>
        <w:tc>
          <w:tcPr>
            <w:tcW w:w="6720" w:type="dxa"/>
            <w:noWrap w:val="0"/>
            <w:vAlign w:val="center"/>
          </w:tcPr>
          <w:p w14:paraId="76ADD603">
            <w:pPr>
              <w:keepNext w:val="0"/>
              <w:keepLines w:val="0"/>
              <w:pageBreakBefore w:val="0"/>
              <w:widowControl w:val="0"/>
              <w:kinsoku/>
              <w:wordWrap/>
              <w:overflowPunct/>
              <w:topLinePunct w:val="0"/>
              <w:autoSpaceDE/>
              <w:autoSpaceDN/>
              <w:bidi w:val="0"/>
              <w:adjustRightInd w:val="0"/>
              <w:snapToGrid w:val="0"/>
              <w:ind w:left="0" w:right="0" w:firstLine="0" w:firstLineChars="0"/>
              <w:jc w:val="left"/>
              <w:textAlignment w:val="auto"/>
              <w:rPr>
                <w:rFonts w:hint="eastAsia" w:ascii="仿宋" w:hAnsi="仿宋" w:eastAsia="仿宋" w:cs="仿宋"/>
                <w:sz w:val="24"/>
                <w:szCs w:val="24"/>
                <w:highlight w:val="none"/>
                <w:lang w:val="en-US" w:eastAsia="zh-CN"/>
              </w:rPr>
            </w:pPr>
          </w:p>
        </w:tc>
      </w:tr>
    </w:tbl>
    <w:p w14:paraId="58BFD6FF">
      <w:pPr>
        <w:tabs>
          <w:tab w:val="left" w:pos="360"/>
          <w:tab w:val="left" w:pos="1080"/>
        </w:tabs>
        <w:snapToGrid w:val="0"/>
        <w:spacing w:line="360" w:lineRule="auto"/>
        <w:ind w:left="1080"/>
        <w:rPr>
          <w:rFonts w:hint="eastAsia" w:ascii="仿宋" w:hAnsi="仿宋" w:eastAsia="仿宋" w:cs="仿宋"/>
          <w:color w:val="000000"/>
          <w:sz w:val="24"/>
          <w:highlight w:val="none"/>
        </w:rPr>
      </w:pPr>
    </w:p>
    <w:p w14:paraId="27419A9D">
      <w:pPr>
        <w:widowControl/>
        <w:jc w:val="left"/>
        <w:rPr>
          <w:rFonts w:hint="eastAsia" w:ascii="仿宋" w:hAnsi="仿宋" w:eastAsia="仿宋" w:cs="仿宋"/>
          <w:b/>
          <w:sz w:val="36"/>
          <w:szCs w:val="36"/>
          <w:highlight w:val="none"/>
        </w:rPr>
      </w:pPr>
    </w:p>
    <w:p w14:paraId="51C6659F">
      <w:pPr>
        <w:spacing w:line="360" w:lineRule="auto"/>
        <w:jc w:val="center"/>
        <w:outlineLvl w:val="0"/>
        <w:rPr>
          <w:rFonts w:hint="eastAsia" w:ascii="仿宋" w:hAnsi="仿宋" w:eastAsia="仿宋" w:cs="仿宋"/>
          <w:sz w:val="24"/>
          <w:highlight w:val="none"/>
        </w:rPr>
      </w:pPr>
      <w:r>
        <w:rPr>
          <w:rFonts w:hint="eastAsia" w:ascii="仿宋" w:hAnsi="仿宋" w:eastAsia="仿宋" w:cs="仿宋"/>
          <w:b/>
          <w:sz w:val="36"/>
          <w:szCs w:val="36"/>
          <w:highlight w:val="none"/>
        </w:rPr>
        <w:br w:type="page"/>
      </w:r>
      <w:bookmarkStart w:id="267" w:name="_Toc19178"/>
      <w:r>
        <w:rPr>
          <w:rFonts w:hint="eastAsia" w:ascii="仿宋" w:hAnsi="仿宋" w:eastAsia="仿宋" w:cs="仿宋"/>
          <w:b/>
          <w:sz w:val="36"/>
          <w:szCs w:val="36"/>
          <w:highlight w:val="none"/>
        </w:rPr>
        <w:t>第五章   采购需求</w:t>
      </w:r>
      <w:bookmarkEnd w:id="267"/>
    </w:p>
    <w:p w14:paraId="1B34EDAA">
      <w:pPr>
        <w:pStyle w:val="168"/>
        <w:numPr>
          <w:ilvl w:val="0"/>
          <w:numId w:val="0"/>
        </w:numPr>
        <w:spacing w:line="360" w:lineRule="auto"/>
        <w:ind w:left="500" w:leftChars="0" w:right="62" w:rightChars="0" w:hanging="500" w:firstLineChars="0"/>
        <w:contextualSpacing/>
        <w:rPr>
          <w:rFonts w:hint="eastAsia" w:ascii="仿宋" w:hAnsi="仿宋" w:eastAsia="仿宋" w:cs="仿宋"/>
          <w:b/>
          <w:sz w:val="24"/>
          <w:szCs w:val="24"/>
          <w:highlight w:val="none"/>
        </w:rPr>
      </w:pPr>
      <w:r>
        <w:rPr>
          <w:rFonts w:hint="eastAsia" w:ascii="仿宋" w:hAnsi="仿宋" w:eastAsia="仿宋" w:cs="仿宋"/>
          <w:b/>
          <w:kern w:val="2"/>
          <w:sz w:val="24"/>
          <w:szCs w:val="24"/>
          <w:lang w:val="en-US" w:eastAsia="zh-CN" w:bidi="ar-SA"/>
        </w:rPr>
        <w:t>一、</w:t>
      </w:r>
      <w:r>
        <w:rPr>
          <w:rFonts w:hint="eastAsia" w:ascii="仿宋" w:hAnsi="仿宋" w:eastAsia="仿宋" w:cs="仿宋"/>
          <w:b/>
          <w:sz w:val="24"/>
          <w:szCs w:val="24"/>
          <w:highlight w:val="none"/>
        </w:rPr>
        <w:t>采购标的</w:t>
      </w:r>
    </w:p>
    <w:p w14:paraId="731B5A11">
      <w:pPr>
        <w:pStyle w:val="168"/>
        <w:numPr>
          <w:ilvl w:val="0"/>
          <w:numId w:val="0"/>
        </w:numPr>
        <w:spacing w:line="360" w:lineRule="auto"/>
        <w:ind w:right="62" w:rightChars="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配种站采购器材</w:t>
      </w:r>
    </w:p>
    <w:p w14:paraId="13C2BA68">
      <w:pPr>
        <w:pStyle w:val="168"/>
        <w:numPr>
          <w:ilvl w:val="0"/>
          <w:numId w:val="0"/>
        </w:numPr>
        <w:spacing w:line="360" w:lineRule="auto"/>
        <w:ind w:right="62" w:rightChars="0" w:firstLine="482" w:firstLineChars="200"/>
        <w:contextualSpacing/>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一是对新建20个多功能服务网点，每个配种站采购相关器材1组27类，二是主要对已运行41个点位采购配种器材，每个点位1组27类，三是对两个提升改造服务网点采购相关器材1组27类</w:t>
      </w:r>
      <w:r>
        <w:rPr>
          <w:rFonts w:hint="eastAsia" w:ascii="仿宋" w:hAnsi="仿宋" w:eastAsia="仿宋" w:cs="仿宋"/>
          <w:b/>
          <w:sz w:val="24"/>
          <w:szCs w:val="24"/>
          <w:highlight w:val="none"/>
          <w:lang w:eastAsia="zh-CN"/>
        </w:rPr>
        <w:t>。</w:t>
      </w:r>
    </w:p>
    <w:tbl>
      <w:tblPr>
        <w:tblStyle w:val="7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442"/>
        <w:gridCol w:w="5370"/>
        <w:gridCol w:w="765"/>
        <w:gridCol w:w="793"/>
        <w:gridCol w:w="788"/>
      </w:tblGrid>
      <w:tr w14:paraId="54F4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B1D104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序号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D7EE98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设备名称</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E40546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规格参数</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8DFC4A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数量</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854406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套数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6E755C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备注</w:t>
            </w:r>
          </w:p>
        </w:tc>
      </w:tr>
      <w:tr w14:paraId="49A1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5A9192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2BAAF4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冰箱</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6BD9B585">
            <w:pPr>
              <w:keepNext w:val="0"/>
              <w:keepLines w:val="0"/>
              <w:pageBreakBefore w:val="0"/>
              <w:widowControl/>
              <w:numPr>
                <w:ilvl w:val="0"/>
                <w:numId w:val="0"/>
              </w:numPr>
              <w:suppressLineNumbers w:val="0"/>
              <w:kinsoku/>
              <w:wordWrap w:val="0"/>
              <w:overflowPunct/>
              <w:topLinePunct w:val="0"/>
              <w:bidi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lang w:val="en-US" w:eastAsia="zh-CN" w:bidi="ar"/>
              </w:rPr>
              <w:t>1.</w:t>
            </w:r>
            <w:r>
              <w:rPr>
                <w:rFonts w:hint="eastAsia" w:ascii="仿宋" w:hAnsi="仿宋" w:eastAsia="仿宋" w:cs="仿宋"/>
                <w:b w:val="0"/>
                <w:i w:val="0"/>
                <w:iCs w:val="0"/>
                <w:color w:val="auto"/>
                <w:kern w:val="0"/>
                <w:sz w:val="22"/>
                <w:szCs w:val="22"/>
                <w:highlight w:val="none"/>
                <w:u w:val="none"/>
                <w:lang w:val="en-US" w:eastAsia="zh-CN" w:bidi="ar"/>
              </w:rPr>
              <w:t>立体式，上下单开门，灰色。</w:t>
            </w:r>
          </w:p>
          <w:p w14:paraId="6137B76B">
            <w:pPr>
              <w:keepNext w:val="0"/>
              <w:keepLines w:val="0"/>
              <w:pageBreakBefore w:val="0"/>
              <w:widowControl/>
              <w:numPr>
                <w:ilvl w:val="0"/>
                <w:numId w:val="0"/>
              </w:numPr>
              <w:suppressLineNumbers w:val="0"/>
              <w:kinsoku/>
              <w:wordWrap w:val="0"/>
              <w:overflowPunct/>
              <w:topLinePunct w:val="0"/>
              <w:bidi w:val="0"/>
              <w:ind w:leftChars="0" w:right="62" w:right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2.冷藏178L，冷冻94L，总容积272L。</w:t>
            </w:r>
          </w:p>
          <w:p w14:paraId="5FE341E4">
            <w:pPr>
              <w:keepNext w:val="0"/>
              <w:keepLines w:val="0"/>
              <w:pageBreakBefore w:val="0"/>
              <w:widowControl/>
              <w:numPr>
                <w:ilvl w:val="0"/>
                <w:numId w:val="0"/>
              </w:numPr>
              <w:suppressLineNumbers w:val="0"/>
              <w:kinsoku/>
              <w:wordWrap w:val="0"/>
              <w:overflowPunct/>
              <w:topLinePunct w:val="0"/>
              <w:bidi w:val="0"/>
              <w:ind w:leftChars="0" w:right="62" w:right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3.尺寸590*645*1722mm。</w:t>
            </w:r>
          </w:p>
          <w:p w14:paraId="7E85170E">
            <w:pPr>
              <w:keepNext w:val="0"/>
              <w:keepLines w:val="0"/>
              <w:pageBreakBefore w:val="0"/>
              <w:widowControl/>
              <w:numPr>
                <w:ilvl w:val="0"/>
                <w:numId w:val="0"/>
              </w:numPr>
              <w:suppressLineNumbers w:val="0"/>
              <w:kinsoku/>
              <w:wordWrap w:val="0"/>
              <w:overflowPunct/>
              <w:topLinePunct w:val="0"/>
              <w:bidi w:val="0"/>
              <w:ind w:leftChars="0" w:right="62" w:right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4.0.67度/天</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F24CD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896FE7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94CF22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F1A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000000" w:sz="8" w:space="0"/>
              <w:bottom w:val="single" w:color="000000" w:sz="8" w:space="0"/>
              <w:right w:val="single" w:color="000000" w:sz="8" w:space="0"/>
            </w:tcBorders>
            <w:noWrap w:val="0"/>
            <w:vAlign w:val="center"/>
          </w:tcPr>
          <w:p w14:paraId="0CCE562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w:t>
            </w:r>
          </w:p>
        </w:tc>
        <w:tc>
          <w:tcPr>
            <w:tcW w:w="1442" w:type="dxa"/>
            <w:tcBorders>
              <w:top w:val="single" w:color="auto" w:sz="4" w:space="0"/>
              <w:left w:val="single" w:color="000000" w:sz="8" w:space="0"/>
              <w:bottom w:val="single" w:color="000000" w:sz="8" w:space="0"/>
              <w:right w:val="single" w:color="000000" w:sz="8" w:space="0"/>
            </w:tcBorders>
            <w:noWrap w:val="0"/>
            <w:vAlign w:val="center"/>
          </w:tcPr>
          <w:p w14:paraId="6A6DBA0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电热干燥箱</w:t>
            </w:r>
          </w:p>
        </w:tc>
        <w:tc>
          <w:tcPr>
            <w:tcW w:w="5370" w:type="dxa"/>
            <w:tcBorders>
              <w:top w:val="single" w:color="auto" w:sz="4" w:space="0"/>
              <w:left w:val="single" w:color="000000" w:sz="8" w:space="0"/>
              <w:bottom w:val="single" w:color="000000" w:sz="8" w:space="0"/>
              <w:right w:val="single" w:color="000000" w:sz="8" w:space="0"/>
            </w:tcBorders>
            <w:noWrap w:val="0"/>
            <w:vAlign w:val="center"/>
          </w:tcPr>
          <w:p w14:paraId="28FF430D">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101-1S，内外全不锈钢</w:t>
            </w:r>
          </w:p>
        </w:tc>
        <w:tc>
          <w:tcPr>
            <w:tcW w:w="765" w:type="dxa"/>
            <w:tcBorders>
              <w:top w:val="single" w:color="auto" w:sz="4" w:space="0"/>
              <w:left w:val="single" w:color="000000" w:sz="8" w:space="0"/>
              <w:bottom w:val="single" w:color="000000" w:sz="8" w:space="0"/>
              <w:right w:val="single" w:color="000000" w:sz="8" w:space="0"/>
            </w:tcBorders>
            <w:noWrap w:val="0"/>
            <w:vAlign w:val="center"/>
          </w:tcPr>
          <w:p w14:paraId="3D10011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single" w:color="auto" w:sz="4" w:space="0"/>
              <w:left w:val="nil"/>
              <w:bottom w:val="single" w:color="000000" w:sz="8" w:space="0"/>
              <w:right w:val="single" w:color="000000" w:sz="8" w:space="0"/>
            </w:tcBorders>
            <w:noWrap w:val="0"/>
            <w:vAlign w:val="center"/>
          </w:tcPr>
          <w:p w14:paraId="51DDCD3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nil"/>
              <w:bottom w:val="single" w:color="000000" w:sz="8" w:space="0"/>
              <w:right w:val="single" w:color="000000" w:sz="8" w:space="0"/>
            </w:tcBorders>
            <w:noWrap w:val="0"/>
            <w:vAlign w:val="center"/>
          </w:tcPr>
          <w:p w14:paraId="5533188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3F5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nil"/>
              <w:left w:val="single" w:color="000000" w:sz="8" w:space="0"/>
              <w:bottom w:val="single" w:color="000000" w:sz="8" w:space="0"/>
              <w:right w:val="single" w:color="000000" w:sz="8" w:space="0"/>
            </w:tcBorders>
            <w:noWrap w:val="0"/>
            <w:vAlign w:val="center"/>
          </w:tcPr>
          <w:p w14:paraId="6F77967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w:t>
            </w:r>
          </w:p>
        </w:tc>
        <w:tc>
          <w:tcPr>
            <w:tcW w:w="1442" w:type="dxa"/>
            <w:tcBorders>
              <w:top w:val="nil"/>
              <w:left w:val="single" w:color="000000" w:sz="8" w:space="0"/>
              <w:bottom w:val="single" w:color="000000" w:sz="8" w:space="0"/>
              <w:right w:val="single" w:color="000000" w:sz="8" w:space="0"/>
            </w:tcBorders>
            <w:noWrap w:val="0"/>
            <w:vAlign w:val="center"/>
          </w:tcPr>
          <w:p w14:paraId="1F8EB79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台式水浴锅</w:t>
            </w:r>
          </w:p>
        </w:tc>
        <w:tc>
          <w:tcPr>
            <w:tcW w:w="5370" w:type="dxa"/>
            <w:tcBorders>
              <w:top w:val="nil"/>
              <w:left w:val="single" w:color="000000" w:sz="8" w:space="0"/>
              <w:bottom w:val="single" w:color="000000" w:sz="8" w:space="0"/>
              <w:right w:val="single" w:color="000000" w:sz="8" w:space="0"/>
            </w:tcBorders>
            <w:noWrap w:val="0"/>
            <w:vAlign w:val="center"/>
          </w:tcPr>
          <w:p w14:paraId="2BCAB9AA">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实验室不锈钢防干烧水浴锅， 数显定时款，四孔</w:t>
            </w:r>
          </w:p>
        </w:tc>
        <w:tc>
          <w:tcPr>
            <w:tcW w:w="765" w:type="dxa"/>
            <w:tcBorders>
              <w:top w:val="nil"/>
              <w:left w:val="single" w:color="000000" w:sz="8" w:space="0"/>
              <w:bottom w:val="single" w:color="000000" w:sz="8" w:space="0"/>
              <w:right w:val="single" w:color="000000" w:sz="8" w:space="0"/>
            </w:tcBorders>
            <w:noWrap w:val="0"/>
            <w:vAlign w:val="center"/>
          </w:tcPr>
          <w:p w14:paraId="0B2AF54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nil"/>
              <w:left w:val="nil"/>
              <w:bottom w:val="single" w:color="000000" w:sz="8" w:space="0"/>
              <w:right w:val="single" w:color="000000" w:sz="8" w:space="0"/>
            </w:tcBorders>
            <w:noWrap w:val="0"/>
            <w:vAlign w:val="center"/>
          </w:tcPr>
          <w:p w14:paraId="14CB701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50B62C3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A3A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nil"/>
              <w:left w:val="single" w:color="000000" w:sz="8" w:space="0"/>
              <w:bottom w:val="single" w:color="000000" w:sz="8" w:space="0"/>
              <w:right w:val="single" w:color="000000" w:sz="8" w:space="0"/>
            </w:tcBorders>
            <w:noWrap w:val="0"/>
            <w:vAlign w:val="center"/>
          </w:tcPr>
          <w:p w14:paraId="45CAE1F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4</w:t>
            </w:r>
          </w:p>
        </w:tc>
        <w:tc>
          <w:tcPr>
            <w:tcW w:w="1442" w:type="dxa"/>
            <w:tcBorders>
              <w:top w:val="nil"/>
              <w:left w:val="single" w:color="000000" w:sz="8" w:space="0"/>
              <w:bottom w:val="single" w:color="000000" w:sz="8" w:space="0"/>
              <w:right w:val="single" w:color="000000" w:sz="8" w:space="0"/>
            </w:tcBorders>
            <w:noWrap w:val="0"/>
            <w:vAlign w:val="center"/>
          </w:tcPr>
          <w:p w14:paraId="4D192B1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高压锅</w:t>
            </w:r>
          </w:p>
        </w:tc>
        <w:tc>
          <w:tcPr>
            <w:tcW w:w="5370" w:type="dxa"/>
            <w:tcBorders>
              <w:top w:val="nil"/>
              <w:left w:val="single" w:color="000000" w:sz="8" w:space="0"/>
              <w:bottom w:val="single" w:color="000000" w:sz="8" w:space="0"/>
              <w:right w:val="single" w:color="000000" w:sz="8" w:space="0"/>
            </w:tcBorders>
            <w:noWrap w:val="0"/>
            <w:vAlign w:val="center"/>
          </w:tcPr>
          <w:p w14:paraId="58F00DD3">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电用18L（实验室），三阀防干烧（螺栓款），</w:t>
            </w:r>
          </w:p>
        </w:tc>
        <w:tc>
          <w:tcPr>
            <w:tcW w:w="765" w:type="dxa"/>
            <w:tcBorders>
              <w:top w:val="nil"/>
              <w:left w:val="single" w:color="000000" w:sz="8" w:space="0"/>
              <w:bottom w:val="single" w:color="000000" w:sz="8" w:space="0"/>
              <w:right w:val="single" w:color="000000" w:sz="8" w:space="0"/>
            </w:tcBorders>
            <w:noWrap w:val="0"/>
            <w:vAlign w:val="center"/>
          </w:tcPr>
          <w:p w14:paraId="1A1B3F3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nil"/>
              <w:left w:val="nil"/>
              <w:bottom w:val="single" w:color="000000" w:sz="8" w:space="0"/>
              <w:right w:val="single" w:color="000000" w:sz="8" w:space="0"/>
            </w:tcBorders>
            <w:noWrap w:val="0"/>
            <w:vAlign w:val="center"/>
          </w:tcPr>
          <w:p w14:paraId="79B9712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263D724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55C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nil"/>
              <w:left w:val="single" w:color="000000" w:sz="8" w:space="0"/>
              <w:bottom w:val="single" w:color="auto" w:sz="4" w:space="0"/>
              <w:right w:val="single" w:color="000000" w:sz="8" w:space="0"/>
            </w:tcBorders>
            <w:noWrap w:val="0"/>
            <w:vAlign w:val="center"/>
          </w:tcPr>
          <w:p w14:paraId="7E9214D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5</w:t>
            </w:r>
          </w:p>
        </w:tc>
        <w:tc>
          <w:tcPr>
            <w:tcW w:w="1442" w:type="dxa"/>
            <w:tcBorders>
              <w:top w:val="nil"/>
              <w:left w:val="single" w:color="000000" w:sz="8" w:space="0"/>
              <w:bottom w:val="single" w:color="auto" w:sz="4" w:space="0"/>
              <w:right w:val="single" w:color="000000" w:sz="8" w:space="0"/>
            </w:tcBorders>
            <w:noWrap w:val="0"/>
            <w:vAlign w:val="center"/>
          </w:tcPr>
          <w:p w14:paraId="05178E3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显微镜</w:t>
            </w:r>
          </w:p>
        </w:tc>
        <w:tc>
          <w:tcPr>
            <w:tcW w:w="5370" w:type="dxa"/>
            <w:tcBorders>
              <w:top w:val="nil"/>
              <w:left w:val="single" w:color="000000" w:sz="8" w:space="0"/>
              <w:bottom w:val="single" w:color="auto" w:sz="4" w:space="0"/>
              <w:right w:val="single" w:color="000000" w:sz="8" w:space="0"/>
            </w:tcBorders>
            <w:noWrap w:val="0"/>
            <w:vAlign w:val="center"/>
          </w:tcPr>
          <w:p w14:paraId="0D09ED83">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电光源，双目，2500倍。</w:t>
            </w:r>
          </w:p>
        </w:tc>
        <w:tc>
          <w:tcPr>
            <w:tcW w:w="765" w:type="dxa"/>
            <w:tcBorders>
              <w:top w:val="nil"/>
              <w:left w:val="single" w:color="000000" w:sz="8" w:space="0"/>
              <w:bottom w:val="single" w:color="000000" w:sz="8" w:space="0"/>
              <w:right w:val="single" w:color="000000" w:sz="8" w:space="0"/>
            </w:tcBorders>
            <w:noWrap w:val="0"/>
            <w:vAlign w:val="center"/>
          </w:tcPr>
          <w:p w14:paraId="13FF8E4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nil"/>
              <w:left w:val="nil"/>
              <w:bottom w:val="single" w:color="000000" w:sz="8" w:space="0"/>
              <w:right w:val="single" w:color="000000" w:sz="8" w:space="0"/>
            </w:tcBorders>
            <w:noWrap w:val="0"/>
            <w:vAlign w:val="center"/>
          </w:tcPr>
          <w:p w14:paraId="0081B22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47C5547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291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DDB156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200AB6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恒温加热板</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4AA53D1B">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数显电热恒温加热板（实验室）， 预热台、 发热台、加热面积300*400MM</w:t>
            </w:r>
          </w:p>
        </w:tc>
        <w:tc>
          <w:tcPr>
            <w:tcW w:w="765" w:type="dxa"/>
            <w:tcBorders>
              <w:top w:val="nil"/>
              <w:left w:val="single" w:color="auto" w:sz="4" w:space="0"/>
              <w:bottom w:val="single" w:color="000000" w:sz="8" w:space="0"/>
              <w:right w:val="single" w:color="000000" w:sz="8" w:space="0"/>
            </w:tcBorders>
            <w:noWrap w:val="0"/>
            <w:vAlign w:val="center"/>
          </w:tcPr>
          <w:p w14:paraId="3A71490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nil"/>
              <w:left w:val="nil"/>
              <w:bottom w:val="single" w:color="000000" w:sz="8" w:space="0"/>
              <w:right w:val="single" w:color="000000" w:sz="8" w:space="0"/>
            </w:tcBorders>
            <w:noWrap w:val="0"/>
            <w:vAlign w:val="center"/>
          </w:tcPr>
          <w:p w14:paraId="2FD9D10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2DBD018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1336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5911C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7</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4CA6B6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保温运输箱</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641976B">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电源电池车电多用，10L-12L，3组电池，可冷藏36小时</w:t>
            </w:r>
          </w:p>
        </w:tc>
        <w:tc>
          <w:tcPr>
            <w:tcW w:w="765" w:type="dxa"/>
            <w:tcBorders>
              <w:top w:val="nil"/>
              <w:left w:val="single" w:color="auto" w:sz="4" w:space="0"/>
              <w:bottom w:val="single" w:color="000000" w:sz="8" w:space="0"/>
              <w:right w:val="single" w:color="000000" w:sz="8" w:space="0"/>
            </w:tcBorders>
            <w:noWrap w:val="0"/>
            <w:vAlign w:val="center"/>
          </w:tcPr>
          <w:p w14:paraId="418374A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 个</w:t>
            </w:r>
          </w:p>
        </w:tc>
        <w:tc>
          <w:tcPr>
            <w:tcW w:w="793" w:type="dxa"/>
            <w:tcBorders>
              <w:top w:val="nil"/>
              <w:left w:val="nil"/>
              <w:bottom w:val="single" w:color="000000" w:sz="8" w:space="0"/>
              <w:right w:val="single" w:color="000000" w:sz="8" w:space="0"/>
            </w:tcBorders>
            <w:noWrap w:val="0"/>
            <w:vAlign w:val="center"/>
          </w:tcPr>
          <w:p w14:paraId="59C4417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18EB2BB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23B9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5DDF3B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8</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02D72B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羊用采精设备</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0E7D90A6">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羊用采精筒，采精简内胎，采精筒气阀，羊采精杯，小皮筋，保温棉，大皮筋</w:t>
            </w:r>
          </w:p>
        </w:tc>
        <w:tc>
          <w:tcPr>
            <w:tcW w:w="765" w:type="dxa"/>
            <w:tcBorders>
              <w:top w:val="nil"/>
              <w:left w:val="single" w:color="auto" w:sz="4" w:space="0"/>
              <w:bottom w:val="single" w:color="000000" w:sz="8" w:space="0"/>
              <w:right w:val="single" w:color="000000" w:sz="8" w:space="0"/>
            </w:tcBorders>
            <w:noWrap w:val="0"/>
            <w:vAlign w:val="center"/>
          </w:tcPr>
          <w:p w14:paraId="4A2EE2E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5 套</w:t>
            </w:r>
          </w:p>
        </w:tc>
        <w:tc>
          <w:tcPr>
            <w:tcW w:w="793" w:type="dxa"/>
            <w:tcBorders>
              <w:top w:val="nil"/>
              <w:left w:val="nil"/>
              <w:bottom w:val="single" w:color="000000" w:sz="8" w:space="0"/>
              <w:right w:val="single" w:color="000000" w:sz="8" w:space="0"/>
            </w:tcBorders>
            <w:noWrap w:val="0"/>
            <w:vAlign w:val="center"/>
          </w:tcPr>
          <w:p w14:paraId="680FD10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1ABD2D3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B53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B13423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9</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17168D7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气阀开膣器</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047FBDA6">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开膣器（牛、羊各三个）</w:t>
            </w:r>
          </w:p>
        </w:tc>
        <w:tc>
          <w:tcPr>
            <w:tcW w:w="765" w:type="dxa"/>
            <w:tcBorders>
              <w:top w:val="nil"/>
              <w:left w:val="single" w:color="auto" w:sz="4" w:space="0"/>
              <w:bottom w:val="single" w:color="000000" w:sz="8" w:space="0"/>
              <w:right w:val="single" w:color="000000" w:sz="8" w:space="0"/>
            </w:tcBorders>
            <w:noWrap w:val="0"/>
            <w:vAlign w:val="center"/>
          </w:tcPr>
          <w:p w14:paraId="0AF6B15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 个</w:t>
            </w:r>
          </w:p>
        </w:tc>
        <w:tc>
          <w:tcPr>
            <w:tcW w:w="793" w:type="dxa"/>
            <w:tcBorders>
              <w:top w:val="nil"/>
              <w:left w:val="nil"/>
              <w:bottom w:val="single" w:color="000000" w:sz="8" w:space="0"/>
              <w:right w:val="single" w:color="000000" w:sz="8" w:space="0"/>
            </w:tcBorders>
            <w:noWrap w:val="0"/>
            <w:vAlign w:val="center"/>
          </w:tcPr>
          <w:p w14:paraId="1B23106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74C2BC4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53A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E0A5DA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10</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30E02D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羊用输精枪</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8B0D491">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便携式探杆可加热可视输精枪</w:t>
            </w:r>
          </w:p>
        </w:tc>
        <w:tc>
          <w:tcPr>
            <w:tcW w:w="765" w:type="dxa"/>
            <w:tcBorders>
              <w:top w:val="nil"/>
              <w:left w:val="single" w:color="auto" w:sz="4" w:space="0"/>
              <w:bottom w:val="single" w:color="000000" w:sz="8" w:space="0"/>
              <w:right w:val="single" w:color="000000" w:sz="8" w:space="0"/>
            </w:tcBorders>
            <w:noWrap w:val="0"/>
            <w:vAlign w:val="center"/>
          </w:tcPr>
          <w:p w14:paraId="3813627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0846F20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7DB7073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612A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5D8005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11</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B83E05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牛用输精枪</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4DDAF3B">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便携式探杆可加热可视输精枪</w:t>
            </w:r>
          </w:p>
        </w:tc>
        <w:tc>
          <w:tcPr>
            <w:tcW w:w="765" w:type="dxa"/>
            <w:tcBorders>
              <w:top w:val="nil"/>
              <w:left w:val="single" w:color="auto" w:sz="4" w:space="0"/>
              <w:bottom w:val="single" w:color="000000" w:sz="8" w:space="0"/>
              <w:right w:val="single" w:color="000000" w:sz="8" w:space="0"/>
            </w:tcBorders>
            <w:noWrap w:val="0"/>
            <w:vAlign w:val="center"/>
          </w:tcPr>
          <w:p w14:paraId="3AF19D5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15B1AF3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5D22F52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D8C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044C64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12</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B1A244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液氮罐</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04A9CB11">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30L,80mm口径</w:t>
            </w:r>
          </w:p>
        </w:tc>
        <w:tc>
          <w:tcPr>
            <w:tcW w:w="765" w:type="dxa"/>
            <w:tcBorders>
              <w:top w:val="nil"/>
              <w:left w:val="single" w:color="auto" w:sz="4" w:space="0"/>
              <w:bottom w:val="single" w:color="000000" w:sz="8" w:space="0"/>
              <w:right w:val="single" w:color="000000" w:sz="8" w:space="0"/>
            </w:tcBorders>
            <w:noWrap w:val="0"/>
            <w:vAlign w:val="center"/>
          </w:tcPr>
          <w:p w14:paraId="0A8BC71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4 个</w:t>
            </w:r>
          </w:p>
        </w:tc>
        <w:tc>
          <w:tcPr>
            <w:tcW w:w="793" w:type="dxa"/>
            <w:tcBorders>
              <w:top w:val="nil"/>
              <w:left w:val="nil"/>
              <w:bottom w:val="single" w:color="000000" w:sz="8" w:space="0"/>
              <w:right w:val="single" w:color="000000" w:sz="8" w:space="0"/>
            </w:tcBorders>
            <w:noWrap w:val="0"/>
            <w:vAlign w:val="center"/>
          </w:tcPr>
          <w:p w14:paraId="7587D11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32A01C6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21B1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561203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13</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F859F6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温度计</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50CA2F69">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棒式红水银温度计</w:t>
            </w:r>
          </w:p>
        </w:tc>
        <w:tc>
          <w:tcPr>
            <w:tcW w:w="765" w:type="dxa"/>
            <w:tcBorders>
              <w:top w:val="nil"/>
              <w:left w:val="single" w:color="auto" w:sz="4" w:space="0"/>
              <w:bottom w:val="single" w:color="000000" w:sz="8" w:space="0"/>
              <w:right w:val="single" w:color="000000" w:sz="8" w:space="0"/>
            </w:tcBorders>
            <w:noWrap w:val="0"/>
            <w:vAlign w:val="center"/>
          </w:tcPr>
          <w:p w14:paraId="2ED2612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 根</w:t>
            </w:r>
          </w:p>
        </w:tc>
        <w:tc>
          <w:tcPr>
            <w:tcW w:w="793" w:type="dxa"/>
            <w:tcBorders>
              <w:top w:val="nil"/>
              <w:left w:val="nil"/>
              <w:bottom w:val="single" w:color="000000" w:sz="8" w:space="0"/>
              <w:right w:val="single" w:color="000000" w:sz="8" w:space="0"/>
            </w:tcBorders>
            <w:noWrap w:val="0"/>
            <w:vAlign w:val="center"/>
          </w:tcPr>
          <w:p w14:paraId="6084B43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3CB22FC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0E57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25B1F2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14</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9FF40D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载玻片</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08F976F">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7101 50片/盒</w:t>
            </w:r>
          </w:p>
        </w:tc>
        <w:tc>
          <w:tcPr>
            <w:tcW w:w="765" w:type="dxa"/>
            <w:tcBorders>
              <w:top w:val="nil"/>
              <w:left w:val="single" w:color="auto" w:sz="4" w:space="0"/>
              <w:bottom w:val="single" w:color="000000" w:sz="8" w:space="0"/>
              <w:right w:val="single" w:color="000000" w:sz="8" w:space="0"/>
            </w:tcBorders>
            <w:noWrap w:val="0"/>
            <w:vAlign w:val="center"/>
          </w:tcPr>
          <w:p w14:paraId="3A12E46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 盒</w:t>
            </w:r>
          </w:p>
        </w:tc>
        <w:tc>
          <w:tcPr>
            <w:tcW w:w="793" w:type="dxa"/>
            <w:tcBorders>
              <w:top w:val="nil"/>
              <w:left w:val="nil"/>
              <w:bottom w:val="single" w:color="000000" w:sz="8" w:space="0"/>
              <w:right w:val="single" w:color="000000" w:sz="8" w:space="0"/>
            </w:tcBorders>
            <w:noWrap w:val="0"/>
            <w:vAlign w:val="center"/>
          </w:tcPr>
          <w:p w14:paraId="1D54FAA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496BC3A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3E74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C1D59F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15</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D4A4D4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盖玻片</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5B61D7D2">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20*20盖玻片</w:t>
            </w:r>
          </w:p>
        </w:tc>
        <w:tc>
          <w:tcPr>
            <w:tcW w:w="765" w:type="dxa"/>
            <w:tcBorders>
              <w:top w:val="nil"/>
              <w:left w:val="single" w:color="auto" w:sz="4" w:space="0"/>
              <w:bottom w:val="single" w:color="000000" w:sz="8" w:space="0"/>
              <w:right w:val="single" w:color="000000" w:sz="8" w:space="0"/>
            </w:tcBorders>
            <w:noWrap w:val="0"/>
            <w:vAlign w:val="center"/>
          </w:tcPr>
          <w:p w14:paraId="1F8AD46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盒</w:t>
            </w:r>
          </w:p>
        </w:tc>
        <w:tc>
          <w:tcPr>
            <w:tcW w:w="793" w:type="dxa"/>
            <w:tcBorders>
              <w:top w:val="nil"/>
              <w:left w:val="nil"/>
              <w:bottom w:val="single" w:color="000000" w:sz="8" w:space="0"/>
              <w:right w:val="single" w:color="000000" w:sz="8" w:space="0"/>
            </w:tcBorders>
            <w:noWrap w:val="0"/>
            <w:vAlign w:val="center"/>
          </w:tcPr>
          <w:p w14:paraId="014BAA2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084C555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43F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0D70F3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16</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22E3CC3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手电筒</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24DC4213">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可充电便捷式，超亮远射大功率LED多功能手提疝气探照灯</w:t>
            </w:r>
          </w:p>
        </w:tc>
        <w:tc>
          <w:tcPr>
            <w:tcW w:w="765" w:type="dxa"/>
            <w:tcBorders>
              <w:top w:val="nil"/>
              <w:left w:val="single" w:color="auto" w:sz="4" w:space="0"/>
              <w:bottom w:val="single" w:color="000000" w:sz="8" w:space="0"/>
              <w:right w:val="single" w:color="000000" w:sz="8" w:space="0"/>
            </w:tcBorders>
            <w:noWrap w:val="0"/>
            <w:vAlign w:val="center"/>
          </w:tcPr>
          <w:p w14:paraId="04AA663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5E15281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35EBF8C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317B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E0A0F0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17</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CB78DE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酒精灯</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28EFDA92">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25ml 酒精灯</w:t>
            </w:r>
          </w:p>
        </w:tc>
        <w:tc>
          <w:tcPr>
            <w:tcW w:w="765" w:type="dxa"/>
            <w:tcBorders>
              <w:top w:val="nil"/>
              <w:left w:val="single" w:color="auto" w:sz="4" w:space="0"/>
              <w:bottom w:val="single" w:color="000000" w:sz="8" w:space="0"/>
              <w:right w:val="single" w:color="000000" w:sz="8" w:space="0"/>
            </w:tcBorders>
            <w:noWrap w:val="0"/>
            <w:vAlign w:val="center"/>
          </w:tcPr>
          <w:p w14:paraId="6437051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1FFD280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6E0ED02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24FF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CB51DB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18</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4CC48D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紫外线</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25343D3C">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20W</w:t>
            </w:r>
          </w:p>
        </w:tc>
        <w:tc>
          <w:tcPr>
            <w:tcW w:w="765" w:type="dxa"/>
            <w:tcBorders>
              <w:top w:val="nil"/>
              <w:left w:val="single" w:color="auto" w:sz="4" w:space="0"/>
              <w:bottom w:val="single" w:color="000000" w:sz="8" w:space="0"/>
              <w:right w:val="single" w:color="000000" w:sz="8" w:space="0"/>
            </w:tcBorders>
            <w:noWrap w:val="0"/>
            <w:vAlign w:val="center"/>
          </w:tcPr>
          <w:p w14:paraId="21EA53A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3个</w:t>
            </w:r>
          </w:p>
        </w:tc>
        <w:tc>
          <w:tcPr>
            <w:tcW w:w="793" w:type="dxa"/>
            <w:tcBorders>
              <w:top w:val="nil"/>
              <w:left w:val="nil"/>
              <w:bottom w:val="single" w:color="000000" w:sz="8" w:space="0"/>
              <w:right w:val="single" w:color="000000" w:sz="8" w:space="0"/>
            </w:tcBorders>
            <w:noWrap w:val="0"/>
            <w:vAlign w:val="center"/>
          </w:tcPr>
          <w:p w14:paraId="018BD98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3851C8E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3AAF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2C928A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19</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11D4E5B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长镊子</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759DEE9">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20CM</w:t>
            </w:r>
          </w:p>
        </w:tc>
        <w:tc>
          <w:tcPr>
            <w:tcW w:w="765" w:type="dxa"/>
            <w:tcBorders>
              <w:top w:val="nil"/>
              <w:left w:val="single" w:color="auto" w:sz="4" w:space="0"/>
              <w:bottom w:val="single" w:color="000000" w:sz="8" w:space="0"/>
              <w:right w:val="single" w:color="000000" w:sz="8" w:space="0"/>
            </w:tcBorders>
            <w:noWrap w:val="0"/>
            <w:vAlign w:val="center"/>
          </w:tcPr>
          <w:p w14:paraId="1C74636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4CCFED3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08F4365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4EA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867B73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1C8D45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白瓷盘</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60335168">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带盖 30长* 20宽*5高 cm</w:t>
            </w:r>
          </w:p>
        </w:tc>
        <w:tc>
          <w:tcPr>
            <w:tcW w:w="765" w:type="dxa"/>
            <w:tcBorders>
              <w:top w:val="nil"/>
              <w:left w:val="single" w:color="auto" w:sz="4" w:space="0"/>
              <w:bottom w:val="single" w:color="000000" w:sz="8" w:space="0"/>
              <w:right w:val="single" w:color="000000" w:sz="8" w:space="0"/>
            </w:tcBorders>
            <w:noWrap w:val="0"/>
            <w:vAlign w:val="center"/>
          </w:tcPr>
          <w:p w14:paraId="1AEFC5B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1BD8202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3076685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CEC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4E80AD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21</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DA5C96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头灯</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E8BAE95">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锂电池充电头灯</w:t>
            </w:r>
          </w:p>
        </w:tc>
        <w:tc>
          <w:tcPr>
            <w:tcW w:w="765" w:type="dxa"/>
            <w:tcBorders>
              <w:top w:val="nil"/>
              <w:left w:val="single" w:color="auto" w:sz="4" w:space="0"/>
              <w:bottom w:val="single" w:color="000000" w:sz="8" w:space="0"/>
              <w:right w:val="single" w:color="000000" w:sz="8" w:space="0"/>
            </w:tcBorders>
            <w:noWrap w:val="0"/>
            <w:vAlign w:val="center"/>
          </w:tcPr>
          <w:p w14:paraId="358D52A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个</w:t>
            </w:r>
          </w:p>
        </w:tc>
        <w:tc>
          <w:tcPr>
            <w:tcW w:w="793" w:type="dxa"/>
            <w:tcBorders>
              <w:top w:val="nil"/>
              <w:left w:val="nil"/>
              <w:bottom w:val="single" w:color="000000" w:sz="8" w:space="0"/>
              <w:right w:val="single" w:color="000000" w:sz="8" w:space="0"/>
            </w:tcBorders>
            <w:noWrap w:val="0"/>
            <w:vAlign w:val="center"/>
          </w:tcPr>
          <w:p w14:paraId="02B3717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1DA11B3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60D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4C6E4E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22</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2EBC971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烧杯</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F14AB4D">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200ml</w:t>
            </w:r>
          </w:p>
        </w:tc>
        <w:tc>
          <w:tcPr>
            <w:tcW w:w="765" w:type="dxa"/>
            <w:tcBorders>
              <w:top w:val="nil"/>
              <w:left w:val="single" w:color="auto" w:sz="4" w:space="0"/>
              <w:bottom w:val="single" w:color="000000" w:sz="8" w:space="0"/>
              <w:right w:val="single" w:color="000000" w:sz="8" w:space="0"/>
            </w:tcBorders>
            <w:noWrap w:val="0"/>
            <w:vAlign w:val="center"/>
          </w:tcPr>
          <w:p w14:paraId="02D92F4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4 个</w:t>
            </w:r>
          </w:p>
        </w:tc>
        <w:tc>
          <w:tcPr>
            <w:tcW w:w="793" w:type="dxa"/>
            <w:tcBorders>
              <w:top w:val="nil"/>
              <w:left w:val="nil"/>
              <w:bottom w:val="single" w:color="000000" w:sz="8" w:space="0"/>
              <w:right w:val="single" w:color="000000" w:sz="8" w:space="0"/>
            </w:tcBorders>
            <w:noWrap w:val="0"/>
            <w:vAlign w:val="center"/>
          </w:tcPr>
          <w:p w14:paraId="02E57A8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000000" w:sz="8" w:space="0"/>
              <w:right w:val="single" w:color="000000" w:sz="8" w:space="0"/>
            </w:tcBorders>
            <w:noWrap w:val="0"/>
            <w:vAlign w:val="center"/>
          </w:tcPr>
          <w:p w14:paraId="2408903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4BD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DAB3B1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23</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A49A3A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酒精喷雾</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51FE9B07">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250ml/瓶</w:t>
            </w:r>
          </w:p>
        </w:tc>
        <w:tc>
          <w:tcPr>
            <w:tcW w:w="765" w:type="dxa"/>
            <w:tcBorders>
              <w:top w:val="nil"/>
              <w:left w:val="single" w:color="auto" w:sz="4" w:space="0"/>
              <w:bottom w:val="single" w:color="auto" w:sz="4" w:space="0"/>
              <w:right w:val="single" w:color="000000" w:sz="8" w:space="0"/>
            </w:tcBorders>
            <w:noWrap w:val="0"/>
            <w:vAlign w:val="center"/>
          </w:tcPr>
          <w:p w14:paraId="56A8FCC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 个</w:t>
            </w:r>
          </w:p>
        </w:tc>
        <w:tc>
          <w:tcPr>
            <w:tcW w:w="793" w:type="dxa"/>
            <w:tcBorders>
              <w:top w:val="nil"/>
              <w:left w:val="nil"/>
              <w:bottom w:val="single" w:color="auto" w:sz="4" w:space="0"/>
              <w:right w:val="single" w:color="000000" w:sz="8" w:space="0"/>
            </w:tcBorders>
            <w:noWrap w:val="0"/>
            <w:vAlign w:val="center"/>
          </w:tcPr>
          <w:p w14:paraId="14A6E79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nil"/>
              <w:left w:val="nil"/>
              <w:bottom w:val="single" w:color="auto" w:sz="4" w:space="0"/>
              <w:right w:val="single" w:color="000000" w:sz="8" w:space="0"/>
            </w:tcBorders>
            <w:noWrap w:val="0"/>
            <w:vAlign w:val="center"/>
          </w:tcPr>
          <w:p w14:paraId="3EC5E215">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AEE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A048B7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24</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9AC202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塑料盆</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5C376D7A">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50L</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2CE340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 个</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B8C4C2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32F7B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91D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159FBE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25</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0440C9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消毒车</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9B468DF">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手推可走式充电式消毒车（可装消毒水250L）</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E9E94D">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 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57A7CF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624D18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48EE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C04467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26</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CC2266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羊用饮</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0416763E">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不锈钢铜阀羊饮水碗（饮水碗材质为塑料绿色，符合环保要求）</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A2F694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10 个</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BCC87B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4B1DD5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124C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3C138D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27</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271C916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试验台</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DD5427D">
            <w:pPr>
              <w:keepNext w:val="0"/>
              <w:keepLines w:val="0"/>
              <w:pageBreakBefore w:val="0"/>
              <w:widowControl/>
              <w:suppressLineNumbers w:val="0"/>
              <w:kinsoku/>
              <w:wordWrap w:val="0"/>
              <w:overflowPunct/>
              <w:topLinePunct w:val="0"/>
              <w:bidi w:val="0"/>
              <w:ind w:left="0" w:lef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长 80cm，宽 60cm。钢木结构，柜板为18mm厚优质三聚氰胺板，没有异味，符合环保要求。单侧面设置2个抽屉和2个柜门。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65BA09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 套</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C66457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320A79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bl>
    <w:p w14:paraId="2E5F89A5">
      <w:pPr>
        <w:pStyle w:val="168"/>
        <w:numPr>
          <w:ilvl w:val="0"/>
          <w:numId w:val="0"/>
        </w:numPr>
        <w:spacing w:line="360" w:lineRule="auto"/>
        <w:ind w:right="62" w:rightChars="0"/>
        <w:contextualSpacing/>
        <w:rPr>
          <w:rFonts w:hint="eastAsia" w:ascii="仿宋" w:hAnsi="仿宋" w:eastAsia="仿宋" w:cs="仿宋"/>
          <w:b/>
          <w:kern w:val="2"/>
          <w:sz w:val="24"/>
          <w:szCs w:val="24"/>
          <w:lang w:val="en-US" w:eastAsia="zh-CN" w:bidi="ar-SA"/>
        </w:rPr>
      </w:pPr>
    </w:p>
    <w:p w14:paraId="61B0A827">
      <w:pPr>
        <w:pStyle w:val="168"/>
        <w:numPr>
          <w:ilvl w:val="0"/>
          <w:numId w:val="0"/>
        </w:numPr>
        <w:spacing w:line="360" w:lineRule="auto"/>
        <w:ind w:right="62" w:rightChars="0"/>
        <w:contextualSpacing/>
        <w:rPr>
          <w:rFonts w:hint="eastAsia" w:ascii="仿宋" w:hAnsi="仿宋" w:eastAsia="仿宋" w:cs="仿宋"/>
          <w:b/>
          <w:sz w:val="24"/>
          <w:szCs w:val="24"/>
          <w:highlight w:val="none"/>
          <w:lang w:val="en-US" w:eastAsia="zh-CN"/>
        </w:rPr>
      </w:pPr>
      <w:r>
        <w:rPr>
          <w:rFonts w:hint="eastAsia" w:ascii="仿宋" w:hAnsi="仿宋" w:eastAsia="仿宋" w:cs="仿宋"/>
          <w:b/>
          <w:kern w:val="2"/>
          <w:sz w:val="24"/>
          <w:szCs w:val="24"/>
          <w:lang w:val="en-US" w:eastAsia="zh-CN" w:bidi="ar-SA"/>
        </w:rPr>
        <w:t>2、</w:t>
      </w:r>
      <w:r>
        <w:rPr>
          <w:rFonts w:hint="eastAsia" w:ascii="仿宋" w:hAnsi="仿宋" w:eastAsia="仿宋" w:cs="仿宋"/>
          <w:b/>
          <w:sz w:val="24"/>
          <w:szCs w:val="24"/>
          <w:highlight w:val="none"/>
          <w:lang w:val="en-US" w:eastAsia="zh-CN"/>
        </w:rPr>
        <w:t>防疫报检室设备</w:t>
      </w:r>
    </w:p>
    <w:p w14:paraId="2F1107B9">
      <w:pPr>
        <w:pStyle w:val="168"/>
        <w:numPr>
          <w:ilvl w:val="0"/>
          <w:numId w:val="0"/>
        </w:numPr>
        <w:spacing w:line="360" w:lineRule="auto"/>
        <w:ind w:right="62" w:rightChars="0" w:firstLine="482" w:firstLineChars="200"/>
        <w:contextualSpacing/>
        <w:rPr>
          <w:rFonts w:hint="default" w:ascii="仿宋" w:hAnsi="仿宋" w:eastAsia="仿宋" w:cs="仿宋"/>
          <w:b/>
          <w:sz w:val="24"/>
          <w:szCs w:val="24"/>
          <w:highlight w:val="none"/>
          <w:lang w:val="en-US" w:eastAsia="zh-CN"/>
        </w:rPr>
      </w:pPr>
      <w:r>
        <w:rPr>
          <w:rFonts w:hint="default" w:ascii="仿宋" w:hAnsi="仿宋" w:eastAsia="仿宋" w:cs="仿宋"/>
          <w:b/>
          <w:sz w:val="24"/>
          <w:szCs w:val="24"/>
          <w:highlight w:val="none"/>
          <w:lang w:val="en-US" w:eastAsia="zh-CN"/>
        </w:rPr>
        <w:t>新建20个多功能服务网点，每个防疫报检室采购一套设备</w:t>
      </w:r>
      <w:r>
        <w:rPr>
          <w:rFonts w:hint="eastAsia" w:ascii="仿宋" w:hAnsi="仿宋" w:eastAsia="仿宋" w:cs="仿宋"/>
          <w:b/>
          <w:sz w:val="24"/>
          <w:szCs w:val="24"/>
          <w:highlight w:val="none"/>
          <w:lang w:val="en-US" w:eastAsia="zh-CN"/>
        </w:rPr>
        <w:t>。</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2"/>
        <w:gridCol w:w="5370"/>
        <w:gridCol w:w="765"/>
        <w:gridCol w:w="793"/>
        <w:gridCol w:w="788"/>
      </w:tblGrid>
      <w:tr w14:paraId="68CE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9" w:type="dxa"/>
            <w:noWrap w:val="0"/>
            <w:vAlign w:val="center"/>
          </w:tcPr>
          <w:p w14:paraId="4544491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序号</w:t>
            </w:r>
          </w:p>
        </w:tc>
        <w:tc>
          <w:tcPr>
            <w:tcW w:w="1442" w:type="dxa"/>
            <w:noWrap w:val="0"/>
            <w:vAlign w:val="center"/>
          </w:tcPr>
          <w:p w14:paraId="640CA8B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设备名称</w:t>
            </w:r>
          </w:p>
        </w:tc>
        <w:tc>
          <w:tcPr>
            <w:tcW w:w="5370" w:type="dxa"/>
            <w:noWrap w:val="0"/>
            <w:vAlign w:val="center"/>
          </w:tcPr>
          <w:p w14:paraId="455C1AD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规格参数</w:t>
            </w:r>
          </w:p>
        </w:tc>
        <w:tc>
          <w:tcPr>
            <w:tcW w:w="765" w:type="dxa"/>
            <w:noWrap w:val="0"/>
            <w:vAlign w:val="center"/>
          </w:tcPr>
          <w:p w14:paraId="74CA81C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数量</w:t>
            </w:r>
          </w:p>
        </w:tc>
        <w:tc>
          <w:tcPr>
            <w:tcW w:w="793" w:type="dxa"/>
            <w:noWrap w:val="0"/>
            <w:vAlign w:val="center"/>
          </w:tcPr>
          <w:p w14:paraId="17C83EA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套数</w:t>
            </w:r>
          </w:p>
        </w:tc>
        <w:tc>
          <w:tcPr>
            <w:tcW w:w="788" w:type="dxa"/>
            <w:noWrap w:val="0"/>
            <w:vAlign w:val="center"/>
          </w:tcPr>
          <w:p w14:paraId="334ED4C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备注</w:t>
            </w:r>
          </w:p>
        </w:tc>
      </w:tr>
      <w:tr w14:paraId="2B8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9" w:type="dxa"/>
            <w:noWrap w:val="0"/>
            <w:vAlign w:val="center"/>
          </w:tcPr>
          <w:p w14:paraId="25C9A26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w:t>
            </w:r>
          </w:p>
        </w:tc>
        <w:tc>
          <w:tcPr>
            <w:tcW w:w="1442" w:type="dxa"/>
            <w:noWrap w:val="0"/>
            <w:vAlign w:val="center"/>
          </w:tcPr>
          <w:p w14:paraId="5A47B0E8">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冰箱</w:t>
            </w:r>
          </w:p>
        </w:tc>
        <w:tc>
          <w:tcPr>
            <w:tcW w:w="5370" w:type="dxa"/>
            <w:noWrap w:val="0"/>
            <w:vAlign w:val="center"/>
          </w:tcPr>
          <w:p w14:paraId="73A2C733">
            <w:pPr>
              <w:keepNext w:val="0"/>
              <w:keepLines w:val="0"/>
              <w:widowControl/>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1.立体式，上下单开门，灰色。                                                                                                                          2.冷藏178L，冷冻94L，总容积272L。                                                                                                                                         3.尺寸590*645*1722mm。                                                                                                                                  4.0.67度/天</w:t>
            </w:r>
          </w:p>
        </w:tc>
        <w:tc>
          <w:tcPr>
            <w:tcW w:w="765" w:type="dxa"/>
            <w:noWrap w:val="0"/>
            <w:vAlign w:val="center"/>
          </w:tcPr>
          <w:p w14:paraId="5FE73FFC">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20FAABAA">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3F466C9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12C6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9" w:type="dxa"/>
            <w:noWrap w:val="0"/>
            <w:vAlign w:val="center"/>
          </w:tcPr>
          <w:p w14:paraId="0A81B89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w:t>
            </w:r>
          </w:p>
        </w:tc>
        <w:tc>
          <w:tcPr>
            <w:tcW w:w="1442" w:type="dxa"/>
            <w:noWrap w:val="0"/>
            <w:vAlign w:val="center"/>
          </w:tcPr>
          <w:p w14:paraId="1E17E40B">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桌椅柜</w:t>
            </w:r>
          </w:p>
        </w:tc>
        <w:tc>
          <w:tcPr>
            <w:tcW w:w="5370" w:type="dxa"/>
            <w:noWrap w:val="0"/>
            <w:vAlign w:val="center"/>
          </w:tcPr>
          <w:p w14:paraId="74CF1275">
            <w:pPr>
              <w:keepNext w:val="0"/>
              <w:keepLines w:val="0"/>
              <w:widowControl/>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 xml:space="preserve">1.办公桌：尺寸尺寸140cm（长）*60cm米（宽）*75cm（高） 可放主机箱 。                                                                                               2.柜子：立体式钢制档案柜，尺寸1800mm（高）*900mm(宽）*450mm（深）。                                                                                     3.椅子：靠背网布弓形职员椅。                      </w:t>
            </w:r>
          </w:p>
        </w:tc>
        <w:tc>
          <w:tcPr>
            <w:tcW w:w="765" w:type="dxa"/>
            <w:noWrap w:val="0"/>
            <w:vAlign w:val="center"/>
          </w:tcPr>
          <w:p w14:paraId="4E85514D">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61D5F9CE">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10228BB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D11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9" w:type="dxa"/>
            <w:noWrap w:val="0"/>
            <w:vAlign w:val="center"/>
          </w:tcPr>
          <w:p w14:paraId="57D2B3FC">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w:t>
            </w:r>
          </w:p>
        </w:tc>
        <w:tc>
          <w:tcPr>
            <w:tcW w:w="1442" w:type="dxa"/>
            <w:noWrap w:val="0"/>
            <w:vAlign w:val="center"/>
          </w:tcPr>
          <w:p w14:paraId="7B4CDD89">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疫苗箱</w:t>
            </w:r>
          </w:p>
        </w:tc>
        <w:tc>
          <w:tcPr>
            <w:tcW w:w="5370" w:type="dxa"/>
            <w:noWrap w:val="0"/>
            <w:vAlign w:val="center"/>
          </w:tcPr>
          <w:p w14:paraId="430B69B0">
            <w:pPr>
              <w:keepNext w:val="0"/>
              <w:keepLines w:val="0"/>
              <w:widowControl/>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充电，温度2-8度，体积12L</w:t>
            </w:r>
          </w:p>
        </w:tc>
        <w:tc>
          <w:tcPr>
            <w:tcW w:w="765" w:type="dxa"/>
            <w:noWrap w:val="0"/>
            <w:vAlign w:val="center"/>
          </w:tcPr>
          <w:p w14:paraId="0D9D75A4">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41799538">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29EA9E9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79B9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9" w:type="dxa"/>
            <w:noWrap w:val="0"/>
            <w:vAlign w:val="center"/>
          </w:tcPr>
          <w:p w14:paraId="33AC9141">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4</w:t>
            </w:r>
          </w:p>
        </w:tc>
        <w:tc>
          <w:tcPr>
            <w:tcW w:w="1442" w:type="dxa"/>
            <w:noWrap w:val="0"/>
            <w:vAlign w:val="center"/>
          </w:tcPr>
          <w:p w14:paraId="1D6B3B26">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喷雾器</w:t>
            </w:r>
          </w:p>
        </w:tc>
        <w:tc>
          <w:tcPr>
            <w:tcW w:w="5370" w:type="dxa"/>
            <w:noWrap w:val="0"/>
            <w:vAlign w:val="center"/>
          </w:tcPr>
          <w:p w14:paraId="3BDEFF98">
            <w:pPr>
              <w:keepNext w:val="0"/>
              <w:keepLines w:val="0"/>
              <w:widowControl/>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1.背负式 规格≥20L，3个/件;</w:t>
            </w:r>
            <w:r>
              <w:rPr>
                <w:rFonts w:hint="eastAsia" w:ascii="仿宋" w:hAnsi="仿宋" w:eastAsia="仿宋" w:cs="仿宋"/>
                <w:b w:val="0"/>
                <w:i w:val="0"/>
                <w:iCs w:val="0"/>
                <w:color w:val="000000"/>
                <w:kern w:val="0"/>
                <w:sz w:val="22"/>
                <w:szCs w:val="22"/>
                <w:u w:val="none"/>
                <w:lang w:val="en-US" w:eastAsia="zh-CN" w:bidi="ar"/>
              </w:rPr>
              <w:br w:type="textWrapping"/>
            </w:r>
            <w:r>
              <w:rPr>
                <w:rFonts w:hint="eastAsia" w:ascii="仿宋" w:hAnsi="仿宋" w:eastAsia="仿宋" w:cs="仿宋"/>
                <w:b w:val="0"/>
                <w:i w:val="0"/>
                <w:iCs w:val="0"/>
                <w:color w:val="000000"/>
                <w:kern w:val="0"/>
                <w:sz w:val="22"/>
                <w:szCs w:val="22"/>
                <w:u w:val="none"/>
                <w:lang w:val="en-US" w:eastAsia="zh-CN" w:bidi="ar"/>
              </w:rPr>
              <w:t>2.优质一级 PP塑料消毒器个</w:t>
            </w:r>
            <w:r>
              <w:rPr>
                <w:rFonts w:hint="eastAsia" w:ascii="仿宋" w:hAnsi="仿宋" w:eastAsia="仿宋" w:cs="仿宋"/>
                <w:b w:val="0"/>
                <w:i w:val="0"/>
                <w:iCs w:val="0"/>
                <w:color w:val="000000"/>
                <w:kern w:val="0"/>
                <w:sz w:val="22"/>
                <w:szCs w:val="22"/>
                <w:u w:val="none"/>
                <w:lang w:val="en-US" w:eastAsia="zh-CN" w:bidi="ar"/>
              </w:rPr>
              <w:br w:type="textWrapping"/>
            </w:r>
            <w:r>
              <w:rPr>
                <w:rFonts w:hint="eastAsia" w:ascii="仿宋" w:hAnsi="仿宋" w:eastAsia="仿宋" w:cs="仿宋"/>
                <w:b w:val="0"/>
                <w:i w:val="0"/>
                <w:iCs w:val="0"/>
                <w:color w:val="000000"/>
                <w:kern w:val="0"/>
                <w:sz w:val="22"/>
                <w:szCs w:val="22"/>
                <w:u w:val="none"/>
                <w:lang w:val="en-US" w:eastAsia="zh-CN" w:bidi="ar"/>
              </w:rPr>
              <w:t>3.50CM-85CM不锈钢伸缩喷杆</w:t>
            </w:r>
            <w:r>
              <w:rPr>
                <w:rFonts w:hint="eastAsia" w:ascii="仿宋" w:hAnsi="仿宋" w:eastAsia="仿宋" w:cs="仿宋"/>
                <w:b w:val="0"/>
                <w:i w:val="0"/>
                <w:iCs w:val="0"/>
                <w:color w:val="000000"/>
                <w:kern w:val="0"/>
                <w:sz w:val="22"/>
                <w:szCs w:val="22"/>
                <w:u w:val="none"/>
                <w:lang w:val="en-US" w:eastAsia="zh-CN" w:bidi="ar"/>
              </w:rPr>
              <w:br w:type="textWrapping"/>
            </w:r>
            <w:r>
              <w:rPr>
                <w:rFonts w:hint="eastAsia" w:ascii="仿宋" w:hAnsi="仿宋" w:eastAsia="仿宋" w:cs="仿宋"/>
                <w:b w:val="0"/>
                <w:i w:val="0"/>
                <w:iCs w:val="0"/>
                <w:color w:val="000000"/>
                <w:kern w:val="0"/>
                <w:sz w:val="22"/>
                <w:szCs w:val="22"/>
                <w:u w:val="none"/>
                <w:lang w:val="en-US" w:eastAsia="zh-CN" w:bidi="ar"/>
              </w:rPr>
              <w:t>4.12V-1.2A智能型三段式充电器,5年以上锂电池12V8AH</w:t>
            </w:r>
          </w:p>
        </w:tc>
        <w:tc>
          <w:tcPr>
            <w:tcW w:w="765" w:type="dxa"/>
            <w:noWrap w:val="0"/>
            <w:vAlign w:val="center"/>
          </w:tcPr>
          <w:p w14:paraId="63239EBA">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3854F35E">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38B7034F">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2ED8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9" w:type="dxa"/>
            <w:noWrap w:val="0"/>
            <w:vAlign w:val="center"/>
          </w:tcPr>
          <w:p w14:paraId="0614A61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5</w:t>
            </w:r>
          </w:p>
        </w:tc>
        <w:tc>
          <w:tcPr>
            <w:tcW w:w="1442" w:type="dxa"/>
            <w:noWrap w:val="0"/>
            <w:vAlign w:val="center"/>
          </w:tcPr>
          <w:p w14:paraId="7E734F5E">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高压锅</w:t>
            </w:r>
          </w:p>
        </w:tc>
        <w:tc>
          <w:tcPr>
            <w:tcW w:w="5370" w:type="dxa"/>
            <w:noWrap w:val="0"/>
            <w:vAlign w:val="center"/>
          </w:tcPr>
          <w:p w14:paraId="5EB26887">
            <w:pPr>
              <w:keepNext w:val="0"/>
              <w:keepLines w:val="0"/>
              <w:widowControl/>
              <w:suppressLineNumbers w:val="0"/>
              <w:ind w:left="0" w:leftChars="0" w:right="62" w:rightChars="0" w:firstLine="0" w:firstLineChars="0"/>
              <w:jc w:val="left"/>
              <w:textAlignment w:val="center"/>
              <w:rPr>
                <w:rFonts w:hint="eastAsia" w:ascii="仿宋" w:hAnsi="仿宋" w:eastAsia="仿宋" w:cs="仿宋"/>
                <w:b w:val="0"/>
                <w:i w:val="0"/>
                <w:iCs w:val="0"/>
                <w:color w:val="000000"/>
                <w:kern w:val="0"/>
                <w:sz w:val="22"/>
                <w:szCs w:val="22"/>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1.10L便携快开式加厚</w:t>
            </w:r>
          </w:p>
          <w:p w14:paraId="7FEE088A">
            <w:pPr>
              <w:keepNext w:val="0"/>
              <w:keepLines w:val="0"/>
              <w:widowControl/>
              <w:numPr>
                <w:ilvl w:val="0"/>
                <w:numId w:val="9"/>
              </w:numPr>
              <w:suppressLineNumbers w:val="0"/>
              <w:ind w:left="0" w:leftChars="0" w:right="62" w:rightChars="0" w:firstLine="0" w:firstLineChars="0"/>
              <w:jc w:val="left"/>
              <w:textAlignment w:val="center"/>
              <w:rPr>
                <w:rFonts w:hint="eastAsia" w:ascii="仿宋" w:hAnsi="仿宋" w:eastAsia="仿宋" w:cs="仿宋"/>
                <w:b w:val="0"/>
                <w:i w:val="0"/>
                <w:iCs w:val="0"/>
                <w:color w:val="000000"/>
                <w:kern w:val="0"/>
                <w:sz w:val="22"/>
                <w:szCs w:val="22"/>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不锈钢内胆</w:t>
            </w:r>
          </w:p>
          <w:p w14:paraId="7F3C97C9">
            <w:pPr>
              <w:keepNext w:val="0"/>
              <w:keepLines w:val="0"/>
              <w:widowControl/>
              <w:numPr>
                <w:ilvl w:val="0"/>
                <w:numId w:val="0"/>
              </w:numPr>
              <w:suppressLineNumbers w:val="0"/>
              <w:ind w:leftChars="0" w:right="62" w:right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3.煤电两用</w:t>
            </w:r>
          </w:p>
        </w:tc>
        <w:tc>
          <w:tcPr>
            <w:tcW w:w="765" w:type="dxa"/>
            <w:noWrap w:val="0"/>
            <w:vAlign w:val="center"/>
          </w:tcPr>
          <w:p w14:paraId="7B655E03">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43E142BC">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7E10AC04">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68B9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9" w:type="dxa"/>
            <w:noWrap w:val="0"/>
            <w:vAlign w:val="center"/>
          </w:tcPr>
          <w:p w14:paraId="215FC1F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default"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w:t>
            </w:r>
          </w:p>
        </w:tc>
        <w:tc>
          <w:tcPr>
            <w:tcW w:w="1442" w:type="dxa"/>
            <w:noWrap w:val="0"/>
            <w:vAlign w:val="center"/>
          </w:tcPr>
          <w:p w14:paraId="11FF8B40">
            <w:pPr>
              <w:keepNext w:val="0"/>
              <w:keepLines w:val="0"/>
              <w:widowControl/>
              <w:suppressLineNumbers w:val="0"/>
              <w:ind w:left="0" w:leftChars="0" w:right="62" w:righ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电脑打印机</w:t>
            </w:r>
          </w:p>
        </w:tc>
        <w:tc>
          <w:tcPr>
            <w:tcW w:w="5370" w:type="dxa"/>
            <w:noWrap w:val="0"/>
            <w:vAlign w:val="center"/>
          </w:tcPr>
          <w:p w14:paraId="01D6DBE6">
            <w:pPr>
              <w:keepNext w:val="0"/>
              <w:keepLines w:val="0"/>
              <w:widowControl/>
              <w:numPr>
                <w:ilvl w:val="0"/>
                <w:numId w:val="0"/>
              </w:numPr>
              <w:suppressLineNumbers w:val="0"/>
              <w:ind w:left="0" w:leftChars="0" w:right="62" w:rightChars="0" w:firstLine="0" w:firstLineChars="0"/>
              <w:jc w:val="left"/>
              <w:textAlignment w:val="center"/>
              <w:rPr>
                <w:rFonts w:hint="eastAsia" w:ascii="仿宋" w:hAnsi="仿宋" w:eastAsia="仿宋" w:cs="仿宋"/>
                <w:b w:val="0"/>
                <w:i w:val="0"/>
                <w:iCs w:val="0"/>
                <w:color w:val="000000"/>
                <w:kern w:val="0"/>
                <w:sz w:val="22"/>
                <w:szCs w:val="22"/>
                <w:u w:val="none"/>
                <w:lang w:val="en-US" w:eastAsia="zh-CN" w:bidi="ar"/>
              </w:rPr>
            </w:pPr>
            <w:r>
              <w:rPr>
                <w:rFonts w:hint="eastAsia" w:ascii="仿宋" w:hAnsi="仿宋" w:eastAsia="仿宋" w:cs="仿宋"/>
                <w:b w:val="0"/>
                <w:i w:val="0"/>
                <w:iCs w:val="0"/>
                <w:color w:val="000000"/>
                <w:kern w:val="0"/>
                <w:sz w:val="22"/>
                <w:szCs w:val="22"/>
                <w:lang w:val="en-US" w:eastAsia="zh-CN" w:bidi="ar"/>
              </w:rPr>
              <w:t>1.</w:t>
            </w:r>
            <w:r>
              <w:rPr>
                <w:rFonts w:hint="eastAsia" w:ascii="仿宋" w:hAnsi="仿宋" w:eastAsia="仿宋" w:cs="仿宋"/>
                <w:b w:val="0"/>
                <w:i w:val="0"/>
                <w:iCs w:val="0"/>
                <w:color w:val="000000"/>
                <w:kern w:val="0"/>
                <w:sz w:val="22"/>
                <w:szCs w:val="22"/>
                <w:u w:val="none"/>
                <w:lang w:val="en-US" w:eastAsia="zh-CN" w:bidi="ar"/>
              </w:rPr>
              <w:t>电脑I5-14400.  21.5寸显示器。</w:t>
            </w:r>
          </w:p>
          <w:p w14:paraId="18D198CF">
            <w:pPr>
              <w:keepNext w:val="0"/>
              <w:keepLines w:val="0"/>
              <w:widowControl/>
              <w:numPr>
                <w:ilvl w:val="0"/>
                <w:numId w:val="0"/>
              </w:numPr>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2.1600*900分辨率</w:t>
            </w:r>
          </w:p>
          <w:p w14:paraId="421B7ADB">
            <w:pPr>
              <w:keepNext w:val="0"/>
              <w:keepLines w:val="0"/>
              <w:widowControl/>
              <w:numPr>
                <w:ilvl w:val="0"/>
                <w:numId w:val="0"/>
              </w:numPr>
              <w:suppressLineNumbers w:val="0"/>
              <w:ind w:left="0" w:leftChars="0" w:right="62" w:rightChars="0" w:firstLine="0" w:firstLineChars="0"/>
              <w:jc w:val="left"/>
              <w:textAlignment w:val="center"/>
              <w:rPr>
                <w:rFonts w:hint="eastAsia" w:ascii="仿宋" w:hAnsi="仿宋" w:eastAsia="仿宋" w:cs="仿宋"/>
                <w:b w:val="0"/>
                <w:i w:val="0"/>
                <w:iCs w:val="0"/>
                <w:color w:val="000000"/>
                <w:kern w:val="0"/>
                <w:sz w:val="22"/>
                <w:szCs w:val="22"/>
                <w:u w:val="none"/>
                <w:lang w:val="en-US" w:eastAsia="zh-CN" w:bidi="ar"/>
              </w:rPr>
            </w:pPr>
            <w:r>
              <w:rPr>
                <w:rFonts w:hint="eastAsia" w:ascii="仿宋" w:hAnsi="仿宋" w:eastAsia="仿宋" w:cs="仿宋"/>
                <w:b w:val="0"/>
                <w:i w:val="0"/>
                <w:iCs w:val="0"/>
                <w:color w:val="auto"/>
                <w:kern w:val="0"/>
                <w:sz w:val="22"/>
                <w:szCs w:val="22"/>
                <w:lang w:val="en-US" w:eastAsia="zh-CN" w:bidi="ar"/>
              </w:rPr>
              <w:t>3</w:t>
            </w:r>
            <w:r>
              <w:rPr>
                <w:rFonts w:hint="eastAsia" w:ascii="仿宋" w:hAnsi="仿宋" w:eastAsia="仿宋" w:cs="仿宋"/>
                <w:b w:val="0"/>
                <w:i w:val="0"/>
                <w:iCs w:val="0"/>
                <w:color w:val="000000"/>
                <w:kern w:val="0"/>
                <w:sz w:val="22"/>
                <w:szCs w:val="22"/>
                <w:u w:val="none"/>
                <w:lang w:val="en-US" w:eastAsia="zh-CN" w:bidi="ar"/>
              </w:rPr>
              <w:t>.32G运行    1T固态内存</w:t>
            </w:r>
          </w:p>
          <w:p w14:paraId="394CA9DE">
            <w:pPr>
              <w:keepNext w:val="0"/>
              <w:keepLines w:val="0"/>
              <w:widowControl/>
              <w:numPr>
                <w:ilvl w:val="0"/>
                <w:numId w:val="0"/>
              </w:numPr>
              <w:suppressLineNumbers w:val="0"/>
              <w:ind w:left="0" w:leftChars="0" w:right="62" w:rightChars="0" w:firstLine="0" w:firstLineChars="0"/>
              <w:jc w:val="left"/>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4.打印机惠普1188W 406*359.6*253mm 打印复印扫描</w:t>
            </w:r>
          </w:p>
        </w:tc>
        <w:tc>
          <w:tcPr>
            <w:tcW w:w="765" w:type="dxa"/>
            <w:noWrap w:val="0"/>
            <w:vAlign w:val="center"/>
          </w:tcPr>
          <w:p w14:paraId="58FC162F">
            <w:pPr>
              <w:keepNext w:val="0"/>
              <w:keepLines w:val="0"/>
              <w:widowControl/>
              <w:suppressLineNumbers w:val="0"/>
              <w:ind w:left="110" w:leftChars="0" w:right="62" w:rightChars="0" w:hanging="110" w:hangingChars="5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1</w:t>
            </w:r>
          </w:p>
        </w:tc>
        <w:tc>
          <w:tcPr>
            <w:tcW w:w="793" w:type="dxa"/>
            <w:noWrap w:val="0"/>
            <w:vAlign w:val="center"/>
          </w:tcPr>
          <w:p w14:paraId="1EA0788D">
            <w:pPr>
              <w:keepNext w:val="0"/>
              <w:keepLines w:val="0"/>
              <w:widowControl/>
              <w:suppressLineNumbers w:val="0"/>
              <w:ind w:left="0" w:leftChars="0" w:right="62" w:rightChars="0" w:firstLine="0" w:firstLineChars="0"/>
              <w:jc w:val="center"/>
              <w:textAlignment w:val="top"/>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000000"/>
                <w:kern w:val="0"/>
                <w:sz w:val="22"/>
                <w:szCs w:val="22"/>
                <w:u w:val="none"/>
                <w:lang w:val="en-US" w:eastAsia="zh-CN" w:bidi="ar"/>
              </w:rPr>
              <w:t>20</w:t>
            </w:r>
          </w:p>
        </w:tc>
        <w:tc>
          <w:tcPr>
            <w:tcW w:w="788" w:type="dxa"/>
            <w:noWrap w:val="0"/>
            <w:vAlign w:val="center"/>
          </w:tcPr>
          <w:p w14:paraId="21F6EA49">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bl>
    <w:p w14:paraId="392A9907">
      <w:pPr>
        <w:pStyle w:val="168"/>
        <w:numPr>
          <w:ilvl w:val="0"/>
          <w:numId w:val="0"/>
        </w:numPr>
        <w:spacing w:line="360" w:lineRule="auto"/>
        <w:ind w:right="62" w:rightChars="0"/>
        <w:contextualSpacing/>
        <w:rPr>
          <w:rFonts w:hint="eastAsia" w:ascii="仿宋" w:hAnsi="仿宋" w:eastAsia="仿宋" w:cs="仿宋"/>
          <w:b/>
          <w:sz w:val="24"/>
          <w:szCs w:val="24"/>
          <w:highlight w:val="none"/>
          <w:lang w:val="en-US" w:eastAsia="zh-CN"/>
        </w:rPr>
      </w:pPr>
    </w:p>
    <w:p w14:paraId="5DBA5DCB">
      <w:pPr>
        <w:pStyle w:val="168"/>
        <w:numPr>
          <w:ilvl w:val="0"/>
          <w:numId w:val="0"/>
        </w:numPr>
        <w:spacing w:line="360" w:lineRule="auto"/>
        <w:ind w:right="62" w:rightChars="0"/>
        <w:contextualSpacing/>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lang w:eastAsia="zh-CN"/>
        </w:rPr>
        <w:t>兽医诊疗设备</w:t>
      </w:r>
    </w:p>
    <w:p w14:paraId="3EC71771">
      <w:pPr>
        <w:pStyle w:val="168"/>
        <w:numPr>
          <w:ilvl w:val="0"/>
          <w:numId w:val="0"/>
        </w:numPr>
        <w:spacing w:line="360" w:lineRule="auto"/>
        <w:ind w:right="62" w:rightChars="0" w:firstLine="482" w:firstLineChars="200"/>
        <w:contextualSpacing/>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新建20个多功能服务网点，每个兽医诊疗室采购一套设备。</w:t>
      </w:r>
    </w:p>
    <w:tbl>
      <w:tblPr>
        <w:tblStyle w:val="72"/>
        <w:tblW w:w="10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6765"/>
        <w:gridCol w:w="765"/>
        <w:gridCol w:w="795"/>
        <w:gridCol w:w="801"/>
      </w:tblGrid>
      <w:tr w14:paraId="074E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48DAEC9B">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序号</w:t>
            </w:r>
          </w:p>
        </w:tc>
        <w:tc>
          <w:tcPr>
            <w:tcW w:w="6765" w:type="dxa"/>
            <w:tcBorders>
              <w:top w:val="single" w:color="auto" w:sz="4" w:space="0"/>
              <w:left w:val="single" w:color="auto" w:sz="4" w:space="0"/>
              <w:bottom w:val="single" w:color="auto" w:sz="4" w:space="0"/>
              <w:right w:val="single" w:color="auto" w:sz="4" w:space="0"/>
            </w:tcBorders>
            <w:noWrap/>
            <w:vAlign w:val="center"/>
          </w:tcPr>
          <w:p w14:paraId="666CE2C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设备名称</w:t>
            </w:r>
          </w:p>
        </w:tc>
        <w:tc>
          <w:tcPr>
            <w:tcW w:w="765" w:type="dxa"/>
            <w:tcBorders>
              <w:top w:val="single" w:color="auto" w:sz="4" w:space="0"/>
              <w:left w:val="single" w:color="auto" w:sz="4" w:space="0"/>
              <w:bottom w:val="single" w:color="auto" w:sz="4" w:space="0"/>
              <w:right w:val="single" w:color="auto" w:sz="4" w:space="0"/>
            </w:tcBorders>
            <w:noWrap/>
            <w:vAlign w:val="center"/>
          </w:tcPr>
          <w:p w14:paraId="52152A1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组数</w:t>
            </w:r>
          </w:p>
        </w:tc>
        <w:tc>
          <w:tcPr>
            <w:tcW w:w="795" w:type="dxa"/>
            <w:tcBorders>
              <w:top w:val="single" w:color="auto" w:sz="4" w:space="0"/>
              <w:left w:val="single" w:color="auto" w:sz="4" w:space="0"/>
              <w:bottom w:val="single" w:color="auto" w:sz="4" w:space="0"/>
              <w:right w:val="single" w:color="auto" w:sz="4" w:space="0"/>
            </w:tcBorders>
            <w:noWrap/>
            <w:vAlign w:val="center"/>
          </w:tcPr>
          <w:p w14:paraId="4909200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数量</w:t>
            </w:r>
          </w:p>
        </w:tc>
        <w:tc>
          <w:tcPr>
            <w:tcW w:w="801" w:type="dxa"/>
            <w:tcBorders>
              <w:top w:val="single" w:color="auto" w:sz="4" w:space="0"/>
              <w:left w:val="single" w:color="auto" w:sz="4" w:space="0"/>
              <w:bottom w:val="single" w:color="auto" w:sz="4" w:space="0"/>
              <w:right w:val="single" w:color="auto" w:sz="4" w:space="0"/>
            </w:tcBorders>
            <w:noWrap/>
            <w:vAlign w:val="center"/>
          </w:tcPr>
          <w:p w14:paraId="62DA0A53">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备注</w:t>
            </w:r>
          </w:p>
        </w:tc>
      </w:tr>
      <w:tr w14:paraId="7A6C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2F4B533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1</w:t>
            </w:r>
          </w:p>
        </w:tc>
        <w:tc>
          <w:tcPr>
            <w:tcW w:w="6765" w:type="dxa"/>
            <w:tcBorders>
              <w:top w:val="single" w:color="auto" w:sz="4" w:space="0"/>
              <w:left w:val="single" w:color="auto" w:sz="4" w:space="0"/>
              <w:bottom w:val="single" w:color="auto" w:sz="4" w:space="0"/>
              <w:right w:val="single" w:color="auto" w:sz="4" w:space="0"/>
            </w:tcBorders>
            <w:noWrap/>
            <w:vAlign w:val="center"/>
          </w:tcPr>
          <w:p w14:paraId="7038C23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诊疗室柜台</w:t>
            </w:r>
          </w:p>
        </w:tc>
        <w:tc>
          <w:tcPr>
            <w:tcW w:w="765" w:type="dxa"/>
            <w:tcBorders>
              <w:top w:val="single" w:color="auto" w:sz="4" w:space="0"/>
              <w:left w:val="single" w:color="auto" w:sz="4" w:space="0"/>
              <w:bottom w:val="single" w:color="auto" w:sz="4" w:space="0"/>
              <w:right w:val="single" w:color="auto" w:sz="4" w:space="0"/>
            </w:tcBorders>
            <w:noWrap/>
            <w:vAlign w:val="center"/>
          </w:tcPr>
          <w:p w14:paraId="796BF497">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3</w:t>
            </w:r>
          </w:p>
        </w:tc>
        <w:tc>
          <w:tcPr>
            <w:tcW w:w="795" w:type="dxa"/>
            <w:tcBorders>
              <w:top w:val="single" w:color="auto" w:sz="4" w:space="0"/>
              <w:left w:val="single" w:color="auto" w:sz="4" w:space="0"/>
              <w:bottom w:val="single" w:color="auto" w:sz="4" w:space="0"/>
              <w:right w:val="single" w:color="auto" w:sz="4" w:space="0"/>
            </w:tcBorders>
            <w:noWrap/>
            <w:vAlign w:val="center"/>
          </w:tcPr>
          <w:p w14:paraId="460FDA50">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w:t>
            </w:r>
          </w:p>
        </w:tc>
        <w:tc>
          <w:tcPr>
            <w:tcW w:w="801" w:type="dxa"/>
            <w:tcBorders>
              <w:top w:val="single" w:color="auto" w:sz="4" w:space="0"/>
              <w:left w:val="single" w:color="auto" w:sz="4" w:space="0"/>
              <w:bottom w:val="single" w:color="auto" w:sz="4" w:space="0"/>
              <w:right w:val="single" w:color="auto" w:sz="4" w:space="0"/>
            </w:tcBorders>
            <w:noWrap/>
            <w:vAlign w:val="center"/>
          </w:tcPr>
          <w:p w14:paraId="4DF6A3AA">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r w14:paraId="511E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90" w:type="dxa"/>
            <w:tcBorders>
              <w:top w:val="single" w:color="auto" w:sz="4" w:space="0"/>
              <w:left w:val="single" w:color="auto" w:sz="4" w:space="0"/>
              <w:bottom w:val="single" w:color="auto" w:sz="4" w:space="0"/>
              <w:right w:val="single" w:color="auto" w:sz="4" w:space="0"/>
            </w:tcBorders>
            <w:noWrap/>
            <w:vAlign w:val="center"/>
          </w:tcPr>
          <w:p w14:paraId="13719D2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w:t>
            </w:r>
          </w:p>
        </w:tc>
        <w:tc>
          <w:tcPr>
            <w:tcW w:w="6765" w:type="dxa"/>
            <w:tcBorders>
              <w:top w:val="single" w:color="auto" w:sz="4" w:space="0"/>
              <w:left w:val="single" w:color="auto" w:sz="4" w:space="0"/>
              <w:bottom w:val="single" w:color="auto" w:sz="4" w:space="0"/>
              <w:right w:val="single" w:color="auto" w:sz="4" w:space="0"/>
            </w:tcBorders>
            <w:noWrap/>
            <w:vAlign w:val="center"/>
          </w:tcPr>
          <w:p w14:paraId="0EF3F678">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货架</w:t>
            </w:r>
          </w:p>
        </w:tc>
        <w:tc>
          <w:tcPr>
            <w:tcW w:w="765" w:type="dxa"/>
            <w:tcBorders>
              <w:top w:val="single" w:color="auto" w:sz="4" w:space="0"/>
              <w:left w:val="single" w:color="auto" w:sz="4" w:space="0"/>
              <w:bottom w:val="single" w:color="auto" w:sz="4" w:space="0"/>
              <w:right w:val="single" w:color="auto" w:sz="4" w:space="0"/>
            </w:tcBorders>
            <w:noWrap/>
            <w:vAlign w:val="center"/>
          </w:tcPr>
          <w:p w14:paraId="03BCC092">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6</w:t>
            </w:r>
          </w:p>
        </w:tc>
        <w:tc>
          <w:tcPr>
            <w:tcW w:w="795" w:type="dxa"/>
            <w:tcBorders>
              <w:top w:val="single" w:color="auto" w:sz="4" w:space="0"/>
              <w:left w:val="single" w:color="auto" w:sz="4" w:space="0"/>
              <w:bottom w:val="single" w:color="auto" w:sz="4" w:space="0"/>
              <w:right w:val="single" w:color="auto" w:sz="4" w:space="0"/>
            </w:tcBorders>
            <w:noWrap/>
            <w:vAlign w:val="center"/>
          </w:tcPr>
          <w:p w14:paraId="7957F18E">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r>
              <w:rPr>
                <w:rFonts w:hint="eastAsia" w:ascii="仿宋" w:hAnsi="仿宋" w:eastAsia="仿宋" w:cs="仿宋"/>
                <w:b w:val="0"/>
                <w:i w:val="0"/>
                <w:iCs w:val="0"/>
                <w:color w:val="auto"/>
                <w:kern w:val="0"/>
                <w:sz w:val="22"/>
                <w:szCs w:val="22"/>
                <w:highlight w:val="none"/>
                <w:u w:val="none"/>
                <w:lang w:val="en-US" w:eastAsia="zh-CN" w:bidi="ar"/>
              </w:rPr>
              <w:t>20</w:t>
            </w:r>
          </w:p>
        </w:tc>
        <w:tc>
          <w:tcPr>
            <w:tcW w:w="801" w:type="dxa"/>
            <w:tcBorders>
              <w:top w:val="single" w:color="auto" w:sz="4" w:space="0"/>
              <w:left w:val="single" w:color="auto" w:sz="4" w:space="0"/>
              <w:bottom w:val="single" w:color="auto" w:sz="4" w:space="0"/>
              <w:right w:val="single" w:color="auto" w:sz="4" w:space="0"/>
            </w:tcBorders>
            <w:noWrap/>
            <w:vAlign w:val="center"/>
          </w:tcPr>
          <w:p w14:paraId="01A86AD6">
            <w:pPr>
              <w:keepNext w:val="0"/>
              <w:keepLines w:val="0"/>
              <w:pageBreakBefore w:val="0"/>
              <w:widowControl/>
              <w:suppressLineNumbers w:val="0"/>
              <w:kinsoku/>
              <w:wordWrap w:val="0"/>
              <w:overflowPunct/>
              <w:topLinePunct w:val="0"/>
              <w:bidi w:val="0"/>
              <w:ind w:left="0" w:leftChars="0" w:firstLine="0" w:firstLineChars="0"/>
              <w:jc w:val="center"/>
              <w:textAlignment w:val="center"/>
              <w:rPr>
                <w:rFonts w:hint="eastAsia" w:ascii="仿宋" w:hAnsi="仿宋" w:eastAsia="仿宋" w:cs="仿宋"/>
                <w:b w:val="0"/>
                <w:i w:val="0"/>
                <w:iCs w:val="0"/>
                <w:color w:val="auto"/>
                <w:kern w:val="0"/>
                <w:sz w:val="22"/>
                <w:szCs w:val="22"/>
                <w:highlight w:val="none"/>
                <w:u w:val="none"/>
                <w:lang w:val="en-US" w:eastAsia="zh-CN" w:bidi="ar"/>
              </w:rPr>
            </w:pPr>
          </w:p>
        </w:tc>
      </w:tr>
    </w:tbl>
    <w:p w14:paraId="02C258B7">
      <w:pPr>
        <w:pStyle w:val="168"/>
        <w:numPr>
          <w:ilvl w:val="0"/>
          <w:numId w:val="0"/>
        </w:numPr>
        <w:spacing w:line="360" w:lineRule="auto"/>
        <w:ind w:left="500" w:leftChars="0" w:right="62" w:rightChars="0" w:hanging="500" w:firstLineChars="0"/>
        <w:contextualSpacing/>
        <w:rPr>
          <w:rFonts w:hint="default" w:ascii="仿宋" w:hAnsi="仿宋" w:eastAsia="仿宋" w:cs="仿宋"/>
          <w:b/>
          <w:kern w:val="2"/>
          <w:sz w:val="24"/>
          <w:szCs w:val="24"/>
          <w:lang w:val="en-US" w:eastAsia="zh-CN" w:bidi="ar-SA"/>
        </w:rPr>
      </w:pPr>
    </w:p>
    <w:p w14:paraId="07C60194">
      <w:pPr>
        <w:pStyle w:val="168"/>
        <w:numPr>
          <w:ilvl w:val="0"/>
          <w:numId w:val="0"/>
        </w:numPr>
        <w:spacing w:line="360" w:lineRule="auto"/>
        <w:ind w:left="500" w:leftChars="0" w:right="62" w:rightChars="0" w:hanging="500" w:firstLineChars="0"/>
        <w:contextualSpacing/>
        <w:rPr>
          <w:rFonts w:hint="eastAsia" w:ascii="仿宋" w:hAnsi="仿宋" w:eastAsia="仿宋" w:cs="仿宋"/>
          <w:b/>
          <w:sz w:val="24"/>
          <w:szCs w:val="24"/>
          <w:highlight w:val="none"/>
        </w:rPr>
      </w:pPr>
      <w:r>
        <w:rPr>
          <w:rFonts w:hint="default" w:ascii="仿宋" w:hAnsi="仿宋" w:eastAsia="仿宋" w:cs="仿宋"/>
          <w:b/>
          <w:kern w:val="2"/>
          <w:sz w:val="24"/>
          <w:szCs w:val="24"/>
          <w:lang w:val="en-US" w:eastAsia="zh-CN" w:bidi="ar-SA"/>
        </w:rPr>
        <w:t>二、</w:t>
      </w:r>
      <w:r>
        <w:rPr>
          <w:rFonts w:hint="eastAsia" w:ascii="仿宋" w:hAnsi="仿宋" w:eastAsia="仿宋" w:cs="仿宋"/>
          <w:b/>
          <w:sz w:val="24"/>
          <w:szCs w:val="24"/>
          <w:highlight w:val="none"/>
          <w:lang w:val="en-US" w:eastAsia="zh-CN"/>
        </w:rPr>
        <w:t>商务要求</w:t>
      </w:r>
    </w:p>
    <w:p w14:paraId="5A2A1B9C">
      <w:pPr>
        <w:widowControl/>
        <w:spacing w:line="46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1、供应商所提供的</w:t>
      </w:r>
      <w:r>
        <w:rPr>
          <w:rFonts w:hint="eastAsia" w:ascii="仿宋" w:hAnsi="仿宋" w:eastAsia="仿宋" w:cs="仿宋"/>
          <w:kern w:val="0"/>
          <w:sz w:val="24"/>
          <w:szCs w:val="24"/>
          <w:lang w:val="en-US" w:eastAsia="zh-CN" w:bidi="ar"/>
        </w:rPr>
        <w:t>货物</w:t>
      </w:r>
      <w:r>
        <w:rPr>
          <w:rFonts w:hint="eastAsia" w:ascii="仿宋" w:hAnsi="仿宋" w:eastAsia="仿宋" w:cs="仿宋"/>
          <w:kern w:val="0"/>
          <w:sz w:val="24"/>
          <w:szCs w:val="24"/>
          <w:lang w:bidi="ar"/>
        </w:rPr>
        <w:t>质量须达到采购人的要求，在保证服务期限和</w:t>
      </w:r>
      <w:r>
        <w:rPr>
          <w:rFonts w:hint="eastAsia" w:ascii="仿宋" w:hAnsi="仿宋" w:eastAsia="仿宋" w:cs="仿宋"/>
          <w:kern w:val="0"/>
          <w:sz w:val="24"/>
          <w:szCs w:val="24"/>
          <w:lang w:val="en-US" w:eastAsia="zh-CN" w:bidi="ar"/>
        </w:rPr>
        <w:t>货物</w:t>
      </w:r>
      <w:r>
        <w:rPr>
          <w:rFonts w:hint="eastAsia" w:ascii="仿宋" w:hAnsi="仿宋" w:eastAsia="仿宋" w:cs="仿宋"/>
          <w:kern w:val="0"/>
          <w:sz w:val="24"/>
          <w:szCs w:val="24"/>
          <w:lang w:bidi="ar"/>
        </w:rPr>
        <w:t>质量的前提下为采购人提供</w:t>
      </w:r>
      <w:r>
        <w:rPr>
          <w:rFonts w:hint="eastAsia" w:ascii="仿宋" w:hAnsi="仿宋" w:eastAsia="仿宋" w:cs="仿宋"/>
          <w:kern w:val="0"/>
          <w:sz w:val="24"/>
          <w:szCs w:val="24"/>
          <w:lang w:val="en-US" w:eastAsia="zh-CN" w:bidi="ar"/>
        </w:rPr>
        <w:t>货物</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服务</w:t>
      </w:r>
      <w:r>
        <w:rPr>
          <w:rFonts w:hint="eastAsia" w:ascii="仿宋" w:hAnsi="仿宋" w:eastAsia="仿宋" w:cs="仿宋"/>
          <w:kern w:val="0"/>
          <w:sz w:val="24"/>
          <w:szCs w:val="24"/>
          <w:lang w:bidi="ar"/>
        </w:rPr>
        <w:t xml:space="preserve">中的一切风险（包括人员安全事故责任、与第三方的劳务纠纷、项目实施过程中的劳务纠纷及人员伤害等）均由供应商一方承担责任。 </w:t>
      </w:r>
    </w:p>
    <w:p w14:paraId="705C9DAB">
      <w:pPr>
        <w:widowControl/>
        <w:spacing w:line="46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合同履约期限</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lang w:bidi="ar"/>
        </w:rPr>
        <w:t>合同签订之日起60日内完成本项目（具体以与招标人签订合同为准）</w:t>
      </w:r>
    </w:p>
    <w:p w14:paraId="62D93227">
      <w:pPr>
        <w:snapToGrid w:val="0"/>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3、服务地址：由采购人指定地点。</w:t>
      </w:r>
    </w:p>
    <w:p w14:paraId="5530F4F5">
      <w:pPr>
        <w:widowControl/>
        <w:spacing w:line="46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4、付款方式：</w:t>
      </w:r>
    </w:p>
    <w:p w14:paraId="2C6881F1">
      <w:pPr>
        <w:widowControl/>
        <w:spacing w:line="46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（1）项目完成30%后支付合同价的50%；</w:t>
      </w:r>
    </w:p>
    <w:p w14:paraId="6EC2EF5A">
      <w:pPr>
        <w:widowControl/>
        <w:spacing w:line="46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（2）货物到场后经招标人签收合格后支付35%；</w:t>
      </w:r>
    </w:p>
    <w:p w14:paraId="00663458">
      <w:pPr>
        <w:widowControl/>
        <w:spacing w:line="46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（3）安装成后经招标人验收合格后，项目审计决算完成后，所有项目资料移交完成经招标人确认后支付15%。</w:t>
      </w:r>
      <w:r>
        <w:rPr>
          <w:rFonts w:hint="eastAsia" w:ascii="仿宋" w:hAnsi="仿宋" w:eastAsia="仿宋" w:cs="仿宋"/>
          <w:sz w:val="24"/>
          <w:szCs w:val="24"/>
          <w:highlight w:val="none"/>
          <w:lang w:val="en-US" w:eastAsia="zh-CN"/>
        </w:rPr>
        <w:t>具体以合同签订为准。</w:t>
      </w:r>
    </w:p>
    <w:p w14:paraId="38A96FE0">
      <w:pPr>
        <w:widowControl/>
        <w:spacing w:line="46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5、资金来源：</w:t>
      </w:r>
      <w:r>
        <w:rPr>
          <w:rFonts w:hint="eastAsia" w:ascii="仿宋" w:hAnsi="仿宋" w:eastAsia="仿宋" w:cs="仿宋"/>
          <w:i w:val="0"/>
          <w:iCs w:val="0"/>
          <w:caps w:val="0"/>
          <w:color w:val="000000"/>
          <w:spacing w:val="0"/>
          <w:sz w:val="24"/>
          <w:szCs w:val="24"/>
          <w:highlight w:val="none"/>
          <w:lang w:val="en-US" w:eastAsia="zh-CN"/>
        </w:rPr>
        <w:t>财政衔接推进乡村振兴补助资金</w:t>
      </w:r>
    </w:p>
    <w:p w14:paraId="46E85E99">
      <w:pPr>
        <w:widowControl/>
        <w:spacing w:line="46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、其他未尽事宜由供需双方在签订采购合同时详细约定。</w:t>
      </w:r>
    </w:p>
    <w:p w14:paraId="724126A0">
      <w:pPr>
        <w:pStyle w:val="176"/>
        <w:spacing w:line="460" w:lineRule="exact"/>
        <w:ind w:firstLine="480" w:firstLineChars="200"/>
        <w:rPr>
          <w:rFonts w:hint="eastAsia" w:ascii="仿宋" w:hAnsi="仿宋" w:eastAsia="仿宋" w:cs="仿宋"/>
          <w:kern w:val="0"/>
          <w:sz w:val="24"/>
          <w:szCs w:val="24"/>
          <w:lang w:bidi="ar"/>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w:t>
      </w:r>
      <w:r>
        <w:rPr>
          <w:rFonts w:hint="eastAsia" w:ascii="仿宋" w:hAnsi="仿宋" w:eastAsia="仿宋" w:cs="仿宋"/>
          <w:kern w:val="0"/>
          <w:sz w:val="24"/>
          <w:szCs w:val="24"/>
          <w:lang w:bidi="ar"/>
        </w:rPr>
        <w:t>成交供应商在项目实施过程中必须接受和配合相关单位的监督、检查、审核和指导，同时负责编制、归档资料。供应商须按照采购人需要为采购人提供后续服务，对后续实施过程中涉及的问题给予配合，此后续服务费用包含在报价中。</w:t>
      </w:r>
    </w:p>
    <w:p w14:paraId="42E3FC2D">
      <w:pPr>
        <w:pStyle w:val="168"/>
        <w:numPr>
          <w:ilvl w:val="0"/>
          <w:numId w:val="0"/>
        </w:numPr>
        <w:spacing w:line="360" w:lineRule="auto"/>
        <w:ind w:left="500" w:leftChars="0" w:right="62" w:rightChars="0" w:hanging="500" w:firstLineChars="0"/>
        <w:contextualSpacing/>
        <w:rPr>
          <w:rFonts w:hint="eastAsia" w:ascii="仿宋" w:hAnsi="仿宋" w:eastAsia="仿宋" w:cs="仿宋"/>
          <w:b/>
          <w:sz w:val="24"/>
          <w:szCs w:val="24"/>
          <w:highlight w:val="none"/>
        </w:rPr>
      </w:pPr>
      <w:r>
        <w:rPr>
          <w:rFonts w:hint="default" w:ascii="仿宋" w:hAnsi="仿宋" w:eastAsia="仿宋" w:cs="仿宋"/>
          <w:b/>
          <w:kern w:val="2"/>
          <w:sz w:val="24"/>
          <w:szCs w:val="24"/>
          <w:lang w:val="en-US" w:eastAsia="zh-CN" w:bidi="ar-SA"/>
        </w:rPr>
        <w:t>三、</w:t>
      </w:r>
      <w:r>
        <w:rPr>
          <w:rFonts w:hint="eastAsia" w:ascii="仿宋" w:hAnsi="仿宋" w:eastAsia="仿宋" w:cs="仿宋"/>
          <w:b/>
          <w:sz w:val="24"/>
          <w:szCs w:val="24"/>
          <w:highlight w:val="none"/>
        </w:rPr>
        <w:t>技术要求</w:t>
      </w:r>
    </w:p>
    <w:p w14:paraId="23226A38">
      <w:pPr>
        <w:spacing w:line="360" w:lineRule="auto"/>
        <w:ind w:left="239" w:leftChars="114" w:firstLine="120" w:firstLineChars="50"/>
        <w:contextualSpacing/>
        <w:rPr>
          <w:rFonts w:hint="eastAsia" w:ascii="仿宋" w:hAnsi="仿宋" w:eastAsia="仿宋" w:cs="仿宋"/>
          <w:sz w:val="24"/>
          <w:highlight w:val="none"/>
        </w:rPr>
      </w:pPr>
      <w:r>
        <w:rPr>
          <w:rFonts w:hint="eastAsia" w:ascii="仿宋" w:hAnsi="仿宋" w:eastAsia="仿宋" w:cs="仿宋"/>
          <w:sz w:val="24"/>
          <w:highlight w:val="none"/>
        </w:rPr>
        <w:t>1. 基本要求</w:t>
      </w:r>
    </w:p>
    <w:p w14:paraId="2D6F7C01">
      <w:pPr>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1.1 采购标的需实现的功能或者目标</w:t>
      </w:r>
    </w:p>
    <w:p w14:paraId="39E459F0">
      <w:pPr>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1.2 需执行的国家相关标准、行业标准、地方标准或者其他标准、规范</w:t>
      </w:r>
    </w:p>
    <w:p w14:paraId="3BDE3A04">
      <w:pPr>
        <w:spacing w:line="360" w:lineRule="auto"/>
        <w:ind w:left="239" w:leftChars="114" w:firstLine="120" w:firstLineChars="50"/>
        <w:contextualSpacing/>
        <w:rPr>
          <w:rFonts w:hint="eastAsia" w:ascii="仿宋" w:hAnsi="仿宋" w:eastAsia="仿宋" w:cs="仿宋"/>
          <w:sz w:val="24"/>
          <w:highlight w:val="none"/>
        </w:rPr>
      </w:pPr>
      <w:r>
        <w:rPr>
          <w:rFonts w:hint="eastAsia" w:ascii="仿宋" w:hAnsi="仿宋" w:eastAsia="仿宋" w:cs="仿宋"/>
          <w:sz w:val="24"/>
          <w:highlight w:val="none"/>
        </w:rPr>
        <w:t>2. 服务内容及要求/货物技术要求</w:t>
      </w:r>
    </w:p>
    <w:p w14:paraId="3409A095">
      <w:pPr>
        <w:widowControl/>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2.1采购标的需满足的性能、材料、结构、外观、质量、安全、技术规格、物理特性等要求；</w:t>
      </w:r>
    </w:p>
    <w:p w14:paraId="6DB66209">
      <w:pPr>
        <w:widowControl/>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2.2采购标的需满足的服务标准、期限、效率等要求；</w:t>
      </w:r>
    </w:p>
    <w:p w14:paraId="6B1A1AAC">
      <w:pPr>
        <w:widowControl/>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2.3为落实政府采购政策需满足的要求；</w:t>
      </w:r>
    </w:p>
    <w:p w14:paraId="46FE4215">
      <w:pPr>
        <w:widowControl/>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2.4采购标的的其他技术、服务等要求；</w:t>
      </w:r>
    </w:p>
    <w:p w14:paraId="5FEE71C2">
      <w:pPr>
        <w:widowControl/>
        <w:spacing w:line="360" w:lineRule="auto"/>
        <w:ind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2.5需由供应商提供设计方案、解决方案或者组织方案的采购项目，应当说明采购标的的功能、应用场景、目标等基本要求。</w:t>
      </w:r>
    </w:p>
    <w:p w14:paraId="5642AAA3">
      <w:pPr>
        <w:spacing w:line="360" w:lineRule="auto"/>
        <w:ind w:left="239" w:leftChars="114" w:firstLine="120" w:firstLineChars="50"/>
        <w:contextualSpacing/>
        <w:rPr>
          <w:rFonts w:hint="eastAsia" w:ascii="仿宋" w:hAnsi="仿宋" w:eastAsia="仿宋" w:cs="仿宋"/>
          <w:i/>
          <w:iCs/>
          <w:sz w:val="24"/>
          <w:highlight w:val="none"/>
          <w:lang w:val="en-US" w:eastAsia="zh-CN"/>
        </w:rPr>
      </w:pPr>
      <w:r>
        <w:rPr>
          <w:rFonts w:hint="eastAsia" w:ascii="仿宋" w:hAnsi="仿宋" w:eastAsia="仿宋" w:cs="仿宋"/>
          <w:sz w:val="24"/>
          <w:highlight w:val="none"/>
        </w:rPr>
        <w:t>3. 验收标准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以甲方签订合同为准。）</w:t>
      </w:r>
    </w:p>
    <w:p w14:paraId="4DF7E918">
      <w:pPr>
        <w:spacing w:line="360" w:lineRule="auto"/>
        <w:ind w:left="239" w:leftChars="114" w:firstLine="120" w:firstLineChars="50"/>
        <w:contextualSpacing/>
        <w:rPr>
          <w:rFonts w:hint="eastAsia" w:ascii="仿宋" w:hAnsi="仿宋" w:eastAsia="仿宋" w:cs="仿宋"/>
          <w:sz w:val="24"/>
          <w:highlight w:val="none"/>
          <w:lang w:eastAsia="zh-CN"/>
        </w:rPr>
      </w:pPr>
      <w:r>
        <w:rPr>
          <w:rFonts w:hint="eastAsia" w:ascii="仿宋" w:hAnsi="仿宋" w:eastAsia="仿宋" w:cs="仿宋"/>
          <w:sz w:val="24"/>
          <w:highlight w:val="none"/>
        </w:rPr>
        <w:t>4. 其他要求</w:t>
      </w:r>
      <w:r>
        <w:rPr>
          <w:rFonts w:hint="eastAsia" w:ascii="仿宋" w:hAnsi="仿宋" w:eastAsia="仿宋" w:cs="仿宋"/>
          <w:sz w:val="24"/>
          <w:highlight w:val="none"/>
          <w:lang w:eastAsia="zh-CN"/>
        </w:rPr>
        <w:t>：</w:t>
      </w:r>
    </w:p>
    <w:p w14:paraId="29064306">
      <w:pPr>
        <w:spacing w:line="360" w:lineRule="auto"/>
        <w:ind w:left="239" w:leftChars="114" w:firstLine="120" w:firstLineChars="50"/>
        <w:contextualSpacing/>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）本项目采购内容“1.高效液相色谱仪；2.超低温冰箱”为核心产品。</w:t>
      </w:r>
    </w:p>
    <w:p w14:paraId="3200A919">
      <w:pPr>
        <w:spacing w:line="360" w:lineRule="auto"/>
        <w:ind w:left="239" w:leftChars="114" w:firstLine="120" w:firstLineChars="50"/>
        <w:contextualSpacing/>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）参数中带“★”号的为核心参数，须提供厂家盖章的彩页等证明材料；</w:t>
      </w:r>
    </w:p>
    <w:p w14:paraId="1CFE1EF0">
      <w:pPr>
        <w:spacing w:line="360" w:lineRule="auto"/>
        <w:ind w:left="239" w:leftChars="114" w:firstLine="120" w:firstLineChars="50"/>
        <w:contextualSpacing/>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）带“▲”号的参数，须提供厂家盖章的相关的佐证材料，如提供并完全满足则加分，不满足则扣分。</w:t>
      </w:r>
    </w:p>
    <w:p w14:paraId="26211151">
      <w:pPr>
        <w:autoSpaceDE w:val="0"/>
        <w:autoSpaceDN w:val="0"/>
        <w:adjustRightInd w:val="0"/>
        <w:spacing w:line="400" w:lineRule="exact"/>
        <w:jc w:val="left"/>
        <w:rPr>
          <w:rFonts w:hint="eastAsia" w:ascii="仿宋" w:hAnsi="仿宋" w:eastAsia="仿宋" w:cs="仿宋"/>
          <w:b/>
          <w:bCs/>
          <w:kern w:val="0"/>
          <w:sz w:val="28"/>
          <w:szCs w:val="28"/>
          <w:highlight w:val="none"/>
        </w:rPr>
      </w:pPr>
      <w:r>
        <w:rPr>
          <w:rFonts w:hint="eastAsia" w:ascii="仿宋" w:hAnsi="仿宋" w:eastAsia="仿宋" w:cs="仿宋"/>
          <w:sz w:val="24"/>
          <w:szCs w:val="24"/>
          <w:highlight w:val="none"/>
        </w:rPr>
        <w:br w:type="page"/>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Start w:id="268" w:name="_Toc20987"/>
    </w:p>
    <w:bookmarkEnd w:id="268"/>
    <w:p w14:paraId="786DD763">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仿宋" w:hAnsi="仿宋" w:eastAsia="仿宋" w:cs="仿宋"/>
          <w:b/>
          <w:kern w:val="2"/>
          <w:sz w:val="28"/>
          <w:szCs w:val="28"/>
          <w:highlight w:val="none"/>
          <w:lang w:val="en-US" w:eastAsia="zh-CN" w:bidi="ar-SA"/>
        </w:rPr>
      </w:pPr>
      <w:bookmarkStart w:id="269" w:name="_Toc2874"/>
      <w:bookmarkStart w:id="270" w:name="_Toc6078"/>
      <w:r>
        <w:rPr>
          <w:rFonts w:hint="eastAsia" w:ascii="仿宋" w:hAnsi="仿宋" w:eastAsia="仿宋" w:cs="仿宋"/>
          <w:b/>
          <w:kern w:val="2"/>
          <w:sz w:val="28"/>
          <w:szCs w:val="28"/>
          <w:highlight w:val="none"/>
          <w:lang w:val="en-US" w:eastAsia="zh-CN" w:bidi="ar-SA"/>
        </w:rPr>
        <w:t xml:space="preserve">第六章  </w:t>
      </w:r>
      <w:bookmarkEnd w:id="269"/>
      <w:r>
        <w:rPr>
          <w:rFonts w:hint="eastAsia" w:ascii="仿宋" w:hAnsi="仿宋" w:eastAsia="仿宋" w:cs="仿宋"/>
          <w:b/>
          <w:kern w:val="2"/>
          <w:sz w:val="28"/>
          <w:szCs w:val="28"/>
          <w:highlight w:val="none"/>
          <w:lang w:val="en-US" w:eastAsia="zh-CN" w:bidi="ar-SA"/>
        </w:rPr>
        <w:t>拟签订的合同文本</w:t>
      </w:r>
      <w:bookmarkEnd w:id="270"/>
    </w:p>
    <w:p w14:paraId="47E19C54">
      <w:pPr>
        <w:snapToGrid w:val="0"/>
        <w:spacing w:line="360" w:lineRule="auto"/>
        <w:ind w:left="0" w:leftChars="0" w:firstLine="0" w:firstLineChars="0"/>
        <w:jc w:val="center"/>
        <w:rPr>
          <w:rFonts w:hint="eastAsia" w:ascii="仿宋" w:hAnsi="仿宋" w:eastAsia="仿宋" w:cs="仿宋"/>
          <w:b/>
          <w:color w:val="000000"/>
          <w:sz w:val="24"/>
          <w:szCs w:val="24"/>
          <w:highlight w:val="none"/>
        </w:rPr>
      </w:pPr>
    </w:p>
    <w:p w14:paraId="63432F81">
      <w:pPr>
        <w:snapToGrid w:val="0"/>
        <w:spacing w:line="360" w:lineRule="auto"/>
        <w:ind w:left="0" w:leftChars="0" w:firstLine="0" w:firstLineChars="0"/>
        <w:jc w:val="center"/>
        <w:outlineLvl w:val="9"/>
        <w:rPr>
          <w:rFonts w:hint="eastAsia" w:ascii="仿宋" w:hAnsi="仿宋" w:eastAsia="仿宋" w:cs="仿宋"/>
          <w:b/>
          <w:bCs/>
          <w:kern w:val="2"/>
          <w:sz w:val="24"/>
          <w:szCs w:val="32"/>
          <w:highlight w:val="none"/>
          <w:lang w:val="en-US" w:eastAsia="zh-CN" w:bidi="ar-SA"/>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 xml:space="preserve">部分 </w:t>
      </w:r>
      <w:r>
        <w:rPr>
          <w:rFonts w:hint="eastAsia" w:ascii="仿宋" w:hAnsi="仿宋" w:eastAsia="仿宋" w:cs="仿宋"/>
          <w:b/>
          <w:color w:val="000000"/>
          <w:sz w:val="24"/>
          <w:szCs w:val="24"/>
          <w:highlight w:val="none"/>
          <w:lang w:val="en-US" w:eastAsia="zh-CN"/>
        </w:rPr>
        <w:t>合同</w:t>
      </w:r>
      <w:r>
        <w:rPr>
          <w:rFonts w:hint="eastAsia" w:ascii="仿宋" w:hAnsi="仿宋" w:eastAsia="仿宋" w:cs="仿宋"/>
          <w:b/>
          <w:bCs/>
          <w:kern w:val="2"/>
          <w:sz w:val="24"/>
          <w:szCs w:val="32"/>
          <w:highlight w:val="none"/>
          <w:lang w:val="en-US" w:eastAsia="zh-CN" w:bidi="ar-SA"/>
        </w:rPr>
        <w:t>主要条款</w:t>
      </w:r>
    </w:p>
    <w:p w14:paraId="2C2F5BE1">
      <w:pPr>
        <w:snapToGrid w:val="0"/>
        <w:spacing w:line="360" w:lineRule="auto"/>
        <w:ind w:left="0" w:leftChars="0" w:firstLine="0" w:firstLineChars="0"/>
        <w:jc w:val="center"/>
        <w:outlineLvl w:val="9"/>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（本合同仅供参考，最终合同由采购人与中标人协商确定）</w:t>
      </w:r>
    </w:p>
    <w:p w14:paraId="73DAB7D7">
      <w:pPr>
        <w:spacing w:line="400" w:lineRule="exact"/>
        <w:ind w:firstLine="420" w:firstLineChars="200"/>
        <w:jc w:val="right"/>
        <w:outlineLvl w:val="9"/>
        <w:rPr>
          <w:rFonts w:hint="eastAsia" w:ascii="仿宋" w:hAnsi="仿宋" w:eastAsia="仿宋" w:cs="仿宋"/>
          <w:sz w:val="28"/>
          <w:szCs w:val="28"/>
          <w:highlight w:val="none"/>
          <w:lang w:val="zh-CN"/>
        </w:rPr>
      </w:pPr>
      <w:bookmarkStart w:id="271" w:name="_Toc331685783"/>
      <w:r>
        <w:rPr>
          <w:rFonts w:hint="eastAsia" w:ascii="仿宋" w:hAnsi="仿宋" w:eastAsia="仿宋" w:cs="仿宋"/>
          <w:kern w:val="2"/>
          <w:sz w:val="21"/>
          <w:szCs w:val="24"/>
          <w:highlight w:val="none"/>
          <w:lang w:val="en-US" w:eastAsia="zh-CN" w:bidi="ar-SA"/>
        </w:rPr>
        <w:t xml:space="preserve">                </w:t>
      </w:r>
    </w:p>
    <w:p w14:paraId="0E0089B5">
      <w:pPr>
        <w:ind w:firstLine="480" w:firstLineChars="200"/>
        <w:jc w:val="center"/>
        <w:outlineLvl w:val="9"/>
        <w:rPr>
          <w:rFonts w:hint="eastAsia" w:ascii="仿宋" w:hAnsi="仿宋" w:eastAsia="仿宋" w:cs="仿宋"/>
          <w:sz w:val="24"/>
          <w:highlight w:val="none"/>
          <w:lang w:val="zh-CN"/>
        </w:rPr>
      </w:pPr>
    </w:p>
    <w:p w14:paraId="2DE10790">
      <w:pPr>
        <w:ind w:firstLine="880" w:firstLineChars="200"/>
        <w:jc w:val="center"/>
        <w:outlineLvl w:val="9"/>
        <w:rPr>
          <w:rFonts w:hint="eastAsia" w:ascii="仿宋" w:hAnsi="仿宋" w:eastAsia="仿宋" w:cs="仿宋"/>
          <w:sz w:val="44"/>
          <w:szCs w:val="44"/>
          <w:highlight w:val="none"/>
          <w:lang w:val="zh-CN"/>
        </w:rPr>
      </w:pPr>
      <w:r>
        <w:rPr>
          <w:rFonts w:hint="eastAsia" w:ascii="仿宋" w:hAnsi="仿宋" w:eastAsia="仿宋" w:cs="仿宋"/>
          <w:sz w:val="44"/>
          <w:szCs w:val="44"/>
          <w:highlight w:val="none"/>
          <w:lang w:val="zh-CN"/>
        </w:rPr>
        <w:t>政府采购合同（示范文本）</w:t>
      </w:r>
    </w:p>
    <w:p w14:paraId="3B253FDA">
      <w:pPr>
        <w:widowControl/>
        <w:jc w:val="left"/>
        <w:outlineLvl w:val="9"/>
        <w:rPr>
          <w:rFonts w:hint="eastAsia" w:ascii="仿宋" w:hAnsi="仿宋" w:eastAsia="仿宋" w:cs="仿宋"/>
          <w:sz w:val="24"/>
          <w:szCs w:val="24"/>
          <w:highlight w:val="none"/>
        </w:rPr>
      </w:pPr>
      <w:r>
        <w:rPr>
          <w:rFonts w:hint="eastAsia" w:ascii="仿宋" w:hAnsi="仿宋" w:eastAsia="仿宋" w:cs="仿宋"/>
          <w:kern w:val="2"/>
          <w:sz w:val="21"/>
          <w:szCs w:val="24"/>
          <w:highlight w:val="none"/>
          <w:lang w:val="en-US" w:eastAsia="zh-CN" w:bidi="ar-SA"/>
        </w:rPr>
        <w:t xml:space="preserve">   </w:t>
      </w:r>
      <w:r>
        <w:rPr>
          <w:rFonts w:hint="eastAsia" w:ascii="仿宋" w:hAnsi="仿宋" w:eastAsia="仿宋" w:cs="仿宋"/>
          <w:kern w:val="2"/>
          <w:sz w:val="24"/>
          <w:szCs w:val="24"/>
          <w:highlight w:val="none"/>
          <w:lang w:val="en-US" w:eastAsia="zh-CN" w:bidi="ar-SA"/>
        </w:rPr>
        <w:t xml:space="preserve">           </w:t>
      </w:r>
    </w:p>
    <w:p w14:paraId="1C142A47">
      <w:pPr>
        <w:pStyle w:val="181"/>
        <w:ind w:firstLine="42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p>
    <w:p w14:paraId="05BB6F36">
      <w:pPr>
        <w:pStyle w:val="181"/>
        <w:ind w:firstLine="42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签订地点</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p>
    <w:p w14:paraId="5D80633D">
      <w:pPr>
        <w:pStyle w:val="181"/>
        <w:ind w:firstLine="42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签订时间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p>
    <w:p w14:paraId="00D69A19">
      <w:pPr>
        <w:pStyle w:val="181"/>
        <w:ind w:firstLine="42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采购人（甲方）</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p>
    <w:p w14:paraId="356A7EA2">
      <w:pPr>
        <w:pStyle w:val="181"/>
        <w:ind w:firstLine="42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供应商（乙方）</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p>
    <w:p w14:paraId="6F1A8F65">
      <w:pPr>
        <w:autoSpaceDE w:val="0"/>
        <w:autoSpaceDN w:val="0"/>
        <w:adjustRightInd w:val="0"/>
        <w:spacing w:line="240" w:lineRule="auto"/>
        <w:ind w:left="0" w:leftChars="0" w:right="0"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乙方于</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日参加了</w:t>
      </w:r>
      <w:r>
        <w:rPr>
          <w:rFonts w:hint="eastAsia" w:ascii="仿宋" w:hAnsi="仿宋" w:eastAsia="仿宋" w:cs="仿宋"/>
          <w:sz w:val="24"/>
          <w:szCs w:val="24"/>
          <w:highlight w:val="none"/>
          <w:u w:val="single"/>
          <w:lang w:val="zh-CN"/>
        </w:rPr>
        <w:t xml:space="preserve"> （采购人或者代理机构） </w:t>
      </w:r>
      <w:r>
        <w:rPr>
          <w:rFonts w:hint="eastAsia" w:ascii="仿宋" w:hAnsi="仿宋" w:eastAsia="仿宋" w:cs="仿宋"/>
          <w:sz w:val="24"/>
          <w:szCs w:val="24"/>
          <w:highlight w:val="none"/>
          <w:lang w:val="zh-CN"/>
        </w:rPr>
        <w:t xml:space="preserve">组织的“ </w:t>
      </w:r>
      <w:r>
        <w:rPr>
          <w:rFonts w:hint="eastAsia" w:ascii="仿宋" w:hAnsi="仿宋" w:eastAsia="仿宋" w:cs="仿宋"/>
          <w:sz w:val="24"/>
          <w:szCs w:val="24"/>
          <w:highlight w:val="none"/>
          <w:u w:val="single"/>
          <w:lang w:val="zh-CN"/>
        </w:rPr>
        <w:t xml:space="preserve"> （项目名称及项目编号）  </w:t>
      </w:r>
      <w:r>
        <w:rPr>
          <w:rFonts w:hint="eastAsia" w:ascii="仿宋" w:hAnsi="仿宋" w:eastAsia="仿宋" w:cs="仿宋"/>
          <w:sz w:val="24"/>
          <w:szCs w:val="24"/>
          <w:highlight w:val="none"/>
          <w:lang w:val="zh-CN"/>
        </w:rPr>
        <w:t>”政府采购活动，经评标委员会评审确定乙方为</w:t>
      </w:r>
      <w:r>
        <w:rPr>
          <w:rFonts w:hint="eastAsia" w:ascii="仿宋" w:hAnsi="仿宋" w:eastAsia="仿宋" w:cs="仿宋"/>
          <w:sz w:val="24"/>
          <w:szCs w:val="24"/>
          <w:highlight w:val="none"/>
          <w:u w:val="single"/>
          <w:lang w:val="zh-CN"/>
        </w:rPr>
        <w:t xml:space="preserve"> （包及包名称） </w:t>
      </w:r>
      <w:r>
        <w:rPr>
          <w:rFonts w:hint="eastAsia" w:ascii="仿宋" w:hAnsi="仿宋" w:eastAsia="仿宋" w:cs="仿宋"/>
          <w:sz w:val="24"/>
          <w:szCs w:val="24"/>
          <w:highlight w:val="none"/>
          <w:lang w:val="zh-CN"/>
        </w:rPr>
        <w:t xml:space="preserve"> 中标人，按照《中华人民共和国民法典》《中华人民共和国政府采购法》和相关的法律法规规定，以及招标文件要求，经甲乙双方协商一致，签订本政府采购合同。</w:t>
      </w:r>
    </w:p>
    <w:p w14:paraId="3CAF2280">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第一条 合同标的</w:t>
      </w:r>
    </w:p>
    <w:p w14:paraId="1189A5A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服务名称 ：</w:t>
      </w:r>
    </w:p>
    <w:p w14:paraId="0218ED8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服务内容 ：</w:t>
      </w:r>
    </w:p>
    <w:p w14:paraId="63EB544C">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7A1F213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技术标准 ：</w:t>
      </w:r>
    </w:p>
    <w:p w14:paraId="234F3CC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13FC05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第二条  合同总金额</w:t>
      </w:r>
    </w:p>
    <w:p w14:paraId="0E71B90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合同总金额为人民币（大写）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w:t>
      </w:r>
    </w:p>
    <w:p w14:paraId="5995F4D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470BB6C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AD2BC96">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第三条  服务交付</w:t>
      </w:r>
    </w:p>
    <w:p w14:paraId="1101449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1、交付日期 ： </w:t>
      </w:r>
    </w:p>
    <w:p w14:paraId="2F63BD5A">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2、交付地点 ：</w:t>
      </w:r>
    </w:p>
    <w:p w14:paraId="09B56E4A">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32D993B">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第四条  交付验收</w:t>
      </w:r>
    </w:p>
    <w:p w14:paraId="76B1165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甲方应当根据国家、行业验收标准，以及合同约定验收方案，明确验收时间、方式、程序和内容等事项，组成验收小组，在收到乙方项目验收建议之日起7个工作日内，对采购项目进行实质性验收（验收建议有明显不当的除外）。乙方应对提交的服务成果作出全面检查和整理，并列出清单，作为甲方验收和使用技术条件依据，清单应随提交的服务成果交给甲方。</w:t>
      </w:r>
    </w:p>
    <w:p w14:paraId="22E792D6">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2、对大型或复杂的政府采购项目，甲方应当邀请国家认可的质量检测机构参与验收工作，并出具验收报告，相关费用负担由甲乙双方约定。</w:t>
      </w:r>
    </w:p>
    <w:p w14:paraId="5667776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3、乙方在指定地点提交服务成果后，甲乙双方应依据招标文件、投标文件等文件材料的要求共同验收，并且出具书面验收报告，履约验收报告应当依法依规及时在青岛市政府采购网公开发布。</w:t>
      </w:r>
    </w:p>
    <w:p w14:paraId="25A9F9D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4.根据财</w:t>
      </w:r>
      <w:r>
        <w:rPr>
          <w:rFonts w:hint="eastAsia" w:ascii="仿宋" w:hAnsi="仿宋" w:eastAsia="仿宋" w:cs="仿宋"/>
          <w:sz w:val="24"/>
          <w:szCs w:val="24"/>
          <w:highlight w:val="none"/>
        </w:rPr>
        <w:t>政部等三部门《关于印发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商品包装政府采购需求标准（试行）&gt;、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快递包装政府采购需求标准（试行）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的通知》规定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采购文件对商品包装和快递包装提出具体要求的，</w:t>
      </w:r>
      <w:r>
        <w:rPr>
          <w:rFonts w:hint="eastAsia" w:ascii="仿宋" w:hAnsi="仿宋" w:eastAsia="仿宋" w:cs="仿宋"/>
          <w:sz w:val="24"/>
          <w:szCs w:val="24"/>
          <w:highlight w:val="none"/>
        </w:rPr>
        <w:t>对乙方所提供包装的履约验收要求（必要时要求乙方在履约验收环节出具检测报告）</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9BA75C7">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0ED83DE">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第五条  所有权归属</w:t>
      </w:r>
    </w:p>
    <w:p w14:paraId="4D145BA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3A08EA3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1F7F2EAC">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第六条  包装、装运及运输</w:t>
      </w:r>
    </w:p>
    <w:p w14:paraId="0BBA72E7">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1、乙方负责包装、装运和运输，由于不适当的包装、装运和运输造成任何损坏均由乙方负责。</w:t>
      </w:r>
    </w:p>
    <w:p w14:paraId="1FBFA70C">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2、包装费、运费及相关费用已包含在合同总金额内。</w:t>
      </w:r>
    </w:p>
    <w:p w14:paraId="3635DD0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根据财政部等三部门《关于印发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商品包装政府采购需求标准（试行）</w:t>
      </w:r>
      <w:r>
        <w:rPr>
          <w:rFonts w:hint="eastAsia" w:ascii="仿宋" w:hAnsi="仿宋" w:eastAsia="仿宋" w:cs="仿宋"/>
          <w:sz w:val="24"/>
          <w:szCs w:val="24"/>
          <w:highlight w:val="none"/>
          <w:lang w:eastAsia="zh-CN"/>
        </w:rPr>
        <w:t>&gt;〈</w:t>
      </w:r>
      <w:r>
        <w:rPr>
          <w:rFonts w:hint="eastAsia" w:ascii="仿宋" w:hAnsi="仿宋" w:eastAsia="仿宋" w:cs="仿宋"/>
          <w:sz w:val="24"/>
          <w:szCs w:val="24"/>
          <w:highlight w:val="none"/>
        </w:rPr>
        <w:t>快递包装政府采购需求标准（试行）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的通知》规定，对乙方提出的具体包装要求</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p>
    <w:p w14:paraId="38C83D7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AF93D3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第七条  款项支付</w:t>
      </w:r>
    </w:p>
    <w:p w14:paraId="75C1033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1、服务成果交付甲方，经甲乙双方共同验收合格后由甲方负责办理支付手续。</w:t>
      </w:r>
    </w:p>
    <w:p w14:paraId="494B0EF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2、允许并鼓励乙方提供电子发票，甲方自收到发票之日起5个工作日内支付资金，并不得附加未经约定的其他条件。</w:t>
      </w:r>
    </w:p>
    <w:p w14:paraId="1998B6E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3、付款方式 </w:t>
      </w:r>
    </w:p>
    <w:p w14:paraId="48B12436">
      <w:pPr>
        <w:tabs>
          <w:tab w:val="left" w:pos="840"/>
        </w:tabs>
        <w:spacing w:line="440" w:lineRule="exact"/>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3.1预付款比例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％，于政府采购合同签订生效并具备实施条件后 5 个工作日内支付。</w:t>
      </w:r>
    </w:p>
    <w:p w14:paraId="6B3B3A84">
      <w:pPr>
        <w:spacing w:line="440" w:lineRule="exact"/>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87B00E6">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第八条  履约保证金</w:t>
      </w:r>
    </w:p>
    <w:p w14:paraId="21DF41E0">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1、履约保证金用于补偿甲方因乙方不能履行或不能完全履行合同义务而蒙受的损失。</w:t>
      </w:r>
    </w:p>
    <w:p w14:paraId="32C93236">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2、乙方应当以支票、汇票、本票或者金融机构、担保机构出具的保函等非现金形式提交履约保证金，提交形式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，金额 ：人民币（大写）</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       </w:t>
      </w:r>
      <w:r>
        <w:rPr>
          <w:rFonts w:hint="eastAsia" w:ascii="仿宋" w:hAnsi="仿宋" w:eastAsia="仿宋" w:cs="仿宋"/>
          <w:sz w:val="24"/>
          <w:szCs w:val="24"/>
          <w:highlight w:val="none"/>
          <w:lang w:val="zh-CN"/>
        </w:rPr>
        <w:t xml:space="preserve"> ）元（履约保证金不得超过政府采购合同金额的10%）。</w:t>
      </w:r>
    </w:p>
    <w:p w14:paraId="66F8C50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3、在采购标的交付验收合格无质量问题后5个工作日内退还</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zh-CN"/>
        </w:rPr>
        <w:t>。</w:t>
      </w:r>
    </w:p>
    <w:p w14:paraId="74E2B4B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2909E13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第九条  售后服务及承诺</w:t>
      </w:r>
    </w:p>
    <w:p w14:paraId="713640D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1、服务质量保证期限自提交服务验收合格之日起</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，在质量保证期内，乙方应对服务出现的问题负责处理并承担一切费用，并且赔偿甲方的损失。</w:t>
      </w:r>
    </w:p>
    <w:p w14:paraId="58174D1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2、乙方有完善的服务体系，有能力提供持续的、本地化售后服务。</w:t>
      </w:r>
    </w:p>
    <w:p w14:paraId="7880E0EA">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3、乙方负责系统安装和调试以及操作人员培训，并制定详细的培训计划，使操作人员能独立进行管理、操作、维护和故障处理等工作，做好相关记录及技术文档收集整理，待验收后移交。</w:t>
      </w:r>
    </w:p>
    <w:p w14:paraId="2C61495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4、服务范围 ：负责招标文件所涉及的所有服务。</w:t>
      </w:r>
    </w:p>
    <w:p w14:paraId="2DECAF0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C6495B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第十条  知识产权</w:t>
      </w:r>
    </w:p>
    <w:p w14:paraId="3E20822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39FD966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2、乙方为执行本合同而提供的技术资料或者其他相关资料、软件等由甲方永久免费使用。</w:t>
      </w:r>
    </w:p>
    <w:p w14:paraId="5535613C">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13D5BBE">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第十一条  甲方责任</w:t>
      </w:r>
    </w:p>
    <w:p w14:paraId="31CE0EE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1、及时办理付款手续。</w:t>
      </w:r>
    </w:p>
    <w:p w14:paraId="0B676DA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2、负责提供工作场地，协助乙方办理有关事宜。</w:t>
      </w:r>
    </w:p>
    <w:p w14:paraId="53E28A8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3、对合同条款及所知悉的乙方商业秘密负有保密义务。</w:t>
      </w:r>
    </w:p>
    <w:p w14:paraId="41CBFBDF">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1F1BFE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第十二条  乙方责任</w:t>
      </w:r>
    </w:p>
    <w:p w14:paraId="285D431F">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1、保证所提供服务为投标文件承诺服务，符合相关法律法规规定并且满足甲方的需求，保证其配套项目部件为全新的未使用的且符合相关的质量要求。</w:t>
      </w:r>
    </w:p>
    <w:p w14:paraId="547B69D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2、保证所提供服务的售后服务，严格依据投标文件及相关承诺，对服务以及与之配套的项目进行保修、维护等服务。</w:t>
      </w:r>
    </w:p>
    <w:p w14:paraId="6FE7868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3、保证其所提供服务不存在侵犯第三方知识产权的行为，否则由此产生的损失由乙方承担。</w:t>
      </w:r>
    </w:p>
    <w:p w14:paraId="1635C7FB">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46300E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第十三条  违约责任</w:t>
      </w:r>
    </w:p>
    <w:p w14:paraId="5628967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1、乙方所供服务成果及与之配套项目等不符合合同约定标准，甲方有权拒收。同时，乙方向甲方支付合同总金额20%的违约金。</w:t>
      </w:r>
    </w:p>
    <w:p w14:paraId="36D0C65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2、乙方不能交付服务成果时，乙方向甲方支付合同总金额20%的违约金。</w:t>
      </w:r>
    </w:p>
    <w:p w14:paraId="2B0C771E">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14:paraId="11B69E2B">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4.甲方逾期退还履约保证金的违约责任 ：采购人延迟退还供应商缴纳的履约保证金的，应当支付逾期利息。双方对逾期利息的利率有约定的，约定利率不得低于合同订立时1年期贷款市场报价利率；未作约定的，按照每日利率万分之五支付逾期利息。</w:t>
      </w:r>
    </w:p>
    <w:p w14:paraId="027F3690">
      <w:pPr>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5.甲方逾期支付资金的违约责任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p>
    <w:p w14:paraId="00BA348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6.因甲方原因导致变更、中止或者终止政府采购合同的，甲方对供应商受到的损失予以赔偿或者补偿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p>
    <w:p w14:paraId="3D8FAC2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7、因甲方过错而给乙方造成的损失，由甲方负担。</w:t>
      </w:r>
    </w:p>
    <w:p w14:paraId="74634A1C">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BD5484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第十四条  不可抗力</w:t>
      </w:r>
    </w:p>
    <w:p w14:paraId="6488F427">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14:paraId="763021E0">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968EC6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第十五条  保密</w:t>
      </w:r>
    </w:p>
    <w:p w14:paraId="45E9A4F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63A0151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乙方违反本合同所规定的保密义务，应按照本合同总金额的10%支付违约金。</w:t>
      </w:r>
    </w:p>
    <w:p w14:paraId="5033B3E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1CD23B9B">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第十六条  争议解决</w:t>
      </w:r>
    </w:p>
    <w:p w14:paraId="4522947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甲乙双方在合同履行中发生争议，应通过协商解决。如协商不成，可以向合同签订地法院提起诉讼。</w:t>
      </w:r>
    </w:p>
    <w:p w14:paraId="72281C2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7F4ADB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第十七条  合同生效及其他</w:t>
      </w:r>
    </w:p>
    <w:p w14:paraId="770946B7">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1、除招标文件规定且甲方事先书面同意外，乙方不得部分或者全部转让、分包履行其应履行的合同项下的义务。</w:t>
      </w:r>
    </w:p>
    <w:p w14:paraId="3B7E785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2、合同由甲、乙双方法定代表人（或者被授权代表）签字并盖章。 </w:t>
      </w:r>
    </w:p>
    <w:p w14:paraId="385EFDAD">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3、本合同一式</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份，甲方</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份，乙方</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份。</w:t>
      </w:r>
    </w:p>
    <w:p w14:paraId="6913FAFE">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7DEE59F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第十八条   服务期限</w:t>
      </w:r>
    </w:p>
    <w:p w14:paraId="7EFB6578">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本合同服务期限为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年；服务期限自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日起至</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日止。本合同期限届满，如需续签，根据《政府采购目录》有关规定，经财政部门批准，双方可以根据法律及各项规定另行签订书面合同。</w:t>
      </w:r>
    </w:p>
    <w:p w14:paraId="239005F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第十九条  下列文件为本合同不可分割部分</w:t>
      </w:r>
    </w:p>
    <w:p w14:paraId="434A0A9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1、政府采购招标文件（包括澄清、修改）；</w:t>
      </w:r>
    </w:p>
    <w:p w14:paraId="4E2B85F1">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2、乙方投标文件；</w:t>
      </w:r>
    </w:p>
    <w:p w14:paraId="09E2388F">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3、中标（成交）通知书；</w:t>
      </w:r>
    </w:p>
    <w:p w14:paraId="0247D5F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4、中标人在评标过程中做出的有关澄清、说明、承诺或者补正文件；</w:t>
      </w:r>
    </w:p>
    <w:p w14:paraId="6E77E92E">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5、政府采购委托协议书；</w:t>
      </w:r>
    </w:p>
    <w:p w14:paraId="34251155">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p>
    <w:p w14:paraId="73F3F60B">
      <w:pPr>
        <w:pStyle w:val="90"/>
        <w:ind w:left="0" w:leftChars="0" w:firstLine="0" w:firstLineChars="0"/>
        <w:outlineLvl w:val="9"/>
        <w:rPr>
          <w:rFonts w:hint="eastAsia" w:ascii="仿宋" w:hAnsi="仿宋" w:eastAsia="仿宋" w:cs="仿宋"/>
          <w:sz w:val="24"/>
          <w:szCs w:val="24"/>
          <w:highlight w:val="none"/>
          <w:lang w:val="zh-CN"/>
        </w:rPr>
      </w:pPr>
    </w:p>
    <w:p w14:paraId="685E41D2">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    方 ：                             乙    方 ：</w:t>
      </w:r>
    </w:p>
    <w:p w14:paraId="33A24574">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单位名称（公章） ：                     单位名称（公章） ：</w:t>
      </w:r>
    </w:p>
    <w:p w14:paraId="209EDB73">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法定代表人（被授权代表）签字 ：         法定代表人（被授权代表）签字 ：</w:t>
      </w:r>
    </w:p>
    <w:p w14:paraId="781308EF">
      <w:pPr>
        <w:spacing w:line="4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 xml:space="preserve"> ：</w:t>
      </w:r>
    </w:p>
    <w:p w14:paraId="2ECF1FC0">
      <w:pPr>
        <w:spacing w:line="4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 xml:space="preserve"> ：</w:t>
      </w:r>
    </w:p>
    <w:p w14:paraId="4FE80CE9">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账</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号</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账</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号</w:t>
      </w:r>
      <w:r>
        <w:rPr>
          <w:rFonts w:hint="eastAsia" w:ascii="仿宋" w:hAnsi="仿宋" w:eastAsia="仿宋" w:cs="仿宋"/>
          <w:sz w:val="24"/>
          <w:szCs w:val="24"/>
          <w:highlight w:val="none"/>
          <w:lang w:eastAsia="zh-CN"/>
        </w:rPr>
        <w:t xml:space="preserve"> ：</w:t>
      </w:r>
    </w:p>
    <w:p w14:paraId="5FF861A6">
      <w:pPr>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电    话 ：                             电    话 ：</w:t>
      </w:r>
    </w:p>
    <w:p w14:paraId="7BB52C55">
      <w:pPr>
        <w:tabs>
          <w:tab w:val="left" w:pos="7820"/>
        </w:tabs>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p>
    <w:p w14:paraId="02F7BCA4">
      <w:pPr>
        <w:tabs>
          <w:tab w:val="left" w:pos="7820"/>
        </w:tabs>
        <w:autoSpaceDE w:val="0"/>
        <w:autoSpaceDN w:val="0"/>
        <w:adjustRightInd w:val="0"/>
        <w:spacing w:line="400" w:lineRule="exact"/>
        <w:ind w:firstLine="482"/>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年   月   日                           年   月   日</w:t>
      </w:r>
    </w:p>
    <w:p w14:paraId="02AC126B">
      <w:pPr>
        <w:spacing w:line="240" w:lineRule="auto"/>
        <w:jc w:val="center"/>
        <w:outlineLvl w:val="9"/>
        <w:rPr>
          <w:rFonts w:hint="eastAsia" w:ascii="仿宋" w:hAnsi="仿宋" w:eastAsia="仿宋" w:cs="仿宋"/>
          <w:b/>
          <w:color w:val="000000"/>
          <w:sz w:val="24"/>
          <w:szCs w:val="24"/>
          <w:highlight w:val="none"/>
        </w:rPr>
      </w:pPr>
    </w:p>
    <w:p w14:paraId="36D8D845">
      <w:pPr>
        <w:spacing w:line="240" w:lineRule="auto"/>
        <w:ind w:left="0" w:leftChars="0" w:firstLine="0" w:firstLineChars="0"/>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br w:type="page"/>
      </w:r>
      <w:r>
        <w:rPr>
          <w:rFonts w:hint="eastAsia" w:ascii="仿宋" w:hAnsi="仿宋" w:eastAsia="仿宋" w:cs="仿宋"/>
          <w:b/>
          <w:color w:val="000000"/>
          <w:sz w:val="24"/>
          <w:szCs w:val="24"/>
          <w:highlight w:val="none"/>
        </w:rPr>
        <w:t>第二部分 合同一般条款</w:t>
      </w:r>
      <w:bookmarkEnd w:id="271"/>
    </w:p>
    <w:p w14:paraId="0A817498">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272" w:name="_Ref467379214"/>
      <w:bookmarkStart w:id="273" w:name="_Ref467379195"/>
      <w:bookmarkStart w:id="274" w:name="_Toc22939"/>
      <w:bookmarkStart w:id="275" w:name="_Ref467378499"/>
      <w:bookmarkStart w:id="276" w:name="_Toc19614"/>
      <w:bookmarkStart w:id="277" w:name="_Ref467379101"/>
      <w:bookmarkStart w:id="278" w:name="_Toc16917"/>
      <w:bookmarkStart w:id="279" w:name="_Toc22431"/>
      <w:bookmarkStart w:id="280" w:name="_Toc11445"/>
      <w:bookmarkStart w:id="281" w:name="_Ref467379225"/>
      <w:bookmarkStart w:id="282" w:name="_Ref467378404"/>
      <w:bookmarkStart w:id="283" w:name="_Ref467379109"/>
      <w:bookmarkStart w:id="284" w:name="_Toc28763"/>
      <w:bookmarkStart w:id="285" w:name="_Toc259093669"/>
      <w:bookmarkStart w:id="286" w:name="_Ref467378463"/>
      <w:bookmarkStart w:id="287" w:name="_Ref467379094"/>
      <w:bookmarkStart w:id="288" w:name="_Toc487900349"/>
      <w:bookmarkStart w:id="289" w:name="_Toc279701240"/>
      <w:bookmarkStart w:id="290" w:name="_Toc9652"/>
      <w:bookmarkStart w:id="291" w:name="_Ref467379205"/>
      <w:bookmarkStart w:id="292" w:name="_Toc18200"/>
      <w:bookmarkStart w:id="293" w:name="_Toc16970"/>
      <w:bookmarkStart w:id="294" w:name="_Toc22904"/>
      <w:r>
        <w:rPr>
          <w:rFonts w:hint="eastAsia" w:ascii="仿宋" w:hAnsi="仿宋" w:eastAsia="仿宋" w:cs="仿宋"/>
          <w:b/>
          <w:bCs/>
          <w:kern w:val="2"/>
          <w:sz w:val="24"/>
          <w:szCs w:val="24"/>
          <w:highlight w:val="none"/>
          <w:lang w:val="en-US" w:eastAsia="zh-CN" w:bidi="ar-SA"/>
        </w:rPr>
        <w:t>2.1 定义</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0BFB24E">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本合同中的下列词语应按以下内容进行解释 ：</w:t>
      </w:r>
    </w:p>
    <w:p w14:paraId="3132BAB4">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2.1.1 “合同”系指采购人和中标投标人签订的载明双方当事人所达成的协议，并包括所有的附件、附录和构成合同的其他文件。</w:t>
      </w:r>
    </w:p>
    <w:p w14:paraId="3D35B82E">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2.1.2 “合同价”系指根据合同约定，中标投标人在完全履行合同义务后，采购人应支付给中标投标人的价格。</w:t>
      </w:r>
    </w:p>
    <w:p w14:paraId="36497DD8">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2.1.3 “货物”系指中标投标人根据合同约定应向采购人交付的一切各种形态和种类的物品，包括原材料、燃料、设备、机械、仪表、备件、计算机软件、产品等，并包括工具、手册等其他相关资料。</w:t>
      </w:r>
    </w:p>
    <w:p w14:paraId="394694A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295" w:name="_Ref467378840"/>
      <w:r>
        <w:rPr>
          <w:rFonts w:hint="eastAsia" w:ascii="仿宋" w:hAnsi="仿宋" w:eastAsia="仿宋" w:cs="仿宋"/>
          <w:kern w:val="2"/>
          <w:sz w:val="24"/>
          <w:szCs w:val="24"/>
          <w:highlight w:val="none"/>
          <w:lang w:val="en-US" w:eastAsia="zh-CN" w:bidi="ar-SA"/>
        </w:rPr>
        <w:t>2.1.4 “甲方”系指与中标投标人签署合同的采购人</w:t>
      </w:r>
      <w:bookmarkEnd w:id="295"/>
      <w:r>
        <w:rPr>
          <w:rFonts w:hint="eastAsia" w:ascii="仿宋" w:hAnsi="仿宋" w:eastAsia="仿宋" w:cs="仿宋"/>
          <w:kern w:val="2"/>
          <w:sz w:val="24"/>
          <w:szCs w:val="24"/>
          <w:highlight w:val="none"/>
          <w:lang w:val="en-US" w:eastAsia="zh-CN" w:bidi="ar-SA"/>
        </w:rPr>
        <w:t>；采购人委托采购代理机构代表其与乙方签订合同的，采购人的授权委托书作为合同附件。</w:t>
      </w:r>
    </w:p>
    <w:p w14:paraId="42E59B2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296" w:name="_Ref467379400"/>
      <w:r>
        <w:rPr>
          <w:rFonts w:hint="eastAsia" w:ascii="仿宋" w:hAnsi="仿宋" w:eastAsia="仿宋" w:cs="仿宋"/>
          <w:kern w:val="2"/>
          <w:sz w:val="24"/>
          <w:szCs w:val="24"/>
          <w:highlight w:val="none"/>
          <w:lang w:val="en-US" w:eastAsia="zh-CN" w:bidi="ar-SA"/>
        </w:rPr>
        <w:t>2.1.5 “乙方”系指根据合同约定交付货物的中标</w:t>
      </w:r>
      <w:bookmarkEnd w:id="296"/>
      <w:r>
        <w:rPr>
          <w:rFonts w:hint="eastAsia" w:ascii="仿宋" w:hAnsi="仿宋" w:eastAsia="仿宋" w:cs="仿宋"/>
          <w:kern w:val="2"/>
          <w:sz w:val="24"/>
          <w:szCs w:val="24"/>
          <w:highlight w:val="none"/>
          <w:lang w:val="en-US" w:eastAsia="zh-CN" w:bidi="ar-SA"/>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02CD90D">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297" w:name="_Ref467379436"/>
      <w:r>
        <w:rPr>
          <w:rFonts w:hint="eastAsia" w:ascii="仿宋" w:hAnsi="仿宋" w:eastAsia="仿宋" w:cs="仿宋"/>
          <w:kern w:val="2"/>
          <w:sz w:val="24"/>
          <w:szCs w:val="24"/>
          <w:highlight w:val="none"/>
          <w:lang w:val="en-US" w:eastAsia="zh-CN" w:bidi="ar-SA"/>
        </w:rPr>
        <w:t>2.1.6 “现场”系指合同约定货物将要运至或者安装的地点。</w:t>
      </w:r>
      <w:bookmarkEnd w:id="297"/>
    </w:p>
    <w:p w14:paraId="27E01C8F">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298" w:name="_Toc32504"/>
      <w:bookmarkStart w:id="299" w:name="_Toc487900350"/>
      <w:bookmarkStart w:id="300" w:name="_Toc13336"/>
      <w:bookmarkStart w:id="301" w:name="_Toc259093670"/>
      <w:bookmarkStart w:id="302" w:name="_Toc13557"/>
      <w:bookmarkStart w:id="303" w:name="_Toc31131"/>
      <w:bookmarkStart w:id="304" w:name="_Toc1705"/>
      <w:bookmarkStart w:id="305" w:name="_Toc27635"/>
      <w:bookmarkStart w:id="306" w:name="_Toc1967"/>
      <w:bookmarkStart w:id="307" w:name="_Toc8472"/>
      <w:bookmarkStart w:id="308" w:name="_Toc20853"/>
      <w:bookmarkStart w:id="309" w:name="_Toc279701241"/>
      <w:bookmarkStart w:id="310" w:name="_Toc15561"/>
      <w:r>
        <w:rPr>
          <w:rFonts w:hint="eastAsia" w:ascii="仿宋" w:hAnsi="仿宋" w:eastAsia="仿宋" w:cs="仿宋"/>
          <w:b/>
          <w:bCs/>
          <w:kern w:val="2"/>
          <w:sz w:val="24"/>
          <w:szCs w:val="24"/>
          <w:highlight w:val="none"/>
          <w:lang w:val="en-US" w:eastAsia="zh-CN" w:bidi="ar-SA"/>
        </w:rPr>
        <w:t>2.2 技术规范</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6EB707A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82750E">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11" w:name="_Toc487900351"/>
      <w:bookmarkStart w:id="312" w:name="_Toc30303"/>
      <w:bookmarkStart w:id="313" w:name="_Toc31634"/>
      <w:bookmarkStart w:id="314" w:name="_Toc25689"/>
      <w:bookmarkStart w:id="315" w:name="_Toc8504"/>
      <w:bookmarkStart w:id="316" w:name="_Toc27853"/>
      <w:bookmarkStart w:id="317" w:name="_Toc279701242"/>
      <w:bookmarkStart w:id="318" w:name="_Toc9557"/>
      <w:bookmarkStart w:id="319" w:name="_Toc9829"/>
      <w:bookmarkStart w:id="320" w:name="_Toc259093671"/>
      <w:bookmarkStart w:id="321" w:name="_Toc7715"/>
      <w:bookmarkStart w:id="322" w:name="_Toc23631"/>
      <w:bookmarkStart w:id="323" w:name="_Toc23716"/>
      <w:r>
        <w:rPr>
          <w:rFonts w:hint="eastAsia" w:ascii="仿宋" w:hAnsi="仿宋" w:eastAsia="仿宋" w:cs="仿宋"/>
          <w:b/>
          <w:bCs/>
          <w:kern w:val="2"/>
          <w:sz w:val="24"/>
          <w:szCs w:val="24"/>
          <w:highlight w:val="none"/>
          <w:lang w:val="en-US" w:eastAsia="zh-CN" w:bidi="ar-SA"/>
        </w:rPr>
        <w:t>2.3 知识产权</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7320C800">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DAE65B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2.3.2具有知识产权的计算机软件等货物的知识产权归属，详见合同专用条款。</w:t>
      </w:r>
    </w:p>
    <w:p w14:paraId="0E23C4AB">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24" w:name="_Toc19455"/>
      <w:bookmarkStart w:id="325" w:name="_Toc21086"/>
      <w:bookmarkStart w:id="326" w:name="_Toc29149"/>
      <w:bookmarkStart w:id="327" w:name="_Toc11932"/>
      <w:bookmarkStart w:id="328" w:name="_Toc1620"/>
      <w:bookmarkStart w:id="329" w:name="_Toc11150"/>
      <w:bookmarkStart w:id="330" w:name="_Toc25769"/>
      <w:bookmarkStart w:id="331" w:name="_Toc17478"/>
      <w:bookmarkStart w:id="332" w:name="_Toc4194"/>
      <w:bookmarkStart w:id="333" w:name="_Toc24074"/>
      <w:r>
        <w:rPr>
          <w:rFonts w:hint="eastAsia" w:ascii="仿宋" w:hAnsi="仿宋" w:eastAsia="仿宋" w:cs="仿宋"/>
          <w:b/>
          <w:bCs/>
          <w:kern w:val="2"/>
          <w:sz w:val="24"/>
          <w:szCs w:val="24"/>
          <w:highlight w:val="none"/>
          <w:lang w:val="en-US" w:eastAsia="zh-CN" w:bidi="ar-SA"/>
        </w:rPr>
        <w:t>2.4 包装和装运</w:t>
      </w:r>
      <w:bookmarkEnd w:id="324"/>
      <w:bookmarkEnd w:id="325"/>
      <w:bookmarkEnd w:id="326"/>
      <w:bookmarkEnd w:id="327"/>
      <w:bookmarkEnd w:id="328"/>
      <w:bookmarkEnd w:id="329"/>
      <w:bookmarkEnd w:id="330"/>
      <w:bookmarkEnd w:id="331"/>
      <w:bookmarkEnd w:id="332"/>
      <w:bookmarkEnd w:id="333"/>
    </w:p>
    <w:p w14:paraId="2CCB8FF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BF76795">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2.4.2 装运货物的要求和通知，详见合同专用条款。</w:t>
      </w:r>
    </w:p>
    <w:p w14:paraId="1DAF5D1D">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34" w:name="_Ref467379542"/>
      <w:bookmarkStart w:id="335" w:name="_Ref467378591"/>
      <w:bookmarkStart w:id="336" w:name="_Toc259093674"/>
      <w:bookmarkStart w:id="337" w:name="_Toc279701245"/>
      <w:bookmarkStart w:id="338" w:name="_Ref467379527"/>
      <w:bookmarkStart w:id="339" w:name="_Ref467379536"/>
      <w:bookmarkStart w:id="340" w:name="_Toc487900354"/>
      <w:bookmarkStart w:id="341" w:name="_Ref467378541"/>
      <w:bookmarkStart w:id="342" w:name="_Toc32471"/>
      <w:bookmarkStart w:id="343" w:name="_Toc30869"/>
      <w:bookmarkStart w:id="344" w:name="_Toc1950"/>
      <w:bookmarkStart w:id="345" w:name="_Toc28369"/>
      <w:bookmarkStart w:id="346" w:name="_Toc825"/>
      <w:bookmarkStart w:id="347" w:name="_Toc19074"/>
      <w:bookmarkStart w:id="348" w:name="_Toc30272"/>
      <w:bookmarkStart w:id="349" w:name="_Toc26182"/>
      <w:bookmarkStart w:id="350" w:name="_Toc27983"/>
      <w:bookmarkStart w:id="351" w:name="_Toc178"/>
      <w:r>
        <w:rPr>
          <w:rFonts w:hint="eastAsia" w:ascii="仿宋" w:hAnsi="仿宋" w:eastAsia="仿宋" w:cs="仿宋"/>
          <w:b/>
          <w:bCs/>
          <w:kern w:val="2"/>
          <w:sz w:val="24"/>
          <w:szCs w:val="24"/>
          <w:highlight w:val="none"/>
          <w:lang w:val="en-US" w:eastAsia="zh-CN" w:bidi="ar-SA"/>
        </w:rPr>
        <w:t>2.</w:t>
      </w:r>
      <w:bookmarkEnd w:id="334"/>
      <w:bookmarkEnd w:id="335"/>
      <w:bookmarkEnd w:id="336"/>
      <w:bookmarkEnd w:id="337"/>
      <w:bookmarkEnd w:id="338"/>
      <w:bookmarkEnd w:id="339"/>
      <w:bookmarkEnd w:id="340"/>
      <w:bookmarkEnd w:id="341"/>
      <w:r>
        <w:rPr>
          <w:rFonts w:hint="eastAsia" w:ascii="仿宋" w:hAnsi="仿宋" w:eastAsia="仿宋" w:cs="仿宋"/>
          <w:b/>
          <w:bCs/>
          <w:kern w:val="2"/>
          <w:sz w:val="24"/>
          <w:szCs w:val="24"/>
          <w:highlight w:val="none"/>
          <w:lang w:val="en-US" w:eastAsia="zh-CN" w:bidi="ar-SA"/>
        </w:rPr>
        <w:t>5 履约检查和问题反馈</w:t>
      </w:r>
      <w:bookmarkEnd w:id="342"/>
      <w:bookmarkEnd w:id="343"/>
      <w:bookmarkEnd w:id="344"/>
      <w:bookmarkEnd w:id="345"/>
      <w:bookmarkEnd w:id="346"/>
      <w:bookmarkEnd w:id="347"/>
      <w:bookmarkEnd w:id="348"/>
      <w:bookmarkEnd w:id="349"/>
      <w:bookmarkEnd w:id="350"/>
      <w:bookmarkEnd w:id="351"/>
    </w:p>
    <w:p w14:paraId="3C915C59">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352" w:name="_Ref467379657"/>
      <w:r>
        <w:rPr>
          <w:rFonts w:hint="eastAsia" w:ascii="仿宋" w:hAnsi="仿宋" w:eastAsia="仿宋" w:cs="仿宋"/>
          <w:kern w:val="2"/>
          <w:sz w:val="24"/>
          <w:szCs w:val="24"/>
          <w:highlight w:val="none"/>
          <w:lang w:val="en-US" w:eastAsia="zh-CN" w:bidi="ar-SA"/>
        </w:rPr>
        <w:t>2.5.1</w:t>
      </w:r>
      <w:bookmarkEnd w:id="352"/>
      <w:bookmarkStart w:id="353" w:name="_Toc186431854"/>
      <w:bookmarkStart w:id="354" w:name="_Toc487900357"/>
      <w:bookmarkStart w:id="355" w:name="_Ref467379793"/>
      <w:bookmarkStart w:id="356" w:name="_Toc279701247"/>
      <w:bookmarkStart w:id="357" w:name="_Toc259093676"/>
      <w:bookmarkStart w:id="358" w:name="_Ref467379807"/>
      <w:r>
        <w:rPr>
          <w:rFonts w:hint="eastAsia" w:ascii="仿宋" w:hAnsi="仿宋" w:eastAsia="仿宋" w:cs="仿宋"/>
          <w:kern w:val="2"/>
          <w:sz w:val="24"/>
          <w:szCs w:val="24"/>
          <w:highlight w:val="none"/>
          <w:lang w:val="en-US" w:eastAsia="zh-CN" w:bidi="ar-SA"/>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A239E0">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2.5.2 合同履行期间，甲方有权将履行过程中出现的问题反馈给乙方，双方当事人应以书面形式约定需要完善和改进的内容</w:t>
      </w:r>
      <w:bookmarkEnd w:id="353"/>
      <w:bookmarkStart w:id="359" w:name="_Toc186431855"/>
      <w:r>
        <w:rPr>
          <w:rFonts w:hint="eastAsia" w:ascii="仿宋" w:hAnsi="仿宋" w:eastAsia="仿宋" w:cs="仿宋"/>
          <w:kern w:val="2"/>
          <w:sz w:val="24"/>
          <w:szCs w:val="24"/>
          <w:highlight w:val="none"/>
          <w:lang w:val="en-US" w:eastAsia="zh-CN" w:bidi="ar-SA"/>
        </w:rPr>
        <w:t>。</w:t>
      </w:r>
    </w:p>
    <w:bookmarkEnd w:id="359"/>
    <w:p w14:paraId="5A696A95">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60" w:name="_Toc7836"/>
      <w:bookmarkStart w:id="361" w:name="_Toc24597"/>
      <w:bookmarkStart w:id="362" w:name="_Toc28451"/>
      <w:bookmarkStart w:id="363" w:name="_Toc22776"/>
      <w:bookmarkStart w:id="364" w:name="_Toc6987"/>
      <w:bookmarkStart w:id="365" w:name="_Toc2279"/>
      <w:bookmarkStart w:id="366" w:name="_Toc8786"/>
      <w:bookmarkStart w:id="367" w:name="_Toc16577"/>
      <w:bookmarkStart w:id="368" w:name="_Toc19219"/>
      <w:bookmarkStart w:id="369" w:name="_Toc20387"/>
      <w:r>
        <w:rPr>
          <w:rFonts w:hint="eastAsia" w:ascii="仿宋" w:hAnsi="仿宋" w:eastAsia="仿宋" w:cs="仿宋"/>
          <w:b/>
          <w:bCs/>
          <w:kern w:val="2"/>
          <w:sz w:val="24"/>
          <w:szCs w:val="24"/>
          <w:highlight w:val="none"/>
          <w:lang w:val="en-US" w:eastAsia="zh-CN" w:bidi="ar-SA"/>
        </w:rPr>
        <w:t>2.6 结算方式和付款条件</w:t>
      </w:r>
      <w:bookmarkEnd w:id="354"/>
      <w:bookmarkEnd w:id="355"/>
      <w:bookmarkEnd w:id="356"/>
      <w:bookmarkEnd w:id="357"/>
      <w:bookmarkEnd w:id="358"/>
      <w:bookmarkEnd w:id="360"/>
      <w:bookmarkEnd w:id="361"/>
      <w:bookmarkEnd w:id="362"/>
      <w:bookmarkEnd w:id="363"/>
      <w:bookmarkEnd w:id="364"/>
      <w:bookmarkEnd w:id="365"/>
      <w:bookmarkEnd w:id="366"/>
      <w:bookmarkEnd w:id="367"/>
      <w:bookmarkEnd w:id="368"/>
      <w:bookmarkEnd w:id="369"/>
    </w:p>
    <w:p w14:paraId="04576EA7">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详见合同专用条款。</w:t>
      </w:r>
    </w:p>
    <w:p w14:paraId="14C9D686">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70" w:name="_Ref467379923"/>
      <w:bookmarkStart w:id="371" w:name="_Toc259093677"/>
      <w:bookmarkStart w:id="372" w:name="_Toc487900358"/>
      <w:bookmarkStart w:id="373" w:name="_Toc279701248"/>
      <w:bookmarkStart w:id="374" w:name="_Ref467379852"/>
      <w:bookmarkStart w:id="375" w:name="_Ref467379863"/>
      <w:bookmarkStart w:id="376" w:name="_Toc774"/>
      <w:bookmarkStart w:id="377" w:name="_Toc14899"/>
      <w:bookmarkStart w:id="378" w:name="_Toc12012"/>
      <w:bookmarkStart w:id="379" w:name="_Toc23337"/>
      <w:bookmarkStart w:id="380" w:name="_Toc1198"/>
      <w:bookmarkStart w:id="381" w:name="_Toc905"/>
      <w:bookmarkStart w:id="382" w:name="_Toc28812"/>
      <w:bookmarkStart w:id="383" w:name="_Toc1395"/>
      <w:bookmarkStart w:id="384" w:name="_Toc16110"/>
      <w:bookmarkStart w:id="385" w:name="_Toc3225"/>
      <w:r>
        <w:rPr>
          <w:rFonts w:hint="eastAsia" w:ascii="仿宋" w:hAnsi="仿宋" w:eastAsia="仿宋" w:cs="仿宋"/>
          <w:b/>
          <w:bCs/>
          <w:kern w:val="2"/>
          <w:sz w:val="24"/>
          <w:szCs w:val="24"/>
          <w:highlight w:val="none"/>
          <w:lang w:val="en-US" w:eastAsia="zh-CN" w:bidi="ar-SA"/>
        </w:rPr>
        <w:t>2.7 技术资料</w:t>
      </w:r>
      <w:bookmarkEnd w:id="370"/>
      <w:bookmarkEnd w:id="371"/>
      <w:bookmarkEnd w:id="372"/>
      <w:bookmarkEnd w:id="373"/>
      <w:bookmarkEnd w:id="374"/>
      <w:bookmarkEnd w:id="375"/>
      <w:r>
        <w:rPr>
          <w:rFonts w:hint="eastAsia" w:ascii="仿宋" w:hAnsi="仿宋" w:eastAsia="仿宋" w:cs="仿宋"/>
          <w:b/>
          <w:bCs/>
          <w:kern w:val="2"/>
          <w:sz w:val="24"/>
          <w:szCs w:val="24"/>
          <w:highlight w:val="none"/>
          <w:lang w:val="en-US" w:eastAsia="zh-CN" w:bidi="ar-SA"/>
        </w:rPr>
        <w:t>和保密义务</w:t>
      </w:r>
      <w:bookmarkEnd w:id="376"/>
      <w:bookmarkEnd w:id="377"/>
      <w:bookmarkEnd w:id="378"/>
      <w:bookmarkEnd w:id="379"/>
      <w:bookmarkEnd w:id="380"/>
      <w:bookmarkEnd w:id="381"/>
      <w:bookmarkEnd w:id="382"/>
      <w:bookmarkEnd w:id="383"/>
      <w:bookmarkEnd w:id="384"/>
      <w:bookmarkEnd w:id="385"/>
    </w:p>
    <w:p w14:paraId="04DC142E">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2.7.1 乙方有权依据合同约定和项目需要，向甲方了解有关情况，调阅有关资料等，甲方应予积极配合；</w:t>
      </w:r>
    </w:p>
    <w:p w14:paraId="23B4A147">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2.7.2 乙方有义务妥善保管和保护由甲方提供的前款信息和资料等；</w:t>
      </w:r>
    </w:p>
    <w:p w14:paraId="61755C7A">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C272080">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86" w:name="_Toc2838"/>
      <w:bookmarkStart w:id="387" w:name="_Toc13130"/>
      <w:bookmarkStart w:id="388" w:name="_Toc11864"/>
      <w:bookmarkStart w:id="389" w:name="_Toc14301"/>
      <w:bookmarkStart w:id="390" w:name="_Toc13442"/>
      <w:bookmarkStart w:id="391" w:name="_Toc19803"/>
      <w:bookmarkStart w:id="392" w:name="_Toc7860"/>
      <w:bookmarkStart w:id="393" w:name="_Toc6460"/>
      <w:r>
        <w:rPr>
          <w:rFonts w:hint="eastAsia" w:ascii="仿宋" w:hAnsi="仿宋" w:eastAsia="仿宋" w:cs="仿宋"/>
          <w:b/>
          <w:bCs/>
          <w:kern w:val="2"/>
          <w:sz w:val="24"/>
          <w:szCs w:val="24"/>
          <w:highlight w:val="none"/>
          <w:lang w:val="en-US" w:eastAsia="zh-CN" w:bidi="ar-SA"/>
        </w:rPr>
        <w:t>2.8 质量保证</w:t>
      </w:r>
      <w:bookmarkEnd w:id="386"/>
      <w:bookmarkEnd w:id="387"/>
      <w:bookmarkEnd w:id="388"/>
      <w:bookmarkEnd w:id="389"/>
      <w:bookmarkEnd w:id="390"/>
      <w:bookmarkEnd w:id="391"/>
      <w:bookmarkEnd w:id="392"/>
      <w:bookmarkEnd w:id="393"/>
    </w:p>
    <w:p w14:paraId="54368227">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2.8.1 乙方应建立和完善履行合同的内部质量保证体系，并提供相关内部规章制度给甲方，以便甲方进行监督检查；</w:t>
      </w:r>
    </w:p>
    <w:p w14:paraId="26F3892F">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2.8.2 乙方应保证履行合同的人员数量和素质、软件和硬件设备的配置、场地、环境和设施等满足全面履行合同的要求，并应接受甲方的监督检查。</w:t>
      </w:r>
    </w:p>
    <w:p w14:paraId="09E8AE88">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394" w:name="_Toc2429"/>
      <w:bookmarkStart w:id="395" w:name="_Toc23768"/>
      <w:bookmarkStart w:id="396" w:name="_Toc2990"/>
      <w:bookmarkStart w:id="397" w:name="_Toc17244"/>
      <w:bookmarkStart w:id="398" w:name="_Toc27782"/>
      <w:bookmarkStart w:id="399" w:name="_Toc19420"/>
      <w:bookmarkStart w:id="400" w:name="_Toc17648"/>
      <w:bookmarkStart w:id="401" w:name="_Toc11641"/>
      <w:bookmarkStart w:id="402" w:name="_Toc487900362"/>
      <w:bookmarkStart w:id="403" w:name="_Toc279701252"/>
      <w:bookmarkStart w:id="404" w:name="_Toc259093681"/>
      <w:r>
        <w:rPr>
          <w:rFonts w:hint="eastAsia" w:ascii="仿宋" w:hAnsi="仿宋" w:eastAsia="仿宋" w:cs="仿宋"/>
          <w:b/>
          <w:bCs/>
          <w:kern w:val="2"/>
          <w:sz w:val="24"/>
          <w:szCs w:val="24"/>
          <w:highlight w:val="none"/>
          <w:lang w:val="en-US" w:eastAsia="zh-CN" w:bidi="ar-SA"/>
        </w:rPr>
        <w:t>2.9 货物的风险负担</w:t>
      </w:r>
      <w:bookmarkEnd w:id="394"/>
      <w:bookmarkEnd w:id="395"/>
      <w:bookmarkEnd w:id="396"/>
      <w:bookmarkEnd w:id="397"/>
      <w:bookmarkEnd w:id="398"/>
      <w:bookmarkEnd w:id="399"/>
      <w:bookmarkEnd w:id="400"/>
      <w:bookmarkEnd w:id="401"/>
    </w:p>
    <w:p w14:paraId="33BD88EB">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货物或者在途货物或者交付给第一承运人后的货物毁损、灭失的风险负担详见合同专用条款。</w:t>
      </w:r>
    </w:p>
    <w:p w14:paraId="3EFB775F">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05" w:name="_Toc16383"/>
      <w:bookmarkStart w:id="406" w:name="_Toc20495"/>
      <w:bookmarkStart w:id="407" w:name="_Toc14055"/>
      <w:bookmarkStart w:id="408" w:name="_Toc4487"/>
      <w:bookmarkStart w:id="409" w:name="_Toc1317"/>
      <w:bookmarkStart w:id="410" w:name="_Toc11996"/>
      <w:bookmarkStart w:id="411" w:name="_Toc18768"/>
      <w:bookmarkStart w:id="412" w:name="_Toc13111"/>
      <w:r>
        <w:rPr>
          <w:rFonts w:hint="eastAsia" w:ascii="仿宋" w:hAnsi="仿宋" w:eastAsia="仿宋" w:cs="仿宋"/>
          <w:b/>
          <w:bCs/>
          <w:kern w:val="2"/>
          <w:sz w:val="24"/>
          <w:szCs w:val="24"/>
          <w:highlight w:val="none"/>
          <w:lang w:val="en-US" w:eastAsia="zh-CN" w:bidi="ar-SA"/>
        </w:rPr>
        <w:t>2.10 延迟交货</w:t>
      </w:r>
      <w:bookmarkEnd w:id="402"/>
      <w:bookmarkEnd w:id="403"/>
      <w:bookmarkEnd w:id="404"/>
      <w:bookmarkEnd w:id="405"/>
      <w:bookmarkEnd w:id="406"/>
      <w:bookmarkEnd w:id="407"/>
      <w:bookmarkEnd w:id="408"/>
      <w:bookmarkEnd w:id="409"/>
      <w:bookmarkEnd w:id="410"/>
      <w:bookmarkEnd w:id="411"/>
      <w:bookmarkEnd w:id="412"/>
    </w:p>
    <w:p w14:paraId="6CD5D66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76DAE9F">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13" w:name="_Toc7502"/>
      <w:bookmarkStart w:id="414" w:name="_Toc4271"/>
      <w:bookmarkStart w:id="415" w:name="_Toc2431"/>
      <w:bookmarkStart w:id="416" w:name="_Toc14128"/>
      <w:bookmarkStart w:id="417" w:name="_Toc26705"/>
      <w:bookmarkStart w:id="418" w:name="_Toc21628"/>
      <w:bookmarkStart w:id="419" w:name="_Toc27305"/>
      <w:bookmarkStart w:id="420" w:name="_Toc10624"/>
      <w:bookmarkStart w:id="421" w:name="_Toc487900364"/>
      <w:bookmarkStart w:id="422" w:name="_Ref467378121"/>
      <w:bookmarkStart w:id="423" w:name="_Toc259093683"/>
      <w:bookmarkStart w:id="424" w:name="_Toc279701254"/>
      <w:r>
        <w:rPr>
          <w:rFonts w:hint="eastAsia" w:ascii="仿宋" w:hAnsi="仿宋" w:eastAsia="仿宋" w:cs="仿宋"/>
          <w:b/>
          <w:bCs/>
          <w:kern w:val="2"/>
          <w:sz w:val="24"/>
          <w:szCs w:val="24"/>
          <w:highlight w:val="none"/>
          <w:lang w:val="en-US" w:eastAsia="zh-CN" w:bidi="ar-SA"/>
        </w:rPr>
        <w:t>2.11 合同变更</w:t>
      </w:r>
      <w:bookmarkEnd w:id="413"/>
      <w:bookmarkEnd w:id="414"/>
      <w:bookmarkEnd w:id="415"/>
      <w:bookmarkEnd w:id="416"/>
      <w:bookmarkEnd w:id="417"/>
      <w:bookmarkEnd w:id="418"/>
      <w:bookmarkEnd w:id="419"/>
      <w:bookmarkEnd w:id="420"/>
    </w:p>
    <w:p w14:paraId="51AC665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2.11.1双方当事人协商一致，可以签订书面补充合同的形式变更合同，但不得违背采购文件确定的事项，且如果系追加与合同标的相同的货物的，那么所有补充合同的采购金额不得超过原合同价的10%；</w:t>
      </w:r>
    </w:p>
    <w:p w14:paraId="24E12E5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2.11.2 合同继续履行将损害国家利益和社会公共利益的，双方当事人应当以书面形式变更合同。有过错的一方应当承担赔偿责任，双方当事人都有过错的，各自承担相应的责任。</w:t>
      </w:r>
      <w:bookmarkStart w:id="425" w:name="_Toc487900369"/>
      <w:bookmarkStart w:id="426" w:name="_Toc259093688"/>
      <w:bookmarkStart w:id="427" w:name="_Toc279701259"/>
    </w:p>
    <w:p w14:paraId="3940FBE4">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28" w:name="_Toc15237"/>
      <w:bookmarkStart w:id="429" w:name="_Toc8912"/>
      <w:bookmarkStart w:id="430" w:name="_Toc13604"/>
      <w:bookmarkStart w:id="431" w:name="_Toc31277"/>
      <w:bookmarkStart w:id="432" w:name="_Toc22955"/>
      <w:bookmarkStart w:id="433" w:name="_Toc13330"/>
      <w:bookmarkStart w:id="434" w:name="_Toc9013"/>
      <w:bookmarkStart w:id="435" w:name="_Toc21469"/>
      <w:bookmarkStart w:id="436" w:name="_Toc27360"/>
      <w:bookmarkStart w:id="437" w:name="_Toc10366"/>
      <w:r>
        <w:rPr>
          <w:rFonts w:hint="eastAsia" w:ascii="仿宋" w:hAnsi="仿宋" w:eastAsia="仿宋" w:cs="仿宋"/>
          <w:b/>
          <w:bCs/>
          <w:kern w:val="2"/>
          <w:sz w:val="24"/>
          <w:szCs w:val="24"/>
          <w:highlight w:val="none"/>
          <w:lang w:val="en-US" w:eastAsia="zh-CN" w:bidi="ar-SA"/>
        </w:rPr>
        <w:t>2.12 合同转让</w:t>
      </w:r>
      <w:bookmarkEnd w:id="425"/>
      <w:bookmarkEnd w:id="426"/>
      <w:bookmarkEnd w:id="427"/>
      <w:r>
        <w:rPr>
          <w:rFonts w:hint="eastAsia" w:ascii="仿宋" w:hAnsi="仿宋" w:eastAsia="仿宋" w:cs="仿宋"/>
          <w:b/>
          <w:bCs/>
          <w:kern w:val="2"/>
          <w:sz w:val="24"/>
          <w:szCs w:val="24"/>
          <w:highlight w:val="none"/>
          <w:lang w:val="en-US" w:eastAsia="zh-CN" w:bidi="ar-SA"/>
        </w:rPr>
        <w:t>和分包</w:t>
      </w:r>
      <w:bookmarkEnd w:id="428"/>
      <w:bookmarkEnd w:id="429"/>
      <w:bookmarkEnd w:id="430"/>
      <w:bookmarkEnd w:id="431"/>
      <w:bookmarkEnd w:id="432"/>
      <w:bookmarkEnd w:id="433"/>
      <w:bookmarkEnd w:id="434"/>
      <w:bookmarkEnd w:id="435"/>
      <w:bookmarkEnd w:id="436"/>
      <w:bookmarkEnd w:id="437"/>
    </w:p>
    <w:p w14:paraId="2804FF3E">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C2A29AC">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38" w:name="_Toc13566"/>
      <w:bookmarkStart w:id="439" w:name="_Toc16866"/>
      <w:bookmarkStart w:id="440" w:name="_Toc30689"/>
      <w:bookmarkStart w:id="441" w:name="_Toc11275"/>
      <w:bookmarkStart w:id="442" w:name="_Toc13315"/>
      <w:bookmarkStart w:id="443" w:name="_Toc13667"/>
      <w:bookmarkStart w:id="444" w:name="_Toc16508"/>
      <w:bookmarkStart w:id="445" w:name="_Toc14589"/>
      <w:bookmarkStart w:id="446" w:name="_Toc21117"/>
      <w:bookmarkStart w:id="447" w:name="_Toc14066"/>
      <w:r>
        <w:rPr>
          <w:rFonts w:hint="eastAsia" w:ascii="仿宋" w:hAnsi="仿宋" w:eastAsia="仿宋" w:cs="仿宋"/>
          <w:b/>
          <w:bCs/>
          <w:kern w:val="2"/>
          <w:sz w:val="24"/>
          <w:szCs w:val="24"/>
          <w:highlight w:val="none"/>
          <w:lang w:val="en-US" w:eastAsia="zh-CN" w:bidi="ar-SA"/>
        </w:rPr>
        <w:t>2.13 不可抗力</w:t>
      </w:r>
      <w:bookmarkEnd w:id="438"/>
      <w:bookmarkEnd w:id="439"/>
      <w:bookmarkEnd w:id="440"/>
      <w:bookmarkEnd w:id="441"/>
      <w:bookmarkEnd w:id="442"/>
      <w:bookmarkEnd w:id="443"/>
      <w:bookmarkEnd w:id="444"/>
      <w:bookmarkEnd w:id="445"/>
      <w:bookmarkEnd w:id="446"/>
      <w:bookmarkEnd w:id="447"/>
    </w:p>
    <w:p w14:paraId="6431181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2.13.1如果任何一方遭遇法律规定的不可抗力，致使合同履行受阻时，履行合同的期限应予延长，延长的期限应相当于不可抗力所影响的时间；</w:t>
      </w:r>
    </w:p>
    <w:p w14:paraId="5C411B66">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2.13.2 因不可抗力致使不能实现合同目的的，当事人可以解除合同；</w:t>
      </w:r>
    </w:p>
    <w:p w14:paraId="7E4AA757">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2.13.3 因不可抗力致使合同有变更必要的，双方当事人应在合同专用条款约定时间内以书面形式变更合同；</w:t>
      </w:r>
    </w:p>
    <w:p w14:paraId="5195B3CB">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2.13.4受不可抗力影响的一方在不可抗力发生后，应在合同专用条款约定时间内以书面形式通知对方当事人，并在合同专用条款约定时间内，将有关部门出具的证明文件送达对方当事人。</w:t>
      </w:r>
    </w:p>
    <w:p w14:paraId="71C29856">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48" w:name="_Toc30676"/>
      <w:bookmarkStart w:id="449" w:name="_Toc279701255"/>
      <w:bookmarkStart w:id="450" w:name="_Toc15529"/>
      <w:bookmarkStart w:id="451" w:name="_Toc689"/>
      <w:bookmarkStart w:id="452" w:name="_Toc24210"/>
      <w:bookmarkStart w:id="453" w:name="_Toc4202"/>
      <w:bookmarkStart w:id="454" w:name="_Toc28553"/>
      <w:bookmarkStart w:id="455" w:name="_Toc487900365"/>
      <w:bookmarkStart w:id="456" w:name="_Toc3271"/>
      <w:bookmarkStart w:id="457" w:name="_Toc6969"/>
      <w:bookmarkStart w:id="458" w:name="_Toc12526"/>
      <w:bookmarkStart w:id="459" w:name="_Toc26701"/>
      <w:bookmarkStart w:id="460" w:name="_Toc259093684"/>
      <w:r>
        <w:rPr>
          <w:rFonts w:hint="eastAsia" w:ascii="仿宋" w:hAnsi="仿宋" w:eastAsia="仿宋" w:cs="仿宋"/>
          <w:b/>
          <w:bCs/>
          <w:kern w:val="2"/>
          <w:sz w:val="24"/>
          <w:szCs w:val="24"/>
          <w:highlight w:val="none"/>
          <w:lang w:val="en-US" w:eastAsia="zh-CN" w:bidi="ar-SA"/>
        </w:rPr>
        <w:t>2.14 税费</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6C2107A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与合同有关的一切税费，均按照中华人民共和国法律的相关规定。</w:t>
      </w:r>
    </w:p>
    <w:p w14:paraId="73B5D75B">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61" w:name="_Toc8298"/>
      <w:bookmarkStart w:id="462" w:name="_Toc23378"/>
      <w:bookmarkStart w:id="463" w:name="_Toc16959"/>
      <w:bookmarkStart w:id="464" w:name="_Toc259093687"/>
      <w:bookmarkStart w:id="465" w:name="_Toc23363"/>
      <w:bookmarkStart w:id="466" w:name="_Toc725"/>
      <w:bookmarkStart w:id="467" w:name="_Toc4921"/>
      <w:bookmarkStart w:id="468" w:name="_Toc279701258"/>
      <w:bookmarkStart w:id="469" w:name="_Toc487900368"/>
      <w:bookmarkStart w:id="470" w:name="_Toc7102"/>
      <w:bookmarkStart w:id="471" w:name="_Toc14652"/>
      <w:bookmarkStart w:id="472" w:name="_Toc9201"/>
      <w:bookmarkStart w:id="473" w:name="_Toc19279"/>
      <w:r>
        <w:rPr>
          <w:rFonts w:hint="eastAsia" w:ascii="仿宋" w:hAnsi="仿宋" w:eastAsia="仿宋" w:cs="仿宋"/>
          <w:b/>
          <w:bCs/>
          <w:kern w:val="2"/>
          <w:sz w:val="24"/>
          <w:szCs w:val="24"/>
          <w:highlight w:val="none"/>
          <w:lang w:val="en-US" w:eastAsia="zh-CN" w:bidi="ar-SA"/>
        </w:rPr>
        <w:t>2.15 乙方破产</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0BACA43">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35F6B7">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74" w:name="_Toc29378"/>
      <w:bookmarkStart w:id="475" w:name="_Toc2684"/>
      <w:bookmarkStart w:id="476" w:name="_Toc15387"/>
      <w:bookmarkStart w:id="477" w:name="_Toc6134"/>
      <w:bookmarkStart w:id="478" w:name="_Toc6530"/>
      <w:bookmarkStart w:id="479" w:name="_Toc29333"/>
      <w:bookmarkStart w:id="480" w:name="_Toc9443"/>
      <w:bookmarkStart w:id="481" w:name="_Toc28828"/>
      <w:bookmarkStart w:id="482" w:name="_Toc6847"/>
      <w:bookmarkStart w:id="483" w:name="_Toc13954"/>
      <w:r>
        <w:rPr>
          <w:rFonts w:hint="eastAsia" w:ascii="仿宋" w:hAnsi="仿宋" w:eastAsia="仿宋" w:cs="仿宋"/>
          <w:b/>
          <w:bCs/>
          <w:kern w:val="2"/>
          <w:sz w:val="24"/>
          <w:szCs w:val="24"/>
          <w:highlight w:val="none"/>
          <w:lang w:val="en-US" w:eastAsia="zh-CN" w:bidi="ar-SA"/>
        </w:rPr>
        <w:t>2.16 合同中止、终止</w:t>
      </w:r>
      <w:bookmarkEnd w:id="474"/>
      <w:bookmarkEnd w:id="475"/>
      <w:bookmarkEnd w:id="476"/>
      <w:bookmarkEnd w:id="477"/>
      <w:bookmarkEnd w:id="478"/>
      <w:bookmarkEnd w:id="479"/>
      <w:bookmarkEnd w:id="480"/>
      <w:bookmarkEnd w:id="481"/>
      <w:bookmarkEnd w:id="482"/>
      <w:bookmarkEnd w:id="483"/>
    </w:p>
    <w:p w14:paraId="75FA57FD">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2.16.1 双方当事人不得擅自中止或者终止合同；</w:t>
      </w:r>
    </w:p>
    <w:p w14:paraId="0A12B935">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2.16.2合同继续履行将损害国家利益和社会公共利益的，双方当事人应当中止或者终止合同。有过错的一方应当承担赔偿责任，双方当事人都有过错的，各自承担相应的责任。</w:t>
      </w:r>
    </w:p>
    <w:p w14:paraId="14197D98">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84" w:name="_Toc1125"/>
      <w:bookmarkStart w:id="485" w:name="_Toc6596"/>
      <w:bookmarkStart w:id="486" w:name="_Toc14563"/>
      <w:bookmarkStart w:id="487" w:name="_Toc13616"/>
      <w:bookmarkStart w:id="488" w:name="_Toc19390"/>
      <w:bookmarkStart w:id="489" w:name="_Toc22722"/>
      <w:bookmarkStart w:id="490" w:name="_Toc29723"/>
      <w:bookmarkStart w:id="491" w:name="_Toc786"/>
      <w:bookmarkStart w:id="492" w:name="_Toc5287"/>
      <w:bookmarkStart w:id="493" w:name="_Toc17050"/>
      <w:r>
        <w:rPr>
          <w:rFonts w:hint="eastAsia" w:ascii="仿宋" w:hAnsi="仿宋" w:eastAsia="仿宋" w:cs="仿宋"/>
          <w:b/>
          <w:bCs/>
          <w:kern w:val="2"/>
          <w:sz w:val="24"/>
          <w:szCs w:val="24"/>
          <w:highlight w:val="none"/>
          <w:lang w:val="en-US" w:eastAsia="zh-CN" w:bidi="ar-SA"/>
        </w:rPr>
        <w:t>2.17 检验和验收</w:t>
      </w:r>
      <w:bookmarkEnd w:id="484"/>
      <w:bookmarkEnd w:id="485"/>
      <w:bookmarkEnd w:id="486"/>
      <w:bookmarkEnd w:id="487"/>
      <w:bookmarkEnd w:id="488"/>
      <w:bookmarkEnd w:id="489"/>
      <w:bookmarkEnd w:id="490"/>
      <w:bookmarkEnd w:id="491"/>
      <w:bookmarkEnd w:id="492"/>
      <w:bookmarkEnd w:id="493"/>
    </w:p>
    <w:p w14:paraId="4EB0406A">
      <w:pPr>
        <w:tabs>
          <w:tab w:val="left" w:pos="360"/>
          <w:tab w:val="left" w:pos="540"/>
          <w:tab w:val="left" w:pos="1080"/>
        </w:tabs>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5A903F5C">
      <w:pPr>
        <w:tabs>
          <w:tab w:val="left" w:pos="360"/>
          <w:tab w:val="left" w:pos="540"/>
          <w:tab w:val="left" w:pos="1080"/>
        </w:tabs>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2.17.2合同期满或者履行完毕后，甲方有权组织（包括依法邀请国家认可的质量检测机构参加）对乙方履约的验收，即 ：按照合同约定的技术、服务、安全标准，组织对每一项技术、服务、安全标准的履约情况的验收，并出具验收书。</w:t>
      </w:r>
    </w:p>
    <w:p w14:paraId="3A2F1C3A">
      <w:pPr>
        <w:tabs>
          <w:tab w:val="left" w:pos="360"/>
          <w:tab w:val="left" w:pos="540"/>
          <w:tab w:val="left" w:pos="1080"/>
        </w:tabs>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2.17.3 检验和验收标准、程序等具体内容以及前述验收书的效力详见合同专用条款。</w:t>
      </w:r>
    </w:p>
    <w:bookmarkEnd w:id="421"/>
    <w:bookmarkEnd w:id="422"/>
    <w:bookmarkEnd w:id="423"/>
    <w:bookmarkEnd w:id="424"/>
    <w:p w14:paraId="6F904803">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494" w:name="_Toc487900371"/>
      <w:bookmarkStart w:id="495" w:name="_Toc259093690"/>
      <w:bookmarkStart w:id="496" w:name="_Toc279701261"/>
      <w:bookmarkStart w:id="497" w:name="_Toc8977"/>
      <w:bookmarkStart w:id="498" w:name="_Toc11284"/>
      <w:bookmarkStart w:id="499" w:name="_Toc14977"/>
      <w:bookmarkStart w:id="500" w:name="_Toc15871"/>
      <w:bookmarkStart w:id="501" w:name="_Toc11908"/>
      <w:bookmarkStart w:id="502" w:name="_Toc19604"/>
      <w:bookmarkStart w:id="503" w:name="_Toc25182"/>
      <w:bookmarkStart w:id="504" w:name="_Toc16089"/>
      <w:bookmarkStart w:id="505" w:name="_Toc12036"/>
      <w:bookmarkStart w:id="506" w:name="_Toc21540"/>
      <w:r>
        <w:rPr>
          <w:rFonts w:hint="eastAsia" w:ascii="仿宋" w:hAnsi="仿宋" w:eastAsia="仿宋" w:cs="仿宋"/>
          <w:b/>
          <w:bCs/>
          <w:kern w:val="2"/>
          <w:sz w:val="24"/>
          <w:szCs w:val="24"/>
          <w:highlight w:val="none"/>
          <w:lang w:val="en-US" w:eastAsia="zh-CN" w:bidi="ar-SA"/>
        </w:rPr>
        <w:t>2.18 通知</w:t>
      </w:r>
      <w:bookmarkEnd w:id="494"/>
      <w:bookmarkEnd w:id="495"/>
      <w:bookmarkEnd w:id="496"/>
      <w:r>
        <w:rPr>
          <w:rFonts w:hint="eastAsia" w:ascii="仿宋" w:hAnsi="仿宋" w:eastAsia="仿宋" w:cs="仿宋"/>
          <w:b/>
          <w:bCs/>
          <w:kern w:val="2"/>
          <w:sz w:val="24"/>
          <w:szCs w:val="24"/>
          <w:highlight w:val="none"/>
          <w:lang w:val="en-US" w:eastAsia="zh-CN" w:bidi="ar-SA"/>
        </w:rPr>
        <w:t>和送达</w:t>
      </w:r>
      <w:bookmarkEnd w:id="497"/>
      <w:bookmarkEnd w:id="498"/>
      <w:bookmarkEnd w:id="499"/>
      <w:bookmarkEnd w:id="500"/>
      <w:bookmarkEnd w:id="501"/>
      <w:bookmarkEnd w:id="502"/>
      <w:bookmarkEnd w:id="503"/>
      <w:bookmarkEnd w:id="504"/>
      <w:bookmarkEnd w:id="505"/>
      <w:bookmarkEnd w:id="506"/>
    </w:p>
    <w:p w14:paraId="5A69D3B7">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507" w:name="_Toc3135"/>
      <w:bookmarkStart w:id="508" w:name="_Toc6698"/>
      <w:bookmarkStart w:id="509" w:name="_Toc279701262"/>
      <w:bookmarkStart w:id="510" w:name="_Toc259093691"/>
      <w:bookmarkStart w:id="511" w:name="_Toc487900372"/>
      <w:r>
        <w:rPr>
          <w:rFonts w:hint="eastAsia" w:ascii="仿宋" w:hAnsi="仿宋" w:eastAsia="仿宋" w:cs="仿宋"/>
          <w:kern w:val="2"/>
          <w:sz w:val="24"/>
          <w:szCs w:val="24"/>
          <w:highlight w:val="none"/>
          <w:lang w:val="en-US" w:eastAsia="zh-CN" w:bidi="ar-SA"/>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507"/>
      <w:bookmarkEnd w:id="508"/>
    </w:p>
    <w:p w14:paraId="595EE3F2">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bookmarkStart w:id="512" w:name="_Toc23294"/>
      <w:bookmarkStart w:id="513" w:name="_Toc23128"/>
      <w:r>
        <w:rPr>
          <w:rFonts w:hint="eastAsia" w:ascii="仿宋" w:hAnsi="仿宋" w:eastAsia="仿宋" w:cs="仿宋"/>
          <w:kern w:val="2"/>
          <w:sz w:val="24"/>
          <w:szCs w:val="24"/>
          <w:highlight w:val="none"/>
          <w:lang w:val="en-US" w:eastAsia="zh-CN" w:bidi="ar-SA"/>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2"/>
      <w:bookmarkEnd w:id="513"/>
    </w:p>
    <w:p w14:paraId="0AF85138">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514" w:name="_Toc30599"/>
      <w:bookmarkStart w:id="515" w:name="_Toc29488"/>
      <w:bookmarkStart w:id="516" w:name="_Toc14626"/>
      <w:bookmarkStart w:id="517" w:name="_Toc848"/>
      <w:bookmarkStart w:id="518" w:name="_Toc4355"/>
      <w:bookmarkStart w:id="519" w:name="_Toc16769"/>
      <w:bookmarkStart w:id="520" w:name="_Toc18540"/>
      <w:bookmarkStart w:id="521" w:name="_Toc9916"/>
      <w:bookmarkStart w:id="522" w:name="_Toc5507"/>
      <w:bookmarkStart w:id="523" w:name="_Toc14896"/>
      <w:r>
        <w:rPr>
          <w:rFonts w:hint="eastAsia" w:ascii="仿宋" w:hAnsi="仿宋" w:eastAsia="仿宋" w:cs="仿宋"/>
          <w:b/>
          <w:bCs/>
          <w:kern w:val="2"/>
          <w:sz w:val="24"/>
          <w:szCs w:val="24"/>
          <w:highlight w:val="none"/>
          <w:lang w:val="en-US" w:eastAsia="zh-CN" w:bidi="ar-SA"/>
        </w:rPr>
        <w:t>2.19 计量单位</w:t>
      </w:r>
      <w:bookmarkEnd w:id="509"/>
      <w:bookmarkEnd w:id="510"/>
      <w:bookmarkEnd w:id="511"/>
      <w:bookmarkEnd w:id="514"/>
      <w:bookmarkEnd w:id="515"/>
      <w:bookmarkEnd w:id="516"/>
      <w:bookmarkEnd w:id="517"/>
      <w:bookmarkEnd w:id="518"/>
      <w:bookmarkEnd w:id="519"/>
      <w:bookmarkEnd w:id="520"/>
      <w:bookmarkEnd w:id="521"/>
      <w:bookmarkEnd w:id="522"/>
      <w:bookmarkEnd w:id="523"/>
    </w:p>
    <w:p w14:paraId="77617F9C">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除技术规范中另有规定外，合同的计量单位均使用国家法定计量单位。</w:t>
      </w:r>
    </w:p>
    <w:p w14:paraId="4EBC2AF8">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524" w:name="_Toc19036"/>
      <w:bookmarkStart w:id="525" w:name="_Toc21688"/>
      <w:bookmarkStart w:id="526" w:name="_Toc4647"/>
      <w:bookmarkStart w:id="527" w:name="_Toc26728"/>
      <w:bookmarkStart w:id="528" w:name="_Toc259093692"/>
      <w:bookmarkStart w:id="529" w:name="_Toc487900373"/>
      <w:bookmarkStart w:id="530" w:name="_Toc12773"/>
      <w:bookmarkStart w:id="531" w:name="_Toc12784"/>
      <w:bookmarkStart w:id="532" w:name="_Toc18567"/>
      <w:bookmarkStart w:id="533" w:name="_Toc8385"/>
      <w:bookmarkStart w:id="534" w:name="_Toc10330"/>
      <w:bookmarkStart w:id="535" w:name="_Toc279701263"/>
      <w:r>
        <w:rPr>
          <w:rFonts w:hint="eastAsia" w:ascii="仿宋" w:hAnsi="仿宋" w:eastAsia="仿宋" w:cs="仿宋"/>
          <w:b/>
          <w:bCs/>
          <w:kern w:val="2"/>
          <w:sz w:val="24"/>
          <w:szCs w:val="24"/>
          <w:highlight w:val="none"/>
          <w:lang w:val="en-US" w:eastAsia="zh-CN" w:bidi="ar-SA"/>
        </w:rPr>
        <w:t>2.20 合同使用的文字和适用的法律</w:t>
      </w:r>
      <w:bookmarkEnd w:id="524"/>
      <w:bookmarkEnd w:id="525"/>
      <w:bookmarkEnd w:id="526"/>
      <w:bookmarkEnd w:id="527"/>
      <w:bookmarkEnd w:id="528"/>
      <w:bookmarkEnd w:id="529"/>
      <w:bookmarkEnd w:id="530"/>
      <w:bookmarkEnd w:id="531"/>
      <w:bookmarkEnd w:id="532"/>
      <w:bookmarkEnd w:id="533"/>
      <w:bookmarkEnd w:id="534"/>
      <w:bookmarkEnd w:id="535"/>
    </w:p>
    <w:p w14:paraId="24953DE6">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2.20.1 合同使用汉语书写、变更和解释；</w:t>
      </w:r>
    </w:p>
    <w:p w14:paraId="6D8498E5">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2.20.2 合同适用中华人民共和国法律。</w:t>
      </w:r>
    </w:p>
    <w:p w14:paraId="4C058896">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536" w:name="_Toc32426"/>
      <w:bookmarkStart w:id="537" w:name="_Toc16673"/>
      <w:bookmarkStart w:id="538" w:name="_Toc4674"/>
      <w:bookmarkStart w:id="539" w:name="_Toc12004"/>
      <w:bookmarkStart w:id="540" w:name="_Toc3148"/>
      <w:bookmarkStart w:id="541" w:name="_Toc5694"/>
      <w:bookmarkStart w:id="542" w:name="_Toc12336"/>
      <w:bookmarkStart w:id="543" w:name="_Toc12681"/>
      <w:bookmarkStart w:id="544" w:name="_Toc9006"/>
      <w:bookmarkStart w:id="545" w:name="_Toc21191"/>
      <w:bookmarkStart w:id="546" w:name="_Toc279701264"/>
      <w:bookmarkStart w:id="547" w:name="_Toc259093693"/>
      <w:bookmarkStart w:id="548" w:name="_Toc487900374"/>
      <w:r>
        <w:rPr>
          <w:rFonts w:hint="eastAsia" w:ascii="仿宋" w:hAnsi="仿宋" w:eastAsia="仿宋" w:cs="仿宋"/>
          <w:b/>
          <w:bCs/>
          <w:kern w:val="2"/>
          <w:sz w:val="24"/>
          <w:szCs w:val="24"/>
          <w:highlight w:val="none"/>
          <w:lang w:val="en-US" w:eastAsia="zh-CN" w:bidi="ar-SA"/>
        </w:rPr>
        <w:t>2.21 履约保证金</w:t>
      </w:r>
      <w:bookmarkEnd w:id="536"/>
      <w:bookmarkEnd w:id="537"/>
      <w:bookmarkEnd w:id="538"/>
      <w:bookmarkEnd w:id="539"/>
      <w:bookmarkEnd w:id="540"/>
      <w:bookmarkEnd w:id="541"/>
      <w:bookmarkEnd w:id="542"/>
      <w:bookmarkEnd w:id="543"/>
      <w:bookmarkEnd w:id="544"/>
      <w:bookmarkEnd w:id="545"/>
      <w:bookmarkEnd w:id="546"/>
      <w:bookmarkEnd w:id="547"/>
    </w:p>
    <w:p w14:paraId="2D81110A">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2.21.1 采购文件要求乙方提交履约保证金的，乙方应按合同专用条款约定的方式，以支票、汇票、本票或者金融机构、担保机构出具的保函等非现金形式，提交不超过合同价10%的履约保证金；</w:t>
      </w:r>
    </w:p>
    <w:p w14:paraId="1EDFEAAF">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2.21.2  履约保证金在合同专用条款约定期间内或者货物质量保证期内不予退还或者完全有效，前述约定期间届满或者货物质量保证期届满之日起  个工作日内，甲方应将履约保证金退还乙方；</w:t>
      </w:r>
    </w:p>
    <w:p w14:paraId="75D65858">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48"/>
    <w:p w14:paraId="7740BC9A">
      <w:pPr>
        <w:spacing w:line="560" w:lineRule="exact"/>
        <w:ind w:firstLine="482" w:firstLineChars="200"/>
        <w:outlineLvl w:val="9"/>
        <w:rPr>
          <w:rFonts w:hint="eastAsia" w:ascii="仿宋" w:hAnsi="仿宋" w:eastAsia="仿宋" w:cs="仿宋"/>
          <w:b/>
          <w:bCs/>
          <w:kern w:val="2"/>
          <w:sz w:val="24"/>
          <w:szCs w:val="24"/>
          <w:highlight w:val="none"/>
          <w:lang w:val="en-US" w:eastAsia="zh-CN" w:bidi="ar-SA"/>
        </w:rPr>
      </w:pPr>
      <w:bookmarkStart w:id="549" w:name="_Toc27063"/>
      <w:bookmarkStart w:id="550" w:name="_Toc14044"/>
      <w:bookmarkStart w:id="551" w:name="_Toc24488"/>
      <w:bookmarkStart w:id="552" w:name="_Toc19890"/>
      <w:bookmarkStart w:id="553" w:name="_Toc14041"/>
      <w:bookmarkStart w:id="554" w:name="_Toc30308"/>
      <w:bookmarkStart w:id="555" w:name="_Toc6885"/>
      <w:bookmarkStart w:id="556" w:name="_Toc14001"/>
      <w:bookmarkStart w:id="557" w:name="_Toc26837"/>
      <w:bookmarkStart w:id="558" w:name="_Toc17442"/>
      <w:r>
        <w:rPr>
          <w:rFonts w:hint="eastAsia" w:ascii="仿宋" w:hAnsi="仿宋" w:eastAsia="仿宋" w:cs="仿宋"/>
          <w:b/>
          <w:bCs/>
          <w:kern w:val="2"/>
          <w:sz w:val="24"/>
          <w:szCs w:val="24"/>
          <w:highlight w:val="none"/>
          <w:lang w:val="en-US" w:eastAsia="zh-CN" w:bidi="ar-SA"/>
        </w:rPr>
        <w:t>2.22 合同份数</w:t>
      </w:r>
      <w:bookmarkEnd w:id="549"/>
      <w:bookmarkEnd w:id="550"/>
      <w:bookmarkEnd w:id="551"/>
      <w:bookmarkEnd w:id="552"/>
      <w:bookmarkEnd w:id="553"/>
      <w:bookmarkEnd w:id="554"/>
      <w:bookmarkEnd w:id="555"/>
      <w:bookmarkEnd w:id="556"/>
      <w:bookmarkEnd w:id="557"/>
      <w:bookmarkEnd w:id="558"/>
    </w:p>
    <w:p w14:paraId="5FBBC346">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合同份数按合同专用条款规定，每份均具有同等法律效力。</w:t>
      </w:r>
    </w:p>
    <w:p w14:paraId="3344162E">
      <w:pPr>
        <w:pStyle w:val="173"/>
        <w:spacing w:line="560" w:lineRule="exact"/>
        <w:ind w:left="0" w:leftChars="0" w:firstLine="0" w:firstLineChars="0"/>
        <w:jc w:val="both"/>
        <w:outlineLvl w:val="9"/>
        <w:rPr>
          <w:rFonts w:hint="eastAsia" w:ascii="仿宋" w:hAnsi="仿宋" w:eastAsia="仿宋" w:cs="仿宋"/>
          <w:b/>
          <w:color w:val="000000"/>
          <w:kern w:val="2"/>
          <w:sz w:val="24"/>
          <w:szCs w:val="24"/>
          <w:highlight w:val="none"/>
          <w:lang w:val="en-US" w:eastAsia="zh-CN" w:bidi="ar-SA"/>
        </w:rPr>
      </w:pPr>
    </w:p>
    <w:p w14:paraId="7F1B06EA">
      <w:pPr>
        <w:pStyle w:val="173"/>
        <w:spacing w:line="560" w:lineRule="exact"/>
        <w:ind w:firstLine="0"/>
        <w:jc w:val="center"/>
        <w:outlineLvl w:val="9"/>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br w:type="page"/>
      </w:r>
      <w:r>
        <w:rPr>
          <w:rFonts w:hint="eastAsia" w:ascii="仿宋" w:hAnsi="仿宋" w:eastAsia="仿宋" w:cs="仿宋"/>
          <w:b/>
          <w:color w:val="000000"/>
          <w:kern w:val="2"/>
          <w:sz w:val="24"/>
          <w:szCs w:val="24"/>
          <w:highlight w:val="none"/>
          <w:lang w:val="en-US" w:eastAsia="zh-CN" w:bidi="ar-SA"/>
        </w:rPr>
        <w:t>第三部分  合同专用条款</w:t>
      </w:r>
    </w:p>
    <w:p w14:paraId="34C619DC">
      <w:pPr>
        <w:spacing w:line="560" w:lineRule="exact"/>
        <w:ind w:firstLine="480"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7"/>
        <w:gridCol w:w="7416"/>
      </w:tblGrid>
      <w:tr w14:paraId="36B2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2167" w:type="dxa"/>
            <w:tcBorders>
              <w:left w:val="single" w:color="auto" w:sz="4" w:space="0"/>
            </w:tcBorders>
            <w:noWrap w:val="0"/>
            <w:vAlign w:val="center"/>
          </w:tcPr>
          <w:p w14:paraId="04931B5E">
            <w:pPr>
              <w:keepNext w:val="0"/>
              <w:keepLines w:val="0"/>
              <w:suppressLineNumbers w:val="0"/>
              <w:spacing w:before="0" w:beforeAutospacing="0" w:after="0" w:afterAutospacing="0" w:line="560" w:lineRule="exact"/>
              <w:ind w:left="0" w:right="0"/>
              <w:jc w:val="center"/>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条款号</w:t>
            </w:r>
          </w:p>
        </w:tc>
        <w:tc>
          <w:tcPr>
            <w:tcW w:w="7416" w:type="dxa"/>
            <w:noWrap w:val="0"/>
            <w:vAlign w:val="center"/>
          </w:tcPr>
          <w:p w14:paraId="4353B31C">
            <w:pPr>
              <w:keepNext w:val="0"/>
              <w:keepLines w:val="0"/>
              <w:suppressLineNumbers w:val="0"/>
              <w:spacing w:before="0" w:beforeAutospacing="0" w:after="0" w:afterAutospacing="0" w:line="560" w:lineRule="exact"/>
              <w:ind w:left="0" w:right="0"/>
              <w:jc w:val="center"/>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约定内容</w:t>
            </w:r>
          </w:p>
        </w:tc>
      </w:tr>
      <w:tr w14:paraId="0E9B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2167" w:type="dxa"/>
            <w:tcBorders>
              <w:left w:val="single" w:color="auto" w:sz="4" w:space="0"/>
            </w:tcBorders>
            <w:noWrap w:val="0"/>
            <w:vAlign w:val="center"/>
          </w:tcPr>
          <w:p w14:paraId="227486D6">
            <w:pPr>
              <w:keepNext w:val="0"/>
              <w:keepLines w:val="0"/>
              <w:suppressLineNumbers w:val="0"/>
              <w:spacing w:before="0" w:beforeAutospacing="0" w:after="0" w:afterAutospacing="0" w:line="560" w:lineRule="exact"/>
              <w:ind w:left="0" w:right="0"/>
              <w:outlineLvl w:val="9"/>
              <w:rPr>
                <w:rFonts w:hint="eastAsia" w:ascii="仿宋" w:hAnsi="仿宋" w:eastAsia="仿宋" w:cs="仿宋"/>
                <w:kern w:val="2"/>
                <w:sz w:val="24"/>
                <w:szCs w:val="24"/>
                <w:highlight w:val="none"/>
                <w:lang w:val="en-US" w:eastAsia="zh-CN" w:bidi="ar-SA"/>
              </w:rPr>
            </w:pPr>
          </w:p>
        </w:tc>
        <w:tc>
          <w:tcPr>
            <w:tcW w:w="7416" w:type="dxa"/>
            <w:noWrap w:val="0"/>
            <w:vAlign w:val="center"/>
          </w:tcPr>
          <w:p w14:paraId="4133AC0D">
            <w:pPr>
              <w:keepNext w:val="0"/>
              <w:keepLines w:val="0"/>
              <w:suppressLineNumbers w:val="0"/>
              <w:spacing w:before="0" w:beforeAutospacing="0" w:after="0" w:afterAutospacing="0" w:line="560" w:lineRule="exact"/>
              <w:ind w:left="0" w:right="0"/>
              <w:outlineLvl w:val="9"/>
              <w:rPr>
                <w:rFonts w:hint="eastAsia" w:ascii="仿宋" w:hAnsi="仿宋" w:eastAsia="仿宋" w:cs="仿宋"/>
                <w:kern w:val="2"/>
                <w:sz w:val="24"/>
                <w:szCs w:val="24"/>
                <w:highlight w:val="none"/>
                <w:lang w:val="en-US" w:eastAsia="zh-CN" w:bidi="ar-SA"/>
              </w:rPr>
            </w:pPr>
          </w:p>
        </w:tc>
      </w:tr>
      <w:tr w14:paraId="451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2167" w:type="dxa"/>
            <w:tcBorders>
              <w:left w:val="single" w:color="auto" w:sz="4" w:space="0"/>
            </w:tcBorders>
            <w:noWrap w:val="0"/>
            <w:vAlign w:val="center"/>
          </w:tcPr>
          <w:p w14:paraId="1826176B">
            <w:pPr>
              <w:keepNext w:val="0"/>
              <w:keepLines w:val="0"/>
              <w:suppressLineNumbers w:val="0"/>
              <w:spacing w:before="0" w:beforeAutospacing="0" w:after="0" w:afterAutospacing="0" w:line="560" w:lineRule="exact"/>
              <w:ind w:left="0" w:right="0"/>
              <w:outlineLvl w:val="9"/>
              <w:rPr>
                <w:rFonts w:hint="eastAsia" w:ascii="仿宋" w:hAnsi="仿宋" w:eastAsia="仿宋" w:cs="仿宋"/>
                <w:kern w:val="2"/>
                <w:sz w:val="24"/>
                <w:szCs w:val="24"/>
                <w:highlight w:val="none"/>
                <w:lang w:val="en-US" w:eastAsia="zh-CN" w:bidi="ar-SA"/>
              </w:rPr>
            </w:pPr>
          </w:p>
        </w:tc>
        <w:tc>
          <w:tcPr>
            <w:tcW w:w="7416" w:type="dxa"/>
            <w:noWrap w:val="0"/>
            <w:vAlign w:val="center"/>
          </w:tcPr>
          <w:p w14:paraId="59BCB867">
            <w:pPr>
              <w:keepNext w:val="0"/>
              <w:keepLines w:val="0"/>
              <w:suppressLineNumbers w:val="0"/>
              <w:spacing w:before="0" w:beforeAutospacing="0" w:after="0" w:afterAutospacing="0" w:line="560" w:lineRule="exact"/>
              <w:ind w:left="0" w:right="0"/>
              <w:outlineLvl w:val="9"/>
              <w:rPr>
                <w:rFonts w:hint="eastAsia" w:ascii="仿宋" w:hAnsi="仿宋" w:eastAsia="仿宋" w:cs="仿宋"/>
                <w:kern w:val="2"/>
                <w:sz w:val="24"/>
                <w:szCs w:val="24"/>
                <w:highlight w:val="none"/>
                <w:lang w:val="en-US" w:eastAsia="zh-CN" w:bidi="ar-SA"/>
              </w:rPr>
            </w:pPr>
          </w:p>
        </w:tc>
      </w:tr>
    </w:tbl>
    <w:p w14:paraId="370C326A">
      <w:pPr>
        <w:spacing w:line="360" w:lineRule="auto"/>
        <w:ind w:firstLine="482" w:firstLineChars="200"/>
        <w:jc w:val="center"/>
        <w:outlineLvl w:val="0"/>
        <w:rPr>
          <w:rFonts w:hint="eastAsia" w:ascii="仿宋" w:hAnsi="仿宋" w:eastAsia="仿宋" w:cs="仿宋"/>
          <w:b/>
          <w:sz w:val="36"/>
          <w:szCs w:val="36"/>
          <w:highlight w:val="none"/>
        </w:rPr>
      </w:pPr>
      <w:r>
        <w:rPr>
          <w:rFonts w:hint="eastAsia" w:ascii="仿宋" w:hAnsi="仿宋" w:eastAsia="仿宋" w:cs="仿宋"/>
          <w:b/>
          <w:sz w:val="24"/>
          <w:szCs w:val="24"/>
          <w:highlight w:val="none"/>
        </w:rPr>
        <w:br w:type="page"/>
      </w:r>
      <w:bookmarkStart w:id="559" w:name="_Toc25374"/>
      <w:bookmarkStart w:id="560" w:name="_Toc6125"/>
      <w:bookmarkStart w:id="561" w:name="_Toc9510643"/>
      <w:bookmarkStart w:id="562" w:name="_Toc19415"/>
      <w:bookmarkStart w:id="563" w:name="_Toc11035"/>
      <w:bookmarkStart w:id="564" w:name="_Toc25342"/>
      <w:r>
        <w:rPr>
          <w:rFonts w:hint="eastAsia" w:ascii="仿宋" w:hAnsi="仿宋" w:eastAsia="仿宋" w:cs="仿宋"/>
          <w:b/>
          <w:kern w:val="2"/>
          <w:sz w:val="28"/>
          <w:szCs w:val="28"/>
          <w:highlight w:val="none"/>
          <w:lang w:val="en-US" w:eastAsia="zh-CN" w:bidi="ar-SA"/>
        </w:rPr>
        <w:t>第七章　投标文件格式</w:t>
      </w:r>
      <w:bookmarkEnd w:id="559"/>
      <w:bookmarkEnd w:id="560"/>
      <w:bookmarkEnd w:id="561"/>
      <w:bookmarkEnd w:id="562"/>
      <w:bookmarkEnd w:id="563"/>
      <w:bookmarkEnd w:id="564"/>
    </w:p>
    <w:p w14:paraId="019EB33E">
      <w:pPr>
        <w:adjustRightInd w:val="0"/>
        <w:spacing w:line="360" w:lineRule="auto"/>
        <w:rPr>
          <w:rFonts w:hint="eastAsia" w:ascii="仿宋" w:hAnsi="仿宋" w:eastAsia="仿宋" w:cs="仿宋"/>
          <w:szCs w:val="24"/>
          <w:highlight w:val="none"/>
        </w:rPr>
      </w:pPr>
    </w:p>
    <w:p w14:paraId="6290ED73">
      <w:pPr>
        <w:spacing w:line="560" w:lineRule="exact"/>
        <w:ind w:firstLine="480" w:firstLineChars="200"/>
        <w:outlineLvl w:val="1"/>
        <w:rPr>
          <w:rFonts w:hint="eastAsia" w:ascii="仿宋" w:hAnsi="仿宋" w:eastAsia="仿宋" w:cs="仿宋"/>
          <w:kern w:val="2"/>
          <w:sz w:val="24"/>
          <w:szCs w:val="24"/>
          <w:highlight w:val="none"/>
          <w:lang w:val="en-US" w:eastAsia="zh-CN" w:bidi="ar-SA"/>
        </w:rPr>
      </w:pPr>
      <w:bookmarkStart w:id="565" w:name="_Toc23594"/>
      <w:r>
        <w:rPr>
          <w:rFonts w:hint="eastAsia" w:ascii="仿宋" w:hAnsi="仿宋" w:eastAsia="仿宋" w:cs="仿宋"/>
          <w:kern w:val="2"/>
          <w:sz w:val="24"/>
          <w:szCs w:val="24"/>
          <w:highlight w:val="none"/>
          <w:lang w:val="en-US" w:eastAsia="zh-CN" w:bidi="ar-SA"/>
        </w:rPr>
        <w:t>一、投标人提交投标文件须知</w:t>
      </w:r>
      <w:bookmarkEnd w:id="565"/>
      <w:r>
        <w:rPr>
          <w:rFonts w:hint="eastAsia" w:ascii="仿宋" w:hAnsi="仿宋" w:eastAsia="仿宋" w:cs="仿宋"/>
          <w:kern w:val="2"/>
          <w:sz w:val="24"/>
          <w:szCs w:val="24"/>
          <w:highlight w:val="none"/>
          <w:lang w:val="en-US" w:eastAsia="zh-CN" w:bidi="ar-SA"/>
        </w:rPr>
        <w:t xml:space="preserve"> ：</w:t>
      </w:r>
    </w:p>
    <w:p w14:paraId="7ACB4FF2">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1、投标人应严格按照以下顺序填写和提交下述规定的全部格式文件以及其他有关资料，混乱的编排导致投标文件被误读或评标小组查找不到有效文件是投标人的风险。</w:t>
      </w:r>
    </w:p>
    <w:p w14:paraId="78567491">
      <w:pPr>
        <w:spacing w:line="560" w:lineRule="exact"/>
        <w:ind w:firstLine="480" w:firstLineChars="200"/>
        <w:outlineLvl w:val="2"/>
        <w:rPr>
          <w:rFonts w:hint="eastAsia" w:ascii="仿宋" w:hAnsi="仿宋" w:eastAsia="仿宋" w:cs="仿宋"/>
          <w:kern w:val="2"/>
          <w:sz w:val="24"/>
          <w:szCs w:val="24"/>
          <w:highlight w:val="none"/>
          <w:lang w:val="en-US" w:eastAsia="zh-CN" w:bidi="ar-SA"/>
        </w:rPr>
      </w:pPr>
      <w:bookmarkStart w:id="566" w:name="_Toc23205"/>
      <w:r>
        <w:rPr>
          <w:rFonts w:hint="eastAsia" w:ascii="仿宋" w:hAnsi="仿宋" w:eastAsia="仿宋" w:cs="仿宋"/>
          <w:kern w:val="2"/>
          <w:sz w:val="24"/>
          <w:szCs w:val="24"/>
          <w:highlight w:val="none"/>
          <w:lang w:val="en-US" w:eastAsia="zh-CN" w:bidi="ar-SA"/>
        </w:rPr>
        <w:t>2、所附表格中要求回答的全部问题和/或信息都必须正面回答。</w:t>
      </w:r>
      <w:bookmarkEnd w:id="566"/>
    </w:p>
    <w:p w14:paraId="244CBF5B">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3、本声明书的签字人应保证全部声明和问题的回答是真实的和准确的。</w:t>
      </w:r>
    </w:p>
    <w:p w14:paraId="4E2A4475">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4、评标委员会将应用投标人提交的资料根据自己的判断和考虑决定投标人履行合同的合格性及能力。</w:t>
      </w:r>
    </w:p>
    <w:p w14:paraId="3E6F615B">
      <w:pPr>
        <w:spacing w:line="560" w:lineRule="exact"/>
        <w:ind w:firstLine="480" w:firstLineChars="200"/>
        <w:outlineLvl w:val="2"/>
        <w:rPr>
          <w:rFonts w:hint="eastAsia" w:ascii="仿宋" w:hAnsi="仿宋" w:eastAsia="仿宋" w:cs="仿宋"/>
          <w:kern w:val="2"/>
          <w:sz w:val="24"/>
          <w:szCs w:val="24"/>
          <w:highlight w:val="none"/>
          <w:lang w:val="en-US" w:eastAsia="zh-CN" w:bidi="ar-SA"/>
        </w:rPr>
      </w:pPr>
      <w:bookmarkStart w:id="567" w:name="_Toc8067"/>
      <w:r>
        <w:rPr>
          <w:rFonts w:hint="eastAsia" w:ascii="仿宋" w:hAnsi="仿宋" w:eastAsia="仿宋" w:cs="仿宋"/>
          <w:kern w:val="2"/>
          <w:sz w:val="24"/>
          <w:szCs w:val="24"/>
          <w:highlight w:val="none"/>
          <w:lang w:val="en-US" w:eastAsia="zh-CN" w:bidi="ar-SA"/>
        </w:rPr>
        <w:t>5、投标人提交的材料将在一定期限内被保密保存，但不退还。</w:t>
      </w:r>
      <w:bookmarkEnd w:id="567"/>
    </w:p>
    <w:p w14:paraId="7D1B09F8">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428906C4">
      <w:pPr>
        <w:adjustRightInd w:val="0"/>
        <w:snapToGrid w:val="0"/>
        <w:spacing w:before="50" w:after="50"/>
        <w:rPr>
          <w:rFonts w:hint="eastAsia" w:ascii="仿宋" w:hAnsi="仿宋" w:eastAsia="仿宋" w:cs="仿宋"/>
          <w:sz w:val="32"/>
          <w:highlight w:val="none"/>
        </w:rPr>
      </w:pPr>
    </w:p>
    <w:p w14:paraId="406AA7E7">
      <w:pPr>
        <w:spacing w:line="360" w:lineRule="auto"/>
        <w:jc w:val="center"/>
        <w:outlineLvl w:val="9"/>
        <w:rPr>
          <w:rFonts w:hint="eastAsia" w:ascii="仿宋" w:hAnsi="仿宋" w:eastAsia="仿宋" w:cs="仿宋"/>
          <w:sz w:val="48"/>
          <w:szCs w:val="48"/>
          <w:highlight w:val="none"/>
        </w:rPr>
      </w:pPr>
      <w:r>
        <w:rPr>
          <w:rFonts w:hint="eastAsia" w:ascii="仿宋" w:hAnsi="仿宋" w:eastAsia="仿宋" w:cs="仿宋"/>
          <w:sz w:val="32"/>
          <w:highlight w:val="none"/>
        </w:rPr>
        <w:br w:type="page"/>
      </w:r>
      <w:bookmarkStart w:id="568" w:name="_Toc23960"/>
      <w:bookmarkStart w:id="569" w:name="_Toc2253"/>
      <w:bookmarkStart w:id="570" w:name="_Toc17130"/>
      <w:r>
        <w:rPr>
          <w:rFonts w:hint="eastAsia" w:ascii="仿宋" w:hAnsi="仿宋" w:eastAsia="仿宋" w:cs="仿宋"/>
          <w:sz w:val="48"/>
          <w:szCs w:val="48"/>
          <w:highlight w:val="none"/>
          <w:lang w:eastAsia="zh-CN"/>
        </w:rPr>
        <w:t>（</w:t>
      </w:r>
      <w:r>
        <w:rPr>
          <w:rFonts w:hint="eastAsia" w:ascii="仿宋" w:hAnsi="仿宋" w:eastAsia="仿宋" w:cs="仿宋"/>
          <w:sz w:val="48"/>
          <w:szCs w:val="48"/>
          <w:highlight w:val="none"/>
        </w:rPr>
        <w:t>项目</w:t>
      </w:r>
      <w:r>
        <w:rPr>
          <w:rFonts w:hint="eastAsia" w:ascii="仿宋" w:hAnsi="仿宋" w:eastAsia="仿宋" w:cs="仿宋"/>
          <w:sz w:val="48"/>
          <w:szCs w:val="48"/>
          <w:highlight w:val="none"/>
          <w:lang w:eastAsia="zh-CN"/>
        </w:rPr>
        <w:t>、标段</w:t>
      </w:r>
      <w:r>
        <w:rPr>
          <w:rFonts w:hint="eastAsia" w:ascii="仿宋" w:hAnsi="仿宋" w:eastAsia="仿宋" w:cs="仿宋"/>
          <w:sz w:val="48"/>
          <w:szCs w:val="48"/>
          <w:highlight w:val="none"/>
        </w:rPr>
        <w:t>名称</w:t>
      </w:r>
      <w:r>
        <w:rPr>
          <w:rFonts w:hint="eastAsia" w:ascii="仿宋" w:hAnsi="仿宋" w:eastAsia="仿宋" w:cs="仿宋"/>
          <w:sz w:val="48"/>
          <w:szCs w:val="48"/>
          <w:highlight w:val="none"/>
          <w:lang w:eastAsia="zh-CN"/>
        </w:rPr>
        <w:t>）</w:t>
      </w:r>
      <w:r>
        <w:rPr>
          <w:rFonts w:hint="eastAsia" w:ascii="仿宋" w:hAnsi="仿宋" w:eastAsia="仿宋" w:cs="仿宋"/>
          <w:sz w:val="48"/>
          <w:szCs w:val="48"/>
          <w:highlight w:val="none"/>
        </w:rPr>
        <w:t>项目</w:t>
      </w:r>
      <w:bookmarkEnd w:id="568"/>
      <w:bookmarkEnd w:id="569"/>
      <w:bookmarkEnd w:id="570"/>
    </w:p>
    <w:p w14:paraId="1E2C7225">
      <w:pPr>
        <w:spacing w:line="360" w:lineRule="auto"/>
        <w:jc w:val="center"/>
        <w:outlineLvl w:val="9"/>
        <w:rPr>
          <w:rFonts w:hint="eastAsia" w:ascii="仿宋" w:hAnsi="仿宋" w:eastAsia="仿宋" w:cs="仿宋"/>
          <w:sz w:val="32"/>
          <w:highlight w:val="none"/>
        </w:rPr>
      </w:pPr>
    </w:p>
    <w:p w14:paraId="29B423E3">
      <w:pPr>
        <w:spacing w:line="360" w:lineRule="auto"/>
        <w:jc w:val="center"/>
        <w:outlineLvl w:val="9"/>
        <w:rPr>
          <w:rFonts w:hint="eastAsia" w:ascii="仿宋" w:hAnsi="仿宋" w:eastAsia="仿宋" w:cs="仿宋"/>
          <w:sz w:val="32"/>
          <w:highlight w:val="none"/>
          <w:lang w:eastAsia="zh-CN"/>
        </w:rPr>
      </w:pPr>
      <w:bookmarkStart w:id="571" w:name="_Toc24951"/>
      <w:r>
        <w:rPr>
          <w:rFonts w:hint="eastAsia" w:ascii="仿宋" w:hAnsi="仿宋" w:eastAsia="仿宋" w:cs="仿宋"/>
          <w:sz w:val="32"/>
          <w:highlight w:val="none"/>
        </w:rPr>
        <w:t>项目编号</w:t>
      </w:r>
      <w:bookmarkEnd w:id="571"/>
      <w:r>
        <w:rPr>
          <w:rFonts w:hint="eastAsia" w:ascii="仿宋" w:hAnsi="仿宋" w:eastAsia="仿宋" w:cs="仿宋"/>
          <w:sz w:val="32"/>
          <w:highlight w:val="none"/>
          <w:lang w:eastAsia="zh-CN"/>
        </w:rPr>
        <w:t xml:space="preserve"> ：</w:t>
      </w:r>
    </w:p>
    <w:p w14:paraId="13DF5064">
      <w:pPr>
        <w:spacing w:line="560" w:lineRule="exact"/>
        <w:ind w:firstLine="883" w:firstLineChars="200"/>
        <w:jc w:val="center"/>
        <w:rPr>
          <w:rFonts w:hint="eastAsia" w:ascii="仿宋" w:hAnsi="仿宋" w:eastAsia="仿宋" w:cs="仿宋"/>
          <w:b/>
          <w:bCs/>
          <w:kern w:val="2"/>
          <w:sz w:val="44"/>
          <w:szCs w:val="52"/>
          <w:highlight w:val="none"/>
          <w:lang w:val="en-US" w:eastAsia="zh-CN" w:bidi="ar-SA"/>
        </w:rPr>
      </w:pPr>
    </w:p>
    <w:p w14:paraId="57E5E09E">
      <w:pPr>
        <w:spacing w:line="360" w:lineRule="auto"/>
        <w:jc w:val="center"/>
        <w:outlineLvl w:val="9"/>
        <w:rPr>
          <w:rFonts w:hint="eastAsia" w:ascii="仿宋" w:hAnsi="仿宋" w:eastAsia="仿宋" w:cs="仿宋"/>
          <w:sz w:val="96"/>
          <w:szCs w:val="96"/>
          <w:highlight w:val="none"/>
          <w:lang w:val="en-US" w:eastAsia="zh-CN"/>
        </w:rPr>
      </w:pPr>
      <w:r>
        <w:rPr>
          <w:rFonts w:hint="eastAsia" w:ascii="仿宋" w:hAnsi="仿宋" w:eastAsia="仿宋" w:cs="仿宋"/>
          <w:sz w:val="96"/>
          <w:szCs w:val="96"/>
          <w:highlight w:val="none"/>
          <w:lang w:val="en-US" w:eastAsia="zh-CN"/>
        </w:rPr>
        <w:t>投</w:t>
      </w:r>
    </w:p>
    <w:p w14:paraId="731F534A">
      <w:pPr>
        <w:spacing w:line="360" w:lineRule="auto"/>
        <w:jc w:val="center"/>
        <w:outlineLvl w:val="9"/>
        <w:rPr>
          <w:rFonts w:hint="eastAsia" w:ascii="仿宋" w:hAnsi="仿宋" w:eastAsia="仿宋" w:cs="仿宋"/>
          <w:sz w:val="96"/>
          <w:szCs w:val="96"/>
          <w:highlight w:val="none"/>
          <w:lang w:val="en-US" w:eastAsia="zh-CN"/>
        </w:rPr>
      </w:pPr>
      <w:r>
        <w:rPr>
          <w:rFonts w:hint="eastAsia" w:ascii="仿宋" w:hAnsi="仿宋" w:eastAsia="仿宋" w:cs="仿宋"/>
          <w:sz w:val="96"/>
          <w:szCs w:val="96"/>
          <w:highlight w:val="none"/>
          <w:lang w:val="en-US" w:eastAsia="zh-CN"/>
        </w:rPr>
        <w:t>标</w:t>
      </w:r>
    </w:p>
    <w:p w14:paraId="3DF5133A">
      <w:pPr>
        <w:spacing w:line="360" w:lineRule="auto"/>
        <w:jc w:val="center"/>
        <w:outlineLvl w:val="9"/>
        <w:rPr>
          <w:rFonts w:hint="eastAsia" w:ascii="仿宋" w:hAnsi="仿宋" w:eastAsia="仿宋" w:cs="仿宋"/>
          <w:sz w:val="96"/>
          <w:szCs w:val="96"/>
          <w:highlight w:val="none"/>
          <w:lang w:val="en-US" w:eastAsia="zh-CN"/>
        </w:rPr>
      </w:pPr>
      <w:r>
        <w:rPr>
          <w:rFonts w:hint="eastAsia" w:ascii="仿宋" w:hAnsi="仿宋" w:eastAsia="仿宋" w:cs="仿宋"/>
          <w:sz w:val="96"/>
          <w:szCs w:val="96"/>
          <w:highlight w:val="none"/>
          <w:lang w:val="en-US" w:eastAsia="zh-CN"/>
        </w:rPr>
        <w:t>文</w:t>
      </w:r>
    </w:p>
    <w:p w14:paraId="5F8AF618">
      <w:pPr>
        <w:spacing w:line="360" w:lineRule="auto"/>
        <w:jc w:val="center"/>
        <w:outlineLvl w:val="9"/>
        <w:rPr>
          <w:rFonts w:hint="eastAsia" w:ascii="仿宋" w:hAnsi="仿宋" w:eastAsia="仿宋" w:cs="仿宋"/>
          <w:kern w:val="2"/>
          <w:sz w:val="28"/>
          <w:szCs w:val="36"/>
          <w:highlight w:val="none"/>
          <w:lang w:val="en-US" w:eastAsia="zh-CN" w:bidi="ar-SA"/>
        </w:rPr>
      </w:pPr>
      <w:r>
        <w:rPr>
          <w:rFonts w:hint="eastAsia" w:ascii="仿宋" w:hAnsi="仿宋" w:eastAsia="仿宋" w:cs="仿宋"/>
          <w:sz w:val="96"/>
          <w:szCs w:val="96"/>
          <w:highlight w:val="none"/>
          <w:lang w:val="en-US" w:eastAsia="zh-CN"/>
        </w:rPr>
        <w:t>件</w:t>
      </w:r>
    </w:p>
    <w:p w14:paraId="5A2B7A1A">
      <w:pPr>
        <w:spacing w:line="560" w:lineRule="exact"/>
        <w:ind w:firstLine="560" w:firstLineChars="200"/>
        <w:rPr>
          <w:rFonts w:hint="eastAsia" w:ascii="仿宋" w:hAnsi="仿宋" w:eastAsia="仿宋" w:cs="仿宋"/>
          <w:kern w:val="2"/>
          <w:sz w:val="28"/>
          <w:szCs w:val="36"/>
          <w:highlight w:val="none"/>
          <w:lang w:val="en-US" w:eastAsia="zh-CN" w:bidi="ar-SA"/>
        </w:rPr>
      </w:pPr>
    </w:p>
    <w:p w14:paraId="0551DB7B">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投标单位名称 ：</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（盖章）</w:t>
      </w:r>
    </w:p>
    <w:p w14:paraId="448922C3">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投标单位地址 ：</w:t>
      </w:r>
      <w:r>
        <w:rPr>
          <w:rFonts w:hint="eastAsia" w:ascii="仿宋" w:hAnsi="仿宋" w:eastAsia="仿宋" w:cs="仿宋"/>
          <w:kern w:val="2"/>
          <w:sz w:val="28"/>
          <w:szCs w:val="36"/>
          <w:highlight w:val="none"/>
          <w:u w:val="single"/>
          <w:lang w:val="en-US" w:eastAsia="zh-CN" w:bidi="ar-SA"/>
        </w:rPr>
        <w:t xml:space="preserve">                                  </w:t>
      </w:r>
    </w:p>
    <w:p w14:paraId="216B93E2">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法人或法人授权代表（签字盖章） ：</w:t>
      </w:r>
      <w:r>
        <w:rPr>
          <w:rFonts w:hint="eastAsia" w:ascii="仿宋" w:hAnsi="仿宋" w:eastAsia="仿宋" w:cs="仿宋"/>
          <w:kern w:val="2"/>
          <w:sz w:val="28"/>
          <w:szCs w:val="36"/>
          <w:highlight w:val="none"/>
          <w:u w:val="single"/>
          <w:lang w:val="en-US" w:eastAsia="zh-CN" w:bidi="ar-SA"/>
        </w:rPr>
        <w:t xml:space="preserve">                        </w:t>
      </w:r>
    </w:p>
    <w:p w14:paraId="2D0C9354">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投标单位联系电话 ：</w:t>
      </w:r>
      <w:r>
        <w:rPr>
          <w:rFonts w:hint="eastAsia" w:ascii="仿宋" w:hAnsi="仿宋" w:eastAsia="仿宋" w:cs="仿宋"/>
          <w:kern w:val="2"/>
          <w:sz w:val="28"/>
          <w:szCs w:val="36"/>
          <w:highlight w:val="none"/>
          <w:u w:val="single"/>
          <w:lang w:val="en-US" w:eastAsia="zh-CN" w:bidi="ar-SA"/>
        </w:rPr>
        <w:t xml:space="preserve">                              </w:t>
      </w:r>
    </w:p>
    <w:p w14:paraId="16BC8410">
      <w:pPr>
        <w:spacing w:line="560" w:lineRule="exact"/>
        <w:ind w:firstLine="420" w:firstLineChars="200"/>
        <w:rPr>
          <w:rFonts w:hint="eastAsia" w:ascii="仿宋" w:hAnsi="仿宋" w:eastAsia="仿宋" w:cs="仿宋"/>
          <w:kern w:val="2"/>
          <w:sz w:val="21"/>
          <w:szCs w:val="24"/>
          <w:highlight w:val="none"/>
          <w:lang w:val="en-US" w:eastAsia="zh-CN" w:bidi="ar-SA"/>
        </w:rPr>
      </w:pPr>
    </w:p>
    <w:p w14:paraId="1114B51C">
      <w:pPr>
        <w:spacing w:line="560" w:lineRule="exact"/>
        <w:ind w:firstLine="560" w:firstLineChars="200"/>
        <w:jc w:val="center"/>
        <w:rPr>
          <w:rFonts w:hint="eastAsia" w:ascii="仿宋" w:hAnsi="仿宋" w:eastAsia="仿宋" w:cs="仿宋"/>
          <w:kern w:val="2"/>
          <w:sz w:val="28"/>
          <w:szCs w:val="36"/>
          <w:highlight w:val="none"/>
          <w:lang w:val="en-US" w:eastAsia="zh-CN" w:bidi="ar-SA"/>
        </w:rPr>
      </w:pPr>
      <w:bookmarkStart w:id="572" w:name="_Toc1683"/>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年</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月</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日</w:t>
      </w:r>
      <w:bookmarkEnd w:id="572"/>
    </w:p>
    <w:p w14:paraId="6EA03CB8">
      <w:pPr>
        <w:jc w:val="center"/>
        <w:rPr>
          <w:rFonts w:hint="eastAsia" w:ascii="仿宋" w:hAnsi="仿宋" w:eastAsia="仿宋" w:cs="仿宋"/>
          <w:b/>
          <w:bCs/>
          <w:color w:val="000000"/>
          <w:sz w:val="32"/>
          <w:szCs w:val="44"/>
          <w:highlight w:val="none"/>
          <w:lang w:val="en-US" w:eastAsia="zh-CN"/>
        </w:rPr>
      </w:pPr>
      <w:r>
        <w:rPr>
          <w:rFonts w:hint="eastAsia" w:ascii="仿宋" w:hAnsi="仿宋" w:eastAsia="仿宋" w:cs="仿宋"/>
          <w:b/>
          <w:bCs/>
          <w:color w:val="000000"/>
          <w:sz w:val="32"/>
          <w:szCs w:val="44"/>
          <w:highlight w:val="none"/>
          <w:lang w:val="en-US" w:eastAsia="zh-CN"/>
        </w:rPr>
        <w:br w:type="page"/>
      </w:r>
      <w:r>
        <w:rPr>
          <w:rFonts w:hint="eastAsia" w:ascii="仿宋" w:hAnsi="仿宋" w:eastAsia="仿宋" w:cs="仿宋"/>
          <w:b/>
          <w:bCs/>
          <w:color w:val="000000"/>
          <w:sz w:val="32"/>
          <w:szCs w:val="44"/>
          <w:highlight w:val="none"/>
          <w:lang w:val="en-US" w:eastAsia="zh-CN"/>
        </w:rPr>
        <w:t>目录</w:t>
      </w:r>
    </w:p>
    <w:p w14:paraId="497F2FFB">
      <w:pPr>
        <w:spacing w:line="300" w:lineRule="auto"/>
        <w:rPr>
          <w:rFonts w:hint="eastAsia" w:ascii="仿宋" w:hAnsi="仿宋" w:eastAsia="仿宋" w:cs="仿宋"/>
          <w:b/>
          <w:bCs/>
          <w:highlight w:val="none"/>
          <w:lang w:eastAsia="zh-CN"/>
        </w:rPr>
      </w:pPr>
      <w:r>
        <w:rPr>
          <w:rFonts w:hint="eastAsia" w:ascii="仿宋" w:hAnsi="仿宋" w:eastAsia="仿宋" w:cs="仿宋"/>
          <w:b/>
          <w:bCs/>
          <w:highlight w:val="none"/>
        </w:rPr>
        <w:t>报价部分</w:t>
      </w:r>
      <w:r>
        <w:rPr>
          <w:rFonts w:hint="eastAsia" w:ascii="仿宋" w:hAnsi="仿宋" w:eastAsia="仿宋" w:cs="仿宋"/>
          <w:b/>
          <w:bCs/>
          <w:highlight w:val="none"/>
          <w:lang w:eastAsia="zh-CN"/>
        </w:rPr>
        <w:t xml:space="preserve"> ：</w:t>
      </w:r>
    </w:p>
    <w:p w14:paraId="7909A279">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1、投标函；</w:t>
      </w:r>
    </w:p>
    <w:p w14:paraId="4E625D83">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2、开标一览表；</w:t>
      </w:r>
    </w:p>
    <w:p w14:paraId="3EC8A229">
      <w:pPr>
        <w:spacing w:line="300" w:lineRule="auto"/>
        <w:rPr>
          <w:rFonts w:hint="eastAsia" w:ascii="仿宋" w:hAnsi="仿宋" w:eastAsia="仿宋" w:cs="仿宋"/>
          <w:b/>
          <w:bCs/>
          <w:highlight w:val="none"/>
          <w:lang w:eastAsia="zh-CN"/>
        </w:rPr>
      </w:pPr>
      <w:r>
        <w:rPr>
          <w:rFonts w:hint="eastAsia" w:ascii="仿宋" w:hAnsi="仿宋" w:eastAsia="仿宋" w:cs="仿宋"/>
          <w:b/>
          <w:bCs/>
          <w:highlight w:val="none"/>
        </w:rPr>
        <w:t>商务部分</w:t>
      </w:r>
      <w:r>
        <w:rPr>
          <w:rFonts w:hint="eastAsia" w:ascii="仿宋" w:hAnsi="仿宋" w:eastAsia="仿宋" w:cs="仿宋"/>
          <w:b/>
          <w:bCs/>
          <w:highlight w:val="none"/>
          <w:lang w:eastAsia="zh-CN"/>
        </w:rPr>
        <w:t xml:space="preserve"> ：</w:t>
      </w:r>
    </w:p>
    <w:p w14:paraId="44395CA5">
      <w:pPr>
        <w:spacing w:line="300" w:lineRule="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3、投标单位基本情况表</w:t>
      </w:r>
    </w:p>
    <w:p w14:paraId="38F47091">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出具法人营业执照函（格式见附件）；</w:t>
      </w:r>
    </w:p>
    <w:p w14:paraId="3014D07E">
      <w:pPr>
        <w:spacing w:line="300" w:lineRule="auto"/>
        <w:rPr>
          <w:rFonts w:hint="eastAsia" w:ascii="仿宋" w:hAnsi="仿宋" w:eastAsia="仿宋" w:cs="仿宋"/>
          <w:highlight w:val="none"/>
        </w:rPr>
      </w:pPr>
      <w:r>
        <w:rPr>
          <w:rFonts w:hint="eastAsia" w:ascii="仿宋" w:hAnsi="仿宋" w:eastAsia="仿宋" w:cs="仿宋"/>
          <w:highlight w:val="none"/>
        </w:rPr>
        <w:t>投标单位简介，并附投标人资质证件等；</w:t>
      </w:r>
    </w:p>
    <w:p w14:paraId="000041C9">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5、联合体协议书（如是）</w:t>
      </w:r>
    </w:p>
    <w:p w14:paraId="58B04228">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6、法定代表人身份证明</w:t>
      </w:r>
    </w:p>
    <w:p w14:paraId="1EA44701">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7、法定代表人授权委托书</w:t>
      </w:r>
      <w:r>
        <w:rPr>
          <w:rFonts w:hint="eastAsia" w:ascii="仿宋" w:hAnsi="仿宋" w:eastAsia="仿宋" w:cs="仿宋"/>
          <w:highlight w:val="none"/>
        </w:rPr>
        <w:t>；</w:t>
      </w:r>
    </w:p>
    <w:p w14:paraId="3FD0B5ED">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8、项目负责人任命书</w:t>
      </w:r>
      <w:r>
        <w:rPr>
          <w:rFonts w:hint="eastAsia" w:ascii="仿宋" w:hAnsi="仿宋" w:eastAsia="仿宋" w:cs="仿宋"/>
          <w:highlight w:val="none"/>
        </w:rPr>
        <w:t>；</w:t>
      </w:r>
    </w:p>
    <w:p w14:paraId="2BCC0A7F">
      <w:pPr>
        <w:spacing w:line="30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9、投标人资格声明函；</w:t>
      </w:r>
    </w:p>
    <w:p w14:paraId="11D24250">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10、信用查询记录；</w:t>
      </w:r>
    </w:p>
    <w:p w14:paraId="0101D58E">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11、资格证明文件；</w:t>
      </w:r>
    </w:p>
    <w:p w14:paraId="7646246E">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12、投标保证金说明；</w:t>
      </w:r>
    </w:p>
    <w:p w14:paraId="10B61655">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13、</w:t>
      </w:r>
      <w:r>
        <w:rPr>
          <w:rFonts w:hint="eastAsia" w:ascii="仿宋" w:hAnsi="仿宋" w:eastAsia="仿宋" w:cs="仿宋"/>
          <w:highlight w:val="none"/>
        </w:rPr>
        <w:t>商务偏离表</w:t>
      </w:r>
      <w:r>
        <w:rPr>
          <w:rFonts w:hint="eastAsia" w:ascii="仿宋" w:hAnsi="仿宋" w:eastAsia="仿宋" w:cs="仿宋"/>
          <w:highlight w:val="none"/>
          <w:lang w:eastAsia="zh-CN"/>
        </w:rPr>
        <w:t>、技术规格功能要求偏离表</w:t>
      </w:r>
      <w:r>
        <w:rPr>
          <w:rFonts w:hint="eastAsia" w:ascii="仿宋" w:hAnsi="仿宋" w:eastAsia="仿宋" w:cs="仿宋"/>
          <w:highlight w:val="none"/>
        </w:rPr>
        <w:t xml:space="preserve">（格式见附件）；  </w:t>
      </w:r>
    </w:p>
    <w:p w14:paraId="465D64CE">
      <w:pPr>
        <w:spacing w:line="30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14、</w:t>
      </w:r>
      <w:r>
        <w:rPr>
          <w:rFonts w:hint="eastAsia" w:ascii="仿宋" w:hAnsi="仿宋" w:eastAsia="仿宋" w:cs="仿宋"/>
          <w:highlight w:val="none"/>
          <w:lang w:eastAsia="zh-CN"/>
        </w:rPr>
        <w:t>投标人</w:t>
      </w:r>
      <w:r>
        <w:rPr>
          <w:rFonts w:hint="eastAsia" w:ascii="仿宋" w:hAnsi="仿宋" w:eastAsia="仿宋" w:cs="仿宋"/>
          <w:highlight w:val="none"/>
        </w:rPr>
        <w:t>反商业贿赂承诺书（格式见附件）；</w:t>
      </w:r>
    </w:p>
    <w:p w14:paraId="1272F00D">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15、无围标、串标等违法违规行为承诺书</w:t>
      </w:r>
      <w:r>
        <w:rPr>
          <w:rFonts w:hint="eastAsia" w:ascii="仿宋" w:hAnsi="仿宋" w:eastAsia="仿宋" w:cs="仿宋"/>
          <w:highlight w:val="none"/>
        </w:rPr>
        <w:t>（格式见附件）；</w:t>
      </w:r>
    </w:p>
    <w:p w14:paraId="38966956">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16、中小企业声明函、JY企业、残疾人福利性单位及其他相关的充分的证明材料</w:t>
      </w:r>
      <w:r>
        <w:rPr>
          <w:rFonts w:hint="eastAsia" w:ascii="仿宋" w:hAnsi="仿宋" w:eastAsia="仿宋" w:cs="仿宋"/>
          <w:highlight w:val="none"/>
        </w:rPr>
        <w:t>；</w:t>
      </w:r>
    </w:p>
    <w:p w14:paraId="1FC0B175">
      <w:pPr>
        <w:spacing w:line="300" w:lineRule="auto"/>
        <w:rPr>
          <w:rFonts w:hint="eastAsia" w:ascii="仿宋" w:hAnsi="仿宋" w:eastAsia="仿宋" w:cs="仿宋"/>
          <w:highlight w:val="none"/>
        </w:rPr>
      </w:pPr>
      <w:r>
        <w:rPr>
          <w:rFonts w:hint="eastAsia" w:ascii="仿宋" w:hAnsi="仿宋" w:eastAsia="仿宋" w:cs="仿宋"/>
          <w:highlight w:val="none"/>
          <w:lang w:val="en-US" w:eastAsia="zh-CN"/>
        </w:rPr>
        <w:t>17、虚假应标承担责任声明（统一格式）；</w:t>
      </w:r>
    </w:p>
    <w:p w14:paraId="67CFA539">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18、关于对本投标文件中资料真实性的承诺；</w:t>
      </w:r>
    </w:p>
    <w:p w14:paraId="4E5ED6EA">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19、其它材料。</w:t>
      </w:r>
    </w:p>
    <w:p w14:paraId="323EC108">
      <w:pPr>
        <w:spacing w:line="300" w:lineRule="auto"/>
        <w:rPr>
          <w:rFonts w:hint="eastAsia" w:ascii="仿宋" w:hAnsi="仿宋" w:eastAsia="仿宋" w:cs="仿宋"/>
          <w:b/>
          <w:bCs/>
          <w:highlight w:val="none"/>
          <w:lang w:eastAsia="zh-CN"/>
        </w:rPr>
      </w:pPr>
      <w:r>
        <w:rPr>
          <w:rFonts w:hint="eastAsia" w:ascii="仿宋" w:hAnsi="仿宋" w:eastAsia="仿宋" w:cs="仿宋"/>
          <w:b/>
          <w:bCs/>
          <w:highlight w:val="none"/>
        </w:rPr>
        <w:t>技术部分</w:t>
      </w:r>
      <w:r>
        <w:rPr>
          <w:rFonts w:hint="eastAsia" w:ascii="仿宋" w:hAnsi="仿宋" w:eastAsia="仿宋" w:cs="仿宋"/>
          <w:b/>
          <w:bCs/>
          <w:highlight w:val="none"/>
          <w:lang w:eastAsia="zh-CN"/>
        </w:rPr>
        <w:t xml:space="preserve"> ：</w:t>
      </w:r>
    </w:p>
    <w:p w14:paraId="114AE56A">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21、项目实施方案；（格式自拟）</w:t>
      </w:r>
    </w:p>
    <w:p w14:paraId="492D5921">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22、质量管理方案；（格式自拟）</w:t>
      </w:r>
    </w:p>
    <w:p w14:paraId="37FF08F6">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23、产品参数指标产品性能；（格式自拟）</w:t>
      </w:r>
    </w:p>
    <w:p w14:paraId="74076D61">
      <w:pPr>
        <w:spacing w:line="300" w:lineRule="auto"/>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24、培训方案；（格式自拟）</w:t>
      </w:r>
    </w:p>
    <w:p w14:paraId="76B51291">
      <w:pPr>
        <w:spacing w:line="300" w:lineRule="auto"/>
        <w:outlineLvl w:val="2"/>
        <w:rPr>
          <w:rFonts w:hint="eastAsia" w:ascii="仿宋" w:hAnsi="仿宋" w:eastAsia="仿宋" w:cs="仿宋"/>
          <w:highlight w:val="none"/>
        </w:rPr>
      </w:pPr>
      <w:r>
        <w:rPr>
          <w:rFonts w:hint="eastAsia" w:ascii="仿宋" w:hAnsi="仿宋" w:eastAsia="仿宋" w:cs="仿宋"/>
          <w:highlight w:val="none"/>
          <w:lang w:val="en-US" w:eastAsia="zh-CN"/>
        </w:rPr>
        <w:t>25、售后服务；（格式自拟）</w:t>
      </w:r>
      <w:r>
        <w:rPr>
          <w:rFonts w:hint="eastAsia" w:ascii="仿宋" w:hAnsi="仿宋" w:eastAsia="仿宋" w:cs="仿宋"/>
          <w:highlight w:val="none"/>
        </w:rPr>
        <w:t>；</w:t>
      </w:r>
    </w:p>
    <w:p w14:paraId="28A28751">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26、服务承诺书（</w:t>
      </w:r>
      <w:r>
        <w:rPr>
          <w:rFonts w:hint="eastAsia" w:ascii="仿宋" w:hAnsi="仿宋" w:eastAsia="仿宋" w:cs="仿宋"/>
          <w:highlight w:val="none"/>
        </w:rPr>
        <w:t>投标人视需要自行编写</w:t>
      </w:r>
      <w:r>
        <w:rPr>
          <w:rFonts w:hint="eastAsia" w:ascii="仿宋" w:hAnsi="仿宋" w:eastAsia="仿宋" w:cs="仿宋"/>
          <w:highlight w:val="none"/>
          <w:lang w:eastAsia="zh-CN"/>
        </w:rPr>
        <w:t>）</w:t>
      </w:r>
    </w:p>
    <w:p w14:paraId="45C9FD4C">
      <w:pPr>
        <w:spacing w:line="30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27、</w:t>
      </w:r>
      <w:r>
        <w:rPr>
          <w:rFonts w:hint="eastAsia" w:ascii="仿宋" w:hAnsi="仿宋" w:eastAsia="仿宋" w:cs="仿宋"/>
          <w:highlight w:val="none"/>
          <w:lang w:eastAsia="zh-CN"/>
        </w:rPr>
        <w:t>其他有利于投标人的资料（如有）</w:t>
      </w:r>
    </w:p>
    <w:p w14:paraId="033670AE">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附件一</w:t>
      </w:r>
    </w:p>
    <w:p w14:paraId="269AD545">
      <w:pPr>
        <w:numPr>
          <w:ilvl w:val="0"/>
          <w:numId w:val="0"/>
        </w:numPr>
        <w:spacing w:line="440" w:lineRule="exact"/>
        <w:jc w:val="center"/>
        <w:rPr>
          <w:rFonts w:hint="eastAsia" w:ascii="仿宋" w:hAnsi="仿宋" w:eastAsia="仿宋" w:cs="仿宋"/>
          <w:b/>
          <w:color w:val="000000"/>
          <w:sz w:val="32"/>
          <w:szCs w:val="28"/>
          <w:highlight w:val="none"/>
          <w:lang w:eastAsia="zh-CN"/>
        </w:rPr>
      </w:pPr>
      <w:r>
        <w:rPr>
          <w:rFonts w:hint="eastAsia" w:ascii="仿宋" w:hAnsi="仿宋" w:eastAsia="仿宋" w:cs="仿宋"/>
          <w:b/>
          <w:color w:val="000000"/>
          <w:sz w:val="32"/>
          <w:szCs w:val="28"/>
          <w:highlight w:val="none"/>
        </w:rPr>
        <w:t>投标</w:t>
      </w:r>
      <w:r>
        <w:rPr>
          <w:rFonts w:hint="eastAsia" w:ascii="仿宋" w:hAnsi="仿宋" w:eastAsia="仿宋" w:cs="仿宋"/>
          <w:b/>
          <w:color w:val="000000"/>
          <w:sz w:val="32"/>
          <w:szCs w:val="28"/>
          <w:highlight w:val="none"/>
          <w:lang w:eastAsia="zh-CN"/>
        </w:rPr>
        <w:t>函</w:t>
      </w:r>
    </w:p>
    <w:p w14:paraId="2193E5C3">
      <w:pPr>
        <w:pStyle w:val="176"/>
        <w:numPr>
          <w:ilvl w:val="0"/>
          <w:numId w:val="0"/>
        </w:numPr>
        <w:rPr>
          <w:rFonts w:hint="eastAsia" w:ascii="仿宋" w:hAnsi="仿宋" w:eastAsia="仿宋" w:cs="仿宋"/>
          <w:highlight w:val="none"/>
        </w:rPr>
      </w:pPr>
    </w:p>
    <w:p w14:paraId="2D440EA0">
      <w:pPr>
        <w:adjustRightInd w:val="0"/>
        <w:snapToGrid w:val="0"/>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u w:val="single"/>
          <w:lang w:val="en-US" w:eastAsia="zh-CN"/>
        </w:rPr>
        <w:t>采购人</w:t>
      </w:r>
      <w:r>
        <w:rPr>
          <w:rFonts w:hint="eastAsia" w:ascii="仿宋" w:hAnsi="仿宋" w:eastAsia="仿宋" w:cs="仿宋"/>
          <w:color w:val="000000"/>
          <w:sz w:val="24"/>
          <w:szCs w:val="24"/>
          <w:highlight w:val="none"/>
          <w:lang w:eastAsia="zh-CN"/>
        </w:rPr>
        <w:t xml:space="preserve"> ：</w:t>
      </w:r>
    </w:p>
    <w:p w14:paraId="19595EC1">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我们收到你们的</w:t>
      </w:r>
      <w:r>
        <w:rPr>
          <w:rFonts w:hint="eastAsia" w:ascii="仿宋" w:hAnsi="仿宋" w:eastAsia="仿宋" w:cs="仿宋"/>
          <w:color w:val="000000"/>
          <w:sz w:val="24"/>
          <w:szCs w:val="24"/>
          <w:highlight w:val="none"/>
          <w:u w:val="single"/>
        </w:rPr>
        <w:t xml:space="preserve">     （项目名称）     （项目编号</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u w:val="single"/>
        </w:rPr>
        <w:t xml:space="preserve">  号）</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文件，经认真研究，我们决定参加本次</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活动。</w:t>
      </w:r>
    </w:p>
    <w:p w14:paraId="1E971376">
      <w:pPr>
        <w:numPr>
          <w:ilvl w:val="0"/>
          <w:numId w:val="10"/>
        </w:num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73" w:name="_Toc15514"/>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中的一切要求，提供招标的相关服务。</w:t>
      </w:r>
      <w:bookmarkEnd w:id="573"/>
    </w:p>
    <w:p w14:paraId="0FDB18BE">
      <w:pPr>
        <w:numPr>
          <w:ilvl w:val="0"/>
          <w:numId w:val="0"/>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val="en-US" w:eastAsia="zh-CN"/>
        </w:rPr>
        <w:t>小写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元</w:t>
      </w:r>
    </w:p>
    <w:p w14:paraId="249957AA">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大写</w:t>
      </w:r>
      <w:r>
        <w:rPr>
          <w:rFonts w:hint="eastAsia" w:ascii="仿宋" w:hAnsi="仿宋" w:eastAsia="仿宋" w:cs="仿宋"/>
          <w:b/>
          <w:bCs/>
          <w:sz w:val="24"/>
          <w:szCs w:val="24"/>
          <w:highlight w:val="none"/>
          <w:lang w:eastAsia="zh-CN"/>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p>
    <w:p w14:paraId="5A888297">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2、如果我们的投标文件被接受，我们将履行</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中规定的每一项义务和要求，按期、按质、按量完成</w:t>
      </w:r>
      <w:r>
        <w:rPr>
          <w:rFonts w:hint="eastAsia" w:ascii="仿宋" w:hAnsi="仿宋" w:eastAsia="仿宋" w:cs="仿宋"/>
          <w:color w:val="000000"/>
          <w:sz w:val="24"/>
          <w:szCs w:val="24"/>
          <w:highlight w:val="none"/>
          <w:lang w:val="en-US" w:eastAsia="zh-CN"/>
        </w:rPr>
        <w:t>本次服务</w:t>
      </w:r>
      <w:r>
        <w:rPr>
          <w:rFonts w:hint="eastAsia" w:ascii="仿宋" w:hAnsi="仿宋" w:eastAsia="仿宋" w:cs="仿宋"/>
          <w:color w:val="000000"/>
          <w:sz w:val="24"/>
          <w:szCs w:val="24"/>
          <w:highlight w:val="none"/>
        </w:rPr>
        <w:t>。</w:t>
      </w:r>
    </w:p>
    <w:p w14:paraId="30C71178">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3、我们同意按</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文件的规定，本投标文件的有效期为开标后</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天。</w:t>
      </w:r>
    </w:p>
    <w:p w14:paraId="5A7C40C4">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74" w:name="_Toc29996"/>
      <w:r>
        <w:rPr>
          <w:rFonts w:hint="eastAsia" w:ascii="仿宋" w:hAnsi="仿宋" w:eastAsia="仿宋" w:cs="仿宋"/>
          <w:color w:val="000000"/>
          <w:sz w:val="24"/>
          <w:szCs w:val="24"/>
          <w:highlight w:val="none"/>
        </w:rPr>
        <w:t>4、我们愿意提供招标人在</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文件中要求的所有资料。</w:t>
      </w:r>
      <w:bookmarkEnd w:id="574"/>
    </w:p>
    <w:p w14:paraId="0EEB02B0">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5、我们认为你们有选择或拒绝任何投标者中标的权力。我们理解，最低报价不是中标的唯一条件。</w:t>
      </w:r>
    </w:p>
    <w:p w14:paraId="086649F0">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75" w:name="_Toc19169"/>
      <w:r>
        <w:rPr>
          <w:rFonts w:hint="eastAsia" w:ascii="仿宋" w:hAnsi="仿宋" w:eastAsia="仿宋" w:cs="仿宋"/>
          <w:color w:val="000000"/>
          <w:sz w:val="24"/>
          <w:szCs w:val="24"/>
          <w:highlight w:val="none"/>
        </w:rPr>
        <w:t>6、我们愿按合同法履行自己的全部责任。</w:t>
      </w:r>
      <w:bookmarkEnd w:id="575"/>
    </w:p>
    <w:p w14:paraId="1C369956">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7、我们愿意遵守国家有关规定和</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文件中规定的收费标准，承付中标服务费。</w:t>
      </w:r>
    </w:p>
    <w:p w14:paraId="48FD193A">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76" w:name="_Toc17525"/>
      <w:r>
        <w:rPr>
          <w:rFonts w:hint="eastAsia" w:ascii="仿宋" w:hAnsi="仿宋" w:eastAsia="仿宋" w:cs="仿宋"/>
          <w:color w:val="000000"/>
          <w:sz w:val="24"/>
          <w:szCs w:val="24"/>
          <w:highlight w:val="none"/>
        </w:rPr>
        <w:t>8、该项投标在开标后的全过程中保持有效，不作任何更改和变动。</w:t>
      </w:r>
      <w:bookmarkEnd w:id="576"/>
    </w:p>
    <w:p w14:paraId="4B6E6D01">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9、我们同意按</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文件规定，交纳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元的投标保证金。</w:t>
      </w:r>
    </w:p>
    <w:p w14:paraId="410586DE">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10、其它说明。</w:t>
      </w:r>
    </w:p>
    <w:p w14:paraId="64883385">
      <w:pPr>
        <w:adjustRightInd w:val="0"/>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11、所有有关本标书的函电，请按下列地址联系</w:t>
      </w:r>
      <w:r>
        <w:rPr>
          <w:rFonts w:hint="eastAsia" w:ascii="仿宋" w:hAnsi="仿宋" w:eastAsia="仿宋" w:cs="仿宋"/>
          <w:color w:val="000000"/>
          <w:sz w:val="24"/>
          <w:szCs w:val="24"/>
          <w:highlight w:val="none"/>
          <w:lang w:eastAsia="zh-CN"/>
        </w:rPr>
        <w:t xml:space="preserve"> ：</w:t>
      </w:r>
    </w:p>
    <w:p w14:paraId="62671B5E">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5BCA0A22">
      <w:pPr>
        <w:adjustRightInd w:val="0"/>
        <w:snapToGrid w:val="0"/>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3F6EDB10">
      <w:pPr>
        <w:adjustRightInd w:val="0"/>
        <w:snapToGrid w:val="0"/>
        <w:spacing w:line="360" w:lineRule="auto"/>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0A878E4D">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752B6372">
      <w:pPr>
        <w:adjustRightInd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60CBE502">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688253CB">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665ACE3">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C193661">
      <w:pPr>
        <w:spacing w:before="182" w:line="220" w:lineRule="auto"/>
        <w:ind w:left="5741"/>
        <w:rPr>
          <w:rFonts w:hint="eastAsia" w:ascii="仿宋" w:hAnsi="仿宋" w:eastAsia="仿宋" w:cs="仿宋"/>
          <w:b/>
          <w:color w:val="000000"/>
          <w:sz w:val="28"/>
          <w:szCs w:val="24"/>
          <w:highlight w:val="none"/>
          <w:lang w:val="en-US" w:eastAsia="zh-CN"/>
        </w:rPr>
      </w:pPr>
      <w:r>
        <w:rPr>
          <w:rFonts w:hint="eastAsia" w:ascii="仿宋" w:hAnsi="仿宋" w:eastAsia="仿宋" w:cs="仿宋"/>
          <w:spacing w:val="-29"/>
          <w:sz w:val="24"/>
          <w:szCs w:val="24"/>
          <w:highlight w:val="none"/>
        </w:rPr>
        <w:br w:type="page"/>
      </w:r>
      <w:r>
        <w:rPr>
          <w:rFonts w:hint="eastAsia" w:ascii="仿宋" w:hAnsi="仿宋" w:eastAsia="仿宋" w:cs="仿宋"/>
          <w:b/>
          <w:color w:val="000000"/>
          <w:sz w:val="28"/>
          <w:szCs w:val="24"/>
          <w:highlight w:val="none"/>
          <w:lang w:val="en-US" w:eastAsia="zh-CN"/>
        </w:rPr>
        <w:t>附件二</w:t>
      </w:r>
    </w:p>
    <w:p w14:paraId="666E41D8">
      <w:pPr>
        <w:numPr>
          <w:ilvl w:val="0"/>
          <w:numId w:val="0"/>
        </w:numPr>
        <w:spacing w:line="440" w:lineRule="exact"/>
        <w:jc w:val="center"/>
        <w:rPr>
          <w:rFonts w:hint="eastAsia" w:ascii="仿宋" w:hAnsi="仿宋" w:eastAsia="仿宋" w:cs="仿宋"/>
          <w:b/>
          <w:color w:val="000000"/>
          <w:sz w:val="32"/>
          <w:szCs w:val="28"/>
          <w:highlight w:val="none"/>
        </w:rPr>
      </w:pPr>
      <w:r>
        <w:rPr>
          <w:rFonts w:hint="eastAsia" w:ascii="仿宋" w:hAnsi="仿宋" w:eastAsia="仿宋" w:cs="仿宋"/>
          <w:b/>
          <w:color w:val="000000"/>
          <w:sz w:val="32"/>
          <w:szCs w:val="28"/>
          <w:highlight w:val="none"/>
        </w:rPr>
        <w:t>开标一览表</w:t>
      </w:r>
    </w:p>
    <w:p w14:paraId="4FE1F6FE">
      <w:pPr>
        <w:pStyle w:val="93"/>
        <w:rPr>
          <w:rFonts w:hint="eastAsia" w:ascii="仿宋" w:hAnsi="仿宋" w:eastAsia="仿宋" w:cs="仿宋"/>
          <w:highlight w:val="none"/>
        </w:rPr>
      </w:pPr>
    </w:p>
    <w:p w14:paraId="47AA33CD">
      <w:pPr>
        <w:pStyle w:val="93"/>
        <w:rPr>
          <w:rFonts w:hint="eastAsia" w:ascii="仿宋" w:hAnsi="仿宋" w:eastAsia="仿宋" w:cs="仿宋"/>
          <w:highlight w:val="none"/>
        </w:rPr>
      </w:pPr>
    </w:p>
    <w:p w14:paraId="279F92A7">
      <w:pPr>
        <w:spacing w:line="100" w:lineRule="exact"/>
        <w:rPr>
          <w:rFonts w:hint="eastAsia" w:ascii="仿宋" w:hAnsi="仿宋" w:eastAsia="仿宋" w:cs="仿宋"/>
          <w:highlight w:val="none"/>
        </w:rPr>
      </w:pPr>
    </w:p>
    <w:tbl>
      <w:tblPr>
        <w:tblStyle w:val="7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265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543A5BC5">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185" w:type="dxa"/>
            <w:noWrap w:val="0"/>
            <w:vAlign w:val="center"/>
          </w:tcPr>
          <w:p w14:paraId="5A5B97E5">
            <w:pPr>
              <w:shd w:val="clear" w:color="auto" w:fill="auto"/>
              <w:rPr>
                <w:rFonts w:hint="eastAsia" w:ascii="仿宋" w:hAnsi="仿宋" w:eastAsia="仿宋" w:cs="仿宋"/>
                <w:color w:val="auto"/>
                <w:sz w:val="24"/>
                <w:szCs w:val="24"/>
                <w:highlight w:val="none"/>
              </w:rPr>
            </w:pPr>
          </w:p>
        </w:tc>
      </w:tr>
      <w:tr w14:paraId="2F78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1358327">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tc>
        <w:tc>
          <w:tcPr>
            <w:tcW w:w="6185" w:type="dxa"/>
            <w:noWrap w:val="0"/>
            <w:vAlign w:val="center"/>
          </w:tcPr>
          <w:p w14:paraId="107AF216">
            <w:pPr>
              <w:shd w:val="clear" w:color="auto" w:fill="auto"/>
              <w:rPr>
                <w:rFonts w:hint="eastAsia" w:ascii="仿宋" w:hAnsi="仿宋" w:eastAsia="仿宋" w:cs="仿宋"/>
                <w:color w:val="auto"/>
                <w:sz w:val="24"/>
                <w:szCs w:val="24"/>
                <w:highlight w:val="none"/>
              </w:rPr>
            </w:pPr>
          </w:p>
        </w:tc>
      </w:tr>
      <w:tr w14:paraId="136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9C735F2">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合同履行期限</w:t>
            </w:r>
          </w:p>
        </w:tc>
        <w:tc>
          <w:tcPr>
            <w:tcW w:w="6185" w:type="dxa"/>
            <w:noWrap w:val="0"/>
            <w:vAlign w:val="center"/>
          </w:tcPr>
          <w:p w14:paraId="5A2EAF30">
            <w:pPr>
              <w:shd w:val="clear" w:color="auto" w:fill="auto"/>
              <w:jc w:val="center"/>
              <w:rPr>
                <w:rFonts w:hint="eastAsia" w:ascii="仿宋" w:hAnsi="仿宋" w:eastAsia="仿宋" w:cs="仿宋"/>
                <w:color w:val="auto"/>
                <w:sz w:val="24"/>
                <w:szCs w:val="24"/>
                <w:highlight w:val="none"/>
              </w:rPr>
            </w:pPr>
          </w:p>
        </w:tc>
      </w:tr>
      <w:tr w14:paraId="1DF8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1C06267C">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185" w:type="dxa"/>
            <w:noWrap w:val="0"/>
            <w:vAlign w:val="center"/>
          </w:tcPr>
          <w:p w14:paraId="0DAEC8D0">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90天</w:t>
            </w:r>
          </w:p>
        </w:tc>
      </w:tr>
      <w:tr w14:paraId="5BF9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64D229B0">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服务标准</w:t>
            </w:r>
          </w:p>
        </w:tc>
        <w:tc>
          <w:tcPr>
            <w:tcW w:w="6185" w:type="dxa"/>
            <w:noWrap w:val="0"/>
            <w:vAlign w:val="center"/>
          </w:tcPr>
          <w:p w14:paraId="369F4FA9">
            <w:pPr>
              <w:shd w:val="clear" w:color="auto" w:fill="auto"/>
              <w:jc w:val="center"/>
              <w:rPr>
                <w:rFonts w:hint="eastAsia" w:ascii="仿宋" w:hAnsi="仿宋" w:eastAsia="仿宋" w:cs="仿宋"/>
                <w:color w:val="auto"/>
                <w:sz w:val="24"/>
                <w:szCs w:val="24"/>
                <w:highlight w:val="none"/>
                <w:lang w:val="en-US" w:eastAsia="zh-CN"/>
              </w:rPr>
            </w:pPr>
          </w:p>
        </w:tc>
      </w:tr>
      <w:tr w14:paraId="5E56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07E09AB">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报价</w:t>
            </w:r>
          </w:p>
          <w:p w14:paraId="58299096">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974" w:type="dxa"/>
            <w:tcBorders>
              <w:top w:val="single" w:color="auto" w:sz="4" w:space="0"/>
              <w:bottom w:val="single" w:color="auto" w:sz="4" w:space="0"/>
            </w:tcBorders>
            <w:noWrap w:val="0"/>
            <w:vAlign w:val="center"/>
          </w:tcPr>
          <w:p w14:paraId="704F4B60">
            <w:pPr>
              <w:widowControl/>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185" w:type="dxa"/>
            <w:noWrap w:val="0"/>
            <w:vAlign w:val="center"/>
          </w:tcPr>
          <w:p w14:paraId="474DF3A0">
            <w:pPr>
              <w:shd w:val="clear" w:color="auto" w:fill="auto"/>
              <w:jc w:val="center"/>
              <w:rPr>
                <w:rFonts w:hint="eastAsia" w:ascii="仿宋" w:hAnsi="仿宋" w:eastAsia="仿宋" w:cs="仿宋"/>
                <w:color w:val="auto"/>
                <w:sz w:val="24"/>
                <w:szCs w:val="24"/>
                <w:highlight w:val="none"/>
              </w:rPr>
            </w:pPr>
          </w:p>
        </w:tc>
      </w:tr>
      <w:tr w14:paraId="753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75787F6">
            <w:pPr>
              <w:shd w:val="clear" w:color="auto" w:fill="auto"/>
              <w:jc w:val="center"/>
              <w:rPr>
                <w:rFonts w:hint="eastAsia" w:ascii="仿宋" w:hAnsi="仿宋" w:eastAsia="仿宋" w:cs="仿宋"/>
                <w:color w:val="auto"/>
                <w:sz w:val="24"/>
                <w:szCs w:val="24"/>
                <w:highlight w:val="none"/>
              </w:rPr>
            </w:pPr>
          </w:p>
        </w:tc>
        <w:tc>
          <w:tcPr>
            <w:tcW w:w="974" w:type="dxa"/>
            <w:tcBorders>
              <w:top w:val="single" w:color="auto" w:sz="4" w:space="0"/>
              <w:bottom w:val="single" w:color="auto" w:sz="4" w:space="0"/>
            </w:tcBorders>
            <w:noWrap w:val="0"/>
            <w:vAlign w:val="center"/>
          </w:tcPr>
          <w:p w14:paraId="1AAE9ED9">
            <w:pPr>
              <w:widowControl/>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大写</w:t>
            </w:r>
          </w:p>
        </w:tc>
        <w:tc>
          <w:tcPr>
            <w:tcW w:w="6185" w:type="dxa"/>
            <w:noWrap w:val="0"/>
            <w:vAlign w:val="center"/>
          </w:tcPr>
          <w:p w14:paraId="5E98426F">
            <w:pPr>
              <w:shd w:val="clear" w:color="auto" w:fill="auto"/>
              <w:jc w:val="center"/>
              <w:rPr>
                <w:rFonts w:hint="eastAsia" w:ascii="仿宋" w:hAnsi="仿宋" w:eastAsia="仿宋" w:cs="仿宋"/>
                <w:color w:val="auto"/>
                <w:sz w:val="24"/>
                <w:szCs w:val="24"/>
                <w:highlight w:val="none"/>
              </w:rPr>
            </w:pPr>
          </w:p>
        </w:tc>
      </w:tr>
    </w:tbl>
    <w:p w14:paraId="1BB3EE58">
      <w:pPr>
        <w:adjustRightInd w:val="0"/>
        <w:snapToGrid w:val="0"/>
        <w:spacing w:line="360" w:lineRule="auto"/>
        <w:ind w:firstLine="480" w:firstLineChars="200"/>
        <w:rPr>
          <w:rFonts w:hint="eastAsia" w:ascii="仿宋" w:hAnsi="仿宋" w:eastAsia="仿宋" w:cs="仿宋"/>
          <w:color w:val="000000"/>
          <w:sz w:val="24"/>
          <w:szCs w:val="24"/>
          <w:highlight w:val="none"/>
        </w:rPr>
      </w:pPr>
    </w:p>
    <w:p w14:paraId="44549E0D">
      <w:pPr>
        <w:adjustRightInd w:val="0"/>
        <w:snapToGrid w:val="0"/>
        <w:spacing w:line="360" w:lineRule="auto"/>
        <w:ind w:firstLine="480" w:firstLineChars="200"/>
        <w:rPr>
          <w:rFonts w:hint="eastAsia" w:ascii="仿宋" w:hAnsi="仿宋" w:eastAsia="仿宋" w:cs="仿宋"/>
          <w:color w:val="000000"/>
          <w:sz w:val="24"/>
          <w:szCs w:val="24"/>
          <w:highlight w:val="none"/>
        </w:rPr>
      </w:pPr>
    </w:p>
    <w:p w14:paraId="00AF6C88">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6D519586">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6C5C69DB">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505004D9">
      <w:pPr>
        <w:spacing w:before="182" w:line="220" w:lineRule="auto"/>
        <w:ind w:left="5741"/>
        <w:rPr>
          <w:rFonts w:hint="eastAsia" w:ascii="仿宋" w:hAnsi="仿宋" w:eastAsia="仿宋" w:cs="仿宋"/>
          <w:spacing w:val="-29"/>
          <w:sz w:val="24"/>
          <w:szCs w:val="24"/>
          <w:highlight w:val="none"/>
        </w:rPr>
      </w:pPr>
    </w:p>
    <w:p w14:paraId="53583FFC">
      <w:pPr>
        <w:adjustRightInd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注</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1、总价不得超过本项目最高限价，否则作无效报价处理。</w:t>
      </w:r>
    </w:p>
    <w:p w14:paraId="7EA797BD">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、任何有选择或有条件的投标总价或表中某一包填写多个报价，均将导致投标被拒绝；</w:t>
      </w:r>
    </w:p>
    <w:p w14:paraId="2295957B">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、投标报价包含完成服务成果的一切费用、售后维护费用、税费等</w:t>
      </w:r>
    </w:p>
    <w:p w14:paraId="03D19A0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、报价为含税金额。</w:t>
      </w:r>
    </w:p>
    <w:p w14:paraId="7939527A">
      <w:pPr>
        <w:spacing w:line="360" w:lineRule="auto"/>
        <w:ind w:left="210" w:leftChars="10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、大写标注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壹、贰、叁、肆、伍、陆、柒、捌、玖、拾、佰、仟、万、亿。</w:t>
      </w:r>
    </w:p>
    <w:p w14:paraId="19244190">
      <w:pPr>
        <w:pStyle w:val="93"/>
        <w:rPr>
          <w:rFonts w:hint="eastAsia" w:ascii="仿宋" w:hAnsi="仿宋" w:eastAsia="仿宋" w:cs="仿宋"/>
          <w:highlight w:val="none"/>
          <w:lang w:eastAsia="zh-CN"/>
        </w:rPr>
        <w:sectPr>
          <w:headerReference r:id="rId5" w:type="default"/>
          <w:footerReference r:id="rId6" w:type="default"/>
          <w:pgSz w:w="11905" w:h="16838"/>
          <w:pgMar w:top="1304" w:right="964" w:bottom="1020" w:left="1191" w:header="567" w:footer="454" w:gutter="0"/>
          <w:pgNumType w:fmt="decimal"/>
          <w:cols w:space="720" w:num="1"/>
          <w:rtlGutter w:val="0"/>
          <w:docGrid w:type="lines" w:linePitch="317" w:charSpace="0"/>
        </w:sectPr>
      </w:pPr>
    </w:p>
    <w:p w14:paraId="40547A7C">
      <w:pPr>
        <w:numPr>
          <w:ilvl w:val="0"/>
          <w:numId w:val="0"/>
        </w:numPr>
        <w:spacing w:line="440" w:lineRule="exact"/>
        <w:jc w:val="both"/>
        <w:outlineLvl w:val="1"/>
        <w:rPr>
          <w:rFonts w:hint="eastAsia" w:ascii="仿宋" w:hAnsi="仿宋" w:eastAsia="仿宋" w:cs="仿宋"/>
          <w:b/>
          <w:color w:val="000000"/>
          <w:sz w:val="28"/>
          <w:szCs w:val="24"/>
          <w:highlight w:val="none"/>
          <w:lang w:val="en-US" w:eastAsia="zh-CN"/>
        </w:rPr>
      </w:pPr>
      <w:bookmarkStart w:id="577" w:name="_Toc8739"/>
      <w:bookmarkStart w:id="578" w:name="_Toc23314"/>
      <w:r>
        <w:rPr>
          <w:rFonts w:hint="eastAsia" w:ascii="仿宋" w:hAnsi="仿宋" w:eastAsia="仿宋" w:cs="仿宋"/>
          <w:b/>
          <w:color w:val="000000"/>
          <w:sz w:val="28"/>
          <w:szCs w:val="24"/>
          <w:highlight w:val="none"/>
          <w:lang w:val="en-US" w:eastAsia="zh-CN"/>
        </w:rPr>
        <w:t>附件</w:t>
      </w:r>
      <w:bookmarkEnd w:id="577"/>
      <w:bookmarkEnd w:id="578"/>
      <w:r>
        <w:rPr>
          <w:rFonts w:hint="eastAsia" w:ascii="仿宋" w:hAnsi="仿宋" w:eastAsia="仿宋" w:cs="仿宋"/>
          <w:b/>
          <w:color w:val="000000"/>
          <w:sz w:val="28"/>
          <w:szCs w:val="24"/>
          <w:highlight w:val="none"/>
          <w:lang w:val="en-US" w:eastAsia="zh-CN"/>
        </w:rPr>
        <w:t>三</w:t>
      </w:r>
    </w:p>
    <w:p w14:paraId="641E8449">
      <w:pPr>
        <w:spacing w:before="27" w:line="219" w:lineRule="auto"/>
        <w:ind w:left="3396"/>
        <w:jc w:val="center"/>
        <w:rPr>
          <w:rFonts w:hint="eastAsia" w:ascii="仿宋" w:hAnsi="仿宋" w:eastAsia="仿宋" w:cs="仿宋"/>
          <w:sz w:val="24"/>
          <w:szCs w:val="24"/>
          <w:highlight w:val="none"/>
        </w:rPr>
      </w:pPr>
      <w:r>
        <w:rPr>
          <w:rFonts w:hint="eastAsia" w:ascii="仿宋" w:hAnsi="仿宋" w:eastAsia="仿宋" w:cs="仿宋"/>
          <w:b/>
          <w:bCs/>
          <w:spacing w:val="-1"/>
          <w:sz w:val="28"/>
          <w:szCs w:val="28"/>
          <w:highlight w:val="none"/>
        </w:rPr>
        <w:t>投标单位基本情况表</w:t>
      </w:r>
    </w:p>
    <w:p w14:paraId="603E7FBE">
      <w:pPr>
        <w:spacing w:before="156"/>
        <w:rPr>
          <w:rFonts w:hint="eastAsia" w:ascii="仿宋" w:hAnsi="仿宋" w:eastAsia="仿宋" w:cs="仿宋"/>
          <w:highlight w:val="none"/>
        </w:rPr>
      </w:pPr>
    </w:p>
    <w:tbl>
      <w:tblPr>
        <w:tblStyle w:val="177"/>
        <w:tblW w:w="8831"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3"/>
        <w:gridCol w:w="2123"/>
        <w:gridCol w:w="1986"/>
        <w:gridCol w:w="1969"/>
      </w:tblGrid>
      <w:tr w14:paraId="6F8B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53" w:type="dxa"/>
            <w:noWrap w:val="0"/>
            <w:vAlign w:val="top"/>
          </w:tcPr>
          <w:p w14:paraId="0F9DF365">
            <w:pPr>
              <w:pStyle w:val="188"/>
              <w:spacing w:before="179" w:line="229" w:lineRule="auto"/>
              <w:ind w:left="117"/>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投标单位全称</w:t>
            </w:r>
          </w:p>
        </w:tc>
        <w:tc>
          <w:tcPr>
            <w:tcW w:w="6078" w:type="dxa"/>
            <w:gridSpan w:val="3"/>
            <w:noWrap w:val="0"/>
            <w:vAlign w:val="top"/>
          </w:tcPr>
          <w:p w14:paraId="0B0CD7FC">
            <w:pPr>
              <w:jc w:val="center"/>
              <w:rPr>
                <w:rFonts w:hint="eastAsia" w:ascii="仿宋" w:hAnsi="仿宋" w:eastAsia="仿宋" w:cs="仿宋"/>
                <w:sz w:val="24"/>
                <w:szCs w:val="24"/>
                <w:highlight w:val="none"/>
              </w:rPr>
            </w:pPr>
          </w:p>
        </w:tc>
      </w:tr>
      <w:tr w14:paraId="5108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53" w:type="dxa"/>
            <w:noWrap w:val="0"/>
            <w:vAlign w:val="top"/>
          </w:tcPr>
          <w:p w14:paraId="37675761">
            <w:pPr>
              <w:pStyle w:val="188"/>
              <w:spacing w:before="179" w:line="229" w:lineRule="auto"/>
              <w:ind w:left="117"/>
              <w:jc w:val="center"/>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统一社会信用代码</w:t>
            </w:r>
          </w:p>
        </w:tc>
        <w:tc>
          <w:tcPr>
            <w:tcW w:w="6078" w:type="dxa"/>
            <w:gridSpan w:val="3"/>
            <w:noWrap w:val="0"/>
            <w:vAlign w:val="top"/>
          </w:tcPr>
          <w:p w14:paraId="139EE84A">
            <w:pPr>
              <w:jc w:val="center"/>
              <w:rPr>
                <w:rFonts w:hint="eastAsia" w:ascii="仿宋" w:hAnsi="仿宋" w:eastAsia="仿宋" w:cs="仿宋"/>
                <w:sz w:val="24"/>
                <w:szCs w:val="24"/>
                <w:highlight w:val="none"/>
              </w:rPr>
            </w:pPr>
          </w:p>
        </w:tc>
      </w:tr>
      <w:tr w14:paraId="7E461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753" w:type="dxa"/>
            <w:noWrap w:val="0"/>
            <w:vAlign w:val="top"/>
          </w:tcPr>
          <w:p w14:paraId="25B06224">
            <w:pPr>
              <w:pStyle w:val="188"/>
              <w:spacing w:before="171" w:line="228" w:lineRule="auto"/>
              <w:ind w:left="116"/>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主要业务范围</w:t>
            </w:r>
          </w:p>
        </w:tc>
        <w:tc>
          <w:tcPr>
            <w:tcW w:w="6078" w:type="dxa"/>
            <w:gridSpan w:val="3"/>
            <w:noWrap w:val="0"/>
            <w:vAlign w:val="top"/>
          </w:tcPr>
          <w:p w14:paraId="32279996">
            <w:pPr>
              <w:jc w:val="center"/>
              <w:rPr>
                <w:rFonts w:hint="eastAsia" w:ascii="仿宋" w:hAnsi="仿宋" w:eastAsia="仿宋" w:cs="仿宋"/>
                <w:sz w:val="24"/>
                <w:szCs w:val="24"/>
                <w:highlight w:val="none"/>
              </w:rPr>
            </w:pPr>
          </w:p>
        </w:tc>
      </w:tr>
      <w:tr w14:paraId="0707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53" w:type="dxa"/>
            <w:noWrap w:val="0"/>
            <w:vAlign w:val="top"/>
          </w:tcPr>
          <w:p w14:paraId="67B53977">
            <w:pPr>
              <w:pStyle w:val="188"/>
              <w:spacing w:before="182" w:line="228" w:lineRule="auto"/>
              <w:ind w:left="115"/>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法定代表人名称</w:t>
            </w:r>
          </w:p>
        </w:tc>
        <w:tc>
          <w:tcPr>
            <w:tcW w:w="2123" w:type="dxa"/>
            <w:noWrap w:val="0"/>
            <w:vAlign w:val="top"/>
          </w:tcPr>
          <w:p w14:paraId="2C28DDB3">
            <w:pPr>
              <w:jc w:val="center"/>
              <w:rPr>
                <w:rFonts w:hint="eastAsia" w:ascii="仿宋" w:hAnsi="仿宋" w:eastAsia="仿宋" w:cs="仿宋"/>
                <w:sz w:val="24"/>
                <w:szCs w:val="24"/>
                <w:highlight w:val="none"/>
              </w:rPr>
            </w:pPr>
          </w:p>
        </w:tc>
        <w:tc>
          <w:tcPr>
            <w:tcW w:w="1986" w:type="dxa"/>
            <w:noWrap w:val="0"/>
            <w:vAlign w:val="top"/>
          </w:tcPr>
          <w:p w14:paraId="1FB91DB2">
            <w:pPr>
              <w:pStyle w:val="188"/>
              <w:spacing w:before="182" w:line="228" w:lineRule="auto"/>
              <w:ind w:left="1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w:t>
            </w:r>
            <w:r>
              <w:rPr>
                <w:rFonts w:hint="eastAsia" w:ascii="仿宋" w:hAnsi="仿宋" w:eastAsia="仿宋" w:cs="仿宋"/>
                <w:spacing w:val="8"/>
                <w:sz w:val="24"/>
                <w:szCs w:val="24"/>
                <w:highlight w:val="none"/>
              </w:rPr>
              <w:t xml:space="preserve">   </w:t>
            </w:r>
            <w:r>
              <w:rPr>
                <w:rFonts w:hint="eastAsia" w:ascii="仿宋" w:hAnsi="仿宋" w:eastAsia="仿宋" w:cs="仿宋"/>
                <w:sz w:val="24"/>
                <w:szCs w:val="24"/>
                <w:highlight w:val="none"/>
              </w:rPr>
              <w:t>务</w:t>
            </w:r>
          </w:p>
        </w:tc>
        <w:tc>
          <w:tcPr>
            <w:tcW w:w="1969" w:type="dxa"/>
            <w:noWrap w:val="0"/>
            <w:vAlign w:val="top"/>
          </w:tcPr>
          <w:p w14:paraId="34316159">
            <w:pPr>
              <w:jc w:val="center"/>
              <w:rPr>
                <w:rFonts w:hint="eastAsia" w:ascii="仿宋" w:hAnsi="仿宋" w:eastAsia="仿宋" w:cs="仿宋"/>
                <w:sz w:val="24"/>
                <w:szCs w:val="24"/>
                <w:highlight w:val="none"/>
              </w:rPr>
            </w:pPr>
          </w:p>
        </w:tc>
      </w:tr>
      <w:tr w14:paraId="3C8A3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753" w:type="dxa"/>
            <w:noWrap w:val="0"/>
            <w:vAlign w:val="top"/>
          </w:tcPr>
          <w:p w14:paraId="1EDF1263">
            <w:pPr>
              <w:pStyle w:val="188"/>
              <w:spacing w:before="172" w:line="229" w:lineRule="auto"/>
              <w:ind w:left="117"/>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投标单位地址</w:t>
            </w:r>
          </w:p>
        </w:tc>
        <w:tc>
          <w:tcPr>
            <w:tcW w:w="2123" w:type="dxa"/>
            <w:noWrap w:val="0"/>
            <w:vAlign w:val="top"/>
          </w:tcPr>
          <w:p w14:paraId="338373A6">
            <w:pPr>
              <w:jc w:val="center"/>
              <w:rPr>
                <w:rFonts w:hint="eastAsia" w:ascii="仿宋" w:hAnsi="仿宋" w:eastAsia="仿宋" w:cs="仿宋"/>
                <w:sz w:val="24"/>
                <w:szCs w:val="24"/>
                <w:highlight w:val="none"/>
              </w:rPr>
            </w:pPr>
          </w:p>
        </w:tc>
        <w:tc>
          <w:tcPr>
            <w:tcW w:w="1986" w:type="dxa"/>
            <w:noWrap w:val="0"/>
            <w:vAlign w:val="top"/>
          </w:tcPr>
          <w:p w14:paraId="42F6B13A">
            <w:pPr>
              <w:pStyle w:val="188"/>
              <w:spacing w:before="172" w:line="228" w:lineRule="auto"/>
              <w:ind w:left="128"/>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邮政编码</w:t>
            </w:r>
          </w:p>
        </w:tc>
        <w:tc>
          <w:tcPr>
            <w:tcW w:w="1969" w:type="dxa"/>
            <w:noWrap w:val="0"/>
            <w:vAlign w:val="top"/>
          </w:tcPr>
          <w:p w14:paraId="6E60A003">
            <w:pPr>
              <w:jc w:val="center"/>
              <w:rPr>
                <w:rFonts w:hint="eastAsia" w:ascii="仿宋" w:hAnsi="仿宋" w:eastAsia="仿宋" w:cs="仿宋"/>
                <w:sz w:val="24"/>
                <w:szCs w:val="24"/>
                <w:highlight w:val="none"/>
              </w:rPr>
            </w:pPr>
          </w:p>
        </w:tc>
      </w:tr>
      <w:tr w14:paraId="11074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753" w:type="dxa"/>
            <w:noWrap w:val="0"/>
            <w:vAlign w:val="top"/>
          </w:tcPr>
          <w:p w14:paraId="4F853E8D">
            <w:pPr>
              <w:pStyle w:val="188"/>
              <w:spacing w:before="105" w:line="231" w:lineRule="auto"/>
              <w:ind w:left="139"/>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电</w:t>
            </w:r>
            <w:r>
              <w:rPr>
                <w:rFonts w:hint="eastAsia" w:ascii="仿宋" w:hAnsi="仿宋" w:eastAsia="仿宋" w:cs="仿宋"/>
                <w:spacing w:val="6"/>
                <w:sz w:val="24"/>
                <w:szCs w:val="24"/>
                <w:highlight w:val="none"/>
              </w:rPr>
              <w:t xml:space="preserve">      </w:t>
            </w:r>
            <w:r>
              <w:rPr>
                <w:rFonts w:hint="eastAsia" w:ascii="仿宋" w:hAnsi="仿宋" w:eastAsia="仿宋" w:cs="仿宋"/>
                <w:spacing w:val="-12"/>
                <w:sz w:val="24"/>
                <w:szCs w:val="24"/>
                <w:highlight w:val="none"/>
              </w:rPr>
              <w:t>话</w:t>
            </w:r>
          </w:p>
        </w:tc>
        <w:tc>
          <w:tcPr>
            <w:tcW w:w="2123" w:type="dxa"/>
            <w:noWrap w:val="0"/>
            <w:vAlign w:val="top"/>
          </w:tcPr>
          <w:p w14:paraId="4FEF611F">
            <w:pPr>
              <w:jc w:val="center"/>
              <w:rPr>
                <w:rFonts w:hint="eastAsia" w:ascii="仿宋" w:hAnsi="仿宋" w:eastAsia="仿宋" w:cs="仿宋"/>
                <w:sz w:val="24"/>
                <w:szCs w:val="24"/>
                <w:highlight w:val="none"/>
              </w:rPr>
            </w:pPr>
          </w:p>
        </w:tc>
        <w:tc>
          <w:tcPr>
            <w:tcW w:w="1986" w:type="dxa"/>
            <w:noWrap w:val="0"/>
            <w:vAlign w:val="top"/>
          </w:tcPr>
          <w:p w14:paraId="7B981EC5">
            <w:pPr>
              <w:pStyle w:val="188"/>
              <w:spacing w:before="105" w:line="228" w:lineRule="auto"/>
              <w:ind w:left="111"/>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传</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真</w:t>
            </w:r>
          </w:p>
        </w:tc>
        <w:tc>
          <w:tcPr>
            <w:tcW w:w="1969" w:type="dxa"/>
            <w:noWrap w:val="0"/>
            <w:vAlign w:val="top"/>
          </w:tcPr>
          <w:p w14:paraId="2AF6827A">
            <w:pPr>
              <w:jc w:val="center"/>
              <w:rPr>
                <w:rFonts w:hint="eastAsia" w:ascii="仿宋" w:hAnsi="仿宋" w:eastAsia="仿宋" w:cs="仿宋"/>
                <w:sz w:val="24"/>
                <w:szCs w:val="24"/>
                <w:highlight w:val="none"/>
              </w:rPr>
            </w:pPr>
          </w:p>
        </w:tc>
      </w:tr>
      <w:tr w14:paraId="5FEF9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753" w:type="dxa"/>
            <w:noWrap w:val="0"/>
            <w:vAlign w:val="top"/>
          </w:tcPr>
          <w:p w14:paraId="5DB8C48B">
            <w:pPr>
              <w:pStyle w:val="188"/>
              <w:spacing w:before="173" w:line="228" w:lineRule="auto"/>
              <w:ind w:left="116"/>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现有职工人数</w:t>
            </w:r>
          </w:p>
        </w:tc>
        <w:tc>
          <w:tcPr>
            <w:tcW w:w="2123" w:type="dxa"/>
            <w:noWrap w:val="0"/>
            <w:vAlign w:val="top"/>
          </w:tcPr>
          <w:p w14:paraId="679F82D4">
            <w:pPr>
              <w:jc w:val="center"/>
              <w:rPr>
                <w:rFonts w:hint="eastAsia" w:ascii="仿宋" w:hAnsi="仿宋" w:eastAsia="仿宋" w:cs="仿宋"/>
                <w:sz w:val="24"/>
                <w:szCs w:val="24"/>
                <w:highlight w:val="none"/>
              </w:rPr>
            </w:pPr>
          </w:p>
        </w:tc>
        <w:tc>
          <w:tcPr>
            <w:tcW w:w="1986" w:type="dxa"/>
            <w:noWrap w:val="0"/>
            <w:vAlign w:val="top"/>
          </w:tcPr>
          <w:p w14:paraId="41DD3EA2">
            <w:pPr>
              <w:pStyle w:val="188"/>
              <w:spacing w:before="173" w:line="228" w:lineRule="auto"/>
              <w:ind w:left="119"/>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公司管理人员</w:t>
            </w:r>
          </w:p>
        </w:tc>
        <w:tc>
          <w:tcPr>
            <w:tcW w:w="1969" w:type="dxa"/>
            <w:noWrap w:val="0"/>
            <w:vAlign w:val="top"/>
          </w:tcPr>
          <w:p w14:paraId="5676B97A">
            <w:pPr>
              <w:jc w:val="center"/>
              <w:rPr>
                <w:rFonts w:hint="eastAsia" w:ascii="仿宋" w:hAnsi="仿宋" w:eastAsia="仿宋" w:cs="仿宋"/>
                <w:sz w:val="24"/>
                <w:szCs w:val="24"/>
                <w:highlight w:val="none"/>
              </w:rPr>
            </w:pPr>
          </w:p>
        </w:tc>
      </w:tr>
      <w:tr w14:paraId="01968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831" w:type="dxa"/>
            <w:gridSpan w:val="4"/>
            <w:noWrap w:val="0"/>
            <w:vAlign w:val="top"/>
          </w:tcPr>
          <w:p w14:paraId="33A173C8">
            <w:pPr>
              <w:pStyle w:val="188"/>
              <w:spacing w:before="55" w:line="228" w:lineRule="auto"/>
              <w:ind w:left="116"/>
              <w:rPr>
                <w:rFonts w:hint="eastAsia" w:ascii="仿宋" w:hAnsi="仿宋" w:eastAsia="仿宋" w:cs="仿宋"/>
                <w:sz w:val="24"/>
                <w:szCs w:val="24"/>
                <w:highlight w:val="none"/>
                <w:lang w:eastAsia="zh-CN"/>
              </w:rPr>
            </w:pPr>
            <w:r>
              <w:rPr>
                <w:rFonts w:hint="eastAsia" w:ascii="仿宋" w:hAnsi="仿宋" w:eastAsia="仿宋" w:cs="仿宋"/>
                <w:spacing w:val="7"/>
                <w:sz w:val="24"/>
                <w:szCs w:val="24"/>
                <w:highlight w:val="none"/>
              </w:rPr>
              <w:t>单位组织机构简介</w:t>
            </w:r>
            <w:r>
              <w:rPr>
                <w:rFonts w:hint="eastAsia" w:ascii="仿宋" w:hAnsi="仿宋" w:eastAsia="仿宋" w:cs="仿宋"/>
                <w:spacing w:val="7"/>
                <w:sz w:val="24"/>
                <w:szCs w:val="24"/>
                <w:highlight w:val="none"/>
                <w:lang w:eastAsia="zh-CN"/>
              </w:rPr>
              <w:t xml:space="preserve"> ：</w:t>
            </w:r>
          </w:p>
          <w:p w14:paraId="0E3F471C">
            <w:pPr>
              <w:pStyle w:val="188"/>
              <w:spacing w:before="65" w:line="312" w:lineRule="exact"/>
              <w:ind w:left="124"/>
              <w:rPr>
                <w:rFonts w:hint="eastAsia" w:ascii="仿宋" w:hAnsi="仿宋" w:eastAsia="仿宋" w:cs="仿宋"/>
                <w:sz w:val="24"/>
                <w:szCs w:val="24"/>
                <w:highlight w:val="none"/>
              </w:rPr>
            </w:pPr>
            <w:r>
              <w:rPr>
                <w:rFonts w:hint="eastAsia" w:ascii="仿宋" w:hAnsi="仿宋" w:eastAsia="仿宋" w:cs="仿宋"/>
                <w:spacing w:val="7"/>
                <w:position w:val="7"/>
                <w:sz w:val="24"/>
                <w:szCs w:val="24"/>
                <w:highlight w:val="none"/>
              </w:rPr>
              <w:t>（部室划分、各部室人数）</w:t>
            </w:r>
          </w:p>
          <w:p w14:paraId="35B19E68">
            <w:pPr>
              <w:pStyle w:val="188"/>
              <w:spacing w:line="227" w:lineRule="auto"/>
              <w:ind w:left="118"/>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企业组织机构框图附后</w:t>
            </w:r>
          </w:p>
        </w:tc>
      </w:tr>
    </w:tbl>
    <w:p w14:paraId="22A90E3A">
      <w:pPr>
        <w:pStyle w:val="8"/>
        <w:spacing w:line="329" w:lineRule="auto"/>
        <w:ind w:left="0" w:leftChars="0" w:firstLine="0" w:firstLineChars="0"/>
        <w:rPr>
          <w:rFonts w:hint="eastAsia" w:ascii="仿宋" w:hAnsi="仿宋" w:eastAsia="仿宋" w:cs="仿宋"/>
          <w:sz w:val="21"/>
          <w:szCs w:val="21"/>
          <w:highlight w:val="none"/>
        </w:rPr>
      </w:pPr>
    </w:p>
    <w:p w14:paraId="605D4E22">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663AF3E3">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52082418">
      <w:pPr>
        <w:spacing w:before="78" w:line="219" w:lineRule="auto"/>
        <w:ind w:left="3379"/>
        <w:jc w:val="both"/>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3F8D72E9">
      <w:pPr>
        <w:spacing w:before="78" w:line="219" w:lineRule="auto"/>
        <w:ind w:left="3379"/>
        <w:jc w:val="center"/>
        <w:rPr>
          <w:rFonts w:hint="eastAsia" w:ascii="仿宋" w:hAnsi="仿宋" w:eastAsia="仿宋" w:cs="仿宋"/>
          <w:b/>
          <w:bCs/>
          <w:sz w:val="28"/>
          <w:szCs w:val="28"/>
          <w:highlight w:val="none"/>
        </w:rPr>
      </w:pPr>
      <w:r>
        <w:rPr>
          <w:rFonts w:hint="eastAsia" w:ascii="仿宋" w:hAnsi="仿宋" w:eastAsia="仿宋" w:cs="仿宋"/>
          <w:spacing w:val="-29"/>
          <w:sz w:val="24"/>
          <w:szCs w:val="24"/>
          <w:highlight w:val="none"/>
        </w:rPr>
        <w:br w:type="page"/>
      </w:r>
      <w:r>
        <w:rPr>
          <w:rFonts w:hint="eastAsia" w:ascii="仿宋" w:hAnsi="仿宋" w:eastAsia="仿宋" w:cs="仿宋"/>
          <w:b/>
          <w:bCs/>
          <w:spacing w:val="-14"/>
          <w:sz w:val="28"/>
          <w:szCs w:val="28"/>
          <w:highlight w:val="none"/>
        </w:rPr>
        <w:t>拟投入人员一览表</w:t>
      </w:r>
    </w:p>
    <w:p w14:paraId="16A584C2">
      <w:pPr>
        <w:pStyle w:val="8"/>
        <w:spacing w:line="243" w:lineRule="auto"/>
        <w:rPr>
          <w:rFonts w:hint="eastAsia" w:ascii="仿宋" w:hAnsi="仿宋" w:eastAsia="仿宋" w:cs="仿宋"/>
          <w:highlight w:val="none"/>
        </w:rPr>
      </w:pPr>
    </w:p>
    <w:p w14:paraId="3BFDAF6D">
      <w:pPr>
        <w:pStyle w:val="8"/>
        <w:spacing w:line="244" w:lineRule="auto"/>
        <w:rPr>
          <w:rFonts w:hint="eastAsia" w:ascii="仿宋" w:hAnsi="仿宋" w:eastAsia="仿宋" w:cs="仿宋"/>
          <w:highlight w:val="none"/>
        </w:rPr>
      </w:pPr>
    </w:p>
    <w:p w14:paraId="02C0A2AC">
      <w:pPr>
        <w:spacing w:before="78" w:line="221" w:lineRule="auto"/>
        <w:ind w:left="23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项目名称</w:t>
      </w:r>
      <w:r>
        <w:rPr>
          <w:rFonts w:hint="eastAsia" w:ascii="仿宋" w:hAnsi="仿宋" w:eastAsia="仿宋" w:cs="仿宋"/>
          <w:spacing w:val="-20"/>
          <w:sz w:val="24"/>
          <w:szCs w:val="24"/>
          <w:highlight w:val="none"/>
          <w:lang w:eastAsia="zh-CN"/>
        </w:rPr>
        <w:t xml:space="preserve"> ：</w:t>
      </w:r>
      <w:r>
        <w:rPr>
          <w:rFonts w:hint="eastAsia" w:ascii="仿宋" w:hAnsi="仿宋" w:eastAsia="仿宋" w:cs="仿宋"/>
          <w:sz w:val="24"/>
          <w:szCs w:val="24"/>
          <w:highlight w:val="none"/>
          <w:u w:val="single" w:color="auto"/>
        </w:rPr>
        <w:t xml:space="preserve">                </w:t>
      </w:r>
    </w:p>
    <w:p w14:paraId="578C50DC">
      <w:pPr>
        <w:spacing w:before="281" w:line="220" w:lineRule="auto"/>
        <w:ind w:left="23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项目编号</w:t>
      </w:r>
      <w:r>
        <w:rPr>
          <w:rFonts w:hint="eastAsia" w:ascii="仿宋" w:hAnsi="仿宋" w:eastAsia="仿宋" w:cs="仿宋"/>
          <w:spacing w:val="-20"/>
          <w:sz w:val="24"/>
          <w:szCs w:val="24"/>
          <w:highlight w:val="none"/>
          <w:lang w:eastAsia="zh-CN"/>
        </w:rPr>
        <w:t xml:space="preserve"> ：</w:t>
      </w:r>
      <w:r>
        <w:rPr>
          <w:rFonts w:hint="eastAsia" w:ascii="仿宋" w:hAnsi="仿宋" w:eastAsia="仿宋" w:cs="仿宋"/>
          <w:sz w:val="24"/>
          <w:szCs w:val="24"/>
          <w:highlight w:val="none"/>
          <w:u w:val="single" w:color="auto"/>
        </w:rPr>
        <w:t xml:space="preserve">                </w:t>
      </w:r>
    </w:p>
    <w:p w14:paraId="7D1E6AB3">
      <w:pPr>
        <w:spacing w:line="119" w:lineRule="exact"/>
        <w:rPr>
          <w:rFonts w:hint="eastAsia" w:ascii="仿宋" w:hAnsi="仿宋" w:eastAsia="仿宋" w:cs="仿宋"/>
          <w:sz w:val="24"/>
          <w:szCs w:val="24"/>
          <w:highlight w:val="none"/>
        </w:rPr>
      </w:pPr>
    </w:p>
    <w:tbl>
      <w:tblPr>
        <w:tblStyle w:val="177"/>
        <w:tblW w:w="8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473"/>
        <w:gridCol w:w="1473"/>
        <w:gridCol w:w="1473"/>
        <w:gridCol w:w="1473"/>
        <w:gridCol w:w="1476"/>
      </w:tblGrid>
      <w:tr w14:paraId="5A20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92" w:type="dxa"/>
            <w:noWrap w:val="0"/>
            <w:vAlign w:val="top"/>
          </w:tcPr>
          <w:p w14:paraId="117F5F99">
            <w:pPr>
              <w:pStyle w:val="188"/>
              <w:spacing w:before="163" w:line="230" w:lineRule="auto"/>
              <w:ind w:left="40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73" w:type="dxa"/>
            <w:noWrap w:val="0"/>
            <w:vAlign w:val="top"/>
          </w:tcPr>
          <w:p w14:paraId="56B473F6">
            <w:pPr>
              <w:pStyle w:val="188"/>
              <w:spacing w:before="164" w:line="228" w:lineRule="auto"/>
              <w:ind w:left="39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473" w:type="dxa"/>
            <w:noWrap w:val="0"/>
            <w:vAlign w:val="top"/>
          </w:tcPr>
          <w:p w14:paraId="005DA86D">
            <w:pPr>
              <w:pStyle w:val="188"/>
              <w:spacing w:before="164" w:line="229" w:lineRule="auto"/>
              <w:ind w:left="39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473" w:type="dxa"/>
            <w:noWrap w:val="0"/>
            <w:vAlign w:val="top"/>
          </w:tcPr>
          <w:p w14:paraId="1714F7FD">
            <w:pPr>
              <w:pStyle w:val="188"/>
              <w:spacing w:before="164" w:line="228" w:lineRule="auto"/>
              <w:ind w:left="39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473" w:type="dxa"/>
            <w:noWrap w:val="0"/>
            <w:vAlign w:val="top"/>
          </w:tcPr>
          <w:p w14:paraId="5AADD602">
            <w:pPr>
              <w:pStyle w:val="188"/>
              <w:spacing w:before="163" w:line="228" w:lineRule="auto"/>
              <w:ind w:left="147"/>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拟任职务</w:t>
            </w:r>
          </w:p>
        </w:tc>
        <w:tc>
          <w:tcPr>
            <w:tcW w:w="1476" w:type="dxa"/>
            <w:noWrap w:val="0"/>
            <w:vAlign w:val="top"/>
          </w:tcPr>
          <w:p w14:paraId="6B718FF1">
            <w:pPr>
              <w:pStyle w:val="188"/>
              <w:spacing w:before="163" w:line="230" w:lineRule="auto"/>
              <w:ind w:left="401"/>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备注</w:t>
            </w:r>
          </w:p>
        </w:tc>
      </w:tr>
      <w:tr w14:paraId="569A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741333E0">
            <w:pPr>
              <w:pStyle w:val="188"/>
              <w:spacing w:before="202" w:line="184" w:lineRule="auto"/>
              <w:ind w:left="51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73" w:type="dxa"/>
            <w:noWrap w:val="0"/>
            <w:vAlign w:val="top"/>
          </w:tcPr>
          <w:p w14:paraId="05BCC294">
            <w:pPr>
              <w:jc w:val="center"/>
              <w:rPr>
                <w:rFonts w:hint="eastAsia" w:ascii="仿宋" w:hAnsi="仿宋" w:eastAsia="仿宋" w:cs="仿宋"/>
                <w:sz w:val="24"/>
                <w:szCs w:val="24"/>
                <w:highlight w:val="none"/>
              </w:rPr>
            </w:pPr>
          </w:p>
        </w:tc>
        <w:tc>
          <w:tcPr>
            <w:tcW w:w="1473" w:type="dxa"/>
            <w:noWrap w:val="0"/>
            <w:vAlign w:val="top"/>
          </w:tcPr>
          <w:p w14:paraId="2055DA05">
            <w:pPr>
              <w:jc w:val="center"/>
              <w:rPr>
                <w:rFonts w:hint="eastAsia" w:ascii="仿宋" w:hAnsi="仿宋" w:eastAsia="仿宋" w:cs="仿宋"/>
                <w:sz w:val="24"/>
                <w:szCs w:val="24"/>
                <w:highlight w:val="none"/>
              </w:rPr>
            </w:pPr>
          </w:p>
        </w:tc>
        <w:tc>
          <w:tcPr>
            <w:tcW w:w="1473" w:type="dxa"/>
            <w:noWrap w:val="0"/>
            <w:vAlign w:val="top"/>
          </w:tcPr>
          <w:p w14:paraId="1A9FCCF9">
            <w:pPr>
              <w:jc w:val="center"/>
              <w:rPr>
                <w:rFonts w:hint="eastAsia" w:ascii="仿宋" w:hAnsi="仿宋" w:eastAsia="仿宋" w:cs="仿宋"/>
                <w:sz w:val="24"/>
                <w:szCs w:val="24"/>
                <w:highlight w:val="none"/>
              </w:rPr>
            </w:pPr>
          </w:p>
        </w:tc>
        <w:tc>
          <w:tcPr>
            <w:tcW w:w="1473" w:type="dxa"/>
            <w:noWrap w:val="0"/>
            <w:vAlign w:val="top"/>
          </w:tcPr>
          <w:p w14:paraId="34B97181">
            <w:pPr>
              <w:jc w:val="center"/>
              <w:rPr>
                <w:rFonts w:hint="eastAsia" w:ascii="仿宋" w:hAnsi="仿宋" w:eastAsia="仿宋" w:cs="仿宋"/>
                <w:sz w:val="24"/>
                <w:szCs w:val="24"/>
                <w:highlight w:val="none"/>
              </w:rPr>
            </w:pPr>
          </w:p>
        </w:tc>
        <w:tc>
          <w:tcPr>
            <w:tcW w:w="1476" w:type="dxa"/>
            <w:noWrap w:val="0"/>
            <w:vAlign w:val="top"/>
          </w:tcPr>
          <w:p w14:paraId="1D5C8DFF">
            <w:pPr>
              <w:jc w:val="center"/>
              <w:rPr>
                <w:rFonts w:hint="eastAsia" w:ascii="仿宋" w:hAnsi="仿宋" w:eastAsia="仿宋" w:cs="仿宋"/>
                <w:sz w:val="24"/>
                <w:szCs w:val="24"/>
                <w:highlight w:val="none"/>
              </w:rPr>
            </w:pPr>
          </w:p>
        </w:tc>
      </w:tr>
      <w:tr w14:paraId="29F09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33DE3529">
            <w:pPr>
              <w:pStyle w:val="188"/>
              <w:spacing w:before="205" w:line="183" w:lineRule="auto"/>
              <w:ind w:left="49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473" w:type="dxa"/>
            <w:noWrap w:val="0"/>
            <w:vAlign w:val="top"/>
          </w:tcPr>
          <w:p w14:paraId="4A917B1B">
            <w:pPr>
              <w:jc w:val="center"/>
              <w:rPr>
                <w:rFonts w:hint="eastAsia" w:ascii="仿宋" w:hAnsi="仿宋" w:eastAsia="仿宋" w:cs="仿宋"/>
                <w:sz w:val="24"/>
                <w:szCs w:val="24"/>
                <w:highlight w:val="none"/>
              </w:rPr>
            </w:pPr>
          </w:p>
        </w:tc>
        <w:tc>
          <w:tcPr>
            <w:tcW w:w="1473" w:type="dxa"/>
            <w:noWrap w:val="0"/>
            <w:vAlign w:val="top"/>
          </w:tcPr>
          <w:p w14:paraId="35E9A247">
            <w:pPr>
              <w:jc w:val="center"/>
              <w:rPr>
                <w:rFonts w:hint="eastAsia" w:ascii="仿宋" w:hAnsi="仿宋" w:eastAsia="仿宋" w:cs="仿宋"/>
                <w:sz w:val="24"/>
                <w:szCs w:val="24"/>
                <w:highlight w:val="none"/>
              </w:rPr>
            </w:pPr>
          </w:p>
        </w:tc>
        <w:tc>
          <w:tcPr>
            <w:tcW w:w="1473" w:type="dxa"/>
            <w:noWrap w:val="0"/>
            <w:vAlign w:val="top"/>
          </w:tcPr>
          <w:p w14:paraId="50D8EB9E">
            <w:pPr>
              <w:jc w:val="center"/>
              <w:rPr>
                <w:rFonts w:hint="eastAsia" w:ascii="仿宋" w:hAnsi="仿宋" w:eastAsia="仿宋" w:cs="仿宋"/>
                <w:sz w:val="24"/>
                <w:szCs w:val="24"/>
                <w:highlight w:val="none"/>
              </w:rPr>
            </w:pPr>
          </w:p>
        </w:tc>
        <w:tc>
          <w:tcPr>
            <w:tcW w:w="1473" w:type="dxa"/>
            <w:noWrap w:val="0"/>
            <w:vAlign w:val="top"/>
          </w:tcPr>
          <w:p w14:paraId="034E7286">
            <w:pPr>
              <w:jc w:val="center"/>
              <w:rPr>
                <w:rFonts w:hint="eastAsia" w:ascii="仿宋" w:hAnsi="仿宋" w:eastAsia="仿宋" w:cs="仿宋"/>
                <w:sz w:val="24"/>
                <w:szCs w:val="24"/>
                <w:highlight w:val="none"/>
              </w:rPr>
            </w:pPr>
          </w:p>
        </w:tc>
        <w:tc>
          <w:tcPr>
            <w:tcW w:w="1476" w:type="dxa"/>
            <w:noWrap w:val="0"/>
            <w:vAlign w:val="top"/>
          </w:tcPr>
          <w:p w14:paraId="584DA495">
            <w:pPr>
              <w:jc w:val="center"/>
              <w:rPr>
                <w:rFonts w:hint="eastAsia" w:ascii="仿宋" w:hAnsi="仿宋" w:eastAsia="仿宋" w:cs="仿宋"/>
                <w:sz w:val="24"/>
                <w:szCs w:val="24"/>
                <w:highlight w:val="none"/>
              </w:rPr>
            </w:pPr>
          </w:p>
        </w:tc>
      </w:tr>
      <w:tr w14:paraId="4CFE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09C55BB9">
            <w:pPr>
              <w:pStyle w:val="188"/>
              <w:spacing w:before="207" w:line="183" w:lineRule="auto"/>
              <w:ind w:left="50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473" w:type="dxa"/>
            <w:noWrap w:val="0"/>
            <w:vAlign w:val="top"/>
          </w:tcPr>
          <w:p w14:paraId="00553C86">
            <w:pPr>
              <w:jc w:val="center"/>
              <w:rPr>
                <w:rFonts w:hint="eastAsia" w:ascii="仿宋" w:hAnsi="仿宋" w:eastAsia="仿宋" w:cs="仿宋"/>
                <w:sz w:val="24"/>
                <w:szCs w:val="24"/>
                <w:highlight w:val="none"/>
              </w:rPr>
            </w:pPr>
          </w:p>
        </w:tc>
        <w:tc>
          <w:tcPr>
            <w:tcW w:w="1473" w:type="dxa"/>
            <w:noWrap w:val="0"/>
            <w:vAlign w:val="top"/>
          </w:tcPr>
          <w:p w14:paraId="38604F65">
            <w:pPr>
              <w:jc w:val="center"/>
              <w:rPr>
                <w:rFonts w:hint="eastAsia" w:ascii="仿宋" w:hAnsi="仿宋" w:eastAsia="仿宋" w:cs="仿宋"/>
                <w:sz w:val="24"/>
                <w:szCs w:val="24"/>
                <w:highlight w:val="none"/>
              </w:rPr>
            </w:pPr>
          </w:p>
        </w:tc>
        <w:tc>
          <w:tcPr>
            <w:tcW w:w="1473" w:type="dxa"/>
            <w:noWrap w:val="0"/>
            <w:vAlign w:val="top"/>
          </w:tcPr>
          <w:p w14:paraId="66E96A82">
            <w:pPr>
              <w:jc w:val="center"/>
              <w:rPr>
                <w:rFonts w:hint="eastAsia" w:ascii="仿宋" w:hAnsi="仿宋" w:eastAsia="仿宋" w:cs="仿宋"/>
                <w:sz w:val="24"/>
                <w:szCs w:val="24"/>
                <w:highlight w:val="none"/>
              </w:rPr>
            </w:pPr>
          </w:p>
        </w:tc>
        <w:tc>
          <w:tcPr>
            <w:tcW w:w="1473" w:type="dxa"/>
            <w:noWrap w:val="0"/>
            <w:vAlign w:val="top"/>
          </w:tcPr>
          <w:p w14:paraId="16305042">
            <w:pPr>
              <w:jc w:val="center"/>
              <w:rPr>
                <w:rFonts w:hint="eastAsia" w:ascii="仿宋" w:hAnsi="仿宋" w:eastAsia="仿宋" w:cs="仿宋"/>
                <w:sz w:val="24"/>
                <w:szCs w:val="24"/>
                <w:highlight w:val="none"/>
              </w:rPr>
            </w:pPr>
          </w:p>
        </w:tc>
        <w:tc>
          <w:tcPr>
            <w:tcW w:w="1476" w:type="dxa"/>
            <w:noWrap w:val="0"/>
            <w:vAlign w:val="top"/>
          </w:tcPr>
          <w:p w14:paraId="2D9D1C80">
            <w:pPr>
              <w:jc w:val="center"/>
              <w:rPr>
                <w:rFonts w:hint="eastAsia" w:ascii="仿宋" w:hAnsi="仿宋" w:eastAsia="仿宋" w:cs="仿宋"/>
                <w:sz w:val="24"/>
                <w:szCs w:val="24"/>
                <w:highlight w:val="none"/>
              </w:rPr>
            </w:pPr>
          </w:p>
        </w:tc>
      </w:tr>
      <w:tr w14:paraId="508C4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2" w:type="dxa"/>
            <w:noWrap w:val="0"/>
            <w:vAlign w:val="top"/>
          </w:tcPr>
          <w:p w14:paraId="4BC0CC4E">
            <w:pPr>
              <w:pStyle w:val="188"/>
              <w:spacing w:before="206" w:line="183" w:lineRule="auto"/>
              <w:ind w:left="49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473" w:type="dxa"/>
            <w:noWrap w:val="0"/>
            <w:vAlign w:val="top"/>
          </w:tcPr>
          <w:p w14:paraId="78AD577E">
            <w:pPr>
              <w:jc w:val="center"/>
              <w:rPr>
                <w:rFonts w:hint="eastAsia" w:ascii="仿宋" w:hAnsi="仿宋" w:eastAsia="仿宋" w:cs="仿宋"/>
                <w:sz w:val="24"/>
                <w:szCs w:val="24"/>
                <w:highlight w:val="none"/>
              </w:rPr>
            </w:pPr>
          </w:p>
        </w:tc>
        <w:tc>
          <w:tcPr>
            <w:tcW w:w="1473" w:type="dxa"/>
            <w:noWrap w:val="0"/>
            <w:vAlign w:val="top"/>
          </w:tcPr>
          <w:p w14:paraId="028673D5">
            <w:pPr>
              <w:jc w:val="center"/>
              <w:rPr>
                <w:rFonts w:hint="eastAsia" w:ascii="仿宋" w:hAnsi="仿宋" w:eastAsia="仿宋" w:cs="仿宋"/>
                <w:sz w:val="24"/>
                <w:szCs w:val="24"/>
                <w:highlight w:val="none"/>
              </w:rPr>
            </w:pPr>
          </w:p>
        </w:tc>
        <w:tc>
          <w:tcPr>
            <w:tcW w:w="1473" w:type="dxa"/>
            <w:noWrap w:val="0"/>
            <w:vAlign w:val="top"/>
          </w:tcPr>
          <w:p w14:paraId="17C42049">
            <w:pPr>
              <w:jc w:val="center"/>
              <w:rPr>
                <w:rFonts w:hint="eastAsia" w:ascii="仿宋" w:hAnsi="仿宋" w:eastAsia="仿宋" w:cs="仿宋"/>
                <w:sz w:val="24"/>
                <w:szCs w:val="24"/>
                <w:highlight w:val="none"/>
              </w:rPr>
            </w:pPr>
          </w:p>
        </w:tc>
        <w:tc>
          <w:tcPr>
            <w:tcW w:w="1473" w:type="dxa"/>
            <w:noWrap w:val="0"/>
            <w:vAlign w:val="top"/>
          </w:tcPr>
          <w:p w14:paraId="756D7357">
            <w:pPr>
              <w:jc w:val="center"/>
              <w:rPr>
                <w:rFonts w:hint="eastAsia" w:ascii="仿宋" w:hAnsi="仿宋" w:eastAsia="仿宋" w:cs="仿宋"/>
                <w:sz w:val="24"/>
                <w:szCs w:val="24"/>
                <w:highlight w:val="none"/>
              </w:rPr>
            </w:pPr>
          </w:p>
        </w:tc>
        <w:tc>
          <w:tcPr>
            <w:tcW w:w="1476" w:type="dxa"/>
            <w:noWrap w:val="0"/>
            <w:vAlign w:val="top"/>
          </w:tcPr>
          <w:p w14:paraId="1E527F18">
            <w:pPr>
              <w:jc w:val="center"/>
              <w:rPr>
                <w:rFonts w:hint="eastAsia" w:ascii="仿宋" w:hAnsi="仿宋" w:eastAsia="仿宋" w:cs="仿宋"/>
                <w:sz w:val="24"/>
                <w:szCs w:val="24"/>
                <w:highlight w:val="none"/>
              </w:rPr>
            </w:pPr>
          </w:p>
        </w:tc>
      </w:tr>
      <w:tr w14:paraId="4DCAA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7E57F2AF">
            <w:pPr>
              <w:pStyle w:val="188"/>
              <w:spacing w:before="209" w:line="182" w:lineRule="auto"/>
              <w:ind w:left="50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473" w:type="dxa"/>
            <w:noWrap w:val="0"/>
            <w:vAlign w:val="top"/>
          </w:tcPr>
          <w:p w14:paraId="55767545">
            <w:pPr>
              <w:jc w:val="center"/>
              <w:rPr>
                <w:rFonts w:hint="eastAsia" w:ascii="仿宋" w:hAnsi="仿宋" w:eastAsia="仿宋" w:cs="仿宋"/>
                <w:sz w:val="24"/>
                <w:szCs w:val="24"/>
                <w:highlight w:val="none"/>
              </w:rPr>
            </w:pPr>
          </w:p>
        </w:tc>
        <w:tc>
          <w:tcPr>
            <w:tcW w:w="1473" w:type="dxa"/>
            <w:noWrap w:val="0"/>
            <w:vAlign w:val="top"/>
          </w:tcPr>
          <w:p w14:paraId="79AD5BC9">
            <w:pPr>
              <w:jc w:val="center"/>
              <w:rPr>
                <w:rFonts w:hint="eastAsia" w:ascii="仿宋" w:hAnsi="仿宋" w:eastAsia="仿宋" w:cs="仿宋"/>
                <w:sz w:val="24"/>
                <w:szCs w:val="24"/>
                <w:highlight w:val="none"/>
              </w:rPr>
            </w:pPr>
          </w:p>
        </w:tc>
        <w:tc>
          <w:tcPr>
            <w:tcW w:w="1473" w:type="dxa"/>
            <w:noWrap w:val="0"/>
            <w:vAlign w:val="top"/>
          </w:tcPr>
          <w:p w14:paraId="26D95DCE">
            <w:pPr>
              <w:jc w:val="center"/>
              <w:rPr>
                <w:rFonts w:hint="eastAsia" w:ascii="仿宋" w:hAnsi="仿宋" w:eastAsia="仿宋" w:cs="仿宋"/>
                <w:sz w:val="24"/>
                <w:szCs w:val="24"/>
                <w:highlight w:val="none"/>
              </w:rPr>
            </w:pPr>
          </w:p>
        </w:tc>
        <w:tc>
          <w:tcPr>
            <w:tcW w:w="1473" w:type="dxa"/>
            <w:noWrap w:val="0"/>
            <w:vAlign w:val="top"/>
          </w:tcPr>
          <w:p w14:paraId="30F5231F">
            <w:pPr>
              <w:jc w:val="center"/>
              <w:rPr>
                <w:rFonts w:hint="eastAsia" w:ascii="仿宋" w:hAnsi="仿宋" w:eastAsia="仿宋" w:cs="仿宋"/>
                <w:sz w:val="24"/>
                <w:szCs w:val="24"/>
                <w:highlight w:val="none"/>
              </w:rPr>
            </w:pPr>
          </w:p>
        </w:tc>
        <w:tc>
          <w:tcPr>
            <w:tcW w:w="1476" w:type="dxa"/>
            <w:noWrap w:val="0"/>
            <w:vAlign w:val="top"/>
          </w:tcPr>
          <w:p w14:paraId="1798D388">
            <w:pPr>
              <w:jc w:val="center"/>
              <w:rPr>
                <w:rFonts w:hint="eastAsia" w:ascii="仿宋" w:hAnsi="仿宋" w:eastAsia="仿宋" w:cs="仿宋"/>
                <w:sz w:val="24"/>
                <w:szCs w:val="24"/>
                <w:highlight w:val="none"/>
              </w:rPr>
            </w:pPr>
          </w:p>
        </w:tc>
      </w:tr>
      <w:tr w14:paraId="4039A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2" w:type="dxa"/>
            <w:noWrap w:val="0"/>
            <w:vAlign w:val="top"/>
          </w:tcPr>
          <w:p w14:paraId="53E60541">
            <w:pPr>
              <w:pStyle w:val="188"/>
              <w:spacing w:before="209" w:line="183" w:lineRule="auto"/>
              <w:ind w:left="49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473" w:type="dxa"/>
            <w:noWrap w:val="0"/>
            <w:vAlign w:val="top"/>
          </w:tcPr>
          <w:p w14:paraId="1209B377">
            <w:pPr>
              <w:jc w:val="center"/>
              <w:rPr>
                <w:rFonts w:hint="eastAsia" w:ascii="仿宋" w:hAnsi="仿宋" w:eastAsia="仿宋" w:cs="仿宋"/>
                <w:sz w:val="24"/>
                <w:szCs w:val="24"/>
                <w:highlight w:val="none"/>
              </w:rPr>
            </w:pPr>
          </w:p>
        </w:tc>
        <w:tc>
          <w:tcPr>
            <w:tcW w:w="1473" w:type="dxa"/>
            <w:noWrap w:val="0"/>
            <w:vAlign w:val="top"/>
          </w:tcPr>
          <w:p w14:paraId="20C56D61">
            <w:pPr>
              <w:jc w:val="center"/>
              <w:rPr>
                <w:rFonts w:hint="eastAsia" w:ascii="仿宋" w:hAnsi="仿宋" w:eastAsia="仿宋" w:cs="仿宋"/>
                <w:sz w:val="24"/>
                <w:szCs w:val="24"/>
                <w:highlight w:val="none"/>
              </w:rPr>
            </w:pPr>
          </w:p>
        </w:tc>
        <w:tc>
          <w:tcPr>
            <w:tcW w:w="1473" w:type="dxa"/>
            <w:noWrap w:val="0"/>
            <w:vAlign w:val="top"/>
          </w:tcPr>
          <w:p w14:paraId="6A5D8DCD">
            <w:pPr>
              <w:jc w:val="center"/>
              <w:rPr>
                <w:rFonts w:hint="eastAsia" w:ascii="仿宋" w:hAnsi="仿宋" w:eastAsia="仿宋" w:cs="仿宋"/>
                <w:sz w:val="24"/>
                <w:szCs w:val="24"/>
                <w:highlight w:val="none"/>
              </w:rPr>
            </w:pPr>
          </w:p>
        </w:tc>
        <w:tc>
          <w:tcPr>
            <w:tcW w:w="1473" w:type="dxa"/>
            <w:noWrap w:val="0"/>
            <w:vAlign w:val="top"/>
          </w:tcPr>
          <w:p w14:paraId="58D3BCAE">
            <w:pPr>
              <w:jc w:val="center"/>
              <w:rPr>
                <w:rFonts w:hint="eastAsia" w:ascii="仿宋" w:hAnsi="仿宋" w:eastAsia="仿宋" w:cs="仿宋"/>
                <w:sz w:val="24"/>
                <w:szCs w:val="24"/>
                <w:highlight w:val="none"/>
              </w:rPr>
            </w:pPr>
          </w:p>
        </w:tc>
        <w:tc>
          <w:tcPr>
            <w:tcW w:w="1476" w:type="dxa"/>
            <w:noWrap w:val="0"/>
            <w:vAlign w:val="top"/>
          </w:tcPr>
          <w:p w14:paraId="19A15EEE">
            <w:pPr>
              <w:jc w:val="center"/>
              <w:rPr>
                <w:rFonts w:hint="eastAsia" w:ascii="仿宋" w:hAnsi="仿宋" w:eastAsia="仿宋" w:cs="仿宋"/>
                <w:sz w:val="24"/>
                <w:szCs w:val="24"/>
                <w:highlight w:val="none"/>
              </w:rPr>
            </w:pPr>
          </w:p>
        </w:tc>
      </w:tr>
      <w:tr w14:paraId="3609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92" w:type="dxa"/>
            <w:noWrap w:val="0"/>
            <w:vAlign w:val="top"/>
          </w:tcPr>
          <w:p w14:paraId="4F4BFEAE">
            <w:pPr>
              <w:pStyle w:val="188"/>
              <w:spacing w:before="170" w:line="378" w:lineRule="exact"/>
              <w:ind w:left="344"/>
              <w:jc w:val="center"/>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tc>
        <w:tc>
          <w:tcPr>
            <w:tcW w:w="1473" w:type="dxa"/>
            <w:noWrap w:val="0"/>
            <w:vAlign w:val="top"/>
          </w:tcPr>
          <w:p w14:paraId="1395911A">
            <w:pPr>
              <w:jc w:val="center"/>
              <w:rPr>
                <w:rFonts w:hint="eastAsia" w:ascii="仿宋" w:hAnsi="仿宋" w:eastAsia="仿宋" w:cs="仿宋"/>
                <w:sz w:val="24"/>
                <w:szCs w:val="24"/>
                <w:highlight w:val="none"/>
              </w:rPr>
            </w:pPr>
          </w:p>
        </w:tc>
        <w:tc>
          <w:tcPr>
            <w:tcW w:w="1473" w:type="dxa"/>
            <w:noWrap w:val="0"/>
            <w:vAlign w:val="top"/>
          </w:tcPr>
          <w:p w14:paraId="35AFB9A4">
            <w:pPr>
              <w:jc w:val="center"/>
              <w:rPr>
                <w:rFonts w:hint="eastAsia" w:ascii="仿宋" w:hAnsi="仿宋" w:eastAsia="仿宋" w:cs="仿宋"/>
                <w:sz w:val="24"/>
                <w:szCs w:val="24"/>
                <w:highlight w:val="none"/>
              </w:rPr>
            </w:pPr>
          </w:p>
        </w:tc>
        <w:tc>
          <w:tcPr>
            <w:tcW w:w="1473" w:type="dxa"/>
            <w:noWrap w:val="0"/>
            <w:vAlign w:val="top"/>
          </w:tcPr>
          <w:p w14:paraId="55F177D9">
            <w:pPr>
              <w:jc w:val="center"/>
              <w:rPr>
                <w:rFonts w:hint="eastAsia" w:ascii="仿宋" w:hAnsi="仿宋" w:eastAsia="仿宋" w:cs="仿宋"/>
                <w:sz w:val="24"/>
                <w:szCs w:val="24"/>
                <w:highlight w:val="none"/>
              </w:rPr>
            </w:pPr>
          </w:p>
        </w:tc>
        <w:tc>
          <w:tcPr>
            <w:tcW w:w="1473" w:type="dxa"/>
            <w:noWrap w:val="0"/>
            <w:vAlign w:val="top"/>
          </w:tcPr>
          <w:p w14:paraId="24B68F30">
            <w:pPr>
              <w:jc w:val="center"/>
              <w:rPr>
                <w:rFonts w:hint="eastAsia" w:ascii="仿宋" w:hAnsi="仿宋" w:eastAsia="仿宋" w:cs="仿宋"/>
                <w:sz w:val="24"/>
                <w:szCs w:val="24"/>
                <w:highlight w:val="none"/>
              </w:rPr>
            </w:pPr>
          </w:p>
        </w:tc>
        <w:tc>
          <w:tcPr>
            <w:tcW w:w="1476" w:type="dxa"/>
            <w:noWrap w:val="0"/>
            <w:vAlign w:val="top"/>
          </w:tcPr>
          <w:p w14:paraId="740CAFCB">
            <w:pPr>
              <w:jc w:val="center"/>
              <w:rPr>
                <w:rFonts w:hint="eastAsia" w:ascii="仿宋" w:hAnsi="仿宋" w:eastAsia="仿宋" w:cs="仿宋"/>
                <w:sz w:val="24"/>
                <w:szCs w:val="24"/>
                <w:highlight w:val="none"/>
              </w:rPr>
            </w:pPr>
          </w:p>
        </w:tc>
      </w:tr>
    </w:tbl>
    <w:p w14:paraId="53933C32">
      <w:pPr>
        <w:pStyle w:val="8"/>
        <w:spacing w:line="396" w:lineRule="auto"/>
        <w:rPr>
          <w:rFonts w:hint="eastAsia" w:ascii="仿宋" w:hAnsi="仿宋" w:eastAsia="仿宋" w:cs="仿宋"/>
          <w:sz w:val="24"/>
          <w:szCs w:val="24"/>
          <w:highlight w:val="none"/>
        </w:rPr>
      </w:pPr>
    </w:p>
    <w:p w14:paraId="4198C267">
      <w:pPr>
        <w:spacing w:before="65" w:line="228" w:lineRule="auto"/>
        <w:ind w:left="121"/>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注</w:t>
      </w:r>
      <w:r>
        <w:rPr>
          <w:rFonts w:hint="eastAsia" w:ascii="仿宋" w:hAnsi="仿宋" w:eastAsia="仿宋" w:cs="仿宋"/>
          <w:spacing w:val="-6"/>
          <w:sz w:val="24"/>
          <w:szCs w:val="24"/>
          <w:highlight w:val="none"/>
          <w:lang w:eastAsia="zh-CN"/>
        </w:rPr>
        <w:t xml:space="preserve"> ：</w:t>
      </w:r>
      <w:r>
        <w:rPr>
          <w:rFonts w:hint="eastAsia" w:ascii="仿宋" w:hAnsi="仿宋" w:eastAsia="仿宋" w:cs="仿宋"/>
          <w:spacing w:val="-6"/>
          <w:sz w:val="24"/>
          <w:szCs w:val="24"/>
          <w:highlight w:val="none"/>
        </w:rPr>
        <w:t>投标人根据项目需求后附人员身份证等。</w:t>
      </w:r>
    </w:p>
    <w:p w14:paraId="0D989788">
      <w:pPr>
        <w:pStyle w:val="8"/>
        <w:spacing w:line="257" w:lineRule="auto"/>
        <w:rPr>
          <w:rFonts w:hint="eastAsia" w:ascii="仿宋" w:hAnsi="仿宋" w:eastAsia="仿宋" w:cs="仿宋"/>
          <w:sz w:val="24"/>
          <w:szCs w:val="24"/>
          <w:highlight w:val="none"/>
        </w:rPr>
      </w:pPr>
    </w:p>
    <w:p w14:paraId="155D7D23">
      <w:pPr>
        <w:pStyle w:val="8"/>
        <w:spacing w:line="257" w:lineRule="auto"/>
        <w:ind w:left="0" w:leftChars="0" w:firstLine="0" w:firstLineChars="0"/>
        <w:rPr>
          <w:rFonts w:hint="eastAsia" w:ascii="仿宋" w:hAnsi="仿宋" w:eastAsia="仿宋" w:cs="仿宋"/>
          <w:sz w:val="24"/>
          <w:szCs w:val="24"/>
          <w:highlight w:val="none"/>
        </w:rPr>
      </w:pPr>
    </w:p>
    <w:p w14:paraId="6CEE0005">
      <w:pPr>
        <w:pStyle w:val="8"/>
        <w:spacing w:line="257" w:lineRule="auto"/>
        <w:rPr>
          <w:rFonts w:hint="eastAsia" w:ascii="仿宋" w:hAnsi="仿宋" w:eastAsia="仿宋" w:cs="仿宋"/>
          <w:sz w:val="24"/>
          <w:szCs w:val="24"/>
          <w:highlight w:val="none"/>
        </w:rPr>
      </w:pPr>
    </w:p>
    <w:p w14:paraId="16C63A9F">
      <w:pPr>
        <w:pStyle w:val="8"/>
        <w:spacing w:line="257" w:lineRule="auto"/>
        <w:rPr>
          <w:rFonts w:hint="eastAsia" w:ascii="仿宋" w:hAnsi="仿宋" w:eastAsia="仿宋" w:cs="仿宋"/>
          <w:sz w:val="24"/>
          <w:szCs w:val="24"/>
          <w:highlight w:val="none"/>
        </w:rPr>
      </w:pPr>
    </w:p>
    <w:p w14:paraId="0D999F1B">
      <w:pPr>
        <w:pStyle w:val="8"/>
        <w:spacing w:line="257" w:lineRule="auto"/>
        <w:rPr>
          <w:rFonts w:hint="eastAsia" w:ascii="仿宋" w:hAnsi="仿宋" w:eastAsia="仿宋" w:cs="仿宋"/>
          <w:sz w:val="24"/>
          <w:szCs w:val="24"/>
          <w:highlight w:val="none"/>
        </w:rPr>
      </w:pPr>
    </w:p>
    <w:p w14:paraId="3BE3E8FA">
      <w:pPr>
        <w:spacing w:before="78" w:line="572" w:lineRule="exact"/>
        <w:ind w:right="68"/>
        <w:jc w:val="both"/>
        <w:rPr>
          <w:rFonts w:hint="eastAsia" w:ascii="仿宋" w:hAnsi="仿宋" w:eastAsia="仿宋" w:cs="仿宋"/>
          <w:sz w:val="24"/>
          <w:szCs w:val="24"/>
          <w:highlight w:val="none"/>
          <w:lang w:eastAsia="zh-CN"/>
        </w:rPr>
      </w:pPr>
      <w:r>
        <w:rPr>
          <w:rFonts w:hint="eastAsia" w:ascii="仿宋" w:hAnsi="仿宋" w:eastAsia="仿宋" w:cs="仿宋"/>
          <w:spacing w:val="-17"/>
          <w:position w:val="25"/>
          <w:sz w:val="24"/>
          <w:szCs w:val="24"/>
          <w:highlight w:val="none"/>
        </w:rPr>
        <w:t>投标人全称（</w:t>
      </w:r>
      <w:r>
        <w:rPr>
          <w:rFonts w:hint="eastAsia" w:ascii="仿宋" w:hAnsi="仿宋" w:eastAsia="仿宋" w:cs="仿宋"/>
          <w:spacing w:val="-17"/>
          <w:position w:val="25"/>
          <w:sz w:val="24"/>
          <w:szCs w:val="24"/>
          <w:highlight w:val="none"/>
          <w:lang w:eastAsia="zh-CN"/>
        </w:rPr>
        <w:t>盖章</w:t>
      </w:r>
      <w:r>
        <w:rPr>
          <w:rFonts w:hint="eastAsia" w:ascii="仿宋" w:hAnsi="仿宋" w:eastAsia="仿宋" w:cs="仿宋"/>
          <w:position w:val="25"/>
          <w:sz w:val="24"/>
          <w:szCs w:val="24"/>
          <w:highlight w:val="none"/>
        </w:rPr>
        <w:t>）</w:t>
      </w:r>
      <w:r>
        <w:rPr>
          <w:rFonts w:hint="eastAsia" w:ascii="仿宋" w:hAnsi="仿宋" w:eastAsia="仿宋" w:cs="仿宋"/>
          <w:position w:val="25"/>
          <w:sz w:val="24"/>
          <w:szCs w:val="24"/>
          <w:highlight w:val="none"/>
          <w:lang w:eastAsia="zh-CN"/>
        </w:rPr>
        <w:t xml:space="preserve"> ：</w:t>
      </w:r>
    </w:p>
    <w:p w14:paraId="4337E183">
      <w:pPr>
        <w:spacing w:line="219" w:lineRule="auto"/>
        <w:ind w:left="4414"/>
        <w:rPr>
          <w:rFonts w:hint="eastAsia" w:ascii="仿宋" w:hAnsi="仿宋" w:eastAsia="仿宋" w:cs="仿宋"/>
          <w:sz w:val="24"/>
          <w:szCs w:val="24"/>
          <w:highlight w:val="none"/>
          <w:lang w:eastAsia="zh-CN"/>
        </w:rPr>
      </w:pPr>
      <w:r>
        <w:rPr>
          <w:rFonts w:hint="eastAsia" w:ascii="仿宋" w:hAnsi="仿宋" w:eastAsia="仿宋" w:cs="仿宋"/>
          <w:spacing w:val="-17"/>
          <w:sz w:val="24"/>
          <w:szCs w:val="24"/>
          <w:highlight w:val="none"/>
        </w:rPr>
        <w:t>法定代表人或授权代表（</w:t>
      </w:r>
      <w:r>
        <w:rPr>
          <w:rFonts w:hint="eastAsia" w:ascii="仿宋" w:hAnsi="仿宋" w:eastAsia="仿宋" w:cs="仿宋"/>
          <w:spacing w:val="-17"/>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C7EAED0">
      <w:pPr>
        <w:pStyle w:val="8"/>
        <w:spacing w:line="283" w:lineRule="auto"/>
        <w:rPr>
          <w:rFonts w:hint="eastAsia" w:ascii="仿宋" w:hAnsi="仿宋" w:eastAsia="仿宋" w:cs="仿宋"/>
          <w:sz w:val="24"/>
          <w:szCs w:val="24"/>
          <w:highlight w:val="none"/>
        </w:rPr>
      </w:pPr>
    </w:p>
    <w:p w14:paraId="6674F9EB">
      <w:pPr>
        <w:spacing w:before="78" w:line="220" w:lineRule="auto"/>
        <w:ind w:right="35"/>
        <w:jc w:val="both"/>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日</w:t>
      </w:r>
      <w:r>
        <w:rPr>
          <w:rFonts w:hint="eastAsia" w:ascii="仿宋" w:hAnsi="仿宋" w:eastAsia="仿宋" w:cs="仿宋"/>
          <w:spacing w:val="27"/>
          <w:sz w:val="24"/>
          <w:szCs w:val="24"/>
          <w:highlight w:val="none"/>
        </w:rPr>
        <w:t xml:space="preserve">   </w:t>
      </w:r>
      <w:r>
        <w:rPr>
          <w:rFonts w:hint="eastAsia" w:ascii="仿宋" w:hAnsi="仿宋" w:eastAsia="仿宋" w:cs="仿宋"/>
          <w:spacing w:val="-18"/>
          <w:sz w:val="24"/>
          <w:szCs w:val="24"/>
          <w:highlight w:val="none"/>
        </w:rPr>
        <w:t>期</w:t>
      </w:r>
      <w:r>
        <w:rPr>
          <w:rFonts w:hint="eastAsia" w:ascii="仿宋" w:hAnsi="仿宋" w:eastAsia="仿宋" w:cs="仿宋"/>
          <w:spacing w:val="-18"/>
          <w:sz w:val="24"/>
          <w:szCs w:val="24"/>
          <w:highlight w:val="none"/>
          <w:lang w:eastAsia="zh-CN"/>
        </w:rPr>
        <w:t xml:space="preserve"> ：</w:t>
      </w:r>
      <w:r>
        <w:rPr>
          <w:rFonts w:hint="eastAsia" w:ascii="仿宋" w:hAnsi="仿宋" w:eastAsia="仿宋" w:cs="仿宋"/>
          <w:spacing w:val="18"/>
          <w:sz w:val="24"/>
          <w:szCs w:val="24"/>
          <w:highlight w:val="none"/>
        </w:rPr>
        <w:t xml:space="preserve">    </w:t>
      </w:r>
      <w:r>
        <w:rPr>
          <w:rFonts w:hint="eastAsia" w:ascii="仿宋" w:hAnsi="仿宋" w:eastAsia="仿宋" w:cs="仿宋"/>
          <w:spacing w:val="-18"/>
          <w:sz w:val="24"/>
          <w:szCs w:val="24"/>
          <w:highlight w:val="none"/>
        </w:rPr>
        <w:t>年</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月</w:t>
      </w:r>
      <w:r>
        <w:rPr>
          <w:rFonts w:hint="eastAsia" w:ascii="仿宋" w:hAnsi="仿宋" w:eastAsia="仿宋" w:cs="仿宋"/>
          <w:spacing w:val="3"/>
          <w:sz w:val="24"/>
          <w:szCs w:val="24"/>
          <w:highlight w:val="none"/>
        </w:rPr>
        <w:t xml:space="preserve">   </w:t>
      </w:r>
      <w:r>
        <w:rPr>
          <w:rFonts w:hint="eastAsia" w:ascii="仿宋" w:hAnsi="仿宋" w:eastAsia="仿宋" w:cs="仿宋"/>
          <w:spacing w:val="-18"/>
          <w:sz w:val="24"/>
          <w:szCs w:val="24"/>
          <w:highlight w:val="none"/>
        </w:rPr>
        <w:t>日</w:t>
      </w:r>
    </w:p>
    <w:p w14:paraId="518EA46E">
      <w:pPr>
        <w:spacing w:before="78" w:line="219" w:lineRule="auto"/>
        <w:ind w:left="2930"/>
        <w:jc w:val="center"/>
        <w:rPr>
          <w:rFonts w:hint="eastAsia" w:ascii="仿宋" w:hAnsi="仿宋" w:eastAsia="仿宋" w:cs="仿宋"/>
          <w:b/>
          <w:bCs/>
          <w:sz w:val="28"/>
          <w:szCs w:val="28"/>
          <w:highlight w:val="none"/>
        </w:rPr>
      </w:pPr>
      <w:r>
        <w:rPr>
          <w:rFonts w:hint="eastAsia" w:ascii="仿宋" w:hAnsi="仿宋" w:eastAsia="仿宋" w:cs="仿宋"/>
          <w:b/>
          <w:bCs/>
          <w:spacing w:val="-14"/>
          <w:sz w:val="28"/>
          <w:szCs w:val="28"/>
          <w:highlight w:val="none"/>
        </w:rPr>
        <w:br w:type="page"/>
      </w:r>
      <w:r>
        <w:rPr>
          <w:rFonts w:hint="eastAsia" w:ascii="仿宋" w:hAnsi="仿宋" w:eastAsia="仿宋" w:cs="仿宋"/>
          <w:b/>
          <w:bCs/>
          <w:spacing w:val="-14"/>
          <w:sz w:val="28"/>
          <w:szCs w:val="28"/>
          <w:highlight w:val="none"/>
        </w:rPr>
        <w:t>拟投入</w:t>
      </w:r>
      <w:r>
        <w:rPr>
          <w:rFonts w:hint="eastAsia" w:ascii="仿宋" w:hAnsi="仿宋" w:eastAsia="仿宋" w:cs="仿宋"/>
          <w:b/>
          <w:bCs/>
          <w:spacing w:val="-14"/>
          <w:sz w:val="28"/>
          <w:szCs w:val="28"/>
          <w:highlight w:val="none"/>
          <w:lang w:val="en-US" w:eastAsia="zh-CN"/>
        </w:rPr>
        <w:t>项目设备仪器一览表</w:t>
      </w:r>
    </w:p>
    <w:p w14:paraId="23493203">
      <w:pPr>
        <w:pStyle w:val="8"/>
        <w:spacing w:line="372" w:lineRule="auto"/>
        <w:rPr>
          <w:rFonts w:hint="eastAsia" w:ascii="仿宋" w:hAnsi="仿宋" w:eastAsia="仿宋" w:cs="仿宋"/>
          <w:sz w:val="24"/>
          <w:szCs w:val="24"/>
          <w:highlight w:val="none"/>
        </w:rPr>
      </w:pP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070"/>
        <w:gridCol w:w="2270"/>
        <w:gridCol w:w="1749"/>
        <w:gridCol w:w="1749"/>
      </w:tblGrid>
      <w:tr w14:paraId="5073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0E96EE0F">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2070" w:type="dxa"/>
            <w:noWrap w:val="0"/>
            <w:vAlign w:val="center"/>
          </w:tcPr>
          <w:p w14:paraId="539DF44F">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仪器或设备名称</w:t>
            </w:r>
          </w:p>
        </w:tc>
        <w:tc>
          <w:tcPr>
            <w:tcW w:w="2270" w:type="dxa"/>
            <w:noWrap w:val="0"/>
            <w:vAlign w:val="center"/>
          </w:tcPr>
          <w:p w14:paraId="682FD6C8">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规格、型号</w:t>
            </w:r>
          </w:p>
        </w:tc>
        <w:tc>
          <w:tcPr>
            <w:tcW w:w="1749" w:type="dxa"/>
            <w:noWrap w:val="0"/>
            <w:vAlign w:val="center"/>
          </w:tcPr>
          <w:p w14:paraId="4CE91E6C">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749" w:type="dxa"/>
            <w:noWrap w:val="0"/>
            <w:vAlign w:val="center"/>
          </w:tcPr>
          <w:p w14:paraId="68238022">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自有</w:t>
            </w:r>
          </w:p>
        </w:tc>
      </w:tr>
      <w:tr w14:paraId="13A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09EDB2AA">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2070" w:type="dxa"/>
            <w:noWrap w:val="0"/>
            <w:vAlign w:val="center"/>
          </w:tcPr>
          <w:p w14:paraId="4E39B992">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29DF31AA">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7CF9E204">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7D07DB80">
            <w:pPr>
              <w:pStyle w:val="8"/>
              <w:spacing w:line="244" w:lineRule="auto"/>
              <w:jc w:val="center"/>
              <w:rPr>
                <w:rFonts w:hint="eastAsia" w:ascii="仿宋" w:hAnsi="仿宋" w:eastAsia="仿宋" w:cs="仿宋"/>
                <w:sz w:val="24"/>
                <w:szCs w:val="24"/>
                <w:highlight w:val="none"/>
                <w:vertAlign w:val="baseline"/>
              </w:rPr>
            </w:pPr>
          </w:p>
        </w:tc>
      </w:tr>
      <w:tr w14:paraId="6813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23004DA8">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2070" w:type="dxa"/>
            <w:noWrap w:val="0"/>
            <w:vAlign w:val="center"/>
          </w:tcPr>
          <w:p w14:paraId="011AF918">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71D81CAB">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32E1F8CB">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74E1091C">
            <w:pPr>
              <w:pStyle w:val="8"/>
              <w:spacing w:line="244" w:lineRule="auto"/>
              <w:jc w:val="center"/>
              <w:rPr>
                <w:rFonts w:hint="eastAsia" w:ascii="仿宋" w:hAnsi="仿宋" w:eastAsia="仿宋" w:cs="仿宋"/>
                <w:sz w:val="24"/>
                <w:szCs w:val="24"/>
                <w:highlight w:val="none"/>
                <w:vertAlign w:val="baseline"/>
              </w:rPr>
            </w:pPr>
          </w:p>
        </w:tc>
      </w:tr>
      <w:tr w14:paraId="5998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6775A031">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2070" w:type="dxa"/>
            <w:noWrap w:val="0"/>
            <w:vAlign w:val="center"/>
          </w:tcPr>
          <w:p w14:paraId="3B6237AE">
            <w:pPr>
              <w:pStyle w:val="8"/>
              <w:spacing w:line="244" w:lineRule="auto"/>
              <w:jc w:val="center"/>
              <w:rPr>
                <w:rFonts w:hint="eastAsia" w:ascii="仿宋" w:hAnsi="仿宋" w:eastAsia="仿宋" w:cs="仿宋"/>
                <w:sz w:val="24"/>
                <w:szCs w:val="24"/>
                <w:highlight w:val="none"/>
                <w:vertAlign w:val="baseline"/>
                <w:lang w:val="en-US" w:eastAsia="zh-CN"/>
              </w:rPr>
            </w:pPr>
          </w:p>
        </w:tc>
        <w:tc>
          <w:tcPr>
            <w:tcW w:w="2270" w:type="dxa"/>
            <w:noWrap w:val="0"/>
            <w:vAlign w:val="center"/>
          </w:tcPr>
          <w:p w14:paraId="37C917AC">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7DAC628F">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15F36C92">
            <w:pPr>
              <w:pStyle w:val="8"/>
              <w:spacing w:line="244" w:lineRule="auto"/>
              <w:jc w:val="center"/>
              <w:rPr>
                <w:rFonts w:hint="eastAsia" w:ascii="仿宋" w:hAnsi="仿宋" w:eastAsia="仿宋" w:cs="仿宋"/>
                <w:sz w:val="24"/>
                <w:szCs w:val="24"/>
                <w:highlight w:val="none"/>
                <w:vertAlign w:val="baseline"/>
              </w:rPr>
            </w:pPr>
          </w:p>
        </w:tc>
      </w:tr>
      <w:tr w14:paraId="52CE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2ECE0AE2">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2070" w:type="dxa"/>
            <w:noWrap w:val="0"/>
            <w:vAlign w:val="center"/>
          </w:tcPr>
          <w:p w14:paraId="5DA94147">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5D279536">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1B2420FC">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6590BA7E">
            <w:pPr>
              <w:pStyle w:val="8"/>
              <w:spacing w:line="244" w:lineRule="auto"/>
              <w:jc w:val="center"/>
              <w:rPr>
                <w:rFonts w:hint="eastAsia" w:ascii="仿宋" w:hAnsi="仿宋" w:eastAsia="仿宋" w:cs="仿宋"/>
                <w:sz w:val="24"/>
                <w:szCs w:val="24"/>
                <w:highlight w:val="none"/>
                <w:vertAlign w:val="baseline"/>
              </w:rPr>
            </w:pPr>
          </w:p>
        </w:tc>
      </w:tr>
      <w:tr w14:paraId="2E3F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251C37DE">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2070" w:type="dxa"/>
            <w:noWrap w:val="0"/>
            <w:vAlign w:val="center"/>
          </w:tcPr>
          <w:p w14:paraId="38D56895">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55753E84">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7EA9211B">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0B2CD75A">
            <w:pPr>
              <w:pStyle w:val="8"/>
              <w:spacing w:line="244" w:lineRule="auto"/>
              <w:jc w:val="center"/>
              <w:rPr>
                <w:rFonts w:hint="eastAsia" w:ascii="仿宋" w:hAnsi="仿宋" w:eastAsia="仿宋" w:cs="仿宋"/>
                <w:sz w:val="24"/>
                <w:szCs w:val="24"/>
                <w:highlight w:val="none"/>
                <w:vertAlign w:val="baseline"/>
              </w:rPr>
            </w:pPr>
          </w:p>
        </w:tc>
      </w:tr>
      <w:tr w14:paraId="316F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68528DCB">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2070" w:type="dxa"/>
            <w:noWrap w:val="0"/>
            <w:vAlign w:val="center"/>
          </w:tcPr>
          <w:p w14:paraId="1BC9121C">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0E2DDCAF">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0A96E601">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0209ACCF">
            <w:pPr>
              <w:pStyle w:val="8"/>
              <w:spacing w:line="244" w:lineRule="auto"/>
              <w:jc w:val="center"/>
              <w:rPr>
                <w:rFonts w:hint="eastAsia" w:ascii="仿宋" w:hAnsi="仿宋" w:eastAsia="仿宋" w:cs="仿宋"/>
                <w:sz w:val="24"/>
                <w:szCs w:val="24"/>
                <w:highlight w:val="none"/>
                <w:vertAlign w:val="baseline"/>
              </w:rPr>
            </w:pPr>
          </w:p>
        </w:tc>
      </w:tr>
      <w:tr w14:paraId="688C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70C26F0F">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w:t>
            </w:r>
          </w:p>
        </w:tc>
        <w:tc>
          <w:tcPr>
            <w:tcW w:w="2070" w:type="dxa"/>
            <w:noWrap w:val="0"/>
            <w:vAlign w:val="center"/>
          </w:tcPr>
          <w:p w14:paraId="0F3726C1">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032BAC34">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6E04DE14">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18088C7D">
            <w:pPr>
              <w:pStyle w:val="8"/>
              <w:spacing w:line="244" w:lineRule="auto"/>
              <w:jc w:val="center"/>
              <w:rPr>
                <w:rFonts w:hint="eastAsia" w:ascii="仿宋" w:hAnsi="仿宋" w:eastAsia="仿宋" w:cs="仿宋"/>
                <w:sz w:val="24"/>
                <w:szCs w:val="24"/>
                <w:highlight w:val="none"/>
                <w:vertAlign w:val="baseline"/>
              </w:rPr>
            </w:pPr>
          </w:p>
        </w:tc>
      </w:tr>
      <w:tr w14:paraId="6B61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0C3DB367">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w:t>
            </w:r>
          </w:p>
        </w:tc>
        <w:tc>
          <w:tcPr>
            <w:tcW w:w="2070" w:type="dxa"/>
            <w:noWrap w:val="0"/>
            <w:vAlign w:val="center"/>
          </w:tcPr>
          <w:p w14:paraId="044BDB47">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3B8BF006">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4DD1904A">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656CAE57">
            <w:pPr>
              <w:pStyle w:val="8"/>
              <w:spacing w:line="244" w:lineRule="auto"/>
              <w:jc w:val="center"/>
              <w:rPr>
                <w:rFonts w:hint="eastAsia" w:ascii="仿宋" w:hAnsi="仿宋" w:eastAsia="仿宋" w:cs="仿宋"/>
                <w:sz w:val="24"/>
                <w:szCs w:val="24"/>
                <w:highlight w:val="none"/>
                <w:vertAlign w:val="baseline"/>
              </w:rPr>
            </w:pPr>
          </w:p>
        </w:tc>
      </w:tr>
      <w:tr w14:paraId="33EE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77EBB091">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w:t>
            </w:r>
          </w:p>
        </w:tc>
        <w:tc>
          <w:tcPr>
            <w:tcW w:w="2070" w:type="dxa"/>
            <w:noWrap w:val="0"/>
            <w:vAlign w:val="center"/>
          </w:tcPr>
          <w:p w14:paraId="473B1626">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30F80FAB">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2D1E0CA4">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188B5666">
            <w:pPr>
              <w:pStyle w:val="8"/>
              <w:spacing w:line="244" w:lineRule="auto"/>
              <w:jc w:val="center"/>
              <w:rPr>
                <w:rFonts w:hint="eastAsia" w:ascii="仿宋" w:hAnsi="仿宋" w:eastAsia="仿宋" w:cs="仿宋"/>
                <w:sz w:val="24"/>
                <w:szCs w:val="24"/>
                <w:highlight w:val="none"/>
                <w:vertAlign w:val="baseline"/>
              </w:rPr>
            </w:pPr>
          </w:p>
        </w:tc>
      </w:tr>
      <w:tr w14:paraId="55CB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4" w:type="dxa"/>
            <w:noWrap w:val="0"/>
            <w:vAlign w:val="center"/>
          </w:tcPr>
          <w:p w14:paraId="16E64AA0">
            <w:pPr>
              <w:pStyle w:val="8"/>
              <w:spacing w:line="244"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2070" w:type="dxa"/>
            <w:noWrap w:val="0"/>
            <w:vAlign w:val="center"/>
          </w:tcPr>
          <w:p w14:paraId="0D2A2AA7">
            <w:pPr>
              <w:pStyle w:val="8"/>
              <w:spacing w:line="244" w:lineRule="auto"/>
              <w:jc w:val="center"/>
              <w:rPr>
                <w:rFonts w:hint="eastAsia" w:ascii="仿宋" w:hAnsi="仿宋" w:eastAsia="仿宋" w:cs="仿宋"/>
                <w:sz w:val="24"/>
                <w:szCs w:val="24"/>
                <w:highlight w:val="none"/>
                <w:vertAlign w:val="baseline"/>
              </w:rPr>
            </w:pPr>
          </w:p>
        </w:tc>
        <w:tc>
          <w:tcPr>
            <w:tcW w:w="2270" w:type="dxa"/>
            <w:noWrap w:val="0"/>
            <w:vAlign w:val="center"/>
          </w:tcPr>
          <w:p w14:paraId="55BC0515">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01923396">
            <w:pPr>
              <w:pStyle w:val="8"/>
              <w:spacing w:line="244" w:lineRule="auto"/>
              <w:jc w:val="center"/>
              <w:rPr>
                <w:rFonts w:hint="eastAsia" w:ascii="仿宋" w:hAnsi="仿宋" w:eastAsia="仿宋" w:cs="仿宋"/>
                <w:sz w:val="24"/>
                <w:szCs w:val="24"/>
                <w:highlight w:val="none"/>
                <w:vertAlign w:val="baseline"/>
              </w:rPr>
            </w:pPr>
          </w:p>
        </w:tc>
        <w:tc>
          <w:tcPr>
            <w:tcW w:w="1749" w:type="dxa"/>
            <w:noWrap w:val="0"/>
            <w:vAlign w:val="center"/>
          </w:tcPr>
          <w:p w14:paraId="3409F285">
            <w:pPr>
              <w:pStyle w:val="8"/>
              <w:spacing w:line="244" w:lineRule="auto"/>
              <w:jc w:val="center"/>
              <w:rPr>
                <w:rFonts w:hint="eastAsia" w:ascii="仿宋" w:hAnsi="仿宋" w:eastAsia="仿宋" w:cs="仿宋"/>
                <w:sz w:val="24"/>
                <w:szCs w:val="24"/>
                <w:highlight w:val="none"/>
                <w:vertAlign w:val="baseline"/>
              </w:rPr>
            </w:pPr>
          </w:p>
        </w:tc>
      </w:tr>
    </w:tbl>
    <w:p w14:paraId="555B6A07">
      <w:pPr>
        <w:pStyle w:val="8"/>
        <w:spacing w:line="244" w:lineRule="auto"/>
        <w:rPr>
          <w:rFonts w:hint="eastAsia" w:ascii="仿宋" w:hAnsi="仿宋" w:eastAsia="仿宋" w:cs="仿宋"/>
          <w:sz w:val="24"/>
          <w:szCs w:val="24"/>
          <w:highlight w:val="none"/>
        </w:rPr>
      </w:pPr>
    </w:p>
    <w:p w14:paraId="68389D4C">
      <w:pPr>
        <w:pStyle w:val="8"/>
        <w:spacing w:line="244" w:lineRule="auto"/>
        <w:rPr>
          <w:rFonts w:hint="eastAsia" w:ascii="仿宋" w:hAnsi="仿宋" w:eastAsia="仿宋" w:cs="仿宋"/>
          <w:sz w:val="24"/>
          <w:szCs w:val="24"/>
          <w:highlight w:val="none"/>
        </w:rPr>
      </w:pPr>
    </w:p>
    <w:p w14:paraId="59B26645">
      <w:pPr>
        <w:pStyle w:val="8"/>
        <w:spacing w:line="244" w:lineRule="auto"/>
        <w:rPr>
          <w:rFonts w:hint="eastAsia" w:ascii="仿宋" w:hAnsi="仿宋" w:eastAsia="仿宋" w:cs="仿宋"/>
          <w:sz w:val="24"/>
          <w:szCs w:val="24"/>
          <w:highlight w:val="none"/>
        </w:rPr>
      </w:pPr>
    </w:p>
    <w:p w14:paraId="7DCB8408">
      <w:pPr>
        <w:spacing w:before="78" w:line="571" w:lineRule="exact"/>
        <w:ind w:right="54"/>
        <w:jc w:val="both"/>
        <w:rPr>
          <w:rFonts w:hint="eastAsia" w:ascii="仿宋" w:hAnsi="仿宋" w:eastAsia="仿宋" w:cs="仿宋"/>
          <w:sz w:val="24"/>
          <w:szCs w:val="24"/>
          <w:highlight w:val="none"/>
          <w:lang w:eastAsia="zh-CN"/>
        </w:rPr>
      </w:pPr>
      <w:r>
        <w:rPr>
          <w:rFonts w:hint="eastAsia" w:ascii="仿宋" w:hAnsi="仿宋" w:eastAsia="仿宋" w:cs="仿宋"/>
          <w:spacing w:val="-17"/>
          <w:position w:val="25"/>
          <w:sz w:val="24"/>
          <w:szCs w:val="24"/>
          <w:highlight w:val="none"/>
        </w:rPr>
        <w:t>投标人全称（</w:t>
      </w:r>
      <w:r>
        <w:rPr>
          <w:rFonts w:hint="eastAsia" w:ascii="仿宋" w:hAnsi="仿宋" w:eastAsia="仿宋" w:cs="仿宋"/>
          <w:spacing w:val="-17"/>
          <w:position w:val="25"/>
          <w:sz w:val="24"/>
          <w:szCs w:val="24"/>
          <w:highlight w:val="none"/>
          <w:lang w:eastAsia="zh-CN"/>
        </w:rPr>
        <w:t>盖章</w:t>
      </w:r>
      <w:r>
        <w:rPr>
          <w:rFonts w:hint="eastAsia" w:ascii="仿宋" w:hAnsi="仿宋" w:eastAsia="仿宋" w:cs="仿宋"/>
          <w:position w:val="25"/>
          <w:sz w:val="24"/>
          <w:szCs w:val="24"/>
          <w:highlight w:val="none"/>
        </w:rPr>
        <w:t>）</w:t>
      </w:r>
      <w:r>
        <w:rPr>
          <w:rFonts w:hint="eastAsia" w:ascii="仿宋" w:hAnsi="仿宋" w:eastAsia="仿宋" w:cs="仿宋"/>
          <w:position w:val="25"/>
          <w:sz w:val="24"/>
          <w:szCs w:val="24"/>
          <w:highlight w:val="none"/>
          <w:lang w:eastAsia="zh-CN"/>
        </w:rPr>
        <w:t xml:space="preserve"> ：</w:t>
      </w:r>
    </w:p>
    <w:p w14:paraId="771BDE70">
      <w:pPr>
        <w:spacing w:line="219" w:lineRule="auto"/>
        <w:ind w:left="4414"/>
        <w:rPr>
          <w:rFonts w:hint="eastAsia" w:ascii="仿宋" w:hAnsi="仿宋" w:eastAsia="仿宋" w:cs="仿宋"/>
          <w:sz w:val="24"/>
          <w:szCs w:val="24"/>
          <w:highlight w:val="none"/>
          <w:lang w:eastAsia="zh-CN"/>
        </w:rPr>
      </w:pPr>
      <w:r>
        <w:rPr>
          <w:rFonts w:hint="eastAsia" w:ascii="仿宋" w:hAnsi="仿宋" w:eastAsia="仿宋" w:cs="仿宋"/>
          <w:spacing w:val="-17"/>
          <w:sz w:val="24"/>
          <w:szCs w:val="24"/>
          <w:highlight w:val="none"/>
        </w:rPr>
        <w:t>法定代表人或授权代表（</w:t>
      </w:r>
      <w:r>
        <w:rPr>
          <w:rFonts w:hint="eastAsia" w:ascii="仿宋" w:hAnsi="仿宋" w:eastAsia="仿宋" w:cs="仿宋"/>
          <w:spacing w:val="-17"/>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0E2FF78F">
      <w:pPr>
        <w:spacing w:before="284" w:line="220" w:lineRule="auto"/>
        <w:ind w:right="28"/>
        <w:jc w:val="both"/>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日</w:t>
      </w:r>
      <w:r>
        <w:rPr>
          <w:rFonts w:hint="eastAsia" w:ascii="仿宋" w:hAnsi="仿宋" w:eastAsia="仿宋" w:cs="仿宋"/>
          <w:spacing w:val="27"/>
          <w:sz w:val="24"/>
          <w:szCs w:val="24"/>
          <w:highlight w:val="none"/>
        </w:rPr>
        <w:t xml:space="preserve">   </w:t>
      </w:r>
      <w:r>
        <w:rPr>
          <w:rFonts w:hint="eastAsia" w:ascii="仿宋" w:hAnsi="仿宋" w:eastAsia="仿宋" w:cs="仿宋"/>
          <w:spacing w:val="-18"/>
          <w:sz w:val="24"/>
          <w:szCs w:val="24"/>
          <w:highlight w:val="none"/>
        </w:rPr>
        <w:t>期</w:t>
      </w:r>
      <w:r>
        <w:rPr>
          <w:rFonts w:hint="eastAsia" w:ascii="仿宋" w:hAnsi="仿宋" w:eastAsia="仿宋" w:cs="仿宋"/>
          <w:spacing w:val="-18"/>
          <w:sz w:val="24"/>
          <w:szCs w:val="24"/>
          <w:highlight w:val="none"/>
          <w:lang w:eastAsia="zh-CN"/>
        </w:rPr>
        <w:t xml:space="preserve"> ：</w:t>
      </w:r>
      <w:r>
        <w:rPr>
          <w:rFonts w:hint="eastAsia" w:ascii="仿宋" w:hAnsi="仿宋" w:eastAsia="仿宋" w:cs="仿宋"/>
          <w:spacing w:val="18"/>
          <w:sz w:val="24"/>
          <w:szCs w:val="24"/>
          <w:highlight w:val="none"/>
        </w:rPr>
        <w:t xml:space="preserve">    </w:t>
      </w:r>
      <w:r>
        <w:rPr>
          <w:rFonts w:hint="eastAsia" w:ascii="仿宋" w:hAnsi="仿宋" w:eastAsia="仿宋" w:cs="仿宋"/>
          <w:spacing w:val="-18"/>
          <w:sz w:val="24"/>
          <w:szCs w:val="24"/>
          <w:highlight w:val="none"/>
        </w:rPr>
        <w:t>年</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月</w:t>
      </w:r>
      <w:r>
        <w:rPr>
          <w:rFonts w:hint="eastAsia" w:ascii="仿宋" w:hAnsi="仿宋" w:eastAsia="仿宋" w:cs="仿宋"/>
          <w:spacing w:val="3"/>
          <w:sz w:val="24"/>
          <w:szCs w:val="24"/>
          <w:highlight w:val="none"/>
        </w:rPr>
        <w:t xml:space="preserve">   </w:t>
      </w:r>
      <w:r>
        <w:rPr>
          <w:rFonts w:hint="eastAsia" w:ascii="仿宋" w:hAnsi="仿宋" w:eastAsia="仿宋" w:cs="仿宋"/>
          <w:spacing w:val="-18"/>
          <w:sz w:val="24"/>
          <w:szCs w:val="24"/>
          <w:highlight w:val="none"/>
        </w:rPr>
        <w:t>日</w:t>
      </w:r>
    </w:p>
    <w:p w14:paraId="16DE6F99">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p>
    <w:p w14:paraId="6A1724FC">
      <w:pPr>
        <w:pStyle w:val="37"/>
        <w:spacing w:line="240" w:lineRule="auto"/>
        <w:ind w:left="0" w:leftChars="0" w:firstLine="0" w:firstLineChars="0"/>
        <w:jc w:val="both"/>
        <w:rPr>
          <w:rFonts w:hint="eastAsia" w:ascii="仿宋" w:hAnsi="仿宋" w:eastAsia="仿宋" w:cs="仿宋"/>
          <w:b/>
          <w:color w:val="000000"/>
          <w:sz w:val="32"/>
          <w:szCs w:val="28"/>
          <w:highlight w:val="none"/>
          <w:lang w:val="en-US" w:eastAsia="zh-CN"/>
        </w:rPr>
      </w:pPr>
      <w:r>
        <w:rPr>
          <w:rFonts w:hint="eastAsia" w:ascii="仿宋" w:hAnsi="仿宋" w:eastAsia="仿宋" w:cs="仿宋"/>
          <w:b/>
          <w:color w:val="000000"/>
          <w:sz w:val="28"/>
          <w:szCs w:val="24"/>
          <w:highlight w:val="none"/>
          <w:lang w:val="en-US" w:eastAsia="zh-CN"/>
        </w:rPr>
        <w:t>附件四</w:t>
      </w:r>
    </w:p>
    <w:p w14:paraId="0FC07132">
      <w:pPr>
        <w:pStyle w:val="37"/>
        <w:spacing w:line="240" w:lineRule="auto"/>
        <w:ind w:left="0" w:leftChars="0" w:firstLine="0" w:firstLineChars="0"/>
        <w:jc w:val="center"/>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rPr>
        <w:t>出具法人营业执照函</w:t>
      </w:r>
    </w:p>
    <w:p w14:paraId="0D13765F">
      <w:pPr>
        <w:rPr>
          <w:rFonts w:hint="eastAsia" w:ascii="仿宋" w:hAnsi="仿宋" w:eastAsia="仿宋" w:cs="仿宋"/>
          <w:color w:val="000000"/>
          <w:sz w:val="28"/>
          <w:szCs w:val="28"/>
          <w:highlight w:val="none"/>
        </w:rPr>
      </w:pPr>
    </w:p>
    <w:p w14:paraId="5A6E981D">
      <w:p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u w:val="single"/>
          <w:lang w:val="en-US" w:eastAsia="zh-CN"/>
        </w:rPr>
        <w:t>采购人</w:t>
      </w:r>
      <w:r>
        <w:rPr>
          <w:rFonts w:hint="eastAsia" w:ascii="仿宋" w:hAnsi="仿宋" w:eastAsia="仿宋" w:cs="仿宋"/>
          <w:color w:val="000000"/>
          <w:sz w:val="24"/>
          <w:szCs w:val="24"/>
          <w:highlight w:val="none"/>
          <w:lang w:eastAsia="zh-CN"/>
        </w:rPr>
        <w:t xml:space="preserve"> ：</w:t>
      </w:r>
    </w:p>
    <w:p w14:paraId="3F9B73EC">
      <w:pPr>
        <w:rPr>
          <w:rFonts w:hint="eastAsia" w:ascii="仿宋" w:hAnsi="仿宋" w:eastAsia="仿宋" w:cs="仿宋"/>
          <w:color w:val="000000"/>
          <w:sz w:val="24"/>
          <w:szCs w:val="24"/>
          <w:highlight w:val="none"/>
        </w:rPr>
      </w:pPr>
    </w:p>
    <w:p w14:paraId="5EE2D212">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现附上由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（签发机关名称）签发的我方法人营业执照复印件，该执照已经年检，真实有效。</w:t>
      </w:r>
    </w:p>
    <w:p w14:paraId="454A2B6E">
      <w:pPr>
        <w:ind w:firstLine="852"/>
        <w:rPr>
          <w:rFonts w:hint="eastAsia" w:ascii="仿宋" w:hAnsi="仿宋" w:eastAsia="仿宋" w:cs="仿宋"/>
          <w:color w:val="000000"/>
          <w:sz w:val="24"/>
          <w:szCs w:val="24"/>
          <w:highlight w:val="none"/>
        </w:rPr>
      </w:pPr>
    </w:p>
    <w:p w14:paraId="734B0726">
      <w:pPr>
        <w:ind w:firstLine="852"/>
        <w:rPr>
          <w:rFonts w:hint="eastAsia" w:ascii="仿宋" w:hAnsi="仿宋" w:eastAsia="仿宋" w:cs="仿宋"/>
          <w:color w:val="000000"/>
          <w:sz w:val="24"/>
          <w:szCs w:val="24"/>
          <w:highlight w:val="none"/>
        </w:rPr>
      </w:pPr>
    </w:p>
    <w:p w14:paraId="66C11C5D">
      <w:pPr>
        <w:ind w:firstLine="852"/>
        <w:rPr>
          <w:rFonts w:hint="eastAsia" w:ascii="仿宋" w:hAnsi="仿宋" w:eastAsia="仿宋" w:cs="仿宋"/>
          <w:color w:val="000000"/>
          <w:sz w:val="24"/>
          <w:szCs w:val="24"/>
          <w:highlight w:val="none"/>
        </w:rPr>
      </w:pPr>
    </w:p>
    <w:p w14:paraId="12FB0C4E">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05F288AE">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7927BC81">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17E2C321">
      <w:pPr>
        <w:spacing w:before="182" w:line="220" w:lineRule="auto"/>
        <w:ind w:left="5741"/>
        <w:rPr>
          <w:rFonts w:hint="eastAsia" w:ascii="仿宋" w:hAnsi="仿宋" w:eastAsia="仿宋" w:cs="仿宋"/>
          <w:spacing w:val="-29"/>
          <w:sz w:val="24"/>
          <w:szCs w:val="24"/>
          <w:highlight w:val="none"/>
        </w:rPr>
      </w:pPr>
    </w:p>
    <w:p w14:paraId="4AE1A192">
      <w:pPr>
        <w:rPr>
          <w:rFonts w:hint="eastAsia" w:ascii="仿宋" w:hAnsi="仿宋" w:eastAsia="仿宋" w:cs="仿宋"/>
          <w:color w:val="000000"/>
          <w:sz w:val="24"/>
          <w:szCs w:val="24"/>
          <w:highlight w:val="none"/>
        </w:rPr>
      </w:pPr>
    </w:p>
    <w:p w14:paraId="67D6BB91">
      <w:pPr>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后附</w:t>
      </w:r>
      <w:r>
        <w:rPr>
          <w:rFonts w:hint="eastAsia" w:ascii="仿宋" w:hAnsi="仿宋" w:eastAsia="仿宋" w:cs="仿宋"/>
          <w:b/>
          <w:color w:val="000000"/>
          <w:sz w:val="24"/>
          <w:szCs w:val="24"/>
          <w:highlight w:val="none"/>
          <w:lang w:eastAsia="zh-CN"/>
        </w:rPr>
        <w:t xml:space="preserve"> ：</w:t>
      </w:r>
      <w:r>
        <w:rPr>
          <w:rFonts w:hint="eastAsia" w:ascii="仿宋" w:hAnsi="仿宋" w:eastAsia="仿宋" w:cs="仿宋"/>
          <w:b/>
          <w:color w:val="000000"/>
          <w:sz w:val="24"/>
          <w:szCs w:val="24"/>
          <w:highlight w:val="none"/>
        </w:rPr>
        <w:t>投标单位三合一营业执照复印件</w:t>
      </w:r>
    </w:p>
    <w:p w14:paraId="355C125C">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附件五</w:t>
      </w:r>
    </w:p>
    <w:p w14:paraId="011F845B">
      <w:pPr>
        <w:jc w:val="center"/>
        <w:rPr>
          <w:rFonts w:hint="eastAsia" w:ascii="仿宋" w:hAnsi="仿宋" w:eastAsia="仿宋" w:cs="仿宋"/>
          <w:sz w:val="28"/>
          <w:highlight w:val="none"/>
        </w:rPr>
      </w:pPr>
    </w:p>
    <w:p w14:paraId="678B3D70">
      <w:pPr>
        <w:jc w:val="center"/>
        <w:outlineLvl w:val="2"/>
        <w:rPr>
          <w:rFonts w:hint="eastAsia" w:ascii="仿宋" w:hAnsi="仿宋" w:eastAsia="仿宋" w:cs="仿宋"/>
          <w:b/>
          <w:sz w:val="28"/>
          <w:szCs w:val="28"/>
          <w:highlight w:val="none"/>
          <w:lang w:eastAsia="zh-CN"/>
        </w:rPr>
      </w:pPr>
      <w:bookmarkStart w:id="579" w:name="_Toc25844"/>
      <w:bookmarkStart w:id="580" w:name="_Toc1239"/>
      <w:r>
        <w:rPr>
          <w:rFonts w:hint="eastAsia" w:ascii="仿宋" w:hAnsi="仿宋" w:eastAsia="仿宋" w:cs="仿宋"/>
          <w:b/>
          <w:sz w:val="28"/>
          <w:szCs w:val="28"/>
          <w:highlight w:val="none"/>
        </w:rPr>
        <w:t>联合体协议书</w:t>
      </w:r>
      <w:bookmarkEnd w:id="579"/>
      <w:bookmarkEnd w:id="580"/>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如是</w:t>
      </w:r>
      <w:r>
        <w:rPr>
          <w:rFonts w:hint="eastAsia" w:ascii="仿宋" w:hAnsi="仿宋" w:eastAsia="仿宋" w:cs="仿宋"/>
          <w:b/>
          <w:sz w:val="28"/>
          <w:szCs w:val="28"/>
          <w:highlight w:val="none"/>
          <w:lang w:eastAsia="zh-CN"/>
        </w:rPr>
        <w:t>）</w:t>
      </w:r>
    </w:p>
    <w:p w14:paraId="36D47963">
      <w:pPr>
        <w:jc w:val="center"/>
        <w:rPr>
          <w:rFonts w:hint="eastAsia" w:ascii="仿宋" w:hAnsi="仿宋" w:eastAsia="仿宋" w:cs="仿宋"/>
          <w:sz w:val="30"/>
          <w:szCs w:val="30"/>
          <w:highlight w:val="none"/>
        </w:rPr>
      </w:pPr>
    </w:p>
    <w:p w14:paraId="611A4EE2">
      <w:pPr>
        <w:topLinePunct/>
        <w:spacing w:line="440" w:lineRule="exact"/>
        <w:ind w:left="210" w:leftChars="100"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（所有成员单位名称）自愿组成联合体，共同参加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（项目名称）投标。现就联合体投标事宜订立如下协议。</w:t>
      </w:r>
    </w:p>
    <w:p w14:paraId="644339D8">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（某成员单位名称）为牵头人。</w:t>
      </w:r>
    </w:p>
    <w:p w14:paraId="1B68E066">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0C46A0C">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3、联合体将严格按照招标文件的各项要求，递交投标文件，履行合同，并对外承担连带责任。</w:t>
      </w:r>
    </w:p>
    <w:p w14:paraId="46CCC320">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4、联合体各成员单位内部的职责分工如下</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97713F7">
      <w:pPr>
        <w:topLinePunct/>
        <w:spacing w:line="440" w:lineRule="exact"/>
        <w:ind w:firstLine="480" w:firstLineChars="200"/>
        <w:outlineLvl w:val="2"/>
        <w:rPr>
          <w:rFonts w:hint="eastAsia" w:ascii="仿宋" w:hAnsi="仿宋" w:eastAsia="仿宋" w:cs="仿宋"/>
          <w:sz w:val="24"/>
          <w:szCs w:val="24"/>
          <w:highlight w:val="none"/>
        </w:rPr>
      </w:pPr>
      <w:bookmarkStart w:id="581" w:name="_Toc14243"/>
      <w:r>
        <w:rPr>
          <w:rFonts w:hint="eastAsia" w:ascii="仿宋" w:hAnsi="仿宋" w:eastAsia="仿宋" w:cs="仿宋"/>
          <w:sz w:val="24"/>
          <w:szCs w:val="24"/>
          <w:highlight w:val="none"/>
        </w:rPr>
        <w:t>5、本协议书自签署之日起生效，合同履行完毕后自动失效。</w:t>
      </w:r>
      <w:bookmarkEnd w:id="581"/>
      <w:r>
        <w:rPr>
          <w:rFonts w:hint="eastAsia" w:ascii="仿宋" w:hAnsi="仿宋" w:eastAsia="仿宋" w:cs="仿宋"/>
          <w:sz w:val="24"/>
          <w:szCs w:val="24"/>
          <w:highlight w:val="none"/>
        </w:rPr>
        <w:t xml:space="preserve"> </w:t>
      </w:r>
    </w:p>
    <w:p w14:paraId="6797C70C">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6、本协议书一式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份，联合体成员和招标人各执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p>
    <w:p w14:paraId="5A5F28C1">
      <w:pPr>
        <w:topLinePunct/>
        <w:spacing w:line="440" w:lineRule="exact"/>
        <w:rPr>
          <w:rFonts w:hint="eastAsia" w:ascii="仿宋" w:hAnsi="仿宋" w:eastAsia="仿宋" w:cs="仿宋"/>
          <w:sz w:val="24"/>
          <w:szCs w:val="24"/>
          <w:highlight w:val="none"/>
        </w:rPr>
      </w:pPr>
    </w:p>
    <w:p w14:paraId="1DFF601E">
      <w:pPr>
        <w:topLinePunct/>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本协议书由委托代理人签字的，应附法定代表人签字的授权委托书。</w:t>
      </w:r>
    </w:p>
    <w:p w14:paraId="1DA96679">
      <w:pPr>
        <w:topLinePunct/>
        <w:spacing w:line="440" w:lineRule="exact"/>
        <w:rPr>
          <w:rFonts w:hint="eastAsia" w:ascii="仿宋" w:hAnsi="仿宋" w:eastAsia="仿宋" w:cs="仿宋"/>
          <w:sz w:val="24"/>
          <w:szCs w:val="24"/>
          <w:highlight w:val="none"/>
        </w:rPr>
      </w:pPr>
    </w:p>
    <w:p w14:paraId="6FAD4F2C">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牵头人名称</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0098B72F">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签字盖章</w:t>
      </w:r>
      <w:r>
        <w:rPr>
          <w:rFonts w:hint="eastAsia" w:ascii="仿宋" w:hAnsi="仿宋" w:eastAsia="仿宋" w:cs="仿宋"/>
          <w:sz w:val="24"/>
          <w:szCs w:val="24"/>
          <w:highlight w:val="none"/>
        </w:rPr>
        <w:t>）</w:t>
      </w:r>
    </w:p>
    <w:p w14:paraId="7DF2E212">
      <w:pPr>
        <w:topLinePunct/>
        <w:spacing w:line="440" w:lineRule="exact"/>
        <w:rPr>
          <w:rFonts w:hint="eastAsia" w:ascii="仿宋" w:hAnsi="仿宋" w:eastAsia="仿宋" w:cs="仿宋"/>
          <w:sz w:val="24"/>
          <w:szCs w:val="24"/>
          <w:highlight w:val="none"/>
        </w:rPr>
      </w:pPr>
    </w:p>
    <w:p w14:paraId="38B8F534">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成员一名称</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460C7321">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签字盖章</w:t>
      </w:r>
      <w:r>
        <w:rPr>
          <w:rFonts w:hint="eastAsia" w:ascii="仿宋" w:hAnsi="仿宋" w:eastAsia="仿宋" w:cs="仿宋"/>
          <w:sz w:val="24"/>
          <w:szCs w:val="24"/>
          <w:highlight w:val="none"/>
        </w:rPr>
        <w:t>）</w:t>
      </w:r>
    </w:p>
    <w:p w14:paraId="7DCC5822">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640E2A2">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成员二名称</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447478F4">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签字盖章</w:t>
      </w:r>
      <w:r>
        <w:rPr>
          <w:rFonts w:hint="eastAsia" w:ascii="仿宋" w:hAnsi="仿宋" w:eastAsia="仿宋" w:cs="仿宋"/>
          <w:sz w:val="24"/>
          <w:szCs w:val="24"/>
          <w:highlight w:val="none"/>
        </w:rPr>
        <w:t>）</w:t>
      </w:r>
    </w:p>
    <w:p w14:paraId="5096CF52">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9CEBDC4">
      <w:pPr>
        <w:topLinePunct/>
        <w:spacing w:line="440" w:lineRule="exact"/>
        <w:rPr>
          <w:rFonts w:hint="eastAsia" w:ascii="仿宋" w:hAnsi="仿宋" w:eastAsia="仿宋" w:cs="仿宋"/>
          <w:sz w:val="24"/>
          <w:szCs w:val="24"/>
          <w:highlight w:val="none"/>
        </w:rPr>
      </w:pPr>
    </w:p>
    <w:p w14:paraId="3EFA1A30">
      <w:pPr>
        <w:ind w:firstLine="3290" w:firstLineChars="1371"/>
        <w:jc w:val="righ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A45236C">
      <w:pPr>
        <w:jc w:val="left"/>
        <w:rPr>
          <w:rFonts w:hint="eastAsia" w:ascii="仿宋" w:hAnsi="仿宋" w:eastAsia="仿宋" w:cs="仿宋"/>
          <w:b/>
          <w:color w:val="000000"/>
          <w:sz w:val="28"/>
          <w:szCs w:val="24"/>
          <w:highlight w:val="none"/>
          <w:lang w:val="en-US" w:eastAsia="zh-CN"/>
        </w:rPr>
      </w:pPr>
      <w:r>
        <w:rPr>
          <w:rFonts w:hint="eastAsia" w:ascii="仿宋" w:hAnsi="仿宋" w:eastAsia="仿宋" w:cs="仿宋"/>
          <w:sz w:val="24"/>
          <w:szCs w:val="24"/>
          <w:highlight w:val="none"/>
        </w:rPr>
        <w:br w:type="page"/>
      </w:r>
    </w:p>
    <w:p w14:paraId="5656A45F">
      <w:pPr>
        <w:pStyle w:val="37"/>
        <w:spacing w:line="240" w:lineRule="auto"/>
        <w:ind w:left="0" w:leftChars="0" w:firstLine="0" w:firstLineChars="0"/>
        <w:jc w:val="both"/>
        <w:outlineLvl w:val="2"/>
        <w:rPr>
          <w:rFonts w:hint="eastAsia" w:ascii="仿宋" w:hAnsi="仿宋" w:eastAsia="仿宋" w:cs="仿宋"/>
          <w:b/>
          <w:color w:val="000000"/>
          <w:sz w:val="28"/>
          <w:szCs w:val="24"/>
          <w:highlight w:val="none"/>
          <w:lang w:val="en-US" w:eastAsia="zh-CN"/>
        </w:rPr>
      </w:pPr>
      <w:bookmarkStart w:id="582" w:name="_Toc1542"/>
      <w:r>
        <w:rPr>
          <w:rFonts w:hint="eastAsia" w:ascii="仿宋" w:hAnsi="仿宋" w:eastAsia="仿宋" w:cs="仿宋"/>
          <w:b/>
          <w:color w:val="000000"/>
          <w:sz w:val="28"/>
          <w:szCs w:val="24"/>
          <w:highlight w:val="none"/>
          <w:lang w:val="en-US" w:eastAsia="zh-CN"/>
        </w:rPr>
        <w:t>附件</w:t>
      </w:r>
      <w:bookmarkEnd w:id="582"/>
      <w:r>
        <w:rPr>
          <w:rFonts w:hint="eastAsia" w:ascii="仿宋" w:hAnsi="仿宋" w:eastAsia="仿宋" w:cs="仿宋"/>
          <w:b/>
          <w:color w:val="000000"/>
          <w:sz w:val="28"/>
          <w:szCs w:val="24"/>
          <w:highlight w:val="none"/>
          <w:lang w:val="en-US" w:eastAsia="zh-CN"/>
        </w:rPr>
        <w:t>六</w:t>
      </w:r>
    </w:p>
    <w:p w14:paraId="60B93590">
      <w:pPr>
        <w:pStyle w:val="37"/>
        <w:spacing w:line="240" w:lineRule="auto"/>
        <w:ind w:left="0" w:leftChars="0" w:firstLine="0" w:firstLineChars="0"/>
        <w:jc w:val="center"/>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rPr>
        <w:t>法定代表人身份证</w:t>
      </w:r>
      <w:r>
        <w:rPr>
          <w:rFonts w:hint="eastAsia" w:ascii="仿宋" w:hAnsi="仿宋" w:eastAsia="仿宋" w:cs="仿宋"/>
          <w:b/>
          <w:color w:val="000000"/>
          <w:sz w:val="28"/>
          <w:szCs w:val="28"/>
          <w:highlight w:val="none"/>
          <w:lang w:val="en-US" w:eastAsia="zh-CN"/>
        </w:rPr>
        <w:t>明</w:t>
      </w:r>
    </w:p>
    <w:p w14:paraId="1998B832">
      <w:pPr>
        <w:autoSpaceDE w:val="0"/>
        <w:autoSpaceDN w:val="0"/>
        <w:adjustRightInd w:val="0"/>
        <w:ind w:left="120" w:hanging="120"/>
        <w:rPr>
          <w:rFonts w:hint="eastAsia" w:ascii="仿宋" w:hAnsi="仿宋" w:eastAsia="仿宋" w:cs="仿宋"/>
          <w:sz w:val="24"/>
          <w:highlight w:val="none"/>
          <w:lang w:val="zh-CN"/>
        </w:rPr>
      </w:pPr>
    </w:p>
    <w:p w14:paraId="6C0919CF">
      <w:pPr>
        <w:spacing w:line="460" w:lineRule="exact"/>
        <w:ind w:left="120" w:hanging="120"/>
        <w:rPr>
          <w:rFonts w:hint="eastAsia"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p>
    <w:p w14:paraId="458ACA0B">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39E8FDF">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lang w:eastAsia="zh-CN"/>
        </w:rPr>
        <w:t xml:space="preserve"> ：</w:t>
      </w:r>
      <w:r>
        <w:rPr>
          <w:rFonts w:hint="eastAsia" w:ascii="仿宋" w:hAnsi="仿宋" w:eastAsia="仿宋" w:cs="仿宋"/>
          <w:sz w:val="24"/>
          <w:highlight w:val="none"/>
          <w:u w:val="single"/>
        </w:rPr>
        <w:t xml:space="preserve">             </w:t>
      </w:r>
    </w:p>
    <w:p w14:paraId="72EC2545">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1E2C7F45">
      <w:pPr>
        <w:spacing w:line="460" w:lineRule="exact"/>
        <w:ind w:left="120" w:hanging="120"/>
        <w:rPr>
          <w:rFonts w:hint="eastAsia" w:ascii="仿宋" w:hAnsi="仿宋" w:eastAsia="仿宋" w:cs="仿宋"/>
          <w:sz w:val="24"/>
          <w:highlight w:val="none"/>
        </w:rPr>
      </w:pPr>
    </w:p>
    <w:p w14:paraId="6436A79A">
      <w:pPr>
        <w:autoSpaceDE w:val="0"/>
        <w:autoSpaceDN w:val="0"/>
        <w:adjustRightInd w:val="0"/>
        <w:spacing w:line="320" w:lineRule="exact"/>
        <w:ind w:left="0" w:leftChars="0" w:firstLine="0" w:firstLineChars="0"/>
        <w:rPr>
          <w:rFonts w:hint="eastAsia" w:ascii="仿宋" w:hAnsi="仿宋" w:eastAsia="仿宋" w:cs="仿宋"/>
          <w:sz w:val="24"/>
          <w:highlight w:val="none"/>
          <w:lang w:val="zh-CN"/>
        </w:rPr>
      </w:pPr>
    </w:p>
    <w:p w14:paraId="5A689070">
      <w:pPr>
        <w:autoSpaceDE w:val="0"/>
        <w:autoSpaceDN w:val="0"/>
        <w:adjustRightInd w:val="0"/>
        <w:spacing w:line="320" w:lineRule="exact"/>
        <w:ind w:left="120" w:hanging="120"/>
        <w:rPr>
          <w:rFonts w:hint="eastAsia" w:ascii="仿宋" w:hAnsi="仿宋" w:eastAsia="仿宋" w:cs="仿宋"/>
          <w:sz w:val="24"/>
          <w:highlight w:val="none"/>
          <w:lang w:val="zh-CN"/>
        </w:rPr>
      </w:pPr>
    </w:p>
    <w:p w14:paraId="004DC249">
      <w:pPr>
        <w:autoSpaceDE w:val="0"/>
        <w:autoSpaceDN w:val="0"/>
        <w:adjustRightInd w:val="0"/>
        <w:spacing w:line="320" w:lineRule="exact"/>
        <w:ind w:left="120" w:hanging="120"/>
        <w:rPr>
          <w:rFonts w:hint="eastAsia" w:ascii="仿宋" w:hAnsi="仿宋" w:eastAsia="仿宋" w:cs="仿宋"/>
          <w:sz w:val="24"/>
          <w:highlight w:val="none"/>
          <w:lang w:val="zh-CN"/>
        </w:rPr>
      </w:pPr>
    </w:p>
    <w:p w14:paraId="765D46C7">
      <w:pPr>
        <w:autoSpaceDE w:val="0"/>
        <w:autoSpaceDN w:val="0"/>
        <w:adjustRightInd w:val="0"/>
        <w:spacing w:line="320" w:lineRule="exact"/>
        <w:ind w:left="120" w:hanging="120"/>
        <w:rPr>
          <w:rFonts w:hint="eastAsia" w:ascii="仿宋" w:hAnsi="仿宋" w:eastAsia="仿宋" w:cs="仿宋"/>
          <w:sz w:val="24"/>
          <w:highlight w:val="none"/>
          <w:lang w:val="zh-CN"/>
        </w:rPr>
      </w:pPr>
      <w:r>
        <w:rPr>
          <w:rFonts w:hint="eastAsia" w:ascii="仿宋" w:hAnsi="仿宋" w:eastAsia="仿宋" w:cs="仿宋"/>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145415</wp:posOffset>
                </wp:positionV>
                <wp:extent cx="2472690" cy="1263650"/>
                <wp:effectExtent l="4445" t="4445" r="18415" b="8255"/>
                <wp:wrapNone/>
                <wp:docPr id="2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3570249">
                            <w:pPr>
                              <w:ind w:left="140" w:hanging="140"/>
                              <w:jc w:val="center"/>
                              <w:rPr>
                                <w:sz w:val="24"/>
                                <w:szCs w:val="24"/>
                              </w:rPr>
                            </w:pPr>
                            <w:r>
                              <w:rPr>
                                <w:rFonts w:hint="eastAsia"/>
                                <w:sz w:val="24"/>
                                <w:szCs w:val="24"/>
                              </w:rPr>
                              <w:t>法人身份证复印件背面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19.75pt;margin-top:11.45pt;height:99.5pt;width:194.7pt;z-index:251664384;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yrmjZAAAACgEAAA8AAAAAAAAAAQAgAAAAIgAAAGRycy9kb3ducmV2&#10;LnhtbFBLAQIUABQAAAAIAIdO4kBasME0NAIAAHoEAAAOAAAAAAAAAAEAIAAAACgBAABkcnMvZTJv&#10;RG9jLnhtbFBLBQYAAAAABgAGAFkBAADOBQAAAAA=&#10;">
                <v:fill on="t" focussize="0,0"/>
                <v:stroke color="#000000" joinstyle="miter" dashstyle="1 1" endcap="round"/>
                <v:imagedata o:title=""/>
                <o:lock v:ext="edit" aspectratio="f"/>
                <v:textbox>
                  <w:txbxContent>
                    <w:p w14:paraId="73570249">
                      <w:pPr>
                        <w:ind w:left="140" w:hanging="140"/>
                        <w:jc w:val="center"/>
                        <w:rPr>
                          <w:sz w:val="24"/>
                          <w:szCs w:val="24"/>
                        </w:rPr>
                      </w:pPr>
                      <w:r>
                        <w:rPr>
                          <w:rFonts w:hint="eastAsia"/>
                          <w:sz w:val="24"/>
                          <w:szCs w:val="24"/>
                        </w:rPr>
                        <w:t>法人身份证复印件背面</w:t>
                      </w:r>
                    </w:p>
                  </w:txbxContent>
                </v:textbox>
              </v:shape>
            </w:pict>
          </mc:Fallback>
        </mc:AlternateContent>
      </w:r>
      <w:r>
        <w:rPr>
          <w:rFonts w:hint="eastAsia" w:ascii="仿宋" w:hAnsi="仿宋" w:eastAsia="仿宋" w:cs="仿宋"/>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156210</wp:posOffset>
                </wp:positionV>
                <wp:extent cx="2472690" cy="1263650"/>
                <wp:effectExtent l="4445" t="4445" r="18415" b="8255"/>
                <wp:wrapNone/>
                <wp:docPr id="2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619A7123">
                            <w:pPr>
                              <w:ind w:left="140" w:hanging="140"/>
                              <w:jc w:val="center"/>
                              <w:rPr>
                                <w:sz w:val="24"/>
                                <w:szCs w:val="24"/>
                              </w:rPr>
                            </w:pPr>
                            <w:r>
                              <w:rPr>
                                <w:rFonts w:hint="eastAsia"/>
                                <w:sz w:val="24"/>
                                <w:szCs w:val="24"/>
                              </w:rPr>
                              <w:t>法人身份证复印件正面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3.75pt;margin-top:12.3pt;height:99.5pt;width:194.7pt;z-index:251663360;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qR5xdoAAAAJAQAADwAAAAAAAAABACAAAAAiAAAAZHJzL2Rvd25yZXYu&#10;eG1sUEsBAhQAFAAAAAgAh07iQIhGdooyAgAAegQAAA4AAAAAAAAAAQAgAAAAKQEAAGRycy9lMm9E&#10;b2MueG1sUEsFBgAAAAAGAAYAWQEAAM0FAAAAAA==&#10;">
                <v:fill on="t" focussize="0,0"/>
                <v:stroke color="#000000" joinstyle="miter" dashstyle="1 1" endcap="round"/>
                <v:imagedata o:title=""/>
                <o:lock v:ext="edit" aspectratio="f"/>
                <v:textbox>
                  <w:txbxContent>
                    <w:p w14:paraId="619A7123">
                      <w:pPr>
                        <w:ind w:left="140" w:hanging="140"/>
                        <w:jc w:val="center"/>
                        <w:rPr>
                          <w:sz w:val="24"/>
                          <w:szCs w:val="24"/>
                        </w:rPr>
                      </w:pPr>
                      <w:r>
                        <w:rPr>
                          <w:rFonts w:hint="eastAsia"/>
                          <w:sz w:val="24"/>
                          <w:szCs w:val="24"/>
                        </w:rPr>
                        <w:t>法人身份证复印件正面</w:t>
                      </w:r>
                    </w:p>
                  </w:txbxContent>
                </v:textbox>
              </v:shape>
            </w:pict>
          </mc:Fallback>
        </mc:AlternateContent>
      </w:r>
    </w:p>
    <w:p w14:paraId="549DAB3F">
      <w:pPr>
        <w:autoSpaceDE w:val="0"/>
        <w:autoSpaceDN w:val="0"/>
        <w:adjustRightInd w:val="0"/>
        <w:spacing w:line="320" w:lineRule="exact"/>
        <w:ind w:left="120" w:hanging="120"/>
        <w:rPr>
          <w:rFonts w:hint="eastAsia" w:ascii="仿宋" w:hAnsi="仿宋" w:eastAsia="仿宋" w:cs="仿宋"/>
          <w:sz w:val="24"/>
          <w:highlight w:val="none"/>
          <w:lang w:val="zh-CN"/>
        </w:rPr>
      </w:pPr>
    </w:p>
    <w:p w14:paraId="2582D424">
      <w:pPr>
        <w:autoSpaceDE w:val="0"/>
        <w:autoSpaceDN w:val="0"/>
        <w:adjustRightInd w:val="0"/>
        <w:spacing w:line="320" w:lineRule="exact"/>
        <w:ind w:left="120" w:hanging="120"/>
        <w:rPr>
          <w:rFonts w:hint="eastAsia" w:ascii="仿宋" w:hAnsi="仿宋" w:eastAsia="仿宋" w:cs="仿宋"/>
          <w:sz w:val="24"/>
          <w:highlight w:val="none"/>
          <w:lang w:val="zh-CN"/>
        </w:rPr>
      </w:pPr>
    </w:p>
    <w:p w14:paraId="4124C15D">
      <w:pPr>
        <w:autoSpaceDE w:val="0"/>
        <w:autoSpaceDN w:val="0"/>
        <w:adjustRightInd w:val="0"/>
        <w:spacing w:line="320" w:lineRule="exact"/>
        <w:ind w:left="120" w:hanging="120"/>
        <w:rPr>
          <w:rFonts w:hint="eastAsia" w:ascii="仿宋" w:hAnsi="仿宋" w:eastAsia="仿宋" w:cs="仿宋"/>
          <w:sz w:val="24"/>
          <w:highlight w:val="none"/>
          <w:lang w:val="zh-CN"/>
        </w:rPr>
      </w:pPr>
    </w:p>
    <w:p w14:paraId="6BCCC928">
      <w:pPr>
        <w:autoSpaceDE w:val="0"/>
        <w:autoSpaceDN w:val="0"/>
        <w:adjustRightInd w:val="0"/>
        <w:spacing w:line="320" w:lineRule="exact"/>
        <w:ind w:left="120" w:hanging="120"/>
        <w:rPr>
          <w:rFonts w:hint="eastAsia" w:ascii="仿宋" w:hAnsi="仿宋" w:eastAsia="仿宋" w:cs="仿宋"/>
          <w:sz w:val="24"/>
          <w:highlight w:val="none"/>
          <w:lang w:val="zh-CN"/>
        </w:rPr>
      </w:pPr>
    </w:p>
    <w:p w14:paraId="1ACEC86E">
      <w:pPr>
        <w:autoSpaceDE w:val="0"/>
        <w:autoSpaceDN w:val="0"/>
        <w:adjustRightInd w:val="0"/>
        <w:spacing w:line="320" w:lineRule="exact"/>
        <w:ind w:left="120" w:hanging="120"/>
        <w:rPr>
          <w:rFonts w:hint="eastAsia" w:ascii="仿宋" w:hAnsi="仿宋" w:eastAsia="仿宋" w:cs="仿宋"/>
          <w:sz w:val="24"/>
          <w:highlight w:val="none"/>
          <w:lang w:val="zh-CN"/>
        </w:rPr>
      </w:pPr>
    </w:p>
    <w:p w14:paraId="277CC750">
      <w:pPr>
        <w:autoSpaceDE w:val="0"/>
        <w:autoSpaceDN w:val="0"/>
        <w:adjustRightInd w:val="0"/>
        <w:spacing w:line="320" w:lineRule="exact"/>
        <w:ind w:left="120" w:hanging="120"/>
        <w:rPr>
          <w:rFonts w:hint="eastAsia" w:ascii="仿宋" w:hAnsi="仿宋" w:eastAsia="仿宋" w:cs="仿宋"/>
          <w:sz w:val="24"/>
          <w:highlight w:val="none"/>
          <w:lang w:val="zh-CN"/>
        </w:rPr>
      </w:pPr>
    </w:p>
    <w:p w14:paraId="0743ABC0">
      <w:pPr>
        <w:autoSpaceDE w:val="0"/>
        <w:autoSpaceDN w:val="0"/>
        <w:adjustRightInd w:val="0"/>
        <w:spacing w:line="320" w:lineRule="exact"/>
        <w:ind w:left="120" w:hanging="120"/>
        <w:rPr>
          <w:rFonts w:hint="eastAsia" w:ascii="仿宋" w:hAnsi="仿宋" w:eastAsia="仿宋" w:cs="仿宋"/>
          <w:sz w:val="24"/>
          <w:highlight w:val="none"/>
          <w:lang w:val="zh-CN"/>
        </w:rPr>
      </w:pPr>
    </w:p>
    <w:p w14:paraId="6A2EDFE5">
      <w:pPr>
        <w:autoSpaceDE w:val="0"/>
        <w:autoSpaceDN w:val="0"/>
        <w:adjustRightInd w:val="0"/>
        <w:spacing w:line="320" w:lineRule="exact"/>
        <w:ind w:left="0" w:leftChars="0" w:firstLine="0" w:firstLineChars="0"/>
        <w:rPr>
          <w:rFonts w:hint="eastAsia" w:ascii="仿宋" w:hAnsi="仿宋" w:eastAsia="仿宋" w:cs="仿宋"/>
          <w:sz w:val="24"/>
          <w:highlight w:val="none"/>
          <w:lang w:val="zh-CN"/>
        </w:rPr>
      </w:pPr>
    </w:p>
    <w:p w14:paraId="5B6FEFCE">
      <w:pPr>
        <w:autoSpaceDE w:val="0"/>
        <w:autoSpaceDN w:val="0"/>
        <w:adjustRightInd w:val="0"/>
        <w:spacing w:line="320" w:lineRule="exact"/>
        <w:ind w:left="120" w:hanging="120"/>
        <w:rPr>
          <w:rFonts w:hint="eastAsia" w:ascii="仿宋" w:hAnsi="仿宋" w:eastAsia="仿宋" w:cs="仿宋"/>
          <w:sz w:val="24"/>
          <w:highlight w:val="none"/>
          <w:lang w:val="zh-CN"/>
        </w:rPr>
      </w:pPr>
    </w:p>
    <w:p w14:paraId="22F33956">
      <w:pPr>
        <w:autoSpaceDE w:val="0"/>
        <w:autoSpaceDN w:val="0"/>
        <w:adjustRightInd w:val="0"/>
        <w:spacing w:line="320" w:lineRule="exact"/>
        <w:ind w:left="120" w:hanging="120"/>
        <w:rPr>
          <w:rFonts w:hint="eastAsia" w:ascii="仿宋" w:hAnsi="仿宋" w:eastAsia="仿宋" w:cs="仿宋"/>
          <w:sz w:val="24"/>
          <w:highlight w:val="none"/>
          <w:lang w:val="zh-CN"/>
        </w:rPr>
      </w:pPr>
    </w:p>
    <w:p w14:paraId="0AAE1E06">
      <w:pPr>
        <w:pStyle w:val="3"/>
        <w:outlineLvl w:val="9"/>
        <w:rPr>
          <w:rFonts w:hint="eastAsia" w:ascii="仿宋" w:hAnsi="仿宋" w:eastAsia="仿宋" w:cs="仿宋"/>
          <w:sz w:val="24"/>
          <w:highlight w:val="none"/>
          <w:lang w:val="zh-CN"/>
        </w:rPr>
      </w:pPr>
    </w:p>
    <w:p w14:paraId="5DF922AE">
      <w:pPr>
        <w:rPr>
          <w:rFonts w:hint="eastAsia" w:ascii="仿宋" w:hAnsi="仿宋" w:eastAsia="仿宋" w:cs="仿宋"/>
          <w:highlight w:val="none"/>
          <w:lang w:val="zh-CN"/>
        </w:rPr>
      </w:pPr>
    </w:p>
    <w:p w14:paraId="0EE86B15">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1B48B139">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5FFB551">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064C6FCD">
      <w:pPr>
        <w:spacing w:before="182" w:line="220" w:lineRule="auto"/>
        <w:ind w:left="5741"/>
        <w:rPr>
          <w:rFonts w:hint="eastAsia" w:ascii="仿宋" w:hAnsi="仿宋" w:eastAsia="仿宋" w:cs="仿宋"/>
          <w:b/>
          <w:color w:val="000000"/>
          <w:sz w:val="28"/>
          <w:szCs w:val="24"/>
          <w:highlight w:val="none"/>
          <w:lang w:val="en-US" w:eastAsia="zh-CN"/>
        </w:rPr>
      </w:pPr>
      <w:r>
        <w:rPr>
          <w:rFonts w:hint="eastAsia" w:ascii="仿宋" w:hAnsi="仿宋" w:eastAsia="仿宋" w:cs="仿宋"/>
          <w:spacing w:val="-29"/>
          <w:sz w:val="24"/>
          <w:szCs w:val="24"/>
          <w:highlight w:val="none"/>
        </w:rPr>
        <w:br w:type="page"/>
      </w:r>
      <w:r>
        <w:rPr>
          <w:rFonts w:hint="eastAsia" w:ascii="仿宋" w:hAnsi="仿宋" w:eastAsia="仿宋" w:cs="仿宋"/>
          <w:b/>
          <w:color w:val="000000"/>
          <w:sz w:val="28"/>
          <w:szCs w:val="24"/>
          <w:highlight w:val="none"/>
          <w:lang w:val="en-US" w:eastAsia="zh-CN"/>
        </w:rPr>
        <w:t>附件七</w:t>
      </w:r>
    </w:p>
    <w:p w14:paraId="0BF01ECB">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法定代表人授权委托书</w:t>
      </w:r>
    </w:p>
    <w:p w14:paraId="25543699">
      <w:pPr>
        <w:pStyle w:val="44"/>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本授权委托书声明</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注册于</w:t>
      </w:r>
      <w:r>
        <w:rPr>
          <w:rFonts w:hint="eastAsia" w:ascii="仿宋" w:hAnsi="仿宋" w:eastAsia="仿宋" w:cs="仿宋"/>
          <w:color w:val="000000"/>
          <w:sz w:val="24"/>
          <w:szCs w:val="24"/>
          <w:highlight w:val="none"/>
          <w:u w:val="single"/>
        </w:rPr>
        <w:t xml:space="preserve"> （投标人地址）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u w:val="single"/>
        </w:rPr>
        <w:t xml:space="preserve">  （单位名称）    </w:t>
      </w:r>
      <w:r>
        <w:rPr>
          <w:rFonts w:hint="eastAsia" w:ascii="仿宋" w:hAnsi="仿宋" w:eastAsia="仿宋" w:cs="仿宋"/>
          <w:color w:val="000000"/>
          <w:sz w:val="24"/>
          <w:szCs w:val="24"/>
          <w:highlight w:val="none"/>
        </w:rPr>
        <w:t>在下面签名的</w:t>
      </w:r>
      <w:r>
        <w:rPr>
          <w:rFonts w:hint="eastAsia" w:ascii="仿宋" w:hAnsi="仿宋" w:eastAsia="仿宋" w:cs="仿宋"/>
          <w:color w:val="000000"/>
          <w:sz w:val="24"/>
          <w:szCs w:val="24"/>
          <w:highlight w:val="none"/>
          <w:u w:val="single"/>
        </w:rPr>
        <w:t>（法定代表人姓名、职务）</w:t>
      </w:r>
      <w:r>
        <w:rPr>
          <w:rFonts w:hint="eastAsia" w:ascii="仿宋" w:hAnsi="仿宋" w:eastAsia="仿宋" w:cs="仿宋"/>
          <w:color w:val="000000"/>
          <w:sz w:val="24"/>
          <w:szCs w:val="24"/>
          <w:highlight w:val="none"/>
        </w:rPr>
        <w:t>在此授权</w:t>
      </w:r>
      <w:r>
        <w:rPr>
          <w:rFonts w:hint="eastAsia" w:ascii="仿宋" w:hAnsi="仿宋" w:eastAsia="仿宋" w:cs="仿宋"/>
          <w:color w:val="000000"/>
          <w:sz w:val="24"/>
          <w:szCs w:val="24"/>
          <w:highlight w:val="none"/>
          <w:u w:val="single"/>
        </w:rPr>
        <w:t>（被授权人姓名、职务）</w:t>
      </w:r>
      <w:r>
        <w:rPr>
          <w:rFonts w:hint="eastAsia" w:ascii="仿宋" w:hAnsi="仿宋" w:eastAsia="仿宋" w:cs="仿宋"/>
          <w:color w:val="000000"/>
          <w:sz w:val="24"/>
          <w:szCs w:val="24"/>
          <w:highlight w:val="none"/>
        </w:rPr>
        <w:t>作为我公司的合法代理人，就</w:t>
      </w:r>
      <w:r>
        <w:rPr>
          <w:rFonts w:hint="eastAsia" w:ascii="仿宋" w:hAnsi="仿宋" w:eastAsia="仿宋" w:cs="仿宋"/>
          <w:color w:val="000000"/>
          <w:sz w:val="24"/>
          <w:szCs w:val="24"/>
          <w:highlight w:val="none"/>
          <w:u w:val="single"/>
        </w:rPr>
        <w:t>（项目名称、项目编号</w:t>
      </w:r>
      <w:r>
        <w:rPr>
          <w:rFonts w:hint="eastAsia" w:ascii="仿宋" w:hAnsi="仿宋" w:eastAsia="仿宋" w:cs="仿宋"/>
          <w:color w:val="000000"/>
          <w:sz w:val="24"/>
          <w:szCs w:val="24"/>
          <w:highlight w:val="none"/>
        </w:rPr>
        <w:t>）的招投标活动，</w:t>
      </w:r>
      <w:r>
        <w:rPr>
          <w:rFonts w:hint="eastAsia" w:ascii="仿宋" w:hAnsi="仿宋" w:eastAsia="仿宋" w:cs="仿宋"/>
          <w:color w:val="000000"/>
          <w:sz w:val="24"/>
          <w:szCs w:val="24"/>
          <w:highlight w:val="none"/>
          <w:lang w:eastAsia="zh-CN"/>
        </w:rPr>
        <w:t>设计</w:t>
      </w:r>
      <w:r>
        <w:rPr>
          <w:rFonts w:hint="eastAsia" w:ascii="仿宋" w:hAnsi="仿宋" w:eastAsia="仿宋" w:cs="仿宋"/>
          <w:color w:val="000000"/>
          <w:sz w:val="24"/>
          <w:szCs w:val="24"/>
          <w:highlight w:val="none"/>
        </w:rPr>
        <w:t>合同的签订、执行、完成和售后服务，作为投标人代表以我方的名义处理一切与之有关的事务。</w:t>
      </w:r>
    </w:p>
    <w:p w14:paraId="03AD2DAA">
      <w:pPr>
        <w:pStyle w:val="44"/>
        <w:spacing w:line="360" w:lineRule="auto"/>
        <w:ind w:firstLine="480" w:firstLineChars="200"/>
        <w:rPr>
          <w:rFonts w:hint="eastAsia" w:ascii="仿宋" w:hAnsi="仿宋" w:eastAsia="仿宋" w:cs="仿宋"/>
          <w:color w:val="000000"/>
          <w:sz w:val="24"/>
          <w:szCs w:val="24"/>
          <w:highlight w:val="none"/>
        </w:rPr>
      </w:pPr>
    </w:p>
    <w:p w14:paraId="1168EED3">
      <w:pPr>
        <w:pStyle w:val="44"/>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被授权人（投标人授权代表）无转委托权限。</w:t>
      </w:r>
    </w:p>
    <w:p w14:paraId="63D860C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本授权书自法定代表人签字（盖章）之日起生效，特此声明。</w:t>
      </w:r>
    </w:p>
    <w:p w14:paraId="557E2910">
      <w:pPr>
        <w:rPr>
          <w:rFonts w:hint="eastAsia" w:ascii="仿宋" w:hAnsi="仿宋" w:eastAsia="仿宋" w:cs="仿宋"/>
          <w:color w:val="auto"/>
          <w:sz w:val="24"/>
          <w:szCs w:val="24"/>
          <w:highlight w:val="none"/>
        </w:rPr>
      </w:pPr>
    </w:p>
    <w:p w14:paraId="1A7218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法定代表人、被授权人身份证复印件。</w:t>
      </w:r>
    </w:p>
    <w:p w14:paraId="1AB0F31C">
      <w:pPr>
        <w:pStyle w:val="8"/>
        <w:rPr>
          <w:rFonts w:hint="eastAsia" w:ascii="仿宋" w:hAnsi="仿宋" w:eastAsia="仿宋" w:cs="仿宋"/>
          <w:highlight w:val="none"/>
        </w:rPr>
      </w:pPr>
    </w:p>
    <w:p w14:paraId="379EFDDB">
      <w:pPr>
        <w:rPr>
          <w:rFonts w:hint="eastAsia" w:ascii="仿宋" w:hAnsi="仿宋" w:eastAsia="仿宋" w:cs="仿宋"/>
          <w:color w:val="FF0000"/>
          <w:sz w:val="28"/>
          <w:szCs w:val="28"/>
          <w:highlight w:val="none"/>
        </w:rPr>
      </w:pPr>
      <w:r>
        <w:rPr>
          <w:rFonts w:hint="eastAsia" w:ascii="仿宋" w:hAnsi="仿宋" w:eastAsia="仿宋" w:cs="仿宋"/>
          <w:color w:val="FF0000"/>
          <w:sz w:val="28"/>
          <w:highlight w:val="none"/>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62230</wp:posOffset>
                </wp:positionV>
                <wp:extent cx="2296160" cy="1219835"/>
                <wp:effectExtent l="7620" t="7620" r="20320" b="1079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220B5756">
                            <w:pPr>
                              <w:rPr>
                                <w:rFonts w:hint="eastAsia"/>
                                <w:sz w:val="24"/>
                                <w:szCs w:val="32"/>
                              </w:rPr>
                            </w:pPr>
                            <w:r>
                              <w:rPr>
                                <w:rFonts w:hint="eastAsia"/>
                                <w:sz w:val="24"/>
                                <w:szCs w:val="32"/>
                              </w:rPr>
                              <w:t>被授权人身份证复印件正面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4.9pt;height:96.05pt;width:180.8pt;z-index:251660288;mso-width-relative:page;mso-height-relative:page;" filled="f" stroked="t" coordsize="21600,21600" o:gfxdata="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ih4SdYAAAAJAQAADwAAAAAAAAABACAAAAAiAAAAZHJzL2Rvd25yZXYueG1sUEsBAhQAFAAA&#10;AAgAh07iQFZgQzUqAgAAUAQAAA4AAAAAAAAAAQAgAAAAJQEAAGRycy9lMm9Eb2MueG1sUEsFBgAA&#10;AAAGAAYAWQEAAMEFAAAAAA==&#10;">
                <v:fill on="f" focussize="0,0"/>
                <v:stroke weight="1.25pt" color="#000000" joinstyle="miter"/>
                <v:imagedata o:title=""/>
                <o:lock v:ext="edit" aspectratio="f"/>
                <v:textbox>
                  <w:txbxContent>
                    <w:p w14:paraId="220B5756">
                      <w:pPr>
                        <w:rPr>
                          <w:rFonts w:hint="eastAsia"/>
                          <w:sz w:val="24"/>
                          <w:szCs w:val="32"/>
                        </w:rPr>
                      </w:pPr>
                      <w:r>
                        <w:rPr>
                          <w:rFonts w:hint="eastAsia"/>
                          <w:sz w:val="24"/>
                          <w:szCs w:val="32"/>
                        </w:rPr>
                        <w:t>被授权人身份证复印件正面</w:t>
                      </w:r>
                    </w:p>
                  </w:txbxContent>
                </v:textbox>
              </v:shape>
            </w:pict>
          </mc:Fallback>
        </mc:AlternateContent>
      </w:r>
      <w:r>
        <w:rPr>
          <w:rFonts w:hint="eastAsia" w:ascii="仿宋" w:hAnsi="仿宋" w:eastAsia="仿宋" w:cs="仿宋"/>
          <w:color w:val="FF0000"/>
          <w:sz w:val="28"/>
          <w:highlight w:val="none"/>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223770" cy="1219835"/>
                <wp:effectExtent l="7620" t="7620" r="16510" b="10795"/>
                <wp:wrapNone/>
                <wp:docPr id="19" name="文本框 19"/>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7B08C34C">
                            <w:pPr>
                              <w:rPr>
                                <w:rFonts w:hint="eastAsia"/>
                                <w:sz w:val="24"/>
                                <w:szCs w:val="24"/>
                              </w:rPr>
                            </w:pPr>
                            <w:r>
                              <w:rPr>
                                <w:rFonts w:hint="eastAsia"/>
                                <w:sz w:val="24"/>
                                <w:szCs w:val="24"/>
                              </w:rPr>
                              <w:t>法定代表人身份证复印件正面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4.9pt;height:96.05pt;width:175.1pt;z-index:251659264;mso-width-relative:page;mso-height-relative:page;" filled="f" stroked="t" coordsize="21600,21600" o:gfxdata="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A43x1AAAAAgBAAAPAAAAAAAAAAEAIAAAACIAAABkcnMvZG93bnJldi54bWxQSwECFAAUAAAA&#10;CACHTuJAZ1/47isCAABSBAAADgAAAAAAAAABACAAAAAjAQAAZHJzL2Uyb0RvYy54bWxQSwUGAAAA&#10;AAYABgBZAQAAwAUAAAAA&#10;">
                <v:fill on="f" focussize="0,0"/>
                <v:stroke weight="1.25pt" color="#000000" joinstyle="miter"/>
                <v:imagedata o:title=""/>
                <o:lock v:ext="edit" aspectratio="f"/>
                <v:textbox>
                  <w:txbxContent>
                    <w:p w14:paraId="7B08C34C">
                      <w:pPr>
                        <w:rPr>
                          <w:rFonts w:hint="eastAsia"/>
                          <w:sz w:val="24"/>
                          <w:szCs w:val="24"/>
                        </w:rPr>
                      </w:pPr>
                      <w:r>
                        <w:rPr>
                          <w:rFonts w:hint="eastAsia"/>
                          <w:sz w:val="24"/>
                          <w:szCs w:val="24"/>
                        </w:rPr>
                        <w:t>法定代表人身份证复印件正面</w:t>
                      </w:r>
                    </w:p>
                  </w:txbxContent>
                </v:textbox>
              </v:shape>
            </w:pict>
          </mc:Fallback>
        </mc:AlternateContent>
      </w:r>
    </w:p>
    <w:p w14:paraId="782471D6">
      <w:pPr>
        <w:rPr>
          <w:rFonts w:hint="eastAsia" w:ascii="仿宋" w:hAnsi="仿宋" w:eastAsia="仿宋" w:cs="仿宋"/>
          <w:color w:val="FF0000"/>
          <w:sz w:val="28"/>
          <w:szCs w:val="28"/>
          <w:highlight w:val="none"/>
        </w:rPr>
      </w:pPr>
    </w:p>
    <w:p w14:paraId="055C5E3F">
      <w:pPr>
        <w:rPr>
          <w:rFonts w:hint="eastAsia" w:ascii="仿宋" w:hAnsi="仿宋" w:eastAsia="仿宋" w:cs="仿宋"/>
          <w:color w:val="FF0000"/>
          <w:sz w:val="28"/>
          <w:szCs w:val="28"/>
          <w:highlight w:val="none"/>
        </w:rPr>
      </w:pPr>
    </w:p>
    <w:p w14:paraId="65E20F89">
      <w:pPr>
        <w:rPr>
          <w:rFonts w:hint="eastAsia" w:ascii="仿宋" w:hAnsi="仿宋" w:eastAsia="仿宋" w:cs="仿宋"/>
          <w:color w:val="FF0000"/>
          <w:sz w:val="28"/>
          <w:szCs w:val="28"/>
          <w:highlight w:val="none"/>
        </w:rPr>
      </w:pPr>
      <w:r>
        <w:rPr>
          <w:rFonts w:hint="eastAsia" w:ascii="仿宋" w:hAnsi="仿宋" w:eastAsia="仿宋" w:cs="仿宋"/>
          <w:color w:val="FF0000"/>
          <w:sz w:val="28"/>
          <w:highlight w:val="none"/>
        </w:rPr>
        <mc:AlternateContent>
          <mc:Choice Requires="wps">
            <w:drawing>
              <wp:anchor distT="0" distB="0" distL="114300" distR="114300" simplePos="0" relativeHeight="251662336" behindDoc="0" locked="0" layoutInCell="1" allowOverlap="1">
                <wp:simplePos x="0" y="0"/>
                <wp:positionH relativeFrom="column">
                  <wp:posOffset>2816225</wp:posOffset>
                </wp:positionH>
                <wp:positionV relativeFrom="paragraph">
                  <wp:posOffset>345440</wp:posOffset>
                </wp:positionV>
                <wp:extent cx="2313940" cy="1219835"/>
                <wp:effectExtent l="7620" t="7620" r="21590" b="1079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34219A24">
                            <w:pPr>
                              <w:rPr>
                                <w:rFonts w:hint="eastAsia"/>
                                <w:sz w:val="24"/>
                                <w:szCs w:val="32"/>
                              </w:rPr>
                            </w:pPr>
                            <w:r>
                              <w:rPr>
                                <w:rFonts w:hint="eastAsia"/>
                                <w:sz w:val="24"/>
                                <w:szCs w:val="32"/>
                              </w:rPr>
                              <w:t>被授权人身份证复印件背面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27.2pt;height:96.05pt;width:182.2pt;z-index:251662336;mso-width-relative:page;mso-height-relative:page;" filled="f" stroked="t" coordsize="21600,21600" o:gfxdata="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C7hzXAAAACgEAAA8AAAAAAAAAAQAgAAAAIgAAAGRycy9kb3ducmV2LnhtbFBLAQIUABQA&#10;AAAIAIdO4kCVjbUcKgIAAFIEAAAOAAAAAAAAAAEAIAAAACYBAABkcnMvZTJvRG9jLnhtbFBLBQYA&#10;AAAABgAGAFkBAADCBQAAAAA=&#10;">
                <v:fill on="f" focussize="0,0"/>
                <v:stroke weight="1.25pt" color="#000000" joinstyle="miter"/>
                <v:imagedata o:title=""/>
                <o:lock v:ext="edit" aspectratio="f"/>
                <v:textbox>
                  <w:txbxContent>
                    <w:p w14:paraId="34219A24">
                      <w:pPr>
                        <w:rPr>
                          <w:rFonts w:hint="eastAsia"/>
                          <w:sz w:val="24"/>
                          <w:szCs w:val="32"/>
                        </w:rPr>
                      </w:pPr>
                      <w:r>
                        <w:rPr>
                          <w:rFonts w:hint="eastAsia"/>
                          <w:sz w:val="24"/>
                          <w:szCs w:val="32"/>
                        </w:rPr>
                        <w:t>被授权人身份证复印件背面</w:t>
                      </w:r>
                    </w:p>
                  </w:txbxContent>
                </v:textbox>
              </v:shape>
            </w:pict>
          </mc:Fallback>
        </mc:AlternateContent>
      </w:r>
    </w:p>
    <w:p w14:paraId="50C86DE6">
      <w:pPr>
        <w:rPr>
          <w:rFonts w:hint="eastAsia" w:ascii="仿宋" w:hAnsi="仿宋" w:eastAsia="仿宋" w:cs="仿宋"/>
          <w:color w:val="FF0000"/>
          <w:sz w:val="28"/>
          <w:szCs w:val="28"/>
          <w:highlight w:val="none"/>
        </w:rPr>
      </w:pPr>
      <w:r>
        <w:rPr>
          <w:rFonts w:hint="eastAsia" w:ascii="仿宋" w:hAnsi="仿宋" w:eastAsia="仿宋" w:cs="仿宋"/>
          <w:color w:val="FF0000"/>
          <w:sz w:val="28"/>
          <w:highlight w:val="none"/>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37465</wp:posOffset>
                </wp:positionV>
                <wp:extent cx="2257425" cy="1219835"/>
                <wp:effectExtent l="7620" t="7620" r="20955" b="1079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7185470F">
                            <w:pPr>
                              <w:rPr>
                                <w:rFonts w:hint="eastAsia"/>
                                <w:sz w:val="24"/>
                                <w:szCs w:val="32"/>
                              </w:rPr>
                            </w:pPr>
                            <w:r>
                              <w:rPr>
                                <w:rFonts w:hint="eastAsia"/>
                                <w:sz w:val="24"/>
                                <w:szCs w:val="32"/>
                              </w:rPr>
                              <w:t>法定代表人身份证复印件背面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6.8pt;margin-top:2.95pt;height:96.05pt;width:177.75pt;z-index:251661312;mso-width-relative:page;mso-height-relative:page;" filled="f" stroked="t" coordsize="21600,21600" o:gfxdata="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3TZRr1AAAAAgBAAAPAAAAAAAAAAEAIAAAACIAAABkcnMvZG93bnJldi54bWxQSwECFAAUAAAA&#10;CACHTuJActw0xCsCAABSBAAADgAAAAAAAAABACAAAAAjAQAAZHJzL2Uyb0RvYy54bWxQSwUGAAAA&#10;AAYABgBZAQAAwAUAAAAA&#10;">
                <v:fill on="f" focussize="0,0"/>
                <v:stroke weight="1.25pt" color="#000000" joinstyle="miter"/>
                <v:imagedata o:title=""/>
                <o:lock v:ext="edit" aspectratio="f"/>
                <v:textbox>
                  <w:txbxContent>
                    <w:p w14:paraId="7185470F">
                      <w:pPr>
                        <w:rPr>
                          <w:rFonts w:hint="eastAsia"/>
                          <w:sz w:val="24"/>
                          <w:szCs w:val="32"/>
                        </w:rPr>
                      </w:pPr>
                      <w:r>
                        <w:rPr>
                          <w:rFonts w:hint="eastAsia"/>
                          <w:sz w:val="24"/>
                          <w:szCs w:val="32"/>
                        </w:rPr>
                        <w:t>法定代表人身份证复印件背面</w:t>
                      </w:r>
                    </w:p>
                  </w:txbxContent>
                </v:textbox>
              </v:shape>
            </w:pict>
          </mc:Fallback>
        </mc:AlternateContent>
      </w:r>
    </w:p>
    <w:p w14:paraId="1483A3A4">
      <w:pPr>
        <w:jc w:val="center"/>
        <w:rPr>
          <w:rFonts w:hint="eastAsia" w:ascii="仿宋" w:hAnsi="仿宋" w:eastAsia="仿宋" w:cs="仿宋"/>
          <w:b/>
          <w:color w:val="FF0000"/>
          <w:sz w:val="28"/>
          <w:szCs w:val="28"/>
          <w:highlight w:val="none"/>
        </w:rPr>
      </w:pPr>
    </w:p>
    <w:p w14:paraId="5C1D4F1A">
      <w:pPr>
        <w:jc w:val="center"/>
        <w:rPr>
          <w:rFonts w:hint="eastAsia" w:ascii="仿宋" w:hAnsi="仿宋" w:eastAsia="仿宋" w:cs="仿宋"/>
          <w:b/>
          <w:color w:val="FF0000"/>
          <w:sz w:val="28"/>
          <w:szCs w:val="28"/>
          <w:highlight w:val="none"/>
        </w:rPr>
      </w:pPr>
    </w:p>
    <w:p w14:paraId="37B1549B">
      <w:pPr>
        <w:spacing w:line="360" w:lineRule="auto"/>
        <w:rPr>
          <w:rFonts w:hint="eastAsia" w:ascii="仿宋" w:hAnsi="仿宋" w:eastAsia="仿宋" w:cs="仿宋"/>
          <w:color w:val="auto"/>
          <w:sz w:val="24"/>
          <w:szCs w:val="28"/>
          <w:highlight w:val="none"/>
        </w:rPr>
      </w:pPr>
    </w:p>
    <w:p w14:paraId="7F4D2351">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265D16DC">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282C12B8">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646BA8C5">
      <w:pPr>
        <w:pStyle w:val="20"/>
        <w:numPr>
          <w:ilvl w:val="0"/>
          <w:numId w:val="0"/>
        </w:numPr>
        <w:overflowPunct w:val="0"/>
        <w:snapToGrid w:val="0"/>
        <w:spacing w:line="360" w:lineRule="auto"/>
        <w:jc w:val="both"/>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法定代表人参加的需提供法定代表人证明书，委托代理人参加的需提供法定代表人授权委托书，在公司（</w:t>
      </w:r>
      <w:r>
        <w:rPr>
          <w:rFonts w:hint="eastAsia" w:ascii="仿宋" w:hAnsi="仿宋" w:eastAsia="仿宋" w:cs="仿宋"/>
          <w:b w:val="0"/>
          <w:bCs/>
          <w:color w:val="FF0000"/>
          <w:kern w:val="2"/>
          <w:sz w:val="24"/>
          <w:szCs w:val="22"/>
          <w:highlight w:val="none"/>
          <w:lang w:val="en-US" w:eastAsia="zh-CN" w:bidi="ar-SA"/>
        </w:rPr>
        <w:t>委托公司</w:t>
      </w:r>
      <w:r>
        <w:rPr>
          <w:rFonts w:hint="eastAsia" w:ascii="仿宋" w:hAnsi="仿宋" w:eastAsia="仿宋" w:cs="仿宋"/>
          <w:b w:val="0"/>
          <w:bCs/>
          <w:color w:val="auto"/>
          <w:kern w:val="2"/>
          <w:sz w:val="24"/>
          <w:szCs w:val="22"/>
          <w:highlight w:val="none"/>
          <w:lang w:val="en-US" w:eastAsia="zh-CN" w:bidi="ar-SA"/>
        </w:rPr>
        <w:t>）提供投标截止日前6个月内任意1个月的社保证明材料，如依法不需要缴纳社会保障资金的，应提供相应文件证明；</w:t>
      </w:r>
    </w:p>
    <w:p w14:paraId="2D45556B">
      <w:pPr>
        <w:spacing w:before="78" w:line="219" w:lineRule="auto"/>
        <w:ind w:left="3219"/>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附件八</w:t>
      </w:r>
    </w:p>
    <w:p w14:paraId="069EBE7A">
      <w:pPr>
        <w:spacing w:before="78" w:line="219" w:lineRule="auto"/>
        <w:ind w:left="3219"/>
        <w:jc w:val="center"/>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项目负责人任命书</w:t>
      </w:r>
    </w:p>
    <w:p w14:paraId="0B81F0C4">
      <w:pPr>
        <w:pStyle w:val="8"/>
        <w:spacing w:line="242" w:lineRule="auto"/>
        <w:rPr>
          <w:rFonts w:hint="eastAsia" w:ascii="仿宋" w:hAnsi="仿宋" w:eastAsia="仿宋" w:cs="仿宋"/>
          <w:highlight w:val="none"/>
        </w:rPr>
      </w:pPr>
    </w:p>
    <w:p w14:paraId="38A1F127">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单位名称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（单位名称）   </w:t>
      </w:r>
    </w:p>
    <w:p w14:paraId="3CA2B401">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法人代表</w:t>
      </w:r>
      <w:r>
        <w:rPr>
          <w:rFonts w:hint="eastAsia" w:ascii="仿宋" w:hAnsi="仿宋" w:eastAsia="仿宋" w:cs="仿宋"/>
          <w:color w:val="000000"/>
          <w:kern w:val="2"/>
          <w:sz w:val="24"/>
          <w:szCs w:val="24"/>
          <w:highlight w:val="none"/>
          <w:u w:val="single"/>
          <w:lang w:val="en-US" w:eastAsia="zh-CN" w:bidi="ar-SA"/>
        </w:rPr>
        <w:t xml:space="preserve"> ：                            </w:t>
      </w:r>
      <w:r>
        <w:rPr>
          <w:rFonts w:hint="eastAsia" w:ascii="仿宋" w:hAnsi="仿宋" w:eastAsia="仿宋" w:cs="仿宋"/>
          <w:color w:val="000000"/>
          <w:kern w:val="2"/>
          <w:sz w:val="24"/>
          <w:szCs w:val="24"/>
          <w:highlight w:val="none"/>
          <w:lang w:val="en-US" w:eastAsia="zh-CN" w:bidi="ar-SA"/>
        </w:rPr>
        <w:t xml:space="preserve">（法人代表） </w:t>
      </w:r>
    </w:p>
    <w:p w14:paraId="7B800934">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41A900A4">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（地    址） </w:t>
      </w:r>
    </w:p>
    <w:p w14:paraId="107E5FD8">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2FAEE013">
      <w:pPr>
        <w:spacing w:line="240" w:lineRule="auto"/>
        <w:ind w:left="0" w:right="0" w:firstLine="0" w:firstLineChars="0"/>
        <w:jc w:val="left"/>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lang w:val="en-US" w:eastAsia="zh-CN" w:bidi="ar-SA"/>
        </w:rPr>
        <w:t>被任命人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性别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年龄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职务 ： </w:t>
      </w:r>
      <w:r>
        <w:rPr>
          <w:rFonts w:hint="eastAsia" w:ascii="仿宋" w:hAnsi="仿宋" w:eastAsia="仿宋" w:cs="仿宋"/>
          <w:color w:val="000000"/>
          <w:kern w:val="2"/>
          <w:sz w:val="24"/>
          <w:szCs w:val="24"/>
          <w:highlight w:val="none"/>
          <w:u w:val="single"/>
          <w:lang w:val="en-US" w:eastAsia="zh-CN" w:bidi="ar-SA"/>
        </w:rPr>
        <w:t xml:space="preserve">       </w:t>
      </w:r>
    </w:p>
    <w:p w14:paraId="10F417DD">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450293A8">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工作单位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（工作单位） </w:t>
      </w:r>
    </w:p>
    <w:p w14:paraId="0CB34274">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 ：</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（地    址）  </w:t>
      </w:r>
    </w:p>
    <w:p w14:paraId="2F538510">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3030CC3F">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我系</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的法定代表人 ，现任命</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为</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项目的项目负责人，负责项目的整体管理及与采购人之间的沟通等相关事宜。</w:t>
      </w:r>
    </w:p>
    <w:p w14:paraId="473A4705">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3821B045">
      <w:pPr>
        <w:pStyle w:val="8"/>
        <w:spacing w:after="0" w:line="240" w:lineRule="auto"/>
        <w:ind w:left="0" w:right="0" w:firstLine="0" w:firstLineChars="0"/>
        <w:jc w:val="left"/>
        <w:rPr>
          <w:rFonts w:hint="eastAsia" w:ascii="仿宋" w:hAnsi="仿宋" w:eastAsia="仿宋" w:cs="仿宋"/>
          <w:sz w:val="24"/>
          <w:szCs w:val="24"/>
          <w:highlight w:val="none"/>
        </w:rPr>
      </w:pPr>
    </w:p>
    <w:p w14:paraId="5A4339AD">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后附人员身份证复印件。</w:t>
      </w:r>
    </w:p>
    <w:p w14:paraId="2D6FB3B1">
      <w:pPr>
        <w:pStyle w:val="8"/>
        <w:spacing w:after="0" w:line="240" w:lineRule="auto"/>
        <w:ind w:left="0" w:right="0" w:firstLine="0" w:firstLineChars="0"/>
        <w:jc w:val="left"/>
        <w:rPr>
          <w:rFonts w:hint="eastAsia" w:ascii="仿宋" w:hAnsi="仿宋" w:eastAsia="仿宋" w:cs="仿宋"/>
          <w:sz w:val="24"/>
          <w:szCs w:val="24"/>
          <w:highlight w:val="none"/>
        </w:rPr>
      </w:pPr>
    </w:p>
    <w:p w14:paraId="0F2BC648">
      <w:pPr>
        <w:pStyle w:val="8"/>
        <w:spacing w:after="0" w:line="240" w:lineRule="auto"/>
        <w:ind w:left="0" w:right="0" w:firstLine="0" w:firstLineChars="0"/>
        <w:jc w:val="left"/>
        <w:rPr>
          <w:rFonts w:hint="eastAsia" w:ascii="仿宋" w:hAnsi="仿宋" w:eastAsia="仿宋" w:cs="仿宋"/>
          <w:sz w:val="24"/>
          <w:szCs w:val="24"/>
          <w:highlight w:val="none"/>
        </w:rPr>
      </w:pPr>
    </w:p>
    <w:p w14:paraId="797CC332">
      <w:pPr>
        <w:pStyle w:val="8"/>
        <w:spacing w:after="0" w:line="240" w:lineRule="auto"/>
        <w:ind w:left="0" w:right="0" w:firstLine="0" w:firstLineChars="0"/>
        <w:jc w:val="left"/>
        <w:rPr>
          <w:rFonts w:hint="eastAsia" w:ascii="仿宋" w:hAnsi="仿宋" w:eastAsia="仿宋" w:cs="仿宋"/>
          <w:sz w:val="24"/>
          <w:szCs w:val="24"/>
          <w:highlight w:val="none"/>
        </w:rPr>
      </w:pPr>
    </w:p>
    <w:p w14:paraId="3F0D6AF9">
      <w:pPr>
        <w:pStyle w:val="8"/>
        <w:spacing w:after="0" w:line="240" w:lineRule="auto"/>
        <w:ind w:left="0" w:right="0" w:firstLine="0" w:firstLineChars="0"/>
        <w:jc w:val="left"/>
        <w:rPr>
          <w:rFonts w:hint="eastAsia" w:ascii="仿宋" w:hAnsi="仿宋" w:eastAsia="仿宋" w:cs="仿宋"/>
          <w:sz w:val="24"/>
          <w:szCs w:val="24"/>
          <w:highlight w:val="none"/>
        </w:rPr>
      </w:pPr>
    </w:p>
    <w:p w14:paraId="6F6DF29A">
      <w:pPr>
        <w:spacing w:line="240" w:lineRule="auto"/>
        <w:ind w:left="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pacing w:val="-7"/>
          <w:sz w:val="24"/>
          <w:szCs w:val="24"/>
          <w:highlight w:val="none"/>
        </w:rPr>
        <w:t>投标人名称（公章</w:t>
      </w: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eastAsia="zh-CN"/>
        </w:rPr>
        <w:t xml:space="preserve"> ：</w:t>
      </w:r>
    </w:p>
    <w:p w14:paraId="61A37918">
      <w:pPr>
        <w:spacing w:line="240" w:lineRule="auto"/>
        <w:ind w:left="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pacing w:val="-6"/>
          <w:position w:val="25"/>
          <w:sz w:val="24"/>
          <w:szCs w:val="24"/>
          <w:highlight w:val="none"/>
        </w:rPr>
        <w:t>法定代表人（</w:t>
      </w:r>
      <w:r>
        <w:rPr>
          <w:rFonts w:hint="eastAsia" w:ascii="仿宋" w:hAnsi="仿宋" w:eastAsia="仿宋" w:cs="仿宋"/>
          <w:spacing w:val="-6"/>
          <w:position w:val="25"/>
          <w:sz w:val="24"/>
          <w:szCs w:val="24"/>
          <w:highlight w:val="none"/>
          <w:lang w:eastAsia="zh-CN"/>
        </w:rPr>
        <w:t>签字盖章</w:t>
      </w:r>
      <w:r>
        <w:rPr>
          <w:rFonts w:hint="eastAsia" w:ascii="仿宋" w:hAnsi="仿宋" w:eastAsia="仿宋" w:cs="仿宋"/>
          <w:spacing w:val="-1"/>
          <w:position w:val="25"/>
          <w:sz w:val="24"/>
          <w:szCs w:val="24"/>
          <w:highlight w:val="none"/>
        </w:rPr>
        <w:t>）</w:t>
      </w:r>
      <w:r>
        <w:rPr>
          <w:rFonts w:hint="eastAsia" w:ascii="仿宋" w:hAnsi="仿宋" w:eastAsia="仿宋" w:cs="仿宋"/>
          <w:spacing w:val="-1"/>
          <w:position w:val="25"/>
          <w:sz w:val="24"/>
          <w:szCs w:val="24"/>
          <w:highlight w:val="none"/>
          <w:lang w:eastAsia="zh-CN"/>
        </w:rPr>
        <w:t xml:space="preserve"> ：</w:t>
      </w:r>
    </w:p>
    <w:p w14:paraId="73AE286C">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日期</w:t>
      </w:r>
      <w:r>
        <w:rPr>
          <w:rFonts w:hint="eastAsia" w:ascii="仿宋" w:hAnsi="仿宋" w:eastAsia="仿宋" w:cs="仿宋"/>
          <w:spacing w:val="-30"/>
          <w:sz w:val="24"/>
          <w:szCs w:val="24"/>
          <w:highlight w:val="none"/>
          <w:lang w:eastAsia="zh-CN"/>
        </w:rPr>
        <w:t xml:space="preserve"> ：</w:t>
      </w:r>
      <w:r>
        <w:rPr>
          <w:rFonts w:hint="eastAsia" w:ascii="仿宋" w:hAnsi="仿宋" w:eastAsia="仿宋" w:cs="仿宋"/>
          <w:spacing w:val="37"/>
          <w:sz w:val="24"/>
          <w:szCs w:val="24"/>
          <w:highlight w:val="none"/>
        </w:rPr>
        <w:t xml:space="preserve">   </w:t>
      </w:r>
      <w:r>
        <w:rPr>
          <w:rFonts w:hint="eastAsia" w:ascii="仿宋" w:hAnsi="仿宋" w:eastAsia="仿宋" w:cs="仿宋"/>
          <w:spacing w:val="-30"/>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30"/>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30"/>
          <w:sz w:val="24"/>
          <w:szCs w:val="24"/>
          <w:highlight w:val="none"/>
        </w:rPr>
        <w:t>日</w:t>
      </w:r>
    </w:p>
    <w:p w14:paraId="24C2D1CA">
      <w:pPr>
        <w:pStyle w:val="37"/>
        <w:spacing w:line="240" w:lineRule="auto"/>
        <w:ind w:left="0" w:leftChars="0" w:firstLine="0" w:firstLineChars="0"/>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附件九</w:t>
      </w:r>
    </w:p>
    <w:p w14:paraId="6B2B0676">
      <w:pPr>
        <w:pStyle w:val="37"/>
        <w:spacing w:line="240" w:lineRule="auto"/>
        <w:ind w:left="0" w:leftChars="0" w:firstLine="0" w:firstLineChars="0"/>
        <w:jc w:val="center"/>
        <w:rPr>
          <w:rFonts w:hint="eastAsia" w:ascii="仿宋" w:hAnsi="仿宋" w:eastAsia="仿宋" w:cs="仿宋"/>
          <w:b/>
          <w:bCs w:val="0"/>
          <w:color w:val="000000"/>
          <w:sz w:val="28"/>
          <w:szCs w:val="24"/>
          <w:highlight w:val="none"/>
          <w:lang w:val="en-US" w:eastAsia="zh-CN"/>
        </w:rPr>
      </w:pPr>
      <w:r>
        <w:rPr>
          <w:rFonts w:hint="eastAsia" w:ascii="仿宋" w:hAnsi="仿宋" w:eastAsia="仿宋" w:cs="仿宋"/>
          <w:b/>
          <w:bCs w:val="0"/>
          <w:color w:val="000000"/>
          <w:sz w:val="28"/>
          <w:szCs w:val="24"/>
          <w:highlight w:val="none"/>
          <w:lang w:val="en-US" w:eastAsia="zh-CN"/>
        </w:rPr>
        <w:t>投标人资格声明函</w:t>
      </w:r>
    </w:p>
    <w:p w14:paraId="61635B35">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453B50D1">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我公司</w:t>
      </w:r>
      <w:r>
        <w:rPr>
          <w:rFonts w:hint="eastAsia" w:ascii="仿宋" w:hAnsi="仿宋" w:eastAsia="仿宋" w:cs="仿宋"/>
          <w:b w:val="0"/>
          <w:bCs/>
          <w:color w:val="000000"/>
          <w:sz w:val="24"/>
          <w:szCs w:val="24"/>
          <w:highlight w:val="none"/>
          <w:u w:val="single"/>
          <w:lang w:val="en-US" w:eastAsia="zh-CN"/>
        </w:rPr>
        <w:t xml:space="preserve"> （供应商全称） </w:t>
      </w:r>
      <w:r>
        <w:rPr>
          <w:rFonts w:hint="eastAsia" w:ascii="仿宋" w:hAnsi="仿宋" w:eastAsia="仿宋" w:cs="仿宋"/>
          <w:b w:val="0"/>
          <w:bCs/>
          <w:color w:val="000000"/>
          <w:sz w:val="24"/>
          <w:szCs w:val="24"/>
          <w:highlight w:val="none"/>
          <w:lang w:val="en-US" w:eastAsia="zh-CN"/>
        </w:rPr>
        <w:t>收到</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项目（项目编号 ：</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、标段号 ：</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、标段名称 ：</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 xml:space="preserve"> ）的招标文件后，在完全理解该项目采购技术要求和商务条款的基础上，决定参加此次投标活动。我方保证具备履行合同所必需的服务和专业技术能力，并承诺如下 ：</w:t>
      </w:r>
    </w:p>
    <w:p w14:paraId="5752147A">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1、具有独立承担民事责任的能力；</w:t>
      </w:r>
    </w:p>
    <w:p w14:paraId="0BAAD24D">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2、具有良好的商业信誉和健全的财务会计制度；</w:t>
      </w:r>
    </w:p>
    <w:p w14:paraId="7CAD1474">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3、具有履行合同所必需的货物和专业技术能力；</w:t>
      </w:r>
    </w:p>
    <w:p w14:paraId="37E489AC">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4、有依法缴纳税收和社会保障资金的良好记录；</w:t>
      </w:r>
    </w:p>
    <w:p w14:paraId="089449D9">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5、参加政府采购活动前三年内，在经营活动中没有重大违法记录；</w:t>
      </w:r>
    </w:p>
    <w:p w14:paraId="19A8AD49">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6、法律、行政法规规定的其他条件；</w:t>
      </w:r>
    </w:p>
    <w:p w14:paraId="3DCD09EB">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20CB9ADE">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10CDFCC3">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7E9504BA">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31344733">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6658326">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0E6AF27C">
      <w:pPr>
        <w:spacing w:before="182" w:line="220" w:lineRule="auto"/>
        <w:ind w:left="5741"/>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color w:val="000000"/>
          <w:kern w:val="2"/>
          <w:sz w:val="28"/>
          <w:szCs w:val="24"/>
          <w:highlight w:val="none"/>
          <w:lang w:val="en-US" w:eastAsia="zh-CN" w:bidi="ar-SA"/>
        </w:rPr>
        <w:t>附件十</w:t>
      </w:r>
    </w:p>
    <w:p w14:paraId="236973E3">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信用查询记录</w:t>
      </w:r>
    </w:p>
    <w:p w14:paraId="33605BAE">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11B3BF34">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4B7A13B6">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6FEECC01">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r>
        <w:rPr>
          <w:rFonts w:hint="eastAsia" w:ascii="仿宋" w:hAnsi="仿宋" w:eastAsia="仿宋" w:cs="仿宋"/>
          <w:b w:val="0"/>
          <w:bCs/>
          <w:color w:val="auto"/>
          <w:kern w:val="2"/>
          <w:sz w:val="21"/>
          <w:szCs w:val="20"/>
          <w:highlight w:val="none"/>
          <w:lang w:val="en-US" w:eastAsia="zh-CN" w:bidi="ar-SA"/>
        </w:rPr>
        <w:t>信用中国（http://www.creditchina.gov.cn）查询结果</w:t>
      </w:r>
    </w:p>
    <w:p w14:paraId="20E263E8">
      <w:pPr>
        <w:jc w:val="center"/>
        <w:rPr>
          <w:rFonts w:hint="eastAsia" w:ascii="仿宋" w:hAnsi="仿宋" w:eastAsia="仿宋" w:cs="仿宋"/>
          <w:b w:val="0"/>
          <w:bCs/>
          <w:color w:val="auto"/>
          <w:kern w:val="2"/>
          <w:sz w:val="21"/>
          <w:szCs w:val="20"/>
          <w:highlight w:val="none"/>
          <w:lang w:val="en-US" w:eastAsia="zh-CN" w:bidi="ar-SA"/>
        </w:rPr>
      </w:pPr>
    </w:p>
    <w:p w14:paraId="6858CD4D">
      <w:pPr>
        <w:pStyle w:val="3"/>
        <w:jc w:val="center"/>
        <w:outlineLvl w:val="9"/>
        <w:rPr>
          <w:rFonts w:hint="eastAsia" w:ascii="仿宋" w:hAnsi="仿宋" w:eastAsia="仿宋" w:cs="仿宋"/>
          <w:b w:val="0"/>
          <w:bCs/>
          <w:color w:val="auto"/>
          <w:kern w:val="2"/>
          <w:sz w:val="21"/>
          <w:szCs w:val="20"/>
          <w:highlight w:val="none"/>
          <w:lang w:val="en-US" w:eastAsia="zh-CN" w:bidi="ar-SA"/>
        </w:rPr>
      </w:pPr>
    </w:p>
    <w:p w14:paraId="66E382ED">
      <w:pPr>
        <w:jc w:val="center"/>
        <w:rPr>
          <w:rFonts w:hint="eastAsia" w:ascii="仿宋" w:hAnsi="仿宋" w:eastAsia="仿宋" w:cs="仿宋"/>
          <w:b w:val="0"/>
          <w:bCs/>
          <w:color w:val="auto"/>
          <w:kern w:val="2"/>
          <w:sz w:val="21"/>
          <w:szCs w:val="20"/>
          <w:highlight w:val="none"/>
          <w:lang w:val="en-US" w:eastAsia="zh-CN" w:bidi="ar-SA"/>
        </w:rPr>
      </w:pPr>
    </w:p>
    <w:p w14:paraId="377C2492">
      <w:pPr>
        <w:pStyle w:val="20"/>
        <w:numPr>
          <w:ilvl w:val="0"/>
          <w:numId w:val="0"/>
        </w:numPr>
        <w:overflowPunct w:val="0"/>
        <w:snapToGrid w:val="0"/>
        <w:spacing w:line="360" w:lineRule="auto"/>
        <w:ind w:firstLine="2520" w:firstLineChars="1200"/>
        <w:jc w:val="both"/>
        <w:rPr>
          <w:rFonts w:hint="eastAsia" w:ascii="仿宋" w:hAnsi="仿宋" w:eastAsia="仿宋" w:cs="仿宋"/>
          <w:b w:val="0"/>
          <w:bCs/>
          <w:color w:val="auto"/>
          <w:kern w:val="2"/>
          <w:sz w:val="21"/>
          <w:szCs w:val="20"/>
          <w:highlight w:val="none"/>
          <w:lang w:val="en-US" w:eastAsia="zh-CN" w:bidi="ar-SA"/>
        </w:rPr>
      </w:pPr>
      <w:r>
        <w:rPr>
          <w:rFonts w:hint="eastAsia" w:ascii="仿宋" w:hAnsi="仿宋" w:eastAsia="仿宋" w:cs="仿宋"/>
          <w:b w:val="0"/>
          <w:bCs/>
          <w:color w:val="auto"/>
          <w:kern w:val="2"/>
          <w:sz w:val="21"/>
          <w:szCs w:val="20"/>
          <w:highlight w:val="none"/>
          <w:lang w:val="en-US" w:eastAsia="zh-CN" w:bidi="ar-SA"/>
        </w:rPr>
        <w:t>中国政府采购网（http://www.ccgp.gov.cn）查询结果；</w:t>
      </w:r>
    </w:p>
    <w:p w14:paraId="66E8A039">
      <w:pPr>
        <w:pStyle w:val="20"/>
        <w:numPr>
          <w:ilvl w:val="0"/>
          <w:numId w:val="0"/>
        </w:numPr>
        <w:overflowPunct w:val="0"/>
        <w:snapToGrid w:val="0"/>
        <w:spacing w:line="360" w:lineRule="auto"/>
        <w:ind w:firstLine="2520" w:firstLineChars="1200"/>
        <w:jc w:val="both"/>
        <w:rPr>
          <w:rFonts w:hint="eastAsia" w:ascii="仿宋" w:hAnsi="仿宋" w:eastAsia="仿宋" w:cs="仿宋"/>
          <w:b/>
          <w:color w:val="000000"/>
          <w:kern w:val="2"/>
          <w:sz w:val="28"/>
          <w:szCs w:val="24"/>
          <w:highlight w:val="none"/>
          <w:lang w:val="en-US" w:eastAsia="zh-CN" w:bidi="ar-SA"/>
        </w:rPr>
      </w:pPr>
      <w:r>
        <w:rPr>
          <w:rFonts w:hint="eastAsia" w:ascii="仿宋" w:hAnsi="仿宋" w:eastAsia="仿宋" w:cs="仿宋"/>
          <w:b w:val="0"/>
          <w:bCs/>
          <w:color w:val="auto"/>
          <w:kern w:val="2"/>
          <w:sz w:val="21"/>
          <w:szCs w:val="20"/>
          <w:highlight w:val="none"/>
          <w:lang w:val="en-US" w:eastAsia="zh-CN" w:bidi="ar-SA"/>
        </w:rPr>
        <w:br w:type="page"/>
      </w:r>
      <w:r>
        <w:rPr>
          <w:rFonts w:hint="eastAsia" w:ascii="仿宋" w:hAnsi="仿宋" w:eastAsia="仿宋" w:cs="仿宋"/>
          <w:b/>
          <w:color w:val="000000"/>
          <w:kern w:val="2"/>
          <w:sz w:val="28"/>
          <w:szCs w:val="24"/>
          <w:highlight w:val="none"/>
          <w:lang w:val="en-US" w:eastAsia="zh-CN" w:bidi="ar-SA"/>
        </w:rPr>
        <w:t>附件十一</w:t>
      </w:r>
    </w:p>
    <w:p w14:paraId="133CDCFD">
      <w:pPr>
        <w:jc w:val="center"/>
        <w:rPr>
          <w:rFonts w:hint="eastAsia" w:ascii="仿宋" w:hAnsi="仿宋" w:eastAsia="仿宋" w:cs="仿宋"/>
          <w:b/>
          <w:color w:val="000000"/>
          <w:kern w:val="2"/>
          <w:sz w:val="28"/>
          <w:szCs w:val="24"/>
          <w:highlight w:val="none"/>
          <w:lang w:val="en-US" w:eastAsia="zh-CN" w:bidi="ar-SA"/>
        </w:rPr>
      </w:pPr>
      <w:r>
        <w:rPr>
          <w:rFonts w:hint="eastAsia" w:ascii="仿宋" w:hAnsi="仿宋" w:eastAsia="仿宋" w:cs="仿宋"/>
          <w:b/>
          <w:color w:val="000000"/>
          <w:kern w:val="2"/>
          <w:sz w:val="28"/>
          <w:szCs w:val="24"/>
          <w:highlight w:val="none"/>
          <w:lang w:val="en-US" w:eastAsia="zh-CN" w:bidi="ar-SA"/>
        </w:rPr>
        <w:t>资格证明文件</w:t>
      </w:r>
    </w:p>
    <w:p w14:paraId="5C177AD7">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（1）供应商须具备三证合一的营业执照；</w:t>
      </w:r>
    </w:p>
    <w:p w14:paraId="353838A4">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供应商代表法定代表人需提供法定代表人证明书及法定代表人身份证，委托代理人需提供法定代表人授权委托书及委托代理人身份证，并提供近6个月任意1个月社保证明材料（社保缴费凭证及个人明细表）；新公司按实际发生提供；</w:t>
      </w:r>
    </w:p>
    <w:p w14:paraId="70B00164">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（3）提供税务机关出具近6个月任意1个月的完税证明或报税材料（依法免缴的，应提供依法免缴的相关证明文件），新公司按实际发生提供；</w:t>
      </w:r>
    </w:p>
    <w:p w14:paraId="0CEF6464">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（4）提供2023年度由第三方财务审计机构出具的财务审计报告或提供银行出具的近一个月的资信证明；</w:t>
      </w:r>
    </w:p>
    <w:p w14:paraId="40B1B11D">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（5）提供参加政府采购活动前 3 年内在经营活动中没有重大违法记录的书面声明；</w:t>
      </w:r>
    </w:p>
    <w:p w14:paraId="4431FFB3">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（6）企业负责人为同一人或者存在直接控股、管理关系的不同投标人，不得参加同一合同项下的政府采购活动声明函。</w:t>
      </w:r>
    </w:p>
    <w:p w14:paraId="147650AE">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（7）本项目不接受联合体投标；</w:t>
      </w:r>
    </w:p>
    <w:p w14:paraId="65B8D3CA">
      <w:pPr>
        <w:pStyle w:val="6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（8）投标保证金或电子保函 ：30000.00元整（大写 ：叁万元整）</w:t>
      </w:r>
    </w:p>
    <w:p w14:paraId="150A906F">
      <w:pPr>
        <w:pStyle w:val="20"/>
        <w:numPr>
          <w:ilvl w:val="0"/>
          <w:numId w:val="0"/>
        </w:numPr>
        <w:overflowPunct w:val="0"/>
        <w:snapToGrid w:val="0"/>
        <w:spacing w:line="360" w:lineRule="auto"/>
        <w:ind w:leftChars="0"/>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本项目的特定资格要求 ：无</w:t>
      </w:r>
    </w:p>
    <w:p w14:paraId="2C7E5DDF">
      <w:pPr>
        <w:pStyle w:val="20"/>
        <w:numPr>
          <w:ilvl w:val="0"/>
          <w:numId w:val="0"/>
        </w:numPr>
        <w:overflowPunct w:val="0"/>
        <w:snapToGrid w:val="0"/>
        <w:spacing w:line="360" w:lineRule="auto"/>
        <w:ind w:leftChars="0"/>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br w:type="page"/>
      </w:r>
    </w:p>
    <w:p w14:paraId="52A031DC">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b/>
          <w:color w:val="000000"/>
          <w:kern w:val="2"/>
          <w:sz w:val="28"/>
          <w:szCs w:val="24"/>
          <w:highlight w:val="none"/>
          <w:lang w:val="en-US" w:eastAsia="zh-CN" w:bidi="ar-SA"/>
        </w:rPr>
        <w:t xml:space="preserve">附件十二              </w:t>
      </w:r>
      <w:r>
        <w:rPr>
          <w:rFonts w:hint="eastAsia" w:ascii="仿宋" w:hAnsi="仿宋" w:eastAsia="仿宋" w:cs="仿宋"/>
          <w:b/>
          <w:color w:val="000000"/>
          <w:kern w:val="2"/>
          <w:sz w:val="28"/>
          <w:szCs w:val="28"/>
          <w:highlight w:val="none"/>
          <w:lang w:val="en-US" w:eastAsia="zh-CN" w:bidi="ar-SA"/>
        </w:rPr>
        <w:t xml:space="preserve">   </w:t>
      </w:r>
      <w:r>
        <w:rPr>
          <w:rFonts w:hint="eastAsia" w:ascii="仿宋" w:hAnsi="仿宋" w:eastAsia="仿宋" w:cs="仿宋"/>
          <w:b/>
          <w:bCs/>
          <w:color w:val="000000"/>
          <w:kern w:val="0"/>
          <w:sz w:val="28"/>
          <w:szCs w:val="28"/>
          <w:highlight w:val="none"/>
          <w:lang w:val="en-US" w:eastAsia="zh-CN" w:bidi="ar"/>
        </w:rPr>
        <w:t>投标保证金说明</w:t>
      </w:r>
    </w:p>
    <w:p w14:paraId="5D097DE6">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投标保证金汇入情况说明（适用于转账、电汇方式）</w:t>
      </w:r>
    </w:p>
    <w:p w14:paraId="0919A5C5">
      <w:pPr>
        <w:pStyle w:val="20"/>
        <w:numPr>
          <w:ilvl w:val="0"/>
          <w:numId w:val="0"/>
        </w:numPr>
        <w:overflowPunct w:val="0"/>
        <w:snapToGrid w:val="0"/>
        <w:spacing w:line="360" w:lineRule="auto"/>
        <w:jc w:val="both"/>
        <w:rPr>
          <w:rFonts w:hint="eastAsia" w:ascii="仿宋" w:hAnsi="仿宋" w:eastAsia="仿宋" w:cs="仿宋"/>
          <w:b/>
          <w:color w:val="000000"/>
          <w:kern w:val="2"/>
          <w:sz w:val="28"/>
          <w:szCs w:val="24"/>
          <w:highlight w:val="none"/>
          <w:u w:val="single"/>
          <w:lang w:val="en-US" w:eastAsia="zh-CN" w:bidi="ar-SA"/>
        </w:rPr>
      </w:pPr>
    </w:p>
    <w:p w14:paraId="0E759946">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u w:val="single"/>
          <w:lang w:val="en-US" w:eastAsia="zh-CN"/>
        </w:rPr>
        <w:t>采购人</w:t>
      </w:r>
      <w:r>
        <w:rPr>
          <w:rFonts w:hint="eastAsia" w:ascii="仿宋" w:hAnsi="仿宋" w:eastAsia="仿宋" w:cs="仿宋"/>
          <w:color w:val="000000"/>
          <w:sz w:val="24"/>
          <w:szCs w:val="24"/>
          <w:highlight w:val="none"/>
          <w:lang w:eastAsia="zh-CN"/>
        </w:rPr>
        <w:t xml:space="preserve"> ：</w:t>
      </w:r>
    </w:p>
    <w:p w14:paraId="6A15DCB3">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lang w:val="en-US" w:eastAsia="zh-CN" w:bidi="ar"/>
        </w:rPr>
        <w:t xml:space="preserve">本单位已按 </w:t>
      </w:r>
      <w:r>
        <w:rPr>
          <w:rFonts w:hint="eastAsia" w:ascii="仿宋" w:hAnsi="仿宋" w:eastAsia="仿宋" w:cs="仿宋"/>
          <w:color w:val="000000"/>
          <w:kern w:val="0"/>
          <w:sz w:val="24"/>
          <w:szCs w:val="24"/>
          <w:highlight w:val="none"/>
          <w:u w:val="single"/>
          <w:lang w:val="en-US" w:eastAsia="zh-CN" w:bidi="ar"/>
        </w:rPr>
        <w:t xml:space="preserve">（项目名称） </w:t>
      </w:r>
      <w:r>
        <w:rPr>
          <w:rFonts w:hint="eastAsia" w:ascii="仿宋" w:hAnsi="仿宋" w:eastAsia="仿宋" w:cs="仿宋"/>
          <w:color w:val="000000"/>
          <w:kern w:val="0"/>
          <w:sz w:val="24"/>
          <w:szCs w:val="24"/>
          <w:highlight w:val="none"/>
          <w:lang w:val="en-US" w:eastAsia="zh-CN" w:bidi="ar"/>
        </w:rPr>
        <w:t>（项目编号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）的招标文件要求，于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 xml:space="preserve"> 月</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日前以</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（付款形式）方式汇入指定账户（账户名称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，账 号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开户银行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8D2B047">
      <w:pPr>
        <w:keepNext w:val="0"/>
        <w:keepLines w:val="0"/>
        <w:widowControl/>
        <w:suppressLineNumbers w:val="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投标人投标保证金的汇款情况 ：（详见附件－投标保证金进账单）汇出时间 ： 年 月 日；</w:t>
      </w:r>
    </w:p>
    <w:p w14:paraId="722BFC5D">
      <w:pPr>
        <w:pStyle w:val="7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汇款金额 ：（大写）人民币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元整</w:t>
      </w:r>
    </w:p>
    <w:p w14:paraId="791EC306">
      <w:pPr>
        <w:pStyle w:val="71"/>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汇款账户名称 ： </w:t>
      </w:r>
      <w:r>
        <w:rPr>
          <w:rFonts w:hint="eastAsia" w:ascii="仿宋" w:hAnsi="仿宋" w:eastAsia="仿宋" w:cs="仿宋"/>
          <w:sz w:val="24"/>
          <w:szCs w:val="24"/>
          <w:highlight w:val="none"/>
          <w:u w:val="single"/>
          <w:lang w:val="en-US" w:eastAsia="zh-CN"/>
        </w:rPr>
        <w:t>（必须是投标时使用的单位名称）</w:t>
      </w:r>
    </w:p>
    <w:p w14:paraId="5169B500">
      <w:pPr>
        <w:pStyle w:val="71"/>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账 号 ： </w:t>
      </w:r>
      <w:r>
        <w:rPr>
          <w:rFonts w:hint="eastAsia" w:ascii="仿宋" w:hAnsi="仿宋" w:eastAsia="仿宋" w:cs="仿宋"/>
          <w:sz w:val="24"/>
          <w:szCs w:val="24"/>
          <w:highlight w:val="none"/>
          <w:u w:val="single"/>
          <w:lang w:val="en-US" w:eastAsia="zh-CN"/>
        </w:rPr>
        <w:t>（必须是投标时使用的账号）</w:t>
      </w:r>
    </w:p>
    <w:p w14:paraId="09012730">
      <w:pPr>
        <w:pStyle w:val="71"/>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开户银行 ：</w:t>
      </w:r>
      <w:r>
        <w:rPr>
          <w:rFonts w:hint="eastAsia" w:ascii="仿宋" w:hAnsi="仿宋" w:eastAsia="仿宋" w:cs="仿宋"/>
          <w:sz w:val="24"/>
          <w:szCs w:val="24"/>
          <w:highlight w:val="none"/>
          <w:u w:val="single"/>
          <w:lang w:val="en-US" w:eastAsia="zh-CN"/>
        </w:rPr>
        <w:t xml:space="preserve"> 银行 省 市 （分行/支行）      </w:t>
      </w:r>
    </w:p>
    <w:p w14:paraId="02E26389">
      <w:pPr>
        <w:pStyle w:val="71"/>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本单位谨承诺上述资料是正确、真实的，如因上述证明与事实不符导致的一切损失，本单位保证承担赔偿等一切法律责任</w:t>
      </w:r>
    </w:p>
    <w:p w14:paraId="6BA948F5">
      <w:pPr>
        <w:pStyle w:val="7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 ：投标保证金汇款凭证复印件（加盖章）</w:t>
      </w:r>
    </w:p>
    <w:p w14:paraId="7D77248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 ：如采用投标保函、保险形式，请附相关证明材料</w:t>
      </w:r>
    </w:p>
    <w:p w14:paraId="3C9B4B40">
      <w:pPr>
        <w:spacing w:before="78" w:line="468" w:lineRule="exact"/>
        <w:ind w:left="6302"/>
        <w:rPr>
          <w:rFonts w:hint="eastAsia" w:ascii="仿宋" w:hAnsi="仿宋" w:eastAsia="仿宋" w:cs="仿宋"/>
          <w:spacing w:val="-7"/>
          <w:position w:val="17"/>
          <w:sz w:val="24"/>
          <w:szCs w:val="24"/>
          <w:highlight w:val="none"/>
        </w:rPr>
      </w:pPr>
    </w:p>
    <w:p w14:paraId="4109F9D7">
      <w:pPr>
        <w:spacing w:before="78" w:line="468" w:lineRule="exact"/>
        <w:ind w:left="6302"/>
        <w:rPr>
          <w:rFonts w:hint="eastAsia" w:ascii="仿宋" w:hAnsi="仿宋" w:eastAsia="仿宋" w:cs="仿宋"/>
          <w:spacing w:val="-7"/>
          <w:position w:val="17"/>
          <w:sz w:val="24"/>
          <w:szCs w:val="24"/>
          <w:highlight w:val="none"/>
        </w:rPr>
      </w:pPr>
    </w:p>
    <w:p w14:paraId="4DB41402">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41250DBD">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06016632">
      <w:pPr>
        <w:spacing w:before="182" w:line="220" w:lineRule="auto"/>
        <w:ind w:left="5741"/>
        <w:rPr>
          <w:rFonts w:hint="eastAsia" w:ascii="仿宋" w:hAnsi="仿宋" w:eastAsia="仿宋" w:cs="仿宋"/>
          <w:sz w:val="24"/>
          <w:szCs w:val="24"/>
          <w:highlight w:val="none"/>
        </w:rPr>
        <w:sectPr>
          <w:headerReference r:id="rId7" w:type="default"/>
          <w:footerReference r:id="rId8" w:type="default"/>
          <w:type w:val="continuous"/>
          <w:pgSz w:w="11906" w:h="16839"/>
          <w:pgMar w:top="1191" w:right="1191" w:bottom="1191" w:left="1191"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6E50E425">
      <w:pPr>
        <w:ind w:left="0" w:leftChars="0" w:firstLine="0" w:firstLineChars="0"/>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br w:type="page"/>
      </w:r>
      <w:r>
        <w:rPr>
          <w:rFonts w:hint="eastAsia" w:ascii="仿宋" w:hAnsi="仿宋" w:eastAsia="仿宋" w:cs="仿宋"/>
          <w:b/>
          <w:bCs w:val="0"/>
          <w:color w:val="auto"/>
          <w:kern w:val="2"/>
          <w:sz w:val="28"/>
          <w:szCs w:val="24"/>
          <w:highlight w:val="none"/>
          <w:lang w:val="en-US" w:eastAsia="zh-CN" w:bidi="ar-SA"/>
        </w:rPr>
        <w:t>附件十三</w:t>
      </w:r>
    </w:p>
    <w:p w14:paraId="321C5A8B">
      <w:pPr>
        <w:pStyle w:val="20"/>
        <w:numPr>
          <w:ilvl w:val="0"/>
          <w:numId w:val="0"/>
        </w:numPr>
        <w:tabs>
          <w:tab w:val="left" w:pos="2160"/>
        </w:tabs>
        <w:overflowPunct w:val="0"/>
        <w:snapToGrid w:val="0"/>
        <w:spacing w:line="360" w:lineRule="auto"/>
        <w:ind w:leftChars="0"/>
        <w:jc w:val="center"/>
        <w:rPr>
          <w:rFonts w:hint="eastAsia" w:ascii="仿宋" w:hAnsi="仿宋" w:eastAsia="仿宋" w:cs="仿宋"/>
          <w:color w:val="000000"/>
          <w:sz w:val="22"/>
          <w:szCs w:val="24"/>
          <w:highlight w:val="none"/>
        </w:rPr>
      </w:pPr>
      <w:r>
        <w:rPr>
          <w:rFonts w:hint="eastAsia" w:ascii="仿宋" w:hAnsi="仿宋" w:eastAsia="仿宋" w:cs="仿宋"/>
          <w:b/>
          <w:bCs w:val="0"/>
          <w:color w:val="auto"/>
          <w:kern w:val="2"/>
          <w:sz w:val="28"/>
          <w:szCs w:val="24"/>
          <w:highlight w:val="none"/>
          <w:lang w:val="en-US" w:eastAsia="zh-CN" w:bidi="ar-SA"/>
        </w:rPr>
        <w:t>商务偏离表</w:t>
      </w:r>
    </w:p>
    <w:p w14:paraId="4F34A2FD">
      <w:pPr>
        <w:adjustRightInd w:val="0"/>
        <w:snapToGrid w:val="0"/>
        <w:spacing w:line="360" w:lineRule="auto"/>
        <w:rPr>
          <w:rFonts w:hint="eastAsia" w:ascii="仿宋" w:hAnsi="仿宋" w:eastAsia="仿宋" w:cs="仿宋"/>
          <w:color w:val="000000"/>
          <w:sz w:val="24"/>
          <w:szCs w:val="24"/>
          <w:highlight w:val="none"/>
          <w:u w:val="singl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 xml:space="preserve"> ：</w:t>
      </w:r>
    </w:p>
    <w:p w14:paraId="3C957599">
      <w:pPr>
        <w:adjustRightInd w:val="0"/>
        <w:snapToGrid w:val="0"/>
        <w:spacing w:line="360" w:lineRule="auto"/>
        <w:rPr>
          <w:rFonts w:hint="eastAsia" w:ascii="仿宋" w:hAnsi="仿宋" w:eastAsia="仿宋" w:cs="仿宋"/>
          <w:color w:val="000000"/>
          <w:sz w:val="24"/>
          <w:szCs w:val="24"/>
          <w:highlight w:val="none"/>
          <w:u w:val="singl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 xml:space="preserve"> ：</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6109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00E7DB19">
            <w:pPr>
              <w:spacing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181" w:type="dxa"/>
            <w:noWrap w:val="0"/>
            <w:vAlign w:val="center"/>
          </w:tcPr>
          <w:p w14:paraId="7190936E">
            <w:pPr>
              <w:spacing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招标文件条目号</w:t>
            </w:r>
          </w:p>
        </w:tc>
        <w:tc>
          <w:tcPr>
            <w:tcW w:w="2552" w:type="dxa"/>
            <w:noWrap w:val="0"/>
            <w:vAlign w:val="center"/>
          </w:tcPr>
          <w:p w14:paraId="6F32A438">
            <w:pPr>
              <w:spacing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招标文件的商务条款</w:t>
            </w:r>
          </w:p>
        </w:tc>
        <w:tc>
          <w:tcPr>
            <w:tcW w:w="2551" w:type="dxa"/>
            <w:noWrap w:val="0"/>
            <w:vAlign w:val="center"/>
          </w:tcPr>
          <w:p w14:paraId="4372D572">
            <w:pPr>
              <w:spacing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招标响应文件的商务条款</w:t>
            </w:r>
          </w:p>
        </w:tc>
        <w:tc>
          <w:tcPr>
            <w:tcW w:w="1210" w:type="dxa"/>
            <w:noWrap w:val="0"/>
            <w:vAlign w:val="center"/>
          </w:tcPr>
          <w:p w14:paraId="74769520">
            <w:pPr>
              <w:spacing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tc>
      </w:tr>
      <w:tr w14:paraId="6E6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1D9D1C37">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181" w:type="dxa"/>
            <w:noWrap w:val="0"/>
            <w:vAlign w:val="top"/>
          </w:tcPr>
          <w:p w14:paraId="12154B4B">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（示例）</w:t>
            </w:r>
          </w:p>
        </w:tc>
        <w:tc>
          <w:tcPr>
            <w:tcW w:w="2552" w:type="dxa"/>
            <w:noWrap w:val="0"/>
            <w:vAlign w:val="top"/>
          </w:tcPr>
          <w:p w14:paraId="5B947D39">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招标人的资格声明</w:t>
            </w:r>
          </w:p>
        </w:tc>
        <w:tc>
          <w:tcPr>
            <w:tcW w:w="2551" w:type="dxa"/>
            <w:noWrap w:val="0"/>
            <w:vAlign w:val="top"/>
          </w:tcPr>
          <w:p w14:paraId="66CD496D">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投标人的资格声明</w:t>
            </w:r>
          </w:p>
        </w:tc>
        <w:tc>
          <w:tcPr>
            <w:tcW w:w="1210" w:type="dxa"/>
            <w:noWrap w:val="0"/>
            <w:vAlign w:val="top"/>
          </w:tcPr>
          <w:p w14:paraId="656714D1">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无偏离</w:t>
            </w:r>
          </w:p>
        </w:tc>
      </w:tr>
      <w:tr w14:paraId="6D3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52509914">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181" w:type="dxa"/>
            <w:noWrap w:val="0"/>
            <w:vAlign w:val="center"/>
          </w:tcPr>
          <w:p w14:paraId="255840DA">
            <w:pPr>
              <w:adjustRightInd w:val="0"/>
              <w:snapToGrid w:val="0"/>
              <w:jc w:val="center"/>
              <w:rPr>
                <w:rFonts w:hint="eastAsia" w:ascii="仿宋" w:hAnsi="仿宋" w:eastAsia="仿宋" w:cs="仿宋"/>
                <w:color w:val="000000"/>
                <w:sz w:val="24"/>
                <w:szCs w:val="24"/>
                <w:highlight w:val="none"/>
              </w:rPr>
            </w:pPr>
          </w:p>
        </w:tc>
        <w:tc>
          <w:tcPr>
            <w:tcW w:w="2552" w:type="dxa"/>
            <w:noWrap w:val="0"/>
            <w:vAlign w:val="center"/>
          </w:tcPr>
          <w:p w14:paraId="102A2B1F">
            <w:pPr>
              <w:adjustRightInd w:val="0"/>
              <w:snapToGrid w:val="0"/>
              <w:jc w:val="center"/>
              <w:rPr>
                <w:rFonts w:hint="eastAsia" w:ascii="仿宋" w:hAnsi="仿宋" w:eastAsia="仿宋" w:cs="仿宋"/>
                <w:color w:val="000000"/>
                <w:sz w:val="24"/>
                <w:szCs w:val="24"/>
                <w:highlight w:val="none"/>
              </w:rPr>
            </w:pPr>
          </w:p>
        </w:tc>
        <w:tc>
          <w:tcPr>
            <w:tcW w:w="2551" w:type="dxa"/>
            <w:noWrap w:val="0"/>
            <w:vAlign w:val="center"/>
          </w:tcPr>
          <w:p w14:paraId="008CE3D1">
            <w:pPr>
              <w:adjustRightInd w:val="0"/>
              <w:snapToGrid w:val="0"/>
              <w:jc w:val="center"/>
              <w:rPr>
                <w:rFonts w:hint="eastAsia" w:ascii="仿宋" w:hAnsi="仿宋" w:eastAsia="仿宋" w:cs="仿宋"/>
                <w:color w:val="000000"/>
                <w:sz w:val="24"/>
                <w:szCs w:val="24"/>
                <w:highlight w:val="none"/>
              </w:rPr>
            </w:pPr>
          </w:p>
        </w:tc>
        <w:tc>
          <w:tcPr>
            <w:tcW w:w="1210" w:type="dxa"/>
            <w:noWrap w:val="0"/>
            <w:vAlign w:val="center"/>
          </w:tcPr>
          <w:p w14:paraId="1681C2DE">
            <w:pPr>
              <w:adjustRightInd w:val="0"/>
              <w:snapToGrid w:val="0"/>
              <w:jc w:val="center"/>
              <w:rPr>
                <w:rFonts w:hint="eastAsia" w:ascii="仿宋" w:hAnsi="仿宋" w:eastAsia="仿宋" w:cs="仿宋"/>
                <w:color w:val="000000"/>
                <w:sz w:val="24"/>
                <w:szCs w:val="24"/>
                <w:highlight w:val="none"/>
              </w:rPr>
            </w:pPr>
          </w:p>
        </w:tc>
      </w:tr>
      <w:tr w14:paraId="2F98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7025620F">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181" w:type="dxa"/>
            <w:noWrap w:val="0"/>
            <w:vAlign w:val="center"/>
          </w:tcPr>
          <w:p w14:paraId="645E53D1">
            <w:pPr>
              <w:adjustRightInd w:val="0"/>
              <w:snapToGrid w:val="0"/>
              <w:jc w:val="center"/>
              <w:rPr>
                <w:rFonts w:hint="eastAsia" w:ascii="仿宋" w:hAnsi="仿宋" w:eastAsia="仿宋" w:cs="仿宋"/>
                <w:color w:val="000000"/>
                <w:sz w:val="24"/>
                <w:szCs w:val="24"/>
                <w:highlight w:val="none"/>
              </w:rPr>
            </w:pPr>
          </w:p>
        </w:tc>
        <w:tc>
          <w:tcPr>
            <w:tcW w:w="2552" w:type="dxa"/>
            <w:noWrap w:val="0"/>
            <w:vAlign w:val="center"/>
          </w:tcPr>
          <w:p w14:paraId="03E4FE46">
            <w:pPr>
              <w:adjustRightInd w:val="0"/>
              <w:snapToGrid w:val="0"/>
              <w:jc w:val="center"/>
              <w:rPr>
                <w:rFonts w:hint="eastAsia" w:ascii="仿宋" w:hAnsi="仿宋" w:eastAsia="仿宋" w:cs="仿宋"/>
                <w:color w:val="000000"/>
                <w:sz w:val="24"/>
                <w:szCs w:val="24"/>
                <w:highlight w:val="none"/>
              </w:rPr>
            </w:pPr>
          </w:p>
        </w:tc>
        <w:tc>
          <w:tcPr>
            <w:tcW w:w="2551" w:type="dxa"/>
            <w:noWrap w:val="0"/>
            <w:vAlign w:val="center"/>
          </w:tcPr>
          <w:p w14:paraId="09FD22FA">
            <w:pPr>
              <w:adjustRightInd w:val="0"/>
              <w:snapToGrid w:val="0"/>
              <w:jc w:val="center"/>
              <w:rPr>
                <w:rFonts w:hint="eastAsia" w:ascii="仿宋" w:hAnsi="仿宋" w:eastAsia="仿宋" w:cs="仿宋"/>
                <w:color w:val="000000"/>
                <w:sz w:val="24"/>
                <w:szCs w:val="24"/>
                <w:highlight w:val="none"/>
              </w:rPr>
            </w:pPr>
          </w:p>
        </w:tc>
        <w:tc>
          <w:tcPr>
            <w:tcW w:w="1210" w:type="dxa"/>
            <w:noWrap w:val="0"/>
            <w:vAlign w:val="center"/>
          </w:tcPr>
          <w:p w14:paraId="7252E3D1">
            <w:pPr>
              <w:adjustRightInd w:val="0"/>
              <w:snapToGrid w:val="0"/>
              <w:jc w:val="center"/>
              <w:rPr>
                <w:rFonts w:hint="eastAsia" w:ascii="仿宋" w:hAnsi="仿宋" w:eastAsia="仿宋" w:cs="仿宋"/>
                <w:color w:val="000000"/>
                <w:sz w:val="24"/>
                <w:szCs w:val="24"/>
                <w:highlight w:val="none"/>
              </w:rPr>
            </w:pPr>
          </w:p>
        </w:tc>
      </w:tr>
    </w:tbl>
    <w:p w14:paraId="3BB5C5BA">
      <w:pPr>
        <w:adjustRightInd w:val="0"/>
        <w:snapToGrid w:val="0"/>
        <w:spacing w:line="360" w:lineRule="auto"/>
        <w:rPr>
          <w:rFonts w:hint="eastAsia" w:ascii="仿宋" w:hAnsi="仿宋" w:eastAsia="仿宋" w:cs="仿宋"/>
          <w:color w:val="000000"/>
          <w:sz w:val="24"/>
          <w:szCs w:val="24"/>
          <w:highlight w:val="none"/>
        </w:rPr>
      </w:pPr>
    </w:p>
    <w:p w14:paraId="7B6DFB43">
      <w:pPr>
        <w:adjustRightInd w:val="0"/>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说明</w:t>
      </w:r>
      <w:r>
        <w:rPr>
          <w:rFonts w:hint="eastAsia" w:ascii="仿宋" w:hAnsi="仿宋" w:eastAsia="仿宋" w:cs="仿宋"/>
          <w:sz w:val="24"/>
          <w:szCs w:val="24"/>
          <w:highlight w:val="none"/>
          <w:lang w:eastAsia="zh-CN"/>
        </w:rPr>
        <w:t xml:space="preserve"> ：</w:t>
      </w:r>
    </w:p>
    <w:p w14:paraId="508CF58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1、本项目商务条款至少包括</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合同履约期限</w:t>
      </w:r>
      <w:r>
        <w:rPr>
          <w:rFonts w:hint="eastAsia" w:ascii="仿宋" w:hAnsi="仿宋" w:eastAsia="仿宋" w:cs="仿宋"/>
          <w:sz w:val="24"/>
          <w:szCs w:val="24"/>
          <w:highlight w:val="none"/>
        </w:rPr>
        <w:t>、采购内容、投标保证金响应、投标文件有效期、履约保证金等，投标人必须按</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给定的条款填写，否则视为不响应招标。</w:t>
      </w:r>
    </w:p>
    <w:p w14:paraId="431DCA3F">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83" w:name="_Toc632"/>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条目号指投标须知所对应项目名称。</w:t>
      </w:r>
      <w:bookmarkEnd w:id="583"/>
    </w:p>
    <w:p w14:paraId="3DA4E150">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105C2E97">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7B46450">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27D04F8">
      <w:pPr>
        <w:spacing w:line="440" w:lineRule="exact"/>
        <w:jc w:val="center"/>
        <w:rPr>
          <w:rFonts w:hint="eastAsia" w:ascii="仿宋" w:hAnsi="仿宋" w:eastAsia="仿宋" w:cs="仿宋"/>
          <w:b/>
          <w:bCs/>
          <w:color w:val="auto"/>
          <w:kern w:val="2"/>
          <w:sz w:val="28"/>
          <w:szCs w:val="32"/>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bCs/>
          <w:color w:val="auto"/>
          <w:kern w:val="2"/>
          <w:sz w:val="28"/>
          <w:szCs w:val="32"/>
          <w:lang w:val="en-US" w:eastAsia="zh-CN" w:bidi="ar-SA"/>
        </w:rPr>
        <w:t>技术规格功能要求偏离表</w:t>
      </w:r>
    </w:p>
    <w:p w14:paraId="51B2C36D">
      <w:pPr>
        <w:rPr>
          <w:rFonts w:hint="eastAsia" w:ascii="仿宋" w:hAnsi="仿宋" w:eastAsia="仿宋" w:cs="仿宋"/>
          <w:color w:val="auto"/>
        </w:rPr>
      </w:pPr>
    </w:p>
    <w:p w14:paraId="173E25A6">
      <w:pPr>
        <w:spacing w:line="400" w:lineRule="exact"/>
        <w:rPr>
          <w:rFonts w:hint="eastAsia" w:ascii="仿宋" w:hAnsi="仿宋" w:eastAsia="仿宋" w:cs="仿宋"/>
          <w:color w:val="auto"/>
          <w:sz w:val="24"/>
        </w:rPr>
      </w:pPr>
      <w:r>
        <w:rPr>
          <w:rFonts w:hint="eastAsia" w:ascii="仿宋" w:hAnsi="仿宋" w:eastAsia="仿宋" w:cs="仿宋"/>
          <w:color w:val="auto"/>
          <w:sz w:val="24"/>
        </w:rPr>
        <w:t>项目名称：</w:t>
      </w:r>
    </w:p>
    <w:p w14:paraId="0B7AFBB9">
      <w:pPr>
        <w:rPr>
          <w:rFonts w:hint="eastAsia" w:ascii="仿宋" w:hAnsi="仿宋" w:eastAsia="仿宋" w:cs="仿宋"/>
          <w:color w:val="auto"/>
        </w:rPr>
      </w:pPr>
      <w:r>
        <w:rPr>
          <w:rFonts w:hint="eastAsia" w:ascii="仿宋" w:hAnsi="仿宋" w:eastAsia="仿宋" w:cs="仿宋"/>
          <w:color w:val="auto"/>
          <w:sz w:val="24"/>
        </w:rPr>
        <w:t xml:space="preserve">项目编号：                                                   </w:t>
      </w:r>
    </w:p>
    <w:tbl>
      <w:tblPr>
        <w:tblStyle w:val="7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5DB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15D9A679">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23" w:type="dxa"/>
            <w:noWrap w:val="0"/>
            <w:vAlign w:val="center"/>
          </w:tcPr>
          <w:p w14:paraId="39C17433">
            <w:pPr>
              <w:jc w:val="center"/>
              <w:rPr>
                <w:rFonts w:hint="eastAsia" w:ascii="仿宋" w:hAnsi="仿宋" w:eastAsia="仿宋" w:cs="仿宋"/>
                <w:color w:val="auto"/>
                <w:sz w:val="24"/>
              </w:rPr>
            </w:pPr>
            <w:r>
              <w:rPr>
                <w:rFonts w:hint="eastAsia" w:ascii="仿宋" w:hAnsi="仿宋" w:eastAsia="仿宋" w:cs="仿宋"/>
                <w:color w:val="auto"/>
                <w:sz w:val="24"/>
              </w:rPr>
              <w:t>招标文件规格功能要求条目号</w:t>
            </w:r>
          </w:p>
        </w:tc>
        <w:tc>
          <w:tcPr>
            <w:tcW w:w="1655" w:type="dxa"/>
            <w:noWrap w:val="0"/>
            <w:vAlign w:val="center"/>
          </w:tcPr>
          <w:p w14:paraId="00A4A5D3">
            <w:pPr>
              <w:jc w:val="center"/>
              <w:rPr>
                <w:rFonts w:hint="eastAsia" w:ascii="仿宋" w:hAnsi="仿宋" w:eastAsia="仿宋" w:cs="仿宋"/>
                <w:color w:val="auto"/>
                <w:sz w:val="24"/>
              </w:rPr>
            </w:pPr>
            <w:r>
              <w:rPr>
                <w:rFonts w:hint="eastAsia" w:ascii="仿宋" w:hAnsi="仿宋" w:eastAsia="仿宋" w:cs="仿宋"/>
                <w:color w:val="auto"/>
                <w:sz w:val="24"/>
              </w:rPr>
              <w:t>招标文件</w:t>
            </w:r>
          </w:p>
          <w:p w14:paraId="26430C98">
            <w:pPr>
              <w:jc w:val="center"/>
              <w:rPr>
                <w:rFonts w:hint="eastAsia" w:ascii="仿宋" w:hAnsi="仿宋" w:eastAsia="仿宋" w:cs="仿宋"/>
                <w:color w:val="auto"/>
                <w:sz w:val="24"/>
              </w:rPr>
            </w:pPr>
            <w:r>
              <w:rPr>
                <w:rFonts w:hint="eastAsia" w:ascii="仿宋" w:hAnsi="仿宋" w:eastAsia="仿宋" w:cs="仿宋"/>
                <w:color w:val="auto"/>
                <w:sz w:val="24"/>
              </w:rPr>
              <w:t>要求规格</w:t>
            </w:r>
          </w:p>
        </w:tc>
        <w:tc>
          <w:tcPr>
            <w:tcW w:w="1471" w:type="dxa"/>
            <w:noWrap w:val="0"/>
            <w:vAlign w:val="center"/>
          </w:tcPr>
          <w:p w14:paraId="4D135611">
            <w:pPr>
              <w:jc w:val="center"/>
              <w:rPr>
                <w:rFonts w:hint="eastAsia" w:ascii="仿宋" w:hAnsi="仿宋" w:eastAsia="仿宋" w:cs="仿宋"/>
                <w:color w:val="auto"/>
                <w:sz w:val="24"/>
              </w:rPr>
            </w:pPr>
            <w:r>
              <w:rPr>
                <w:rFonts w:hint="eastAsia" w:ascii="仿宋" w:hAnsi="仿宋" w:eastAsia="仿宋" w:cs="仿宋"/>
                <w:color w:val="auto"/>
                <w:sz w:val="24"/>
              </w:rPr>
              <w:t>投标规格</w:t>
            </w:r>
          </w:p>
          <w:p w14:paraId="32EC6178">
            <w:pPr>
              <w:jc w:val="center"/>
              <w:rPr>
                <w:rFonts w:hint="eastAsia" w:ascii="仿宋" w:hAnsi="仿宋" w:eastAsia="仿宋" w:cs="仿宋"/>
                <w:color w:val="auto"/>
                <w:sz w:val="24"/>
              </w:rPr>
            </w:pPr>
            <w:r>
              <w:rPr>
                <w:rFonts w:hint="eastAsia" w:ascii="仿宋" w:hAnsi="仿宋" w:eastAsia="仿宋" w:cs="仿宋"/>
                <w:color w:val="auto"/>
                <w:sz w:val="24"/>
              </w:rPr>
              <w:t>功能</w:t>
            </w:r>
          </w:p>
        </w:tc>
        <w:tc>
          <w:tcPr>
            <w:tcW w:w="1839" w:type="dxa"/>
            <w:noWrap w:val="0"/>
            <w:vAlign w:val="center"/>
          </w:tcPr>
          <w:p w14:paraId="5E0B7F3F">
            <w:pPr>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287" w:type="dxa"/>
            <w:noWrap w:val="0"/>
            <w:vAlign w:val="center"/>
          </w:tcPr>
          <w:p w14:paraId="6187D997">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5CE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6931CEA">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23" w:type="dxa"/>
            <w:noWrap w:val="0"/>
            <w:vAlign w:val="center"/>
          </w:tcPr>
          <w:p w14:paraId="12D8D216">
            <w:pPr>
              <w:jc w:val="center"/>
              <w:rPr>
                <w:rFonts w:hint="eastAsia" w:ascii="仿宋" w:hAnsi="仿宋" w:eastAsia="仿宋" w:cs="仿宋"/>
                <w:color w:val="auto"/>
                <w:sz w:val="24"/>
              </w:rPr>
            </w:pPr>
          </w:p>
        </w:tc>
        <w:tc>
          <w:tcPr>
            <w:tcW w:w="1655" w:type="dxa"/>
            <w:noWrap w:val="0"/>
            <w:vAlign w:val="center"/>
          </w:tcPr>
          <w:p w14:paraId="4933172B">
            <w:pPr>
              <w:jc w:val="center"/>
              <w:rPr>
                <w:rFonts w:hint="eastAsia" w:ascii="仿宋" w:hAnsi="仿宋" w:eastAsia="仿宋" w:cs="仿宋"/>
                <w:color w:val="auto"/>
                <w:sz w:val="24"/>
              </w:rPr>
            </w:pPr>
          </w:p>
        </w:tc>
        <w:tc>
          <w:tcPr>
            <w:tcW w:w="1471" w:type="dxa"/>
            <w:noWrap w:val="0"/>
            <w:vAlign w:val="center"/>
          </w:tcPr>
          <w:p w14:paraId="17031E19">
            <w:pPr>
              <w:jc w:val="center"/>
              <w:rPr>
                <w:rFonts w:hint="eastAsia" w:ascii="仿宋" w:hAnsi="仿宋" w:eastAsia="仿宋" w:cs="仿宋"/>
                <w:color w:val="auto"/>
                <w:sz w:val="24"/>
              </w:rPr>
            </w:pPr>
          </w:p>
        </w:tc>
        <w:tc>
          <w:tcPr>
            <w:tcW w:w="1839" w:type="dxa"/>
            <w:noWrap w:val="0"/>
            <w:vAlign w:val="center"/>
          </w:tcPr>
          <w:p w14:paraId="5C22B161">
            <w:pPr>
              <w:jc w:val="center"/>
              <w:rPr>
                <w:rFonts w:hint="eastAsia" w:ascii="仿宋" w:hAnsi="仿宋" w:eastAsia="仿宋" w:cs="仿宋"/>
                <w:color w:val="auto"/>
                <w:sz w:val="24"/>
              </w:rPr>
            </w:pPr>
          </w:p>
        </w:tc>
        <w:tc>
          <w:tcPr>
            <w:tcW w:w="1287" w:type="dxa"/>
            <w:noWrap w:val="0"/>
            <w:vAlign w:val="center"/>
          </w:tcPr>
          <w:p w14:paraId="6C1715D4">
            <w:pPr>
              <w:jc w:val="center"/>
              <w:rPr>
                <w:rFonts w:hint="eastAsia" w:ascii="仿宋" w:hAnsi="仿宋" w:eastAsia="仿宋" w:cs="仿宋"/>
                <w:color w:val="auto"/>
                <w:sz w:val="24"/>
              </w:rPr>
            </w:pPr>
          </w:p>
        </w:tc>
      </w:tr>
      <w:tr w14:paraId="57DA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44055430">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23" w:type="dxa"/>
            <w:noWrap w:val="0"/>
            <w:vAlign w:val="center"/>
          </w:tcPr>
          <w:p w14:paraId="1DB2BCD2">
            <w:pPr>
              <w:jc w:val="center"/>
              <w:rPr>
                <w:rFonts w:hint="eastAsia" w:ascii="仿宋" w:hAnsi="仿宋" w:eastAsia="仿宋" w:cs="仿宋"/>
                <w:color w:val="auto"/>
                <w:sz w:val="24"/>
              </w:rPr>
            </w:pPr>
          </w:p>
        </w:tc>
        <w:tc>
          <w:tcPr>
            <w:tcW w:w="1655" w:type="dxa"/>
            <w:noWrap w:val="0"/>
            <w:vAlign w:val="center"/>
          </w:tcPr>
          <w:p w14:paraId="429809AF">
            <w:pPr>
              <w:jc w:val="center"/>
              <w:rPr>
                <w:rFonts w:hint="eastAsia" w:ascii="仿宋" w:hAnsi="仿宋" w:eastAsia="仿宋" w:cs="仿宋"/>
                <w:color w:val="auto"/>
                <w:sz w:val="24"/>
              </w:rPr>
            </w:pPr>
          </w:p>
        </w:tc>
        <w:tc>
          <w:tcPr>
            <w:tcW w:w="1471" w:type="dxa"/>
            <w:noWrap w:val="0"/>
            <w:vAlign w:val="center"/>
          </w:tcPr>
          <w:p w14:paraId="13702D02">
            <w:pPr>
              <w:jc w:val="center"/>
              <w:rPr>
                <w:rFonts w:hint="eastAsia" w:ascii="仿宋" w:hAnsi="仿宋" w:eastAsia="仿宋" w:cs="仿宋"/>
                <w:color w:val="auto"/>
                <w:sz w:val="24"/>
              </w:rPr>
            </w:pPr>
          </w:p>
        </w:tc>
        <w:tc>
          <w:tcPr>
            <w:tcW w:w="1839" w:type="dxa"/>
            <w:noWrap w:val="0"/>
            <w:vAlign w:val="center"/>
          </w:tcPr>
          <w:p w14:paraId="36D014FC">
            <w:pPr>
              <w:jc w:val="center"/>
              <w:rPr>
                <w:rFonts w:hint="eastAsia" w:ascii="仿宋" w:hAnsi="仿宋" w:eastAsia="仿宋" w:cs="仿宋"/>
                <w:color w:val="auto"/>
                <w:sz w:val="24"/>
              </w:rPr>
            </w:pPr>
          </w:p>
        </w:tc>
        <w:tc>
          <w:tcPr>
            <w:tcW w:w="1287" w:type="dxa"/>
            <w:noWrap w:val="0"/>
            <w:vAlign w:val="center"/>
          </w:tcPr>
          <w:p w14:paraId="6DD45D99">
            <w:pPr>
              <w:jc w:val="center"/>
              <w:rPr>
                <w:rFonts w:hint="eastAsia" w:ascii="仿宋" w:hAnsi="仿宋" w:eastAsia="仿宋" w:cs="仿宋"/>
                <w:color w:val="auto"/>
                <w:sz w:val="24"/>
              </w:rPr>
            </w:pPr>
          </w:p>
        </w:tc>
      </w:tr>
      <w:tr w14:paraId="051D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36D9E13">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23" w:type="dxa"/>
            <w:noWrap w:val="0"/>
            <w:vAlign w:val="center"/>
          </w:tcPr>
          <w:p w14:paraId="294A8D45">
            <w:pPr>
              <w:jc w:val="center"/>
              <w:rPr>
                <w:rFonts w:hint="eastAsia" w:ascii="仿宋" w:hAnsi="仿宋" w:eastAsia="仿宋" w:cs="仿宋"/>
                <w:color w:val="auto"/>
                <w:sz w:val="24"/>
              </w:rPr>
            </w:pPr>
          </w:p>
        </w:tc>
        <w:tc>
          <w:tcPr>
            <w:tcW w:w="1655" w:type="dxa"/>
            <w:noWrap w:val="0"/>
            <w:vAlign w:val="center"/>
          </w:tcPr>
          <w:p w14:paraId="14CE07B9">
            <w:pPr>
              <w:jc w:val="center"/>
              <w:rPr>
                <w:rFonts w:hint="eastAsia" w:ascii="仿宋" w:hAnsi="仿宋" w:eastAsia="仿宋" w:cs="仿宋"/>
                <w:color w:val="auto"/>
                <w:sz w:val="24"/>
              </w:rPr>
            </w:pPr>
          </w:p>
        </w:tc>
        <w:tc>
          <w:tcPr>
            <w:tcW w:w="1471" w:type="dxa"/>
            <w:noWrap w:val="0"/>
            <w:vAlign w:val="center"/>
          </w:tcPr>
          <w:p w14:paraId="63F36708">
            <w:pPr>
              <w:jc w:val="center"/>
              <w:rPr>
                <w:rFonts w:hint="eastAsia" w:ascii="仿宋" w:hAnsi="仿宋" w:eastAsia="仿宋" w:cs="仿宋"/>
                <w:color w:val="auto"/>
                <w:sz w:val="24"/>
              </w:rPr>
            </w:pPr>
          </w:p>
        </w:tc>
        <w:tc>
          <w:tcPr>
            <w:tcW w:w="1839" w:type="dxa"/>
            <w:noWrap w:val="0"/>
            <w:vAlign w:val="center"/>
          </w:tcPr>
          <w:p w14:paraId="0A3850DD">
            <w:pPr>
              <w:jc w:val="center"/>
              <w:rPr>
                <w:rFonts w:hint="eastAsia" w:ascii="仿宋" w:hAnsi="仿宋" w:eastAsia="仿宋" w:cs="仿宋"/>
                <w:color w:val="auto"/>
                <w:sz w:val="24"/>
              </w:rPr>
            </w:pPr>
          </w:p>
        </w:tc>
        <w:tc>
          <w:tcPr>
            <w:tcW w:w="1287" w:type="dxa"/>
            <w:noWrap w:val="0"/>
            <w:vAlign w:val="center"/>
          </w:tcPr>
          <w:p w14:paraId="1F84D00C">
            <w:pPr>
              <w:jc w:val="center"/>
              <w:rPr>
                <w:rFonts w:hint="eastAsia" w:ascii="仿宋" w:hAnsi="仿宋" w:eastAsia="仿宋" w:cs="仿宋"/>
                <w:color w:val="auto"/>
                <w:sz w:val="24"/>
              </w:rPr>
            </w:pPr>
          </w:p>
        </w:tc>
      </w:tr>
      <w:tr w14:paraId="6F2E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4F374C33">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23" w:type="dxa"/>
            <w:noWrap w:val="0"/>
            <w:vAlign w:val="center"/>
          </w:tcPr>
          <w:p w14:paraId="26C8B9D5">
            <w:pPr>
              <w:jc w:val="center"/>
              <w:rPr>
                <w:rFonts w:hint="eastAsia" w:ascii="仿宋" w:hAnsi="仿宋" w:eastAsia="仿宋" w:cs="仿宋"/>
                <w:color w:val="auto"/>
                <w:sz w:val="24"/>
              </w:rPr>
            </w:pPr>
          </w:p>
        </w:tc>
        <w:tc>
          <w:tcPr>
            <w:tcW w:w="1655" w:type="dxa"/>
            <w:noWrap w:val="0"/>
            <w:vAlign w:val="center"/>
          </w:tcPr>
          <w:p w14:paraId="6AF95DD3">
            <w:pPr>
              <w:jc w:val="center"/>
              <w:rPr>
                <w:rFonts w:hint="eastAsia" w:ascii="仿宋" w:hAnsi="仿宋" w:eastAsia="仿宋" w:cs="仿宋"/>
                <w:color w:val="auto"/>
                <w:sz w:val="24"/>
              </w:rPr>
            </w:pPr>
          </w:p>
        </w:tc>
        <w:tc>
          <w:tcPr>
            <w:tcW w:w="1471" w:type="dxa"/>
            <w:noWrap w:val="0"/>
            <w:vAlign w:val="center"/>
          </w:tcPr>
          <w:p w14:paraId="73116DD5">
            <w:pPr>
              <w:jc w:val="center"/>
              <w:rPr>
                <w:rFonts w:hint="eastAsia" w:ascii="仿宋" w:hAnsi="仿宋" w:eastAsia="仿宋" w:cs="仿宋"/>
                <w:color w:val="auto"/>
                <w:sz w:val="24"/>
              </w:rPr>
            </w:pPr>
          </w:p>
        </w:tc>
        <w:tc>
          <w:tcPr>
            <w:tcW w:w="1839" w:type="dxa"/>
            <w:noWrap w:val="0"/>
            <w:vAlign w:val="center"/>
          </w:tcPr>
          <w:p w14:paraId="6BDF34AA">
            <w:pPr>
              <w:jc w:val="center"/>
              <w:rPr>
                <w:rFonts w:hint="eastAsia" w:ascii="仿宋" w:hAnsi="仿宋" w:eastAsia="仿宋" w:cs="仿宋"/>
                <w:color w:val="auto"/>
                <w:sz w:val="24"/>
              </w:rPr>
            </w:pPr>
          </w:p>
        </w:tc>
        <w:tc>
          <w:tcPr>
            <w:tcW w:w="1287" w:type="dxa"/>
            <w:noWrap w:val="0"/>
            <w:vAlign w:val="center"/>
          </w:tcPr>
          <w:p w14:paraId="00C89A5C">
            <w:pPr>
              <w:jc w:val="center"/>
              <w:rPr>
                <w:rFonts w:hint="eastAsia" w:ascii="仿宋" w:hAnsi="仿宋" w:eastAsia="仿宋" w:cs="仿宋"/>
                <w:color w:val="auto"/>
                <w:sz w:val="24"/>
              </w:rPr>
            </w:pPr>
          </w:p>
        </w:tc>
      </w:tr>
      <w:tr w14:paraId="1897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0DE701D">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23" w:type="dxa"/>
            <w:noWrap w:val="0"/>
            <w:vAlign w:val="center"/>
          </w:tcPr>
          <w:p w14:paraId="0D6B404A">
            <w:pPr>
              <w:jc w:val="center"/>
              <w:rPr>
                <w:rFonts w:hint="eastAsia" w:ascii="仿宋" w:hAnsi="仿宋" w:eastAsia="仿宋" w:cs="仿宋"/>
                <w:color w:val="auto"/>
                <w:sz w:val="24"/>
              </w:rPr>
            </w:pPr>
          </w:p>
        </w:tc>
        <w:tc>
          <w:tcPr>
            <w:tcW w:w="1655" w:type="dxa"/>
            <w:noWrap w:val="0"/>
            <w:vAlign w:val="center"/>
          </w:tcPr>
          <w:p w14:paraId="06D145AD">
            <w:pPr>
              <w:jc w:val="center"/>
              <w:rPr>
                <w:rFonts w:hint="eastAsia" w:ascii="仿宋" w:hAnsi="仿宋" w:eastAsia="仿宋" w:cs="仿宋"/>
                <w:color w:val="auto"/>
                <w:sz w:val="24"/>
              </w:rPr>
            </w:pPr>
          </w:p>
        </w:tc>
        <w:tc>
          <w:tcPr>
            <w:tcW w:w="1471" w:type="dxa"/>
            <w:noWrap w:val="0"/>
            <w:vAlign w:val="center"/>
          </w:tcPr>
          <w:p w14:paraId="5390C94D">
            <w:pPr>
              <w:jc w:val="center"/>
              <w:rPr>
                <w:rFonts w:hint="eastAsia" w:ascii="仿宋" w:hAnsi="仿宋" w:eastAsia="仿宋" w:cs="仿宋"/>
                <w:color w:val="auto"/>
                <w:sz w:val="24"/>
              </w:rPr>
            </w:pPr>
          </w:p>
        </w:tc>
        <w:tc>
          <w:tcPr>
            <w:tcW w:w="1839" w:type="dxa"/>
            <w:noWrap w:val="0"/>
            <w:vAlign w:val="center"/>
          </w:tcPr>
          <w:p w14:paraId="17C9F4E7">
            <w:pPr>
              <w:jc w:val="center"/>
              <w:rPr>
                <w:rFonts w:hint="eastAsia" w:ascii="仿宋" w:hAnsi="仿宋" w:eastAsia="仿宋" w:cs="仿宋"/>
                <w:color w:val="auto"/>
                <w:sz w:val="24"/>
              </w:rPr>
            </w:pPr>
          </w:p>
        </w:tc>
        <w:tc>
          <w:tcPr>
            <w:tcW w:w="1287" w:type="dxa"/>
            <w:noWrap w:val="0"/>
            <w:vAlign w:val="center"/>
          </w:tcPr>
          <w:p w14:paraId="028B1549">
            <w:pPr>
              <w:jc w:val="center"/>
              <w:rPr>
                <w:rFonts w:hint="eastAsia" w:ascii="仿宋" w:hAnsi="仿宋" w:eastAsia="仿宋" w:cs="仿宋"/>
                <w:color w:val="auto"/>
                <w:sz w:val="24"/>
              </w:rPr>
            </w:pPr>
          </w:p>
        </w:tc>
      </w:tr>
      <w:tr w14:paraId="02F3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453FAE7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2023" w:type="dxa"/>
            <w:noWrap w:val="0"/>
            <w:vAlign w:val="center"/>
          </w:tcPr>
          <w:p w14:paraId="2BE2FE38">
            <w:pPr>
              <w:jc w:val="center"/>
              <w:rPr>
                <w:rFonts w:hint="eastAsia" w:ascii="仿宋" w:hAnsi="仿宋" w:eastAsia="仿宋" w:cs="仿宋"/>
                <w:color w:val="auto"/>
                <w:sz w:val="24"/>
              </w:rPr>
            </w:pPr>
          </w:p>
        </w:tc>
        <w:tc>
          <w:tcPr>
            <w:tcW w:w="1655" w:type="dxa"/>
            <w:noWrap w:val="0"/>
            <w:vAlign w:val="center"/>
          </w:tcPr>
          <w:p w14:paraId="75A49386">
            <w:pPr>
              <w:jc w:val="center"/>
              <w:rPr>
                <w:rFonts w:hint="eastAsia" w:ascii="仿宋" w:hAnsi="仿宋" w:eastAsia="仿宋" w:cs="仿宋"/>
                <w:color w:val="auto"/>
                <w:sz w:val="24"/>
              </w:rPr>
            </w:pPr>
          </w:p>
        </w:tc>
        <w:tc>
          <w:tcPr>
            <w:tcW w:w="1471" w:type="dxa"/>
            <w:noWrap w:val="0"/>
            <w:vAlign w:val="center"/>
          </w:tcPr>
          <w:p w14:paraId="0BF39864">
            <w:pPr>
              <w:jc w:val="center"/>
              <w:rPr>
                <w:rFonts w:hint="eastAsia" w:ascii="仿宋" w:hAnsi="仿宋" w:eastAsia="仿宋" w:cs="仿宋"/>
                <w:color w:val="auto"/>
                <w:sz w:val="24"/>
              </w:rPr>
            </w:pPr>
          </w:p>
        </w:tc>
        <w:tc>
          <w:tcPr>
            <w:tcW w:w="1839" w:type="dxa"/>
            <w:noWrap w:val="0"/>
            <w:vAlign w:val="center"/>
          </w:tcPr>
          <w:p w14:paraId="2912EAAF">
            <w:pPr>
              <w:jc w:val="center"/>
              <w:rPr>
                <w:rFonts w:hint="eastAsia" w:ascii="仿宋" w:hAnsi="仿宋" w:eastAsia="仿宋" w:cs="仿宋"/>
                <w:color w:val="auto"/>
                <w:sz w:val="24"/>
              </w:rPr>
            </w:pPr>
          </w:p>
        </w:tc>
        <w:tc>
          <w:tcPr>
            <w:tcW w:w="1287" w:type="dxa"/>
            <w:noWrap w:val="0"/>
            <w:vAlign w:val="center"/>
          </w:tcPr>
          <w:p w14:paraId="355DCB07">
            <w:pPr>
              <w:jc w:val="center"/>
              <w:rPr>
                <w:rFonts w:hint="eastAsia" w:ascii="仿宋" w:hAnsi="仿宋" w:eastAsia="仿宋" w:cs="仿宋"/>
                <w:color w:val="auto"/>
                <w:sz w:val="24"/>
              </w:rPr>
            </w:pPr>
          </w:p>
        </w:tc>
      </w:tr>
      <w:tr w14:paraId="1884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5D47A5A6">
            <w:pPr>
              <w:jc w:val="center"/>
              <w:rPr>
                <w:rFonts w:hint="eastAsia" w:ascii="仿宋" w:hAnsi="仿宋" w:eastAsia="仿宋" w:cs="仿宋"/>
                <w:color w:val="auto"/>
                <w:sz w:val="24"/>
              </w:rPr>
            </w:pPr>
          </w:p>
        </w:tc>
        <w:tc>
          <w:tcPr>
            <w:tcW w:w="2023" w:type="dxa"/>
            <w:noWrap w:val="0"/>
            <w:vAlign w:val="center"/>
          </w:tcPr>
          <w:p w14:paraId="414B7E7D">
            <w:pPr>
              <w:jc w:val="center"/>
              <w:rPr>
                <w:rFonts w:hint="eastAsia" w:ascii="仿宋" w:hAnsi="仿宋" w:eastAsia="仿宋" w:cs="仿宋"/>
                <w:color w:val="auto"/>
                <w:sz w:val="24"/>
              </w:rPr>
            </w:pPr>
          </w:p>
        </w:tc>
        <w:tc>
          <w:tcPr>
            <w:tcW w:w="1655" w:type="dxa"/>
            <w:noWrap w:val="0"/>
            <w:vAlign w:val="center"/>
          </w:tcPr>
          <w:p w14:paraId="5EB68DAE">
            <w:pPr>
              <w:jc w:val="center"/>
              <w:rPr>
                <w:rFonts w:hint="eastAsia" w:ascii="仿宋" w:hAnsi="仿宋" w:eastAsia="仿宋" w:cs="仿宋"/>
                <w:color w:val="auto"/>
                <w:sz w:val="24"/>
              </w:rPr>
            </w:pPr>
          </w:p>
        </w:tc>
        <w:tc>
          <w:tcPr>
            <w:tcW w:w="1471" w:type="dxa"/>
            <w:noWrap w:val="0"/>
            <w:vAlign w:val="center"/>
          </w:tcPr>
          <w:p w14:paraId="4F199357">
            <w:pPr>
              <w:jc w:val="center"/>
              <w:rPr>
                <w:rFonts w:hint="eastAsia" w:ascii="仿宋" w:hAnsi="仿宋" w:eastAsia="仿宋" w:cs="仿宋"/>
                <w:color w:val="auto"/>
                <w:sz w:val="24"/>
              </w:rPr>
            </w:pPr>
          </w:p>
        </w:tc>
        <w:tc>
          <w:tcPr>
            <w:tcW w:w="1839" w:type="dxa"/>
            <w:noWrap w:val="0"/>
            <w:vAlign w:val="center"/>
          </w:tcPr>
          <w:p w14:paraId="6A5AB8AB">
            <w:pPr>
              <w:jc w:val="center"/>
              <w:rPr>
                <w:rFonts w:hint="eastAsia" w:ascii="仿宋" w:hAnsi="仿宋" w:eastAsia="仿宋" w:cs="仿宋"/>
                <w:color w:val="auto"/>
                <w:sz w:val="24"/>
              </w:rPr>
            </w:pPr>
          </w:p>
        </w:tc>
        <w:tc>
          <w:tcPr>
            <w:tcW w:w="1287" w:type="dxa"/>
            <w:noWrap w:val="0"/>
            <w:vAlign w:val="center"/>
          </w:tcPr>
          <w:p w14:paraId="0C934DDD">
            <w:pPr>
              <w:jc w:val="center"/>
              <w:rPr>
                <w:rFonts w:hint="eastAsia" w:ascii="仿宋" w:hAnsi="仿宋" w:eastAsia="仿宋" w:cs="仿宋"/>
                <w:color w:val="auto"/>
                <w:sz w:val="24"/>
              </w:rPr>
            </w:pPr>
          </w:p>
        </w:tc>
      </w:tr>
    </w:tbl>
    <w:p w14:paraId="4A483DF2">
      <w:pPr>
        <w:spacing w:before="78" w:line="468" w:lineRule="exact"/>
        <w:ind w:left="6302"/>
        <w:rPr>
          <w:rFonts w:hint="eastAsia" w:ascii="仿宋" w:hAnsi="仿宋" w:eastAsia="仿宋" w:cs="仿宋"/>
          <w:spacing w:val="-7"/>
          <w:position w:val="17"/>
          <w:sz w:val="24"/>
          <w:szCs w:val="24"/>
          <w:highlight w:val="none"/>
        </w:rPr>
      </w:pPr>
    </w:p>
    <w:p w14:paraId="16F9F834">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7519978F">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1DF36735">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5EF8596B">
      <w:pPr>
        <w:spacing w:line="360" w:lineRule="auto"/>
        <w:ind w:firstLine="480" w:firstLineChars="200"/>
        <w:rPr>
          <w:rFonts w:hint="eastAsia" w:ascii="仿宋" w:hAnsi="仿宋" w:eastAsia="仿宋" w:cs="仿宋"/>
          <w:color w:val="auto"/>
          <w:sz w:val="24"/>
        </w:rPr>
      </w:pPr>
    </w:p>
    <w:p w14:paraId="79A310BE">
      <w:pPr>
        <w:spacing w:line="360" w:lineRule="auto"/>
        <w:rPr>
          <w:rFonts w:hint="eastAsia"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：1、应与招标文件要求逐条对应填写。</w:t>
      </w:r>
    </w:p>
    <w:p w14:paraId="16BD23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2、本表如填写不完，可以续页。</w:t>
      </w:r>
    </w:p>
    <w:p w14:paraId="1535D66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br w:type="page"/>
      </w:r>
    </w:p>
    <w:p w14:paraId="425F609A">
      <w:pPr>
        <w:spacing w:before="182" w:line="220" w:lineRule="auto"/>
        <w:ind w:left="5741"/>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附件十四</w:t>
      </w:r>
    </w:p>
    <w:p w14:paraId="726F8348">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投标人反商业贿赂承诺书</w:t>
      </w:r>
    </w:p>
    <w:p w14:paraId="5CD49D94">
      <w:pPr>
        <w:autoSpaceDE w:val="0"/>
        <w:autoSpaceDN w:val="0"/>
        <w:adjustRightInd w:val="0"/>
        <w:spacing w:line="480" w:lineRule="auto"/>
        <w:ind w:firstLine="600" w:firstLineChars="250"/>
        <w:rPr>
          <w:rFonts w:hint="eastAsia" w:ascii="仿宋" w:hAnsi="仿宋" w:eastAsia="仿宋" w:cs="仿宋"/>
          <w:color w:val="000000"/>
          <w:kern w:val="0"/>
          <w:sz w:val="24"/>
          <w:szCs w:val="24"/>
          <w:highlight w:val="none"/>
          <w:lang w:val="zh-CN"/>
        </w:rPr>
      </w:pPr>
    </w:p>
    <w:p w14:paraId="1BC117A1">
      <w:pPr>
        <w:autoSpaceDE w:val="0"/>
        <w:autoSpaceDN w:val="0"/>
        <w:adjustRightInd w:val="0"/>
        <w:spacing w:line="480" w:lineRule="auto"/>
        <w:ind w:firstLine="600" w:firstLineChars="25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我公司承诺在</w:t>
      </w:r>
      <w:r>
        <w:rPr>
          <w:rFonts w:hint="eastAsia" w:ascii="仿宋" w:hAnsi="仿宋" w:eastAsia="仿宋" w:cs="仿宋"/>
          <w:bCs/>
          <w:color w:val="00000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5A89F7DA">
      <w:pPr>
        <w:autoSpaceDE w:val="0"/>
        <w:autoSpaceDN w:val="0"/>
        <w:adjustRightInd w:val="0"/>
        <w:spacing w:line="360" w:lineRule="auto"/>
        <w:ind w:firstLine="600" w:firstLineChars="250"/>
        <w:rPr>
          <w:rFonts w:hint="eastAsia" w:ascii="仿宋" w:hAnsi="仿宋" w:eastAsia="仿宋" w:cs="仿宋"/>
          <w:bCs/>
          <w:color w:val="000000"/>
          <w:sz w:val="24"/>
          <w:szCs w:val="24"/>
          <w:highlight w:val="none"/>
          <w:lang w:val="zh-CN"/>
        </w:rPr>
      </w:pPr>
      <w:r>
        <w:rPr>
          <w:rFonts w:hint="eastAsia" w:ascii="仿宋" w:hAnsi="仿宋" w:eastAsia="仿宋" w:cs="仿宋"/>
          <w:color w:val="000000"/>
          <w:kern w:val="0"/>
          <w:sz w:val="24"/>
          <w:szCs w:val="24"/>
          <w:highlight w:val="none"/>
          <w:lang w:val="zh-CN"/>
        </w:rPr>
        <w:t xml:space="preserve"> </w:t>
      </w:r>
    </w:p>
    <w:p w14:paraId="58AA8AB2">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221D3AFC">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35D3A734">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val="en-US"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4C9DDEFF">
      <w:pPr>
        <w:spacing w:before="182" w:line="220" w:lineRule="auto"/>
        <w:ind w:left="5741"/>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bCs w:val="0"/>
          <w:color w:val="auto"/>
          <w:kern w:val="2"/>
          <w:sz w:val="28"/>
          <w:szCs w:val="24"/>
          <w:highlight w:val="none"/>
          <w:lang w:val="en-US" w:eastAsia="zh-CN" w:bidi="ar-SA"/>
        </w:rPr>
        <w:t>附件十五</w:t>
      </w:r>
    </w:p>
    <w:p w14:paraId="41D16848">
      <w:pPr>
        <w:spacing w:line="640" w:lineRule="exact"/>
        <w:ind w:firstLine="498" w:firstLineChars="177"/>
        <w:jc w:val="center"/>
        <w:rPr>
          <w:rFonts w:hint="eastAsia" w:ascii="仿宋" w:hAnsi="仿宋" w:eastAsia="仿宋" w:cs="仿宋"/>
          <w:sz w:val="28"/>
          <w:szCs w:val="28"/>
          <w:highlight w:val="none"/>
        </w:rPr>
      </w:pPr>
      <w:r>
        <w:rPr>
          <w:rFonts w:hint="eastAsia" w:ascii="仿宋" w:hAnsi="仿宋" w:eastAsia="仿宋" w:cs="仿宋"/>
          <w:b/>
          <w:bCs w:val="0"/>
          <w:color w:val="auto"/>
          <w:kern w:val="2"/>
          <w:sz w:val="28"/>
          <w:szCs w:val="24"/>
          <w:highlight w:val="none"/>
          <w:lang w:val="en-US" w:eastAsia="zh-CN" w:bidi="ar-SA"/>
        </w:rPr>
        <w:t>无围标、串标等违法违规行为承诺书</w:t>
      </w:r>
    </w:p>
    <w:p w14:paraId="7011FD74">
      <w:pPr>
        <w:spacing w:line="640" w:lineRule="exact"/>
        <w:jc w:val="left"/>
        <w:rPr>
          <w:rFonts w:hint="eastAsia" w:ascii="仿宋" w:hAnsi="仿宋" w:eastAsia="仿宋" w:cs="仿宋"/>
          <w:sz w:val="24"/>
          <w:szCs w:val="24"/>
          <w:highlight w:val="none"/>
        </w:rPr>
      </w:pPr>
    </w:p>
    <w:p w14:paraId="0E186CB2">
      <w:pPr>
        <w:spacing w:line="6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本人作为</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的法人，清楚知晓我公司本项目投标活动，对以下事项作出承诺</w:t>
      </w:r>
      <w:r>
        <w:rPr>
          <w:rFonts w:hint="eastAsia" w:ascii="仿宋" w:hAnsi="仿宋" w:eastAsia="仿宋" w:cs="仿宋"/>
          <w:sz w:val="24"/>
          <w:szCs w:val="24"/>
          <w:highlight w:val="none"/>
          <w:lang w:eastAsia="zh-CN"/>
        </w:rPr>
        <w:t xml:space="preserve"> ：</w:t>
      </w:r>
    </w:p>
    <w:p w14:paraId="2F538988">
      <w:pPr>
        <w:spacing w:line="6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一、我单位遵循公开、公平、公正、诚实守信的原则，依法依规参与本项目竞标。</w:t>
      </w:r>
    </w:p>
    <w:p w14:paraId="3B3566C8">
      <w:pPr>
        <w:spacing w:line="640" w:lineRule="exact"/>
        <w:ind w:firstLine="480" w:firstLineChars="200"/>
        <w:outlineLvl w:val="1"/>
        <w:rPr>
          <w:rFonts w:hint="eastAsia" w:ascii="仿宋" w:hAnsi="仿宋" w:eastAsia="仿宋" w:cs="仿宋"/>
          <w:sz w:val="24"/>
          <w:szCs w:val="24"/>
          <w:highlight w:val="none"/>
        </w:rPr>
      </w:pPr>
      <w:bookmarkStart w:id="584" w:name="_Toc3592"/>
      <w:r>
        <w:rPr>
          <w:rFonts w:hint="eastAsia" w:ascii="仿宋" w:hAnsi="仿宋" w:eastAsia="仿宋" w:cs="仿宋"/>
          <w:sz w:val="24"/>
          <w:szCs w:val="24"/>
          <w:highlight w:val="none"/>
        </w:rPr>
        <w:t>二、我单位在本项目招标投标活动中，未参与围标串标。</w:t>
      </w:r>
      <w:bookmarkEnd w:id="584"/>
    </w:p>
    <w:p w14:paraId="1A3E37F4">
      <w:pPr>
        <w:spacing w:line="6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0AB15735">
      <w:pPr>
        <w:spacing w:line="6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3A705EF7">
      <w:pPr>
        <w:spacing w:line="6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项目名称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75C509FD">
      <w:pPr>
        <w:spacing w:before="78" w:line="468" w:lineRule="exact"/>
        <w:ind w:left="6302"/>
        <w:rPr>
          <w:rFonts w:hint="eastAsia" w:ascii="仿宋" w:hAnsi="仿宋" w:eastAsia="仿宋" w:cs="仿宋"/>
          <w:spacing w:val="-7"/>
          <w:position w:val="17"/>
          <w:sz w:val="24"/>
          <w:szCs w:val="24"/>
          <w:highlight w:val="none"/>
        </w:rPr>
      </w:pPr>
    </w:p>
    <w:p w14:paraId="32EFFDEC">
      <w:pPr>
        <w:spacing w:before="78" w:line="468" w:lineRule="exact"/>
        <w:ind w:left="6302"/>
        <w:rPr>
          <w:rFonts w:hint="eastAsia" w:ascii="仿宋" w:hAnsi="仿宋" w:eastAsia="仿宋" w:cs="仿宋"/>
          <w:spacing w:val="-7"/>
          <w:position w:val="17"/>
          <w:sz w:val="24"/>
          <w:szCs w:val="24"/>
          <w:highlight w:val="none"/>
        </w:rPr>
      </w:pPr>
    </w:p>
    <w:p w14:paraId="5C60177F">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1448E511">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16F2A8CF">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bookmarkStart w:id="585" w:name="_Toc28072"/>
    </w:p>
    <w:p w14:paraId="591C5698">
      <w:pPr>
        <w:spacing w:before="182" w:line="220" w:lineRule="auto"/>
        <w:ind w:left="5741"/>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bCs w:val="0"/>
          <w:color w:val="auto"/>
          <w:kern w:val="2"/>
          <w:sz w:val="28"/>
          <w:szCs w:val="24"/>
          <w:highlight w:val="none"/>
          <w:lang w:val="en-US" w:eastAsia="zh-CN" w:bidi="ar-SA"/>
        </w:rPr>
        <w:t>附件十</w:t>
      </w:r>
      <w:bookmarkEnd w:id="585"/>
      <w:r>
        <w:rPr>
          <w:rFonts w:hint="eastAsia" w:ascii="仿宋" w:hAnsi="仿宋" w:eastAsia="仿宋" w:cs="仿宋"/>
          <w:b/>
          <w:bCs w:val="0"/>
          <w:color w:val="auto"/>
          <w:kern w:val="2"/>
          <w:sz w:val="28"/>
          <w:szCs w:val="24"/>
          <w:highlight w:val="none"/>
          <w:lang w:val="en-US" w:eastAsia="zh-CN" w:bidi="ar-SA"/>
        </w:rPr>
        <w:t>六</w:t>
      </w:r>
    </w:p>
    <w:p w14:paraId="12BDED80">
      <w:pPr>
        <w:pStyle w:val="59"/>
        <w:numPr>
          <w:ilvl w:val="0"/>
          <w:numId w:val="0"/>
        </w:numPr>
        <w:spacing w:before="120"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中小企业声明函、JY企业、残疾人福利性单位及其他相关的充分的证明材料</w:t>
      </w:r>
    </w:p>
    <w:p w14:paraId="09CB5586">
      <w:pPr>
        <w:spacing w:before="240" w:beforeLines="100" w:after="240" w:afterLines="100" w:line="360" w:lineRule="auto"/>
        <w:jc w:val="center"/>
        <w:rPr>
          <w:rFonts w:hint="eastAsia" w:ascii="仿宋" w:hAnsi="仿宋" w:eastAsia="仿宋" w:cs="仿宋"/>
          <w:b/>
          <w:color w:val="000000"/>
          <w:sz w:val="28"/>
          <w:szCs w:val="28"/>
          <w:highlight w:val="none"/>
        </w:rPr>
      </w:pPr>
      <w:r>
        <w:rPr>
          <w:rFonts w:hint="eastAsia" w:ascii="仿宋" w:hAnsi="仿宋" w:eastAsia="仿宋" w:cs="仿宋"/>
          <w:b/>
          <w:bCs/>
          <w:color w:val="000000"/>
          <w:sz w:val="28"/>
          <w:szCs w:val="28"/>
          <w:highlight w:val="none"/>
        </w:rPr>
        <w:t>中小企业声明函（货物）格式</w:t>
      </w:r>
    </w:p>
    <w:p w14:paraId="7AEA4C39">
      <w:pPr>
        <w:spacing w:line="360" w:lineRule="auto"/>
        <w:ind w:left="244" w:leftChars="116" w:firstLine="630" w:firstLineChars="250"/>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r>
        <w:rPr>
          <w:rFonts w:hint="eastAsia" w:ascii="仿宋" w:hAnsi="仿宋" w:eastAsia="仿宋" w:cs="仿宋"/>
          <w:spacing w:val="6"/>
          <w:sz w:val="24"/>
          <w:szCs w:val="24"/>
          <w:highlight w:val="none"/>
          <w:lang w:eastAsia="zh-CN"/>
        </w:rPr>
        <w:t xml:space="preserve"> ：</w:t>
      </w:r>
    </w:p>
    <w:p w14:paraId="3B6CF8A9">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w:t>
      </w:r>
      <w:r>
        <w:rPr>
          <w:rFonts w:hint="eastAsia" w:ascii="仿宋" w:hAnsi="仿宋" w:eastAsia="仿宋" w:cs="仿宋"/>
          <w:spacing w:val="6"/>
          <w:sz w:val="24"/>
          <w:szCs w:val="24"/>
          <w:highlight w:val="none"/>
          <w:vertAlign w:val="superscript"/>
        </w:rPr>
        <w:t>1</w:t>
      </w:r>
      <w:r>
        <w:rPr>
          <w:rFonts w:hint="eastAsia" w:ascii="仿宋" w:hAnsi="仿宋" w:eastAsia="仿宋" w:cs="仿宋"/>
          <w:spacing w:val="6"/>
          <w:sz w:val="24"/>
          <w:szCs w:val="24"/>
          <w:highlight w:val="none"/>
        </w:rPr>
        <w:t>，属于（中型企业、小型企业、微型企业）；</w:t>
      </w:r>
    </w:p>
    <w:p w14:paraId="0AFEF210">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，从业人员______人，营业收入为______万元，资产总额为______万元，属于</w:t>
      </w:r>
      <w:r>
        <w:rPr>
          <w:rFonts w:hint="eastAsia" w:ascii="仿宋" w:hAnsi="仿宋" w:eastAsia="仿宋" w:cs="仿宋"/>
          <w:spacing w:val="6"/>
          <w:sz w:val="24"/>
          <w:szCs w:val="24"/>
          <w:highlight w:val="none"/>
          <w:u w:val="single"/>
        </w:rPr>
        <w:t>（中型企业、小型企业、微型企业）</w:t>
      </w:r>
      <w:r>
        <w:rPr>
          <w:rFonts w:hint="eastAsia" w:ascii="仿宋" w:hAnsi="仿宋" w:eastAsia="仿宋" w:cs="仿宋"/>
          <w:spacing w:val="6"/>
          <w:sz w:val="24"/>
          <w:szCs w:val="24"/>
          <w:highlight w:val="none"/>
        </w:rPr>
        <w:t>；</w:t>
      </w:r>
    </w:p>
    <w:p w14:paraId="280F966E">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w:t>
      </w:r>
    </w:p>
    <w:p w14:paraId="3EAB047A">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以上企业，不属于大企业的分支机构，不存在控股股东为大企业的情形，也不存在与大企业的负责人为同一人的情形。</w:t>
      </w:r>
    </w:p>
    <w:p w14:paraId="07205500">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本企业对上述声明内容的真实性负责。如有虚假，将依法承担相应责任。</w:t>
      </w:r>
    </w:p>
    <w:p w14:paraId="1ED1B61D">
      <w:pPr>
        <w:spacing w:line="360" w:lineRule="auto"/>
        <w:ind w:firstLine="504"/>
        <w:rPr>
          <w:rFonts w:hint="eastAsia" w:ascii="仿宋" w:hAnsi="仿宋" w:eastAsia="仿宋" w:cs="仿宋"/>
          <w:spacing w:val="6"/>
          <w:sz w:val="24"/>
          <w:szCs w:val="24"/>
          <w:highlight w:val="none"/>
        </w:rPr>
      </w:pPr>
    </w:p>
    <w:p w14:paraId="310F0925">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企业名称（盖章）</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________</w:t>
      </w:r>
    </w:p>
    <w:p w14:paraId="19C43D83">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________</w:t>
      </w:r>
    </w:p>
    <w:p w14:paraId="0A057DA2">
      <w:pPr>
        <w:spacing w:line="360" w:lineRule="auto"/>
        <w:ind w:right="360" w:firstLine="480"/>
        <w:jc w:val="right"/>
        <w:rPr>
          <w:rFonts w:hint="eastAsia" w:ascii="仿宋" w:hAnsi="仿宋" w:eastAsia="仿宋" w:cs="仿宋"/>
          <w:color w:val="000000"/>
          <w:sz w:val="24"/>
          <w:highlight w:val="none"/>
        </w:rPr>
      </w:pPr>
    </w:p>
    <w:p w14:paraId="027D7D8D">
      <w:pPr>
        <w:spacing w:line="360" w:lineRule="auto"/>
        <w:ind w:right="360" w:firstLine="480"/>
        <w:jc w:val="right"/>
        <w:rPr>
          <w:rFonts w:hint="eastAsia" w:ascii="仿宋" w:hAnsi="仿宋" w:eastAsia="仿宋" w:cs="仿宋"/>
          <w:color w:val="000000"/>
          <w:sz w:val="24"/>
          <w:highlight w:val="none"/>
        </w:rPr>
      </w:pPr>
    </w:p>
    <w:tbl>
      <w:tblPr>
        <w:tblStyle w:val="7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4"/>
      </w:tblGrid>
      <w:tr w14:paraId="371D08B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D1D9FAA">
            <w:pPr>
              <w:adjustRightInd w:val="0"/>
              <w:snapToGrid w:val="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vertAlign w:val="superscript"/>
              </w:rPr>
              <w:t>1</w:t>
            </w:r>
            <w:r>
              <w:rPr>
                <w:rFonts w:hint="eastAsia" w:ascii="仿宋" w:hAnsi="仿宋" w:eastAsia="仿宋" w:cs="仿宋"/>
                <w:color w:val="000000"/>
                <w:szCs w:val="21"/>
                <w:highlight w:val="none"/>
              </w:rPr>
              <w:t>从业人员、营业收入、资产总额填报上一年度数据，无上一年度数据的新成立企业可不填报。</w:t>
            </w:r>
          </w:p>
        </w:tc>
      </w:tr>
    </w:tbl>
    <w:p w14:paraId="013A8402">
      <w:pPr>
        <w:autoSpaceDE w:val="0"/>
        <w:autoSpaceDN w:val="0"/>
        <w:adjustRightInd w:val="0"/>
        <w:ind w:firstLine="420"/>
        <w:jc w:val="left"/>
        <w:rPr>
          <w:rFonts w:hint="eastAsia" w:ascii="仿宋" w:hAnsi="仿宋" w:eastAsia="仿宋" w:cs="仿宋"/>
          <w:sz w:val="24"/>
          <w:highlight w:val="none"/>
        </w:rPr>
      </w:pPr>
    </w:p>
    <w:p w14:paraId="508F3278">
      <w:pPr>
        <w:pStyle w:val="17"/>
        <w:rPr>
          <w:rFonts w:hint="eastAsia" w:ascii="仿宋" w:hAnsi="仿宋" w:eastAsia="仿宋" w:cs="仿宋"/>
          <w:highlight w:val="none"/>
        </w:rPr>
      </w:pPr>
    </w:p>
    <w:p w14:paraId="37174D99">
      <w:pPr>
        <w:rPr>
          <w:rFonts w:hint="eastAsia" w:ascii="仿宋" w:hAnsi="仿宋" w:eastAsia="仿宋" w:cs="仿宋"/>
          <w:highlight w:val="none"/>
        </w:rPr>
      </w:pPr>
    </w:p>
    <w:p w14:paraId="4C1DB330">
      <w:pPr>
        <w:pStyle w:val="90"/>
        <w:jc w:val="center"/>
        <w:rPr>
          <w:rFonts w:hint="eastAsia" w:ascii="仿宋" w:hAnsi="仿宋" w:eastAsia="仿宋" w:cs="仿宋"/>
          <w:b/>
          <w:bCs/>
          <w:color w:val="000000"/>
          <w:sz w:val="28"/>
          <w:szCs w:val="28"/>
          <w:highlight w:val="none"/>
        </w:rPr>
      </w:pPr>
      <w:r>
        <w:rPr>
          <w:rFonts w:hint="eastAsia" w:ascii="仿宋" w:hAnsi="仿宋" w:eastAsia="仿宋" w:cs="仿宋"/>
          <w:highlight w:val="none"/>
        </w:rPr>
        <w:br w:type="page"/>
      </w:r>
      <w:r>
        <w:rPr>
          <w:rFonts w:hint="eastAsia" w:ascii="仿宋" w:hAnsi="仿宋" w:eastAsia="仿宋" w:cs="仿宋"/>
          <w:b/>
          <w:bCs/>
          <w:color w:val="000000"/>
          <w:sz w:val="28"/>
          <w:szCs w:val="28"/>
          <w:highlight w:val="none"/>
        </w:rPr>
        <w:t>中小企业声明函（工程、服务）格式</w:t>
      </w:r>
    </w:p>
    <w:p w14:paraId="2352CC5B">
      <w:pPr>
        <w:spacing w:line="360" w:lineRule="auto"/>
        <w:ind w:firstLine="504"/>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w:t>
      </w:r>
      <w:r>
        <w:rPr>
          <w:rFonts w:hint="eastAsia" w:ascii="仿宋" w:hAnsi="仿宋" w:eastAsia="仿宋" w:cs="仿宋"/>
          <w:spacing w:val="6"/>
          <w:sz w:val="24"/>
          <w:szCs w:val="24"/>
          <w:highlight w:val="none"/>
          <w:lang w:eastAsia="zh-CN"/>
        </w:rPr>
        <w:t xml:space="preserve"> ：</w:t>
      </w:r>
      <w:r>
        <w:rPr>
          <w:rFonts w:hint="eastAsia" w:ascii="仿宋" w:hAnsi="仿宋" w:eastAsia="仿宋" w:cs="仿宋"/>
          <w:spacing w:val="6"/>
          <w:sz w:val="24"/>
          <w:szCs w:val="24"/>
          <w:highlight w:val="none"/>
        </w:rPr>
        <w:t>服务全部由符合政策要求的中小企业承接）。相关企业（含联合体中的中小企业、签订分包意向协议的中小企业）的具体情况如下</w:t>
      </w:r>
      <w:r>
        <w:rPr>
          <w:rFonts w:hint="eastAsia" w:ascii="仿宋" w:hAnsi="仿宋" w:eastAsia="仿宋" w:cs="仿宋"/>
          <w:spacing w:val="6"/>
          <w:sz w:val="24"/>
          <w:szCs w:val="24"/>
          <w:highlight w:val="none"/>
          <w:lang w:eastAsia="zh-CN"/>
        </w:rPr>
        <w:t xml:space="preserve"> ：</w:t>
      </w:r>
    </w:p>
    <w:p w14:paraId="0C20DF08">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w:t>
      </w:r>
      <w:r>
        <w:rPr>
          <w:rFonts w:hint="eastAsia" w:ascii="仿宋" w:hAnsi="仿宋" w:eastAsia="仿宋" w:cs="仿宋"/>
          <w:spacing w:val="6"/>
          <w:sz w:val="24"/>
          <w:szCs w:val="24"/>
          <w:highlight w:val="none"/>
          <w:vertAlign w:val="superscript"/>
        </w:rPr>
        <w:t>1</w:t>
      </w:r>
      <w:r>
        <w:rPr>
          <w:rFonts w:hint="eastAsia" w:ascii="仿宋" w:hAnsi="仿宋" w:eastAsia="仿宋" w:cs="仿宋"/>
          <w:spacing w:val="6"/>
          <w:sz w:val="24"/>
          <w:szCs w:val="24"/>
          <w:highlight w:val="none"/>
        </w:rPr>
        <w:t>，属于（中型企业、小型企业、微型企业）；</w:t>
      </w:r>
    </w:p>
    <w:p w14:paraId="0E287C73">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，从业人员______人，营业收入为______万元，资产总额为______万元，属于</w:t>
      </w:r>
      <w:r>
        <w:rPr>
          <w:rFonts w:hint="eastAsia" w:ascii="仿宋" w:hAnsi="仿宋" w:eastAsia="仿宋" w:cs="仿宋"/>
          <w:spacing w:val="6"/>
          <w:sz w:val="24"/>
          <w:szCs w:val="24"/>
          <w:highlight w:val="none"/>
          <w:u w:val="single"/>
        </w:rPr>
        <w:t>（中型企业、小型企业、微型企业）</w:t>
      </w:r>
      <w:r>
        <w:rPr>
          <w:rFonts w:hint="eastAsia" w:ascii="仿宋" w:hAnsi="仿宋" w:eastAsia="仿宋" w:cs="仿宋"/>
          <w:spacing w:val="6"/>
          <w:sz w:val="24"/>
          <w:szCs w:val="24"/>
          <w:highlight w:val="none"/>
        </w:rPr>
        <w:t>；</w:t>
      </w:r>
    </w:p>
    <w:p w14:paraId="180477A3">
      <w:pPr>
        <w:spacing w:line="360" w:lineRule="auto"/>
        <w:ind w:firstLine="504"/>
        <w:rPr>
          <w:rFonts w:hint="eastAsia" w:ascii="仿宋" w:hAnsi="仿宋" w:eastAsia="仿宋" w:cs="仿宋"/>
          <w:spacing w:val="6"/>
          <w:sz w:val="24"/>
          <w:szCs w:val="24"/>
          <w:highlight w:val="none"/>
        </w:rPr>
      </w:pPr>
    </w:p>
    <w:p w14:paraId="0949CA4D">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w:t>
      </w:r>
    </w:p>
    <w:p w14:paraId="758CF5D2">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以上企业，不属于大企业的分支机构，不存在控股股东为大企业的情形，也不存在与大企业的负责人为同一人的情形。</w:t>
      </w:r>
    </w:p>
    <w:p w14:paraId="065713EC">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本企业对上述声明内容的真实性负责。如有虚假，将依法承担相应责任。</w:t>
      </w:r>
    </w:p>
    <w:p w14:paraId="24D2CF06">
      <w:pPr>
        <w:spacing w:line="360" w:lineRule="auto"/>
        <w:ind w:right="360" w:firstLine="480"/>
        <w:jc w:val="right"/>
        <w:rPr>
          <w:rFonts w:hint="eastAsia" w:ascii="仿宋" w:hAnsi="仿宋" w:eastAsia="仿宋" w:cs="仿宋"/>
          <w:color w:val="000000"/>
          <w:sz w:val="24"/>
          <w:szCs w:val="24"/>
          <w:highlight w:val="none"/>
        </w:rPr>
      </w:pPr>
    </w:p>
    <w:p w14:paraId="441C968A">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企业名称（盖章）</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________</w:t>
      </w:r>
    </w:p>
    <w:p w14:paraId="362C8804">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________</w:t>
      </w:r>
    </w:p>
    <w:p w14:paraId="6FB1B1EF">
      <w:pPr>
        <w:adjustRightInd w:val="0"/>
        <w:snapToGrid w:val="0"/>
        <w:jc w:val="left"/>
        <w:rPr>
          <w:rFonts w:hint="eastAsia" w:ascii="仿宋" w:hAnsi="仿宋" w:eastAsia="仿宋" w:cs="仿宋"/>
          <w:color w:val="000000"/>
          <w:sz w:val="24"/>
          <w:szCs w:val="24"/>
          <w:highlight w:val="none"/>
        </w:rPr>
      </w:pPr>
    </w:p>
    <w:p w14:paraId="1E86A540">
      <w:pPr>
        <w:adjustRightInd w:val="0"/>
        <w:snapToGrid w:val="0"/>
        <w:jc w:val="left"/>
        <w:rPr>
          <w:rFonts w:hint="eastAsia" w:ascii="仿宋" w:hAnsi="仿宋" w:eastAsia="仿宋" w:cs="仿宋"/>
          <w:color w:val="000000"/>
          <w:sz w:val="24"/>
          <w:szCs w:val="24"/>
          <w:highlight w:val="none"/>
        </w:rPr>
      </w:pPr>
    </w:p>
    <w:tbl>
      <w:tblPr>
        <w:tblStyle w:val="7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4"/>
      </w:tblGrid>
      <w:tr w14:paraId="33536C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1A58A07A">
            <w:pPr>
              <w:adjustRightInd w:val="0"/>
              <w:snapToGrid w:val="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vertAlign w:val="superscript"/>
              </w:rPr>
              <w:t>1</w:t>
            </w:r>
            <w:r>
              <w:rPr>
                <w:rFonts w:hint="eastAsia" w:ascii="仿宋" w:hAnsi="仿宋" w:eastAsia="仿宋" w:cs="仿宋"/>
                <w:color w:val="000000"/>
                <w:szCs w:val="21"/>
                <w:highlight w:val="none"/>
              </w:rPr>
              <w:t>从业人员、营业收入、资产总额填报上一年度数据，无上一年度数据的新成立企业可不填报。</w:t>
            </w:r>
          </w:p>
        </w:tc>
      </w:tr>
    </w:tbl>
    <w:p w14:paraId="0A9B08A3">
      <w:pPr>
        <w:spacing w:line="360" w:lineRule="auto"/>
        <w:rPr>
          <w:rFonts w:hint="eastAsia" w:ascii="仿宋" w:hAnsi="仿宋" w:eastAsia="仿宋" w:cs="仿宋"/>
          <w:color w:val="000000"/>
          <w:sz w:val="24"/>
          <w:highlight w:val="none"/>
        </w:rPr>
      </w:pPr>
    </w:p>
    <w:p w14:paraId="51C02FF9">
      <w:pPr>
        <w:pStyle w:val="70"/>
        <w:tabs>
          <w:tab w:val="left" w:pos="9214"/>
        </w:tabs>
        <w:jc w:val="center"/>
        <w:rPr>
          <w:rStyle w:val="82"/>
          <w:rFonts w:hint="eastAsia" w:ascii="仿宋" w:hAnsi="仿宋" w:eastAsia="仿宋" w:cs="仿宋"/>
          <w:bCs w:val="0"/>
          <w:color w:val="auto"/>
          <w:kern w:val="2"/>
          <w:sz w:val="28"/>
          <w:szCs w:val="28"/>
          <w:highlight w:val="none"/>
          <w:lang w:val="en-US" w:eastAsia="zh-CN" w:bidi="ar-SA"/>
        </w:rPr>
      </w:pPr>
      <w:r>
        <w:rPr>
          <w:rFonts w:hint="eastAsia" w:ascii="仿宋" w:hAnsi="仿宋" w:eastAsia="仿宋" w:cs="仿宋"/>
          <w:kern w:val="2"/>
          <w:sz w:val="21"/>
          <w:szCs w:val="21"/>
          <w:highlight w:val="none"/>
          <w:lang w:val="en-US" w:eastAsia="zh-CN" w:bidi="ar-SA"/>
        </w:rPr>
        <w:br w:type="page"/>
      </w:r>
      <w:r>
        <w:rPr>
          <w:rStyle w:val="82"/>
          <w:rFonts w:hint="eastAsia" w:ascii="仿宋" w:hAnsi="仿宋" w:eastAsia="仿宋" w:cs="仿宋"/>
          <w:bCs w:val="0"/>
          <w:color w:val="auto"/>
          <w:kern w:val="2"/>
          <w:sz w:val="28"/>
          <w:szCs w:val="28"/>
          <w:highlight w:val="none"/>
          <w:lang w:val="en-US" w:eastAsia="zh-CN" w:bidi="ar-SA"/>
        </w:rPr>
        <w:t>JY企业声明函</w:t>
      </w:r>
    </w:p>
    <w:p w14:paraId="5A7D8303">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【不属于JY企业的无需填写、递交】</w:t>
      </w:r>
    </w:p>
    <w:p w14:paraId="2897813E">
      <w:pPr>
        <w:widowControl/>
        <w:shd w:val="clear" w:color="auto" w:fill="auto"/>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本单位郑重声明，本单位在参加</w:t>
      </w:r>
      <w:r>
        <w:rPr>
          <w:rFonts w:hint="eastAsia" w:ascii="仿宋" w:hAnsi="仿宋" w:eastAsia="仿宋" w:cs="仿宋"/>
          <w:color w:val="auto"/>
          <w:kern w:val="0"/>
          <w:sz w:val="24"/>
          <w:szCs w:val="24"/>
          <w:highlight w:val="none"/>
          <w:u w:val="single"/>
        </w:rPr>
        <w:t>（采购人名称）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（招标项目名称）</w:t>
      </w:r>
      <w:r>
        <w:rPr>
          <w:rFonts w:hint="eastAsia" w:ascii="仿宋" w:hAnsi="仿宋" w:eastAsia="仿宋" w:cs="仿宋"/>
          <w:color w:val="auto"/>
          <w:kern w:val="0"/>
          <w:sz w:val="24"/>
          <w:szCs w:val="24"/>
          <w:highlight w:val="none"/>
        </w:rPr>
        <w:t>项目采购活动提供以下</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企业制造的货物（或</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企业承担的工程</w:t>
      </w:r>
      <w:r>
        <w:rPr>
          <w:rFonts w:hint="eastAsia" w:ascii="仿宋" w:hAnsi="仿宋" w:eastAsia="仿宋" w:cs="仿宋"/>
          <w:color w:val="auto"/>
          <w:kern w:val="0"/>
          <w:sz w:val="24"/>
          <w:szCs w:val="24"/>
          <w:highlight w:val="none"/>
          <w:lang w:eastAsia="zh-CN"/>
        </w:rPr>
        <w:t>或JY</w:t>
      </w:r>
      <w:r>
        <w:rPr>
          <w:rFonts w:hint="eastAsia" w:ascii="仿宋" w:hAnsi="仿宋" w:eastAsia="仿宋" w:cs="仿宋"/>
          <w:color w:val="auto"/>
          <w:kern w:val="0"/>
          <w:sz w:val="24"/>
          <w:szCs w:val="24"/>
          <w:highlight w:val="none"/>
        </w:rPr>
        <w:t>企业承接的服务），具体情况如下</w:t>
      </w:r>
      <w:r>
        <w:rPr>
          <w:rFonts w:hint="eastAsia" w:ascii="仿宋" w:hAnsi="仿宋" w:eastAsia="仿宋" w:cs="仿宋"/>
          <w:color w:val="auto"/>
          <w:kern w:val="0"/>
          <w:sz w:val="24"/>
          <w:szCs w:val="24"/>
          <w:highlight w:val="none"/>
          <w:lang w:eastAsia="zh-CN"/>
        </w:rPr>
        <w:t xml:space="preserve"> ：</w:t>
      </w:r>
      <w:r>
        <w:rPr>
          <w:rFonts w:hint="eastAsia" w:ascii="仿宋" w:hAnsi="仿宋" w:eastAsia="仿宋" w:cs="仿宋"/>
          <w:color w:val="auto"/>
          <w:kern w:val="0"/>
          <w:sz w:val="24"/>
          <w:szCs w:val="24"/>
          <w:highlight w:val="none"/>
        </w:rPr>
        <w:t>（按照实际情况勾选或填空）</w:t>
      </w:r>
    </w:p>
    <w:p w14:paraId="0F679FD9">
      <w:pPr>
        <w:widowControl/>
        <w:shd w:val="clear" w:color="auto" w:fill="auto"/>
        <w:adjustRightInd w:val="0"/>
        <w:snapToGri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254B6261">
      <w:pPr>
        <w:widowControl/>
        <w:shd w:val="clear" w:color="auto" w:fill="auto"/>
        <w:adjustRightInd w:val="0"/>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企业并作为联合体一方，其提供协议合同金额</w:t>
      </w:r>
      <w:r>
        <w:rPr>
          <w:rFonts w:hint="eastAsia" w:ascii="仿宋" w:hAnsi="仿宋" w:eastAsia="仿宋" w:cs="仿宋"/>
          <w:color w:val="auto"/>
          <w:kern w:val="0"/>
          <w:sz w:val="24"/>
          <w:szCs w:val="24"/>
          <w:highlight w:val="none"/>
          <w:lang w:eastAsia="zh-CN"/>
        </w:rPr>
        <w:t>占</w:t>
      </w:r>
      <w:r>
        <w:rPr>
          <w:rFonts w:hint="eastAsia" w:ascii="仿宋" w:hAnsi="仿宋" w:eastAsia="仿宋" w:cs="仿宋"/>
          <w:color w:val="auto"/>
          <w:kern w:val="0"/>
          <w:sz w:val="24"/>
          <w:szCs w:val="24"/>
          <w:highlight w:val="none"/>
        </w:rPr>
        <w:t>共同投标协议合同总金额的比例为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3D2FF715">
      <w:pPr>
        <w:widowControl/>
        <w:shd w:val="clear" w:color="auto" w:fill="auto"/>
        <w:adjustRightInd w:val="0"/>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企业并作为分包方，其提供协议合同金额占到分包意向协议合同总金额的比例为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1AAC10ED">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本单位对上述声明的真实性负责。如有虚假，将依法承担相应责任。</w:t>
      </w:r>
    </w:p>
    <w:p w14:paraId="6678C2B6">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1EF2FEFD">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p>
    <w:p w14:paraId="7858A6D0">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p>
    <w:p w14:paraId="07E1C9A9">
      <w:pPr>
        <w:shd w:val="clear" w:color="auto" w:fill="auto"/>
        <w:adjustRightInd w:val="0"/>
        <w:snapToGrid w:val="0"/>
        <w:spacing w:line="360" w:lineRule="auto"/>
        <w:ind w:hanging="54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w:t>
      </w:r>
    </w:p>
    <w:p w14:paraId="14D7B418">
      <w:pPr>
        <w:shd w:val="clear" w:color="auto" w:fill="auto"/>
        <w:adjustRightInd w:val="0"/>
        <w:snapToGrid w:val="0"/>
        <w:spacing w:line="360" w:lineRule="auto"/>
        <w:ind w:firstLine="5280" w:firstLineChars="2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单位名称（盖章）</w:t>
      </w:r>
      <w:r>
        <w:rPr>
          <w:rFonts w:hint="eastAsia" w:ascii="仿宋" w:hAnsi="仿宋" w:eastAsia="仿宋" w:cs="仿宋"/>
          <w:color w:val="auto"/>
          <w:kern w:val="0"/>
          <w:sz w:val="24"/>
          <w:szCs w:val="24"/>
          <w:highlight w:val="none"/>
          <w:lang w:eastAsia="zh-CN"/>
        </w:rPr>
        <w:t xml:space="preserve"> ：</w:t>
      </w:r>
    </w:p>
    <w:p w14:paraId="72E3E74F">
      <w:pPr>
        <w:widowControl/>
        <w:shd w:val="clear" w:color="auto" w:fill="auto"/>
        <w:adjustRightInd w:val="0"/>
        <w:snapToGrid w:val="0"/>
        <w:spacing w:line="360" w:lineRule="auto"/>
        <w:ind w:firstLine="5280" w:firstLineChars="2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lang w:eastAsia="zh-CN"/>
        </w:rPr>
        <w:t xml:space="preserve"> ：</w:t>
      </w:r>
    </w:p>
    <w:p w14:paraId="1DB5B17A">
      <w:pPr>
        <w:snapToGrid w:val="0"/>
        <w:spacing w:line="360" w:lineRule="auto"/>
        <w:jc w:val="center"/>
        <w:rPr>
          <w:rStyle w:val="82"/>
          <w:rFonts w:hint="eastAsia" w:ascii="仿宋" w:hAnsi="仿宋" w:eastAsia="仿宋" w:cs="仿宋"/>
          <w:bCs w:val="0"/>
          <w:color w:val="auto"/>
          <w:kern w:val="2"/>
          <w:sz w:val="28"/>
          <w:szCs w:val="28"/>
          <w:highlight w:val="none"/>
          <w:lang w:val="en-US" w:eastAsia="zh-CN" w:bidi="ar-SA"/>
        </w:rPr>
      </w:pPr>
      <w:r>
        <w:rPr>
          <w:rStyle w:val="82"/>
          <w:rFonts w:hint="eastAsia" w:ascii="仿宋" w:hAnsi="仿宋" w:eastAsia="仿宋" w:cs="仿宋"/>
          <w:bCs w:val="0"/>
          <w:color w:val="auto"/>
          <w:kern w:val="2"/>
          <w:sz w:val="28"/>
          <w:szCs w:val="28"/>
          <w:highlight w:val="none"/>
          <w:lang w:val="en-US" w:eastAsia="zh-CN" w:bidi="ar-SA"/>
        </w:rPr>
        <w:br w:type="page"/>
      </w:r>
      <w:r>
        <w:rPr>
          <w:rStyle w:val="82"/>
          <w:rFonts w:hint="eastAsia" w:ascii="仿宋" w:hAnsi="仿宋" w:eastAsia="仿宋" w:cs="仿宋"/>
          <w:bCs w:val="0"/>
          <w:color w:val="auto"/>
          <w:kern w:val="2"/>
          <w:sz w:val="28"/>
          <w:szCs w:val="28"/>
          <w:highlight w:val="none"/>
          <w:lang w:val="en-US" w:eastAsia="zh-CN" w:bidi="ar-SA"/>
        </w:rPr>
        <w:t>残疾人福利性单位声明函</w:t>
      </w:r>
    </w:p>
    <w:p w14:paraId="391CF691">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347D01">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本单位对上述声明的真实性负责。如有虚假，将依法承担相应责任。</w:t>
      </w:r>
    </w:p>
    <w:p w14:paraId="46D864A3">
      <w:pPr>
        <w:spacing w:line="480" w:lineRule="auto"/>
        <w:ind w:firstLine="480" w:firstLineChars="200"/>
        <w:outlineLvl w:val="1"/>
        <w:rPr>
          <w:rFonts w:hint="eastAsia" w:ascii="仿宋" w:hAnsi="仿宋" w:eastAsia="仿宋" w:cs="仿宋"/>
          <w:sz w:val="24"/>
          <w:szCs w:val="24"/>
          <w:highlight w:val="none"/>
          <w:lang w:val="en-US" w:eastAsia="zh-CN"/>
        </w:rPr>
      </w:pPr>
    </w:p>
    <w:p w14:paraId="65EA6FDA">
      <w:pPr>
        <w:spacing w:line="480" w:lineRule="auto"/>
        <w:ind w:firstLine="480" w:firstLineChars="200"/>
        <w:outlineLvl w:val="1"/>
        <w:rPr>
          <w:rFonts w:hint="eastAsia" w:ascii="仿宋" w:hAnsi="仿宋" w:eastAsia="仿宋" w:cs="仿宋"/>
          <w:sz w:val="24"/>
          <w:szCs w:val="24"/>
          <w:highlight w:val="none"/>
          <w:lang w:val="en-US" w:eastAsia="zh-CN"/>
        </w:rPr>
      </w:pPr>
    </w:p>
    <w:p w14:paraId="22930D64">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单位名称（盖章） ：</w:t>
      </w:r>
    </w:p>
    <w:p w14:paraId="798D3E48">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  期 ：</w:t>
      </w:r>
    </w:p>
    <w:p w14:paraId="023C2B04">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扶持政策说明 ：</w:t>
      </w:r>
    </w:p>
    <w:p w14:paraId="4257E878">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2A108B9B">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2、JY企业视同小微企业，参加本项目投标的，享受小微企业同等的价格扣除。【注 ：提供《监狱企业声明函》及其相关的充分的证明材料】。</w:t>
      </w:r>
    </w:p>
    <w:p w14:paraId="017AA005">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3、残疾人福利性单位参加投标【提供《残疾人福利性单位声明函》】，视为小型、微型企业，享受小微企业政策扶持。</w:t>
      </w:r>
    </w:p>
    <w:p w14:paraId="77DF550B">
      <w:pPr>
        <w:spacing w:line="480" w:lineRule="auto"/>
        <w:ind w:firstLine="480" w:firstLineChars="200"/>
        <w:jc w:val="center"/>
        <w:outlineLvl w:val="1"/>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br w:type="page"/>
      </w:r>
      <w:r>
        <w:rPr>
          <w:rFonts w:hint="eastAsia" w:ascii="仿宋" w:hAnsi="仿宋" w:eastAsia="仿宋" w:cs="仿宋"/>
          <w:b/>
          <w:color w:val="auto"/>
          <w:spacing w:val="6"/>
          <w:kern w:val="2"/>
          <w:sz w:val="28"/>
          <w:szCs w:val="28"/>
          <w:highlight w:val="none"/>
          <w:lang w:val="en-US" w:eastAsia="zh-CN" w:bidi="ar-SA"/>
        </w:rPr>
        <w:t>节能、环保产品证明（如有）</w:t>
      </w:r>
    </w:p>
    <w:p w14:paraId="7905B30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采购人名称 </w:t>
      </w:r>
      <w:r>
        <w:rPr>
          <w:rFonts w:hint="eastAsia" w:ascii="仿宋" w:hAnsi="仿宋" w:eastAsia="仿宋" w:cs="仿宋"/>
          <w:color w:val="auto"/>
          <w:sz w:val="24"/>
          <w:szCs w:val="24"/>
          <w:highlight w:val="none"/>
          <w:lang w:eastAsia="zh-CN"/>
        </w:rPr>
        <w:t xml:space="preserve"> ：</w:t>
      </w:r>
    </w:p>
    <w:p w14:paraId="1C5BDE35">
      <w:pPr>
        <w:pStyle w:val="8"/>
        <w:rPr>
          <w:rFonts w:hint="eastAsia" w:ascii="仿宋" w:hAnsi="仿宋" w:eastAsia="仿宋" w:cs="仿宋"/>
          <w:sz w:val="24"/>
          <w:szCs w:val="24"/>
          <w:highlight w:val="none"/>
          <w:lang w:eastAsia="zh-CN"/>
        </w:rPr>
      </w:pPr>
    </w:p>
    <w:p w14:paraId="16A5BE8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现附上</w:t>
      </w:r>
      <w:r>
        <w:rPr>
          <w:rFonts w:hint="eastAsia" w:ascii="仿宋" w:hAnsi="仿宋" w:eastAsia="仿宋" w:cs="仿宋"/>
          <w:color w:val="auto"/>
          <w:sz w:val="24"/>
          <w:szCs w:val="24"/>
          <w:highlight w:val="none"/>
          <w:u w:val="single"/>
        </w:rPr>
        <w:t>  （节能、环保产品产品目录）    </w:t>
      </w:r>
      <w:r>
        <w:rPr>
          <w:rFonts w:hint="eastAsia" w:ascii="仿宋" w:hAnsi="仿宋" w:eastAsia="仿宋" w:cs="仿宋"/>
          <w:color w:val="auto"/>
          <w:sz w:val="24"/>
          <w:szCs w:val="24"/>
          <w:highlight w:val="none"/>
        </w:rPr>
        <w:t> 证明文件（可在 网站名称 网站进行查询）复印件，该证件真实有效。</w:t>
      </w:r>
    </w:p>
    <w:p w14:paraId="70718696">
      <w:pPr>
        <w:pStyle w:val="8"/>
        <w:rPr>
          <w:rFonts w:hint="eastAsia" w:ascii="仿宋" w:hAnsi="仿宋" w:eastAsia="仿宋" w:cs="仿宋"/>
          <w:sz w:val="24"/>
          <w:szCs w:val="24"/>
          <w:highlight w:val="none"/>
          <w:lang w:eastAsia="zh-CN"/>
        </w:rPr>
      </w:pPr>
    </w:p>
    <w:p w14:paraId="65306316">
      <w:pPr>
        <w:pStyle w:val="8"/>
        <w:rPr>
          <w:rFonts w:hint="eastAsia" w:ascii="仿宋" w:hAnsi="仿宋" w:eastAsia="仿宋" w:cs="仿宋"/>
          <w:sz w:val="24"/>
          <w:szCs w:val="24"/>
          <w:highlight w:val="none"/>
          <w:lang w:eastAsia="zh-CN"/>
        </w:rPr>
      </w:pPr>
    </w:p>
    <w:p w14:paraId="4A314C68">
      <w:pPr>
        <w:pStyle w:val="8"/>
        <w:rPr>
          <w:rFonts w:hint="eastAsia" w:ascii="仿宋" w:hAnsi="仿宋" w:eastAsia="仿宋" w:cs="仿宋"/>
          <w:sz w:val="24"/>
          <w:szCs w:val="24"/>
          <w:highlight w:val="none"/>
          <w:lang w:eastAsia="zh-CN"/>
        </w:rPr>
      </w:pPr>
    </w:p>
    <w:p w14:paraId="396D6468">
      <w:pPr>
        <w:pStyle w:val="8"/>
        <w:rPr>
          <w:rFonts w:hint="eastAsia" w:ascii="仿宋" w:hAnsi="仿宋" w:eastAsia="仿宋" w:cs="仿宋"/>
          <w:sz w:val="24"/>
          <w:szCs w:val="24"/>
          <w:highlight w:val="none"/>
          <w:lang w:eastAsia="zh-CN"/>
        </w:rPr>
      </w:pPr>
    </w:p>
    <w:p w14:paraId="7EFABED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并注明“与原件一致”。</w:t>
      </w:r>
    </w:p>
    <w:p w14:paraId="7C4881BC">
      <w:pPr>
        <w:pStyle w:val="8"/>
        <w:rPr>
          <w:rFonts w:hint="eastAsia" w:ascii="仿宋" w:hAnsi="仿宋" w:eastAsia="仿宋" w:cs="仿宋"/>
          <w:sz w:val="24"/>
          <w:szCs w:val="24"/>
          <w:highlight w:val="none"/>
          <w:lang w:eastAsia="zh-CN"/>
        </w:rPr>
      </w:pPr>
    </w:p>
    <w:p w14:paraId="1D9044AC">
      <w:pPr>
        <w:pStyle w:val="8"/>
        <w:rPr>
          <w:rFonts w:hint="eastAsia" w:ascii="仿宋" w:hAnsi="仿宋" w:eastAsia="仿宋" w:cs="仿宋"/>
          <w:sz w:val="24"/>
          <w:szCs w:val="24"/>
          <w:highlight w:val="none"/>
          <w:lang w:eastAsia="zh-CN"/>
        </w:rPr>
      </w:pPr>
    </w:p>
    <w:p w14:paraId="7BE2F6EF">
      <w:pPr>
        <w:pStyle w:val="8"/>
        <w:rPr>
          <w:rFonts w:hint="eastAsia" w:ascii="仿宋" w:hAnsi="仿宋" w:eastAsia="仿宋" w:cs="仿宋"/>
          <w:sz w:val="24"/>
          <w:szCs w:val="24"/>
          <w:highlight w:val="none"/>
          <w:lang w:eastAsia="zh-CN"/>
        </w:rPr>
      </w:pPr>
    </w:p>
    <w:p w14:paraId="72A4B0CF">
      <w:pPr>
        <w:pStyle w:val="8"/>
        <w:rPr>
          <w:rFonts w:hint="eastAsia" w:ascii="仿宋" w:hAnsi="仿宋" w:eastAsia="仿宋" w:cs="仿宋"/>
          <w:sz w:val="24"/>
          <w:szCs w:val="24"/>
          <w:highlight w:val="none"/>
          <w:lang w:eastAsia="zh-CN"/>
        </w:rPr>
      </w:pPr>
    </w:p>
    <w:p w14:paraId="7638C4F0">
      <w:pPr>
        <w:pStyle w:val="8"/>
        <w:rPr>
          <w:rFonts w:hint="eastAsia" w:ascii="仿宋" w:hAnsi="仿宋" w:eastAsia="仿宋" w:cs="仿宋"/>
          <w:sz w:val="24"/>
          <w:szCs w:val="24"/>
          <w:highlight w:val="none"/>
          <w:lang w:eastAsia="zh-CN"/>
        </w:rPr>
      </w:pPr>
    </w:p>
    <w:p w14:paraId="3AF030B7">
      <w:pPr>
        <w:pStyle w:val="8"/>
        <w:rPr>
          <w:rFonts w:hint="eastAsia" w:ascii="仿宋" w:hAnsi="仿宋" w:eastAsia="仿宋" w:cs="仿宋"/>
          <w:sz w:val="24"/>
          <w:szCs w:val="24"/>
          <w:highlight w:val="none"/>
          <w:lang w:eastAsia="zh-CN"/>
        </w:rPr>
      </w:pPr>
    </w:p>
    <w:p w14:paraId="542DB687">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141479DE">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2881575D">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bookmarkStart w:id="586" w:name="_Toc115436122"/>
      <w:bookmarkStart w:id="587" w:name="_Toc114589529"/>
      <w:bookmarkStart w:id="588" w:name="_Toc15028"/>
      <w:bookmarkStart w:id="589" w:name="_Toc312"/>
      <w:bookmarkStart w:id="590" w:name="_Toc23406"/>
    </w:p>
    <w:p w14:paraId="3FA5FDC2">
      <w:pPr>
        <w:spacing w:before="182" w:line="220" w:lineRule="auto"/>
        <w:ind w:left="5741"/>
        <w:rPr>
          <w:rFonts w:hint="eastAsia" w:ascii="仿宋" w:hAnsi="仿宋" w:eastAsia="仿宋" w:cs="仿宋"/>
          <w:b/>
          <w:color w:val="auto"/>
          <w:sz w:val="28"/>
          <w:szCs w:val="28"/>
          <w:highlight w:val="none"/>
          <w:lang w:val="en-US" w:eastAsia="zh-CN"/>
        </w:rPr>
      </w:pPr>
      <w:r>
        <w:rPr>
          <w:rFonts w:hint="eastAsia" w:ascii="仿宋" w:hAnsi="仿宋" w:eastAsia="仿宋" w:cs="仿宋"/>
          <w:spacing w:val="-29"/>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十七</w:t>
      </w:r>
    </w:p>
    <w:p w14:paraId="53FF4159">
      <w:pPr>
        <w:pStyle w:val="183"/>
        <w:shd w:val="clear" w:color="auto" w:fill="auto"/>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虚假应标承担责任声明（统一格式）</w:t>
      </w:r>
      <w:bookmarkEnd w:id="586"/>
      <w:bookmarkEnd w:id="587"/>
      <w:bookmarkEnd w:id="588"/>
      <w:bookmarkEnd w:id="589"/>
      <w:bookmarkEnd w:id="590"/>
    </w:p>
    <w:p w14:paraId="4F5C590C">
      <w:pPr>
        <w:pStyle w:val="8"/>
        <w:shd w:val="clear" w:color="auto" w:fill="auto"/>
        <w:tabs>
          <w:tab w:val="left" w:pos="9214"/>
        </w:tabs>
        <w:spacing w:before="2"/>
        <w:ind w:left="0" w:leftChars="0" w:right="-92" w:rightChars="-44" w:firstLine="0" w:firstLineChars="0"/>
        <w:rPr>
          <w:rFonts w:hint="eastAsia" w:ascii="仿宋" w:hAnsi="仿宋" w:eastAsia="仿宋" w:cs="仿宋"/>
          <w:b/>
          <w:color w:val="auto"/>
          <w:sz w:val="21"/>
          <w:szCs w:val="21"/>
          <w:highlight w:val="none"/>
        </w:rPr>
      </w:pPr>
    </w:p>
    <w:p w14:paraId="4A886B7E">
      <w:pPr>
        <w:shd w:val="clear" w:color="auto" w:fill="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rPr>
        <w:t>采购人/采购代理机构</w:t>
      </w:r>
    </w:p>
    <w:p w14:paraId="0E2E51E2">
      <w:pPr>
        <w:pStyle w:val="8"/>
        <w:shd w:val="clear" w:color="auto" w:fill="auto"/>
        <w:tabs>
          <w:tab w:val="left" w:pos="9214"/>
        </w:tabs>
        <w:spacing w:before="9"/>
        <w:ind w:right="-92" w:rightChars="-44"/>
        <w:rPr>
          <w:rFonts w:hint="eastAsia" w:ascii="仿宋" w:hAnsi="仿宋" w:eastAsia="仿宋" w:cs="仿宋"/>
          <w:b/>
          <w:color w:val="auto"/>
          <w:sz w:val="24"/>
          <w:szCs w:val="24"/>
          <w:highlight w:val="none"/>
        </w:rPr>
      </w:pPr>
    </w:p>
    <w:p w14:paraId="641CE918">
      <w:pPr>
        <w:pStyle w:val="8"/>
        <w:shd w:val="clear" w:color="auto" w:fill="auto"/>
        <w:tabs>
          <w:tab w:val="left" w:pos="9214"/>
        </w:tabs>
        <w:spacing w:before="67" w:line="360" w:lineRule="auto"/>
        <w:ind w:right="-92" w:rightChars="-4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w:t>
      </w:r>
      <w:r>
        <w:rPr>
          <w:rFonts w:hint="eastAsia" w:ascii="仿宋" w:hAnsi="仿宋" w:eastAsia="仿宋" w:cs="仿宋"/>
          <w:color w:val="auto"/>
          <w:spacing w:val="-7"/>
          <w:sz w:val="24"/>
          <w:szCs w:val="24"/>
          <w:highlight w:val="none"/>
        </w:rPr>
        <w:t>承诺</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3"/>
          <w:sz w:val="24"/>
          <w:szCs w:val="24"/>
          <w:highlight w:val="none"/>
        </w:rPr>
        <w:t>所提供的投标文件</w:t>
      </w:r>
      <w:r>
        <w:rPr>
          <w:rFonts w:hint="eastAsia" w:ascii="仿宋" w:hAnsi="仿宋" w:eastAsia="仿宋" w:cs="仿宋"/>
          <w:color w:val="auto"/>
          <w:sz w:val="24"/>
          <w:szCs w:val="24"/>
          <w:highlight w:val="none"/>
        </w:rPr>
        <w:t>（</w:t>
      </w:r>
      <w:r>
        <w:rPr>
          <w:rFonts w:hint="eastAsia" w:ascii="仿宋" w:hAnsi="仿宋" w:eastAsia="仿宋" w:cs="仿宋"/>
          <w:color w:val="auto"/>
          <w:spacing w:val="-5"/>
          <w:sz w:val="24"/>
          <w:szCs w:val="24"/>
          <w:highlight w:val="none"/>
        </w:rPr>
        <w:t>包括一切技术资料、技术承诺、商务承诺等</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12"/>
          <w:sz w:val="24"/>
          <w:szCs w:val="24"/>
          <w:highlight w:val="none"/>
        </w:rPr>
        <w:t>均</w:t>
      </w:r>
      <w:r>
        <w:rPr>
          <w:rFonts w:hint="eastAsia" w:ascii="仿宋" w:hAnsi="仿宋" w:eastAsia="仿宋" w:cs="仿宋"/>
          <w:color w:val="auto"/>
          <w:spacing w:val="-6"/>
          <w:sz w:val="24"/>
          <w:szCs w:val="24"/>
          <w:highlight w:val="none"/>
        </w:rPr>
        <w:t>真实有效，若在项目招标过程中</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包括开评审、中标公示过程</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
          <w:sz w:val="24"/>
          <w:szCs w:val="24"/>
          <w:highlight w:val="none"/>
        </w:rPr>
        <w:t>及履行合同期间</w:t>
      </w:r>
      <w:r>
        <w:rPr>
          <w:rFonts w:hint="eastAsia" w:ascii="仿宋" w:hAnsi="仿宋" w:eastAsia="仿宋" w:cs="仿宋"/>
          <w:color w:val="auto"/>
          <w:sz w:val="24"/>
          <w:szCs w:val="24"/>
          <w:highlight w:val="none"/>
        </w:rPr>
        <w:t>（包括验收过程</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2"/>
          <w:sz w:val="24"/>
          <w:szCs w:val="24"/>
          <w:highlight w:val="none"/>
        </w:rPr>
        <w:t>发现我公司提供的货物</w:t>
      </w:r>
      <w:r>
        <w:rPr>
          <w:rFonts w:hint="eastAsia" w:ascii="仿宋" w:hAnsi="仿宋" w:eastAsia="仿宋" w:cs="仿宋"/>
          <w:color w:val="auto"/>
          <w:sz w:val="24"/>
          <w:szCs w:val="24"/>
          <w:highlight w:val="none"/>
        </w:rPr>
        <w:t>（或产品</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5"/>
          <w:sz w:val="24"/>
          <w:szCs w:val="24"/>
          <w:highlight w:val="none"/>
        </w:rPr>
        <w:t>与投标</w:t>
      </w:r>
      <w:r>
        <w:rPr>
          <w:rFonts w:hint="eastAsia" w:ascii="仿宋" w:hAnsi="仿宋" w:eastAsia="仿宋" w:cs="仿宋"/>
          <w:color w:val="auto"/>
          <w:sz w:val="24"/>
          <w:szCs w:val="24"/>
          <w:highlight w:val="none"/>
        </w:rPr>
        <w:t>文件</w:t>
      </w:r>
      <w:r>
        <w:rPr>
          <w:rFonts w:hint="eastAsia" w:ascii="仿宋" w:hAnsi="仿宋" w:eastAsia="仿宋" w:cs="仿宋"/>
          <w:color w:val="auto"/>
          <w:spacing w:val="-6"/>
          <w:sz w:val="24"/>
          <w:szCs w:val="24"/>
          <w:highlight w:val="none"/>
        </w:rPr>
        <w:t>不一致，或发现我</w:t>
      </w:r>
      <w:r>
        <w:rPr>
          <w:rFonts w:hint="eastAsia" w:ascii="仿宋" w:hAnsi="仿宋" w:eastAsia="仿宋" w:cs="仿宋"/>
          <w:color w:val="auto"/>
          <w:sz w:val="24"/>
          <w:szCs w:val="24"/>
          <w:highlight w:val="none"/>
        </w:rPr>
        <w:t>公司提供了不真实的投标文件（虚假材料</w:t>
      </w:r>
      <w:r>
        <w:rPr>
          <w:rFonts w:hint="eastAsia" w:ascii="仿宋" w:hAnsi="仿宋" w:eastAsia="仿宋" w:cs="仿宋"/>
          <w:color w:val="auto"/>
          <w:spacing w:val="-120"/>
          <w:sz w:val="24"/>
          <w:szCs w:val="24"/>
          <w:highlight w:val="none"/>
        </w:rPr>
        <w:t>）   ）</w:t>
      </w:r>
      <w:r>
        <w:rPr>
          <w:rFonts w:hint="eastAsia" w:ascii="仿宋" w:hAnsi="仿宋" w:eastAsia="仿宋" w:cs="仿宋"/>
          <w:color w:val="auto"/>
          <w:sz w:val="24"/>
          <w:szCs w:val="24"/>
          <w:highlight w:val="none"/>
        </w:rPr>
        <w:t>），我公司愿意承担一切法律责任并认可采购人或采购代理机构作出的取消中标资格、罚没保证金等决定。</w:t>
      </w:r>
    </w:p>
    <w:p w14:paraId="6399264B">
      <w:pPr>
        <w:pStyle w:val="8"/>
        <w:shd w:val="clear" w:color="auto" w:fill="auto"/>
        <w:tabs>
          <w:tab w:val="left" w:pos="9214"/>
        </w:tabs>
        <w:spacing w:line="36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01F8CBE2">
      <w:pPr>
        <w:pStyle w:val="8"/>
        <w:shd w:val="clear" w:color="auto" w:fill="auto"/>
        <w:tabs>
          <w:tab w:val="left" w:pos="9214"/>
        </w:tabs>
        <w:spacing w:line="360" w:lineRule="auto"/>
        <w:ind w:right="-92" w:rightChars="-44"/>
        <w:rPr>
          <w:rFonts w:hint="eastAsia" w:ascii="仿宋" w:hAnsi="仿宋" w:eastAsia="仿宋" w:cs="仿宋"/>
          <w:color w:val="auto"/>
          <w:sz w:val="21"/>
          <w:szCs w:val="21"/>
          <w:highlight w:val="none"/>
        </w:rPr>
      </w:pPr>
    </w:p>
    <w:p w14:paraId="7F39C0D5">
      <w:pPr>
        <w:pStyle w:val="8"/>
        <w:shd w:val="clear" w:color="auto" w:fill="auto"/>
        <w:tabs>
          <w:tab w:val="left" w:pos="9214"/>
        </w:tabs>
        <w:ind w:right="-92" w:rightChars="-44"/>
        <w:rPr>
          <w:rFonts w:hint="eastAsia" w:ascii="仿宋" w:hAnsi="仿宋" w:eastAsia="仿宋" w:cs="仿宋"/>
          <w:color w:val="auto"/>
          <w:sz w:val="21"/>
          <w:szCs w:val="21"/>
          <w:highlight w:val="none"/>
        </w:rPr>
      </w:pPr>
    </w:p>
    <w:p w14:paraId="2DB7509D">
      <w:pPr>
        <w:pStyle w:val="8"/>
        <w:shd w:val="clear" w:color="auto" w:fill="auto"/>
        <w:tabs>
          <w:tab w:val="left" w:pos="9214"/>
        </w:tabs>
        <w:ind w:right="-92" w:rightChars="-44"/>
        <w:rPr>
          <w:rFonts w:hint="eastAsia" w:ascii="仿宋" w:hAnsi="仿宋" w:eastAsia="仿宋" w:cs="仿宋"/>
          <w:color w:val="auto"/>
          <w:sz w:val="21"/>
          <w:szCs w:val="21"/>
          <w:highlight w:val="none"/>
        </w:rPr>
      </w:pPr>
    </w:p>
    <w:p w14:paraId="49B4C5F6">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1606DCAC">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26E18C19">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bookmarkStart w:id="591" w:name="_Toc9592"/>
      <w:bookmarkStart w:id="592" w:name="_Toc114589541"/>
      <w:bookmarkStart w:id="593" w:name="_Toc520356224"/>
      <w:bookmarkStart w:id="594" w:name="_Ref467988543"/>
      <w:bookmarkStart w:id="595" w:name="_Toc216582819"/>
      <w:bookmarkStart w:id="596" w:name="_Toc507399535"/>
      <w:bookmarkStart w:id="597" w:name="_Toc32489"/>
      <w:bookmarkStart w:id="598" w:name="_Toc20238"/>
      <w:bookmarkStart w:id="599" w:name="_Toc115436133"/>
      <w:bookmarkStart w:id="600" w:name="_Toc480942355"/>
    </w:p>
    <w:p w14:paraId="150CB34D">
      <w:pPr>
        <w:spacing w:before="182" w:line="220" w:lineRule="auto"/>
        <w:ind w:left="5741"/>
        <w:rPr>
          <w:rFonts w:hint="eastAsia" w:ascii="仿宋" w:hAnsi="仿宋" w:eastAsia="仿宋" w:cs="仿宋"/>
          <w:b/>
          <w:color w:val="auto"/>
          <w:sz w:val="28"/>
          <w:szCs w:val="28"/>
          <w:highlight w:val="none"/>
        </w:rPr>
      </w:pPr>
      <w:r>
        <w:rPr>
          <w:rFonts w:hint="eastAsia" w:ascii="仿宋" w:hAnsi="仿宋" w:eastAsia="仿宋" w:cs="仿宋"/>
          <w:spacing w:val="-29"/>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十八</w:t>
      </w:r>
      <w:r>
        <w:rPr>
          <w:rFonts w:hint="eastAsia" w:ascii="仿宋" w:hAnsi="仿宋" w:eastAsia="仿宋" w:cs="仿宋"/>
          <w:b/>
          <w:color w:val="auto"/>
          <w:sz w:val="28"/>
          <w:szCs w:val="28"/>
          <w:highlight w:val="none"/>
        </w:rPr>
        <w:t xml:space="preserve">  </w:t>
      </w:r>
      <w:bookmarkEnd w:id="591"/>
      <w:bookmarkEnd w:id="592"/>
      <w:bookmarkEnd w:id="593"/>
      <w:bookmarkEnd w:id="594"/>
      <w:bookmarkEnd w:id="595"/>
      <w:bookmarkEnd w:id="596"/>
      <w:bookmarkEnd w:id="597"/>
      <w:bookmarkEnd w:id="598"/>
      <w:bookmarkEnd w:id="599"/>
      <w:bookmarkEnd w:id="600"/>
      <w:bookmarkStart w:id="601" w:name="_Toc216513801"/>
      <w:bookmarkStart w:id="602" w:name="_Toc216582821"/>
    </w:p>
    <w:p w14:paraId="1A027081">
      <w:pPr>
        <w:shd w:val="clear" w:color="auto" w:fill="auto"/>
        <w:spacing w:line="240" w:lineRule="atLeast"/>
        <w:ind w:left="660" w:leftChars="257" w:hanging="540"/>
        <w:rPr>
          <w:rFonts w:hint="eastAsia" w:ascii="仿宋" w:hAnsi="仿宋" w:eastAsia="仿宋" w:cs="仿宋"/>
          <w:b/>
          <w:color w:val="auto"/>
          <w:sz w:val="24"/>
          <w:highlight w:val="none"/>
        </w:rPr>
      </w:pPr>
    </w:p>
    <w:bookmarkEnd w:id="601"/>
    <w:bookmarkEnd w:id="602"/>
    <w:p w14:paraId="5D94EB31">
      <w:pPr>
        <w:shd w:val="clear" w:color="auto" w:fill="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关于对本投标文件中资料真实性的承诺</w:t>
      </w:r>
    </w:p>
    <w:p w14:paraId="1C7C8681">
      <w:pPr>
        <w:shd w:val="clear" w:color="auto" w:fill="auto"/>
        <w:rPr>
          <w:rFonts w:hint="eastAsia" w:ascii="仿宋" w:hAnsi="仿宋" w:eastAsia="仿宋" w:cs="仿宋"/>
          <w:b/>
          <w:color w:val="auto"/>
          <w:kern w:val="0"/>
          <w:sz w:val="28"/>
          <w:szCs w:val="28"/>
          <w:highlight w:val="none"/>
        </w:rPr>
      </w:pPr>
    </w:p>
    <w:p w14:paraId="3EB5C23B">
      <w:pPr>
        <w:shd w:val="clear" w:color="auto" w:fill="auto"/>
        <w:spacing w:line="360" w:lineRule="auto"/>
        <w:rPr>
          <w:rFonts w:hint="eastAsia"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rPr>
        <w:t>至</w:t>
      </w:r>
      <w:r>
        <w:rPr>
          <w:rFonts w:hint="eastAsia" w:ascii="仿宋" w:hAnsi="仿宋" w:eastAsia="仿宋" w:cs="仿宋"/>
          <w:b/>
          <w:color w:val="auto"/>
          <w:kern w:val="0"/>
          <w:sz w:val="24"/>
          <w:szCs w:val="24"/>
          <w:highlight w:val="none"/>
          <w:lang w:eastAsia="zh-CN"/>
        </w:rPr>
        <w:t xml:space="preserve"> ：</w:t>
      </w:r>
      <w:r>
        <w:rPr>
          <w:rFonts w:hint="eastAsia" w:ascii="仿宋" w:hAnsi="仿宋" w:eastAsia="仿宋" w:cs="仿宋"/>
          <w:b/>
          <w:color w:val="auto"/>
          <w:kern w:val="0"/>
          <w:sz w:val="24"/>
          <w:szCs w:val="24"/>
          <w:highlight w:val="none"/>
          <w:u w:val="single"/>
        </w:rPr>
        <w:t xml:space="preserve"> （项目、包段名称）评标委员会  </w:t>
      </w:r>
    </w:p>
    <w:p w14:paraId="0BDA9EDC">
      <w:pPr>
        <w:shd w:val="clear" w:color="auto" w:fill="auto"/>
        <w:spacing w:line="360" w:lineRule="auto"/>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根据《中华人民共和国政府采购法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中华人民共和国政府采购法实施条例》等有关</w:t>
      </w:r>
      <w:r>
        <w:rPr>
          <w:rFonts w:hint="eastAsia" w:ascii="仿宋" w:hAnsi="仿宋" w:eastAsia="仿宋" w:cs="仿宋"/>
          <w:color w:val="auto"/>
          <w:kern w:val="0"/>
          <w:sz w:val="24"/>
          <w:szCs w:val="24"/>
          <w:highlight w:val="none"/>
          <w:lang w:eastAsia="zh-CN"/>
        </w:rPr>
        <w:t>法律法规</w:t>
      </w:r>
      <w:r>
        <w:rPr>
          <w:rFonts w:hint="eastAsia" w:ascii="仿宋" w:hAnsi="仿宋" w:eastAsia="仿宋" w:cs="仿宋"/>
          <w:color w:val="auto"/>
          <w:kern w:val="0"/>
          <w:sz w:val="24"/>
          <w:szCs w:val="24"/>
          <w:highlight w:val="none"/>
        </w:rPr>
        <w:t>的规定和</w:t>
      </w:r>
      <w:r>
        <w:rPr>
          <w:rFonts w:hint="eastAsia" w:ascii="仿宋" w:hAnsi="仿宋" w:eastAsia="仿宋" w:cs="仿宋"/>
          <w:color w:val="auto"/>
          <w:kern w:val="0"/>
          <w:sz w:val="24"/>
          <w:szCs w:val="24"/>
          <w:highlight w:val="none"/>
          <w:u w:val="single"/>
        </w:rPr>
        <w:t>        （项目、包段名称）         </w:t>
      </w:r>
      <w:r>
        <w:rPr>
          <w:rFonts w:hint="eastAsia" w:ascii="仿宋" w:hAnsi="仿宋" w:eastAsia="仿宋" w:cs="仿宋"/>
          <w:color w:val="auto"/>
          <w:kern w:val="0"/>
          <w:sz w:val="24"/>
          <w:szCs w:val="24"/>
          <w:highlight w:val="none"/>
        </w:rPr>
        <w:t>的招标文件的要求，我公司在</w:t>
      </w:r>
      <w:r>
        <w:rPr>
          <w:rFonts w:hint="eastAsia" w:ascii="仿宋" w:hAnsi="仿宋" w:eastAsia="仿宋" w:cs="仿宋"/>
          <w:color w:val="auto"/>
          <w:kern w:val="0"/>
          <w:sz w:val="24"/>
          <w:szCs w:val="24"/>
          <w:highlight w:val="none"/>
          <w:u w:val="single"/>
        </w:rPr>
        <w:t>   （项目、包段名称）   </w:t>
      </w:r>
      <w:r>
        <w:rPr>
          <w:rFonts w:hint="eastAsia" w:ascii="仿宋" w:hAnsi="仿宋" w:eastAsia="仿宋" w:cs="仿宋"/>
          <w:color w:val="auto"/>
          <w:kern w:val="0"/>
          <w:sz w:val="24"/>
          <w:szCs w:val="24"/>
          <w:highlight w:val="none"/>
        </w:rPr>
        <w:t>投标文件中所提供资料真实性作如下承诺</w:t>
      </w:r>
      <w:r>
        <w:rPr>
          <w:rFonts w:hint="eastAsia" w:ascii="仿宋" w:hAnsi="仿宋" w:eastAsia="仿宋" w:cs="仿宋"/>
          <w:color w:val="auto"/>
          <w:kern w:val="0"/>
          <w:sz w:val="24"/>
          <w:szCs w:val="24"/>
          <w:highlight w:val="none"/>
          <w:lang w:eastAsia="zh-CN"/>
        </w:rPr>
        <w:t xml:space="preserve"> ：</w:t>
      </w:r>
    </w:p>
    <w:p w14:paraId="21EB3704">
      <w:pPr>
        <w:shd w:val="clear" w:color="auto" w:fill="auto"/>
        <w:spacing w:line="360" w:lineRule="auto"/>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0F23A26A">
      <w:pPr>
        <w:shd w:val="clear" w:color="auto" w:fill="auto"/>
        <w:spacing w:line="360" w:lineRule="auto"/>
        <w:ind w:firstLine="720" w:firstLineChars="3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对提供的全部资料</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存在不真实（伪造或租借等虚假资料）情形，将无条件接受任何处罚，自行承担由此引起的一切责任！</w:t>
      </w:r>
    </w:p>
    <w:p w14:paraId="4B5C070F">
      <w:pPr>
        <w:shd w:val="clear" w:color="auto" w:fill="auto"/>
        <w:spacing w:line="360" w:lineRule="auto"/>
        <w:ind w:firstLine="723" w:firstLineChars="3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特此承诺</w:t>
      </w:r>
    </w:p>
    <w:p w14:paraId="275F738C">
      <w:pPr>
        <w:shd w:val="clear" w:color="auto" w:fill="auto"/>
        <w:spacing w:line="360" w:lineRule="auto"/>
        <w:ind w:firstLine="723" w:firstLineChars="300"/>
        <w:rPr>
          <w:rFonts w:hint="eastAsia" w:ascii="仿宋" w:hAnsi="仿宋" w:eastAsia="仿宋" w:cs="仿宋"/>
          <w:b/>
          <w:color w:val="auto"/>
          <w:kern w:val="0"/>
          <w:sz w:val="24"/>
          <w:szCs w:val="24"/>
          <w:highlight w:val="none"/>
        </w:rPr>
      </w:pPr>
    </w:p>
    <w:p w14:paraId="0D65F3C8">
      <w:pPr>
        <w:shd w:val="clear" w:color="auto" w:fill="auto"/>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有效的联系方式</w:t>
      </w:r>
      <w:r>
        <w:rPr>
          <w:rFonts w:hint="eastAsia" w:ascii="仿宋" w:hAnsi="仿宋" w:eastAsia="仿宋" w:cs="仿宋"/>
          <w:b/>
          <w:color w:val="auto"/>
          <w:kern w:val="0"/>
          <w:sz w:val="24"/>
          <w:szCs w:val="24"/>
          <w:highlight w:val="none"/>
          <w:lang w:eastAsia="zh-CN"/>
        </w:rPr>
        <w:t xml:space="preserve"> ：</w:t>
      </w:r>
      <w:r>
        <w:rPr>
          <w:rFonts w:hint="eastAsia" w:ascii="仿宋" w:hAnsi="仿宋" w:eastAsia="仿宋" w:cs="仿宋"/>
          <w:b/>
          <w:color w:val="auto"/>
          <w:kern w:val="0"/>
          <w:sz w:val="24"/>
          <w:szCs w:val="24"/>
          <w:highlight w:val="none"/>
          <w:u w:val="single"/>
        </w:rPr>
        <w:t xml:space="preserve">                          </w:t>
      </w:r>
      <w:r>
        <w:rPr>
          <w:rFonts w:hint="eastAsia" w:ascii="仿宋" w:hAnsi="仿宋" w:eastAsia="仿宋" w:cs="仿宋"/>
          <w:b/>
          <w:color w:val="auto"/>
          <w:kern w:val="0"/>
          <w:sz w:val="24"/>
          <w:szCs w:val="24"/>
          <w:highlight w:val="none"/>
        </w:rPr>
        <w:t>（手机号）</w:t>
      </w:r>
    </w:p>
    <w:p w14:paraId="10BCBCD3">
      <w:pPr>
        <w:spacing w:before="78" w:line="468" w:lineRule="exact"/>
        <w:ind w:left="6302"/>
        <w:rPr>
          <w:rFonts w:hint="eastAsia" w:ascii="仿宋" w:hAnsi="仿宋" w:eastAsia="仿宋" w:cs="仿宋"/>
          <w:sz w:val="24"/>
          <w:szCs w:val="24"/>
          <w:highlight w:val="none"/>
          <w:lang w:eastAsia="zh-CN"/>
        </w:rPr>
      </w:pPr>
      <w:r>
        <w:rPr>
          <w:rFonts w:hint="eastAsia" w:ascii="仿宋" w:hAnsi="仿宋" w:eastAsia="仿宋" w:cs="仿宋"/>
          <w:spacing w:val="-7"/>
          <w:position w:val="17"/>
          <w:sz w:val="24"/>
          <w:szCs w:val="24"/>
          <w:highlight w:val="none"/>
        </w:rPr>
        <w:t>投标人全称（</w:t>
      </w:r>
      <w:r>
        <w:rPr>
          <w:rFonts w:hint="eastAsia" w:ascii="仿宋" w:hAnsi="仿宋" w:eastAsia="仿宋" w:cs="仿宋"/>
          <w:spacing w:val="-7"/>
          <w:position w:val="17"/>
          <w:sz w:val="24"/>
          <w:szCs w:val="24"/>
          <w:highlight w:val="none"/>
          <w:lang w:eastAsia="zh-CN"/>
        </w:rPr>
        <w:t>盖章</w:t>
      </w:r>
      <w:r>
        <w:rPr>
          <w:rFonts w:hint="eastAsia" w:ascii="仿宋" w:hAnsi="仿宋" w:eastAsia="仿宋" w:cs="仿宋"/>
          <w:spacing w:val="-2"/>
          <w:position w:val="17"/>
          <w:sz w:val="24"/>
          <w:szCs w:val="24"/>
          <w:highlight w:val="none"/>
        </w:rPr>
        <w:t>）</w:t>
      </w:r>
      <w:r>
        <w:rPr>
          <w:rFonts w:hint="eastAsia" w:ascii="仿宋" w:hAnsi="仿宋" w:eastAsia="仿宋" w:cs="仿宋"/>
          <w:spacing w:val="-2"/>
          <w:position w:val="17"/>
          <w:sz w:val="24"/>
          <w:szCs w:val="24"/>
          <w:highlight w:val="none"/>
          <w:lang w:eastAsia="zh-CN"/>
        </w:rPr>
        <w:t xml:space="preserve"> ：</w:t>
      </w:r>
    </w:p>
    <w:p w14:paraId="258861A6">
      <w:pPr>
        <w:spacing w:line="219" w:lineRule="auto"/>
        <w:ind w:left="4620"/>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法定代表人或授权代表（</w:t>
      </w:r>
      <w:r>
        <w:rPr>
          <w:rFonts w:hint="eastAsia" w:ascii="仿宋" w:hAnsi="仿宋" w:eastAsia="仿宋" w:cs="仿宋"/>
          <w:spacing w:val="-4"/>
          <w:sz w:val="24"/>
          <w:szCs w:val="24"/>
          <w:highlight w:val="none"/>
          <w:lang w:eastAsia="zh-CN"/>
        </w:rPr>
        <w:t>签字盖章</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lang w:eastAsia="zh-CN"/>
        </w:rPr>
        <w:t xml:space="preserve"> ：</w:t>
      </w:r>
    </w:p>
    <w:p w14:paraId="7CB42504">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29"/>
          <w:sz w:val="24"/>
          <w:szCs w:val="24"/>
          <w:highlight w:val="none"/>
          <w:lang w:eastAsia="zh-CN"/>
        </w:rPr>
        <w:t xml:space="preserve"> ：</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434FC9AA">
      <w:pPr>
        <w:shd w:val="clear" w:color="auto" w:fill="auto"/>
        <w:spacing w:line="360" w:lineRule="auto"/>
        <w:ind w:firstLine="4337" w:firstLineChars="1800"/>
        <w:rPr>
          <w:rFonts w:hint="eastAsia" w:ascii="仿宋" w:hAnsi="仿宋" w:eastAsia="仿宋" w:cs="仿宋"/>
          <w:b/>
          <w:color w:val="auto"/>
          <w:kern w:val="0"/>
          <w:sz w:val="24"/>
          <w:szCs w:val="24"/>
          <w:highlight w:val="none"/>
        </w:rPr>
      </w:pPr>
    </w:p>
    <w:p w14:paraId="0227E952">
      <w:pPr>
        <w:shd w:val="clear" w:color="auto" w:fill="auto"/>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w:t>
      </w:r>
      <w:r>
        <w:rPr>
          <w:rFonts w:hint="eastAsia" w:ascii="仿宋" w:hAnsi="仿宋" w:eastAsia="仿宋" w:cs="仿宋"/>
          <w:b/>
          <w:color w:val="auto"/>
          <w:kern w:val="0"/>
          <w:sz w:val="24"/>
          <w:szCs w:val="24"/>
          <w:highlight w:val="none"/>
          <w:lang w:eastAsia="zh-CN"/>
        </w:rPr>
        <w:t xml:space="preserve"> ：</w:t>
      </w:r>
      <w:r>
        <w:rPr>
          <w:rFonts w:hint="eastAsia" w:ascii="仿宋" w:hAnsi="仿宋" w:eastAsia="仿宋" w:cs="仿宋"/>
          <w:b/>
          <w:color w:val="auto"/>
          <w:kern w:val="0"/>
          <w:sz w:val="24"/>
          <w:szCs w:val="24"/>
          <w:highlight w:val="none"/>
        </w:rPr>
        <w:t>投标供应商应按上述要求将内容填写完整，未提供此承诺的其投标将被拒绝！</w:t>
      </w:r>
    </w:p>
    <w:p w14:paraId="2D96234C">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color w:val="auto"/>
          <w:highlight w:val="none"/>
        </w:rPr>
        <w:br w:type="page"/>
      </w:r>
    </w:p>
    <w:p w14:paraId="0C086524">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附件十九</w:t>
      </w:r>
    </w:p>
    <w:p w14:paraId="028F8544">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其它材料</w:t>
      </w:r>
    </w:p>
    <w:p w14:paraId="72DC79F0">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p>
    <w:p w14:paraId="2025A6B1">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p>
    <w:p w14:paraId="08B98EB6">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投标人认为应补充提供的其它文件资料以及投标人认为需要加以说明的其它内容。</w:t>
      </w:r>
    </w:p>
    <w:p w14:paraId="742A466D">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（格式自行编制）</w:t>
      </w:r>
    </w:p>
    <w:p w14:paraId="72B83821">
      <w:pPr>
        <w:pStyle w:val="20"/>
        <w:numPr>
          <w:ilvl w:val="0"/>
          <w:numId w:val="0"/>
        </w:numPr>
        <w:overflowPunct w:val="0"/>
        <w:snapToGrid w:val="0"/>
        <w:spacing w:line="360" w:lineRule="auto"/>
        <w:jc w:val="center"/>
        <w:rPr>
          <w:rFonts w:hint="eastAsia" w:ascii="仿宋" w:hAnsi="仿宋" w:eastAsia="仿宋" w:cs="仿宋"/>
          <w:b/>
          <w:bCs w:val="0"/>
          <w:color w:val="auto"/>
          <w:kern w:val="2"/>
          <w:sz w:val="32"/>
          <w:szCs w:val="28"/>
          <w:highlight w:val="none"/>
          <w:lang w:val="en-US" w:eastAsia="zh-CN" w:bidi="ar-SA"/>
        </w:rPr>
      </w:pPr>
    </w:p>
    <w:p w14:paraId="044686C1">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br w:type="page"/>
      </w:r>
      <w:r>
        <w:rPr>
          <w:rFonts w:hint="eastAsia" w:ascii="仿宋" w:hAnsi="仿宋" w:eastAsia="仿宋" w:cs="仿宋"/>
          <w:b/>
          <w:bCs w:val="0"/>
          <w:color w:val="auto"/>
          <w:kern w:val="2"/>
          <w:sz w:val="28"/>
          <w:szCs w:val="28"/>
          <w:highlight w:val="none"/>
          <w:lang w:val="en-US" w:eastAsia="zh-CN" w:bidi="ar-SA"/>
        </w:rPr>
        <w:t>附件二十</w:t>
      </w:r>
    </w:p>
    <w:p w14:paraId="614ACB16">
      <w:pPr>
        <w:spacing w:before="283" w:line="221" w:lineRule="auto"/>
        <w:ind w:left="3045"/>
        <w:jc w:val="center"/>
        <w:rPr>
          <w:rFonts w:hint="eastAsia" w:ascii="仿宋" w:hAnsi="仿宋" w:eastAsia="仿宋" w:cs="仿宋"/>
          <w:b/>
          <w:bCs/>
          <w:sz w:val="28"/>
          <w:szCs w:val="28"/>
          <w:highlight w:val="none"/>
        </w:rPr>
      </w:pPr>
      <w:r>
        <w:rPr>
          <w:rFonts w:hint="eastAsia" w:ascii="仿宋" w:hAnsi="仿宋" w:eastAsia="仿宋" w:cs="仿宋"/>
          <w:b/>
          <w:bCs/>
          <w:spacing w:val="-15"/>
          <w:sz w:val="28"/>
          <w:szCs w:val="28"/>
          <w:highlight w:val="none"/>
        </w:rPr>
        <w:t>主要相关项目业绩一览表</w:t>
      </w:r>
    </w:p>
    <w:p w14:paraId="69794649">
      <w:pPr>
        <w:pStyle w:val="8"/>
        <w:spacing w:line="329" w:lineRule="auto"/>
        <w:ind w:left="0" w:leftChars="0" w:firstLine="0" w:firstLineChars="0"/>
        <w:rPr>
          <w:rFonts w:hint="eastAsia" w:ascii="仿宋" w:hAnsi="仿宋" w:eastAsia="仿宋" w:cs="仿宋"/>
          <w:highlight w:val="none"/>
        </w:rPr>
      </w:pPr>
    </w:p>
    <w:p w14:paraId="25CDF6F2">
      <w:pPr>
        <w:spacing w:before="78" w:line="221" w:lineRule="auto"/>
        <w:ind w:left="126"/>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 xml:space="preserve">项目名称 ：                   </w:t>
      </w:r>
    </w:p>
    <w:p w14:paraId="48BBC009">
      <w:pPr>
        <w:spacing w:before="173" w:line="220" w:lineRule="auto"/>
        <w:ind w:left="126"/>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 xml:space="preserve">项目编号 ：                   </w:t>
      </w:r>
    </w:p>
    <w:tbl>
      <w:tblPr>
        <w:tblStyle w:val="17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456"/>
        <w:gridCol w:w="1117"/>
        <w:gridCol w:w="1117"/>
        <w:gridCol w:w="1922"/>
        <w:gridCol w:w="1185"/>
        <w:gridCol w:w="968"/>
      </w:tblGrid>
      <w:tr w14:paraId="0CF04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7" w:type="dxa"/>
            <w:noWrap w:val="0"/>
            <w:vAlign w:val="top"/>
          </w:tcPr>
          <w:p w14:paraId="02A7A850">
            <w:pPr>
              <w:pStyle w:val="188"/>
              <w:spacing w:before="172" w:line="230" w:lineRule="auto"/>
              <w:ind w:left="194"/>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序号</w:t>
            </w:r>
          </w:p>
        </w:tc>
        <w:tc>
          <w:tcPr>
            <w:tcW w:w="1456" w:type="dxa"/>
            <w:noWrap w:val="0"/>
            <w:vAlign w:val="top"/>
          </w:tcPr>
          <w:p w14:paraId="4FE9A8D5">
            <w:pPr>
              <w:pStyle w:val="188"/>
              <w:spacing w:before="172" w:line="229" w:lineRule="auto"/>
              <w:ind w:left="152"/>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用户单位名称</w:t>
            </w:r>
          </w:p>
        </w:tc>
        <w:tc>
          <w:tcPr>
            <w:tcW w:w="1117" w:type="dxa"/>
            <w:noWrap w:val="0"/>
            <w:vAlign w:val="top"/>
          </w:tcPr>
          <w:p w14:paraId="25B993D2">
            <w:pPr>
              <w:pStyle w:val="188"/>
              <w:spacing w:before="172" w:line="228" w:lineRule="auto"/>
              <w:ind w:left="179"/>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项目内容</w:t>
            </w:r>
          </w:p>
        </w:tc>
        <w:tc>
          <w:tcPr>
            <w:tcW w:w="1117" w:type="dxa"/>
            <w:noWrap w:val="0"/>
            <w:vAlign w:val="top"/>
          </w:tcPr>
          <w:p w14:paraId="66C1AAEE">
            <w:pPr>
              <w:pStyle w:val="188"/>
              <w:spacing w:before="172" w:line="229" w:lineRule="auto"/>
              <w:ind w:left="182"/>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实施地点</w:t>
            </w:r>
          </w:p>
        </w:tc>
        <w:tc>
          <w:tcPr>
            <w:tcW w:w="1922" w:type="dxa"/>
            <w:noWrap w:val="0"/>
            <w:vAlign w:val="top"/>
          </w:tcPr>
          <w:p w14:paraId="0052362B">
            <w:pPr>
              <w:pStyle w:val="188"/>
              <w:spacing w:before="34" w:line="235" w:lineRule="auto"/>
              <w:ind w:left="774" w:right="169" w:hanging="577"/>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用户联系人及联系 方式</w:t>
            </w:r>
          </w:p>
        </w:tc>
        <w:tc>
          <w:tcPr>
            <w:tcW w:w="1185" w:type="dxa"/>
            <w:noWrap w:val="0"/>
            <w:vAlign w:val="top"/>
          </w:tcPr>
          <w:p w14:paraId="0FA53A3E">
            <w:pPr>
              <w:pStyle w:val="188"/>
              <w:spacing w:before="35" w:line="229" w:lineRule="auto"/>
              <w:ind w:left="410"/>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项目</w:t>
            </w:r>
          </w:p>
          <w:p w14:paraId="5AB18C6E">
            <w:pPr>
              <w:pStyle w:val="188"/>
              <w:spacing w:before="25" w:line="217" w:lineRule="auto"/>
              <w:ind w:left="213"/>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起止时间</w:t>
            </w:r>
          </w:p>
        </w:tc>
        <w:tc>
          <w:tcPr>
            <w:tcW w:w="968" w:type="dxa"/>
            <w:noWrap w:val="0"/>
            <w:vAlign w:val="top"/>
          </w:tcPr>
          <w:p w14:paraId="4895BD3C">
            <w:pPr>
              <w:pStyle w:val="188"/>
              <w:spacing w:before="35" w:line="274" w:lineRule="exact"/>
              <w:ind w:left="298"/>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合同</w:t>
            </w:r>
          </w:p>
          <w:p w14:paraId="70B7514C">
            <w:pPr>
              <w:pStyle w:val="188"/>
              <w:spacing w:line="216" w:lineRule="auto"/>
              <w:ind w:left="299"/>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金额</w:t>
            </w:r>
          </w:p>
        </w:tc>
      </w:tr>
      <w:tr w14:paraId="265E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4AB7F8FB">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30659E96">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1E523589">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1DDD88EA">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57EEF27A">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069197AA">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5D843316">
            <w:pPr>
              <w:rPr>
                <w:rFonts w:hint="eastAsia" w:ascii="仿宋" w:hAnsi="仿宋" w:eastAsia="仿宋" w:cs="仿宋"/>
                <w:b w:val="0"/>
                <w:bCs/>
                <w:color w:val="auto"/>
                <w:kern w:val="2"/>
                <w:sz w:val="24"/>
                <w:szCs w:val="22"/>
                <w:highlight w:val="none"/>
                <w:lang w:val="en-US" w:eastAsia="zh-CN" w:bidi="ar-SA"/>
              </w:rPr>
            </w:pPr>
          </w:p>
        </w:tc>
      </w:tr>
      <w:tr w14:paraId="05E5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4F83A70">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1FBEB5C5">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05C4ECB4">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592969F4">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4BFA60E2">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6B5BF7DE">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6C1B7029">
            <w:pPr>
              <w:rPr>
                <w:rFonts w:hint="eastAsia" w:ascii="仿宋" w:hAnsi="仿宋" w:eastAsia="仿宋" w:cs="仿宋"/>
                <w:b w:val="0"/>
                <w:bCs/>
                <w:color w:val="auto"/>
                <w:kern w:val="2"/>
                <w:sz w:val="24"/>
                <w:szCs w:val="22"/>
                <w:highlight w:val="none"/>
                <w:lang w:val="en-US" w:eastAsia="zh-CN" w:bidi="ar-SA"/>
              </w:rPr>
            </w:pPr>
          </w:p>
        </w:tc>
      </w:tr>
      <w:tr w14:paraId="7D2D6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7F857AE">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04EFFBFD">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1D9C3345">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C6423C4">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229544AA">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2266BB8F">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5AA1FF9C">
            <w:pPr>
              <w:rPr>
                <w:rFonts w:hint="eastAsia" w:ascii="仿宋" w:hAnsi="仿宋" w:eastAsia="仿宋" w:cs="仿宋"/>
                <w:b w:val="0"/>
                <w:bCs/>
                <w:color w:val="auto"/>
                <w:kern w:val="2"/>
                <w:sz w:val="24"/>
                <w:szCs w:val="22"/>
                <w:highlight w:val="none"/>
                <w:lang w:val="en-US" w:eastAsia="zh-CN" w:bidi="ar-SA"/>
              </w:rPr>
            </w:pPr>
          </w:p>
        </w:tc>
      </w:tr>
      <w:tr w14:paraId="058E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F477677">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400E0A2E">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33E9DF78">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E93F95D">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1D528F05">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0FC9DA80">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17BB4FE0">
            <w:pPr>
              <w:rPr>
                <w:rFonts w:hint="eastAsia" w:ascii="仿宋" w:hAnsi="仿宋" w:eastAsia="仿宋" w:cs="仿宋"/>
                <w:b w:val="0"/>
                <w:bCs/>
                <w:color w:val="auto"/>
                <w:kern w:val="2"/>
                <w:sz w:val="24"/>
                <w:szCs w:val="22"/>
                <w:highlight w:val="none"/>
                <w:lang w:val="en-US" w:eastAsia="zh-CN" w:bidi="ar-SA"/>
              </w:rPr>
            </w:pPr>
          </w:p>
        </w:tc>
      </w:tr>
      <w:tr w14:paraId="0F0C4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3E1451A">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0291E0C3">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421BDBF2">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4FDB4F2">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6D6FDD9B">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12F8995B">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7C128DC0">
            <w:pPr>
              <w:rPr>
                <w:rFonts w:hint="eastAsia" w:ascii="仿宋" w:hAnsi="仿宋" w:eastAsia="仿宋" w:cs="仿宋"/>
                <w:b w:val="0"/>
                <w:bCs/>
                <w:color w:val="auto"/>
                <w:kern w:val="2"/>
                <w:sz w:val="24"/>
                <w:szCs w:val="22"/>
                <w:highlight w:val="none"/>
                <w:lang w:val="en-US" w:eastAsia="zh-CN" w:bidi="ar-SA"/>
              </w:rPr>
            </w:pPr>
          </w:p>
        </w:tc>
      </w:tr>
      <w:tr w14:paraId="79BD0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2CCB904F">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35BEC005">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47C9A77">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43BBF67A">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37788D3E">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01F64718">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3F730BCF">
            <w:pPr>
              <w:rPr>
                <w:rFonts w:hint="eastAsia" w:ascii="仿宋" w:hAnsi="仿宋" w:eastAsia="仿宋" w:cs="仿宋"/>
                <w:b w:val="0"/>
                <w:bCs/>
                <w:color w:val="auto"/>
                <w:kern w:val="2"/>
                <w:sz w:val="24"/>
                <w:szCs w:val="22"/>
                <w:highlight w:val="none"/>
                <w:lang w:val="en-US" w:eastAsia="zh-CN" w:bidi="ar-SA"/>
              </w:rPr>
            </w:pPr>
          </w:p>
        </w:tc>
      </w:tr>
      <w:tr w14:paraId="068C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356B10AF">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17E23C0C">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46C74F4B">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5ED5CCC5">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1AD07DC2">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64B0F18F">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7195DA67">
            <w:pPr>
              <w:rPr>
                <w:rFonts w:hint="eastAsia" w:ascii="仿宋" w:hAnsi="仿宋" w:eastAsia="仿宋" w:cs="仿宋"/>
                <w:b w:val="0"/>
                <w:bCs/>
                <w:color w:val="auto"/>
                <w:kern w:val="2"/>
                <w:sz w:val="24"/>
                <w:szCs w:val="22"/>
                <w:highlight w:val="none"/>
                <w:lang w:val="en-US" w:eastAsia="zh-CN" w:bidi="ar-SA"/>
              </w:rPr>
            </w:pPr>
          </w:p>
        </w:tc>
      </w:tr>
      <w:tr w14:paraId="5E140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16E1AE9">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69052C18">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C1C71FC">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6CCE007">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010E6EAE">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33398830">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467D63C4">
            <w:pPr>
              <w:rPr>
                <w:rFonts w:hint="eastAsia" w:ascii="仿宋" w:hAnsi="仿宋" w:eastAsia="仿宋" w:cs="仿宋"/>
                <w:b w:val="0"/>
                <w:bCs/>
                <w:color w:val="auto"/>
                <w:kern w:val="2"/>
                <w:sz w:val="24"/>
                <w:szCs w:val="22"/>
                <w:highlight w:val="none"/>
                <w:lang w:val="en-US" w:eastAsia="zh-CN" w:bidi="ar-SA"/>
              </w:rPr>
            </w:pPr>
          </w:p>
        </w:tc>
      </w:tr>
      <w:tr w14:paraId="21385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4AB9686F">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5FE6BCC8">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2468B766">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7DAE9BFD">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595761C4">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4C43C225">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2DD5C278">
            <w:pPr>
              <w:rPr>
                <w:rFonts w:hint="eastAsia" w:ascii="仿宋" w:hAnsi="仿宋" w:eastAsia="仿宋" w:cs="仿宋"/>
                <w:b w:val="0"/>
                <w:bCs/>
                <w:color w:val="auto"/>
                <w:kern w:val="2"/>
                <w:sz w:val="24"/>
                <w:szCs w:val="22"/>
                <w:highlight w:val="none"/>
                <w:lang w:val="en-US" w:eastAsia="zh-CN" w:bidi="ar-SA"/>
              </w:rPr>
            </w:pPr>
          </w:p>
        </w:tc>
      </w:tr>
      <w:tr w14:paraId="4D51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7D99E002">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029842E4">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2F757A10">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7E3A078C">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617D7337">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56EC8900">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07D96A90">
            <w:pPr>
              <w:rPr>
                <w:rFonts w:hint="eastAsia" w:ascii="仿宋" w:hAnsi="仿宋" w:eastAsia="仿宋" w:cs="仿宋"/>
                <w:b w:val="0"/>
                <w:bCs/>
                <w:color w:val="auto"/>
                <w:kern w:val="2"/>
                <w:sz w:val="24"/>
                <w:szCs w:val="22"/>
                <w:highlight w:val="none"/>
                <w:lang w:val="en-US" w:eastAsia="zh-CN" w:bidi="ar-SA"/>
              </w:rPr>
            </w:pPr>
          </w:p>
        </w:tc>
      </w:tr>
      <w:tr w14:paraId="57D62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8D85EF3">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5CF1BC61">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BECEA69">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6EAA0071">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6F320253">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0547F89A">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4DF70DEA">
            <w:pPr>
              <w:rPr>
                <w:rFonts w:hint="eastAsia" w:ascii="仿宋" w:hAnsi="仿宋" w:eastAsia="仿宋" w:cs="仿宋"/>
                <w:b w:val="0"/>
                <w:bCs/>
                <w:color w:val="auto"/>
                <w:kern w:val="2"/>
                <w:sz w:val="24"/>
                <w:szCs w:val="22"/>
                <w:highlight w:val="none"/>
                <w:lang w:val="en-US" w:eastAsia="zh-CN" w:bidi="ar-SA"/>
              </w:rPr>
            </w:pPr>
          </w:p>
        </w:tc>
      </w:tr>
      <w:tr w14:paraId="1443D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6922C7B0">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29A2D0BA">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00F53CEE">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5BE77DF8">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34A4E06E">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60E332D1">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0FC89D27">
            <w:pPr>
              <w:rPr>
                <w:rFonts w:hint="eastAsia" w:ascii="仿宋" w:hAnsi="仿宋" w:eastAsia="仿宋" w:cs="仿宋"/>
                <w:b w:val="0"/>
                <w:bCs/>
                <w:color w:val="auto"/>
                <w:kern w:val="2"/>
                <w:sz w:val="24"/>
                <w:szCs w:val="22"/>
                <w:highlight w:val="none"/>
                <w:lang w:val="en-US" w:eastAsia="zh-CN" w:bidi="ar-SA"/>
              </w:rPr>
            </w:pPr>
          </w:p>
        </w:tc>
      </w:tr>
      <w:tr w14:paraId="4F9B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626927DA">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14EDDBE8">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7E79A181">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24EA2921">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6243134C">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6903F6C7">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06737DB6">
            <w:pPr>
              <w:rPr>
                <w:rFonts w:hint="eastAsia" w:ascii="仿宋" w:hAnsi="仿宋" w:eastAsia="仿宋" w:cs="仿宋"/>
                <w:b w:val="0"/>
                <w:bCs/>
                <w:color w:val="auto"/>
                <w:kern w:val="2"/>
                <w:sz w:val="24"/>
                <w:szCs w:val="22"/>
                <w:highlight w:val="none"/>
                <w:lang w:val="en-US" w:eastAsia="zh-CN" w:bidi="ar-SA"/>
              </w:rPr>
            </w:pPr>
          </w:p>
        </w:tc>
      </w:tr>
      <w:tr w14:paraId="78619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67" w:type="dxa"/>
            <w:noWrap w:val="0"/>
            <w:vAlign w:val="top"/>
          </w:tcPr>
          <w:p w14:paraId="4B0343B5">
            <w:pPr>
              <w:rPr>
                <w:rFonts w:hint="eastAsia" w:ascii="仿宋" w:hAnsi="仿宋" w:eastAsia="仿宋" w:cs="仿宋"/>
                <w:b w:val="0"/>
                <w:bCs/>
                <w:color w:val="auto"/>
                <w:kern w:val="2"/>
                <w:sz w:val="24"/>
                <w:szCs w:val="22"/>
                <w:highlight w:val="none"/>
                <w:lang w:val="en-US" w:eastAsia="zh-CN" w:bidi="ar-SA"/>
              </w:rPr>
            </w:pPr>
          </w:p>
        </w:tc>
        <w:tc>
          <w:tcPr>
            <w:tcW w:w="1456" w:type="dxa"/>
            <w:noWrap w:val="0"/>
            <w:vAlign w:val="top"/>
          </w:tcPr>
          <w:p w14:paraId="1155B304">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74493A39">
            <w:pPr>
              <w:rPr>
                <w:rFonts w:hint="eastAsia" w:ascii="仿宋" w:hAnsi="仿宋" w:eastAsia="仿宋" w:cs="仿宋"/>
                <w:b w:val="0"/>
                <w:bCs/>
                <w:color w:val="auto"/>
                <w:kern w:val="2"/>
                <w:sz w:val="24"/>
                <w:szCs w:val="22"/>
                <w:highlight w:val="none"/>
                <w:lang w:val="en-US" w:eastAsia="zh-CN" w:bidi="ar-SA"/>
              </w:rPr>
            </w:pPr>
          </w:p>
        </w:tc>
        <w:tc>
          <w:tcPr>
            <w:tcW w:w="1117" w:type="dxa"/>
            <w:noWrap w:val="0"/>
            <w:vAlign w:val="top"/>
          </w:tcPr>
          <w:p w14:paraId="4A45F40F">
            <w:pPr>
              <w:rPr>
                <w:rFonts w:hint="eastAsia" w:ascii="仿宋" w:hAnsi="仿宋" w:eastAsia="仿宋" w:cs="仿宋"/>
                <w:b w:val="0"/>
                <w:bCs/>
                <w:color w:val="auto"/>
                <w:kern w:val="2"/>
                <w:sz w:val="24"/>
                <w:szCs w:val="22"/>
                <w:highlight w:val="none"/>
                <w:lang w:val="en-US" w:eastAsia="zh-CN" w:bidi="ar-SA"/>
              </w:rPr>
            </w:pPr>
          </w:p>
        </w:tc>
        <w:tc>
          <w:tcPr>
            <w:tcW w:w="1922" w:type="dxa"/>
            <w:noWrap w:val="0"/>
            <w:vAlign w:val="top"/>
          </w:tcPr>
          <w:p w14:paraId="7B8AC133">
            <w:pPr>
              <w:rPr>
                <w:rFonts w:hint="eastAsia" w:ascii="仿宋" w:hAnsi="仿宋" w:eastAsia="仿宋" w:cs="仿宋"/>
                <w:b w:val="0"/>
                <w:bCs/>
                <w:color w:val="auto"/>
                <w:kern w:val="2"/>
                <w:sz w:val="24"/>
                <w:szCs w:val="22"/>
                <w:highlight w:val="none"/>
                <w:lang w:val="en-US" w:eastAsia="zh-CN" w:bidi="ar-SA"/>
              </w:rPr>
            </w:pPr>
          </w:p>
        </w:tc>
        <w:tc>
          <w:tcPr>
            <w:tcW w:w="1185" w:type="dxa"/>
            <w:noWrap w:val="0"/>
            <w:vAlign w:val="top"/>
          </w:tcPr>
          <w:p w14:paraId="28104201">
            <w:pPr>
              <w:rPr>
                <w:rFonts w:hint="eastAsia" w:ascii="仿宋" w:hAnsi="仿宋" w:eastAsia="仿宋" w:cs="仿宋"/>
                <w:b w:val="0"/>
                <w:bCs/>
                <w:color w:val="auto"/>
                <w:kern w:val="2"/>
                <w:sz w:val="24"/>
                <w:szCs w:val="22"/>
                <w:highlight w:val="none"/>
                <w:lang w:val="en-US" w:eastAsia="zh-CN" w:bidi="ar-SA"/>
              </w:rPr>
            </w:pPr>
          </w:p>
        </w:tc>
        <w:tc>
          <w:tcPr>
            <w:tcW w:w="968" w:type="dxa"/>
            <w:noWrap w:val="0"/>
            <w:vAlign w:val="top"/>
          </w:tcPr>
          <w:p w14:paraId="63EBB560">
            <w:pPr>
              <w:rPr>
                <w:rFonts w:hint="eastAsia" w:ascii="仿宋" w:hAnsi="仿宋" w:eastAsia="仿宋" w:cs="仿宋"/>
                <w:b w:val="0"/>
                <w:bCs/>
                <w:color w:val="auto"/>
                <w:kern w:val="2"/>
                <w:sz w:val="24"/>
                <w:szCs w:val="22"/>
                <w:highlight w:val="none"/>
                <w:lang w:val="en-US" w:eastAsia="zh-CN" w:bidi="ar-SA"/>
              </w:rPr>
            </w:pPr>
          </w:p>
        </w:tc>
      </w:tr>
    </w:tbl>
    <w:p w14:paraId="00C8D385">
      <w:pPr>
        <w:spacing w:before="242" w:line="559" w:lineRule="exact"/>
        <w:ind w:left="125"/>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备注 ：根据招标文件评标标准中要求提供业绩的，投标人所列业绩应按其要求将证明材料按顺序附后。</w:t>
      </w:r>
    </w:p>
    <w:p w14:paraId="4EF6E797">
      <w:pPr>
        <w:pStyle w:val="8"/>
        <w:spacing w:line="258" w:lineRule="auto"/>
        <w:rPr>
          <w:rFonts w:hint="eastAsia" w:ascii="仿宋" w:hAnsi="仿宋" w:eastAsia="仿宋" w:cs="仿宋"/>
          <w:b w:val="0"/>
          <w:bCs/>
          <w:color w:val="auto"/>
          <w:kern w:val="2"/>
          <w:sz w:val="24"/>
          <w:szCs w:val="22"/>
          <w:highlight w:val="none"/>
          <w:lang w:val="en-US" w:eastAsia="zh-CN" w:bidi="ar-SA"/>
        </w:rPr>
      </w:pPr>
    </w:p>
    <w:p w14:paraId="031DDE96">
      <w:pPr>
        <w:spacing w:before="78" w:line="569" w:lineRule="exact"/>
        <w:ind w:right="68"/>
        <w:jc w:val="both"/>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投标人全称（盖章） ：</w:t>
      </w:r>
    </w:p>
    <w:p w14:paraId="0FF2289B">
      <w:pPr>
        <w:spacing w:before="1" w:line="219" w:lineRule="auto"/>
        <w:ind w:left="4414"/>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法定代表人或授权代表（签字盖章） ：</w:t>
      </w:r>
    </w:p>
    <w:p w14:paraId="7C18F341">
      <w:pPr>
        <w:spacing w:before="286" w:line="220" w:lineRule="auto"/>
        <w:ind w:left="5384"/>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日   期 ：    年  月   日</w:t>
      </w:r>
    </w:p>
    <w:p w14:paraId="4C6DEF68">
      <w:pPr>
        <w:spacing w:line="220" w:lineRule="auto"/>
        <w:rPr>
          <w:rFonts w:hint="eastAsia" w:ascii="仿宋" w:hAnsi="仿宋" w:eastAsia="仿宋" w:cs="仿宋"/>
          <w:b w:val="0"/>
          <w:bCs/>
          <w:color w:val="auto"/>
          <w:kern w:val="2"/>
          <w:sz w:val="24"/>
          <w:szCs w:val="22"/>
          <w:highlight w:val="none"/>
          <w:lang w:val="en-US" w:eastAsia="zh-CN" w:bidi="ar-SA"/>
        </w:rPr>
        <w:sectPr>
          <w:headerReference r:id="rId9" w:type="default"/>
          <w:footerReference r:id="rId10" w:type="default"/>
          <w:type w:val="continuous"/>
          <w:pgSz w:w="11906" w:h="16839"/>
          <w:pgMar w:top="1118" w:right="1684" w:bottom="1152" w:left="1684" w:header="878" w:footer="987" w:gutter="0"/>
          <w:pgNumType w:fmt="decimal"/>
          <w:cols w:space="720" w:num="1"/>
        </w:sectPr>
      </w:pPr>
    </w:p>
    <w:p w14:paraId="21A285D2">
      <w:pPr>
        <w:ind w:left="0" w:leftChars="0" w:firstLine="0" w:firstLineChars="0"/>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附件二十一</w:t>
      </w:r>
    </w:p>
    <w:p w14:paraId="6D026727">
      <w:pPr>
        <w:rPr>
          <w:rFonts w:hint="eastAsia" w:ascii="仿宋" w:hAnsi="仿宋" w:eastAsia="仿宋" w:cs="仿宋"/>
          <w:b/>
          <w:bCs w:val="0"/>
          <w:color w:val="auto"/>
          <w:kern w:val="2"/>
          <w:sz w:val="28"/>
          <w:szCs w:val="28"/>
          <w:highlight w:val="none"/>
          <w:lang w:val="en-US" w:eastAsia="zh-CN" w:bidi="ar-SA"/>
        </w:rPr>
      </w:pPr>
    </w:p>
    <w:p w14:paraId="322B6FE5">
      <w:pPr>
        <w:rPr>
          <w:rFonts w:hint="eastAsia" w:ascii="仿宋" w:hAnsi="仿宋" w:eastAsia="仿宋" w:cs="仿宋"/>
          <w:b/>
          <w:bCs w:val="0"/>
          <w:color w:val="auto"/>
          <w:kern w:val="2"/>
          <w:sz w:val="28"/>
          <w:szCs w:val="28"/>
          <w:highlight w:val="none"/>
          <w:lang w:val="en-US" w:eastAsia="zh-CN" w:bidi="ar-SA"/>
        </w:rPr>
      </w:pPr>
    </w:p>
    <w:p w14:paraId="73481E65">
      <w:pPr>
        <w:rPr>
          <w:rFonts w:hint="eastAsia" w:ascii="仿宋" w:hAnsi="仿宋" w:eastAsia="仿宋" w:cs="仿宋"/>
          <w:b/>
          <w:bCs w:val="0"/>
          <w:color w:val="auto"/>
          <w:kern w:val="2"/>
          <w:sz w:val="28"/>
          <w:szCs w:val="28"/>
          <w:highlight w:val="none"/>
          <w:lang w:val="en-US" w:eastAsia="zh-CN" w:bidi="ar-SA"/>
        </w:rPr>
      </w:pPr>
    </w:p>
    <w:p w14:paraId="27A1A9E1">
      <w:pPr>
        <w:widowControl/>
        <w:adjustRightInd w:val="0"/>
        <w:snapToGri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技术方案</w:t>
      </w:r>
    </w:p>
    <w:p w14:paraId="2364725E">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（根据需要编写，格式自制）</w:t>
      </w:r>
    </w:p>
    <w:p w14:paraId="2BC370F4">
      <w:pPr>
        <w:spacing w:line="440" w:lineRule="exact"/>
        <w:ind w:firstLine="420" w:firstLineChars="200"/>
        <w:rPr>
          <w:rFonts w:hint="eastAsia" w:ascii="仿宋" w:hAnsi="仿宋" w:eastAsia="仿宋" w:cs="仿宋"/>
          <w:color w:val="auto"/>
          <w:sz w:val="21"/>
          <w:szCs w:val="21"/>
          <w:highlight w:val="none"/>
        </w:rPr>
      </w:pPr>
    </w:p>
    <w:p w14:paraId="3972260B">
      <w:pPr>
        <w:spacing w:line="440" w:lineRule="exact"/>
        <w:ind w:firstLine="420" w:firstLineChars="200"/>
        <w:outlineLvl w:val="2"/>
        <w:rPr>
          <w:rFonts w:hint="eastAsia" w:ascii="仿宋" w:hAnsi="仿宋" w:eastAsia="仿宋" w:cs="仿宋"/>
          <w:color w:val="auto"/>
          <w:sz w:val="21"/>
          <w:szCs w:val="21"/>
          <w:highlight w:val="none"/>
        </w:rPr>
      </w:pPr>
      <w:bookmarkStart w:id="603" w:name="_Toc6353"/>
      <w:r>
        <w:rPr>
          <w:rFonts w:hint="eastAsia" w:ascii="仿宋" w:hAnsi="仿宋" w:eastAsia="仿宋" w:cs="仿宋"/>
          <w:color w:val="auto"/>
          <w:sz w:val="21"/>
          <w:szCs w:val="21"/>
          <w:highlight w:val="none"/>
        </w:rPr>
        <w:t xml:space="preserve">1、 </w:t>
      </w:r>
      <w:r>
        <w:rPr>
          <w:rFonts w:hint="eastAsia" w:ascii="仿宋" w:hAnsi="仿宋" w:eastAsia="仿宋" w:cs="仿宋"/>
          <w:sz w:val="21"/>
          <w:szCs w:val="21"/>
          <w:highlight w:val="none"/>
          <w:lang w:val="en-US" w:eastAsia="zh-CN"/>
        </w:rPr>
        <w:t>整体服务方案</w:t>
      </w:r>
      <w:r>
        <w:rPr>
          <w:rFonts w:hint="eastAsia" w:ascii="仿宋" w:hAnsi="仿宋" w:eastAsia="仿宋" w:cs="仿宋"/>
          <w:color w:val="auto"/>
          <w:sz w:val="21"/>
          <w:szCs w:val="21"/>
          <w:highlight w:val="none"/>
        </w:rPr>
        <w:t>；</w:t>
      </w:r>
      <w:bookmarkEnd w:id="603"/>
    </w:p>
    <w:p w14:paraId="097A9CC7">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sz w:val="21"/>
          <w:szCs w:val="21"/>
          <w:highlight w:val="none"/>
          <w:lang w:val="en-US" w:eastAsia="zh-CN"/>
        </w:rPr>
        <w:t>项目实施方案；</w:t>
      </w:r>
      <w:r>
        <w:rPr>
          <w:rFonts w:hint="eastAsia" w:ascii="仿宋" w:hAnsi="仿宋" w:eastAsia="仿宋" w:cs="仿宋"/>
          <w:color w:val="auto"/>
          <w:sz w:val="21"/>
          <w:szCs w:val="21"/>
          <w:highlight w:val="none"/>
        </w:rPr>
        <w:t>（格式自拟）</w:t>
      </w:r>
    </w:p>
    <w:p w14:paraId="587E39CB">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sz w:val="21"/>
          <w:szCs w:val="21"/>
          <w:highlight w:val="none"/>
          <w:lang w:val="en-US" w:eastAsia="zh-CN"/>
        </w:rPr>
        <w:t>质量管理方案；</w:t>
      </w:r>
      <w:r>
        <w:rPr>
          <w:rFonts w:hint="eastAsia" w:ascii="仿宋" w:hAnsi="仿宋" w:eastAsia="仿宋" w:cs="仿宋"/>
          <w:color w:val="auto"/>
          <w:sz w:val="21"/>
          <w:szCs w:val="21"/>
          <w:highlight w:val="none"/>
        </w:rPr>
        <w:t>（格式自拟）</w:t>
      </w:r>
    </w:p>
    <w:p w14:paraId="5F2E10AC">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产品参数指标产品性能</w:t>
      </w:r>
      <w:r>
        <w:rPr>
          <w:rFonts w:hint="eastAsia" w:ascii="仿宋" w:hAnsi="仿宋" w:eastAsia="仿宋" w:cs="仿宋"/>
          <w:color w:val="auto"/>
          <w:sz w:val="21"/>
          <w:szCs w:val="21"/>
          <w:highlight w:val="none"/>
        </w:rPr>
        <w:t>；（格式自拟）</w:t>
      </w:r>
    </w:p>
    <w:p w14:paraId="63F124B5">
      <w:pPr>
        <w:numPr>
          <w:ilvl w:val="0"/>
          <w:numId w:val="11"/>
        </w:numPr>
        <w:spacing w:line="440" w:lineRule="exact"/>
        <w:ind w:leftChars="200" w:right="62" w:right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培训方案；</w:t>
      </w:r>
      <w:r>
        <w:rPr>
          <w:rFonts w:hint="eastAsia" w:ascii="仿宋" w:hAnsi="仿宋" w:eastAsia="仿宋" w:cs="仿宋"/>
          <w:color w:val="auto"/>
          <w:sz w:val="21"/>
          <w:szCs w:val="21"/>
          <w:highlight w:val="none"/>
        </w:rPr>
        <w:t>（格式自拟）</w:t>
      </w:r>
    </w:p>
    <w:p w14:paraId="2A08093E">
      <w:pPr>
        <w:numPr>
          <w:ilvl w:val="0"/>
          <w:numId w:val="11"/>
        </w:numPr>
        <w:spacing w:line="440" w:lineRule="exact"/>
        <w:ind w:leftChars="200" w:right="62"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售后服务；</w:t>
      </w:r>
      <w:r>
        <w:rPr>
          <w:rFonts w:hint="eastAsia" w:ascii="仿宋" w:hAnsi="仿宋" w:eastAsia="仿宋" w:cs="仿宋"/>
          <w:color w:val="auto"/>
          <w:sz w:val="21"/>
          <w:szCs w:val="21"/>
          <w:highlight w:val="none"/>
        </w:rPr>
        <w:t>（格式自拟）</w:t>
      </w:r>
    </w:p>
    <w:p w14:paraId="1DF451F3">
      <w:pPr>
        <w:pStyle w:val="90"/>
        <w:rPr>
          <w:rFonts w:hint="eastAsia" w:ascii="仿宋" w:hAnsi="仿宋" w:eastAsia="仿宋" w:cs="仿宋"/>
          <w:sz w:val="24"/>
          <w:szCs w:val="24"/>
          <w:highlight w:val="none"/>
        </w:rPr>
      </w:pPr>
      <w:r>
        <w:rPr>
          <w:rFonts w:hint="eastAsia" w:ascii="仿宋" w:hAnsi="仿宋" w:eastAsia="仿宋" w:cs="仿宋"/>
          <w:sz w:val="24"/>
          <w:szCs w:val="24"/>
          <w:highlight w:val="none"/>
        </w:rPr>
        <w:t>请投标人根据招标文件“评分因素及评标标准”中的要求，按顺序提供详细的方案、证明材料等，自行编排序号。投标人认为必需的其他内容。</w:t>
      </w:r>
    </w:p>
    <w:p w14:paraId="28637BC1">
      <w:pPr>
        <w:spacing w:line="440" w:lineRule="exact"/>
        <w:ind w:firstLine="420" w:firstLineChars="200"/>
        <w:rPr>
          <w:rFonts w:hint="eastAsia" w:ascii="仿宋" w:hAnsi="仿宋" w:eastAsia="仿宋" w:cs="仿宋"/>
          <w:color w:val="auto"/>
          <w:sz w:val="21"/>
          <w:szCs w:val="21"/>
          <w:highlight w:val="none"/>
        </w:rPr>
      </w:pPr>
    </w:p>
    <w:p w14:paraId="01B03D41">
      <w:pPr>
        <w:spacing w:line="440" w:lineRule="exact"/>
        <w:ind w:firstLine="420" w:firstLineChars="200"/>
        <w:rPr>
          <w:rFonts w:hint="eastAsia" w:ascii="仿宋" w:hAnsi="仿宋" w:eastAsia="仿宋" w:cs="仿宋"/>
          <w:color w:val="auto"/>
          <w:sz w:val="21"/>
          <w:szCs w:val="21"/>
          <w:highlight w:val="none"/>
        </w:rPr>
      </w:pPr>
    </w:p>
    <w:p w14:paraId="73F5996F">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上述内容仅供参考，如有不足，请自行补充提供。</w:t>
      </w:r>
    </w:p>
    <w:p w14:paraId="697D7857">
      <w:pPr>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1"/>
          <w:szCs w:val="21"/>
          <w:highlight w:val="none"/>
          <w:lang w:val="en-US" w:eastAsia="zh-CN" w:bidi="ar-SA"/>
        </w:rPr>
        <w:br w:type="page"/>
      </w:r>
      <w:bookmarkStart w:id="604" w:name="_Toc31589"/>
      <w:r>
        <w:rPr>
          <w:rFonts w:hint="eastAsia" w:ascii="仿宋" w:hAnsi="仿宋" w:eastAsia="仿宋" w:cs="仿宋"/>
          <w:b/>
          <w:bCs w:val="0"/>
          <w:color w:val="auto"/>
          <w:kern w:val="2"/>
          <w:sz w:val="28"/>
          <w:szCs w:val="24"/>
          <w:highlight w:val="none"/>
          <w:lang w:val="en-US" w:eastAsia="zh-CN" w:bidi="ar-SA"/>
        </w:rPr>
        <w:t>附件</w:t>
      </w:r>
      <w:bookmarkEnd w:id="604"/>
      <w:r>
        <w:rPr>
          <w:rFonts w:hint="eastAsia" w:ascii="仿宋" w:hAnsi="仿宋" w:eastAsia="仿宋" w:cs="仿宋"/>
          <w:b/>
          <w:bCs w:val="0"/>
          <w:color w:val="auto"/>
          <w:kern w:val="2"/>
          <w:sz w:val="28"/>
          <w:szCs w:val="24"/>
          <w:highlight w:val="none"/>
          <w:lang w:val="en-US" w:eastAsia="zh-CN" w:bidi="ar-SA"/>
        </w:rPr>
        <w:t>二十二</w:t>
      </w:r>
    </w:p>
    <w:p w14:paraId="341B5C16">
      <w:pPr>
        <w:jc w:val="center"/>
        <w:rPr>
          <w:rFonts w:hint="eastAsia" w:ascii="仿宋" w:hAnsi="仿宋" w:eastAsia="仿宋" w:cs="仿宋"/>
          <w:b/>
          <w:bCs w:val="0"/>
          <w:color w:val="auto"/>
          <w:kern w:val="2"/>
          <w:sz w:val="32"/>
          <w:szCs w:val="28"/>
          <w:highlight w:val="none"/>
          <w:lang w:val="en-US" w:eastAsia="zh-CN" w:bidi="ar-SA"/>
        </w:rPr>
      </w:pPr>
    </w:p>
    <w:p w14:paraId="3A819196">
      <w:pPr>
        <w:jc w:val="center"/>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b/>
          <w:bCs w:val="0"/>
          <w:color w:val="auto"/>
          <w:kern w:val="2"/>
          <w:sz w:val="32"/>
          <w:szCs w:val="28"/>
          <w:highlight w:val="none"/>
          <w:lang w:val="en-US" w:eastAsia="zh-CN" w:bidi="ar-SA"/>
        </w:rPr>
        <w:t>服务承诺书</w:t>
      </w:r>
    </w:p>
    <w:p w14:paraId="63EB3349">
      <w:pPr>
        <w:jc w:val="center"/>
        <w:rPr>
          <w:rFonts w:hint="eastAsia" w:ascii="仿宋" w:hAnsi="仿宋" w:eastAsia="仿宋" w:cs="仿宋"/>
          <w:b/>
          <w:bCs w:val="0"/>
          <w:color w:val="auto"/>
          <w:kern w:val="2"/>
          <w:sz w:val="32"/>
          <w:szCs w:val="28"/>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仿宋" w:hAnsi="仿宋" w:eastAsia="仿宋" w:cs="仿宋"/>
          <w:b/>
          <w:bCs w:val="0"/>
          <w:color w:val="auto"/>
          <w:kern w:val="2"/>
          <w:sz w:val="32"/>
          <w:szCs w:val="28"/>
          <w:highlight w:val="none"/>
          <w:lang w:val="en-US" w:eastAsia="zh-CN" w:bidi="ar-SA"/>
        </w:rPr>
        <w:t>根据本项目的情况，给出服务承诺；格式自拟。</w:t>
      </w:r>
    </w:p>
    <w:p w14:paraId="29930B7D">
      <w:pPr>
        <w:jc w:val="both"/>
        <w:rPr>
          <w:rFonts w:hint="eastAsia" w:ascii="仿宋" w:hAnsi="仿宋" w:eastAsia="仿宋" w:cs="仿宋"/>
          <w:b/>
          <w:bCs w:val="0"/>
          <w:color w:val="auto"/>
          <w:kern w:val="2"/>
          <w:sz w:val="28"/>
          <w:szCs w:val="24"/>
          <w:highlight w:val="none"/>
          <w:lang w:val="en-US" w:eastAsia="zh-CN" w:bidi="ar-SA"/>
        </w:rPr>
      </w:pPr>
    </w:p>
    <w:p w14:paraId="18B7EEB3">
      <w:pPr>
        <w:ind w:left="0" w:leftChars="0" w:firstLine="0" w:firstLineChars="0"/>
        <w:jc w:val="both"/>
        <w:outlineLvl w:val="9"/>
        <w:rPr>
          <w:rFonts w:hint="eastAsia" w:ascii="仿宋" w:hAnsi="仿宋" w:eastAsia="仿宋" w:cs="仿宋"/>
          <w:b/>
          <w:bCs w:val="0"/>
          <w:color w:val="auto"/>
          <w:kern w:val="2"/>
          <w:sz w:val="28"/>
          <w:szCs w:val="24"/>
          <w:highlight w:val="none"/>
          <w:lang w:val="en-US" w:eastAsia="zh-CN" w:bidi="ar-SA"/>
        </w:rPr>
      </w:pPr>
    </w:p>
    <w:p w14:paraId="24F95015">
      <w:pPr>
        <w:jc w:val="both"/>
        <w:outlineLvl w:val="9"/>
        <w:rPr>
          <w:rFonts w:hint="eastAsia" w:ascii="仿宋" w:hAnsi="仿宋" w:eastAsia="仿宋" w:cs="仿宋"/>
          <w:b/>
          <w:bCs w:val="0"/>
          <w:color w:val="auto"/>
          <w:kern w:val="2"/>
          <w:sz w:val="28"/>
          <w:szCs w:val="24"/>
          <w:highlight w:val="none"/>
          <w:lang w:val="en-US" w:eastAsia="zh-CN" w:bidi="ar-SA"/>
        </w:rPr>
      </w:pPr>
      <w:bookmarkStart w:id="605" w:name="_Toc18677"/>
      <w:bookmarkStart w:id="606" w:name="_Toc5601"/>
      <w:bookmarkStart w:id="607" w:name="_Toc1675"/>
      <w:r>
        <w:rPr>
          <w:rFonts w:hint="eastAsia" w:ascii="仿宋" w:hAnsi="仿宋" w:eastAsia="仿宋" w:cs="仿宋"/>
          <w:b/>
          <w:bCs w:val="0"/>
          <w:color w:val="auto"/>
          <w:kern w:val="2"/>
          <w:sz w:val="28"/>
          <w:szCs w:val="24"/>
          <w:highlight w:val="none"/>
          <w:lang w:val="en-US" w:eastAsia="zh-CN" w:bidi="ar-SA"/>
        </w:rPr>
        <w:t>附件</w:t>
      </w:r>
      <w:bookmarkEnd w:id="605"/>
      <w:bookmarkEnd w:id="606"/>
      <w:bookmarkEnd w:id="607"/>
      <w:r>
        <w:rPr>
          <w:rFonts w:hint="eastAsia" w:ascii="仿宋" w:hAnsi="仿宋" w:eastAsia="仿宋" w:cs="仿宋"/>
          <w:b/>
          <w:bCs w:val="0"/>
          <w:color w:val="auto"/>
          <w:kern w:val="2"/>
          <w:sz w:val="28"/>
          <w:szCs w:val="24"/>
          <w:highlight w:val="none"/>
          <w:lang w:val="en-US" w:eastAsia="zh-CN" w:bidi="ar-SA"/>
        </w:rPr>
        <w:t>二十三</w:t>
      </w:r>
    </w:p>
    <w:p w14:paraId="384C40F8">
      <w:pPr>
        <w:jc w:val="center"/>
        <w:outlineLvl w:val="9"/>
        <w:rPr>
          <w:rFonts w:hint="eastAsia" w:ascii="仿宋" w:hAnsi="仿宋" w:eastAsia="仿宋" w:cs="仿宋"/>
          <w:b/>
          <w:sz w:val="30"/>
          <w:szCs w:val="30"/>
          <w:highlight w:val="none"/>
        </w:rPr>
      </w:pPr>
    </w:p>
    <w:p w14:paraId="3D133135">
      <w:pPr>
        <w:jc w:val="center"/>
        <w:outlineLvl w:val="9"/>
        <w:rPr>
          <w:rFonts w:hint="eastAsia" w:ascii="仿宋" w:hAnsi="仿宋" w:eastAsia="仿宋" w:cs="仿宋"/>
          <w:b/>
          <w:sz w:val="30"/>
          <w:szCs w:val="30"/>
          <w:highlight w:val="none"/>
        </w:rPr>
      </w:pPr>
      <w:bookmarkStart w:id="608" w:name="_Toc29985"/>
      <w:bookmarkStart w:id="609" w:name="_Toc2648"/>
      <w:bookmarkStart w:id="610" w:name="_Toc29685"/>
      <w:r>
        <w:rPr>
          <w:rFonts w:hint="eastAsia" w:ascii="仿宋" w:hAnsi="仿宋" w:eastAsia="仿宋" w:cs="仿宋"/>
          <w:b/>
          <w:sz w:val="30"/>
          <w:szCs w:val="30"/>
          <w:highlight w:val="none"/>
        </w:rPr>
        <w:t>其他有利于投标人的资料（如有）</w:t>
      </w:r>
      <w:bookmarkEnd w:id="608"/>
      <w:bookmarkEnd w:id="609"/>
      <w:bookmarkEnd w:id="610"/>
    </w:p>
    <w:p w14:paraId="1BB9A456">
      <w:pPr>
        <w:pStyle w:val="4"/>
        <w:shd w:val="clear" w:color="auto" w:fill="auto"/>
        <w:jc w:val="center"/>
        <w:rPr>
          <w:rFonts w:hint="eastAsia" w:ascii="仿宋" w:hAnsi="仿宋" w:eastAsia="仿宋" w:cs="仿宋"/>
          <w:color w:val="auto"/>
          <w:highlight w:val="none"/>
        </w:rPr>
      </w:pPr>
      <w:bookmarkStart w:id="611" w:name="_Toc29473"/>
      <w:bookmarkStart w:id="612" w:name="_Toc23573"/>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中小企业划分标准</w:t>
      </w:r>
      <w:bookmarkEnd w:id="611"/>
      <w:bookmarkEnd w:id="612"/>
    </w:p>
    <w:p w14:paraId="4864210C">
      <w:pPr>
        <w:shd w:val="clear" w:color="auto" w:fill="auto"/>
        <w:ind w:firstLine="480" w:firstLineChars="200"/>
        <w:rPr>
          <w:rFonts w:hint="eastAsia" w:ascii="仿宋" w:hAnsi="仿宋" w:eastAsia="仿宋" w:cs="仿宋"/>
          <w:color w:val="auto"/>
          <w:sz w:val="24"/>
          <w:highlight w:val="none"/>
          <w:lang w:eastAsia="zh-CN"/>
        </w:rPr>
      </w:pPr>
      <w:bookmarkStart w:id="613" w:name="bookmark4"/>
      <w:bookmarkStart w:id="614" w:name="bookmark5"/>
      <w:r>
        <w:rPr>
          <w:rFonts w:hint="eastAsia" w:ascii="仿宋" w:hAnsi="仿宋" w:eastAsia="仿宋" w:cs="仿宋"/>
          <w:color w:val="auto"/>
          <w:sz w:val="24"/>
          <w:highlight w:val="none"/>
        </w:rPr>
        <w:t>工业和信息化部、国家统计局、发展改革委、财政部等四部门《关于印发中小企业划型标准规定的通知》（工信部联企业〔2011〕300号）规定中小企业划型标准如表所示</w:t>
      </w:r>
      <w:bookmarkEnd w:id="613"/>
      <w:bookmarkEnd w:id="614"/>
      <w:r>
        <w:rPr>
          <w:rFonts w:hint="eastAsia" w:ascii="仿宋" w:hAnsi="仿宋" w:eastAsia="仿宋" w:cs="仿宋"/>
          <w:color w:val="auto"/>
          <w:sz w:val="24"/>
          <w:highlight w:val="none"/>
          <w:lang w:eastAsia="zh-CN"/>
        </w:rPr>
        <w:t xml:space="preserve"> ：</w:t>
      </w:r>
    </w:p>
    <w:tbl>
      <w:tblPr>
        <w:tblStyle w:val="7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9"/>
        <w:gridCol w:w="1049"/>
        <w:gridCol w:w="6990"/>
      </w:tblGrid>
      <w:tr w14:paraId="66B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6CFB68D8">
            <w:pPr>
              <w:pStyle w:val="182"/>
              <w:shd w:val="clear" w:color="auto" w:fill="auto"/>
              <w:spacing w:line="240" w:lineRule="auto"/>
              <w:ind w:firstLine="2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农、林、牧、渔业</w:t>
            </w:r>
          </w:p>
        </w:tc>
        <w:tc>
          <w:tcPr>
            <w:tcW w:w="4114" w:type="pct"/>
            <w:gridSpan w:val="2"/>
            <w:shd w:val="clear" w:color="auto" w:fill="FFFFFF"/>
            <w:noWrap w:val="0"/>
            <w:vAlign w:val="center"/>
          </w:tcPr>
          <w:p w14:paraId="671B626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营业收入20000万元以下的为中小微型企业。</w:t>
            </w:r>
          </w:p>
        </w:tc>
      </w:tr>
      <w:tr w14:paraId="2689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5C4AD5A">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0A6AB175">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2D32ABDD">
            <w:pPr>
              <w:pStyle w:val="182"/>
              <w:shd w:val="clear" w:color="auto" w:fill="auto"/>
              <w:tabs>
                <w:tab w:val="left" w:pos="1930"/>
              </w:tabs>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500万元</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20 000万元</w:t>
            </w:r>
          </w:p>
        </w:tc>
      </w:tr>
      <w:tr w14:paraId="6653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394E852">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29A20892">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4761D75C">
            <w:pPr>
              <w:pStyle w:val="182"/>
              <w:shd w:val="clear" w:color="auto" w:fill="auto"/>
              <w:tabs>
                <w:tab w:val="left" w:pos="1752"/>
              </w:tabs>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50万元</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500万元</w:t>
            </w:r>
          </w:p>
        </w:tc>
      </w:tr>
      <w:tr w14:paraId="579F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07D2CCF">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2C03FD9">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090E6CF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50万元以下</w:t>
            </w:r>
          </w:p>
        </w:tc>
      </w:tr>
      <w:tr w14:paraId="03E8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234A4D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w:t>
            </w:r>
          </w:p>
          <w:p w14:paraId="3AF8B304">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（包括采矿业，制造业，电力、热力、燃气及水生产和供应</w:t>
            </w:r>
          </w:p>
          <w:p w14:paraId="20422E0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w:t>
            </w:r>
          </w:p>
        </w:tc>
        <w:tc>
          <w:tcPr>
            <w:tcW w:w="4114" w:type="pct"/>
            <w:gridSpan w:val="2"/>
            <w:shd w:val="clear" w:color="auto" w:fill="FFFFFF"/>
            <w:noWrap w:val="0"/>
            <w:vAlign w:val="center"/>
          </w:tcPr>
          <w:p w14:paraId="20EE1485">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40000万元以下的为中小微型企业。</w:t>
            </w:r>
          </w:p>
        </w:tc>
      </w:tr>
      <w:tr w14:paraId="1DFF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84A4B07">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1D3C1CB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1F20D4D3">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2 000万元一40 000万元</w:t>
            </w:r>
          </w:p>
        </w:tc>
      </w:tr>
      <w:tr w14:paraId="2895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9BF090B">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ECEC25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2281A99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300万元一2 000万元</w:t>
            </w:r>
          </w:p>
        </w:tc>
      </w:tr>
      <w:tr w14:paraId="06EC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3E68E37">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1F839D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725F9853">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300万元以下</w:t>
            </w:r>
          </w:p>
        </w:tc>
      </w:tr>
      <w:tr w14:paraId="32F3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EC3DA8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建筑业</w:t>
            </w:r>
          </w:p>
        </w:tc>
        <w:tc>
          <w:tcPr>
            <w:tcW w:w="4114" w:type="pct"/>
            <w:gridSpan w:val="2"/>
            <w:shd w:val="clear" w:color="auto" w:fill="FFFFFF"/>
            <w:noWrap w:val="0"/>
            <w:vAlign w:val="center"/>
          </w:tcPr>
          <w:p w14:paraId="3E1560A0">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营业收入80000万元以下或资产总额 80000万元以下的为中小微型企业。</w:t>
            </w:r>
          </w:p>
        </w:tc>
      </w:tr>
      <w:tr w14:paraId="443B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BFD6FB6">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87400E9">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0028798E">
            <w:pPr>
              <w:pStyle w:val="182"/>
              <w:shd w:val="clear" w:color="auto" w:fill="auto"/>
              <w:spacing w:line="240" w:lineRule="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营业收入6000万元一80000万元，且资产总额 5 000万元一80 000 万元</w:t>
            </w:r>
          </w:p>
        </w:tc>
      </w:tr>
      <w:tr w14:paraId="2A15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11B84EA">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88AA3B7">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63A53DA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 300万元一6 000万元，且资产总额 300万一5 000万元</w:t>
            </w:r>
          </w:p>
        </w:tc>
      </w:tr>
      <w:tr w14:paraId="27E0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0B349D5">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B856497">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34F6372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营业收入300万元以下或资产总额 300万元以下</w:t>
            </w:r>
          </w:p>
        </w:tc>
      </w:tr>
      <w:tr w14:paraId="3622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020AA65">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批发业</w:t>
            </w:r>
          </w:p>
        </w:tc>
        <w:tc>
          <w:tcPr>
            <w:tcW w:w="4114" w:type="pct"/>
            <w:gridSpan w:val="2"/>
            <w:shd w:val="clear" w:color="auto" w:fill="FFFFFF"/>
            <w:noWrap w:val="0"/>
            <w:vAlign w:val="center"/>
          </w:tcPr>
          <w:p w14:paraId="51FF9B36">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从业人员200人以下或营业收入 40 000万元以下的为中小微型企业。</w:t>
            </w:r>
          </w:p>
        </w:tc>
      </w:tr>
      <w:tr w14:paraId="1B14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F880231">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2AD73F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06A8C5E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从业人员20人一200人，且营业收入 5 000万元一40 000万元</w:t>
            </w:r>
          </w:p>
        </w:tc>
      </w:tr>
      <w:tr w14:paraId="719E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313F5D8">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1DF2C66">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6923904B">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从业人员5人一20人，且营业收入 1 000万元一5 000万元</w:t>
            </w:r>
          </w:p>
        </w:tc>
      </w:tr>
      <w:tr w14:paraId="4A74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7A89702">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C317714">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11CA118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从业人员5人以下或营业收入 1 000万元以下</w:t>
            </w:r>
          </w:p>
        </w:tc>
      </w:tr>
      <w:tr w14:paraId="1575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71B4653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零售业</w:t>
            </w:r>
          </w:p>
        </w:tc>
        <w:tc>
          <w:tcPr>
            <w:tcW w:w="4114" w:type="pct"/>
            <w:gridSpan w:val="2"/>
            <w:shd w:val="clear" w:color="auto" w:fill="FFFFFF"/>
            <w:noWrap w:val="0"/>
            <w:vAlign w:val="center"/>
          </w:tcPr>
          <w:p w14:paraId="2A12618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20 000万元以下的为中小微型企业。</w:t>
            </w:r>
          </w:p>
        </w:tc>
      </w:tr>
      <w:tr w14:paraId="180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240E368">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438E2A64">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5004C83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50人一300人，且营业收入 500万元一20 000万元</w:t>
            </w:r>
          </w:p>
        </w:tc>
      </w:tr>
      <w:tr w14:paraId="19F0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D58A053">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4E020FA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728DEF3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从业人员10人一50人，且营业收入 100万元一500万元</w:t>
            </w:r>
          </w:p>
        </w:tc>
      </w:tr>
      <w:tr w14:paraId="2479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4FD1A99">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B1B2839">
            <w:pPr>
              <w:pStyle w:val="182"/>
              <w:shd w:val="clear" w:color="auto" w:fill="auto"/>
              <w:spacing w:before="8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40C6F173">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1C68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730425B">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交通运输业 （不含铁路运输业）</w:t>
            </w:r>
          </w:p>
        </w:tc>
        <w:tc>
          <w:tcPr>
            <w:tcW w:w="4114" w:type="pct"/>
            <w:gridSpan w:val="2"/>
            <w:shd w:val="clear" w:color="auto" w:fill="FFFFFF"/>
            <w:noWrap w:val="0"/>
            <w:vAlign w:val="center"/>
          </w:tcPr>
          <w:p w14:paraId="4EAC9BB3">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30 000万元以下的为中小微型企业。</w:t>
            </w:r>
          </w:p>
        </w:tc>
      </w:tr>
      <w:tr w14:paraId="3B9A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3EC7EC2">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28BF1169">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17680A8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3 000万元一30 000万元</w:t>
            </w:r>
          </w:p>
        </w:tc>
      </w:tr>
      <w:tr w14:paraId="39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20DE389">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6E351B3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620DC34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200万元一3 000万元</w:t>
            </w:r>
          </w:p>
        </w:tc>
      </w:tr>
      <w:tr w14:paraId="355C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79CC3B1">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6BF509F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4874368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200万元以下</w:t>
            </w:r>
          </w:p>
        </w:tc>
      </w:tr>
      <w:tr w14:paraId="1707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F32F799">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仓储业</w:t>
            </w:r>
          </w:p>
        </w:tc>
        <w:tc>
          <w:tcPr>
            <w:tcW w:w="4114" w:type="pct"/>
            <w:gridSpan w:val="2"/>
            <w:shd w:val="clear" w:color="auto" w:fill="FFFFFF"/>
            <w:noWrap w:val="0"/>
            <w:vAlign w:val="center"/>
          </w:tcPr>
          <w:p w14:paraId="7540D24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从业人员200人以下或营业收入 30 000万元以下的为中小微型企业。</w:t>
            </w:r>
          </w:p>
        </w:tc>
      </w:tr>
      <w:tr w14:paraId="59E5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7879BF6">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054AB4E8">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2EB3A25D">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从业人员100人一200人，且营业收入 1 000万元一30 000万元</w:t>
            </w:r>
          </w:p>
        </w:tc>
      </w:tr>
      <w:tr w14:paraId="0756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DE741D3">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32846052">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3CAD9DE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从业人员20人一100人，且营业收入 100万元一1 000万元</w:t>
            </w:r>
          </w:p>
        </w:tc>
      </w:tr>
      <w:tr w14:paraId="1C1D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8031751">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63AFDE91">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245ACC0A">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100万元以下</w:t>
            </w:r>
          </w:p>
        </w:tc>
      </w:tr>
      <w:tr w14:paraId="789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5857CC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邮政业</w:t>
            </w:r>
          </w:p>
        </w:tc>
        <w:tc>
          <w:tcPr>
            <w:tcW w:w="4114" w:type="pct"/>
            <w:gridSpan w:val="2"/>
            <w:shd w:val="clear" w:color="auto" w:fill="FFFFFF"/>
            <w:noWrap w:val="0"/>
            <w:vAlign w:val="center"/>
          </w:tcPr>
          <w:p w14:paraId="3B77B81F">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30 000万元以下的为中小微型企业。</w:t>
            </w:r>
          </w:p>
        </w:tc>
      </w:tr>
      <w:tr w14:paraId="3243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2BEBD20">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15F901BA">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2A197807">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2 000万元一30 000万元</w:t>
            </w:r>
          </w:p>
        </w:tc>
      </w:tr>
      <w:tr w14:paraId="14DC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1F5F367">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4D5070C">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63FDC639">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100万元一2 000万元</w:t>
            </w:r>
          </w:p>
        </w:tc>
      </w:tr>
      <w:tr w14:paraId="32FE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D231418">
            <w:pPr>
              <w:shd w:val="clear" w:color="auto" w:fill="auto"/>
              <w:spacing w:line="240" w:lineRule="auto"/>
              <w:jc w:val="center"/>
              <w:rPr>
                <w:rFonts w:hint="eastAsia" w:ascii="仿宋" w:hAnsi="仿宋" w:eastAsia="仿宋" w:cs="仿宋"/>
                <w:color w:val="auto"/>
                <w:sz w:val="21"/>
                <w:szCs w:val="21"/>
                <w:highlight w:val="none"/>
              </w:rPr>
            </w:pPr>
          </w:p>
        </w:tc>
        <w:tc>
          <w:tcPr>
            <w:tcW w:w="537" w:type="pct"/>
            <w:shd w:val="clear" w:color="auto" w:fill="FFFFFF"/>
            <w:noWrap w:val="0"/>
            <w:vAlign w:val="center"/>
          </w:tcPr>
          <w:p w14:paraId="79A40A57">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3356A69B">
            <w:pPr>
              <w:pStyle w:val="182"/>
              <w:shd w:val="clear" w:color="auto" w:fill="auto"/>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100万元以下</w:t>
            </w:r>
          </w:p>
        </w:tc>
      </w:tr>
    </w:tbl>
    <w:p w14:paraId="7F34D42D">
      <w:pPr>
        <w:shd w:val="clear" w:color="auto" w:fill="auto"/>
        <w:spacing w:line="1" w:lineRule="exact"/>
        <w:jc w:val="center"/>
        <w:rPr>
          <w:rFonts w:hint="eastAsia" w:ascii="仿宋" w:hAnsi="仿宋" w:eastAsia="仿宋" w:cs="仿宋"/>
          <w:color w:val="auto"/>
          <w:sz w:val="18"/>
          <w:szCs w:val="18"/>
          <w:highlight w:val="none"/>
        </w:rPr>
      </w:pP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93"/>
        <w:gridCol w:w="769"/>
        <w:gridCol w:w="7308"/>
      </w:tblGrid>
      <w:tr w14:paraId="55DC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8CD35E4">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住宿业</w:t>
            </w:r>
          </w:p>
        </w:tc>
        <w:tc>
          <w:tcPr>
            <w:tcW w:w="0" w:type="auto"/>
            <w:gridSpan w:val="2"/>
            <w:shd w:val="clear" w:color="auto" w:fill="FFFFFF"/>
            <w:noWrap w:val="0"/>
            <w:vAlign w:val="center"/>
          </w:tcPr>
          <w:p w14:paraId="7983EBCC">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10000万元以下的为中小微型企业。</w:t>
            </w:r>
          </w:p>
        </w:tc>
      </w:tr>
      <w:tr w14:paraId="06CA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014BDB1">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60501892">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3949A1F5">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从业人员100人一300人，且营业收入 2 000万元一10 000万元</w:t>
            </w:r>
          </w:p>
        </w:tc>
      </w:tr>
      <w:tr w14:paraId="6AEA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6D4DDC9">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2B9B1738">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78D0A313">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100万元一2 000万元</w:t>
            </w:r>
          </w:p>
        </w:tc>
      </w:tr>
      <w:tr w14:paraId="2562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FECBF80">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7899FADA">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0B2592E6">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28D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D980CF6">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餐饮业</w:t>
            </w:r>
          </w:p>
        </w:tc>
        <w:tc>
          <w:tcPr>
            <w:tcW w:w="0" w:type="auto"/>
            <w:gridSpan w:val="2"/>
            <w:shd w:val="clear" w:color="auto" w:fill="FFFFFF"/>
            <w:noWrap w:val="0"/>
            <w:vAlign w:val="center"/>
          </w:tcPr>
          <w:p w14:paraId="74A05177">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10 000万元以下的为中小微型企业。</w:t>
            </w:r>
          </w:p>
        </w:tc>
      </w:tr>
      <w:tr w14:paraId="4C09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CB15F91">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01D07089">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2BE05230">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300人，且营业收入 2 000万元一10 000万元</w:t>
            </w:r>
          </w:p>
        </w:tc>
      </w:tr>
      <w:tr w14:paraId="11ED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FABBAAA">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374CDB89">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659CB684">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100万元一2 000万元</w:t>
            </w:r>
          </w:p>
        </w:tc>
      </w:tr>
      <w:tr w14:paraId="5DEF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382A9A8">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3F480E19">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0C1C11E5">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13B1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A345D76">
            <w:pPr>
              <w:pStyle w:val="182"/>
              <w:shd w:val="clear" w:color="auto" w:fill="auto"/>
              <w:spacing w:line="492"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信息传输业 （包括电信、互联网 和相关服务）</w:t>
            </w:r>
          </w:p>
        </w:tc>
        <w:tc>
          <w:tcPr>
            <w:tcW w:w="0" w:type="auto"/>
            <w:gridSpan w:val="2"/>
            <w:shd w:val="clear" w:color="auto" w:fill="FFFFFF"/>
            <w:noWrap w:val="0"/>
            <w:vAlign w:val="center"/>
          </w:tcPr>
          <w:p w14:paraId="2F4139A2">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从业人员2 000人以下或营业收入 100 000万元以下的为中小微型企业。</w:t>
            </w:r>
          </w:p>
        </w:tc>
      </w:tr>
      <w:tr w14:paraId="2DF8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F3E7785">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0DC6F041">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40E5CDF3">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从业人员100人一2 000人，且营业收入 1 000万元一10 000万元</w:t>
            </w:r>
          </w:p>
        </w:tc>
      </w:tr>
      <w:tr w14:paraId="33F1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728AE8E">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3043760B">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3BB26319">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100万元一1 000万元</w:t>
            </w:r>
          </w:p>
        </w:tc>
      </w:tr>
      <w:tr w14:paraId="2FFC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DB32971">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1F401E42">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5246240E">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2923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5D97132">
            <w:pPr>
              <w:pStyle w:val="182"/>
              <w:shd w:val="clear" w:color="auto" w:fill="auto"/>
              <w:spacing w:line="509"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软件和信息技术服务业</w:t>
            </w:r>
          </w:p>
        </w:tc>
        <w:tc>
          <w:tcPr>
            <w:tcW w:w="0" w:type="auto"/>
            <w:gridSpan w:val="2"/>
            <w:shd w:val="clear" w:color="auto" w:fill="FFFFFF"/>
            <w:noWrap w:val="0"/>
            <w:vAlign w:val="center"/>
          </w:tcPr>
          <w:p w14:paraId="1C8986AE">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10000万元以下的为中小微型企业。</w:t>
            </w:r>
          </w:p>
        </w:tc>
      </w:tr>
      <w:tr w14:paraId="0D8D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841450A">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5D8ED55C">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0E0E16C2">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300人，且营业收入 1 000万元一10 000万元</w:t>
            </w:r>
          </w:p>
        </w:tc>
      </w:tr>
      <w:tr w14:paraId="567E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A29A8EC">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797F2AD7">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6D4C23F5">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50万元一1 000万元</w:t>
            </w:r>
          </w:p>
        </w:tc>
      </w:tr>
      <w:tr w14:paraId="5925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85FCBED">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26FB5DB3">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220BBE4B">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50万元以下</w:t>
            </w:r>
          </w:p>
        </w:tc>
      </w:tr>
      <w:tr w14:paraId="416B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F8BABF5">
            <w:pPr>
              <w:pStyle w:val="182"/>
              <w:shd w:val="clear" w:color="auto" w:fil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房地产开发经营</w:t>
            </w:r>
          </w:p>
        </w:tc>
        <w:tc>
          <w:tcPr>
            <w:tcW w:w="0" w:type="auto"/>
            <w:gridSpan w:val="2"/>
            <w:shd w:val="clear" w:color="auto" w:fill="FFFFFF"/>
            <w:noWrap w:val="0"/>
            <w:vAlign w:val="center"/>
          </w:tcPr>
          <w:p w14:paraId="018F8864">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营业收入200 000万元以下或资产总额 10 000万元以下的为中小微型企业。</w:t>
            </w:r>
          </w:p>
        </w:tc>
      </w:tr>
      <w:tr w14:paraId="5852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D5F744F">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3744F677">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451DB6EC">
            <w:pPr>
              <w:pStyle w:val="182"/>
              <w:shd w:val="clear" w:color="auto" w:fill="auto"/>
              <w:spacing w:after="120"/>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营业收入1 000万元一200 000万元，且资产总额 5 000万元一10000万元</w:t>
            </w:r>
          </w:p>
        </w:tc>
      </w:tr>
      <w:tr w14:paraId="1FEE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36F88FB">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2D986A04">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32586309">
            <w:pPr>
              <w:pStyle w:val="182"/>
              <w:shd w:val="clear" w:color="auto" w:fill="auto"/>
              <w:spacing w:line="240" w:lineRule="auto"/>
              <w:ind w:left="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营业收入100万元一1 000万元，且资产总额 2 000万元一5 000 万元</w:t>
            </w:r>
          </w:p>
        </w:tc>
      </w:tr>
      <w:tr w14:paraId="7173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0CC2996">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47BCBE9E">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69DAB1B3">
            <w:pPr>
              <w:pStyle w:val="182"/>
              <w:shd w:val="clear" w:color="auto" w:fill="auto"/>
              <w:tabs>
                <w:tab w:val="left" w:pos="5256"/>
              </w:tabs>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营业收入100万元以下或资产总额2 000万元以下的为微型企业</w:t>
            </w:r>
          </w:p>
        </w:tc>
      </w:tr>
      <w:tr w14:paraId="58BE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45995BA">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物业管理</w:t>
            </w:r>
          </w:p>
        </w:tc>
        <w:tc>
          <w:tcPr>
            <w:tcW w:w="0" w:type="auto"/>
            <w:gridSpan w:val="2"/>
            <w:shd w:val="clear" w:color="auto" w:fill="FFFFFF"/>
            <w:noWrap w:val="0"/>
            <w:vAlign w:val="center"/>
          </w:tcPr>
          <w:p w14:paraId="2CC4F2B0">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5 000万元以下的为中小微型企业。</w:t>
            </w:r>
          </w:p>
        </w:tc>
      </w:tr>
      <w:tr w14:paraId="2BE1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8908262">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7D9024DC">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3C7F3E24">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1000万元一5 000万元</w:t>
            </w:r>
          </w:p>
        </w:tc>
      </w:tr>
      <w:tr w14:paraId="688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A5D0020">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67F4ABC5">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04DD0002">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从业人员100人一300人，且营业收入 500万元一1 000万元</w:t>
            </w:r>
          </w:p>
        </w:tc>
      </w:tr>
      <w:tr w14:paraId="70E0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D02665A">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0C54CA3C">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47582480">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从业人员100人以下或营业收入 500万元以下</w:t>
            </w:r>
          </w:p>
        </w:tc>
      </w:tr>
      <w:tr w14:paraId="211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000A3D4">
            <w:pPr>
              <w:pStyle w:val="182"/>
              <w:shd w:val="clear" w:color="auto" w:fill="auto"/>
              <w:ind w:firstLine="2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租赁和商务服务业</w:t>
            </w:r>
          </w:p>
        </w:tc>
        <w:tc>
          <w:tcPr>
            <w:tcW w:w="0" w:type="auto"/>
            <w:gridSpan w:val="2"/>
            <w:shd w:val="clear" w:color="auto" w:fill="FFFFFF"/>
            <w:noWrap w:val="0"/>
            <w:vAlign w:val="center"/>
          </w:tcPr>
          <w:p w14:paraId="287C7ECE">
            <w:pPr>
              <w:pStyle w:val="182"/>
              <w:shd w:val="clear" w:color="auto" w:fill="auto"/>
              <w:tabs>
                <w:tab w:val="left" w:pos="10666"/>
              </w:tabs>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1"/>
                <w:szCs w:val="21"/>
                <w:highlight w:val="none"/>
                <w:lang w:val="en-US"/>
              </w:rPr>
              <w:t>10</w:t>
            </w:r>
            <w:r>
              <w:rPr>
                <w:rFonts w:hint="eastAsia" w:ascii="仿宋" w:hAnsi="仿宋" w:eastAsia="仿宋" w:cs="仿宋"/>
                <w:color w:val="auto"/>
                <w:sz w:val="21"/>
                <w:szCs w:val="21"/>
                <w:highlight w:val="none"/>
              </w:rPr>
              <w:t>人以下或资产总额 100万元以下的为微型企业。</w:t>
            </w:r>
          </w:p>
        </w:tc>
      </w:tr>
      <w:tr w14:paraId="72D1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0C2E69F">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02574B33">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6CEFA7E3">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从业人员100人一300人，且资产总额 8 000万元一120 000万元</w:t>
            </w:r>
          </w:p>
        </w:tc>
      </w:tr>
      <w:tr w14:paraId="17B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9A584D6">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567641CD">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2A4B8F88">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从业人员10人一100人，且资产总额 100万元一8 000万元</w:t>
            </w:r>
          </w:p>
        </w:tc>
      </w:tr>
      <w:tr w14:paraId="721A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2EB4D6C">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437CC329">
            <w:pPr>
              <w:pStyle w:val="182"/>
              <w:shd w:val="clear" w:color="auto" w:fill="auto"/>
              <w:spacing w:before="1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4E8B4A3C">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从业人员10人以下或资产总额 100万元以下</w:t>
            </w:r>
          </w:p>
        </w:tc>
      </w:tr>
      <w:tr w14:paraId="08F5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8086570">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其他未列明行业</w:t>
            </w:r>
          </w:p>
        </w:tc>
        <w:tc>
          <w:tcPr>
            <w:tcW w:w="0" w:type="auto"/>
            <w:gridSpan w:val="2"/>
            <w:shd w:val="clear" w:color="auto" w:fill="FFFFFF"/>
            <w:noWrap w:val="0"/>
            <w:vAlign w:val="center"/>
          </w:tcPr>
          <w:p w14:paraId="273113F6">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从业人员300人以下的为中小微型企业。</w:t>
            </w:r>
          </w:p>
        </w:tc>
      </w:tr>
      <w:tr w14:paraId="175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FE8247D">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7CF7A3D8">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70509BB1">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w:t>
            </w:r>
          </w:p>
        </w:tc>
      </w:tr>
      <w:tr w14:paraId="24EA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A81BA64">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6BD56B9E">
            <w:pPr>
              <w:pStyle w:val="182"/>
              <w:shd w:val="clear" w:color="auto" w:fill="auto"/>
              <w:spacing w:before="8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1465A8EC">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w:t>
            </w:r>
          </w:p>
        </w:tc>
      </w:tr>
      <w:tr w14:paraId="4E99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08D783A">
            <w:pPr>
              <w:shd w:val="clear" w:color="auto" w:fill="auto"/>
              <w:jc w:val="center"/>
              <w:rPr>
                <w:rFonts w:hint="eastAsia" w:ascii="仿宋" w:hAnsi="仿宋" w:eastAsia="仿宋" w:cs="仿宋"/>
                <w:color w:val="auto"/>
                <w:sz w:val="21"/>
                <w:szCs w:val="21"/>
                <w:highlight w:val="none"/>
              </w:rPr>
            </w:pPr>
          </w:p>
        </w:tc>
        <w:tc>
          <w:tcPr>
            <w:tcW w:w="0" w:type="auto"/>
            <w:shd w:val="clear" w:color="auto" w:fill="FFFFFF"/>
            <w:noWrap w:val="0"/>
            <w:vAlign w:val="center"/>
          </w:tcPr>
          <w:p w14:paraId="57D234A9">
            <w:pPr>
              <w:pStyle w:val="182"/>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5E8A18A6">
            <w:pPr>
              <w:pStyle w:val="182"/>
              <w:shd w:val="clear" w:color="auto" w:fill="auto"/>
              <w:ind w:firstLine="1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w:t>
            </w:r>
          </w:p>
        </w:tc>
      </w:tr>
    </w:tbl>
    <w:p w14:paraId="78167178">
      <w:pPr>
        <w:shd w:val="clear" w:color="auto" w:fill="auto"/>
        <w:spacing w:line="240" w:lineRule="atLeast"/>
        <w:rPr>
          <w:rFonts w:hint="eastAsia" w:ascii="仿宋" w:hAnsi="仿宋" w:eastAsia="仿宋" w:cs="仿宋"/>
          <w:color w:val="auto"/>
          <w:sz w:val="24"/>
          <w:highlight w:val="none"/>
        </w:rPr>
        <w:sectPr>
          <w:headerReference r:id="rId11" w:type="default"/>
          <w:headerReference r:id="rId12" w:type="even"/>
          <w:footerReference r:id="rId13" w:type="even"/>
          <w:type w:val="continuous"/>
          <w:pgSz w:w="11905" w:h="16838"/>
          <w:pgMar w:top="1304" w:right="964" w:bottom="1020" w:left="1191" w:header="567" w:footer="454" w:gutter="0"/>
          <w:pgNumType w:fmt="decimal"/>
          <w:cols w:space="720" w:num="1"/>
          <w:rtlGutter w:val="0"/>
          <w:docGrid w:type="lines" w:linePitch="317" w:charSpace="0"/>
        </w:sectPr>
      </w:pPr>
    </w:p>
    <w:p w14:paraId="6578095B">
      <w:pPr>
        <w:pStyle w:val="93"/>
        <w:rPr>
          <w:rFonts w:hint="eastAsia" w:ascii="仿宋" w:hAnsi="仿宋" w:eastAsia="仿宋" w:cs="仿宋"/>
          <w:color w:val="000000"/>
          <w:highlight w:val="none"/>
          <w:lang w:val="en-US" w:eastAsia="zh-CN"/>
        </w:rPr>
      </w:pPr>
    </w:p>
    <w:sectPr>
      <w:headerReference r:id="rId14" w:type="default"/>
      <w:footerReference r:id="rId15" w:type="default"/>
      <w:type w:val="continuous"/>
      <w:pgSz w:w="11905" w:h="16838"/>
      <w:pgMar w:top="1304" w:right="964" w:bottom="1020" w:left="1191"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3480B9-B783-4C20-AA05-7E2FFB16EA01}"/>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DD20A30-4202-488C-A540-D3867CD1DCA0}"/>
  </w:font>
  <w:font w:name="宋体;SimSun">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auto"/>
    <w:pitch w:val="default"/>
    <w:sig w:usb0="00000000" w:usb1="00000000" w:usb2="00000009" w:usb3="00000000" w:csb0="000001FF" w:csb1="00000000"/>
  </w:font>
  <w:font w:name="TKType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543E">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FE2D3">
                          <w:pPr>
                            <w:pStyle w:val="51"/>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2arQt8BAAC/AwAADgAAAAAA&#10;AAABACAAAAAeAQAAZHJzL2Uyb0RvYy54bWxQSwUGAAAAAAYABgBZAQAAbwUAAAAA&#10;">
              <v:fill on="f" focussize="0,0"/>
              <v:stroke on="f"/>
              <v:imagedata o:title=""/>
              <o:lock v:ext="edit" aspectratio="f"/>
              <v:textbox inset="0mm,0mm,0mm,0mm" style="mso-fit-shape-to-text:t;">
                <w:txbxContent>
                  <w:p w14:paraId="6CDFE2D3">
                    <w:pPr>
                      <w:pStyle w:val="5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26FA">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9CA3C">
                          <w:pPr>
                            <w:pStyle w:val="51"/>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1cvQJN8BAAC/AwAADgAAAAAA&#10;AAABACAAAAAeAQAAZHJzL2Uyb0RvYy54bWxQSwUGAAAAAAYABgBZAQAAbwUAAAAA&#10;">
              <v:fill on="f" focussize="0,0"/>
              <v:stroke on="f"/>
              <v:imagedata o:title=""/>
              <o:lock v:ext="edit" aspectratio="f"/>
              <v:textbox inset="0mm,0mm,0mm,0mm" style="mso-fit-shape-to-text:t;">
                <w:txbxContent>
                  <w:p w14:paraId="3F49CA3C">
                    <w:pPr>
                      <w:pStyle w:val="5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2DE0">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E7541">
                          <w:pPr>
                            <w:pStyle w:val="51"/>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spT/O3gEAAL8DAAAOAAAAAAAA&#10;AAEAIAAAAB4BAABkcnMvZTJvRG9jLnhtbFBLBQYAAAAABgAGAFkBAABuBQAAAAA=&#10;">
              <v:fill on="f" focussize="0,0"/>
              <v:stroke on="f"/>
              <v:imagedata o:title=""/>
              <o:lock v:ext="edit" aspectratio="f"/>
              <v:textbox inset="0mm,0mm,0mm,0mm" style="mso-fit-shape-to-text:t;">
                <w:txbxContent>
                  <w:p w14:paraId="6ADE7541">
                    <w:pPr>
                      <w:pStyle w:val="5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115B">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CADBCC">
                          <w:pPr>
                            <w:pStyle w:val="5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14:paraId="47CADBCC">
                    <w:pPr>
                      <w:pStyle w:val="5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4146">
    <w:pPr>
      <w:pStyle w:val="51"/>
      <w:ind w:left="90" w:right="360" w:hanging="9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43A10">
                          <w:pPr>
                            <w:pStyle w:val="5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l798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ezlP+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q/rl798BAAC/AwAADgAAAAAA&#10;AAABACAAAAAeAQAAZHJzL2Uyb0RvYy54bWxQSwUGAAAAAAYABgBZAQAAbwUAAAAA&#10;">
              <v:fill on="f" focussize="0,0"/>
              <v:stroke on="f"/>
              <v:imagedata o:title=""/>
              <o:lock v:ext="edit" aspectratio="f"/>
              <v:textbox inset="0mm,0mm,0mm,0mm" style="mso-fit-shape-to-text:t;">
                <w:txbxContent>
                  <w:p w14:paraId="57143A10">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93D6">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B562">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FBDE">
    <w:pPr>
      <w:pStyle w:val="5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1930">
    <w:pPr>
      <w:pStyle w:val="5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0536">
    <w:pPr>
      <w:pStyle w:val="5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73F4">
    <w:pPr>
      <w:pStyle w:val="53"/>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32363"/>
    <w:multiLevelType w:val="multilevel"/>
    <w:tmpl w:val="81D32363"/>
    <w:lvl w:ilvl="0" w:tentative="0">
      <w:start w:val="1"/>
      <w:numFmt w:val="decimal"/>
      <w:lvlText w:val="%1"/>
      <w:lvlJc w:val="left"/>
      <w:pPr>
        <w:tabs>
          <w:tab w:val="left" w:pos="900"/>
        </w:tabs>
        <w:ind w:left="900" w:hanging="900"/>
      </w:pPr>
      <w:rPr>
        <w:rFonts w:hint="eastAsia"/>
      </w:rPr>
    </w:lvl>
    <w:lvl w:ilvl="1" w:tentative="0">
      <w:start w:val="1"/>
      <w:numFmt w:val="decimal"/>
      <w:suff w:val="nothing"/>
      <w:lvlText w:val="%1.%2"/>
      <w:lvlJc w:val="left"/>
      <w:pPr>
        <w:ind w:left="1468" w:hanging="900"/>
      </w:pPr>
      <w:rPr>
        <w:rFonts w:hint="default" w:ascii="Times New Roman" w:hAnsi="Times New Roman" w:cs="Times New Roman"/>
        <w:sz w:val="24"/>
        <w:szCs w:val="24"/>
      </w:rPr>
    </w:lvl>
    <w:lvl w:ilvl="2" w:tentative="0">
      <w:start w:val="1"/>
      <w:numFmt w:val="decimal"/>
      <w:suff w:val="nothing"/>
      <w:lvlText w:val="%1.%2.%3"/>
      <w:lvlJc w:val="left"/>
      <w:pPr>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92B03B3B"/>
    <w:multiLevelType w:val="singleLevel"/>
    <w:tmpl w:val="92B03B3B"/>
    <w:lvl w:ilvl="0" w:tentative="0">
      <w:start w:val="2"/>
      <w:numFmt w:val="decimal"/>
      <w:lvlText w:val="%1."/>
      <w:lvlJc w:val="left"/>
      <w:pPr>
        <w:tabs>
          <w:tab w:val="left" w:pos="312"/>
        </w:tabs>
      </w:pPr>
    </w:lvl>
  </w:abstractNum>
  <w:abstractNum w:abstractNumId="2">
    <w:nsid w:val="AA8B1BA4"/>
    <w:multiLevelType w:val="singleLevel"/>
    <w:tmpl w:val="AA8B1BA4"/>
    <w:lvl w:ilvl="0" w:tentative="0">
      <w:start w:val="1"/>
      <w:numFmt w:val="decimal"/>
      <w:suff w:val="nothing"/>
      <w:lvlText w:val="%1、"/>
      <w:lvlJc w:val="left"/>
    </w:lvl>
  </w:abstractNum>
  <w:abstractNum w:abstractNumId="3">
    <w:nsid w:val="AE83B5D4"/>
    <w:multiLevelType w:val="singleLevel"/>
    <w:tmpl w:val="AE83B5D4"/>
    <w:lvl w:ilvl="0" w:tentative="0">
      <w:start w:val="1"/>
      <w:numFmt w:val="decimal"/>
      <w:suff w:val="nothing"/>
      <w:lvlText w:val="%1、"/>
      <w:lvlJc w:val="left"/>
    </w:lvl>
  </w:abstractNum>
  <w:abstractNum w:abstractNumId="4">
    <w:nsid w:val="D910A123"/>
    <w:multiLevelType w:val="singleLevel"/>
    <w:tmpl w:val="D910A123"/>
    <w:lvl w:ilvl="0" w:tentative="0">
      <w:start w:val="4"/>
      <w:numFmt w:val="decimal"/>
      <w:suff w:val="nothing"/>
      <w:lvlText w:val="（%1）"/>
      <w:lvlJc w:val="left"/>
    </w:lvl>
  </w:abstractNum>
  <w:abstractNum w:abstractNumId="5">
    <w:nsid w:val="FD756BF6"/>
    <w:multiLevelType w:val="singleLevel"/>
    <w:tmpl w:val="FD756BF6"/>
    <w:lvl w:ilvl="0" w:tentative="0">
      <w:start w:val="2"/>
      <w:numFmt w:val="chineseCounting"/>
      <w:suff w:val="nothing"/>
      <w:lvlText w:val="（%1）"/>
      <w:lvlJc w:val="left"/>
      <w:rPr>
        <w:rFonts w:hint="eastAsia"/>
      </w:rPr>
    </w:lvl>
  </w:abstractNum>
  <w:abstractNum w:abstractNumId="6">
    <w:nsid w:val="09FD638A"/>
    <w:multiLevelType w:val="multilevel"/>
    <w:tmpl w:val="09FD638A"/>
    <w:lvl w:ilvl="0" w:tentative="0">
      <w:start w:val="1"/>
      <w:numFmt w:val="japaneseCounting"/>
      <w:pStyle w:val="144"/>
      <w:lvlText w:val="%1、"/>
      <w:lvlJc w:val="left"/>
      <w:pPr>
        <w:tabs>
          <w:tab w:val="left" w:pos="420"/>
        </w:tabs>
        <w:ind w:left="420" w:hanging="420"/>
      </w:pPr>
      <w:rPr>
        <w:rFonts w:hint="default"/>
      </w:rPr>
    </w:lvl>
    <w:lvl w:ilvl="1" w:tentative="0">
      <w:start w:val="1"/>
      <w:numFmt w:val="decimal"/>
      <w:lvlText w:val="%2、"/>
      <w:lvlJc w:val="left"/>
      <w:pPr>
        <w:tabs>
          <w:tab w:val="left" w:pos="644"/>
        </w:tabs>
        <w:ind w:left="644" w:hanging="360"/>
      </w:pPr>
      <w:rPr>
        <w:rFonts w:ascii="宋体" w:hAnsi="宋体" w:eastAsia="宋体" w:cs="Times New Roman"/>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5"/>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C7D36E3"/>
    <w:multiLevelType w:val="multilevel"/>
    <w:tmpl w:val="3C7D36E3"/>
    <w:lvl w:ilvl="0" w:tentative="0">
      <w:start w:val="1"/>
      <w:numFmt w:val="japaneseCounting"/>
      <w:pStyle w:val="2"/>
      <w:lvlText w:val="%1．"/>
      <w:lvlJc w:val="left"/>
      <w:pPr>
        <w:tabs>
          <w:tab w:val="left" w:pos="3060"/>
        </w:tabs>
        <w:ind w:left="3060" w:hanging="720"/>
      </w:pPr>
      <w:rPr>
        <w:b/>
        <w:sz w:val="36"/>
        <w:szCs w:val="36"/>
      </w:rPr>
    </w:lvl>
    <w:lvl w:ilvl="1" w:tentative="0">
      <w:start w:val="6"/>
      <w:numFmt w:val="decimal"/>
      <w:lvlText w:val="%2、"/>
      <w:lvlJc w:val="left"/>
      <w:pPr>
        <w:tabs>
          <w:tab w:val="left" w:pos="3160"/>
        </w:tabs>
        <w:ind w:left="3160" w:hanging="825"/>
      </w:pPr>
    </w:lvl>
    <w:lvl w:ilvl="2" w:tentative="0">
      <w:start w:val="2"/>
      <w:numFmt w:val="japaneseCounting"/>
      <w:lvlText w:val="%3、"/>
      <w:lvlJc w:val="left"/>
      <w:pPr>
        <w:tabs>
          <w:tab w:val="left" w:pos="3475"/>
        </w:tabs>
        <w:ind w:left="3475" w:hanging="720"/>
      </w:pPr>
      <w:rPr>
        <w:b/>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74520F91"/>
    <w:multiLevelType w:val="singleLevel"/>
    <w:tmpl w:val="74520F91"/>
    <w:lvl w:ilvl="0" w:tentative="0">
      <w:start w:val="2"/>
      <w:numFmt w:val="decimal"/>
      <w:suff w:val="nothing"/>
      <w:lvlText w:val="%1、"/>
      <w:lvlJc w:val="left"/>
    </w:lvl>
  </w:abstractNum>
  <w:num w:numId="1">
    <w:abstractNumId w:val="8"/>
  </w:num>
  <w:num w:numId="2">
    <w:abstractNumId w:val="7"/>
  </w:num>
  <w:num w:numId="3">
    <w:abstractNumId w:val="6"/>
  </w:num>
  <w:num w:numId="4">
    <w:abstractNumId w:val="10"/>
  </w:num>
  <w:num w:numId="5">
    <w:abstractNumId w:val="2"/>
  </w:num>
  <w:num w:numId="6">
    <w:abstractNumId w:val="5"/>
  </w:num>
  <w:num w:numId="7">
    <w:abstractNumId w:val="9"/>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zUzMTQwNmUyYTYyYThmMzY4OWEwODg2YTFmMmIifQ=="/>
    <w:docVar w:name="KSO_WPS_MARK_KEY" w:val="1fbe5ccf-db38-4a25-aaa2-68737bb3dcd4"/>
  </w:docVars>
  <w:rsids>
    <w:rsidRoot w:val="000669E3"/>
    <w:rsid w:val="0000017A"/>
    <w:rsid w:val="00001114"/>
    <w:rsid w:val="000015C3"/>
    <w:rsid w:val="000022DA"/>
    <w:rsid w:val="00002548"/>
    <w:rsid w:val="00002650"/>
    <w:rsid w:val="00002EB5"/>
    <w:rsid w:val="000047A6"/>
    <w:rsid w:val="00005531"/>
    <w:rsid w:val="0000598D"/>
    <w:rsid w:val="0000642A"/>
    <w:rsid w:val="00010945"/>
    <w:rsid w:val="00010D6A"/>
    <w:rsid w:val="00010DE7"/>
    <w:rsid w:val="000114C6"/>
    <w:rsid w:val="0001150B"/>
    <w:rsid w:val="000119F6"/>
    <w:rsid w:val="00011ACB"/>
    <w:rsid w:val="0001305F"/>
    <w:rsid w:val="0001321B"/>
    <w:rsid w:val="00013CD2"/>
    <w:rsid w:val="00014A81"/>
    <w:rsid w:val="000153DC"/>
    <w:rsid w:val="00015A0D"/>
    <w:rsid w:val="00015EFC"/>
    <w:rsid w:val="00017574"/>
    <w:rsid w:val="00021ABA"/>
    <w:rsid w:val="00021B8D"/>
    <w:rsid w:val="00023BA4"/>
    <w:rsid w:val="00023E15"/>
    <w:rsid w:val="00023EAB"/>
    <w:rsid w:val="00024218"/>
    <w:rsid w:val="000249A0"/>
    <w:rsid w:val="000249C0"/>
    <w:rsid w:val="00024AFD"/>
    <w:rsid w:val="0002736B"/>
    <w:rsid w:val="00027C9F"/>
    <w:rsid w:val="00027D10"/>
    <w:rsid w:val="000304EB"/>
    <w:rsid w:val="00030E3D"/>
    <w:rsid w:val="000310D4"/>
    <w:rsid w:val="000313F5"/>
    <w:rsid w:val="00031D85"/>
    <w:rsid w:val="00032314"/>
    <w:rsid w:val="000331FC"/>
    <w:rsid w:val="00033F3F"/>
    <w:rsid w:val="00034325"/>
    <w:rsid w:val="00034591"/>
    <w:rsid w:val="00034620"/>
    <w:rsid w:val="00035933"/>
    <w:rsid w:val="000402B7"/>
    <w:rsid w:val="000419EE"/>
    <w:rsid w:val="00042652"/>
    <w:rsid w:val="00042AD1"/>
    <w:rsid w:val="00043140"/>
    <w:rsid w:val="00043B2F"/>
    <w:rsid w:val="00044301"/>
    <w:rsid w:val="00044550"/>
    <w:rsid w:val="00046295"/>
    <w:rsid w:val="000468CA"/>
    <w:rsid w:val="000503CE"/>
    <w:rsid w:val="00051B8A"/>
    <w:rsid w:val="000529BE"/>
    <w:rsid w:val="00052CBC"/>
    <w:rsid w:val="00052DB3"/>
    <w:rsid w:val="00052F6D"/>
    <w:rsid w:val="0005368B"/>
    <w:rsid w:val="00053C23"/>
    <w:rsid w:val="00053CFF"/>
    <w:rsid w:val="00053E1F"/>
    <w:rsid w:val="00053E58"/>
    <w:rsid w:val="00054F1F"/>
    <w:rsid w:val="00055868"/>
    <w:rsid w:val="00055CAE"/>
    <w:rsid w:val="00056A9F"/>
    <w:rsid w:val="00062622"/>
    <w:rsid w:val="000626D5"/>
    <w:rsid w:val="00062F9B"/>
    <w:rsid w:val="000638E6"/>
    <w:rsid w:val="00065C00"/>
    <w:rsid w:val="00065C0F"/>
    <w:rsid w:val="000669E3"/>
    <w:rsid w:val="0006748A"/>
    <w:rsid w:val="00067FC5"/>
    <w:rsid w:val="0007065D"/>
    <w:rsid w:val="00070921"/>
    <w:rsid w:val="0007118D"/>
    <w:rsid w:val="0007251F"/>
    <w:rsid w:val="00072667"/>
    <w:rsid w:val="00072A12"/>
    <w:rsid w:val="000740C5"/>
    <w:rsid w:val="000759C0"/>
    <w:rsid w:val="0007642E"/>
    <w:rsid w:val="00076B8F"/>
    <w:rsid w:val="000773C9"/>
    <w:rsid w:val="000807F9"/>
    <w:rsid w:val="000809ED"/>
    <w:rsid w:val="00080BDF"/>
    <w:rsid w:val="00080D57"/>
    <w:rsid w:val="00080EFF"/>
    <w:rsid w:val="00081459"/>
    <w:rsid w:val="000814B9"/>
    <w:rsid w:val="00081F12"/>
    <w:rsid w:val="000823DF"/>
    <w:rsid w:val="000827B7"/>
    <w:rsid w:val="0008305D"/>
    <w:rsid w:val="0008316E"/>
    <w:rsid w:val="0008364F"/>
    <w:rsid w:val="00084DF5"/>
    <w:rsid w:val="00084E6B"/>
    <w:rsid w:val="000853FA"/>
    <w:rsid w:val="0008688C"/>
    <w:rsid w:val="00087211"/>
    <w:rsid w:val="0009027E"/>
    <w:rsid w:val="000911EB"/>
    <w:rsid w:val="00091957"/>
    <w:rsid w:val="00094282"/>
    <w:rsid w:val="00095C12"/>
    <w:rsid w:val="00096651"/>
    <w:rsid w:val="00097124"/>
    <w:rsid w:val="000978D2"/>
    <w:rsid w:val="000A00AB"/>
    <w:rsid w:val="000A0A41"/>
    <w:rsid w:val="000A17B6"/>
    <w:rsid w:val="000A2663"/>
    <w:rsid w:val="000A28E5"/>
    <w:rsid w:val="000A3084"/>
    <w:rsid w:val="000A3430"/>
    <w:rsid w:val="000A3489"/>
    <w:rsid w:val="000A4486"/>
    <w:rsid w:val="000A54E2"/>
    <w:rsid w:val="000A5A93"/>
    <w:rsid w:val="000A637F"/>
    <w:rsid w:val="000A656C"/>
    <w:rsid w:val="000A6BCB"/>
    <w:rsid w:val="000A6DE4"/>
    <w:rsid w:val="000A7182"/>
    <w:rsid w:val="000A75D6"/>
    <w:rsid w:val="000A7DC8"/>
    <w:rsid w:val="000B09E9"/>
    <w:rsid w:val="000B13CF"/>
    <w:rsid w:val="000B215B"/>
    <w:rsid w:val="000B2B45"/>
    <w:rsid w:val="000B2F20"/>
    <w:rsid w:val="000B4C14"/>
    <w:rsid w:val="000B58F9"/>
    <w:rsid w:val="000B716F"/>
    <w:rsid w:val="000C0145"/>
    <w:rsid w:val="000C08E5"/>
    <w:rsid w:val="000C0BCC"/>
    <w:rsid w:val="000C0C52"/>
    <w:rsid w:val="000C151F"/>
    <w:rsid w:val="000C1B22"/>
    <w:rsid w:val="000C300F"/>
    <w:rsid w:val="000C3573"/>
    <w:rsid w:val="000C44B1"/>
    <w:rsid w:val="000C48E5"/>
    <w:rsid w:val="000C49E3"/>
    <w:rsid w:val="000C4EB1"/>
    <w:rsid w:val="000C503A"/>
    <w:rsid w:val="000C5544"/>
    <w:rsid w:val="000C589D"/>
    <w:rsid w:val="000C5B1C"/>
    <w:rsid w:val="000D0CFC"/>
    <w:rsid w:val="000D1AB0"/>
    <w:rsid w:val="000D1CDF"/>
    <w:rsid w:val="000D25FE"/>
    <w:rsid w:val="000D47D6"/>
    <w:rsid w:val="000D67EF"/>
    <w:rsid w:val="000D6CB9"/>
    <w:rsid w:val="000D6D98"/>
    <w:rsid w:val="000D74DC"/>
    <w:rsid w:val="000D7AAD"/>
    <w:rsid w:val="000D7ED7"/>
    <w:rsid w:val="000E0613"/>
    <w:rsid w:val="000E0653"/>
    <w:rsid w:val="000E1B78"/>
    <w:rsid w:val="000E2252"/>
    <w:rsid w:val="000E2C6C"/>
    <w:rsid w:val="000E3A28"/>
    <w:rsid w:val="000E4029"/>
    <w:rsid w:val="000E46AE"/>
    <w:rsid w:val="000E7122"/>
    <w:rsid w:val="000E73E6"/>
    <w:rsid w:val="000F0270"/>
    <w:rsid w:val="000F0EA1"/>
    <w:rsid w:val="000F2007"/>
    <w:rsid w:val="000F2BD0"/>
    <w:rsid w:val="000F2D7A"/>
    <w:rsid w:val="000F5A7D"/>
    <w:rsid w:val="000F5BB0"/>
    <w:rsid w:val="000F761E"/>
    <w:rsid w:val="00100687"/>
    <w:rsid w:val="001010CA"/>
    <w:rsid w:val="001019D2"/>
    <w:rsid w:val="0010264D"/>
    <w:rsid w:val="00103CA2"/>
    <w:rsid w:val="00104E91"/>
    <w:rsid w:val="0010533E"/>
    <w:rsid w:val="0010584C"/>
    <w:rsid w:val="00106A4E"/>
    <w:rsid w:val="001075E1"/>
    <w:rsid w:val="00112154"/>
    <w:rsid w:val="001125E0"/>
    <w:rsid w:val="00112EDF"/>
    <w:rsid w:val="001143F1"/>
    <w:rsid w:val="00116422"/>
    <w:rsid w:val="00117B8A"/>
    <w:rsid w:val="00120B86"/>
    <w:rsid w:val="00122A99"/>
    <w:rsid w:val="00122ED8"/>
    <w:rsid w:val="00124803"/>
    <w:rsid w:val="00126D9E"/>
    <w:rsid w:val="001272CC"/>
    <w:rsid w:val="00130228"/>
    <w:rsid w:val="0013032D"/>
    <w:rsid w:val="00130816"/>
    <w:rsid w:val="00130B51"/>
    <w:rsid w:val="001316AE"/>
    <w:rsid w:val="0013181B"/>
    <w:rsid w:val="00131BC1"/>
    <w:rsid w:val="001329D2"/>
    <w:rsid w:val="00133E1A"/>
    <w:rsid w:val="00134D40"/>
    <w:rsid w:val="00134ED4"/>
    <w:rsid w:val="00136EB6"/>
    <w:rsid w:val="00140763"/>
    <w:rsid w:val="00140EBD"/>
    <w:rsid w:val="00140FA9"/>
    <w:rsid w:val="001420B1"/>
    <w:rsid w:val="0014510E"/>
    <w:rsid w:val="00145DB0"/>
    <w:rsid w:val="00146C42"/>
    <w:rsid w:val="00147DFE"/>
    <w:rsid w:val="001503D3"/>
    <w:rsid w:val="0015071A"/>
    <w:rsid w:val="00150CC4"/>
    <w:rsid w:val="00151386"/>
    <w:rsid w:val="00152CDC"/>
    <w:rsid w:val="0015399B"/>
    <w:rsid w:val="00154A06"/>
    <w:rsid w:val="001554A8"/>
    <w:rsid w:val="001563BC"/>
    <w:rsid w:val="001574CB"/>
    <w:rsid w:val="00157F0D"/>
    <w:rsid w:val="00163FC6"/>
    <w:rsid w:val="00164ADD"/>
    <w:rsid w:val="00164FC3"/>
    <w:rsid w:val="00165654"/>
    <w:rsid w:val="00165E50"/>
    <w:rsid w:val="0016665E"/>
    <w:rsid w:val="0016685F"/>
    <w:rsid w:val="00166E54"/>
    <w:rsid w:val="001673D2"/>
    <w:rsid w:val="001673EE"/>
    <w:rsid w:val="00167E73"/>
    <w:rsid w:val="001703C1"/>
    <w:rsid w:val="00171B01"/>
    <w:rsid w:val="00171FF9"/>
    <w:rsid w:val="00172DBD"/>
    <w:rsid w:val="0017422B"/>
    <w:rsid w:val="001751A7"/>
    <w:rsid w:val="00175F29"/>
    <w:rsid w:val="00176A84"/>
    <w:rsid w:val="00176DF7"/>
    <w:rsid w:val="00177B4D"/>
    <w:rsid w:val="0018036A"/>
    <w:rsid w:val="00180AE6"/>
    <w:rsid w:val="00180B35"/>
    <w:rsid w:val="00181EED"/>
    <w:rsid w:val="00182063"/>
    <w:rsid w:val="001821B8"/>
    <w:rsid w:val="0018225C"/>
    <w:rsid w:val="00182674"/>
    <w:rsid w:val="00182D50"/>
    <w:rsid w:val="001843F4"/>
    <w:rsid w:val="00184498"/>
    <w:rsid w:val="00185EC2"/>
    <w:rsid w:val="00185F02"/>
    <w:rsid w:val="00186104"/>
    <w:rsid w:val="00186890"/>
    <w:rsid w:val="00186C70"/>
    <w:rsid w:val="00187210"/>
    <w:rsid w:val="001876C3"/>
    <w:rsid w:val="001907CD"/>
    <w:rsid w:val="00191F54"/>
    <w:rsid w:val="0019412C"/>
    <w:rsid w:val="001A0274"/>
    <w:rsid w:val="001A0317"/>
    <w:rsid w:val="001A1BE0"/>
    <w:rsid w:val="001A209D"/>
    <w:rsid w:val="001A2183"/>
    <w:rsid w:val="001A31A3"/>
    <w:rsid w:val="001A369C"/>
    <w:rsid w:val="001A445A"/>
    <w:rsid w:val="001A47C4"/>
    <w:rsid w:val="001A4D87"/>
    <w:rsid w:val="001A5E39"/>
    <w:rsid w:val="001A6370"/>
    <w:rsid w:val="001A682D"/>
    <w:rsid w:val="001A68E9"/>
    <w:rsid w:val="001B0C12"/>
    <w:rsid w:val="001B1015"/>
    <w:rsid w:val="001B19E3"/>
    <w:rsid w:val="001B2FCD"/>
    <w:rsid w:val="001B4E3B"/>
    <w:rsid w:val="001B51BA"/>
    <w:rsid w:val="001B5A58"/>
    <w:rsid w:val="001B6088"/>
    <w:rsid w:val="001B6DFC"/>
    <w:rsid w:val="001B77D6"/>
    <w:rsid w:val="001C277F"/>
    <w:rsid w:val="001C34EC"/>
    <w:rsid w:val="001C3636"/>
    <w:rsid w:val="001C4FEE"/>
    <w:rsid w:val="001C54D1"/>
    <w:rsid w:val="001C5A28"/>
    <w:rsid w:val="001C5B8B"/>
    <w:rsid w:val="001C5C24"/>
    <w:rsid w:val="001C78B4"/>
    <w:rsid w:val="001C7A72"/>
    <w:rsid w:val="001C7D0B"/>
    <w:rsid w:val="001D172A"/>
    <w:rsid w:val="001D1A84"/>
    <w:rsid w:val="001D2B44"/>
    <w:rsid w:val="001D307A"/>
    <w:rsid w:val="001D3CB3"/>
    <w:rsid w:val="001D50C9"/>
    <w:rsid w:val="001D648E"/>
    <w:rsid w:val="001D652E"/>
    <w:rsid w:val="001D76F5"/>
    <w:rsid w:val="001D7F5D"/>
    <w:rsid w:val="001E0B3C"/>
    <w:rsid w:val="001E1094"/>
    <w:rsid w:val="001E125F"/>
    <w:rsid w:val="001E1361"/>
    <w:rsid w:val="001E20D3"/>
    <w:rsid w:val="001E2E9F"/>
    <w:rsid w:val="001E34A1"/>
    <w:rsid w:val="001E35F7"/>
    <w:rsid w:val="001E4AC4"/>
    <w:rsid w:val="001F044D"/>
    <w:rsid w:val="001F0914"/>
    <w:rsid w:val="001F0B9A"/>
    <w:rsid w:val="001F1932"/>
    <w:rsid w:val="001F251A"/>
    <w:rsid w:val="001F2F02"/>
    <w:rsid w:val="001F3FE1"/>
    <w:rsid w:val="001F50AA"/>
    <w:rsid w:val="001F5C57"/>
    <w:rsid w:val="001F7016"/>
    <w:rsid w:val="00200EBC"/>
    <w:rsid w:val="00201899"/>
    <w:rsid w:val="002046CE"/>
    <w:rsid w:val="00205775"/>
    <w:rsid w:val="00205C63"/>
    <w:rsid w:val="00206399"/>
    <w:rsid w:val="00206466"/>
    <w:rsid w:val="00206B62"/>
    <w:rsid w:val="00210567"/>
    <w:rsid w:val="002106E5"/>
    <w:rsid w:val="00210735"/>
    <w:rsid w:val="00210779"/>
    <w:rsid w:val="00211D4E"/>
    <w:rsid w:val="00213F35"/>
    <w:rsid w:val="00214516"/>
    <w:rsid w:val="00214BDF"/>
    <w:rsid w:val="00215804"/>
    <w:rsid w:val="00215A2B"/>
    <w:rsid w:val="00215AE9"/>
    <w:rsid w:val="00216F0D"/>
    <w:rsid w:val="00217A2E"/>
    <w:rsid w:val="00217EC2"/>
    <w:rsid w:val="0022055F"/>
    <w:rsid w:val="00220D49"/>
    <w:rsid w:val="0022288C"/>
    <w:rsid w:val="0022312B"/>
    <w:rsid w:val="0022394B"/>
    <w:rsid w:val="00223AF4"/>
    <w:rsid w:val="0022587A"/>
    <w:rsid w:val="00225910"/>
    <w:rsid w:val="00225BED"/>
    <w:rsid w:val="0022731E"/>
    <w:rsid w:val="00227928"/>
    <w:rsid w:val="00227CFB"/>
    <w:rsid w:val="00230046"/>
    <w:rsid w:val="002305CA"/>
    <w:rsid w:val="00230C25"/>
    <w:rsid w:val="002328CF"/>
    <w:rsid w:val="00232932"/>
    <w:rsid w:val="00232FA4"/>
    <w:rsid w:val="00234BD6"/>
    <w:rsid w:val="00234C06"/>
    <w:rsid w:val="00234DD4"/>
    <w:rsid w:val="00234FB7"/>
    <w:rsid w:val="0023754C"/>
    <w:rsid w:val="002375E1"/>
    <w:rsid w:val="00237AB6"/>
    <w:rsid w:val="00237CCF"/>
    <w:rsid w:val="00237E62"/>
    <w:rsid w:val="002401A9"/>
    <w:rsid w:val="00240E9F"/>
    <w:rsid w:val="00241351"/>
    <w:rsid w:val="00242ECA"/>
    <w:rsid w:val="00243621"/>
    <w:rsid w:val="002438B3"/>
    <w:rsid w:val="002448E9"/>
    <w:rsid w:val="00244B0E"/>
    <w:rsid w:val="002458F6"/>
    <w:rsid w:val="002465C5"/>
    <w:rsid w:val="00247AD9"/>
    <w:rsid w:val="002508D9"/>
    <w:rsid w:val="00251C08"/>
    <w:rsid w:val="00252988"/>
    <w:rsid w:val="00252E05"/>
    <w:rsid w:val="0025456F"/>
    <w:rsid w:val="002577F4"/>
    <w:rsid w:val="0026026B"/>
    <w:rsid w:val="00260F9D"/>
    <w:rsid w:val="00261188"/>
    <w:rsid w:val="00261D5A"/>
    <w:rsid w:val="00262BB1"/>
    <w:rsid w:val="00262E8F"/>
    <w:rsid w:val="00264567"/>
    <w:rsid w:val="00265348"/>
    <w:rsid w:val="00265855"/>
    <w:rsid w:val="00265DED"/>
    <w:rsid w:val="0026623D"/>
    <w:rsid w:val="0026630F"/>
    <w:rsid w:val="0026671C"/>
    <w:rsid w:val="00267082"/>
    <w:rsid w:val="002677F0"/>
    <w:rsid w:val="002678AD"/>
    <w:rsid w:val="00267D5B"/>
    <w:rsid w:val="0027056C"/>
    <w:rsid w:val="002708B6"/>
    <w:rsid w:val="0027184E"/>
    <w:rsid w:val="0027516A"/>
    <w:rsid w:val="002755A1"/>
    <w:rsid w:val="00276715"/>
    <w:rsid w:val="00276C41"/>
    <w:rsid w:val="00277C87"/>
    <w:rsid w:val="002800E8"/>
    <w:rsid w:val="0028090B"/>
    <w:rsid w:val="0028183B"/>
    <w:rsid w:val="00281E6C"/>
    <w:rsid w:val="00281F2F"/>
    <w:rsid w:val="0028234E"/>
    <w:rsid w:val="00284FE8"/>
    <w:rsid w:val="0028549A"/>
    <w:rsid w:val="0028661F"/>
    <w:rsid w:val="002870C8"/>
    <w:rsid w:val="00287C0A"/>
    <w:rsid w:val="00287CA0"/>
    <w:rsid w:val="00287EAD"/>
    <w:rsid w:val="00290897"/>
    <w:rsid w:val="0029105E"/>
    <w:rsid w:val="002919A1"/>
    <w:rsid w:val="00294B33"/>
    <w:rsid w:val="0029648F"/>
    <w:rsid w:val="00297917"/>
    <w:rsid w:val="002A0A5F"/>
    <w:rsid w:val="002A0B27"/>
    <w:rsid w:val="002A0F40"/>
    <w:rsid w:val="002A26D8"/>
    <w:rsid w:val="002A2D80"/>
    <w:rsid w:val="002A2FAF"/>
    <w:rsid w:val="002A48FD"/>
    <w:rsid w:val="002A6220"/>
    <w:rsid w:val="002A669B"/>
    <w:rsid w:val="002A7712"/>
    <w:rsid w:val="002A7A8A"/>
    <w:rsid w:val="002A7A9F"/>
    <w:rsid w:val="002B143B"/>
    <w:rsid w:val="002B1871"/>
    <w:rsid w:val="002B2532"/>
    <w:rsid w:val="002B2E65"/>
    <w:rsid w:val="002B5BAB"/>
    <w:rsid w:val="002B6C2B"/>
    <w:rsid w:val="002B73DC"/>
    <w:rsid w:val="002C1816"/>
    <w:rsid w:val="002C275C"/>
    <w:rsid w:val="002C30CE"/>
    <w:rsid w:val="002C4052"/>
    <w:rsid w:val="002C4279"/>
    <w:rsid w:val="002D086B"/>
    <w:rsid w:val="002D1689"/>
    <w:rsid w:val="002D18BE"/>
    <w:rsid w:val="002D3361"/>
    <w:rsid w:val="002D384F"/>
    <w:rsid w:val="002D3D79"/>
    <w:rsid w:val="002D6C2A"/>
    <w:rsid w:val="002D737E"/>
    <w:rsid w:val="002E02EE"/>
    <w:rsid w:val="002E0371"/>
    <w:rsid w:val="002E0BB8"/>
    <w:rsid w:val="002E1A29"/>
    <w:rsid w:val="002E1ABA"/>
    <w:rsid w:val="002E203E"/>
    <w:rsid w:val="002E2D94"/>
    <w:rsid w:val="002E3DD4"/>
    <w:rsid w:val="002E47C4"/>
    <w:rsid w:val="002E4C49"/>
    <w:rsid w:val="002E4E8E"/>
    <w:rsid w:val="002E5294"/>
    <w:rsid w:val="002E6A78"/>
    <w:rsid w:val="002E7075"/>
    <w:rsid w:val="002E725F"/>
    <w:rsid w:val="002E7791"/>
    <w:rsid w:val="002F150F"/>
    <w:rsid w:val="002F1805"/>
    <w:rsid w:val="002F1995"/>
    <w:rsid w:val="002F26A1"/>
    <w:rsid w:val="002F2D76"/>
    <w:rsid w:val="002F3AB0"/>
    <w:rsid w:val="002F413D"/>
    <w:rsid w:val="002F428F"/>
    <w:rsid w:val="002F5045"/>
    <w:rsid w:val="002F51E7"/>
    <w:rsid w:val="002F59D8"/>
    <w:rsid w:val="002F76F0"/>
    <w:rsid w:val="00300E0F"/>
    <w:rsid w:val="00301EF9"/>
    <w:rsid w:val="00302080"/>
    <w:rsid w:val="003020B5"/>
    <w:rsid w:val="00302F74"/>
    <w:rsid w:val="00303055"/>
    <w:rsid w:val="003033A3"/>
    <w:rsid w:val="0030385D"/>
    <w:rsid w:val="00303C2D"/>
    <w:rsid w:val="00303F79"/>
    <w:rsid w:val="003048B3"/>
    <w:rsid w:val="00304A0C"/>
    <w:rsid w:val="0030501A"/>
    <w:rsid w:val="00305368"/>
    <w:rsid w:val="00306817"/>
    <w:rsid w:val="003076A5"/>
    <w:rsid w:val="003078CC"/>
    <w:rsid w:val="0031073E"/>
    <w:rsid w:val="00311745"/>
    <w:rsid w:val="00311FEF"/>
    <w:rsid w:val="00312880"/>
    <w:rsid w:val="00313787"/>
    <w:rsid w:val="00313F38"/>
    <w:rsid w:val="003157FB"/>
    <w:rsid w:val="003166D3"/>
    <w:rsid w:val="003168EE"/>
    <w:rsid w:val="0031702E"/>
    <w:rsid w:val="003179C7"/>
    <w:rsid w:val="00320629"/>
    <w:rsid w:val="0032092B"/>
    <w:rsid w:val="003224E4"/>
    <w:rsid w:val="00323827"/>
    <w:rsid w:val="00324CCA"/>
    <w:rsid w:val="003258EA"/>
    <w:rsid w:val="00325C18"/>
    <w:rsid w:val="0032775D"/>
    <w:rsid w:val="0033022F"/>
    <w:rsid w:val="00330DAC"/>
    <w:rsid w:val="003312E9"/>
    <w:rsid w:val="00333D70"/>
    <w:rsid w:val="00333F2B"/>
    <w:rsid w:val="003346C4"/>
    <w:rsid w:val="003349B6"/>
    <w:rsid w:val="00334DA5"/>
    <w:rsid w:val="00335545"/>
    <w:rsid w:val="00335CE0"/>
    <w:rsid w:val="003371BE"/>
    <w:rsid w:val="003373A0"/>
    <w:rsid w:val="003401CD"/>
    <w:rsid w:val="0034087F"/>
    <w:rsid w:val="00341D70"/>
    <w:rsid w:val="0034229B"/>
    <w:rsid w:val="003429D3"/>
    <w:rsid w:val="00342A81"/>
    <w:rsid w:val="00343A8A"/>
    <w:rsid w:val="00345AB4"/>
    <w:rsid w:val="00346C9C"/>
    <w:rsid w:val="00347A92"/>
    <w:rsid w:val="003507F5"/>
    <w:rsid w:val="00350C32"/>
    <w:rsid w:val="00351FE4"/>
    <w:rsid w:val="00352320"/>
    <w:rsid w:val="0035257D"/>
    <w:rsid w:val="00353954"/>
    <w:rsid w:val="00353C4D"/>
    <w:rsid w:val="003541AE"/>
    <w:rsid w:val="0035479E"/>
    <w:rsid w:val="003548F1"/>
    <w:rsid w:val="003562EB"/>
    <w:rsid w:val="00356E84"/>
    <w:rsid w:val="00357D62"/>
    <w:rsid w:val="0036063A"/>
    <w:rsid w:val="00360A3E"/>
    <w:rsid w:val="00360B9D"/>
    <w:rsid w:val="0036130F"/>
    <w:rsid w:val="0036167B"/>
    <w:rsid w:val="00361684"/>
    <w:rsid w:val="003645AF"/>
    <w:rsid w:val="00364B71"/>
    <w:rsid w:val="00365B7E"/>
    <w:rsid w:val="00365F2D"/>
    <w:rsid w:val="0036642F"/>
    <w:rsid w:val="00366761"/>
    <w:rsid w:val="003670FA"/>
    <w:rsid w:val="003679E4"/>
    <w:rsid w:val="00367A9B"/>
    <w:rsid w:val="00370524"/>
    <w:rsid w:val="00370C6A"/>
    <w:rsid w:val="00371C2E"/>
    <w:rsid w:val="00372B46"/>
    <w:rsid w:val="0037375D"/>
    <w:rsid w:val="00374FED"/>
    <w:rsid w:val="00375107"/>
    <w:rsid w:val="00375573"/>
    <w:rsid w:val="003759A0"/>
    <w:rsid w:val="00375B6D"/>
    <w:rsid w:val="00375C10"/>
    <w:rsid w:val="00376A15"/>
    <w:rsid w:val="003773EB"/>
    <w:rsid w:val="00380A14"/>
    <w:rsid w:val="00381665"/>
    <w:rsid w:val="003823BC"/>
    <w:rsid w:val="003832BE"/>
    <w:rsid w:val="0038369A"/>
    <w:rsid w:val="0038396D"/>
    <w:rsid w:val="00383EE5"/>
    <w:rsid w:val="003848E0"/>
    <w:rsid w:val="00384CBD"/>
    <w:rsid w:val="00384FC5"/>
    <w:rsid w:val="0038525B"/>
    <w:rsid w:val="0038632F"/>
    <w:rsid w:val="00386409"/>
    <w:rsid w:val="0038661C"/>
    <w:rsid w:val="00386ACF"/>
    <w:rsid w:val="003874F2"/>
    <w:rsid w:val="003879C0"/>
    <w:rsid w:val="00387AE0"/>
    <w:rsid w:val="00387DA8"/>
    <w:rsid w:val="00391B2F"/>
    <w:rsid w:val="0039274A"/>
    <w:rsid w:val="003933C9"/>
    <w:rsid w:val="00394ACA"/>
    <w:rsid w:val="0039530C"/>
    <w:rsid w:val="003953D8"/>
    <w:rsid w:val="00395D67"/>
    <w:rsid w:val="00396E06"/>
    <w:rsid w:val="00397958"/>
    <w:rsid w:val="00397F67"/>
    <w:rsid w:val="003A0949"/>
    <w:rsid w:val="003A0DFE"/>
    <w:rsid w:val="003A0F5F"/>
    <w:rsid w:val="003A28FF"/>
    <w:rsid w:val="003A2E0F"/>
    <w:rsid w:val="003A2F6A"/>
    <w:rsid w:val="003A3944"/>
    <w:rsid w:val="003A3ED4"/>
    <w:rsid w:val="003A45E3"/>
    <w:rsid w:val="003A4F1C"/>
    <w:rsid w:val="003A6AAD"/>
    <w:rsid w:val="003A6CD0"/>
    <w:rsid w:val="003A787B"/>
    <w:rsid w:val="003B0244"/>
    <w:rsid w:val="003B040E"/>
    <w:rsid w:val="003B0ED2"/>
    <w:rsid w:val="003B37FF"/>
    <w:rsid w:val="003B3FE2"/>
    <w:rsid w:val="003B47A6"/>
    <w:rsid w:val="003B4F6D"/>
    <w:rsid w:val="003B662F"/>
    <w:rsid w:val="003B6FBA"/>
    <w:rsid w:val="003C2486"/>
    <w:rsid w:val="003C2E48"/>
    <w:rsid w:val="003C344D"/>
    <w:rsid w:val="003C5D48"/>
    <w:rsid w:val="003C6884"/>
    <w:rsid w:val="003C7929"/>
    <w:rsid w:val="003D136A"/>
    <w:rsid w:val="003D34A6"/>
    <w:rsid w:val="003D3E14"/>
    <w:rsid w:val="003D5963"/>
    <w:rsid w:val="003D5D39"/>
    <w:rsid w:val="003D6E2F"/>
    <w:rsid w:val="003D6F18"/>
    <w:rsid w:val="003D7DD3"/>
    <w:rsid w:val="003E0576"/>
    <w:rsid w:val="003E0931"/>
    <w:rsid w:val="003E0BA4"/>
    <w:rsid w:val="003E116A"/>
    <w:rsid w:val="003E1353"/>
    <w:rsid w:val="003E36D7"/>
    <w:rsid w:val="003E3C0B"/>
    <w:rsid w:val="003E4252"/>
    <w:rsid w:val="003E43FB"/>
    <w:rsid w:val="003E497E"/>
    <w:rsid w:val="003E4BEB"/>
    <w:rsid w:val="003E5D43"/>
    <w:rsid w:val="003E6DEC"/>
    <w:rsid w:val="003E704E"/>
    <w:rsid w:val="003F04A8"/>
    <w:rsid w:val="003F04BF"/>
    <w:rsid w:val="003F1067"/>
    <w:rsid w:val="003F1D27"/>
    <w:rsid w:val="003F4481"/>
    <w:rsid w:val="003F5972"/>
    <w:rsid w:val="003F6407"/>
    <w:rsid w:val="003F64F4"/>
    <w:rsid w:val="003F6A6C"/>
    <w:rsid w:val="003F7AB8"/>
    <w:rsid w:val="00400114"/>
    <w:rsid w:val="00400273"/>
    <w:rsid w:val="0040042C"/>
    <w:rsid w:val="00400E85"/>
    <w:rsid w:val="004016B5"/>
    <w:rsid w:val="004025CE"/>
    <w:rsid w:val="00402A63"/>
    <w:rsid w:val="00402AEF"/>
    <w:rsid w:val="004030FD"/>
    <w:rsid w:val="00403E05"/>
    <w:rsid w:val="00404A3F"/>
    <w:rsid w:val="00404B74"/>
    <w:rsid w:val="00404C80"/>
    <w:rsid w:val="00404FCE"/>
    <w:rsid w:val="00405804"/>
    <w:rsid w:val="004067EE"/>
    <w:rsid w:val="00410DA0"/>
    <w:rsid w:val="00411DA4"/>
    <w:rsid w:val="00411DEA"/>
    <w:rsid w:val="004121F7"/>
    <w:rsid w:val="00412589"/>
    <w:rsid w:val="004128D6"/>
    <w:rsid w:val="00413960"/>
    <w:rsid w:val="004139A1"/>
    <w:rsid w:val="00413BA4"/>
    <w:rsid w:val="00413F15"/>
    <w:rsid w:val="004145D5"/>
    <w:rsid w:val="00414BCD"/>
    <w:rsid w:val="00415370"/>
    <w:rsid w:val="00416C8F"/>
    <w:rsid w:val="00416FF4"/>
    <w:rsid w:val="004171BA"/>
    <w:rsid w:val="004176EB"/>
    <w:rsid w:val="00417C7D"/>
    <w:rsid w:val="00420979"/>
    <w:rsid w:val="00420A77"/>
    <w:rsid w:val="00420EA3"/>
    <w:rsid w:val="00420FD7"/>
    <w:rsid w:val="004228E5"/>
    <w:rsid w:val="00422A51"/>
    <w:rsid w:val="00423BEF"/>
    <w:rsid w:val="00423E1B"/>
    <w:rsid w:val="0042407C"/>
    <w:rsid w:val="004243B9"/>
    <w:rsid w:val="004244A2"/>
    <w:rsid w:val="00425033"/>
    <w:rsid w:val="004253E4"/>
    <w:rsid w:val="0042573D"/>
    <w:rsid w:val="00427118"/>
    <w:rsid w:val="0043013B"/>
    <w:rsid w:val="004322F9"/>
    <w:rsid w:val="00432337"/>
    <w:rsid w:val="004327EA"/>
    <w:rsid w:val="00433101"/>
    <w:rsid w:val="00433B0F"/>
    <w:rsid w:val="004344EA"/>
    <w:rsid w:val="00434508"/>
    <w:rsid w:val="0043549A"/>
    <w:rsid w:val="004355D3"/>
    <w:rsid w:val="004356E3"/>
    <w:rsid w:val="0043639E"/>
    <w:rsid w:val="004371E1"/>
    <w:rsid w:val="004375D4"/>
    <w:rsid w:val="004400AB"/>
    <w:rsid w:val="0044017F"/>
    <w:rsid w:val="00440205"/>
    <w:rsid w:val="0044098C"/>
    <w:rsid w:val="004411D9"/>
    <w:rsid w:val="00441C9D"/>
    <w:rsid w:val="004432BF"/>
    <w:rsid w:val="004437A5"/>
    <w:rsid w:val="00443B69"/>
    <w:rsid w:val="00444E18"/>
    <w:rsid w:val="0044548B"/>
    <w:rsid w:val="00445DAF"/>
    <w:rsid w:val="00445E13"/>
    <w:rsid w:val="004475C4"/>
    <w:rsid w:val="004479E4"/>
    <w:rsid w:val="00447E03"/>
    <w:rsid w:val="00451772"/>
    <w:rsid w:val="004521D1"/>
    <w:rsid w:val="0045409D"/>
    <w:rsid w:val="0045570B"/>
    <w:rsid w:val="00456A9C"/>
    <w:rsid w:val="004571D7"/>
    <w:rsid w:val="004573B2"/>
    <w:rsid w:val="004574F3"/>
    <w:rsid w:val="00460639"/>
    <w:rsid w:val="00460D19"/>
    <w:rsid w:val="00461161"/>
    <w:rsid w:val="004618FA"/>
    <w:rsid w:val="00465079"/>
    <w:rsid w:val="0046514C"/>
    <w:rsid w:val="00465592"/>
    <w:rsid w:val="004675DF"/>
    <w:rsid w:val="0047018C"/>
    <w:rsid w:val="00470A8C"/>
    <w:rsid w:val="0047227B"/>
    <w:rsid w:val="00473739"/>
    <w:rsid w:val="00473B38"/>
    <w:rsid w:val="004753D6"/>
    <w:rsid w:val="00475AA4"/>
    <w:rsid w:val="00476E90"/>
    <w:rsid w:val="00477416"/>
    <w:rsid w:val="004778F2"/>
    <w:rsid w:val="00477C69"/>
    <w:rsid w:val="00477E36"/>
    <w:rsid w:val="00477FE3"/>
    <w:rsid w:val="004801E6"/>
    <w:rsid w:val="00481E30"/>
    <w:rsid w:val="00482554"/>
    <w:rsid w:val="004835A0"/>
    <w:rsid w:val="00483635"/>
    <w:rsid w:val="004845D8"/>
    <w:rsid w:val="00484C3A"/>
    <w:rsid w:val="00485679"/>
    <w:rsid w:val="004862E1"/>
    <w:rsid w:val="00486390"/>
    <w:rsid w:val="00487D25"/>
    <w:rsid w:val="00490B1E"/>
    <w:rsid w:val="00490DE6"/>
    <w:rsid w:val="004920AC"/>
    <w:rsid w:val="0049296C"/>
    <w:rsid w:val="00492B8C"/>
    <w:rsid w:val="00493748"/>
    <w:rsid w:val="00493EE0"/>
    <w:rsid w:val="00493F16"/>
    <w:rsid w:val="00494684"/>
    <w:rsid w:val="00494B2F"/>
    <w:rsid w:val="00495542"/>
    <w:rsid w:val="00495B0E"/>
    <w:rsid w:val="004A1116"/>
    <w:rsid w:val="004A1B71"/>
    <w:rsid w:val="004A1BE7"/>
    <w:rsid w:val="004A364A"/>
    <w:rsid w:val="004A3D6D"/>
    <w:rsid w:val="004A4A28"/>
    <w:rsid w:val="004A4AC3"/>
    <w:rsid w:val="004A53EA"/>
    <w:rsid w:val="004A5A08"/>
    <w:rsid w:val="004A5FED"/>
    <w:rsid w:val="004A6A23"/>
    <w:rsid w:val="004A6B35"/>
    <w:rsid w:val="004A6FF5"/>
    <w:rsid w:val="004A7C65"/>
    <w:rsid w:val="004B001F"/>
    <w:rsid w:val="004B02D1"/>
    <w:rsid w:val="004B0456"/>
    <w:rsid w:val="004B04E1"/>
    <w:rsid w:val="004B0DE6"/>
    <w:rsid w:val="004B23C0"/>
    <w:rsid w:val="004B2B38"/>
    <w:rsid w:val="004B32A3"/>
    <w:rsid w:val="004B38BE"/>
    <w:rsid w:val="004B3D19"/>
    <w:rsid w:val="004B41C2"/>
    <w:rsid w:val="004B56BD"/>
    <w:rsid w:val="004B6247"/>
    <w:rsid w:val="004B6633"/>
    <w:rsid w:val="004C053C"/>
    <w:rsid w:val="004C095A"/>
    <w:rsid w:val="004C0E71"/>
    <w:rsid w:val="004C25F4"/>
    <w:rsid w:val="004C3B9F"/>
    <w:rsid w:val="004C3E22"/>
    <w:rsid w:val="004C47ED"/>
    <w:rsid w:val="004C4E48"/>
    <w:rsid w:val="004C4E4C"/>
    <w:rsid w:val="004C608A"/>
    <w:rsid w:val="004C6692"/>
    <w:rsid w:val="004C69DC"/>
    <w:rsid w:val="004C6F25"/>
    <w:rsid w:val="004C7576"/>
    <w:rsid w:val="004D020C"/>
    <w:rsid w:val="004D03AD"/>
    <w:rsid w:val="004D0DAF"/>
    <w:rsid w:val="004D0ED6"/>
    <w:rsid w:val="004D1A60"/>
    <w:rsid w:val="004D1C4C"/>
    <w:rsid w:val="004D1C97"/>
    <w:rsid w:val="004D2FBF"/>
    <w:rsid w:val="004D3E95"/>
    <w:rsid w:val="004D4580"/>
    <w:rsid w:val="004D4988"/>
    <w:rsid w:val="004D5FB2"/>
    <w:rsid w:val="004D6490"/>
    <w:rsid w:val="004D688D"/>
    <w:rsid w:val="004D6BBE"/>
    <w:rsid w:val="004E246A"/>
    <w:rsid w:val="004E391C"/>
    <w:rsid w:val="004E415F"/>
    <w:rsid w:val="004E4EF5"/>
    <w:rsid w:val="004E54E3"/>
    <w:rsid w:val="004E6716"/>
    <w:rsid w:val="004E7063"/>
    <w:rsid w:val="004F01F1"/>
    <w:rsid w:val="004F027F"/>
    <w:rsid w:val="004F0F91"/>
    <w:rsid w:val="004F20B1"/>
    <w:rsid w:val="004F4FB2"/>
    <w:rsid w:val="004F6968"/>
    <w:rsid w:val="004F6AFF"/>
    <w:rsid w:val="004F70CB"/>
    <w:rsid w:val="004F7E87"/>
    <w:rsid w:val="005000C4"/>
    <w:rsid w:val="00500A48"/>
    <w:rsid w:val="00500C86"/>
    <w:rsid w:val="00500E17"/>
    <w:rsid w:val="00502D86"/>
    <w:rsid w:val="005031A1"/>
    <w:rsid w:val="00503ACC"/>
    <w:rsid w:val="00506C52"/>
    <w:rsid w:val="005075DE"/>
    <w:rsid w:val="00507C66"/>
    <w:rsid w:val="0051014F"/>
    <w:rsid w:val="0051020D"/>
    <w:rsid w:val="00510C56"/>
    <w:rsid w:val="00511160"/>
    <w:rsid w:val="00511607"/>
    <w:rsid w:val="0051179F"/>
    <w:rsid w:val="00511890"/>
    <w:rsid w:val="00512927"/>
    <w:rsid w:val="0051351F"/>
    <w:rsid w:val="00513730"/>
    <w:rsid w:val="00513CBB"/>
    <w:rsid w:val="005142E4"/>
    <w:rsid w:val="00514C05"/>
    <w:rsid w:val="00515082"/>
    <w:rsid w:val="00515272"/>
    <w:rsid w:val="005158A4"/>
    <w:rsid w:val="005165A1"/>
    <w:rsid w:val="005166D7"/>
    <w:rsid w:val="00516CCD"/>
    <w:rsid w:val="00517518"/>
    <w:rsid w:val="00517FC3"/>
    <w:rsid w:val="00520B7B"/>
    <w:rsid w:val="00520F97"/>
    <w:rsid w:val="0052167B"/>
    <w:rsid w:val="005224ED"/>
    <w:rsid w:val="005228B2"/>
    <w:rsid w:val="005231D7"/>
    <w:rsid w:val="005232E5"/>
    <w:rsid w:val="005235B3"/>
    <w:rsid w:val="005247E4"/>
    <w:rsid w:val="0052524E"/>
    <w:rsid w:val="005255CF"/>
    <w:rsid w:val="00525986"/>
    <w:rsid w:val="00525A69"/>
    <w:rsid w:val="00526B54"/>
    <w:rsid w:val="00526DA7"/>
    <w:rsid w:val="00526DB1"/>
    <w:rsid w:val="00526F0E"/>
    <w:rsid w:val="00527157"/>
    <w:rsid w:val="005279F2"/>
    <w:rsid w:val="00530301"/>
    <w:rsid w:val="00531B74"/>
    <w:rsid w:val="00533EFF"/>
    <w:rsid w:val="0053454E"/>
    <w:rsid w:val="00534A81"/>
    <w:rsid w:val="00534C2D"/>
    <w:rsid w:val="005372D7"/>
    <w:rsid w:val="005373F4"/>
    <w:rsid w:val="00537FCD"/>
    <w:rsid w:val="005401BA"/>
    <w:rsid w:val="00541035"/>
    <w:rsid w:val="00541538"/>
    <w:rsid w:val="005425FD"/>
    <w:rsid w:val="005431E5"/>
    <w:rsid w:val="0054362C"/>
    <w:rsid w:val="00544F4F"/>
    <w:rsid w:val="0054502D"/>
    <w:rsid w:val="005455C0"/>
    <w:rsid w:val="005457D9"/>
    <w:rsid w:val="00546D13"/>
    <w:rsid w:val="00547406"/>
    <w:rsid w:val="0055120F"/>
    <w:rsid w:val="00552CD4"/>
    <w:rsid w:val="00552E4F"/>
    <w:rsid w:val="00553E28"/>
    <w:rsid w:val="0055411A"/>
    <w:rsid w:val="005552F0"/>
    <w:rsid w:val="00555969"/>
    <w:rsid w:val="00557332"/>
    <w:rsid w:val="00557339"/>
    <w:rsid w:val="005573BF"/>
    <w:rsid w:val="0056029A"/>
    <w:rsid w:val="0056061C"/>
    <w:rsid w:val="005615FC"/>
    <w:rsid w:val="00564456"/>
    <w:rsid w:val="00564CC8"/>
    <w:rsid w:val="00565ABC"/>
    <w:rsid w:val="00566638"/>
    <w:rsid w:val="005670E7"/>
    <w:rsid w:val="005678A8"/>
    <w:rsid w:val="0057033F"/>
    <w:rsid w:val="00570527"/>
    <w:rsid w:val="00571098"/>
    <w:rsid w:val="00571981"/>
    <w:rsid w:val="00571C8A"/>
    <w:rsid w:val="00572349"/>
    <w:rsid w:val="00572654"/>
    <w:rsid w:val="00573BD1"/>
    <w:rsid w:val="0057493D"/>
    <w:rsid w:val="00574DA8"/>
    <w:rsid w:val="005756FC"/>
    <w:rsid w:val="0057599D"/>
    <w:rsid w:val="00576ECD"/>
    <w:rsid w:val="00577037"/>
    <w:rsid w:val="00577216"/>
    <w:rsid w:val="00577284"/>
    <w:rsid w:val="00577D7E"/>
    <w:rsid w:val="00577ECF"/>
    <w:rsid w:val="00580079"/>
    <w:rsid w:val="00580FB6"/>
    <w:rsid w:val="00581013"/>
    <w:rsid w:val="00582724"/>
    <w:rsid w:val="00583726"/>
    <w:rsid w:val="00583FF9"/>
    <w:rsid w:val="0058419C"/>
    <w:rsid w:val="005843E0"/>
    <w:rsid w:val="005855ED"/>
    <w:rsid w:val="00585FD6"/>
    <w:rsid w:val="005864E5"/>
    <w:rsid w:val="005866E4"/>
    <w:rsid w:val="00587C09"/>
    <w:rsid w:val="00587CBD"/>
    <w:rsid w:val="00591A31"/>
    <w:rsid w:val="00591E8A"/>
    <w:rsid w:val="0059203E"/>
    <w:rsid w:val="00592128"/>
    <w:rsid w:val="005943FF"/>
    <w:rsid w:val="005945DD"/>
    <w:rsid w:val="00595240"/>
    <w:rsid w:val="00596AC3"/>
    <w:rsid w:val="005A01F3"/>
    <w:rsid w:val="005A0D66"/>
    <w:rsid w:val="005A112D"/>
    <w:rsid w:val="005A30EB"/>
    <w:rsid w:val="005A35FF"/>
    <w:rsid w:val="005A4F5F"/>
    <w:rsid w:val="005A5598"/>
    <w:rsid w:val="005A7016"/>
    <w:rsid w:val="005A7391"/>
    <w:rsid w:val="005A7EE1"/>
    <w:rsid w:val="005B0DC6"/>
    <w:rsid w:val="005B213C"/>
    <w:rsid w:val="005B2338"/>
    <w:rsid w:val="005B245E"/>
    <w:rsid w:val="005B30C6"/>
    <w:rsid w:val="005B313B"/>
    <w:rsid w:val="005B367A"/>
    <w:rsid w:val="005B5444"/>
    <w:rsid w:val="005B5466"/>
    <w:rsid w:val="005B609F"/>
    <w:rsid w:val="005B6C6C"/>
    <w:rsid w:val="005C3F9F"/>
    <w:rsid w:val="005C4AB5"/>
    <w:rsid w:val="005C5E14"/>
    <w:rsid w:val="005C6324"/>
    <w:rsid w:val="005C6E31"/>
    <w:rsid w:val="005C6F20"/>
    <w:rsid w:val="005C77A0"/>
    <w:rsid w:val="005D0216"/>
    <w:rsid w:val="005D0824"/>
    <w:rsid w:val="005D0BA8"/>
    <w:rsid w:val="005D0C64"/>
    <w:rsid w:val="005D0CC5"/>
    <w:rsid w:val="005D1D96"/>
    <w:rsid w:val="005D21FD"/>
    <w:rsid w:val="005D3154"/>
    <w:rsid w:val="005D31B1"/>
    <w:rsid w:val="005D4613"/>
    <w:rsid w:val="005D508F"/>
    <w:rsid w:val="005D640F"/>
    <w:rsid w:val="005D7C7F"/>
    <w:rsid w:val="005E2A24"/>
    <w:rsid w:val="005E2AE0"/>
    <w:rsid w:val="005E2C54"/>
    <w:rsid w:val="005E3411"/>
    <w:rsid w:val="005E40CD"/>
    <w:rsid w:val="005E42D7"/>
    <w:rsid w:val="005E4739"/>
    <w:rsid w:val="005E4894"/>
    <w:rsid w:val="005E4935"/>
    <w:rsid w:val="005E4E05"/>
    <w:rsid w:val="005E534A"/>
    <w:rsid w:val="005E6691"/>
    <w:rsid w:val="005E77F3"/>
    <w:rsid w:val="005F009C"/>
    <w:rsid w:val="005F11C7"/>
    <w:rsid w:val="005F141C"/>
    <w:rsid w:val="005F5129"/>
    <w:rsid w:val="005F6D46"/>
    <w:rsid w:val="005F7765"/>
    <w:rsid w:val="005F7C1B"/>
    <w:rsid w:val="00600009"/>
    <w:rsid w:val="006000F1"/>
    <w:rsid w:val="00600152"/>
    <w:rsid w:val="00600E60"/>
    <w:rsid w:val="00602B34"/>
    <w:rsid w:val="006031D1"/>
    <w:rsid w:val="00603474"/>
    <w:rsid w:val="0060372F"/>
    <w:rsid w:val="00603A41"/>
    <w:rsid w:val="00606D36"/>
    <w:rsid w:val="006106DB"/>
    <w:rsid w:val="006114D4"/>
    <w:rsid w:val="00612CF5"/>
    <w:rsid w:val="006132A5"/>
    <w:rsid w:val="00613DB3"/>
    <w:rsid w:val="006147EC"/>
    <w:rsid w:val="00616C4B"/>
    <w:rsid w:val="006177B2"/>
    <w:rsid w:val="00620298"/>
    <w:rsid w:val="00621610"/>
    <w:rsid w:val="00621D61"/>
    <w:rsid w:val="00622400"/>
    <w:rsid w:val="00622833"/>
    <w:rsid w:val="006228B3"/>
    <w:rsid w:val="00622B26"/>
    <w:rsid w:val="006232C3"/>
    <w:rsid w:val="006236D0"/>
    <w:rsid w:val="006247FE"/>
    <w:rsid w:val="00626B93"/>
    <w:rsid w:val="006271FB"/>
    <w:rsid w:val="006310DC"/>
    <w:rsid w:val="0063116E"/>
    <w:rsid w:val="00631855"/>
    <w:rsid w:val="00632E37"/>
    <w:rsid w:val="006333C5"/>
    <w:rsid w:val="0063362B"/>
    <w:rsid w:val="006345FF"/>
    <w:rsid w:val="00634D96"/>
    <w:rsid w:val="00634E4D"/>
    <w:rsid w:val="0063510B"/>
    <w:rsid w:val="00635693"/>
    <w:rsid w:val="00635958"/>
    <w:rsid w:val="006379E2"/>
    <w:rsid w:val="00637C91"/>
    <w:rsid w:val="0064059E"/>
    <w:rsid w:val="0064150F"/>
    <w:rsid w:val="006433C0"/>
    <w:rsid w:val="00643796"/>
    <w:rsid w:val="00643878"/>
    <w:rsid w:val="00643D69"/>
    <w:rsid w:val="00644AA8"/>
    <w:rsid w:val="00645CC4"/>
    <w:rsid w:val="006463DC"/>
    <w:rsid w:val="006477C9"/>
    <w:rsid w:val="00647C15"/>
    <w:rsid w:val="00650317"/>
    <w:rsid w:val="00650D61"/>
    <w:rsid w:val="006540A7"/>
    <w:rsid w:val="0065446F"/>
    <w:rsid w:val="006555F7"/>
    <w:rsid w:val="00655F0D"/>
    <w:rsid w:val="00656C0A"/>
    <w:rsid w:val="006572F6"/>
    <w:rsid w:val="006573DD"/>
    <w:rsid w:val="006608E8"/>
    <w:rsid w:val="0066176E"/>
    <w:rsid w:val="00661949"/>
    <w:rsid w:val="006619E2"/>
    <w:rsid w:val="0066267A"/>
    <w:rsid w:val="00663063"/>
    <w:rsid w:val="0066413E"/>
    <w:rsid w:val="0066424D"/>
    <w:rsid w:val="00664554"/>
    <w:rsid w:val="006653A6"/>
    <w:rsid w:val="00665689"/>
    <w:rsid w:val="00665C08"/>
    <w:rsid w:val="0066732D"/>
    <w:rsid w:val="00667505"/>
    <w:rsid w:val="0067002E"/>
    <w:rsid w:val="006701A0"/>
    <w:rsid w:val="00670A6A"/>
    <w:rsid w:val="00670D19"/>
    <w:rsid w:val="0067112A"/>
    <w:rsid w:val="0067139A"/>
    <w:rsid w:val="00671724"/>
    <w:rsid w:val="0067183F"/>
    <w:rsid w:val="0067216E"/>
    <w:rsid w:val="0067280F"/>
    <w:rsid w:val="00673B69"/>
    <w:rsid w:val="00680085"/>
    <w:rsid w:val="00680206"/>
    <w:rsid w:val="00680DB9"/>
    <w:rsid w:val="00682499"/>
    <w:rsid w:val="00683653"/>
    <w:rsid w:val="00683B18"/>
    <w:rsid w:val="0068490B"/>
    <w:rsid w:val="00684A47"/>
    <w:rsid w:val="00684ED1"/>
    <w:rsid w:val="0068590E"/>
    <w:rsid w:val="00686758"/>
    <w:rsid w:val="00687052"/>
    <w:rsid w:val="006906F8"/>
    <w:rsid w:val="00691370"/>
    <w:rsid w:val="00691B37"/>
    <w:rsid w:val="00691D74"/>
    <w:rsid w:val="00691FB0"/>
    <w:rsid w:val="006928D3"/>
    <w:rsid w:val="006930AB"/>
    <w:rsid w:val="00694BE7"/>
    <w:rsid w:val="0069601C"/>
    <w:rsid w:val="0069607E"/>
    <w:rsid w:val="00696843"/>
    <w:rsid w:val="006A03C8"/>
    <w:rsid w:val="006A08AD"/>
    <w:rsid w:val="006A0A80"/>
    <w:rsid w:val="006A1149"/>
    <w:rsid w:val="006A1F2A"/>
    <w:rsid w:val="006A23FD"/>
    <w:rsid w:val="006A34E7"/>
    <w:rsid w:val="006A4989"/>
    <w:rsid w:val="006A4D14"/>
    <w:rsid w:val="006A6BAF"/>
    <w:rsid w:val="006A77AD"/>
    <w:rsid w:val="006B0020"/>
    <w:rsid w:val="006B020D"/>
    <w:rsid w:val="006B0617"/>
    <w:rsid w:val="006B096D"/>
    <w:rsid w:val="006B0C48"/>
    <w:rsid w:val="006B1438"/>
    <w:rsid w:val="006B1E56"/>
    <w:rsid w:val="006B241F"/>
    <w:rsid w:val="006B275D"/>
    <w:rsid w:val="006B2F48"/>
    <w:rsid w:val="006B3395"/>
    <w:rsid w:val="006B35FD"/>
    <w:rsid w:val="006B4668"/>
    <w:rsid w:val="006B4E6B"/>
    <w:rsid w:val="006B4FFA"/>
    <w:rsid w:val="006B5B6F"/>
    <w:rsid w:val="006B5D50"/>
    <w:rsid w:val="006B7006"/>
    <w:rsid w:val="006B7738"/>
    <w:rsid w:val="006C08CA"/>
    <w:rsid w:val="006C225B"/>
    <w:rsid w:val="006C232A"/>
    <w:rsid w:val="006C26DE"/>
    <w:rsid w:val="006C2A96"/>
    <w:rsid w:val="006C4277"/>
    <w:rsid w:val="006C4DDE"/>
    <w:rsid w:val="006C52A8"/>
    <w:rsid w:val="006C5EAC"/>
    <w:rsid w:val="006C624E"/>
    <w:rsid w:val="006C7CD6"/>
    <w:rsid w:val="006D00C0"/>
    <w:rsid w:val="006D02BD"/>
    <w:rsid w:val="006D02E5"/>
    <w:rsid w:val="006D0926"/>
    <w:rsid w:val="006D0C63"/>
    <w:rsid w:val="006D10FE"/>
    <w:rsid w:val="006D16BA"/>
    <w:rsid w:val="006D233C"/>
    <w:rsid w:val="006D2343"/>
    <w:rsid w:val="006D4008"/>
    <w:rsid w:val="006D5B78"/>
    <w:rsid w:val="006D5F5E"/>
    <w:rsid w:val="006D6596"/>
    <w:rsid w:val="006D6A71"/>
    <w:rsid w:val="006D74CE"/>
    <w:rsid w:val="006E012C"/>
    <w:rsid w:val="006E0627"/>
    <w:rsid w:val="006E1EEA"/>
    <w:rsid w:val="006E20B0"/>
    <w:rsid w:val="006E3874"/>
    <w:rsid w:val="006E39F3"/>
    <w:rsid w:val="006E3FFD"/>
    <w:rsid w:val="006E4C7A"/>
    <w:rsid w:val="006E4D2B"/>
    <w:rsid w:val="006E4E23"/>
    <w:rsid w:val="006E5F88"/>
    <w:rsid w:val="006E6D9B"/>
    <w:rsid w:val="006E78B3"/>
    <w:rsid w:val="006E7E37"/>
    <w:rsid w:val="006F08F2"/>
    <w:rsid w:val="006F0B1E"/>
    <w:rsid w:val="006F10AD"/>
    <w:rsid w:val="006F15A9"/>
    <w:rsid w:val="006F2B9B"/>
    <w:rsid w:val="006F3300"/>
    <w:rsid w:val="006F4521"/>
    <w:rsid w:val="006F502C"/>
    <w:rsid w:val="006F748E"/>
    <w:rsid w:val="00700231"/>
    <w:rsid w:val="0070117C"/>
    <w:rsid w:val="007021F6"/>
    <w:rsid w:val="00702D75"/>
    <w:rsid w:val="00704A0B"/>
    <w:rsid w:val="007056A8"/>
    <w:rsid w:val="007058FE"/>
    <w:rsid w:val="007067E5"/>
    <w:rsid w:val="007071BD"/>
    <w:rsid w:val="00707705"/>
    <w:rsid w:val="0071088C"/>
    <w:rsid w:val="00711F0B"/>
    <w:rsid w:val="0071232C"/>
    <w:rsid w:val="00713BB6"/>
    <w:rsid w:val="007143A0"/>
    <w:rsid w:val="007143B6"/>
    <w:rsid w:val="00714B62"/>
    <w:rsid w:val="00714DCF"/>
    <w:rsid w:val="00717F50"/>
    <w:rsid w:val="0072140D"/>
    <w:rsid w:val="00721D0C"/>
    <w:rsid w:val="00723247"/>
    <w:rsid w:val="0072364B"/>
    <w:rsid w:val="00723A34"/>
    <w:rsid w:val="00723D75"/>
    <w:rsid w:val="0072491D"/>
    <w:rsid w:val="007255E0"/>
    <w:rsid w:val="007261F3"/>
    <w:rsid w:val="00726F7C"/>
    <w:rsid w:val="00730BDA"/>
    <w:rsid w:val="00730E59"/>
    <w:rsid w:val="007315B7"/>
    <w:rsid w:val="007319FB"/>
    <w:rsid w:val="007323CF"/>
    <w:rsid w:val="00733AFB"/>
    <w:rsid w:val="00734CC7"/>
    <w:rsid w:val="00734E45"/>
    <w:rsid w:val="0073516F"/>
    <w:rsid w:val="0074034F"/>
    <w:rsid w:val="007403E9"/>
    <w:rsid w:val="0074062D"/>
    <w:rsid w:val="007407F7"/>
    <w:rsid w:val="00740D22"/>
    <w:rsid w:val="007411BF"/>
    <w:rsid w:val="00741772"/>
    <w:rsid w:val="007417A5"/>
    <w:rsid w:val="00741D34"/>
    <w:rsid w:val="00743046"/>
    <w:rsid w:val="0074456C"/>
    <w:rsid w:val="00747015"/>
    <w:rsid w:val="00750039"/>
    <w:rsid w:val="007509BF"/>
    <w:rsid w:val="00750E71"/>
    <w:rsid w:val="00751023"/>
    <w:rsid w:val="00751FF7"/>
    <w:rsid w:val="00752619"/>
    <w:rsid w:val="0075291B"/>
    <w:rsid w:val="00752A2F"/>
    <w:rsid w:val="007532ED"/>
    <w:rsid w:val="007533F8"/>
    <w:rsid w:val="00753F98"/>
    <w:rsid w:val="00754035"/>
    <w:rsid w:val="00754200"/>
    <w:rsid w:val="007550E2"/>
    <w:rsid w:val="00756CC8"/>
    <w:rsid w:val="007572C5"/>
    <w:rsid w:val="0075764D"/>
    <w:rsid w:val="00757724"/>
    <w:rsid w:val="00757B17"/>
    <w:rsid w:val="00757DC5"/>
    <w:rsid w:val="00760C64"/>
    <w:rsid w:val="00760D13"/>
    <w:rsid w:val="007611F3"/>
    <w:rsid w:val="00762121"/>
    <w:rsid w:val="00763875"/>
    <w:rsid w:val="00763F61"/>
    <w:rsid w:val="00764F95"/>
    <w:rsid w:val="0076604C"/>
    <w:rsid w:val="0076627B"/>
    <w:rsid w:val="007664F8"/>
    <w:rsid w:val="00766767"/>
    <w:rsid w:val="00766A14"/>
    <w:rsid w:val="007676AB"/>
    <w:rsid w:val="00767DB0"/>
    <w:rsid w:val="0077020F"/>
    <w:rsid w:val="00770376"/>
    <w:rsid w:val="00770CCD"/>
    <w:rsid w:val="00771A39"/>
    <w:rsid w:val="00771DCA"/>
    <w:rsid w:val="00772D1B"/>
    <w:rsid w:val="00773002"/>
    <w:rsid w:val="0077303C"/>
    <w:rsid w:val="007730A0"/>
    <w:rsid w:val="00773F96"/>
    <w:rsid w:val="0077456D"/>
    <w:rsid w:val="00774EDA"/>
    <w:rsid w:val="00774FCD"/>
    <w:rsid w:val="00775B90"/>
    <w:rsid w:val="00775FA1"/>
    <w:rsid w:val="00775FBA"/>
    <w:rsid w:val="0077614F"/>
    <w:rsid w:val="0077686C"/>
    <w:rsid w:val="007768CA"/>
    <w:rsid w:val="00776D95"/>
    <w:rsid w:val="00776FD2"/>
    <w:rsid w:val="00780E89"/>
    <w:rsid w:val="00781475"/>
    <w:rsid w:val="007818C2"/>
    <w:rsid w:val="0078211C"/>
    <w:rsid w:val="007822B0"/>
    <w:rsid w:val="007828C6"/>
    <w:rsid w:val="00782EF5"/>
    <w:rsid w:val="00783A7F"/>
    <w:rsid w:val="00783E21"/>
    <w:rsid w:val="00784BF0"/>
    <w:rsid w:val="00785838"/>
    <w:rsid w:val="00785962"/>
    <w:rsid w:val="00786892"/>
    <w:rsid w:val="00786F1D"/>
    <w:rsid w:val="00787370"/>
    <w:rsid w:val="007876C0"/>
    <w:rsid w:val="007916E4"/>
    <w:rsid w:val="00791C15"/>
    <w:rsid w:val="007935F9"/>
    <w:rsid w:val="007943F7"/>
    <w:rsid w:val="00795A99"/>
    <w:rsid w:val="00796204"/>
    <w:rsid w:val="00797065"/>
    <w:rsid w:val="007A0B26"/>
    <w:rsid w:val="007A1ECC"/>
    <w:rsid w:val="007A37BA"/>
    <w:rsid w:val="007A4AB6"/>
    <w:rsid w:val="007A4C95"/>
    <w:rsid w:val="007A4F63"/>
    <w:rsid w:val="007A5B6F"/>
    <w:rsid w:val="007A6635"/>
    <w:rsid w:val="007A6BF6"/>
    <w:rsid w:val="007A6EC2"/>
    <w:rsid w:val="007A7BE9"/>
    <w:rsid w:val="007A7F45"/>
    <w:rsid w:val="007B02F7"/>
    <w:rsid w:val="007B0787"/>
    <w:rsid w:val="007B0BE5"/>
    <w:rsid w:val="007B1146"/>
    <w:rsid w:val="007B1187"/>
    <w:rsid w:val="007B2AEA"/>
    <w:rsid w:val="007B2F9C"/>
    <w:rsid w:val="007B355D"/>
    <w:rsid w:val="007B61B3"/>
    <w:rsid w:val="007B659D"/>
    <w:rsid w:val="007B687D"/>
    <w:rsid w:val="007B705D"/>
    <w:rsid w:val="007B7102"/>
    <w:rsid w:val="007B7BF7"/>
    <w:rsid w:val="007C047C"/>
    <w:rsid w:val="007C052F"/>
    <w:rsid w:val="007C2A02"/>
    <w:rsid w:val="007C3CBF"/>
    <w:rsid w:val="007C40E2"/>
    <w:rsid w:val="007C4F2A"/>
    <w:rsid w:val="007C66C0"/>
    <w:rsid w:val="007C6DD8"/>
    <w:rsid w:val="007D08EF"/>
    <w:rsid w:val="007D0A05"/>
    <w:rsid w:val="007D10F4"/>
    <w:rsid w:val="007D2143"/>
    <w:rsid w:val="007D2960"/>
    <w:rsid w:val="007D3C17"/>
    <w:rsid w:val="007D4D6A"/>
    <w:rsid w:val="007D5086"/>
    <w:rsid w:val="007D561E"/>
    <w:rsid w:val="007D590D"/>
    <w:rsid w:val="007D5B1F"/>
    <w:rsid w:val="007D67E4"/>
    <w:rsid w:val="007D6A20"/>
    <w:rsid w:val="007D6CD7"/>
    <w:rsid w:val="007D7B98"/>
    <w:rsid w:val="007E0C94"/>
    <w:rsid w:val="007E1242"/>
    <w:rsid w:val="007E1435"/>
    <w:rsid w:val="007E18A4"/>
    <w:rsid w:val="007E2653"/>
    <w:rsid w:val="007E33C4"/>
    <w:rsid w:val="007E4411"/>
    <w:rsid w:val="007E4688"/>
    <w:rsid w:val="007E5DB1"/>
    <w:rsid w:val="007E6221"/>
    <w:rsid w:val="007E7A13"/>
    <w:rsid w:val="007E7DDC"/>
    <w:rsid w:val="007F082E"/>
    <w:rsid w:val="007F13BA"/>
    <w:rsid w:val="007F1E2A"/>
    <w:rsid w:val="007F2E95"/>
    <w:rsid w:val="007F365A"/>
    <w:rsid w:val="007F47F0"/>
    <w:rsid w:val="00800717"/>
    <w:rsid w:val="00800D39"/>
    <w:rsid w:val="00801643"/>
    <w:rsid w:val="00801E29"/>
    <w:rsid w:val="00802E87"/>
    <w:rsid w:val="00803517"/>
    <w:rsid w:val="008043BC"/>
    <w:rsid w:val="00804AE1"/>
    <w:rsid w:val="00804F0B"/>
    <w:rsid w:val="00807422"/>
    <w:rsid w:val="0080746D"/>
    <w:rsid w:val="0081041D"/>
    <w:rsid w:val="00810504"/>
    <w:rsid w:val="00810E69"/>
    <w:rsid w:val="00810F1C"/>
    <w:rsid w:val="00813171"/>
    <w:rsid w:val="008144F0"/>
    <w:rsid w:val="0081457E"/>
    <w:rsid w:val="00815373"/>
    <w:rsid w:val="00815C3F"/>
    <w:rsid w:val="008160D1"/>
    <w:rsid w:val="0081637B"/>
    <w:rsid w:val="008164E3"/>
    <w:rsid w:val="008177A9"/>
    <w:rsid w:val="00820336"/>
    <w:rsid w:val="00820AC6"/>
    <w:rsid w:val="00820F52"/>
    <w:rsid w:val="00821981"/>
    <w:rsid w:val="00823224"/>
    <w:rsid w:val="008235A0"/>
    <w:rsid w:val="0082384F"/>
    <w:rsid w:val="008275AA"/>
    <w:rsid w:val="0083038D"/>
    <w:rsid w:val="00830B29"/>
    <w:rsid w:val="00830DDA"/>
    <w:rsid w:val="00830E68"/>
    <w:rsid w:val="00830F67"/>
    <w:rsid w:val="00832172"/>
    <w:rsid w:val="00832638"/>
    <w:rsid w:val="0083310C"/>
    <w:rsid w:val="008332FA"/>
    <w:rsid w:val="008346BF"/>
    <w:rsid w:val="0083575C"/>
    <w:rsid w:val="00836898"/>
    <w:rsid w:val="0083696C"/>
    <w:rsid w:val="00837057"/>
    <w:rsid w:val="008376A0"/>
    <w:rsid w:val="008376AC"/>
    <w:rsid w:val="008379E1"/>
    <w:rsid w:val="008412B2"/>
    <w:rsid w:val="008415FE"/>
    <w:rsid w:val="00841EE8"/>
    <w:rsid w:val="00842334"/>
    <w:rsid w:val="00842451"/>
    <w:rsid w:val="0084306C"/>
    <w:rsid w:val="00843841"/>
    <w:rsid w:val="008443DE"/>
    <w:rsid w:val="0084479E"/>
    <w:rsid w:val="008456F2"/>
    <w:rsid w:val="00846567"/>
    <w:rsid w:val="00846AE3"/>
    <w:rsid w:val="00846BBB"/>
    <w:rsid w:val="008470F0"/>
    <w:rsid w:val="008534B0"/>
    <w:rsid w:val="00853AE1"/>
    <w:rsid w:val="00853E03"/>
    <w:rsid w:val="00856F87"/>
    <w:rsid w:val="00856FFF"/>
    <w:rsid w:val="00857A01"/>
    <w:rsid w:val="00860995"/>
    <w:rsid w:val="008614A4"/>
    <w:rsid w:val="008626F5"/>
    <w:rsid w:val="008628E9"/>
    <w:rsid w:val="0086434A"/>
    <w:rsid w:val="008645A5"/>
    <w:rsid w:val="0086501B"/>
    <w:rsid w:val="00865CD7"/>
    <w:rsid w:val="00865CF2"/>
    <w:rsid w:val="008665F3"/>
    <w:rsid w:val="008674C5"/>
    <w:rsid w:val="00870005"/>
    <w:rsid w:val="00870115"/>
    <w:rsid w:val="00871493"/>
    <w:rsid w:val="008727A6"/>
    <w:rsid w:val="00872E03"/>
    <w:rsid w:val="00874A87"/>
    <w:rsid w:val="00874C85"/>
    <w:rsid w:val="00874FA5"/>
    <w:rsid w:val="00875100"/>
    <w:rsid w:val="00875380"/>
    <w:rsid w:val="00875621"/>
    <w:rsid w:val="00876655"/>
    <w:rsid w:val="00876FD7"/>
    <w:rsid w:val="008807DA"/>
    <w:rsid w:val="00882629"/>
    <w:rsid w:val="00882930"/>
    <w:rsid w:val="00883331"/>
    <w:rsid w:val="00883553"/>
    <w:rsid w:val="00883A6C"/>
    <w:rsid w:val="00884369"/>
    <w:rsid w:val="0088485C"/>
    <w:rsid w:val="00885ADB"/>
    <w:rsid w:val="008901FC"/>
    <w:rsid w:val="008903A5"/>
    <w:rsid w:val="0089047B"/>
    <w:rsid w:val="00890F46"/>
    <w:rsid w:val="0089250A"/>
    <w:rsid w:val="00892844"/>
    <w:rsid w:val="00892C5B"/>
    <w:rsid w:val="00892E1B"/>
    <w:rsid w:val="0089393C"/>
    <w:rsid w:val="008948F4"/>
    <w:rsid w:val="00894D9F"/>
    <w:rsid w:val="0089590D"/>
    <w:rsid w:val="00895DB8"/>
    <w:rsid w:val="00896B69"/>
    <w:rsid w:val="00897BF0"/>
    <w:rsid w:val="008A03F2"/>
    <w:rsid w:val="008A0446"/>
    <w:rsid w:val="008A1478"/>
    <w:rsid w:val="008A1618"/>
    <w:rsid w:val="008A2546"/>
    <w:rsid w:val="008A3365"/>
    <w:rsid w:val="008A4051"/>
    <w:rsid w:val="008A431E"/>
    <w:rsid w:val="008A49B3"/>
    <w:rsid w:val="008A54D7"/>
    <w:rsid w:val="008A5A4B"/>
    <w:rsid w:val="008A61E0"/>
    <w:rsid w:val="008A6F16"/>
    <w:rsid w:val="008B0644"/>
    <w:rsid w:val="008B13B1"/>
    <w:rsid w:val="008B14D7"/>
    <w:rsid w:val="008B2A4B"/>
    <w:rsid w:val="008B3084"/>
    <w:rsid w:val="008B30B7"/>
    <w:rsid w:val="008B31A4"/>
    <w:rsid w:val="008B35D6"/>
    <w:rsid w:val="008B55B7"/>
    <w:rsid w:val="008B5684"/>
    <w:rsid w:val="008B6133"/>
    <w:rsid w:val="008B6924"/>
    <w:rsid w:val="008B7144"/>
    <w:rsid w:val="008B719C"/>
    <w:rsid w:val="008B743E"/>
    <w:rsid w:val="008B78A7"/>
    <w:rsid w:val="008B7B84"/>
    <w:rsid w:val="008C3594"/>
    <w:rsid w:val="008C3899"/>
    <w:rsid w:val="008C38B0"/>
    <w:rsid w:val="008C56AF"/>
    <w:rsid w:val="008C5A25"/>
    <w:rsid w:val="008C711F"/>
    <w:rsid w:val="008D0A98"/>
    <w:rsid w:val="008D0C69"/>
    <w:rsid w:val="008D18EA"/>
    <w:rsid w:val="008D1CD2"/>
    <w:rsid w:val="008D25F4"/>
    <w:rsid w:val="008D3317"/>
    <w:rsid w:val="008D3857"/>
    <w:rsid w:val="008D3A62"/>
    <w:rsid w:val="008D4722"/>
    <w:rsid w:val="008D4FE5"/>
    <w:rsid w:val="008D5645"/>
    <w:rsid w:val="008D6A2D"/>
    <w:rsid w:val="008D774A"/>
    <w:rsid w:val="008D7AA0"/>
    <w:rsid w:val="008D7DFA"/>
    <w:rsid w:val="008E0084"/>
    <w:rsid w:val="008E0862"/>
    <w:rsid w:val="008E0B4C"/>
    <w:rsid w:val="008E13CB"/>
    <w:rsid w:val="008E14A7"/>
    <w:rsid w:val="008E2A59"/>
    <w:rsid w:val="008E2FB9"/>
    <w:rsid w:val="008E3C5A"/>
    <w:rsid w:val="008E5CAB"/>
    <w:rsid w:val="008E6FE8"/>
    <w:rsid w:val="008F1C8D"/>
    <w:rsid w:val="008F3A86"/>
    <w:rsid w:val="008F45EC"/>
    <w:rsid w:val="008F5409"/>
    <w:rsid w:val="008F5B60"/>
    <w:rsid w:val="008F612E"/>
    <w:rsid w:val="008F6C07"/>
    <w:rsid w:val="008F731C"/>
    <w:rsid w:val="009019A2"/>
    <w:rsid w:val="009021EB"/>
    <w:rsid w:val="0090251D"/>
    <w:rsid w:val="00903397"/>
    <w:rsid w:val="00903A9E"/>
    <w:rsid w:val="00903F13"/>
    <w:rsid w:val="0090429A"/>
    <w:rsid w:val="0090454E"/>
    <w:rsid w:val="00905ABF"/>
    <w:rsid w:val="0090603D"/>
    <w:rsid w:val="0090621F"/>
    <w:rsid w:val="009064E9"/>
    <w:rsid w:val="00906C1E"/>
    <w:rsid w:val="009075F7"/>
    <w:rsid w:val="00911C6F"/>
    <w:rsid w:val="0091201D"/>
    <w:rsid w:val="00912841"/>
    <w:rsid w:val="00912C95"/>
    <w:rsid w:val="00912E45"/>
    <w:rsid w:val="00914603"/>
    <w:rsid w:val="00914B0F"/>
    <w:rsid w:val="00915344"/>
    <w:rsid w:val="00915A79"/>
    <w:rsid w:val="00915BAC"/>
    <w:rsid w:val="00917D7D"/>
    <w:rsid w:val="00917F5C"/>
    <w:rsid w:val="00920344"/>
    <w:rsid w:val="009203D2"/>
    <w:rsid w:val="00920C99"/>
    <w:rsid w:val="00922422"/>
    <w:rsid w:val="00923005"/>
    <w:rsid w:val="0092352A"/>
    <w:rsid w:val="0092393F"/>
    <w:rsid w:val="00923A78"/>
    <w:rsid w:val="00923EB4"/>
    <w:rsid w:val="009251A0"/>
    <w:rsid w:val="009253AA"/>
    <w:rsid w:val="00925584"/>
    <w:rsid w:val="009262FB"/>
    <w:rsid w:val="00926B45"/>
    <w:rsid w:val="0092728B"/>
    <w:rsid w:val="0092764B"/>
    <w:rsid w:val="009278A8"/>
    <w:rsid w:val="009278ED"/>
    <w:rsid w:val="00930D4B"/>
    <w:rsid w:val="00931168"/>
    <w:rsid w:val="009315D3"/>
    <w:rsid w:val="00932A97"/>
    <w:rsid w:val="00932CA7"/>
    <w:rsid w:val="00932D31"/>
    <w:rsid w:val="00933041"/>
    <w:rsid w:val="00933336"/>
    <w:rsid w:val="00934DE9"/>
    <w:rsid w:val="00934ECC"/>
    <w:rsid w:val="009362B2"/>
    <w:rsid w:val="00936366"/>
    <w:rsid w:val="009365B4"/>
    <w:rsid w:val="00936C17"/>
    <w:rsid w:val="00936DBF"/>
    <w:rsid w:val="00937994"/>
    <w:rsid w:val="00937CFE"/>
    <w:rsid w:val="00940BCF"/>
    <w:rsid w:val="0094258A"/>
    <w:rsid w:val="0094384A"/>
    <w:rsid w:val="00943BB9"/>
    <w:rsid w:val="009446CE"/>
    <w:rsid w:val="00944EB1"/>
    <w:rsid w:val="0094658D"/>
    <w:rsid w:val="00946897"/>
    <w:rsid w:val="0094759A"/>
    <w:rsid w:val="009520BC"/>
    <w:rsid w:val="00953FE2"/>
    <w:rsid w:val="00954836"/>
    <w:rsid w:val="00954C1E"/>
    <w:rsid w:val="00954DFC"/>
    <w:rsid w:val="00955C53"/>
    <w:rsid w:val="00956C80"/>
    <w:rsid w:val="00956D18"/>
    <w:rsid w:val="00956E5F"/>
    <w:rsid w:val="00957B09"/>
    <w:rsid w:val="00957B48"/>
    <w:rsid w:val="00960238"/>
    <w:rsid w:val="00961623"/>
    <w:rsid w:val="00961FA3"/>
    <w:rsid w:val="0096243F"/>
    <w:rsid w:val="00962662"/>
    <w:rsid w:val="0096304A"/>
    <w:rsid w:val="0096316F"/>
    <w:rsid w:val="00963867"/>
    <w:rsid w:val="00963B8F"/>
    <w:rsid w:val="00963F42"/>
    <w:rsid w:val="0096462B"/>
    <w:rsid w:val="00966871"/>
    <w:rsid w:val="00967466"/>
    <w:rsid w:val="00967E5D"/>
    <w:rsid w:val="00970488"/>
    <w:rsid w:val="00971234"/>
    <w:rsid w:val="00971BA8"/>
    <w:rsid w:val="00972BCA"/>
    <w:rsid w:val="00972F6C"/>
    <w:rsid w:val="00973128"/>
    <w:rsid w:val="00974424"/>
    <w:rsid w:val="00976DE8"/>
    <w:rsid w:val="00977650"/>
    <w:rsid w:val="00977692"/>
    <w:rsid w:val="00977941"/>
    <w:rsid w:val="009803D6"/>
    <w:rsid w:val="00980C8E"/>
    <w:rsid w:val="00981B84"/>
    <w:rsid w:val="00984842"/>
    <w:rsid w:val="00984BF6"/>
    <w:rsid w:val="00985B32"/>
    <w:rsid w:val="009864F7"/>
    <w:rsid w:val="009866E4"/>
    <w:rsid w:val="009876FA"/>
    <w:rsid w:val="00990428"/>
    <w:rsid w:val="009905FE"/>
    <w:rsid w:val="00991DAD"/>
    <w:rsid w:val="00991F82"/>
    <w:rsid w:val="009947AA"/>
    <w:rsid w:val="00994C06"/>
    <w:rsid w:val="0099600A"/>
    <w:rsid w:val="00996FD4"/>
    <w:rsid w:val="009A026F"/>
    <w:rsid w:val="009A1833"/>
    <w:rsid w:val="009A1854"/>
    <w:rsid w:val="009A264F"/>
    <w:rsid w:val="009A3A89"/>
    <w:rsid w:val="009A3FF8"/>
    <w:rsid w:val="009A4E15"/>
    <w:rsid w:val="009A5571"/>
    <w:rsid w:val="009A5AA5"/>
    <w:rsid w:val="009A6319"/>
    <w:rsid w:val="009A643B"/>
    <w:rsid w:val="009A6AE6"/>
    <w:rsid w:val="009A6B0C"/>
    <w:rsid w:val="009A75E2"/>
    <w:rsid w:val="009A7B92"/>
    <w:rsid w:val="009A7BFF"/>
    <w:rsid w:val="009A7E9E"/>
    <w:rsid w:val="009B07F5"/>
    <w:rsid w:val="009B1D25"/>
    <w:rsid w:val="009B20D1"/>
    <w:rsid w:val="009B2246"/>
    <w:rsid w:val="009B24A6"/>
    <w:rsid w:val="009B2E8A"/>
    <w:rsid w:val="009B2ED6"/>
    <w:rsid w:val="009B33CE"/>
    <w:rsid w:val="009B4AE5"/>
    <w:rsid w:val="009B5744"/>
    <w:rsid w:val="009B5F26"/>
    <w:rsid w:val="009B679C"/>
    <w:rsid w:val="009B6C1F"/>
    <w:rsid w:val="009B6D71"/>
    <w:rsid w:val="009B7132"/>
    <w:rsid w:val="009B73CA"/>
    <w:rsid w:val="009C1FE5"/>
    <w:rsid w:val="009C1FF4"/>
    <w:rsid w:val="009C32C2"/>
    <w:rsid w:val="009C4368"/>
    <w:rsid w:val="009C49F6"/>
    <w:rsid w:val="009C7782"/>
    <w:rsid w:val="009D08D3"/>
    <w:rsid w:val="009D0A76"/>
    <w:rsid w:val="009D0B4F"/>
    <w:rsid w:val="009D1D59"/>
    <w:rsid w:val="009D3198"/>
    <w:rsid w:val="009D3958"/>
    <w:rsid w:val="009D3EBF"/>
    <w:rsid w:val="009D414F"/>
    <w:rsid w:val="009D56A7"/>
    <w:rsid w:val="009D57A2"/>
    <w:rsid w:val="009D5FA4"/>
    <w:rsid w:val="009D6090"/>
    <w:rsid w:val="009D7A57"/>
    <w:rsid w:val="009E053A"/>
    <w:rsid w:val="009E0D64"/>
    <w:rsid w:val="009E0E63"/>
    <w:rsid w:val="009E0E79"/>
    <w:rsid w:val="009E1CB3"/>
    <w:rsid w:val="009E20F2"/>
    <w:rsid w:val="009E230D"/>
    <w:rsid w:val="009E2E2A"/>
    <w:rsid w:val="009E3112"/>
    <w:rsid w:val="009E5FBC"/>
    <w:rsid w:val="009E6208"/>
    <w:rsid w:val="009E6D69"/>
    <w:rsid w:val="009E728A"/>
    <w:rsid w:val="009E72D5"/>
    <w:rsid w:val="009E7C91"/>
    <w:rsid w:val="009F08AA"/>
    <w:rsid w:val="009F092A"/>
    <w:rsid w:val="009F109A"/>
    <w:rsid w:val="009F1779"/>
    <w:rsid w:val="009F2AA7"/>
    <w:rsid w:val="009F4A35"/>
    <w:rsid w:val="009F56BE"/>
    <w:rsid w:val="009F5E4F"/>
    <w:rsid w:val="009F6EA7"/>
    <w:rsid w:val="009F7A91"/>
    <w:rsid w:val="009F7EB6"/>
    <w:rsid w:val="00A00099"/>
    <w:rsid w:val="00A006C8"/>
    <w:rsid w:val="00A0188B"/>
    <w:rsid w:val="00A02997"/>
    <w:rsid w:val="00A02F09"/>
    <w:rsid w:val="00A041C0"/>
    <w:rsid w:val="00A04927"/>
    <w:rsid w:val="00A0591A"/>
    <w:rsid w:val="00A05D53"/>
    <w:rsid w:val="00A0627A"/>
    <w:rsid w:val="00A10BFD"/>
    <w:rsid w:val="00A1258A"/>
    <w:rsid w:val="00A13494"/>
    <w:rsid w:val="00A14D75"/>
    <w:rsid w:val="00A1501B"/>
    <w:rsid w:val="00A15421"/>
    <w:rsid w:val="00A15DF8"/>
    <w:rsid w:val="00A16002"/>
    <w:rsid w:val="00A16906"/>
    <w:rsid w:val="00A203F8"/>
    <w:rsid w:val="00A21015"/>
    <w:rsid w:val="00A2180D"/>
    <w:rsid w:val="00A23A46"/>
    <w:rsid w:val="00A23A9B"/>
    <w:rsid w:val="00A25A83"/>
    <w:rsid w:val="00A26585"/>
    <w:rsid w:val="00A265CE"/>
    <w:rsid w:val="00A26723"/>
    <w:rsid w:val="00A27158"/>
    <w:rsid w:val="00A275B0"/>
    <w:rsid w:val="00A27E33"/>
    <w:rsid w:val="00A30ED4"/>
    <w:rsid w:val="00A31756"/>
    <w:rsid w:val="00A31EA4"/>
    <w:rsid w:val="00A32B5D"/>
    <w:rsid w:val="00A33173"/>
    <w:rsid w:val="00A36DDE"/>
    <w:rsid w:val="00A37D33"/>
    <w:rsid w:val="00A37DC4"/>
    <w:rsid w:val="00A37E82"/>
    <w:rsid w:val="00A4008D"/>
    <w:rsid w:val="00A40194"/>
    <w:rsid w:val="00A40548"/>
    <w:rsid w:val="00A40B45"/>
    <w:rsid w:val="00A428C8"/>
    <w:rsid w:val="00A44B29"/>
    <w:rsid w:val="00A44CA0"/>
    <w:rsid w:val="00A45557"/>
    <w:rsid w:val="00A47714"/>
    <w:rsid w:val="00A477AE"/>
    <w:rsid w:val="00A47B0C"/>
    <w:rsid w:val="00A501D3"/>
    <w:rsid w:val="00A50FC1"/>
    <w:rsid w:val="00A519F2"/>
    <w:rsid w:val="00A5334C"/>
    <w:rsid w:val="00A54759"/>
    <w:rsid w:val="00A54D83"/>
    <w:rsid w:val="00A5609B"/>
    <w:rsid w:val="00A5769B"/>
    <w:rsid w:val="00A576B7"/>
    <w:rsid w:val="00A6159C"/>
    <w:rsid w:val="00A6491F"/>
    <w:rsid w:val="00A65201"/>
    <w:rsid w:val="00A65A42"/>
    <w:rsid w:val="00A65AE2"/>
    <w:rsid w:val="00A6636F"/>
    <w:rsid w:val="00A670E0"/>
    <w:rsid w:val="00A67942"/>
    <w:rsid w:val="00A67D2D"/>
    <w:rsid w:val="00A700F1"/>
    <w:rsid w:val="00A70430"/>
    <w:rsid w:val="00A707C7"/>
    <w:rsid w:val="00A7115B"/>
    <w:rsid w:val="00A72465"/>
    <w:rsid w:val="00A727F6"/>
    <w:rsid w:val="00A7289D"/>
    <w:rsid w:val="00A729C7"/>
    <w:rsid w:val="00A72B9B"/>
    <w:rsid w:val="00A73923"/>
    <w:rsid w:val="00A75EAB"/>
    <w:rsid w:val="00A76935"/>
    <w:rsid w:val="00A77292"/>
    <w:rsid w:val="00A807DB"/>
    <w:rsid w:val="00A80F97"/>
    <w:rsid w:val="00A810F5"/>
    <w:rsid w:val="00A81330"/>
    <w:rsid w:val="00A831F9"/>
    <w:rsid w:val="00A8379F"/>
    <w:rsid w:val="00A839DD"/>
    <w:rsid w:val="00A8563C"/>
    <w:rsid w:val="00A85F8C"/>
    <w:rsid w:val="00A906CF"/>
    <w:rsid w:val="00A90EFE"/>
    <w:rsid w:val="00A91B15"/>
    <w:rsid w:val="00A92033"/>
    <w:rsid w:val="00A92572"/>
    <w:rsid w:val="00A96755"/>
    <w:rsid w:val="00A96A20"/>
    <w:rsid w:val="00A96C51"/>
    <w:rsid w:val="00A97156"/>
    <w:rsid w:val="00A975F3"/>
    <w:rsid w:val="00A977C8"/>
    <w:rsid w:val="00A97B2E"/>
    <w:rsid w:val="00AA037C"/>
    <w:rsid w:val="00AA08E8"/>
    <w:rsid w:val="00AA095A"/>
    <w:rsid w:val="00AA2895"/>
    <w:rsid w:val="00AA2C24"/>
    <w:rsid w:val="00AA2E59"/>
    <w:rsid w:val="00AA51FD"/>
    <w:rsid w:val="00AB0AFD"/>
    <w:rsid w:val="00AB0F10"/>
    <w:rsid w:val="00AB23E5"/>
    <w:rsid w:val="00AB5CB4"/>
    <w:rsid w:val="00AB6400"/>
    <w:rsid w:val="00AC0777"/>
    <w:rsid w:val="00AC086B"/>
    <w:rsid w:val="00AC1D9F"/>
    <w:rsid w:val="00AC1E2A"/>
    <w:rsid w:val="00AC34C7"/>
    <w:rsid w:val="00AC4066"/>
    <w:rsid w:val="00AC4C75"/>
    <w:rsid w:val="00AC4E3D"/>
    <w:rsid w:val="00AC4F58"/>
    <w:rsid w:val="00AC5DBE"/>
    <w:rsid w:val="00AC6247"/>
    <w:rsid w:val="00AC630A"/>
    <w:rsid w:val="00AC6F05"/>
    <w:rsid w:val="00AC740B"/>
    <w:rsid w:val="00AC785C"/>
    <w:rsid w:val="00AC7A76"/>
    <w:rsid w:val="00AD01EC"/>
    <w:rsid w:val="00AD143E"/>
    <w:rsid w:val="00AD23D1"/>
    <w:rsid w:val="00AD3C2C"/>
    <w:rsid w:val="00AD460F"/>
    <w:rsid w:val="00AD4BB0"/>
    <w:rsid w:val="00AD5235"/>
    <w:rsid w:val="00AD61D7"/>
    <w:rsid w:val="00AD6CE7"/>
    <w:rsid w:val="00AD7D49"/>
    <w:rsid w:val="00AE0692"/>
    <w:rsid w:val="00AE1014"/>
    <w:rsid w:val="00AE11BA"/>
    <w:rsid w:val="00AE1904"/>
    <w:rsid w:val="00AE1EFA"/>
    <w:rsid w:val="00AE2FFB"/>
    <w:rsid w:val="00AE35F8"/>
    <w:rsid w:val="00AE403B"/>
    <w:rsid w:val="00AE44C4"/>
    <w:rsid w:val="00AE473F"/>
    <w:rsid w:val="00AE5767"/>
    <w:rsid w:val="00AE6861"/>
    <w:rsid w:val="00AE6B0D"/>
    <w:rsid w:val="00AE716B"/>
    <w:rsid w:val="00AE72C8"/>
    <w:rsid w:val="00AE742C"/>
    <w:rsid w:val="00AE7490"/>
    <w:rsid w:val="00AF1614"/>
    <w:rsid w:val="00AF1A13"/>
    <w:rsid w:val="00AF22DC"/>
    <w:rsid w:val="00AF26E2"/>
    <w:rsid w:val="00AF3067"/>
    <w:rsid w:val="00AF6BF8"/>
    <w:rsid w:val="00AF7E77"/>
    <w:rsid w:val="00AF7EA5"/>
    <w:rsid w:val="00B0027C"/>
    <w:rsid w:val="00B0050E"/>
    <w:rsid w:val="00B015AA"/>
    <w:rsid w:val="00B0239C"/>
    <w:rsid w:val="00B02530"/>
    <w:rsid w:val="00B0435E"/>
    <w:rsid w:val="00B044D6"/>
    <w:rsid w:val="00B046D9"/>
    <w:rsid w:val="00B05FCE"/>
    <w:rsid w:val="00B06341"/>
    <w:rsid w:val="00B07C3D"/>
    <w:rsid w:val="00B101AB"/>
    <w:rsid w:val="00B108AC"/>
    <w:rsid w:val="00B10A0D"/>
    <w:rsid w:val="00B11C6C"/>
    <w:rsid w:val="00B11F3D"/>
    <w:rsid w:val="00B125C0"/>
    <w:rsid w:val="00B1324D"/>
    <w:rsid w:val="00B1351A"/>
    <w:rsid w:val="00B1527B"/>
    <w:rsid w:val="00B1562E"/>
    <w:rsid w:val="00B1567D"/>
    <w:rsid w:val="00B20224"/>
    <w:rsid w:val="00B22898"/>
    <w:rsid w:val="00B2311A"/>
    <w:rsid w:val="00B2428C"/>
    <w:rsid w:val="00B27475"/>
    <w:rsid w:val="00B300F7"/>
    <w:rsid w:val="00B303BB"/>
    <w:rsid w:val="00B310C5"/>
    <w:rsid w:val="00B327E3"/>
    <w:rsid w:val="00B32AFC"/>
    <w:rsid w:val="00B334C2"/>
    <w:rsid w:val="00B33B26"/>
    <w:rsid w:val="00B34BCA"/>
    <w:rsid w:val="00B356BF"/>
    <w:rsid w:val="00B3656D"/>
    <w:rsid w:val="00B3701F"/>
    <w:rsid w:val="00B3721C"/>
    <w:rsid w:val="00B37F48"/>
    <w:rsid w:val="00B418E9"/>
    <w:rsid w:val="00B42C73"/>
    <w:rsid w:val="00B42E2C"/>
    <w:rsid w:val="00B4337B"/>
    <w:rsid w:val="00B44D8F"/>
    <w:rsid w:val="00B44E58"/>
    <w:rsid w:val="00B47BEF"/>
    <w:rsid w:val="00B50B0E"/>
    <w:rsid w:val="00B50E66"/>
    <w:rsid w:val="00B50F79"/>
    <w:rsid w:val="00B5179A"/>
    <w:rsid w:val="00B52ADC"/>
    <w:rsid w:val="00B53A91"/>
    <w:rsid w:val="00B54262"/>
    <w:rsid w:val="00B54B3B"/>
    <w:rsid w:val="00B54B82"/>
    <w:rsid w:val="00B55AEB"/>
    <w:rsid w:val="00B5622A"/>
    <w:rsid w:val="00B5660D"/>
    <w:rsid w:val="00B572BC"/>
    <w:rsid w:val="00B60624"/>
    <w:rsid w:val="00B60E31"/>
    <w:rsid w:val="00B610FB"/>
    <w:rsid w:val="00B63748"/>
    <w:rsid w:val="00B6400F"/>
    <w:rsid w:val="00B64500"/>
    <w:rsid w:val="00B655B3"/>
    <w:rsid w:val="00B65896"/>
    <w:rsid w:val="00B665C5"/>
    <w:rsid w:val="00B6715B"/>
    <w:rsid w:val="00B678E0"/>
    <w:rsid w:val="00B70080"/>
    <w:rsid w:val="00B71B98"/>
    <w:rsid w:val="00B71E1D"/>
    <w:rsid w:val="00B72AED"/>
    <w:rsid w:val="00B73AD9"/>
    <w:rsid w:val="00B746BC"/>
    <w:rsid w:val="00B74AE2"/>
    <w:rsid w:val="00B74CC7"/>
    <w:rsid w:val="00B74F8D"/>
    <w:rsid w:val="00B758A9"/>
    <w:rsid w:val="00B75BB6"/>
    <w:rsid w:val="00B76B71"/>
    <w:rsid w:val="00B76C2D"/>
    <w:rsid w:val="00B77031"/>
    <w:rsid w:val="00B77693"/>
    <w:rsid w:val="00B77810"/>
    <w:rsid w:val="00B77A96"/>
    <w:rsid w:val="00B77AED"/>
    <w:rsid w:val="00B8001A"/>
    <w:rsid w:val="00B8392E"/>
    <w:rsid w:val="00B83BE7"/>
    <w:rsid w:val="00B84ECF"/>
    <w:rsid w:val="00B85A6A"/>
    <w:rsid w:val="00B85D9A"/>
    <w:rsid w:val="00B86377"/>
    <w:rsid w:val="00B866F8"/>
    <w:rsid w:val="00B87069"/>
    <w:rsid w:val="00B905FA"/>
    <w:rsid w:val="00B90A5B"/>
    <w:rsid w:val="00B92DE6"/>
    <w:rsid w:val="00B937EB"/>
    <w:rsid w:val="00B9446F"/>
    <w:rsid w:val="00B95AE3"/>
    <w:rsid w:val="00B9620F"/>
    <w:rsid w:val="00B9644B"/>
    <w:rsid w:val="00B966D6"/>
    <w:rsid w:val="00B971F8"/>
    <w:rsid w:val="00B97EED"/>
    <w:rsid w:val="00BA02CC"/>
    <w:rsid w:val="00BA0617"/>
    <w:rsid w:val="00BA1506"/>
    <w:rsid w:val="00BA24C1"/>
    <w:rsid w:val="00BA31DB"/>
    <w:rsid w:val="00BA34A4"/>
    <w:rsid w:val="00BA3D79"/>
    <w:rsid w:val="00BA5826"/>
    <w:rsid w:val="00BA5C8E"/>
    <w:rsid w:val="00BA618A"/>
    <w:rsid w:val="00BA6A17"/>
    <w:rsid w:val="00BA719C"/>
    <w:rsid w:val="00BA7308"/>
    <w:rsid w:val="00BA73C9"/>
    <w:rsid w:val="00BA74FE"/>
    <w:rsid w:val="00BB0D73"/>
    <w:rsid w:val="00BB0E36"/>
    <w:rsid w:val="00BB1066"/>
    <w:rsid w:val="00BB1BD6"/>
    <w:rsid w:val="00BB20E0"/>
    <w:rsid w:val="00BB3A8F"/>
    <w:rsid w:val="00BB4230"/>
    <w:rsid w:val="00BB4320"/>
    <w:rsid w:val="00BB7548"/>
    <w:rsid w:val="00BB7914"/>
    <w:rsid w:val="00BB7DF5"/>
    <w:rsid w:val="00BC0172"/>
    <w:rsid w:val="00BC170A"/>
    <w:rsid w:val="00BC26EB"/>
    <w:rsid w:val="00BC315E"/>
    <w:rsid w:val="00BC32B6"/>
    <w:rsid w:val="00BC3401"/>
    <w:rsid w:val="00BC4651"/>
    <w:rsid w:val="00BC490A"/>
    <w:rsid w:val="00BC4FE0"/>
    <w:rsid w:val="00BC549E"/>
    <w:rsid w:val="00BC54A0"/>
    <w:rsid w:val="00BC5E1D"/>
    <w:rsid w:val="00BC7EAD"/>
    <w:rsid w:val="00BD0DE1"/>
    <w:rsid w:val="00BD0F9A"/>
    <w:rsid w:val="00BD13DA"/>
    <w:rsid w:val="00BD1510"/>
    <w:rsid w:val="00BD1EF3"/>
    <w:rsid w:val="00BD3F24"/>
    <w:rsid w:val="00BD40A8"/>
    <w:rsid w:val="00BD41F7"/>
    <w:rsid w:val="00BD5557"/>
    <w:rsid w:val="00BD748B"/>
    <w:rsid w:val="00BD7799"/>
    <w:rsid w:val="00BE00A0"/>
    <w:rsid w:val="00BE012D"/>
    <w:rsid w:val="00BE0D2A"/>
    <w:rsid w:val="00BE3A58"/>
    <w:rsid w:val="00BE516D"/>
    <w:rsid w:val="00BE51BF"/>
    <w:rsid w:val="00BE59CB"/>
    <w:rsid w:val="00BF22E5"/>
    <w:rsid w:val="00BF24F2"/>
    <w:rsid w:val="00BF3748"/>
    <w:rsid w:val="00BF39DB"/>
    <w:rsid w:val="00BF4339"/>
    <w:rsid w:val="00BF4402"/>
    <w:rsid w:val="00BF6298"/>
    <w:rsid w:val="00BF75CA"/>
    <w:rsid w:val="00C004C0"/>
    <w:rsid w:val="00C011A0"/>
    <w:rsid w:val="00C01C7C"/>
    <w:rsid w:val="00C02DAF"/>
    <w:rsid w:val="00C036F9"/>
    <w:rsid w:val="00C03C31"/>
    <w:rsid w:val="00C04735"/>
    <w:rsid w:val="00C0478F"/>
    <w:rsid w:val="00C05DF9"/>
    <w:rsid w:val="00C064C7"/>
    <w:rsid w:val="00C0675C"/>
    <w:rsid w:val="00C06828"/>
    <w:rsid w:val="00C076EF"/>
    <w:rsid w:val="00C106BF"/>
    <w:rsid w:val="00C117B5"/>
    <w:rsid w:val="00C11C93"/>
    <w:rsid w:val="00C12495"/>
    <w:rsid w:val="00C1431F"/>
    <w:rsid w:val="00C14431"/>
    <w:rsid w:val="00C16761"/>
    <w:rsid w:val="00C17AA9"/>
    <w:rsid w:val="00C23238"/>
    <w:rsid w:val="00C23716"/>
    <w:rsid w:val="00C246AA"/>
    <w:rsid w:val="00C2569D"/>
    <w:rsid w:val="00C25FD2"/>
    <w:rsid w:val="00C26584"/>
    <w:rsid w:val="00C26C2B"/>
    <w:rsid w:val="00C2721C"/>
    <w:rsid w:val="00C273BA"/>
    <w:rsid w:val="00C31B95"/>
    <w:rsid w:val="00C32E25"/>
    <w:rsid w:val="00C33599"/>
    <w:rsid w:val="00C344AD"/>
    <w:rsid w:val="00C3487F"/>
    <w:rsid w:val="00C34C76"/>
    <w:rsid w:val="00C37099"/>
    <w:rsid w:val="00C40E02"/>
    <w:rsid w:val="00C40F48"/>
    <w:rsid w:val="00C44014"/>
    <w:rsid w:val="00C44234"/>
    <w:rsid w:val="00C45420"/>
    <w:rsid w:val="00C47874"/>
    <w:rsid w:val="00C479C9"/>
    <w:rsid w:val="00C5006B"/>
    <w:rsid w:val="00C50A86"/>
    <w:rsid w:val="00C50F98"/>
    <w:rsid w:val="00C51513"/>
    <w:rsid w:val="00C51B41"/>
    <w:rsid w:val="00C51E7B"/>
    <w:rsid w:val="00C5320F"/>
    <w:rsid w:val="00C537CC"/>
    <w:rsid w:val="00C53E42"/>
    <w:rsid w:val="00C547BA"/>
    <w:rsid w:val="00C54E9C"/>
    <w:rsid w:val="00C56839"/>
    <w:rsid w:val="00C568CE"/>
    <w:rsid w:val="00C56A9B"/>
    <w:rsid w:val="00C57332"/>
    <w:rsid w:val="00C57D83"/>
    <w:rsid w:val="00C61ED8"/>
    <w:rsid w:val="00C644F5"/>
    <w:rsid w:val="00C64CB9"/>
    <w:rsid w:val="00C65126"/>
    <w:rsid w:val="00C65558"/>
    <w:rsid w:val="00C6590A"/>
    <w:rsid w:val="00C66AAD"/>
    <w:rsid w:val="00C730AE"/>
    <w:rsid w:val="00C7334E"/>
    <w:rsid w:val="00C73447"/>
    <w:rsid w:val="00C73DB1"/>
    <w:rsid w:val="00C741E9"/>
    <w:rsid w:val="00C74825"/>
    <w:rsid w:val="00C74CBC"/>
    <w:rsid w:val="00C76FAA"/>
    <w:rsid w:val="00C8163F"/>
    <w:rsid w:val="00C8180A"/>
    <w:rsid w:val="00C81A10"/>
    <w:rsid w:val="00C83671"/>
    <w:rsid w:val="00C84D87"/>
    <w:rsid w:val="00C851A9"/>
    <w:rsid w:val="00C852F9"/>
    <w:rsid w:val="00C85F20"/>
    <w:rsid w:val="00C875A6"/>
    <w:rsid w:val="00C87CDB"/>
    <w:rsid w:val="00C90CDD"/>
    <w:rsid w:val="00C93274"/>
    <w:rsid w:val="00C937D2"/>
    <w:rsid w:val="00C96571"/>
    <w:rsid w:val="00C96D2E"/>
    <w:rsid w:val="00C973FB"/>
    <w:rsid w:val="00C9745F"/>
    <w:rsid w:val="00C97BF4"/>
    <w:rsid w:val="00CA14B9"/>
    <w:rsid w:val="00CA3135"/>
    <w:rsid w:val="00CA4287"/>
    <w:rsid w:val="00CA42AC"/>
    <w:rsid w:val="00CA4A14"/>
    <w:rsid w:val="00CA52A1"/>
    <w:rsid w:val="00CA5739"/>
    <w:rsid w:val="00CA6A72"/>
    <w:rsid w:val="00CA6D31"/>
    <w:rsid w:val="00CA75BE"/>
    <w:rsid w:val="00CB01F4"/>
    <w:rsid w:val="00CB05F4"/>
    <w:rsid w:val="00CB0F37"/>
    <w:rsid w:val="00CB1653"/>
    <w:rsid w:val="00CB1C83"/>
    <w:rsid w:val="00CB2118"/>
    <w:rsid w:val="00CB23FA"/>
    <w:rsid w:val="00CB3FDC"/>
    <w:rsid w:val="00CB44EE"/>
    <w:rsid w:val="00CB5AF8"/>
    <w:rsid w:val="00CB5C00"/>
    <w:rsid w:val="00CB5EED"/>
    <w:rsid w:val="00CB6227"/>
    <w:rsid w:val="00CB7423"/>
    <w:rsid w:val="00CB7B28"/>
    <w:rsid w:val="00CC18E6"/>
    <w:rsid w:val="00CC35D1"/>
    <w:rsid w:val="00CC3D33"/>
    <w:rsid w:val="00CC429B"/>
    <w:rsid w:val="00CC504C"/>
    <w:rsid w:val="00CC50AD"/>
    <w:rsid w:val="00CC5345"/>
    <w:rsid w:val="00CC5589"/>
    <w:rsid w:val="00CC7C38"/>
    <w:rsid w:val="00CC7D8C"/>
    <w:rsid w:val="00CD01BA"/>
    <w:rsid w:val="00CD15AC"/>
    <w:rsid w:val="00CD168E"/>
    <w:rsid w:val="00CD186A"/>
    <w:rsid w:val="00CD1891"/>
    <w:rsid w:val="00CD312D"/>
    <w:rsid w:val="00CD3337"/>
    <w:rsid w:val="00CD343C"/>
    <w:rsid w:val="00CD3F15"/>
    <w:rsid w:val="00CD521A"/>
    <w:rsid w:val="00CD6756"/>
    <w:rsid w:val="00CD6803"/>
    <w:rsid w:val="00CD70E7"/>
    <w:rsid w:val="00CE098C"/>
    <w:rsid w:val="00CE0DD1"/>
    <w:rsid w:val="00CE10FD"/>
    <w:rsid w:val="00CE2098"/>
    <w:rsid w:val="00CE355A"/>
    <w:rsid w:val="00CE3E77"/>
    <w:rsid w:val="00CE4B1B"/>
    <w:rsid w:val="00CE4D39"/>
    <w:rsid w:val="00CE5DAC"/>
    <w:rsid w:val="00CE7932"/>
    <w:rsid w:val="00CF1ADB"/>
    <w:rsid w:val="00CF29CE"/>
    <w:rsid w:val="00CF2A16"/>
    <w:rsid w:val="00CF3A03"/>
    <w:rsid w:val="00CF3A95"/>
    <w:rsid w:val="00CF543D"/>
    <w:rsid w:val="00CF553A"/>
    <w:rsid w:val="00CF5D27"/>
    <w:rsid w:val="00CF64A2"/>
    <w:rsid w:val="00CF6835"/>
    <w:rsid w:val="00CF6893"/>
    <w:rsid w:val="00CF6DF3"/>
    <w:rsid w:val="00D004C3"/>
    <w:rsid w:val="00D01466"/>
    <w:rsid w:val="00D01F31"/>
    <w:rsid w:val="00D021D8"/>
    <w:rsid w:val="00D03132"/>
    <w:rsid w:val="00D03FBB"/>
    <w:rsid w:val="00D04777"/>
    <w:rsid w:val="00D056ED"/>
    <w:rsid w:val="00D05D29"/>
    <w:rsid w:val="00D060AF"/>
    <w:rsid w:val="00D06E05"/>
    <w:rsid w:val="00D07691"/>
    <w:rsid w:val="00D10A61"/>
    <w:rsid w:val="00D11313"/>
    <w:rsid w:val="00D11BC7"/>
    <w:rsid w:val="00D11E50"/>
    <w:rsid w:val="00D121C6"/>
    <w:rsid w:val="00D1229F"/>
    <w:rsid w:val="00D12777"/>
    <w:rsid w:val="00D12B0E"/>
    <w:rsid w:val="00D14520"/>
    <w:rsid w:val="00D14791"/>
    <w:rsid w:val="00D1760C"/>
    <w:rsid w:val="00D179BB"/>
    <w:rsid w:val="00D21121"/>
    <w:rsid w:val="00D212DE"/>
    <w:rsid w:val="00D21A79"/>
    <w:rsid w:val="00D21F14"/>
    <w:rsid w:val="00D22442"/>
    <w:rsid w:val="00D22511"/>
    <w:rsid w:val="00D241CE"/>
    <w:rsid w:val="00D2439D"/>
    <w:rsid w:val="00D24C07"/>
    <w:rsid w:val="00D24D5D"/>
    <w:rsid w:val="00D26730"/>
    <w:rsid w:val="00D27A6F"/>
    <w:rsid w:val="00D27AF4"/>
    <w:rsid w:val="00D27EA3"/>
    <w:rsid w:val="00D301BF"/>
    <w:rsid w:val="00D30ABC"/>
    <w:rsid w:val="00D30BA4"/>
    <w:rsid w:val="00D31AAF"/>
    <w:rsid w:val="00D32056"/>
    <w:rsid w:val="00D32835"/>
    <w:rsid w:val="00D333A2"/>
    <w:rsid w:val="00D33578"/>
    <w:rsid w:val="00D344FA"/>
    <w:rsid w:val="00D34F29"/>
    <w:rsid w:val="00D35D57"/>
    <w:rsid w:val="00D36595"/>
    <w:rsid w:val="00D36D3F"/>
    <w:rsid w:val="00D37231"/>
    <w:rsid w:val="00D40EF2"/>
    <w:rsid w:val="00D419B5"/>
    <w:rsid w:val="00D41AAE"/>
    <w:rsid w:val="00D4306E"/>
    <w:rsid w:val="00D43367"/>
    <w:rsid w:val="00D43DD5"/>
    <w:rsid w:val="00D44A96"/>
    <w:rsid w:val="00D44B12"/>
    <w:rsid w:val="00D469A2"/>
    <w:rsid w:val="00D50244"/>
    <w:rsid w:val="00D50259"/>
    <w:rsid w:val="00D51645"/>
    <w:rsid w:val="00D537E6"/>
    <w:rsid w:val="00D53E79"/>
    <w:rsid w:val="00D54249"/>
    <w:rsid w:val="00D546FF"/>
    <w:rsid w:val="00D5484C"/>
    <w:rsid w:val="00D55B60"/>
    <w:rsid w:val="00D55E74"/>
    <w:rsid w:val="00D56BAC"/>
    <w:rsid w:val="00D56C42"/>
    <w:rsid w:val="00D5721E"/>
    <w:rsid w:val="00D57388"/>
    <w:rsid w:val="00D578EC"/>
    <w:rsid w:val="00D57D48"/>
    <w:rsid w:val="00D57E10"/>
    <w:rsid w:val="00D60B71"/>
    <w:rsid w:val="00D61BCD"/>
    <w:rsid w:val="00D622AE"/>
    <w:rsid w:val="00D63224"/>
    <w:rsid w:val="00D63E75"/>
    <w:rsid w:val="00D657B7"/>
    <w:rsid w:val="00D67513"/>
    <w:rsid w:val="00D675A9"/>
    <w:rsid w:val="00D709A6"/>
    <w:rsid w:val="00D71E74"/>
    <w:rsid w:val="00D72251"/>
    <w:rsid w:val="00D7262A"/>
    <w:rsid w:val="00D749E2"/>
    <w:rsid w:val="00D753AB"/>
    <w:rsid w:val="00D76067"/>
    <w:rsid w:val="00D76A55"/>
    <w:rsid w:val="00D77642"/>
    <w:rsid w:val="00D776E1"/>
    <w:rsid w:val="00D779C8"/>
    <w:rsid w:val="00D77A13"/>
    <w:rsid w:val="00D8068F"/>
    <w:rsid w:val="00D8098A"/>
    <w:rsid w:val="00D824A4"/>
    <w:rsid w:val="00D840F8"/>
    <w:rsid w:val="00D8414B"/>
    <w:rsid w:val="00D84317"/>
    <w:rsid w:val="00D85256"/>
    <w:rsid w:val="00D85A95"/>
    <w:rsid w:val="00D870F4"/>
    <w:rsid w:val="00D87761"/>
    <w:rsid w:val="00D87ECF"/>
    <w:rsid w:val="00D91407"/>
    <w:rsid w:val="00D91FAF"/>
    <w:rsid w:val="00D922C1"/>
    <w:rsid w:val="00D92B93"/>
    <w:rsid w:val="00D93263"/>
    <w:rsid w:val="00D938B7"/>
    <w:rsid w:val="00D944EF"/>
    <w:rsid w:val="00D946FF"/>
    <w:rsid w:val="00D94F98"/>
    <w:rsid w:val="00D956F0"/>
    <w:rsid w:val="00D95E37"/>
    <w:rsid w:val="00D9667D"/>
    <w:rsid w:val="00D96E88"/>
    <w:rsid w:val="00DA0F93"/>
    <w:rsid w:val="00DA110E"/>
    <w:rsid w:val="00DA12FF"/>
    <w:rsid w:val="00DA17D7"/>
    <w:rsid w:val="00DA2768"/>
    <w:rsid w:val="00DA34DD"/>
    <w:rsid w:val="00DA4054"/>
    <w:rsid w:val="00DA518E"/>
    <w:rsid w:val="00DA5240"/>
    <w:rsid w:val="00DA53DE"/>
    <w:rsid w:val="00DA5BFF"/>
    <w:rsid w:val="00DA5DFD"/>
    <w:rsid w:val="00DA6783"/>
    <w:rsid w:val="00DA70E1"/>
    <w:rsid w:val="00DA75BF"/>
    <w:rsid w:val="00DA7713"/>
    <w:rsid w:val="00DA795B"/>
    <w:rsid w:val="00DB17B4"/>
    <w:rsid w:val="00DB1B99"/>
    <w:rsid w:val="00DB1E1E"/>
    <w:rsid w:val="00DB2667"/>
    <w:rsid w:val="00DB28DF"/>
    <w:rsid w:val="00DB36D5"/>
    <w:rsid w:val="00DB3A36"/>
    <w:rsid w:val="00DB4C7F"/>
    <w:rsid w:val="00DB4E24"/>
    <w:rsid w:val="00DB571F"/>
    <w:rsid w:val="00DB5851"/>
    <w:rsid w:val="00DB7A73"/>
    <w:rsid w:val="00DC03EA"/>
    <w:rsid w:val="00DC06FC"/>
    <w:rsid w:val="00DC0E29"/>
    <w:rsid w:val="00DC113E"/>
    <w:rsid w:val="00DC14A6"/>
    <w:rsid w:val="00DC17CD"/>
    <w:rsid w:val="00DC181D"/>
    <w:rsid w:val="00DC1DC6"/>
    <w:rsid w:val="00DC27D4"/>
    <w:rsid w:val="00DC2A2E"/>
    <w:rsid w:val="00DC467D"/>
    <w:rsid w:val="00DC4925"/>
    <w:rsid w:val="00DC68D0"/>
    <w:rsid w:val="00DC6935"/>
    <w:rsid w:val="00DD092F"/>
    <w:rsid w:val="00DD0959"/>
    <w:rsid w:val="00DD09CF"/>
    <w:rsid w:val="00DD0BC5"/>
    <w:rsid w:val="00DD163C"/>
    <w:rsid w:val="00DD1AE0"/>
    <w:rsid w:val="00DD2E20"/>
    <w:rsid w:val="00DD2E70"/>
    <w:rsid w:val="00DD30AE"/>
    <w:rsid w:val="00DD32DA"/>
    <w:rsid w:val="00DD3467"/>
    <w:rsid w:val="00DD3ABC"/>
    <w:rsid w:val="00DD5155"/>
    <w:rsid w:val="00DD5189"/>
    <w:rsid w:val="00DD5A7A"/>
    <w:rsid w:val="00DD5B0A"/>
    <w:rsid w:val="00DD6E2B"/>
    <w:rsid w:val="00DD7BC7"/>
    <w:rsid w:val="00DD7E13"/>
    <w:rsid w:val="00DE0CBE"/>
    <w:rsid w:val="00DE11CA"/>
    <w:rsid w:val="00DE19C4"/>
    <w:rsid w:val="00DE2A39"/>
    <w:rsid w:val="00DE3ECE"/>
    <w:rsid w:val="00DE4A09"/>
    <w:rsid w:val="00DE4EDF"/>
    <w:rsid w:val="00DE5170"/>
    <w:rsid w:val="00DE53CD"/>
    <w:rsid w:val="00DE57C6"/>
    <w:rsid w:val="00DE5FC1"/>
    <w:rsid w:val="00DE6294"/>
    <w:rsid w:val="00DE6601"/>
    <w:rsid w:val="00DE68D6"/>
    <w:rsid w:val="00DE6B5B"/>
    <w:rsid w:val="00DE6CA8"/>
    <w:rsid w:val="00DE6EC1"/>
    <w:rsid w:val="00DE71EF"/>
    <w:rsid w:val="00DE781D"/>
    <w:rsid w:val="00DE78D2"/>
    <w:rsid w:val="00DE7B85"/>
    <w:rsid w:val="00DE7BE9"/>
    <w:rsid w:val="00DF0976"/>
    <w:rsid w:val="00DF10F9"/>
    <w:rsid w:val="00DF1320"/>
    <w:rsid w:val="00DF1DCE"/>
    <w:rsid w:val="00DF3B05"/>
    <w:rsid w:val="00DF4992"/>
    <w:rsid w:val="00DF4ECF"/>
    <w:rsid w:val="00DF5789"/>
    <w:rsid w:val="00DF5861"/>
    <w:rsid w:val="00DF6A08"/>
    <w:rsid w:val="00E00028"/>
    <w:rsid w:val="00E00663"/>
    <w:rsid w:val="00E00F17"/>
    <w:rsid w:val="00E014CE"/>
    <w:rsid w:val="00E01C2F"/>
    <w:rsid w:val="00E022EA"/>
    <w:rsid w:val="00E02908"/>
    <w:rsid w:val="00E0296D"/>
    <w:rsid w:val="00E04DF5"/>
    <w:rsid w:val="00E0500E"/>
    <w:rsid w:val="00E06664"/>
    <w:rsid w:val="00E0673E"/>
    <w:rsid w:val="00E06916"/>
    <w:rsid w:val="00E073CB"/>
    <w:rsid w:val="00E07DA0"/>
    <w:rsid w:val="00E07EEF"/>
    <w:rsid w:val="00E07F9D"/>
    <w:rsid w:val="00E12D64"/>
    <w:rsid w:val="00E13164"/>
    <w:rsid w:val="00E15424"/>
    <w:rsid w:val="00E2016F"/>
    <w:rsid w:val="00E20606"/>
    <w:rsid w:val="00E20E32"/>
    <w:rsid w:val="00E21941"/>
    <w:rsid w:val="00E2199F"/>
    <w:rsid w:val="00E21BDB"/>
    <w:rsid w:val="00E2299D"/>
    <w:rsid w:val="00E229CF"/>
    <w:rsid w:val="00E232D4"/>
    <w:rsid w:val="00E23867"/>
    <w:rsid w:val="00E23A7D"/>
    <w:rsid w:val="00E23F99"/>
    <w:rsid w:val="00E24070"/>
    <w:rsid w:val="00E25D1F"/>
    <w:rsid w:val="00E260DB"/>
    <w:rsid w:val="00E270AF"/>
    <w:rsid w:val="00E3085C"/>
    <w:rsid w:val="00E30D95"/>
    <w:rsid w:val="00E31EFB"/>
    <w:rsid w:val="00E33D00"/>
    <w:rsid w:val="00E34257"/>
    <w:rsid w:val="00E34EF3"/>
    <w:rsid w:val="00E36352"/>
    <w:rsid w:val="00E370FB"/>
    <w:rsid w:val="00E408AA"/>
    <w:rsid w:val="00E40F80"/>
    <w:rsid w:val="00E42273"/>
    <w:rsid w:val="00E42BB7"/>
    <w:rsid w:val="00E447D9"/>
    <w:rsid w:val="00E45A83"/>
    <w:rsid w:val="00E50027"/>
    <w:rsid w:val="00E50161"/>
    <w:rsid w:val="00E510FE"/>
    <w:rsid w:val="00E514A5"/>
    <w:rsid w:val="00E51623"/>
    <w:rsid w:val="00E51956"/>
    <w:rsid w:val="00E51A29"/>
    <w:rsid w:val="00E52682"/>
    <w:rsid w:val="00E52C2C"/>
    <w:rsid w:val="00E52F02"/>
    <w:rsid w:val="00E53558"/>
    <w:rsid w:val="00E53D06"/>
    <w:rsid w:val="00E54997"/>
    <w:rsid w:val="00E549A6"/>
    <w:rsid w:val="00E55143"/>
    <w:rsid w:val="00E55AF3"/>
    <w:rsid w:val="00E567CD"/>
    <w:rsid w:val="00E6055A"/>
    <w:rsid w:val="00E606D8"/>
    <w:rsid w:val="00E617AE"/>
    <w:rsid w:val="00E61D75"/>
    <w:rsid w:val="00E624B9"/>
    <w:rsid w:val="00E649B6"/>
    <w:rsid w:val="00E651A6"/>
    <w:rsid w:val="00E65387"/>
    <w:rsid w:val="00E65C14"/>
    <w:rsid w:val="00E6646D"/>
    <w:rsid w:val="00E67665"/>
    <w:rsid w:val="00E713E1"/>
    <w:rsid w:val="00E71C13"/>
    <w:rsid w:val="00E72675"/>
    <w:rsid w:val="00E72863"/>
    <w:rsid w:val="00E736BF"/>
    <w:rsid w:val="00E74259"/>
    <w:rsid w:val="00E7538B"/>
    <w:rsid w:val="00E75EEF"/>
    <w:rsid w:val="00E800E4"/>
    <w:rsid w:val="00E80814"/>
    <w:rsid w:val="00E812AE"/>
    <w:rsid w:val="00E818D6"/>
    <w:rsid w:val="00E81C8B"/>
    <w:rsid w:val="00E8219A"/>
    <w:rsid w:val="00E84510"/>
    <w:rsid w:val="00E84E14"/>
    <w:rsid w:val="00E86902"/>
    <w:rsid w:val="00E8704F"/>
    <w:rsid w:val="00E87356"/>
    <w:rsid w:val="00E908E1"/>
    <w:rsid w:val="00E90D0A"/>
    <w:rsid w:val="00E9124C"/>
    <w:rsid w:val="00E93836"/>
    <w:rsid w:val="00E94841"/>
    <w:rsid w:val="00E9536A"/>
    <w:rsid w:val="00E9548B"/>
    <w:rsid w:val="00E96E19"/>
    <w:rsid w:val="00EA0404"/>
    <w:rsid w:val="00EA2F6C"/>
    <w:rsid w:val="00EA42EE"/>
    <w:rsid w:val="00EA500C"/>
    <w:rsid w:val="00EA5069"/>
    <w:rsid w:val="00EA581E"/>
    <w:rsid w:val="00EA642A"/>
    <w:rsid w:val="00EA7799"/>
    <w:rsid w:val="00EB00FC"/>
    <w:rsid w:val="00EB07D2"/>
    <w:rsid w:val="00EB11D0"/>
    <w:rsid w:val="00EB2868"/>
    <w:rsid w:val="00EB54CF"/>
    <w:rsid w:val="00EB5CA1"/>
    <w:rsid w:val="00EB65E4"/>
    <w:rsid w:val="00EB6B48"/>
    <w:rsid w:val="00EC0CAF"/>
    <w:rsid w:val="00EC236F"/>
    <w:rsid w:val="00EC3044"/>
    <w:rsid w:val="00EC3522"/>
    <w:rsid w:val="00EC3914"/>
    <w:rsid w:val="00EC3FF1"/>
    <w:rsid w:val="00EC476D"/>
    <w:rsid w:val="00EC4BA8"/>
    <w:rsid w:val="00EC5478"/>
    <w:rsid w:val="00EC6898"/>
    <w:rsid w:val="00EC74C6"/>
    <w:rsid w:val="00ED1061"/>
    <w:rsid w:val="00ED1590"/>
    <w:rsid w:val="00ED1CB9"/>
    <w:rsid w:val="00ED203B"/>
    <w:rsid w:val="00ED2244"/>
    <w:rsid w:val="00ED33CD"/>
    <w:rsid w:val="00ED3A1C"/>
    <w:rsid w:val="00ED3FFA"/>
    <w:rsid w:val="00ED42A9"/>
    <w:rsid w:val="00ED50AE"/>
    <w:rsid w:val="00ED676B"/>
    <w:rsid w:val="00ED72A6"/>
    <w:rsid w:val="00ED7B04"/>
    <w:rsid w:val="00EE0FB3"/>
    <w:rsid w:val="00EE1158"/>
    <w:rsid w:val="00EE2F92"/>
    <w:rsid w:val="00EE42AC"/>
    <w:rsid w:val="00EE44BC"/>
    <w:rsid w:val="00EE59BC"/>
    <w:rsid w:val="00EE6F84"/>
    <w:rsid w:val="00EE7E6A"/>
    <w:rsid w:val="00EF00AD"/>
    <w:rsid w:val="00EF116A"/>
    <w:rsid w:val="00EF1939"/>
    <w:rsid w:val="00EF3D60"/>
    <w:rsid w:val="00EF4D5F"/>
    <w:rsid w:val="00EF59A0"/>
    <w:rsid w:val="00EF72DD"/>
    <w:rsid w:val="00EF7C11"/>
    <w:rsid w:val="00F008E0"/>
    <w:rsid w:val="00F01216"/>
    <w:rsid w:val="00F01778"/>
    <w:rsid w:val="00F019A6"/>
    <w:rsid w:val="00F02906"/>
    <w:rsid w:val="00F05084"/>
    <w:rsid w:val="00F055B4"/>
    <w:rsid w:val="00F055EA"/>
    <w:rsid w:val="00F05994"/>
    <w:rsid w:val="00F103AF"/>
    <w:rsid w:val="00F109A2"/>
    <w:rsid w:val="00F10B4D"/>
    <w:rsid w:val="00F11A07"/>
    <w:rsid w:val="00F11DEF"/>
    <w:rsid w:val="00F1274D"/>
    <w:rsid w:val="00F13036"/>
    <w:rsid w:val="00F1394A"/>
    <w:rsid w:val="00F13B07"/>
    <w:rsid w:val="00F15736"/>
    <w:rsid w:val="00F15B8D"/>
    <w:rsid w:val="00F1610E"/>
    <w:rsid w:val="00F1667C"/>
    <w:rsid w:val="00F17BB4"/>
    <w:rsid w:val="00F20064"/>
    <w:rsid w:val="00F20F82"/>
    <w:rsid w:val="00F22765"/>
    <w:rsid w:val="00F227A3"/>
    <w:rsid w:val="00F22D19"/>
    <w:rsid w:val="00F22E12"/>
    <w:rsid w:val="00F24133"/>
    <w:rsid w:val="00F24294"/>
    <w:rsid w:val="00F250F7"/>
    <w:rsid w:val="00F25676"/>
    <w:rsid w:val="00F25BBB"/>
    <w:rsid w:val="00F266B7"/>
    <w:rsid w:val="00F26DC5"/>
    <w:rsid w:val="00F27561"/>
    <w:rsid w:val="00F27CD1"/>
    <w:rsid w:val="00F304E8"/>
    <w:rsid w:val="00F30695"/>
    <w:rsid w:val="00F32098"/>
    <w:rsid w:val="00F32491"/>
    <w:rsid w:val="00F34987"/>
    <w:rsid w:val="00F35144"/>
    <w:rsid w:val="00F35C4C"/>
    <w:rsid w:val="00F35F4E"/>
    <w:rsid w:val="00F3756D"/>
    <w:rsid w:val="00F4109B"/>
    <w:rsid w:val="00F4129F"/>
    <w:rsid w:val="00F41E6F"/>
    <w:rsid w:val="00F42894"/>
    <w:rsid w:val="00F44276"/>
    <w:rsid w:val="00F444D1"/>
    <w:rsid w:val="00F447E7"/>
    <w:rsid w:val="00F44932"/>
    <w:rsid w:val="00F45602"/>
    <w:rsid w:val="00F46D44"/>
    <w:rsid w:val="00F47840"/>
    <w:rsid w:val="00F51383"/>
    <w:rsid w:val="00F5182C"/>
    <w:rsid w:val="00F51E2F"/>
    <w:rsid w:val="00F5202D"/>
    <w:rsid w:val="00F522F6"/>
    <w:rsid w:val="00F52CDB"/>
    <w:rsid w:val="00F53FAF"/>
    <w:rsid w:val="00F547EC"/>
    <w:rsid w:val="00F54D95"/>
    <w:rsid w:val="00F55773"/>
    <w:rsid w:val="00F5618B"/>
    <w:rsid w:val="00F61330"/>
    <w:rsid w:val="00F614AA"/>
    <w:rsid w:val="00F61ED3"/>
    <w:rsid w:val="00F62C76"/>
    <w:rsid w:val="00F63331"/>
    <w:rsid w:val="00F635EF"/>
    <w:rsid w:val="00F639B3"/>
    <w:rsid w:val="00F63B57"/>
    <w:rsid w:val="00F64239"/>
    <w:rsid w:val="00F64D03"/>
    <w:rsid w:val="00F652B9"/>
    <w:rsid w:val="00F66644"/>
    <w:rsid w:val="00F66A64"/>
    <w:rsid w:val="00F679A9"/>
    <w:rsid w:val="00F67EA7"/>
    <w:rsid w:val="00F70E0B"/>
    <w:rsid w:val="00F71041"/>
    <w:rsid w:val="00F717BD"/>
    <w:rsid w:val="00F71C9B"/>
    <w:rsid w:val="00F71D97"/>
    <w:rsid w:val="00F72346"/>
    <w:rsid w:val="00F74136"/>
    <w:rsid w:val="00F7464C"/>
    <w:rsid w:val="00F810D2"/>
    <w:rsid w:val="00F81640"/>
    <w:rsid w:val="00F81A6A"/>
    <w:rsid w:val="00F822E2"/>
    <w:rsid w:val="00F8367A"/>
    <w:rsid w:val="00F85880"/>
    <w:rsid w:val="00F869AB"/>
    <w:rsid w:val="00F86F1D"/>
    <w:rsid w:val="00F8707D"/>
    <w:rsid w:val="00F8721D"/>
    <w:rsid w:val="00F877EA"/>
    <w:rsid w:val="00F903DD"/>
    <w:rsid w:val="00F90E90"/>
    <w:rsid w:val="00F91CED"/>
    <w:rsid w:val="00F95427"/>
    <w:rsid w:val="00F967CE"/>
    <w:rsid w:val="00F96AAC"/>
    <w:rsid w:val="00F96EB0"/>
    <w:rsid w:val="00F97BF5"/>
    <w:rsid w:val="00FA0ABD"/>
    <w:rsid w:val="00FA297B"/>
    <w:rsid w:val="00FA2F91"/>
    <w:rsid w:val="00FA40F7"/>
    <w:rsid w:val="00FA4F0B"/>
    <w:rsid w:val="00FA550D"/>
    <w:rsid w:val="00FA5FBE"/>
    <w:rsid w:val="00FA61EB"/>
    <w:rsid w:val="00FA656A"/>
    <w:rsid w:val="00FA69DD"/>
    <w:rsid w:val="00FA70D5"/>
    <w:rsid w:val="00FA7D74"/>
    <w:rsid w:val="00FB0868"/>
    <w:rsid w:val="00FB1FF0"/>
    <w:rsid w:val="00FB237E"/>
    <w:rsid w:val="00FB3368"/>
    <w:rsid w:val="00FB4A9D"/>
    <w:rsid w:val="00FB51FE"/>
    <w:rsid w:val="00FC1288"/>
    <w:rsid w:val="00FC1F9A"/>
    <w:rsid w:val="00FC242C"/>
    <w:rsid w:val="00FC2970"/>
    <w:rsid w:val="00FC2A95"/>
    <w:rsid w:val="00FC2E25"/>
    <w:rsid w:val="00FC34F9"/>
    <w:rsid w:val="00FC6938"/>
    <w:rsid w:val="00FD00DD"/>
    <w:rsid w:val="00FD0383"/>
    <w:rsid w:val="00FD0C40"/>
    <w:rsid w:val="00FD197B"/>
    <w:rsid w:val="00FD1BCF"/>
    <w:rsid w:val="00FD21AB"/>
    <w:rsid w:val="00FD3189"/>
    <w:rsid w:val="00FD4697"/>
    <w:rsid w:val="00FD5082"/>
    <w:rsid w:val="00FD58AB"/>
    <w:rsid w:val="00FD5CF8"/>
    <w:rsid w:val="00FD609A"/>
    <w:rsid w:val="00FD70A6"/>
    <w:rsid w:val="00FD76B6"/>
    <w:rsid w:val="00FD7DCD"/>
    <w:rsid w:val="00FE2CA9"/>
    <w:rsid w:val="00FE33B5"/>
    <w:rsid w:val="00FE4CAC"/>
    <w:rsid w:val="00FE7E7D"/>
    <w:rsid w:val="00FF0BBE"/>
    <w:rsid w:val="00FF1CD6"/>
    <w:rsid w:val="00FF20B8"/>
    <w:rsid w:val="00FF2600"/>
    <w:rsid w:val="00FF293E"/>
    <w:rsid w:val="00FF425A"/>
    <w:rsid w:val="00FF52CA"/>
    <w:rsid w:val="00FF540E"/>
    <w:rsid w:val="00FF5AE5"/>
    <w:rsid w:val="00FF6187"/>
    <w:rsid w:val="00FF6695"/>
    <w:rsid w:val="00FF70E6"/>
    <w:rsid w:val="00FF7F37"/>
    <w:rsid w:val="01727C86"/>
    <w:rsid w:val="01757D6C"/>
    <w:rsid w:val="01B67A50"/>
    <w:rsid w:val="01C603F3"/>
    <w:rsid w:val="02350FD7"/>
    <w:rsid w:val="026D5A4E"/>
    <w:rsid w:val="027F08F6"/>
    <w:rsid w:val="02866093"/>
    <w:rsid w:val="02985DC6"/>
    <w:rsid w:val="029C3C3D"/>
    <w:rsid w:val="02A6216E"/>
    <w:rsid w:val="02AF35B9"/>
    <w:rsid w:val="02D7069C"/>
    <w:rsid w:val="02DB5B22"/>
    <w:rsid w:val="02E2117E"/>
    <w:rsid w:val="02EA0C52"/>
    <w:rsid w:val="02EF31FC"/>
    <w:rsid w:val="03174F3D"/>
    <w:rsid w:val="031D5029"/>
    <w:rsid w:val="031F5CB1"/>
    <w:rsid w:val="032510F8"/>
    <w:rsid w:val="03423A5A"/>
    <w:rsid w:val="03476509"/>
    <w:rsid w:val="035C6DF3"/>
    <w:rsid w:val="03745A07"/>
    <w:rsid w:val="038F6F0F"/>
    <w:rsid w:val="03A41A2E"/>
    <w:rsid w:val="03B67A42"/>
    <w:rsid w:val="03BC3FA3"/>
    <w:rsid w:val="03CD7699"/>
    <w:rsid w:val="03D05B32"/>
    <w:rsid w:val="0403263B"/>
    <w:rsid w:val="042947BD"/>
    <w:rsid w:val="0453546B"/>
    <w:rsid w:val="04536448"/>
    <w:rsid w:val="045A3333"/>
    <w:rsid w:val="045F408F"/>
    <w:rsid w:val="047D1717"/>
    <w:rsid w:val="048D3660"/>
    <w:rsid w:val="049F168E"/>
    <w:rsid w:val="04D75C17"/>
    <w:rsid w:val="04DF51E5"/>
    <w:rsid w:val="04F217BD"/>
    <w:rsid w:val="04F67264"/>
    <w:rsid w:val="05057FD0"/>
    <w:rsid w:val="054E0A7B"/>
    <w:rsid w:val="05535400"/>
    <w:rsid w:val="058118D7"/>
    <w:rsid w:val="05B6173B"/>
    <w:rsid w:val="05BA22D5"/>
    <w:rsid w:val="05BF087E"/>
    <w:rsid w:val="05EE13C9"/>
    <w:rsid w:val="05F525E4"/>
    <w:rsid w:val="05FE5366"/>
    <w:rsid w:val="060D2627"/>
    <w:rsid w:val="0620398B"/>
    <w:rsid w:val="063548D6"/>
    <w:rsid w:val="06361B7E"/>
    <w:rsid w:val="065E0D7E"/>
    <w:rsid w:val="068F508F"/>
    <w:rsid w:val="06B16195"/>
    <w:rsid w:val="07441515"/>
    <w:rsid w:val="077B122A"/>
    <w:rsid w:val="0782344C"/>
    <w:rsid w:val="07AE5867"/>
    <w:rsid w:val="07C66482"/>
    <w:rsid w:val="07CA6A37"/>
    <w:rsid w:val="07FA45B7"/>
    <w:rsid w:val="085B58CB"/>
    <w:rsid w:val="086E55FF"/>
    <w:rsid w:val="08724C55"/>
    <w:rsid w:val="08730E67"/>
    <w:rsid w:val="0880043F"/>
    <w:rsid w:val="08B123F7"/>
    <w:rsid w:val="08C23B9D"/>
    <w:rsid w:val="08F059AA"/>
    <w:rsid w:val="093A7BD7"/>
    <w:rsid w:val="09931095"/>
    <w:rsid w:val="09AF2373"/>
    <w:rsid w:val="09CE6E57"/>
    <w:rsid w:val="09D260AC"/>
    <w:rsid w:val="09FC6A4A"/>
    <w:rsid w:val="0A0C0731"/>
    <w:rsid w:val="0A3C350E"/>
    <w:rsid w:val="0A3F353B"/>
    <w:rsid w:val="0AB67731"/>
    <w:rsid w:val="0AB74171"/>
    <w:rsid w:val="0AC72D79"/>
    <w:rsid w:val="0AEB73DB"/>
    <w:rsid w:val="0B162392"/>
    <w:rsid w:val="0B373A55"/>
    <w:rsid w:val="0B4E4A5D"/>
    <w:rsid w:val="0B7D1AED"/>
    <w:rsid w:val="0B9C2483"/>
    <w:rsid w:val="0BB440E1"/>
    <w:rsid w:val="0BE04A65"/>
    <w:rsid w:val="0C0B13B7"/>
    <w:rsid w:val="0C3E4E01"/>
    <w:rsid w:val="0C835496"/>
    <w:rsid w:val="0C9F66CF"/>
    <w:rsid w:val="0CE770D5"/>
    <w:rsid w:val="0CFB26C2"/>
    <w:rsid w:val="0D1D6ADC"/>
    <w:rsid w:val="0D305579"/>
    <w:rsid w:val="0D3C1AAA"/>
    <w:rsid w:val="0D680BE0"/>
    <w:rsid w:val="0DA447BB"/>
    <w:rsid w:val="0DDE6EB8"/>
    <w:rsid w:val="0DFF388F"/>
    <w:rsid w:val="0E232C28"/>
    <w:rsid w:val="0E2350DD"/>
    <w:rsid w:val="0E2E129C"/>
    <w:rsid w:val="0E4A2628"/>
    <w:rsid w:val="0E574EDB"/>
    <w:rsid w:val="0E5A5605"/>
    <w:rsid w:val="0E5C4985"/>
    <w:rsid w:val="0E7A5896"/>
    <w:rsid w:val="0EA0127C"/>
    <w:rsid w:val="0EB64D41"/>
    <w:rsid w:val="0EBC177A"/>
    <w:rsid w:val="0ED308B1"/>
    <w:rsid w:val="0EEB6FFF"/>
    <w:rsid w:val="0F263ED5"/>
    <w:rsid w:val="0F2A0B0E"/>
    <w:rsid w:val="0F3D21CF"/>
    <w:rsid w:val="0F6760B8"/>
    <w:rsid w:val="0F6D010C"/>
    <w:rsid w:val="0F735BCE"/>
    <w:rsid w:val="0F911464"/>
    <w:rsid w:val="10516577"/>
    <w:rsid w:val="105A72C5"/>
    <w:rsid w:val="107463E5"/>
    <w:rsid w:val="10C74658"/>
    <w:rsid w:val="10E70644"/>
    <w:rsid w:val="10EF29DA"/>
    <w:rsid w:val="10FD1C16"/>
    <w:rsid w:val="111807FE"/>
    <w:rsid w:val="115B43B6"/>
    <w:rsid w:val="11742577"/>
    <w:rsid w:val="11B7057C"/>
    <w:rsid w:val="11D20466"/>
    <w:rsid w:val="11D91672"/>
    <w:rsid w:val="11DF756D"/>
    <w:rsid w:val="11EC514B"/>
    <w:rsid w:val="11F25627"/>
    <w:rsid w:val="1234148C"/>
    <w:rsid w:val="12371A06"/>
    <w:rsid w:val="123C4ABE"/>
    <w:rsid w:val="12CF5795"/>
    <w:rsid w:val="13061A78"/>
    <w:rsid w:val="130F3B9D"/>
    <w:rsid w:val="13194F30"/>
    <w:rsid w:val="133C6704"/>
    <w:rsid w:val="13630A49"/>
    <w:rsid w:val="13BD3F47"/>
    <w:rsid w:val="13BE1D53"/>
    <w:rsid w:val="13D83915"/>
    <w:rsid w:val="13D9596F"/>
    <w:rsid w:val="141605EF"/>
    <w:rsid w:val="144731A8"/>
    <w:rsid w:val="145427FA"/>
    <w:rsid w:val="14885C9A"/>
    <w:rsid w:val="14926B19"/>
    <w:rsid w:val="14AC3604"/>
    <w:rsid w:val="14DD7CE7"/>
    <w:rsid w:val="14F21366"/>
    <w:rsid w:val="14FD37CF"/>
    <w:rsid w:val="155A1E17"/>
    <w:rsid w:val="1565422D"/>
    <w:rsid w:val="158445F0"/>
    <w:rsid w:val="158A5B65"/>
    <w:rsid w:val="15DB004C"/>
    <w:rsid w:val="163D2AB4"/>
    <w:rsid w:val="164A6478"/>
    <w:rsid w:val="165E0F95"/>
    <w:rsid w:val="166516F8"/>
    <w:rsid w:val="166938A9"/>
    <w:rsid w:val="16CB3D75"/>
    <w:rsid w:val="16FF3191"/>
    <w:rsid w:val="17077FD1"/>
    <w:rsid w:val="170A3665"/>
    <w:rsid w:val="1757785B"/>
    <w:rsid w:val="17664E76"/>
    <w:rsid w:val="177C7763"/>
    <w:rsid w:val="17900032"/>
    <w:rsid w:val="17927295"/>
    <w:rsid w:val="17B14BF9"/>
    <w:rsid w:val="17C52E06"/>
    <w:rsid w:val="17CA36C8"/>
    <w:rsid w:val="17FB5A34"/>
    <w:rsid w:val="184360FD"/>
    <w:rsid w:val="189D479A"/>
    <w:rsid w:val="18BA03EC"/>
    <w:rsid w:val="18BD7169"/>
    <w:rsid w:val="18D1647F"/>
    <w:rsid w:val="18D86D91"/>
    <w:rsid w:val="1908025D"/>
    <w:rsid w:val="191D4766"/>
    <w:rsid w:val="196C1720"/>
    <w:rsid w:val="19CD084B"/>
    <w:rsid w:val="19D6028A"/>
    <w:rsid w:val="19D878BC"/>
    <w:rsid w:val="19E77C11"/>
    <w:rsid w:val="19EF538C"/>
    <w:rsid w:val="19EF6927"/>
    <w:rsid w:val="1A0924D1"/>
    <w:rsid w:val="1A1C0FE1"/>
    <w:rsid w:val="1A7840BB"/>
    <w:rsid w:val="1A851FB4"/>
    <w:rsid w:val="1A88384B"/>
    <w:rsid w:val="1A9D7FC6"/>
    <w:rsid w:val="1AD872CD"/>
    <w:rsid w:val="1AD91676"/>
    <w:rsid w:val="1AE70EEC"/>
    <w:rsid w:val="1AEF3094"/>
    <w:rsid w:val="1AFA71C6"/>
    <w:rsid w:val="1B14076F"/>
    <w:rsid w:val="1B565609"/>
    <w:rsid w:val="1B5A4640"/>
    <w:rsid w:val="1BA81D0B"/>
    <w:rsid w:val="1BA82F7A"/>
    <w:rsid w:val="1BAD4238"/>
    <w:rsid w:val="1BFE6C5B"/>
    <w:rsid w:val="1C4D14DD"/>
    <w:rsid w:val="1C612B8E"/>
    <w:rsid w:val="1C7F5BD5"/>
    <w:rsid w:val="1C9F1DD3"/>
    <w:rsid w:val="1CB50917"/>
    <w:rsid w:val="1CCB706C"/>
    <w:rsid w:val="1CEA7476"/>
    <w:rsid w:val="1CF245F9"/>
    <w:rsid w:val="1CF66EC8"/>
    <w:rsid w:val="1CFA525B"/>
    <w:rsid w:val="1CFC2CF4"/>
    <w:rsid w:val="1CFC50F9"/>
    <w:rsid w:val="1D8A7DED"/>
    <w:rsid w:val="1DAF4EEB"/>
    <w:rsid w:val="1DBE219A"/>
    <w:rsid w:val="1DBE44DB"/>
    <w:rsid w:val="1DD16F2E"/>
    <w:rsid w:val="1DE975C0"/>
    <w:rsid w:val="1DF3679B"/>
    <w:rsid w:val="1DFB7351"/>
    <w:rsid w:val="1E07540F"/>
    <w:rsid w:val="1E6E5F01"/>
    <w:rsid w:val="1EF676C0"/>
    <w:rsid w:val="1F0C32E7"/>
    <w:rsid w:val="1F2F564A"/>
    <w:rsid w:val="1F4F1BB6"/>
    <w:rsid w:val="1F5910C8"/>
    <w:rsid w:val="1F5E0C8E"/>
    <w:rsid w:val="1F7603E0"/>
    <w:rsid w:val="1F812CE9"/>
    <w:rsid w:val="1F8B42E9"/>
    <w:rsid w:val="1F974EC1"/>
    <w:rsid w:val="1FBF47A2"/>
    <w:rsid w:val="1FFC376C"/>
    <w:rsid w:val="1FFE72CB"/>
    <w:rsid w:val="20062169"/>
    <w:rsid w:val="200D799B"/>
    <w:rsid w:val="20113134"/>
    <w:rsid w:val="2017074E"/>
    <w:rsid w:val="2025071F"/>
    <w:rsid w:val="20407429"/>
    <w:rsid w:val="20A7394C"/>
    <w:rsid w:val="20C133F8"/>
    <w:rsid w:val="20F54E29"/>
    <w:rsid w:val="212030D7"/>
    <w:rsid w:val="212874CF"/>
    <w:rsid w:val="213825F5"/>
    <w:rsid w:val="213E2CCB"/>
    <w:rsid w:val="217A0581"/>
    <w:rsid w:val="217E667A"/>
    <w:rsid w:val="218D656F"/>
    <w:rsid w:val="21F93FD6"/>
    <w:rsid w:val="220723E7"/>
    <w:rsid w:val="221657FC"/>
    <w:rsid w:val="22287BF3"/>
    <w:rsid w:val="22325497"/>
    <w:rsid w:val="224131F3"/>
    <w:rsid w:val="22486578"/>
    <w:rsid w:val="22575D40"/>
    <w:rsid w:val="226C09A9"/>
    <w:rsid w:val="229B4DEB"/>
    <w:rsid w:val="22B537C3"/>
    <w:rsid w:val="22BB54C1"/>
    <w:rsid w:val="22CB180A"/>
    <w:rsid w:val="22D622C7"/>
    <w:rsid w:val="22FA7F98"/>
    <w:rsid w:val="232B2612"/>
    <w:rsid w:val="23482EEF"/>
    <w:rsid w:val="234A0F7D"/>
    <w:rsid w:val="235653D0"/>
    <w:rsid w:val="235D2862"/>
    <w:rsid w:val="239A32F4"/>
    <w:rsid w:val="23A41D2F"/>
    <w:rsid w:val="23D42997"/>
    <w:rsid w:val="23DB32E7"/>
    <w:rsid w:val="23E915D2"/>
    <w:rsid w:val="24064469"/>
    <w:rsid w:val="240F3266"/>
    <w:rsid w:val="241B13FE"/>
    <w:rsid w:val="24466FD8"/>
    <w:rsid w:val="24661BDD"/>
    <w:rsid w:val="24716EF0"/>
    <w:rsid w:val="248E3FF4"/>
    <w:rsid w:val="248F1CDE"/>
    <w:rsid w:val="249720B1"/>
    <w:rsid w:val="249A411D"/>
    <w:rsid w:val="249D6CB2"/>
    <w:rsid w:val="24CE08C5"/>
    <w:rsid w:val="252B59D4"/>
    <w:rsid w:val="256C6F17"/>
    <w:rsid w:val="2574519B"/>
    <w:rsid w:val="257819E3"/>
    <w:rsid w:val="26362C80"/>
    <w:rsid w:val="265255B2"/>
    <w:rsid w:val="26C9354C"/>
    <w:rsid w:val="26DE5BEE"/>
    <w:rsid w:val="27231852"/>
    <w:rsid w:val="27273C38"/>
    <w:rsid w:val="27314368"/>
    <w:rsid w:val="273870AC"/>
    <w:rsid w:val="273C6F37"/>
    <w:rsid w:val="275B006D"/>
    <w:rsid w:val="27657964"/>
    <w:rsid w:val="27697725"/>
    <w:rsid w:val="277A4090"/>
    <w:rsid w:val="2782356B"/>
    <w:rsid w:val="278A18F4"/>
    <w:rsid w:val="27E15995"/>
    <w:rsid w:val="27F05BD9"/>
    <w:rsid w:val="286A13F2"/>
    <w:rsid w:val="28780AC6"/>
    <w:rsid w:val="28790B11"/>
    <w:rsid w:val="288E5833"/>
    <w:rsid w:val="289572F2"/>
    <w:rsid w:val="28DD322B"/>
    <w:rsid w:val="28F42A99"/>
    <w:rsid w:val="291A5913"/>
    <w:rsid w:val="293526AA"/>
    <w:rsid w:val="293F675B"/>
    <w:rsid w:val="293F7FDE"/>
    <w:rsid w:val="295A2FA1"/>
    <w:rsid w:val="29A22701"/>
    <w:rsid w:val="29BA46F0"/>
    <w:rsid w:val="29C323D4"/>
    <w:rsid w:val="29EC73A5"/>
    <w:rsid w:val="2A3A42FE"/>
    <w:rsid w:val="2AA10CE0"/>
    <w:rsid w:val="2AAD67A9"/>
    <w:rsid w:val="2AC64CD7"/>
    <w:rsid w:val="2B1271EB"/>
    <w:rsid w:val="2B2331EA"/>
    <w:rsid w:val="2B2E70E5"/>
    <w:rsid w:val="2B30453E"/>
    <w:rsid w:val="2B7E2F46"/>
    <w:rsid w:val="2BA47BF5"/>
    <w:rsid w:val="2BAE26FB"/>
    <w:rsid w:val="2BB46778"/>
    <w:rsid w:val="2BC61562"/>
    <w:rsid w:val="2BCD0AE0"/>
    <w:rsid w:val="2BFA0DD4"/>
    <w:rsid w:val="2C134FE1"/>
    <w:rsid w:val="2C2514B1"/>
    <w:rsid w:val="2C3B6A04"/>
    <w:rsid w:val="2C3E2C4C"/>
    <w:rsid w:val="2C444745"/>
    <w:rsid w:val="2C5021B7"/>
    <w:rsid w:val="2C8E561B"/>
    <w:rsid w:val="2C932C69"/>
    <w:rsid w:val="2C9F2A67"/>
    <w:rsid w:val="2CE31AC5"/>
    <w:rsid w:val="2D1A5BEB"/>
    <w:rsid w:val="2D227DC7"/>
    <w:rsid w:val="2D2845BC"/>
    <w:rsid w:val="2D2E73A1"/>
    <w:rsid w:val="2D776E09"/>
    <w:rsid w:val="2D7E23E1"/>
    <w:rsid w:val="2D956272"/>
    <w:rsid w:val="2D9C188C"/>
    <w:rsid w:val="2D9D410D"/>
    <w:rsid w:val="2DC34A81"/>
    <w:rsid w:val="2DCF4D6D"/>
    <w:rsid w:val="2DD125B6"/>
    <w:rsid w:val="2DDF2977"/>
    <w:rsid w:val="2DF14D73"/>
    <w:rsid w:val="2E244107"/>
    <w:rsid w:val="2E510491"/>
    <w:rsid w:val="2E5A73E1"/>
    <w:rsid w:val="2E665884"/>
    <w:rsid w:val="2E974B67"/>
    <w:rsid w:val="2ED70F52"/>
    <w:rsid w:val="2EDD3BF4"/>
    <w:rsid w:val="2F1F789F"/>
    <w:rsid w:val="2F397C07"/>
    <w:rsid w:val="2F544FF2"/>
    <w:rsid w:val="2F6B678F"/>
    <w:rsid w:val="2F984913"/>
    <w:rsid w:val="2FD70501"/>
    <w:rsid w:val="2FE07BE8"/>
    <w:rsid w:val="303D703D"/>
    <w:rsid w:val="304E16EE"/>
    <w:rsid w:val="305A4537"/>
    <w:rsid w:val="305B35A4"/>
    <w:rsid w:val="308858C3"/>
    <w:rsid w:val="30DB62B6"/>
    <w:rsid w:val="30F73B34"/>
    <w:rsid w:val="31034344"/>
    <w:rsid w:val="31067F47"/>
    <w:rsid w:val="31167EA0"/>
    <w:rsid w:val="311878A1"/>
    <w:rsid w:val="311D4032"/>
    <w:rsid w:val="31327282"/>
    <w:rsid w:val="3135748D"/>
    <w:rsid w:val="31637517"/>
    <w:rsid w:val="31AD08B7"/>
    <w:rsid w:val="31B27A3B"/>
    <w:rsid w:val="31B42C2E"/>
    <w:rsid w:val="31ED2820"/>
    <w:rsid w:val="31F84007"/>
    <w:rsid w:val="32024F1D"/>
    <w:rsid w:val="322C3CB1"/>
    <w:rsid w:val="325038E7"/>
    <w:rsid w:val="325658C2"/>
    <w:rsid w:val="32777D59"/>
    <w:rsid w:val="328525EA"/>
    <w:rsid w:val="32B412BA"/>
    <w:rsid w:val="32CE29C2"/>
    <w:rsid w:val="32DF309E"/>
    <w:rsid w:val="32F65D21"/>
    <w:rsid w:val="32FA5B5D"/>
    <w:rsid w:val="3322684B"/>
    <w:rsid w:val="33557238"/>
    <w:rsid w:val="33625EAA"/>
    <w:rsid w:val="337F0FF3"/>
    <w:rsid w:val="339E298D"/>
    <w:rsid w:val="33C341A1"/>
    <w:rsid w:val="33DC34B5"/>
    <w:rsid w:val="33EF36DB"/>
    <w:rsid w:val="33FB645A"/>
    <w:rsid w:val="342D5594"/>
    <w:rsid w:val="34340A65"/>
    <w:rsid w:val="345C616D"/>
    <w:rsid w:val="345E27C4"/>
    <w:rsid w:val="34843BE5"/>
    <w:rsid w:val="348557BD"/>
    <w:rsid w:val="34AE30A3"/>
    <w:rsid w:val="34BD4B51"/>
    <w:rsid w:val="34C34E58"/>
    <w:rsid w:val="34D523DE"/>
    <w:rsid w:val="34E872EB"/>
    <w:rsid w:val="35075E5A"/>
    <w:rsid w:val="350E36C5"/>
    <w:rsid w:val="354C2118"/>
    <w:rsid w:val="3558300F"/>
    <w:rsid w:val="35610790"/>
    <w:rsid w:val="35612591"/>
    <w:rsid w:val="35673406"/>
    <w:rsid w:val="35887B8D"/>
    <w:rsid w:val="35AE4476"/>
    <w:rsid w:val="35B03D92"/>
    <w:rsid w:val="35CE11B2"/>
    <w:rsid w:val="35D97CAC"/>
    <w:rsid w:val="361502FC"/>
    <w:rsid w:val="36154C88"/>
    <w:rsid w:val="36221A6C"/>
    <w:rsid w:val="36252C67"/>
    <w:rsid w:val="36386996"/>
    <w:rsid w:val="36601559"/>
    <w:rsid w:val="366942E0"/>
    <w:rsid w:val="368F0B09"/>
    <w:rsid w:val="369A4027"/>
    <w:rsid w:val="369A739E"/>
    <w:rsid w:val="36B867F8"/>
    <w:rsid w:val="36EE7787"/>
    <w:rsid w:val="36F80606"/>
    <w:rsid w:val="37270840"/>
    <w:rsid w:val="37395321"/>
    <w:rsid w:val="374227A0"/>
    <w:rsid w:val="37490E61"/>
    <w:rsid w:val="376413EB"/>
    <w:rsid w:val="376733B8"/>
    <w:rsid w:val="37683313"/>
    <w:rsid w:val="37831F3D"/>
    <w:rsid w:val="37853041"/>
    <w:rsid w:val="37976071"/>
    <w:rsid w:val="379E4C02"/>
    <w:rsid w:val="37B05E2A"/>
    <w:rsid w:val="37C5232F"/>
    <w:rsid w:val="37CE7987"/>
    <w:rsid w:val="38045DC1"/>
    <w:rsid w:val="38134014"/>
    <w:rsid w:val="388C157E"/>
    <w:rsid w:val="389F2E95"/>
    <w:rsid w:val="38E928FC"/>
    <w:rsid w:val="38F94A57"/>
    <w:rsid w:val="38FB5907"/>
    <w:rsid w:val="392B2444"/>
    <w:rsid w:val="395846F2"/>
    <w:rsid w:val="39C74071"/>
    <w:rsid w:val="39E130BC"/>
    <w:rsid w:val="3A3577FF"/>
    <w:rsid w:val="3A465B2C"/>
    <w:rsid w:val="3A4B78A6"/>
    <w:rsid w:val="3A54296F"/>
    <w:rsid w:val="3A5A7B55"/>
    <w:rsid w:val="3A7255AF"/>
    <w:rsid w:val="3A934147"/>
    <w:rsid w:val="3ABB3E24"/>
    <w:rsid w:val="3ABE28CC"/>
    <w:rsid w:val="3B0C3412"/>
    <w:rsid w:val="3B257775"/>
    <w:rsid w:val="3B27770B"/>
    <w:rsid w:val="3B4646D5"/>
    <w:rsid w:val="3B4F0D0C"/>
    <w:rsid w:val="3B540375"/>
    <w:rsid w:val="3B985C60"/>
    <w:rsid w:val="3BA8233A"/>
    <w:rsid w:val="3BD240C3"/>
    <w:rsid w:val="3BDC7581"/>
    <w:rsid w:val="3C083874"/>
    <w:rsid w:val="3C1634E3"/>
    <w:rsid w:val="3C4A4924"/>
    <w:rsid w:val="3C552BBD"/>
    <w:rsid w:val="3C6476E4"/>
    <w:rsid w:val="3C671A8F"/>
    <w:rsid w:val="3C7D6764"/>
    <w:rsid w:val="3CA13016"/>
    <w:rsid w:val="3CC33464"/>
    <w:rsid w:val="3CDD209D"/>
    <w:rsid w:val="3CEC6E4E"/>
    <w:rsid w:val="3D244AC1"/>
    <w:rsid w:val="3D4445A5"/>
    <w:rsid w:val="3D7370A9"/>
    <w:rsid w:val="3D915D46"/>
    <w:rsid w:val="3D9C262D"/>
    <w:rsid w:val="3DFB14A1"/>
    <w:rsid w:val="3E035B0F"/>
    <w:rsid w:val="3E1C107E"/>
    <w:rsid w:val="3E265A58"/>
    <w:rsid w:val="3E5842FE"/>
    <w:rsid w:val="3E5D4364"/>
    <w:rsid w:val="3E5E1696"/>
    <w:rsid w:val="3E8D1F7B"/>
    <w:rsid w:val="3EB32D81"/>
    <w:rsid w:val="3EB571D9"/>
    <w:rsid w:val="3EC87A72"/>
    <w:rsid w:val="3ECA596B"/>
    <w:rsid w:val="3ECC2AA4"/>
    <w:rsid w:val="3ED67416"/>
    <w:rsid w:val="3EE55BC4"/>
    <w:rsid w:val="3F19380F"/>
    <w:rsid w:val="3F2006FA"/>
    <w:rsid w:val="3F2E38A2"/>
    <w:rsid w:val="3F460F4B"/>
    <w:rsid w:val="3F551B15"/>
    <w:rsid w:val="3FBB6142"/>
    <w:rsid w:val="3FC75DC7"/>
    <w:rsid w:val="3FD475BA"/>
    <w:rsid w:val="3FDE44DC"/>
    <w:rsid w:val="400E49F6"/>
    <w:rsid w:val="40291232"/>
    <w:rsid w:val="4031316B"/>
    <w:rsid w:val="407903DC"/>
    <w:rsid w:val="407924B5"/>
    <w:rsid w:val="408706D3"/>
    <w:rsid w:val="40B44F66"/>
    <w:rsid w:val="40D05741"/>
    <w:rsid w:val="40DA0F23"/>
    <w:rsid w:val="40F55A84"/>
    <w:rsid w:val="40FA7E49"/>
    <w:rsid w:val="41771B49"/>
    <w:rsid w:val="41780CC1"/>
    <w:rsid w:val="41990C37"/>
    <w:rsid w:val="41B415CD"/>
    <w:rsid w:val="41C20368"/>
    <w:rsid w:val="41DF2AEE"/>
    <w:rsid w:val="420D2A80"/>
    <w:rsid w:val="421A2073"/>
    <w:rsid w:val="422148CB"/>
    <w:rsid w:val="42467367"/>
    <w:rsid w:val="426D1F05"/>
    <w:rsid w:val="426E500B"/>
    <w:rsid w:val="428840CE"/>
    <w:rsid w:val="429574BD"/>
    <w:rsid w:val="42B60A09"/>
    <w:rsid w:val="42F21A37"/>
    <w:rsid w:val="42FE51F6"/>
    <w:rsid w:val="431247FD"/>
    <w:rsid w:val="434D6210"/>
    <w:rsid w:val="43507DFC"/>
    <w:rsid w:val="4357075F"/>
    <w:rsid w:val="43670FED"/>
    <w:rsid w:val="436F4800"/>
    <w:rsid w:val="43732951"/>
    <w:rsid w:val="43A01BC0"/>
    <w:rsid w:val="43BE5738"/>
    <w:rsid w:val="43C1218D"/>
    <w:rsid w:val="43C33D49"/>
    <w:rsid w:val="43CE2E1A"/>
    <w:rsid w:val="43D24560"/>
    <w:rsid w:val="43EA39CC"/>
    <w:rsid w:val="43F80860"/>
    <w:rsid w:val="44523F0B"/>
    <w:rsid w:val="445D559D"/>
    <w:rsid w:val="446077EA"/>
    <w:rsid w:val="446530CB"/>
    <w:rsid w:val="447B7CC7"/>
    <w:rsid w:val="44807500"/>
    <w:rsid w:val="44CB1ED8"/>
    <w:rsid w:val="44D04950"/>
    <w:rsid w:val="44F56185"/>
    <w:rsid w:val="450308A1"/>
    <w:rsid w:val="45156827"/>
    <w:rsid w:val="451633F6"/>
    <w:rsid w:val="45575091"/>
    <w:rsid w:val="457E334B"/>
    <w:rsid w:val="45A831F7"/>
    <w:rsid w:val="45DE30BD"/>
    <w:rsid w:val="46080375"/>
    <w:rsid w:val="4632767D"/>
    <w:rsid w:val="4639421E"/>
    <w:rsid w:val="464512B9"/>
    <w:rsid w:val="46857785"/>
    <w:rsid w:val="46887A7D"/>
    <w:rsid w:val="46A63BDA"/>
    <w:rsid w:val="46B82B63"/>
    <w:rsid w:val="46C6375A"/>
    <w:rsid w:val="46FF153C"/>
    <w:rsid w:val="470914ED"/>
    <w:rsid w:val="4717429E"/>
    <w:rsid w:val="473079FD"/>
    <w:rsid w:val="477A7EBA"/>
    <w:rsid w:val="477B4092"/>
    <w:rsid w:val="47DB78B4"/>
    <w:rsid w:val="48435459"/>
    <w:rsid w:val="48512772"/>
    <w:rsid w:val="48514EDE"/>
    <w:rsid w:val="485C4777"/>
    <w:rsid w:val="48746863"/>
    <w:rsid w:val="487D4232"/>
    <w:rsid w:val="48CF7144"/>
    <w:rsid w:val="48D616D5"/>
    <w:rsid w:val="490B4AEA"/>
    <w:rsid w:val="49514122"/>
    <w:rsid w:val="49D87443"/>
    <w:rsid w:val="49F17862"/>
    <w:rsid w:val="4A1608FD"/>
    <w:rsid w:val="4A2D0A01"/>
    <w:rsid w:val="4AA44B5C"/>
    <w:rsid w:val="4AB13666"/>
    <w:rsid w:val="4ADD5148"/>
    <w:rsid w:val="4AE41E96"/>
    <w:rsid w:val="4B2671E6"/>
    <w:rsid w:val="4B3A109F"/>
    <w:rsid w:val="4B7F53EA"/>
    <w:rsid w:val="4B9107F9"/>
    <w:rsid w:val="4B9E34D5"/>
    <w:rsid w:val="4BB20856"/>
    <w:rsid w:val="4BCB2534"/>
    <w:rsid w:val="4BD166D8"/>
    <w:rsid w:val="4BE776C6"/>
    <w:rsid w:val="4BFE5865"/>
    <w:rsid w:val="4C011848"/>
    <w:rsid w:val="4C044814"/>
    <w:rsid w:val="4C1A2BA0"/>
    <w:rsid w:val="4C1D581B"/>
    <w:rsid w:val="4C29373A"/>
    <w:rsid w:val="4C2E6D51"/>
    <w:rsid w:val="4C4174A2"/>
    <w:rsid w:val="4C585A0F"/>
    <w:rsid w:val="4C7A4FA0"/>
    <w:rsid w:val="4CBA03DF"/>
    <w:rsid w:val="4CC56D84"/>
    <w:rsid w:val="4CD11285"/>
    <w:rsid w:val="4CF96382"/>
    <w:rsid w:val="4D3C3A61"/>
    <w:rsid w:val="4D4D1254"/>
    <w:rsid w:val="4D4E063D"/>
    <w:rsid w:val="4D790B90"/>
    <w:rsid w:val="4DD80FDB"/>
    <w:rsid w:val="4DE04487"/>
    <w:rsid w:val="4DF254C6"/>
    <w:rsid w:val="4E380C6E"/>
    <w:rsid w:val="4E4C53B9"/>
    <w:rsid w:val="4E5530AA"/>
    <w:rsid w:val="4E5C1022"/>
    <w:rsid w:val="4E5F400D"/>
    <w:rsid w:val="4E73339F"/>
    <w:rsid w:val="4E9E788D"/>
    <w:rsid w:val="4EB175C0"/>
    <w:rsid w:val="4ED922A8"/>
    <w:rsid w:val="4F33111A"/>
    <w:rsid w:val="4F585C8E"/>
    <w:rsid w:val="4F7751AF"/>
    <w:rsid w:val="4F940184"/>
    <w:rsid w:val="4FEF57D7"/>
    <w:rsid w:val="50017646"/>
    <w:rsid w:val="500C4858"/>
    <w:rsid w:val="502B04BF"/>
    <w:rsid w:val="503D42C7"/>
    <w:rsid w:val="503E5DFA"/>
    <w:rsid w:val="506D7517"/>
    <w:rsid w:val="50E40C87"/>
    <w:rsid w:val="50FB6272"/>
    <w:rsid w:val="510328D8"/>
    <w:rsid w:val="51072832"/>
    <w:rsid w:val="51230246"/>
    <w:rsid w:val="514209A3"/>
    <w:rsid w:val="51736DAF"/>
    <w:rsid w:val="517B3DD5"/>
    <w:rsid w:val="51A21C47"/>
    <w:rsid w:val="51A60B4C"/>
    <w:rsid w:val="51C439CB"/>
    <w:rsid w:val="51F356C8"/>
    <w:rsid w:val="51FC4FF6"/>
    <w:rsid w:val="52052024"/>
    <w:rsid w:val="520E1F51"/>
    <w:rsid w:val="520F6A58"/>
    <w:rsid w:val="52107A7E"/>
    <w:rsid w:val="52306A34"/>
    <w:rsid w:val="52397FF8"/>
    <w:rsid w:val="52535DFD"/>
    <w:rsid w:val="525C12CD"/>
    <w:rsid w:val="525F2EBE"/>
    <w:rsid w:val="5262211C"/>
    <w:rsid w:val="526B2854"/>
    <w:rsid w:val="526B3F2A"/>
    <w:rsid w:val="526C7972"/>
    <w:rsid w:val="5288688A"/>
    <w:rsid w:val="52BC29D7"/>
    <w:rsid w:val="52C35E78"/>
    <w:rsid w:val="52E760A8"/>
    <w:rsid w:val="530B5910"/>
    <w:rsid w:val="530C3352"/>
    <w:rsid w:val="531D707B"/>
    <w:rsid w:val="53341DDA"/>
    <w:rsid w:val="53497F05"/>
    <w:rsid w:val="534A2AB7"/>
    <w:rsid w:val="536236BC"/>
    <w:rsid w:val="5382152B"/>
    <w:rsid w:val="53871202"/>
    <w:rsid w:val="53AF6DF2"/>
    <w:rsid w:val="53C15842"/>
    <w:rsid w:val="53F00B8B"/>
    <w:rsid w:val="541C4E2F"/>
    <w:rsid w:val="542157DA"/>
    <w:rsid w:val="54284764"/>
    <w:rsid w:val="5470418F"/>
    <w:rsid w:val="547846DC"/>
    <w:rsid w:val="54AD6A7C"/>
    <w:rsid w:val="54B54EAF"/>
    <w:rsid w:val="54C47921"/>
    <w:rsid w:val="54C72897"/>
    <w:rsid w:val="54DE744F"/>
    <w:rsid w:val="54E50447"/>
    <w:rsid w:val="55456B70"/>
    <w:rsid w:val="555B1B85"/>
    <w:rsid w:val="55750D6B"/>
    <w:rsid w:val="559669A1"/>
    <w:rsid w:val="559E35D5"/>
    <w:rsid w:val="55C228D3"/>
    <w:rsid w:val="55C525F4"/>
    <w:rsid w:val="55CA0F67"/>
    <w:rsid w:val="55FF5FDA"/>
    <w:rsid w:val="56017B32"/>
    <w:rsid w:val="56066443"/>
    <w:rsid w:val="560C4EB1"/>
    <w:rsid w:val="560D1E89"/>
    <w:rsid w:val="56242D6E"/>
    <w:rsid w:val="567E091F"/>
    <w:rsid w:val="56933E7B"/>
    <w:rsid w:val="56AE4F0A"/>
    <w:rsid w:val="56CB0123"/>
    <w:rsid w:val="56ED13B1"/>
    <w:rsid w:val="57035587"/>
    <w:rsid w:val="570D4381"/>
    <w:rsid w:val="57160908"/>
    <w:rsid w:val="57401D39"/>
    <w:rsid w:val="577416FB"/>
    <w:rsid w:val="5782176E"/>
    <w:rsid w:val="57A01920"/>
    <w:rsid w:val="57A22507"/>
    <w:rsid w:val="57BC2B32"/>
    <w:rsid w:val="57DA2BA1"/>
    <w:rsid w:val="57E93E2C"/>
    <w:rsid w:val="57F40DD1"/>
    <w:rsid w:val="57F956D1"/>
    <w:rsid w:val="57FC26EC"/>
    <w:rsid w:val="58085963"/>
    <w:rsid w:val="5829098B"/>
    <w:rsid w:val="58A14202"/>
    <w:rsid w:val="58C45C8C"/>
    <w:rsid w:val="58EA3588"/>
    <w:rsid w:val="58FA668E"/>
    <w:rsid w:val="59015042"/>
    <w:rsid w:val="594B0611"/>
    <w:rsid w:val="596E412E"/>
    <w:rsid w:val="599A575D"/>
    <w:rsid w:val="59FF561A"/>
    <w:rsid w:val="5A285312"/>
    <w:rsid w:val="5A6D1A7D"/>
    <w:rsid w:val="5A70455A"/>
    <w:rsid w:val="5A71640A"/>
    <w:rsid w:val="5A7870D1"/>
    <w:rsid w:val="5A7E331D"/>
    <w:rsid w:val="5A8E07B6"/>
    <w:rsid w:val="5A982F4B"/>
    <w:rsid w:val="5ACA6B16"/>
    <w:rsid w:val="5AED5059"/>
    <w:rsid w:val="5B055EEB"/>
    <w:rsid w:val="5B0B6244"/>
    <w:rsid w:val="5B150ED7"/>
    <w:rsid w:val="5B2979FC"/>
    <w:rsid w:val="5B3D39D4"/>
    <w:rsid w:val="5B447231"/>
    <w:rsid w:val="5B532804"/>
    <w:rsid w:val="5B96130A"/>
    <w:rsid w:val="5C25308B"/>
    <w:rsid w:val="5C4573A4"/>
    <w:rsid w:val="5C5D5374"/>
    <w:rsid w:val="5C6B2AB9"/>
    <w:rsid w:val="5C975A0D"/>
    <w:rsid w:val="5C992482"/>
    <w:rsid w:val="5C9F6CAA"/>
    <w:rsid w:val="5CCA41B3"/>
    <w:rsid w:val="5CD77D14"/>
    <w:rsid w:val="5CDF3D0B"/>
    <w:rsid w:val="5D4E6CEA"/>
    <w:rsid w:val="5D57303F"/>
    <w:rsid w:val="5D7A07D2"/>
    <w:rsid w:val="5DCC51F1"/>
    <w:rsid w:val="5E036F3A"/>
    <w:rsid w:val="5E236935"/>
    <w:rsid w:val="5E265920"/>
    <w:rsid w:val="5E347057"/>
    <w:rsid w:val="5E3D70F6"/>
    <w:rsid w:val="5E425C3D"/>
    <w:rsid w:val="5E4F2989"/>
    <w:rsid w:val="5E6A7CB4"/>
    <w:rsid w:val="5E9A1E1F"/>
    <w:rsid w:val="5EA24574"/>
    <w:rsid w:val="5EC048E4"/>
    <w:rsid w:val="5ECD5595"/>
    <w:rsid w:val="5EDA66BF"/>
    <w:rsid w:val="5EDE31B9"/>
    <w:rsid w:val="5EEE216B"/>
    <w:rsid w:val="5EEE3891"/>
    <w:rsid w:val="5EF36D0A"/>
    <w:rsid w:val="5F430A12"/>
    <w:rsid w:val="5F4657F5"/>
    <w:rsid w:val="5F470F95"/>
    <w:rsid w:val="5F70492E"/>
    <w:rsid w:val="5F941BE9"/>
    <w:rsid w:val="5FC05F61"/>
    <w:rsid w:val="5FE23141"/>
    <w:rsid w:val="5FE90D26"/>
    <w:rsid w:val="60390B97"/>
    <w:rsid w:val="605E50CE"/>
    <w:rsid w:val="60661647"/>
    <w:rsid w:val="60B976A3"/>
    <w:rsid w:val="60D34072"/>
    <w:rsid w:val="60EC6207"/>
    <w:rsid w:val="613627E5"/>
    <w:rsid w:val="6162474A"/>
    <w:rsid w:val="61722B2B"/>
    <w:rsid w:val="618E5E31"/>
    <w:rsid w:val="61C55405"/>
    <w:rsid w:val="61D70C94"/>
    <w:rsid w:val="62171D6B"/>
    <w:rsid w:val="62594DDD"/>
    <w:rsid w:val="626002DF"/>
    <w:rsid w:val="6271555C"/>
    <w:rsid w:val="628932D3"/>
    <w:rsid w:val="62AA58E1"/>
    <w:rsid w:val="62AB1EEE"/>
    <w:rsid w:val="62F2606D"/>
    <w:rsid w:val="631B302E"/>
    <w:rsid w:val="63293329"/>
    <w:rsid w:val="632A47AA"/>
    <w:rsid w:val="63366193"/>
    <w:rsid w:val="63466990"/>
    <w:rsid w:val="635772F5"/>
    <w:rsid w:val="637412F7"/>
    <w:rsid w:val="639D7CBB"/>
    <w:rsid w:val="63A42748"/>
    <w:rsid w:val="63A90654"/>
    <w:rsid w:val="63E56AA5"/>
    <w:rsid w:val="63F41D83"/>
    <w:rsid w:val="63F91396"/>
    <w:rsid w:val="640F0F63"/>
    <w:rsid w:val="642C1829"/>
    <w:rsid w:val="642C510C"/>
    <w:rsid w:val="64325DFA"/>
    <w:rsid w:val="647B1063"/>
    <w:rsid w:val="647C5B23"/>
    <w:rsid w:val="64B96D77"/>
    <w:rsid w:val="64BD6867"/>
    <w:rsid w:val="64E35139"/>
    <w:rsid w:val="65111481"/>
    <w:rsid w:val="652A3D62"/>
    <w:rsid w:val="65691016"/>
    <w:rsid w:val="65767563"/>
    <w:rsid w:val="658F77CF"/>
    <w:rsid w:val="659348BD"/>
    <w:rsid w:val="65C72DCF"/>
    <w:rsid w:val="65EE2AFE"/>
    <w:rsid w:val="65F02759"/>
    <w:rsid w:val="66300EA3"/>
    <w:rsid w:val="663F15CE"/>
    <w:rsid w:val="664B4A49"/>
    <w:rsid w:val="665F56FC"/>
    <w:rsid w:val="666530BD"/>
    <w:rsid w:val="667C7E4D"/>
    <w:rsid w:val="668B7764"/>
    <w:rsid w:val="66AC046D"/>
    <w:rsid w:val="66E80A0E"/>
    <w:rsid w:val="67387A67"/>
    <w:rsid w:val="674D79C1"/>
    <w:rsid w:val="67575A8D"/>
    <w:rsid w:val="67681B58"/>
    <w:rsid w:val="67B12081"/>
    <w:rsid w:val="67BF6B6F"/>
    <w:rsid w:val="67C07A13"/>
    <w:rsid w:val="67D91B1B"/>
    <w:rsid w:val="67DE26FC"/>
    <w:rsid w:val="67F46052"/>
    <w:rsid w:val="680622D3"/>
    <w:rsid w:val="68243ABF"/>
    <w:rsid w:val="68644FB0"/>
    <w:rsid w:val="6867292C"/>
    <w:rsid w:val="68A11FFC"/>
    <w:rsid w:val="68EB1DD2"/>
    <w:rsid w:val="68F06AD4"/>
    <w:rsid w:val="69181BD9"/>
    <w:rsid w:val="691A3DDD"/>
    <w:rsid w:val="69231DD9"/>
    <w:rsid w:val="6931512E"/>
    <w:rsid w:val="694A1401"/>
    <w:rsid w:val="695F6E2D"/>
    <w:rsid w:val="696A0640"/>
    <w:rsid w:val="698A6F34"/>
    <w:rsid w:val="69992D2E"/>
    <w:rsid w:val="69A22849"/>
    <w:rsid w:val="69A41AEF"/>
    <w:rsid w:val="69BC61FD"/>
    <w:rsid w:val="69C01116"/>
    <w:rsid w:val="69C67F6C"/>
    <w:rsid w:val="69EE1271"/>
    <w:rsid w:val="69F93FC7"/>
    <w:rsid w:val="6A0771B6"/>
    <w:rsid w:val="6A1F03EC"/>
    <w:rsid w:val="6A505E2F"/>
    <w:rsid w:val="6A894111"/>
    <w:rsid w:val="6AA70ABD"/>
    <w:rsid w:val="6AAE1F9D"/>
    <w:rsid w:val="6AD420B4"/>
    <w:rsid w:val="6AE663EC"/>
    <w:rsid w:val="6B155E6C"/>
    <w:rsid w:val="6B614D2A"/>
    <w:rsid w:val="6B6A614A"/>
    <w:rsid w:val="6B8B0EDA"/>
    <w:rsid w:val="6BB45044"/>
    <w:rsid w:val="6BF42D98"/>
    <w:rsid w:val="6C325467"/>
    <w:rsid w:val="6C371D38"/>
    <w:rsid w:val="6C372EC1"/>
    <w:rsid w:val="6C562244"/>
    <w:rsid w:val="6C696AEF"/>
    <w:rsid w:val="6C710A9A"/>
    <w:rsid w:val="6C7527A8"/>
    <w:rsid w:val="6C9A5C8A"/>
    <w:rsid w:val="6C9B5D7E"/>
    <w:rsid w:val="6CC3286D"/>
    <w:rsid w:val="6CD00A4A"/>
    <w:rsid w:val="6CD964A2"/>
    <w:rsid w:val="6CE358B6"/>
    <w:rsid w:val="6CE40709"/>
    <w:rsid w:val="6CFB4B14"/>
    <w:rsid w:val="6D21445E"/>
    <w:rsid w:val="6D346135"/>
    <w:rsid w:val="6D4754F7"/>
    <w:rsid w:val="6D4E1456"/>
    <w:rsid w:val="6D631F76"/>
    <w:rsid w:val="6D671AA5"/>
    <w:rsid w:val="6D68052A"/>
    <w:rsid w:val="6D6D4BA2"/>
    <w:rsid w:val="6D8E3146"/>
    <w:rsid w:val="6DBA01AF"/>
    <w:rsid w:val="6E0B629A"/>
    <w:rsid w:val="6E3A4840"/>
    <w:rsid w:val="6E535B46"/>
    <w:rsid w:val="6E5505E5"/>
    <w:rsid w:val="6E761835"/>
    <w:rsid w:val="6E9A3775"/>
    <w:rsid w:val="6EB72CA6"/>
    <w:rsid w:val="6EE97800"/>
    <w:rsid w:val="6EF14DDF"/>
    <w:rsid w:val="6EF2710D"/>
    <w:rsid w:val="6F1936B5"/>
    <w:rsid w:val="6F2D0F58"/>
    <w:rsid w:val="6F357F71"/>
    <w:rsid w:val="6F427072"/>
    <w:rsid w:val="6F613C82"/>
    <w:rsid w:val="6F8B2BA3"/>
    <w:rsid w:val="6F92196C"/>
    <w:rsid w:val="6F960E0D"/>
    <w:rsid w:val="6F9B1553"/>
    <w:rsid w:val="6F9E509F"/>
    <w:rsid w:val="6FA808C0"/>
    <w:rsid w:val="6FB87F9A"/>
    <w:rsid w:val="6FDE429D"/>
    <w:rsid w:val="6FDE6524"/>
    <w:rsid w:val="701C5AC1"/>
    <w:rsid w:val="7056535F"/>
    <w:rsid w:val="706C4C07"/>
    <w:rsid w:val="708625C4"/>
    <w:rsid w:val="709D754D"/>
    <w:rsid w:val="70A873C2"/>
    <w:rsid w:val="70B94E05"/>
    <w:rsid w:val="70BF3967"/>
    <w:rsid w:val="70C861EE"/>
    <w:rsid w:val="70E21403"/>
    <w:rsid w:val="70E92924"/>
    <w:rsid w:val="70E96186"/>
    <w:rsid w:val="7107406A"/>
    <w:rsid w:val="71440EF8"/>
    <w:rsid w:val="71483F36"/>
    <w:rsid w:val="714A72CE"/>
    <w:rsid w:val="71607375"/>
    <w:rsid w:val="71D168F3"/>
    <w:rsid w:val="71E84380"/>
    <w:rsid w:val="721D69A0"/>
    <w:rsid w:val="72286570"/>
    <w:rsid w:val="722B259E"/>
    <w:rsid w:val="724D243B"/>
    <w:rsid w:val="72516958"/>
    <w:rsid w:val="72781833"/>
    <w:rsid w:val="727B38BE"/>
    <w:rsid w:val="727E5BD4"/>
    <w:rsid w:val="72B13D47"/>
    <w:rsid w:val="72B64CDC"/>
    <w:rsid w:val="72FE4F4A"/>
    <w:rsid w:val="730C4052"/>
    <w:rsid w:val="736305BE"/>
    <w:rsid w:val="73775D00"/>
    <w:rsid w:val="739801DE"/>
    <w:rsid w:val="73A01EB1"/>
    <w:rsid w:val="73BD4A44"/>
    <w:rsid w:val="73BF3D93"/>
    <w:rsid w:val="73DB1909"/>
    <w:rsid w:val="73E44651"/>
    <w:rsid w:val="742D247D"/>
    <w:rsid w:val="743D707D"/>
    <w:rsid w:val="74922A45"/>
    <w:rsid w:val="74AC3F76"/>
    <w:rsid w:val="74B54486"/>
    <w:rsid w:val="74DE3AC0"/>
    <w:rsid w:val="74E35816"/>
    <w:rsid w:val="74F3159E"/>
    <w:rsid w:val="75115158"/>
    <w:rsid w:val="752C0E9F"/>
    <w:rsid w:val="752F25FD"/>
    <w:rsid w:val="754438E2"/>
    <w:rsid w:val="75484D90"/>
    <w:rsid w:val="756B2F29"/>
    <w:rsid w:val="757E794D"/>
    <w:rsid w:val="759862A9"/>
    <w:rsid w:val="75B8697D"/>
    <w:rsid w:val="75E176F0"/>
    <w:rsid w:val="76051E1C"/>
    <w:rsid w:val="760859F0"/>
    <w:rsid w:val="760B6D06"/>
    <w:rsid w:val="762828AA"/>
    <w:rsid w:val="76483F8A"/>
    <w:rsid w:val="765D7838"/>
    <w:rsid w:val="7669422C"/>
    <w:rsid w:val="766D2537"/>
    <w:rsid w:val="76796366"/>
    <w:rsid w:val="76A2773F"/>
    <w:rsid w:val="76B00445"/>
    <w:rsid w:val="76B15B00"/>
    <w:rsid w:val="76B85F5D"/>
    <w:rsid w:val="76B865B9"/>
    <w:rsid w:val="76BB4582"/>
    <w:rsid w:val="76D87530"/>
    <w:rsid w:val="76EC08E6"/>
    <w:rsid w:val="772877DD"/>
    <w:rsid w:val="773410EC"/>
    <w:rsid w:val="778854DC"/>
    <w:rsid w:val="778D031B"/>
    <w:rsid w:val="778F1D72"/>
    <w:rsid w:val="77903967"/>
    <w:rsid w:val="77A411C1"/>
    <w:rsid w:val="77C316A6"/>
    <w:rsid w:val="780A11D3"/>
    <w:rsid w:val="782567A5"/>
    <w:rsid w:val="784D7779"/>
    <w:rsid w:val="7859644F"/>
    <w:rsid w:val="78900FA3"/>
    <w:rsid w:val="78994A9D"/>
    <w:rsid w:val="789D3E57"/>
    <w:rsid w:val="78BF4C03"/>
    <w:rsid w:val="78C77506"/>
    <w:rsid w:val="78E801F3"/>
    <w:rsid w:val="79030D1A"/>
    <w:rsid w:val="793346B0"/>
    <w:rsid w:val="79864A5B"/>
    <w:rsid w:val="799668CF"/>
    <w:rsid w:val="79A27982"/>
    <w:rsid w:val="79C73CD9"/>
    <w:rsid w:val="79CA729C"/>
    <w:rsid w:val="79CB7624"/>
    <w:rsid w:val="79DB5CC4"/>
    <w:rsid w:val="79EE7A68"/>
    <w:rsid w:val="7A5E4114"/>
    <w:rsid w:val="7A806D0F"/>
    <w:rsid w:val="7A9032B8"/>
    <w:rsid w:val="7A9B68AB"/>
    <w:rsid w:val="7AA64077"/>
    <w:rsid w:val="7ADD397A"/>
    <w:rsid w:val="7AEE3F26"/>
    <w:rsid w:val="7B2F71A2"/>
    <w:rsid w:val="7B4056A4"/>
    <w:rsid w:val="7B722069"/>
    <w:rsid w:val="7B985B8F"/>
    <w:rsid w:val="7BC24A25"/>
    <w:rsid w:val="7BCB7049"/>
    <w:rsid w:val="7C1750A0"/>
    <w:rsid w:val="7C251E94"/>
    <w:rsid w:val="7C330D65"/>
    <w:rsid w:val="7C592C47"/>
    <w:rsid w:val="7C656269"/>
    <w:rsid w:val="7C8C22AE"/>
    <w:rsid w:val="7CAB4D9F"/>
    <w:rsid w:val="7CBF4EBE"/>
    <w:rsid w:val="7CC85951"/>
    <w:rsid w:val="7CF94473"/>
    <w:rsid w:val="7D032E2D"/>
    <w:rsid w:val="7D0C7BFF"/>
    <w:rsid w:val="7D144545"/>
    <w:rsid w:val="7D3354C1"/>
    <w:rsid w:val="7D4B6BE2"/>
    <w:rsid w:val="7D8446CF"/>
    <w:rsid w:val="7D8D75F7"/>
    <w:rsid w:val="7DB67EA0"/>
    <w:rsid w:val="7DDB7472"/>
    <w:rsid w:val="7DE06ED6"/>
    <w:rsid w:val="7E127936"/>
    <w:rsid w:val="7E2E0971"/>
    <w:rsid w:val="7E374363"/>
    <w:rsid w:val="7E494870"/>
    <w:rsid w:val="7E8933F6"/>
    <w:rsid w:val="7EC3172A"/>
    <w:rsid w:val="7ECE3578"/>
    <w:rsid w:val="7EF265F5"/>
    <w:rsid w:val="7F144E7E"/>
    <w:rsid w:val="7F3948E4"/>
    <w:rsid w:val="7F3A2A76"/>
    <w:rsid w:val="7F52449E"/>
    <w:rsid w:val="7F651B7D"/>
    <w:rsid w:val="7F6C1DC8"/>
    <w:rsid w:val="7F8E2E82"/>
    <w:rsid w:val="7FC655DB"/>
    <w:rsid w:val="7FCB445E"/>
    <w:rsid w:val="7FCB7FB6"/>
    <w:rsid w:val="7FE56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pageBreakBefore/>
      <w:numPr>
        <w:ilvl w:val="0"/>
        <w:numId w:val="1"/>
      </w:numPr>
      <w:adjustRightInd w:val="0"/>
      <w:spacing w:before="340" w:after="330" w:line="900" w:lineRule="exact"/>
      <w:jc w:val="center"/>
      <w:outlineLvl w:val="0"/>
    </w:pPr>
    <w:rPr>
      <w:b/>
      <w:kern w:val="44"/>
      <w:sz w:val="32"/>
      <w:szCs w:val="20"/>
    </w:rPr>
  </w:style>
  <w:style w:type="paragraph" w:styleId="3">
    <w:name w:val="heading 2"/>
    <w:basedOn w:val="1"/>
    <w:next w:val="1"/>
    <w:qFormat/>
    <w:uiPriority w:val="0"/>
    <w:pPr>
      <w:keepNext/>
      <w:keepLines/>
      <w:spacing w:before="260" w:after="260" w:line="800" w:lineRule="exact"/>
      <w:jc w:val="center"/>
      <w:outlineLvl w:val="1"/>
    </w:pPr>
    <w:rPr>
      <w:b/>
      <w:bCs/>
      <w:sz w:val="30"/>
      <w:szCs w:val="32"/>
    </w:rPr>
  </w:style>
  <w:style w:type="paragraph" w:styleId="4">
    <w:name w:val="heading 3"/>
    <w:basedOn w:val="1"/>
    <w:next w:val="1"/>
    <w:link w:val="8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2"/>
      </w:numPr>
      <w:tabs>
        <w:tab w:val="left" w:pos="425"/>
      </w:tabs>
      <w:spacing w:before="280" w:after="290" w:line="376" w:lineRule="auto"/>
      <w:outlineLvl w:val="3"/>
    </w:pPr>
    <w:rPr>
      <w:rFonts w:ascii="Arial" w:hAnsi="Arial" w:eastAsia="黑体"/>
      <w:b/>
      <w:bCs/>
      <w:sz w:val="28"/>
      <w:szCs w:val="28"/>
    </w:rPr>
  </w:style>
  <w:style w:type="paragraph" w:styleId="6">
    <w:name w:val="heading 5"/>
    <w:basedOn w:val="7"/>
    <w:next w:val="8"/>
    <w:qFormat/>
    <w:uiPriority w:val="0"/>
    <w:pPr>
      <w:outlineLvl w:val="4"/>
    </w:pPr>
  </w:style>
  <w:style w:type="paragraph" w:styleId="9">
    <w:name w:val="heading 6"/>
    <w:basedOn w:val="7"/>
    <w:next w:val="8"/>
    <w:qFormat/>
    <w:uiPriority w:val="0"/>
    <w:pPr>
      <w:outlineLvl w:val="5"/>
    </w:pPr>
    <w:rPr>
      <w:i/>
    </w:rPr>
  </w:style>
  <w:style w:type="paragraph" w:styleId="10">
    <w:name w:val="heading 7"/>
    <w:basedOn w:val="7"/>
    <w:next w:val="8"/>
    <w:qFormat/>
    <w:uiPriority w:val="0"/>
    <w:pPr>
      <w:ind w:firstLine="360"/>
      <w:outlineLvl w:val="6"/>
    </w:pPr>
    <w:rPr>
      <w:smallCaps/>
      <w:sz w:val="23"/>
    </w:rPr>
  </w:style>
  <w:style w:type="paragraph" w:styleId="11">
    <w:name w:val="heading 8"/>
    <w:basedOn w:val="7"/>
    <w:next w:val="8"/>
    <w:qFormat/>
    <w:uiPriority w:val="0"/>
    <w:pPr>
      <w:ind w:firstLine="360"/>
      <w:outlineLvl w:val="7"/>
    </w:pPr>
    <w:rPr>
      <w:i/>
    </w:rPr>
  </w:style>
  <w:style w:type="paragraph" w:styleId="12">
    <w:name w:val="heading 9"/>
    <w:basedOn w:val="7"/>
    <w:next w:val="8"/>
    <w:qFormat/>
    <w:uiPriority w:val="0"/>
    <w:pPr>
      <w:outlineLvl w:val="8"/>
    </w:pPr>
  </w:style>
  <w:style w:type="character" w:default="1" w:styleId="74">
    <w:name w:val="Default Paragraph Font"/>
    <w:unhideWhenUsed/>
    <w:qFormat/>
    <w:uiPriority w:val="1"/>
  </w:style>
  <w:style w:type="table" w:default="1" w:styleId="72">
    <w:name w:val="Normal Table"/>
    <w:unhideWhenUsed/>
    <w:qFormat/>
    <w:uiPriority w:val="99"/>
    <w:tblPr>
      <w:tblCellMar>
        <w:top w:w="0" w:type="dxa"/>
        <w:left w:w="108" w:type="dxa"/>
        <w:bottom w:w="0" w:type="dxa"/>
        <w:right w:w="108" w:type="dxa"/>
      </w:tblCellMar>
    </w:tblPr>
  </w:style>
  <w:style w:type="paragraph" w:customStyle="1" w:styleId="7">
    <w:name w:val="Heading Base"/>
    <w:basedOn w:val="8"/>
    <w:next w:val="8"/>
    <w:qFormat/>
    <w:uiPriority w:val="0"/>
    <w:pPr>
      <w:keepNext/>
      <w:keepLines/>
      <w:widowControl/>
      <w:overflowPunct w:val="0"/>
      <w:autoSpaceDE w:val="0"/>
      <w:autoSpaceDN w:val="0"/>
      <w:spacing w:after="0" w:line="240" w:lineRule="atLeast"/>
      <w:jc w:val="left"/>
      <w:textAlignment w:val="baseline"/>
    </w:pPr>
    <w:rPr>
      <w:rFonts w:ascii="Garamond" w:hAnsi="Garamond"/>
      <w:kern w:val="20"/>
      <w:sz w:val="20"/>
    </w:rPr>
  </w:style>
  <w:style w:type="paragraph" w:styleId="8">
    <w:name w:val="Body Text"/>
    <w:basedOn w:val="1"/>
    <w:qFormat/>
    <w:uiPriority w:val="0"/>
    <w:pPr>
      <w:adjustRightInd w:val="0"/>
      <w:spacing w:after="120" w:line="312" w:lineRule="atLeast"/>
    </w:pPr>
    <w:rPr>
      <w:kern w:val="0"/>
      <w:sz w:val="24"/>
      <w:szCs w:val="20"/>
    </w:rPr>
  </w:style>
  <w:style w:type="paragraph" w:styleId="13">
    <w:name w:val="List 3"/>
    <w:basedOn w:val="14"/>
    <w:qFormat/>
    <w:uiPriority w:val="0"/>
    <w:pPr>
      <w:widowControl/>
      <w:overflowPunct w:val="0"/>
      <w:autoSpaceDE w:val="0"/>
      <w:autoSpaceDN w:val="0"/>
      <w:spacing w:after="240" w:line="240" w:lineRule="atLeast"/>
      <w:ind w:left="1440" w:hanging="360"/>
    </w:pPr>
    <w:rPr>
      <w:rFonts w:ascii="Garamond" w:hAnsi="Garamond"/>
      <w:kern w:val="18"/>
      <w:sz w:val="20"/>
    </w:rPr>
  </w:style>
  <w:style w:type="paragraph" w:styleId="14">
    <w:name w:val="List"/>
    <w:basedOn w:val="1"/>
    <w:qFormat/>
    <w:uiPriority w:val="0"/>
    <w:pPr>
      <w:adjustRightInd w:val="0"/>
      <w:spacing w:line="312" w:lineRule="atLeast"/>
      <w:ind w:left="420" w:hanging="420"/>
      <w:textAlignment w:val="baseline"/>
    </w:pPr>
    <w:rPr>
      <w:kern w:val="0"/>
      <w:szCs w:val="20"/>
    </w:rPr>
  </w:style>
  <w:style w:type="paragraph" w:styleId="15">
    <w:name w:val="List Number 2"/>
    <w:basedOn w:val="16"/>
    <w:qFormat/>
    <w:uiPriority w:val="0"/>
    <w:pPr>
      <w:ind w:left="1080"/>
    </w:pPr>
  </w:style>
  <w:style w:type="paragraph" w:styleId="16">
    <w:name w:val="List Number"/>
    <w:basedOn w:val="1"/>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17">
    <w:name w:val="table of authorities"/>
    <w:basedOn w:val="1"/>
    <w:next w:val="1"/>
    <w:unhideWhenUsed/>
    <w:qFormat/>
    <w:uiPriority w:val="99"/>
    <w:pPr>
      <w:ind w:left="420" w:leftChars="200"/>
    </w:pPr>
  </w:style>
  <w:style w:type="paragraph" w:styleId="18">
    <w:name w:val="List Bullet 4"/>
    <w:basedOn w:val="19"/>
    <w:qFormat/>
    <w:uiPriority w:val="0"/>
    <w:pPr>
      <w:ind w:left="1800"/>
    </w:pPr>
  </w:style>
  <w:style w:type="paragraph" w:styleId="19">
    <w:name w:val="List Bullet"/>
    <w:basedOn w:val="14"/>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0">
    <w:name w:val="Normal Indent"/>
    <w:basedOn w:val="1"/>
    <w:next w:val="1"/>
    <w:link w:val="83"/>
    <w:qFormat/>
    <w:uiPriority w:val="0"/>
    <w:pPr>
      <w:ind w:firstLine="420" w:firstLineChars="200"/>
    </w:pPr>
    <w:rPr>
      <w:sz w:val="24"/>
      <w:szCs w:val="20"/>
    </w:rPr>
  </w:style>
  <w:style w:type="paragraph" w:styleId="21">
    <w:name w:val="caption"/>
    <w:basedOn w:val="1"/>
    <w:next w:val="1"/>
    <w:qFormat/>
    <w:uiPriority w:val="0"/>
    <w:rPr>
      <w:i/>
      <w:spacing w:val="5"/>
    </w:rPr>
  </w:style>
  <w:style w:type="paragraph" w:styleId="22">
    <w:name w:val="envelope address"/>
    <w:basedOn w:val="8"/>
    <w:qFormat/>
    <w:uiPriority w:val="0"/>
    <w:pPr>
      <w:framePr w:w="7920" w:h="1987" w:hRule="exact" w:hSpace="187" w:vSpace="187" w:wrap="around" w:vAnchor="margin" w:hAnchor="page" w:xAlign="center" w:yAlign="bottom"/>
      <w:widowControl/>
      <w:overflowPunct w:val="0"/>
      <w:autoSpaceDE w:val="0"/>
      <w:autoSpaceDN w:val="0"/>
      <w:spacing w:after="0" w:line="220" w:lineRule="atLeast"/>
      <w:ind w:left="2880"/>
      <w:jc w:val="left"/>
      <w:textAlignment w:val="baseline"/>
    </w:pPr>
    <w:rPr>
      <w:rFonts w:ascii="Garamond" w:hAnsi="Garamond"/>
      <w:kern w:val="18"/>
      <w:sz w:val="20"/>
    </w:rPr>
  </w:style>
  <w:style w:type="paragraph" w:styleId="23">
    <w:name w:val="Document Map"/>
    <w:basedOn w:val="1"/>
    <w:semiHidden/>
    <w:qFormat/>
    <w:uiPriority w:val="0"/>
    <w:pPr>
      <w:shd w:val="clear" w:color="auto" w:fill="000080"/>
    </w:pPr>
  </w:style>
  <w:style w:type="paragraph" w:styleId="24">
    <w:name w:val="annotation text"/>
    <w:basedOn w:val="1"/>
    <w:link w:val="84"/>
    <w:qFormat/>
    <w:uiPriority w:val="0"/>
    <w:pPr>
      <w:jc w:val="left"/>
    </w:pPr>
  </w:style>
  <w:style w:type="paragraph" w:styleId="25">
    <w:name w:val="index 6"/>
    <w:basedOn w:val="1"/>
    <w:next w:val="1"/>
    <w:qFormat/>
    <w:uiPriority w:val="99"/>
    <w:pPr>
      <w:ind w:left="2100"/>
    </w:pPr>
  </w:style>
  <w:style w:type="paragraph" w:styleId="26">
    <w:name w:val="Salutation"/>
    <w:basedOn w:val="1"/>
    <w:next w:val="1"/>
    <w:qFormat/>
    <w:uiPriority w:val="0"/>
  </w:style>
  <w:style w:type="paragraph" w:styleId="27">
    <w:name w:val="Body Text 3"/>
    <w:basedOn w:val="1"/>
    <w:qFormat/>
    <w:uiPriority w:val="0"/>
    <w:pPr>
      <w:spacing w:after="120"/>
    </w:pPr>
    <w:rPr>
      <w:sz w:val="16"/>
      <w:szCs w:val="16"/>
    </w:rPr>
  </w:style>
  <w:style w:type="paragraph" w:styleId="28">
    <w:name w:val="Closing"/>
    <w:basedOn w:val="8"/>
    <w:next w:val="29"/>
    <w:qFormat/>
    <w:uiPriority w:val="0"/>
    <w:pPr>
      <w:keepNext/>
      <w:widowControl/>
      <w:overflowPunct w:val="0"/>
      <w:autoSpaceDE w:val="0"/>
      <w:autoSpaceDN w:val="0"/>
      <w:spacing w:line="240" w:lineRule="atLeast"/>
      <w:ind w:left="4560"/>
      <w:jc w:val="left"/>
      <w:textAlignment w:val="baseline"/>
    </w:pPr>
    <w:rPr>
      <w:rFonts w:ascii="Garamond" w:hAnsi="Garamond"/>
      <w:kern w:val="18"/>
      <w:sz w:val="20"/>
    </w:rPr>
  </w:style>
  <w:style w:type="paragraph" w:customStyle="1" w:styleId="29">
    <w:name w:val="Signature Company Name"/>
    <w:basedOn w:val="30"/>
    <w:next w:val="31"/>
    <w:qFormat/>
    <w:uiPriority w:val="0"/>
    <w:pPr>
      <w:spacing w:before="0"/>
    </w:pPr>
    <w:rPr>
      <w:caps/>
      <w:sz w:val="21"/>
    </w:rPr>
  </w:style>
  <w:style w:type="paragraph" w:styleId="30">
    <w:name w:val="Signature"/>
    <w:basedOn w:val="8"/>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customStyle="1" w:styleId="31">
    <w:name w:val="Signature Name"/>
    <w:basedOn w:val="30"/>
    <w:next w:val="32"/>
    <w:qFormat/>
    <w:uiPriority w:val="0"/>
    <w:pPr>
      <w:spacing w:before="880"/>
    </w:pPr>
  </w:style>
  <w:style w:type="paragraph" w:customStyle="1" w:styleId="32">
    <w:name w:val="Signature Job Title"/>
    <w:basedOn w:val="30"/>
    <w:next w:val="33"/>
    <w:qFormat/>
    <w:uiPriority w:val="0"/>
    <w:pPr>
      <w:spacing w:before="0"/>
    </w:pPr>
  </w:style>
  <w:style w:type="paragraph" w:customStyle="1" w:styleId="33">
    <w:name w:val="Reference Initials"/>
    <w:basedOn w:val="8"/>
    <w:next w:val="34"/>
    <w:qFormat/>
    <w:uiPriority w:val="0"/>
    <w:pPr>
      <w:keepNext/>
      <w:keepLines/>
      <w:widowControl/>
      <w:overflowPunct w:val="0"/>
      <w:autoSpaceDE w:val="0"/>
      <w:autoSpaceDN w:val="0"/>
      <w:spacing w:before="220" w:after="0" w:line="240" w:lineRule="atLeast"/>
      <w:jc w:val="left"/>
      <w:textAlignment w:val="baseline"/>
    </w:pPr>
    <w:rPr>
      <w:rFonts w:ascii="Garamond" w:hAnsi="Garamond"/>
      <w:kern w:val="18"/>
      <w:sz w:val="20"/>
    </w:rPr>
  </w:style>
  <w:style w:type="paragraph" w:customStyle="1" w:styleId="34">
    <w:name w:val="Enclosure"/>
    <w:basedOn w:val="8"/>
    <w:next w:val="35"/>
    <w:qFormat/>
    <w:uiPriority w:val="0"/>
    <w:pPr>
      <w:keepNext/>
      <w:keepLines/>
      <w:widowControl/>
      <w:overflowPunct w:val="0"/>
      <w:autoSpaceDE w:val="0"/>
      <w:autoSpaceDN w:val="0"/>
      <w:spacing w:after="240" w:line="240" w:lineRule="atLeast"/>
      <w:textAlignment w:val="baseline"/>
    </w:pPr>
    <w:rPr>
      <w:rFonts w:ascii="Garamond" w:hAnsi="Garamond"/>
      <w:kern w:val="18"/>
      <w:sz w:val="20"/>
    </w:rPr>
  </w:style>
  <w:style w:type="paragraph" w:customStyle="1" w:styleId="35">
    <w:name w:val="CC"/>
    <w:basedOn w:val="8"/>
    <w:qFormat/>
    <w:uiPriority w:val="0"/>
    <w:pPr>
      <w:keepLines/>
      <w:widowControl/>
      <w:overflowPunct w:val="0"/>
      <w:autoSpaceDE w:val="0"/>
      <w:autoSpaceDN w:val="0"/>
      <w:spacing w:after="240" w:line="240" w:lineRule="atLeast"/>
      <w:ind w:left="360" w:hanging="360"/>
      <w:jc w:val="left"/>
      <w:textAlignment w:val="baseline"/>
    </w:pPr>
    <w:rPr>
      <w:rFonts w:ascii="Garamond" w:hAnsi="Garamond"/>
      <w:kern w:val="18"/>
      <w:sz w:val="20"/>
    </w:rPr>
  </w:style>
  <w:style w:type="paragraph" w:styleId="36">
    <w:name w:val="List Bullet 3"/>
    <w:basedOn w:val="19"/>
    <w:qFormat/>
    <w:uiPriority w:val="0"/>
    <w:pPr>
      <w:ind w:left="1440"/>
    </w:pPr>
  </w:style>
  <w:style w:type="paragraph" w:styleId="37">
    <w:name w:val="Body Text Indent"/>
    <w:basedOn w:val="1"/>
    <w:qFormat/>
    <w:uiPriority w:val="0"/>
    <w:pPr>
      <w:spacing w:after="120"/>
      <w:ind w:left="420" w:leftChars="200"/>
    </w:pPr>
  </w:style>
  <w:style w:type="paragraph" w:styleId="38">
    <w:name w:val="List Number 3"/>
    <w:basedOn w:val="16"/>
    <w:qFormat/>
    <w:uiPriority w:val="0"/>
    <w:pPr>
      <w:ind w:left="1440"/>
    </w:pPr>
  </w:style>
  <w:style w:type="paragraph" w:styleId="39">
    <w:name w:val="List 2"/>
    <w:basedOn w:val="14"/>
    <w:qFormat/>
    <w:uiPriority w:val="0"/>
    <w:pPr>
      <w:widowControl/>
      <w:overflowPunct w:val="0"/>
      <w:autoSpaceDE w:val="0"/>
      <w:autoSpaceDN w:val="0"/>
      <w:spacing w:after="240" w:line="240" w:lineRule="atLeast"/>
      <w:ind w:left="1080" w:hanging="360"/>
    </w:pPr>
    <w:rPr>
      <w:rFonts w:ascii="Garamond" w:hAnsi="Garamond"/>
      <w:kern w:val="18"/>
      <w:sz w:val="20"/>
    </w:rPr>
  </w:style>
  <w:style w:type="paragraph" w:styleId="40">
    <w:name w:val="List Continue"/>
    <w:basedOn w:val="14"/>
    <w:qFormat/>
    <w:uiPriority w:val="0"/>
    <w:pPr>
      <w:widowControl/>
      <w:overflowPunct w:val="0"/>
      <w:autoSpaceDE w:val="0"/>
      <w:autoSpaceDN w:val="0"/>
      <w:spacing w:after="240" w:line="240" w:lineRule="atLeast"/>
      <w:ind w:left="720" w:right="720" w:firstLine="0"/>
    </w:pPr>
    <w:rPr>
      <w:rFonts w:ascii="Garamond" w:hAnsi="Garamond"/>
      <w:kern w:val="18"/>
      <w:sz w:val="20"/>
    </w:rPr>
  </w:style>
  <w:style w:type="paragraph" w:styleId="41">
    <w:name w:val="Block Text"/>
    <w:basedOn w:val="1"/>
    <w:qFormat/>
    <w:uiPriority w:val="0"/>
    <w:pPr>
      <w:adjustRightInd w:val="0"/>
      <w:spacing w:line="312" w:lineRule="atLeast"/>
      <w:ind w:left="113" w:right="113"/>
      <w:jc w:val="center"/>
      <w:textAlignment w:val="baseline"/>
    </w:pPr>
    <w:rPr>
      <w:rFonts w:eastAsia="隶书"/>
      <w:kern w:val="0"/>
      <w:sz w:val="28"/>
      <w:szCs w:val="20"/>
    </w:rPr>
  </w:style>
  <w:style w:type="paragraph" w:styleId="42">
    <w:name w:val="List Bullet 2"/>
    <w:basedOn w:val="19"/>
    <w:qFormat/>
    <w:uiPriority w:val="0"/>
    <w:pPr>
      <w:ind w:left="1080"/>
    </w:pPr>
  </w:style>
  <w:style w:type="paragraph" w:styleId="43">
    <w:name w:val="toc 3"/>
    <w:basedOn w:val="1"/>
    <w:next w:val="1"/>
    <w:semiHidden/>
    <w:qFormat/>
    <w:uiPriority w:val="0"/>
    <w:pPr>
      <w:ind w:left="840" w:leftChars="400"/>
    </w:pPr>
  </w:style>
  <w:style w:type="paragraph" w:styleId="44">
    <w:name w:val="Plain Text"/>
    <w:basedOn w:val="1"/>
    <w:link w:val="85"/>
    <w:qFormat/>
    <w:uiPriority w:val="0"/>
    <w:rPr>
      <w:rFonts w:ascii="宋体" w:hAnsi="Courier New" w:cs="Courier New"/>
      <w:szCs w:val="21"/>
    </w:rPr>
  </w:style>
  <w:style w:type="paragraph" w:styleId="45">
    <w:name w:val="List Bullet 5"/>
    <w:basedOn w:val="19"/>
    <w:qFormat/>
    <w:uiPriority w:val="0"/>
    <w:pPr>
      <w:ind w:left="2160"/>
    </w:pPr>
  </w:style>
  <w:style w:type="paragraph" w:styleId="46">
    <w:name w:val="List Number 4"/>
    <w:basedOn w:val="16"/>
    <w:qFormat/>
    <w:uiPriority w:val="0"/>
    <w:pPr>
      <w:ind w:left="1800"/>
    </w:pPr>
  </w:style>
  <w:style w:type="paragraph" w:styleId="47">
    <w:name w:val="Date"/>
    <w:basedOn w:val="1"/>
    <w:next w:val="1"/>
    <w:link w:val="86"/>
    <w:qFormat/>
    <w:uiPriority w:val="0"/>
    <w:pPr>
      <w:ind w:left="100" w:leftChars="2500"/>
    </w:pPr>
    <w:rPr>
      <w:b/>
      <w:spacing w:val="40"/>
      <w:sz w:val="44"/>
      <w:szCs w:val="44"/>
    </w:rPr>
  </w:style>
  <w:style w:type="paragraph" w:styleId="48">
    <w:name w:val="Body Text Indent 2"/>
    <w:basedOn w:val="1"/>
    <w:qFormat/>
    <w:uiPriority w:val="0"/>
    <w:pPr>
      <w:spacing w:after="120" w:line="480" w:lineRule="auto"/>
      <w:ind w:left="420" w:leftChars="200"/>
    </w:pPr>
  </w:style>
  <w:style w:type="paragraph" w:styleId="49">
    <w:name w:val="List Continue 5"/>
    <w:basedOn w:val="40"/>
    <w:qFormat/>
    <w:uiPriority w:val="0"/>
    <w:pPr>
      <w:ind w:left="2160"/>
    </w:pPr>
  </w:style>
  <w:style w:type="paragraph" w:styleId="50">
    <w:name w:val="Balloon Text"/>
    <w:basedOn w:val="1"/>
    <w:semiHidden/>
    <w:qFormat/>
    <w:uiPriority w:val="0"/>
    <w:rPr>
      <w:sz w:val="18"/>
      <w:szCs w:val="18"/>
    </w:rPr>
  </w:style>
  <w:style w:type="paragraph" w:styleId="51">
    <w:name w:val="footer"/>
    <w:basedOn w:val="1"/>
    <w:link w:val="87"/>
    <w:qFormat/>
    <w:uiPriority w:val="99"/>
    <w:pPr>
      <w:tabs>
        <w:tab w:val="center" w:pos="4153"/>
        <w:tab w:val="right" w:pos="8306"/>
      </w:tabs>
      <w:snapToGrid w:val="0"/>
      <w:jc w:val="left"/>
    </w:pPr>
    <w:rPr>
      <w:sz w:val="18"/>
      <w:szCs w:val="18"/>
    </w:rPr>
  </w:style>
  <w:style w:type="paragraph" w:styleId="52">
    <w:name w:val="envelope return"/>
    <w:basedOn w:val="8"/>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5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4">
    <w:name w:val="toc 1"/>
    <w:basedOn w:val="1"/>
    <w:next w:val="1"/>
    <w:semiHidden/>
    <w:qFormat/>
    <w:uiPriority w:val="0"/>
  </w:style>
  <w:style w:type="paragraph" w:styleId="55">
    <w:name w:val="List Continue 4"/>
    <w:basedOn w:val="40"/>
    <w:qFormat/>
    <w:uiPriority w:val="0"/>
    <w:pPr>
      <w:ind w:left="1800"/>
    </w:pPr>
  </w:style>
  <w:style w:type="paragraph" w:styleId="56">
    <w:name w:val="index heading"/>
    <w:basedOn w:val="1"/>
    <w:next w:val="57"/>
    <w:qFormat/>
    <w:uiPriority w:val="0"/>
  </w:style>
  <w:style w:type="paragraph" w:styleId="57">
    <w:name w:val="index 1"/>
    <w:basedOn w:val="1"/>
    <w:next w:val="1"/>
    <w:qFormat/>
    <w:uiPriority w:val="0"/>
    <w:pPr>
      <w:spacing w:line="240" w:lineRule="auto"/>
      <w:ind w:left="0" w:right="0" w:firstLine="0" w:firstLineChars="0"/>
    </w:pPr>
    <w:rPr>
      <w:rFonts w:ascii="Calibri" w:hAnsi="Calibri" w:cs="Calibri"/>
      <w:szCs w:val="21"/>
    </w:rPr>
  </w:style>
  <w:style w:type="paragraph" w:styleId="58">
    <w:name w:val="List Number 5"/>
    <w:basedOn w:val="16"/>
    <w:qFormat/>
    <w:uiPriority w:val="0"/>
    <w:pPr>
      <w:ind w:left="2160"/>
    </w:pPr>
  </w:style>
  <w:style w:type="paragraph" w:styleId="59">
    <w:name w:val="footnote text"/>
    <w:basedOn w:val="1"/>
    <w:qFormat/>
    <w:uiPriority w:val="99"/>
    <w:pPr>
      <w:adjustRightInd w:val="0"/>
      <w:spacing w:line="312" w:lineRule="atLeast"/>
      <w:jc w:val="left"/>
      <w:textAlignment w:val="baseline"/>
    </w:pPr>
    <w:rPr>
      <w:kern w:val="0"/>
      <w:sz w:val="18"/>
      <w:szCs w:val="20"/>
    </w:rPr>
  </w:style>
  <w:style w:type="paragraph" w:styleId="60">
    <w:name w:val="toc 6"/>
    <w:basedOn w:val="1"/>
    <w:next w:val="1"/>
    <w:qFormat/>
    <w:uiPriority w:val="0"/>
    <w:pPr>
      <w:ind w:left="1400"/>
    </w:pPr>
    <w:rPr>
      <w:rFonts w:ascii="Calibri"/>
      <w:sz w:val="18"/>
      <w:szCs w:val="18"/>
    </w:rPr>
  </w:style>
  <w:style w:type="paragraph" w:styleId="61">
    <w:name w:val="List 5"/>
    <w:basedOn w:val="14"/>
    <w:qFormat/>
    <w:uiPriority w:val="0"/>
    <w:pPr>
      <w:widowControl/>
      <w:overflowPunct w:val="0"/>
      <w:autoSpaceDE w:val="0"/>
      <w:autoSpaceDN w:val="0"/>
      <w:spacing w:after="240" w:line="240" w:lineRule="atLeast"/>
      <w:ind w:left="2160" w:hanging="360"/>
    </w:pPr>
    <w:rPr>
      <w:rFonts w:ascii="Garamond" w:hAnsi="Garamond"/>
      <w:kern w:val="18"/>
      <w:sz w:val="20"/>
    </w:rPr>
  </w:style>
  <w:style w:type="paragraph" w:styleId="62">
    <w:name w:val="Body Text Indent 3"/>
    <w:basedOn w:val="1"/>
    <w:qFormat/>
    <w:uiPriority w:val="0"/>
    <w:pPr>
      <w:spacing w:after="120"/>
      <w:ind w:left="420" w:leftChars="200"/>
    </w:pPr>
    <w:rPr>
      <w:sz w:val="16"/>
      <w:szCs w:val="16"/>
    </w:rPr>
  </w:style>
  <w:style w:type="paragraph" w:styleId="63">
    <w:name w:val="toc 2"/>
    <w:basedOn w:val="1"/>
    <w:next w:val="1"/>
    <w:semiHidden/>
    <w:qFormat/>
    <w:uiPriority w:val="0"/>
    <w:pPr>
      <w:ind w:left="420" w:leftChars="200"/>
    </w:pPr>
  </w:style>
  <w:style w:type="paragraph" w:styleId="64">
    <w:name w:val="Body Text 2"/>
    <w:basedOn w:val="1"/>
    <w:qFormat/>
    <w:uiPriority w:val="0"/>
    <w:pPr>
      <w:spacing w:after="120" w:line="480" w:lineRule="auto"/>
    </w:pPr>
  </w:style>
  <w:style w:type="paragraph" w:styleId="65">
    <w:name w:val="List 4"/>
    <w:basedOn w:val="14"/>
    <w:qFormat/>
    <w:uiPriority w:val="0"/>
    <w:pPr>
      <w:widowControl/>
      <w:overflowPunct w:val="0"/>
      <w:autoSpaceDE w:val="0"/>
      <w:autoSpaceDN w:val="0"/>
      <w:spacing w:after="240" w:line="240" w:lineRule="atLeast"/>
      <w:ind w:left="1800" w:hanging="360"/>
    </w:pPr>
    <w:rPr>
      <w:rFonts w:ascii="Garamond" w:hAnsi="Garamond"/>
      <w:kern w:val="18"/>
      <w:sz w:val="20"/>
    </w:rPr>
  </w:style>
  <w:style w:type="paragraph" w:styleId="66">
    <w:name w:val="List Continue 2"/>
    <w:basedOn w:val="40"/>
    <w:qFormat/>
    <w:uiPriority w:val="0"/>
    <w:pPr>
      <w:ind w:left="1080"/>
    </w:pPr>
  </w:style>
  <w:style w:type="paragraph" w:styleId="6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8">
    <w:name w:val="List Continue 3"/>
    <w:basedOn w:val="40"/>
    <w:qFormat/>
    <w:uiPriority w:val="0"/>
    <w:pPr>
      <w:ind w:left="1440"/>
    </w:pPr>
  </w:style>
  <w:style w:type="paragraph" w:styleId="69">
    <w:name w:val="annotation subject"/>
    <w:basedOn w:val="24"/>
    <w:next w:val="24"/>
    <w:link w:val="88"/>
    <w:qFormat/>
    <w:uiPriority w:val="0"/>
    <w:rPr>
      <w:b/>
      <w:bCs/>
    </w:rPr>
  </w:style>
  <w:style w:type="paragraph" w:styleId="70">
    <w:name w:val="Body Text First Indent"/>
    <w:basedOn w:val="8"/>
    <w:next w:val="60"/>
    <w:qFormat/>
    <w:uiPriority w:val="0"/>
    <w:pPr>
      <w:adjustRightInd/>
      <w:spacing w:line="240" w:lineRule="auto"/>
      <w:ind w:firstLine="420" w:firstLineChars="100"/>
    </w:pPr>
    <w:rPr>
      <w:kern w:val="2"/>
      <w:sz w:val="21"/>
      <w:szCs w:val="24"/>
    </w:rPr>
  </w:style>
  <w:style w:type="paragraph" w:styleId="71">
    <w:name w:val="Body Text First Indent 2"/>
    <w:basedOn w:val="37"/>
    <w:qFormat/>
    <w:uiPriority w:val="0"/>
    <w:pPr>
      <w:ind w:firstLine="420" w:firstLineChars="200"/>
    </w:p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basedOn w:val="74"/>
    <w:qFormat/>
    <w:uiPriority w:val="0"/>
    <w:rPr>
      <w:b/>
    </w:rPr>
  </w:style>
  <w:style w:type="character" w:styleId="76">
    <w:name w:val="page number"/>
    <w:basedOn w:val="74"/>
    <w:qFormat/>
    <w:uiPriority w:val="0"/>
  </w:style>
  <w:style w:type="character" w:styleId="77">
    <w:name w:val="Emphasis"/>
    <w:qFormat/>
    <w:uiPriority w:val="0"/>
    <w:rPr>
      <w:caps/>
      <w:sz w:val="18"/>
    </w:rPr>
  </w:style>
  <w:style w:type="character" w:styleId="78">
    <w:name w:val="line number"/>
    <w:qFormat/>
    <w:uiPriority w:val="0"/>
    <w:rPr>
      <w:rFonts w:ascii="Garamond" w:hAnsi="Garamond"/>
      <w:sz w:val="21"/>
    </w:rPr>
  </w:style>
  <w:style w:type="character" w:styleId="79">
    <w:name w:val="Hyperlink"/>
    <w:qFormat/>
    <w:uiPriority w:val="0"/>
    <w:rPr>
      <w:color w:val="0000FF"/>
      <w:u w:val="single"/>
    </w:rPr>
  </w:style>
  <w:style w:type="character" w:styleId="80">
    <w:name w:val="annotation reference"/>
    <w:qFormat/>
    <w:uiPriority w:val="0"/>
    <w:rPr>
      <w:sz w:val="21"/>
      <w:szCs w:val="21"/>
    </w:rPr>
  </w:style>
  <w:style w:type="character" w:customStyle="1" w:styleId="81">
    <w:name w:val="标题 1 Char"/>
    <w:link w:val="2"/>
    <w:qFormat/>
    <w:uiPriority w:val="0"/>
    <w:rPr>
      <w:rFonts w:ascii="Times New Roman" w:hAnsi="Times New Roman"/>
      <w:b/>
      <w:kern w:val="44"/>
      <w:sz w:val="32"/>
    </w:rPr>
  </w:style>
  <w:style w:type="character" w:customStyle="1" w:styleId="82">
    <w:name w:val="标题 3 字符"/>
    <w:basedOn w:val="74"/>
    <w:link w:val="4"/>
    <w:qFormat/>
    <w:uiPriority w:val="0"/>
    <w:rPr>
      <w:b/>
      <w:bCs/>
      <w:sz w:val="32"/>
      <w:szCs w:val="32"/>
    </w:rPr>
  </w:style>
  <w:style w:type="character" w:customStyle="1" w:styleId="83">
    <w:name w:val="正文缩进 Char"/>
    <w:link w:val="20"/>
    <w:qFormat/>
    <w:locked/>
    <w:uiPriority w:val="0"/>
    <w:rPr>
      <w:rFonts w:eastAsia="宋体"/>
      <w:kern w:val="2"/>
      <w:sz w:val="24"/>
      <w:lang w:val="en-US" w:eastAsia="zh-CN" w:bidi="ar-SA"/>
    </w:rPr>
  </w:style>
  <w:style w:type="character" w:customStyle="1" w:styleId="84">
    <w:name w:val="批注文字 Char"/>
    <w:link w:val="24"/>
    <w:qFormat/>
    <w:uiPriority w:val="0"/>
    <w:rPr>
      <w:kern w:val="2"/>
      <w:sz w:val="21"/>
      <w:szCs w:val="24"/>
    </w:rPr>
  </w:style>
  <w:style w:type="character" w:customStyle="1" w:styleId="85">
    <w:name w:val="纯文本 Char1"/>
    <w:link w:val="44"/>
    <w:qFormat/>
    <w:uiPriority w:val="0"/>
    <w:rPr>
      <w:rFonts w:ascii="宋体" w:hAnsi="Courier New" w:eastAsia="宋体" w:cs="Courier New"/>
      <w:kern w:val="2"/>
      <w:sz w:val="21"/>
      <w:szCs w:val="21"/>
      <w:lang w:val="en-US" w:eastAsia="zh-CN" w:bidi="ar-SA"/>
    </w:rPr>
  </w:style>
  <w:style w:type="character" w:customStyle="1" w:styleId="86">
    <w:name w:val="日期 Char"/>
    <w:link w:val="47"/>
    <w:qFormat/>
    <w:uiPriority w:val="0"/>
    <w:rPr>
      <w:rFonts w:eastAsia="宋体"/>
      <w:b/>
      <w:spacing w:val="40"/>
      <w:kern w:val="2"/>
      <w:sz w:val="44"/>
      <w:szCs w:val="44"/>
      <w:lang w:val="en-US" w:eastAsia="zh-CN" w:bidi="ar-SA"/>
    </w:rPr>
  </w:style>
  <w:style w:type="character" w:customStyle="1" w:styleId="87">
    <w:name w:val="页脚 Char"/>
    <w:link w:val="51"/>
    <w:qFormat/>
    <w:uiPriority w:val="99"/>
    <w:rPr>
      <w:kern w:val="2"/>
      <w:sz w:val="18"/>
      <w:szCs w:val="18"/>
    </w:rPr>
  </w:style>
  <w:style w:type="character" w:customStyle="1" w:styleId="88">
    <w:name w:val="批注主题 Char"/>
    <w:link w:val="69"/>
    <w:qFormat/>
    <w:uiPriority w:val="0"/>
    <w:rPr>
      <w:b/>
      <w:bCs/>
      <w:kern w:val="2"/>
      <w:sz w:val="21"/>
      <w:szCs w:val="24"/>
    </w:rPr>
  </w:style>
  <w:style w:type="paragraph" w:customStyle="1" w:styleId="89">
    <w:name w:val="样式 宋体 行距: 1.5 倍行距"/>
    <w:basedOn w:val="1"/>
    <w:qFormat/>
    <w:uiPriority w:val="0"/>
    <w:pPr>
      <w:jc w:val="center"/>
    </w:pPr>
    <w:rPr>
      <w:b/>
      <w:bCs/>
    </w:rPr>
  </w:style>
  <w:style w:type="paragraph" w:customStyle="1" w:styleId="90">
    <w:name w:val="正"/>
    <w:basedOn w:val="91"/>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91">
    <w:name w:val="正文_1"/>
    <w:next w:val="90"/>
    <w:qFormat/>
    <w:uiPriority w:val="0"/>
    <w:pPr>
      <w:widowControl w:val="0"/>
      <w:suppressAutoHyphens/>
      <w:jc w:val="both"/>
    </w:pPr>
    <w:rPr>
      <w:rFonts w:ascii="Calibri" w:hAnsi="Calibri" w:eastAsia="宋体;SimSun" w:cs="Calibri"/>
      <w:kern w:val="2"/>
      <w:sz w:val="21"/>
      <w:szCs w:val="21"/>
      <w:lang w:val="en-US" w:eastAsia="zh-CN" w:bidi="ar-SA"/>
    </w:rPr>
  </w:style>
  <w:style w:type="character" w:customStyle="1" w:styleId="9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3">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Char1 Char Char Char Char"/>
    <w:basedOn w:val="1"/>
    <w:qFormat/>
    <w:uiPriority w:val="0"/>
  </w:style>
  <w:style w:type="paragraph" w:customStyle="1" w:styleId="95">
    <w:name w:val="Picture"/>
    <w:basedOn w:val="1"/>
    <w:next w:val="21"/>
    <w:qFormat/>
    <w:uiPriority w:val="0"/>
    <w:pPr>
      <w:keepNext/>
      <w:widowControl/>
      <w:overflowPunct w:val="0"/>
      <w:autoSpaceDE w:val="0"/>
      <w:autoSpaceDN w:val="0"/>
      <w:adjustRightInd w:val="0"/>
      <w:textAlignment w:val="baseline"/>
    </w:pPr>
    <w:rPr>
      <w:rFonts w:ascii="Garamond" w:hAnsi="Garamond"/>
      <w:kern w:val="18"/>
      <w:sz w:val="20"/>
      <w:szCs w:val="20"/>
    </w:rPr>
  </w:style>
  <w:style w:type="paragraph" w:customStyle="1" w:styleId="96">
    <w:name w:val="段"/>
    <w:next w:val="1"/>
    <w:link w:val="97"/>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character" w:customStyle="1" w:styleId="97">
    <w:name w:val="段 Char"/>
    <w:link w:val="96"/>
    <w:qFormat/>
    <w:uiPriority w:val="0"/>
    <w:rPr>
      <w:rFonts w:ascii="宋体"/>
      <w:sz w:val="21"/>
      <w:lang w:val="en-US" w:eastAsia="zh-CN" w:bidi="ar-SA"/>
    </w:rPr>
  </w:style>
  <w:style w:type="paragraph" w:customStyle="1" w:styleId="98">
    <w:name w:val="标题 3 + 宋体"/>
    <w:basedOn w:val="3"/>
    <w:qFormat/>
    <w:uiPriority w:val="0"/>
    <w:pPr>
      <w:spacing w:beforeLines="50" w:afterLines="50" w:line="416" w:lineRule="auto"/>
      <w:jc w:val="both"/>
    </w:pPr>
    <w:rPr>
      <w:rFonts w:ascii="宋体" w:hAnsi="宋体" w:cs="Arial"/>
      <w:kern w:val="0"/>
      <w:sz w:val="28"/>
    </w:rPr>
  </w:style>
  <w:style w:type="paragraph" w:customStyle="1" w:styleId="99">
    <w:name w:val="Header First"/>
    <w:basedOn w:val="53"/>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880" w:line="240" w:lineRule="atLeast"/>
      <w:jc w:val="left"/>
      <w:textAlignment w:val="baseline"/>
    </w:pPr>
    <w:rPr>
      <w:rFonts w:ascii="Garamond" w:hAnsi="Garamond"/>
      <w:smallCaps/>
      <w:kern w:val="18"/>
      <w:sz w:val="20"/>
      <w:szCs w:val="20"/>
    </w:rPr>
  </w:style>
  <w:style w:type="paragraph" w:customStyle="1" w:styleId="100">
    <w:name w:val="列出段落21"/>
    <w:basedOn w:val="1"/>
    <w:qFormat/>
    <w:uiPriority w:val="0"/>
    <w:pPr>
      <w:spacing w:line="240" w:lineRule="auto"/>
      <w:ind w:left="0" w:right="0" w:firstLine="420" w:firstLineChars="200"/>
    </w:pPr>
    <w:rPr>
      <w:rFonts w:ascii="Calibri" w:hAnsi="Calibri"/>
      <w:szCs w:val="21"/>
    </w:rPr>
  </w:style>
  <w:style w:type="paragraph" w:customStyle="1" w:styleId="101">
    <w:name w:val="_Style 35"/>
    <w:basedOn w:val="1"/>
    <w:qFormat/>
    <w:uiPriority w:val="0"/>
    <w:pPr>
      <w:widowControl/>
      <w:spacing w:after="160" w:line="240" w:lineRule="exact"/>
      <w:jc w:val="left"/>
    </w:pPr>
    <w:rPr>
      <w:szCs w:val="20"/>
    </w:rPr>
  </w:style>
  <w:style w:type="paragraph" w:customStyle="1" w:styleId="10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Attention Line"/>
    <w:basedOn w:val="1"/>
    <w:next w:val="26"/>
    <w:qFormat/>
    <w:uiPriority w:val="0"/>
    <w:pPr>
      <w:widowControl/>
      <w:spacing w:before="220"/>
      <w:ind w:left="840" w:right="-360"/>
      <w:jc w:val="left"/>
    </w:pPr>
    <w:rPr>
      <w:rFonts w:eastAsia="Times New Roman"/>
      <w:kern w:val="0"/>
      <w:sz w:val="20"/>
      <w:szCs w:val="20"/>
      <w:lang w:eastAsia="en-US"/>
    </w:rPr>
  </w:style>
  <w:style w:type="paragraph" w:customStyle="1" w:styleId="105">
    <w:name w:val="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6">
    <w:name w:val="Block Quotation"/>
    <w:basedOn w:val="8"/>
    <w:qFormat/>
    <w:uiPriority w:val="0"/>
    <w:pPr>
      <w:keepLines/>
      <w:widowControl/>
      <w:overflowPunct w:val="0"/>
      <w:autoSpaceDE w:val="0"/>
      <w:autoSpaceDN w:val="0"/>
      <w:spacing w:after="240" w:line="240" w:lineRule="atLeast"/>
      <w:ind w:left="720" w:right="720" w:firstLine="360"/>
      <w:textAlignment w:val="baseline"/>
    </w:pPr>
    <w:rPr>
      <w:rFonts w:ascii="Garamond" w:hAnsi="Garamond"/>
      <w:kern w:val="18"/>
      <w:sz w:val="20"/>
    </w:rPr>
  </w:style>
  <w:style w:type="paragraph" w:customStyle="1" w:styleId="107">
    <w:name w:val="默认段落字体 Para Char Char Char Char Char Char Char"/>
    <w:basedOn w:val="1"/>
    <w:qFormat/>
    <w:uiPriority w:val="0"/>
    <w:rPr>
      <w:rFonts w:ascii="Tahoma" w:hAnsi="Tahoma"/>
      <w:sz w:val="24"/>
      <w:szCs w:val="20"/>
    </w:rPr>
  </w:style>
  <w:style w:type="paragraph" w:customStyle="1" w:styleId="108">
    <w:name w:val="Company Name"/>
    <w:basedOn w:val="8"/>
    <w:next w:val="8"/>
    <w:qFormat/>
    <w:uiPriority w:val="0"/>
    <w:pPr>
      <w:keepLines/>
      <w:framePr w:w="8640" w:h="1440" w:wrap="notBeside" w:vAnchor="page" w:hAnchor="margin" w:xAlign="center" w:y="889"/>
      <w:widowControl/>
      <w:overflowPunct w:val="0"/>
      <w:autoSpaceDE w:val="0"/>
      <w:autoSpaceDN w:val="0"/>
      <w:spacing w:after="40" w:line="240" w:lineRule="atLeast"/>
      <w:jc w:val="center"/>
      <w:textAlignment w:val="baseline"/>
    </w:pPr>
    <w:rPr>
      <w:rFonts w:ascii="Garamond" w:hAnsi="Garamond"/>
      <w:caps/>
      <w:spacing w:val="75"/>
      <w:kern w:val="18"/>
      <w:sz w:val="21"/>
    </w:rPr>
  </w:style>
  <w:style w:type="paragraph" w:customStyle="1" w:styleId="109">
    <w:name w:val="Char1 Char Char Char Char2"/>
    <w:basedOn w:val="1"/>
    <w:qFormat/>
    <w:uiPriority w:val="0"/>
    <w:pPr>
      <w:spacing w:line="240" w:lineRule="auto"/>
      <w:ind w:left="0" w:right="0" w:firstLine="0" w:firstLineChars="0"/>
    </w:pPr>
    <w:rPr>
      <w:szCs w:val="20"/>
    </w:rPr>
  </w:style>
  <w:style w:type="paragraph" w:customStyle="1" w:styleId="110">
    <w:name w:val="Char Char3"/>
    <w:basedOn w:val="1"/>
    <w:qFormat/>
    <w:uiPriority w:val="0"/>
  </w:style>
  <w:style w:type="paragraph" w:customStyle="1" w:styleId="111">
    <w:name w:val="Char Char1 Char"/>
    <w:basedOn w:val="1"/>
    <w:qFormat/>
    <w:uiPriority w:val="0"/>
  </w:style>
  <w:style w:type="paragraph" w:customStyle="1" w:styleId="112">
    <w:name w:val="标题1"/>
    <w:basedOn w:val="1"/>
    <w:qFormat/>
    <w:uiPriority w:val="0"/>
    <w:pPr>
      <w:widowControl/>
      <w:jc w:val="center"/>
    </w:pPr>
    <w:rPr>
      <w:rFonts w:ascii="黑体" w:eastAsia="黑体"/>
      <w:b/>
      <w:kern w:val="0"/>
      <w:sz w:val="44"/>
      <w:szCs w:val="20"/>
    </w:rPr>
  </w:style>
  <w:style w:type="paragraph" w:customStyle="1" w:styleId="113">
    <w:name w:val="Char Char Char Char Char Char1"/>
    <w:basedOn w:val="1"/>
    <w:qFormat/>
    <w:uiPriority w:val="0"/>
    <w:rPr>
      <w:rFonts w:ascii="Tahoma" w:hAnsi="Tahoma"/>
      <w:sz w:val="24"/>
      <w:szCs w:val="20"/>
    </w:rPr>
  </w:style>
  <w:style w:type="paragraph" w:customStyle="1" w:styleId="114">
    <w:name w:val="Subject Line"/>
    <w:basedOn w:val="8"/>
    <w:next w:val="8"/>
    <w:qFormat/>
    <w:uiPriority w:val="0"/>
    <w:pPr>
      <w:widowControl/>
      <w:overflowPunct w:val="0"/>
      <w:autoSpaceDE w:val="0"/>
      <w:autoSpaceDN w:val="0"/>
      <w:spacing w:after="180" w:line="240" w:lineRule="atLeast"/>
      <w:ind w:left="360" w:hanging="360"/>
      <w:jc w:val="left"/>
      <w:textAlignment w:val="baseline"/>
    </w:pPr>
    <w:rPr>
      <w:rFonts w:ascii="Garamond" w:hAnsi="Garamond"/>
      <w:caps/>
      <w:kern w:val="18"/>
      <w:sz w:val="21"/>
    </w:rPr>
  </w:style>
  <w:style w:type="paragraph" w:customStyle="1" w:styleId="115">
    <w:name w:val="xl31"/>
    <w:basedOn w:val="1"/>
    <w:qFormat/>
    <w:uiPriority w:val="0"/>
    <w:pPr>
      <w:widowControl/>
      <w:spacing w:before="100" w:beforeAutospacing="1" w:after="100" w:afterAutospacing="1"/>
      <w:jc w:val="center"/>
    </w:pPr>
    <w:rPr>
      <w:kern w:val="0"/>
      <w:sz w:val="36"/>
      <w:szCs w:val="36"/>
    </w:rPr>
  </w:style>
  <w:style w:type="paragraph" w:customStyle="1" w:styleId="116">
    <w:name w:val="Char Char Char"/>
    <w:basedOn w:val="1"/>
    <w:qFormat/>
    <w:uiPriority w:val="0"/>
    <w:rPr>
      <w:rFonts w:ascii="Tahoma" w:hAnsi="Tahoma"/>
      <w:sz w:val="24"/>
      <w:szCs w:val="20"/>
    </w:rPr>
  </w:style>
  <w:style w:type="paragraph" w:customStyle="1" w:styleId="117">
    <w:name w:val="Inside Address"/>
    <w:basedOn w:val="8"/>
    <w:qFormat/>
    <w:uiPriority w:val="0"/>
    <w:pPr>
      <w:widowControl/>
      <w:overflowPunct w:val="0"/>
      <w:autoSpaceDE w:val="0"/>
      <w:autoSpaceDN w:val="0"/>
      <w:spacing w:after="0" w:line="240" w:lineRule="atLeast"/>
      <w:jc w:val="left"/>
      <w:textAlignment w:val="baseline"/>
    </w:pPr>
    <w:rPr>
      <w:rFonts w:ascii="Garamond" w:hAnsi="Garamond"/>
      <w:kern w:val="18"/>
      <w:sz w:val="20"/>
    </w:rPr>
  </w:style>
  <w:style w:type="paragraph" w:customStyle="1" w:styleId="118">
    <w:name w:val="Char Char15 Char Char"/>
    <w:basedOn w:val="1"/>
    <w:qFormat/>
    <w:uiPriority w:val="0"/>
    <w:pPr>
      <w:spacing w:line="240" w:lineRule="auto"/>
      <w:ind w:left="0" w:right="0" w:firstLine="0" w:firstLineChars="0"/>
    </w:pPr>
    <w:rPr>
      <w:szCs w:val="20"/>
    </w:rPr>
  </w:style>
  <w:style w:type="paragraph" w:customStyle="1" w:styleId="119">
    <w:name w:val="Char Char Char1"/>
    <w:basedOn w:val="1"/>
    <w:qFormat/>
    <w:uiPriority w:val="0"/>
    <w:rPr>
      <w:rFonts w:ascii="Tahoma" w:hAnsi="Tahoma"/>
      <w:sz w:val="24"/>
      <w:szCs w:val="20"/>
    </w:rPr>
  </w:style>
  <w:style w:type="paragraph" w:customStyle="1" w:styleId="120">
    <w:name w:val="Char Char1 Char Char Char Char Char Char Char Char Char Char"/>
    <w:basedOn w:val="1"/>
    <w:qFormat/>
    <w:uiPriority w:val="0"/>
    <w:rPr>
      <w:rFonts w:ascii="Tahoma" w:hAnsi="Tahoma"/>
      <w:sz w:val="24"/>
      <w:szCs w:val="20"/>
    </w:rPr>
  </w:style>
  <w:style w:type="paragraph" w:customStyle="1" w:styleId="121">
    <w:name w:val="Return Address"/>
    <w:qFormat/>
    <w:uiPriority w:val="0"/>
    <w:pPr>
      <w:tabs>
        <w:tab w:val="left" w:pos="2160"/>
      </w:tabs>
      <w:overflowPunct w:val="0"/>
      <w:autoSpaceDE w:val="0"/>
      <w:autoSpaceDN w:val="0"/>
      <w:adjustRightInd w:val="0"/>
      <w:spacing w:line="240" w:lineRule="atLeast"/>
      <w:ind w:left="50" w:right="-240" w:hanging="50" w:hangingChars="50"/>
      <w:jc w:val="center"/>
      <w:textAlignment w:val="baseline"/>
    </w:pPr>
    <w:rPr>
      <w:rFonts w:ascii="Garamond" w:hAnsi="Garamond" w:eastAsia="宋体" w:cs="Times New Roman"/>
      <w:caps/>
      <w:spacing w:val="30"/>
      <w:sz w:val="14"/>
      <w:lang w:val="en-US" w:eastAsia="zh-CN" w:bidi="ar-SA"/>
    </w:rPr>
  </w:style>
  <w:style w:type="paragraph" w:customStyle="1" w:styleId="122">
    <w:name w:val="表格文字"/>
    <w:basedOn w:val="1"/>
    <w:qFormat/>
    <w:uiPriority w:val="0"/>
    <w:pPr>
      <w:spacing w:before="25" w:after="25" w:line="300" w:lineRule="auto"/>
    </w:pPr>
    <w:rPr>
      <w:rFonts w:ascii="Times" w:hAnsi="Times"/>
      <w:spacing w:val="10"/>
      <w:kern w:val="0"/>
      <w:sz w:val="24"/>
      <w:szCs w:val="20"/>
    </w:rPr>
  </w:style>
  <w:style w:type="paragraph" w:customStyle="1" w:styleId="123">
    <w:name w:val="Footnote Base"/>
    <w:basedOn w:val="8"/>
    <w:qFormat/>
    <w:uiPriority w:val="0"/>
    <w:pPr>
      <w:keepLines/>
      <w:widowControl/>
      <w:overflowPunct w:val="0"/>
      <w:autoSpaceDE w:val="0"/>
      <w:autoSpaceDN w:val="0"/>
      <w:spacing w:after="240" w:line="240" w:lineRule="atLeast"/>
      <w:textAlignment w:val="baseline"/>
    </w:pPr>
    <w:rPr>
      <w:rFonts w:ascii="Garamond" w:hAnsi="Garamond"/>
      <w:kern w:val="18"/>
      <w:sz w:val="16"/>
    </w:rPr>
  </w:style>
  <w:style w:type="paragraph" w:customStyle="1" w:styleId="124">
    <w:name w:val="Char1 Char Char Char Char1"/>
    <w:basedOn w:val="1"/>
    <w:qFormat/>
    <w:uiPriority w:val="0"/>
    <w:pPr>
      <w:widowControl/>
      <w:spacing w:after="160" w:line="240" w:lineRule="exact"/>
      <w:jc w:val="left"/>
    </w:pPr>
    <w:rPr>
      <w:szCs w:val="20"/>
    </w:rPr>
  </w:style>
  <w:style w:type="paragraph" w:customStyle="1" w:styleId="125">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26">
    <w:name w:val="Char Char Char Char Char Char"/>
    <w:basedOn w:val="1"/>
    <w:qFormat/>
    <w:uiPriority w:val="0"/>
    <w:rPr>
      <w:rFonts w:ascii="Tahoma" w:hAnsi="Tahoma"/>
      <w:sz w:val="24"/>
      <w:szCs w:val="20"/>
    </w:rPr>
  </w:style>
  <w:style w:type="paragraph" w:customStyle="1" w:styleId="127">
    <w:name w:val="p0"/>
    <w:basedOn w:val="1"/>
    <w:qFormat/>
    <w:uiPriority w:val="0"/>
    <w:pPr>
      <w:widowControl/>
    </w:pPr>
    <w:rPr>
      <w:kern w:val="0"/>
      <w:szCs w:val="21"/>
    </w:rPr>
  </w:style>
  <w:style w:type="paragraph" w:customStyle="1" w:styleId="128">
    <w:name w:val="Char Char7"/>
    <w:basedOn w:val="1"/>
    <w:qFormat/>
    <w:uiPriority w:val="0"/>
    <w:pPr>
      <w:spacing w:line="240" w:lineRule="auto"/>
      <w:ind w:left="0" w:right="0" w:firstLine="0" w:firstLineChars="0"/>
    </w:pPr>
  </w:style>
  <w:style w:type="paragraph" w:customStyle="1" w:styleId="129">
    <w:name w:val="Char1 Char Char"/>
    <w:basedOn w:val="1"/>
    <w:qFormat/>
    <w:uiPriority w:val="0"/>
    <w:pPr>
      <w:widowControl/>
      <w:spacing w:after="160" w:line="240" w:lineRule="exact"/>
      <w:ind w:left="0" w:right="0" w:firstLine="0" w:firstLineChars="0"/>
      <w:jc w:val="left"/>
    </w:pPr>
    <w:rPr>
      <w:szCs w:val="20"/>
    </w:rPr>
  </w:style>
  <w:style w:type="paragraph" w:customStyle="1" w:styleId="130">
    <w:name w:val="Char Char Char Char"/>
    <w:basedOn w:val="1"/>
    <w:qFormat/>
    <w:uiPriority w:val="0"/>
    <w:rPr>
      <w:szCs w:val="20"/>
    </w:rPr>
  </w:style>
  <w:style w:type="paragraph" w:customStyle="1" w:styleId="131">
    <w:name w:val="Char1 Char Char Char Char3"/>
    <w:basedOn w:val="1"/>
    <w:qFormat/>
    <w:uiPriority w:val="0"/>
    <w:rPr>
      <w:szCs w:val="20"/>
    </w:rPr>
  </w:style>
  <w:style w:type="paragraph" w:customStyle="1" w:styleId="132">
    <w:name w:val="列出段落1"/>
    <w:basedOn w:val="1"/>
    <w:qFormat/>
    <w:uiPriority w:val="0"/>
    <w:pPr>
      <w:ind w:firstLine="420" w:firstLineChars="200"/>
    </w:pPr>
    <w:rPr>
      <w:rFonts w:ascii="Calibri" w:hAnsi="Calibri"/>
      <w:szCs w:val="22"/>
    </w:rPr>
  </w:style>
  <w:style w:type="paragraph" w:customStyle="1" w:styleId="133">
    <w:name w:val="Header Odd"/>
    <w:basedOn w:val="53"/>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34">
    <w:name w:val="Char Char8 Char Char"/>
    <w:basedOn w:val="1"/>
    <w:qFormat/>
    <w:uiPriority w:val="0"/>
    <w:pPr>
      <w:widowControl/>
      <w:spacing w:after="160" w:line="240" w:lineRule="exact"/>
      <w:jc w:val="left"/>
    </w:pPr>
    <w:rPr>
      <w:szCs w:val="20"/>
    </w:rPr>
  </w:style>
  <w:style w:type="paragraph" w:customStyle="1" w:styleId="135">
    <w:name w:val="Thyssen Standard"/>
    <w:basedOn w:val="1"/>
    <w:qFormat/>
    <w:uiPriority w:val="0"/>
    <w:pPr>
      <w:widowControl/>
      <w:spacing w:before="120" w:after="120" w:line="300" w:lineRule="atLeast"/>
    </w:pPr>
    <w:rPr>
      <w:rFonts w:ascii="TKTypeRegular" w:hAnsi="TKTypeRegular" w:eastAsia="Times New Roman"/>
      <w:kern w:val="0"/>
      <w:sz w:val="22"/>
      <w:szCs w:val="20"/>
      <w:lang w:eastAsia="en-US"/>
    </w:rPr>
  </w:style>
  <w:style w:type="paragraph" w:customStyle="1" w:styleId="136">
    <w:name w:val="Header Even"/>
    <w:basedOn w:val="53"/>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3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8">
    <w:name w:val="Header Base"/>
    <w:basedOn w:val="8"/>
    <w:qFormat/>
    <w:uiPriority w:val="0"/>
    <w:pPr>
      <w:keepLines/>
      <w:widowControl/>
      <w:tabs>
        <w:tab w:val="center" w:pos="4320"/>
        <w:tab w:val="right" w:pos="8640"/>
      </w:tabs>
      <w:overflowPunct w:val="0"/>
      <w:autoSpaceDE w:val="0"/>
      <w:autoSpaceDN w:val="0"/>
      <w:spacing w:after="0" w:line="240" w:lineRule="atLeast"/>
      <w:jc w:val="left"/>
      <w:textAlignment w:val="baseline"/>
    </w:pPr>
    <w:rPr>
      <w:rFonts w:ascii="Garamond" w:hAnsi="Garamond"/>
      <w:kern w:val="18"/>
      <w:sz w:val="20"/>
    </w:rPr>
  </w:style>
  <w:style w:type="paragraph" w:customStyle="1" w:styleId="139">
    <w:name w:val="Body Text Keep"/>
    <w:basedOn w:val="8"/>
    <w:qFormat/>
    <w:uiPriority w:val="0"/>
    <w:pPr>
      <w:keepNext/>
      <w:widowControl/>
      <w:overflowPunct w:val="0"/>
      <w:autoSpaceDE w:val="0"/>
      <w:autoSpaceDN w:val="0"/>
      <w:spacing w:after="240" w:line="240" w:lineRule="atLeast"/>
      <w:ind w:firstLine="360"/>
      <w:textAlignment w:val="baseline"/>
    </w:pPr>
    <w:rPr>
      <w:rFonts w:ascii="Garamond" w:hAnsi="Garamond"/>
      <w:kern w:val="18"/>
      <w:sz w:val="20"/>
    </w:rPr>
  </w:style>
  <w:style w:type="paragraph" w:customStyle="1" w:styleId="140">
    <w:name w:val="Char"/>
    <w:basedOn w:val="1"/>
    <w:qFormat/>
    <w:uiPriority w:val="0"/>
    <w:rPr>
      <w:rFonts w:ascii="Tahoma" w:hAnsi="Tahoma"/>
      <w:sz w:val="24"/>
      <w:szCs w:val="20"/>
    </w:rPr>
  </w:style>
  <w:style w:type="paragraph" w:customStyle="1" w:styleId="141">
    <w:name w:val="Char1"/>
    <w:basedOn w:val="1"/>
    <w:qFormat/>
    <w:uiPriority w:val="0"/>
    <w:rPr>
      <w:rFonts w:ascii="Tahoma" w:hAnsi="Tahoma"/>
      <w:sz w:val="24"/>
      <w:szCs w:val="20"/>
    </w:rPr>
  </w:style>
  <w:style w:type="paragraph" w:customStyle="1" w:styleId="142">
    <w:name w:val="正文格式"/>
    <w:basedOn w:val="1"/>
    <w:qFormat/>
    <w:uiPriority w:val="0"/>
    <w:pPr>
      <w:ind w:firstLine="420" w:firstLineChars="200"/>
    </w:pPr>
    <w:rPr>
      <w:sz w:val="28"/>
      <w:szCs w:val="20"/>
    </w:rPr>
  </w:style>
  <w:style w:type="paragraph" w:customStyle="1" w:styleId="143">
    <w:name w:val="WW-正文缩进"/>
    <w:basedOn w:val="1"/>
    <w:qFormat/>
    <w:uiPriority w:val="0"/>
    <w:pPr>
      <w:suppressAutoHyphens/>
      <w:autoSpaceDE w:val="0"/>
      <w:ind w:firstLine="420"/>
      <w:jc w:val="left"/>
      <w:textAlignment w:val="baseline"/>
    </w:pPr>
    <w:rPr>
      <w:rFonts w:ascii="宋体" w:hAnsi="宋体"/>
      <w:kern w:val="1"/>
      <w:sz w:val="34"/>
      <w:szCs w:val="20"/>
      <w:lang w:eastAsia="ar-SA"/>
    </w:rPr>
  </w:style>
  <w:style w:type="paragraph" w:customStyle="1" w:styleId="144">
    <w:name w:val="题注5"/>
    <w:basedOn w:val="1"/>
    <w:next w:val="21"/>
    <w:qFormat/>
    <w:uiPriority w:val="0"/>
    <w:pPr>
      <w:numPr>
        <w:ilvl w:val="0"/>
        <w:numId w:val="3"/>
      </w:numPr>
      <w:tabs>
        <w:tab w:val="left" w:pos="540"/>
        <w:tab w:val="clear" w:pos="420"/>
      </w:tabs>
      <w:ind w:left="540" w:right="0" w:hanging="540" w:hangingChars="225"/>
    </w:pPr>
    <w:rPr>
      <w:rFonts w:ascii="宋体" w:hAnsi="宋体"/>
      <w:color w:val="000000"/>
      <w:sz w:val="24"/>
    </w:rPr>
  </w:style>
  <w:style w:type="paragraph" w:customStyle="1" w:styleId="145">
    <w:name w:val="题注4"/>
    <w:basedOn w:val="1"/>
    <w:next w:val="21"/>
    <w:qFormat/>
    <w:uiPriority w:val="0"/>
    <w:pPr>
      <w:ind w:left="-132" w:leftChars="-64" w:right="-50" w:rightChars="-50" w:hanging="2"/>
      <w:jc w:val="center"/>
    </w:pPr>
    <w:rPr>
      <w:b/>
      <w:color w:val="FF0000"/>
    </w:rPr>
  </w:style>
  <w:style w:type="character" w:customStyle="1" w:styleId="146">
    <w:name w:val="Superscript"/>
    <w:qFormat/>
    <w:uiPriority w:val="0"/>
    <w:rPr>
      <w:vertAlign w:val="superscript"/>
    </w:rPr>
  </w:style>
  <w:style w:type="character" w:customStyle="1" w:styleId="147">
    <w:name w:val="font41"/>
    <w:basedOn w:val="74"/>
    <w:qFormat/>
    <w:uiPriority w:val="0"/>
    <w:rPr>
      <w:rFonts w:hint="default" w:ascii="Times New Roman" w:hAnsi="Times New Roman" w:cs="Times New Roman"/>
      <w:color w:val="000000"/>
      <w:sz w:val="24"/>
      <w:szCs w:val="24"/>
      <w:u w:val="none"/>
    </w:rPr>
  </w:style>
  <w:style w:type="character" w:customStyle="1" w:styleId="148">
    <w:name w:val="font81"/>
    <w:qFormat/>
    <w:uiPriority w:val="0"/>
    <w:rPr>
      <w:rFonts w:hint="eastAsia" w:ascii="宋体" w:hAnsi="宋体" w:eastAsia="宋体"/>
      <w:color w:val="000000"/>
      <w:sz w:val="22"/>
      <w:szCs w:val="22"/>
      <w:u w:val="none"/>
    </w:rPr>
  </w:style>
  <w:style w:type="character" w:customStyle="1" w:styleId="149">
    <w:name w:val="正文缩进1 Char1"/>
    <w:qFormat/>
    <w:locked/>
    <w:uiPriority w:val="0"/>
    <w:rPr>
      <w:rFonts w:eastAsia="宋体"/>
      <w:sz w:val="21"/>
      <w:lang w:val="en-US" w:eastAsia="zh-CN" w:bidi="ar-SA"/>
    </w:rPr>
  </w:style>
  <w:style w:type="character" w:customStyle="1" w:styleId="150">
    <w:name w:val="font61"/>
    <w:qFormat/>
    <w:uiPriority w:val="0"/>
    <w:rPr>
      <w:rFonts w:hint="eastAsia" w:ascii="宋体" w:hAnsi="宋体" w:eastAsia="宋体"/>
      <w:color w:val="000000"/>
      <w:sz w:val="18"/>
      <w:szCs w:val="18"/>
      <w:u w:val="none"/>
      <w:vertAlign w:val="superscript"/>
    </w:rPr>
  </w:style>
  <w:style w:type="character" w:customStyle="1" w:styleId="151">
    <w:name w:val="普通文字 Char1"/>
    <w:qFormat/>
    <w:uiPriority w:val="0"/>
    <w:rPr>
      <w:rFonts w:ascii="宋体" w:hAnsi="Courier New" w:eastAsia="宋体"/>
      <w:kern w:val="2"/>
      <w:sz w:val="21"/>
      <w:lang w:val="en-US" w:eastAsia="zh-CN" w:bidi="ar-SA"/>
    </w:rPr>
  </w:style>
  <w:style w:type="character" w:customStyle="1" w:styleId="152">
    <w:name w:val="普通文字 Char Char Char"/>
    <w:qFormat/>
    <w:uiPriority w:val="0"/>
    <w:rPr>
      <w:rFonts w:ascii="宋体" w:hAnsi="Courier New" w:eastAsia="宋体"/>
      <w:kern w:val="2"/>
      <w:sz w:val="21"/>
      <w:lang w:val="en-US" w:eastAsia="zh-CN" w:bidi="ar-SA"/>
    </w:rPr>
  </w:style>
  <w:style w:type="character" w:customStyle="1" w:styleId="153">
    <w:name w:val="font71"/>
    <w:qFormat/>
    <w:uiPriority w:val="0"/>
    <w:rPr>
      <w:rFonts w:hint="default" w:ascii="Times New Roman" w:hAnsi="Times New Roman" w:cs="Times New Roman"/>
      <w:color w:val="000000"/>
      <w:sz w:val="24"/>
      <w:szCs w:val="24"/>
      <w:u w:val="none"/>
    </w:rPr>
  </w:style>
  <w:style w:type="character" w:customStyle="1" w:styleId="154">
    <w:name w:val="纯文本 Char"/>
    <w:qFormat/>
    <w:uiPriority w:val="0"/>
    <w:rPr>
      <w:rFonts w:ascii="宋体" w:hAnsi="Courier New" w:eastAsia="宋体" w:cs="Courier New"/>
      <w:kern w:val="2"/>
      <w:sz w:val="21"/>
      <w:szCs w:val="21"/>
      <w:lang w:val="en-US" w:eastAsia="zh-CN" w:bidi="ar-SA"/>
    </w:rPr>
  </w:style>
  <w:style w:type="character" w:customStyle="1" w:styleId="155">
    <w:name w:val="Lead-in Emphasis"/>
    <w:qFormat/>
    <w:uiPriority w:val="0"/>
    <w:rPr>
      <w:caps/>
      <w:sz w:val="18"/>
    </w:rPr>
  </w:style>
  <w:style w:type="character" w:customStyle="1" w:styleId="156">
    <w:name w:val="纯文本 Char Char Char"/>
    <w:qFormat/>
    <w:uiPriority w:val="0"/>
    <w:rPr>
      <w:rFonts w:ascii="宋体" w:hAnsi="Courier New" w:eastAsia="仿宋_GB2312"/>
      <w:kern w:val="2"/>
      <w:sz w:val="30"/>
      <w:lang w:val="en-US" w:eastAsia="zh-CN" w:bidi="ar-SA"/>
    </w:rPr>
  </w:style>
  <w:style w:type="character" w:customStyle="1" w:styleId="157">
    <w:name w:val="Slogan"/>
    <w:qFormat/>
    <w:uiPriority w:val="0"/>
    <w:rPr>
      <w:i/>
      <w:spacing w:val="70"/>
    </w:rPr>
  </w:style>
  <w:style w:type="character" w:customStyle="1" w:styleId="158">
    <w:name w:val="font21"/>
    <w:qFormat/>
    <w:uiPriority w:val="0"/>
    <w:rPr>
      <w:rFonts w:hint="eastAsia" w:ascii="宋体" w:hAnsi="宋体" w:eastAsia="宋体"/>
      <w:color w:val="000000"/>
      <w:sz w:val="24"/>
      <w:szCs w:val="24"/>
      <w:u w:val="none"/>
    </w:rPr>
  </w:style>
  <w:style w:type="character" w:customStyle="1" w:styleId="159">
    <w:name w:val="font91"/>
    <w:qFormat/>
    <w:uiPriority w:val="0"/>
    <w:rPr>
      <w:rFonts w:hint="eastAsia" w:ascii="宋体" w:hAnsi="宋体" w:eastAsia="宋体"/>
      <w:color w:val="000000"/>
      <w:sz w:val="18"/>
      <w:szCs w:val="18"/>
      <w:u w:val="none"/>
    </w:rPr>
  </w:style>
  <w:style w:type="character" w:customStyle="1" w:styleId="160">
    <w:name w:val="font01"/>
    <w:qFormat/>
    <w:uiPriority w:val="0"/>
    <w:rPr>
      <w:rFonts w:hint="eastAsia" w:ascii="宋体" w:hAnsi="宋体" w:eastAsia="宋体"/>
      <w:color w:val="000000"/>
      <w:sz w:val="24"/>
      <w:szCs w:val="24"/>
      <w:u w:val="none"/>
    </w:rPr>
  </w:style>
  <w:style w:type="character" w:customStyle="1" w:styleId="161">
    <w:name w:val="font51"/>
    <w:qFormat/>
    <w:uiPriority w:val="0"/>
    <w:rPr>
      <w:rFonts w:hint="eastAsia" w:ascii="宋体" w:hAnsi="宋体" w:eastAsia="宋体"/>
      <w:color w:val="000000"/>
      <w:sz w:val="18"/>
      <w:szCs w:val="18"/>
      <w:u w:val="none"/>
    </w:rPr>
  </w:style>
  <w:style w:type="character" w:customStyle="1" w:styleId="162">
    <w:name w:val="font11"/>
    <w:basedOn w:val="74"/>
    <w:qFormat/>
    <w:uiPriority w:val="0"/>
    <w:rPr>
      <w:rFonts w:hint="eastAsia" w:ascii="宋体" w:hAnsi="宋体" w:eastAsia="宋体" w:cs="宋体"/>
      <w:color w:val="000000"/>
      <w:sz w:val="20"/>
      <w:szCs w:val="20"/>
      <w:u w:val="none"/>
    </w:rPr>
  </w:style>
  <w:style w:type="paragraph" w:customStyle="1" w:styleId="163">
    <w:name w:val="Default Text"/>
    <w:link w:val="16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4">
    <w:name w:val="Default Text Char Char"/>
    <w:link w:val="163"/>
    <w:qFormat/>
    <w:uiPriority w:val="0"/>
    <w:rPr>
      <w:rFonts w:ascii="Times New Roman" w:hAnsi="Times New Roman"/>
      <w:color w:val="000000"/>
      <w:sz w:val="24"/>
      <w:szCs w:val="24"/>
    </w:rPr>
  </w:style>
  <w:style w:type="paragraph" w:customStyle="1" w:styleId="165">
    <w:name w:val="样式1"/>
    <w:basedOn w:val="1"/>
    <w:qFormat/>
    <w:uiPriority w:val="0"/>
    <w:pPr>
      <w:tabs>
        <w:tab w:val="left" w:pos="709"/>
      </w:tabs>
      <w:spacing w:line="240" w:lineRule="auto"/>
      <w:ind w:left="709" w:hanging="709"/>
    </w:pPr>
    <w:rPr>
      <w:rFonts w:ascii="宋体" w:hAnsi="宋体"/>
      <w:szCs w:val="21"/>
    </w:rPr>
  </w:style>
  <w:style w:type="paragraph" w:customStyle="1" w:styleId="166">
    <w:name w:val="子标题"/>
    <w:basedOn w:val="1"/>
    <w:qFormat/>
    <w:uiPriority w:val="0"/>
    <w:pPr>
      <w:ind w:firstLine="200" w:firstLineChars="200"/>
      <w:jc w:val="center"/>
    </w:pPr>
    <w:rPr>
      <w:rFonts w:eastAsia="新宋体"/>
      <w:sz w:val="28"/>
    </w:rPr>
  </w:style>
  <w:style w:type="paragraph" w:customStyle="1" w:styleId="167">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168">
    <w:name w:val="List Paragraph"/>
    <w:basedOn w:val="1"/>
    <w:unhideWhenUsed/>
    <w:qFormat/>
    <w:uiPriority w:val="99"/>
    <w:pPr>
      <w:ind w:firstLine="420" w:firstLineChars="200"/>
    </w:pPr>
  </w:style>
  <w:style w:type="paragraph" w:customStyle="1" w:styleId="169">
    <w:name w:val="Body text|1"/>
    <w:basedOn w:val="1"/>
    <w:qFormat/>
    <w:uiPriority w:val="0"/>
    <w:pPr>
      <w:widowControl w:val="0"/>
      <w:shd w:val="clear" w:color="auto" w:fill="auto"/>
      <w:spacing w:line="473" w:lineRule="auto"/>
      <w:ind w:firstLine="360"/>
    </w:pPr>
    <w:rPr>
      <w:rFonts w:ascii="宋体" w:hAnsi="宋体" w:eastAsia="宋体" w:cs="宋体"/>
      <w:sz w:val="19"/>
      <w:szCs w:val="19"/>
      <w:u w:val="none"/>
      <w:shd w:val="clear" w:color="auto" w:fill="auto"/>
      <w:lang w:val="zh-TW" w:eastAsia="zh-TW" w:bidi="zh-TW"/>
    </w:rPr>
  </w:style>
  <w:style w:type="paragraph" w:customStyle="1" w:styleId="170">
    <w:name w:val="WPSOffice手动目录 1"/>
    <w:qFormat/>
    <w:uiPriority w:val="0"/>
    <w:pPr>
      <w:ind w:leftChars="0"/>
    </w:pPr>
    <w:rPr>
      <w:rFonts w:ascii="Times New Roman" w:hAnsi="Times New Roman" w:eastAsia="宋体" w:cs="Times New Roman"/>
      <w:sz w:val="20"/>
      <w:szCs w:val="20"/>
    </w:rPr>
  </w:style>
  <w:style w:type="paragraph" w:customStyle="1" w:styleId="1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2">
    <w:name w:val="样式 左侧:  0.74 厘米"/>
    <w:basedOn w:val="1"/>
    <w:qFormat/>
    <w:uiPriority w:val="0"/>
    <w:pPr>
      <w:spacing w:line="360" w:lineRule="auto"/>
      <w:ind w:left="620" w:hanging="200" w:hangingChars="200"/>
    </w:pPr>
    <w:rPr>
      <w:rFonts w:ascii="Times New Roman" w:hAnsi="Times New Roman"/>
      <w:kern w:val="0"/>
      <w:sz w:val="20"/>
      <w:szCs w:val="20"/>
    </w:rPr>
  </w:style>
  <w:style w:type="paragraph" w:customStyle="1" w:styleId="173">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74">
    <w:name w:val="章节题目"/>
    <w:basedOn w:val="175"/>
    <w:next w:val="1"/>
    <w:unhideWhenUsed/>
    <w:qFormat/>
    <w:uiPriority w:val="0"/>
    <w:pPr>
      <w:spacing w:before="720" w:after="400" w:line="540" w:lineRule="atLeast"/>
      <w:ind w:right="2160"/>
    </w:pPr>
    <w:rPr>
      <w:rFonts w:hint="eastAsia" w:ascii="Times New Roman" w:hAnsi="Times New Roman" w:eastAsia="Times New Roman"/>
      <w:spacing w:val="-40"/>
      <w:sz w:val="60"/>
    </w:rPr>
  </w:style>
  <w:style w:type="paragraph" w:customStyle="1" w:styleId="175">
    <w:name w:val="基准标题"/>
    <w:basedOn w:val="1"/>
    <w:next w:val="8"/>
    <w:unhideWhenUsed/>
    <w:qFormat/>
    <w:uiPriority w:val="0"/>
    <w:pPr>
      <w:keepNext/>
      <w:keepLines/>
      <w:spacing w:before="140" w:line="220" w:lineRule="atLeast"/>
    </w:pPr>
    <w:rPr>
      <w:rFonts w:hint="default" w:ascii="Arial" w:hAnsi="Arial" w:eastAsia="宋体"/>
      <w:spacing w:val="-4"/>
      <w:kern w:val="28"/>
      <w:sz w:val="22"/>
    </w:rPr>
  </w:style>
  <w:style w:type="paragraph" w:customStyle="1" w:styleId="17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77">
    <w:name w:val="Table Normal"/>
    <w:unhideWhenUsed/>
    <w:qFormat/>
    <w:uiPriority w:val="0"/>
    <w:tblPr>
      <w:tblCellMar>
        <w:top w:w="0" w:type="dxa"/>
        <w:left w:w="0" w:type="dxa"/>
        <w:bottom w:w="0" w:type="dxa"/>
        <w:right w:w="0" w:type="dxa"/>
      </w:tblCellMar>
    </w:tblPr>
  </w:style>
  <w:style w:type="paragraph" w:customStyle="1" w:styleId="178">
    <w:name w:val="WPSOffice手动目录 2"/>
    <w:qFormat/>
    <w:uiPriority w:val="0"/>
    <w:pPr>
      <w:ind w:leftChars="200"/>
    </w:pPr>
    <w:rPr>
      <w:rFonts w:ascii="Times New Roman" w:hAnsi="Times New Roman" w:eastAsia="宋体" w:cs="Times New Roman"/>
      <w:sz w:val="20"/>
      <w:szCs w:val="20"/>
    </w:rPr>
  </w:style>
  <w:style w:type="paragraph" w:customStyle="1" w:styleId="179">
    <w:name w:val="WPSOffice手动目录 3"/>
    <w:qFormat/>
    <w:uiPriority w:val="0"/>
    <w:pPr>
      <w:ind w:leftChars="400"/>
    </w:pPr>
    <w:rPr>
      <w:rFonts w:ascii="Times New Roman" w:hAnsi="Times New Roman" w:eastAsia="宋体" w:cs="Times New Roman"/>
      <w:sz w:val="20"/>
      <w:szCs w:val="20"/>
    </w:rPr>
  </w:style>
  <w:style w:type="paragraph" w:customStyle="1" w:styleId="180">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181">
    <w:name w:val="样式 首行缩进:  2 字符"/>
    <w:basedOn w:val="1"/>
    <w:qFormat/>
    <w:uiPriority w:val="0"/>
    <w:pPr>
      <w:spacing w:line="400" w:lineRule="exact"/>
      <w:ind w:firstLine="200" w:firstLineChars="200"/>
    </w:pPr>
    <w:rPr>
      <w:rFonts w:cs="宋体"/>
      <w:sz w:val="24"/>
      <w:szCs w:val="24"/>
    </w:rPr>
  </w:style>
  <w:style w:type="paragraph" w:customStyle="1" w:styleId="182">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83">
    <w:name w:val="表格文字2"/>
    <w:basedOn w:val="184"/>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184">
    <w:name w:val="正文1"/>
    <w:basedOn w:val="1"/>
    <w:qFormat/>
    <w:uiPriority w:val="0"/>
    <w:pPr>
      <w:spacing w:after="120" w:line="360" w:lineRule="auto"/>
      <w:ind w:firstLine="425"/>
    </w:pPr>
    <w:rPr>
      <w:rFonts w:ascii="Arial" w:hAnsi="Arial"/>
      <w:spacing w:val="8"/>
      <w:sz w:val="24"/>
      <w:szCs w:val="20"/>
    </w:rPr>
  </w:style>
  <w:style w:type="character" w:customStyle="1" w:styleId="185">
    <w:name w:val="正文文字 Char1"/>
    <w:link w:val="186"/>
    <w:qFormat/>
    <w:uiPriority w:val="0"/>
    <w:rPr>
      <w:rFonts w:ascii="宋体"/>
      <w:color w:val="000000"/>
      <w:kern w:val="0"/>
      <w:sz w:val="28"/>
    </w:rPr>
  </w:style>
  <w:style w:type="paragraph" w:customStyle="1" w:styleId="186">
    <w:name w:val="正文文字"/>
    <w:basedOn w:val="1"/>
    <w:link w:val="185"/>
    <w:qFormat/>
    <w:uiPriority w:val="0"/>
    <w:pPr>
      <w:widowControl/>
      <w:spacing w:line="2375" w:lineRule="atLeast"/>
      <w:ind w:firstLine="419"/>
      <w:textAlignment w:val="baseline"/>
    </w:pPr>
    <w:rPr>
      <w:rFonts w:ascii="宋体"/>
      <w:color w:val="000000"/>
      <w:kern w:val="0"/>
      <w:sz w:val="28"/>
    </w:rPr>
  </w:style>
  <w:style w:type="paragraph" w:customStyle="1" w:styleId="187">
    <w:name w:val="图例"/>
    <w:basedOn w:val="1"/>
    <w:qFormat/>
    <w:uiPriority w:val="0"/>
    <w:pPr>
      <w:spacing w:before="120" w:after="120" w:line="360" w:lineRule="auto"/>
      <w:jc w:val="center"/>
    </w:pPr>
    <w:rPr>
      <w:rFonts w:eastAsia="仿宋_GB2312"/>
      <w:b/>
      <w:sz w:val="24"/>
      <w:szCs w:val="20"/>
    </w:rPr>
  </w:style>
  <w:style w:type="paragraph" w:customStyle="1" w:styleId="18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28199</Words>
  <Characters>29674</Characters>
  <Lines>167</Lines>
  <Paragraphs>47</Paragraphs>
  <TotalTime>18</TotalTime>
  <ScaleCrop>false</ScaleCrop>
  <LinksUpToDate>false</LinksUpToDate>
  <CharactersWithSpaces>31799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2017-09-14T10:07:00Z</dcterms:created>
  <dc:creator>Administrator</dc:creator>
  <cp:lastModifiedBy>夏になる</cp:lastModifiedBy>
  <cp:lastPrinted>2024-03-22T02:48:00Z</cp:lastPrinted>
  <dcterms:modified xsi:type="dcterms:W3CDTF">2025-03-07T02:56:08Z</dcterms:modified>
  <dc:title>2017年中山市政府绩效管理咨询服务项目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EC0ABCF3FAB54BC7A9EEB7E3BF0D4988_13</vt:lpwstr>
  </property>
  <property fmtid="{D5CDD505-2E9C-101B-9397-08002B2CF9AE}" pid="4" name="KSOTemplateDocerSaveRecord">
    <vt:lpwstr>eyJoZGlkIjoiMTNmMTFiNTM5MzkwNWU1MzBlNzc0MzdkNmRmYzU3YmQiLCJ1c2VySWQiOiI5ODI0OTMxOTAifQ==</vt:lpwstr>
  </property>
</Properties>
</file>