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FFF8EF">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both"/>
        <w:textAlignment w:val="auto"/>
        <w:outlineLvl w:val="9"/>
        <w:rPr>
          <w:rFonts w:hint="eastAsia" w:ascii="仿宋" w:hAnsi="仿宋" w:eastAsia="仿宋" w:cs="仿宋"/>
          <w:b/>
          <w:bCs w:val="0"/>
          <w:color w:val="auto"/>
          <w:sz w:val="21"/>
          <w:szCs w:val="21"/>
        </w:rPr>
      </w:pPr>
    </w:p>
    <w:p w14:paraId="525E1B80">
      <w:pPr>
        <w:pStyle w:val="11"/>
        <w:spacing w:line="400" w:lineRule="atLeast"/>
        <w:jc w:val="center"/>
        <w:rPr>
          <w:rFonts w:hint="eastAsia" w:ascii="仿宋" w:hAnsi="仿宋" w:eastAsia="仿宋" w:cs="仿宋"/>
          <w:b/>
          <w:bCs/>
          <w:color w:val="auto"/>
          <w:sz w:val="36"/>
          <w:szCs w:val="36"/>
          <w:lang w:eastAsia="zh-CN"/>
        </w:rPr>
      </w:pPr>
    </w:p>
    <w:p w14:paraId="032832BF">
      <w:pPr>
        <w:pStyle w:val="11"/>
        <w:spacing w:line="400" w:lineRule="atLeast"/>
        <w:jc w:val="center"/>
        <w:rPr>
          <w:rFonts w:hint="eastAsia" w:ascii="仿宋" w:hAnsi="仿宋" w:eastAsia="仿宋" w:cs="仿宋"/>
          <w:b/>
          <w:bCs/>
          <w:color w:val="auto"/>
          <w:sz w:val="36"/>
          <w:szCs w:val="36"/>
          <w:lang w:eastAsia="zh-CN"/>
        </w:rPr>
      </w:pPr>
      <w:r>
        <w:rPr>
          <w:rFonts w:hint="eastAsia" w:ascii="仿宋" w:hAnsi="仿宋" w:eastAsia="仿宋" w:cs="仿宋"/>
          <w:b/>
          <w:bCs/>
          <w:color w:val="auto"/>
          <w:sz w:val="36"/>
          <w:szCs w:val="36"/>
          <w:lang w:eastAsia="zh-CN"/>
        </w:rPr>
        <w:t>洛浦县杭桂镇托万皮切克其村老旧温室大棚改造提升项目</w:t>
      </w:r>
    </w:p>
    <w:p w14:paraId="54CF14B1">
      <w:pPr>
        <w:pStyle w:val="11"/>
        <w:spacing w:line="400" w:lineRule="atLeast"/>
        <w:jc w:val="center"/>
        <w:rPr>
          <w:rFonts w:hint="eastAsia" w:ascii="仿宋" w:hAnsi="仿宋" w:eastAsia="仿宋" w:cs="仿宋"/>
          <w:b/>
          <w:bCs/>
          <w:color w:val="auto"/>
          <w:sz w:val="36"/>
          <w:szCs w:val="36"/>
          <w:lang w:eastAsia="zh-CN"/>
        </w:rPr>
      </w:pPr>
      <w:r>
        <w:rPr>
          <w:rFonts w:hint="eastAsia" w:ascii="仿宋" w:hAnsi="仿宋" w:eastAsia="仿宋" w:cs="仿宋"/>
          <w:b/>
          <w:bCs/>
          <w:color w:val="auto"/>
          <w:sz w:val="36"/>
          <w:szCs w:val="36"/>
          <w:lang w:eastAsia="zh-CN"/>
        </w:rPr>
        <w:t>竞</w:t>
      </w:r>
      <w:r>
        <w:rPr>
          <w:rFonts w:hint="eastAsia" w:ascii="仿宋" w:hAnsi="仿宋" w:eastAsia="仿宋" w:cs="仿宋"/>
          <w:b/>
          <w:bCs/>
          <w:color w:val="auto"/>
          <w:sz w:val="36"/>
          <w:szCs w:val="36"/>
          <w:lang w:val="en-US" w:eastAsia="zh-CN"/>
        </w:rPr>
        <w:t xml:space="preserve"> </w:t>
      </w:r>
      <w:r>
        <w:rPr>
          <w:rFonts w:hint="eastAsia" w:ascii="仿宋" w:hAnsi="仿宋" w:eastAsia="仿宋" w:cs="仿宋"/>
          <w:b/>
          <w:bCs/>
          <w:color w:val="auto"/>
          <w:sz w:val="36"/>
          <w:szCs w:val="36"/>
          <w:lang w:eastAsia="zh-CN"/>
        </w:rPr>
        <w:t>争</w:t>
      </w:r>
      <w:r>
        <w:rPr>
          <w:rFonts w:hint="eastAsia" w:ascii="仿宋" w:hAnsi="仿宋" w:eastAsia="仿宋" w:cs="仿宋"/>
          <w:b/>
          <w:bCs/>
          <w:color w:val="auto"/>
          <w:sz w:val="36"/>
          <w:szCs w:val="36"/>
          <w:lang w:val="en-US" w:eastAsia="zh-CN"/>
        </w:rPr>
        <w:t xml:space="preserve"> </w:t>
      </w:r>
      <w:r>
        <w:rPr>
          <w:rFonts w:hint="eastAsia" w:ascii="仿宋" w:hAnsi="仿宋" w:eastAsia="仿宋" w:cs="仿宋"/>
          <w:b/>
          <w:bCs/>
          <w:color w:val="auto"/>
          <w:sz w:val="36"/>
          <w:szCs w:val="36"/>
          <w:lang w:eastAsia="zh-CN"/>
        </w:rPr>
        <w:t>性</w:t>
      </w:r>
      <w:r>
        <w:rPr>
          <w:rFonts w:hint="eastAsia" w:ascii="仿宋" w:hAnsi="仿宋" w:eastAsia="仿宋" w:cs="仿宋"/>
          <w:b/>
          <w:bCs/>
          <w:color w:val="auto"/>
          <w:sz w:val="36"/>
          <w:szCs w:val="36"/>
          <w:lang w:val="en-US" w:eastAsia="zh-CN"/>
        </w:rPr>
        <w:t xml:space="preserve"> </w:t>
      </w:r>
      <w:r>
        <w:rPr>
          <w:rFonts w:hint="eastAsia" w:ascii="仿宋" w:hAnsi="仿宋" w:eastAsia="仿宋" w:cs="仿宋"/>
          <w:b/>
          <w:bCs/>
          <w:color w:val="auto"/>
          <w:sz w:val="36"/>
          <w:szCs w:val="36"/>
          <w:lang w:eastAsia="zh-CN"/>
        </w:rPr>
        <w:t>磋  商  文  件</w:t>
      </w:r>
    </w:p>
    <w:p w14:paraId="37AB0234">
      <w:pPr>
        <w:pStyle w:val="11"/>
        <w:spacing w:line="400" w:lineRule="atLeast"/>
        <w:jc w:val="center"/>
        <w:rPr>
          <w:rFonts w:hint="eastAsia" w:ascii="仿宋" w:hAnsi="仿宋" w:eastAsia="仿宋" w:cs="仿宋"/>
          <w:b/>
          <w:color w:val="auto"/>
          <w:sz w:val="21"/>
          <w:szCs w:val="21"/>
          <w:highlight w:val="none"/>
        </w:rPr>
      </w:pPr>
    </w:p>
    <w:p w14:paraId="5005C661">
      <w:pPr>
        <w:pStyle w:val="11"/>
        <w:spacing w:line="400" w:lineRule="atLeast"/>
        <w:jc w:val="center"/>
        <w:rPr>
          <w:rFonts w:hint="eastAsia" w:ascii="仿宋" w:hAnsi="仿宋" w:eastAsia="仿宋" w:cs="仿宋"/>
          <w:b/>
          <w:color w:val="0000FF"/>
          <w:sz w:val="21"/>
          <w:szCs w:val="21"/>
          <w:highlight w:val="none"/>
          <w:lang w:val="en-US" w:eastAsia="zh-CN"/>
        </w:rPr>
      </w:pPr>
    </w:p>
    <w:p w14:paraId="02BC81D4">
      <w:pPr>
        <w:pStyle w:val="11"/>
        <w:spacing w:line="400" w:lineRule="atLeast"/>
        <w:rPr>
          <w:rFonts w:hint="eastAsia" w:ascii="仿宋" w:hAnsi="仿宋" w:eastAsia="仿宋" w:cs="仿宋"/>
          <w:b/>
          <w:color w:val="auto"/>
          <w:sz w:val="21"/>
          <w:szCs w:val="21"/>
          <w:highlight w:val="none"/>
        </w:rPr>
      </w:pPr>
    </w:p>
    <w:p w14:paraId="1BF8C121">
      <w:pPr>
        <w:pStyle w:val="11"/>
        <w:spacing w:line="400" w:lineRule="atLeast"/>
        <w:rPr>
          <w:rFonts w:hint="eastAsia" w:ascii="仿宋" w:hAnsi="仿宋" w:eastAsia="仿宋" w:cs="仿宋"/>
          <w:b/>
          <w:color w:val="auto"/>
          <w:sz w:val="21"/>
          <w:szCs w:val="21"/>
          <w:highlight w:val="none"/>
        </w:rPr>
      </w:pPr>
    </w:p>
    <w:p w14:paraId="393F7E07">
      <w:pPr>
        <w:autoSpaceDE w:val="0"/>
        <w:autoSpaceDN w:val="0"/>
        <w:adjustRightInd w:val="0"/>
        <w:spacing w:line="480" w:lineRule="auto"/>
        <w:ind w:firstLine="422" w:firstLineChars="200"/>
        <w:rPr>
          <w:rFonts w:hint="eastAsia" w:ascii="仿宋" w:hAnsi="仿宋" w:eastAsia="仿宋" w:cs="仿宋"/>
          <w:b/>
          <w:color w:val="auto"/>
          <w:kern w:val="0"/>
          <w:sz w:val="21"/>
          <w:szCs w:val="21"/>
          <w:lang w:eastAsia="zh-CN"/>
        </w:rPr>
      </w:pPr>
      <w:r>
        <w:rPr>
          <w:rFonts w:hint="eastAsia" w:ascii="仿宋" w:hAnsi="仿宋" w:eastAsia="仿宋" w:cs="仿宋"/>
          <w:b/>
          <w:color w:val="auto"/>
          <w:kern w:val="0"/>
          <w:sz w:val="21"/>
          <w:szCs w:val="21"/>
        </w:rPr>
        <w:t>招标人</w:t>
      </w:r>
      <w:r>
        <w:rPr>
          <w:rFonts w:hint="eastAsia" w:ascii="仿宋" w:hAnsi="仿宋" w:eastAsia="仿宋" w:cs="仿宋"/>
          <w:b/>
          <w:color w:val="auto"/>
          <w:kern w:val="0"/>
          <w:sz w:val="21"/>
          <w:szCs w:val="21"/>
          <w:lang w:eastAsia="zh-CN"/>
        </w:rPr>
        <w:t>（盖章）</w:t>
      </w:r>
      <w:r>
        <w:rPr>
          <w:rFonts w:hint="eastAsia" w:ascii="仿宋" w:hAnsi="仿宋" w:eastAsia="仿宋" w:cs="仿宋"/>
          <w:b/>
          <w:color w:val="auto"/>
          <w:kern w:val="0"/>
          <w:sz w:val="21"/>
          <w:szCs w:val="21"/>
        </w:rPr>
        <w:t>：洛浦县杭桂镇人民政府</w:t>
      </w:r>
    </w:p>
    <w:p w14:paraId="1E87D28F">
      <w:pPr>
        <w:autoSpaceDE w:val="0"/>
        <w:autoSpaceDN w:val="0"/>
        <w:adjustRightInd w:val="0"/>
        <w:spacing w:line="480" w:lineRule="auto"/>
        <w:ind w:firstLine="422" w:firstLineChars="200"/>
        <w:rPr>
          <w:rFonts w:hint="eastAsia" w:ascii="仿宋" w:hAnsi="仿宋" w:eastAsia="仿宋" w:cs="仿宋"/>
          <w:b/>
          <w:color w:val="auto"/>
          <w:kern w:val="0"/>
          <w:sz w:val="21"/>
          <w:szCs w:val="21"/>
          <w:lang w:val="en-US" w:eastAsia="zh-CN"/>
        </w:rPr>
      </w:pPr>
      <w:r>
        <w:rPr>
          <w:rFonts w:hint="eastAsia" w:ascii="仿宋" w:hAnsi="仿宋" w:eastAsia="仿宋" w:cs="仿宋"/>
          <w:b/>
          <w:color w:val="auto"/>
          <w:kern w:val="0"/>
          <w:sz w:val="21"/>
          <w:szCs w:val="21"/>
        </w:rPr>
        <w:t>联系人：</w:t>
      </w:r>
      <w:r>
        <w:rPr>
          <w:rFonts w:hint="eastAsia" w:ascii="仿宋" w:hAnsi="仿宋" w:eastAsia="仿宋" w:cs="仿宋"/>
          <w:b/>
          <w:color w:val="auto"/>
          <w:kern w:val="0"/>
          <w:sz w:val="21"/>
          <w:szCs w:val="21"/>
          <w:lang w:val="en-US" w:eastAsia="zh-CN"/>
        </w:rPr>
        <w:t>杨先生</w:t>
      </w:r>
    </w:p>
    <w:p w14:paraId="25640705">
      <w:pPr>
        <w:autoSpaceDE w:val="0"/>
        <w:autoSpaceDN w:val="0"/>
        <w:adjustRightInd w:val="0"/>
        <w:spacing w:line="480" w:lineRule="auto"/>
        <w:ind w:firstLine="422" w:firstLineChars="200"/>
        <w:rPr>
          <w:rFonts w:hint="default" w:ascii="仿宋" w:hAnsi="仿宋" w:eastAsia="仿宋" w:cs="仿宋"/>
          <w:b/>
          <w:color w:val="auto"/>
          <w:kern w:val="0"/>
          <w:sz w:val="21"/>
          <w:szCs w:val="21"/>
          <w:lang w:val="en-US" w:eastAsia="zh-CN"/>
        </w:rPr>
      </w:pPr>
      <w:r>
        <w:rPr>
          <w:rFonts w:hint="eastAsia" w:ascii="仿宋" w:hAnsi="仿宋" w:eastAsia="仿宋" w:cs="仿宋"/>
          <w:b/>
          <w:color w:val="auto"/>
          <w:kern w:val="0"/>
          <w:sz w:val="21"/>
          <w:szCs w:val="21"/>
        </w:rPr>
        <w:t>联系电话：0903-6692500</w:t>
      </w:r>
    </w:p>
    <w:p w14:paraId="29709E09">
      <w:pPr>
        <w:autoSpaceDE w:val="0"/>
        <w:autoSpaceDN w:val="0"/>
        <w:adjustRightInd w:val="0"/>
        <w:spacing w:line="480" w:lineRule="auto"/>
        <w:ind w:firstLine="422" w:firstLineChars="200"/>
        <w:rPr>
          <w:rFonts w:hint="eastAsia" w:ascii="仿宋" w:hAnsi="仿宋" w:eastAsia="仿宋" w:cs="仿宋"/>
          <w:b/>
          <w:color w:val="auto"/>
          <w:kern w:val="0"/>
          <w:sz w:val="21"/>
          <w:szCs w:val="21"/>
          <w:lang w:val="en-US" w:eastAsia="zh-CN"/>
        </w:rPr>
      </w:pPr>
    </w:p>
    <w:p w14:paraId="401AFEFC">
      <w:pPr>
        <w:autoSpaceDE w:val="0"/>
        <w:autoSpaceDN w:val="0"/>
        <w:adjustRightInd w:val="0"/>
        <w:spacing w:line="480" w:lineRule="auto"/>
        <w:ind w:left="1260" w:leftChars="103" w:hanging="1044" w:hangingChars="495"/>
        <w:rPr>
          <w:rFonts w:hint="eastAsia" w:ascii="仿宋" w:hAnsi="仿宋" w:eastAsia="仿宋" w:cs="仿宋"/>
          <w:b/>
          <w:color w:val="auto"/>
          <w:kern w:val="0"/>
          <w:sz w:val="21"/>
          <w:szCs w:val="21"/>
        </w:rPr>
      </w:pPr>
      <w:r>
        <w:rPr>
          <w:rFonts w:hint="eastAsia" w:ascii="仿宋" w:hAnsi="仿宋" w:eastAsia="仿宋" w:cs="仿宋"/>
          <w:b/>
          <w:color w:val="auto"/>
          <w:kern w:val="0"/>
          <w:sz w:val="21"/>
          <w:szCs w:val="21"/>
          <w:u w:val="single"/>
        </w:rPr>
        <w:t xml:space="preserve">                                                             </w:t>
      </w:r>
    </w:p>
    <w:p w14:paraId="7D6CCA21">
      <w:pPr>
        <w:autoSpaceDE w:val="0"/>
        <w:autoSpaceDN w:val="0"/>
        <w:adjustRightInd w:val="0"/>
        <w:spacing w:line="480" w:lineRule="auto"/>
        <w:ind w:firstLine="422" w:firstLineChars="200"/>
        <w:rPr>
          <w:rFonts w:hint="eastAsia" w:ascii="仿宋" w:hAnsi="仿宋" w:eastAsia="仿宋" w:cs="仿宋"/>
          <w:b/>
          <w:color w:val="auto"/>
          <w:kern w:val="0"/>
          <w:sz w:val="21"/>
          <w:szCs w:val="21"/>
          <w:lang w:val="en-US" w:eastAsia="zh-CN"/>
        </w:rPr>
      </w:pPr>
      <w:r>
        <w:rPr>
          <w:rFonts w:hint="eastAsia" w:ascii="仿宋" w:hAnsi="仿宋" w:eastAsia="仿宋" w:cs="仿宋"/>
          <w:b/>
          <w:color w:val="auto"/>
          <w:kern w:val="0"/>
          <w:sz w:val="21"/>
          <w:szCs w:val="21"/>
          <w:lang w:eastAsia="zh-CN"/>
        </w:rPr>
        <w:t>招标</w:t>
      </w:r>
      <w:r>
        <w:rPr>
          <w:rFonts w:hint="eastAsia" w:ascii="仿宋" w:hAnsi="仿宋" w:eastAsia="仿宋" w:cs="仿宋"/>
          <w:b/>
          <w:color w:val="auto"/>
          <w:kern w:val="0"/>
          <w:sz w:val="21"/>
          <w:szCs w:val="21"/>
        </w:rPr>
        <w:t xml:space="preserve">代理机构（盖章）：新疆品正工程项目咨询有限公司 </w:t>
      </w:r>
    </w:p>
    <w:p w14:paraId="5D342766">
      <w:pPr>
        <w:autoSpaceDE w:val="0"/>
        <w:autoSpaceDN w:val="0"/>
        <w:adjustRightInd w:val="0"/>
        <w:spacing w:line="480" w:lineRule="auto"/>
        <w:ind w:firstLine="422" w:firstLineChars="200"/>
        <w:rPr>
          <w:rFonts w:hint="eastAsia" w:ascii="仿宋" w:hAnsi="仿宋" w:eastAsia="仿宋" w:cs="仿宋"/>
          <w:b/>
          <w:bCs/>
          <w:color w:val="auto"/>
          <w:kern w:val="0"/>
          <w:sz w:val="21"/>
          <w:szCs w:val="21"/>
          <w:lang w:val="en-US" w:eastAsia="zh-CN"/>
        </w:rPr>
      </w:pPr>
      <w:r>
        <w:rPr>
          <w:rFonts w:hint="eastAsia" w:ascii="仿宋" w:hAnsi="仿宋" w:eastAsia="仿宋" w:cs="仿宋"/>
          <w:b/>
          <w:bCs/>
          <w:color w:val="auto"/>
          <w:kern w:val="0"/>
          <w:sz w:val="21"/>
          <w:szCs w:val="21"/>
        </w:rPr>
        <w:t>联系人：</w:t>
      </w:r>
      <w:r>
        <w:rPr>
          <w:rFonts w:hint="eastAsia" w:ascii="仿宋" w:hAnsi="仿宋" w:eastAsia="仿宋" w:cs="仿宋"/>
          <w:b/>
          <w:bCs/>
          <w:color w:val="auto"/>
          <w:kern w:val="0"/>
          <w:sz w:val="21"/>
          <w:szCs w:val="21"/>
          <w:lang w:val="en-US" w:eastAsia="zh-CN"/>
        </w:rPr>
        <w:t>齐帅洋</w:t>
      </w:r>
    </w:p>
    <w:p w14:paraId="3A61AE30">
      <w:pPr>
        <w:autoSpaceDE w:val="0"/>
        <w:autoSpaceDN w:val="0"/>
        <w:adjustRightInd w:val="0"/>
        <w:spacing w:line="480" w:lineRule="auto"/>
        <w:ind w:firstLine="422" w:firstLineChars="200"/>
        <w:rPr>
          <w:rFonts w:hint="default" w:ascii="仿宋" w:hAnsi="仿宋" w:eastAsia="仿宋" w:cs="仿宋"/>
          <w:b/>
          <w:bCs/>
          <w:color w:val="auto"/>
          <w:kern w:val="0"/>
          <w:sz w:val="21"/>
          <w:szCs w:val="21"/>
          <w:lang w:val="en-US" w:eastAsia="zh-CN"/>
        </w:rPr>
      </w:pPr>
      <w:r>
        <w:rPr>
          <w:rFonts w:hint="eastAsia" w:ascii="仿宋" w:hAnsi="仿宋" w:eastAsia="仿宋" w:cs="仿宋"/>
          <w:b/>
          <w:color w:val="auto"/>
          <w:kern w:val="0"/>
          <w:sz w:val="21"/>
          <w:szCs w:val="21"/>
        </w:rPr>
        <w:t>联</w:t>
      </w:r>
      <w:r>
        <w:rPr>
          <w:rFonts w:hint="eastAsia" w:ascii="仿宋" w:hAnsi="仿宋" w:eastAsia="仿宋" w:cs="仿宋"/>
          <w:b/>
          <w:color w:val="auto"/>
          <w:kern w:val="0"/>
          <w:sz w:val="21"/>
          <w:szCs w:val="21"/>
          <w:lang w:eastAsia="zh-CN"/>
        </w:rPr>
        <w:t>系电话：</w:t>
      </w:r>
      <w:r>
        <w:rPr>
          <w:rFonts w:hint="eastAsia" w:ascii="仿宋" w:hAnsi="仿宋" w:eastAsia="仿宋" w:cs="仿宋"/>
          <w:b/>
          <w:color w:val="auto"/>
          <w:kern w:val="0"/>
          <w:sz w:val="21"/>
          <w:szCs w:val="21"/>
          <w:lang w:val="en-US" w:eastAsia="zh-CN"/>
        </w:rPr>
        <w:t xml:space="preserve">18799365809  </w:t>
      </w:r>
    </w:p>
    <w:p w14:paraId="660D967C">
      <w:pPr>
        <w:pStyle w:val="6"/>
        <w:rPr>
          <w:rFonts w:hint="eastAsia" w:ascii="仿宋" w:hAnsi="仿宋" w:eastAsia="仿宋" w:cs="仿宋"/>
          <w:sz w:val="21"/>
          <w:szCs w:val="21"/>
          <w:lang w:val="en-US" w:eastAsia="zh-CN"/>
        </w:rPr>
      </w:pPr>
    </w:p>
    <w:p w14:paraId="7DA32EFD">
      <w:pPr>
        <w:rPr>
          <w:rFonts w:hint="eastAsia" w:ascii="仿宋" w:hAnsi="仿宋" w:eastAsia="仿宋" w:cs="仿宋"/>
          <w:sz w:val="21"/>
          <w:szCs w:val="21"/>
          <w:lang w:val="en-US" w:eastAsia="zh-CN"/>
        </w:rPr>
      </w:pPr>
    </w:p>
    <w:p w14:paraId="5EDADBA3">
      <w:pPr>
        <w:pStyle w:val="8"/>
        <w:rPr>
          <w:rFonts w:hint="eastAsia" w:ascii="仿宋" w:hAnsi="仿宋" w:eastAsia="仿宋" w:cs="仿宋"/>
          <w:sz w:val="21"/>
          <w:szCs w:val="21"/>
          <w:lang w:val="en-US" w:eastAsia="zh-CN"/>
        </w:rPr>
      </w:pPr>
    </w:p>
    <w:p w14:paraId="2CE8C4F6">
      <w:pPr>
        <w:pStyle w:val="20"/>
        <w:rPr>
          <w:rFonts w:hint="eastAsia" w:ascii="仿宋" w:hAnsi="仿宋" w:eastAsia="仿宋" w:cs="仿宋"/>
          <w:sz w:val="21"/>
          <w:szCs w:val="21"/>
          <w:lang w:val="en-US" w:eastAsia="zh-CN"/>
        </w:rPr>
      </w:pPr>
    </w:p>
    <w:p w14:paraId="29BD8FC9">
      <w:pPr>
        <w:pStyle w:val="3"/>
        <w:ind w:firstLine="4006" w:firstLineChars="1900"/>
        <w:jc w:val="both"/>
        <w:rPr>
          <w:rFonts w:hint="eastAsia" w:ascii="仿宋" w:hAnsi="仿宋" w:eastAsia="仿宋" w:cs="仿宋"/>
          <w:color w:val="auto"/>
          <w:sz w:val="21"/>
          <w:szCs w:val="21"/>
        </w:rPr>
      </w:pPr>
      <w:r>
        <w:rPr>
          <w:rFonts w:hint="eastAsia" w:ascii="仿宋" w:hAnsi="仿宋" w:eastAsia="仿宋" w:cs="仿宋"/>
          <w:color w:val="auto"/>
          <w:sz w:val="21"/>
          <w:szCs w:val="21"/>
        </w:rPr>
        <w:t>二零</w:t>
      </w:r>
      <w:r>
        <w:rPr>
          <w:rFonts w:hint="eastAsia" w:ascii="仿宋" w:hAnsi="仿宋" w:eastAsia="仿宋" w:cs="仿宋"/>
          <w:color w:val="auto"/>
          <w:sz w:val="21"/>
          <w:szCs w:val="21"/>
          <w:lang w:eastAsia="zh-CN"/>
        </w:rPr>
        <w:t>二</w:t>
      </w:r>
      <w:r>
        <w:rPr>
          <w:rFonts w:hint="eastAsia" w:ascii="仿宋" w:hAnsi="仿宋" w:eastAsia="仿宋" w:cs="仿宋"/>
          <w:color w:val="auto"/>
          <w:sz w:val="21"/>
          <w:szCs w:val="21"/>
          <w:lang w:val="en-US" w:eastAsia="zh-CN"/>
        </w:rPr>
        <w:t>五</w:t>
      </w:r>
      <w:r>
        <w:rPr>
          <w:rFonts w:hint="eastAsia" w:ascii="仿宋" w:hAnsi="仿宋" w:eastAsia="仿宋" w:cs="仿宋"/>
          <w:color w:val="auto"/>
          <w:sz w:val="21"/>
          <w:szCs w:val="21"/>
        </w:rPr>
        <w:t>年</w:t>
      </w:r>
      <w:r>
        <w:rPr>
          <w:rFonts w:hint="eastAsia" w:ascii="仿宋" w:hAnsi="仿宋" w:eastAsia="仿宋" w:cs="仿宋"/>
          <w:color w:val="auto"/>
          <w:sz w:val="21"/>
          <w:szCs w:val="21"/>
          <w:lang w:val="en-US" w:eastAsia="zh-CN"/>
        </w:rPr>
        <w:t>四</w:t>
      </w:r>
      <w:r>
        <w:rPr>
          <w:rFonts w:hint="eastAsia" w:ascii="仿宋" w:hAnsi="仿宋" w:eastAsia="仿宋" w:cs="仿宋"/>
          <w:color w:val="auto"/>
          <w:sz w:val="21"/>
          <w:szCs w:val="21"/>
        </w:rPr>
        <w:t>月</w:t>
      </w:r>
    </w:p>
    <w:p w14:paraId="36B22DC4">
      <w:pPr>
        <w:spacing w:line="400" w:lineRule="atLeast"/>
        <w:rPr>
          <w:rFonts w:hint="eastAsia" w:ascii="仿宋" w:hAnsi="仿宋" w:eastAsia="仿宋" w:cs="仿宋"/>
          <w:b/>
          <w:color w:val="auto"/>
          <w:sz w:val="21"/>
          <w:szCs w:val="21"/>
        </w:rPr>
        <w:sectPr>
          <w:headerReference r:id="rId5" w:type="first"/>
          <w:headerReference r:id="rId3" w:type="default"/>
          <w:footerReference r:id="rId6" w:type="default"/>
          <w:headerReference r:id="rId4" w:type="even"/>
          <w:footerReference r:id="rId7" w:type="even"/>
          <w:pgSz w:w="11907" w:h="16840"/>
          <w:pgMar w:top="1020" w:right="1080" w:bottom="1440" w:left="1080" w:header="231" w:footer="68" w:gutter="0"/>
          <w:pgNumType w:start="0"/>
          <w:cols w:space="720" w:num="1"/>
          <w:titlePg/>
          <w:docGrid w:type="lines" w:linePitch="409" w:charSpace="0"/>
        </w:sectPr>
      </w:pPr>
    </w:p>
    <w:p w14:paraId="7731E638">
      <w:pPr>
        <w:pStyle w:val="11"/>
        <w:spacing w:line="400" w:lineRule="atLeast"/>
        <w:rPr>
          <w:rFonts w:hint="eastAsia" w:ascii="仿宋" w:hAnsi="仿宋" w:eastAsia="仿宋" w:cs="仿宋"/>
          <w:b/>
          <w:color w:val="auto"/>
          <w:sz w:val="21"/>
          <w:szCs w:val="21"/>
          <w:highlight w:val="none"/>
        </w:rPr>
      </w:pPr>
    </w:p>
    <w:sdt>
      <w:sdtPr>
        <w:rPr>
          <w:rFonts w:hint="eastAsia" w:ascii="仿宋" w:hAnsi="仿宋" w:eastAsia="仿宋" w:cs="仿宋"/>
          <w:color w:val="auto"/>
          <w:kern w:val="2"/>
          <w:sz w:val="21"/>
          <w:szCs w:val="21"/>
          <w:lang w:val="en-US" w:eastAsia="zh-CN" w:bidi="ar-SA"/>
        </w:rPr>
        <w:id w:val="147474832"/>
        <w15:color w:val="DBDBDB"/>
        <w:docPartObj>
          <w:docPartGallery w:val="Table of Contents"/>
          <w:docPartUnique/>
        </w:docPartObj>
      </w:sdtPr>
      <w:sdtEndPr>
        <w:rPr>
          <w:rFonts w:hint="eastAsia" w:ascii="仿宋" w:hAnsi="仿宋" w:eastAsia="仿宋" w:cs="仿宋"/>
          <w:color w:val="auto"/>
          <w:kern w:val="2"/>
          <w:sz w:val="21"/>
          <w:szCs w:val="21"/>
          <w:lang w:val="en-US" w:eastAsia="zh-CN" w:bidi="ar-SA"/>
        </w:rPr>
      </w:sdtEndPr>
      <w:sdtContent>
        <w:p w14:paraId="361B3CA5">
          <w:pPr>
            <w:spacing w:before="0" w:beforeLines="0" w:after="0" w:afterLines="0" w:line="240" w:lineRule="auto"/>
            <w:ind w:left="0" w:leftChars="0" w:right="0" w:rightChars="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目</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录</w:t>
          </w:r>
        </w:p>
        <w:p w14:paraId="4D5C5192">
          <w:pPr>
            <w:pStyle w:val="17"/>
            <w:tabs>
              <w:tab w:val="right" w:leader="dot" w:pos="8312"/>
            </w:tabs>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TOC \o "1-1" \h \u </w:instrText>
          </w:r>
          <w:r>
            <w:rPr>
              <w:rFonts w:hint="eastAsia" w:ascii="仿宋" w:hAnsi="仿宋" w:eastAsia="仿宋" w:cs="仿宋"/>
              <w:color w:val="auto"/>
              <w:sz w:val="21"/>
              <w:szCs w:val="21"/>
            </w:rPr>
            <w:fldChar w:fldCharType="separate"/>
          </w:r>
        </w:p>
        <w:p w14:paraId="66DD447D">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14:paraId="0F3B43BD">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_Toc20015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第二部分  磋商须知</w:t>
          </w:r>
          <w:r>
            <w:rPr>
              <w:rFonts w:hint="eastAsia" w:ascii="仿宋" w:hAnsi="仿宋" w:eastAsia="仿宋" w:cs="仿宋"/>
              <w:color w:val="auto"/>
              <w:sz w:val="21"/>
              <w:szCs w:val="21"/>
            </w:rPr>
            <w:tab/>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fldChar w:fldCharType="end"/>
          </w:r>
        </w:p>
        <w:p w14:paraId="5D1704FC">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第三部分  </w:t>
          </w:r>
          <w:r>
            <w:rPr>
              <w:rFonts w:hint="eastAsia" w:ascii="仿宋" w:hAnsi="仿宋" w:eastAsia="仿宋" w:cs="仿宋"/>
              <w:color w:val="auto"/>
              <w:sz w:val="21"/>
              <w:szCs w:val="21"/>
              <w:highlight w:val="none"/>
              <w:lang w:eastAsia="zh-CN"/>
            </w:rPr>
            <w:t>采购需求</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30</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14:paraId="096857A2">
          <w:pPr>
            <w:pStyle w:val="17"/>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第四部分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bCs/>
              <w:color w:val="auto"/>
              <w:sz w:val="21"/>
              <w:szCs w:val="21"/>
              <w:highlight w:val="none"/>
            </w:rPr>
            <w:t>合同条款及格式</w:t>
          </w:r>
          <w:r>
            <w:rPr>
              <w:rFonts w:hint="eastAsia" w:ascii="仿宋" w:hAnsi="仿宋" w:eastAsia="仿宋" w:cs="仿宋"/>
              <w:bCs/>
              <w:color w:val="auto"/>
              <w:sz w:val="21"/>
              <w:szCs w:val="21"/>
              <w:highlight w:val="none"/>
              <w:lang w:eastAsia="zh-CN"/>
            </w:rPr>
            <w:t>（仅供参考）</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36</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14:paraId="4A9BAB35">
          <w:pPr>
            <w:pStyle w:val="17"/>
            <w:tabs>
              <w:tab w:val="right" w:leader="dot" w:pos="8312"/>
            </w:tabs>
            <w:spacing w:line="60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_Toc13252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第五部分　</w:t>
          </w:r>
          <w:r>
            <w:rPr>
              <w:rFonts w:hint="eastAsia" w:ascii="仿宋" w:hAnsi="仿宋" w:eastAsia="仿宋" w:cs="仿宋"/>
              <w:bCs/>
              <w:color w:val="auto"/>
              <w:sz w:val="21"/>
              <w:szCs w:val="21"/>
              <w:highlight w:val="none"/>
            </w:rPr>
            <w:t>响应文件的组成和格式</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lang w:val="en-US" w:eastAsia="zh-CN"/>
            </w:rPr>
            <w:t>34</w:t>
          </w:r>
        </w:p>
        <w:p w14:paraId="6CC9BE90">
          <w:pPr>
            <w:rPr>
              <w:rFonts w:hint="eastAsia" w:ascii="仿宋" w:hAnsi="仿宋" w:eastAsia="仿宋" w:cs="仿宋"/>
              <w:color w:val="auto"/>
              <w:sz w:val="21"/>
              <w:szCs w:val="21"/>
            </w:rPr>
          </w:pPr>
          <w:r>
            <w:rPr>
              <w:rFonts w:hint="eastAsia" w:ascii="仿宋" w:hAnsi="仿宋" w:eastAsia="仿宋" w:cs="仿宋"/>
              <w:color w:val="auto"/>
              <w:sz w:val="21"/>
              <w:szCs w:val="21"/>
            </w:rPr>
            <w:fldChar w:fldCharType="end"/>
          </w:r>
        </w:p>
      </w:sdtContent>
    </w:sdt>
    <w:p w14:paraId="1F8511E7">
      <w:pPr>
        <w:pStyle w:val="2"/>
        <w:numPr>
          <w:ilvl w:val="0"/>
          <w:numId w:val="0"/>
        </w:num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br w:type="page"/>
      </w:r>
      <w:bookmarkStart w:id="0" w:name="_Toc349573118"/>
      <w:bookmarkStart w:id="1" w:name="_Toc349637917"/>
      <w:bookmarkStart w:id="2" w:name="_Toc527642949"/>
      <w:bookmarkStart w:id="3" w:name="_Toc298240402"/>
      <w:bookmarkStart w:id="4" w:name="_Toc14685"/>
      <w:r>
        <w:rPr>
          <w:rFonts w:hint="eastAsia" w:ascii="仿宋" w:hAnsi="仿宋" w:eastAsia="仿宋" w:cs="仿宋"/>
          <w:color w:val="auto"/>
          <w:sz w:val="21"/>
          <w:szCs w:val="21"/>
          <w:highlight w:val="none"/>
        </w:rPr>
        <w:t>第一部分</w:t>
      </w:r>
      <w:bookmarkEnd w:id="0"/>
      <w:bookmarkEnd w:id="1"/>
      <w:bookmarkEnd w:id="2"/>
      <w:bookmarkEnd w:id="3"/>
      <w:r>
        <w:rPr>
          <w:rFonts w:hint="eastAsia" w:ascii="仿宋" w:hAnsi="仿宋" w:eastAsia="仿宋" w:cs="仿宋"/>
          <w:color w:val="auto"/>
          <w:sz w:val="21"/>
          <w:szCs w:val="21"/>
          <w:highlight w:val="none"/>
          <w:lang w:val="en-US" w:eastAsia="zh-CN"/>
        </w:rPr>
        <w:t xml:space="preserve">  </w:t>
      </w:r>
      <w:bookmarkEnd w:id="4"/>
    </w:p>
    <w:p w14:paraId="2F7E9151">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2530" w:hanging="1897" w:hangingChars="900"/>
        <w:jc w:val="center"/>
        <w:textAlignment w:val="auto"/>
        <w:rPr>
          <w:rFonts w:hint="eastAsia" w:ascii="仿宋" w:hAnsi="仿宋" w:eastAsia="仿宋" w:cs="仿宋"/>
          <w:b/>
          <w:bCs w:val="0"/>
          <w:color w:val="auto"/>
          <w:sz w:val="21"/>
          <w:szCs w:val="21"/>
        </w:rPr>
      </w:pPr>
      <w:bookmarkStart w:id="5" w:name="_Toc11890"/>
      <w:bookmarkStart w:id="6" w:name="_Toc3172"/>
      <w:bookmarkStart w:id="7" w:name="_Toc298240403"/>
      <w:bookmarkStart w:id="8" w:name="_Toc527642950"/>
      <w:bookmarkStart w:id="9" w:name="_Toc349637918"/>
      <w:bookmarkStart w:id="10" w:name="_Toc349573119"/>
      <w:bookmarkStart w:id="11" w:name="_Toc267301280"/>
      <w:r>
        <w:rPr>
          <w:rFonts w:hint="eastAsia" w:ascii="仿宋" w:hAnsi="仿宋" w:eastAsia="仿宋" w:cs="仿宋"/>
          <w:b/>
          <w:bCs w:val="0"/>
          <w:color w:val="auto"/>
          <w:sz w:val="21"/>
          <w:szCs w:val="21"/>
        </w:rPr>
        <w:t>洛浦县杭桂镇托万皮切克其村老旧温室大棚改造提升项目竞争性磋商公告</w:t>
      </w:r>
      <w:bookmarkEnd w:id="5"/>
      <w:bookmarkEnd w:id="6"/>
    </w:p>
    <w:p w14:paraId="6A72BB0F">
      <w:pPr>
        <w:pBdr>
          <w:top w:val="single" w:color="auto" w:sz="4" w:space="1"/>
          <w:left w:val="single" w:color="auto" w:sz="4" w:space="4"/>
          <w:bottom w:val="single" w:color="auto" w:sz="4" w:space="1"/>
          <w:right w:val="single" w:color="auto" w:sz="4" w:space="4"/>
        </w:pBdr>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项目概况</w:t>
      </w:r>
    </w:p>
    <w:p w14:paraId="6AC83045">
      <w:pPr>
        <w:pBdr>
          <w:top w:val="single" w:color="auto" w:sz="4" w:space="1"/>
          <w:left w:val="single" w:color="auto" w:sz="4" w:space="4"/>
          <w:bottom w:val="single" w:color="auto" w:sz="4" w:space="1"/>
          <w:right w:val="single" w:color="auto" w:sz="4" w:space="4"/>
        </w:pBdr>
        <w:spacing w:line="240" w:lineRule="auto"/>
        <w:ind w:firstLine="420" w:firstLineChars="200"/>
        <w:rPr>
          <w:rFonts w:hint="eastAsia" w:ascii="仿宋" w:hAnsi="仿宋" w:eastAsia="仿宋" w:cs="仿宋"/>
          <w:bCs/>
          <w:color w:val="auto"/>
          <w:kern w:val="2"/>
          <w:sz w:val="21"/>
          <w:szCs w:val="21"/>
          <w:lang w:val="en-US" w:eastAsia="zh-CN" w:bidi="ar-SA"/>
        </w:rPr>
      </w:pPr>
      <w:r>
        <w:rPr>
          <w:rFonts w:hint="eastAsia" w:ascii="仿宋" w:hAnsi="仿宋" w:eastAsia="仿宋" w:cs="仿宋"/>
          <w:color w:val="auto"/>
          <w:sz w:val="21"/>
          <w:szCs w:val="21"/>
          <w:u w:val="single"/>
        </w:rPr>
        <w:t>洛浦县杭桂镇托万皮切克其村老旧温室大棚改造提升项目的潜在投标人应在政采云平台https://www.zcygov.cn/线上</w:t>
      </w:r>
      <w:r>
        <w:rPr>
          <w:rFonts w:hint="eastAsia" w:ascii="仿宋" w:hAnsi="仿宋" w:eastAsia="仿宋" w:cs="仿宋"/>
          <w:color w:val="auto"/>
          <w:sz w:val="21"/>
          <w:szCs w:val="21"/>
          <w:u w:val="single"/>
          <w:lang w:eastAsia="zh-CN"/>
        </w:rPr>
        <w:t>（</w:t>
      </w:r>
      <w:r>
        <w:rPr>
          <w:rFonts w:hint="eastAsia" w:ascii="仿宋" w:hAnsi="仿宋" w:eastAsia="仿宋" w:cs="仿宋"/>
          <w:color w:val="auto"/>
          <w:sz w:val="21"/>
          <w:szCs w:val="21"/>
          <w:u w:val="single"/>
          <w:lang w:val="en-US" w:eastAsia="zh-CN"/>
        </w:rPr>
        <w:t>进入</w:t>
      </w:r>
      <w:r>
        <w:rPr>
          <w:rFonts w:hint="eastAsia" w:ascii="仿宋" w:hAnsi="仿宋" w:eastAsia="仿宋" w:cs="仿宋"/>
          <w:color w:val="auto"/>
          <w:sz w:val="21"/>
          <w:szCs w:val="21"/>
          <w:u w:val="single"/>
          <w:lang w:eastAsia="zh-CN"/>
        </w:rPr>
        <w:t>“</w:t>
      </w:r>
      <w:r>
        <w:rPr>
          <w:rFonts w:hint="eastAsia" w:ascii="仿宋" w:hAnsi="仿宋" w:eastAsia="仿宋" w:cs="仿宋"/>
          <w:color w:val="auto"/>
          <w:sz w:val="21"/>
          <w:szCs w:val="21"/>
          <w:u w:val="single"/>
          <w:lang w:val="en-US" w:eastAsia="zh-CN"/>
        </w:rPr>
        <w:t>项目采购</w:t>
      </w:r>
      <w:r>
        <w:rPr>
          <w:rFonts w:hint="eastAsia" w:ascii="仿宋" w:hAnsi="仿宋" w:eastAsia="仿宋" w:cs="仿宋"/>
          <w:color w:val="auto"/>
          <w:sz w:val="21"/>
          <w:szCs w:val="21"/>
          <w:u w:val="single"/>
          <w:lang w:eastAsia="zh-CN"/>
        </w:rPr>
        <w:t>”</w:t>
      </w:r>
      <w:r>
        <w:rPr>
          <w:rFonts w:hint="eastAsia" w:ascii="仿宋" w:hAnsi="仿宋" w:eastAsia="仿宋" w:cs="仿宋"/>
          <w:color w:val="auto"/>
          <w:sz w:val="21"/>
          <w:szCs w:val="21"/>
          <w:u w:val="single"/>
          <w:lang w:val="en-US" w:eastAsia="zh-CN"/>
        </w:rPr>
        <w:t>应用，在获取采购文件菜单中选择项目，申请获取采购文件）</w:t>
      </w:r>
      <w:r>
        <w:rPr>
          <w:rFonts w:hint="eastAsia" w:ascii="仿宋" w:hAnsi="仿宋" w:eastAsia="仿宋" w:cs="仿宋"/>
          <w:color w:val="auto"/>
          <w:sz w:val="21"/>
          <w:szCs w:val="21"/>
        </w:rPr>
        <w:t>获取（下载）</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，并于</w:t>
      </w:r>
      <w:r>
        <w:rPr>
          <w:rFonts w:hint="eastAsia" w:ascii="仿宋" w:hAnsi="仿宋" w:eastAsia="仿宋" w:cs="仿宋"/>
          <w:color w:val="auto"/>
          <w:sz w:val="21"/>
          <w:szCs w:val="21"/>
          <w:highlight w:val="none"/>
          <w:u w:val="single"/>
          <w:lang w:val="en-US" w:eastAsia="zh-CN"/>
        </w:rPr>
        <w:t>2025</w:t>
      </w:r>
      <w:r>
        <w:rPr>
          <w:rFonts w:hint="eastAsia" w:ascii="仿宋" w:hAnsi="仿宋" w:eastAsia="仿宋" w:cs="仿宋"/>
          <w:color w:val="auto"/>
          <w:sz w:val="21"/>
          <w:szCs w:val="21"/>
          <w:highlight w:val="none"/>
          <w:u w:val="single"/>
          <w:lang w:eastAsia="zh-CN"/>
        </w:rPr>
        <w:t>年</w:t>
      </w:r>
      <w:r>
        <w:rPr>
          <w:rFonts w:hint="eastAsia" w:ascii="仿宋" w:hAnsi="仿宋" w:eastAsia="仿宋" w:cs="仿宋"/>
          <w:color w:val="auto"/>
          <w:sz w:val="21"/>
          <w:szCs w:val="21"/>
          <w:highlight w:val="none"/>
          <w:u w:val="single"/>
          <w:lang w:val="en-US" w:eastAsia="zh-CN"/>
        </w:rPr>
        <w:t>04</w:t>
      </w:r>
      <w:r>
        <w:rPr>
          <w:rFonts w:hint="eastAsia" w:ascii="仿宋" w:hAnsi="仿宋" w:eastAsia="仿宋" w:cs="仿宋"/>
          <w:color w:val="auto"/>
          <w:sz w:val="21"/>
          <w:szCs w:val="21"/>
          <w:highlight w:val="none"/>
          <w:u w:val="single"/>
          <w:lang w:eastAsia="zh-CN"/>
        </w:rPr>
        <w:t>月</w:t>
      </w:r>
      <w:r>
        <w:rPr>
          <w:rFonts w:hint="eastAsia" w:ascii="仿宋" w:hAnsi="仿宋" w:eastAsia="仿宋" w:cs="仿宋"/>
          <w:color w:val="auto"/>
          <w:sz w:val="21"/>
          <w:szCs w:val="21"/>
          <w:highlight w:val="none"/>
          <w:u w:val="single"/>
          <w:lang w:val="en-US" w:eastAsia="zh-CN"/>
        </w:rPr>
        <w:t>14</w:t>
      </w:r>
      <w:r>
        <w:rPr>
          <w:rFonts w:hint="eastAsia" w:ascii="仿宋" w:hAnsi="仿宋" w:eastAsia="仿宋" w:cs="仿宋"/>
          <w:color w:val="auto"/>
          <w:sz w:val="21"/>
          <w:szCs w:val="21"/>
          <w:highlight w:val="none"/>
          <w:u w:val="single"/>
          <w:lang w:eastAsia="zh-CN"/>
        </w:rPr>
        <w:t>日</w:t>
      </w:r>
      <w:r>
        <w:rPr>
          <w:rFonts w:hint="eastAsia" w:ascii="仿宋" w:hAnsi="仿宋" w:eastAsia="仿宋" w:cs="仿宋"/>
          <w:color w:val="auto"/>
          <w:sz w:val="21"/>
          <w:szCs w:val="21"/>
          <w:highlight w:val="none"/>
          <w:u w:val="single"/>
          <w:lang w:val="en-US" w:eastAsia="zh-CN"/>
        </w:rPr>
        <w:t>11</w:t>
      </w: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u w:val="single"/>
          <w:lang w:val="en-US" w:eastAsia="zh-CN"/>
        </w:rPr>
        <w:t>0</w:t>
      </w:r>
      <w:r>
        <w:rPr>
          <w:rFonts w:hint="eastAsia" w:ascii="仿宋" w:hAnsi="仿宋" w:eastAsia="仿宋" w:cs="仿宋"/>
          <w:color w:val="auto"/>
          <w:sz w:val="21"/>
          <w:szCs w:val="21"/>
          <w:highlight w:val="none"/>
          <w:u w:val="single"/>
        </w:rPr>
        <w:t>0 </w:t>
      </w:r>
      <w:r>
        <w:rPr>
          <w:rFonts w:hint="eastAsia" w:ascii="仿宋" w:hAnsi="仿宋" w:eastAsia="仿宋" w:cs="仿宋"/>
          <w:color w:val="auto"/>
          <w:sz w:val="21"/>
          <w:szCs w:val="21"/>
        </w:rPr>
        <w:t>（北京时间）前递交（上传）</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w:t>
      </w:r>
    </w:p>
    <w:p w14:paraId="37748BC0">
      <w:pPr>
        <w:numPr>
          <w:ilvl w:val="0"/>
          <w:numId w:val="2"/>
        </w:numPr>
        <w:spacing w:line="24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项目基本情况</w:t>
      </w:r>
    </w:p>
    <w:p w14:paraId="72837382">
      <w:pPr>
        <w:pStyle w:val="22"/>
        <w:keepNext w:val="0"/>
        <w:keepLines w:val="0"/>
        <w:widowControl/>
        <w:suppressLineNumbers w:val="0"/>
        <w:spacing w:before="75" w:beforeAutospacing="0" w:after="75" w:afterAutospacing="0" w:line="240" w:lineRule="auto"/>
        <w:ind w:left="0" w:right="0" w:firstLine="420"/>
        <w:rPr>
          <w:rFonts w:hint="default" w:ascii="仿宋" w:hAnsi="仿宋" w:eastAsia="仿宋" w:cs="仿宋"/>
          <w:color w:val="auto"/>
          <w:kern w:val="2"/>
          <w:sz w:val="21"/>
          <w:szCs w:val="21"/>
          <w:u w:val="none"/>
          <w:lang w:val="en-US" w:eastAsia="zh-CN" w:bidi="ar-SA"/>
        </w:rPr>
      </w:pPr>
      <w:r>
        <w:rPr>
          <w:rFonts w:hint="eastAsia" w:ascii="仿宋" w:hAnsi="仿宋" w:eastAsia="仿宋" w:cs="仿宋"/>
          <w:color w:val="auto"/>
          <w:kern w:val="2"/>
          <w:sz w:val="21"/>
          <w:szCs w:val="21"/>
          <w:u w:val="none"/>
          <w:lang w:val="en-US" w:eastAsia="zh-CN" w:bidi="ar-SA"/>
        </w:rPr>
        <w:t>项目编号：XJPZLP-CG-2025-01</w:t>
      </w:r>
    </w:p>
    <w:p w14:paraId="2EBBA55F">
      <w:pPr>
        <w:pStyle w:val="22"/>
        <w:keepNext w:val="0"/>
        <w:keepLines w:val="0"/>
        <w:widowControl/>
        <w:suppressLineNumbers w:val="0"/>
        <w:spacing w:before="75" w:beforeAutospacing="0" w:after="75" w:afterAutospacing="0" w:line="240" w:lineRule="auto"/>
        <w:ind w:left="0" w:right="0" w:firstLine="420"/>
        <w:rPr>
          <w:rFonts w:hint="eastAsia" w:ascii="仿宋" w:hAnsi="仿宋" w:eastAsia="仿宋" w:cs="仿宋"/>
          <w:color w:val="auto"/>
          <w:kern w:val="2"/>
          <w:sz w:val="21"/>
          <w:szCs w:val="21"/>
          <w:u w:val="none"/>
          <w:lang w:val="en-US" w:eastAsia="zh-CN" w:bidi="ar-SA"/>
        </w:rPr>
      </w:pPr>
      <w:r>
        <w:rPr>
          <w:rFonts w:hint="eastAsia" w:ascii="仿宋" w:hAnsi="仿宋" w:eastAsia="仿宋" w:cs="仿宋"/>
          <w:color w:val="auto"/>
          <w:kern w:val="2"/>
          <w:sz w:val="21"/>
          <w:szCs w:val="21"/>
          <w:u w:val="none"/>
          <w:lang w:val="en-US" w:eastAsia="zh-CN" w:bidi="ar-SA"/>
        </w:rPr>
        <w:t>项目名称：洛浦县杭桂镇托万皮切克其村老旧温室大棚改造提升项目</w:t>
      </w:r>
    </w:p>
    <w:p w14:paraId="1782FFCC">
      <w:pPr>
        <w:pStyle w:val="22"/>
        <w:keepNext w:val="0"/>
        <w:keepLines w:val="0"/>
        <w:widowControl/>
        <w:suppressLineNumbers w:val="0"/>
        <w:spacing w:before="75" w:beforeAutospacing="0" w:after="75" w:afterAutospacing="0" w:line="240" w:lineRule="auto"/>
        <w:ind w:left="0" w:right="0" w:firstLine="420"/>
        <w:rPr>
          <w:rFonts w:hint="default" w:ascii="仿宋" w:hAnsi="仿宋" w:eastAsia="仿宋" w:cs="仿宋"/>
          <w:color w:val="auto"/>
          <w:kern w:val="2"/>
          <w:sz w:val="21"/>
          <w:szCs w:val="21"/>
          <w:u w:val="none"/>
          <w:lang w:val="en-US" w:eastAsia="zh-CN" w:bidi="ar-SA"/>
        </w:rPr>
      </w:pPr>
      <w:r>
        <w:rPr>
          <w:rFonts w:hint="eastAsia" w:ascii="仿宋" w:hAnsi="仿宋" w:eastAsia="仿宋" w:cs="仿宋"/>
          <w:color w:val="auto"/>
          <w:kern w:val="2"/>
          <w:sz w:val="21"/>
          <w:szCs w:val="21"/>
          <w:u w:val="none"/>
          <w:lang w:val="en-US" w:eastAsia="zh-CN" w:bidi="ar-SA"/>
        </w:rPr>
        <w:t>采购方式：竞争性磋商</w:t>
      </w:r>
    </w:p>
    <w:p w14:paraId="6CC1CAA3">
      <w:pPr>
        <w:pStyle w:val="8"/>
        <w:spacing w:line="240" w:lineRule="auto"/>
        <w:ind w:firstLine="420" w:firstLineChars="200"/>
        <w:rPr>
          <w:rFonts w:hint="eastAsia" w:ascii="仿宋" w:hAnsi="仿宋" w:eastAsia="仿宋" w:cs="仿宋"/>
          <w:color w:val="auto"/>
          <w:kern w:val="2"/>
          <w:sz w:val="21"/>
          <w:szCs w:val="21"/>
          <w:u w:val="none"/>
          <w:lang w:val="en-US" w:eastAsia="zh-CN" w:bidi="ar-SA"/>
        </w:rPr>
      </w:pPr>
      <w:r>
        <w:rPr>
          <w:rFonts w:hint="eastAsia" w:ascii="仿宋" w:hAnsi="仿宋" w:eastAsia="仿宋" w:cs="仿宋"/>
          <w:color w:val="auto"/>
          <w:kern w:val="2"/>
          <w:sz w:val="21"/>
          <w:szCs w:val="21"/>
          <w:u w:val="none"/>
          <w:lang w:val="en-US" w:eastAsia="zh-CN" w:bidi="ar-SA"/>
        </w:rPr>
        <w:t>预算金额：117.7515万元</w:t>
      </w:r>
    </w:p>
    <w:p w14:paraId="7BF6044F">
      <w:pPr>
        <w:pStyle w:val="8"/>
        <w:spacing w:line="240" w:lineRule="auto"/>
        <w:ind w:firstLine="420" w:firstLineChars="200"/>
        <w:rPr>
          <w:rFonts w:hint="eastAsia"/>
          <w:u w:val="none"/>
          <w:lang w:val="en-US" w:eastAsia="zh-CN"/>
        </w:rPr>
      </w:pPr>
      <w:r>
        <w:rPr>
          <w:rFonts w:hint="eastAsia" w:ascii="仿宋" w:hAnsi="仿宋" w:eastAsia="仿宋" w:cs="仿宋"/>
          <w:color w:val="auto"/>
          <w:kern w:val="2"/>
          <w:sz w:val="21"/>
          <w:szCs w:val="21"/>
          <w:u w:val="none"/>
          <w:lang w:val="en-US" w:eastAsia="zh-CN" w:bidi="ar-SA"/>
        </w:rPr>
        <w:t xml:space="preserve">最高限价：114.60万元 </w:t>
      </w:r>
    </w:p>
    <w:p w14:paraId="38E32268">
      <w:pPr>
        <w:pageBreakBefore w:val="0"/>
        <w:kinsoku/>
        <w:overflowPunct/>
        <w:topLinePunct w:val="0"/>
        <w:autoSpaceDE/>
        <w:autoSpaceDN/>
        <w:bidi w:val="0"/>
        <w:adjustRightInd/>
        <w:snapToGrid/>
        <w:spacing w:line="240" w:lineRule="auto"/>
        <w:ind w:firstLine="420" w:firstLineChars="200"/>
        <w:textAlignment w:val="auto"/>
        <w:rPr>
          <w:rFonts w:hint="eastAsia" w:ascii="仿宋" w:hAnsi="仿宋" w:eastAsia="仿宋" w:cs="仿宋"/>
          <w:color w:val="auto"/>
          <w:kern w:val="2"/>
          <w:sz w:val="21"/>
          <w:szCs w:val="21"/>
          <w:u w:val="none"/>
          <w:lang w:val="en-US" w:eastAsia="zh-CN" w:bidi="ar-SA"/>
        </w:rPr>
      </w:pPr>
      <w:r>
        <w:rPr>
          <w:rFonts w:hint="eastAsia" w:ascii="仿宋" w:hAnsi="仿宋" w:eastAsia="仿宋" w:cs="仿宋"/>
          <w:color w:val="auto"/>
          <w:kern w:val="2"/>
          <w:sz w:val="21"/>
          <w:szCs w:val="21"/>
          <w:u w:val="none"/>
          <w:lang w:val="en-US" w:eastAsia="zh-CN" w:bidi="ar-SA"/>
        </w:rPr>
        <w:t>采购需求：对洛浦县杭桂镇托万皮切克其村100座老旧温室大棚进行改造提升。主要内容包括：卷帘机侧卷方式改为中卷方式，更换PO膜、更换卡槽卡簧、更换电机、减速机，维修山墙坡面、保温被、耳房门、通风口等。</w:t>
      </w:r>
    </w:p>
    <w:p w14:paraId="01C4B612">
      <w:pPr>
        <w:pStyle w:val="29"/>
        <w:spacing w:line="240" w:lineRule="auto"/>
        <w:ind w:left="0" w:leftChars="0" w:firstLine="420" w:firstLineChars="200"/>
        <w:rPr>
          <w:rFonts w:hint="default" w:ascii="仿宋" w:hAnsi="仿宋" w:eastAsia="仿宋" w:cs="仿宋"/>
          <w:color w:val="FF0000"/>
          <w:kern w:val="2"/>
          <w:sz w:val="21"/>
          <w:szCs w:val="21"/>
          <w:lang w:val="en-US" w:eastAsia="zh-CN" w:bidi="ar-SA"/>
        </w:rPr>
      </w:pPr>
      <w:r>
        <w:rPr>
          <w:rFonts w:hint="eastAsia" w:ascii="仿宋" w:hAnsi="仿宋" w:eastAsia="仿宋" w:cs="仿宋"/>
          <w:color w:val="auto"/>
          <w:kern w:val="2"/>
          <w:sz w:val="21"/>
          <w:szCs w:val="21"/>
          <w:lang w:val="en-US" w:eastAsia="zh-CN" w:bidi="ar-SA"/>
        </w:rPr>
        <w:t>合同履行期限：120日历天</w:t>
      </w:r>
    </w:p>
    <w:p w14:paraId="0FA68B61">
      <w:pPr>
        <w:pStyle w:val="29"/>
        <w:spacing w:line="240" w:lineRule="auto"/>
        <w:ind w:left="0" w:leftChars="0" w:firstLine="420" w:firstLineChars="20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本项目（否）接受联合体投标</w:t>
      </w:r>
    </w:p>
    <w:p w14:paraId="2D43398A">
      <w:pPr>
        <w:pStyle w:val="22"/>
        <w:keepNext w:val="0"/>
        <w:keepLines w:val="0"/>
        <w:pageBreakBefore w:val="0"/>
        <w:widowControl/>
        <w:numPr>
          <w:ilvl w:val="0"/>
          <w:numId w:val="2"/>
        </w:numPr>
        <w:suppressLineNumbers w:val="0"/>
        <w:kinsoku/>
        <w:wordWrap/>
        <w:overflowPunct/>
        <w:topLinePunct w:val="0"/>
        <w:autoSpaceDE/>
        <w:autoSpaceDN/>
        <w:bidi w:val="0"/>
        <w:adjustRightInd/>
        <w:spacing w:before="75" w:beforeAutospacing="0" w:after="75" w:afterAutospacing="0" w:line="240" w:lineRule="auto"/>
        <w:ind w:left="0" w:leftChars="0" w:right="0" w:firstLine="0" w:firstLineChars="0"/>
        <w:textAlignment w:val="auto"/>
        <w:outlineLvl w:val="2"/>
        <w:rPr>
          <w:rStyle w:val="27"/>
          <w:rFonts w:hint="eastAsia" w:ascii="仿宋" w:hAnsi="仿宋" w:eastAsia="仿宋" w:cs="仿宋"/>
          <w:color w:val="auto"/>
          <w:sz w:val="21"/>
          <w:szCs w:val="21"/>
        </w:rPr>
      </w:pPr>
      <w:r>
        <w:rPr>
          <w:rStyle w:val="27"/>
          <w:rFonts w:hint="eastAsia" w:ascii="仿宋" w:hAnsi="仿宋" w:eastAsia="仿宋" w:cs="仿宋"/>
          <w:color w:val="auto"/>
          <w:sz w:val="21"/>
          <w:szCs w:val="21"/>
          <w:lang w:eastAsia="zh-CN"/>
        </w:rPr>
        <w:t>申请人的</w:t>
      </w:r>
      <w:r>
        <w:rPr>
          <w:rStyle w:val="27"/>
          <w:rFonts w:hint="eastAsia" w:ascii="仿宋" w:hAnsi="仿宋" w:eastAsia="仿宋" w:cs="仿宋"/>
          <w:color w:val="auto"/>
          <w:sz w:val="21"/>
          <w:szCs w:val="21"/>
        </w:rPr>
        <w:t>资格要求：</w:t>
      </w:r>
      <w:bookmarkStart w:id="12" w:name="_Toc23893"/>
    </w:p>
    <w:bookmarkEnd w:id="12"/>
    <w:p w14:paraId="0958E41D">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1.供应商必须符合《中华人民共和国政府采购法》第二十二条规定：</w:t>
      </w:r>
    </w:p>
    <w:p w14:paraId="0C5F5155">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2E45E69A">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pPr>
      <w:r>
        <w:rPr>
          <w:rFonts w:hint="eastAsia" w:ascii="仿宋" w:hAnsi="仿宋" w:eastAsia="仿宋" w:cs="仿宋"/>
          <w:color w:val="auto"/>
          <w:sz w:val="21"/>
          <w:szCs w:val="21"/>
          <w:highlight w:val="none"/>
          <w:lang w:val="en-US" w:eastAsia="zh-CN"/>
        </w:rPr>
        <w:t>（2）</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有依法缴纳税收和社会保障资金的良好记录：提供税务机关出具近三个月的完税证明（新成立不足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提供近段时间内指本单位连续三个月（指2025年01月至03月）的缴纳社保证明材料（社保证明材料须是社保局出具的缴纳证明或社保系统导出的缴纳汇总凭证，新成立的公司按实际发生提供，如依法不需要缴纳社会保障资金的，应提供相应文件证明）；</w:t>
      </w:r>
    </w:p>
    <w:p w14:paraId="26577AA7">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具有良好的商业信誉和健全的财务会计制度：提供2023或2024年度第三方审计机构出具的审计报告（2024年新成立的公司按实际发生的情况提供近三个月银行出具的资信证明）；</w:t>
      </w:r>
    </w:p>
    <w:p w14:paraId="6C354348">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（4）具备履行合同所必需的设备和专业技术能力：提供《供应商资格声明函》；</w:t>
      </w:r>
    </w:p>
    <w:p w14:paraId="0E50B7AB">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参加采购活动前3年内，在经营活动中没有重大违法记录（提供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01A998C6">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近三年拟参加本次招标项目的供应商在“信用中国（www.creditchina.gov.cn）”被列入失信被执行人、重大税收违法案件当事人名单、政府采购严重违法失信名单（尚在处罚期内的）；在“中国政府采购网（www.ccgp.gov.cn）”被列入政府采购严重违法失信行为记录名单的（尚在处罚期内的），将拒绝其参与本次政府采购活动；</w:t>
      </w:r>
    </w:p>
    <w:p w14:paraId="0597E44D">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（7）企业负责人为同一人或者存在直接控股、管理关系的不同供应商，不得参加同一合同项下的政府采购活动（提供声明函），否则，皆取消投标资格。</w:t>
      </w:r>
    </w:p>
    <w:p w14:paraId="30E335F8">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（8）投标保证金或电子保函：10000.00元 （大写：壹万元整）</w:t>
      </w:r>
    </w:p>
    <w:p w14:paraId="5D9B8617">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（9）本项目不接受联合体投标。</w:t>
      </w:r>
    </w:p>
    <w:p w14:paraId="12FCAE78">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2、落实政府采购政策需满足的资格要求：</w:t>
      </w:r>
    </w:p>
    <w:p w14:paraId="40FDCEED">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2.1、中小企业政策</w:t>
      </w:r>
    </w:p>
    <w:p w14:paraId="179F1C7B">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□本项目不专门面向中小企业预留采购份额。</w:t>
      </w:r>
    </w:p>
    <w:p w14:paraId="48F9FC56">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☑本项目专门面向 ☑中小 □小微企业 采购。即：提供的货物或服务全部由符合政策要求的中小/小微企业制造、服务全部由符合政策要求的中小/小微企业承接。</w:t>
      </w:r>
    </w:p>
    <w:p w14:paraId="33683623">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2.2 其它落实政府采购政策的资格要求</w:t>
      </w:r>
    </w:p>
    <w:p w14:paraId="43EDED74">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（1）财政部、国家发展改革委、生态环境部、市场监管总局《关于调整优化节能产品、环境标志产品政府采购执行机制的通知》（财库[2019]9号文）；</w:t>
      </w:r>
    </w:p>
    <w:p w14:paraId="2B0D0C0D">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（2）财政部、生态环境部《关于印发环境标志产品政府采购品目清单的通知》（财库[2019]18号文）；</w:t>
      </w:r>
    </w:p>
    <w:p w14:paraId="26112B42">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（3）财政部、发展改革委《关于印发节能产品政府采购品目清单的通知》（财库[2019]19号文）；</w:t>
      </w:r>
    </w:p>
    <w:p w14:paraId="40CE92A7">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（4）市场监管总局《市场监管总局关于发布参与实施政府采购节能产品、环境标志产品认证机构名录的公告》（2019年第16号）；</w:t>
      </w:r>
    </w:p>
    <w:p w14:paraId="54FE61FE">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（5）财政部、工业和信息化部《关于印发《政府采购促进中小企业发展管理办法》的通知》（财库[2020]46号文）《关于进一步加大政府采购支持中小企业力度的通知》（财库[2022]19号文）执行；</w:t>
      </w:r>
    </w:p>
    <w:p w14:paraId="12AB3ABB">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（6）财政部、民政部、中国残疾人联合会《关于促进残疾人就业政府采购政策的通知》（财库[2017]141号）；</w:t>
      </w:r>
    </w:p>
    <w:p w14:paraId="5AD1B198">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（7）财政部、SF部《关于政府采购支持JY企业发展有关问题的通知》（财库[2014]68号文）；</w:t>
      </w:r>
    </w:p>
    <w:p w14:paraId="638CCE85">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（8）财政部、生态环境部、国家邮政局《关于印发《商品包装政府采购需求标准（试行）》、 《快递包装政府采购需求标准（试行）》的通知》（财办库〔2020〕123号）。</w:t>
      </w:r>
    </w:p>
    <w:p w14:paraId="714C1484">
      <w:pPr>
        <w:keepNext w:val="0"/>
        <w:keepLines w:val="0"/>
        <w:pageBreakBefore w:val="0"/>
        <w:widowControl w:val="0"/>
        <w:kinsoku/>
        <w:wordWrap/>
        <w:overflowPunct/>
        <w:topLinePunct w:val="0"/>
        <w:autoSpaceDE/>
        <w:autoSpaceDN/>
        <w:bidi w:val="0"/>
        <w:adjustRightInd/>
        <w:snapToGrid/>
        <w:spacing w:line="360" w:lineRule="exact"/>
        <w:ind w:left="0" w:leftChars="0" w:firstLine="210" w:firstLineChars="1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3、本项目的特定资格要求</w:t>
      </w:r>
    </w:p>
    <w:p w14:paraId="1664E507">
      <w:pPr>
        <w:pStyle w:val="19"/>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投标人须具备房屋建筑总承包叁级(含)以上资质，并在人员、设备、资金等方面具有相应的施工能力，有安全生产许可证，区外企业已进行区外进疆建筑企业信息报送。项目负责人须具备房屋建筑专业注册贰级建造师（含贰级）及以上执业资格，具备有效的安全生产考核合格证书，且未担任其他在施建设工程项目的项目负责人。</w:t>
      </w:r>
    </w:p>
    <w:p w14:paraId="4C52E0B9">
      <w:pPr>
        <w:pStyle w:val="22"/>
        <w:widowControl/>
        <w:numPr>
          <w:ilvl w:val="0"/>
          <w:numId w:val="0"/>
        </w:numPr>
        <w:spacing w:before="75" w:beforeAutospacing="0" w:after="75" w:afterAutospacing="0" w:line="240" w:lineRule="auto"/>
        <w:rPr>
          <w:rStyle w:val="27"/>
          <w:rFonts w:hint="eastAsia" w:ascii="仿宋" w:hAnsi="仿宋" w:eastAsia="仿宋" w:cs="仿宋"/>
          <w:color w:val="auto"/>
          <w:sz w:val="21"/>
          <w:szCs w:val="21"/>
          <w:lang w:eastAsia="zh-CN"/>
        </w:rPr>
      </w:pPr>
      <w:r>
        <w:rPr>
          <w:rStyle w:val="27"/>
          <w:rFonts w:hint="eastAsia" w:ascii="仿宋" w:hAnsi="仿宋" w:eastAsia="仿宋" w:cs="仿宋"/>
          <w:color w:val="auto"/>
          <w:sz w:val="21"/>
          <w:szCs w:val="21"/>
          <w:lang w:eastAsia="zh-CN"/>
        </w:rPr>
        <w:t>三、获取（下载）采购文件</w:t>
      </w:r>
    </w:p>
    <w:p w14:paraId="1AD6944C">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时间：</w:t>
      </w:r>
      <w:r>
        <w:rPr>
          <w:rFonts w:hint="eastAsia" w:ascii="仿宋" w:hAnsi="仿宋" w:eastAsia="仿宋" w:cs="仿宋"/>
          <w:color w:val="auto"/>
          <w:sz w:val="21"/>
          <w:szCs w:val="21"/>
          <w:u w:val="single"/>
        </w:rPr>
        <w:t>20</w:t>
      </w:r>
      <w:r>
        <w:rPr>
          <w:rFonts w:hint="eastAsia" w:ascii="仿宋" w:hAnsi="仿宋" w:eastAsia="仿宋" w:cs="仿宋"/>
          <w:color w:val="auto"/>
          <w:sz w:val="21"/>
          <w:szCs w:val="21"/>
          <w:u w:val="single"/>
          <w:lang w:val="en-US" w:eastAsia="zh-CN"/>
        </w:rPr>
        <w:t>25</w:t>
      </w:r>
      <w:r>
        <w:rPr>
          <w:rFonts w:hint="eastAsia" w:ascii="仿宋" w:hAnsi="仿宋" w:eastAsia="仿宋" w:cs="仿宋"/>
          <w:color w:val="auto"/>
          <w:sz w:val="21"/>
          <w:szCs w:val="21"/>
          <w:u w:val="single"/>
        </w:rPr>
        <w:t>年</w:t>
      </w:r>
      <w:r>
        <w:rPr>
          <w:rFonts w:hint="eastAsia" w:ascii="仿宋" w:hAnsi="仿宋" w:eastAsia="仿宋" w:cs="仿宋"/>
          <w:color w:val="auto"/>
          <w:sz w:val="21"/>
          <w:szCs w:val="21"/>
          <w:u w:val="single"/>
          <w:lang w:val="en-US" w:eastAsia="zh-CN"/>
        </w:rPr>
        <w:t>04</w:t>
      </w:r>
      <w:r>
        <w:rPr>
          <w:rFonts w:hint="eastAsia" w:ascii="仿宋" w:hAnsi="仿宋" w:eastAsia="仿宋" w:cs="仿宋"/>
          <w:color w:val="auto"/>
          <w:sz w:val="21"/>
          <w:szCs w:val="21"/>
          <w:u w:val="single"/>
        </w:rPr>
        <w:t>月</w:t>
      </w:r>
      <w:r>
        <w:rPr>
          <w:rFonts w:hint="eastAsia" w:ascii="仿宋" w:hAnsi="仿宋" w:eastAsia="仿宋" w:cs="仿宋"/>
          <w:color w:val="auto"/>
          <w:sz w:val="21"/>
          <w:szCs w:val="21"/>
          <w:u w:val="single"/>
          <w:lang w:val="en-US" w:eastAsia="zh-CN"/>
        </w:rPr>
        <w:t>04</w:t>
      </w:r>
      <w:r>
        <w:rPr>
          <w:rFonts w:hint="eastAsia" w:ascii="仿宋" w:hAnsi="仿宋" w:eastAsia="仿宋" w:cs="仿宋"/>
          <w:color w:val="auto"/>
          <w:sz w:val="21"/>
          <w:szCs w:val="21"/>
          <w:u w:val="single"/>
        </w:rPr>
        <w:t>日</w:t>
      </w:r>
      <w:r>
        <w:rPr>
          <w:rFonts w:hint="eastAsia" w:ascii="仿宋" w:hAnsi="仿宋" w:eastAsia="仿宋" w:cs="仿宋"/>
          <w:color w:val="auto"/>
          <w:sz w:val="21"/>
          <w:szCs w:val="21"/>
        </w:rPr>
        <w:t>至</w:t>
      </w:r>
      <w:r>
        <w:rPr>
          <w:rFonts w:hint="eastAsia" w:ascii="仿宋" w:hAnsi="仿宋" w:eastAsia="仿宋" w:cs="仿宋"/>
          <w:color w:val="auto"/>
          <w:sz w:val="21"/>
          <w:szCs w:val="21"/>
          <w:u w:val="single"/>
        </w:rPr>
        <w:t>2</w:t>
      </w:r>
      <w:r>
        <w:rPr>
          <w:rFonts w:hint="eastAsia" w:ascii="仿宋" w:hAnsi="仿宋" w:eastAsia="仿宋" w:cs="仿宋"/>
          <w:color w:val="auto"/>
          <w:sz w:val="21"/>
          <w:szCs w:val="21"/>
          <w:u w:val="single"/>
          <w:lang w:val="en-US" w:eastAsia="zh-CN"/>
        </w:rPr>
        <w:t>025</w:t>
      </w:r>
      <w:r>
        <w:rPr>
          <w:rFonts w:hint="eastAsia" w:ascii="仿宋" w:hAnsi="仿宋" w:eastAsia="仿宋" w:cs="仿宋"/>
          <w:color w:val="auto"/>
          <w:sz w:val="21"/>
          <w:szCs w:val="21"/>
          <w:u w:val="single"/>
        </w:rPr>
        <w:t>年</w:t>
      </w:r>
      <w:r>
        <w:rPr>
          <w:rFonts w:hint="eastAsia" w:ascii="仿宋" w:hAnsi="仿宋" w:eastAsia="仿宋" w:cs="仿宋"/>
          <w:color w:val="auto"/>
          <w:sz w:val="21"/>
          <w:szCs w:val="21"/>
          <w:u w:val="single"/>
          <w:lang w:val="en-US" w:eastAsia="zh-CN"/>
        </w:rPr>
        <w:t>04</w:t>
      </w:r>
      <w:r>
        <w:rPr>
          <w:rFonts w:hint="eastAsia" w:ascii="仿宋" w:hAnsi="仿宋" w:eastAsia="仿宋" w:cs="仿宋"/>
          <w:color w:val="auto"/>
          <w:sz w:val="21"/>
          <w:szCs w:val="21"/>
          <w:u w:val="single"/>
        </w:rPr>
        <w:t>月</w:t>
      </w:r>
      <w:r>
        <w:rPr>
          <w:rFonts w:hint="eastAsia" w:ascii="仿宋" w:hAnsi="仿宋" w:eastAsia="仿宋" w:cs="仿宋"/>
          <w:color w:val="auto"/>
          <w:sz w:val="21"/>
          <w:szCs w:val="21"/>
          <w:u w:val="single"/>
          <w:lang w:val="en-US" w:eastAsia="zh-CN"/>
        </w:rPr>
        <w:t>13</w:t>
      </w:r>
      <w:r>
        <w:rPr>
          <w:rFonts w:hint="eastAsia" w:ascii="仿宋" w:hAnsi="仿宋" w:eastAsia="仿宋" w:cs="仿宋"/>
          <w:color w:val="auto"/>
          <w:sz w:val="21"/>
          <w:szCs w:val="21"/>
          <w:u w:val="single"/>
        </w:rPr>
        <w:t>日</w:t>
      </w:r>
      <w:r>
        <w:rPr>
          <w:rFonts w:hint="eastAsia" w:ascii="仿宋" w:hAnsi="仿宋" w:eastAsia="仿宋" w:cs="仿宋"/>
          <w:color w:val="auto"/>
          <w:sz w:val="21"/>
          <w:szCs w:val="21"/>
          <w:u w:val="single"/>
          <w:lang w:eastAsia="zh-CN"/>
        </w:rPr>
        <w:t>，</w:t>
      </w:r>
      <w:r>
        <w:rPr>
          <w:rFonts w:hint="eastAsia" w:ascii="仿宋" w:hAnsi="仿宋" w:eastAsia="仿宋" w:cs="仿宋"/>
          <w:color w:val="auto"/>
          <w:sz w:val="21"/>
          <w:szCs w:val="21"/>
        </w:rPr>
        <w:t>每天上午</w:t>
      </w:r>
      <w:r>
        <w:rPr>
          <w:rFonts w:hint="eastAsia" w:ascii="仿宋" w:hAnsi="仿宋" w:eastAsia="仿宋" w:cs="仿宋"/>
          <w:color w:val="auto"/>
          <w:sz w:val="21"/>
          <w:szCs w:val="21"/>
          <w:u w:val="single"/>
          <w:lang w:val="en-US" w:eastAsia="zh-CN"/>
        </w:rPr>
        <w:t>00</w:t>
      </w:r>
      <w:r>
        <w:rPr>
          <w:rFonts w:hint="eastAsia" w:ascii="仿宋" w:hAnsi="仿宋" w:eastAsia="仿宋" w:cs="仿宋"/>
          <w:color w:val="auto"/>
          <w:sz w:val="21"/>
          <w:szCs w:val="21"/>
          <w:u w:val="single"/>
        </w:rPr>
        <w:t>:00至1</w:t>
      </w:r>
      <w:r>
        <w:rPr>
          <w:rFonts w:hint="eastAsia" w:ascii="仿宋" w:hAnsi="仿宋" w:eastAsia="仿宋" w:cs="仿宋"/>
          <w:color w:val="auto"/>
          <w:sz w:val="21"/>
          <w:szCs w:val="21"/>
          <w:u w:val="single"/>
          <w:lang w:val="en-US" w:eastAsia="zh-CN"/>
        </w:rPr>
        <w:t>2</w:t>
      </w:r>
      <w:r>
        <w:rPr>
          <w:rFonts w:hint="eastAsia" w:ascii="仿宋" w:hAnsi="仿宋" w:eastAsia="仿宋" w:cs="仿宋"/>
          <w:color w:val="auto"/>
          <w:sz w:val="21"/>
          <w:szCs w:val="21"/>
          <w:u w:val="single"/>
        </w:rPr>
        <w:t>:</w:t>
      </w:r>
      <w:r>
        <w:rPr>
          <w:rFonts w:hint="eastAsia" w:ascii="仿宋" w:hAnsi="仿宋" w:eastAsia="仿宋" w:cs="仿宋"/>
          <w:color w:val="auto"/>
          <w:sz w:val="21"/>
          <w:szCs w:val="21"/>
          <w:u w:val="single"/>
          <w:lang w:val="en-US" w:eastAsia="zh-CN"/>
        </w:rPr>
        <w:t>0</w:t>
      </w:r>
      <w:r>
        <w:rPr>
          <w:rFonts w:hint="eastAsia" w:ascii="仿宋" w:hAnsi="仿宋" w:eastAsia="仿宋" w:cs="仿宋"/>
          <w:color w:val="auto"/>
          <w:sz w:val="21"/>
          <w:szCs w:val="21"/>
          <w:u w:val="single"/>
        </w:rPr>
        <w:t>0</w:t>
      </w:r>
      <w:r>
        <w:rPr>
          <w:rFonts w:hint="eastAsia" w:ascii="仿宋" w:hAnsi="仿宋" w:eastAsia="仿宋" w:cs="仿宋"/>
          <w:color w:val="auto"/>
          <w:sz w:val="21"/>
          <w:szCs w:val="21"/>
        </w:rPr>
        <w:t>，下午</w:t>
      </w:r>
      <w:r>
        <w:rPr>
          <w:rFonts w:hint="eastAsia" w:ascii="仿宋" w:hAnsi="仿宋" w:eastAsia="仿宋" w:cs="仿宋"/>
          <w:color w:val="auto"/>
          <w:sz w:val="21"/>
          <w:szCs w:val="21"/>
          <w:u w:val="single"/>
        </w:rPr>
        <w:t>1</w:t>
      </w:r>
      <w:r>
        <w:rPr>
          <w:rFonts w:hint="eastAsia" w:ascii="仿宋" w:hAnsi="仿宋" w:eastAsia="仿宋" w:cs="仿宋"/>
          <w:color w:val="auto"/>
          <w:sz w:val="21"/>
          <w:szCs w:val="21"/>
          <w:u w:val="single"/>
          <w:lang w:val="en-US" w:eastAsia="zh-CN"/>
        </w:rPr>
        <w:t>2</w:t>
      </w:r>
      <w:r>
        <w:rPr>
          <w:rFonts w:hint="eastAsia" w:ascii="仿宋" w:hAnsi="仿宋" w:eastAsia="仿宋" w:cs="仿宋"/>
          <w:color w:val="auto"/>
          <w:sz w:val="21"/>
          <w:szCs w:val="21"/>
          <w:u w:val="single"/>
        </w:rPr>
        <w:t>:</w:t>
      </w:r>
      <w:r>
        <w:rPr>
          <w:rFonts w:hint="eastAsia" w:ascii="仿宋" w:hAnsi="仿宋" w:eastAsia="仿宋" w:cs="仿宋"/>
          <w:color w:val="auto"/>
          <w:sz w:val="21"/>
          <w:szCs w:val="21"/>
          <w:u w:val="single"/>
          <w:lang w:val="en-US" w:eastAsia="zh-CN"/>
        </w:rPr>
        <w:t>0</w:t>
      </w:r>
      <w:r>
        <w:rPr>
          <w:rFonts w:hint="eastAsia" w:ascii="仿宋" w:hAnsi="仿宋" w:eastAsia="仿宋" w:cs="仿宋"/>
          <w:color w:val="auto"/>
          <w:sz w:val="21"/>
          <w:szCs w:val="21"/>
          <w:u w:val="single"/>
        </w:rPr>
        <w:t>0至</w:t>
      </w:r>
      <w:r>
        <w:rPr>
          <w:rFonts w:hint="eastAsia" w:ascii="仿宋" w:hAnsi="仿宋" w:eastAsia="仿宋" w:cs="仿宋"/>
          <w:color w:val="auto"/>
          <w:sz w:val="21"/>
          <w:szCs w:val="21"/>
          <w:u w:val="single"/>
          <w:lang w:val="en-US" w:eastAsia="zh-CN"/>
        </w:rPr>
        <w:t>23</w:t>
      </w:r>
      <w:r>
        <w:rPr>
          <w:rFonts w:hint="eastAsia" w:ascii="仿宋" w:hAnsi="仿宋" w:eastAsia="仿宋" w:cs="仿宋"/>
          <w:color w:val="auto"/>
          <w:sz w:val="21"/>
          <w:szCs w:val="21"/>
          <w:u w:val="single"/>
        </w:rPr>
        <w:t>:</w:t>
      </w:r>
      <w:r>
        <w:rPr>
          <w:rFonts w:hint="eastAsia" w:ascii="仿宋" w:hAnsi="仿宋" w:eastAsia="仿宋" w:cs="仿宋"/>
          <w:color w:val="auto"/>
          <w:sz w:val="21"/>
          <w:szCs w:val="21"/>
          <w:u w:val="single"/>
          <w:lang w:val="en-US" w:eastAsia="zh-CN"/>
        </w:rPr>
        <w:t>59</w:t>
      </w:r>
      <w:r>
        <w:rPr>
          <w:rFonts w:hint="eastAsia" w:ascii="仿宋" w:hAnsi="仿宋" w:eastAsia="仿宋" w:cs="仿宋"/>
          <w:color w:val="auto"/>
          <w:sz w:val="21"/>
          <w:szCs w:val="21"/>
        </w:rPr>
        <w:t>（北京时间，线上获取法定节假日均可）</w:t>
      </w:r>
    </w:p>
    <w:p w14:paraId="774ED9B8">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地点：供应商登录政采云平台https://www.zcygov.cn/在线申请获取采购文件（进入“项目采购”应用，在获取采购文件菜单中选择项目，申请获取采购文件）</w:t>
      </w:r>
    </w:p>
    <w:p w14:paraId="5080A418">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方式：线</w:t>
      </w:r>
      <w:r>
        <w:rPr>
          <w:rFonts w:hint="eastAsia" w:ascii="仿宋" w:hAnsi="仿宋" w:eastAsia="仿宋" w:cs="仿宋"/>
          <w:color w:val="auto"/>
          <w:sz w:val="21"/>
          <w:szCs w:val="21"/>
          <w:lang w:eastAsia="zh-CN"/>
        </w:rPr>
        <w:t>上</w:t>
      </w:r>
      <w:r>
        <w:rPr>
          <w:rFonts w:hint="eastAsia" w:ascii="仿宋" w:hAnsi="仿宋" w:eastAsia="仿宋" w:cs="仿宋"/>
          <w:color w:val="auto"/>
          <w:sz w:val="21"/>
          <w:szCs w:val="21"/>
        </w:rPr>
        <w:t>获取  </w:t>
      </w:r>
    </w:p>
    <w:p w14:paraId="1252230B">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售价（元）：0</w:t>
      </w:r>
      <w:r>
        <w:rPr>
          <w:rFonts w:hint="eastAsia" w:ascii="仿宋" w:hAnsi="仿宋" w:eastAsia="仿宋" w:cs="仿宋"/>
          <w:color w:val="auto"/>
          <w:sz w:val="21"/>
          <w:szCs w:val="21"/>
          <w:lang w:eastAsia="zh-CN"/>
        </w:rPr>
        <w:t>元</w:t>
      </w:r>
      <w:r>
        <w:rPr>
          <w:rFonts w:hint="eastAsia" w:ascii="仿宋" w:hAnsi="仿宋" w:eastAsia="仿宋" w:cs="仿宋"/>
          <w:color w:val="auto"/>
          <w:sz w:val="21"/>
          <w:szCs w:val="21"/>
          <w:lang w:val="en-US" w:eastAsia="zh-CN"/>
        </w:rPr>
        <w:t>/本</w:t>
      </w:r>
      <w:r>
        <w:rPr>
          <w:rFonts w:hint="eastAsia" w:ascii="仿宋" w:hAnsi="仿宋" w:eastAsia="仿宋" w:cs="仿宋"/>
          <w:color w:val="auto"/>
          <w:sz w:val="21"/>
          <w:szCs w:val="21"/>
        </w:rPr>
        <w:t>  </w:t>
      </w:r>
    </w:p>
    <w:p w14:paraId="58E50024">
      <w:pPr>
        <w:pStyle w:val="22"/>
        <w:widowControl/>
        <w:numPr>
          <w:ilvl w:val="0"/>
          <w:numId w:val="0"/>
        </w:numPr>
        <w:spacing w:before="75" w:beforeAutospacing="0" w:after="75" w:afterAutospacing="0" w:line="240" w:lineRule="auto"/>
        <w:ind w:firstLine="211" w:firstLineChars="100"/>
        <w:rPr>
          <w:rStyle w:val="27"/>
          <w:rFonts w:hint="eastAsia" w:ascii="仿宋" w:hAnsi="仿宋" w:eastAsia="仿宋" w:cs="仿宋"/>
          <w:color w:val="auto"/>
          <w:sz w:val="21"/>
          <w:szCs w:val="21"/>
          <w:lang w:eastAsia="zh-CN"/>
        </w:rPr>
      </w:pPr>
      <w:r>
        <w:rPr>
          <w:rStyle w:val="27"/>
          <w:rFonts w:hint="eastAsia" w:ascii="仿宋" w:hAnsi="仿宋" w:eastAsia="仿宋" w:cs="仿宋"/>
          <w:color w:val="auto"/>
          <w:sz w:val="21"/>
          <w:szCs w:val="21"/>
          <w:lang w:eastAsia="zh-CN"/>
        </w:rPr>
        <w:t>四、响应文件提交（上传）</w:t>
      </w:r>
    </w:p>
    <w:p w14:paraId="0B8B4E7C">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截止时间</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20</w:t>
      </w:r>
      <w:r>
        <w:rPr>
          <w:rFonts w:hint="eastAsia" w:ascii="仿宋" w:hAnsi="仿宋" w:eastAsia="仿宋" w:cs="仿宋"/>
          <w:color w:val="auto"/>
          <w:sz w:val="21"/>
          <w:szCs w:val="21"/>
          <w:lang w:val="en-US" w:eastAsia="zh-CN"/>
        </w:rPr>
        <w:t>25</w:t>
      </w:r>
      <w:r>
        <w:rPr>
          <w:rFonts w:hint="eastAsia" w:ascii="仿宋" w:hAnsi="仿宋" w:eastAsia="仿宋" w:cs="仿宋"/>
          <w:color w:val="auto"/>
          <w:sz w:val="21"/>
          <w:szCs w:val="21"/>
        </w:rPr>
        <w:t>年</w:t>
      </w:r>
      <w:r>
        <w:rPr>
          <w:rFonts w:hint="eastAsia" w:ascii="仿宋" w:hAnsi="仿宋" w:eastAsia="仿宋" w:cs="仿宋"/>
          <w:color w:val="auto"/>
          <w:sz w:val="21"/>
          <w:szCs w:val="21"/>
          <w:lang w:val="en-US" w:eastAsia="zh-CN"/>
        </w:rPr>
        <w:t>04月14日</w:t>
      </w: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上</w:t>
      </w:r>
      <w:r>
        <w:rPr>
          <w:rFonts w:hint="eastAsia" w:ascii="仿宋" w:hAnsi="仿宋" w:eastAsia="仿宋" w:cs="仿宋"/>
          <w:color w:val="auto"/>
          <w:sz w:val="21"/>
          <w:szCs w:val="21"/>
          <w:lang w:eastAsia="zh-CN"/>
        </w:rPr>
        <w:t>午</w:t>
      </w:r>
      <w:r>
        <w:rPr>
          <w:rFonts w:hint="eastAsia" w:ascii="仿宋" w:hAnsi="仿宋" w:eastAsia="仿宋" w:cs="仿宋"/>
          <w:color w:val="auto"/>
          <w:sz w:val="21"/>
          <w:szCs w:val="21"/>
          <w:lang w:val="en-US" w:eastAsia="zh-CN"/>
        </w:rPr>
        <w:t>11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00</w:t>
      </w:r>
      <w:r>
        <w:rPr>
          <w:rFonts w:hint="eastAsia" w:ascii="仿宋" w:hAnsi="仿宋" w:eastAsia="仿宋" w:cs="仿宋"/>
          <w:color w:val="auto"/>
          <w:sz w:val="21"/>
          <w:szCs w:val="21"/>
        </w:rPr>
        <w:t> （北京时间）</w:t>
      </w:r>
    </w:p>
    <w:p w14:paraId="466596F9">
      <w:pPr>
        <w:spacing w:line="240" w:lineRule="auto"/>
        <w:ind w:firstLine="420" w:firstLineChars="200"/>
        <w:jc w:val="left"/>
        <w:rPr>
          <w:rFonts w:hint="eastAsia" w:ascii="仿宋" w:hAnsi="仿宋" w:eastAsia="仿宋" w:cs="仿宋"/>
          <w:color w:val="auto"/>
          <w:sz w:val="21"/>
          <w:szCs w:val="21"/>
          <w:lang w:eastAsia="zh-CN"/>
        </w:rPr>
      </w:pPr>
      <w:r>
        <w:rPr>
          <w:rFonts w:hint="eastAsia" w:ascii="仿宋" w:hAnsi="仿宋" w:eastAsia="仿宋" w:cs="仿宋"/>
          <w:color w:val="auto"/>
          <w:sz w:val="21"/>
          <w:szCs w:val="21"/>
        </w:rPr>
        <w:t>地点：</w:t>
      </w:r>
      <w:r>
        <w:rPr>
          <w:rFonts w:hint="eastAsia" w:ascii="仿宋" w:hAnsi="仿宋" w:eastAsia="仿宋" w:cs="仿宋"/>
          <w:color w:val="auto"/>
          <w:sz w:val="21"/>
          <w:szCs w:val="21"/>
          <w:lang w:eastAsia="zh-CN"/>
        </w:rPr>
        <w:t>各投标企业于</w:t>
      </w:r>
      <w:r>
        <w:rPr>
          <w:rFonts w:hint="eastAsia" w:ascii="仿宋" w:hAnsi="仿宋" w:eastAsia="仿宋" w:cs="仿宋"/>
          <w:color w:val="auto"/>
          <w:sz w:val="21"/>
          <w:szCs w:val="21"/>
        </w:rPr>
        <w:t>20</w:t>
      </w:r>
      <w:r>
        <w:rPr>
          <w:rFonts w:hint="eastAsia" w:ascii="仿宋" w:hAnsi="仿宋" w:eastAsia="仿宋" w:cs="仿宋"/>
          <w:color w:val="auto"/>
          <w:sz w:val="21"/>
          <w:szCs w:val="21"/>
          <w:lang w:val="en-US" w:eastAsia="zh-CN"/>
        </w:rPr>
        <w:t>25</w:t>
      </w:r>
      <w:r>
        <w:rPr>
          <w:rFonts w:hint="eastAsia" w:ascii="仿宋" w:hAnsi="仿宋" w:eastAsia="仿宋" w:cs="仿宋"/>
          <w:color w:val="auto"/>
          <w:sz w:val="21"/>
          <w:szCs w:val="21"/>
        </w:rPr>
        <w:t>年</w:t>
      </w:r>
      <w:r>
        <w:rPr>
          <w:rFonts w:hint="eastAsia" w:ascii="仿宋" w:hAnsi="仿宋" w:eastAsia="仿宋" w:cs="仿宋"/>
          <w:color w:val="auto"/>
          <w:sz w:val="21"/>
          <w:szCs w:val="21"/>
          <w:lang w:val="en-US" w:eastAsia="zh-CN"/>
        </w:rPr>
        <w:t>04月14日</w:t>
      </w: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上</w:t>
      </w:r>
      <w:r>
        <w:rPr>
          <w:rFonts w:hint="eastAsia" w:ascii="仿宋" w:hAnsi="仿宋" w:eastAsia="仿宋" w:cs="仿宋"/>
          <w:color w:val="auto"/>
          <w:sz w:val="21"/>
          <w:szCs w:val="21"/>
          <w:lang w:eastAsia="zh-CN"/>
        </w:rPr>
        <w:t>午1</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00</w:t>
      </w:r>
      <w:r>
        <w:rPr>
          <w:rFonts w:hint="eastAsia" w:ascii="仿宋" w:hAnsi="仿宋" w:eastAsia="仿宋" w:cs="仿宋"/>
          <w:color w:val="auto"/>
          <w:sz w:val="21"/>
          <w:szCs w:val="21"/>
        </w:rPr>
        <w:t> </w:t>
      </w:r>
      <w:r>
        <w:rPr>
          <w:rFonts w:hint="eastAsia" w:ascii="仿宋" w:hAnsi="仿宋" w:eastAsia="仿宋" w:cs="仿宋"/>
          <w:color w:val="auto"/>
          <w:sz w:val="21"/>
          <w:szCs w:val="21"/>
          <w:lang w:eastAsia="zh-CN"/>
        </w:rPr>
        <w:t>分前通过政采云平台上传响应文件。应按照本项目磋商文件和政采云平台的要求编制、加密传输响应文件。 </w:t>
      </w:r>
    </w:p>
    <w:p w14:paraId="25D275AE">
      <w:pPr>
        <w:pStyle w:val="22"/>
        <w:widowControl/>
        <w:numPr>
          <w:ilvl w:val="0"/>
          <w:numId w:val="0"/>
        </w:numPr>
        <w:spacing w:before="75" w:beforeAutospacing="0" w:after="75" w:afterAutospacing="0" w:line="240" w:lineRule="auto"/>
        <w:ind w:firstLine="211" w:firstLineChars="100"/>
        <w:rPr>
          <w:rStyle w:val="27"/>
          <w:rFonts w:hint="eastAsia" w:ascii="仿宋" w:hAnsi="仿宋" w:eastAsia="仿宋" w:cs="仿宋"/>
          <w:color w:val="auto"/>
          <w:sz w:val="21"/>
          <w:szCs w:val="21"/>
          <w:lang w:eastAsia="zh-CN"/>
        </w:rPr>
      </w:pPr>
      <w:r>
        <w:rPr>
          <w:rStyle w:val="27"/>
          <w:rFonts w:hint="eastAsia" w:ascii="仿宋" w:hAnsi="仿宋" w:eastAsia="仿宋" w:cs="仿宋"/>
          <w:color w:val="auto"/>
          <w:sz w:val="21"/>
          <w:szCs w:val="21"/>
          <w:lang w:eastAsia="zh-CN"/>
        </w:rPr>
        <w:t>五、响应文件开启</w:t>
      </w:r>
    </w:p>
    <w:p w14:paraId="047D9108">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开启时间：</w:t>
      </w:r>
      <w:r>
        <w:rPr>
          <w:rFonts w:hint="eastAsia" w:ascii="仿宋" w:hAnsi="仿宋" w:eastAsia="仿宋" w:cs="仿宋"/>
          <w:color w:val="auto"/>
          <w:sz w:val="21"/>
          <w:szCs w:val="21"/>
          <w:lang w:val="en-US" w:eastAsia="zh-CN"/>
        </w:rPr>
        <w:t>2025</w:t>
      </w:r>
      <w:r>
        <w:rPr>
          <w:rFonts w:hint="eastAsia" w:ascii="仿宋" w:hAnsi="仿宋" w:eastAsia="仿宋" w:cs="仿宋"/>
          <w:color w:val="auto"/>
          <w:sz w:val="21"/>
          <w:szCs w:val="21"/>
        </w:rPr>
        <w:t>年</w:t>
      </w:r>
      <w:r>
        <w:rPr>
          <w:rFonts w:hint="eastAsia" w:ascii="仿宋" w:hAnsi="仿宋" w:eastAsia="仿宋" w:cs="仿宋"/>
          <w:color w:val="auto"/>
          <w:sz w:val="21"/>
          <w:szCs w:val="21"/>
          <w:lang w:val="en-US" w:eastAsia="zh-CN"/>
        </w:rPr>
        <w:t>04月14日</w:t>
      </w: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上</w:t>
      </w:r>
      <w:r>
        <w:rPr>
          <w:rFonts w:hint="eastAsia" w:ascii="仿宋" w:hAnsi="仿宋" w:eastAsia="仿宋" w:cs="仿宋"/>
          <w:color w:val="auto"/>
          <w:sz w:val="21"/>
          <w:szCs w:val="21"/>
          <w:lang w:eastAsia="zh-CN"/>
        </w:rPr>
        <w:t>午</w:t>
      </w:r>
      <w:r>
        <w:rPr>
          <w:rFonts w:hint="eastAsia" w:ascii="仿宋" w:hAnsi="仿宋" w:eastAsia="仿宋" w:cs="仿宋"/>
          <w:color w:val="auto"/>
          <w:sz w:val="21"/>
          <w:szCs w:val="21"/>
          <w:lang w:val="en-US" w:eastAsia="zh-CN"/>
        </w:rPr>
        <w:t>11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00</w:t>
      </w:r>
      <w:r>
        <w:rPr>
          <w:rFonts w:hint="eastAsia" w:ascii="仿宋" w:hAnsi="仿宋" w:eastAsia="仿宋" w:cs="仿宋"/>
          <w:color w:val="auto"/>
          <w:sz w:val="21"/>
          <w:szCs w:val="21"/>
        </w:rPr>
        <w:t> （北京时间）</w:t>
      </w:r>
    </w:p>
    <w:p w14:paraId="294C2A93">
      <w:pPr>
        <w:spacing w:line="240" w:lineRule="auto"/>
        <w:ind w:firstLine="420" w:firstLineChars="200"/>
        <w:jc w:val="left"/>
        <w:rPr>
          <w:rFonts w:hint="eastAsia" w:ascii="仿宋" w:hAnsi="仿宋" w:eastAsia="仿宋" w:cs="仿宋"/>
          <w:color w:val="auto"/>
          <w:sz w:val="21"/>
          <w:szCs w:val="21"/>
          <w:lang w:eastAsia="zh-CN"/>
        </w:rPr>
      </w:pPr>
      <w:r>
        <w:rPr>
          <w:rFonts w:hint="eastAsia" w:ascii="仿宋" w:hAnsi="仿宋" w:eastAsia="仿宋" w:cs="仿宋"/>
          <w:color w:val="auto"/>
          <w:sz w:val="21"/>
          <w:szCs w:val="21"/>
        </w:rPr>
        <w:t>地点：政采云平台不见面开标大厅（网址：https://www.zcygov.cn/）</w:t>
      </w:r>
      <w:r>
        <w:rPr>
          <w:rFonts w:hint="eastAsia" w:ascii="仿宋" w:hAnsi="仿宋" w:eastAsia="仿宋" w:cs="仿宋"/>
          <w:color w:val="auto"/>
          <w:sz w:val="21"/>
          <w:szCs w:val="21"/>
          <w:lang w:eastAsia="zh-CN"/>
        </w:rPr>
        <w:t> </w:t>
      </w:r>
    </w:p>
    <w:p w14:paraId="30DB9008">
      <w:pPr>
        <w:pStyle w:val="22"/>
        <w:widowControl/>
        <w:numPr>
          <w:ilvl w:val="0"/>
          <w:numId w:val="0"/>
        </w:numPr>
        <w:spacing w:before="75" w:beforeAutospacing="0" w:after="75" w:afterAutospacing="0" w:line="240" w:lineRule="auto"/>
        <w:ind w:firstLine="211" w:firstLineChars="100"/>
        <w:rPr>
          <w:rStyle w:val="27"/>
          <w:rFonts w:hint="eastAsia" w:ascii="仿宋" w:hAnsi="仿宋" w:eastAsia="仿宋" w:cs="仿宋"/>
          <w:color w:val="auto"/>
          <w:sz w:val="21"/>
          <w:szCs w:val="21"/>
          <w:lang w:eastAsia="zh-CN"/>
        </w:rPr>
      </w:pPr>
      <w:r>
        <w:rPr>
          <w:rStyle w:val="27"/>
          <w:rFonts w:hint="eastAsia" w:ascii="仿宋" w:hAnsi="仿宋" w:eastAsia="仿宋" w:cs="仿宋"/>
          <w:color w:val="auto"/>
          <w:sz w:val="21"/>
          <w:szCs w:val="21"/>
          <w:lang w:eastAsia="zh-CN"/>
        </w:rPr>
        <w:t>六、公告期限</w:t>
      </w:r>
    </w:p>
    <w:p w14:paraId="5E376CB1">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自本公告发布之日起</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个工作日。</w:t>
      </w:r>
    </w:p>
    <w:p w14:paraId="550FE0C7">
      <w:pPr>
        <w:pStyle w:val="22"/>
        <w:widowControl/>
        <w:numPr>
          <w:ilvl w:val="0"/>
          <w:numId w:val="0"/>
        </w:numPr>
        <w:spacing w:before="75" w:beforeAutospacing="0" w:after="75" w:afterAutospacing="0" w:line="240" w:lineRule="auto"/>
        <w:ind w:firstLine="211" w:firstLineChars="100"/>
        <w:rPr>
          <w:rStyle w:val="27"/>
          <w:rFonts w:hint="eastAsia" w:ascii="仿宋" w:hAnsi="仿宋" w:eastAsia="仿宋" w:cs="仿宋"/>
          <w:color w:val="auto"/>
          <w:sz w:val="21"/>
          <w:szCs w:val="21"/>
          <w:lang w:eastAsia="zh-CN"/>
        </w:rPr>
      </w:pPr>
      <w:r>
        <w:rPr>
          <w:rStyle w:val="27"/>
          <w:rFonts w:hint="eastAsia" w:ascii="仿宋" w:hAnsi="仿宋" w:eastAsia="仿宋" w:cs="仿宋"/>
          <w:color w:val="auto"/>
          <w:sz w:val="21"/>
          <w:szCs w:val="21"/>
          <w:lang w:eastAsia="zh-CN"/>
        </w:rPr>
        <w:t>七、其他补充事宜</w:t>
      </w:r>
    </w:p>
    <w:p w14:paraId="36F8B86F">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1、本项目实行网上投标，采用电子响应文件。若供应商参与投标，自行承担投标一切费用。</w:t>
      </w:r>
    </w:p>
    <w:p w14:paraId="398D632C">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7C5847A8">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3、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95763进行咨询。</w:t>
      </w:r>
    </w:p>
    <w:p w14:paraId="1B0AF4EC">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4、有意向参与新疆区域电子开评标的供应商，可访问新疆数字证书认证中心官方网站（https://www.xjca.com.cn/）或下载“新疆政务通”APP自行进行申领。如需咨询，请联系新疆CA服务热线0991-2819290</w:t>
      </w:r>
    </w:p>
    <w:p w14:paraId="67DE4FBA">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5、根据财政部、工业和信息化部关于印发《政府采购促进中小企业发展管理办法》的通知(财库[2020]46号)，供应商及其所投产品的制造商均属于《工业和信息化部、国家统计局、国家发展和改革委员会、财政部关于印发中小企业划型标准规定的通知》(工信部联企业[2011]450号)中规定的小型、微型企业标准的，按错文件格式提供《中小企业声明函》等政府采购政策。《财政部发展改革委 生态环境部 市场监管总局关于调整优化节能产品、环境标志产品政府采购执行机制的通知》（财库〔2019〕9号）。</w:t>
      </w:r>
    </w:p>
    <w:p w14:paraId="4FE5A477">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2" w:firstLineChars="200"/>
        <w:jc w:val="left"/>
        <w:textAlignment w:val="auto"/>
        <w:rPr>
          <w:rFonts w:hint="eastAsia" w:ascii="仿宋" w:hAnsi="仿宋" w:eastAsia="仿宋" w:cs="仿宋"/>
          <w:i w:val="0"/>
          <w:iCs w:val="0"/>
          <w:caps w:val="0"/>
          <w:color w:val="000000"/>
          <w:spacing w:val="0"/>
          <w:sz w:val="21"/>
          <w:szCs w:val="21"/>
          <w:lang w:val="en-US" w:eastAsia="zh-CN"/>
        </w:rPr>
      </w:pPr>
      <w:r>
        <w:rPr>
          <w:rFonts w:hint="eastAsia" w:ascii="仿宋" w:hAnsi="仿宋" w:eastAsia="仿宋" w:cs="仿宋"/>
          <w:b/>
          <w:bCs/>
          <w:i w:val="0"/>
          <w:caps w:val="0"/>
          <w:color w:val="000000"/>
          <w:spacing w:val="0"/>
          <w:kern w:val="0"/>
          <w:sz w:val="21"/>
          <w:szCs w:val="21"/>
          <w:vertAlign w:val="baseline"/>
          <w:lang w:val="en-US" w:eastAsia="zh-CN" w:bidi="ar"/>
        </w:rPr>
        <w:t>特别提示：</w:t>
      </w:r>
    </w:p>
    <w:p w14:paraId="39500DC5">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1、采购限额标准以上，200万元以下的货物和服务采购项目、400万元以下的工程采购项目，适宜由中小企业提供的，采购人应当专门面向中小企业采购。</w:t>
      </w:r>
    </w:p>
    <w:p w14:paraId="44EB3E19">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2、超过200万元的货物和服务采购项目，预留该部分采购项目预算总额的30%以上专门面向中小企业采购，其中预留给小微企业的比例不低于60%。</w:t>
      </w:r>
    </w:p>
    <w:p w14:paraId="3F05FC75">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3、超过400万元的工程采购项目中适宜由中小企业提供的，预留该部分采购项目预算总额的40%以上专门面向中小企业采购，其中预留给小微企业的比例不低于60%。</w:t>
      </w:r>
    </w:p>
    <w:p w14:paraId="597E371B">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E290513">
      <w:pPr>
        <w:pStyle w:val="22"/>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right="0" w:firstLine="420" w:firstLineChars="200"/>
        <w:jc w:val="left"/>
        <w:textAlignment w:val="auto"/>
        <w:rPr>
          <w:rFonts w:hint="eastAsia" w:ascii="仿宋" w:hAnsi="仿宋" w:eastAsia="仿宋" w:cs="仿宋"/>
          <w:i w:val="0"/>
          <w:iCs w:val="0"/>
          <w:caps w:val="0"/>
          <w:color w:val="000000"/>
          <w:spacing w:val="0"/>
          <w:sz w:val="21"/>
          <w:szCs w:val="21"/>
          <w:highlight w:val="none"/>
          <w:lang w:val="en-US" w:eastAsia="zh-CN"/>
        </w:rPr>
      </w:pPr>
      <w:r>
        <w:rPr>
          <w:rFonts w:hint="eastAsia" w:ascii="仿宋" w:hAnsi="仿宋" w:eastAsia="仿宋" w:cs="仿宋"/>
          <w:i w:val="0"/>
          <w:iCs w:val="0"/>
          <w:caps w:val="0"/>
          <w:color w:val="000000"/>
          <w:spacing w:val="0"/>
          <w:sz w:val="21"/>
          <w:szCs w:val="21"/>
          <w:highlight w:val="none"/>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67EB721">
      <w:pPr>
        <w:pStyle w:val="29"/>
        <w:spacing w:line="240" w:lineRule="auto"/>
        <w:ind w:left="0" w:leftChars="0" w:firstLine="0" w:firstLineChars="0"/>
        <w:rPr>
          <w:rFonts w:hint="eastAsia" w:ascii="仿宋" w:hAnsi="仿宋" w:eastAsia="仿宋" w:cs="仿宋"/>
          <w:color w:val="auto"/>
          <w:sz w:val="21"/>
          <w:szCs w:val="21"/>
        </w:rPr>
      </w:pPr>
      <w:r>
        <w:rPr>
          <w:rStyle w:val="27"/>
          <w:rFonts w:hint="eastAsia" w:ascii="仿宋" w:hAnsi="仿宋" w:eastAsia="仿宋" w:cs="仿宋"/>
          <w:color w:val="auto"/>
          <w:kern w:val="0"/>
          <w:sz w:val="21"/>
          <w:szCs w:val="21"/>
          <w:lang w:val="en-US" w:eastAsia="zh-CN" w:bidi="ar-SA"/>
        </w:rPr>
        <w:t>八、对本次采购提出询问，请按以下方式联系　　　</w:t>
      </w:r>
      <w:r>
        <w:rPr>
          <w:rFonts w:hint="eastAsia" w:ascii="仿宋" w:hAnsi="仿宋" w:eastAsia="仿宋" w:cs="仿宋"/>
          <w:color w:val="auto"/>
          <w:sz w:val="21"/>
          <w:szCs w:val="21"/>
        </w:rPr>
        <w:t>　　　　　　　　　</w:t>
      </w:r>
    </w:p>
    <w:p w14:paraId="41CE4914">
      <w:pPr>
        <w:spacing w:line="24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1.采购人信息</w:t>
      </w:r>
    </w:p>
    <w:p w14:paraId="034C3FF6">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名   称：</w:t>
      </w:r>
      <w:r>
        <w:rPr>
          <w:rFonts w:hint="eastAsia" w:ascii="仿宋" w:hAnsi="仿宋" w:eastAsia="仿宋" w:cs="仿宋"/>
          <w:color w:val="auto"/>
          <w:sz w:val="21"/>
          <w:szCs w:val="21"/>
          <w:lang w:val="en-US" w:eastAsia="zh-CN"/>
        </w:rPr>
        <w:t>洛浦县杭桂镇人民政府</w:t>
      </w:r>
      <w:r>
        <w:rPr>
          <w:rFonts w:hint="eastAsia" w:ascii="仿宋" w:hAnsi="仿宋" w:eastAsia="仿宋" w:cs="仿宋"/>
          <w:color w:val="auto"/>
          <w:sz w:val="21"/>
          <w:szCs w:val="21"/>
        </w:rPr>
        <w:t>　　　　　　　　</w:t>
      </w:r>
    </w:p>
    <w:p w14:paraId="0282F37F">
      <w:pPr>
        <w:spacing w:line="240" w:lineRule="auto"/>
        <w:ind w:firstLine="420" w:firstLineChars="200"/>
        <w:jc w:val="left"/>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项目联系人：</w:t>
      </w:r>
      <w:r>
        <w:rPr>
          <w:rFonts w:hint="eastAsia" w:ascii="仿宋" w:hAnsi="仿宋" w:eastAsia="仿宋" w:cs="仿宋"/>
          <w:color w:val="auto"/>
          <w:sz w:val="21"/>
          <w:szCs w:val="21"/>
          <w:lang w:val="en-US" w:eastAsia="zh-CN"/>
        </w:rPr>
        <w:t>杨先生</w:t>
      </w:r>
      <w:r>
        <w:rPr>
          <w:rFonts w:hint="eastAsia" w:ascii="仿宋" w:hAnsi="仿宋" w:eastAsia="仿宋" w:cs="仿宋"/>
          <w:color w:val="auto"/>
          <w:sz w:val="21"/>
          <w:szCs w:val="21"/>
          <w:lang w:eastAsia="zh-CN"/>
        </w:rPr>
        <w:t>　　　　　　　　</w:t>
      </w:r>
    </w:p>
    <w:p w14:paraId="69195737">
      <w:pPr>
        <w:spacing w:line="240" w:lineRule="auto"/>
        <w:ind w:firstLine="420" w:firstLineChars="200"/>
        <w:jc w:val="left"/>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项目联系方式：0903-6692500</w:t>
      </w:r>
      <w:r>
        <w:rPr>
          <w:rFonts w:hint="eastAsia" w:ascii="仿宋" w:hAnsi="仿宋" w:eastAsia="仿宋" w:cs="仿宋"/>
          <w:color w:val="auto"/>
          <w:sz w:val="21"/>
          <w:szCs w:val="21"/>
        </w:rPr>
        <w:t>　 </w:t>
      </w:r>
    </w:p>
    <w:p w14:paraId="40FC6CCE">
      <w:pPr>
        <w:spacing w:line="24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2.采购代理机构信息</w:t>
      </w:r>
    </w:p>
    <w:p w14:paraId="3B9CF492">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名    称：新疆品正工程项目咨询有限公司　　　　　　　　</w:t>
      </w:r>
    </w:p>
    <w:p w14:paraId="0513F367">
      <w:pPr>
        <w:spacing w:line="240" w:lineRule="auto"/>
        <w:ind w:firstLine="420" w:firstLineChars="200"/>
        <w:jc w:val="lef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地    址：新疆和田地区和田市古勒巴格街道团结广场社区广场东路56号(华南百货商城)四楼(阗智创客家园)西区B13-216号</w:t>
      </w:r>
    </w:p>
    <w:p w14:paraId="0796832E">
      <w:pPr>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val="en-US" w:eastAsia="zh-CN"/>
        </w:rPr>
        <w:t>齐帅洋</w:t>
      </w:r>
      <w:r>
        <w:rPr>
          <w:rFonts w:hint="eastAsia" w:ascii="仿宋" w:hAnsi="仿宋" w:eastAsia="仿宋" w:cs="仿宋"/>
          <w:color w:val="auto"/>
          <w:sz w:val="21"/>
          <w:szCs w:val="21"/>
        </w:rPr>
        <w:t>　　　　　　　　　　</w:t>
      </w:r>
    </w:p>
    <w:p w14:paraId="0CB36617">
      <w:pPr>
        <w:spacing w:line="240" w:lineRule="auto"/>
        <w:ind w:firstLine="420" w:firstLineChars="200"/>
        <w:jc w:val="lef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项目联系方式：18799365809  </w:t>
      </w:r>
      <w:r>
        <w:rPr>
          <w:rFonts w:hint="eastAsia" w:ascii="仿宋" w:hAnsi="仿宋" w:eastAsia="仿宋" w:cs="仿宋"/>
          <w:color w:val="auto"/>
          <w:sz w:val="21"/>
          <w:szCs w:val="21"/>
          <w:lang w:val="en-US" w:eastAsia="zh-CN"/>
        </w:rPr>
        <w:t xml:space="preserve"> </w:t>
      </w:r>
    </w:p>
    <w:p w14:paraId="0B806792">
      <w:pPr>
        <w:spacing w:line="240" w:lineRule="auto"/>
        <w:jc w:val="left"/>
        <w:rPr>
          <w:rFonts w:hint="eastAsia" w:ascii="仿宋" w:hAnsi="仿宋" w:eastAsia="仿宋" w:cs="仿宋"/>
          <w:color w:val="auto"/>
          <w:sz w:val="21"/>
          <w:szCs w:val="21"/>
          <w:u w:val="none"/>
          <w:lang w:val="en-US" w:eastAsia="zh-CN"/>
        </w:rPr>
      </w:pPr>
      <w:r>
        <w:rPr>
          <w:rFonts w:hint="eastAsia" w:ascii="仿宋" w:hAnsi="仿宋" w:eastAsia="仿宋" w:cs="仿宋"/>
          <w:color w:val="auto"/>
          <w:sz w:val="21"/>
          <w:szCs w:val="21"/>
          <w:u w:val="none"/>
          <w:lang w:val="en-US" w:eastAsia="zh-CN"/>
        </w:rPr>
        <w:t>3.采购监管部门</w:t>
      </w:r>
      <w:r>
        <w:rPr>
          <w:rFonts w:hint="eastAsia" w:ascii="仿宋" w:hAnsi="仿宋" w:eastAsia="仿宋" w:cs="仿宋"/>
          <w:color w:val="auto"/>
          <w:sz w:val="21"/>
          <w:szCs w:val="21"/>
          <w:u w:val="none"/>
        </w:rPr>
        <w:t>：洛浦县政府采购管理办公室</w:t>
      </w:r>
      <w:r>
        <w:rPr>
          <w:rFonts w:hint="eastAsia" w:ascii="仿宋" w:hAnsi="仿宋" w:eastAsia="仿宋" w:cs="仿宋"/>
          <w:color w:val="auto"/>
          <w:sz w:val="21"/>
          <w:szCs w:val="21"/>
          <w:u w:val="none"/>
          <w:lang w:val="en-US" w:eastAsia="zh-CN"/>
        </w:rPr>
        <w:t xml:space="preserve">   </w:t>
      </w:r>
    </w:p>
    <w:p w14:paraId="72412546">
      <w:pPr>
        <w:pStyle w:val="29"/>
        <w:spacing w:line="240" w:lineRule="auto"/>
        <w:ind w:left="0" w:leftChars="0" w:firstLine="420" w:firstLineChars="200"/>
        <w:rPr>
          <w:rFonts w:hint="eastAsia" w:ascii="仿宋" w:hAnsi="仿宋" w:eastAsia="仿宋" w:cs="仿宋"/>
          <w:color w:val="auto"/>
          <w:sz w:val="21"/>
          <w:szCs w:val="21"/>
          <w:lang w:val="en-US"/>
        </w:rPr>
      </w:pPr>
      <w:r>
        <w:rPr>
          <w:rFonts w:hint="eastAsia" w:ascii="仿宋" w:hAnsi="仿宋" w:eastAsia="仿宋" w:cs="仿宋"/>
          <w:color w:val="auto"/>
          <w:sz w:val="21"/>
          <w:szCs w:val="21"/>
          <w:u w:val="none"/>
          <w:lang w:val="en-US" w:eastAsia="zh-CN"/>
        </w:rPr>
        <w:t>电 话：0903-6622186</w:t>
      </w:r>
      <w:r>
        <w:rPr>
          <w:rFonts w:hint="eastAsia" w:ascii="仿宋" w:hAnsi="仿宋" w:eastAsia="仿宋" w:cs="仿宋"/>
          <w:color w:val="auto"/>
          <w:sz w:val="21"/>
          <w:szCs w:val="21"/>
          <w:u w:val="none"/>
        </w:rPr>
        <w:t>　</w:t>
      </w:r>
    </w:p>
    <w:p w14:paraId="50D3A11B">
      <w:pPr>
        <w:pStyle w:val="2"/>
        <w:numPr>
          <w:ilvl w:val="0"/>
          <w:numId w:val="0"/>
        </w:numPr>
        <w:spacing w:line="400" w:lineRule="atLeast"/>
        <w:ind w:firstLine="1897" w:firstLineChars="900"/>
        <w:jc w:val="both"/>
        <w:rPr>
          <w:rFonts w:hint="eastAsia" w:ascii="仿宋" w:hAnsi="仿宋" w:eastAsia="仿宋" w:cs="仿宋"/>
          <w:color w:val="auto"/>
          <w:sz w:val="21"/>
          <w:szCs w:val="21"/>
          <w:highlight w:val="none"/>
          <w:lang w:val="en-US" w:eastAsia="zh-CN"/>
        </w:rPr>
        <w:sectPr>
          <w:headerReference r:id="rId8" w:type="default"/>
          <w:footerReference r:id="rId9" w:type="default"/>
          <w:pgSz w:w="11906" w:h="16838"/>
          <w:pgMar w:top="1440" w:right="1797" w:bottom="1440" w:left="1797" w:header="851" w:footer="992" w:gutter="0"/>
          <w:pgNumType w:fmt="decimal"/>
          <w:cols w:space="720" w:num="1"/>
          <w:docGrid w:type="lines" w:linePitch="312" w:charSpace="0"/>
        </w:sectPr>
      </w:pPr>
      <w:bookmarkStart w:id="13" w:name="_Toc20015"/>
    </w:p>
    <w:p w14:paraId="4132A999">
      <w:pPr>
        <w:pStyle w:val="2"/>
        <w:numPr>
          <w:ilvl w:val="0"/>
          <w:numId w:val="3"/>
        </w:numPr>
        <w:spacing w:line="400" w:lineRule="atLeast"/>
        <w:ind w:left="629" w:leftChars="0" w:firstLine="211" w:firstLineChars="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供应商须知</w:t>
      </w:r>
      <w:bookmarkEnd w:id="7"/>
      <w:bookmarkEnd w:id="8"/>
      <w:bookmarkEnd w:id="9"/>
      <w:bookmarkEnd w:id="10"/>
      <w:bookmarkEnd w:id="11"/>
      <w:bookmarkEnd w:id="13"/>
      <w:bookmarkStart w:id="14" w:name="_Toc527642951"/>
      <w:bookmarkStart w:id="15" w:name="_Toc267301281"/>
      <w:bookmarkStart w:id="16" w:name="_Toc349637919"/>
      <w:bookmarkStart w:id="17" w:name="_Toc298240404"/>
      <w:bookmarkStart w:id="18" w:name="_Toc349573120"/>
      <w:r>
        <w:rPr>
          <w:rFonts w:hint="eastAsia" w:ascii="仿宋" w:hAnsi="仿宋" w:eastAsia="仿宋" w:cs="仿宋"/>
          <w:color w:val="auto"/>
          <w:sz w:val="21"/>
          <w:szCs w:val="21"/>
          <w:highlight w:val="none"/>
          <w:lang w:val="en-US" w:eastAsia="zh-CN"/>
        </w:rPr>
        <w:t xml:space="preserve">    </w:t>
      </w:r>
    </w:p>
    <w:p w14:paraId="6691AAEB">
      <w:pPr>
        <w:pStyle w:val="2"/>
        <w:numPr>
          <w:ilvl w:val="0"/>
          <w:numId w:val="0"/>
        </w:numPr>
        <w:spacing w:line="400" w:lineRule="atLeast"/>
        <w:ind w:leftChars="100" w:firstLine="3373" w:firstLineChars="16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供应商须知附表</w:t>
      </w:r>
      <w:bookmarkEnd w:id="14"/>
      <w:bookmarkEnd w:id="15"/>
      <w:bookmarkEnd w:id="16"/>
      <w:bookmarkEnd w:id="17"/>
      <w:bookmarkEnd w:id="18"/>
    </w:p>
    <w:tbl>
      <w:tblPr>
        <w:tblStyle w:val="25"/>
        <w:tblW w:w="9928" w:type="dxa"/>
        <w:tblInd w:w="-3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
        <w:gridCol w:w="2054"/>
        <w:gridCol w:w="6894"/>
      </w:tblGrid>
      <w:tr w14:paraId="313E8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980" w:type="dxa"/>
            <w:vAlign w:val="center"/>
          </w:tcPr>
          <w:p w14:paraId="0E43782C">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条款号</w:t>
            </w:r>
          </w:p>
        </w:tc>
        <w:tc>
          <w:tcPr>
            <w:tcW w:w="2054" w:type="dxa"/>
            <w:vAlign w:val="center"/>
          </w:tcPr>
          <w:p w14:paraId="1E9467EF">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条款名称</w:t>
            </w:r>
          </w:p>
        </w:tc>
        <w:tc>
          <w:tcPr>
            <w:tcW w:w="6894" w:type="dxa"/>
            <w:vAlign w:val="center"/>
          </w:tcPr>
          <w:p w14:paraId="053FE5EC">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编列内容规定</w:t>
            </w:r>
          </w:p>
        </w:tc>
      </w:tr>
      <w:tr w14:paraId="6F99B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3EB48911">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w:t>
            </w:r>
          </w:p>
        </w:tc>
        <w:tc>
          <w:tcPr>
            <w:tcW w:w="2054" w:type="dxa"/>
            <w:vAlign w:val="center"/>
          </w:tcPr>
          <w:p w14:paraId="7D58CDA5">
            <w:pPr>
              <w:pStyle w:val="18"/>
              <w:jc w:val="center"/>
              <w:rPr>
                <w:rFonts w:hint="eastAsia" w:ascii="仿宋" w:hAnsi="仿宋" w:eastAsia="仿宋" w:cs="仿宋"/>
                <w:color w:val="auto"/>
                <w:sz w:val="21"/>
                <w:szCs w:val="21"/>
                <w:lang w:val="en-US" w:eastAsia="zh-CN"/>
              </w:rPr>
            </w:pPr>
            <w:r>
              <w:rPr>
                <w:rFonts w:hint="eastAsia" w:ascii="仿宋" w:hAnsi="仿宋" w:eastAsia="仿宋" w:cs="仿宋"/>
                <w:b w:val="0"/>
                <w:bCs/>
                <w:i w:val="0"/>
                <w:caps w:val="0"/>
                <w:color w:val="auto"/>
                <w:spacing w:val="0"/>
                <w:kern w:val="0"/>
                <w:sz w:val="21"/>
                <w:szCs w:val="21"/>
                <w:lang w:val="en-US" w:eastAsia="zh-CN" w:bidi="ar"/>
              </w:rPr>
              <w:t>采购项目名称及项目编号</w:t>
            </w:r>
          </w:p>
        </w:tc>
        <w:tc>
          <w:tcPr>
            <w:tcW w:w="6894" w:type="dxa"/>
            <w:vAlign w:val="center"/>
          </w:tcPr>
          <w:p w14:paraId="698A9C98">
            <w:pPr>
              <w:pStyle w:val="18"/>
              <w:keepNext w:val="0"/>
              <w:keepLines w:val="0"/>
              <w:pageBreakBefore w:val="0"/>
              <w:kinsoku/>
              <w:wordWrap/>
              <w:topLinePunct w:val="0"/>
              <w:bidi w:val="0"/>
              <w:spacing w:line="280" w:lineRule="exac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洛浦县杭桂镇托万皮切克其村老旧温室大棚改造提升项目</w:t>
            </w:r>
          </w:p>
          <w:p w14:paraId="0C447EC9">
            <w:pPr>
              <w:pStyle w:val="18"/>
              <w:keepNext w:val="0"/>
              <w:keepLines w:val="0"/>
              <w:pageBreakBefore w:val="0"/>
              <w:kinsoku/>
              <w:wordWrap/>
              <w:topLinePunct w:val="0"/>
              <w:bidi w:val="0"/>
              <w:spacing w:line="280" w:lineRule="exact"/>
              <w:rPr>
                <w:rFonts w:hint="eastAsia" w:ascii="仿宋" w:hAnsi="仿宋" w:eastAsia="仿宋" w:cs="仿宋"/>
                <w:color w:val="auto"/>
                <w:sz w:val="21"/>
                <w:szCs w:val="21"/>
                <w:lang w:val="en-US" w:eastAsia="zh-CN"/>
              </w:rPr>
            </w:pPr>
            <w:r>
              <w:rPr>
                <w:rFonts w:hint="eastAsia" w:ascii="仿宋" w:hAnsi="仿宋" w:eastAsia="仿宋" w:cs="仿宋"/>
                <w:b w:val="0"/>
                <w:bCs/>
                <w:i w:val="0"/>
                <w:caps w:val="0"/>
                <w:color w:val="auto"/>
                <w:spacing w:val="0"/>
                <w:kern w:val="0"/>
                <w:sz w:val="21"/>
                <w:szCs w:val="21"/>
                <w:lang w:val="en-US" w:eastAsia="zh-CN" w:bidi="ar"/>
              </w:rPr>
              <w:t>项目编号：</w:t>
            </w:r>
            <w:r>
              <w:rPr>
                <w:rFonts w:hint="eastAsia" w:ascii="仿宋" w:hAnsi="仿宋" w:eastAsia="仿宋" w:cs="仿宋"/>
                <w:color w:val="auto"/>
                <w:kern w:val="2"/>
                <w:sz w:val="21"/>
                <w:szCs w:val="21"/>
                <w:u w:val="none"/>
                <w:lang w:val="en-US" w:eastAsia="zh-CN" w:bidi="ar-SA"/>
              </w:rPr>
              <w:t>XJPZLP-CG-2025-01</w:t>
            </w:r>
          </w:p>
        </w:tc>
      </w:tr>
      <w:tr w14:paraId="6C18F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36CC47DC">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w:t>
            </w:r>
          </w:p>
        </w:tc>
        <w:tc>
          <w:tcPr>
            <w:tcW w:w="2054" w:type="dxa"/>
            <w:vAlign w:val="center"/>
          </w:tcPr>
          <w:p w14:paraId="2CC38735">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采购需求</w:t>
            </w:r>
          </w:p>
        </w:tc>
        <w:tc>
          <w:tcPr>
            <w:tcW w:w="6894" w:type="dxa"/>
            <w:vAlign w:val="center"/>
          </w:tcPr>
          <w:p w14:paraId="1371AE70">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对洛浦县杭桂镇托万皮切克其村100座老旧温室大棚进行改造提升。主要内容包括：卷帘机侧卷方式改为中卷方式，更换PO膜、更换卡槽卡簧、更换电机、减速机，维修山墙坡面、保温被、耳房门、通风口等。</w:t>
            </w:r>
          </w:p>
        </w:tc>
      </w:tr>
      <w:tr w14:paraId="2A218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980" w:type="dxa"/>
            <w:vAlign w:val="center"/>
          </w:tcPr>
          <w:p w14:paraId="0E19AC37">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w:t>
            </w:r>
          </w:p>
        </w:tc>
        <w:tc>
          <w:tcPr>
            <w:tcW w:w="2054" w:type="dxa"/>
            <w:vAlign w:val="center"/>
          </w:tcPr>
          <w:p w14:paraId="7645BA53">
            <w:pPr>
              <w:spacing w:line="240" w:lineRule="auto"/>
              <w:ind w:firstLine="0" w:firstLineChars="0"/>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供货地点及时间</w:t>
            </w:r>
          </w:p>
        </w:tc>
        <w:tc>
          <w:tcPr>
            <w:tcW w:w="6894" w:type="dxa"/>
            <w:vAlign w:val="center"/>
          </w:tcPr>
          <w:p w14:paraId="0D08F60B">
            <w:pPr>
              <w:spacing w:line="240" w:lineRule="auto"/>
              <w:ind w:firstLine="0" w:firstLineChars="0"/>
              <w:jc w:val="left"/>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时间：120日历天</w:t>
            </w:r>
          </w:p>
          <w:p w14:paraId="18D56F0F">
            <w:pPr>
              <w:spacing w:line="240" w:lineRule="auto"/>
              <w:ind w:firstLine="0" w:firstLineChars="0"/>
              <w:jc w:val="left"/>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地点：洛浦县杭桂镇托万皮切克其村</w:t>
            </w:r>
          </w:p>
        </w:tc>
      </w:tr>
      <w:tr w14:paraId="648C0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trPr>
        <w:tc>
          <w:tcPr>
            <w:tcW w:w="980" w:type="dxa"/>
            <w:vAlign w:val="center"/>
          </w:tcPr>
          <w:p w14:paraId="00749369">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4</w:t>
            </w:r>
          </w:p>
        </w:tc>
        <w:tc>
          <w:tcPr>
            <w:tcW w:w="2054" w:type="dxa"/>
            <w:vAlign w:val="center"/>
          </w:tcPr>
          <w:p w14:paraId="07CF2515">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采购方式</w:t>
            </w:r>
          </w:p>
        </w:tc>
        <w:tc>
          <w:tcPr>
            <w:tcW w:w="6894" w:type="dxa"/>
            <w:vAlign w:val="center"/>
          </w:tcPr>
          <w:p w14:paraId="5928A5B3">
            <w:pPr>
              <w:keepNext w:val="0"/>
              <w:keepLines w:val="0"/>
              <w:pageBreakBefore w:val="0"/>
              <w:kinsoku/>
              <w:wordWrap/>
              <w:topLinePunct w:val="0"/>
              <w:bidi w:val="0"/>
              <w:adjustRightInd w:val="0"/>
              <w:snapToGrid w:val="0"/>
              <w:spacing w:line="280" w:lineRule="exact"/>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竞争性磋商</w:t>
            </w:r>
          </w:p>
        </w:tc>
      </w:tr>
      <w:tr w14:paraId="080C8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 w:hRule="atLeast"/>
        </w:trPr>
        <w:tc>
          <w:tcPr>
            <w:tcW w:w="980" w:type="dxa"/>
            <w:vAlign w:val="center"/>
          </w:tcPr>
          <w:p w14:paraId="64F21EA5">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5</w:t>
            </w:r>
          </w:p>
        </w:tc>
        <w:tc>
          <w:tcPr>
            <w:tcW w:w="2054" w:type="dxa"/>
            <w:vAlign w:val="center"/>
          </w:tcPr>
          <w:p w14:paraId="31D1562D">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质量要求及质保期</w:t>
            </w:r>
          </w:p>
        </w:tc>
        <w:tc>
          <w:tcPr>
            <w:tcW w:w="6894" w:type="dxa"/>
            <w:vAlign w:val="center"/>
          </w:tcPr>
          <w:p w14:paraId="67A29F36">
            <w:pPr>
              <w:keepNext w:val="0"/>
              <w:keepLines w:val="0"/>
              <w:pageBreakBefore w:val="0"/>
              <w:kinsoku/>
              <w:wordWrap/>
              <w:topLinePunct w:val="0"/>
              <w:bidi w:val="0"/>
              <w:adjustRightInd w:val="0"/>
              <w:snapToGrid w:val="0"/>
              <w:spacing w:line="280" w:lineRule="exact"/>
              <w:rPr>
                <w:rFonts w:hint="default" w:ascii="仿宋" w:hAnsi="仿宋" w:eastAsia="仿宋" w:cs="仿宋"/>
                <w:b w:val="0"/>
                <w:bCs/>
                <w:i w:val="0"/>
                <w:caps w:val="0"/>
                <w:color w:val="auto"/>
                <w:spacing w:val="0"/>
                <w:kern w:val="0"/>
                <w:sz w:val="21"/>
                <w:szCs w:val="21"/>
                <w:lang w:val="en-US" w:eastAsia="zh-CN" w:bidi="ar"/>
              </w:rPr>
            </w:pPr>
            <w:r>
              <w:rPr>
                <w:rFonts w:hint="default" w:ascii="仿宋" w:hAnsi="仿宋" w:eastAsia="仿宋" w:cs="仿宋"/>
                <w:b w:val="0"/>
                <w:bCs/>
                <w:i w:val="0"/>
                <w:caps w:val="0"/>
                <w:color w:val="auto"/>
                <w:spacing w:val="0"/>
                <w:kern w:val="0"/>
                <w:sz w:val="21"/>
                <w:szCs w:val="21"/>
                <w:lang w:val="en-US" w:eastAsia="zh-CN" w:bidi="ar"/>
              </w:rPr>
              <w:t>质量要求：</w:t>
            </w:r>
            <w:r>
              <w:rPr>
                <w:rFonts w:hint="eastAsia" w:ascii="仿宋" w:hAnsi="仿宋" w:eastAsia="仿宋" w:cs="仿宋"/>
                <w:b w:val="0"/>
                <w:bCs/>
                <w:i w:val="0"/>
                <w:caps w:val="0"/>
                <w:color w:val="auto"/>
                <w:spacing w:val="0"/>
                <w:kern w:val="0"/>
                <w:sz w:val="21"/>
                <w:szCs w:val="21"/>
                <w:lang w:val="en-US" w:eastAsia="zh-CN" w:bidi="ar"/>
              </w:rPr>
              <w:t>合格及以上</w:t>
            </w:r>
          </w:p>
          <w:p w14:paraId="07767A3B">
            <w:pPr>
              <w:keepNext w:val="0"/>
              <w:keepLines w:val="0"/>
              <w:pageBreakBefore w:val="0"/>
              <w:kinsoku/>
              <w:wordWrap/>
              <w:topLinePunct w:val="0"/>
              <w:bidi w:val="0"/>
              <w:adjustRightInd w:val="0"/>
              <w:snapToGrid w:val="0"/>
              <w:spacing w:line="280" w:lineRule="exact"/>
              <w:rPr>
                <w:rFonts w:hint="default" w:ascii="仿宋" w:hAnsi="仿宋" w:eastAsia="仿宋" w:cs="仿宋"/>
                <w:b w:val="0"/>
                <w:bCs/>
                <w:i w:val="0"/>
                <w:caps w:val="0"/>
                <w:color w:val="auto"/>
                <w:spacing w:val="0"/>
                <w:kern w:val="0"/>
                <w:sz w:val="21"/>
                <w:szCs w:val="21"/>
                <w:lang w:val="en-US" w:eastAsia="zh-CN" w:bidi="ar"/>
              </w:rPr>
            </w:pPr>
            <w:r>
              <w:rPr>
                <w:rFonts w:hint="default" w:ascii="仿宋" w:hAnsi="仿宋" w:eastAsia="仿宋" w:cs="仿宋"/>
                <w:b w:val="0"/>
                <w:bCs/>
                <w:i w:val="0"/>
                <w:caps w:val="0"/>
                <w:color w:val="auto"/>
                <w:spacing w:val="0"/>
                <w:kern w:val="0"/>
                <w:sz w:val="21"/>
                <w:szCs w:val="21"/>
                <w:lang w:val="en-US" w:eastAsia="zh-CN" w:bidi="ar"/>
              </w:rPr>
              <w:t>质保期：</w:t>
            </w:r>
            <w:r>
              <w:rPr>
                <w:rFonts w:hint="eastAsia" w:ascii="仿宋" w:hAnsi="仿宋" w:eastAsia="仿宋" w:cs="仿宋"/>
                <w:b w:val="0"/>
                <w:bCs/>
                <w:i w:val="0"/>
                <w:caps w:val="0"/>
                <w:color w:val="auto"/>
                <w:spacing w:val="0"/>
                <w:kern w:val="0"/>
                <w:sz w:val="21"/>
                <w:szCs w:val="21"/>
                <w:lang w:val="en-US" w:eastAsia="zh-CN" w:bidi="ar"/>
              </w:rPr>
              <w:t>2年</w:t>
            </w:r>
          </w:p>
        </w:tc>
      </w:tr>
      <w:tr w14:paraId="6FE7C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trPr>
        <w:tc>
          <w:tcPr>
            <w:tcW w:w="980" w:type="dxa"/>
            <w:vAlign w:val="center"/>
          </w:tcPr>
          <w:p w14:paraId="17151540">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6</w:t>
            </w:r>
          </w:p>
        </w:tc>
        <w:tc>
          <w:tcPr>
            <w:tcW w:w="2054" w:type="dxa"/>
            <w:vAlign w:val="center"/>
          </w:tcPr>
          <w:p w14:paraId="21BE503D">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采购人</w:t>
            </w:r>
          </w:p>
        </w:tc>
        <w:tc>
          <w:tcPr>
            <w:tcW w:w="6894" w:type="dxa"/>
            <w:vAlign w:val="center"/>
          </w:tcPr>
          <w:p w14:paraId="01067F4F">
            <w:pPr>
              <w:keepNext w:val="0"/>
              <w:keepLines w:val="0"/>
              <w:pageBreakBefore w:val="0"/>
              <w:kinsoku/>
              <w:wordWrap/>
              <w:topLinePunct w:val="0"/>
              <w:bidi w:val="0"/>
              <w:adjustRightInd w:val="0"/>
              <w:snapToGrid w:val="0"/>
              <w:spacing w:line="280" w:lineRule="exact"/>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名称：洛浦县杭桂镇人民政府</w:t>
            </w:r>
          </w:p>
          <w:p w14:paraId="3A63CC5B">
            <w:pPr>
              <w:keepNext w:val="0"/>
              <w:keepLines w:val="0"/>
              <w:pageBreakBefore w:val="0"/>
              <w:kinsoku/>
              <w:wordWrap/>
              <w:topLinePunct w:val="0"/>
              <w:bidi w:val="0"/>
              <w:adjustRightInd w:val="0"/>
              <w:snapToGrid w:val="0"/>
              <w:spacing w:line="280" w:lineRule="exact"/>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地址：洛浦县杭桂镇</w:t>
            </w:r>
          </w:p>
          <w:p w14:paraId="6EA7846D">
            <w:pPr>
              <w:keepNext w:val="0"/>
              <w:keepLines w:val="0"/>
              <w:pageBreakBefore w:val="0"/>
              <w:kinsoku/>
              <w:wordWrap/>
              <w:topLinePunct w:val="0"/>
              <w:bidi w:val="0"/>
              <w:adjustRightInd w:val="0"/>
              <w:snapToGrid w:val="0"/>
              <w:spacing w:line="280" w:lineRule="exact"/>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联系人：杨先生</w:t>
            </w:r>
          </w:p>
          <w:p w14:paraId="39C1155B">
            <w:pPr>
              <w:keepNext w:val="0"/>
              <w:keepLines w:val="0"/>
              <w:pageBreakBefore w:val="0"/>
              <w:kinsoku/>
              <w:wordWrap/>
              <w:topLinePunct w:val="0"/>
              <w:bidi w:val="0"/>
              <w:adjustRightInd w:val="0"/>
              <w:snapToGrid w:val="0"/>
              <w:spacing w:line="280" w:lineRule="exac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联系电话：0903-6692500　</w:t>
            </w:r>
          </w:p>
        </w:tc>
      </w:tr>
      <w:tr w14:paraId="21FE3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3" w:hRule="atLeast"/>
        </w:trPr>
        <w:tc>
          <w:tcPr>
            <w:tcW w:w="980" w:type="dxa"/>
            <w:vAlign w:val="center"/>
          </w:tcPr>
          <w:p w14:paraId="3EF04314">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7</w:t>
            </w:r>
          </w:p>
        </w:tc>
        <w:tc>
          <w:tcPr>
            <w:tcW w:w="2054" w:type="dxa"/>
            <w:vAlign w:val="center"/>
          </w:tcPr>
          <w:p w14:paraId="141F39CA">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采购代理机构</w:t>
            </w:r>
          </w:p>
        </w:tc>
        <w:tc>
          <w:tcPr>
            <w:tcW w:w="6894" w:type="dxa"/>
            <w:vAlign w:val="center"/>
          </w:tcPr>
          <w:p w14:paraId="3D1E4861">
            <w:pPr>
              <w:spacing w:line="24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名    称：新疆品正工程项目咨询有限公司　　　　　　　　</w:t>
            </w:r>
          </w:p>
          <w:p w14:paraId="07C661FE">
            <w:pPr>
              <w:spacing w:line="240" w:lineRule="auto"/>
              <w:jc w:val="lef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地    址：新疆和田地区和田市古勒巴格街道团结广场社区广场东路56号(华南百货商城)四楼(阗智创客家园)西区B13-216号</w:t>
            </w:r>
          </w:p>
          <w:p w14:paraId="016D8B5A">
            <w:pPr>
              <w:spacing w:line="24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val="en-US" w:eastAsia="zh-CN"/>
              </w:rPr>
              <w:t>齐帅洋</w:t>
            </w:r>
            <w:r>
              <w:rPr>
                <w:rFonts w:hint="eastAsia" w:ascii="仿宋" w:hAnsi="仿宋" w:eastAsia="仿宋" w:cs="仿宋"/>
                <w:color w:val="auto"/>
                <w:sz w:val="21"/>
                <w:szCs w:val="21"/>
              </w:rPr>
              <w:t>　　　　　　　　　　</w:t>
            </w:r>
          </w:p>
          <w:p w14:paraId="2C72BB9E">
            <w:pPr>
              <w:keepNext w:val="0"/>
              <w:keepLines w:val="0"/>
              <w:pageBreakBefore w:val="0"/>
              <w:kinsoku/>
              <w:wordWrap/>
              <w:topLinePunct w:val="0"/>
              <w:bidi w:val="0"/>
              <w:adjustRightInd w:val="0"/>
              <w:snapToGrid w:val="0"/>
              <w:spacing w:line="280" w:lineRule="exac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rPr>
              <w:t xml:space="preserve">项目联系方式：18799365809  </w:t>
            </w:r>
          </w:p>
        </w:tc>
      </w:tr>
      <w:tr w14:paraId="556C5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46491F87">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8</w:t>
            </w:r>
          </w:p>
        </w:tc>
        <w:tc>
          <w:tcPr>
            <w:tcW w:w="2054" w:type="dxa"/>
            <w:vAlign w:val="center"/>
          </w:tcPr>
          <w:p w14:paraId="24CEB53A">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供应商资格条件</w:t>
            </w:r>
          </w:p>
        </w:tc>
        <w:tc>
          <w:tcPr>
            <w:tcW w:w="6894" w:type="dxa"/>
            <w:vAlign w:val="center"/>
          </w:tcPr>
          <w:p w14:paraId="0189368A">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1.供应商必须符合《中华人民共和国政府采购法》第二十二条规定：</w:t>
            </w:r>
          </w:p>
          <w:p w14:paraId="78711585">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130D5EE6">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pPr>
            <w:r>
              <w:rPr>
                <w:rFonts w:hint="eastAsia" w:ascii="仿宋" w:hAnsi="仿宋" w:eastAsia="仿宋" w:cs="仿宋"/>
                <w:color w:val="auto"/>
                <w:sz w:val="21"/>
                <w:szCs w:val="21"/>
                <w:highlight w:val="none"/>
                <w:lang w:val="en-US" w:eastAsia="zh-CN"/>
              </w:rPr>
              <w:t>（2）</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有依法缴纳税收和社会保障资金的良好记录：提供税务机关出具近三个月的完税证明（新成立不足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提供近段时间内指本单位连续三个月（指2025年01月至03月）的缴纳社保证明材料（社保证明材料须是社保局出具的缴纳证明或社保系统导出的缴纳汇总凭证，新成立的公司按实际发生提供，如依法不需要缴纳社会保障资金的，应提供相应文件证明）；</w:t>
            </w:r>
          </w:p>
          <w:p w14:paraId="05B43FB0">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具有良好的商业信誉和健全的财务会计制度：提供2023或2024年度第三方审计机构出具的审计报告（2024年新成立的公司按实际发生的情况提供近三个月银行出具的资信证明）；</w:t>
            </w:r>
          </w:p>
          <w:p w14:paraId="4A57E975">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（4）具备履行合同所必需的设备和专业技术能力：提供《供应商资格声明函》；</w:t>
            </w:r>
          </w:p>
          <w:p w14:paraId="461F0322">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参加采购活动前3年内，在经营活动中没有重大违法记录（提供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5A37B594">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近三年拟参加本次招标项目的供应商在“信用中国（www.creditchina.gov.cn）”被列入失信被执行人、重大税收违法案件当事人名单、政府采购严重违法失信名单（尚在处罚期内的）；在“中国政府采购网（www.ccgp.gov.cn）”被列入政府采购严重违法失信行为记录名单的（尚在处罚期内的）</w:t>
            </w:r>
            <w:r>
              <w:rPr>
                <w:rFonts w:hint="eastAsia" w:ascii="仿宋" w:hAnsi="仿宋" w:eastAsia="仿宋" w:cs="Times New Roman"/>
                <w:sz w:val="24"/>
                <w:szCs w:val="24"/>
                <w:u w:val="none"/>
                <w:lang w:val="en-US" w:eastAsia="zh-CN"/>
              </w:rPr>
              <w:t>，</w:t>
            </w:r>
            <w:r>
              <w:rPr>
                <w:rFonts w:hint="eastAsia" w:ascii="仿宋" w:hAnsi="仿宋" w:eastAsia="仿宋" w:cs="仿宋"/>
                <w:color w:val="auto"/>
                <w:sz w:val="21"/>
                <w:szCs w:val="21"/>
                <w:highlight w:val="none"/>
                <w:lang w:val="en-US" w:eastAsia="zh-CN"/>
              </w:rPr>
              <w:t>将拒绝其参与本次政府采购活动；</w:t>
            </w:r>
          </w:p>
          <w:p w14:paraId="1F87B99B">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（7）企业负责人为同一人或者存在直接控股、管理关系的不同供应商，不得参加同一合同项下的政府采购活动（提供声明函），否则，皆取消投标资格。</w:t>
            </w:r>
          </w:p>
          <w:p w14:paraId="696D92F3">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（8）投标保证金或电子保函：10000.00元 （大写：壹万元整）</w:t>
            </w:r>
          </w:p>
          <w:p w14:paraId="42FB7895">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（9）本项目不接受联合体投标。</w:t>
            </w:r>
          </w:p>
          <w:p w14:paraId="61780ED3">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2、落实政府采购政策需满足的资格要求：</w:t>
            </w:r>
          </w:p>
          <w:p w14:paraId="02DC567D">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2.1、中小企业政策</w:t>
            </w:r>
          </w:p>
          <w:p w14:paraId="54CC628D">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□本项目不专门面向中小企业预留采购份额。</w:t>
            </w:r>
          </w:p>
          <w:p w14:paraId="7EF2D441">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☑本项目专门面向 ☑中小 □小微企业 采购。即：提供的货物或服务全部由符合政策要求的中小/小微企业制造、服务全部由符合政策要求的中小/小微企业承接。</w:t>
            </w:r>
          </w:p>
          <w:p w14:paraId="65A790E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2.2 其它落实政府采购政策的资格要求</w:t>
            </w:r>
          </w:p>
          <w:p w14:paraId="6B7171CF">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（1）财政部、国家发展改革委、生态环境部、市场监管总局《关于调整优化节能产品、环境标志产品政府采购执行机制的通知》（财库[2019]9号文）；</w:t>
            </w:r>
          </w:p>
          <w:p w14:paraId="184C0E98">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（2）财政部、生态环境部《关于印发环境标志产品政府采购品目清单的通知》（财库[2019]18号文）；</w:t>
            </w:r>
          </w:p>
          <w:p w14:paraId="2C338199">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（3）财政部、发展改革委《关于印发节能产品政府采购品目清单的通知》（财库[2019]19号文）；</w:t>
            </w:r>
          </w:p>
          <w:p w14:paraId="1948BF58">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（4）市场监管总局《市场监管总局关于发布参与实施政府采购节能产品、环境标志产品认证机构名录的公告》（2019年第16号）；</w:t>
            </w:r>
          </w:p>
          <w:p w14:paraId="2367516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（5）财政部、工业和信息化部《关于印发《政府采购促进中小企业发展管理办法》的通知》（财库[2020]46号文）《关于进一步加大政府采购支持中小企业力度的通知》（财库[2022]19号文）执行；</w:t>
            </w:r>
          </w:p>
          <w:p w14:paraId="2E568259">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（6）财政部、民政部、中国残疾人联合会《关于促进残疾人就业政府采购政策的通知》（财库[2017]141号）；</w:t>
            </w:r>
          </w:p>
          <w:p w14:paraId="56A6490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（7）财政部、SF部《关于政府采购支持JY企业发展有关问题的通知》（财库[2014]68号文）；</w:t>
            </w:r>
          </w:p>
          <w:p w14:paraId="1F4B1A4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（8）财政部、生态环境部、国家邮政局《关于印发《商品包装政府采购需求标准（试行）》、 《快递包装政府采购需求标准（试行）》的通知》（财办库〔2020〕123号）。</w:t>
            </w:r>
          </w:p>
          <w:p w14:paraId="17B3E14B">
            <w:pPr>
              <w:keepNext w:val="0"/>
              <w:keepLines w:val="0"/>
              <w:pageBreakBefore w:val="0"/>
              <w:widowControl w:val="0"/>
              <w:kinsoku/>
              <w:wordWrap/>
              <w:overflowPunct/>
              <w:topLinePunct w:val="0"/>
              <w:autoSpaceDE/>
              <w:autoSpaceDN/>
              <w:bidi w:val="0"/>
              <w:adjustRightInd/>
              <w:snapToGrid/>
              <w:spacing w:line="360" w:lineRule="exact"/>
              <w:ind w:left="0" w:leftChars="0" w:firstLine="210" w:firstLineChars="1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3、本项目的特定资格要求</w:t>
            </w:r>
          </w:p>
          <w:p w14:paraId="3109D7F4">
            <w:pPr>
              <w:pStyle w:val="19"/>
              <w:ind w:left="0" w:leftChars="0" w:firstLine="420" w:firstLineChars="200"/>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pPr>
            <w:r>
              <w:rPr>
                <w:rFonts w:hint="eastAsia" w:ascii="仿宋" w:hAnsi="仿宋" w:eastAsia="仿宋" w:cs="仿宋"/>
                <w:color w:val="auto"/>
                <w:kern w:val="2"/>
                <w:sz w:val="21"/>
                <w:szCs w:val="21"/>
                <w:highlight w:val="none"/>
                <w:lang w:val="en-US" w:eastAsia="zh-CN" w:bidi="ar-SA"/>
              </w:rPr>
              <w:t>投标人须具备房屋建筑总承包叁级(含)以上资质，并在人员、设备、资金等方面具有相应的施工能力，有安全生产许可证，区外企业已进行区外进疆建筑企业信息报送。项目负责人须具备房屋建筑专业注册贰级建造师（含贰级）及以上执业资格，具备有效的安全生产考核合格证书，且未担任其他在施建设工程项目的项目负责人。</w:t>
            </w:r>
          </w:p>
        </w:tc>
      </w:tr>
      <w:tr w14:paraId="065CC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3" w:hRule="atLeast"/>
        </w:trPr>
        <w:tc>
          <w:tcPr>
            <w:tcW w:w="980" w:type="dxa"/>
            <w:vAlign w:val="center"/>
          </w:tcPr>
          <w:p w14:paraId="04FB5487">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9</w:t>
            </w:r>
          </w:p>
        </w:tc>
        <w:tc>
          <w:tcPr>
            <w:tcW w:w="2054" w:type="dxa"/>
            <w:vAlign w:val="center"/>
          </w:tcPr>
          <w:p w14:paraId="6912D1A7">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保证金缴纳方式及金额</w:t>
            </w:r>
          </w:p>
        </w:tc>
        <w:tc>
          <w:tcPr>
            <w:tcW w:w="6894" w:type="dxa"/>
            <w:vAlign w:val="center"/>
          </w:tcPr>
          <w:p w14:paraId="39C48A97">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磋商</w:t>
            </w:r>
            <w:r>
              <w:rPr>
                <w:rFonts w:hint="eastAsia" w:ascii="仿宋" w:hAnsi="仿宋" w:eastAsia="仿宋" w:cs="仿宋"/>
                <w:b/>
                <w:bCs/>
                <w:color w:val="auto"/>
                <w:sz w:val="21"/>
                <w:szCs w:val="21"/>
              </w:rPr>
              <w:t>保证金的形式：转账、</w:t>
            </w:r>
            <w:r>
              <w:rPr>
                <w:rFonts w:hint="eastAsia" w:ascii="仿宋" w:hAnsi="仿宋" w:eastAsia="仿宋" w:cs="仿宋"/>
                <w:b/>
                <w:bCs/>
                <w:color w:val="auto"/>
                <w:sz w:val="21"/>
                <w:szCs w:val="21"/>
                <w:lang w:val="en-US" w:eastAsia="zh-CN"/>
              </w:rPr>
              <w:t>电汇、电子保函</w:t>
            </w:r>
          </w:p>
          <w:p w14:paraId="0646674F">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lang w:val="en-US" w:eastAsia="zh-CN"/>
              </w:rPr>
              <w:t>磋商</w:t>
            </w:r>
            <w:r>
              <w:rPr>
                <w:rFonts w:hint="eastAsia" w:ascii="仿宋" w:hAnsi="仿宋" w:eastAsia="仿宋" w:cs="仿宋"/>
                <w:b/>
                <w:bCs/>
                <w:color w:val="auto"/>
                <w:sz w:val="21"/>
                <w:szCs w:val="21"/>
              </w:rPr>
              <w:t>保证金的金额：</w:t>
            </w:r>
            <w:r>
              <w:rPr>
                <w:rFonts w:hint="eastAsia" w:ascii="仿宋" w:hAnsi="仿宋" w:eastAsia="仿宋" w:cs="仿宋"/>
                <w:b/>
                <w:bCs/>
                <w:color w:val="auto"/>
                <w:sz w:val="21"/>
                <w:szCs w:val="21"/>
                <w:lang w:val="en-US" w:eastAsia="zh-CN"/>
              </w:rPr>
              <w:t>10000.00元（壹万元整）</w:t>
            </w:r>
          </w:p>
          <w:p w14:paraId="4533BDDD">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color w:val="auto"/>
                <w:sz w:val="21"/>
                <w:szCs w:val="21"/>
              </w:rPr>
            </w:pPr>
            <w:r>
              <w:rPr>
                <w:rFonts w:hint="eastAsia" w:ascii="仿宋" w:hAnsi="仿宋" w:eastAsia="仿宋" w:cs="仿宋"/>
                <w:b/>
                <w:bCs/>
                <w:color w:val="auto"/>
                <w:sz w:val="21"/>
                <w:szCs w:val="21"/>
                <w:lang w:val="en-US" w:eastAsia="zh-CN"/>
              </w:rPr>
              <w:t>磋商</w:t>
            </w:r>
            <w:r>
              <w:rPr>
                <w:rFonts w:hint="eastAsia" w:ascii="仿宋" w:hAnsi="仿宋" w:eastAsia="仿宋" w:cs="仿宋"/>
                <w:b/>
                <w:bCs/>
                <w:color w:val="auto"/>
                <w:sz w:val="21"/>
                <w:szCs w:val="21"/>
              </w:rPr>
              <w:t>保证金缴纳账户：</w:t>
            </w:r>
          </w:p>
          <w:p w14:paraId="01366F3A">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账户名称：洛浦县公共资源交易中心</w:t>
            </w:r>
          </w:p>
          <w:p w14:paraId="3E0D623B">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帐号：30581601040888887</w:t>
            </w:r>
          </w:p>
          <w:p w14:paraId="33343FB0">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default"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开户银行：中国农业银行股份有限公司洛浦县支行</w:t>
            </w:r>
          </w:p>
          <w:p w14:paraId="4BE2A8F3">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lang w:val="en-US" w:eastAsia="zh-CN"/>
              </w:rPr>
              <w:t>注：1.采用银行转账或电汇的方式的，由报名单位基本账户于</w:t>
            </w:r>
            <w:r>
              <w:rPr>
                <w:rFonts w:hint="eastAsia" w:ascii="仿宋" w:hAnsi="仿宋" w:eastAsia="仿宋" w:cs="仿宋"/>
                <w:color w:val="auto"/>
                <w:sz w:val="21"/>
                <w:szCs w:val="21"/>
                <w:highlight w:val="none"/>
                <w:lang w:val="en-US" w:eastAsia="zh-CN"/>
              </w:rPr>
              <w:t>2025年04月14日11：00（北京时间）前汇至洛浦县公共资源交易中心专用账户，不得以现金和其他形式缴纳，不得以分公司、办事处或其他机构的名义缴纳，报名单位在缴纳保证金时，需在进账凭证上明确资金用途、项目名称 ，以便查对核实。投标保证金缴纳截止时间为递交响应文件截止时间，无须换取收据。</w:t>
            </w:r>
          </w:p>
          <w:p w14:paraId="71EC9DBC">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1EE0A6DB">
            <w:pPr>
              <w:keepNext w:val="0"/>
              <w:keepLines w:val="0"/>
              <w:pageBreakBefore w:val="0"/>
              <w:widowControl w:val="0"/>
              <w:kinsoku/>
              <w:wordWrap/>
              <w:overflowPunct/>
              <w:topLinePunct w:val="0"/>
              <w:autoSpaceDE/>
              <w:autoSpaceDN/>
              <w:bidi w:val="0"/>
              <w:adjustRightInd w:val="0"/>
              <w:snapToGrid w:val="0"/>
              <w:spacing w:line="360" w:lineRule="atLeast"/>
              <w:ind w:left="0" w:right="0" w:firstLine="0" w:firstLineChars="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保函投保金额(元)：10000.00元（壹万元整）</w:t>
            </w:r>
          </w:p>
          <w:p w14:paraId="5439D0FB">
            <w:pPr>
              <w:pStyle w:val="8"/>
              <w:keepNext w:val="0"/>
              <w:keepLines w:val="0"/>
              <w:pageBreakBefore w:val="0"/>
              <w:widowControl w:val="0"/>
              <w:kinsoku/>
              <w:wordWrap/>
              <w:overflowPunct/>
              <w:topLinePunct w:val="0"/>
              <w:autoSpaceDE/>
              <w:autoSpaceDN/>
              <w:bidi w:val="0"/>
              <w:adjustRightInd w:val="0"/>
              <w:snapToGrid w:val="0"/>
              <w:spacing w:line="360" w:lineRule="atLeast"/>
              <w:textAlignment w:val="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color w:val="auto"/>
                <w:sz w:val="21"/>
                <w:szCs w:val="21"/>
                <w:highlight w:val="none"/>
                <w:lang w:val="en-US" w:eastAsia="zh-CN"/>
              </w:rPr>
              <w:t>保函承保期限：2025年04月14日----2025年07月14日（90日历天）</w:t>
            </w:r>
          </w:p>
        </w:tc>
      </w:tr>
      <w:tr w14:paraId="13539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vAlign w:val="center"/>
          </w:tcPr>
          <w:p w14:paraId="4D9BD2D5">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10</w:t>
            </w:r>
          </w:p>
        </w:tc>
        <w:tc>
          <w:tcPr>
            <w:tcW w:w="2054" w:type="dxa"/>
            <w:vAlign w:val="center"/>
          </w:tcPr>
          <w:p w14:paraId="1645D2D1">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信用情况</w:t>
            </w:r>
          </w:p>
        </w:tc>
        <w:tc>
          <w:tcPr>
            <w:tcW w:w="6894" w:type="dxa"/>
            <w:vAlign w:val="center"/>
          </w:tcPr>
          <w:p w14:paraId="759412A1">
            <w:pPr>
              <w:widowControl/>
              <w:spacing w:line="276"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1、信用记录查询时间及方式：</w:t>
            </w:r>
          </w:p>
          <w:p w14:paraId="4CE18F86">
            <w:pPr>
              <w:widowControl/>
              <w:spacing w:line="276"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（1）查询时间：自招标公告发布日期起至开标日期止，超出此时间范围将被视为无效投标。</w:t>
            </w:r>
          </w:p>
          <w:p w14:paraId="5E3C9827">
            <w:pPr>
              <w:widowControl/>
              <w:spacing w:line="276"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（2）查询方式：投标人自行通过“信用中国”及“中国政府采购网”查询，并按</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要求提供网页材料。被列入失信被执行人、政府采购严重违法失信行为记录名单,其他不符合《中华人民共和国政府采购法》第二十二条规定条件的供应商，其</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将被视为无效投标。未提供证明材料的视为不响应</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w:t>
            </w:r>
          </w:p>
          <w:p w14:paraId="05835782">
            <w:pPr>
              <w:widowControl/>
              <w:spacing w:line="276"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（3）供应商参加政府采购活动时，应当就自己的诚信情况在响应性文件中进行承诺。</w:t>
            </w:r>
          </w:p>
          <w:p w14:paraId="700B6F2C">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color w:val="auto"/>
                <w:sz w:val="21"/>
                <w:szCs w:val="21"/>
              </w:rPr>
              <w:t>本项目不接受失信企业投标。</w:t>
            </w:r>
          </w:p>
        </w:tc>
      </w:tr>
      <w:tr w14:paraId="430A5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vAlign w:val="center"/>
          </w:tcPr>
          <w:p w14:paraId="2895D211">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11</w:t>
            </w:r>
          </w:p>
        </w:tc>
        <w:tc>
          <w:tcPr>
            <w:tcW w:w="2054" w:type="dxa"/>
            <w:vAlign w:val="center"/>
          </w:tcPr>
          <w:p w14:paraId="423C43EA">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标前准备</w:t>
            </w:r>
          </w:p>
        </w:tc>
        <w:tc>
          <w:tcPr>
            <w:tcW w:w="6894" w:type="dxa"/>
            <w:vAlign w:val="center"/>
          </w:tcPr>
          <w:p w14:paraId="711C93C6">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bookmarkStart w:id="19" w:name="_Hlk49253905"/>
            <w:r>
              <w:rPr>
                <w:rFonts w:hint="eastAsia" w:ascii="仿宋" w:hAnsi="仿宋" w:eastAsia="仿宋" w:cs="仿宋"/>
                <w:b w:val="0"/>
                <w:bCs/>
                <w:i w:val="0"/>
                <w:caps w:val="0"/>
                <w:color w:val="auto"/>
                <w:spacing w:val="0"/>
                <w:kern w:val="0"/>
                <w:sz w:val="21"/>
                <w:szCs w:val="21"/>
                <w:lang w:val="en-US" w:eastAsia="zh-CN" w:bidi="ar"/>
              </w:rPr>
              <w:t xml:space="preserve">1、本项目实行网上投标，采用电子响应文件。若供应商参与投标，自行承担投标一切费用。 </w:t>
            </w:r>
          </w:p>
          <w:p w14:paraId="47790D3D">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381268B1">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772BA3A6">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4、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95763进行咨询。</w:t>
            </w:r>
            <w:bookmarkEnd w:id="19"/>
          </w:p>
        </w:tc>
      </w:tr>
      <w:tr w14:paraId="1559F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980" w:type="dxa"/>
            <w:vAlign w:val="center"/>
          </w:tcPr>
          <w:p w14:paraId="261944A2">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12</w:t>
            </w:r>
          </w:p>
        </w:tc>
        <w:tc>
          <w:tcPr>
            <w:tcW w:w="2054" w:type="dxa"/>
            <w:vAlign w:val="center"/>
          </w:tcPr>
          <w:p w14:paraId="3C2B4ED2">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资金来源</w:t>
            </w:r>
          </w:p>
        </w:tc>
        <w:tc>
          <w:tcPr>
            <w:tcW w:w="6894" w:type="dxa"/>
            <w:vAlign w:val="center"/>
          </w:tcPr>
          <w:p w14:paraId="3F5262FE">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乡村振兴衔接资金</w:t>
            </w:r>
          </w:p>
        </w:tc>
      </w:tr>
      <w:tr w14:paraId="2D64A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980" w:type="dxa"/>
            <w:vAlign w:val="center"/>
          </w:tcPr>
          <w:p w14:paraId="4290992E">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13</w:t>
            </w:r>
          </w:p>
        </w:tc>
        <w:tc>
          <w:tcPr>
            <w:tcW w:w="2054" w:type="dxa"/>
            <w:vAlign w:val="center"/>
          </w:tcPr>
          <w:p w14:paraId="25405A3D">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投标有效期</w:t>
            </w:r>
          </w:p>
        </w:tc>
        <w:tc>
          <w:tcPr>
            <w:tcW w:w="6894" w:type="dxa"/>
            <w:vAlign w:val="center"/>
          </w:tcPr>
          <w:p w14:paraId="56DDDCFF">
            <w:pPr>
              <w:adjustRightInd w:val="0"/>
              <w:snapToGrid w:val="0"/>
              <w:spacing w:line="36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90日历天（从投标截止之日算起）</w:t>
            </w:r>
          </w:p>
        </w:tc>
      </w:tr>
      <w:tr w14:paraId="0DBDE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vAlign w:val="center"/>
          </w:tcPr>
          <w:p w14:paraId="273C3996">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14</w:t>
            </w:r>
          </w:p>
        </w:tc>
        <w:tc>
          <w:tcPr>
            <w:tcW w:w="2054" w:type="dxa"/>
            <w:vAlign w:val="center"/>
          </w:tcPr>
          <w:p w14:paraId="774B0298">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磋商文件发放</w:t>
            </w:r>
          </w:p>
        </w:tc>
        <w:tc>
          <w:tcPr>
            <w:tcW w:w="6894" w:type="dxa"/>
            <w:vAlign w:val="center"/>
          </w:tcPr>
          <w:p w14:paraId="4002CC4F">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时间：2025年04月04日至2025年04月13日，每天上午00:00至12:00，下午12:00至23:59（北京时间，线上获取法定节假日均可）</w:t>
            </w:r>
          </w:p>
          <w:p w14:paraId="6E5305AD">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地点：供应商登录政采云平台https://www.zcygov.cn/在线申请获取采购文件（进入“项目采购”应用，在获取采购文件菜单中选择项目，申请获取采购文件）</w:t>
            </w:r>
          </w:p>
        </w:tc>
      </w:tr>
      <w:tr w14:paraId="51633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trPr>
        <w:tc>
          <w:tcPr>
            <w:tcW w:w="980" w:type="dxa"/>
            <w:vAlign w:val="center"/>
          </w:tcPr>
          <w:p w14:paraId="11A2F92D">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15</w:t>
            </w:r>
          </w:p>
        </w:tc>
        <w:tc>
          <w:tcPr>
            <w:tcW w:w="2054" w:type="dxa"/>
            <w:vAlign w:val="center"/>
          </w:tcPr>
          <w:p w14:paraId="1DF66FE2">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投标截止时间</w:t>
            </w:r>
          </w:p>
        </w:tc>
        <w:tc>
          <w:tcPr>
            <w:tcW w:w="6894" w:type="dxa"/>
            <w:vAlign w:val="center"/>
          </w:tcPr>
          <w:p w14:paraId="2067AEC9">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2025年04月14日上午11时00分（北京时间）</w:t>
            </w:r>
          </w:p>
          <w:p w14:paraId="314BB0C0">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评审地址：洛浦县北京工业园区，北园区振兴路10号</w:t>
            </w:r>
          </w:p>
        </w:tc>
      </w:tr>
      <w:tr w14:paraId="216E6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vAlign w:val="center"/>
          </w:tcPr>
          <w:p w14:paraId="23C403B3">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16</w:t>
            </w:r>
          </w:p>
        </w:tc>
        <w:tc>
          <w:tcPr>
            <w:tcW w:w="2054" w:type="dxa"/>
            <w:vAlign w:val="center"/>
          </w:tcPr>
          <w:p w14:paraId="725C44E4">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递交响应文件的地点及方式</w:t>
            </w:r>
          </w:p>
        </w:tc>
        <w:tc>
          <w:tcPr>
            <w:tcW w:w="6894" w:type="dxa"/>
            <w:vAlign w:val="center"/>
          </w:tcPr>
          <w:p w14:paraId="57CC8EAD">
            <w:pPr>
              <w:spacing w:line="240" w:lineRule="auto"/>
              <w:rPr>
                <w:rFonts w:hint="eastAsia" w:ascii="仿宋" w:hAnsi="仿宋" w:eastAsia="仿宋" w:cs="仿宋"/>
                <w:bCs/>
                <w:color w:val="auto"/>
                <w:sz w:val="21"/>
                <w:szCs w:val="21"/>
              </w:rPr>
            </w:pPr>
            <w:r>
              <w:rPr>
                <w:rFonts w:hint="eastAsia" w:ascii="仿宋" w:hAnsi="仿宋" w:eastAsia="仿宋" w:cs="仿宋"/>
                <w:bCs/>
                <w:color w:val="auto"/>
                <w:sz w:val="21"/>
                <w:szCs w:val="21"/>
              </w:rPr>
              <w:t>投标人</w:t>
            </w:r>
            <w:r>
              <w:rPr>
                <w:rFonts w:hint="eastAsia" w:ascii="仿宋" w:hAnsi="仿宋" w:eastAsia="仿宋" w:cs="仿宋"/>
                <w:bCs/>
                <w:color w:val="auto"/>
                <w:sz w:val="21"/>
                <w:szCs w:val="21"/>
                <w:lang w:eastAsia="zh-CN"/>
              </w:rPr>
              <w:t>应于</w:t>
            </w:r>
            <w:r>
              <w:rPr>
                <w:rFonts w:hint="eastAsia" w:ascii="仿宋" w:hAnsi="仿宋" w:eastAsia="仿宋" w:cs="仿宋"/>
                <w:b w:val="0"/>
                <w:bCs/>
                <w:i w:val="0"/>
                <w:caps w:val="0"/>
                <w:color w:val="auto"/>
                <w:spacing w:val="0"/>
                <w:kern w:val="0"/>
                <w:sz w:val="21"/>
                <w:szCs w:val="21"/>
                <w:lang w:val="en-US" w:eastAsia="zh-CN" w:bidi="ar"/>
              </w:rPr>
              <w:t>2025年04月14日11点00分</w:t>
            </w:r>
            <w:r>
              <w:rPr>
                <w:rFonts w:hint="eastAsia" w:ascii="仿宋" w:hAnsi="仿宋" w:eastAsia="仿宋" w:cs="仿宋"/>
                <w:bCs/>
                <w:color w:val="auto"/>
                <w:sz w:val="21"/>
                <w:szCs w:val="21"/>
              </w:rPr>
              <w:t>之前将电子</w:t>
            </w:r>
            <w:r>
              <w:rPr>
                <w:rFonts w:hint="eastAsia" w:ascii="仿宋" w:hAnsi="仿宋" w:eastAsia="仿宋" w:cs="仿宋"/>
                <w:bCs/>
                <w:color w:val="auto"/>
                <w:sz w:val="21"/>
                <w:szCs w:val="21"/>
                <w:lang w:val="en-US" w:eastAsia="zh-CN"/>
              </w:rPr>
              <w:t>磋商</w:t>
            </w:r>
            <w:r>
              <w:rPr>
                <w:rFonts w:hint="eastAsia" w:ascii="仿宋" w:hAnsi="仿宋" w:eastAsia="仿宋" w:cs="仿宋"/>
                <w:bCs/>
                <w:color w:val="auto"/>
                <w:sz w:val="21"/>
                <w:szCs w:val="21"/>
              </w:rPr>
              <w:t>文件上传到“</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”平台。应按照本项目</w:t>
            </w:r>
            <w:r>
              <w:rPr>
                <w:rFonts w:hint="eastAsia" w:ascii="仿宋" w:hAnsi="仿宋" w:eastAsia="仿宋" w:cs="仿宋"/>
                <w:bCs/>
                <w:color w:val="auto"/>
                <w:sz w:val="21"/>
                <w:szCs w:val="21"/>
                <w:lang w:eastAsia="zh-CN"/>
              </w:rPr>
              <w:t>磋商文件</w:t>
            </w:r>
            <w:r>
              <w:rPr>
                <w:rFonts w:hint="eastAsia" w:ascii="仿宋" w:hAnsi="仿宋" w:eastAsia="仿宋" w:cs="仿宋"/>
                <w:bCs/>
                <w:color w:val="auto"/>
                <w:sz w:val="21"/>
                <w:szCs w:val="21"/>
              </w:rPr>
              <w:t>和</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的要求编制、加密传输</w:t>
            </w:r>
            <w:r>
              <w:rPr>
                <w:rFonts w:hint="eastAsia" w:ascii="仿宋" w:hAnsi="仿宋" w:eastAsia="仿宋" w:cs="仿宋"/>
                <w:bCs/>
                <w:color w:val="auto"/>
                <w:sz w:val="21"/>
                <w:szCs w:val="21"/>
                <w:lang w:eastAsia="zh-CN"/>
              </w:rPr>
              <w:t>响应文件</w:t>
            </w:r>
            <w:r>
              <w:rPr>
                <w:rFonts w:hint="eastAsia" w:ascii="仿宋" w:hAnsi="仿宋" w:eastAsia="仿宋" w:cs="仿宋"/>
                <w:bCs/>
                <w:color w:val="auto"/>
                <w:sz w:val="21"/>
                <w:szCs w:val="21"/>
              </w:rPr>
              <w:t>。供应商在使用系统进行投标的过程中遇到涉及平台使用的任何问题，可致电</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平台技术支持热线咨询，联系方式：</w:t>
            </w:r>
            <w:r>
              <w:rPr>
                <w:rFonts w:hint="eastAsia" w:ascii="仿宋" w:hAnsi="仿宋" w:eastAsia="仿宋" w:cs="仿宋"/>
                <w:bCs/>
                <w:color w:val="auto"/>
                <w:sz w:val="21"/>
                <w:szCs w:val="21"/>
                <w:lang w:eastAsia="zh-CN"/>
              </w:rPr>
              <w:t>95763</w:t>
            </w:r>
            <w:r>
              <w:rPr>
                <w:rFonts w:hint="eastAsia" w:ascii="仿宋" w:hAnsi="仿宋" w:eastAsia="仿宋" w:cs="仿宋"/>
                <w:bCs/>
                <w:color w:val="auto"/>
                <w:sz w:val="21"/>
                <w:szCs w:val="21"/>
              </w:rPr>
              <w:t>。</w:t>
            </w:r>
          </w:p>
          <w:p w14:paraId="6EBEDFA5">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Cs/>
                <w:color w:val="auto"/>
                <w:sz w:val="21"/>
                <w:szCs w:val="21"/>
              </w:rPr>
              <w:t>注：本项目采用“不见面”方式开标，如</w:t>
            </w:r>
            <w:r>
              <w:rPr>
                <w:rFonts w:hint="eastAsia" w:ascii="仿宋" w:hAnsi="仿宋" w:eastAsia="仿宋" w:cs="仿宋"/>
                <w:bCs/>
                <w:color w:val="auto"/>
                <w:sz w:val="21"/>
                <w:szCs w:val="21"/>
                <w:lang w:eastAsia="zh-CN"/>
              </w:rPr>
              <w:t>磋商文件</w:t>
            </w:r>
            <w:r>
              <w:rPr>
                <w:rFonts w:hint="eastAsia" w:ascii="仿宋" w:hAnsi="仿宋" w:eastAsia="仿宋" w:cs="仿宋"/>
                <w:bCs/>
                <w:color w:val="auto"/>
                <w:sz w:val="21"/>
                <w:szCs w:val="21"/>
              </w:rPr>
              <w:t>或招标公告中存在与“不见面”开标方式矛盾或不一致的规定或要求，均自动失效。</w:t>
            </w:r>
          </w:p>
        </w:tc>
      </w:tr>
      <w:tr w14:paraId="3CAE7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0" w:type="dxa"/>
            <w:vAlign w:val="center"/>
          </w:tcPr>
          <w:p w14:paraId="3DEE3316">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17</w:t>
            </w:r>
          </w:p>
        </w:tc>
        <w:tc>
          <w:tcPr>
            <w:tcW w:w="2054" w:type="dxa"/>
            <w:vAlign w:val="center"/>
          </w:tcPr>
          <w:p w14:paraId="4170B038">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响应文件解密时间</w:t>
            </w:r>
          </w:p>
        </w:tc>
        <w:tc>
          <w:tcPr>
            <w:tcW w:w="6894" w:type="dxa"/>
            <w:vAlign w:val="center"/>
          </w:tcPr>
          <w:p w14:paraId="609E4F4F">
            <w:pPr>
              <w:spacing w:line="240" w:lineRule="auto"/>
              <w:rPr>
                <w:rFonts w:hint="eastAsia" w:ascii="仿宋" w:hAnsi="仿宋" w:eastAsia="仿宋" w:cs="仿宋"/>
                <w:b/>
                <w:bCs w:val="0"/>
                <w:color w:val="auto"/>
                <w:sz w:val="21"/>
                <w:szCs w:val="21"/>
              </w:rPr>
            </w:pPr>
            <w:r>
              <w:rPr>
                <w:rFonts w:hint="eastAsia" w:ascii="仿宋" w:hAnsi="仿宋" w:eastAsia="仿宋" w:cs="仿宋"/>
                <w:b/>
                <w:bCs w:val="0"/>
                <w:color w:val="auto"/>
                <w:sz w:val="21"/>
                <w:szCs w:val="21"/>
              </w:rPr>
              <w:t>1、投标截止时间后，供应商应及时登录“</w:t>
            </w:r>
            <w:r>
              <w:rPr>
                <w:rFonts w:hint="eastAsia" w:ascii="仿宋" w:hAnsi="仿宋" w:eastAsia="仿宋" w:cs="仿宋"/>
                <w:b/>
                <w:bCs w:val="0"/>
                <w:color w:val="auto"/>
                <w:sz w:val="21"/>
                <w:szCs w:val="21"/>
                <w:lang w:eastAsia="zh-CN"/>
              </w:rPr>
              <w:t>政采云</w:t>
            </w:r>
            <w:r>
              <w:rPr>
                <w:rFonts w:hint="eastAsia" w:ascii="仿宋" w:hAnsi="仿宋" w:eastAsia="仿宋" w:cs="仿宋"/>
                <w:b/>
                <w:bCs w:val="0"/>
                <w:color w:val="auto"/>
                <w:sz w:val="21"/>
                <w:szCs w:val="21"/>
              </w:rPr>
              <w:t>”平台，用“项目采购-开标评标”功能对</w:t>
            </w:r>
            <w:r>
              <w:rPr>
                <w:rFonts w:hint="eastAsia" w:ascii="仿宋" w:hAnsi="仿宋" w:eastAsia="仿宋" w:cs="仿宋"/>
                <w:b/>
                <w:bCs w:val="0"/>
                <w:color w:val="auto"/>
                <w:sz w:val="21"/>
                <w:szCs w:val="21"/>
                <w:lang w:eastAsia="zh-CN"/>
              </w:rPr>
              <w:t>响应文件</w:t>
            </w:r>
            <w:r>
              <w:rPr>
                <w:rFonts w:hint="eastAsia" w:ascii="仿宋" w:hAnsi="仿宋" w:eastAsia="仿宋" w:cs="仿宋"/>
                <w:b/>
                <w:bCs w:val="0"/>
                <w:color w:val="auto"/>
                <w:sz w:val="21"/>
                <w:szCs w:val="21"/>
              </w:rPr>
              <w:t>进行解密。规定的解密时限为：</w:t>
            </w:r>
            <w:r>
              <w:rPr>
                <w:rFonts w:hint="eastAsia" w:ascii="仿宋" w:hAnsi="仿宋" w:eastAsia="仿宋" w:cs="仿宋"/>
                <w:b/>
                <w:bCs w:val="0"/>
                <w:color w:val="auto"/>
                <w:sz w:val="21"/>
                <w:szCs w:val="21"/>
                <w:lang w:val="en-US" w:eastAsia="zh-CN"/>
              </w:rPr>
              <w:t>2025年04月 14日</w:t>
            </w:r>
            <w:r>
              <w:rPr>
                <w:rFonts w:hint="eastAsia" w:ascii="仿宋" w:hAnsi="仿宋" w:eastAsia="仿宋" w:cs="仿宋"/>
                <w:b/>
                <w:bCs w:val="0"/>
                <w:color w:val="auto"/>
                <w:sz w:val="21"/>
                <w:szCs w:val="21"/>
                <w:lang w:eastAsia="zh-CN"/>
              </w:rPr>
              <w:t>1</w:t>
            </w:r>
            <w:r>
              <w:rPr>
                <w:rFonts w:hint="eastAsia" w:ascii="仿宋" w:hAnsi="仿宋" w:eastAsia="仿宋" w:cs="仿宋"/>
                <w:b/>
                <w:bCs w:val="0"/>
                <w:color w:val="auto"/>
                <w:sz w:val="21"/>
                <w:szCs w:val="21"/>
                <w:lang w:val="en-US" w:eastAsia="zh-CN"/>
              </w:rPr>
              <w:t>1</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0-1</w:t>
            </w:r>
            <w:r>
              <w:rPr>
                <w:rFonts w:hint="eastAsia" w:ascii="仿宋" w:hAnsi="仿宋" w:eastAsia="仿宋" w:cs="仿宋"/>
                <w:b/>
                <w:bCs w:val="0"/>
                <w:color w:val="auto"/>
                <w:sz w:val="21"/>
                <w:szCs w:val="21"/>
                <w:lang w:val="en-US" w:eastAsia="zh-CN"/>
              </w:rPr>
              <w:t>2</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0前（</w:t>
            </w:r>
            <w:r>
              <w:rPr>
                <w:rFonts w:hint="eastAsia" w:ascii="仿宋" w:hAnsi="仿宋" w:eastAsia="仿宋" w:cs="仿宋"/>
                <w:b/>
                <w:bCs w:val="0"/>
                <w:color w:val="auto"/>
                <w:sz w:val="21"/>
                <w:szCs w:val="21"/>
                <w:lang w:val="en-US" w:eastAsia="zh-CN"/>
              </w:rPr>
              <w:t>60</w:t>
            </w:r>
            <w:r>
              <w:rPr>
                <w:rFonts w:hint="eastAsia" w:ascii="仿宋" w:hAnsi="仿宋" w:eastAsia="仿宋" w:cs="仿宋"/>
                <w:b/>
                <w:bCs w:val="0"/>
                <w:color w:val="auto"/>
                <w:sz w:val="21"/>
                <w:szCs w:val="21"/>
                <w:lang w:eastAsia="zh-CN"/>
              </w:rPr>
              <w:t>分钟内）</w:t>
            </w:r>
            <w:r>
              <w:rPr>
                <w:rFonts w:hint="eastAsia" w:ascii="仿宋" w:hAnsi="仿宋" w:eastAsia="仿宋" w:cs="仿宋"/>
                <w:b/>
                <w:bCs w:val="0"/>
                <w:color w:val="auto"/>
                <w:sz w:val="21"/>
                <w:szCs w:val="21"/>
              </w:rPr>
              <w:t>，若供应商在规定时间内未能解密的，视为供应商对其</w:t>
            </w:r>
            <w:r>
              <w:rPr>
                <w:rFonts w:hint="eastAsia" w:ascii="仿宋" w:hAnsi="仿宋" w:eastAsia="仿宋" w:cs="仿宋"/>
                <w:b/>
                <w:bCs w:val="0"/>
                <w:color w:val="auto"/>
                <w:sz w:val="21"/>
                <w:szCs w:val="21"/>
                <w:lang w:eastAsia="zh-CN"/>
              </w:rPr>
              <w:t>响应文件</w:t>
            </w:r>
            <w:r>
              <w:rPr>
                <w:rFonts w:hint="eastAsia" w:ascii="仿宋" w:hAnsi="仿宋" w:eastAsia="仿宋" w:cs="仿宋"/>
                <w:b/>
                <w:bCs w:val="0"/>
                <w:color w:val="auto"/>
                <w:sz w:val="21"/>
                <w:szCs w:val="21"/>
              </w:rPr>
              <w:t>的撤回。</w:t>
            </w:r>
          </w:p>
          <w:p w14:paraId="3C885EB4">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color w:val="auto"/>
                <w:kern w:val="2"/>
                <w:sz w:val="21"/>
                <w:szCs w:val="21"/>
              </w:rPr>
              <w:t>2、因系统（非投标供应商行为）的原因，造成投标供应商未能在规定的解密时限内解密的，请及时与招标代理机构或与新疆政府采购网投标客户端进行联系。</w:t>
            </w:r>
          </w:p>
        </w:tc>
      </w:tr>
      <w:tr w14:paraId="068DA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980" w:type="dxa"/>
            <w:vAlign w:val="center"/>
          </w:tcPr>
          <w:p w14:paraId="176E26FD">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18</w:t>
            </w:r>
          </w:p>
        </w:tc>
        <w:tc>
          <w:tcPr>
            <w:tcW w:w="2054" w:type="dxa"/>
            <w:vAlign w:val="center"/>
          </w:tcPr>
          <w:p w14:paraId="6F808C9B">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采购预算金额（最高限价）</w:t>
            </w:r>
          </w:p>
        </w:tc>
        <w:tc>
          <w:tcPr>
            <w:tcW w:w="6894" w:type="dxa"/>
            <w:vAlign w:val="center"/>
          </w:tcPr>
          <w:p w14:paraId="515873F5">
            <w:pPr>
              <w:adjustRightInd w:val="0"/>
              <w:snapToGrid w:val="0"/>
              <w:spacing w:line="240" w:lineRule="auto"/>
              <w:rPr>
                <w:rFonts w:hint="eastAsia" w:ascii="仿宋" w:hAnsi="仿宋" w:eastAsia="仿宋" w:cs="仿宋"/>
                <w:b/>
                <w:bCs w:val="0"/>
                <w:color w:val="auto"/>
                <w:kern w:val="2"/>
                <w:sz w:val="21"/>
                <w:szCs w:val="21"/>
              </w:rPr>
            </w:pPr>
            <w:r>
              <w:rPr>
                <w:rFonts w:hint="eastAsia" w:ascii="仿宋" w:hAnsi="仿宋" w:eastAsia="仿宋" w:cs="仿宋"/>
                <w:b w:val="0"/>
                <w:bCs/>
                <w:i w:val="0"/>
                <w:caps w:val="0"/>
                <w:color w:val="auto"/>
                <w:spacing w:val="0"/>
                <w:kern w:val="0"/>
                <w:sz w:val="21"/>
                <w:szCs w:val="21"/>
                <w:lang w:val="en-US" w:eastAsia="zh-CN" w:bidi="ar"/>
              </w:rPr>
              <w:t>1146000.00元（大写：壹佰壹拾肆万陆仟元整），供应商报价超过最高限价，投标视为无效。</w:t>
            </w:r>
          </w:p>
        </w:tc>
      </w:tr>
      <w:tr w14:paraId="1DABF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980" w:type="dxa"/>
            <w:vAlign w:val="center"/>
          </w:tcPr>
          <w:p w14:paraId="5BBB0D69">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19</w:t>
            </w:r>
          </w:p>
        </w:tc>
        <w:tc>
          <w:tcPr>
            <w:tcW w:w="2054" w:type="dxa"/>
            <w:vAlign w:val="center"/>
          </w:tcPr>
          <w:p w14:paraId="2FAD04E1">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投标报价</w:t>
            </w:r>
          </w:p>
        </w:tc>
        <w:tc>
          <w:tcPr>
            <w:tcW w:w="6894" w:type="dxa"/>
            <w:vAlign w:val="center"/>
          </w:tcPr>
          <w:p w14:paraId="25067AC5">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1、投标报价不得高于采购预算价，如高于采购预算价视为无效投标报价；2、供应商的投标报价应包含本项目相关服务的全部费用，采购人不再另行支付其他费用。</w:t>
            </w:r>
          </w:p>
        </w:tc>
      </w:tr>
      <w:tr w14:paraId="4103B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trPr>
        <w:tc>
          <w:tcPr>
            <w:tcW w:w="980" w:type="dxa"/>
            <w:vAlign w:val="center"/>
          </w:tcPr>
          <w:p w14:paraId="1895AE18">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20</w:t>
            </w:r>
          </w:p>
        </w:tc>
        <w:tc>
          <w:tcPr>
            <w:tcW w:w="2054" w:type="dxa"/>
            <w:vAlign w:val="center"/>
          </w:tcPr>
          <w:p w14:paraId="2B179B0B">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评标办法</w:t>
            </w:r>
          </w:p>
        </w:tc>
        <w:tc>
          <w:tcPr>
            <w:tcW w:w="6894" w:type="dxa"/>
            <w:vAlign w:val="center"/>
          </w:tcPr>
          <w:p w14:paraId="4522FE03">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综合评分法</w:t>
            </w:r>
          </w:p>
        </w:tc>
      </w:tr>
      <w:tr w14:paraId="17510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80" w:type="dxa"/>
            <w:vAlign w:val="center"/>
          </w:tcPr>
          <w:p w14:paraId="5AA810C6">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21</w:t>
            </w:r>
          </w:p>
        </w:tc>
        <w:tc>
          <w:tcPr>
            <w:tcW w:w="2054" w:type="dxa"/>
            <w:vAlign w:val="center"/>
          </w:tcPr>
          <w:p w14:paraId="559805A9">
            <w:pPr>
              <w:adjustRightInd w:val="0"/>
              <w:snapToGrid w:val="0"/>
              <w:spacing w:line="240" w:lineRule="auto"/>
              <w:ind w:firstLine="420" w:firstLineChars="200"/>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核心产品</w:t>
            </w:r>
          </w:p>
        </w:tc>
        <w:tc>
          <w:tcPr>
            <w:tcW w:w="6894" w:type="dxa"/>
            <w:vAlign w:val="center"/>
          </w:tcPr>
          <w:p w14:paraId="7230D19D">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□有  ☑无  核心产品为：/</w:t>
            </w:r>
          </w:p>
        </w:tc>
      </w:tr>
      <w:tr w14:paraId="19B94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80" w:type="dxa"/>
            <w:vAlign w:val="center"/>
          </w:tcPr>
          <w:p w14:paraId="4DBC9D09">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21</w:t>
            </w:r>
          </w:p>
        </w:tc>
        <w:tc>
          <w:tcPr>
            <w:tcW w:w="2054" w:type="dxa"/>
            <w:vAlign w:val="center"/>
          </w:tcPr>
          <w:p w14:paraId="2007A8A9">
            <w:pPr>
              <w:spacing w:line="340" w:lineRule="exact"/>
              <w:ind w:firstLine="420" w:firstLineChars="200"/>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磋商小组</w:t>
            </w:r>
          </w:p>
        </w:tc>
        <w:tc>
          <w:tcPr>
            <w:tcW w:w="6894" w:type="dxa"/>
            <w:vAlign w:val="center"/>
          </w:tcPr>
          <w:p w14:paraId="05B05E65">
            <w:pPr>
              <w:numPr>
                <w:ilvl w:val="0"/>
                <w:numId w:val="5"/>
              </w:numPr>
              <w:spacing w:line="340" w:lineRule="exact"/>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构成：</w:t>
            </w:r>
            <w:r>
              <w:rPr>
                <w:rFonts w:hint="eastAsia" w:ascii="仿宋" w:hAnsi="仿宋" w:eastAsia="仿宋" w:cs="仿宋"/>
                <w:color w:val="auto"/>
                <w:sz w:val="21"/>
                <w:szCs w:val="21"/>
                <w:highlight w:val="none"/>
                <w:lang w:eastAsia="zh-CN"/>
              </w:rPr>
              <w:t>专家</w:t>
            </w:r>
            <w:r>
              <w:rPr>
                <w:rFonts w:hint="eastAsia" w:ascii="仿宋" w:hAnsi="仿宋" w:eastAsia="仿宋" w:cs="仿宋"/>
                <w:b/>
                <w:bCs/>
                <w:color w:val="auto"/>
                <w:sz w:val="21"/>
                <w:szCs w:val="21"/>
                <w:highlight w:val="none"/>
                <w:lang w:val="en-US" w:eastAsia="zh-CN"/>
              </w:rPr>
              <w:t>3</w:t>
            </w:r>
            <w:r>
              <w:rPr>
                <w:rFonts w:hint="eastAsia" w:ascii="仿宋" w:hAnsi="仿宋" w:eastAsia="仿宋" w:cs="仿宋"/>
                <w:color w:val="auto"/>
                <w:sz w:val="21"/>
                <w:szCs w:val="21"/>
                <w:highlight w:val="none"/>
              </w:rPr>
              <w:t>人</w:t>
            </w:r>
            <w:r>
              <w:rPr>
                <w:rFonts w:hint="eastAsia" w:ascii="仿宋" w:hAnsi="仿宋" w:eastAsia="仿宋" w:cs="仿宋"/>
                <w:color w:val="auto"/>
                <w:sz w:val="21"/>
                <w:szCs w:val="21"/>
                <w:highlight w:val="none"/>
                <w:lang w:eastAsia="zh-CN"/>
              </w:rPr>
              <w:t>；其中采购人代表</w:t>
            </w:r>
            <w:r>
              <w:rPr>
                <w:rFonts w:hint="eastAsia" w:ascii="仿宋" w:hAnsi="仿宋" w:eastAsia="仿宋" w:cs="仿宋"/>
                <w:color w:val="auto"/>
                <w:sz w:val="21"/>
                <w:szCs w:val="21"/>
                <w:highlight w:val="none"/>
                <w:lang w:val="en-US" w:eastAsia="zh-CN"/>
              </w:rPr>
              <w:t>1人。</w:t>
            </w:r>
          </w:p>
          <w:p w14:paraId="1FB88447">
            <w:pPr>
              <w:numPr>
                <w:ilvl w:val="0"/>
                <w:numId w:val="0"/>
              </w:numPr>
              <w:spacing w:line="340" w:lineRule="exact"/>
              <w:ind w:left="0" w:leftChars="0"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（2）</w:t>
            </w:r>
            <w:r>
              <w:rPr>
                <w:rFonts w:hint="eastAsia" w:ascii="仿宋" w:hAnsi="仿宋" w:eastAsia="仿宋" w:cs="仿宋"/>
                <w:color w:val="auto"/>
                <w:sz w:val="21"/>
                <w:szCs w:val="21"/>
                <w:lang w:eastAsia="zh-CN"/>
              </w:rPr>
              <w:t>评审专家</w:t>
            </w:r>
            <w:r>
              <w:rPr>
                <w:rFonts w:hint="eastAsia" w:ascii="仿宋" w:hAnsi="仿宋" w:eastAsia="仿宋" w:cs="仿宋"/>
                <w:color w:val="auto"/>
                <w:sz w:val="21"/>
                <w:szCs w:val="21"/>
              </w:rPr>
              <w:t>确定方式：由招标代理于开标48小时前在</w:t>
            </w:r>
            <w:r>
              <w:rPr>
                <w:rFonts w:hint="eastAsia" w:ascii="仿宋" w:hAnsi="仿宋" w:eastAsia="仿宋" w:cs="仿宋"/>
                <w:color w:val="auto"/>
                <w:sz w:val="21"/>
                <w:szCs w:val="21"/>
                <w:lang w:eastAsia="zh-CN"/>
              </w:rPr>
              <w:t>政采云</w:t>
            </w:r>
            <w:r>
              <w:rPr>
                <w:rFonts w:hint="eastAsia" w:ascii="仿宋" w:hAnsi="仿宋" w:eastAsia="仿宋" w:cs="仿宋"/>
                <w:color w:val="auto"/>
                <w:sz w:val="21"/>
                <w:szCs w:val="21"/>
              </w:rPr>
              <w:t>专家库中随机抽取。</w:t>
            </w:r>
          </w:p>
        </w:tc>
      </w:tr>
      <w:tr w14:paraId="68506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980" w:type="dxa"/>
            <w:vAlign w:val="center"/>
          </w:tcPr>
          <w:p w14:paraId="1A5D2DC2">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22</w:t>
            </w:r>
          </w:p>
        </w:tc>
        <w:tc>
          <w:tcPr>
            <w:tcW w:w="2054" w:type="dxa"/>
            <w:vAlign w:val="center"/>
          </w:tcPr>
          <w:p w14:paraId="59852897">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付款方式</w:t>
            </w:r>
          </w:p>
        </w:tc>
        <w:tc>
          <w:tcPr>
            <w:tcW w:w="6894" w:type="dxa"/>
            <w:vAlign w:val="center"/>
          </w:tcPr>
          <w:p w14:paraId="7F4CFF45">
            <w:pPr>
              <w:adjustRightInd w:val="0"/>
              <w:snapToGrid w:val="0"/>
              <w:spacing w:line="240" w:lineRule="auto"/>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1期：支付比例50%，合同签订生效后的10个工作日内，将合同总金额的50%支付给成交供应商。2期：支付比例50%，竣工验收的30个工作日内，将合同总金额的50%支付给成交供应商。（具体支付方式以签订合同为准）</w:t>
            </w:r>
          </w:p>
          <w:p w14:paraId="146168BA">
            <w:pPr>
              <w:adjustRightInd w:val="0"/>
              <w:snapToGrid w:val="0"/>
              <w:spacing w:line="240" w:lineRule="auto"/>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2.每次付款乙方须按国家相关税务规定提供相应额度的真实有效的发票</w:t>
            </w:r>
            <w:r>
              <w:rPr>
                <w:rFonts w:hint="eastAsia" w:ascii="仿宋" w:hAnsi="仿宋" w:eastAsia="仿宋" w:cs="仿宋"/>
                <w:b w:val="0"/>
                <w:bCs/>
                <w:i w:val="0"/>
                <w:caps w:val="0"/>
                <w:color w:val="FF0000"/>
                <w:spacing w:val="0"/>
                <w:kern w:val="0"/>
                <w:sz w:val="21"/>
                <w:szCs w:val="21"/>
                <w:lang w:val="en-US" w:eastAsia="zh-CN" w:bidi="ar"/>
              </w:rPr>
              <w:t>。</w:t>
            </w:r>
          </w:p>
        </w:tc>
      </w:tr>
      <w:tr w14:paraId="37A80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980" w:type="dxa"/>
            <w:vAlign w:val="center"/>
          </w:tcPr>
          <w:p w14:paraId="68212E94">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23</w:t>
            </w:r>
          </w:p>
        </w:tc>
        <w:tc>
          <w:tcPr>
            <w:tcW w:w="2054" w:type="dxa"/>
            <w:vAlign w:val="center"/>
          </w:tcPr>
          <w:p w14:paraId="264976DE">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zh-CN" w:eastAsia="zh-CN" w:bidi="ar"/>
              </w:rPr>
            </w:pPr>
            <w:r>
              <w:rPr>
                <w:rFonts w:hint="eastAsia" w:ascii="仿宋" w:hAnsi="仿宋" w:eastAsia="仿宋" w:cs="仿宋"/>
                <w:b w:val="0"/>
                <w:bCs/>
                <w:i w:val="0"/>
                <w:caps w:val="0"/>
                <w:color w:val="auto"/>
                <w:spacing w:val="0"/>
                <w:kern w:val="0"/>
                <w:sz w:val="21"/>
                <w:szCs w:val="21"/>
                <w:lang w:val="en-US" w:eastAsia="zh-CN" w:bidi="ar"/>
              </w:rPr>
              <w:t>采购代理服务费</w:t>
            </w:r>
          </w:p>
        </w:tc>
        <w:tc>
          <w:tcPr>
            <w:tcW w:w="6894" w:type="dxa"/>
            <w:vAlign w:val="center"/>
          </w:tcPr>
          <w:p w14:paraId="6F903D25">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本项目采购代理服务费由中标人支付。</w:t>
            </w:r>
            <w:r>
              <w:rPr>
                <w:rFonts w:hint="eastAsia" w:ascii="仿宋" w:hAnsi="仿宋" w:eastAsia="仿宋" w:cs="仿宋"/>
                <w:bCs/>
                <w:color w:val="auto"/>
                <w:sz w:val="21"/>
                <w:szCs w:val="21"/>
                <w:highlight w:val="none"/>
                <w:lang w:val="en-US" w:eastAsia="zh-CN"/>
              </w:rPr>
              <w:t>参照国家计委计价格[2002]1980号文件</w:t>
            </w:r>
            <w:r>
              <w:rPr>
                <w:rFonts w:hint="eastAsia" w:ascii="仿宋" w:hAnsi="仿宋" w:eastAsia="仿宋" w:cs="仿宋"/>
                <w:color w:val="auto"/>
                <w:kern w:val="0"/>
                <w:sz w:val="21"/>
                <w:szCs w:val="21"/>
                <w:lang w:val="en-US" w:eastAsia="zh-CN" w:bidi="ar-SA"/>
              </w:rPr>
              <w:t>规定，本项目向中标单位收取中标服务费。以上费用请各投标人考虑到成本费用中，由中标单位在领取成</w:t>
            </w:r>
            <w:bookmarkStart w:id="188" w:name="_GoBack"/>
            <w:bookmarkEnd w:id="188"/>
            <w:r>
              <w:rPr>
                <w:rFonts w:hint="eastAsia" w:ascii="仿宋" w:hAnsi="仿宋" w:eastAsia="仿宋" w:cs="仿宋"/>
                <w:color w:val="auto"/>
                <w:kern w:val="0"/>
                <w:sz w:val="21"/>
                <w:szCs w:val="21"/>
                <w:lang w:val="en-US" w:eastAsia="zh-CN" w:bidi="ar-SA"/>
              </w:rPr>
              <w:t>交通知书时一次性支付给代理公司。（若通过银行汇款交纳的，须由投标人的账户汇入）。中标服务费按差额定率累进法计算收取。收费标准如下表所列：</w:t>
            </w:r>
          </w:p>
          <w:tbl>
            <w:tblPr>
              <w:tblStyle w:val="51"/>
              <w:tblW w:w="5726" w:type="dxa"/>
              <w:tblInd w:w="54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108"/>
              <w:gridCol w:w="2618"/>
            </w:tblGrid>
            <w:tr w14:paraId="2FC346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3" w:hRule="atLeast"/>
              </w:trPr>
              <w:tc>
                <w:tcPr>
                  <w:tcW w:w="3108" w:type="dxa"/>
                  <w:vAlign w:val="top"/>
                </w:tcPr>
                <w:p w14:paraId="3519F64C">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中标金额（万元）</w:t>
                  </w:r>
                </w:p>
              </w:tc>
              <w:tc>
                <w:tcPr>
                  <w:tcW w:w="2618" w:type="dxa"/>
                  <w:vAlign w:val="top"/>
                </w:tcPr>
                <w:p w14:paraId="72FAB5E0">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收费费率</w:t>
                  </w:r>
                </w:p>
              </w:tc>
            </w:tr>
            <w:tr w14:paraId="009C18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8" w:hRule="atLeast"/>
              </w:trPr>
              <w:tc>
                <w:tcPr>
                  <w:tcW w:w="3108" w:type="dxa"/>
                  <w:vAlign w:val="top"/>
                </w:tcPr>
                <w:p w14:paraId="5DD4A72C">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100 以下</w:t>
                  </w:r>
                </w:p>
              </w:tc>
              <w:tc>
                <w:tcPr>
                  <w:tcW w:w="2618" w:type="dxa"/>
                  <w:vAlign w:val="top"/>
                </w:tcPr>
                <w:p w14:paraId="2FA84CA6">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1.00﹪</w:t>
                  </w:r>
                </w:p>
              </w:tc>
            </w:tr>
            <w:tr w14:paraId="4EBF05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3108" w:type="dxa"/>
                  <w:vAlign w:val="top"/>
                </w:tcPr>
                <w:p w14:paraId="036AF4C8">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100-500</w:t>
                  </w:r>
                </w:p>
              </w:tc>
              <w:tc>
                <w:tcPr>
                  <w:tcW w:w="2618" w:type="dxa"/>
                  <w:vAlign w:val="top"/>
                </w:tcPr>
                <w:p w14:paraId="4FBDF90B">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0.70﹪</w:t>
                  </w:r>
                </w:p>
              </w:tc>
            </w:tr>
            <w:tr w14:paraId="315015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6" w:hRule="atLeast"/>
              </w:trPr>
              <w:tc>
                <w:tcPr>
                  <w:tcW w:w="3108" w:type="dxa"/>
                  <w:vAlign w:val="top"/>
                </w:tcPr>
                <w:p w14:paraId="2FB21329">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500-1000</w:t>
                  </w:r>
                </w:p>
              </w:tc>
              <w:tc>
                <w:tcPr>
                  <w:tcW w:w="2618" w:type="dxa"/>
                  <w:vAlign w:val="top"/>
                </w:tcPr>
                <w:p w14:paraId="71475629">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0.55﹪</w:t>
                  </w:r>
                </w:p>
              </w:tc>
            </w:tr>
          </w:tbl>
          <w:p w14:paraId="69076BF1">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p>
        </w:tc>
      </w:tr>
      <w:tr w14:paraId="55078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980" w:type="dxa"/>
            <w:vAlign w:val="center"/>
          </w:tcPr>
          <w:p w14:paraId="7CC196CD">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24</w:t>
            </w:r>
          </w:p>
        </w:tc>
        <w:tc>
          <w:tcPr>
            <w:tcW w:w="2054" w:type="dxa"/>
            <w:vAlign w:val="center"/>
          </w:tcPr>
          <w:p w14:paraId="35D912C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000000" w:themeColor="text1"/>
                <w:kern w:val="0"/>
                <w:sz w:val="21"/>
                <w:szCs w:val="21"/>
                <w:lang w:val="en-US" w:eastAsia="zh-CN" w:bidi="ar-SA"/>
                <w14:textFill>
                  <w14:solidFill>
                    <w14:schemeClr w14:val="tx1"/>
                  </w14:solidFill>
                </w14:textFill>
              </w:rPr>
              <w:t>履约保证金</w:t>
            </w:r>
          </w:p>
        </w:tc>
        <w:tc>
          <w:tcPr>
            <w:tcW w:w="6894" w:type="dxa"/>
            <w:vAlign w:val="center"/>
          </w:tcPr>
          <w:p w14:paraId="26BD2CE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lang w:val="en-US" w:eastAsia="zh-CN"/>
              </w:rPr>
              <w:t>不超过政府采购合同金额的10%，具体甲乙双方签订合同时约定，项目完成验收合格无质量问题后退还。</w:t>
            </w:r>
          </w:p>
        </w:tc>
      </w:tr>
      <w:tr w14:paraId="439F8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980" w:type="dxa"/>
            <w:vAlign w:val="center"/>
          </w:tcPr>
          <w:p w14:paraId="10CAFF11">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24</w:t>
            </w:r>
          </w:p>
        </w:tc>
        <w:tc>
          <w:tcPr>
            <w:tcW w:w="2054" w:type="dxa"/>
            <w:vAlign w:val="center"/>
          </w:tcPr>
          <w:p w14:paraId="55A8EEE9">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答疑与澄清</w:t>
            </w:r>
          </w:p>
        </w:tc>
        <w:tc>
          <w:tcPr>
            <w:tcW w:w="6894" w:type="dxa"/>
            <w:vAlign w:val="center"/>
          </w:tcPr>
          <w:p w14:paraId="28BB7CB8">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14:paraId="61B73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7B6E14A5">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25</w:t>
            </w:r>
          </w:p>
        </w:tc>
        <w:tc>
          <w:tcPr>
            <w:tcW w:w="2054" w:type="dxa"/>
            <w:vAlign w:val="center"/>
          </w:tcPr>
          <w:p w14:paraId="0EC0D5B3">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rPr>
              <w:t>其他说明</w:t>
            </w:r>
          </w:p>
        </w:tc>
        <w:tc>
          <w:tcPr>
            <w:tcW w:w="6894" w:type="dxa"/>
            <w:vAlign w:val="center"/>
          </w:tcPr>
          <w:p w14:paraId="45D90A97">
            <w:pPr>
              <w:spacing w:line="340" w:lineRule="exact"/>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w:t>
            </w:r>
            <w:r>
              <w:rPr>
                <w:rFonts w:hint="eastAsia" w:ascii="仿宋" w:hAnsi="仿宋" w:eastAsia="仿宋" w:cs="仿宋"/>
                <w:b/>
                <w:bCs/>
                <w:color w:val="auto"/>
                <w:sz w:val="21"/>
                <w:szCs w:val="21"/>
              </w:rPr>
              <w:t>投标供应商制作</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的CA锁必须和开标解密的CA锁为同一把锁，在解密过程中因为CA锁不同而导致解密失败的，由投标供应商自行承担</w:t>
            </w:r>
          </w:p>
          <w:p w14:paraId="5D6ABA26">
            <w:pPr>
              <w:spacing w:line="340" w:lineRule="exact"/>
              <w:jc w:val="left"/>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2.</w:t>
            </w:r>
            <w:r>
              <w:rPr>
                <w:rFonts w:hint="eastAsia" w:ascii="仿宋" w:hAnsi="仿宋" w:eastAsia="仿宋" w:cs="仿宋"/>
                <w:b/>
                <w:bCs/>
                <w:color w:val="auto"/>
                <w:sz w:val="21"/>
                <w:szCs w:val="21"/>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14:paraId="10441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3E802245">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26</w:t>
            </w:r>
          </w:p>
        </w:tc>
        <w:tc>
          <w:tcPr>
            <w:tcW w:w="2054" w:type="dxa"/>
            <w:vAlign w:val="center"/>
          </w:tcPr>
          <w:p w14:paraId="030B86B0">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政府落实采购政策</w:t>
            </w:r>
          </w:p>
        </w:tc>
        <w:tc>
          <w:tcPr>
            <w:tcW w:w="6894" w:type="dxa"/>
            <w:vAlign w:val="center"/>
          </w:tcPr>
          <w:p w14:paraId="691D2082">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i w:val="0"/>
                <w:caps w:val="0"/>
                <w:color w:val="auto"/>
                <w:spacing w:val="0"/>
                <w:kern w:val="0"/>
                <w:sz w:val="21"/>
                <w:szCs w:val="21"/>
                <w:lang w:val="en-US" w:eastAsia="zh-CN" w:bidi="ar"/>
              </w:rPr>
              <w:t>1.本项目专门面向中小企业。</w:t>
            </w:r>
            <w:r>
              <w:rPr>
                <w:rFonts w:hint="eastAsia" w:ascii="仿宋" w:hAnsi="仿宋" w:eastAsia="仿宋" w:cs="仿宋"/>
                <w:b w:val="0"/>
                <w:bCs/>
                <w:i w:val="0"/>
                <w:caps w:val="0"/>
                <w:color w:val="auto"/>
                <w:spacing w:val="0"/>
                <w:kern w:val="0"/>
                <w:sz w:val="21"/>
                <w:szCs w:val="21"/>
                <w:lang w:val="en-US" w:eastAsia="zh-CN" w:bidi="ar"/>
              </w:rPr>
              <w:t>（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14:paraId="17C0B1F2">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注：提供《中小企业声明函》（附件），未提供的不视为中小企业。按《政府采购促进中小企业发展暂行办法》（财库〔2020〕46号）和《工业和信息化部、国家统计局、国家发展和改革委员会、财政部关于印发&lt;中小企业划型标准规定&gt;的通知》（工信部联企业【2011】300号）文件规定标准确认。监狱企业、残疾人福利性单位视同为小微企业。</w:t>
            </w:r>
          </w:p>
          <w:p w14:paraId="37539CFD">
            <w:pPr>
              <w:numPr>
                <w:ilvl w:val="0"/>
                <w:numId w:val="0"/>
              </w:numPr>
              <w:adjustRightInd w:val="0"/>
              <w:snapToGrid w:val="0"/>
              <w:spacing w:line="240" w:lineRule="auto"/>
              <w:ind w:leftChars="0"/>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i w:val="0"/>
                <w:caps w:val="0"/>
                <w:color w:val="auto"/>
                <w:spacing w:val="0"/>
                <w:kern w:val="0"/>
                <w:sz w:val="21"/>
                <w:szCs w:val="21"/>
                <w:lang w:val="en-US" w:eastAsia="zh-CN" w:bidi="ar"/>
              </w:rPr>
              <w:t>2.据新财购【2022】22号文件中关于“中小企业划型标准规定”，</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本项目对应的中小企业划分标准所属行业为：建筑业。</w:t>
            </w:r>
          </w:p>
          <w:p w14:paraId="0824F7B5">
            <w:pPr>
              <w:numPr>
                <w:ilvl w:val="0"/>
                <w:numId w:val="0"/>
              </w:numPr>
              <w:adjustRightInd w:val="0"/>
              <w:snapToGrid w:val="0"/>
              <w:spacing w:line="240" w:lineRule="auto"/>
              <w:ind w:leftChars="0"/>
              <w:rPr>
                <w:rFonts w:hint="eastAsia" w:ascii="仿宋" w:hAnsi="仿宋" w:eastAsia="仿宋" w:cs="仿宋"/>
                <w:b/>
                <w:bCs/>
                <w:color w:val="auto"/>
                <w:sz w:val="21"/>
                <w:szCs w:val="21"/>
                <w:lang w:val="en-US" w:eastAsia="zh-CN"/>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3.本项目根据实际情况确定拟采购标的为工程，在工程采购项目中，则工程应当由中小企业制造，不对其中涉及的货物的承接商做出要求。</w:t>
            </w:r>
          </w:p>
        </w:tc>
      </w:tr>
      <w:tr w14:paraId="3509D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5146C820">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27</w:t>
            </w:r>
          </w:p>
        </w:tc>
        <w:tc>
          <w:tcPr>
            <w:tcW w:w="2054" w:type="dxa"/>
            <w:vAlign w:val="center"/>
          </w:tcPr>
          <w:p w14:paraId="7DB4713A">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highlight w:val="none"/>
              </w:rPr>
              <w:t>其他说明</w:t>
            </w:r>
            <w:r>
              <w:rPr>
                <w:rFonts w:hint="eastAsia" w:ascii="仿宋" w:hAnsi="仿宋" w:eastAsia="仿宋" w:cs="仿宋"/>
                <w:b/>
                <w:bCs/>
                <w:color w:val="auto"/>
                <w:sz w:val="21"/>
                <w:szCs w:val="21"/>
                <w:highlight w:val="none"/>
                <w:lang w:val="en-US" w:eastAsia="zh-CN"/>
              </w:rPr>
              <w:t>1</w:t>
            </w:r>
          </w:p>
        </w:tc>
        <w:tc>
          <w:tcPr>
            <w:tcW w:w="6894" w:type="dxa"/>
            <w:vAlign w:val="center"/>
          </w:tcPr>
          <w:p w14:paraId="0C0509C5">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特别提醒：</w:t>
            </w:r>
          </w:p>
          <w:p w14:paraId="662A814B">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1、所有供应商的报价高于本项目（标项）最高限价额度的视为无效报价（即作否决投标处理）。</w:t>
            </w:r>
          </w:p>
          <w:p w14:paraId="2B23F6EC">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2、低价认定：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14:paraId="0E6DDA78">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3、更正补充公告请自行登录新疆政府采购网查看下载。</w:t>
            </w:r>
          </w:p>
          <w:p w14:paraId="245E6780">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4、采购代理机构将拒绝接受未在政采云平台获取磋商文件的供应商的响应文件。</w:t>
            </w:r>
          </w:p>
          <w:p w14:paraId="60CFAB7D">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default"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 xml:space="preserve">5、采购人有权对本项目维修改造的成果进行检测检验，对于验收不合格的部分供应商需按采购人要求进行整改直到验收合格为准（需提供承诺）                                                                                                                   </w:t>
            </w:r>
          </w:p>
          <w:p w14:paraId="71454C70">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6、所有投标单位对磋商文件中所有条款如有疑问或异议请在开标以书面形式提出，否则不予受理。</w:t>
            </w:r>
          </w:p>
          <w:p w14:paraId="190A5453">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000000"/>
                <w:sz w:val="21"/>
                <w:szCs w:val="21"/>
                <w:highlight w:val="none"/>
                <w:lang w:val="en-US" w:eastAsia="zh-CN"/>
              </w:rPr>
              <w:t>7、</w:t>
            </w:r>
            <w:r>
              <w:rPr>
                <w:rFonts w:hint="eastAsia" w:ascii="仿宋" w:hAnsi="仿宋" w:eastAsia="仿宋" w:cs="仿宋"/>
                <w:b/>
                <w:bCs/>
                <w:color w:val="auto"/>
                <w:sz w:val="21"/>
                <w:szCs w:val="21"/>
                <w:highlight w:val="none"/>
                <w:lang w:val="en-US" w:eastAsia="zh-CN"/>
              </w:rPr>
              <w:t>本项目资格审查环节由采购人代表组成资格审查小组负责审查，资格审查小组由采购人和采购代理机构组成</w:t>
            </w:r>
            <w:r>
              <w:rPr>
                <w:rFonts w:hint="eastAsia" w:ascii="仿宋" w:hAnsi="仿宋" w:eastAsia="仿宋" w:cs="仿宋"/>
                <w:b/>
                <w:bCs/>
                <w:color w:val="000000"/>
                <w:sz w:val="21"/>
                <w:szCs w:val="21"/>
                <w:highlight w:val="none"/>
                <w:lang w:val="en-US" w:eastAsia="zh-CN"/>
              </w:rPr>
              <w:t>。</w:t>
            </w:r>
          </w:p>
        </w:tc>
      </w:tr>
      <w:tr w14:paraId="1FCE3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7B6F85DD">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28</w:t>
            </w:r>
          </w:p>
        </w:tc>
        <w:tc>
          <w:tcPr>
            <w:tcW w:w="2054" w:type="dxa"/>
            <w:vAlign w:val="center"/>
          </w:tcPr>
          <w:p w14:paraId="68FE17DC">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rPr>
              <w:t>其他说明</w:t>
            </w:r>
            <w:r>
              <w:rPr>
                <w:rFonts w:hint="eastAsia" w:ascii="仿宋" w:hAnsi="仿宋" w:eastAsia="仿宋" w:cs="仿宋"/>
                <w:b/>
                <w:bCs/>
                <w:color w:val="auto"/>
                <w:sz w:val="21"/>
                <w:szCs w:val="21"/>
                <w:highlight w:val="none"/>
                <w:lang w:val="en-US" w:eastAsia="zh-CN"/>
              </w:rPr>
              <w:t>2</w:t>
            </w:r>
          </w:p>
        </w:tc>
        <w:tc>
          <w:tcPr>
            <w:tcW w:w="6894" w:type="dxa"/>
            <w:vAlign w:val="center"/>
          </w:tcPr>
          <w:p w14:paraId="3CF39A0A">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1、磋商文件中部分加粗、加下划线、废标、无效标、投标被拒绝字样的条款，为招标的实质性要求和条件，着重提醒各供应商注意，并认真查看磋商文件中的每一个条款及要求，因误读磋商文件而造成的后果，招标人概不负责。</w:t>
            </w:r>
          </w:p>
          <w:p w14:paraId="0B94AE93">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2、响应文件中有弄虚作假的内容，其响应文件作废。（如假证书、假业绩、隐瞒不良行为记录、夸大荣誉、使用非本单位在职员工的相关证件及不符合磋商文件规定的条款等）；在签订合同之前，招标人如发现供应商的响应文件有弄虚作假内容，招标人可拒绝与其签订合同，并将其列入政府采购黑名单。</w:t>
            </w:r>
          </w:p>
          <w:p w14:paraId="058918CD">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zh-CN" w:eastAsia="zh-CN"/>
              </w:rPr>
            </w:pPr>
            <w:r>
              <w:rPr>
                <w:rFonts w:hint="eastAsia" w:ascii="仿宋" w:hAnsi="仿宋" w:eastAsia="仿宋" w:cs="仿宋"/>
                <w:b/>
                <w:bCs/>
                <w:color w:val="000000"/>
                <w:sz w:val="21"/>
                <w:szCs w:val="21"/>
                <w:highlight w:val="none"/>
                <w:lang w:val="en-US" w:eastAsia="zh-CN"/>
              </w:rPr>
              <w:t>3、</w:t>
            </w:r>
            <w:r>
              <w:rPr>
                <w:rFonts w:hint="eastAsia" w:ascii="仿宋" w:hAnsi="仿宋" w:eastAsia="仿宋" w:cs="仿宋"/>
                <w:b/>
                <w:bCs/>
                <w:color w:val="000000"/>
                <w:sz w:val="21"/>
                <w:szCs w:val="21"/>
                <w:highlight w:val="none"/>
                <w:lang w:val="zh-CN" w:eastAsia="zh-CN"/>
              </w:rPr>
              <w:t>本项目的招标投标活动以及相关当事人须接受财政监督部门依法实施的监督。</w:t>
            </w:r>
          </w:p>
          <w:p w14:paraId="17A19026">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响应文件作为无效处理。</w:t>
            </w:r>
          </w:p>
          <w:p w14:paraId="58656669">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000000"/>
                <w:sz w:val="21"/>
                <w:szCs w:val="21"/>
                <w:highlight w:val="none"/>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tc>
      </w:tr>
      <w:tr w14:paraId="1CFD1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6986664B">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29</w:t>
            </w:r>
          </w:p>
        </w:tc>
        <w:tc>
          <w:tcPr>
            <w:tcW w:w="2054" w:type="dxa"/>
            <w:vAlign w:val="center"/>
          </w:tcPr>
          <w:p w14:paraId="0101BD2B">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重要提示</w:t>
            </w:r>
          </w:p>
        </w:tc>
        <w:tc>
          <w:tcPr>
            <w:tcW w:w="6894" w:type="dxa"/>
            <w:vAlign w:val="center"/>
          </w:tcPr>
          <w:p w14:paraId="4CE7D29D">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sz w:val="21"/>
                <w:szCs w:val="21"/>
                <w:highlight w:val="none"/>
                <w:lang w:val="en-US" w:eastAsia="zh-CN"/>
              </w:rPr>
            </w:pPr>
            <w:r>
              <w:rPr>
                <w:rFonts w:hint="eastAsia" w:ascii="仿宋" w:hAnsi="仿宋" w:eastAsia="仿宋" w:cs="仿宋"/>
                <w:b w:val="0"/>
                <w:bCs w:val="0"/>
                <w:color w:val="000000"/>
                <w:sz w:val="21"/>
                <w:szCs w:val="21"/>
                <w:highlight w:val="none"/>
                <w:lang w:val="en-US" w:eastAsia="zh-CN"/>
              </w:rPr>
              <w:t xml:space="preserve">（1）成交供应商应在规定期限内领取《成交通知书》，若成交供应商未在规定期限内领取《成交通知书》，采购人有权取消成交供应商中标资格，并将相关违约行为报送监管部门，实施信用惩戒； </w:t>
            </w:r>
          </w:p>
          <w:p w14:paraId="299C5EE5">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sz w:val="21"/>
                <w:szCs w:val="21"/>
                <w:highlight w:val="none"/>
                <w:lang w:val="en-US" w:eastAsia="zh-CN"/>
              </w:rPr>
            </w:pPr>
            <w:r>
              <w:rPr>
                <w:rFonts w:hint="eastAsia" w:ascii="仿宋" w:hAnsi="仿宋" w:eastAsia="仿宋" w:cs="仿宋"/>
                <w:b w:val="0"/>
                <w:bCs w:val="0"/>
                <w:color w:val="000000"/>
                <w:sz w:val="21"/>
                <w:szCs w:val="21"/>
                <w:highlight w:val="none"/>
                <w:lang w:val="en-US" w:eastAsia="zh-CN"/>
              </w:rPr>
              <w:t xml:space="preserve">（2）成交供应商应在规定期限内提交履约担保并与采购人签订合同，若成交供应商未能在规定期限内提交履约担保或签订合同，采购人有权取消成交供应商中标资格，并将相关违约行为报送监管部门，实施信用惩戒； </w:t>
            </w:r>
          </w:p>
          <w:p w14:paraId="3A433374">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sz w:val="21"/>
                <w:szCs w:val="21"/>
                <w:highlight w:val="none"/>
                <w:lang w:val="en-US" w:eastAsia="zh-CN"/>
              </w:rPr>
            </w:pPr>
            <w:r>
              <w:rPr>
                <w:rFonts w:hint="eastAsia" w:ascii="仿宋" w:hAnsi="仿宋" w:eastAsia="仿宋" w:cs="仿宋"/>
                <w:b w:val="0"/>
                <w:bCs w:val="0"/>
                <w:color w:val="000000"/>
                <w:sz w:val="21"/>
                <w:szCs w:val="21"/>
                <w:highlight w:val="none"/>
                <w:lang w:val="en-US" w:eastAsia="zh-CN"/>
              </w:rPr>
              <w:t xml:space="preserve">（3）合同签订后，成交供应商存在规定时间内不组织人员进场开工，不履行供货、安装或服务义务等情况，采购人有权解除合同，并追究违约责任，同时将相关违约行为报送监管部门，记不良行为记录，实施信用惩戒； </w:t>
            </w:r>
          </w:p>
          <w:p w14:paraId="685A9DBA">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sz w:val="21"/>
                <w:szCs w:val="21"/>
                <w:highlight w:val="none"/>
                <w:lang w:val="en-US" w:eastAsia="zh-CN"/>
              </w:rPr>
            </w:pPr>
            <w:r>
              <w:rPr>
                <w:rFonts w:hint="eastAsia" w:ascii="仿宋" w:hAnsi="仿宋" w:eastAsia="仿宋" w:cs="仿宋"/>
                <w:b w:val="0"/>
                <w:bCs w:val="0"/>
                <w:color w:val="000000"/>
                <w:sz w:val="21"/>
                <w:szCs w:val="21"/>
                <w:highlight w:val="none"/>
                <w:lang w:val="en-US" w:eastAsia="zh-CN"/>
              </w:rPr>
              <w:t xml:space="preserve">（4）成交供应商中标后被监管部门查实存在违法行为，不满足中标条件的，由采购人取消中标资格，并做好项目后续工作； </w:t>
            </w:r>
          </w:p>
          <w:p w14:paraId="4587C77C">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000000"/>
                <w:sz w:val="21"/>
                <w:szCs w:val="21"/>
                <w:highlight w:val="none"/>
                <w:lang w:val="en-US" w:eastAsia="zh-CN"/>
              </w:rPr>
              <w:t>（5）成交供应商在中标项目发生投诉、信访举报案件、履约存在争议时，拒绝协助配合执法部门调查案件的，采购人可以取消其中标资格或解除合同，并追究其违约责任。</w:t>
            </w:r>
          </w:p>
        </w:tc>
      </w:tr>
      <w:tr w14:paraId="23EBF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0" w:type="dxa"/>
            <w:vAlign w:val="center"/>
          </w:tcPr>
          <w:p w14:paraId="1BC41129">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30</w:t>
            </w:r>
          </w:p>
        </w:tc>
        <w:tc>
          <w:tcPr>
            <w:tcW w:w="2054" w:type="dxa"/>
            <w:vAlign w:val="center"/>
          </w:tcPr>
          <w:p w14:paraId="625CF938">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质疑</w:t>
            </w:r>
          </w:p>
        </w:tc>
        <w:tc>
          <w:tcPr>
            <w:tcW w:w="6894" w:type="dxa"/>
            <w:vAlign w:val="center"/>
          </w:tcPr>
          <w:p w14:paraId="375C6966">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sz w:val="21"/>
                <w:szCs w:val="21"/>
                <w:highlight w:val="none"/>
                <w:lang w:val="en-US" w:eastAsia="zh-CN"/>
              </w:rPr>
            </w:pPr>
            <w:r>
              <w:rPr>
                <w:rFonts w:hint="eastAsia" w:ascii="仿宋" w:hAnsi="仿宋" w:eastAsia="仿宋" w:cs="仿宋"/>
                <w:b w:val="0"/>
                <w:bCs w:val="0"/>
                <w:color w:val="000000"/>
                <w:sz w:val="21"/>
                <w:szCs w:val="21"/>
                <w:highlight w:val="none"/>
                <w:lang w:val="en-US" w:eastAsia="zh-CN"/>
              </w:rPr>
              <w:t>供应商认为磋商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十五个工作日内向有关监管部门投诉。</w:t>
            </w:r>
          </w:p>
          <w:p w14:paraId="2C867FCB">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000000"/>
                <w:sz w:val="21"/>
                <w:szCs w:val="21"/>
                <w:highlight w:val="none"/>
                <w:lang w:val="en-US" w:eastAsia="zh-CN"/>
              </w:rPr>
              <w:t>注：根据《中华人民共和国政府采购法》的规定，供应商质疑不得超出磋商磋商文件、公开招标过程及公开招标结果的范围及时效限制。</w:t>
            </w:r>
          </w:p>
        </w:tc>
      </w:tr>
      <w:tr w14:paraId="1D0F4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980" w:type="dxa"/>
            <w:vAlign w:val="center"/>
          </w:tcPr>
          <w:p w14:paraId="4A13AD8F">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31</w:t>
            </w:r>
          </w:p>
        </w:tc>
        <w:tc>
          <w:tcPr>
            <w:tcW w:w="2054" w:type="dxa"/>
            <w:vAlign w:val="center"/>
          </w:tcPr>
          <w:p w14:paraId="506EF642">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投诉</w:t>
            </w:r>
          </w:p>
        </w:tc>
        <w:tc>
          <w:tcPr>
            <w:tcW w:w="6894" w:type="dxa"/>
            <w:vAlign w:val="center"/>
          </w:tcPr>
          <w:p w14:paraId="45F7EB40">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14:paraId="52B03C1D">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（2）质疑、投诉应当采用书面或邮件形式，质疑书、投诉书均应明确阐述磋商文件 、采购过程或中标结果中使自己合法权益受到损害的实质性内容，提供相关事实、依据和证据及其来源或线索，便于有关单位调查、答复和处理。</w:t>
            </w:r>
          </w:p>
          <w:p w14:paraId="005D4079">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ins w:id="0" w:author="阿强" w:date="2023-03-18T15:27:00Z"/>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注：根据《中华人民共和国政府采购法实施条例》的规定，供应商投诉事项不得超出已质疑事项的范围。</w:t>
            </w:r>
          </w:p>
          <w:p w14:paraId="466D30A5">
            <w:pPr>
              <w:rPr>
                <w:color w:val="auto"/>
              </w:rPr>
            </w:pPr>
            <w:r>
              <w:rPr>
                <w:rFonts w:hint="eastAsia" w:ascii="仿宋" w:hAnsi="仿宋" w:eastAsia="仿宋" w:cs="仿宋"/>
                <w:b w:val="0"/>
                <w:bCs w:val="0"/>
                <w:color w:val="auto"/>
                <w:sz w:val="21"/>
                <w:szCs w:val="21"/>
                <w:highlight w:val="none"/>
                <w:u w:val="none"/>
                <w:lang w:val="en-US" w:eastAsia="zh-CN"/>
              </w:rPr>
              <w:t>采购监管部门：</w:t>
            </w:r>
            <w:r>
              <w:rPr>
                <w:rFonts w:hint="eastAsia" w:ascii="仿宋" w:hAnsi="仿宋" w:eastAsia="仿宋" w:cs="仿宋"/>
                <w:b w:val="0"/>
                <w:bCs w:val="0"/>
                <w:color w:val="auto"/>
                <w:sz w:val="21"/>
                <w:szCs w:val="21"/>
                <w:highlight w:val="none"/>
                <w:u w:val="single"/>
                <w:lang w:val="en-US" w:eastAsia="zh-CN"/>
              </w:rPr>
              <w:t>洛浦县政府采购管理办公室</w:t>
            </w:r>
          </w:p>
          <w:p w14:paraId="068D6B83">
            <w:pPr>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u w:val="none"/>
                <w:lang w:val="en-US" w:eastAsia="zh-CN"/>
              </w:rPr>
              <w:t>联系方式(传真)：</w:t>
            </w:r>
            <w:r>
              <w:rPr>
                <w:rFonts w:hint="eastAsia" w:ascii="仿宋" w:hAnsi="仿宋" w:eastAsia="仿宋" w:cs="仿宋"/>
                <w:b w:val="0"/>
                <w:bCs w:val="0"/>
                <w:color w:val="auto"/>
                <w:sz w:val="21"/>
                <w:szCs w:val="21"/>
                <w:highlight w:val="none"/>
                <w:u w:val="single"/>
                <w:lang w:val="en-US" w:eastAsia="zh-CN"/>
              </w:rPr>
              <w:t>0903-6622186</w:t>
            </w:r>
          </w:p>
        </w:tc>
      </w:tr>
      <w:tr w14:paraId="20D5B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9928" w:type="dxa"/>
            <w:gridSpan w:val="3"/>
            <w:vAlign w:val="center"/>
          </w:tcPr>
          <w:p w14:paraId="0069D5BC">
            <w:pPr>
              <w:spacing w:line="440" w:lineRule="exac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备注：</w:t>
            </w:r>
            <w:r>
              <w:rPr>
                <w:rFonts w:hint="eastAsia" w:ascii="仿宋" w:hAnsi="仿宋" w:eastAsia="仿宋" w:cs="仿宋"/>
                <w:b/>
                <w:bCs/>
                <w:color w:val="auto"/>
                <w:sz w:val="21"/>
                <w:szCs w:val="21"/>
              </w:rPr>
              <w:t>须知前附表的条款号是与后面</w:t>
            </w:r>
            <w:r>
              <w:rPr>
                <w:rFonts w:hint="eastAsia" w:ascii="仿宋" w:hAnsi="仿宋" w:eastAsia="仿宋" w:cs="仿宋"/>
                <w:b/>
                <w:bCs/>
                <w:color w:val="auto"/>
                <w:sz w:val="21"/>
                <w:szCs w:val="21"/>
                <w:lang w:eastAsia="zh-CN"/>
              </w:rPr>
              <w:t>磋商文件</w:t>
            </w:r>
            <w:r>
              <w:rPr>
                <w:rFonts w:hint="eastAsia" w:ascii="仿宋" w:hAnsi="仿宋" w:eastAsia="仿宋" w:cs="仿宋"/>
                <w:b/>
                <w:bCs/>
                <w:color w:val="auto"/>
                <w:sz w:val="21"/>
                <w:szCs w:val="21"/>
              </w:rPr>
              <w:t>的内容相对应，如有矛盾，应以投标须知前附表为准。</w:t>
            </w:r>
          </w:p>
        </w:tc>
      </w:tr>
    </w:tbl>
    <w:p w14:paraId="48C933BB">
      <w:pPr>
        <w:rPr>
          <w:rFonts w:hint="eastAsia" w:ascii="仿宋" w:hAnsi="仿宋" w:eastAsia="仿宋" w:cs="仿宋"/>
          <w:color w:val="auto"/>
          <w:sz w:val="21"/>
          <w:szCs w:val="21"/>
          <w:highlight w:val="none"/>
        </w:rPr>
      </w:pPr>
      <w:bookmarkStart w:id="20" w:name="_Toc527642952"/>
      <w:bookmarkStart w:id="21" w:name="_Toc349637920"/>
      <w:bookmarkStart w:id="22" w:name="_Toc298240405"/>
      <w:bookmarkStart w:id="23" w:name="_Toc267301282"/>
      <w:bookmarkStart w:id="24" w:name="_Toc349573121"/>
      <w:r>
        <w:rPr>
          <w:rFonts w:hint="eastAsia" w:ascii="仿宋" w:hAnsi="仿宋" w:eastAsia="仿宋" w:cs="仿宋"/>
          <w:color w:val="auto"/>
          <w:sz w:val="21"/>
          <w:szCs w:val="21"/>
          <w:highlight w:val="none"/>
        </w:rPr>
        <w:br w:type="page"/>
      </w:r>
    </w:p>
    <w:p w14:paraId="38D1D746">
      <w:pPr>
        <w:pStyle w:val="3"/>
        <w:spacing w:before="100" w:beforeAutospacing="1" w:after="100" w:afterAutospacing="1" w:line="400" w:lineRule="atLeast"/>
        <w:ind w:firstLine="2319" w:firstLineChars="11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  说　明</w:t>
      </w:r>
      <w:bookmarkEnd w:id="20"/>
      <w:bookmarkEnd w:id="21"/>
      <w:bookmarkEnd w:id="22"/>
      <w:bookmarkEnd w:id="23"/>
      <w:bookmarkEnd w:id="24"/>
    </w:p>
    <w:p w14:paraId="5F429B48">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适用范围</w:t>
      </w:r>
    </w:p>
    <w:p w14:paraId="10CE97E7">
      <w:pPr>
        <w:numPr>
          <w:ilvl w:val="1"/>
          <w:numId w:val="6"/>
        </w:num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rPr>
        <w:t>本竞争性磋商文件仅适用于本次采购项目的招标、投标、评标、定标、验收、合同履约、付款等行为（法律、法规另有规定的，从其规定）</w:t>
      </w:r>
      <w:r>
        <w:rPr>
          <w:rFonts w:hint="eastAsia" w:ascii="仿宋" w:hAnsi="仿宋" w:eastAsia="仿宋" w:cs="仿宋"/>
          <w:color w:val="auto"/>
          <w:sz w:val="21"/>
          <w:szCs w:val="21"/>
          <w:highlight w:val="none"/>
        </w:rPr>
        <w:t>。</w:t>
      </w:r>
    </w:p>
    <w:p w14:paraId="6AAF09B9">
      <w:pPr>
        <w:numPr>
          <w:ilvl w:val="0"/>
          <w:numId w:val="7"/>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合格的供应商</w:t>
      </w:r>
    </w:p>
    <w:p w14:paraId="71780A58">
      <w:pPr>
        <w:numPr>
          <w:ilvl w:val="0"/>
          <w:numId w:val="0"/>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2.1供应商资格要求：</w:t>
      </w:r>
    </w:p>
    <w:p w14:paraId="795F4CC9">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1.供应商必须符合《中华人民共和国政府采购法》第二十二条规定：</w:t>
      </w:r>
    </w:p>
    <w:p w14:paraId="3B36F052">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179008C4">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pPr>
      <w:r>
        <w:rPr>
          <w:rFonts w:hint="eastAsia" w:ascii="仿宋" w:hAnsi="仿宋" w:eastAsia="仿宋" w:cs="仿宋"/>
          <w:color w:val="auto"/>
          <w:sz w:val="21"/>
          <w:szCs w:val="21"/>
          <w:highlight w:val="none"/>
          <w:lang w:val="en-US" w:eastAsia="zh-CN"/>
        </w:rPr>
        <w:t>（2）</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有依法缴纳税收和社会保障资金的良好记录：提供税务机关出具近三个月的完税证明（新成立不足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提供近段时间内指本单位连续三个月（指2025年01月至03月）的缴纳社保证明材料（社保证明材料须是社保局出具的缴纳证明或社保系统导出的缴纳汇总凭证，新成立的公司按实际发生提供，如依法不需要缴纳社会保障资金的，应提供相应文件证明）；</w:t>
      </w:r>
    </w:p>
    <w:p w14:paraId="22212DE3">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具有良好的商业信誉和健全的财务会计制度：提供2023或2024年度第三方审计机构出具的审计报告（2024年新成立的公司按实际发生的情况提供近三个月银行出具的资信证明）；</w:t>
      </w:r>
    </w:p>
    <w:p w14:paraId="4DE7E276">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（4）具备履行合同所必需的设备和专业技术能力：提供《供应商资格声明函》；</w:t>
      </w:r>
    </w:p>
    <w:p w14:paraId="5006F222">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参加采购活动前3年内，在经营活动中没有重大违法记录（提供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71CD0F93">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近三年拟参加本次招标项目的供应商在“信用中国（www.creditchina.gov.cn）”被列入失信被执行人、重大税收违法案件当事人名单、政府采购严重违法失信名单（尚在处罚期内的）；在“中国政府采购网（www.ccgp.gov.cn）”被列入政府采购严重违法失信行为记录名单的（尚在处罚期内的），将拒绝其参与本次政府采购活动；</w:t>
      </w:r>
    </w:p>
    <w:p w14:paraId="35F2F3BC">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（7）企业负责人为同一人或者存在直接控股、管理关系的不同供应商，不得参加同一合同项下的政府采购活动（提供声明函），否则，皆取消投标资格。</w:t>
      </w:r>
    </w:p>
    <w:p w14:paraId="3953FED6">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（8）投标保证金或电子保函：10000.00元 （大写：壹万元整）</w:t>
      </w:r>
    </w:p>
    <w:p w14:paraId="7B9666B8">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（9）本项目不接受联合体投标。</w:t>
      </w:r>
    </w:p>
    <w:p w14:paraId="390E9C9E">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2、落实政府采购政策需满足的资格要求：</w:t>
      </w:r>
    </w:p>
    <w:p w14:paraId="1D251569">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2.1、中小企业政策</w:t>
      </w:r>
    </w:p>
    <w:p w14:paraId="56E3E682">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□本项目不专门面向中小企业预留采购份额。</w:t>
      </w:r>
    </w:p>
    <w:p w14:paraId="56661731">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☑本项目专门面向 ☑中小 □小微企业 采购。即：提供的货物或服务全部由符合政策要求的中小/小微企业制造、服务全部由符合政策要求的中小/小微企业承接。</w:t>
      </w:r>
    </w:p>
    <w:p w14:paraId="27F6BEF4">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2.2 其它落实政府采购政策的资格要求</w:t>
      </w:r>
    </w:p>
    <w:p w14:paraId="3B2C72E9">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（1）财政部、国家发展改革委、生态环境部、市场监管总局《关于调整优化节能产品、环境标志产品政府采购执行机制的通知》（财库[2019]9号文）；</w:t>
      </w:r>
    </w:p>
    <w:p w14:paraId="451498B2">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（2）财政部、生态环境部《关于印发环境标志产品政府采购品目清单的通知》（财库[2019]18号文）；</w:t>
      </w:r>
    </w:p>
    <w:p w14:paraId="327169A3">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（3）财政部、发展改革委《关于印发节能产品政府采购品目清单的通知》（财库[2019]19号文）；</w:t>
      </w:r>
    </w:p>
    <w:p w14:paraId="460B3ED7">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（4）市场监管总局《市场监管总局关于发布参与实施政府采购节能产品、环境标志产品认证机构名录的公告》（2019年第16号）；</w:t>
      </w:r>
    </w:p>
    <w:p w14:paraId="22BD21B7">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（5）财政部、工业和信息化部《关于印发《政府采购促进中小企业发展管理办法》的通知》（财库[2020]46号文）《关于进一步加大政府采购支持中小企业力度的通知》（财库[2022]19号文）执行；</w:t>
      </w:r>
    </w:p>
    <w:p w14:paraId="385AA740">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（6）财政部、民政部、中国残疾人联合会《关于促进残疾人就业政府采购政策的通知》（财库[2017]141号）；</w:t>
      </w:r>
    </w:p>
    <w:p w14:paraId="75495826">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（7）财政部、SF部《关于政府采购支持JY企业发展有关问题的通知》（财库[2014]68号文）；</w:t>
      </w:r>
    </w:p>
    <w:p w14:paraId="212152CF">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（8）财政部、生态环境部、国家邮政局《关于印发《商品包装政府采购需求标准（试行）》、 《快递包装政府采购需求标准（试行）》的通知》（财办库〔2020〕123号）。</w:t>
      </w:r>
    </w:p>
    <w:p w14:paraId="02FB46B1">
      <w:pPr>
        <w:keepNext w:val="0"/>
        <w:keepLines w:val="0"/>
        <w:pageBreakBefore w:val="0"/>
        <w:widowControl w:val="0"/>
        <w:kinsoku/>
        <w:wordWrap/>
        <w:overflowPunct/>
        <w:topLinePunct w:val="0"/>
        <w:autoSpaceDE/>
        <w:autoSpaceDN/>
        <w:bidi w:val="0"/>
        <w:adjustRightInd/>
        <w:snapToGrid/>
        <w:spacing w:line="360" w:lineRule="exact"/>
        <w:ind w:left="0" w:leftChars="0" w:firstLine="210" w:firstLineChars="1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3、本项目的特定资格要求</w:t>
      </w:r>
    </w:p>
    <w:p w14:paraId="4540D5E8">
      <w:pPr>
        <w:pStyle w:val="19"/>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投标人须具备房屋建筑总承包叁级(含)以上资质，并在人员、设备、资金等方面具有相应的施工能力，有安全生产许可证，区外企业已进行区外进疆建筑企业信息报送。项目负责人须具备房屋建筑专业注册贰级建造师（含贰级）及以上执业资格，具备有效的安全生产考核合格证书，且未担任其他在施建设工程项目的项目负责人。</w:t>
      </w:r>
    </w:p>
    <w:p w14:paraId="7354A522">
      <w:p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3.</w:t>
      </w:r>
      <w:r>
        <w:rPr>
          <w:rFonts w:hint="eastAsia" w:ascii="仿宋" w:hAnsi="仿宋" w:eastAsia="仿宋" w:cs="仿宋"/>
          <w:b/>
          <w:color w:val="auto"/>
          <w:sz w:val="21"/>
          <w:szCs w:val="21"/>
        </w:rPr>
        <w:t>定义</w:t>
      </w:r>
    </w:p>
    <w:p w14:paraId="043E3B92">
      <w:pPr>
        <w:spacing w:line="400" w:lineRule="atLeas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3.1 “采购人”系指合同中明确规定的实际购买货物和服务的法人、行政事业单位、团体组织。</w:t>
      </w:r>
    </w:p>
    <w:p w14:paraId="7C00F147">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“供应商”系指响应招标，并按照竞争性磋商文件的要求参与投标竞争的法人，中标后即为中标人，签定合同后即为卖方。</w:t>
      </w:r>
    </w:p>
    <w:p w14:paraId="5237A214">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 “招标机构”系指在委托人授权范围内具体组织实施招标活动的法人。</w:t>
      </w:r>
    </w:p>
    <w:p w14:paraId="015E4338">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 “货物”系指卖方按合同要求，须向买方提供的一切产品及其它技术资料和材料。</w:t>
      </w:r>
    </w:p>
    <w:p w14:paraId="110D46C7">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 “服务”系指合同规定卖方须承担的技术协助、本地化开发、安装、调试和交付使用后免费维护期内应履行的义务及售后服务等其他类似的义务。</w:t>
      </w:r>
    </w:p>
    <w:p w14:paraId="7326A57F">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 “卖方”系指提供合同货物和服务的法人。</w:t>
      </w:r>
    </w:p>
    <w:p w14:paraId="46892D5D">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 “买方”系指购买货物的单位。</w:t>
      </w:r>
    </w:p>
    <w:p w14:paraId="5DFCB32D">
      <w:pPr>
        <w:spacing w:line="500" w:lineRule="exact"/>
        <w:rPr>
          <w:rFonts w:hint="eastAsia" w:ascii="仿宋" w:hAnsi="仿宋" w:eastAsia="仿宋" w:cs="仿宋"/>
          <w:b/>
          <w:color w:val="auto"/>
          <w:sz w:val="21"/>
          <w:szCs w:val="21"/>
        </w:rPr>
      </w:pPr>
      <w:bookmarkStart w:id="25" w:name="_Toc349637921"/>
      <w:bookmarkStart w:id="26" w:name="_Toc267301283"/>
      <w:bookmarkStart w:id="27" w:name="_Toc527642953"/>
      <w:bookmarkStart w:id="28" w:name="_Toc298240406"/>
      <w:bookmarkStart w:id="29" w:name="_Toc349573122"/>
      <w:r>
        <w:rPr>
          <w:rFonts w:hint="eastAsia" w:ascii="仿宋" w:hAnsi="仿宋" w:eastAsia="仿宋" w:cs="仿宋"/>
          <w:b/>
          <w:color w:val="auto"/>
          <w:sz w:val="21"/>
          <w:szCs w:val="21"/>
        </w:rPr>
        <w:t>4、投标费用</w:t>
      </w:r>
    </w:p>
    <w:p w14:paraId="18CBF987">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rPr>
        <w:t>4.1 无论投标结果如何，供应商须自行承担所有与参加投标有关的全部费用,采购人和招标代理机构在任何情况下均无义务和责任承担这些费用。</w:t>
      </w:r>
    </w:p>
    <w:p w14:paraId="58682971">
      <w:pPr>
        <w:pStyle w:val="3"/>
        <w:spacing w:before="100" w:beforeAutospacing="1" w:after="100" w:afterAutospacing="1" w:line="400" w:lineRule="atLeast"/>
        <w:ind w:firstLine="2741" w:firstLineChars="13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  磋商文件</w:t>
      </w:r>
      <w:bookmarkEnd w:id="25"/>
      <w:bookmarkEnd w:id="26"/>
      <w:bookmarkEnd w:id="27"/>
      <w:bookmarkEnd w:id="28"/>
      <w:bookmarkEnd w:id="29"/>
    </w:p>
    <w:p w14:paraId="33F5EF1E">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．磋商文件构成</w:t>
      </w:r>
    </w:p>
    <w:p w14:paraId="3066E120">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.1磋商文件包括：</w:t>
      </w:r>
    </w:p>
    <w:p w14:paraId="4E90928D">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TOC \o "1-2" \h \z \u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"_Toc527642949"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（1）竞争性磋商公告</w:t>
      </w:r>
      <w:r>
        <w:rPr>
          <w:rFonts w:hint="eastAsia" w:ascii="仿宋" w:hAnsi="仿宋" w:eastAsia="仿宋" w:cs="仿宋"/>
          <w:color w:val="auto"/>
          <w:kern w:val="2"/>
          <w:sz w:val="21"/>
          <w:szCs w:val="21"/>
          <w:highlight w:val="none"/>
          <w:lang w:val="en-US" w:eastAsia="zh-CN" w:bidi="ar-SA"/>
        </w:rPr>
        <w:fldChar w:fldCharType="end"/>
      </w:r>
    </w:p>
    <w:p w14:paraId="6DB03637">
      <w:pPr>
        <w:pStyle w:val="17"/>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（2） 供应商须知</w:t>
      </w:r>
      <w:r>
        <w:rPr>
          <w:rFonts w:hint="eastAsia" w:ascii="仿宋" w:hAnsi="仿宋" w:eastAsia="仿宋" w:cs="仿宋"/>
          <w:color w:val="auto"/>
          <w:kern w:val="2"/>
          <w:sz w:val="21"/>
          <w:szCs w:val="21"/>
          <w:highlight w:val="none"/>
          <w:lang w:val="en-US" w:eastAsia="zh-CN" w:bidi="ar-SA"/>
        </w:rPr>
        <w:fldChar w:fldCharType="end"/>
      </w:r>
    </w:p>
    <w:p w14:paraId="799AC63A">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技术要求</w:t>
      </w:r>
      <w:r>
        <w:rPr>
          <w:rFonts w:hint="eastAsia" w:ascii="仿宋" w:hAnsi="仿宋" w:eastAsia="仿宋" w:cs="仿宋"/>
          <w:color w:val="auto"/>
          <w:kern w:val="2"/>
          <w:sz w:val="21"/>
          <w:szCs w:val="21"/>
          <w:highlight w:val="none"/>
          <w:lang w:val="en-US" w:eastAsia="zh-CN" w:bidi="ar-SA"/>
        </w:rPr>
        <w:fldChar w:fldCharType="end"/>
      </w:r>
    </w:p>
    <w:p w14:paraId="049E23DE">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合同条款及格式</w:t>
      </w:r>
      <w:r>
        <w:rPr>
          <w:rFonts w:hint="eastAsia" w:ascii="仿宋" w:hAnsi="仿宋" w:eastAsia="仿宋" w:cs="仿宋"/>
          <w:color w:val="auto"/>
          <w:kern w:val="2"/>
          <w:sz w:val="21"/>
          <w:szCs w:val="21"/>
          <w:highlight w:val="none"/>
          <w:lang w:val="en-US" w:eastAsia="zh-CN" w:bidi="ar-SA"/>
        </w:rPr>
        <w:fldChar w:fldCharType="end"/>
      </w:r>
    </w:p>
    <w:p w14:paraId="666EC3D1">
      <w:pPr>
        <w:pStyle w:val="17"/>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（4） 响应文件格式</w:t>
      </w:r>
      <w:r>
        <w:rPr>
          <w:rFonts w:hint="eastAsia" w:ascii="仿宋" w:hAnsi="仿宋" w:eastAsia="仿宋" w:cs="仿宋"/>
          <w:color w:val="auto"/>
          <w:kern w:val="2"/>
          <w:sz w:val="21"/>
          <w:szCs w:val="21"/>
          <w:highlight w:val="none"/>
          <w:lang w:val="en-US" w:eastAsia="zh-CN" w:bidi="ar-SA"/>
        </w:rPr>
        <w:fldChar w:fldCharType="end"/>
      </w:r>
    </w:p>
    <w:p w14:paraId="3106A6B8">
      <w:pPr>
        <w:pStyle w:val="17"/>
        <w:tabs>
          <w:tab w:val="right" w:leader="dot" w:pos="8541"/>
        </w:tabs>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fldChar w:fldCharType="end"/>
      </w:r>
      <w:r>
        <w:rPr>
          <w:rFonts w:hint="eastAsia" w:ascii="仿宋" w:hAnsi="仿宋" w:eastAsia="仿宋" w:cs="仿宋"/>
          <w:color w:val="auto"/>
          <w:kern w:val="2"/>
          <w:sz w:val="21"/>
          <w:szCs w:val="21"/>
          <w:highlight w:val="none"/>
          <w:lang w:val="en-US" w:eastAsia="zh-CN" w:bidi="ar-SA"/>
        </w:rPr>
        <w:t>5</w:t>
      </w:r>
      <w:r>
        <w:rPr>
          <w:rFonts w:hint="eastAsia" w:ascii="仿宋" w:hAnsi="仿宋" w:eastAsia="仿宋" w:cs="仿宋"/>
          <w:color w:val="auto"/>
          <w:sz w:val="21"/>
          <w:szCs w:val="21"/>
          <w:highlight w:val="none"/>
        </w:rPr>
        <w:t>.2 磋商文件以中文编写。</w:t>
      </w:r>
    </w:p>
    <w:p w14:paraId="3E57B9AD">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14:paraId="63A8B98A">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．磋商文件澄清</w:t>
      </w:r>
    </w:p>
    <w:p w14:paraId="290D1704">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.1 供应商对磋商文件有疑问的，可以向招标代理机构提出询问，招标代理机构将及时做出答复；</w:t>
      </w:r>
    </w:p>
    <w:p w14:paraId="0E3B751D">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.2 供应商对磋商文件有质疑，须在得到磋商文件之日起至质疑截止时间止，以书面形式向招标机构提出质疑；招标机构在收到书面质疑后，在投标截止时间3个工作日前做出答复，并以书面形式通知质疑供应商。</w:t>
      </w:r>
    </w:p>
    <w:p w14:paraId="15B97491">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磋商文件的修改</w:t>
      </w:r>
    </w:p>
    <w:p w14:paraId="47193FBC">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.1 对磋商文件进行必要的修改，招标代理机构将在投标截止时间3个工作日前以书面形式通知所有购买磋商文件的供应商。该修改的内容为磋商文件的组成部分；</w:t>
      </w:r>
    </w:p>
    <w:p w14:paraId="46A82B43">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.2 在投标截止时间前，招标机构可视具体情况延长投标截止时间，并将变更时间书面通知所有购买磋商文件的供应商。</w:t>
      </w:r>
    </w:p>
    <w:p w14:paraId="589A3175">
      <w:pPr>
        <w:pStyle w:val="3"/>
        <w:spacing w:before="100" w:beforeAutospacing="1" w:after="100" w:afterAutospacing="1" w:line="400" w:lineRule="atLeast"/>
        <w:jc w:val="center"/>
        <w:rPr>
          <w:rFonts w:hint="eastAsia" w:ascii="仿宋" w:hAnsi="仿宋" w:eastAsia="仿宋" w:cs="仿宋"/>
          <w:color w:val="auto"/>
          <w:sz w:val="21"/>
          <w:szCs w:val="21"/>
          <w:highlight w:val="none"/>
        </w:rPr>
      </w:pPr>
      <w:bookmarkStart w:id="30" w:name="_Toc298240407"/>
      <w:bookmarkStart w:id="31" w:name="_Toc527642954"/>
      <w:bookmarkStart w:id="32" w:name="_Toc349573123"/>
      <w:bookmarkStart w:id="33" w:name="_Toc267301284"/>
      <w:bookmarkStart w:id="34" w:name="_Toc349637922"/>
      <w:r>
        <w:rPr>
          <w:rFonts w:hint="eastAsia" w:ascii="仿宋" w:hAnsi="仿宋" w:eastAsia="仿宋" w:cs="仿宋"/>
          <w:color w:val="auto"/>
          <w:sz w:val="21"/>
          <w:szCs w:val="21"/>
          <w:highlight w:val="none"/>
        </w:rPr>
        <w:t>C  磋商响应文件的编写</w:t>
      </w:r>
      <w:bookmarkEnd w:id="30"/>
      <w:bookmarkEnd w:id="31"/>
      <w:bookmarkEnd w:id="32"/>
      <w:bookmarkEnd w:id="33"/>
      <w:bookmarkEnd w:id="34"/>
    </w:p>
    <w:p w14:paraId="679B8994">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．要求</w:t>
      </w:r>
    </w:p>
    <w:p w14:paraId="1225336A">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.1 供应商应仔细阅读磋商文件的所有内容，按磋商文件的要求提供磋商响应文件，并保证所提供的全部资料的真实性，以使其投标对磋商文件作出实质性响应，否则，其投标可能被拒绝。</w:t>
      </w:r>
    </w:p>
    <w:p w14:paraId="375C7311">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．投标语言</w:t>
      </w:r>
    </w:p>
    <w:p w14:paraId="6A0AF4CE">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.1磋商响应文件及供应商与招标代理机构就投标交换的文件和来往信件，应以中文书写。</w:t>
      </w:r>
    </w:p>
    <w:p w14:paraId="295D1067">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．磋商响应文件的构成</w:t>
      </w:r>
    </w:p>
    <w:p w14:paraId="4D808832">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.1 供应商编写的磋商响应文件应包括下列内容：</w:t>
      </w:r>
    </w:p>
    <w:p w14:paraId="1D5CB94B">
      <w:pPr>
        <w:tabs>
          <w:tab w:val="left" w:pos="540"/>
          <w:tab w:val="left" w:pos="900"/>
          <w:tab w:val="left" w:pos="1080"/>
        </w:tabs>
        <w:spacing w:line="400" w:lineRule="atLeast"/>
        <w:rPr>
          <w:rFonts w:hint="eastAsia" w:ascii="仿宋" w:hAnsi="仿宋" w:eastAsia="仿宋" w:cs="仿宋"/>
          <w:b/>
          <w:bCs/>
          <w:sz w:val="21"/>
          <w:szCs w:val="21"/>
          <w:lang w:val="en-US" w:eastAsia="zh-CN"/>
        </w:rPr>
      </w:pPr>
      <w:r>
        <w:rPr>
          <w:rFonts w:hint="eastAsia" w:ascii="仿宋" w:hAnsi="仿宋" w:eastAsia="仿宋" w:cs="仿宋"/>
          <w:b/>
          <w:bCs/>
          <w:color w:val="auto"/>
          <w:sz w:val="21"/>
          <w:szCs w:val="21"/>
          <w:highlight w:val="none"/>
          <w:lang w:val="en-US" w:eastAsia="zh-CN"/>
        </w:rPr>
        <w:t>11.1</w:t>
      </w:r>
      <w:r>
        <w:rPr>
          <w:rFonts w:hint="eastAsia" w:ascii="仿宋" w:hAnsi="仿宋" w:eastAsia="仿宋" w:cs="仿宋"/>
          <w:b/>
          <w:bCs/>
          <w:color w:val="auto"/>
          <w:sz w:val="21"/>
          <w:szCs w:val="21"/>
          <w:highlight w:val="none"/>
        </w:rPr>
        <w:t>响应文件包含：</w:t>
      </w:r>
      <w:r>
        <w:rPr>
          <w:rFonts w:hint="eastAsia" w:ascii="仿宋" w:hAnsi="仿宋" w:eastAsia="仿宋" w:cs="仿宋"/>
          <w:b/>
          <w:bCs/>
          <w:color w:val="auto"/>
          <w:sz w:val="21"/>
          <w:szCs w:val="21"/>
          <w:highlight w:val="none"/>
          <w:lang w:eastAsia="zh-CN"/>
        </w:rPr>
        <w:t>经济报价部分、</w:t>
      </w:r>
      <w:r>
        <w:rPr>
          <w:rFonts w:hint="eastAsia" w:ascii="仿宋" w:hAnsi="仿宋" w:eastAsia="仿宋" w:cs="仿宋"/>
          <w:b/>
          <w:bCs/>
          <w:color w:val="auto"/>
          <w:sz w:val="21"/>
          <w:szCs w:val="21"/>
          <w:highlight w:val="none"/>
        </w:rPr>
        <w:t>商务</w:t>
      </w:r>
      <w:r>
        <w:rPr>
          <w:rFonts w:hint="eastAsia" w:ascii="仿宋" w:hAnsi="仿宋" w:eastAsia="仿宋" w:cs="仿宋"/>
          <w:b/>
          <w:bCs/>
          <w:color w:val="auto"/>
          <w:sz w:val="21"/>
          <w:szCs w:val="21"/>
          <w:highlight w:val="none"/>
          <w:lang w:eastAsia="zh-CN"/>
        </w:rPr>
        <w:t>部分</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eastAsia="zh-CN"/>
        </w:rPr>
        <w:t>技术部分三部分组成，</w:t>
      </w:r>
      <w:r>
        <w:rPr>
          <w:rFonts w:hint="eastAsia" w:ascii="仿宋" w:hAnsi="仿宋" w:eastAsia="仿宋" w:cs="仿宋"/>
          <w:b/>
          <w:bCs/>
          <w:color w:val="auto"/>
          <w:sz w:val="21"/>
          <w:szCs w:val="21"/>
          <w:highlight w:val="none"/>
          <w:lang w:val="en-US" w:eastAsia="zh-CN"/>
        </w:rPr>
        <w:t>具体详见磋商文件第五部分磋商响应文件及格式</w:t>
      </w:r>
    </w:p>
    <w:p w14:paraId="60FB56D0">
      <w:pPr>
        <w:numPr>
          <w:ilvl w:val="0"/>
          <w:numId w:val="0"/>
        </w:numPr>
        <w:spacing w:line="500" w:lineRule="exact"/>
        <w:ind w:right="62" w:rightChars="0"/>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12、</w:t>
      </w:r>
      <w:r>
        <w:rPr>
          <w:rFonts w:hint="eastAsia" w:ascii="仿宋" w:hAnsi="仿宋" w:eastAsia="仿宋" w:cs="仿宋"/>
          <w:b/>
          <w:color w:val="auto"/>
          <w:sz w:val="21"/>
          <w:szCs w:val="21"/>
        </w:rPr>
        <w:t>投标报价（本</w:t>
      </w:r>
      <w:bookmarkStart w:id="35" w:name="OLE_LINK1"/>
      <w:r>
        <w:rPr>
          <w:rFonts w:hint="eastAsia" w:ascii="仿宋" w:hAnsi="仿宋" w:eastAsia="仿宋" w:cs="仿宋"/>
          <w:b/>
          <w:color w:val="auto"/>
          <w:sz w:val="21"/>
          <w:szCs w:val="21"/>
        </w:rPr>
        <w:t>项目采用二轮</w:t>
      </w:r>
      <w:r>
        <w:rPr>
          <w:rFonts w:hint="eastAsia" w:ascii="仿宋" w:hAnsi="仿宋" w:eastAsia="仿宋" w:cs="仿宋"/>
          <w:b/>
          <w:color w:val="auto"/>
          <w:sz w:val="21"/>
          <w:szCs w:val="21"/>
          <w:lang w:val="en-US" w:eastAsia="zh-CN"/>
        </w:rPr>
        <w:t>或二轮以上</w:t>
      </w:r>
      <w:r>
        <w:rPr>
          <w:rFonts w:hint="eastAsia" w:ascii="仿宋" w:hAnsi="仿宋" w:eastAsia="仿宋" w:cs="仿宋"/>
          <w:b/>
          <w:color w:val="auto"/>
          <w:sz w:val="21"/>
          <w:szCs w:val="21"/>
        </w:rPr>
        <w:t>报价，以最终报价作为评分依据）</w:t>
      </w:r>
    </w:p>
    <w:p w14:paraId="06D73657">
      <w:pPr>
        <w:spacing w:line="440" w:lineRule="exact"/>
        <w:ind w:right="62"/>
        <w:rPr>
          <w:rFonts w:hint="eastAsia" w:ascii="仿宋" w:hAnsi="仿宋" w:eastAsia="仿宋" w:cs="仿宋"/>
          <w:color w:val="auto"/>
          <w:sz w:val="21"/>
          <w:szCs w:val="21"/>
        </w:rPr>
      </w:pPr>
      <w:r>
        <w:rPr>
          <w:rFonts w:hint="eastAsia" w:ascii="仿宋" w:hAnsi="仿宋" w:eastAsia="仿宋" w:cs="仿宋"/>
          <w:color w:val="auto"/>
          <w:sz w:val="21"/>
          <w:szCs w:val="21"/>
        </w:rPr>
        <w:t>12.1、投标报价不得高于采购预算价，如高于采购预算价视为无效投标报价；</w:t>
      </w:r>
    </w:p>
    <w:bookmarkEnd w:id="35"/>
    <w:p w14:paraId="72D85952">
      <w:pPr>
        <w:spacing w:line="500" w:lineRule="exact"/>
        <w:ind w:right="62"/>
        <w:rPr>
          <w:rFonts w:hint="eastAsia" w:ascii="仿宋" w:hAnsi="仿宋" w:eastAsia="仿宋" w:cs="仿宋"/>
          <w:b/>
          <w:color w:val="auto"/>
          <w:sz w:val="21"/>
          <w:szCs w:val="21"/>
        </w:rPr>
      </w:pPr>
      <w:r>
        <w:rPr>
          <w:rFonts w:hint="eastAsia" w:ascii="仿宋" w:hAnsi="仿宋" w:eastAsia="仿宋" w:cs="仿宋"/>
          <w:b/>
          <w:color w:val="auto"/>
          <w:sz w:val="21"/>
          <w:szCs w:val="21"/>
        </w:rPr>
        <w:t>13、供应商应逐条详细阅读竞争性磋商文件有关要求，表明所提供的服务是否对竞争性磋商文件做出实质性响应。</w:t>
      </w:r>
    </w:p>
    <w:p w14:paraId="3CCB75FA">
      <w:pPr>
        <w:spacing w:line="460" w:lineRule="exact"/>
        <w:rPr>
          <w:rFonts w:hint="eastAsia" w:ascii="仿宋" w:hAnsi="仿宋" w:eastAsia="仿宋" w:cs="仿宋"/>
          <w:b/>
          <w:color w:val="auto"/>
          <w:sz w:val="21"/>
          <w:szCs w:val="21"/>
        </w:rPr>
      </w:pPr>
      <w:bookmarkStart w:id="36" w:name="_Toc267301286"/>
      <w:bookmarkStart w:id="37" w:name="_Toc349637924"/>
      <w:bookmarkStart w:id="38" w:name="_Toc349573125"/>
      <w:bookmarkStart w:id="39" w:name="_Toc298240409"/>
      <w:bookmarkStart w:id="40" w:name="_Toc527642956"/>
      <w:r>
        <w:rPr>
          <w:rFonts w:hint="eastAsia" w:ascii="仿宋" w:hAnsi="仿宋" w:eastAsia="仿宋" w:cs="仿宋"/>
          <w:b/>
          <w:color w:val="auto"/>
          <w:sz w:val="21"/>
          <w:szCs w:val="21"/>
        </w:rPr>
        <w:t>14、</w:t>
      </w:r>
      <w:r>
        <w:rPr>
          <w:rFonts w:hint="eastAsia" w:ascii="仿宋" w:hAnsi="仿宋" w:eastAsia="仿宋" w:cs="仿宋"/>
          <w:b/>
          <w:color w:val="auto"/>
          <w:sz w:val="21"/>
          <w:szCs w:val="21"/>
          <w:lang w:eastAsia="zh-CN"/>
        </w:rPr>
        <w:t>响应文件</w:t>
      </w:r>
      <w:r>
        <w:rPr>
          <w:rFonts w:hint="eastAsia" w:ascii="仿宋" w:hAnsi="仿宋" w:eastAsia="仿宋" w:cs="仿宋"/>
          <w:b/>
          <w:color w:val="auto"/>
          <w:sz w:val="21"/>
          <w:szCs w:val="21"/>
        </w:rPr>
        <w:t>的有效期</w:t>
      </w:r>
    </w:p>
    <w:p w14:paraId="7E000C24">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14.1 </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从实际开标之日起</w:t>
      </w:r>
      <w:r>
        <w:rPr>
          <w:rFonts w:hint="eastAsia" w:ascii="仿宋" w:hAnsi="仿宋" w:eastAsia="仿宋" w:cs="仿宋"/>
          <w:color w:val="auto"/>
          <w:sz w:val="21"/>
          <w:szCs w:val="21"/>
          <w:lang w:val="en-US" w:eastAsia="zh-CN"/>
        </w:rPr>
        <w:t>90</w:t>
      </w:r>
      <w:r>
        <w:rPr>
          <w:rFonts w:hint="eastAsia" w:ascii="仿宋" w:hAnsi="仿宋" w:eastAsia="仿宋" w:cs="仿宋"/>
          <w:color w:val="auto"/>
          <w:sz w:val="21"/>
          <w:szCs w:val="21"/>
        </w:rPr>
        <w:t>天内有效。有效期不足的</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将被拒绝。</w:t>
      </w:r>
    </w:p>
    <w:p w14:paraId="3707D299">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14.2 如遇特殊情况，在原投标有效期届满之前，招标人可与投标人协商延长</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的有效期，并经投标人确认。</w:t>
      </w:r>
    </w:p>
    <w:p w14:paraId="019CE47C">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14.3投标人可拒绝接受延期要求而不会导致投标保证金被没收。同意延长有效期的投标人需要相应延长投标保证金的有效期，但不能修改</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 xml:space="preserve">。 </w:t>
      </w:r>
    </w:p>
    <w:p w14:paraId="2977AF25">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14.4中标人的</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自开标之日起至合同履行完毕止均应保持有效。</w:t>
      </w:r>
    </w:p>
    <w:p w14:paraId="5832C523">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15、</w:t>
      </w:r>
      <w:r>
        <w:rPr>
          <w:rFonts w:hint="eastAsia" w:ascii="仿宋" w:hAnsi="仿宋" w:eastAsia="仿宋" w:cs="仿宋"/>
          <w:b/>
          <w:color w:val="auto"/>
          <w:sz w:val="21"/>
          <w:szCs w:val="21"/>
          <w:lang w:eastAsia="zh-CN"/>
        </w:rPr>
        <w:t>响应文件</w:t>
      </w:r>
      <w:r>
        <w:rPr>
          <w:rFonts w:hint="eastAsia" w:ascii="仿宋" w:hAnsi="仿宋" w:eastAsia="仿宋" w:cs="仿宋"/>
          <w:b/>
          <w:color w:val="auto"/>
          <w:sz w:val="21"/>
          <w:szCs w:val="21"/>
        </w:rPr>
        <w:t>的签署、递交、准备和解密时间要求</w:t>
      </w:r>
    </w:p>
    <w:p w14:paraId="0EDC6C6D">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15.1投标人应按本</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规定的格式和顺序编制、装订</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并标注页码，</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内容不完整、编排混乱导致</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被误读、漏读或者查找不到相关内容的，是投标人的责任。</w:t>
      </w:r>
    </w:p>
    <w:p w14:paraId="4AB377B3">
      <w:pPr>
        <w:spacing w:line="460" w:lineRule="exact"/>
        <w:rPr>
          <w:rFonts w:hint="eastAsia" w:ascii="仿宋" w:hAnsi="仿宋" w:eastAsia="仿宋" w:cs="仿宋"/>
          <w:color w:val="auto"/>
          <w:sz w:val="21"/>
          <w:szCs w:val="21"/>
        </w:rPr>
      </w:pPr>
      <w:r>
        <w:rPr>
          <w:rFonts w:hint="eastAsia" w:ascii="仿宋" w:hAnsi="仿宋" w:eastAsia="仿宋" w:cs="仿宋"/>
          <w:b/>
          <w:bCs/>
          <w:color w:val="auto"/>
          <w:sz w:val="21"/>
          <w:szCs w:val="21"/>
        </w:rPr>
        <w:t>15.2投标人</w:t>
      </w:r>
      <w:r>
        <w:rPr>
          <w:rFonts w:hint="eastAsia" w:ascii="仿宋" w:hAnsi="仿宋" w:eastAsia="仿宋" w:cs="仿宋"/>
          <w:b/>
          <w:bCs/>
          <w:color w:val="auto"/>
          <w:sz w:val="21"/>
          <w:szCs w:val="21"/>
          <w:lang w:eastAsia="zh-CN"/>
        </w:rPr>
        <w:t>应于</w:t>
      </w:r>
      <w:r>
        <w:rPr>
          <w:rFonts w:hint="eastAsia" w:ascii="仿宋" w:hAnsi="仿宋" w:eastAsia="仿宋" w:cs="仿宋"/>
          <w:b/>
          <w:bCs/>
          <w:color w:val="auto"/>
          <w:sz w:val="21"/>
          <w:szCs w:val="21"/>
          <w:highlight w:val="none"/>
          <w:shd w:val="clear" w:color="auto" w:fill="auto"/>
          <w:lang w:val="en-US" w:eastAsia="zh-CN"/>
        </w:rPr>
        <w:t>2025</w:t>
      </w:r>
      <w:r>
        <w:rPr>
          <w:rFonts w:hint="eastAsia" w:ascii="仿宋" w:hAnsi="仿宋" w:eastAsia="仿宋" w:cs="仿宋"/>
          <w:b/>
          <w:bCs/>
          <w:color w:val="auto"/>
          <w:sz w:val="21"/>
          <w:szCs w:val="21"/>
          <w:highlight w:val="none"/>
          <w:shd w:val="clear" w:color="auto" w:fill="auto"/>
          <w:lang w:eastAsia="zh-CN"/>
        </w:rPr>
        <w:t>年</w:t>
      </w:r>
      <w:r>
        <w:rPr>
          <w:rFonts w:hint="eastAsia" w:ascii="仿宋" w:hAnsi="仿宋" w:eastAsia="仿宋" w:cs="仿宋"/>
          <w:b/>
          <w:bCs/>
          <w:color w:val="auto"/>
          <w:sz w:val="21"/>
          <w:szCs w:val="21"/>
          <w:highlight w:val="none"/>
          <w:shd w:val="clear" w:color="auto" w:fill="auto"/>
          <w:lang w:val="en-US" w:eastAsia="zh-CN"/>
        </w:rPr>
        <w:t>04</w:t>
      </w:r>
      <w:r>
        <w:rPr>
          <w:rFonts w:hint="eastAsia" w:ascii="仿宋" w:hAnsi="仿宋" w:eastAsia="仿宋" w:cs="仿宋"/>
          <w:b/>
          <w:bCs/>
          <w:color w:val="auto"/>
          <w:sz w:val="21"/>
          <w:szCs w:val="21"/>
          <w:highlight w:val="none"/>
          <w:shd w:val="clear" w:color="auto" w:fill="auto"/>
          <w:lang w:eastAsia="zh-CN"/>
        </w:rPr>
        <w:t>月</w:t>
      </w:r>
      <w:r>
        <w:rPr>
          <w:rFonts w:hint="eastAsia" w:ascii="仿宋" w:hAnsi="仿宋" w:eastAsia="仿宋" w:cs="仿宋"/>
          <w:b/>
          <w:bCs/>
          <w:color w:val="auto"/>
          <w:sz w:val="21"/>
          <w:szCs w:val="21"/>
          <w:highlight w:val="none"/>
          <w:shd w:val="clear" w:color="auto" w:fill="auto"/>
          <w:lang w:val="en-US" w:eastAsia="zh-CN"/>
        </w:rPr>
        <w:t>14</w:t>
      </w:r>
      <w:r>
        <w:rPr>
          <w:rFonts w:hint="eastAsia" w:ascii="仿宋" w:hAnsi="仿宋" w:eastAsia="仿宋" w:cs="仿宋"/>
          <w:b/>
          <w:bCs/>
          <w:color w:val="auto"/>
          <w:sz w:val="21"/>
          <w:szCs w:val="21"/>
          <w:highlight w:val="none"/>
          <w:shd w:val="clear" w:color="auto" w:fill="auto"/>
          <w:lang w:eastAsia="zh-CN"/>
        </w:rPr>
        <w:t>日</w:t>
      </w:r>
      <w:r>
        <w:rPr>
          <w:rFonts w:hint="eastAsia" w:ascii="仿宋" w:hAnsi="仿宋" w:eastAsia="仿宋" w:cs="仿宋"/>
          <w:b/>
          <w:bCs/>
          <w:color w:val="auto"/>
          <w:sz w:val="21"/>
          <w:szCs w:val="21"/>
          <w:shd w:val="clear" w:color="auto" w:fill="auto"/>
          <w:lang w:eastAsia="zh-CN"/>
        </w:rPr>
        <w:t>上午1</w:t>
      </w:r>
      <w:r>
        <w:rPr>
          <w:rFonts w:hint="eastAsia" w:ascii="仿宋" w:hAnsi="仿宋" w:eastAsia="仿宋" w:cs="仿宋"/>
          <w:b/>
          <w:bCs/>
          <w:color w:val="auto"/>
          <w:sz w:val="21"/>
          <w:szCs w:val="21"/>
          <w:shd w:val="clear" w:color="auto" w:fill="auto"/>
          <w:lang w:val="en-US" w:eastAsia="zh-CN"/>
        </w:rPr>
        <w:t>1</w:t>
      </w:r>
      <w:r>
        <w:rPr>
          <w:rFonts w:hint="eastAsia" w:ascii="仿宋" w:hAnsi="仿宋" w:eastAsia="仿宋" w:cs="仿宋"/>
          <w:b/>
          <w:bCs/>
          <w:color w:val="auto"/>
          <w:sz w:val="21"/>
          <w:szCs w:val="21"/>
          <w:shd w:val="clear" w:color="auto" w:fill="auto"/>
          <w:lang w:eastAsia="zh-CN"/>
        </w:rPr>
        <w:t>：</w:t>
      </w:r>
      <w:r>
        <w:rPr>
          <w:rFonts w:hint="eastAsia" w:ascii="仿宋" w:hAnsi="仿宋" w:eastAsia="仿宋" w:cs="仿宋"/>
          <w:b/>
          <w:bCs/>
          <w:color w:val="auto"/>
          <w:sz w:val="21"/>
          <w:szCs w:val="21"/>
          <w:shd w:val="clear" w:color="auto" w:fill="auto"/>
          <w:lang w:val="en-US" w:eastAsia="zh-CN"/>
        </w:rPr>
        <w:t>0</w:t>
      </w:r>
      <w:r>
        <w:rPr>
          <w:rFonts w:hint="eastAsia" w:ascii="仿宋" w:hAnsi="仿宋" w:eastAsia="仿宋" w:cs="仿宋"/>
          <w:b/>
          <w:bCs/>
          <w:color w:val="auto"/>
          <w:sz w:val="21"/>
          <w:szCs w:val="21"/>
          <w:shd w:val="clear" w:color="auto" w:fill="auto"/>
          <w:lang w:eastAsia="zh-CN"/>
        </w:rPr>
        <w:t>0分（北京时间）</w:t>
      </w:r>
      <w:r>
        <w:rPr>
          <w:rFonts w:hint="eastAsia" w:ascii="仿宋" w:hAnsi="仿宋" w:eastAsia="仿宋" w:cs="仿宋"/>
          <w:b/>
          <w:bCs/>
          <w:color w:val="auto"/>
          <w:sz w:val="21"/>
          <w:szCs w:val="21"/>
        </w:rPr>
        <w:t>之前将电子</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上传到“政采云”平台。应按照本项目</w:t>
      </w:r>
      <w:r>
        <w:rPr>
          <w:rFonts w:hint="eastAsia" w:ascii="仿宋" w:hAnsi="仿宋" w:eastAsia="仿宋" w:cs="仿宋"/>
          <w:b/>
          <w:bCs/>
          <w:color w:val="auto"/>
          <w:sz w:val="21"/>
          <w:szCs w:val="21"/>
          <w:lang w:eastAsia="zh-CN"/>
        </w:rPr>
        <w:t>磋商文件</w:t>
      </w:r>
      <w:r>
        <w:rPr>
          <w:rFonts w:hint="eastAsia" w:ascii="仿宋" w:hAnsi="仿宋" w:eastAsia="仿宋" w:cs="仿宋"/>
          <w:b/>
          <w:bCs/>
          <w:color w:val="auto"/>
          <w:sz w:val="21"/>
          <w:szCs w:val="21"/>
        </w:rPr>
        <w:t>和政采云平台的要求编制、加密传输</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。供应商在使用系统进行投标的过程中遇到涉及平台使用的任何问题，可致电政采云平台技术支持热线咨询，联系方式：</w:t>
      </w:r>
      <w:r>
        <w:rPr>
          <w:rFonts w:hint="eastAsia" w:ascii="仿宋" w:hAnsi="仿宋" w:eastAsia="仿宋" w:cs="仿宋"/>
          <w:b/>
          <w:bCs/>
          <w:color w:val="auto"/>
          <w:sz w:val="21"/>
          <w:szCs w:val="21"/>
          <w:lang w:eastAsia="zh-CN"/>
        </w:rPr>
        <w:t>95763</w:t>
      </w:r>
      <w:r>
        <w:rPr>
          <w:rFonts w:hint="eastAsia" w:ascii="仿宋" w:hAnsi="仿宋" w:eastAsia="仿宋" w:cs="仿宋"/>
          <w:b/>
          <w:bCs/>
          <w:color w:val="auto"/>
          <w:sz w:val="21"/>
          <w:szCs w:val="21"/>
        </w:rPr>
        <w:t>。</w:t>
      </w:r>
    </w:p>
    <w:p w14:paraId="068957B5">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15.3</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须由投标人在规定位置盖章并由法定代表人或法定代表人的授权委托人签署，投标人应写全称。</w:t>
      </w:r>
    </w:p>
    <w:p w14:paraId="7C56DD3C">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15.4</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不得涂改，若有修改错漏处，须加盖单位公章或者法定代表人或授权委托人签字或盖章。</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因字迹潦草或表达不清所引起的后果由投标人负责。</w:t>
      </w:r>
    </w:p>
    <w:p w14:paraId="052D6692">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15.5</w:t>
      </w:r>
      <w:r>
        <w:rPr>
          <w:rFonts w:hint="eastAsia" w:ascii="仿宋" w:hAnsi="仿宋" w:eastAsia="仿宋" w:cs="仿宋"/>
          <w:b/>
          <w:bCs/>
          <w:color w:val="auto"/>
          <w:sz w:val="21"/>
          <w:szCs w:val="21"/>
        </w:rPr>
        <w:t>、本项目实行网上投标，采用电子</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 xml:space="preserve">。若供应商参与投标，自行承担投标一切费用。 </w:t>
      </w:r>
    </w:p>
    <w:p w14:paraId="13028230">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15.6</w:t>
      </w:r>
      <w:r>
        <w:rPr>
          <w:rFonts w:hint="eastAsia" w:ascii="仿宋" w:hAnsi="仿宋" w:eastAsia="仿宋" w:cs="仿宋"/>
          <w:b/>
          <w:bCs/>
          <w:color w:val="auto"/>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43F66311">
      <w:pPr>
        <w:spacing w:line="460" w:lineRule="exac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15.7</w:t>
      </w:r>
      <w:r>
        <w:rPr>
          <w:rFonts w:hint="eastAsia" w:ascii="仿宋" w:hAnsi="仿宋" w:eastAsia="仿宋" w:cs="仿宋"/>
          <w:b/>
          <w:bCs/>
          <w:color w:val="auto"/>
          <w:sz w:val="21"/>
          <w:szCs w:val="21"/>
        </w:rPr>
        <w:t>、</w:t>
      </w:r>
      <w:r>
        <w:rPr>
          <w:rFonts w:hint="eastAsia" w:ascii="仿宋" w:hAnsi="仿宋" w:eastAsia="仿宋" w:cs="仿宋"/>
          <w:b/>
          <w:bCs/>
          <w:color w:val="auto"/>
          <w:sz w:val="21"/>
          <w:szCs w:val="21"/>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1BDEA578">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15.8</w:t>
      </w:r>
      <w:r>
        <w:rPr>
          <w:rFonts w:hint="eastAsia" w:ascii="仿宋" w:hAnsi="仿宋" w:eastAsia="仿宋" w:cs="仿宋"/>
          <w:b/>
          <w:bCs/>
          <w:color w:val="auto"/>
          <w:sz w:val="21"/>
          <w:szCs w:val="21"/>
        </w:rPr>
        <w:t>、供应商将政采云电子交易客户端下载、安装完成后，可通过账号密码或CA登录客户端进行</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制作。在使用政采云投标客户端时，建议使用WIN7及以上操作系统。客户端请至新疆政府采购网（http://www.ccgp-xinjiang.gov.cn/）下载专区查看，如有问题可拨打政采云客户服务热线</w:t>
      </w:r>
      <w:r>
        <w:rPr>
          <w:rFonts w:hint="eastAsia" w:ascii="仿宋" w:hAnsi="仿宋" w:eastAsia="仿宋" w:cs="仿宋"/>
          <w:b/>
          <w:bCs/>
          <w:color w:val="auto"/>
          <w:sz w:val="21"/>
          <w:szCs w:val="21"/>
          <w:lang w:eastAsia="zh-CN"/>
        </w:rPr>
        <w:t>95763</w:t>
      </w:r>
      <w:r>
        <w:rPr>
          <w:rFonts w:hint="eastAsia" w:ascii="仿宋" w:hAnsi="仿宋" w:eastAsia="仿宋" w:cs="仿宋"/>
          <w:b/>
          <w:bCs/>
          <w:color w:val="auto"/>
          <w:sz w:val="21"/>
          <w:szCs w:val="21"/>
        </w:rPr>
        <w:t>进行咨询。</w:t>
      </w:r>
    </w:p>
    <w:p w14:paraId="3B79B4D9">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rPr>
        <w:t>15.9开标时间</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2025</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04月14日上</w:t>
      </w:r>
      <w:r>
        <w:rPr>
          <w:rFonts w:hint="eastAsia" w:ascii="仿宋" w:hAnsi="仿宋" w:eastAsia="仿宋" w:cs="仿宋"/>
          <w:b/>
          <w:bCs/>
          <w:color w:val="auto"/>
          <w:sz w:val="21"/>
          <w:szCs w:val="21"/>
          <w:lang w:eastAsia="zh-CN"/>
        </w:rPr>
        <w:t>午1</w:t>
      </w:r>
      <w:r>
        <w:rPr>
          <w:rFonts w:hint="eastAsia" w:ascii="仿宋" w:hAnsi="仿宋" w:eastAsia="仿宋" w:cs="仿宋"/>
          <w:b/>
          <w:bCs/>
          <w:color w:val="auto"/>
          <w:sz w:val="21"/>
          <w:szCs w:val="21"/>
          <w:lang w:val="en-US" w:eastAsia="zh-CN"/>
        </w:rPr>
        <w:t>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-1</w:t>
      </w:r>
      <w:r>
        <w:rPr>
          <w:rFonts w:hint="eastAsia" w:ascii="仿宋" w:hAnsi="仿宋" w:eastAsia="仿宋" w:cs="仿宋"/>
          <w:b/>
          <w:bCs/>
          <w:color w:val="auto"/>
          <w:sz w:val="21"/>
          <w:szCs w:val="21"/>
          <w:lang w:val="en-US" w:eastAsia="zh-CN"/>
        </w:rPr>
        <w:t>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lang w:val="en-US" w:eastAsia="zh-CN"/>
        </w:rPr>
        <w:t>60</w:t>
      </w:r>
      <w:r>
        <w:rPr>
          <w:rFonts w:hint="eastAsia" w:ascii="仿宋" w:hAnsi="仿宋" w:eastAsia="仿宋" w:cs="仿宋"/>
          <w:b/>
          <w:bCs/>
          <w:color w:val="auto"/>
          <w:sz w:val="21"/>
          <w:szCs w:val="21"/>
        </w:rPr>
        <w:t>分钟内供应商可以登录“政采云”平台，用“项目采购-开标评标”功能进行解密</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。若供应商在规定时间内未按时解密的，视为</w:t>
      </w:r>
      <w:r>
        <w:rPr>
          <w:rFonts w:hint="eastAsia" w:ascii="仿宋" w:hAnsi="仿宋" w:eastAsia="仿宋" w:cs="仿宋"/>
          <w:b/>
          <w:bCs/>
          <w:color w:val="auto"/>
          <w:sz w:val="21"/>
          <w:szCs w:val="21"/>
          <w:lang w:eastAsia="zh-CN"/>
        </w:rPr>
        <w:t>响应文件</w:t>
      </w:r>
      <w:r>
        <w:rPr>
          <w:rFonts w:hint="eastAsia" w:ascii="仿宋" w:hAnsi="仿宋" w:eastAsia="仿宋" w:cs="仿宋"/>
          <w:b/>
          <w:bCs/>
          <w:color w:val="auto"/>
          <w:sz w:val="21"/>
          <w:szCs w:val="21"/>
        </w:rPr>
        <w:t>撤回。</w:t>
      </w:r>
    </w:p>
    <w:p w14:paraId="2B8E4E8A">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16、投标保证金</w:t>
      </w:r>
    </w:p>
    <w:p w14:paraId="4E64FFAE">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16.1 投标保证金数额</w:t>
      </w:r>
      <w:r>
        <w:rPr>
          <w:rFonts w:hint="eastAsia" w:ascii="仿宋" w:hAnsi="仿宋" w:eastAsia="仿宋" w:cs="仿宋"/>
          <w:b/>
          <w:color w:val="auto"/>
          <w:sz w:val="21"/>
          <w:szCs w:val="21"/>
          <w:u w:val="single"/>
        </w:rPr>
        <w:t>详见投标人须知前附表</w:t>
      </w:r>
      <w:r>
        <w:rPr>
          <w:rFonts w:hint="eastAsia" w:ascii="仿宋" w:hAnsi="仿宋" w:eastAsia="仿宋" w:cs="仿宋"/>
          <w:color w:val="auto"/>
          <w:sz w:val="21"/>
          <w:szCs w:val="21"/>
        </w:rPr>
        <w:t>。</w:t>
      </w:r>
    </w:p>
    <w:p w14:paraId="48AC2A99">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16.2 投标保证金用于应对本次招标因投标人违规、违约而产生的风险。</w:t>
      </w:r>
    </w:p>
    <w:p w14:paraId="65BB507D">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16.3 投标人必须于投标截止时间之前（</w:t>
      </w:r>
      <w:r>
        <w:rPr>
          <w:rFonts w:hint="eastAsia" w:ascii="仿宋" w:hAnsi="仿宋" w:eastAsia="仿宋" w:cs="仿宋"/>
          <w:b/>
          <w:color w:val="auto"/>
          <w:sz w:val="21"/>
          <w:szCs w:val="21"/>
          <w:u w:val="single"/>
        </w:rPr>
        <w:t>详见投标人须知前附表规定）</w:t>
      </w:r>
      <w:r>
        <w:rPr>
          <w:rFonts w:hint="eastAsia" w:ascii="仿宋" w:hAnsi="仿宋" w:eastAsia="仿宋" w:cs="仿宋"/>
          <w:color w:val="auto"/>
          <w:sz w:val="21"/>
          <w:szCs w:val="21"/>
        </w:rPr>
        <w:t>按将投标保证金交纳至规定的帐号，对未按要求提交投标保证金的投标书，招标机构将视为不响应投标予以拒绝。</w:t>
      </w:r>
    </w:p>
    <w:p w14:paraId="35C3340D">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16.4 投标保证金应以基本账户对公转账方式提交。</w:t>
      </w:r>
    </w:p>
    <w:p w14:paraId="22267D9B">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16.5在招标方规定的投标有效期满之前，招标方将以书面形式 发出《</w:t>
      </w:r>
      <w:r>
        <w:rPr>
          <w:rFonts w:hint="eastAsia" w:ascii="仿宋" w:hAnsi="仿宋" w:eastAsia="仿宋" w:cs="仿宋"/>
          <w:color w:val="auto"/>
          <w:sz w:val="21"/>
          <w:szCs w:val="21"/>
          <w:lang w:eastAsia="zh-CN"/>
        </w:rPr>
        <w:t>成交通知书</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成交通知书</w:t>
      </w:r>
      <w:r>
        <w:rPr>
          <w:rFonts w:hint="eastAsia" w:ascii="仿宋" w:hAnsi="仿宋" w:eastAsia="仿宋" w:cs="仿宋"/>
          <w:color w:val="auto"/>
          <w:sz w:val="21"/>
          <w:szCs w:val="21"/>
        </w:rPr>
        <w:t>》一经发出即发生法律效力。</w:t>
      </w:r>
    </w:p>
    <w:p w14:paraId="795C39F7">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6.6 发生以下情况投标保证金可能被没收：</w:t>
      </w:r>
    </w:p>
    <w:p w14:paraId="36B1185D">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16.6.1 投标人在投标有效期内撤回投标的；</w:t>
      </w:r>
    </w:p>
    <w:p w14:paraId="41BF4F0A">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16.6.2 中标人未能做到：中标后，无正当理由放弃中标资格。</w:t>
      </w:r>
    </w:p>
    <w:p w14:paraId="529CEE58">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16.6.3 投标人在投标过程中有违反有关法律法规行为的。</w:t>
      </w:r>
    </w:p>
    <w:p w14:paraId="5B5DDED7">
      <w:pPr>
        <w:numPr>
          <w:ilvl w:val="0"/>
          <w:numId w:val="0"/>
        </w:numPr>
        <w:spacing w:line="460" w:lineRule="exact"/>
        <w:ind w:firstLine="2108" w:firstLineChars="1000"/>
        <w:jc w:val="both"/>
        <w:outlineLvl w:val="2"/>
        <w:rPr>
          <w:rFonts w:hint="eastAsia" w:ascii="仿宋" w:hAnsi="仿宋" w:eastAsia="仿宋" w:cs="仿宋"/>
          <w:b/>
          <w:color w:val="auto"/>
          <w:sz w:val="21"/>
          <w:szCs w:val="21"/>
        </w:rPr>
      </w:pPr>
      <w:bookmarkStart w:id="41" w:name="_Toc22295"/>
      <w:bookmarkStart w:id="42" w:name="_Toc22171"/>
      <w:r>
        <w:rPr>
          <w:rFonts w:hint="eastAsia" w:ascii="仿宋" w:hAnsi="仿宋" w:eastAsia="仿宋" w:cs="仿宋"/>
          <w:b/>
          <w:color w:val="auto"/>
          <w:sz w:val="21"/>
          <w:szCs w:val="21"/>
          <w:lang w:val="en-US" w:eastAsia="zh-CN"/>
        </w:rPr>
        <w:t xml:space="preserve">d  </w:t>
      </w:r>
      <w:r>
        <w:rPr>
          <w:rFonts w:hint="eastAsia" w:ascii="仿宋" w:hAnsi="仿宋" w:eastAsia="仿宋" w:cs="仿宋"/>
          <w:b/>
          <w:color w:val="auto"/>
          <w:sz w:val="21"/>
          <w:szCs w:val="21"/>
          <w:lang w:eastAsia="zh-CN"/>
        </w:rPr>
        <w:t>响应文件</w:t>
      </w:r>
      <w:r>
        <w:rPr>
          <w:rFonts w:hint="eastAsia" w:ascii="仿宋" w:hAnsi="仿宋" w:eastAsia="仿宋" w:cs="仿宋"/>
          <w:b/>
          <w:color w:val="auto"/>
          <w:sz w:val="21"/>
          <w:szCs w:val="21"/>
        </w:rPr>
        <w:t>的递交</w:t>
      </w:r>
      <w:bookmarkEnd w:id="41"/>
      <w:bookmarkEnd w:id="42"/>
    </w:p>
    <w:p w14:paraId="62E57D92">
      <w:pPr>
        <w:widowControl/>
        <w:spacing w:line="340" w:lineRule="exact"/>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17.1.</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的准备和解密</w:t>
      </w:r>
    </w:p>
    <w:p w14:paraId="754FE8C2">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17.</w:t>
      </w:r>
      <w:r>
        <w:rPr>
          <w:rFonts w:hint="eastAsia" w:ascii="仿宋" w:hAnsi="仿宋" w:eastAsia="仿宋" w:cs="仿宋"/>
          <w:b w:val="0"/>
          <w:bCs w:val="0"/>
          <w:color w:val="auto"/>
          <w:kern w:val="0"/>
          <w:sz w:val="21"/>
          <w:szCs w:val="21"/>
        </w:rPr>
        <w:t>1</w:t>
      </w:r>
      <w:r>
        <w:rPr>
          <w:rFonts w:hint="eastAsia" w:ascii="仿宋" w:hAnsi="仿宋" w:eastAsia="仿宋" w:cs="仿宋"/>
          <w:b w:val="0"/>
          <w:bCs w:val="0"/>
          <w:color w:val="auto"/>
          <w:kern w:val="0"/>
          <w:sz w:val="21"/>
          <w:szCs w:val="21"/>
          <w:lang w:val="en-US" w:eastAsia="zh-CN"/>
        </w:rPr>
        <w:t>.2</w:t>
      </w:r>
      <w:r>
        <w:rPr>
          <w:rFonts w:hint="eastAsia" w:ascii="仿宋" w:hAnsi="仿宋" w:eastAsia="仿宋" w:cs="仿宋"/>
          <w:b w:val="0"/>
          <w:bCs w:val="0"/>
          <w:color w:val="auto"/>
          <w:kern w:val="0"/>
          <w:sz w:val="21"/>
          <w:szCs w:val="21"/>
        </w:rPr>
        <w:t>本项目实行网上投标，采用电子</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 xml:space="preserve">。若供应商参与投标，自行承担投标一切费用。 </w:t>
      </w:r>
    </w:p>
    <w:p w14:paraId="780A31CC">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 xml:space="preserve">17.1.3 </w:t>
      </w:r>
      <w:r>
        <w:rPr>
          <w:rFonts w:hint="eastAsia" w:ascii="仿宋" w:hAnsi="仿宋" w:eastAsia="仿宋" w:cs="仿宋"/>
          <w:b w:val="0"/>
          <w:bCs w:val="0"/>
          <w:color w:val="auto"/>
          <w:kern w:val="0"/>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5847986E">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02F77B58">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w:t>
      </w:r>
      <w:r>
        <w:rPr>
          <w:rFonts w:hint="eastAsia" w:ascii="仿宋" w:hAnsi="仿宋" w:eastAsia="仿宋" w:cs="仿宋"/>
          <w:b w:val="0"/>
          <w:bCs w:val="0"/>
          <w:color w:val="auto"/>
          <w:kern w:val="0"/>
          <w:sz w:val="21"/>
          <w:szCs w:val="21"/>
          <w:lang w:val="en-US" w:eastAsia="zh-CN"/>
        </w:rPr>
        <w:t>17.1.5</w:t>
      </w:r>
      <w:r>
        <w:rPr>
          <w:rFonts w:hint="eastAsia" w:ascii="仿宋" w:hAnsi="仿宋" w:eastAsia="仿宋" w:cs="仿宋"/>
          <w:b w:val="0"/>
          <w:bCs w:val="0"/>
          <w:color w:val="auto"/>
          <w:kern w:val="0"/>
          <w:sz w:val="21"/>
          <w:szCs w:val="21"/>
        </w:rPr>
        <w:t>供应商将政采云电子交易客户端下载、安装完成后，可通过账号密码或CA登录客户端进行</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制作。在使用政采云投标客户端时，建议使用WIN7及以上操作系统。客户端请至新疆政府采购网（http://www.ccgp-xinjiang.gov.cn/）下载专区查看，如有问题可拨打政采云客户服务热线</w:t>
      </w:r>
      <w:r>
        <w:rPr>
          <w:rFonts w:hint="eastAsia" w:ascii="仿宋" w:hAnsi="仿宋" w:eastAsia="仿宋" w:cs="仿宋"/>
          <w:b w:val="0"/>
          <w:bCs w:val="0"/>
          <w:color w:val="auto"/>
          <w:kern w:val="0"/>
          <w:sz w:val="21"/>
          <w:szCs w:val="21"/>
          <w:lang w:eastAsia="zh-CN"/>
        </w:rPr>
        <w:t>95763</w:t>
      </w:r>
      <w:r>
        <w:rPr>
          <w:rFonts w:hint="eastAsia" w:ascii="仿宋" w:hAnsi="仿宋" w:eastAsia="仿宋" w:cs="仿宋"/>
          <w:b w:val="0"/>
          <w:bCs w:val="0"/>
          <w:color w:val="auto"/>
          <w:kern w:val="0"/>
          <w:sz w:val="21"/>
          <w:szCs w:val="21"/>
        </w:rPr>
        <w:t>进行咨询。</w:t>
      </w:r>
    </w:p>
    <w:p w14:paraId="55F859E9">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1.6 </w:t>
      </w:r>
      <w:r>
        <w:rPr>
          <w:rFonts w:hint="eastAsia" w:ascii="仿宋" w:hAnsi="仿宋" w:eastAsia="仿宋" w:cs="仿宋"/>
          <w:b w:val="0"/>
          <w:bCs w:val="0"/>
          <w:color w:val="auto"/>
          <w:kern w:val="0"/>
          <w:sz w:val="21"/>
          <w:szCs w:val="21"/>
        </w:rPr>
        <w:t>投标截止时间后，供应商应及时登录“</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”平台，用“项目采购-开标评标”功能对</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进行解密。规定的解密时限为：</w:t>
      </w:r>
      <w:bookmarkStart w:id="43" w:name="_Hlk49254376"/>
      <w:r>
        <w:rPr>
          <w:rFonts w:hint="eastAsia" w:ascii="仿宋" w:hAnsi="仿宋" w:eastAsia="仿宋" w:cs="仿宋"/>
          <w:b w:val="0"/>
          <w:bCs w:val="0"/>
          <w:color w:val="auto"/>
          <w:kern w:val="0"/>
          <w:sz w:val="21"/>
          <w:szCs w:val="21"/>
        </w:rPr>
        <w:t>“投标人须知前附表”的中规定</w:t>
      </w:r>
      <w:bookmarkEnd w:id="43"/>
      <w:r>
        <w:rPr>
          <w:rFonts w:hint="eastAsia" w:ascii="仿宋" w:hAnsi="仿宋" w:eastAsia="仿宋" w:cs="仿宋"/>
          <w:b w:val="0"/>
          <w:bCs w:val="0"/>
          <w:color w:val="auto"/>
          <w:kern w:val="0"/>
          <w:sz w:val="21"/>
          <w:szCs w:val="21"/>
        </w:rPr>
        <w:t>，若供应商在规定的时间内（“投标人须知前附表”的中规定）未能解密的，视为供应商对其</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的撤回。</w:t>
      </w:r>
    </w:p>
    <w:p w14:paraId="46476A10">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w:t>
      </w:r>
      <w:r>
        <w:rPr>
          <w:rFonts w:hint="eastAsia" w:ascii="仿宋" w:hAnsi="仿宋" w:eastAsia="仿宋" w:cs="仿宋"/>
          <w:b w:val="0"/>
          <w:bCs w:val="0"/>
          <w:color w:val="auto"/>
          <w:kern w:val="0"/>
          <w:sz w:val="21"/>
          <w:szCs w:val="21"/>
        </w:rPr>
        <w:t>.</w:t>
      </w:r>
      <w:r>
        <w:rPr>
          <w:rFonts w:hint="eastAsia" w:ascii="仿宋" w:hAnsi="仿宋" w:eastAsia="仿宋" w:cs="仿宋"/>
          <w:b w:val="0"/>
          <w:bCs w:val="0"/>
          <w:color w:val="auto"/>
          <w:kern w:val="0"/>
          <w:sz w:val="21"/>
          <w:szCs w:val="21"/>
          <w:lang w:val="en-US" w:eastAsia="zh-CN"/>
        </w:rPr>
        <w:t xml:space="preserve">7 </w:t>
      </w:r>
      <w:r>
        <w:rPr>
          <w:rFonts w:hint="eastAsia" w:ascii="仿宋" w:hAnsi="仿宋" w:eastAsia="仿宋" w:cs="仿宋"/>
          <w:b w:val="0"/>
          <w:bCs w:val="0"/>
          <w:color w:val="auto"/>
          <w:kern w:val="0"/>
          <w:sz w:val="21"/>
          <w:szCs w:val="21"/>
        </w:rPr>
        <w:t>因系统（非投标供应商行为）的原因，造成投标供应商未能在规定的解密时限内解密的，请及时与招标代理机构或与</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投标客户端进行联系。</w:t>
      </w:r>
    </w:p>
    <w:p w14:paraId="0612B807">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1.8 </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未按规定上传的，视为其自动放弃投标。</w:t>
      </w:r>
    </w:p>
    <w:p w14:paraId="0C1C98E0">
      <w:pPr>
        <w:widowControl/>
        <w:shd w:val="clear" w:color="auto" w:fill="FFFFFF"/>
        <w:snapToGrid w:val="0"/>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1.9 </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的修改与撤回</w:t>
      </w:r>
    </w:p>
    <w:p w14:paraId="074E2C4A">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1.10</w:t>
      </w:r>
      <w:r>
        <w:rPr>
          <w:rFonts w:hint="eastAsia" w:ascii="仿宋" w:hAnsi="仿宋" w:eastAsia="仿宋" w:cs="仿宋"/>
          <w:b w:val="0"/>
          <w:bCs w:val="0"/>
          <w:color w:val="auto"/>
          <w:kern w:val="0"/>
          <w:sz w:val="21"/>
          <w:szCs w:val="21"/>
        </w:rPr>
        <w:t>投标人在投标截止时间前，可以对所递交的</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进行补充、修改或者撤回，并书面通知采购人或者采购代理机构。</w:t>
      </w:r>
    </w:p>
    <w:p w14:paraId="6C967A73">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1.11 </w:t>
      </w:r>
      <w:r>
        <w:rPr>
          <w:rFonts w:hint="eastAsia" w:ascii="仿宋" w:hAnsi="仿宋" w:eastAsia="仿宋" w:cs="仿宋"/>
          <w:b w:val="0"/>
          <w:bCs w:val="0"/>
          <w:color w:val="auto"/>
          <w:kern w:val="0"/>
          <w:sz w:val="21"/>
          <w:szCs w:val="21"/>
        </w:rPr>
        <w:t>投标人在投标截止期后不得修改、撤回</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。投标人在投标截止期后修改</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的，其投标无效。</w:t>
      </w:r>
    </w:p>
    <w:p w14:paraId="67A87A91">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1.12 </w:t>
      </w:r>
      <w:r>
        <w:rPr>
          <w:rFonts w:hint="eastAsia" w:ascii="仿宋" w:hAnsi="仿宋" w:eastAsia="仿宋" w:cs="仿宋"/>
          <w:b w:val="0"/>
          <w:bCs w:val="0"/>
          <w:color w:val="auto"/>
          <w:kern w:val="0"/>
          <w:sz w:val="21"/>
          <w:szCs w:val="21"/>
        </w:rPr>
        <w:t>若供应商在规定的时间内（“投标人须知前附表”的中规定）未能解密的，也将被视为供应商对其</w:t>
      </w:r>
      <w:r>
        <w:rPr>
          <w:rFonts w:hint="eastAsia" w:ascii="仿宋" w:hAnsi="仿宋" w:eastAsia="仿宋" w:cs="仿宋"/>
          <w:b w:val="0"/>
          <w:bCs w:val="0"/>
          <w:color w:val="auto"/>
          <w:kern w:val="0"/>
          <w:sz w:val="21"/>
          <w:szCs w:val="21"/>
          <w:lang w:eastAsia="zh-CN"/>
        </w:rPr>
        <w:t>响应文件</w:t>
      </w:r>
      <w:r>
        <w:rPr>
          <w:rFonts w:hint="eastAsia" w:ascii="仿宋" w:hAnsi="仿宋" w:eastAsia="仿宋" w:cs="仿宋"/>
          <w:b w:val="0"/>
          <w:bCs w:val="0"/>
          <w:color w:val="auto"/>
          <w:kern w:val="0"/>
          <w:sz w:val="21"/>
          <w:szCs w:val="21"/>
        </w:rPr>
        <w:t>的撤回。</w:t>
      </w:r>
    </w:p>
    <w:p w14:paraId="1300EC00">
      <w:pPr>
        <w:spacing w:line="360" w:lineRule="auto"/>
        <w:ind w:firstLine="2741" w:firstLineChars="1300"/>
        <w:jc w:val="both"/>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E  磋商程序</w:t>
      </w:r>
      <w:bookmarkEnd w:id="36"/>
      <w:bookmarkEnd w:id="37"/>
      <w:bookmarkEnd w:id="38"/>
      <w:bookmarkEnd w:id="39"/>
      <w:bookmarkEnd w:id="40"/>
    </w:p>
    <w:p w14:paraId="6EA142E0">
      <w:pPr>
        <w:numPr>
          <w:ilvl w:val="0"/>
          <w:numId w:val="8"/>
        </w:num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开标</w:t>
      </w:r>
    </w:p>
    <w:p w14:paraId="46D1033B">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18.1.1 本次采用不见面方式网上开标。</w:t>
      </w:r>
    </w:p>
    <w:p w14:paraId="04DE87FB">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18.1.2开标由招标代理机构主持，招标人、投标人和有关方面代表参加。</w:t>
      </w:r>
    </w:p>
    <w:p w14:paraId="56328576">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18.1.3开标时，由采购代理机构工作人员当众在不见面开标大厅解密，宣布投标人名称、投标价格和</w:t>
      </w:r>
      <w:r>
        <w:rPr>
          <w:rFonts w:hint="eastAsia" w:ascii="仿宋" w:hAnsi="仿宋" w:eastAsia="仿宋" w:cs="仿宋"/>
          <w:b w:val="0"/>
          <w:bCs w:val="0"/>
          <w:color w:val="auto"/>
          <w:kern w:val="0"/>
          <w:sz w:val="21"/>
          <w:szCs w:val="21"/>
          <w:lang w:eastAsia="zh-CN"/>
        </w:rPr>
        <w:t>磋商文件</w:t>
      </w:r>
      <w:r>
        <w:rPr>
          <w:rFonts w:hint="eastAsia" w:ascii="仿宋" w:hAnsi="仿宋" w:eastAsia="仿宋" w:cs="仿宋"/>
          <w:b w:val="0"/>
          <w:bCs w:val="0"/>
          <w:color w:val="auto"/>
          <w:kern w:val="0"/>
          <w:sz w:val="21"/>
          <w:szCs w:val="21"/>
        </w:rPr>
        <w:t>规定的需要宣布的其他内容。投标人不足3家的，不得开标。</w:t>
      </w:r>
    </w:p>
    <w:p w14:paraId="44FE68F3">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18.1.4开标时，投标报价以系统显示投标报价为准。 </w:t>
      </w:r>
    </w:p>
    <w:p w14:paraId="2EB6EF64">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1B159B84">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18.1.6投标人代表在开标过程中未提出异议的，视为认可本次开标及开标过程的全部事宜。</w:t>
      </w:r>
    </w:p>
    <w:p w14:paraId="44F2030F">
      <w:pPr>
        <w:numPr>
          <w:ilvl w:val="0"/>
          <w:numId w:val="0"/>
        </w:numPr>
        <w:spacing w:line="460" w:lineRule="exact"/>
        <w:ind w:firstLine="2741" w:firstLineChars="1300"/>
        <w:jc w:val="both"/>
        <w:outlineLvl w:val="2"/>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评标、定标</w:t>
      </w:r>
    </w:p>
    <w:p w14:paraId="040DD4EE">
      <w:pPr>
        <w:pStyle w:val="29"/>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19.、评标</w:t>
      </w:r>
    </w:p>
    <w:p w14:paraId="64CD064D">
      <w:pPr>
        <w:numPr>
          <w:ilvl w:val="0"/>
          <w:numId w:val="0"/>
        </w:num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19.1</w:t>
      </w:r>
      <w:r>
        <w:rPr>
          <w:rFonts w:hint="eastAsia" w:ascii="仿宋" w:hAnsi="仿宋" w:eastAsia="仿宋" w:cs="仿宋"/>
          <w:color w:val="auto"/>
          <w:sz w:val="21"/>
          <w:szCs w:val="21"/>
          <w:highlight w:val="none"/>
        </w:rPr>
        <w:t xml:space="preserve">磋商小组组成及职责 </w:t>
      </w:r>
    </w:p>
    <w:p w14:paraId="089DA8EB">
      <w:pPr>
        <w:spacing w:line="400" w:lineRule="atLeast"/>
        <w:ind w:left="480" w:hanging="420" w:hanging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19</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、磋商小组组成：在磋商开始前，磋商小组成员由采购人</w:t>
      </w:r>
      <w:r>
        <w:rPr>
          <w:rFonts w:hint="eastAsia" w:ascii="仿宋" w:hAnsi="仿宋" w:eastAsia="仿宋" w:cs="仿宋"/>
          <w:color w:val="auto"/>
          <w:sz w:val="21"/>
          <w:szCs w:val="21"/>
          <w:highlight w:val="none"/>
          <w:lang w:eastAsia="zh-CN"/>
        </w:rPr>
        <w:t>代表</w:t>
      </w:r>
      <w:r>
        <w:rPr>
          <w:rFonts w:hint="eastAsia" w:ascii="仿宋" w:hAnsi="仿宋" w:eastAsia="仿宋" w:cs="仿宋"/>
          <w:color w:val="auto"/>
          <w:sz w:val="21"/>
          <w:szCs w:val="21"/>
          <w:highlight w:val="none"/>
        </w:rPr>
        <w:t>及有关技术、经济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等方面的专家组成，其中技术、经济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类专家人数不少于总人数的 2/3。</w:t>
      </w:r>
    </w:p>
    <w:p w14:paraId="69090A16">
      <w:p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19.3</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rPr>
        <w:t>磋商小组或评标小组负责具体的评标事务，并独立履行以下职责：</w:t>
      </w:r>
    </w:p>
    <w:p w14:paraId="66C83F70">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1 审查响应文件是否符合竞争性磋商文件的要求，并作出评价；</w:t>
      </w:r>
    </w:p>
    <w:p w14:paraId="74B25315">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2 可以要求投标供应商对响应文件有关事项作出解释或澄清；</w:t>
      </w:r>
    </w:p>
    <w:p w14:paraId="3FF218BF">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.3 向招标单位或者有关部门报告非法干预评标工作的行为。</w:t>
      </w:r>
    </w:p>
    <w:p w14:paraId="1E2E1459">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.4 磋商小组成员应当履行下列义务：</w:t>
      </w:r>
    </w:p>
    <w:p w14:paraId="6504E787">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19.3.5</w:t>
      </w:r>
      <w:r>
        <w:rPr>
          <w:rFonts w:hint="eastAsia" w:ascii="仿宋" w:hAnsi="仿宋" w:eastAsia="仿宋" w:cs="仿宋"/>
          <w:color w:val="auto"/>
          <w:sz w:val="21"/>
          <w:szCs w:val="21"/>
        </w:rPr>
        <w:t xml:space="preserve"> 遵纪守法，客观、公正、廉洁地履行职责；</w:t>
      </w:r>
    </w:p>
    <w:p w14:paraId="67AF1A73">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19.3.6</w:t>
      </w:r>
      <w:r>
        <w:rPr>
          <w:rFonts w:hint="eastAsia" w:ascii="仿宋" w:hAnsi="仿宋" w:eastAsia="仿宋" w:cs="仿宋"/>
          <w:color w:val="auto"/>
          <w:sz w:val="21"/>
          <w:szCs w:val="21"/>
        </w:rPr>
        <w:t xml:space="preserve"> 按照竞争性磋商文件规定的评标办法和评标标准进行评标，对评审意见承担个人责任；</w:t>
      </w:r>
    </w:p>
    <w:p w14:paraId="4D78BE06">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19.3.7</w:t>
      </w:r>
      <w:r>
        <w:rPr>
          <w:rFonts w:hint="eastAsia" w:ascii="仿宋" w:hAnsi="仿宋" w:eastAsia="仿宋" w:cs="仿宋"/>
          <w:color w:val="auto"/>
          <w:sz w:val="21"/>
          <w:szCs w:val="21"/>
        </w:rPr>
        <w:t>对评标过程和结果，以及供应商的商业秘密保密；</w:t>
      </w:r>
    </w:p>
    <w:p w14:paraId="7BB080BD">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19.3.8</w:t>
      </w:r>
      <w:r>
        <w:rPr>
          <w:rFonts w:hint="eastAsia" w:ascii="仿宋" w:hAnsi="仿宋" w:eastAsia="仿宋" w:cs="仿宋"/>
          <w:color w:val="auto"/>
          <w:sz w:val="21"/>
          <w:szCs w:val="21"/>
        </w:rPr>
        <w:t xml:space="preserve"> 参与评标报告的起草；</w:t>
      </w:r>
    </w:p>
    <w:p w14:paraId="26F66A6A">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19.3.9 </w:t>
      </w:r>
      <w:r>
        <w:rPr>
          <w:rFonts w:hint="eastAsia" w:ascii="仿宋" w:hAnsi="仿宋" w:eastAsia="仿宋" w:cs="仿宋"/>
          <w:color w:val="auto"/>
          <w:sz w:val="21"/>
          <w:szCs w:val="21"/>
        </w:rPr>
        <w:t>配合财政部门的投诉处理工作；</w:t>
      </w:r>
    </w:p>
    <w:p w14:paraId="2DB3AFBC">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19.3.10</w:t>
      </w:r>
      <w:r>
        <w:rPr>
          <w:rFonts w:hint="eastAsia" w:ascii="仿宋" w:hAnsi="仿宋" w:eastAsia="仿宋" w:cs="仿宋"/>
          <w:color w:val="auto"/>
          <w:sz w:val="21"/>
          <w:szCs w:val="21"/>
        </w:rPr>
        <w:t xml:space="preserve"> 配合招标单位答复投标供应商提出的质疑。</w:t>
      </w:r>
    </w:p>
    <w:p w14:paraId="1E4B7896">
      <w:pPr>
        <w:spacing w:line="500" w:lineRule="exact"/>
        <w:rPr>
          <w:rFonts w:hint="eastAsia" w:ascii="仿宋" w:hAnsi="仿宋" w:eastAsia="仿宋" w:cs="仿宋"/>
          <w:b/>
          <w:color w:val="auto"/>
          <w:sz w:val="21"/>
          <w:szCs w:val="21"/>
        </w:rPr>
      </w:pPr>
      <w:r>
        <w:rPr>
          <w:rFonts w:hint="eastAsia" w:ascii="仿宋" w:hAnsi="仿宋" w:eastAsia="仿宋" w:cs="仿宋"/>
          <w:color w:val="auto"/>
          <w:sz w:val="21"/>
          <w:szCs w:val="21"/>
          <w:lang w:val="en-US" w:eastAsia="zh-CN"/>
        </w:rPr>
        <w:t>19.3.11</w:t>
      </w:r>
      <w:r>
        <w:rPr>
          <w:rFonts w:hint="eastAsia" w:ascii="仿宋" w:hAnsi="仿宋" w:eastAsia="仿宋" w:cs="仿宋"/>
          <w:color w:val="auto"/>
          <w:sz w:val="21"/>
          <w:szCs w:val="21"/>
        </w:rPr>
        <w:t>按国家计委等七部委颁发的《评标委员会和评标方法暂行规定》，结合本项目特点，</w:t>
      </w:r>
      <w:r>
        <w:rPr>
          <w:rFonts w:hint="eastAsia" w:ascii="仿宋" w:hAnsi="仿宋" w:eastAsia="仿宋" w:cs="仿宋"/>
          <w:b/>
          <w:color w:val="auto"/>
          <w:sz w:val="21"/>
          <w:szCs w:val="21"/>
        </w:rPr>
        <w:t>本项目采用竞争性磋商方式</w:t>
      </w:r>
      <w:r>
        <w:rPr>
          <w:rFonts w:hint="eastAsia" w:ascii="仿宋" w:hAnsi="仿宋" w:eastAsia="仿宋" w:cs="仿宋"/>
          <w:color w:val="auto"/>
          <w:sz w:val="21"/>
          <w:szCs w:val="21"/>
        </w:rPr>
        <w:t>（本项目采用两轮</w:t>
      </w:r>
      <w:r>
        <w:rPr>
          <w:rFonts w:hint="eastAsia" w:ascii="仿宋" w:hAnsi="仿宋" w:eastAsia="仿宋" w:cs="仿宋"/>
          <w:color w:val="auto"/>
          <w:sz w:val="21"/>
          <w:szCs w:val="21"/>
          <w:lang w:val="en-US" w:eastAsia="zh-CN"/>
        </w:rPr>
        <w:t>或两轮以上</w:t>
      </w:r>
      <w:r>
        <w:rPr>
          <w:rFonts w:hint="eastAsia" w:ascii="仿宋" w:hAnsi="仿宋" w:eastAsia="仿宋" w:cs="仿宋"/>
          <w:color w:val="auto"/>
          <w:sz w:val="21"/>
          <w:szCs w:val="21"/>
        </w:rPr>
        <w:t>报价，供应商提交</w:t>
      </w:r>
      <w:r>
        <w:rPr>
          <w:rFonts w:hint="eastAsia" w:ascii="仿宋" w:hAnsi="仿宋" w:eastAsia="仿宋" w:cs="仿宋"/>
          <w:color w:val="auto"/>
          <w:sz w:val="21"/>
          <w:szCs w:val="21"/>
          <w:lang w:val="en-US" w:eastAsia="zh-CN"/>
        </w:rPr>
        <w:t>最终</w:t>
      </w:r>
      <w:r>
        <w:rPr>
          <w:rFonts w:hint="eastAsia" w:ascii="仿宋" w:hAnsi="仿宋" w:eastAsia="仿宋" w:cs="仿宋"/>
          <w:color w:val="auto"/>
          <w:sz w:val="21"/>
          <w:szCs w:val="21"/>
        </w:rPr>
        <w:t>报价后，磋商小组对满足所有实质性要求提交最后报价的供应商的响应文件和供应商提交的</w:t>
      </w:r>
      <w:r>
        <w:rPr>
          <w:rFonts w:hint="eastAsia" w:ascii="仿宋" w:hAnsi="仿宋" w:eastAsia="仿宋" w:cs="仿宋"/>
          <w:color w:val="auto"/>
          <w:sz w:val="21"/>
          <w:szCs w:val="21"/>
          <w:lang w:val="en-US" w:eastAsia="zh-CN"/>
        </w:rPr>
        <w:t>最终</w:t>
      </w:r>
      <w:r>
        <w:rPr>
          <w:rFonts w:hint="eastAsia" w:ascii="仿宋" w:hAnsi="仿宋" w:eastAsia="仿宋" w:cs="仿宋"/>
          <w:color w:val="auto"/>
          <w:sz w:val="21"/>
          <w:szCs w:val="21"/>
        </w:rPr>
        <w:t>报价进行综合评分，得分由高到低排序推荐第一、第二、第三中标候选人，最低价不作为唯一中标条件）</w:t>
      </w:r>
      <w:r>
        <w:rPr>
          <w:rFonts w:hint="eastAsia" w:ascii="仿宋" w:hAnsi="仿宋" w:eastAsia="仿宋" w:cs="仿宋"/>
          <w:b/>
          <w:color w:val="auto"/>
          <w:sz w:val="21"/>
          <w:szCs w:val="21"/>
        </w:rPr>
        <w:t xml:space="preserve">。  </w:t>
      </w:r>
    </w:p>
    <w:p w14:paraId="3378D015">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19.3.14</w:t>
      </w:r>
      <w:r>
        <w:rPr>
          <w:rFonts w:hint="eastAsia" w:ascii="仿宋" w:hAnsi="仿宋" w:eastAsia="仿宋" w:cs="仿宋"/>
          <w:color w:val="auto"/>
          <w:sz w:val="21"/>
          <w:szCs w:val="21"/>
        </w:rPr>
        <w:t>评标的依据为竞争性磋商文件和响应文件。</w:t>
      </w:r>
    </w:p>
    <w:p w14:paraId="3564B826">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19.3.15</w:t>
      </w:r>
      <w:r>
        <w:rPr>
          <w:rFonts w:hint="eastAsia" w:ascii="仿宋" w:hAnsi="仿宋" w:eastAsia="仿宋" w:cs="仿宋"/>
          <w:color w:val="auto"/>
          <w:sz w:val="21"/>
          <w:szCs w:val="21"/>
        </w:rPr>
        <w:t>评标过程的保密性。开标后，直到授予供应商合同止，凡是属于审查、澄清、评价和比较的有关资料以及授标建议等均不得向供应商或其他无关的人员透露。</w:t>
      </w:r>
    </w:p>
    <w:p w14:paraId="66BBF8B0">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19.3.16</w:t>
      </w:r>
      <w:r>
        <w:rPr>
          <w:rFonts w:hint="eastAsia" w:ascii="仿宋" w:hAnsi="仿宋" w:eastAsia="仿宋" w:cs="仿宋"/>
          <w:color w:val="auto"/>
          <w:sz w:val="21"/>
          <w:szCs w:val="21"/>
        </w:rPr>
        <w:t>供应商在评标过程中所进行的力图影响评标结果、有悖于招标规则的活动，将导致取消其中标资格。</w:t>
      </w:r>
    </w:p>
    <w:p w14:paraId="3ACDD649">
      <w:pPr>
        <w:spacing w:line="500" w:lineRule="exac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19.3.17</w:t>
      </w:r>
      <w:r>
        <w:rPr>
          <w:rFonts w:hint="eastAsia" w:ascii="仿宋" w:hAnsi="仿宋" w:eastAsia="仿宋" w:cs="仿宋"/>
          <w:color w:val="auto"/>
          <w:sz w:val="21"/>
          <w:szCs w:val="21"/>
        </w:rPr>
        <w:t>与竞争性磋商文件有重大偏离的响应文件将被拒绝。且此重大偏离在开标后不许修改。</w:t>
      </w:r>
    </w:p>
    <w:p w14:paraId="4A17E410">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19.3.18</w:t>
      </w:r>
      <w:r>
        <w:rPr>
          <w:rFonts w:hint="eastAsia" w:ascii="仿宋" w:hAnsi="仿宋" w:eastAsia="仿宋" w:cs="仿宋"/>
          <w:color w:val="auto"/>
          <w:sz w:val="21"/>
          <w:szCs w:val="21"/>
        </w:rPr>
        <w:t>根据国家计委等七部委颁发的《评标委员会和评标方法暂行规定》以下为</w:t>
      </w:r>
      <w:r>
        <w:rPr>
          <w:rFonts w:hint="eastAsia" w:ascii="仿宋" w:hAnsi="仿宋" w:eastAsia="仿宋" w:cs="仿宋"/>
          <w:b/>
          <w:bCs/>
          <w:color w:val="auto"/>
          <w:sz w:val="21"/>
          <w:szCs w:val="21"/>
        </w:rPr>
        <w:t>重大偏离：</w:t>
      </w:r>
    </w:p>
    <w:p w14:paraId="59156D3E">
      <w:pPr>
        <w:rPr>
          <w:rFonts w:hint="eastAsia" w:ascii="仿宋" w:hAnsi="仿宋" w:eastAsia="仿宋" w:cs="仿宋"/>
          <w:color w:val="auto"/>
          <w:sz w:val="21"/>
          <w:szCs w:val="21"/>
        </w:rPr>
      </w:pPr>
      <w:r>
        <w:rPr>
          <w:rFonts w:hint="eastAsia" w:ascii="仿宋" w:hAnsi="仿宋" w:eastAsia="仿宋" w:cs="仿宋"/>
          <w:color w:val="auto"/>
          <w:sz w:val="21"/>
          <w:szCs w:val="21"/>
        </w:rPr>
        <w:t>（一）</w:t>
      </w:r>
      <w:r>
        <w:rPr>
          <w:rFonts w:hint="eastAsia" w:ascii="仿宋" w:hAnsi="仿宋" w:eastAsia="仿宋" w:cs="仿宋"/>
          <w:color w:val="auto"/>
          <w:sz w:val="21"/>
          <w:szCs w:val="21"/>
          <w:u w:val="none"/>
        </w:rPr>
        <w:t>投标保证金的缴纳主体与供应商不一致的，</w:t>
      </w:r>
      <w:r>
        <w:rPr>
          <w:rFonts w:hint="eastAsia" w:ascii="仿宋" w:hAnsi="仿宋" w:eastAsia="仿宋" w:cs="仿宋"/>
          <w:color w:val="auto"/>
          <w:sz w:val="21"/>
          <w:szCs w:val="21"/>
        </w:rPr>
        <w:t>没有按照竞争性磋商文件要求提供投标担保，或者所提供的投标担保有瑕疵的；</w:t>
      </w:r>
    </w:p>
    <w:p w14:paraId="26BD7DC6">
      <w:pPr>
        <w:rPr>
          <w:rFonts w:hint="eastAsia" w:ascii="仿宋" w:hAnsi="仿宋" w:eastAsia="仿宋" w:cs="仿宋"/>
          <w:color w:val="auto"/>
          <w:sz w:val="21"/>
          <w:szCs w:val="21"/>
        </w:rPr>
      </w:pPr>
      <w:r>
        <w:rPr>
          <w:rFonts w:hint="eastAsia" w:ascii="仿宋" w:hAnsi="仿宋" w:eastAsia="仿宋" w:cs="仿宋"/>
          <w:color w:val="auto"/>
          <w:sz w:val="21"/>
          <w:szCs w:val="21"/>
        </w:rPr>
        <w:t>（二）响应文件没有供应商法定代表人或其授权代表签字（章）和加盖供应商公章的；</w:t>
      </w:r>
    </w:p>
    <w:p w14:paraId="737F28F2">
      <w:pPr>
        <w:rPr>
          <w:rFonts w:hint="eastAsia" w:ascii="仿宋" w:hAnsi="仿宋" w:eastAsia="仿宋" w:cs="仿宋"/>
          <w:color w:val="auto"/>
          <w:sz w:val="21"/>
          <w:szCs w:val="21"/>
        </w:rPr>
      </w:pPr>
      <w:r>
        <w:rPr>
          <w:rFonts w:hint="eastAsia" w:ascii="仿宋" w:hAnsi="仿宋" w:eastAsia="仿宋" w:cs="仿宋"/>
          <w:color w:val="auto"/>
          <w:sz w:val="21"/>
          <w:szCs w:val="21"/>
        </w:rPr>
        <w:t>（三）响应文件记载的招标项目完成期限超过竞争性磋商文件规定的完成期限；</w:t>
      </w:r>
    </w:p>
    <w:p w14:paraId="47F95C02">
      <w:pPr>
        <w:rPr>
          <w:rFonts w:hint="eastAsia" w:ascii="仿宋" w:hAnsi="仿宋" w:eastAsia="仿宋" w:cs="仿宋"/>
          <w:color w:val="auto"/>
          <w:sz w:val="21"/>
          <w:szCs w:val="21"/>
        </w:rPr>
      </w:pPr>
      <w:r>
        <w:rPr>
          <w:rFonts w:hint="eastAsia" w:ascii="仿宋" w:hAnsi="仿宋" w:eastAsia="仿宋" w:cs="仿宋"/>
          <w:color w:val="auto"/>
          <w:sz w:val="21"/>
          <w:szCs w:val="21"/>
        </w:rPr>
        <w:t>（四）商务条款有偏离情况的；</w:t>
      </w:r>
    </w:p>
    <w:p w14:paraId="5101571B">
      <w:pPr>
        <w:pStyle w:val="6"/>
        <w:ind w:left="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（五）技术条款有偏离情况的；</w:t>
      </w:r>
    </w:p>
    <w:p w14:paraId="25F056AF">
      <w:pPr>
        <w:rPr>
          <w:rFonts w:hint="eastAsia" w:ascii="仿宋" w:hAnsi="仿宋" w:eastAsia="仿宋" w:cs="仿宋"/>
          <w:color w:val="auto"/>
          <w:sz w:val="21"/>
          <w:szCs w:val="21"/>
        </w:rPr>
      </w:pPr>
      <w:r>
        <w:rPr>
          <w:rFonts w:hint="eastAsia" w:ascii="仿宋" w:hAnsi="仿宋" w:eastAsia="仿宋" w:cs="仿宋"/>
          <w:color w:val="auto"/>
          <w:sz w:val="21"/>
          <w:szCs w:val="21"/>
        </w:rPr>
        <w:t>（六）投标附有采购人不能接受的条件；</w:t>
      </w:r>
    </w:p>
    <w:p w14:paraId="66C5FD3F">
      <w:pPr>
        <w:rPr>
          <w:rFonts w:hint="eastAsia" w:ascii="仿宋" w:hAnsi="仿宋" w:eastAsia="仿宋" w:cs="仿宋"/>
          <w:color w:val="auto"/>
          <w:sz w:val="21"/>
          <w:szCs w:val="21"/>
        </w:rPr>
      </w:pPr>
      <w:r>
        <w:rPr>
          <w:rFonts w:hint="eastAsia" w:ascii="仿宋" w:hAnsi="仿宋" w:eastAsia="仿宋" w:cs="仿宋"/>
          <w:color w:val="auto"/>
          <w:sz w:val="21"/>
          <w:szCs w:val="21"/>
        </w:rPr>
        <w:t>（七）不符合竞争性磋商文件中规定的其他实质性要求</w:t>
      </w:r>
    </w:p>
    <w:p w14:paraId="2B0BCB0F">
      <w:pPr>
        <w:rPr>
          <w:rFonts w:hint="eastAsia" w:ascii="仿宋" w:hAnsi="仿宋" w:eastAsia="仿宋" w:cs="仿宋"/>
          <w:color w:val="auto"/>
          <w:sz w:val="21"/>
          <w:szCs w:val="21"/>
        </w:rPr>
      </w:pPr>
      <w:r>
        <w:rPr>
          <w:rFonts w:hint="eastAsia" w:ascii="仿宋" w:hAnsi="仿宋" w:eastAsia="仿宋" w:cs="仿宋"/>
          <w:color w:val="auto"/>
          <w:sz w:val="21"/>
          <w:szCs w:val="21"/>
        </w:rPr>
        <w:t>（八)投标报价不符合竞争性磋商文件规定的要求。</w:t>
      </w:r>
    </w:p>
    <w:p w14:paraId="6DB8A092">
      <w:pPr>
        <w:spacing w:line="500" w:lineRule="exact"/>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响应文件有上述情形之一的，视为非实质性响应招标，并按规定作废标处理。竞争性磋商文件对重大偏差另有规定的，从其规定。</w:t>
      </w:r>
    </w:p>
    <w:p w14:paraId="4AD84213">
      <w:pPr>
        <w:spacing w:line="50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磋商小组应当审查每一响应文件是否对竞争性磋商文件提出的所有实质性要求和条件作出响应。未能在实质上响应招标的投标，将作废标处理。</w:t>
      </w:r>
    </w:p>
    <w:p w14:paraId="0A6D3B2B">
      <w:pPr>
        <w:spacing w:line="400" w:lineRule="atLeast"/>
        <w:rPr>
          <w:rFonts w:hint="eastAsia" w:ascii="仿宋" w:hAnsi="仿宋" w:eastAsia="仿宋" w:cs="仿宋"/>
          <w:b w:val="0"/>
          <w:bCs/>
          <w:color w:val="auto"/>
          <w:sz w:val="21"/>
          <w:szCs w:val="21"/>
        </w:rPr>
      </w:pPr>
      <w:r>
        <w:rPr>
          <w:rFonts w:hint="eastAsia" w:ascii="仿宋" w:hAnsi="仿宋" w:eastAsia="仿宋" w:cs="仿宋"/>
          <w:b w:val="0"/>
          <w:bCs/>
          <w:color w:val="auto"/>
          <w:sz w:val="21"/>
          <w:szCs w:val="21"/>
          <w:highlight w:val="none"/>
          <w:lang w:val="en-US" w:eastAsia="zh-CN"/>
        </w:rPr>
        <w:t xml:space="preserve">20  </w:t>
      </w:r>
      <w:r>
        <w:rPr>
          <w:rFonts w:hint="eastAsia" w:ascii="仿宋" w:hAnsi="仿宋" w:eastAsia="仿宋" w:cs="仿宋"/>
          <w:b w:val="0"/>
          <w:bCs/>
          <w:color w:val="auto"/>
          <w:sz w:val="21"/>
          <w:szCs w:val="21"/>
          <w:highlight w:val="none"/>
          <w:shd w:val="clear" w:color="auto" w:fill="FFFFFF"/>
        </w:rPr>
        <w:t>评审标准</w:t>
      </w:r>
      <w:r>
        <w:rPr>
          <w:rFonts w:hint="eastAsia" w:ascii="仿宋" w:hAnsi="仿宋" w:eastAsia="仿宋" w:cs="仿宋"/>
          <w:b w:val="0"/>
          <w:bCs/>
          <w:color w:val="auto"/>
          <w:sz w:val="21"/>
          <w:szCs w:val="21"/>
        </w:rPr>
        <w:t>对</w:t>
      </w:r>
      <w:r>
        <w:rPr>
          <w:rFonts w:hint="eastAsia" w:ascii="仿宋" w:hAnsi="仿宋" w:eastAsia="仿宋" w:cs="仿宋"/>
          <w:b w:val="0"/>
          <w:bCs/>
          <w:color w:val="auto"/>
          <w:sz w:val="21"/>
          <w:szCs w:val="21"/>
          <w:lang w:eastAsia="zh-CN"/>
        </w:rPr>
        <w:t>响应文件</w:t>
      </w:r>
      <w:r>
        <w:rPr>
          <w:rFonts w:hint="eastAsia" w:ascii="仿宋" w:hAnsi="仿宋" w:eastAsia="仿宋" w:cs="仿宋"/>
          <w:b w:val="0"/>
          <w:bCs/>
          <w:color w:val="auto"/>
          <w:sz w:val="21"/>
          <w:szCs w:val="21"/>
        </w:rPr>
        <w:t>的初步审查和响应性确定</w:t>
      </w:r>
    </w:p>
    <w:p w14:paraId="3971D54C">
      <w:pPr>
        <w:pStyle w:val="22"/>
        <w:widowControl/>
        <w:spacing w:before="0" w:beforeAutospacing="0" w:after="0" w:afterAutospacing="0" w:line="460" w:lineRule="exact"/>
        <w:jc w:val="both"/>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20.1 开标后招标人将审查</w:t>
      </w:r>
      <w:r>
        <w:rPr>
          <w:rFonts w:hint="eastAsia" w:ascii="仿宋" w:hAnsi="仿宋" w:eastAsia="仿宋" w:cs="仿宋"/>
          <w:color w:val="auto"/>
          <w:kern w:val="2"/>
          <w:sz w:val="21"/>
          <w:szCs w:val="21"/>
          <w:lang w:eastAsia="zh-CN"/>
        </w:rPr>
        <w:t>响应文件</w:t>
      </w:r>
      <w:r>
        <w:rPr>
          <w:rFonts w:hint="eastAsia" w:ascii="仿宋" w:hAnsi="仿宋" w:eastAsia="仿宋" w:cs="仿宋"/>
          <w:color w:val="auto"/>
          <w:kern w:val="2"/>
          <w:sz w:val="21"/>
          <w:szCs w:val="21"/>
        </w:rPr>
        <w:t>的完整性、准确性以及保证金提交、文件签署情况。在审查时，（一）</w:t>
      </w:r>
      <w:r>
        <w:rPr>
          <w:rFonts w:hint="eastAsia" w:ascii="仿宋" w:hAnsi="仿宋" w:eastAsia="仿宋" w:cs="仿宋"/>
          <w:color w:val="auto"/>
          <w:kern w:val="2"/>
          <w:sz w:val="21"/>
          <w:szCs w:val="21"/>
          <w:lang w:eastAsia="zh-CN"/>
        </w:rPr>
        <w:t>响应文件</w:t>
      </w:r>
      <w:r>
        <w:rPr>
          <w:rFonts w:hint="eastAsia" w:ascii="仿宋" w:hAnsi="仿宋" w:eastAsia="仿宋" w:cs="仿宋"/>
          <w:color w:val="auto"/>
          <w:kern w:val="2"/>
          <w:sz w:val="21"/>
          <w:szCs w:val="21"/>
        </w:rPr>
        <w:t>中开标一览表（报价表）内容与</w:t>
      </w:r>
      <w:r>
        <w:rPr>
          <w:rFonts w:hint="eastAsia" w:ascii="仿宋" w:hAnsi="仿宋" w:eastAsia="仿宋" w:cs="仿宋"/>
          <w:color w:val="auto"/>
          <w:kern w:val="2"/>
          <w:sz w:val="21"/>
          <w:szCs w:val="21"/>
          <w:lang w:eastAsia="zh-CN"/>
        </w:rPr>
        <w:t>响应文件</w:t>
      </w:r>
      <w:r>
        <w:rPr>
          <w:rFonts w:hint="eastAsia" w:ascii="仿宋" w:hAnsi="仿宋" w:eastAsia="仿宋" w:cs="仿宋"/>
          <w:color w:val="auto"/>
          <w:kern w:val="2"/>
          <w:sz w:val="21"/>
          <w:szCs w:val="21"/>
        </w:rPr>
        <w:t>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14:paraId="39018296">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20.2 在对</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进行详细评估之前，评标委员会将审查每一份</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是否对</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的要求作出了实质性的响应。实质性响应的</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应该是与</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的全部条款、条件和技术规格相符，而没有重大偏离。</w:t>
      </w:r>
    </w:p>
    <w:p w14:paraId="68CA6CB5">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20.3 招标人判断</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的响应性是基于</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本身而不靠外部证据。</w:t>
      </w:r>
    </w:p>
    <w:p w14:paraId="6021CDDB">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20.4 招标人将拒绝被定为非响应性的投标，投标人不能通过修正或撤消不符之处而使其投标成为响应性投标。</w:t>
      </w:r>
    </w:p>
    <w:p w14:paraId="4FFD5766">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w:t>
      </w:r>
      <w:r>
        <w:rPr>
          <w:rFonts w:hint="eastAsia" w:ascii="仿宋" w:hAnsi="仿宋" w:eastAsia="仿宋" w:cs="仿宋"/>
          <w:b/>
          <w:color w:val="auto"/>
          <w:sz w:val="21"/>
          <w:szCs w:val="21"/>
          <w:lang w:eastAsia="zh-CN"/>
        </w:rPr>
        <w:t>响应文件</w:t>
      </w:r>
      <w:r>
        <w:rPr>
          <w:rFonts w:hint="eastAsia" w:ascii="仿宋" w:hAnsi="仿宋" w:eastAsia="仿宋" w:cs="仿宋"/>
          <w:b/>
          <w:color w:val="auto"/>
          <w:sz w:val="21"/>
          <w:szCs w:val="21"/>
        </w:rPr>
        <w:t>的澄清</w:t>
      </w:r>
    </w:p>
    <w:p w14:paraId="5E9FA4F4">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21.1 评标委员会在评标过程中有权随时请投标人就</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中含混之处加以澄清或答疑。</w:t>
      </w:r>
    </w:p>
    <w:p w14:paraId="3030AA07">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21.2 投标人对要求澄清的问题应以书面形式明确答复，并应有法人授权代表的签署。</w:t>
      </w:r>
    </w:p>
    <w:p w14:paraId="07A3E868">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21.3 投标人的澄清文件是</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的组成部分，并取代</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中被澄清的部分。</w:t>
      </w:r>
    </w:p>
    <w:p w14:paraId="5257BF5A">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21.4 </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的澄清不得改变投标的实质内容。</w:t>
      </w:r>
    </w:p>
    <w:p w14:paraId="18966771">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21.5 如果投标人在</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中未对</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中的条款或参数要求提出偏离意见或澄清将视同投标人同意</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的全部或部分要求。</w:t>
      </w:r>
    </w:p>
    <w:p w14:paraId="1AA9CD2F">
      <w:pPr>
        <w:keepNext w:val="0"/>
        <w:keepLines w:val="0"/>
        <w:pageBreakBefore w:val="0"/>
        <w:widowControl w:val="0"/>
        <w:numPr>
          <w:ilvl w:val="0"/>
          <w:numId w:val="0"/>
        </w:numPr>
        <w:tabs>
          <w:tab w:val="left" w:pos="360"/>
        </w:tabs>
        <w:kinsoku/>
        <w:wordWrap/>
        <w:overflowPunct/>
        <w:topLinePunct w:val="0"/>
        <w:autoSpaceDE/>
        <w:autoSpaceDN/>
        <w:bidi w:val="0"/>
        <w:snapToGrid w:val="0"/>
        <w:spacing w:line="360" w:lineRule="auto"/>
        <w:ind w:left="0" w:leftChars="0" w:firstLine="482" w:firstLineChars="200"/>
        <w:textAlignment w:val="auto"/>
        <w:outlineLvl w:val="1"/>
        <w:rPr>
          <w:rFonts w:hint="eastAsia" w:ascii="仿宋" w:hAnsi="仿宋" w:eastAsia="仿宋" w:cs="仿宋"/>
          <w:b/>
          <w:bCs/>
          <w:color w:val="000000" w:themeColor="text1"/>
          <w:sz w:val="24"/>
          <w14:textFill>
            <w14:solidFill>
              <w14:schemeClr w14:val="tx1"/>
            </w14:solidFill>
          </w14:textFill>
        </w:rPr>
      </w:pPr>
      <w:bookmarkStart w:id="44" w:name="_Toc24714"/>
      <w:r>
        <w:rPr>
          <w:rFonts w:hint="eastAsia" w:ascii="仿宋" w:hAnsi="仿宋" w:eastAsia="仿宋" w:cs="仿宋"/>
          <w:b/>
          <w:bCs/>
          <w:color w:val="000000" w:themeColor="text1"/>
          <w:kern w:val="2"/>
          <w:sz w:val="24"/>
          <w:lang w:val="en-US" w:eastAsia="zh-CN" w:bidi="ar-SA"/>
          <w14:textFill>
            <w14:solidFill>
              <w14:schemeClr w14:val="tx1"/>
            </w14:solidFill>
          </w14:textFill>
        </w:rPr>
        <w:t>22、</w:t>
      </w:r>
      <w:r>
        <w:rPr>
          <w:rFonts w:hint="eastAsia" w:ascii="仿宋" w:hAnsi="仿宋" w:eastAsia="仿宋" w:cs="仿宋"/>
          <w:b/>
          <w:bCs/>
          <w:color w:val="000000" w:themeColor="text1"/>
          <w:sz w:val="24"/>
          <w:lang w:eastAsia="zh-CN"/>
          <w14:textFill>
            <w14:solidFill>
              <w14:schemeClr w14:val="tx1"/>
            </w14:solidFill>
          </w14:textFill>
        </w:rPr>
        <w:t>响应文件</w:t>
      </w:r>
      <w:r>
        <w:rPr>
          <w:rFonts w:hint="eastAsia" w:ascii="仿宋" w:hAnsi="仿宋" w:eastAsia="仿宋" w:cs="仿宋"/>
          <w:b/>
          <w:bCs/>
          <w:color w:val="000000" w:themeColor="text1"/>
          <w:sz w:val="24"/>
          <w14:textFill>
            <w14:solidFill>
              <w14:schemeClr w14:val="tx1"/>
            </w14:solidFill>
          </w14:textFill>
        </w:rPr>
        <w:t>的比较和评价</w:t>
      </w:r>
      <w:bookmarkEnd w:id="44"/>
    </w:p>
    <w:p w14:paraId="712FF71B">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22.1</w:t>
      </w:r>
      <w:r>
        <w:rPr>
          <w:rFonts w:hint="eastAsia" w:ascii="仿宋" w:hAnsi="仿宋" w:eastAsia="仿宋" w:cs="仿宋"/>
          <w:color w:val="000000" w:themeColor="text1"/>
          <w:sz w:val="24"/>
          <w14:textFill>
            <w14:solidFill>
              <w14:schemeClr w14:val="tx1"/>
            </w14:solidFill>
          </w14:textFill>
        </w:rPr>
        <w:t>评标委员会将按照</w:t>
      </w:r>
      <w:r>
        <w:rPr>
          <w:rFonts w:hint="eastAsia" w:ascii="仿宋" w:hAnsi="仿宋" w:eastAsia="仿宋" w:cs="仿宋"/>
          <w:color w:val="000000" w:themeColor="text1"/>
          <w:sz w:val="24"/>
          <w:lang w:eastAsia="zh-CN"/>
          <w14:textFill>
            <w14:solidFill>
              <w14:schemeClr w14:val="tx1"/>
            </w14:solidFill>
          </w14:textFill>
        </w:rPr>
        <w:t>磋商文件</w:t>
      </w:r>
      <w:r>
        <w:rPr>
          <w:rFonts w:hint="eastAsia" w:ascii="仿宋" w:hAnsi="仿宋" w:eastAsia="仿宋" w:cs="仿宋"/>
          <w:color w:val="000000" w:themeColor="text1"/>
          <w:sz w:val="24"/>
          <w14:textFill>
            <w14:solidFill>
              <w14:schemeClr w14:val="tx1"/>
            </w14:solidFill>
          </w14:textFill>
        </w:rPr>
        <w:t>中规定的评标方法和标准，对符合性审查合格的</w:t>
      </w:r>
      <w:r>
        <w:rPr>
          <w:rFonts w:hint="eastAsia" w:ascii="仿宋" w:hAnsi="仿宋" w:eastAsia="仿宋" w:cs="仿宋"/>
          <w:color w:val="000000" w:themeColor="text1"/>
          <w:sz w:val="24"/>
          <w:lang w:eastAsia="zh-CN"/>
          <w14:textFill>
            <w14:solidFill>
              <w14:schemeClr w14:val="tx1"/>
            </w14:solidFill>
          </w14:textFill>
        </w:rPr>
        <w:t>响应文件</w:t>
      </w:r>
      <w:r>
        <w:rPr>
          <w:rFonts w:hint="eastAsia" w:ascii="仿宋" w:hAnsi="仿宋" w:eastAsia="仿宋" w:cs="仿宋"/>
          <w:color w:val="000000" w:themeColor="text1"/>
          <w:sz w:val="24"/>
          <w14:textFill>
            <w14:solidFill>
              <w14:schemeClr w14:val="tx1"/>
            </w14:solidFill>
          </w14:textFill>
        </w:rPr>
        <w:t>进行商务和技术评估，综合比较与评价；未通过符合性审查的</w:t>
      </w:r>
      <w:r>
        <w:rPr>
          <w:rFonts w:hint="eastAsia" w:ascii="仿宋" w:hAnsi="仿宋" w:eastAsia="仿宋" w:cs="仿宋"/>
          <w:color w:val="000000" w:themeColor="text1"/>
          <w:sz w:val="24"/>
          <w:lang w:eastAsia="zh-CN"/>
          <w14:textFill>
            <w14:solidFill>
              <w14:schemeClr w14:val="tx1"/>
            </w14:solidFill>
          </w14:textFill>
        </w:rPr>
        <w:t>响应文件</w:t>
      </w:r>
      <w:r>
        <w:rPr>
          <w:rFonts w:hint="eastAsia" w:ascii="仿宋" w:hAnsi="仿宋" w:eastAsia="仿宋" w:cs="仿宋"/>
          <w:color w:val="000000" w:themeColor="text1"/>
          <w:sz w:val="24"/>
          <w14:textFill>
            <w14:solidFill>
              <w14:schemeClr w14:val="tx1"/>
            </w14:solidFill>
          </w14:textFill>
        </w:rPr>
        <w:t>不得进入比较与评价。</w:t>
      </w:r>
    </w:p>
    <w:p w14:paraId="2F452FA6">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22.2</w:t>
      </w:r>
      <w:r>
        <w:rPr>
          <w:rFonts w:hint="eastAsia" w:ascii="仿宋" w:hAnsi="仿宋" w:eastAsia="仿宋" w:cs="仿宋"/>
          <w:color w:val="000000" w:themeColor="text1"/>
          <w:sz w:val="24"/>
          <w14:textFill>
            <w14:solidFill>
              <w14:schemeClr w14:val="tx1"/>
            </w14:solidFill>
          </w14:textFill>
        </w:rPr>
        <w:t>评标方法和评标标准</w:t>
      </w:r>
    </w:p>
    <w:p w14:paraId="558A14C6">
      <w:pPr>
        <w:keepNext w:val="0"/>
        <w:keepLines w:val="0"/>
        <w:pageBreakBefore w:val="0"/>
        <w:widowControl w:val="0"/>
        <w:numPr>
          <w:ilvl w:val="2"/>
          <w:numId w:val="0"/>
        </w:numPr>
        <w:tabs>
          <w:tab w:val="left" w:pos="1080"/>
          <w:tab w:val="left" w:pos="1589"/>
          <w:tab w:val="left" w:pos="2035"/>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2"/>
          <w:sz w:val="24"/>
          <w:lang w:val="en-US" w:eastAsia="zh-CN" w:bidi="ar-SA"/>
          <w14:textFill>
            <w14:solidFill>
              <w14:schemeClr w14:val="tx1"/>
            </w14:solidFill>
          </w14:textFill>
        </w:rPr>
        <w:t>22.3</w:t>
      </w:r>
      <w:r>
        <w:rPr>
          <w:rFonts w:hint="eastAsia" w:ascii="仿宋" w:hAnsi="仿宋" w:eastAsia="仿宋" w:cs="仿宋"/>
          <w:color w:val="000000" w:themeColor="text1"/>
          <w:sz w:val="24"/>
          <w14:textFill>
            <w14:solidFill>
              <w14:schemeClr w14:val="tx1"/>
            </w14:solidFill>
          </w14:textFill>
        </w:rPr>
        <w:t>本项目采用的评标方法为：</w:t>
      </w:r>
    </w:p>
    <w:p w14:paraId="73737F60">
      <w:pPr>
        <w:keepNext w:val="0"/>
        <w:keepLines w:val="0"/>
        <w:pageBreakBefore w:val="0"/>
        <w:widowControl w:val="0"/>
        <w:tabs>
          <w:tab w:val="left" w:pos="900"/>
          <w:tab w:val="left" w:pos="1589"/>
          <w:tab w:val="left" w:pos="1701"/>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综合评分法，指</w:t>
      </w:r>
      <w:r>
        <w:rPr>
          <w:rFonts w:hint="eastAsia" w:ascii="仿宋" w:hAnsi="仿宋" w:eastAsia="仿宋" w:cs="仿宋"/>
          <w:color w:val="000000" w:themeColor="text1"/>
          <w:sz w:val="24"/>
          <w:lang w:eastAsia="zh-CN"/>
          <w14:textFill>
            <w14:solidFill>
              <w14:schemeClr w14:val="tx1"/>
            </w14:solidFill>
          </w14:textFill>
        </w:rPr>
        <w:t>响应文件</w:t>
      </w:r>
      <w:r>
        <w:rPr>
          <w:rFonts w:hint="eastAsia" w:ascii="仿宋" w:hAnsi="仿宋" w:eastAsia="仿宋" w:cs="仿宋"/>
          <w:color w:val="000000" w:themeColor="text1"/>
          <w:sz w:val="24"/>
          <w14:textFill>
            <w14:solidFill>
              <w14:schemeClr w14:val="tx1"/>
            </w14:solidFill>
          </w14:textFill>
        </w:rPr>
        <w:t>满足</w:t>
      </w:r>
      <w:r>
        <w:rPr>
          <w:rFonts w:hint="eastAsia" w:ascii="仿宋" w:hAnsi="仿宋" w:eastAsia="仿宋" w:cs="仿宋"/>
          <w:color w:val="000000" w:themeColor="text1"/>
          <w:sz w:val="24"/>
          <w:lang w:eastAsia="zh-CN"/>
          <w14:textFill>
            <w14:solidFill>
              <w14:schemeClr w14:val="tx1"/>
            </w14:solidFill>
          </w14:textFill>
        </w:rPr>
        <w:t>磋商文件</w:t>
      </w:r>
      <w:r>
        <w:rPr>
          <w:rFonts w:hint="eastAsia" w:ascii="仿宋" w:hAnsi="仿宋" w:eastAsia="仿宋" w:cs="仿宋"/>
          <w:color w:val="000000" w:themeColor="text1"/>
          <w:sz w:val="24"/>
          <w14:textFill>
            <w14:solidFill>
              <w14:schemeClr w14:val="tx1"/>
            </w14:solidFill>
          </w14:textFill>
        </w:rPr>
        <w:t>全部实质性要求，且按照评审因素的量化指标评审得分最高的投标人为中标候选人的评标方法，见《评标标准》，</w:t>
      </w:r>
      <w:r>
        <w:rPr>
          <w:rFonts w:hint="eastAsia" w:ascii="仿宋" w:hAnsi="仿宋" w:eastAsia="仿宋" w:cs="仿宋"/>
          <w:color w:val="000000" w:themeColor="text1"/>
          <w:sz w:val="24"/>
          <w:lang w:eastAsia="zh-CN"/>
          <w14:textFill>
            <w14:solidFill>
              <w14:schemeClr w14:val="tx1"/>
            </w14:solidFill>
          </w14:textFill>
        </w:rPr>
        <w:t>磋商文件</w:t>
      </w:r>
      <w:r>
        <w:rPr>
          <w:rFonts w:hint="eastAsia" w:ascii="仿宋" w:hAnsi="仿宋" w:eastAsia="仿宋" w:cs="仿宋"/>
          <w:color w:val="000000" w:themeColor="text1"/>
          <w:sz w:val="24"/>
          <w14:textFill>
            <w14:solidFill>
              <w14:schemeClr w14:val="tx1"/>
            </w14:solidFill>
          </w14:textFill>
        </w:rPr>
        <w:t>中没有规定的评标标准不得作为评审的依据。</w:t>
      </w:r>
    </w:p>
    <w:p w14:paraId="15CD567A">
      <w:pPr>
        <w:keepNext w:val="0"/>
        <w:keepLines w:val="0"/>
        <w:pageBreakBefore w:val="0"/>
        <w:widowControl w:val="0"/>
        <w:numPr>
          <w:ilvl w:val="0"/>
          <w:numId w:val="0"/>
        </w:numPr>
        <w:tabs>
          <w:tab w:val="left" w:pos="360"/>
        </w:tabs>
        <w:kinsoku/>
        <w:wordWrap/>
        <w:overflowPunct/>
        <w:topLinePunct w:val="0"/>
        <w:autoSpaceDE/>
        <w:autoSpaceDN/>
        <w:bidi w:val="0"/>
        <w:snapToGrid w:val="0"/>
        <w:spacing w:line="360" w:lineRule="auto"/>
        <w:ind w:left="0" w:leftChars="0" w:firstLine="482" w:firstLineChars="200"/>
        <w:textAlignment w:val="auto"/>
        <w:outlineLvl w:val="1"/>
        <w:rPr>
          <w:rFonts w:hint="eastAsia" w:ascii="仿宋" w:hAnsi="仿宋" w:eastAsia="仿宋" w:cs="仿宋"/>
          <w:b/>
          <w:bCs/>
          <w:color w:val="auto"/>
          <w:sz w:val="24"/>
        </w:rPr>
      </w:pPr>
      <w:bookmarkStart w:id="45" w:name="_Toc23804"/>
      <w:r>
        <w:rPr>
          <w:rFonts w:hint="eastAsia" w:ascii="仿宋" w:hAnsi="仿宋" w:eastAsia="仿宋" w:cs="仿宋"/>
          <w:b/>
          <w:bCs/>
          <w:color w:val="auto"/>
          <w:kern w:val="2"/>
          <w:sz w:val="24"/>
          <w:lang w:val="en-US" w:eastAsia="zh-CN" w:bidi="ar-SA"/>
        </w:rPr>
        <w:t>23、</w:t>
      </w:r>
      <w:r>
        <w:rPr>
          <w:rFonts w:hint="eastAsia" w:ascii="仿宋" w:hAnsi="仿宋" w:eastAsia="仿宋" w:cs="仿宋"/>
          <w:b/>
          <w:bCs/>
          <w:color w:val="auto"/>
          <w:sz w:val="24"/>
        </w:rPr>
        <w:t>确定</w:t>
      </w:r>
      <w:bookmarkStart w:id="46" w:name="_Toc226309790"/>
      <w:bookmarkStart w:id="47" w:name="_Toc127151747"/>
      <w:bookmarkStart w:id="48" w:name="_Toc164608660"/>
      <w:bookmarkStart w:id="49" w:name="_Toc151193716"/>
      <w:bookmarkStart w:id="50" w:name="_Toc195842911"/>
      <w:bookmarkStart w:id="51" w:name="_Toc226965736"/>
      <w:bookmarkStart w:id="52" w:name="_Toc164229387"/>
      <w:bookmarkStart w:id="53" w:name="_Toc150774751"/>
      <w:bookmarkStart w:id="54" w:name="_Toc150509297"/>
      <w:bookmarkStart w:id="55" w:name="_Toc305158814"/>
      <w:bookmarkStart w:id="56" w:name="_Toc151193934"/>
      <w:bookmarkStart w:id="57" w:name="_Toc149720839"/>
      <w:bookmarkStart w:id="58" w:name="_Toc164229241"/>
      <w:bookmarkStart w:id="59" w:name="_Toc150774646"/>
      <w:bookmarkStart w:id="60" w:name="_Toc265228384"/>
      <w:bookmarkStart w:id="61" w:name="_Toc142311048"/>
      <w:bookmarkStart w:id="62" w:name="_Toc264969236"/>
      <w:bookmarkStart w:id="63" w:name="_Toc151193644"/>
      <w:bookmarkStart w:id="64" w:name="_Toc520356170"/>
      <w:bookmarkStart w:id="65" w:name="_Toc151193860"/>
      <w:bookmarkStart w:id="66" w:name="_Toc150480784"/>
      <w:bookmarkStart w:id="67" w:name="_Ref467307010"/>
      <w:bookmarkStart w:id="68" w:name="_Toc226965819"/>
      <w:bookmarkStart w:id="69" w:name="_Toc127161460"/>
      <w:bookmarkStart w:id="70" w:name="_Toc127151546"/>
      <w:bookmarkStart w:id="71" w:name="_Toc164608815"/>
      <w:bookmarkStart w:id="72" w:name="_Toc151190173"/>
      <w:bookmarkStart w:id="73" w:name="_Toc305158888"/>
      <w:bookmarkStart w:id="74" w:name="_Toc151193788"/>
      <w:bookmarkStart w:id="75" w:name="_Toc164351640"/>
      <w:bookmarkStart w:id="76" w:name="_Toc226337242"/>
      <w:r>
        <w:rPr>
          <w:rFonts w:hint="eastAsia" w:ascii="仿宋" w:hAnsi="仿宋" w:eastAsia="仿宋" w:cs="仿宋"/>
          <w:b/>
          <w:bCs/>
          <w:color w:val="auto"/>
          <w:sz w:val="24"/>
        </w:rPr>
        <w:t>中标候选人名单</w:t>
      </w:r>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p>
    <w:p w14:paraId="280AEB65">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2"/>
          <w:sz w:val="24"/>
          <w:szCs w:val="24"/>
          <w:lang w:val="en-US" w:eastAsia="zh-CN" w:bidi="ar-SA"/>
        </w:rPr>
        <w:t>23.1</w:t>
      </w:r>
      <w:r>
        <w:rPr>
          <w:rFonts w:hint="eastAsia" w:ascii="仿宋" w:hAnsi="仿宋" w:eastAsia="仿宋" w:cs="仿宋"/>
          <w:color w:val="auto"/>
          <w:sz w:val="24"/>
        </w:rPr>
        <w:t>采用综合评分法时，提供相同品牌产品（单一产品或核心产品品牌相同）且通过资格审查、符合性审查的不同投标人参加同一合同项下投标的，按一家投标人计算，评审后得分最高的同品牌投标人获得中标人推荐资格；评审得分相同的，评标委员会按照下述规定确定一个投标人获得中标人推荐资格，其他同品牌投标人不作为中标候选人。</w:t>
      </w:r>
    </w:p>
    <w:p w14:paraId="58A9DD9A">
      <w:pPr>
        <w:pStyle w:val="11"/>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随机抽取</w:t>
      </w:r>
    </w:p>
    <w:p w14:paraId="5B525FD9">
      <w:pPr>
        <w:pStyle w:val="11"/>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□其他方式，具体要求：_____</w:t>
      </w:r>
    </w:p>
    <w:p w14:paraId="709BB56C">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2"/>
          <w:sz w:val="24"/>
          <w:szCs w:val="24"/>
          <w:lang w:val="en-US" w:eastAsia="zh-CN" w:bidi="ar-SA"/>
        </w:rPr>
        <w:t>23.2</w:t>
      </w:r>
      <w:r>
        <w:rPr>
          <w:rFonts w:hint="eastAsia" w:ascii="仿宋" w:hAnsi="仿宋" w:eastAsia="仿宋" w:cs="仿宋"/>
          <w:color w:val="auto"/>
          <w:sz w:val="24"/>
        </w:rPr>
        <w:t>采用综合评分法时，评标结果按评审后得分由高到低顺序排列。得分相同的，按投标报价由低到高顺序排列。得分且投标报价相同的并列。</w:t>
      </w:r>
      <w:r>
        <w:rPr>
          <w:rFonts w:hint="eastAsia" w:ascii="仿宋" w:hAnsi="仿宋" w:eastAsia="仿宋" w:cs="仿宋"/>
          <w:color w:val="auto"/>
          <w:sz w:val="24"/>
          <w:lang w:eastAsia="zh-CN"/>
        </w:rPr>
        <w:t>响应文件</w:t>
      </w:r>
      <w:r>
        <w:rPr>
          <w:rFonts w:hint="eastAsia" w:ascii="仿宋" w:hAnsi="仿宋" w:eastAsia="仿宋" w:cs="仿宋"/>
          <w:color w:val="auto"/>
          <w:sz w:val="24"/>
        </w:rPr>
        <w:t>满足</w:t>
      </w:r>
      <w:r>
        <w:rPr>
          <w:rFonts w:hint="eastAsia" w:ascii="仿宋" w:hAnsi="仿宋" w:eastAsia="仿宋" w:cs="仿宋"/>
          <w:color w:val="auto"/>
          <w:sz w:val="24"/>
          <w:lang w:eastAsia="zh-CN"/>
        </w:rPr>
        <w:t>磋商文件</w:t>
      </w:r>
      <w:r>
        <w:rPr>
          <w:rFonts w:hint="eastAsia" w:ascii="仿宋" w:hAnsi="仿宋" w:eastAsia="仿宋" w:cs="仿宋"/>
          <w:color w:val="auto"/>
          <w:sz w:val="24"/>
        </w:rPr>
        <w:t>全部实质性要求，且按照评审因素的量化指标评审得分最高的投标人为排名第一的中标候选人。评分分值计算保留小数点后两位，第三位四舍五入。</w:t>
      </w:r>
    </w:p>
    <w:p w14:paraId="634A1583">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2"/>
          <w:sz w:val="24"/>
          <w:szCs w:val="24"/>
          <w:lang w:val="en-US" w:eastAsia="zh-CN" w:bidi="ar-SA"/>
        </w:rPr>
        <w:t>23.3</w:t>
      </w:r>
      <w:r>
        <w:rPr>
          <w:rFonts w:hint="eastAsia" w:ascii="仿宋" w:hAnsi="仿宋" w:eastAsia="仿宋" w:cs="仿宋"/>
          <w:color w:val="auto"/>
          <w:sz w:val="24"/>
        </w:rPr>
        <w:t>评标委员会要对评分汇总情况进行复核，特别是对排名第一的、报价最低的、投标或</w:t>
      </w:r>
      <w:r>
        <w:rPr>
          <w:rFonts w:hint="eastAsia" w:ascii="仿宋" w:hAnsi="仿宋" w:eastAsia="仿宋" w:cs="仿宋"/>
          <w:color w:val="auto"/>
          <w:sz w:val="24"/>
          <w:lang w:eastAsia="zh-CN"/>
        </w:rPr>
        <w:t>响应文件</w:t>
      </w:r>
      <w:r>
        <w:rPr>
          <w:rFonts w:hint="eastAsia" w:ascii="仿宋" w:hAnsi="仿宋" w:eastAsia="仿宋" w:cs="仿宋"/>
          <w:color w:val="auto"/>
          <w:sz w:val="24"/>
        </w:rPr>
        <w:t>被认定为无效的情形进行重点复核。</w:t>
      </w:r>
    </w:p>
    <w:p w14:paraId="23BB73B5">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2"/>
          <w:sz w:val="24"/>
          <w:szCs w:val="24"/>
          <w:lang w:val="en-US" w:eastAsia="zh-CN" w:bidi="ar-SA"/>
        </w:rPr>
        <w:t>23.4</w:t>
      </w:r>
      <w:r>
        <w:rPr>
          <w:rFonts w:hint="eastAsia" w:ascii="仿宋" w:hAnsi="仿宋" w:eastAsia="仿宋" w:cs="仿宋"/>
          <w:color w:val="auto"/>
          <w:sz w:val="24"/>
        </w:rPr>
        <w:t>评标委员会将根据各投标人的评标排序，依次推荐本项目（各采购包）的中标候选人，起草并签署评标报告。本项目（各采购包）评标委员会共（各）</w:t>
      </w:r>
      <w:r>
        <w:rPr>
          <w:rFonts w:hint="eastAsia" w:ascii="仿宋" w:hAnsi="仿宋" w:eastAsia="仿宋" w:cs="仿宋"/>
          <w:color w:val="auto"/>
          <w:sz w:val="24"/>
          <w:highlight w:val="none"/>
        </w:rPr>
        <w:t>推荐</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名中标候选人。</w:t>
      </w:r>
    </w:p>
    <w:p w14:paraId="18FB8741">
      <w:pPr>
        <w:keepNext w:val="0"/>
        <w:keepLines w:val="0"/>
        <w:pageBreakBefore w:val="0"/>
        <w:widowControl w:val="0"/>
        <w:numPr>
          <w:ilvl w:val="1"/>
          <w:numId w:val="0"/>
        </w:numPr>
        <w:tabs>
          <w:tab w:val="left" w:pos="1080"/>
        </w:tabs>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kern w:val="2"/>
          <w:sz w:val="24"/>
          <w:szCs w:val="24"/>
          <w:highlight w:val="none"/>
          <w:lang w:val="en-US" w:eastAsia="zh-CN" w:bidi="ar-SA"/>
        </w:rPr>
        <w:t>23.5</w:t>
      </w:r>
      <w:r>
        <w:rPr>
          <w:rFonts w:hint="eastAsia" w:ascii="仿宋" w:hAnsi="仿宋" w:eastAsia="仿宋" w:cs="仿宋"/>
          <w:color w:val="auto"/>
          <w:sz w:val="24"/>
          <w:highlight w:val="none"/>
        </w:rPr>
        <w:t>评标委员会在评标过程中发现投标人有行贿、提供虚假材料或者串通等违法行为时，有向采购人、采购代理机构或者有关部门报告的职责。</w:t>
      </w:r>
    </w:p>
    <w:p w14:paraId="4D8D5160">
      <w:pPr>
        <w:widowControl/>
        <w:spacing w:line="460" w:lineRule="exac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24、</w:t>
      </w:r>
      <w:r>
        <w:rPr>
          <w:rFonts w:hint="eastAsia" w:ascii="仿宋" w:hAnsi="仿宋" w:eastAsia="仿宋" w:cs="仿宋"/>
          <w:b/>
          <w:bCs/>
          <w:color w:val="auto"/>
          <w:sz w:val="21"/>
          <w:szCs w:val="21"/>
          <w:highlight w:val="none"/>
        </w:rPr>
        <w:t>评审标准：</w:t>
      </w:r>
    </w:p>
    <w:p w14:paraId="32D52F46">
      <w:pPr>
        <w:pStyle w:val="11"/>
        <w:numPr>
          <w:ilvl w:val="0"/>
          <w:numId w:val="9"/>
        </w:numPr>
        <w:spacing w:line="380" w:lineRule="exact"/>
        <w:ind w:left="425" w:leftChars="0" w:hanging="425" w:firstLineChars="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磋商小组构成：本项目的磋商小组由采购人代表和有关技术、经济</w:t>
      </w:r>
      <w:r>
        <w:rPr>
          <w:rFonts w:hint="eastAsia" w:ascii="仿宋" w:hAnsi="仿宋" w:eastAsia="仿宋" w:cs="仿宋"/>
          <w:bCs/>
          <w:color w:val="auto"/>
          <w:sz w:val="21"/>
          <w:szCs w:val="21"/>
          <w:highlight w:val="none"/>
          <w:lang w:eastAsia="zh-CN"/>
        </w:rPr>
        <w:t>、法律</w:t>
      </w:r>
      <w:r>
        <w:rPr>
          <w:rFonts w:hint="eastAsia" w:ascii="仿宋" w:hAnsi="仿宋" w:eastAsia="仿宋" w:cs="仿宋"/>
          <w:bCs/>
          <w:color w:val="auto"/>
          <w:sz w:val="21"/>
          <w:szCs w:val="21"/>
          <w:highlight w:val="none"/>
        </w:rPr>
        <w:t>等方面的</w:t>
      </w:r>
      <w:r>
        <w:rPr>
          <w:rFonts w:hint="eastAsia" w:ascii="仿宋" w:hAnsi="仿宋" w:eastAsia="仿宋" w:cs="仿宋"/>
          <w:bCs/>
          <w:color w:val="auto"/>
          <w:sz w:val="21"/>
          <w:szCs w:val="21"/>
          <w:highlight w:val="none"/>
          <w:lang w:val="en-US" w:eastAsia="zh-CN"/>
        </w:rPr>
        <w:t>3位</w:t>
      </w:r>
      <w:r>
        <w:rPr>
          <w:rFonts w:hint="eastAsia" w:ascii="仿宋" w:hAnsi="仿宋" w:eastAsia="仿宋" w:cs="仿宋"/>
          <w:bCs/>
          <w:color w:val="auto"/>
          <w:sz w:val="21"/>
          <w:szCs w:val="21"/>
          <w:highlight w:val="none"/>
        </w:rPr>
        <w:t>专家组成。成员人数应当为三人以上（含三人）单数。其中，技术、经济</w:t>
      </w:r>
      <w:r>
        <w:rPr>
          <w:rFonts w:hint="eastAsia" w:ascii="仿宋" w:hAnsi="仿宋" w:eastAsia="仿宋" w:cs="仿宋"/>
          <w:bCs/>
          <w:color w:val="auto"/>
          <w:sz w:val="21"/>
          <w:szCs w:val="21"/>
          <w:highlight w:val="none"/>
          <w:lang w:eastAsia="zh-CN"/>
        </w:rPr>
        <w:t>、法律</w:t>
      </w:r>
      <w:r>
        <w:rPr>
          <w:rFonts w:hint="eastAsia" w:ascii="仿宋" w:hAnsi="仿宋" w:eastAsia="仿宋" w:cs="仿宋"/>
          <w:bCs/>
          <w:color w:val="auto"/>
          <w:sz w:val="21"/>
          <w:szCs w:val="21"/>
          <w:highlight w:val="none"/>
        </w:rPr>
        <w:t>等方面的专家不得少于成员总数的三分之二。</w:t>
      </w:r>
    </w:p>
    <w:p w14:paraId="4454C8A8">
      <w:pPr>
        <w:numPr>
          <w:ilvl w:val="0"/>
          <w:numId w:val="9"/>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评标依据：磋商小组按照磋商文件要求对磋商响应文件中的供应商资格、供应商资格证明文件、重要技术指标以及技术和商务上要求的其它重要内容进行审核。</w:t>
      </w:r>
    </w:p>
    <w:p w14:paraId="7578908D">
      <w:pPr>
        <w:numPr>
          <w:ilvl w:val="0"/>
          <w:numId w:val="9"/>
        </w:numPr>
        <w:spacing w:line="400" w:lineRule="atLeast"/>
        <w:ind w:left="425" w:leftChars="0" w:right="-340" w:rightChars="-162"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shd w:val="clear" w:color="auto" w:fill="FFFFFF"/>
        </w:rPr>
        <w:t>经磋商确定最终采购需求和提交最后报价的供应商后，由磋商小组采用综合评分法对提交最后报价的供应商的响应文件和最后报价进行综合评分。</w:t>
      </w:r>
    </w:p>
    <w:p w14:paraId="12583B2E">
      <w:pPr>
        <w:numPr>
          <w:ilvl w:val="0"/>
          <w:numId w:val="9"/>
        </w:numPr>
        <w:spacing w:line="400" w:lineRule="atLeast"/>
        <w:ind w:left="425" w:leftChars="0" w:right="-340" w:rightChars="-162" w:hanging="425" w:firstLineChars="0"/>
        <w:rPr>
          <w:rFonts w:hint="eastAsia" w:ascii="仿宋" w:hAnsi="仿宋" w:eastAsia="仿宋" w:cs="仿宋"/>
          <w:sz w:val="21"/>
          <w:szCs w:val="21"/>
        </w:rPr>
      </w:pPr>
      <w:r>
        <w:rPr>
          <w:rFonts w:hint="eastAsia" w:ascii="仿宋" w:hAnsi="仿宋" w:eastAsia="仿宋" w:cs="仿宋"/>
          <w:bCs/>
          <w:color w:val="auto"/>
          <w:sz w:val="21"/>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w:t>
      </w:r>
      <w:r>
        <w:rPr>
          <w:rFonts w:hint="eastAsia" w:ascii="仿宋" w:hAnsi="仿宋" w:eastAsia="仿宋" w:cs="仿宋"/>
          <w:bCs/>
          <w:color w:val="auto"/>
          <w:sz w:val="21"/>
          <w:szCs w:val="21"/>
          <w:lang w:eastAsia="zh-CN"/>
        </w:rPr>
        <w:t>响应文件</w:t>
      </w:r>
      <w:r>
        <w:rPr>
          <w:rFonts w:hint="eastAsia" w:ascii="仿宋" w:hAnsi="仿宋" w:eastAsia="仿宋" w:cs="仿宋"/>
          <w:bCs/>
          <w:color w:val="auto"/>
          <w:sz w:val="21"/>
          <w:szCs w:val="21"/>
        </w:rPr>
        <w:t>，进行第二个步骤：对实质性响应的</w:t>
      </w:r>
      <w:r>
        <w:rPr>
          <w:rFonts w:hint="eastAsia" w:ascii="仿宋" w:hAnsi="仿宋" w:eastAsia="仿宋" w:cs="仿宋"/>
          <w:bCs/>
          <w:color w:val="auto"/>
          <w:sz w:val="21"/>
          <w:szCs w:val="21"/>
          <w:lang w:eastAsia="zh-CN"/>
        </w:rPr>
        <w:t>响应文件</w:t>
      </w:r>
      <w:r>
        <w:rPr>
          <w:rFonts w:hint="eastAsia" w:ascii="仿宋" w:hAnsi="仿宋" w:eastAsia="仿宋" w:cs="仿宋"/>
          <w:bCs/>
          <w:color w:val="auto"/>
          <w:sz w:val="21"/>
          <w:szCs w:val="21"/>
        </w:rPr>
        <w:t>进行评估和比较采用综合评分法进行打分评比，打分方法：总分为100分，其中价格因素占</w:t>
      </w:r>
      <w:r>
        <w:rPr>
          <w:rFonts w:hint="eastAsia" w:ascii="仿宋" w:hAnsi="仿宋" w:eastAsia="仿宋" w:cs="仿宋"/>
          <w:bCs/>
          <w:color w:val="auto"/>
          <w:sz w:val="21"/>
          <w:szCs w:val="21"/>
          <w:lang w:val="en-US" w:eastAsia="zh-CN"/>
        </w:rPr>
        <w:t>30</w:t>
      </w:r>
      <w:r>
        <w:rPr>
          <w:rFonts w:hint="eastAsia" w:ascii="仿宋" w:hAnsi="仿宋" w:eastAsia="仿宋" w:cs="仿宋"/>
          <w:bCs/>
          <w:color w:val="auto"/>
          <w:sz w:val="21"/>
          <w:szCs w:val="21"/>
        </w:rPr>
        <w:t>分，技术因素、商务因素占</w:t>
      </w:r>
      <w:r>
        <w:rPr>
          <w:rFonts w:hint="eastAsia" w:ascii="仿宋" w:hAnsi="仿宋" w:eastAsia="仿宋" w:cs="仿宋"/>
          <w:bCs/>
          <w:color w:val="auto"/>
          <w:sz w:val="21"/>
          <w:szCs w:val="21"/>
          <w:lang w:val="en-US" w:eastAsia="zh-CN"/>
        </w:rPr>
        <w:t>70</w:t>
      </w:r>
      <w:r>
        <w:rPr>
          <w:rFonts w:hint="eastAsia" w:ascii="仿宋" w:hAnsi="仿宋" w:eastAsia="仿宋" w:cs="仿宋"/>
          <w:bCs/>
          <w:color w:val="auto"/>
          <w:sz w:val="21"/>
          <w:szCs w:val="21"/>
        </w:rPr>
        <w:t>分。将每位投标商的价格得分、技术得分、商务得分相加即为该投标商的总得分。详细评分标准如下：</w:t>
      </w:r>
    </w:p>
    <w:p w14:paraId="32A41CA6">
      <w:pPr>
        <w:spacing w:line="440" w:lineRule="exact"/>
        <w:ind w:firstLine="422" w:firstLineChars="200"/>
        <w:rPr>
          <w:rFonts w:hint="eastAsia" w:ascii="仿宋" w:hAnsi="仿宋" w:eastAsia="仿宋" w:cs="仿宋"/>
          <w:b/>
          <w:color w:val="auto"/>
          <w:sz w:val="21"/>
          <w:szCs w:val="21"/>
        </w:rPr>
      </w:pPr>
      <w:bookmarkStart w:id="77" w:name="_Toc99301422"/>
      <w:bookmarkStart w:id="78" w:name="_Toc21635"/>
      <w:r>
        <w:rPr>
          <w:rFonts w:hint="eastAsia" w:ascii="仿宋" w:hAnsi="仿宋" w:eastAsia="仿宋" w:cs="仿宋"/>
          <w:b/>
          <w:color w:val="auto"/>
          <w:sz w:val="21"/>
          <w:szCs w:val="21"/>
          <w:lang w:val="en-US" w:eastAsia="zh-CN"/>
        </w:rPr>
        <w:t>一</w:t>
      </w:r>
      <w:r>
        <w:rPr>
          <w:rFonts w:hint="eastAsia" w:ascii="仿宋" w:hAnsi="仿宋" w:eastAsia="仿宋" w:cs="仿宋"/>
          <w:b/>
          <w:color w:val="auto"/>
          <w:sz w:val="21"/>
          <w:szCs w:val="21"/>
        </w:rPr>
        <w:t>、资格审查程序</w:t>
      </w:r>
      <w:bookmarkEnd w:id="77"/>
      <w:bookmarkEnd w:id="78"/>
    </w:p>
    <w:p w14:paraId="59667860">
      <w:pPr>
        <w:spacing w:line="440" w:lineRule="exact"/>
        <w:ind w:firstLine="422" w:firstLineChars="200"/>
        <w:rPr>
          <w:rFonts w:hint="eastAsia" w:ascii="仿宋" w:hAnsi="仿宋" w:eastAsia="仿宋" w:cs="仿宋"/>
          <w:b/>
          <w:color w:val="auto"/>
          <w:sz w:val="21"/>
          <w:szCs w:val="21"/>
        </w:rPr>
      </w:pPr>
      <w:bookmarkStart w:id="79" w:name="_Toc2423"/>
      <w:r>
        <w:rPr>
          <w:rFonts w:hint="eastAsia" w:ascii="仿宋" w:hAnsi="仿宋" w:eastAsia="仿宋" w:cs="仿宋"/>
          <w:b/>
          <w:color w:val="auto"/>
          <w:sz w:val="21"/>
          <w:szCs w:val="21"/>
          <w:lang w:val="en-US" w:eastAsia="zh-CN"/>
        </w:rPr>
        <w:t>1、</w:t>
      </w:r>
      <w:r>
        <w:rPr>
          <w:rFonts w:hint="eastAsia" w:ascii="仿宋" w:hAnsi="仿宋" w:eastAsia="仿宋" w:cs="仿宋"/>
          <w:b/>
          <w:color w:val="auto"/>
          <w:sz w:val="21"/>
          <w:szCs w:val="21"/>
        </w:rPr>
        <w:t>开标结束后，采购人或采购代理机构将根据《资格审查要求》中的规定，对投标人进行资格审查，并形成资格审查结果。</w:t>
      </w:r>
      <w:bookmarkEnd w:id="79"/>
    </w:p>
    <w:p w14:paraId="48EC87BA">
      <w:pPr>
        <w:spacing w:line="440" w:lineRule="exact"/>
        <w:ind w:firstLine="422" w:firstLineChars="200"/>
        <w:rPr>
          <w:rFonts w:hint="eastAsia" w:ascii="仿宋" w:hAnsi="仿宋" w:eastAsia="仿宋" w:cs="仿宋"/>
          <w:b/>
          <w:color w:val="auto"/>
          <w:sz w:val="21"/>
          <w:szCs w:val="21"/>
        </w:rPr>
      </w:pPr>
      <w:bookmarkStart w:id="80" w:name="_Toc20624"/>
      <w:r>
        <w:rPr>
          <w:rFonts w:hint="eastAsia" w:ascii="仿宋" w:hAnsi="仿宋" w:eastAsia="仿宋" w:cs="仿宋"/>
          <w:b/>
          <w:color w:val="auto"/>
          <w:sz w:val="21"/>
          <w:szCs w:val="21"/>
          <w:lang w:val="en-US" w:eastAsia="zh-CN"/>
        </w:rPr>
        <w:t>2、</w:t>
      </w:r>
      <w:r>
        <w:rPr>
          <w:rFonts w:hint="eastAsia" w:ascii="仿宋" w:hAnsi="仿宋" w:eastAsia="仿宋" w:cs="仿宋"/>
          <w:b/>
          <w:color w:val="auto"/>
          <w:sz w:val="21"/>
          <w:szCs w:val="21"/>
        </w:rPr>
        <w:t>《资格审查要求》中对格式有要求的，除</w:t>
      </w:r>
      <w:r>
        <w:rPr>
          <w:rFonts w:hint="eastAsia" w:ascii="仿宋" w:hAnsi="仿宋" w:eastAsia="仿宋" w:cs="仿宋"/>
          <w:b/>
          <w:color w:val="auto"/>
          <w:sz w:val="21"/>
          <w:szCs w:val="21"/>
          <w:lang w:eastAsia="zh-CN"/>
        </w:rPr>
        <w:t>磋商文件</w:t>
      </w:r>
      <w:r>
        <w:rPr>
          <w:rFonts w:hint="eastAsia" w:ascii="仿宋" w:hAnsi="仿宋" w:eastAsia="仿宋" w:cs="仿宋"/>
          <w:b/>
          <w:color w:val="auto"/>
          <w:sz w:val="21"/>
          <w:szCs w:val="21"/>
        </w:rPr>
        <w:t>另有规定外，均为“实质性格式”文件。</w:t>
      </w:r>
      <w:bookmarkEnd w:id="80"/>
    </w:p>
    <w:p w14:paraId="48A96168">
      <w:pPr>
        <w:spacing w:line="440" w:lineRule="exact"/>
        <w:ind w:firstLine="422" w:firstLineChars="200"/>
        <w:rPr>
          <w:rFonts w:hint="eastAsia" w:ascii="仿宋" w:hAnsi="仿宋" w:eastAsia="仿宋" w:cs="仿宋"/>
          <w:b/>
          <w:color w:val="auto"/>
          <w:sz w:val="21"/>
          <w:szCs w:val="21"/>
        </w:rPr>
      </w:pPr>
      <w:bookmarkStart w:id="81" w:name="_Toc26582"/>
      <w:r>
        <w:rPr>
          <w:rFonts w:hint="eastAsia" w:ascii="仿宋" w:hAnsi="仿宋" w:eastAsia="仿宋" w:cs="仿宋"/>
          <w:b/>
          <w:color w:val="auto"/>
          <w:sz w:val="21"/>
          <w:szCs w:val="21"/>
          <w:lang w:val="en-US" w:eastAsia="zh-CN"/>
        </w:rPr>
        <w:t>3、</w:t>
      </w:r>
      <w:r>
        <w:rPr>
          <w:rFonts w:hint="eastAsia" w:ascii="仿宋" w:hAnsi="仿宋" w:eastAsia="仿宋" w:cs="仿宋"/>
          <w:b/>
          <w:color w:val="auto"/>
          <w:sz w:val="21"/>
          <w:szCs w:val="21"/>
        </w:rPr>
        <w:t>投标人《资格证明文件》有任何一项不符合《资格审查要求》的，资格审查不合格，其投标无效。</w:t>
      </w:r>
      <w:bookmarkEnd w:id="81"/>
    </w:p>
    <w:p w14:paraId="2D0268BF">
      <w:pPr>
        <w:spacing w:line="440" w:lineRule="exact"/>
        <w:ind w:firstLine="422" w:firstLineChars="200"/>
        <w:rPr>
          <w:rFonts w:hint="eastAsia" w:ascii="仿宋" w:hAnsi="仿宋" w:eastAsia="仿宋" w:cs="仿宋"/>
          <w:b/>
          <w:color w:val="auto"/>
          <w:sz w:val="21"/>
          <w:szCs w:val="21"/>
        </w:rPr>
      </w:pPr>
      <w:bookmarkStart w:id="82" w:name="_Toc16641"/>
      <w:r>
        <w:rPr>
          <w:rFonts w:hint="eastAsia" w:ascii="仿宋" w:hAnsi="仿宋" w:eastAsia="仿宋" w:cs="仿宋"/>
          <w:b/>
          <w:color w:val="auto"/>
          <w:sz w:val="21"/>
          <w:szCs w:val="21"/>
          <w:lang w:val="en-US" w:eastAsia="zh-CN"/>
        </w:rPr>
        <w:t>4、</w:t>
      </w:r>
      <w:r>
        <w:rPr>
          <w:rFonts w:hint="eastAsia" w:ascii="仿宋" w:hAnsi="仿宋" w:eastAsia="仿宋" w:cs="仿宋"/>
          <w:b/>
          <w:color w:val="auto"/>
          <w:sz w:val="21"/>
          <w:szCs w:val="21"/>
        </w:rPr>
        <w:t>资格审查合格的投标人不足</w:t>
      </w:r>
      <w:r>
        <w:rPr>
          <w:rFonts w:hint="eastAsia" w:ascii="仿宋" w:hAnsi="仿宋" w:eastAsia="仿宋" w:cs="仿宋"/>
          <w:b/>
          <w:color w:val="auto"/>
          <w:sz w:val="21"/>
          <w:szCs w:val="21"/>
          <w:lang w:eastAsia="zh-CN"/>
        </w:rPr>
        <w:t>三</w:t>
      </w:r>
      <w:r>
        <w:rPr>
          <w:rFonts w:hint="eastAsia" w:ascii="仿宋" w:hAnsi="仿宋" w:eastAsia="仿宋" w:cs="仿宋"/>
          <w:b/>
          <w:color w:val="auto"/>
          <w:sz w:val="21"/>
          <w:szCs w:val="21"/>
        </w:rPr>
        <w:t>家</w:t>
      </w:r>
      <w:r>
        <w:rPr>
          <w:rFonts w:hint="eastAsia" w:ascii="仿宋" w:hAnsi="仿宋" w:eastAsia="仿宋" w:cs="仿宋"/>
          <w:b/>
          <w:color w:val="auto"/>
          <w:sz w:val="21"/>
          <w:szCs w:val="21"/>
          <w:lang w:eastAsia="zh-CN"/>
        </w:rPr>
        <w:t>时</w:t>
      </w:r>
      <w:r>
        <w:rPr>
          <w:rFonts w:hint="eastAsia" w:ascii="仿宋" w:hAnsi="仿宋" w:eastAsia="仿宋" w:cs="仿宋"/>
          <w:b/>
          <w:color w:val="auto"/>
          <w:sz w:val="21"/>
          <w:szCs w:val="21"/>
        </w:rPr>
        <w:t>，不进行评标。</w:t>
      </w:r>
      <w:bookmarkEnd w:id="82"/>
    </w:p>
    <w:p w14:paraId="5040A588">
      <w:pPr>
        <w:spacing w:line="440" w:lineRule="exact"/>
        <w:ind w:firstLine="422" w:firstLineChars="200"/>
        <w:rPr>
          <w:rFonts w:hint="eastAsia" w:ascii="仿宋" w:hAnsi="仿宋" w:eastAsia="仿宋" w:cs="仿宋"/>
          <w:b/>
          <w:color w:val="auto"/>
          <w:sz w:val="21"/>
          <w:szCs w:val="21"/>
        </w:rPr>
      </w:pPr>
    </w:p>
    <w:p w14:paraId="79E2CC69">
      <w:pPr>
        <w:spacing w:line="440" w:lineRule="exact"/>
        <w:ind w:firstLine="422" w:firstLineChars="200"/>
        <w:rPr>
          <w:rFonts w:hint="eastAsia" w:ascii="仿宋" w:hAnsi="仿宋" w:eastAsia="仿宋" w:cs="仿宋"/>
          <w:b/>
          <w:color w:val="auto"/>
          <w:sz w:val="21"/>
          <w:szCs w:val="21"/>
        </w:rPr>
      </w:pPr>
    </w:p>
    <w:p w14:paraId="1331099B">
      <w:pPr>
        <w:pStyle w:val="3"/>
        <w:rPr>
          <w:rFonts w:hint="eastAsia" w:ascii="仿宋" w:hAnsi="仿宋" w:eastAsia="仿宋" w:cs="仿宋"/>
          <w:b/>
          <w:color w:val="auto"/>
          <w:sz w:val="21"/>
          <w:szCs w:val="21"/>
        </w:rPr>
      </w:pPr>
    </w:p>
    <w:p w14:paraId="6605EC58">
      <w:pPr>
        <w:rPr>
          <w:rFonts w:hint="eastAsia"/>
        </w:rPr>
      </w:pPr>
    </w:p>
    <w:p w14:paraId="33DA88F5">
      <w:pPr>
        <w:pStyle w:val="28"/>
        <w:rPr>
          <w:rFonts w:hint="eastAsia" w:ascii="仿宋" w:hAnsi="仿宋" w:eastAsia="仿宋" w:cs="仿宋"/>
          <w:b/>
          <w:bCs w:val="0"/>
          <w:color w:val="auto"/>
          <w:sz w:val="21"/>
          <w:szCs w:val="21"/>
          <w:lang w:eastAsia="zh-CN"/>
        </w:rPr>
      </w:pPr>
      <w:r>
        <w:rPr>
          <w:rFonts w:hint="eastAsia" w:ascii="仿宋" w:hAnsi="仿宋" w:eastAsia="仿宋" w:cs="仿宋"/>
          <w:b/>
          <w:bCs w:val="0"/>
          <w:color w:val="auto"/>
          <w:sz w:val="21"/>
          <w:szCs w:val="21"/>
        </w:rPr>
        <w:t>附表</w:t>
      </w:r>
      <w:r>
        <w:rPr>
          <w:rFonts w:hint="eastAsia" w:ascii="仿宋" w:hAnsi="仿宋" w:eastAsia="仿宋" w:cs="仿宋"/>
          <w:b/>
          <w:bCs w:val="0"/>
          <w:color w:val="auto"/>
          <w:sz w:val="21"/>
          <w:szCs w:val="21"/>
          <w:lang w:eastAsia="zh-CN"/>
        </w:rPr>
        <w:t>一：资格查验</w:t>
      </w:r>
    </w:p>
    <w:tbl>
      <w:tblPr>
        <w:tblStyle w:val="24"/>
        <w:tblW w:w="996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246"/>
        <w:gridCol w:w="4805"/>
        <w:gridCol w:w="2009"/>
      </w:tblGrid>
      <w:tr w14:paraId="134121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906" w:type="dxa"/>
            <w:noWrap w:val="0"/>
            <w:vAlign w:val="center"/>
          </w:tcPr>
          <w:p w14:paraId="3D5C4F11">
            <w:pPr>
              <w:tabs>
                <w:tab w:val="left" w:pos="1080"/>
              </w:tabs>
              <w:snapToGrid w:val="0"/>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序号</w:t>
            </w:r>
          </w:p>
        </w:tc>
        <w:tc>
          <w:tcPr>
            <w:tcW w:w="2246" w:type="dxa"/>
            <w:noWrap w:val="0"/>
            <w:vAlign w:val="center"/>
          </w:tcPr>
          <w:p w14:paraId="56ABBF1F">
            <w:pPr>
              <w:tabs>
                <w:tab w:val="left" w:pos="1080"/>
              </w:tabs>
              <w:snapToGrid w:val="0"/>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审查因素</w:t>
            </w:r>
          </w:p>
        </w:tc>
        <w:tc>
          <w:tcPr>
            <w:tcW w:w="4805" w:type="dxa"/>
            <w:noWrap w:val="0"/>
            <w:vAlign w:val="center"/>
          </w:tcPr>
          <w:p w14:paraId="4277698C">
            <w:pPr>
              <w:tabs>
                <w:tab w:val="left" w:pos="1080"/>
              </w:tabs>
              <w:snapToGrid w:val="0"/>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审查内容</w:t>
            </w:r>
          </w:p>
        </w:tc>
        <w:tc>
          <w:tcPr>
            <w:tcW w:w="2009" w:type="dxa"/>
            <w:noWrap w:val="0"/>
            <w:vAlign w:val="center"/>
          </w:tcPr>
          <w:p w14:paraId="11B546CA">
            <w:pPr>
              <w:tabs>
                <w:tab w:val="left" w:pos="1080"/>
              </w:tabs>
              <w:snapToGrid w:val="0"/>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要求</w:t>
            </w:r>
          </w:p>
        </w:tc>
      </w:tr>
      <w:tr w14:paraId="54640A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774F1459">
            <w:pPr>
              <w:tabs>
                <w:tab w:val="left" w:pos="1080"/>
              </w:tabs>
              <w:snapToGrid w:val="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w:t>
            </w:r>
          </w:p>
        </w:tc>
        <w:tc>
          <w:tcPr>
            <w:tcW w:w="2246" w:type="dxa"/>
            <w:noWrap w:val="0"/>
            <w:vAlign w:val="center"/>
          </w:tcPr>
          <w:p w14:paraId="04EDAA2C">
            <w:pPr>
              <w:tabs>
                <w:tab w:val="left" w:pos="1080"/>
              </w:tabs>
              <w:snapToGrid w:val="0"/>
              <w:spacing w:line="240" w:lineRule="auto"/>
              <w:jc w:val="center"/>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具有独立承担</w:t>
            </w:r>
          </w:p>
          <w:p w14:paraId="69143293">
            <w:pPr>
              <w:tabs>
                <w:tab w:val="left" w:pos="1080"/>
              </w:tabs>
              <w:snapToGrid w:val="0"/>
              <w:spacing w:line="24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民事责任的能力</w:t>
            </w:r>
          </w:p>
        </w:tc>
        <w:tc>
          <w:tcPr>
            <w:tcW w:w="4805" w:type="dxa"/>
            <w:noWrap w:val="0"/>
            <w:vAlign w:val="center"/>
          </w:tcPr>
          <w:p w14:paraId="490676EE">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val="0"/>
                <w:bCs w:val="0"/>
                <w:color w:val="000000" w:themeColor="text1"/>
                <w:kern w:val="0"/>
                <w:sz w:val="20"/>
                <w:szCs w:val="20"/>
                <w:lang w:val="en-US" w:eastAsia="zh-CN" w:bidi="ar-SA"/>
                <w14:textFill>
                  <w14:solidFill>
                    <w14:schemeClr w14:val="tx1"/>
                  </w14:solidFill>
                </w14:textFill>
              </w:rPr>
              <w:t>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tc>
        <w:tc>
          <w:tcPr>
            <w:tcW w:w="2009" w:type="dxa"/>
            <w:noWrap w:val="0"/>
            <w:vAlign w:val="center"/>
          </w:tcPr>
          <w:p w14:paraId="19CB1298">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提供证明文件的电子件或电子证照</w:t>
            </w:r>
          </w:p>
        </w:tc>
      </w:tr>
      <w:tr w14:paraId="0DF5C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49A0648A">
            <w:pPr>
              <w:tabs>
                <w:tab w:val="left" w:pos="1080"/>
              </w:tabs>
              <w:snapToGrid w:val="0"/>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w:t>
            </w:r>
          </w:p>
        </w:tc>
        <w:tc>
          <w:tcPr>
            <w:tcW w:w="2246" w:type="dxa"/>
            <w:noWrap w:val="0"/>
            <w:vAlign w:val="center"/>
          </w:tcPr>
          <w:p w14:paraId="3827C234">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有依法缴纳税收和社会保障资金的良好记录</w:t>
            </w:r>
          </w:p>
        </w:tc>
        <w:tc>
          <w:tcPr>
            <w:tcW w:w="4805" w:type="dxa"/>
            <w:noWrap w:val="0"/>
            <w:vAlign w:val="center"/>
          </w:tcPr>
          <w:p w14:paraId="3A36AB2D">
            <w:pPr>
              <w:tabs>
                <w:tab w:val="left" w:pos="1080"/>
              </w:tabs>
              <w:snapToGrid w:val="0"/>
              <w:spacing w:line="240" w:lineRule="auto"/>
              <w:rPr>
                <w:rFonts w:hint="eastAsia" w:ascii="仿宋" w:hAnsi="仿宋" w:eastAsia="仿宋" w:cs="仿宋"/>
                <w:color w:val="000000" w:themeColor="text1"/>
                <w:sz w:val="20"/>
                <w:szCs w:val="20"/>
                <w:lang w:val="en-US" w:eastAsia="zh-CN"/>
                <w14:textFill>
                  <w14:solidFill>
                    <w14:schemeClr w14:val="tx1"/>
                  </w14:solidFill>
                </w14:textFill>
              </w:rPr>
            </w:pPr>
            <w:r>
              <w:rPr>
                <w:rFonts w:hint="eastAsia" w:ascii="仿宋" w:hAnsi="仿宋" w:eastAsia="仿宋" w:cs="仿宋"/>
                <w:color w:val="000000" w:themeColor="text1"/>
                <w:sz w:val="20"/>
                <w:szCs w:val="20"/>
                <w:lang w:val="en-US" w:eastAsia="zh-CN"/>
                <w14:textFill>
                  <w14:solidFill>
                    <w14:schemeClr w14:val="tx1"/>
                  </w14:solidFill>
                </w14:textFill>
              </w:rPr>
              <w:t>1、提供税务机关出具近三个月的完税证明（新成立不足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w:t>
            </w:r>
          </w:p>
          <w:p w14:paraId="65C75ED8">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lang w:val="en-US" w:eastAsia="zh-CN"/>
                <w14:textFill>
                  <w14:solidFill>
                    <w14:schemeClr w14:val="tx1"/>
                  </w14:solidFill>
                </w14:textFill>
              </w:rPr>
              <w:t>2、</w:t>
            </w: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提供近段时间内指本单位连续三个月（指2025年01月至03月）的缴纳社保证明材料（社保证明材料须是社保局出具的缴纳证明或社保系统导出的缴纳汇总凭证，新成立的公司按实际发生提供，如依法不需要缴纳社会保障资金的，应提供相应文件证明</w:t>
            </w:r>
            <w:r>
              <w:rPr>
                <w:rFonts w:hint="eastAsia" w:ascii="仿宋" w:hAnsi="仿宋" w:eastAsia="仿宋" w:cs="仿宋"/>
                <w:color w:val="000000" w:themeColor="text1"/>
                <w:sz w:val="20"/>
                <w:szCs w:val="20"/>
                <w:lang w:val="en-US" w:eastAsia="zh-CN"/>
                <w14:textFill>
                  <w14:solidFill>
                    <w14:schemeClr w14:val="tx1"/>
                  </w14:solidFill>
                </w14:textFill>
              </w:rPr>
              <w:t>）</w:t>
            </w:r>
          </w:p>
        </w:tc>
        <w:tc>
          <w:tcPr>
            <w:tcW w:w="2009" w:type="dxa"/>
            <w:noWrap w:val="0"/>
            <w:vAlign w:val="center"/>
          </w:tcPr>
          <w:p w14:paraId="29F7BDA8">
            <w:pPr>
              <w:tabs>
                <w:tab w:val="left" w:pos="1080"/>
              </w:tabs>
              <w:snapToGrid w:val="0"/>
              <w:spacing w:line="24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按要求提供</w:t>
            </w:r>
          </w:p>
        </w:tc>
      </w:tr>
      <w:tr w14:paraId="0A2709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0B2881BC">
            <w:pPr>
              <w:tabs>
                <w:tab w:val="left" w:pos="1080"/>
              </w:tabs>
              <w:snapToGrid w:val="0"/>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3</w:t>
            </w:r>
          </w:p>
        </w:tc>
        <w:tc>
          <w:tcPr>
            <w:tcW w:w="2246" w:type="dxa"/>
            <w:noWrap w:val="0"/>
            <w:vAlign w:val="center"/>
          </w:tcPr>
          <w:p w14:paraId="39224441">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lang w:val="en-US" w:eastAsia="zh-CN"/>
                <w14:textFill>
                  <w14:solidFill>
                    <w14:schemeClr w14:val="tx1"/>
                  </w14:solidFill>
                </w14:textFill>
              </w:rPr>
              <w:t>具有良好的商业信誉和健全的财务会计制度</w:t>
            </w:r>
          </w:p>
        </w:tc>
        <w:tc>
          <w:tcPr>
            <w:tcW w:w="4805" w:type="dxa"/>
            <w:noWrap w:val="0"/>
            <w:vAlign w:val="center"/>
          </w:tcPr>
          <w:p w14:paraId="46D50B0F">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val="0"/>
                <w:bCs w:val="0"/>
                <w:color w:val="000000" w:themeColor="text1"/>
                <w:kern w:val="0"/>
                <w:sz w:val="20"/>
                <w:szCs w:val="20"/>
                <w:lang w:val="en-US" w:eastAsia="zh-CN" w:bidi="ar-SA"/>
                <w14:textFill>
                  <w14:solidFill>
                    <w14:schemeClr w14:val="tx1"/>
                  </w14:solidFill>
                </w14:textFill>
              </w:rPr>
              <w:t>具有良好的商业信誉和健全的财务会计制度：提供2023年度或2024年度第三方审计机构出具的审计报告（2024 年新成立的公司按实际发生的情况提供近三个月银行出具的资信证明）</w:t>
            </w:r>
          </w:p>
        </w:tc>
        <w:tc>
          <w:tcPr>
            <w:tcW w:w="2009" w:type="dxa"/>
            <w:noWrap w:val="0"/>
            <w:vAlign w:val="center"/>
          </w:tcPr>
          <w:p w14:paraId="39A57A14">
            <w:pPr>
              <w:tabs>
                <w:tab w:val="left" w:pos="1080"/>
              </w:tabs>
              <w:snapToGrid w:val="0"/>
              <w:spacing w:line="24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按要求提供</w:t>
            </w:r>
          </w:p>
        </w:tc>
      </w:tr>
      <w:tr w14:paraId="398E8A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132671A1">
            <w:pPr>
              <w:tabs>
                <w:tab w:val="left" w:pos="1080"/>
              </w:tabs>
              <w:snapToGrid w:val="0"/>
              <w:spacing w:line="24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4</w:t>
            </w:r>
          </w:p>
        </w:tc>
        <w:tc>
          <w:tcPr>
            <w:tcW w:w="2246" w:type="dxa"/>
            <w:noWrap w:val="0"/>
            <w:vAlign w:val="center"/>
          </w:tcPr>
          <w:p w14:paraId="12EABFBC">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履行合同所必需的设备和专业技术能力</w:t>
            </w:r>
          </w:p>
        </w:tc>
        <w:tc>
          <w:tcPr>
            <w:tcW w:w="4805" w:type="dxa"/>
            <w:noWrap w:val="0"/>
            <w:vAlign w:val="center"/>
          </w:tcPr>
          <w:p w14:paraId="73EE6C6A">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履行合同所必需的设备和专业技术能力，提供《投标人资格声明函》</w:t>
            </w:r>
            <w:r>
              <w:rPr>
                <w:rFonts w:hint="eastAsia" w:ascii="仿宋" w:hAnsi="仿宋" w:eastAsia="仿宋" w:cs="仿宋"/>
                <w:color w:val="000000" w:themeColor="text1"/>
                <w:sz w:val="20"/>
                <w:szCs w:val="20"/>
                <w14:textFill>
                  <w14:solidFill>
                    <w14:schemeClr w14:val="tx1"/>
                  </w14:solidFill>
                </w14:textFill>
              </w:rPr>
              <w:t>。</w:t>
            </w:r>
          </w:p>
        </w:tc>
        <w:tc>
          <w:tcPr>
            <w:tcW w:w="2009" w:type="dxa"/>
            <w:noWrap w:val="0"/>
            <w:vAlign w:val="center"/>
          </w:tcPr>
          <w:p w14:paraId="7B45EEFB">
            <w:pPr>
              <w:tabs>
                <w:tab w:val="left" w:pos="1080"/>
              </w:tabs>
              <w:snapToGrid w:val="0"/>
              <w:spacing w:line="24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按要求提供声明函</w:t>
            </w:r>
          </w:p>
        </w:tc>
      </w:tr>
      <w:tr w14:paraId="792EDE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65EF420B">
            <w:pPr>
              <w:tabs>
                <w:tab w:val="left" w:pos="1080"/>
              </w:tabs>
              <w:snapToGrid w:val="0"/>
              <w:spacing w:line="24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5</w:t>
            </w:r>
          </w:p>
        </w:tc>
        <w:tc>
          <w:tcPr>
            <w:tcW w:w="2246" w:type="dxa"/>
            <w:noWrap w:val="0"/>
            <w:vAlign w:val="center"/>
          </w:tcPr>
          <w:p w14:paraId="43E0ECB3">
            <w:pPr>
              <w:tabs>
                <w:tab w:val="left" w:pos="1080"/>
              </w:tabs>
              <w:snapToGrid w:val="0"/>
              <w:spacing w:line="24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lang w:eastAsia="zh-CN"/>
                <w14:textFill>
                  <w14:solidFill>
                    <w14:schemeClr w14:val="tx1"/>
                  </w14:solidFill>
                </w14:textFill>
              </w:rPr>
              <w:t>投标人</w:t>
            </w:r>
            <w:r>
              <w:rPr>
                <w:rFonts w:hint="eastAsia" w:ascii="仿宋" w:hAnsi="仿宋" w:eastAsia="仿宋" w:cs="仿宋"/>
                <w:color w:val="000000" w:themeColor="text1"/>
                <w:sz w:val="20"/>
                <w:szCs w:val="20"/>
                <w14:textFill>
                  <w14:solidFill>
                    <w14:schemeClr w14:val="tx1"/>
                  </w14:solidFill>
                </w14:textFill>
              </w:rPr>
              <w:t>信用记录</w:t>
            </w:r>
          </w:p>
        </w:tc>
        <w:tc>
          <w:tcPr>
            <w:tcW w:w="4805" w:type="dxa"/>
            <w:noWrap w:val="0"/>
            <w:vAlign w:val="center"/>
          </w:tcPr>
          <w:p w14:paraId="3A3E2F67">
            <w:pPr>
              <w:tabs>
                <w:tab w:val="left" w:pos="1080"/>
              </w:tabs>
              <w:snapToGrid w:val="0"/>
              <w:spacing w:line="240" w:lineRule="auto"/>
              <w:rPr>
                <w:rFonts w:hint="eastAsia" w:ascii="仿宋" w:hAnsi="仿宋" w:eastAsia="仿宋" w:cs="仿宋"/>
                <w:color w:val="000000" w:themeColor="text1"/>
                <w:sz w:val="20"/>
                <w:szCs w:val="20"/>
                <w:lang w:val="en-US" w:eastAsia="zh-CN"/>
                <w14:textFill>
                  <w14:solidFill>
                    <w14:schemeClr w14:val="tx1"/>
                  </w14:solidFill>
                </w14:textFill>
              </w:rPr>
            </w:pPr>
            <w:r>
              <w:rPr>
                <w:rFonts w:hint="eastAsia" w:ascii="仿宋" w:hAnsi="仿宋" w:eastAsia="仿宋" w:cs="仿宋"/>
                <w:color w:val="000000" w:themeColor="text1"/>
                <w:sz w:val="20"/>
                <w:szCs w:val="20"/>
                <w:lang w:val="en-US" w:eastAsia="zh-CN"/>
                <w14:textFill>
                  <w14:solidFill>
                    <w14:schemeClr w14:val="tx1"/>
                  </w14:solidFill>
                </w14:textFill>
              </w:rPr>
              <w:t>近三年拟参加本次招标项目的投标人在“信用中国（www.creditchina.gov.cn）”被列入失信被执行人、重大税收违法案件当事人名单、政府采购严重违法失信名单（尚在处罚期内的）；在“中国政府采购网（www.ccgp.gov.cn）”被列入政府采购严重违法失信行为记录名单的（尚在处罚期内的），将拒绝其参与本次政府采购活动；</w:t>
            </w:r>
          </w:p>
          <w:p w14:paraId="1892B035">
            <w:pPr>
              <w:tabs>
                <w:tab w:val="left" w:pos="1080"/>
              </w:tabs>
              <w:snapToGrid w:val="0"/>
              <w:spacing w:line="240" w:lineRule="auto"/>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截止时点：投标截止时间以后、资格审查阶段采购人或采购代理机构的实际查询时间；</w:t>
            </w:r>
          </w:p>
          <w:p w14:paraId="28CD5033">
            <w:pPr>
              <w:tabs>
                <w:tab w:val="left" w:pos="1080"/>
              </w:tabs>
              <w:snapToGrid w:val="0"/>
              <w:spacing w:line="240" w:lineRule="auto"/>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信用信息查询记录和证据留存具体方式：查询结果网页打印页作为查询记录和证据，与其他采购文件一并保存；</w:t>
            </w:r>
          </w:p>
          <w:p w14:paraId="70D1043E">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14:textFill>
                  <w14:solidFill>
                    <w14:schemeClr w14:val="tx1"/>
                  </w14:solidFill>
                </w14:textFill>
              </w:rPr>
              <w:t>信用信息的使用原则：经认定的被列入失信被执行人、重大税收违法案件当事人名单、政府采购严重违法失信行为记录名单的</w:t>
            </w:r>
            <w:r>
              <w:rPr>
                <w:rFonts w:hint="eastAsia" w:ascii="仿宋" w:hAnsi="仿宋" w:eastAsia="仿宋" w:cs="仿宋"/>
                <w:color w:val="000000" w:themeColor="text1"/>
                <w:sz w:val="20"/>
                <w:szCs w:val="20"/>
                <w:lang w:eastAsia="zh-CN"/>
                <w14:textFill>
                  <w14:solidFill>
                    <w14:schemeClr w14:val="tx1"/>
                  </w14:solidFill>
                </w14:textFill>
              </w:rPr>
              <w:t>投标人</w:t>
            </w:r>
            <w:r>
              <w:rPr>
                <w:rFonts w:hint="eastAsia" w:ascii="仿宋" w:hAnsi="仿宋" w:eastAsia="仿宋" w:cs="仿宋"/>
                <w:color w:val="000000" w:themeColor="text1"/>
                <w:sz w:val="20"/>
                <w:szCs w:val="20"/>
                <w14:textFill>
                  <w14:solidFill>
                    <w14:schemeClr w14:val="tx1"/>
                  </w14:solidFill>
                </w14:textFill>
              </w:rPr>
              <w:t>，其投标无效。联合体形式投标的，联合体成员存在不良信用记录，视同联合体存在不良信用记录。</w:t>
            </w:r>
          </w:p>
        </w:tc>
        <w:tc>
          <w:tcPr>
            <w:tcW w:w="2009" w:type="dxa"/>
            <w:noWrap w:val="0"/>
            <w:vAlign w:val="center"/>
          </w:tcPr>
          <w:p w14:paraId="225701D0">
            <w:pPr>
              <w:tabs>
                <w:tab w:val="left" w:pos="1080"/>
              </w:tabs>
              <w:snapToGrid w:val="0"/>
              <w:spacing w:line="24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提供查询截图</w:t>
            </w:r>
          </w:p>
        </w:tc>
      </w:tr>
      <w:tr w14:paraId="2B1FB1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193C2396">
            <w:pPr>
              <w:tabs>
                <w:tab w:val="left" w:pos="1080"/>
              </w:tabs>
              <w:snapToGrid w:val="0"/>
              <w:spacing w:line="24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6</w:t>
            </w:r>
          </w:p>
        </w:tc>
        <w:tc>
          <w:tcPr>
            <w:tcW w:w="2246" w:type="dxa"/>
            <w:noWrap w:val="0"/>
            <w:vAlign w:val="center"/>
          </w:tcPr>
          <w:p w14:paraId="65289E7A">
            <w:pPr>
              <w:tabs>
                <w:tab w:val="left" w:pos="1080"/>
              </w:tabs>
              <w:snapToGrid w:val="0"/>
              <w:spacing w:line="240" w:lineRule="auto"/>
              <w:rPr>
                <w:rFonts w:hint="eastAsia" w:ascii="仿宋" w:hAnsi="仿宋" w:eastAsia="仿宋" w:cs="仿宋"/>
                <w:color w:val="000000" w:themeColor="text1"/>
                <w:sz w:val="20"/>
                <w:szCs w:val="20"/>
                <w:lang w:val="en-US" w:eastAsia="zh-CN"/>
                <w14:textFill>
                  <w14:solidFill>
                    <w14:schemeClr w14:val="tx1"/>
                  </w14:solidFill>
                </w14:textFill>
              </w:rPr>
            </w:pP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无重大违法记录声明</w:t>
            </w:r>
          </w:p>
        </w:tc>
        <w:tc>
          <w:tcPr>
            <w:tcW w:w="4805" w:type="dxa"/>
            <w:noWrap w:val="0"/>
            <w:vAlign w:val="center"/>
          </w:tcPr>
          <w:p w14:paraId="6DA58D6C">
            <w:pPr>
              <w:tabs>
                <w:tab w:val="left" w:pos="1080"/>
              </w:tabs>
              <w:snapToGrid w:val="0"/>
              <w:spacing w:line="240" w:lineRule="auto"/>
              <w:rPr>
                <w:rFonts w:hint="eastAsia" w:ascii="仿宋" w:hAnsi="仿宋" w:eastAsia="仿宋" w:cs="仿宋"/>
                <w:color w:val="000000" w:themeColor="text1"/>
                <w:sz w:val="20"/>
                <w:szCs w:val="20"/>
                <w14:textFill>
                  <w14:solidFill>
                    <w14:schemeClr w14:val="tx1"/>
                  </w14:solidFill>
                </w14:textFill>
              </w:rPr>
            </w:pPr>
            <w:r>
              <w:rPr>
                <w:rFonts w:hint="eastAsia" w:ascii="仿宋" w:hAnsi="仿宋" w:eastAsia="仿宋" w:cs="仿宋"/>
                <w:b w:val="0"/>
                <w:bCs w:val="0"/>
                <w:color w:val="000000" w:themeColor="text1"/>
                <w:kern w:val="0"/>
                <w:sz w:val="21"/>
                <w:szCs w:val="21"/>
                <w:lang w:val="en-US" w:eastAsia="zh-CN" w:bidi="ar-SA"/>
                <w14:textFill>
                  <w14:solidFill>
                    <w14:schemeClr w14:val="tx1"/>
                  </w14:solidFill>
                </w14:textFill>
              </w:rPr>
              <w:t>参加采购活动前3年内，在经营活动中没有重大违法记录（提供声明函）</w:t>
            </w:r>
          </w:p>
        </w:tc>
        <w:tc>
          <w:tcPr>
            <w:tcW w:w="2009" w:type="dxa"/>
            <w:noWrap w:val="0"/>
            <w:vAlign w:val="center"/>
          </w:tcPr>
          <w:p w14:paraId="025BFE16">
            <w:pPr>
              <w:tabs>
                <w:tab w:val="left" w:pos="1080"/>
              </w:tabs>
              <w:snapToGrid w:val="0"/>
              <w:spacing w:line="24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按要求提供声明函</w:t>
            </w:r>
          </w:p>
        </w:tc>
      </w:tr>
      <w:tr w14:paraId="4E7C07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27D39AC4">
            <w:pPr>
              <w:tabs>
                <w:tab w:val="left" w:pos="1080"/>
              </w:tabs>
              <w:snapToGrid w:val="0"/>
              <w:spacing w:line="24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7</w:t>
            </w:r>
          </w:p>
        </w:tc>
        <w:tc>
          <w:tcPr>
            <w:tcW w:w="2246" w:type="dxa"/>
            <w:noWrap w:val="0"/>
            <w:vAlign w:val="center"/>
          </w:tcPr>
          <w:p w14:paraId="753E2C25">
            <w:pPr>
              <w:tabs>
                <w:tab w:val="left" w:pos="1080"/>
              </w:tabs>
              <w:snapToGrid w:val="0"/>
              <w:spacing w:line="24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0"/>
                <w:szCs w:val="20"/>
                <w:lang w:val="en-US" w:eastAsia="zh-CN"/>
                <w14:textFill>
                  <w14:solidFill>
                    <w14:schemeClr w14:val="tx1"/>
                  </w14:solidFill>
                </w14:textFill>
              </w:rPr>
              <w:t>投标人关联关系</w:t>
            </w:r>
          </w:p>
        </w:tc>
        <w:tc>
          <w:tcPr>
            <w:tcW w:w="4805" w:type="dxa"/>
            <w:noWrap w:val="0"/>
            <w:vAlign w:val="center"/>
          </w:tcPr>
          <w:p w14:paraId="79710127">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企业负责人为同一人或者存在直接控股、管理关系的不同投标人，不得参加同一合同项下的政府采购活动（提供声明函），否则，皆取消投标资格。</w:t>
            </w:r>
          </w:p>
        </w:tc>
        <w:tc>
          <w:tcPr>
            <w:tcW w:w="2009" w:type="dxa"/>
            <w:noWrap w:val="0"/>
            <w:vAlign w:val="center"/>
          </w:tcPr>
          <w:p w14:paraId="06746316">
            <w:pPr>
              <w:tabs>
                <w:tab w:val="left" w:pos="1080"/>
              </w:tabs>
              <w:snapToGrid w:val="0"/>
              <w:spacing w:line="24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按要求提供声明函</w:t>
            </w:r>
          </w:p>
        </w:tc>
      </w:tr>
      <w:tr w14:paraId="5D27A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3E8F414F">
            <w:pPr>
              <w:tabs>
                <w:tab w:val="left" w:pos="1080"/>
              </w:tabs>
              <w:snapToGrid w:val="0"/>
              <w:spacing w:line="24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8</w:t>
            </w:r>
          </w:p>
        </w:tc>
        <w:tc>
          <w:tcPr>
            <w:tcW w:w="2246" w:type="dxa"/>
            <w:noWrap w:val="0"/>
            <w:vAlign w:val="center"/>
          </w:tcPr>
          <w:p w14:paraId="1E996AE8">
            <w:pPr>
              <w:tabs>
                <w:tab w:val="left" w:pos="1080"/>
              </w:tabs>
              <w:snapToGrid w:val="0"/>
              <w:spacing w:line="24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磋商</w:t>
            </w:r>
            <w:r>
              <w:rPr>
                <w:rFonts w:hint="eastAsia" w:ascii="仿宋" w:hAnsi="仿宋" w:eastAsia="仿宋" w:cs="仿宋"/>
                <w:color w:val="000000" w:themeColor="text1"/>
                <w:sz w:val="21"/>
                <w:szCs w:val="21"/>
                <w14:textFill>
                  <w14:solidFill>
                    <w14:schemeClr w14:val="tx1"/>
                  </w14:solidFill>
                </w14:textFill>
              </w:rPr>
              <w:t>保证金</w:t>
            </w:r>
          </w:p>
        </w:tc>
        <w:tc>
          <w:tcPr>
            <w:tcW w:w="4805" w:type="dxa"/>
            <w:noWrap w:val="0"/>
            <w:vAlign w:val="center"/>
          </w:tcPr>
          <w:p w14:paraId="2C70AFE5">
            <w:pPr>
              <w:tabs>
                <w:tab w:val="left" w:pos="1080"/>
              </w:tabs>
              <w:snapToGrid w:val="0"/>
              <w:spacing w:line="24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按照</w:t>
            </w:r>
            <w:r>
              <w:rPr>
                <w:rFonts w:hint="eastAsia" w:ascii="仿宋" w:hAnsi="仿宋" w:eastAsia="仿宋" w:cs="仿宋"/>
                <w:color w:val="000000" w:themeColor="text1"/>
                <w:sz w:val="21"/>
                <w:szCs w:val="21"/>
                <w:lang w:eastAsia="zh-CN"/>
                <w14:textFill>
                  <w14:solidFill>
                    <w14:schemeClr w14:val="tx1"/>
                  </w14:solidFill>
                </w14:textFill>
              </w:rPr>
              <w:t>磋商文件</w:t>
            </w:r>
            <w:r>
              <w:rPr>
                <w:rFonts w:hint="eastAsia" w:ascii="仿宋" w:hAnsi="仿宋" w:eastAsia="仿宋" w:cs="仿宋"/>
                <w:color w:val="000000" w:themeColor="text1"/>
                <w:sz w:val="21"/>
                <w:szCs w:val="21"/>
                <w14:textFill>
                  <w14:solidFill>
                    <w14:schemeClr w14:val="tx1"/>
                  </w14:solidFill>
                </w14:textFill>
              </w:rPr>
              <w:t>的规定提交</w:t>
            </w:r>
            <w:r>
              <w:rPr>
                <w:rFonts w:hint="eastAsia" w:ascii="仿宋" w:hAnsi="仿宋" w:eastAsia="仿宋" w:cs="仿宋"/>
                <w:color w:val="000000" w:themeColor="text1"/>
                <w:sz w:val="21"/>
                <w:szCs w:val="21"/>
                <w:lang w:eastAsia="zh-CN"/>
                <w14:textFill>
                  <w14:solidFill>
                    <w14:schemeClr w14:val="tx1"/>
                  </w14:solidFill>
                </w14:textFill>
              </w:rPr>
              <w:t>磋商</w:t>
            </w:r>
            <w:r>
              <w:rPr>
                <w:rFonts w:hint="eastAsia" w:ascii="仿宋" w:hAnsi="仿宋" w:eastAsia="仿宋" w:cs="仿宋"/>
                <w:color w:val="000000" w:themeColor="text1"/>
                <w:sz w:val="21"/>
                <w:szCs w:val="21"/>
                <w14:textFill>
                  <w14:solidFill>
                    <w14:schemeClr w14:val="tx1"/>
                  </w14:solidFill>
                </w14:textFill>
              </w:rPr>
              <w:t>保证金</w:t>
            </w:r>
            <w:r>
              <w:rPr>
                <w:rFonts w:hint="eastAsia" w:ascii="仿宋" w:hAnsi="仿宋" w:eastAsia="仿宋" w:cs="仿宋"/>
                <w:color w:val="000000" w:themeColor="text1"/>
                <w:sz w:val="21"/>
                <w:szCs w:val="21"/>
                <w:lang w:eastAsia="zh-CN"/>
                <w14:textFill>
                  <w14:solidFill>
                    <w14:schemeClr w14:val="tx1"/>
                  </w14:solidFill>
                </w14:textFill>
              </w:rPr>
              <w:t>或保函</w:t>
            </w:r>
            <w:r>
              <w:rPr>
                <w:rFonts w:hint="eastAsia" w:ascii="仿宋" w:hAnsi="仿宋" w:eastAsia="仿宋" w:cs="仿宋"/>
                <w:color w:val="000000" w:themeColor="text1"/>
                <w:sz w:val="21"/>
                <w:szCs w:val="21"/>
                <w14:textFill>
                  <w14:solidFill>
                    <w14:schemeClr w14:val="tx1"/>
                  </w14:solidFill>
                </w14:textFill>
              </w:rPr>
              <w:t>。</w:t>
            </w:r>
          </w:p>
        </w:tc>
        <w:tc>
          <w:tcPr>
            <w:tcW w:w="2009" w:type="dxa"/>
            <w:noWrap w:val="0"/>
            <w:vAlign w:val="center"/>
          </w:tcPr>
          <w:p w14:paraId="539E8CCC">
            <w:pPr>
              <w:tabs>
                <w:tab w:val="left" w:pos="1080"/>
              </w:tabs>
              <w:snapToGrid w:val="0"/>
              <w:spacing w:line="24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提供打款凭证或保函单</w:t>
            </w:r>
          </w:p>
        </w:tc>
        <w:bookmarkStart w:id="83" w:name="_Hlt487900425"/>
        <w:bookmarkStart w:id="84" w:name="_Hlt522424701"/>
      </w:tr>
      <w:tr w14:paraId="58B1B8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76EC164A">
            <w:pPr>
              <w:tabs>
                <w:tab w:val="left" w:pos="1080"/>
              </w:tabs>
              <w:snapToGrid w:val="0"/>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2246" w:type="dxa"/>
            <w:noWrap w:val="0"/>
            <w:vAlign w:val="center"/>
          </w:tcPr>
          <w:p w14:paraId="214E3D55">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中小企业</w:t>
            </w:r>
          </w:p>
        </w:tc>
        <w:tc>
          <w:tcPr>
            <w:tcW w:w="4805" w:type="dxa"/>
            <w:noWrap w:val="0"/>
            <w:vAlign w:val="center"/>
          </w:tcPr>
          <w:p w14:paraId="5F079602">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sz w:val="21"/>
                <w:szCs w:val="21"/>
                <w:lang w:val="en-US" w:eastAsia="zh-CN"/>
              </w:rPr>
              <w:t>是否按照磋商文件的规定提供《中小企业声明函》</w:t>
            </w:r>
          </w:p>
        </w:tc>
        <w:tc>
          <w:tcPr>
            <w:tcW w:w="2009" w:type="dxa"/>
            <w:noWrap w:val="0"/>
            <w:vAlign w:val="center"/>
          </w:tcPr>
          <w:p w14:paraId="504866B1">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000000" w:themeColor="text1"/>
                <w:sz w:val="21"/>
                <w:szCs w:val="21"/>
                <w:lang w:val="en-US" w:eastAsia="zh-CN"/>
                <w14:textFill>
                  <w14:solidFill>
                    <w14:schemeClr w14:val="tx1"/>
                  </w14:solidFill>
                </w14:textFill>
              </w:rPr>
              <w:t>按要求提供</w:t>
            </w:r>
          </w:p>
        </w:tc>
      </w:tr>
      <w:bookmarkEnd w:id="83"/>
      <w:bookmarkEnd w:id="84"/>
    </w:tbl>
    <w:p w14:paraId="14260D79">
      <w:pPr>
        <w:pStyle w:val="28"/>
        <w:rPr>
          <w:rFonts w:hint="eastAsia" w:ascii="仿宋" w:hAnsi="仿宋" w:eastAsia="仿宋" w:cs="仿宋"/>
          <w:color w:val="auto"/>
          <w:sz w:val="21"/>
          <w:szCs w:val="21"/>
          <w:lang w:eastAsia="zh-CN"/>
        </w:rPr>
      </w:pPr>
    </w:p>
    <w:p w14:paraId="44D11A2B">
      <w:pPr>
        <w:spacing w:line="360" w:lineRule="auto"/>
        <w:jc w:val="both"/>
        <w:rPr>
          <w:rFonts w:hint="eastAsia" w:ascii="仿宋" w:hAnsi="仿宋" w:eastAsia="仿宋" w:cs="仿宋"/>
          <w:color w:val="auto"/>
          <w:sz w:val="21"/>
          <w:szCs w:val="21"/>
          <w:lang w:val="zh-CN"/>
        </w:rPr>
      </w:pPr>
      <w:bookmarkStart w:id="85" w:name="_Toc349637925"/>
      <w:bookmarkStart w:id="86" w:name="_Toc267301287"/>
      <w:bookmarkStart w:id="87" w:name="_Toc527642957"/>
      <w:bookmarkStart w:id="88" w:name="_Toc471489758"/>
      <w:bookmarkStart w:id="89" w:name="_Toc349573126"/>
      <w:bookmarkStart w:id="90" w:name="_Toc298240410"/>
      <w:bookmarkStart w:id="91" w:name="_Toc267301288"/>
      <w:r>
        <w:rPr>
          <w:rFonts w:hint="eastAsia" w:ascii="仿宋" w:hAnsi="仿宋" w:eastAsia="仿宋" w:cs="仿宋"/>
          <w:color w:val="auto"/>
          <w:sz w:val="21"/>
          <w:szCs w:val="21"/>
          <w:lang w:val="zh-CN"/>
        </w:rPr>
        <w:t>备注：1、如果资格评审中有一项不满足审查标准的，资格审查小组将认定该供应商不通过资格审查，不得进入下一阶段评审。并且不允许供应商通过修改或撤销其不符合要求的差异或保留，使之成为具有响应性的投标。</w:t>
      </w:r>
    </w:p>
    <w:p w14:paraId="7FA031EA">
      <w:pPr>
        <w:rPr>
          <w:rFonts w:hint="eastAsia" w:ascii="仿宋" w:hAnsi="仿宋" w:eastAsia="仿宋" w:cs="仿宋"/>
          <w:color w:val="auto"/>
          <w:sz w:val="21"/>
          <w:szCs w:val="21"/>
        </w:rPr>
      </w:pPr>
    </w:p>
    <w:p w14:paraId="7CB85991">
      <w:pPr>
        <w:numPr>
          <w:ilvl w:val="0"/>
          <w:numId w:val="0"/>
        </w:numPr>
        <w:tabs>
          <w:tab w:val="left" w:pos="360"/>
        </w:tabs>
        <w:snapToGrid w:val="0"/>
        <w:spacing w:line="360" w:lineRule="auto"/>
        <w:ind w:left="900" w:leftChars="0" w:hanging="900" w:firstLineChars="0"/>
        <w:outlineLvl w:val="1"/>
        <w:rPr>
          <w:rFonts w:hint="eastAsia" w:ascii="仿宋" w:hAnsi="仿宋" w:eastAsia="仿宋" w:cs="仿宋"/>
          <w:b/>
          <w:bCs/>
          <w:color w:val="000000" w:themeColor="text1"/>
          <w:sz w:val="24"/>
          <w14:textFill>
            <w14:solidFill>
              <w14:schemeClr w14:val="tx1"/>
            </w14:solidFill>
          </w14:textFill>
        </w:rPr>
      </w:pPr>
      <w:bookmarkStart w:id="92" w:name="_Toc164229236"/>
      <w:bookmarkStart w:id="93" w:name="_Toc151193711"/>
      <w:bookmarkStart w:id="94" w:name="_Toc142311043"/>
      <w:bookmarkStart w:id="95" w:name="_Toc151193929"/>
      <w:bookmarkStart w:id="96" w:name="_Toc151193639"/>
      <w:bookmarkStart w:id="97" w:name="_Toc151193783"/>
      <w:bookmarkStart w:id="98" w:name="_Toc27835"/>
      <w:bookmarkStart w:id="99" w:name="_Toc127151541"/>
      <w:bookmarkStart w:id="100" w:name="_Toc150480779"/>
      <w:bookmarkStart w:id="101" w:name="_Toc164608810"/>
      <w:bookmarkStart w:id="102" w:name="_Toc164608655"/>
      <w:bookmarkStart w:id="103" w:name="_Toc164229382"/>
      <w:bookmarkStart w:id="104" w:name="_Toc127151742"/>
      <w:bookmarkStart w:id="105" w:name="_Toc150509292"/>
      <w:bookmarkStart w:id="106" w:name="_Toc305158883"/>
      <w:bookmarkStart w:id="107" w:name="_Toc149720834"/>
      <w:bookmarkStart w:id="108" w:name="_Toc150774641"/>
      <w:bookmarkStart w:id="109" w:name="_Toc127161455"/>
      <w:bookmarkStart w:id="110" w:name="_Toc164351635"/>
      <w:bookmarkStart w:id="111" w:name="_Toc195842906"/>
      <w:bookmarkStart w:id="112" w:name="_Toc226965731"/>
      <w:bookmarkStart w:id="113" w:name="_Toc226965814"/>
      <w:bookmarkStart w:id="114" w:name="_Toc151190168"/>
      <w:bookmarkStart w:id="115" w:name="_Toc265228379"/>
      <w:bookmarkStart w:id="116" w:name="_Toc264969231"/>
      <w:bookmarkStart w:id="117" w:name="_Toc151193855"/>
      <w:bookmarkStart w:id="118" w:name="_Toc226337237"/>
      <w:bookmarkStart w:id="119" w:name="_Toc305158809"/>
      <w:bookmarkStart w:id="120" w:name="_Toc150774746"/>
      <w:bookmarkStart w:id="121" w:name="_Toc226309785"/>
      <w:r>
        <w:rPr>
          <w:rFonts w:hint="eastAsia" w:ascii="仿宋" w:hAnsi="仿宋" w:eastAsia="仿宋" w:cs="仿宋"/>
          <w:b/>
          <w:bCs/>
          <w:color w:val="000000" w:themeColor="text1"/>
          <w:kern w:val="2"/>
          <w:sz w:val="24"/>
          <w:lang w:val="en-US" w:eastAsia="zh-CN" w:bidi="ar-SA"/>
          <w14:textFill>
            <w14:solidFill>
              <w14:schemeClr w14:val="tx1"/>
            </w14:solidFill>
          </w14:textFill>
        </w:rPr>
        <w:t>二、</w:t>
      </w:r>
      <w:r>
        <w:rPr>
          <w:rFonts w:hint="eastAsia" w:ascii="仿宋" w:hAnsi="仿宋" w:eastAsia="仿宋" w:cs="仿宋"/>
          <w:b/>
          <w:bCs/>
          <w:color w:val="000000" w:themeColor="text1"/>
          <w:sz w:val="24"/>
          <w:lang w:eastAsia="zh-CN"/>
          <w14:textFill>
            <w14:solidFill>
              <w14:schemeClr w14:val="tx1"/>
            </w14:solidFill>
          </w14:textFill>
        </w:rPr>
        <w:t>响应文件</w:t>
      </w:r>
      <w:r>
        <w:rPr>
          <w:rFonts w:hint="eastAsia" w:ascii="仿宋" w:hAnsi="仿宋" w:eastAsia="仿宋" w:cs="仿宋"/>
          <w:b/>
          <w:bCs/>
          <w:color w:val="000000" w:themeColor="text1"/>
          <w:sz w:val="24"/>
          <w14:textFill>
            <w14:solidFill>
              <w14:schemeClr w14:val="tx1"/>
            </w14:solidFill>
          </w14:textFill>
        </w:rPr>
        <w:t>的符合性审查</w:t>
      </w:r>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p>
    <w:p w14:paraId="04ED6D46">
      <w:pPr>
        <w:numPr>
          <w:ilvl w:val="1"/>
          <w:numId w:val="0"/>
        </w:numPr>
        <w:snapToGrid w:val="0"/>
        <w:spacing w:line="360" w:lineRule="auto"/>
        <w:ind w:left="0" w:leftChars="0" w:hanging="17" w:firstLineChars="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评标委员会对资格审查合格的投标人的</w:t>
      </w:r>
      <w:r>
        <w:rPr>
          <w:rFonts w:hint="eastAsia" w:ascii="仿宋" w:hAnsi="仿宋" w:eastAsia="仿宋" w:cs="仿宋"/>
          <w:color w:val="000000" w:themeColor="text1"/>
          <w:sz w:val="24"/>
          <w:lang w:eastAsia="zh-CN"/>
          <w14:textFill>
            <w14:solidFill>
              <w14:schemeClr w14:val="tx1"/>
            </w14:solidFill>
          </w14:textFill>
        </w:rPr>
        <w:t>响应文件</w:t>
      </w:r>
      <w:r>
        <w:rPr>
          <w:rFonts w:hint="eastAsia" w:ascii="仿宋" w:hAnsi="仿宋" w:eastAsia="仿宋" w:cs="仿宋"/>
          <w:color w:val="000000" w:themeColor="text1"/>
          <w:sz w:val="24"/>
          <w14:textFill>
            <w14:solidFill>
              <w14:schemeClr w14:val="tx1"/>
            </w14:solidFill>
          </w14:textFill>
        </w:rPr>
        <w:t>进行符合性审查，以确定其是否满足</w:t>
      </w:r>
      <w:r>
        <w:rPr>
          <w:rFonts w:hint="eastAsia" w:ascii="仿宋" w:hAnsi="仿宋" w:eastAsia="仿宋" w:cs="仿宋"/>
          <w:color w:val="000000" w:themeColor="text1"/>
          <w:sz w:val="24"/>
          <w:lang w:eastAsia="zh-CN"/>
          <w14:textFill>
            <w14:solidFill>
              <w14:schemeClr w14:val="tx1"/>
            </w14:solidFill>
          </w14:textFill>
        </w:rPr>
        <w:t>磋商文件</w:t>
      </w:r>
      <w:r>
        <w:rPr>
          <w:rFonts w:hint="eastAsia" w:ascii="仿宋" w:hAnsi="仿宋" w:eastAsia="仿宋" w:cs="仿宋"/>
          <w:color w:val="000000" w:themeColor="text1"/>
          <w:sz w:val="24"/>
          <w14:textFill>
            <w14:solidFill>
              <w14:schemeClr w14:val="tx1"/>
            </w14:solidFill>
          </w14:textFill>
        </w:rPr>
        <w:t>的实质性要求。</w:t>
      </w:r>
      <w:bookmarkStart w:id="122" w:name="_Toc520356167"/>
    </w:p>
    <w:p w14:paraId="4BC2B043">
      <w:pPr>
        <w:numPr>
          <w:ilvl w:val="1"/>
          <w:numId w:val="0"/>
        </w:numPr>
        <w:snapToGrid w:val="0"/>
        <w:spacing w:line="360" w:lineRule="auto"/>
        <w:ind w:left="0" w:leftChars="0" w:firstLine="0" w:firstLineChars="0"/>
        <w:rPr>
          <w:rFonts w:hint="eastAsia"/>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2</w:t>
      </w:r>
      <w:r>
        <w:rPr>
          <w:rFonts w:hint="eastAsia" w:ascii="仿宋" w:hAnsi="仿宋" w:eastAsia="仿宋" w:cs="仿宋"/>
          <w:color w:val="000000" w:themeColor="text1"/>
          <w:sz w:val="24"/>
          <w14:textFill>
            <w14:solidFill>
              <w14:schemeClr w14:val="tx1"/>
            </w14:solidFill>
          </w14:textFill>
        </w:rPr>
        <w:t>评标委员会根据《符合性审查要求》中规定的审查因素和审查内容，对投标人的</w:t>
      </w:r>
      <w:r>
        <w:rPr>
          <w:rFonts w:hint="eastAsia" w:ascii="仿宋" w:hAnsi="仿宋" w:eastAsia="仿宋" w:cs="仿宋"/>
          <w:color w:val="000000" w:themeColor="text1"/>
          <w:sz w:val="24"/>
          <w:lang w:eastAsia="zh-CN"/>
          <w14:textFill>
            <w14:solidFill>
              <w14:schemeClr w14:val="tx1"/>
            </w14:solidFill>
          </w14:textFill>
        </w:rPr>
        <w:t>响应文件</w:t>
      </w:r>
      <w:r>
        <w:rPr>
          <w:rFonts w:hint="eastAsia" w:ascii="仿宋" w:hAnsi="仿宋" w:eastAsia="仿宋" w:cs="仿宋"/>
          <w:color w:val="000000" w:themeColor="text1"/>
          <w:sz w:val="24"/>
          <w14:textFill>
            <w14:solidFill>
              <w14:schemeClr w14:val="tx1"/>
            </w14:solidFill>
          </w14:textFill>
        </w:rPr>
        <w:t>是否实质上响应</w:t>
      </w:r>
      <w:r>
        <w:rPr>
          <w:rFonts w:hint="eastAsia" w:ascii="仿宋" w:hAnsi="仿宋" w:eastAsia="仿宋" w:cs="仿宋"/>
          <w:color w:val="000000" w:themeColor="text1"/>
          <w:sz w:val="24"/>
          <w:lang w:eastAsia="zh-CN"/>
          <w14:textFill>
            <w14:solidFill>
              <w14:schemeClr w14:val="tx1"/>
            </w14:solidFill>
          </w14:textFill>
        </w:rPr>
        <w:t>磋商文件</w:t>
      </w:r>
      <w:r>
        <w:rPr>
          <w:rFonts w:hint="eastAsia" w:ascii="仿宋" w:hAnsi="仿宋" w:eastAsia="仿宋" w:cs="仿宋"/>
          <w:color w:val="000000" w:themeColor="text1"/>
          <w:sz w:val="24"/>
          <w14:textFill>
            <w14:solidFill>
              <w14:schemeClr w14:val="tx1"/>
            </w14:solidFill>
          </w14:textFill>
        </w:rPr>
        <w:t>进行符合性审查，并形成符合性审查评审结果。投标人《商务技术文件》有任何一项不符合《符合性审查要求》</w:t>
      </w:r>
      <w:bookmarkEnd w:id="122"/>
      <w:r>
        <w:rPr>
          <w:rFonts w:hint="eastAsia" w:ascii="仿宋" w:hAnsi="仿宋" w:eastAsia="仿宋" w:cs="仿宋"/>
          <w:color w:val="000000" w:themeColor="text1"/>
          <w:sz w:val="24"/>
          <w14:textFill>
            <w14:solidFill>
              <w14:schemeClr w14:val="tx1"/>
            </w14:solidFill>
          </w14:textFill>
        </w:rPr>
        <w:t>要求的，</w:t>
      </w:r>
      <w:r>
        <w:rPr>
          <w:rFonts w:hint="eastAsia" w:ascii="仿宋" w:hAnsi="仿宋" w:eastAsia="仿宋" w:cs="仿宋"/>
          <w:b/>
          <w:color w:val="000000" w:themeColor="text1"/>
          <w:sz w:val="24"/>
          <w14:textFill>
            <w14:solidFill>
              <w14:schemeClr w14:val="tx1"/>
            </w14:solidFill>
          </w14:textFill>
        </w:rPr>
        <w:t>投标无效</w:t>
      </w:r>
      <w:r>
        <w:rPr>
          <w:rFonts w:hint="eastAsia" w:ascii="仿宋" w:hAnsi="仿宋" w:eastAsia="仿宋" w:cs="仿宋"/>
          <w:color w:val="000000" w:themeColor="text1"/>
          <w:sz w:val="24"/>
          <w14:textFill>
            <w14:solidFill>
              <w14:schemeClr w14:val="tx1"/>
            </w14:solidFill>
          </w14:textFill>
        </w:rPr>
        <w:t>。</w:t>
      </w:r>
    </w:p>
    <w:p w14:paraId="299FE282">
      <w:pPr>
        <w:rPr>
          <w:rFonts w:hint="eastAsia" w:ascii="仿宋" w:hAnsi="仿宋" w:eastAsia="仿宋" w:cs="仿宋"/>
          <w:b/>
          <w:bCs/>
          <w:color w:val="auto"/>
          <w:sz w:val="21"/>
          <w:szCs w:val="21"/>
        </w:rPr>
      </w:pPr>
      <w:r>
        <w:rPr>
          <w:rFonts w:hint="eastAsia" w:ascii="仿宋" w:hAnsi="仿宋" w:eastAsia="仿宋" w:cs="仿宋"/>
          <w:b/>
          <w:bCs/>
          <w:color w:val="auto"/>
          <w:sz w:val="21"/>
          <w:szCs w:val="21"/>
        </w:rPr>
        <w:br w:type="page"/>
      </w:r>
    </w:p>
    <w:p w14:paraId="510C276D">
      <w:pPr>
        <w:rPr>
          <w:rFonts w:hint="eastAsia" w:ascii="仿宋" w:hAnsi="仿宋" w:eastAsia="仿宋" w:cs="仿宋"/>
          <w:b/>
          <w:bCs/>
          <w:color w:val="auto"/>
          <w:sz w:val="21"/>
          <w:szCs w:val="21"/>
        </w:rPr>
      </w:pPr>
      <w:r>
        <w:rPr>
          <w:rFonts w:hint="eastAsia" w:ascii="仿宋" w:hAnsi="仿宋" w:eastAsia="仿宋" w:cs="仿宋"/>
          <w:b/>
          <w:bCs/>
          <w:color w:val="auto"/>
          <w:sz w:val="21"/>
          <w:szCs w:val="21"/>
        </w:rPr>
        <w:t>表</w:t>
      </w:r>
      <w:r>
        <w:rPr>
          <w:rFonts w:hint="eastAsia" w:ascii="仿宋" w:hAnsi="仿宋" w:eastAsia="仿宋" w:cs="仿宋"/>
          <w:b/>
          <w:bCs/>
          <w:color w:val="auto"/>
          <w:sz w:val="21"/>
          <w:szCs w:val="21"/>
          <w:lang w:eastAsia="zh-CN"/>
        </w:rPr>
        <w:t>二：符合性审查要求</w:t>
      </w:r>
    </w:p>
    <w:tbl>
      <w:tblPr>
        <w:tblStyle w:val="24"/>
        <w:tblpPr w:leftFromText="180" w:rightFromText="180" w:vertAnchor="text" w:horzAnchor="page" w:tblpX="1187" w:tblpY="163"/>
        <w:tblOverlap w:val="never"/>
        <w:tblW w:w="93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14:paraId="4DAF1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trPr>
        <w:tc>
          <w:tcPr>
            <w:tcW w:w="629" w:type="dxa"/>
            <w:vAlign w:val="center"/>
          </w:tcPr>
          <w:p w14:paraId="5091A5A0">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项目</w:t>
            </w:r>
          </w:p>
        </w:tc>
        <w:tc>
          <w:tcPr>
            <w:tcW w:w="6068" w:type="dxa"/>
            <w:gridSpan w:val="2"/>
            <w:vAlign w:val="center"/>
          </w:tcPr>
          <w:p w14:paraId="3D2B141A">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评  审  内  容</w:t>
            </w:r>
          </w:p>
        </w:tc>
        <w:tc>
          <w:tcPr>
            <w:tcW w:w="649" w:type="dxa"/>
            <w:vAlign w:val="center"/>
          </w:tcPr>
          <w:p w14:paraId="7965CDDB">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lang w:val="en-US" w:eastAsia="zh-CN"/>
              </w:rPr>
              <w:t xml:space="preserve"> </w:t>
            </w:r>
            <w:r>
              <w:rPr>
                <w:rFonts w:hint="eastAsia" w:ascii="仿宋" w:hAnsi="仿宋" w:eastAsia="仿宋" w:cs="仿宋"/>
                <w:bCs/>
                <w:color w:val="auto"/>
                <w:sz w:val="21"/>
                <w:szCs w:val="21"/>
              </w:rPr>
              <w:t>投标企业</w:t>
            </w:r>
          </w:p>
        </w:tc>
        <w:tc>
          <w:tcPr>
            <w:tcW w:w="649" w:type="dxa"/>
            <w:vAlign w:val="center"/>
          </w:tcPr>
          <w:p w14:paraId="0384347E">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49" w:type="dxa"/>
            <w:vAlign w:val="center"/>
          </w:tcPr>
          <w:p w14:paraId="72EE1C4F">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74" w:type="dxa"/>
            <w:vAlign w:val="center"/>
          </w:tcPr>
          <w:p w14:paraId="2D2FDEE5">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r>
      <w:tr w14:paraId="57B41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trPr>
        <w:tc>
          <w:tcPr>
            <w:tcW w:w="629" w:type="dxa"/>
            <w:vAlign w:val="center"/>
          </w:tcPr>
          <w:p w14:paraId="16998B5D">
            <w:pPr>
              <w:ind w:left="105" w:leftChars="50" w:firstLine="0" w:firstLineChars="0"/>
              <w:rPr>
                <w:rFonts w:hint="eastAsia" w:ascii="仿宋" w:hAnsi="仿宋" w:eastAsia="仿宋" w:cs="仿宋"/>
                <w:color w:val="auto"/>
                <w:sz w:val="21"/>
                <w:szCs w:val="21"/>
              </w:rPr>
            </w:pPr>
          </w:p>
        </w:tc>
        <w:tc>
          <w:tcPr>
            <w:tcW w:w="552" w:type="dxa"/>
            <w:vAlign w:val="center"/>
          </w:tcPr>
          <w:p w14:paraId="3E807DFE">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5516" w:type="dxa"/>
            <w:vAlign w:val="center"/>
          </w:tcPr>
          <w:p w14:paraId="0F30C942">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供应商是否对同一招标项目做出两个以上报价而未明确效力</w:t>
            </w:r>
          </w:p>
        </w:tc>
        <w:tc>
          <w:tcPr>
            <w:tcW w:w="649" w:type="dxa"/>
            <w:vAlign w:val="center"/>
          </w:tcPr>
          <w:p w14:paraId="3EE58910">
            <w:pPr>
              <w:ind w:left="105" w:hanging="105"/>
              <w:rPr>
                <w:rFonts w:hint="eastAsia" w:ascii="仿宋" w:hAnsi="仿宋" w:eastAsia="仿宋" w:cs="仿宋"/>
                <w:color w:val="auto"/>
                <w:sz w:val="21"/>
                <w:szCs w:val="21"/>
              </w:rPr>
            </w:pPr>
          </w:p>
        </w:tc>
        <w:tc>
          <w:tcPr>
            <w:tcW w:w="649" w:type="dxa"/>
            <w:vAlign w:val="center"/>
          </w:tcPr>
          <w:p w14:paraId="5B0F1AC1">
            <w:pPr>
              <w:ind w:left="105" w:hanging="105"/>
              <w:rPr>
                <w:rFonts w:hint="eastAsia" w:ascii="仿宋" w:hAnsi="仿宋" w:eastAsia="仿宋" w:cs="仿宋"/>
                <w:color w:val="auto"/>
                <w:sz w:val="21"/>
                <w:szCs w:val="21"/>
              </w:rPr>
            </w:pPr>
          </w:p>
        </w:tc>
        <w:tc>
          <w:tcPr>
            <w:tcW w:w="649" w:type="dxa"/>
            <w:vAlign w:val="center"/>
          </w:tcPr>
          <w:p w14:paraId="30B808BA">
            <w:pPr>
              <w:ind w:left="105" w:hanging="105"/>
              <w:rPr>
                <w:rFonts w:hint="eastAsia" w:ascii="仿宋" w:hAnsi="仿宋" w:eastAsia="仿宋" w:cs="仿宋"/>
                <w:color w:val="auto"/>
                <w:sz w:val="21"/>
                <w:szCs w:val="21"/>
              </w:rPr>
            </w:pPr>
          </w:p>
        </w:tc>
        <w:tc>
          <w:tcPr>
            <w:tcW w:w="674" w:type="dxa"/>
            <w:vAlign w:val="center"/>
          </w:tcPr>
          <w:p w14:paraId="16A7620E">
            <w:pPr>
              <w:ind w:left="105" w:hanging="105"/>
              <w:rPr>
                <w:rFonts w:hint="eastAsia" w:ascii="仿宋" w:hAnsi="仿宋" w:eastAsia="仿宋" w:cs="仿宋"/>
                <w:color w:val="auto"/>
                <w:sz w:val="21"/>
                <w:szCs w:val="21"/>
              </w:rPr>
            </w:pPr>
          </w:p>
        </w:tc>
      </w:tr>
      <w:tr w14:paraId="7C7E1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trPr>
        <w:tc>
          <w:tcPr>
            <w:tcW w:w="629" w:type="dxa"/>
            <w:vMerge w:val="restart"/>
            <w:vAlign w:val="center"/>
          </w:tcPr>
          <w:p w14:paraId="70536887">
            <w:pPr>
              <w:ind w:left="105" w:leftChars="5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符合性评审</w:t>
            </w:r>
          </w:p>
        </w:tc>
        <w:tc>
          <w:tcPr>
            <w:tcW w:w="552" w:type="dxa"/>
            <w:vAlign w:val="center"/>
          </w:tcPr>
          <w:p w14:paraId="4DB4684D">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5516" w:type="dxa"/>
            <w:vAlign w:val="center"/>
          </w:tcPr>
          <w:p w14:paraId="0A40D1D5">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需要提交的证明文件不全，或者不符合磋商文件标明的证明文件要求的；</w:t>
            </w:r>
          </w:p>
        </w:tc>
        <w:tc>
          <w:tcPr>
            <w:tcW w:w="649" w:type="dxa"/>
            <w:vAlign w:val="center"/>
          </w:tcPr>
          <w:p w14:paraId="46C19710">
            <w:pPr>
              <w:ind w:left="105" w:hanging="105"/>
              <w:rPr>
                <w:rFonts w:hint="eastAsia" w:ascii="仿宋" w:hAnsi="仿宋" w:eastAsia="仿宋" w:cs="仿宋"/>
                <w:color w:val="auto"/>
                <w:sz w:val="21"/>
                <w:szCs w:val="21"/>
              </w:rPr>
            </w:pPr>
          </w:p>
        </w:tc>
        <w:tc>
          <w:tcPr>
            <w:tcW w:w="649" w:type="dxa"/>
            <w:vAlign w:val="center"/>
          </w:tcPr>
          <w:p w14:paraId="2FACE8C0">
            <w:pPr>
              <w:ind w:left="105" w:hanging="105"/>
              <w:rPr>
                <w:rFonts w:hint="eastAsia" w:ascii="仿宋" w:hAnsi="仿宋" w:eastAsia="仿宋" w:cs="仿宋"/>
                <w:color w:val="auto"/>
                <w:sz w:val="21"/>
                <w:szCs w:val="21"/>
              </w:rPr>
            </w:pPr>
          </w:p>
        </w:tc>
        <w:tc>
          <w:tcPr>
            <w:tcW w:w="649" w:type="dxa"/>
            <w:vAlign w:val="center"/>
          </w:tcPr>
          <w:p w14:paraId="7CAC0931">
            <w:pPr>
              <w:ind w:left="105" w:hanging="105"/>
              <w:rPr>
                <w:rFonts w:hint="eastAsia" w:ascii="仿宋" w:hAnsi="仿宋" w:eastAsia="仿宋" w:cs="仿宋"/>
                <w:color w:val="auto"/>
                <w:sz w:val="21"/>
                <w:szCs w:val="21"/>
              </w:rPr>
            </w:pPr>
          </w:p>
        </w:tc>
        <w:tc>
          <w:tcPr>
            <w:tcW w:w="674" w:type="dxa"/>
            <w:vAlign w:val="center"/>
          </w:tcPr>
          <w:p w14:paraId="7D2187C0">
            <w:pPr>
              <w:ind w:left="105" w:hanging="105"/>
              <w:rPr>
                <w:rFonts w:hint="eastAsia" w:ascii="仿宋" w:hAnsi="仿宋" w:eastAsia="仿宋" w:cs="仿宋"/>
                <w:color w:val="auto"/>
                <w:sz w:val="21"/>
                <w:szCs w:val="21"/>
              </w:rPr>
            </w:pPr>
          </w:p>
        </w:tc>
      </w:tr>
      <w:tr w14:paraId="0D668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629" w:type="dxa"/>
            <w:vMerge w:val="continue"/>
            <w:vAlign w:val="center"/>
          </w:tcPr>
          <w:p w14:paraId="00D6CB9E">
            <w:pPr>
              <w:ind w:left="105" w:hanging="105"/>
              <w:rPr>
                <w:rFonts w:hint="eastAsia" w:ascii="仿宋" w:hAnsi="仿宋" w:eastAsia="仿宋" w:cs="仿宋"/>
                <w:color w:val="auto"/>
                <w:sz w:val="21"/>
                <w:szCs w:val="21"/>
              </w:rPr>
            </w:pPr>
          </w:p>
        </w:tc>
        <w:tc>
          <w:tcPr>
            <w:tcW w:w="552" w:type="dxa"/>
            <w:vAlign w:val="center"/>
          </w:tcPr>
          <w:p w14:paraId="7D92F20E">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5516" w:type="dxa"/>
            <w:vAlign w:val="center"/>
          </w:tcPr>
          <w:p w14:paraId="6BC11F5D">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响应文件无法定代表人签字,或未提供法定代表人授权委托书、投标声明书或者填写项目不齐全的；</w:t>
            </w:r>
          </w:p>
        </w:tc>
        <w:tc>
          <w:tcPr>
            <w:tcW w:w="649" w:type="dxa"/>
            <w:vAlign w:val="center"/>
          </w:tcPr>
          <w:p w14:paraId="15AF1B2F">
            <w:pPr>
              <w:ind w:left="105" w:hanging="105"/>
              <w:rPr>
                <w:rFonts w:hint="eastAsia" w:ascii="仿宋" w:hAnsi="仿宋" w:eastAsia="仿宋" w:cs="仿宋"/>
                <w:color w:val="auto"/>
                <w:sz w:val="21"/>
                <w:szCs w:val="21"/>
              </w:rPr>
            </w:pPr>
          </w:p>
        </w:tc>
        <w:tc>
          <w:tcPr>
            <w:tcW w:w="649" w:type="dxa"/>
            <w:vAlign w:val="center"/>
          </w:tcPr>
          <w:p w14:paraId="013CE65E">
            <w:pPr>
              <w:ind w:left="105" w:hanging="105"/>
              <w:rPr>
                <w:rFonts w:hint="eastAsia" w:ascii="仿宋" w:hAnsi="仿宋" w:eastAsia="仿宋" w:cs="仿宋"/>
                <w:color w:val="auto"/>
                <w:sz w:val="21"/>
                <w:szCs w:val="21"/>
              </w:rPr>
            </w:pPr>
          </w:p>
        </w:tc>
        <w:tc>
          <w:tcPr>
            <w:tcW w:w="649" w:type="dxa"/>
            <w:vAlign w:val="center"/>
          </w:tcPr>
          <w:p w14:paraId="616FFA3A">
            <w:pPr>
              <w:ind w:left="105" w:hanging="105"/>
              <w:rPr>
                <w:rFonts w:hint="eastAsia" w:ascii="仿宋" w:hAnsi="仿宋" w:eastAsia="仿宋" w:cs="仿宋"/>
                <w:color w:val="auto"/>
                <w:sz w:val="21"/>
                <w:szCs w:val="21"/>
              </w:rPr>
            </w:pPr>
          </w:p>
        </w:tc>
        <w:tc>
          <w:tcPr>
            <w:tcW w:w="674" w:type="dxa"/>
            <w:vAlign w:val="center"/>
          </w:tcPr>
          <w:p w14:paraId="728DC47C">
            <w:pPr>
              <w:ind w:left="105" w:hanging="105"/>
              <w:rPr>
                <w:rFonts w:hint="eastAsia" w:ascii="仿宋" w:hAnsi="仿宋" w:eastAsia="仿宋" w:cs="仿宋"/>
                <w:color w:val="auto"/>
                <w:sz w:val="21"/>
                <w:szCs w:val="21"/>
              </w:rPr>
            </w:pPr>
          </w:p>
        </w:tc>
      </w:tr>
      <w:tr w14:paraId="6DBE1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trPr>
        <w:tc>
          <w:tcPr>
            <w:tcW w:w="629" w:type="dxa"/>
            <w:vMerge w:val="continue"/>
            <w:vAlign w:val="center"/>
          </w:tcPr>
          <w:p w14:paraId="2E66F6E4">
            <w:pPr>
              <w:ind w:left="105" w:hanging="105"/>
              <w:rPr>
                <w:rFonts w:hint="eastAsia" w:ascii="仿宋" w:hAnsi="仿宋" w:eastAsia="仿宋" w:cs="仿宋"/>
                <w:color w:val="auto"/>
                <w:sz w:val="21"/>
                <w:szCs w:val="21"/>
              </w:rPr>
            </w:pPr>
          </w:p>
        </w:tc>
        <w:tc>
          <w:tcPr>
            <w:tcW w:w="552" w:type="dxa"/>
            <w:vAlign w:val="center"/>
          </w:tcPr>
          <w:p w14:paraId="23C8178A">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5516" w:type="dxa"/>
            <w:vAlign w:val="center"/>
          </w:tcPr>
          <w:p w14:paraId="6DA33CC0">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响应文件不齐全或者内容虚假的；</w:t>
            </w:r>
          </w:p>
        </w:tc>
        <w:tc>
          <w:tcPr>
            <w:tcW w:w="649" w:type="dxa"/>
            <w:vAlign w:val="center"/>
          </w:tcPr>
          <w:p w14:paraId="27DF9421">
            <w:pPr>
              <w:ind w:left="105" w:hanging="105"/>
              <w:rPr>
                <w:rFonts w:hint="eastAsia" w:ascii="仿宋" w:hAnsi="仿宋" w:eastAsia="仿宋" w:cs="仿宋"/>
                <w:color w:val="auto"/>
                <w:sz w:val="21"/>
                <w:szCs w:val="21"/>
              </w:rPr>
            </w:pPr>
          </w:p>
        </w:tc>
        <w:tc>
          <w:tcPr>
            <w:tcW w:w="649" w:type="dxa"/>
            <w:vAlign w:val="center"/>
          </w:tcPr>
          <w:p w14:paraId="19709C99">
            <w:pPr>
              <w:ind w:left="105" w:hanging="105"/>
              <w:rPr>
                <w:rFonts w:hint="eastAsia" w:ascii="仿宋" w:hAnsi="仿宋" w:eastAsia="仿宋" w:cs="仿宋"/>
                <w:color w:val="auto"/>
                <w:sz w:val="21"/>
                <w:szCs w:val="21"/>
              </w:rPr>
            </w:pPr>
          </w:p>
        </w:tc>
        <w:tc>
          <w:tcPr>
            <w:tcW w:w="649" w:type="dxa"/>
            <w:vAlign w:val="center"/>
          </w:tcPr>
          <w:p w14:paraId="6671D283">
            <w:pPr>
              <w:ind w:left="105" w:hanging="105"/>
              <w:rPr>
                <w:rFonts w:hint="eastAsia" w:ascii="仿宋" w:hAnsi="仿宋" w:eastAsia="仿宋" w:cs="仿宋"/>
                <w:color w:val="auto"/>
                <w:sz w:val="21"/>
                <w:szCs w:val="21"/>
              </w:rPr>
            </w:pPr>
          </w:p>
        </w:tc>
        <w:tc>
          <w:tcPr>
            <w:tcW w:w="674" w:type="dxa"/>
            <w:vAlign w:val="center"/>
          </w:tcPr>
          <w:p w14:paraId="51D65163">
            <w:pPr>
              <w:ind w:left="105" w:hanging="105"/>
              <w:rPr>
                <w:rFonts w:hint="eastAsia" w:ascii="仿宋" w:hAnsi="仿宋" w:eastAsia="仿宋" w:cs="仿宋"/>
                <w:color w:val="auto"/>
                <w:sz w:val="21"/>
                <w:szCs w:val="21"/>
              </w:rPr>
            </w:pPr>
          </w:p>
        </w:tc>
      </w:tr>
      <w:tr w14:paraId="118EF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1" w:hRule="atLeast"/>
        </w:trPr>
        <w:tc>
          <w:tcPr>
            <w:tcW w:w="629" w:type="dxa"/>
            <w:vMerge w:val="continue"/>
            <w:vAlign w:val="center"/>
          </w:tcPr>
          <w:p w14:paraId="6C1ED9E6">
            <w:pPr>
              <w:ind w:left="105" w:hanging="105"/>
              <w:rPr>
                <w:rFonts w:hint="eastAsia" w:ascii="仿宋" w:hAnsi="仿宋" w:eastAsia="仿宋" w:cs="仿宋"/>
                <w:color w:val="auto"/>
                <w:sz w:val="21"/>
                <w:szCs w:val="21"/>
              </w:rPr>
            </w:pPr>
          </w:p>
        </w:tc>
        <w:tc>
          <w:tcPr>
            <w:tcW w:w="552" w:type="dxa"/>
            <w:vAlign w:val="center"/>
          </w:tcPr>
          <w:p w14:paraId="4908A10C">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w:t>
            </w:r>
          </w:p>
        </w:tc>
        <w:tc>
          <w:tcPr>
            <w:tcW w:w="5516" w:type="dxa"/>
            <w:vAlign w:val="center"/>
          </w:tcPr>
          <w:p w14:paraId="399DC210">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14:paraId="15B254E6">
            <w:pPr>
              <w:ind w:left="105" w:hanging="105"/>
              <w:rPr>
                <w:rFonts w:hint="eastAsia" w:ascii="仿宋" w:hAnsi="仿宋" w:eastAsia="仿宋" w:cs="仿宋"/>
                <w:color w:val="auto"/>
                <w:sz w:val="21"/>
                <w:szCs w:val="21"/>
              </w:rPr>
            </w:pPr>
          </w:p>
        </w:tc>
        <w:tc>
          <w:tcPr>
            <w:tcW w:w="649" w:type="dxa"/>
            <w:vAlign w:val="center"/>
          </w:tcPr>
          <w:p w14:paraId="6EE836D3">
            <w:pPr>
              <w:ind w:left="105" w:hanging="105"/>
              <w:rPr>
                <w:rFonts w:hint="eastAsia" w:ascii="仿宋" w:hAnsi="仿宋" w:eastAsia="仿宋" w:cs="仿宋"/>
                <w:color w:val="auto"/>
                <w:sz w:val="21"/>
                <w:szCs w:val="21"/>
              </w:rPr>
            </w:pPr>
          </w:p>
        </w:tc>
        <w:tc>
          <w:tcPr>
            <w:tcW w:w="649" w:type="dxa"/>
            <w:vAlign w:val="center"/>
          </w:tcPr>
          <w:p w14:paraId="5569DD15">
            <w:pPr>
              <w:ind w:left="105" w:hanging="105"/>
              <w:rPr>
                <w:rFonts w:hint="eastAsia" w:ascii="仿宋" w:hAnsi="仿宋" w:eastAsia="仿宋" w:cs="仿宋"/>
                <w:color w:val="auto"/>
                <w:sz w:val="21"/>
                <w:szCs w:val="21"/>
              </w:rPr>
            </w:pPr>
          </w:p>
        </w:tc>
        <w:tc>
          <w:tcPr>
            <w:tcW w:w="674" w:type="dxa"/>
            <w:vAlign w:val="center"/>
          </w:tcPr>
          <w:p w14:paraId="2A72B351">
            <w:pPr>
              <w:ind w:left="105" w:hanging="105"/>
              <w:rPr>
                <w:rFonts w:hint="eastAsia" w:ascii="仿宋" w:hAnsi="仿宋" w:eastAsia="仿宋" w:cs="仿宋"/>
                <w:color w:val="auto"/>
                <w:sz w:val="21"/>
                <w:szCs w:val="21"/>
              </w:rPr>
            </w:pPr>
          </w:p>
        </w:tc>
      </w:tr>
      <w:tr w14:paraId="76001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629" w:type="dxa"/>
            <w:vMerge w:val="continue"/>
            <w:vAlign w:val="center"/>
          </w:tcPr>
          <w:p w14:paraId="393D4598">
            <w:pPr>
              <w:ind w:left="105" w:hanging="105"/>
              <w:rPr>
                <w:rFonts w:hint="eastAsia" w:ascii="仿宋" w:hAnsi="仿宋" w:eastAsia="仿宋" w:cs="仿宋"/>
                <w:color w:val="auto"/>
                <w:sz w:val="21"/>
                <w:szCs w:val="21"/>
              </w:rPr>
            </w:pPr>
          </w:p>
        </w:tc>
        <w:tc>
          <w:tcPr>
            <w:tcW w:w="552" w:type="dxa"/>
            <w:vAlign w:val="center"/>
          </w:tcPr>
          <w:p w14:paraId="7172CF73">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5516" w:type="dxa"/>
            <w:vAlign w:val="center"/>
          </w:tcPr>
          <w:p w14:paraId="1AC8571B">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技术性能、技术参数是否满足磋商文件要求</w:t>
            </w:r>
          </w:p>
        </w:tc>
        <w:tc>
          <w:tcPr>
            <w:tcW w:w="649" w:type="dxa"/>
            <w:vAlign w:val="center"/>
          </w:tcPr>
          <w:p w14:paraId="4682F269">
            <w:pPr>
              <w:ind w:left="105" w:hanging="105"/>
              <w:rPr>
                <w:rFonts w:hint="eastAsia" w:ascii="仿宋" w:hAnsi="仿宋" w:eastAsia="仿宋" w:cs="仿宋"/>
                <w:color w:val="auto"/>
                <w:sz w:val="21"/>
                <w:szCs w:val="21"/>
              </w:rPr>
            </w:pPr>
          </w:p>
        </w:tc>
        <w:tc>
          <w:tcPr>
            <w:tcW w:w="649" w:type="dxa"/>
            <w:vAlign w:val="center"/>
          </w:tcPr>
          <w:p w14:paraId="4D473B9F">
            <w:pPr>
              <w:ind w:left="105" w:hanging="105"/>
              <w:rPr>
                <w:rFonts w:hint="eastAsia" w:ascii="仿宋" w:hAnsi="仿宋" w:eastAsia="仿宋" w:cs="仿宋"/>
                <w:color w:val="auto"/>
                <w:sz w:val="21"/>
                <w:szCs w:val="21"/>
              </w:rPr>
            </w:pPr>
          </w:p>
        </w:tc>
        <w:tc>
          <w:tcPr>
            <w:tcW w:w="649" w:type="dxa"/>
            <w:vAlign w:val="center"/>
          </w:tcPr>
          <w:p w14:paraId="0F265E89">
            <w:pPr>
              <w:ind w:left="105" w:hanging="105"/>
              <w:rPr>
                <w:rFonts w:hint="eastAsia" w:ascii="仿宋" w:hAnsi="仿宋" w:eastAsia="仿宋" w:cs="仿宋"/>
                <w:color w:val="auto"/>
                <w:sz w:val="21"/>
                <w:szCs w:val="21"/>
              </w:rPr>
            </w:pPr>
          </w:p>
        </w:tc>
        <w:tc>
          <w:tcPr>
            <w:tcW w:w="674" w:type="dxa"/>
            <w:vAlign w:val="center"/>
          </w:tcPr>
          <w:p w14:paraId="63EFFD3C">
            <w:pPr>
              <w:ind w:left="105" w:hanging="105"/>
              <w:rPr>
                <w:rFonts w:hint="eastAsia" w:ascii="仿宋" w:hAnsi="仿宋" w:eastAsia="仿宋" w:cs="仿宋"/>
                <w:color w:val="auto"/>
                <w:sz w:val="21"/>
                <w:szCs w:val="21"/>
              </w:rPr>
            </w:pPr>
          </w:p>
        </w:tc>
      </w:tr>
      <w:tr w14:paraId="5AEB7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trPr>
        <w:tc>
          <w:tcPr>
            <w:tcW w:w="629" w:type="dxa"/>
            <w:vMerge w:val="continue"/>
            <w:vAlign w:val="center"/>
          </w:tcPr>
          <w:p w14:paraId="06B913E6">
            <w:pPr>
              <w:ind w:left="105" w:hanging="105"/>
              <w:rPr>
                <w:rFonts w:hint="eastAsia" w:ascii="仿宋" w:hAnsi="仿宋" w:eastAsia="仿宋" w:cs="仿宋"/>
                <w:color w:val="auto"/>
                <w:sz w:val="21"/>
                <w:szCs w:val="21"/>
              </w:rPr>
            </w:pPr>
          </w:p>
        </w:tc>
        <w:tc>
          <w:tcPr>
            <w:tcW w:w="552" w:type="dxa"/>
            <w:vAlign w:val="center"/>
          </w:tcPr>
          <w:p w14:paraId="796B00CC">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5516" w:type="dxa"/>
            <w:vAlign w:val="center"/>
          </w:tcPr>
          <w:p w14:paraId="6CAB62F9">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投标报价是否不高于采购限价</w:t>
            </w:r>
          </w:p>
        </w:tc>
        <w:tc>
          <w:tcPr>
            <w:tcW w:w="649" w:type="dxa"/>
            <w:vAlign w:val="center"/>
          </w:tcPr>
          <w:p w14:paraId="4CED337D">
            <w:pPr>
              <w:ind w:left="105" w:hanging="105"/>
              <w:rPr>
                <w:rFonts w:hint="eastAsia" w:ascii="仿宋" w:hAnsi="仿宋" w:eastAsia="仿宋" w:cs="仿宋"/>
                <w:color w:val="auto"/>
                <w:sz w:val="21"/>
                <w:szCs w:val="21"/>
              </w:rPr>
            </w:pPr>
          </w:p>
        </w:tc>
        <w:tc>
          <w:tcPr>
            <w:tcW w:w="649" w:type="dxa"/>
            <w:vAlign w:val="center"/>
          </w:tcPr>
          <w:p w14:paraId="7399BBAA">
            <w:pPr>
              <w:ind w:left="105" w:hanging="105"/>
              <w:rPr>
                <w:rFonts w:hint="eastAsia" w:ascii="仿宋" w:hAnsi="仿宋" w:eastAsia="仿宋" w:cs="仿宋"/>
                <w:color w:val="auto"/>
                <w:sz w:val="21"/>
                <w:szCs w:val="21"/>
              </w:rPr>
            </w:pPr>
          </w:p>
        </w:tc>
        <w:tc>
          <w:tcPr>
            <w:tcW w:w="649" w:type="dxa"/>
            <w:vAlign w:val="center"/>
          </w:tcPr>
          <w:p w14:paraId="43F533C0">
            <w:pPr>
              <w:ind w:left="105" w:hanging="105"/>
              <w:rPr>
                <w:rFonts w:hint="eastAsia" w:ascii="仿宋" w:hAnsi="仿宋" w:eastAsia="仿宋" w:cs="仿宋"/>
                <w:color w:val="auto"/>
                <w:sz w:val="21"/>
                <w:szCs w:val="21"/>
              </w:rPr>
            </w:pPr>
          </w:p>
        </w:tc>
        <w:tc>
          <w:tcPr>
            <w:tcW w:w="674" w:type="dxa"/>
            <w:vAlign w:val="center"/>
          </w:tcPr>
          <w:p w14:paraId="1AB091F2">
            <w:pPr>
              <w:ind w:left="105" w:hanging="105"/>
              <w:rPr>
                <w:rFonts w:hint="eastAsia" w:ascii="仿宋" w:hAnsi="仿宋" w:eastAsia="仿宋" w:cs="仿宋"/>
                <w:color w:val="auto"/>
                <w:sz w:val="21"/>
                <w:szCs w:val="21"/>
              </w:rPr>
            </w:pPr>
          </w:p>
        </w:tc>
      </w:tr>
      <w:tr w14:paraId="1D45A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trPr>
        <w:tc>
          <w:tcPr>
            <w:tcW w:w="629" w:type="dxa"/>
            <w:vMerge w:val="continue"/>
            <w:vAlign w:val="center"/>
          </w:tcPr>
          <w:p w14:paraId="7F84B4E6">
            <w:pPr>
              <w:ind w:left="105" w:hanging="105"/>
              <w:rPr>
                <w:rFonts w:hint="eastAsia" w:ascii="仿宋" w:hAnsi="仿宋" w:eastAsia="仿宋" w:cs="仿宋"/>
                <w:color w:val="auto"/>
                <w:sz w:val="21"/>
                <w:szCs w:val="21"/>
              </w:rPr>
            </w:pPr>
          </w:p>
        </w:tc>
        <w:tc>
          <w:tcPr>
            <w:tcW w:w="552" w:type="dxa"/>
            <w:vAlign w:val="center"/>
          </w:tcPr>
          <w:p w14:paraId="48365CAF">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w:t>
            </w:r>
          </w:p>
        </w:tc>
        <w:tc>
          <w:tcPr>
            <w:tcW w:w="5516" w:type="dxa"/>
            <w:vAlign w:val="center"/>
          </w:tcPr>
          <w:p w14:paraId="41D06974">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投标有效期、</w:t>
            </w:r>
            <w:r>
              <w:rPr>
                <w:rFonts w:hint="eastAsia" w:ascii="仿宋" w:hAnsi="仿宋" w:eastAsia="仿宋" w:cs="仿宋"/>
                <w:color w:val="auto"/>
                <w:sz w:val="21"/>
                <w:szCs w:val="21"/>
                <w:lang w:val="en-US" w:eastAsia="zh-CN"/>
              </w:rPr>
              <w:t>供货</w:t>
            </w:r>
            <w:r>
              <w:rPr>
                <w:rFonts w:hint="eastAsia" w:ascii="仿宋" w:hAnsi="仿宋" w:eastAsia="仿宋" w:cs="仿宋"/>
                <w:color w:val="auto"/>
                <w:sz w:val="21"/>
                <w:szCs w:val="21"/>
              </w:rPr>
              <w:t>期</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供货地点</w:t>
            </w:r>
            <w:r>
              <w:rPr>
                <w:rFonts w:hint="eastAsia" w:ascii="仿宋" w:hAnsi="仿宋" w:eastAsia="仿宋" w:cs="仿宋"/>
                <w:color w:val="auto"/>
                <w:sz w:val="21"/>
                <w:szCs w:val="21"/>
              </w:rPr>
              <w:t>等相关条款不能满足磋商文件要求的；</w:t>
            </w:r>
          </w:p>
        </w:tc>
        <w:tc>
          <w:tcPr>
            <w:tcW w:w="649" w:type="dxa"/>
            <w:vAlign w:val="center"/>
          </w:tcPr>
          <w:p w14:paraId="2C3F44D2">
            <w:pPr>
              <w:ind w:left="105" w:hanging="105"/>
              <w:rPr>
                <w:rFonts w:hint="eastAsia" w:ascii="仿宋" w:hAnsi="仿宋" w:eastAsia="仿宋" w:cs="仿宋"/>
                <w:color w:val="auto"/>
                <w:sz w:val="21"/>
                <w:szCs w:val="21"/>
              </w:rPr>
            </w:pPr>
          </w:p>
        </w:tc>
        <w:tc>
          <w:tcPr>
            <w:tcW w:w="649" w:type="dxa"/>
            <w:vAlign w:val="center"/>
          </w:tcPr>
          <w:p w14:paraId="26B6D574">
            <w:pPr>
              <w:ind w:left="105" w:hanging="105"/>
              <w:rPr>
                <w:rFonts w:hint="eastAsia" w:ascii="仿宋" w:hAnsi="仿宋" w:eastAsia="仿宋" w:cs="仿宋"/>
                <w:color w:val="auto"/>
                <w:sz w:val="21"/>
                <w:szCs w:val="21"/>
              </w:rPr>
            </w:pPr>
          </w:p>
        </w:tc>
        <w:tc>
          <w:tcPr>
            <w:tcW w:w="649" w:type="dxa"/>
            <w:vAlign w:val="center"/>
          </w:tcPr>
          <w:p w14:paraId="07498DA5">
            <w:pPr>
              <w:ind w:left="105" w:hanging="105"/>
              <w:rPr>
                <w:rFonts w:hint="eastAsia" w:ascii="仿宋" w:hAnsi="仿宋" w:eastAsia="仿宋" w:cs="仿宋"/>
                <w:color w:val="auto"/>
                <w:sz w:val="21"/>
                <w:szCs w:val="21"/>
              </w:rPr>
            </w:pPr>
          </w:p>
        </w:tc>
        <w:tc>
          <w:tcPr>
            <w:tcW w:w="674" w:type="dxa"/>
            <w:vAlign w:val="center"/>
          </w:tcPr>
          <w:p w14:paraId="201CF636">
            <w:pPr>
              <w:ind w:left="105" w:hanging="105"/>
              <w:rPr>
                <w:rFonts w:hint="eastAsia" w:ascii="仿宋" w:hAnsi="仿宋" w:eastAsia="仿宋" w:cs="仿宋"/>
                <w:color w:val="auto"/>
                <w:sz w:val="21"/>
                <w:szCs w:val="21"/>
              </w:rPr>
            </w:pPr>
          </w:p>
        </w:tc>
      </w:tr>
      <w:tr w14:paraId="1A907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trPr>
        <w:tc>
          <w:tcPr>
            <w:tcW w:w="629" w:type="dxa"/>
            <w:vMerge w:val="continue"/>
            <w:vAlign w:val="center"/>
          </w:tcPr>
          <w:p w14:paraId="32E37257">
            <w:pPr>
              <w:ind w:left="105" w:hanging="105"/>
              <w:rPr>
                <w:rFonts w:hint="eastAsia" w:ascii="仿宋" w:hAnsi="仿宋" w:eastAsia="仿宋" w:cs="仿宋"/>
                <w:color w:val="auto"/>
                <w:sz w:val="21"/>
                <w:szCs w:val="21"/>
              </w:rPr>
            </w:pPr>
          </w:p>
        </w:tc>
        <w:tc>
          <w:tcPr>
            <w:tcW w:w="552" w:type="dxa"/>
            <w:vAlign w:val="center"/>
          </w:tcPr>
          <w:p w14:paraId="04F7E9AB">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5516" w:type="dxa"/>
            <w:vAlign w:val="center"/>
          </w:tcPr>
          <w:p w14:paraId="2AAF8316">
            <w:pPr>
              <w:spacing w:line="240" w:lineRule="auto"/>
              <w:ind w:left="105" w:hanging="105"/>
              <w:rPr>
                <w:rFonts w:hint="eastAsia" w:ascii="仿宋" w:hAnsi="仿宋" w:eastAsia="仿宋" w:cs="仿宋"/>
                <w:color w:val="auto"/>
                <w:sz w:val="21"/>
                <w:szCs w:val="21"/>
              </w:rPr>
            </w:pPr>
            <w:r>
              <w:rPr>
                <w:rFonts w:hint="eastAsia" w:ascii="仿宋" w:hAnsi="仿宋" w:eastAsia="仿宋" w:cs="仿宋"/>
                <w:color w:val="auto"/>
                <w:sz w:val="21"/>
                <w:szCs w:val="21"/>
              </w:rPr>
              <w:t>未实质性响应磋商文件要求或者响应文件有招标方不能接受的附加条件的；</w:t>
            </w:r>
          </w:p>
        </w:tc>
        <w:tc>
          <w:tcPr>
            <w:tcW w:w="649" w:type="dxa"/>
            <w:vAlign w:val="center"/>
          </w:tcPr>
          <w:p w14:paraId="343710B3">
            <w:pPr>
              <w:ind w:left="105" w:hanging="105"/>
              <w:rPr>
                <w:rFonts w:hint="eastAsia" w:ascii="仿宋" w:hAnsi="仿宋" w:eastAsia="仿宋" w:cs="仿宋"/>
                <w:color w:val="auto"/>
                <w:sz w:val="21"/>
                <w:szCs w:val="21"/>
              </w:rPr>
            </w:pPr>
          </w:p>
        </w:tc>
        <w:tc>
          <w:tcPr>
            <w:tcW w:w="649" w:type="dxa"/>
            <w:vAlign w:val="center"/>
          </w:tcPr>
          <w:p w14:paraId="67C7E1AE">
            <w:pPr>
              <w:ind w:left="105" w:hanging="105"/>
              <w:rPr>
                <w:rFonts w:hint="eastAsia" w:ascii="仿宋" w:hAnsi="仿宋" w:eastAsia="仿宋" w:cs="仿宋"/>
                <w:color w:val="auto"/>
                <w:sz w:val="21"/>
                <w:szCs w:val="21"/>
              </w:rPr>
            </w:pPr>
          </w:p>
        </w:tc>
        <w:tc>
          <w:tcPr>
            <w:tcW w:w="649" w:type="dxa"/>
            <w:vAlign w:val="center"/>
          </w:tcPr>
          <w:p w14:paraId="36F390A3">
            <w:pPr>
              <w:ind w:left="105" w:hanging="105"/>
              <w:rPr>
                <w:rFonts w:hint="eastAsia" w:ascii="仿宋" w:hAnsi="仿宋" w:eastAsia="仿宋" w:cs="仿宋"/>
                <w:color w:val="auto"/>
                <w:sz w:val="21"/>
                <w:szCs w:val="21"/>
              </w:rPr>
            </w:pPr>
          </w:p>
        </w:tc>
        <w:tc>
          <w:tcPr>
            <w:tcW w:w="674" w:type="dxa"/>
            <w:vAlign w:val="center"/>
          </w:tcPr>
          <w:p w14:paraId="52F9226D">
            <w:pPr>
              <w:ind w:left="105" w:hanging="105"/>
              <w:rPr>
                <w:rFonts w:hint="eastAsia" w:ascii="仿宋" w:hAnsi="仿宋" w:eastAsia="仿宋" w:cs="仿宋"/>
                <w:color w:val="auto"/>
                <w:sz w:val="21"/>
                <w:szCs w:val="21"/>
              </w:rPr>
            </w:pPr>
          </w:p>
        </w:tc>
      </w:tr>
      <w:tr w14:paraId="27185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2" w:hRule="atLeast"/>
        </w:trPr>
        <w:tc>
          <w:tcPr>
            <w:tcW w:w="629" w:type="dxa"/>
            <w:vMerge w:val="continue"/>
            <w:vAlign w:val="center"/>
          </w:tcPr>
          <w:p w14:paraId="10A0730D">
            <w:pPr>
              <w:ind w:left="105" w:hanging="105"/>
              <w:rPr>
                <w:rFonts w:hint="eastAsia" w:ascii="仿宋" w:hAnsi="仿宋" w:eastAsia="仿宋" w:cs="仿宋"/>
                <w:color w:val="auto"/>
                <w:sz w:val="21"/>
                <w:szCs w:val="21"/>
              </w:rPr>
            </w:pPr>
          </w:p>
        </w:tc>
        <w:tc>
          <w:tcPr>
            <w:tcW w:w="552" w:type="dxa"/>
            <w:vAlign w:val="center"/>
          </w:tcPr>
          <w:p w14:paraId="2105CB9A">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w:t>
            </w:r>
          </w:p>
        </w:tc>
        <w:tc>
          <w:tcPr>
            <w:tcW w:w="5516" w:type="dxa"/>
            <w:vAlign w:val="center"/>
          </w:tcPr>
          <w:p w14:paraId="6C9E1576">
            <w:pPr>
              <w:kinsoku w:val="0"/>
              <w:overflowPunct w:val="0"/>
              <w:autoSpaceDE w:val="0"/>
              <w:autoSpaceDN w:val="0"/>
              <w:snapToGrid w:val="0"/>
              <w:spacing w:line="240" w:lineRule="auto"/>
              <w:ind w:left="105" w:hanging="105"/>
              <w:jc w:val="left"/>
              <w:rPr>
                <w:rFonts w:hint="eastAsia" w:ascii="仿宋" w:hAnsi="仿宋" w:eastAsia="仿宋" w:cs="仿宋"/>
                <w:color w:val="auto"/>
                <w:sz w:val="21"/>
                <w:szCs w:val="21"/>
              </w:rPr>
            </w:pPr>
            <w:r>
              <w:rPr>
                <w:rFonts w:hint="eastAsia" w:ascii="仿宋" w:hAnsi="仿宋" w:eastAsia="仿宋" w:cs="仿宋"/>
                <w:color w:val="000000" w:themeColor="text1"/>
                <w:sz w:val="21"/>
                <w:szCs w:val="21"/>
                <w14:textFill>
                  <w14:solidFill>
                    <w14:schemeClr w14:val="tx1"/>
                  </w14:solidFill>
                </w14:textFill>
              </w:rPr>
              <w:t>投标人、</w:t>
            </w:r>
            <w:r>
              <w:rPr>
                <w:rFonts w:hint="eastAsia" w:ascii="仿宋" w:hAnsi="仿宋" w:eastAsia="仿宋" w:cs="仿宋"/>
                <w:color w:val="000000" w:themeColor="text1"/>
                <w:sz w:val="21"/>
                <w:szCs w:val="21"/>
                <w:lang w:eastAsia="zh-CN"/>
                <w14:textFill>
                  <w14:solidFill>
                    <w14:schemeClr w14:val="tx1"/>
                  </w14:solidFill>
                </w14:textFill>
              </w:rPr>
              <w:t>响应</w:t>
            </w:r>
            <w:r>
              <w:rPr>
                <w:rFonts w:hint="eastAsia" w:ascii="仿宋" w:hAnsi="仿宋" w:eastAsia="仿宋" w:cs="仿宋"/>
                <w:color w:val="000000" w:themeColor="text1"/>
                <w:sz w:val="21"/>
                <w:szCs w:val="21"/>
                <w14:textFill>
                  <w14:solidFill>
                    <w14:schemeClr w14:val="tx1"/>
                  </w14:solidFill>
                </w14:textFill>
              </w:rPr>
              <w:t>文件不存在不符合法律、法规和</w:t>
            </w:r>
            <w:r>
              <w:rPr>
                <w:rFonts w:hint="eastAsia" w:ascii="仿宋" w:hAnsi="仿宋" w:eastAsia="仿宋" w:cs="仿宋"/>
                <w:color w:val="000000" w:themeColor="text1"/>
                <w:sz w:val="21"/>
                <w:szCs w:val="21"/>
                <w:lang w:eastAsia="zh-CN"/>
                <w14:textFill>
                  <w14:solidFill>
                    <w14:schemeClr w14:val="tx1"/>
                  </w14:solidFill>
                </w14:textFill>
              </w:rPr>
              <w:t>磋商</w:t>
            </w:r>
            <w:r>
              <w:rPr>
                <w:rFonts w:hint="eastAsia" w:ascii="仿宋" w:hAnsi="仿宋" w:eastAsia="仿宋" w:cs="仿宋"/>
                <w:color w:val="000000" w:themeColor="text1"/>
                <w:sz w:val="21"/>
                <w:szCs w:val="21"/>
                <w14:textFill>
                  <w14:solidFill>
                    <w14:schemeClr w14:val="tx1"/>
                  </w14:solidFill>
                </w14:textFill>
              </w:rPr>
              <w:t>文件规定的其他无效情形</w:t>
            </w:r>
            <w:r>
              <w:rPr>
                <w:rFonts w:hint="eastAsia" w:ascii="仿宋" w:hAnsi="仿宋" w:eastAsia="仿宋" w:cs="仿宋"/>
                <w:color w:val="auto"/>
                <w:kern w:val="0"/>
                <w:sz w:val="21"/>
                <w:szCs w:val="21"/>
              </w:rPr>
              <w:t>；</w:t>
            </w:r>
          </w:p>
        </w:tc>
        <w:tc>
          <w:tcPr>
            <w:tcW w:w="649" w:type="dxa"/>
            <w:vAlign w:val="center"/>
          </w:tcPr>
          <w:p w14:paraId="755A964F">
            <w:pPr>
              <w:ind w:left="105" w:hanging="105"/>
              <w:rPr>
                <w:rFonts w:hint="eastAsia" w:ascii="仿宋" w:hAnsi="仿宋" w:eastAsia="仿宋" w:cs="仿宋"/>
                <w:color w:val="auto"/>
                <w:sz w:val="21"/>
                <w:szCs w:val="21"/>
              </w:rPr>
            </w:pPr>
          </w:p>
        </w:tc>
        <w:tc>
          <w:tcPr>
            <w:tcW w:w="649" w:type="dxa"/>
            <w:vAlign w:val="center"/>
          </w:tcPr>
          <w:p w14:paraId="60743F99">
            <w:pPr>
              <w:ind w:left="105" w:hanging="105"/>
              <w:rPr>
                <w:rFonts w:hint="eastAsia" w:ascii="仿宋" w:hAnsi="仿宋" w:eastAsia="仿宋" w:cs="仿宋"/>
                <w:color w:val="auto"/>
                <w:sz w:val="21"/>
                <w:szCs w:val="21"/>
              </w:rPr>
            </w:pPr>
          </w:p>
        </w:tc>
        <w:tc>
          <w:tcPr>
            <w:tcW w:w="649" w:type="dxa"/>
            <w:vAlign w:val="center"/>
          </w:tcPr>
          <w:p w14:paraId="10ED63B7">
            <w:pPr>
              <w:ind w:left="105" w:hanging="105"/>
              <w:rPr>
                <w:rFonts w:hint="eastAsia" w:ascii="仿宋" w:hAnsi="仿宋" w:eastAsia="仿宋" w:cs="仿宋"/>
                <w:color w:val="auto"/>
                <w:sz w:val="21"/>
                <w:szCs w:val="21"/>
              </w:rPr>
            </w:pPr>
          </w:p>
        </w:tc>
        <w:tc>
          <w:tcPr>
            <w:tcW w:w="674" w:type="dxa"/>
            <w:vAlign w:val="center"/>
          </w:tcPr>
          <w:p w14:paraId="1406F452">
            <w:pPr>
              <w:ind w:left="105" w:hanging="105"/>
              <w:rPr>
                <w:rFonts w:hint="eastAsia" w:ascii="仿宋" w:hAnsi="仿宋" w:eastAsia="仿宋" w:cs="仿宋"/>
                <w:color w:val="auto"/>
                <w:sz w:val="21"/>
                <w:szCs w:val="21"/>
              </w:rPr>
            </w:pPr>
          </w:p>
        </w:tc>
      </w:tr>
      <w:tr w14:paraId="333F8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trPr>
        <w:tc>
          <w:tcPr>
            <w:tcW w:w="6697" w:type="dxa"/>
            <w:gridSpan w:val="3"/>
            <w:vAlign w:val="center"/>
          </w:tcPr>
          <w:p w14:paraId="4B24413F">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结论：合格</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/不合格</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w:t>
            </w:r>
          </w:p>
        </w:tc>
        <w:tc>
          <w:tcPr>
            <w:tcW w:w="649" w:type="dxa"/>
            <w:vAlign w:val="center"/>
          </w:tcPr>
          <w:p w14:paraId="06334291">
            <w:pPr>
              <w:ind w:left="105" w:hanging="105"/>
              <w:rPr>
                <w:rFonts w:hint="eastAsia" w:ascii="仿宋" w:hAnsi="仿宋" w:eastAsia="仿宋" w:cs="仿宋"/>
                <w:color w:val="auto"/>
                <w:sz w:val="21"/>
                <w:szCs w:val="21"/>
              </w:rPr>
            </w:pPr>
          </w:p>
        </w:tc>
        <w:tc>
          <w:tcPr>
            <w:tcW w:w="649" w:type="dxa"/>
            <w:vAlign w:val="center"/>
          </w:tcPr>
          <w:p w14:paraId="5F661619">
            <w:pPr>
              <w:ind w:left="105" w:hanging="105"/>
              <w:rPr>
                <w:rFonts w:hint="eastAsia" w:ascii="仿宋" w:hAnsi="仿宋" w:eastAsia="仿宋" w:cs="仿宋"/>
                <w:color w:val="auto"/>
                <w:sz w:val="21"/>
                <w:szCs w:val="21"/>
              </w:rPr>
            </w:pPr>
          </w:p>
        </w:tc>
        <w:tc>
          <w:tcPr>
            <w:tcW w:w="649" w:type="dxa"/>
            <w:vAlign w:val="center"/>
          </w:tcPr>
          <w:p w14:paraId="4440C03B">
            <w:pPr>
              <w:ind w:left="105" w:hanging="105"/>
              <w:rPr>
                <w:rFonts w:hint="eastAsia" w:ascii="仿宋" w:hAnsi="仿宋" w:eastAsia="仿宋" w:cs="仿宋"/>
                <w:color w:val="auto"/>
                <w:sz w:val="21"/>
                <w:szCs w:val="21"/>
              </w:rPr>
            </w:pPr>
          </w:p>
        </w:tc>
        <w:tc>
          <w:tcPr>
            <w:tcW w:w="674" w:type="dxa"/>
            <w:vAlign w:val="center"/>
          </w:tcPr>
          <w:p w14:paraId="17465ED9">
            <w:pPr>
              <w:ind w:left="105" w:hanging="105"/>
              <w:rPr>
                <w:rFonts w:hint="eastAsia" w:ascii="仿宋" w:hAnsi="仿宋" w:eastAsia="仿宋" w:cs="仿宋"/>
                <w:color w:val="auto"/>
                <w:sz w:val="21"/>
                <w:szCs w:val="21"/>
              </w:rPr>
            </w:pPr>
          </w:p>
        </w:tc>
      </w:tr>
      <w:tr w14:paraId="5C4B7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3" w:hRule="atLeast"/>
        </w:trPr>
        <w:tc>
          <w:tcPr>
            <w:tcW w:w="9318" w:type="dxa"/>
            <w:gridSpan w:val="7"/>
            <w:vAlign w:val="center"/>
          </w:tcPr>
          <w:p w14:paraId="2425F2F9">
            <w:pPr>
              <w:ind w:left="105" w:hanging="105"/>
              <w:rPr>
                <w:rFonts w:hint="eastAsia" w:ascii="仿宋" w:hAnsi="仿宋" w:eastAsia="仿宋" w:cs="仿宋"/>
                <w:b/>
                <w:color w:val="auto"/>
                <w:sz w:val="21"/>
                <w:szCs w:val="21"/>
              </w:rPr>
            </w:pPr>
            <w:r>
              <w:rPr>
                <w:rFonts w:hint="eastAsia" w:ascii="仿宋" w:hAnsi="仿宋" w:eastAsia="仿宋" w:cs="仿宋"/>
                <w:b/>
                <w:color w:val="auto"/>
                <w:sz w:val="21"/>
                <w:szCs w:val="21"/>
                <w:lang w:eastAsia="zh-CN"/>
              </w:rPr>
              <w:t>磋商小组</w:t>
            </w:r>
            <w:r>
              <w:rPr>
                <w:rFonts w:hint="eastAsia" w:ascii="仿宋" w:hAnsi="仿宋" w:eastAsia="仿宋" w:cs="仿宋"/>
                <w:b/>
                <w:color w:val="auto"/>
                <w:sz w:val="21"/>
                <w:szCs w:val="21"/>
              </w:rPr>
              <w:t>签名：</w:t>
            </w:r>
          </w:p>
          <w:p w14:paraId="11C70ECF">
            <w:pPr>
              <w:ind w:left="105" w:hanging="105"/>
              <w:rPr>
                <w:rFonts w:hint="eastAsia" w:ascii="仿宋" w:hAnsi="仿宋" w:eastAsia="仿宋" w:cs="仿宋"/>
                <w:color w:val="auto"/>
                <w:sz w:val="21"/>
                <w:szCs w:val="21"/>
              </w:rPr>
            </w:pPr>
            <w:r>
              <w:rPr>
                <w:rFonts w:hint="eastAsia" w:ascii="仿宋" w:hAnsi="仿宋" w:eastAsia="仿宋" w:cs="仿宋"/>
                <w:b/>
                <w:color w:val="auto"/>
                <w:sz w:val="21"/>
                <w:szCs w:val="21"/>
              </w:rPr>
              <w:t xml:space="preserve">                                                           年 </w:t>
            </w:r>
            <w:r>
              <w:rPr>
                <w:rFonts w:hint="eastAsia" w:ascii="仿宋" w:hAnsi="仿宋" w:eastAsia="仿宋" w:cs="仿宋"/>
                <w:b/>
                <w:color w:val="auto"/>
                <w:sz w:val="21"/>
                <w:szCs w:val="21"/>
                <w:lang w:val="en-US" w:eastAsia="zh-CN"/>
              </w:rPr>
              <w:t xml:space="preserve"> </w:t>
            </w:r>
            <w:r>
              <w:rPr>
                <w:rFonts w:hint="eastAsia" w:ascii="仿宋" w:hAnsi="仿宋" w:eastAsia="仿宋" w:cs="仿宋"/>
                <w:b/>
                <w:color w:val="auto"/>
                <w:sz w:val="21"/>
                <w:szCs w:val="21"/>
              </w:rPr>
              <w:t xml:space="preserve"> 月  </w:t>
            </w:r>
            <w:r>
              <w:rPr>
                <w:rFonts w:hint="eastAsia" w:ascii="仿宋" w:hAnsi="仿宋" w:eastAsia="仿宋" w:cs="仿宋"/>
                <w:b/>
                <w:color w:val="auto"/>
                <w:sz w:val="21"/>
                <w:szCs w:val="21"/>
                <w:lang w:val="en-US" w:eastAsia="zh-CN"/>
              </w:rPr>
              <w:t xml:space="preserve"> </w:t>
            </w:r>
            <w:r>
              <w:rPr>
                <w:rFonts w:hint="eastAsia" w:ascii="仿宋" w:hAnsi="仿宋" w:eastAsia="仿宋" w:cs="仿宋"/>
                <w:b/>
                <w:color w:val="auto"/>
                <w:sz w:val="21"/>
                <w:szCs w:val="21"/>
              </w:rPr>
              <w:t>日</w:t>
            </w:r>
          </w:p>
        </w:tc>
      </w:tr>
      <w:tr w14:paraId="7870F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trPr>
        <w:tc>
          <w:tcPr>
            <w:tcW w:w="9318" w:type="dxa"/>
            <w:gridSpan w:val="7"/>
            <w:vAlign w:val="center"/>
          </w:tcPr>
          <w:p w14:paraId="3BF91830">
            <w:pPr>
              <w:spacing w:line="360" w:lineRule="auto"/>
              <w:jc w:val="both"/>
              <w:rPr>
                <w:rFonts w:hint="eastAsia" w:ascii="仿宋" w:hAnsi="仿宋" w:eastAsia="仿宋" w:cs="仿宋"/>
                <w:color w:val="auto"/>
                <w:sz w:val="21"/>
                <w:szCs w:val="21"/>
                <w:lang w:val="zh-CN"/>
              </w:rPr>
            </w:pPr>
            <w:r>
              <w:rPr>
                <w:rFonts w:hint="eastAsia" w:ascii="仿宋" w:hAnsi="仿宋" w:eastAsia="仿宋" w:cs="仿宋"/>
                <w:color w:val="auto"/>
                <w:sz w:val="21"/>
                <w:szCs w:val="21"/>
              </w:rPr>
              <w:t>备注：初步评审合格后方可进入详细评审阶段</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val="zh-CN"/>
              </w:rPr>
              <w:t>如果</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中有一项不满足审查标准的，磋商小组将认定该供应商不通过</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，不得进入下一阶段评审。</w:t>
            </w:r>
          </w:p>
          <w:p w14:paraId="5D5511BF">
            <w:pPr>
              <w:spacing w:line="240" w:lineRule="auto"/>
              <w:ind w:left="105" w:hanging="105"/>
              <w:rPr>
                <w:rFonts w:hint="eastAsia" w:ascii="仿宋" w:hAnsi="仿宋" w:eastAsia="仿宋" w:cs="仿宋"/>
                <w:b/>
                <w:color w:val="auto"/>
                <w:sz w:val="21"/>
                <w:szCs w:val="21"/>
              </w:rPr>
            </w:pPr>
          </w:p>
        </w:tc>
      </w:tr>
    </w:tbl>
    <w:p w14:paraId="4375087D">
      <w:pPr>
        <w:pStyle w:val="29"/>
        <w:rPr>
          <w:rFonts w:hint="eastAsia" w:ascii="仿宋" w:hAnsi="仿宋" w:eastAsia="仿宋" w:cs="仿宋"/>
          <w:b/>
          <w:color w:val="auto"/>
          <w:sz w:val="21"/>
          <w:szCs w:val="21"/>
        </w:rPr>
      </w:pPr>
    </w:p>
    <w:p w14:paraId="273AA759">
      <w:pPr>
        <w:adjustRightInd w:val="0"/>
        <w:snapToGrid w:val="0"/>
        <w:spacing w:line="360" w:lineRule="auto"/>
        <w:jc w:val="center"/>
        <w:rPr>
          <w:rFonts w:hint="eastAsia" w:ascii="仿宋" w:hAnsi="仿宋" w:eastAsia="仿宋" w:cs="仿宋"/>
          <w:b/>
          <w:color w:val="FF0000"/>
          <w:sz w:val="24"/>
        </w:rPr>
      </w:pPr>
    </w:p>
    <w:p w14:paraId="236E3D57">
      <w:pPr>
        <w:adjustRightInd w:val="0"/>
        <w:snapToGrid w:val="0"/>
        <w:spacing w:line="360" w:lineRule="auto"/>
        <w:jc w:val="center"/>
        <w:rPr>
          <w:rFonts w:hint="eastAsia" w:ascii="仿宋" w:hAnsi="仿宋" w:eastAsia="仿宋" w:cs="仿宋"/>
          <w:b/>
          <w:bCs w:val="0"/>
          <w:color w:val="auto"/>
          <w:sz w:val="28"/>
          <w:szCs w:val="21"/>
          <w:lang w:val="en-US" w:eastAsia="zh-CN"/>
        </w:rPr>
      </w:pPr>
    </w:p>
    <w:p w14:paraId="0DE2C0DF">
      <w:pPr>
        <w:adjustRightInd w:val="0"/>
        <w:snapToGrid w:val="0"/>
        <w:spacing w:line="360" w:lineRule="auto"/>
        <w:jc w:val="center"/>
        <w:rPr>
          <w:rFonts w:hint="eastAsia" w:ascii="仿宋" w:hAnsi="仿宋" w:eastAsia="仿宋" w:cs="仿宋"/>
          <w:b/>
          <w:bCs w:val="0"/>
          <w:color w:val="auto"/>
          <w:sz w:val="28"/>
          <w:szCs w:val="21"/>
          <w:lang w:val="en-US" w:eastAsia="zh-CN"/>
        </w:rPr>
      </w:pPr>
    </w:p>
    <w:p w14:paraId="299C093F">
      <w:pPr>
        <w:adjustRightInd w:val="0"/>
        <w:snapToGrid w:val="0"/>
        <w:spacing w:line="360" w:lineRule="auto"/>
        <w:jc w:val="center"/>
        <w:rPr>
          <w:rFonts w:hint="eastAsia" w:ascii="仿宋" w:hAnsi="仿宋" w:eastAsia="仿宋" w:cs="仿宋"/>
          <w:b/>
          <w:bCs w:val="0"/>
          <w:color w:val="auto"/>
          <w:sz w:val="28"/>
          <w:szCs w:val="21"/>
          <w:lang w:val="en-US" w:eastAsia="zh-CN"/>
        </w:rPr>
      </w:pPr>
    </w:p>
    <w:p w14:paraId="23C509BB">
      <w:pPr>
        <w:adjustRightInd w:val="0"/>
        <w:snapToGrid w:val="0"/>
        <w:spacing w:line="360" w:lineRule="auto"/>
        <w:jc w:val="center"/>
        <w:rPr>
          <w:rFonts w:hint="eastAsia" w:ascii="仿宋" w:hAnsi="仿宋" w:eastAsia="仿宋" w:cs="仿宋"/>
          <w:b/>
          <w:bCs w:val="0"/>
          <w:color w:val="auto"/>
          <w:sz w:val="28"/>
          <w:szCs w:val="21"/>
        </w:rPr>
      </w:pPr>
      <w:r>
        <w:rPr>
          <w:rFonts w:hint="eastAsia" w:ascii="仿宋" w:hAnsi="仿宋" w:eastAsia="仿宋" w:cs="仿宋"/>
          <w:b/>
          <w:bCs w:val="0"/>
          <w:color w:val="auto"/>
          <w:sz w:val="28"/>
          <w:szCs w:val="21"/>
          <w:lang w:val="en-US" w:eastAsia="zh-CN"/>
        </w:rPr>
        <w:t>详细评审</w:t>
      </w:r>
      <w:r>
        <w:rPr>
          <w:rFonts w:hint="eastAsia" w:ascii="仿宋" w:hAnsi="仿宋" w:eastAsia="仿宋" w:cs="仿宋"/>
          <w:b/>
          <w:bCs w:val="0"/>
          <w:color w:val="auto"/>
          <w:sz w:val="28"/>
          <w:szCs w:val="21"/>
        </w:rPr>
        <w:t>标准细则</w:t>
      </w:r>
    </w:p>
    <w:p w14:paraId="31EC4EA8">
      <w:pPr>
        <w:pStyle w:val="9"/>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color w:val="000000" w:themeColor="text1"/>
          <w:sz w:val="21"/>
          <w:szCs w:val="21"/>
          <w14:textFill>
            <w14:solidFill>
              <w14:schemeClr w14:val="tx1"/>
            </w14:solidFill>
          </w14:textFill>
        </w:rPr>
        <w:t>评审采用百分制，满分为100分，由</w:t>
      </w:r>
      <w:r>
        <w:rPr>
          <w:rFonts w:hint="eastAsia" w:ascii="仿宋" w:hAnsi="仿宋" w:eastAsia="仿宋" w:cs="仿宋"/>
          <w:color w:val="000000" w:themeColor="text1"/>
          <w:sz w:val="21"/>
          <w:szCs w:val="21"/>
          <w:lang w:eastAsia="zh-CN"/>
          <w14:textFill>
            <w14:solidFill>
              <w14:schemeClr w14:val="tx1"/>
            </w14:solidFill>
          </w14:textFill>
        </w:rPr>
        <w:t>两</w:t>
      </w:r>
      <w:r>
        <w:rPr>
          <w:rFonts w:hint="eastAsia" w:ascii="仿宋" w:hAnsi="仿宋" w:eastAsia="仿宋" w:cs="仿宋"/>
          <w:color w:val="000000" w:themeColor="text1"/>
          <w:sz w:val="21"/>
          <w:szCs w:val="21"/>
          <w14:textFill>
            <w14:solidFill>
              <w14:schemeClr w14:val="tx1"/>
            </w14:solidFill>
          </w14:textFill>
        </w:rPr>
        <w:t>个部分组成：1、商务技术得分（</w:t>
      </w:r>
      <w:r>
        <w:rPr>
          <w:rFonts w:hint="eastAsia" w:ascii="仿宋" w:hAnsi="仿宋" w:eastAsia="仿宋" w:cs="仿宋"/>
          <w:color w:val="000000" w:themeColor="text1"/>
          <w:sz w:val="21"/>
          <w:szCs w:val="21"/>
          <w:lang w:val="en-US" w:eastAsia="zh-CN"/>
          <w14:textFill>
            <w14:solidFill>
              <w14:schemeClr w14:val="tx1"/>
            </w14:solidFill>
          </w14:textFill>
        </w:rPr>
        <w:t>7</w:t>
      </w:r>
      <w:r>
        <w:rPr>
          <w:rFonts w:hint="eastAsia" w:ascii="仿宋" w:hAnsi="仿宋" w:eastAsia="仿宋" w:cs="仿宋"/>
          <w:color w:val="000000" w:themeColor="text1"/>
          <w:sz w:val="21"/>
          <w:szCs w:val="21"/>
          <w14:textFill>
            <w14:solidFill>
              <w14:schemeClr w14:val="tx1"/>
            </w14:solidFill>
          </w14:textFill>
        </w:rPr>
        <w:t>0分）</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color w:val="000000" w:themeColor="text1"/>
          <w:sz w:val="21"/>
          <w:szCs w:val="21"/>
          <w:lang w:val="en-US" w:eastAsia="zh-CN"/>
          <w14:textFill>
            <w14:solidFill>
              <w14:schemeClr w14:val="tx1"/>
            </w14:solidFill>
          </w14:textFill>
        </w:rPr>
        <w:t>2、</w:t>
      </w:r>
      <w:r>
        <w:rPr>
          <w:rFonts w:hint="eastAsia" w:ascii="仿宋" w:hAnsi="仿宋" w:eastAsia="仿宋" w:cs="仿宋"/>
          <w:color w:val="000000" w:themeColor="text1"/>
          <w:sz w:val="21"/>
          <w:szCs w:val="21"/>
          <w14:textFill>
            <w14:solidFill>
              <w14:schemeClr w14:val="tx1"/>
            </w14:solidFill>
          </w14:textFill>
        </w:rPr>
        <w:t>价格得分（</w:t>
      </w:r>
      <w:r>
        <w:rPr>
          <w:rFonts w:hint="eastAsia" w:ascii="仿宋" w:hAnsi="仿宋" w:eastAsia="仿宋" w:cs="仿宋"/>
          <w:color w:val="000000" w:themeColor="text1"/>
          <w:sz w:val="21"/>
          <w:szCs w:val="21"/>
          <w:lang w:val="en-US" w:eastAsia="zh-CN"/>
          <w14:textFill>
            <w14:solidFill>
              <w14:schemeClr w14:val="tx1"/>
            </w14:solidFill>
          </w14:textFill>
        </w:rPr>
        <w:t>3</w:t>
      </w:r>
      <w:r>
        <w:rPr>
          <w:rFonts w:hint="eastAsia" w:ascii="仿宋" w:hAnsi="仿宋" w:eastAsia="仿宋" w:cs="仿宋"/>
          <w:color w:val="000000" w:themeColor="text1"/>
          <w:sz w:val="21"/>
          <w:szCs w:val="21"/>
          <w14:textFill>
            <w14:solidFill>
              <w14:schemeClr w14:val="tx1"/>
            </w14:solidFill>
          </w14:textFill>
        </w:rPr>
        <w:t>0分）。</w:t>
      </w:r>
    </w:p>
    <w:p w14:paraId="66C9C772">
      <w:pPr>
        <w:numPr>
          <w:ilvl w:val="0"/>
          <w:numId w:val="2"/>
        </w:numPr>
        <w:spacing w:line="440" w:lineRule="exact"/>
        <w:ind w:left="0" w:leftChars="0" w:firstLine="0" w:firstLineChars="0"/>
        <w:rPr>
          <w:rFonts w:hint="eastAsia" w:ascii="仿宋" w:hAnsi="仿宋" w:eastAsia="仿宋" w:cs="仿宋"/>
          <w:b/>
          <w:color w:val="auto"/>
          <w:sz w:val="21"/>
          <w:szCs w:val="21"/>
        </w:rPr>
      </w:pPr>
      <w:r>
        <w:rPr>
          <w:rFonts w:hint="eastAsia" w:ascii="仿宋" w:hAnsi="仿宋" w:eastAsia="仿宋" w:cs="仿宋"/>
          <w:b/>
          <w:color w:val="auto"/>
          <w:sz w:val="21"/>
          <w:szCs w:val="21"/>
        </w:rPr>
        <w:t>技术、商务部分（</w:t>
      </w:r>
      <w:r>
        <w:rPr>
          <w:rFonts w:hint="eastAsia" w:ascii="仿宋" w:hAnsi="仿宋" w:eastAsia="仿宋" w:cs="仿宋"/>
          <w:b/>
          <w:color w:val="auto"/>
          <w:sz w:val="21"/>
          <w:szCs w:val="21"/>
          <w:lang w:val="en-US" w:eastAsia="zh-CN"/>
        </w:rPr>
        <w:t>6</w:t>
      </w:r>
      <w:r>
        <w:rPr>
          <w:rFonts w:hint="eastAsia" w:ascii="仿宋" w:hAnsi="仿宋" w:eastAsia="仿宋" w:cs="仿宋"/>
          <w:b/>
          <w:color w:val="auto"/>
          <w:sz w:val="21"/>
          <w:szCs w:val="21"/>
        </w:rPr>
        <w:t>0分）</w:t>
      </w:r>
    </w:p>
    <w:tbl>
      <w:tblPr>
        <w:tblStyle w:val="24"/>
        <w:tblpPr w:leftFromText="180" w:rightFromText="180" w:vertAnchor="text" w:horzAnchor="page" w:tblpX="1532" w:tblpY="303"/>
        <w:tblOverlap w:val="never"/>
        <w:tblW w:w="89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30"/>
        <w:gridCol w:w="1076"/>
        <w:gridCol w:w="1005"/>
        <w:gridCol w:w="5507"/>
      </w:tblGrid>
      <w:tr w14:paraId="333B3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trPr>
        <w:tc>
          <w:tcPr>
            <w:tcW w:w="2406" w:type="dxa"/>
            <w:gridSpan w:val="2"/>
            <w:noWrap w:val="0"/>
            <w:vAlign w:val="center"/>
          </w:tcPr>
          <w:p w14:paraId="5BEAFA52">
            <w:pPr>
              <w:ind w:firstLine="0" w:firstLineChars="0"/>
              <w:jc w:val="center"/>
              <w:rPr>
                <w:rFonts w:hint="eastAsia" w:ascii="仿宋" w:hAnsi="仿宋" w:eastAsia="仿宋" w:cs="仿宋"/>
                <w:b/>
                <w:bCs/>
                <w:color w:val="000000" w:themeColor="text1"/>
                <w:kern w:val="0"/>
                <w:sz w:val="21"/>
                <w:szCs w:val="21"/>
                <w14:textFill>
                  <w14:solidFill>
                    <w14:schemeClr w14:val="tx1"/>
                  </w14:solidFill>
                </w14:textFill>
              </w:rPr>
            </w:pPr>
            <w:r>
              <w:rPr>
                <w:rFonts w:hint="eastAsia" w:ascii="仿宋" w:hAnsi="仿宋" w:eastAsia="仿宋" w:cs="仿宋"/>
                <w:b/>
                <w:bCs/>
                <w:color w:val="000000" w:themeColor="text1"/>
                <w:kern w:val="0"/>
                <w:sz w:val="21"/>
                <w:szCs w:val="21"/>
                <w14:textFill>
                  <w14:solidFill>
                    <w14:schemeClr w14:val="tx1"/>
                  </w14:solidFill>
                </w14:textFill>
              </w:rPr>
              <w:t>评审项目</w:t>
            </w:r>
          </w:p>
        </w:tc>
        <w:tc>
          <w:tcPr>
            <w:tcW w:w="1005" w:type="dxa"/>
            <w:noWrap w:val="0"/>
            <w:vAlign w:val="center"/>
          </w:tcPr>
          <w:p w14:paraId="0199FF7A">
            <w:pPr>
              <w:ind w:firstLine="0" w:firstLineChars="0"/>
              <w:jc w:val="center"/>
              <w:rPr>
                <w:rFonts w:hint="eastAsia" w:ascii="仿宋" w:hAnsi="仿宋" w:eastAsia="仿宋" w:cs="仿宋"/>
                <w:b/>
                <w:bCs/>
                <w:color w:val="000000" w:themeColor="text1"/>
                <w:kern w:val="0"/>
                <w:sz w:val="21"/>
                <w:szCs w:val="21"/>
                <w14:textFill>
                  <w14:solidFill>
                    <w14:schemeClr w14:val="tx1"/>
                  </w14:solidFill>
                </w14:textFill>
              </w:rPr>
            </w:pPr>
            <w:r>
              <w:rPr>
                <w:rFonts w:hint="eastAsia" w:ascii="仿宋" w:hAnsi="仿宋" w:eastAsia="仿宋" w:cs="仿宋"/>
                <w:b/>
                <w:bCs/>
                <w:color w:val="000000" w:themeColor="text1"/>
                <w:kern w:val="0"/>
                <w:sz w:val="21"/>
                <w:szCs w:val="21"/>
                <w14:textFill>
                  <w14:solidFill>
                    <w14:schemeClr w14:val="tx1"/>
                  </w14:solidFill>
                </w14:textFill>
              </w:rPr>
              <w:t>标准分</w:t>
            </w:r>
          </w:p>
        </w:tc>
        <w:tc>
          <w:tcPr>
            <w:tcW w:w="5507" w:type="dxa"/>
            <w:noWrap w:val="0"/>
            <w:vAlign w:val="center"/>
          </w:tcPr>
          <w:p w14:paraId="51976FD2">
            <w:pPr>
              <w:ind w:firstLine="0" w:firstLineChars="0"/>
              <w:jc w:val="center"/>
              <w:rPr>
                <w:rFonts w:hint="eastAsia" w:ascii="仿宋" w:hAnsi="仿宋" w:eastAsia="仿宋" w:cs="仿宋"/>
                <w:b/>
                <w:bCs/>
                <w:color w:val="000000" w:themeColor="text1"/>
                <w:kern w:val="0"/>
                <w:sz w:val="21"/>
                <w:szCs w:val="21"/>
                <w14:textFill>
                  <w14:solidFill>
                    <w14:schemeClr w14:val="tx1"/>
                  </w14:solidFill>
                </w14:textFill>
              </w:rPr>
            </w:pPr>
            <w:r>
              <w:rPr>
                <w:rFonts w:hint="eastAsia" w:ascii="仿宋" w:hAnsi="仿宋" w:eastAsia="仿宋" w:cs="仿宋"/>
                <w:b/>
                <w:bCs/>
                <w:color w:val="000000" w:themeColor="text1"/>
                <w:kern w:val="0"/>
                <w:sz w:val="21"/>
                <w:szCs w:val="21"/>
                <w14:textFill>
                  <w14:solidFill>
                    <w14:schemeClr w14:val="tx1"/>
                  </w14:solidFill>
                </w14:textFill>
              </w:rPr>
              <w:t>评审标准</w:t>
            </w:r>
          </w:p>
        </w:tc>
      </w:tr>
      <w:tr w14:paraId="30D98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trPr>
        <w:tc>
          <w:tcPr>
            <w:tcW w:w="1330" w:type="dxa"/>
            <w:noWrap w:val="0"/>
            <w:vAlign w:val="center"/>
          </w:tcPr>
          <w:p w14:paraId="09E871DB">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价格评价评分标准（30分）</w:t>
            </w:r>
          </w:p>
          <w:p w14:paraId="1D9D81B4">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tc>
        <w:tc>
          <w:tcPr>
            <w:tcW w:w="1076" w:type="dxa"/>
            <w:noWrap w:val="0"/>
            <w:vAlign w:val="center"/>
          </w:tcPr>
          <w:p w14:paraId="69DB91FB">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报价得分</w:t>
            </w:r>
          </w:p>
        </w:tc>
        <w:tc>
          <w:tcPr>
            <w:tcW w:w="1005" w:type="dxa"/>
            <w:noWrap w:val="0"/>
            <w:vAlign w:val="center"/>
          </w:tcPr>
          <w:p w14:paraId="0685D0E1">
            <w:pPr>
              <w:spacing w:line="24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30分</w:t>
            </w:r>
          </w:p>
        </w:tc>
        <w:tc>
          <w:tcPr>
            <w:tcW w:w="5507" w:type="dxa"/>
            <w:noWrap w:val="0"/>
            <w:vAlign w:val="top"/>
          </w:tcPr>
          <w:p w14:paraId="27653DB2">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满足磋商文件要求且投标价格最低的投标报价为评标基准价，其价格分为满分30分。其他投标人的价格分统一按照下列公式计算：投标报价得分=(评标基准价／投标报价)×价格权值×100（价格权值为30％）。</w:t>
            </w:r>
          </w:p>
        </w:tc>
      </w:tr>
      <w:tr w14:paraId="6F4C6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13" w:hRule="atLeast"/>
        </w:trPr>
        <w:tc>
          <w:tcPr>
            <w:tcW w:w="1330" w:type="dxa"/>
            <w:vMerge w:val="restart"/>
            <w:noWrap w:val="0"/>
            <w:vAlign w:val="center"/>
          </w:tcPr>
          <w:p w14:paraId="04D04FA8">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23B6B230">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7737FFC8">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3522409A">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331E68BA">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0CCC4003">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6F29BAE1">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5BBA73E9">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5A1359D4">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1F38694A">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69771657">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7CC9CAF0">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6D65D761">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p w14:paraId="6A7A058D">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技术</w:t>
            </w:r>
            <w:r>
              <w:rPr>
                <w:rFonts w:hint="default" w:ascii="仿宋" w:hAnsi="仿宋" w:eastAsia="仿宋" w:cs="仿宋"/>
                <w:color w:val="000000" w:themeColor="text1"/>
                <w:sz w:val="21"/>
                <w:szCs w:val="21"/>
                <w:lang w:eastAsia="zh-CN"/>
                <w14:textFill>
                  <w14:solidFill>
                    <w14:schemeClr w14:val="tx1"/>
                  </w14:solidFill>
                </w14:textFill>
              </w:rPr>
              <w:t>商务</w:t>
            </w:r>
            <w:r>
              <w:rPr>
                <w:rFonts w:hint="eastAsia" w:ascii="仿宋" w:hAnsi="仿宋" w:eastAsia="仿宋" w:cs="仿宋"/>
                <w:color w:val="000000" w:themeColor="text1"/>
                <w:sz w:val="21"/>
                <w:szCs w:val="21"/>
                <w:lang w:val="en-US" w:eastAsia="zh-CN"/>
                <w14:textFill>
                  <w14:solidFill>
                    <w14:schemeClr w14:val="tx1"/>
                  </w14:solidFill>
                </w14:textFill>
              </w:rPr>
              <w:t>评分标准（70分）</w:t>
            </w:r>
          </w:p>
          <w:p w14:paraId="1AEDB0E8">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tc>
        <w:tc>
          <w:tcPr>
            <w:tcW w:w="1076" w:type="dxa"/>
            <w:noWrap w:val="0"/>
            <w:vAlign w:val="center"/>
          </w:tcPr>
          <w:p w14:paraId="6697FB22">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业绩及信誉</w:t>
            </w:r>
          </w:p>
        </w:tc>
        <w:tc>
          <w:tcPr>
            <w:tcW w:w="1005" w:type="dxa"/>
            <w:noWrap w:val="0"/>
            <w:vAlign w:val="center"/>
          </w:tcPr>
          <w:p w14:paraId="38DC1946">
            <w:pPr>
              <w:spacing w:line="240" w:lineRule="auto"/>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0-6分</w:t>
            </w:r>
          </w:p>
        </w:tc>
        <w:tc>
          <w:tcPr>
            <w:tcW w:w="5507" w:type="dxa"/>
            <w:noWrap w:val="0"/>
            <w:vAlign w:val="top"/>
          </w:tcPr>
          <w:p w14:paraId="4C5CD782">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投标人提供2022年03月01日以来完成的类似项目业绩，每提供一份得3分，最高得6分。</w:t>
            </w:r>
          </w:p>
          <w:p w14:paraId="235A2ACC">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注:需提供中标通知书或发包通知书或施工合同，施工合同复印件至少提供合同首页、合同金额所在页、签名盖章页及相关服务内容证明页，加盖投标人公章，否则不得分。</w:t>
            </w:r>
          </w:p>
        </w:tc>
      </w:tr>
      <w:tr w14:paraId="057AE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61" w:hRule="atLeast"/>
        </w:trPr>
        <w:tc>
          <w:tcPr>
            <w:tcW w:w="1330" w:type="dxa"/>
            <w:vMerge w:val="continue"/>
            <w:noWrap w:val="0"/>
            <w:vAlign w:val="center"/>
          </w:tcPr>
          <w:p w14:paraId="09EDBB72">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tc>
        <w:tc>
          <w:tcPr>
            <w:tcW w:w="1076" w:type="dxa"/>
            <w:noWrap w:val="0"/>
            <w:vAlign w:val="center"/>
          </w:tcPr>
          <w:p w14:paraId="20D66BC3">
            <w:pPr>
              <w:spacing w:line="240" w:lineRule="auto"/>
              <w:ind w:left="105" w:hanging="105"/>
              <w:rPr>
                <w:rFonts w:hint="default" w:ascii="仿宋" w:hAnsi="仿宋" w:eastAsia="仿宋" w:cs="仿宋"/>
                <w:color w:val="auto"/>
                <w:sz w:val="21"/>
                <w:szCs w:val="21"/>
                <w:lang w:val="en-US" w:eastAsia="zh-CN"/>
              </w:rPr>
            </w:pPr>
            <w:r>
              <w:rPr>
                <w:rFonts w:hint="eastAsia" w:ascii="仿宋" w:hAnsi="仿宋" w:eastAsia="仿宋" w:cs="仿宋"/>
                <w:color w:val="auto"/>
                <w:sz w:val="20"/>
                <w:szCs w:val="20"/>
                <w:lang w:val="en-US" w:eastAsia="zh-CN"/>
              </w:rPr>
              <w:t>项目实施方案</w:t>
            </w:r>
          </w:p>
        </w:tc>
        <w:tc>
          <w:tcPr>
            <w:tcW w:w="1005" w:type="dxa"/>
            <w:noWrap w:val="0"/>
            <w:vAlign w:val="center"/>
          </w:tcPr>
          <w:p w14:paraId="22297B13">
            <w:pPr>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0-18分</w:t>
            </w:r>
          </w:p>
        </w:tc>
        <w:tc>
          <w:tcPr>
            <w:tcW w:w="5507" w:type="dxa"/>
            <w:noWrap w:val="0"/>
            <w:vAlign w:val="top"/>
          </w:tcPr>
          <w:p w14:paraId="4B26F990">
            <w:pPr>
              <w:spacing w:line="240" w:lineRule="auto"/>
              <w:ind w:left="105" w:hanging="105"/>
              <w:rPr>
                <w:rFonts w:hint="default" w:ascii="仿宋" w:hAnsi="仿宋" w:eastAsia="仿宋" w:cs="仿宋"/>
                <w:color w:val="auto"/>
                <w:sz w:val="21"/>
                <w:szCs w:val="21"/>
                <w:lang w:val="en-US" w:eastAsia="zh-CN"/>
              </w:rPr>
            </w:pPr>
            <w:r>
              <w:rPr>
                <w:rFonts w:hint="default" w:ascii="仿宋" w:hAnsi="仿宋" w:eastAsia="仿宋" w:cs="仿宋"/>
                <w:color w:val="auto"/>
                <w:spacing w:val="4"/>
                <w:sz w:val="21"/>
                <w:szCs w:val="21"/>
                <w:lang w:val="en-US" w:eastAsia="zh-CN"/>
              </w:rPr>
              <w:t>提供项目整体实施方案</w:t>
            </w:r>
            <w:r>
              <w:rPr>
                <w:rFonts w:hint="eastAsia" w:ascii="仿宋" w:hAnsi="仿宋" w:eastAsia="仿宋" w:cs="仿宋"/>
                <w:color w:val="auto"/>
                <w:spacing w:val="4"/>
                <w:sz w:val="21"/>
                <w:szCs w:val="21"/>
                <w:lang w:val="en-US" w:eastAsia="zh-CN"/>
              </w:rPr>
              <w:t>包括</w:t>
            </w:r>
            <w:r>
              <w:rPr>
                <w:rFonts w:hint="default" w:ascii="仿宋" w:hAnsi="仿宋" w:eastAsia="仿宋" w:cs="仿宋"/>
                <w:color w:val="auto"/>
                <w:spacing w:val="4"/>
                <w:sz w:val="21"/>
                <w:szCs w:val="21"/>
                <w:lang w:val="en-US" w:eastAsia="zh-CN"/>
              </w:rPr>
              <w:t>：①具有管理架构；②有完整的施工计划；③质量服务计划表；④人员配备方案；⑤机械设备使用方案；⑥资金使用计划；</w:t>
            </w:r>
            <w:r>
              <w:rPr>
                <w:rFonts w:hint="eastAsia" w:ascii="仿宋" w:hAnsi="仿宋" w:eastAsia="仿宋" w:cs="仿宋"/>
                <w:color w:val="auto"/>
                <w:spacing w:val="4"/>
                <w:sz w:val="21"/>
                <w:szCs w:val="21"/>
                <w:lang w:val="en-US" w:eastAsia="zh-CN"/>
              </w:rPr>
              <w:t>方案完整、完全满足项目需求、合理、内容无错误或无缺陷的得18分；每缺少一项内容扣3分；每有一项内容不能完全针对本项目或阐述不清楚的或存在缺陷的扣1分，扣完为止，未提供不得分。注：内容存在缺陷是指：①该项内容描述前后不一致；②该项内容所阐述的项目信息与本项目实际信息不一致；③该项内容阐述的各类方案明显不符合本项目实际情况；④该项内容描述与本项目实际情况不符；⑤该项内容套用其他项目内容。</w:t>
            </w:r>
          </w:p>
        </w:tc>
      </w:tr>
      <w:tr w14:paraId="61338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44" w:hRule="atLeast"/>
        </w:trPr>
        <w:tc>
          <w:tcPr>
            <w:tcW w:w="1330" w:type="dxa"/>
            <w:vMerge w:val="continue"/>
            <w:noWrap w:val="0"/>
            <w:vAlign w:val="center"/>
          </w:tcPr>
          <w:p w14:paraId="4240BBA6">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tc>
        <w:tc>
          <w:tcPr>
            <w:tcW w:w="1076" w:type="dxa"/>
            <w:noWrap w:val="0"/>
            <w:vAlign w:val="center"/>
          </w:tcPr>
          <w:p w14:paraId="6F5D87B6">
            <w:pPr>
              <w:spacing w:line="240" w:lineRule="auto"/>
              <w:ind w:left="105" w:hanging="105"/>
              <w:rPr>
                <w:rFonts w:hint="eastAsia" w:ascii="仿宋" w:hAnsi="仿宋" w:eastAsia="仿宋" w:cs="仿宋"/>
                <w:spacing w:val="4"/>
                <w:sz w:val="21"/>
                <w:szCs w:val="21"/>
                <w:lang w:val="en-US" w:eastAsia="zh-CN"/>
              </w:rPr>
            </w:pPr>
            <w:r>
              <w:rPr>
                <w:rFonts w:hint="eastAsia" w:ascii="仿宋" w:hAnsi="仿宋" w:eastAsia="仿宋" w:cs="仿宋"/>
                <w:spacing w:val="4"/>
                <w:sz w:val="21"/>
                <w:szCs w:val="21"/>
                <w:lang w:val="en-US" w:eastAsia="zh-CN"/>
              </w:rPr>
              <w:t>质量保证措施</w:t>
            </w:r>
          </w:p>
          <w:p w14:paraId="78B5B209">
            <w:pPr>
              <w:spacing w:line="240" w:lineRule="auto"/>
              <w:ind w:left="105" w:hanging="105"/>
              <w:rPr>
                <w:rFonts w:hint="eastAsia" w:ascii="仿宋" w:hAnsi="仿宋" w:eastAsia="仿宋" w:cs="仿宋"/>
                <w:spacing w:val="4"/>
                <w:sz w:val="21"/>
                <w:szCs w:val="21"/>
                <w:lang w:val="en-US" w:eastAsia="zh-CN"/>
              </w:rPr>
            </w:pPr>
          </w:p>
        </w:tc>
        <w:tc>
          <w:tcPr>
            <w:tcW w:w="1005" w:type="dxa"/>
            <w:noWrap w:val="0"/>
            <w:vAlign w:val="top"/>
          </w:tcPr>
          <w:p w14:paraId="2E90D20A">
            <w:pPr>
              <w:spacing w:line="240" w:lineRule="auto"/>
              <w:ind w:left="105" w:hanging="105"/>
              <w:rPr>
                <w:rFonts w:hint="eastAsia" w:ascii="仿宋" w:hAnsi="仿宋" w:eastAsia="仿宋" w:cs="仿宋"/>
                <w:spacing w:val="4"/>
                <w:sz w:val="21"/>
                <w:szCs w:val="21"/>
                <w:lang w:val="en-US" w:eastAsia="zh-CN"/>
              </w:rPr>
            </w:pPr>
          </w:p>
          <w:p w14:paraId="64C3428C">
            <w:pPr>
              <w:spacing w:line="240" w:lineRule="auto"/>
              <w:ind w:left="105" w:hanging="105"/>
              <w:rPr>
                <w:rFonts w:hint="eastAsia" w:ascii="仿宋" w:hAnsi="仿宋" w:eastAsia="仿宋" w:cs="仿宋"/>
                <w:spacing w:val="4"/>
                <w:sz w:val="21"/>
                <w:szCs w:val="21"/>
                <w:lang w:val="en-US" w:eastAsia="zh-CN"/>
              </w:rPr>
            </w:pPr>
          </w:p>
          <w:p w14:paraId="3734FBA2">
            <w:pPr>
              <w:spacing w:line="240" w:lineRule="auto"/>
              <w:ind w:left="105" w:hanging="105"/>
              <w:rPr>
                <w:rFonts w:hint="eastAsia" w:ascii="仿宋" w:hAnsi="仿宋" w:eastAsia="仿宋" w:cs="仿宋"/>
                <w:spacing w:val="4"/>
                <w:sz w:val="21"/>
                <w:szCs w:val="21"/>
                <w:lang w:val="en-US" w:eastAsia="zh-CN"/>
              </w:rPr>
            </w:pPr>
          </w:p>
          <w:p w14:paraId="711D9E3E">
            <w:pPr>
              <w:spacing w:line="240" w:lineRule="auto"/>
              <w:ind w:left="105" w:hanging="105"/>
              <w:jc w:val="center"/>
              <w:rPr>
                <w:rFonts w:hint="eastAsia" w:ascii="仿宋" w:hAnsi="仿宋" w:eastAsia="仿宋" w:cs="仿宋"/>
                <w:spacing w:val="4"/>
                <w:sz w:val="21"/>
                <w:szCs w:val="21"/>
                <w:lang w:val="en-US" w:eastAsia="zh-CN"/>
              </w:rPr>
            </w:pPr>
          </w:p>
          <w:p w14:paraId="60A0807E">
            <w:pPr>
              <w:spacing w:line="240" w:lineRule="auto"/>
              <w:ind w:left="105" w:hanging="105"/>
              <w:jc w:val="center"/>
              <w:rPr>
                <w:rFonts w:hint="default" w:ascii="仿宋" w:hAnsi="仿宋" w:eastAsia="仿宋" w:cs="仿宋"/>
                <w:spacing w:val="4"/>
                <w:sz w:val="21"/>
                <w:szCs w:val="21"/>
                <w:lang w:val="en-US" w:eastAsia="zh-CN"/>
              </w:rPr>
            </w:pPr>
            <w:r>
              <w:rPr>
                <w:rFonts w:hint="eastAsia" w:ascii="仿宋" w:hAnsi="仿宋" w:eastAsia="仿宋" w:cs="仿宋"/>
                <w:spacing w:val="4"/>
                <w:sz w:val="21"/>
                <w:szCs w:val="21"/>
                <w:lang w:val="en-US" w:eastAsia="zh-CN"/>
              </w:rPr>
              <w:t>0-25 分</w:t>
            </w:r>
          </w:p>
        </w:tc>
        <w:tc>
          <w:tcPr>
            <w:tcW w:w="5507" w:type="dxa"/>
            <w:noWrap w:val="0"/>
            <w:vAlign w:val="top"/>
          </w:tcPr>
          <w:p w14:paraId="153C7229">
            <w:pPr>
              <w:spacing w:line="240" w:lineRule="auto"/>
              <w:ind w:left="105" w:hanging="105"/>
              <w:rPr>
                <w:rFonts w:hint="eastAsia" w:ascii="仿宋" w:hAnsi="仿宋" w:eastAsia="仿宋" w:cs="仿宋"/>
                <w:color w:val="FF0000"/>
                <w:sz w:val="20"/>
                <w:szCs w:val="20"/>
                <w:lang w:val="en-US" w:eastAsia="zh-CN"/>
              </w:rPr>
            </w:pPr>
            <w:r>
              <w:rPr>
                <w:rFonts w:hint="eastAsia" w:ascii="仿宋" w:hAnsi="仿宋" w:eastAsia="仿宋" w:cs="仿宋"/>
                <w:spacing w:val="4"/>
                <w:sz w:val="21"/>
                <w:szCs w:val="21"/>
                <w:lang w:val="en-US" w:eastAsia="zh-CN"/>
              </w:rPr>
              <w:t>供应商针对本项目提供质量保证措施，内容包含但不限于：①质量保障计划、②质量控制流程、③质量管理措施、④应急保障措施、⑤环境保护措施，措施方案完整、完全满足项目需求、合理、内容无错误或无缺陷的得25分；每缺少一项内容扣5分；每有一项内容不能完全针对本项目或阐述不清楚的或存在缺陷的扣2分，扣完为止，未提供不得分。注：内容存在缺陷是指：①该项内容描述前后不一致；②该项内容所阐述的项目信息与本项目实际信息不一致；③该项内容阐述的各类方案明显不符合本项目实际情况；④该项内容描述与本项目实际情况不符；⑤该项内容套用其他项目内容。</w:t>
            </w:r>
          </w:p>
        </w:tc>
      </w:tr>
      <w:tr w14:paraId="3268E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70" w:hRule="atLeast"/>
        </w:trPr>
        <w:tc>
          <w:tcPr>
            <w:tcW w:w="1330" w:type="dxa"/>
            <w:vMerge w:val="continue"/>
            <w:noWrap w:val="0"/>
            <w:vAlign w:val="center"/>
          </w:tcPr>
          <w:p w14:paraId="2E7E7C91">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tc>
        <w:tc>
          <w:tcPr>
            <w:tcW w:w="1076" w:type="dxa"/>
            <w:noWrap w:val="0"/>
            <w:vAlign w:val="center"/>
          </w:tcPr>
          <w:p w14:paraId="656D3B2A">
            <w:pPr>
              <w:spacing w:line="240" w:lineRule="auto"/>
              <w:rPr>
                <w:rFonts w:hint="default" w:ascii="仿宋" w:hAnsi="仿宋" w:eastAsia="仿宋" w:cs="仿宋"/>
                <w:color w:val="auto"/>
                <w:sz w:val="20"/>
                <w:szCs w:val="20"/>
                <w:lang w:val="en-US" w:eastAsia="zh-CN"/>
              </w:rPr>
            </w:pPr>
            <w:r>
              <w:rPr>
                <w:rFonts w:hint="default" w:ascii="仿宋" w:hAnsi="仿宋" w:eastAsia="仿宋" w:cs="仿宋"/>
                <w:color w:val="auto"/>
                <w:sz w:val="20"/>
                <w:szCs w:val="20"/>
                <w:lang w:val="en-US" w:eastAsia="zh-CN"/>
              </w:rPr>
              <w:t>项目负责人及项目管理人员组成</w:t>
            </w:r>
          </w:p>
        </w:tc>
        <w:tc>
          <w:tcPr>
            <w:tcW w:w="1005" w:type="dxa"/>
            <w:noWrap w:val="0"/>
            <w:vAlign w:val="center"/>
          </w:tcPr>
          <w:p w14:paraId="4239C3CF">
            <w:pPr>
              <w:spacing w:line="240" w:lineRule="auto"/>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0-10</w:t>
            </w:r>
          </w:p>
        </w:tc>
        <w:tc>
          <w:tcPr>
            <w:tcW w:w="5507" w:type="dxa"/>
            <w:noWrap w:val="0"/>
            <w:vAlign w:val="top"/>
          </w:tcPr>
          <w:p w14:paraId="4F70B315">
            <w:pPr>
              <w:spacing w:line="240" w:lineRule="auto"/>
              <w:ind w:left="105" w:hanging="105"/>
              <w:jc w:val="both"/>
              <w:rPr>
                <w:rFonts w:hint="default" w:ascii="仿宋" w:hAnsi="仿宋" w:eastAsia="仿宋" w:cs="仿宋"/>
                <w:color w:val="auto"/>
                <w:sz w:val="20"/>
                <w:szCs w:val="20"/>
                <w:lang w:val="en-US" w:eastAsia="zh-CN"/>
              </w:rPr>
            </w:pPr>
            <w:r>
              <w:rPr>
                <w:rFonts w:hint="eastAsia" w:ascii="仿宋" w:hAnsi="仿宋" w:eastAsia="仿宋" w:cs="仿宋"/>
                <w:color w:val="auto"/>
                <w:spacing w:val="4"/>
                <w:sz w:val="22"/>
                <w:szCs w:val="22"/>
                <w:highlight w:val="none"/>
                <w:lang w:val="en-US" w:eastAsia="zh-CN"/>
              </w:rPr>
              <w:t>供应商针对本项目拟派的项目负责人具备高级工程师职称的得3分，具有中级工程师职称的得2分，具有助理工程师职称的得1分。</w:t>
            </w:r>
          </w:p>
          <w:p w14:paraId="77343495">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4"/>
                <w:sz w:val="22"/>
                <w:szCs w:val="22"/>
                <w:highlight w:val="none"/>
                <w:lang w:val="en-US" w:eastAsia="zh-CN"/>
              </w:rPr>
            </w:pPr>
            <w:r>
              <w:rPr>
                <w:rFonts w:hint="eastAsia" w:ascii="仿宋" w:hAnsi="仿宋" w:eastAsia="仿宋" w:cs="仿宋"/>
                <w:color w:val="auto"/>
                <w:spacing w:val="4"/>
                <w:sz w:val="22"/>
                <w:szCs w:val="22"/>
                <w:highlight w:val="none"/>
                <w:lang w:val="en-US" w:eastAsia="zh-CN"/>
              </w:rPr>
              <w:t>供应商针对本项目拟派的技术负责人具备高级工程师的，得2分；</w:t>
            </w:r>
          </w:p>
          <w:p w14:paraId="5A474163">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4"/>
                <w:sz w:val="22"/>
                <w:szCs w:val="22"/>
                <w:highlight w:val="none"/>
                <w:lang w:val="en-US" w:eastAsia="zh-CN"/>
              </w:rPr>
            </w:pPr>
            <w:r>
              <w:rPr>
                <w:rFonts w:hint="eastAsia" w:ascii="仿宋" w:hAnsi="仿宋" w:eastAsia="仿宋" w:cs="仿宋"/>
                <w:color w:val="auto"/>
                <w:spacing w:val="4"/>
                <w:sz w:val="22"/>
                <w:szCs w:val="22"/>
                <w:highlight w:val="none"/>
                <w:lang w:val="en-US" w:eastAsia="zh-CN"/>
              </w:rPr>
              <w:t>施工管理机构人员中配备的施工员、质检员、材料员、安全员、资料员等每具备一名中级职称的得1分，最高的5分。</w:t>
            </w:r>
          </w:p>
          <w:p w14:paraId="0FEB8D6B">
            <w:pPr>
              <w:spacing w:line="240" w:lineRule="auto"/>
              <w:ind w:left="105" w:hanging="105"/>
              <w:jc w:val="both"/>
              <w:rPr>
                <w:rFonts w:hint="eastAsia" w:ascii="仿宋" w:hAnsi="仿宋" w:eastAsia="仿宋" w:cs="仿宋"/>
                <w:color w:val="auto"/>
                <w:sz w:val="21"/>
                <w:szCs w:val="21"/>
                <w:lang w:val="en-US" w:eastAsia="zh-CN"/>
              </w:rPr>
            </w:pPr>
            <w:r>
              <w:rPr>
                <w:rFonts w:hint="eastAsia" w:ascii="仿宋" w:hAnsi="仿宋" w:eastAsia="仿宋" w:cs="仿宋"/>
                <w:color w:val="auto"/>
                <w:spacing w:val="4"/>
                <w:sz w:val="22"/>
                <w:szCs w:val="22"/>
                <w:highlight w:val="none"/>
                <w:lang w:val="en-US" w:eastAsia="zh-CN"/>
              </w:rPr>
              <w:t>(注：提供拟派人员相关证书复印件及近三个月社保缴纳证明或劳动合同证明材料。)</w:t>
            </w:r>
          </w:p>
        </w:tc>
      </w:tr>
      <w:tr w14:paraId="0660D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10" w:hRule="atLeast"/>
        </w:trPr>
        <w:tc>
          <w:tcPr>
            <w:tcW w:w="1330" w:type="dxa"/>
            <w:vMerge w:val="continue"/>
            <w:noWrap w:val="0"/>
            <w:tcMar>
              <w:top w:w="0" w:type="dxa"/>
              <w:left w:w="108" w:type="dxa"/>
              <w:bottom w:w="0" w:type="dxa"/>
              <w:right w:w="108" w:type="dxa"/>
            </w:tcMar>
            <w:vAlign w:val="center"/>
          </w:tcPr>
          <w:p w14:paraId="33885227">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p>
        </w:tc>
        <w:tc>
          <w:tcPr>
            <w:tcW w:w="1076" w:type="dxa"/>
            <w:noWrap w:val="0"/>
            <w:tcMar>
              <w:top w:w="0" w:type="dxa"/>
              <w:left w:w="108" w:type="dxa"/>
              <w:bottom w:w="0" w:type="dxa"/>
              <w:right w:w="108" w:type="dxa"/>
            </w:tcMar>
            <w:vAlign w:val="top"/>
          </w:tcPr>
          <w:p w14:paraId="3125A949">
            <w:pPr>
              <w:spacing w:line="240" w:lineRule="auto"/>
              <w:ind w:left="105" w:leftChars="0" w:hanging="105" w:firstLineChars="0"/>
              <w:rPr>
                <w:rFonts w:hint="eastAsia" w:ascii="仿宋" w:hAnsi="仿宋" w:eastAsia="仿宋" w:cs="仿宋"/>
                <w:color w:val="000000"/>
                <w:sz w:val="20"/>
                <w:szCs w:val="20"/>
                <w:lang w:val="en-US" w:eastAsia="zh-CN"/>
              </w:rPr>
            </w:pPr>
          </w:p>
          <w:p w14:paraId="6AB4FDB3">
            <w:pPr>
              <w:spacing w:line="240" w:lineRule="auto"/>
              <w:ind w:left="105" w:leftChars="0" w:hanging="105" w:firstLineChars="0"/>
              <w:rPr>
                <w:rFonts w:hint="eastAsia" w:ascii="仿宋" w:hAnsi="仿宋" w:eastAsia="仿宋" w:cs="仿宋"/>
                <w:color w:val="000000"/>
                <w:sz w:val="20"/>
                <w:szCs w:val="20"/>
                <w:lang w:val="en-US" w:eastAsia="zh-CN"/>
              </w:rPr>
            </w:pPr>
          </w:p>
          <w:p w14:paraId="64620578">
            <w:pPr>
              <w:spacing w:line="240" w:lineRule="auto"/>
              <w:ind w:left="105" w:leftChars="0" w:hanging="105" w:firstLineChars="0"/>
              <w:rPr>
                <w:rFonts w:hint="default"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售后服务方案</w:t>
            </w:r>
          </w:p>
        </w:tc>
        <w:tc>
          <w:tcPr>
            <w:tcW w:w="1005" w:type="dxa"/>
            <w:noWrap w:val="0"/>
            <w:tcMar>
              <w:top w:w="0" w:type="dxa"/>
              <w:left w:w="108" w:type="dxa"/>
              <w:bottom w:w="0" w:type="dxa"/>
              <w:right w:w="108" w:type="dxa"/>
            </w:tcMar>
            <w:vAlign w:val="top"/>
          </w:tcPr>
          <w:p w14:paraId="659DE42A">
            <w:pPr>
              <w:spacing w:line="240" w:lineRule="auto"/>
              <w:ind w:left="105" w:leftChars="0" w:hanging="105" w:firstLineChars="0"/>
              <w:jc w:val="center"/>
              <w:rPr>
                <w:rFonts w:hint="eastAsia" w:ascii="仿宋" w:hAnsi="仿宋" w:eastAsia="仿宋" w:cs="仿宋"/>
                <w:color w:val="000000"/>
                <w:sz w:val="20"/>
                <w:szCs w:val="20"/>
                <w:lang w:val="en-US" w:eastAsia="zh-CN"/>
              </w:rPr>
            </w:pPr>
          </w:p>
          <w:p w14:paraId="4ED38685">
            <w:pPr>
              <w:spacing w:line="240" w:lineRule="auto"/>
              <w:ind w:left="105" w:leftChars="0" w:hanging="105" w:firstLineChars="0"/>
              <w:jc w:val="center"/>
              <w:rPr>
                <w:rFonts w:hint="eastAsia" w:ascii="仿宋" w:hAnsi="仿宋" w:eastAsia="仿宋" w:cs="仿宋"/>
                <w:color w:val="000000"/>
                <w:sz w:val="20"/>
                <w:szCs w:val="20"/>
                <w:lang w:val="en-US" w:eastAsia="zh-CN"/>
              </w:rPr>
            </w:pPr>
          </w:p>
          <w:p w14:paraId="284E79A5">
            <w:pPr>
              <w:spacing w:line="240" w:lineRule="auto"/>
              <w:jc w:val="center"/>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0-11分</w:t>
            </w:r>
          </w:p>
        </w:tc>
        <w:tc>
          <w:tcPr>
            <w:tcW w:w="5507" w:type="dxa"/>
            <w:noWrap w:val="0"/>
            <w:tcMar>
              <w:top w:w="0" w:type="dxa"/>
              <w:left w:w="108" w:type="dxa"/>
              <w:bottom w:w="0" w:type="dxa"/>
              <w:right w:w="108" w:type="dxa"/>
            </w:tcMar>
            <w:vAlign w:val="top"/>
          </w:tcPr>
          <w:p w14:paraId="0F5DDF1B">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1、投标人提供售后服务方案及措施（包括但不限于①售后服务措施、 ②售后服务网点、③售后服务人员、售后响应），以上 3 项内容无缺陷、内容齐全的得9分，每有一项缺失的扣3分，每有一项内容存在缺陷或不足的扣 1 分，扣完为止。</w:t>
            </w:r>
          </w:p>
          <w:p w14:paraId="602FEB38">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注：内容存在缺陷或不足是指： 内容与实际情况不符、内容与项目无关、内容表述错误、内容前后表述矛盾、内容凭空编造、逻辑漏洞、科学原理错误以及不可能实现的夸大情形、内容与项目不匹配、项目信息错误（包括时间、地点、名称等）、不符合本项目涉及的相关规范或标准要求等情形。</w:t>
            </w:r>
          </w:p>
          <w:p w14:paraId="3A6F3712">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2、承诺在基本保修期2年基础上每增加一年得1分最高的2分，未提供则不得分。</w:t>
            </w:r>
          </w:p>
        </w:tc>
      </w:tr>
      <w:tr w14:paraId="64B24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3" w:hRule="atLeast"/>
        </w:trPr>
        <w:tc>
          <w:tcPr>
            <w:tcW w:w="3411" w:type="dxa"/>
            <w:gridSpan w:val="3"/>
            <w:noWrap w:val="0"/>
            <w:tcMar>
              <w:top w:w="0" w:type="dxa"/>
              <w:left w:w="108" w:type="dxa"/>
              <w:bottom w:w="0" w:type="dxa"/>
              <w:right w:w="108" w:type="dxa"/>
            </w:tcMar>
            <w:vAlign w:val="center"/>
          </w:tcPr>
          <w:p w14:paraId="5532B565">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供应商得分</w:t>
            </w:r>
          </w:p>
        </w:tc>
        <w:tc>
          <w:tcPr>
            <w:tcW w:w="5507" w:type="dxa"/>
            <w:noWrap w:val="0"/>
            <w:tcMar>
              <w:top w:w="0" w:type="dxa"/>
              <w:left w:w="108" w:type="dxa"/>
              <w:bottom w:w="0" w:type="dxa"/>
              <w:right w:w="108" w:type="dxa"/>
            </w:tcMar>
            <w:vAlign w:val="center"/>
          </w:tcPr>
          <w:p w14:paraId="3C42AFE6">
            <w:pPr>
              <w:spacing w:line="240" w:lineRule="auto"/>
              <w:ind w:left="105" w:hanging="105"/>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供应商汇总得分=技术商务得分+价格评价得分</w:t>
            </w:r>
          </w:p>
        </w:tc>
      </w:tr>
      <w:tr w14:paraId="32FFC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trPr>
        <w:tc>
          <w:tcPr>
            <w:tcW w:w="8918" w:type="dxa"/>
            <w:gridSpan w:val="4"/>
            <w:noWrap w:val="0"/>
            <w:tcMar>
              <w:top w:w="0" w:type="dxa"/>
              <w:left w:w="108" w:type="dxa"/>
              <w:bottom w:w="0" w:type="dxa"/>
              <w:right w:w="108" w:type="dxa"/>
            </w:tcMar>
            <w:vAlign w:val="center"/>
          </w:tcPr>
          <w:p w14:paraId="374AFCA1">
            <w:pPr>
              <w:pStyle w:val="19"/>
              <w:ind w:left="0" w:leftChars="0" w:firstLine="210" w:firstLineChars="100"/>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备注：评标委员会按照投标人最终得分由高到底顺序确定出各投标人排名顺序。</w:t>
            </w:r>
          </w:p>
        </w:tc>
      </w:tr>
    </w:tbl>
    <w:p w14:paraId="665500AA">
      <w:pPr>
        <w:pStyle w:val="8"/>
        <w:numPr>
          <w:ilvl w:val="0"/>
          <w:numId w:val="0"/>
        </w:numPr>
        <w:ind w:leftChars="0"/>
        <w:rPr>
          <w:rFonts w:hint="eastAsia" w:ascii="仿宋" w:hAnsi="仿宋" w:eastAsia="仿宋" w:cs="仿宋"/>
          <w:b/>
          <w:bCs/>
          <w:sz w:val="21"/>
          <w:szCs w:val="21"/>
          <w:lang w:val="en-US" w:eastAsia="zh-CN"/>
        </w:rPr>
      </w:pPr>
    </w:p>
    <w:p w14:paraId="56F6DE13">
      <w:pPr>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zh-CN"/>
        </w:rPr>
        <w:t>注：1、各评委应认真了解本磋商文件和工程有关情况后，做出须自己负责的评审。</w:t>
      </w:r>
    </w:p>
    <w:p w14:paraId="67DCFAAB">
      <w:pPr>
        <w:spacing w:line="360" w:lineRule="auto"/>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val="zh-CN"/>
        </w:rPr>
        <w:t>技术商务标在进行汇总时，分项项目评分进行算术平均，计算结果值在小数点后保留两位小数，后余位数四舍五入计。项目评审过程中，不得去掉最后报价中的最高报价和最低报价。</w:t>
      </w:r>
    </w:p>
    <w:p w14:paraId="4F010EE1">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rPr>
        <w:t>4</w:t>
      </w:r>
      <w:r>
        <w:rPr>
          <w:rFonts w:hint="eastAsia" w:ascii="仿宋" w:hAnsi="仿宋" w:eastAsia="仿宋" w:cs="仿宋"/>
          <w:color w:val="auto"/>
          <w:sz w:val="21"/>
          <w:szCs w:val="21"/>
          <w:lang w:val="zh-CN"/>
        </w:rPr>
        <w:t>、供应商请认真阅读和理解上述内容，避免响应文件中有违背上述审查标准之一的情况发生而造成废标；评标中各评委若发生意见分歧，通过书面表决形式，以少数服从多数为原则决定。</w:t>
      </w:r>
    </w:p>
    <w:p w14:paraId="1F33F330">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color w:val="auto"/>
          <w:kern w:val="0"/>
          <w:sz w:val="21"/>
          <w:szCs w:val="21"/>
        </w:rPr>
        <w:t>价格得分=（评标基准价/投标报价）×价格权值×100</w:t>
      </w:r>
      <w:r>
        <w:rPr>
          <w:rFonts w:hint="eastAsia" w:ascii="仿宋" w:hAnsi="仿宋" w:eastAsia="仿宋" w:cs="仿宋"/>
          <w:color w:val="auto"/>
          <w:sz w:val="21"/>
          <w:szCs w:val="21"/>
          <w:lang w:val="zh-CN"/>
        </w:rPr>
        <w:t xml:space="preserve">，如此类推，算出所有投标供应商的价格得分。          </w:t>
      </w:r>
      <w:r>
        <w:rPr>
          <w:rFonts w:hint="eastAsia" w:ascii="仿宋" w:hAnsi="仿宋" w:eastAsia="仿宋" w:cs="仿宋"/>
          <w:color w:val="auto"/>
          <w:sz w:val="21"/>
          <w:szCs w:val="21"/>
        </w:rPr>
        <w:t xml:space="preserve">                     </w:t>
      </w:r>
    </w:p>
    <w:p w14:paraId="28126C12">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评分分值计算结果值在小数点后均保留两位小数，后余位数四舍五入计。</w:t>
      </w:r>
    </w:p>
    <w:p w14:paraId="4E964369">
      <w:pPr>
        <w:tabs>
          <w:tab w:val="left" w:pos="741"/>
          <w:tab w:val="left" w:pos="1642"/>
          <w:tab w:val="left" w:pos="3363"/>
          <w:tab w:val="left" w:pos="3887"/>
          <w:tab w:val="left" w:pos="9649"/>
        </w:tabs>
        <w:spacing w:line="360" w:lineRule="auto"/>
        <w:ind w:firstLine="210" w:firstLineChars="100"/>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在报价评审中，若磋商小组发现供应商以明显低于市场或成本的价格投标，而供应商又未在响应文件中提供有力证据证明其报价合理的，磋商小组可以认定该投标以低于成本的价格投标。被认定为低于成本价格的投标将按废标处理。</w:t>
      </w:r>
    </w:p>
    <w:p w14:paraId="3BF8F937">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14:paraId="35D7D0DB">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14:paraId="6E2D7FB2">
      <w:pPr>
        <w:pStyle w:val="3"/>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F  授予合同</w:t>
      </w:r>
      <w:bookmarkEnd w:id="85"/>
      <w:bookmarkEnd w:id="86"/>
      <w:bookmarkEnd w:id="87"/>
      <w:bookmarkEnd w:id="88"/>
      <w:bookmarkEnd w:id="89"/>
      <w:bookmarkEnd w:id="90"/>
    </w:p>
    <w:p w14:paraId="45CF9616">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28．合同授予标准</w:t>
      </w:r>
    </w:p>
    <w:p w14:paraId="07F3EFB0">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28.1</w:t>
      </w:r>
      <w:r>
        <w:rPr>
          <w:rFonts w:hint="eastAsia" w:ascii="仿宋" w:hAnsi="仿宋" w:eastAsia="仿宋" w:cs="仿宋"/>
          <w:bCs/>
          <w:color w:val="auto"/>
          <w:sz w:val="21"/>
          <w:szCs w:val="21"/>
          <w:highlight w:val="none"/>
        </w:rPr>
        <w:t>合同将授予被确定为实质上响应磋商文件要求，符合采购需求、质量和服务相等且综合评分最高的供应商</w:t>
      </w:r>
      <w:r>
        <w:rPr>
          <w:rFonts w:hint="eastAsia" w:ascii="仿宋" w:hAnsi="仿宋" w:eastAsia="仿宋" w:cs="仿宋"/>
          <w:color w:val="auto"/>
          <w:sz w:val="21"/>
          <w:szCs w:val="21"/>
          <w:highlight w:val="none"/>
        </w:rPr>
        <w:t>。</w:t>
      </w:r>
    </w:p>
    <w:p w14:paraId="17292085">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28.2 最低报价不一定是被授予合同的保证。</w:t>
      </w:r>
    </w:p>
    <w:p w14:paraId="6D6B690B">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28.3排名第一的成交候选人放弃中标、因不可抗力不能履行合同、不按照</w:t>
      </w:r>
      <w:r>
        <w:rPr>
          <w:rFonts w:hint="eastAsia" w:ascii="仿宋" w:hAnsi="仿宋" w:eastAsia="仿宋" w:cs="仿宋"/>
          <w:color w:val="auto"/>
          <w:sz w:val="21"/>
          <w:szCs w:val="21"/>
          <w:highlight w:val="none"/>
          <w:lang w:eastAsia="zh-CN"/>
        </w:rPr>
        <w:t>磋商文件</w:t>
      </w:r>
      <w:r>
        <w:rPr>
          <w:rFonts w:hint="eastAsia" w:ascii="仿宋" w:hAnsi="仿宋" w:eastAsia="仿宋" w:cs="仿宋"/>
          <w:color w:val="auto"/>
          <w:sz w:val="21"/>
          <w:szCs w:val="21"/>
          <w:highlight w:val="none"/>
        </w:rPr>
        <w:t>要求提交履约保证金，或者被查实存在影响中标结果的违法行为等情形，不符合成交条件的，采购人可以按照</w:t>
      </w:r>
      <w:r>
        <w:rPr>
          <w:rFonts w:hint="eastAsia" w:ascii="仿宋" w:hAnsi="仿宋" w:eastAsia="仿宋" w:cs="仿宋"/>
          <w:color w:val="auto"/>
          <w:sz w:val="21"/>
          <w:szCs w:val="21"/>
          <w:highlight w:val="none"/>
          <w:lang w:eastAsia="zh-CN"/>
        </w:rPr>
        <w:t>磋商小组</w:t>
      </w:r>
      <w:r>
        <w:rPr>
          <w:rFonts w:hint="eastAsia" w:ascii="仿宋" w:hAnsi="仿宋" w:eastAsia="仿宋" w:cs="仿宋"/>
          <w:color w:val="auto"/>
          <w:sz w:val="21"/>
          <w:szCs w:val="21"/>
          <w:highlight w:val="none"/>
        </w:rPr>
        <w:t>提出的成交候选人名单排序依次确定其他中标候选人为成交供应商，也可以重新招标。</w:t>
      </w:r>
    </w:p>
    <w:p w14:paraId="0DD555FA">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29．接受和拒绝任何或所有磋商的权力</w:t>
      </w:r>
    </w:p>
    <w:p w14:paraId="713488BC">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29.1为维护国家利益，买方在授予合同之前仍有选择或拒绝任何全部磋商的权力，并对所采取的行为不作任何解释。</w:t>
      </w:r>
    </w:p>
    <w:p w14:paraId="6D135FBA">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．成交通知书</w:t>
      </w:r>
    </w:p>
    <w:p w14:paraId="67E8ED7E">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 </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评标结束后在“新疆维吾尔自治区政府采购网”（网址：http://www.ccgp-xinjiang.gov.cn/）上予以公告。公告有效期1个工作日；</w:t>
      </w:r>
    </w:p>
    <w:p w14:paraId="42BA673A">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招标代理机构根据</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标结果，在投标有效期届满前，以书面形式向中标单位发出</w:t>
      </w:r>
      <w:r>
        <w:rPr>
          <w:rFonts w:hint="eastAsia" w:ascii="仿宋" w:hAnsi="仿宋" w:eastAsia="仿宋" w:cs="仿宋"/>
          <w:color w:val="auto"/>
          <w:sz w:val="21"/>
          <w:szCs w:val="21"/>
          <w:highlight w:val="none"/>
          <w:lang w:eastAsia="zh-CN"/>
        </w:rPr>
        <w:t>成交通知书</w:t>
      </w:r>
      <w:r>
        <w:rPr>
          <w:rFonts w:hint="eastAsia" w:ascii="仿宋" w:hAnsi="仿宋" w:eastAsia="仿宋" w:cs="仿宋"/>
          <w:color w:val="auto"/>
          <w:sz w:val="21"/>
          <w:szCs w:val="21"/>
          <w:highlight w:val="none"/>
        </w:rPr>
        <w:t>。</w:t>
      </w:r>
    </w:p>
    <w:p w14:paraId="43831949">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招标代理机构将</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标结果及时通知未中标单位并退还投标保证金。无需解释落标原因。</w:t>
      </w:r>
    </w:p>
    <w:p w14:paraId="2CE60ABD">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 xml:space="preserve"> 招标人有权在定标之前拒绝任何有不正当行为或扰乱正常招标工作的投标人，由此对投标人造成的损失不负任何责任，同时对此无需做任何解释。。</w:t>
      </w:r>
    </w:p>
    <w:p w14:paraId="7D77DF28">
      <w:pPr>
        <w:spacing w:line="400" w:lineRule="atLeast"/>
        <w:ind w:left="554" w:leftChars="114"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 xml:space="preserve"> 在成交通知书发出后五个工作日内退还未成交供应商的保证金，在采购合同签订后五个工作日内退还成交供应商的保证金。</w:t>
      </w:r>
    </w:p>
    <w:p w14:paraId="4B5D8947">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31．签订合同</w:t>
      </w:r>
    </w:p>
    <w:p w14:paraId="36D97358">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供应商收到《成交通知书》后，按《成交通知书》中规定的时间地点与买方签订合同。买方和成交方不得再订立背离合同实质性内容的其他协议。</w:t>
      </w:r>
    </w:p>
    <w:p w14:paraId="51073C73">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如成交方拒签合同，则按违约处理。招标代理机构没收其磋商保证金。</w:t>
      </w:r>
    </w:p>
    <w:p w14:paraId="11575588">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磋商文件、成交方的磋商响应文件及其澄清文件等，均为签订经济合同的依据。</w:t>
      </w:r>
    </w:p>
    <w:p w14:paraId="667A71B8">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32．履约保证金（如适用）</w:t>
      </w:r>
    </w:p>
    <w:p w14:paraId="45C4A7D6">
      <w:pPr>
        <w:spacing w:line="400" w:lineRule="atLeast"/>
        <w:ind w:left="720" w:hanging="72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32.1成交方应按合同规定的方式、时间和金额向买方提交履约保证金。履约保证金</w:t>
      </w:r>
      <w:r>
        <w:rPr>
          <w:rFonts w:hint="eastAsia" w:ascii="仿宋" w:hAnsi="仿宋" w:eastAsia="仿宋" w:cs="仿宋"/>
          <w:color w:val="auto"/>
          <w:sz w:val="21"/>
          <w:szCs w:val="21"/>
          <w:highlight w:val="none"/>
          <w:lang w:eastAsia="zh-CN"/>
        </w:rPr>
        <w:t>为</w:t>
      </w:r>
      <w:r>
        <w:rPr>
          <w:rFonts w:hint="eastAsia" w:ascii="仿宋" w:hAnsi="仿宋" w:eastAsia="仿宋" w:cs="仿宋"/>
          <w:color w:val="auto"/>
          <w:sz w:val="21"/>
          <w:szCs w:val="21"/>
          <w:highlight w:val="none"/>
          <w:lang w:val="en-US" w:eastAsia="zh-CN"/>
        </w:rPr>
        <w:t>不超过</w:t>
      </w:r>
      <w:r>
        <w:rPr>
          <w:rFonts w:hint="eastAsia" w:ascii="仿宋" w:hAnsi="仿宋" w:eastAsia="仿宋" w:cs="仿宋"/>
          <w:color w:val="auto"/>
          <w:sz w:val="21"/>
          <w:szCs w:val="21"/>
          <w:highlight w:val="none"/>
          <w:lang w:eastAsia="zh-CN"/>
        </w:rPr>
        <w:t>合同价款的</w:t>
      </w:r>
      <w:r>
        <w:rPr>
          <w:rFonts w:hint="eastAsia" w:ascii="仿宋" w:hAnsi="仿宋" w:eastAsia="仿宋" w:cs="仿宋"/>
          <w:color w:val="auto"/>
          <w:sz w:val="21"/>
          <w:szCs w:val="21"/>
          <w:highlight w:val="none"/>
          <w:lang w:val="en-US" w:eastAsia="zh-CN"/>
        </w:rPr>
        <w:t>10%。（具体以与甲方协商约定为准）</w:t>
      </w:r>
    </w:p>
    <w:p w14:paraId="0A1E5E19">
      <w:pPr>
        <w:pStyle w:val="3"/>
        <w:spacing w:before="100" w:beforeAutospacing="1" w:after="100" w:afterAutospacing="1" w:line="400" w:lineRule="atLeast"/>
        <w:jc w:val="center"/>
        <w:rPr>
          <w:rFonts w:hint="eastAsia" w:ascii="仿宋" w:hAnsi="仿宋" w:eastAsia="仿宋" w:cs="仿宋"/>
          <w:bCs/>
          <w:color w:val="auto"/>
          <w:sz w:val="21"/>
          <w:szCs w:val="21"/>
          <w:highlight w:val="none"/>
        </w:rPr>
      </w:pPr>
      <w:bookmarkStart w:id="123" w:name="_Toc471489759"/>
      <w:bookmarkStart w:id="124" w:name="_Toc527642958"/>
      <w:r>
        <w:rPr>
          <w:rFonts w:hint="eastAsia" w:ascii="仿宋" w:hAnsi="仿宋" w:eastAsia="仿宋" w:cs="仿宋"/>
          <w:color w:val="auto"/>
          <w:sz w:val="21"/>
          <w:szCs w:val="21"/>
          <w:highlight w:val="none"/>
        </w:rPr>
        <w:t>G  磋商失败条件</w:t>
      </w:r>
      <w:bookmarkEnd w:id="123"/>
      <w:bookmarkEnd w:id="124"/>
    </w:p>
    <w:p w14:paraId="21AA5309">
      <w:pPr>
        <w:pStyle w:val="11"/>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34.出现影响采购公正的违法、违规行为的；</w:t>
      </w:r>
    </w:p>
    <w:p w14:paraId="416CCFAC">
      <w:pPr>
        <w:pStyle w:val="11"/>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35.因重大变故，采购任务取消的；</w:t>
      </w:r>
    </w:p>
    <w:p w14:paraId="2ADB3FEC">
      <w:pPr>
        <w:pStyle w:val="11"/>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36.磋商响应文件截止时间后，实际参与的供应商不足法定家数的；</w:t>
      </w:r>
    </w:p>
    <w:p w14:paraId="09BFCB89">
      <w:pPr>
        <w:pStyle w:val="11"/>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37.最终报价均超过采购预算的；</w:t>
      </w:r>
    </w:p>
    <w:p w14:paraId="29EF4317">
      <w:pPr>
        <w:pStyle w:val="11"/>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38.对磋商文件作出实质性响应的供应商不足法定家数的；</w:t>
      </w:r>
    </w:p>
    <w:p w14:paraId="7BFA0EFD">
      <w:pPr>
        <w:pStyle w:val="2"/>
        <w:numPr>
          <w:ilvl w:val="0"/>
          <w:numId w:val="0"/>
        </w:numPr>
        <w:spacing w:line="400" w:lineRule="atLeast"/>
        <w:ind w:firstLine="1476" w:firstLineChars="700"/>
        <w:jc w:val="both"/>
        <w:rPr>
          <w:rFonts w:hint="eastAsia" w:ascii="仿宋" w:hAnsi="仿宋" w:eastAsia="仿宋" w:cs="仿宋"/>
          <w:color w:val="auto"/>
          <w:sz w:val="21"/>
          <w:szCs w:val="21"/>
          <w:highlight w:val="none"/>
        </w:rPr>
        <w:sectPr>
          <w:pgSz w:w="11906" w:h="16838"/>
          <w:pgMar w:top="1440" w:right="1797" w:bottom="1440" w:left="1797" w:header="851" w:footer="992" w:gutter="0"/>
          <w:pgNumType w:fmt="decimal"/>
          <w:cols w:space="720" w:num="1"/>
          <w:docGrid w:type="lines" w:linePitch="312" w:charSpace="0"/>
        </w:sectPr>
      </w:pPr>
      <w:bookmarkStart w:id="125" w:name="_Toc527642959"/>
      <w:bookmarkStart w:id="126" w:name="_Toc349573127"/>
      <w:bookmarkStart w:id="127" w:name="_Toc349637926"/>
      <w:bookmarkStart w:id="128" w:name="_Toc298240411"/>
      <w:bookmarkStart w:id="129" w:name="_Toc28010"/>
    </w:p>
    <w:bookmarkEnd w:id="91"/>
    <w:bookmarkEnd w:id="125"/>
    <w:bookmarkEnd w:id="126"/>
    <w:bookmarkEnd w:id="127"/>
    <w:bookmarkEnd w:id="128"/>
    <w:bookmarkEnd w:id="129"/>
    <w:p w14:paraId="117FCE60">
      <w:pPr>
        <w:jc w:val="center"/>
        <w:rPr>
          <w:rFonts w:hint="eastAsia" w:ascii="仿宋" w:hAnsi="仿宋" w:eastAsia="仿宋" w:cs="仿宋"/>
          <w:lang w:val="en-US" w:eastAsia="zh-CN"/>
        </w:rPr>
      </w:pPr>
      <w:bookmarkStart w:id="130" w:name="_Toc349637943"/>
      <w:bookmarkStart w:id="131" w:name="_Toc349573144"/>
      <w:bookmarkStart w:id="132" w:name="_Toc298240429"/>
      <w:bookmarkStart w:id="133" w:name="_Toc13252"/>
      <w:bookmarkStart w:id="134" w:name="_Toc507690272"/>
      <w:bookmarkStart w:id="135" w:name="_Toc527642969"/>
      <w:r>
        <w:rPr>
          <w:rFonts w:hint="eastAsia" w:ascii="仿宋" w:hAnsi="仿宋" w:eastAsia="仿宋" w:cs="仿宋"/>
          <w:b/>
          <w:bCs/>
          <w:sz w:val="24"/>
          <w:szCs w:val="22"/>
          <w:lang w:val="en-US" w:eastAsia="zh-CN"/>
        </w:rPr>
        <w:t>第三部分采购需求清单</w:t>
      </w:r>
    </w:p>
    <w:tbl>
      <w:tblPr>
        <w:tblStyle w:val="25"/>
        <w:tblpPr w:leftFromText="180" w:rightFromText="180" w:vertAnchor="page" w:horzAnchor="page" w:tblpX="1276" w:tblpY="1984"/>
        <w:tblOverlap w:val="never"/>
        <w:tblW w:w="98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4"/>
        <w:gridCol w:w="995"/>
        <w:gridCol w:w="2072"/>
        <w:gridCol w:w="1522"/>
        <w:gridCol w:w="1824"/>
        <w:gridCol w:w="1116"/>
        <w:gridCol w:w="1712"/>
      </w:tblGrid>
      <w:tr w14:paraId="7512A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trPr>
        <w:tc>
          <w:tcPr>
            <w:tcW w:w="614" w:type="dxa"/>
          </w:tcPr>
          <w:p w14:paraId="0AF44DA3">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序号</w:t>
            </w:r>
          </w:p>
        </w:tc>
        <w:tc>
          <w:tcPr>
            <w:tcW w:w="995" w:type="dxa"/>
          </w:tcPr>
          <w:p w14:paraId="47DE834C">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标的名称</w:t>
            </w:r>
          </w:p>
        </w:tc>
        <w:tc>
          <w:tcPr>
            <w:tcW w:w="2072" w:type="dxa"/>
          </w:tcPr>
          <w:p w14:paraId="1A2EC017">
            <w:pPr>
              <w:jc w:val="center"/>
              <w:rPr>
                <w:rFonts w:hint="eastAsia" w:ascii="仿宋" w:hAnsi="仿宋" w:eastAsia="仿宋" w:cs="仿宋"/>
                <w:color w:val="auto"/>
                <w:vertAlign w:val="baseline"/>
                <w:lang w:val="en-US" w:eastAsia="zh-CN"/>
              </w:rPr>
            </w:pPr>
          </w:p>
          <w:p w14:paraId="7AD67285">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名称</w:t>
            </w:r>
          </w:p>
        </w:tc>
        <w:tc>
          <w:tcPr>
            <w:tcW w:w="1522" w:type="dxa"/>
            <w:shd w:val="clear" w:color="auto" w:fill="auto"/>
            <w:vAlign w:val="center"/>
          </w:tcPr>
          <w:p w14:paraId="5FD7C5F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2"/>
                <w:szCs w:val="22"/>
                <w:u w:val="none"/>
                <w:lang w:val="en-US" w:eastAsia="zh-CN" w:bidi="ar"/>
              </w:rPr>
            </w:pPr>
            <w:r>
              <w:rPr>
                <w:rStyle w:val="60"/>
                <w:rFonts w:hint="eastAsia" w:ascii="仿宋" w:hAnsi="仿宋" w:eastAsia="仿宋" w:cs="仿宋"/>
                <w:i w:val="0"/>
                <w:color w:val="auto"/>
                <w:lang w:val="en-US" w:eastAsia="zh-CN" w:bidi="ar"/>
              </w:rPr>
              <w:t>材料</w:t>
            </w:r>
          </w:p>
        </w:tc>
        <w:tc>
          <w:tcPr>
            <w:tcW w:w="1824" w:type="dxa"/>
            <w:shd w:val="clear" w:color="auto" w:fill="auto"/>
            <w:vAlign w:val="center"/>
          </w:tcPr>
          <w:p w14:paraId="0C60CCB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2"/>
                <w:szCs w:val="22"/>
                <w:u w:val="none"/>
                <w:lang w:val="en-US" w:eastAsia="zh-CN" w:bidi="ar-SA"/>
              </w:rPr>
            </w:pPr>
            <w:r>
              <w:rPr>
                <w:rStyle w:val="60"/>
                <w:rFonts w:hint="eastAsia" w:ascii="仿宋" w:hAnsi="仿宋" w:eastAsia="仿宋" w:cs="仿宋"/>
                <w:color w:val="auto"/>
                <w:lang w:val="en-US" w:eastAsia="zh-CN" w:bidi="ar"/>
              </w:rPr>
              <w:t>规格（每座）</w:t>
            </w:r>
          </w:p>
        </w:tc>
        <w:tc>
          <w:tcPr>
            <w:tcW w:w="1116" w:type="dxa"/>
            <w:shd w:val="clear" w:color="auto" w:fill="auto"/>
            <w:vAlign w:val="center"/>
          </w:tcPr>
          <w:p w14:paraId="4AFD83F4">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2"/>
                <w:szCs w:val="22"/>
                <w:u w:val="none"/>
                <w:lang w:val="en-US" w:eastAsia="zh-CN" w:bidi="ar-SA"/>
              </w:rPr>
            </w:pPr>
            <w:r>
              <w:rPr>
                <w:rStyle w:val="60"/>
                <w:rFonts w:hint="eastAsia" w:ascii="仿宋" w:hAnsi="仿宋" w:eastAsia="仿宋" w:cs="仿宋"/>
                <w:color w:val="auto"/>
                <w:lang w:val="en-US" w:eastAsia="zh-CN" w:bidi="ar"/>
              </w:rPr>
              <w:t>数量</w:t>
            </w:r>
            <w:r>
              <w:rPr>
                <w:rStyle w:val="55"/>
                <w:rFonts w:hint="eastAsia" w:ascii="仿宋" w:hAnsi="仿宋" w:eastAsia="仿宋" w:cs="仿宋"/>
                <w:color w:val="auto"/>
                <w:lang w:val="en-US" w:eastAsia="zh-CN" w:bidi="ar"/>
              </w:rPr>
              <w:br w:type="textWrapping"/>
            </w:r>
            <w:r>
              <w:rPr>
                <w:rStyle w:val="60"/>
                <w:rFonts w:hint="eastAsia" w:ascii="仿宋" w:hAnsi="仿宋" w:eastAsia="仿宋" w:cs="仿宋"/>
                <w:color w:val="auto"/>
                <w:lang w:val="en-US" w:eastAsia="zh-CN" w:bidi="ar"/>
              </w:rPr>
              <w:t>（座）</w:t>
            </w:r>
          </w:p>
        </w:tc>
        <w:tc>
          <w:tcPr>
            <w:tcW w:w="1712" w:type="dxa"/>
          </w:tcPr>
          <w:p w14:paraId="0659B0A5">
            <w:pPr>
              <w:jc w:val="center"/>
              <w:rPr>
                <w:rFonts w:hint="eastAsia" w:ascii="仿宋" w:hAnsi="仿宋" w:eastAsia="仿宋" w:cs="仿宋"/>
                <w:color w:val="auto"/>
                <w:vertAlign w:val="baseline"/>
              </w:rPr>
            </w:pPr>
            <w:r>
              <w:rPr>
                <w:rStyle w:val="60"/>
                <w:rFonts w:hint="eastAsia" w:ascii="仿宋" w:hAnsi="仿宋" w:eastAsia="仿宋" w:cs="仿宋"/>
                <w:color w:val="auto"/>
                <w:lang w:val="en-US" w:eastAsia="zh-CN" w:bidi="ar"/>
              </w:rPr>
              <w:t>备注</w:t>
            </w:r>
          </w:p>
        </w:tc>
      </w:tr>
      <w:tr w14:paraId="2C7B8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9" w:hRule="atLeast"/>
        </w:trPr>
        <w:tc>
          <w:tcPr>
            <w:tcW w:w="614" w:type="dxa"/>
            <w:vAlign w:val="center"/>
          </w:tcPr>
          <w:p w14:paraId="25505EFC">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1</w:t>
            </w:r>
          </w:p>
        </w:tc>
        <w:tc>
          <w:tcPr>
            <w:tcW w:w="995" w:type="dxa"/>
            <w:vMerge w:val="restart"/>
            <w:shd w:val="clear" w:color="auto" w:fill="auto"/>
            <w:vAlign w:val="center"/>
          </w:tcPr>
          <w:p w14:paraId="2360F547">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r>
              <w:rPr>
                <w:rStyle w:val="61"/>
                <w:rFonts w:hint="eastAsia" w:ascii="仿宋" w:hAnsi="仿宋" w:eastAsia="仿宋" w:cs="仿宋"/>
                <w:color w:val="auto"/>
                <w:lang w:val="en-US" w:eastAsia="zh-CN" w:bidi="ar"/>
              </w:rPr>
              <w:t>洛浦县杭桂镇托万皮切克其村老旧温室大棚改造提升项目</w:t>
            </w:r>
          </w:p>
        </w:tc>
        <w:tc>
          <w:tcPr>
            <w:tcW w:w="2072" w:type="dxa"/>
            <w:shd w:val="clear" w:color="auto" w:fill="auto"/>
            <w:vAlign w:val="center"/>
          </w:tcPr>
          <w:p w14:paraId="736B36F6">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棉被垫片</w:t>
            </w:r>
          </w:p>
        </w:tc>
        <w:tc>
          <w:tcPr>
            <w:tcW w:w="1522" w:type="dxa"/>
            <w:shd w:val="clear" w:color="auto" w:fill="auto"/>
            <w:vAlign w:val="center"/>
          </w:tcPr>
          <w:p w14:paraId="7B827E19">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保温被</w:t>
            </w:r>
          </w:p>
        </w:tc>
        <w:tc>
          <w:tcPr>
            <w:tcW w:w="1824" w:type="dxa"/>
            <w:shd w:val="clear" w:color="auto" w:fill="auto"/>
            <w:vAlign w:val="center"/>
          </w:tcPr>
          <w:p w14:paraId="6387F300">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0"/>
                <w:sz w:val="20"/>
                <w:szCs w:val="20"/>
                <w:u w:val="none"/>
                <w:lang w:val="en-US" w:eastAsia="zh-CN" w:bidi="ar"/>
              </w:rPr>
              <w:t>11.5m*2m</w:t>
            </w:r>
            <w:r>
              <w:rPr>
                <w:rStyle w:val="62"/>
                <w:rFonts w:hint="eastAsia" w:ascii="仿宋" w:hAnsi="仿宋" w:eastAsia="仿宋" w:cs="仿宋"/>
                <w:color w:val="auto"/>
                <w:lang w:val="en-US" w:eastAsia="zh-CN" w:bidi="ar"/>
              </w:rPr>
              <w:t>*1</w:t>
            </w:r>
            <w:r>
              <w:rPr>
                <w:rStyle w:val="62"/>
                <w:rFonts w:hint="eastAsia" w:ascii="仿宋" w:hAnsi="仿宋" w:eastAsia="仿宋" w:cs="仿宋"/>
                <w:color w:val="auto"/>
                <w:lang w:val="en-US" w:eastAsia="zh-CN" w:bidi="ar"/>
              </w:rPr>
              <w:br w:type="textWrapping"/>
            </w:r>
            <w:r>
              <w:rPr>
                <w:rStyle w:val="62"/>
                <w:rFonts w:hint="eastAsia" w:ascii="仿宋" w:hAnsi="仿宋" w:eastAsia="仿宋" w:cs="仿宋"/>
                <w:color w:val="auto"/>
                <w:lang w:val="en-US" w:eastAsia="zh-CN" w:bidi="ar"/>
              </w:rPr>
              <w:t>10m*1.5m*2</w:t>
            </w:r>
          </w:p>
        </w:tc>
        <w:tc>
          <w:tcPr>
            <w:tcW w:w="1116" w:type="dxa"/>
            <w:shd w:val="clear" w:color="auto" w:fill="auto"/>
            <w:vAlign w:val="center"/>
          </w:tcPr>
          <w:p w14:paraId="27C83CD5">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7917CA9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中间和两边加垫片</w:t>
            </w:r>
          </w:p>
        </w:tc>
      </w:tr>
      <w:tr w14:paraId="594F6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14" w:type="dxa"/>
            <w:vAlign w:val="center"/>
          </w:tcPr>
          <w:p w14:paraId="34EEF440">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2</w:t>
            </w:r>
          </w:p>
        </w:tc>
        <w:tc>
          <w:tcPr>
            <w:tcW w:w="995" w:type="dxa"/>
            <w:vMerge w:val="continue"/>
            <w:shd w:val="clear" w:color="auto" w:fill="auto"/>
            <w:vAlign w:val="center"/>
          </w:tcPr>
          <w:p w14:paraId="12525DD4">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27863C7E">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更换棚膜</w:t>
            </w:r>
          </w:p>
        </w:tc>
        <w:tc>
          <w:tcPr>
            <w:tcW w:w="1522" w:type="dxa"/>
            <w:shd w:val="clear" w:color="auto" w:fill="auto"/>
            <w:vAlign w:val="center"/>
          </w:tcPr>
          <w:p w14:paraId="110B0AD4">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0"/>
                <w:sz w:val="20"/>
                <w:szCs w:val="20"/>
                <w:u w:val="none"/>
                <w:lang w:val="en-US" w:eastAsia="zh-CN" w:bidi="ar"/>
              </w:rPr>
              <w:t>PO</w:t>
            </w:r>
            <w:r>
              <w:rPr>
                <w:rStyle w:val="61"/>
                <w:rFonts w:hint="eastAsia" w:ascii="仿宋" w:hAnsi="仿宋" w:eastAsia="仿宋" w:cs="仿宋"/>
                <w:color w:val="auto"/>
                <w:lang w:val="en-US" w:eastAsia="zh-CN" w:bidi="ar"/>
              </w:rPr>
              <w:t>膜</w:t>
            </w:r>
          </w:p>
        </w:tc>
        <w:tc>
          <w:tcPr>
            <w:tcW w:w="1824" w:type="dxa"/>
            <w:shd w:val="clear" w:color="auto" w:fill="auto"/>
            <w:vAlign w:val="center"/>
          </w:tcPr>
          <w:p w14:paraId="228380C6">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0"/>
                <w:sz w:val="20"/>
                <w:szCs w:val="20"/>
                <w:u w:val="none"/>
                <w:lang w:val="en-US" w:eastAsia="zh-CN" w:bidi="ar"/>
              </w:rPr>
              <w:t>600</w:t>
            </w:r>
            <w:r>
              <w:rPr>
                <w:rStyle w:val="61"/>
                <w:rFonts w:hint="eastAsia" w:ascii="仿宋" w:hAnsi="仿宋" w:eastAsia="仿宋" w:cs="仿宋"/>
                <w:color w:val="auto"/>
                <w:lang w:val="en-US" w:eastAsia="zh-CN" w:bidi="ar"/>
              </w:rPr>
              <w:t>㎡</w:t>
            </w:r>
          </w:p>
        </w:tc>
        <w:tc>
          <w:tcPr>
            <w:tcW w:w="1116" w:type="dxa"/>
            <w:shd w:val="clear" w:color="auto" w:fill="auto"/>
            <w:vAlign w:val="center"/>
          </w:tcPr>
          <w:p w14:paraId="09A20F3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68E10EF8">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包括防风膜</w:t>
            </w:r>
          </w:p>
        </w:tc>
      </w:tr>
      <w:tr w14:paraId="00EDB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14" w:type="dxa"/>
            <w:vAlign w:val="center"/>
          </w:tcPr>
          <w:p w14:paraId="68E79058">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3</w:t>
            </w:r>
          </w:p>
        </w:tc>
        <w:tc>
          <w:tcPr>
            <w:tcW w:w="995" w:type="dxa"/>
            <w:vMerge w:val="continue"/>
            <w:shd w:val="clear" w:color="auto" w:fill="auto"/>
            <w:vAlign w:val="center"/>
          </w:tcPr>
          <w:p w14:paraId="06D69B6D">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2271B106">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更换卡槽卡簧</w:t>
            </w:r>
          </w:p>
        </w:tc>
        <w:tc>
          <w:tcPr>
            <w:tcW w:w="1522" w:type="dxa"/>
            <w:shd w:val="clear" w:color="auto" w:fill="auto"/>
            <w:vAlign w:val="center"/>
          </w:tcPr>
          <w:p w14:paraId="25E58A74">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卡槽卡簧</w:t>
            </w:r>
          </w:p>
        </w:tc>
        <w:tc>
          <w:tcPr>
            <w:tcW w:w="1824" w:type="dxa"/>
            <w:shd w:val="clear" w:color="auto" w:fill="auto"/>
            <w:vAlign w:val="center"/>
          </w:tcPr>
          <w:p w14:paraId="491FAA53">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0"/>
                <w:sz w:val="20"/>
                <w:szCs w:val="20"/>
                <w:u w:val="none"/>
                <w:lang w:val="en-US" w:eastAsia="zh-CN" w:bidi="ar"/>
              </w:rPr>
              <w:t>204</w:t>
            </w:r>
            <w:r>
              <w:rPr>
                <w:rStyle w:val="61"/>
                <w:rFonts w:hint="eastAsia" w:ascii="仿宋" w:hAnsi="仿宋" w:eastAsia="仿宋" w:cs="仿宋"/>
                <w:color w:val="auto"/>
                <w:lang w:val="en-US" w:eastAsia="zh-CN" w:bidi="ar"/>
              </w:rPr>
              <w:t>m</w:t>
            </w:r>
          </w:p>
        </w:tc>
        <w:tc>
          <w:tcPr>
            <w:tcW w:w="1116" w:type="dxa"/>
            <w:shd w:val="clear" w:color="auto" w:fill="auto"/>
            <w:vAlign w:val="center"/>
          </w:tcPr>
          <w:p w14:paraId="2C5601EC">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185BB9E3">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p>
        </w:tc>
      </w:tr>
      <w:tr w14:paraId="2CE2B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14" w:type="dxa"/>
            <w:vAlign w:val="center"/>
          </w:tcPr>
          <w:p w14:paraId="3E50FBFA">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4</w:t>
            </w:r>
          </w:p>
        </w:tc>
        <w:tc>
          <w:tcPr>
            <w:tcW w:w="995" w:type="dxa"/>
            <w:vMerge w:val="continue"/>
            <w:shd w:val="clear" w:color="auto" w:fill="auto"/>
            <w:vAlign w:val="center"/>
          </w:tcPr>
          <w:p w14:paraId="0697757D">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0405446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电机减速机</w:t>
            </w:r>
          </w:p>
        </w:tc>
        <w:tc>
          <w:tcPr>
            <w:tcW w:w="1522" w:type="dxa"/>
            <w:shd w:val="clear" w:color="auto" w:fill="auto"/>
            <w:vAlign w:val="center"/>
          </w:tcPr>
          <w:p w14:paraId="0FC79019">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电机减速机</w:t>
            </w:r>
          </w:p>
        </w:tc>
        <w:tc>
          <w:tcPr>
            <w:tcW w:w="1824" w:type="dxa"/>
            <w:shd w:val="clear" w:color="auto" w:fill="auto"/>
            <w:vAlign w:val="center"/>
          </w:tcPr>
          <w:p w14:paraId="14D108E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0"/>
                <w:sz w:val="20"/>
                <w:szCs w:val="20"/>
                <w:u w:val="none"/>
                <w:lang w:val="en-US" w:eastAsia="zh-CN" w:bidi="ar"/>
              </w:rPr>
              <w:t>2.2KW</w:t>
            </w:r>
            <w:r>
              <w:rPr>
                <w:rStyle w:val="61"/>
                <w:rFonts w:hint="eastAsia" w:ascii="仿宋" w:hAnsi="仿宋" w:eastAsia="仿宋" w:cs="仿宋"/>
                <w:color w:val="auto"/>
                <w:lang w:val="en-US" w:eastAsia="zh-CN" w:bidi="ar"/>
              </w:rPr>
              <w:t>电机</w:t>
            </w:r>
            <w:r>
              <w:rPr>
                <w:rStyle w:val="62"/>
                <w:rFonts w:hint="eastAsia" w:ascii="仿宋" w:hAnsi="仿宋" w:eastAsia="仿宋" w:cs="仿宋"/>
                <w:color w:val="auto"/>
                <w:lang w:val="en-US" w:eastAsia="zh-CN" w:bidi="ar"/>
              </w:rPr>
              <w:br w:type="textWrapping"/>
            </w:r>
            <w:r>
              <w:rPr>
                <w:rStyle w:val="61"/>
                <w:rFonts w:hint="eastAsia" w:ascii="仿宋" w:hAnsi="仿宋" w:eastAsia="仿宋" w:cs="仿宋"/>
                <w:color w:val="auto"/>
                <w:lang w:val="en-US" w:eastAsia="zh-CN" w:bidi="ar"/>
              </w:rPr>
              <w:t>小五轴减速机</w:t>
            </w:r>
          </w:p>
        </w:tc>
        <w:tc>
          <w:tcPr>
            <w:tcW w:w="1116" w:type="dxa"/>
            <w:shd w:val="clear" w:color="auto" w:fill="auto"/>
            <w:vAlign w:val="center"/>
          </w:tcPr>
          <w:p w14:paraId="79CE98D0">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02873732">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更换安装</w:t>
            </w:r>
          </w:p>
        </w:tc>
      </w:tr>
      <w:tr w14:paraId="467EE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4" w:hRule="atLeast"/>
        </w:trPr>
        <w:tc>
          <w:tcPr>
            <w:tcW w:w="614" w:type="dxa"/>
            <w:vAlign w:val="center"/>
          </w:tcPr>
          <w:p w14:paraId="5AA8A190">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5</w:t>
            </w:r>
          </w:p>
        </w:tc>
        <w:tc>
          <w:tcPr>
            <w:tcW w:w="995" w:type="dxa"/>
            <w:vMerge w:val="continue"/>
            <w:shd w:val="clear" w:color="auto" w:fill="auto"/>
            <w:vAlign w:val="center"/>
          </w:tcPr>
          <w:p w14:paraId="1ADA36BF">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72E4B1CD">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电线电缆</w:t>
            </w:r>
            <w:r>
              <w:rPr>
                <w:rStyle w:val="62"/>
                <w:rFonts w:hint="eastAsia" w:ascii="仿宋" w:hAnsi="仿宋" w:eastAsia="仿宋" w:cs="仿宋"/>
                <w:color w:val="auto"/>
                <w:lang w:val="en-US" w:eastAsia="zh-CN" w:bidi="ar"/>
              </w:rPr>
              <w:t>(</w:t>
            </w:r>
            <w:r>
              <w:rPr>
                <w:rStyle w:val="61"/>
                <w:rFonts w:hint="eastAsia" w:ascii="仿宋" w:hAnsi="仿宋" w:eastAsia="仿宋" w:cs="仿宋"/>
                <w:color w:val="auto"/>
                <w:lang w:val="en-US" w:eastAsia="zh-CN" w:bidi="ar"/>
              </w:rPr>
              <w:t>铜芯</w:t>
            </w:r>
            <w:r>
              <w:rPr>
                <w:rStyle w:val="62"/>
                <w:rFonts w:hint="eastAsia" w:ascii="仿宋" w:hAnsi="仿宋" w:eastAsia="仿宋" w:cs="仿宋"/>
                <w:color w:val="auto"/>
                <w:lang w:val="en-US" w:eastAsia="zh-CN" w:bidi="ar"/>
              </w:rPr>
              <w:t>)</w:t>
            </w:r>
            <w:r>
              <w:rPr>
                <w:rStyle w:val="61"/>
                <w:rFonts w:hint="eastAsia" w:ascii="仿宋" w:hAnsi="仿宋" w:eastAsia="仿宋" w:cs="仿宋"/>
                <w:color w:val="auto"/>
                <w:lang w:val="en-US" w:eastAsia="zh-CN" w:bidi="ar"/>
              </w:rPr>
              <w:t>安装及开关箱维修</w:t>
            </w:r>
          </w:p>
        </w:tc>
        <w:tc>
          <w:tcPr>
            <w:tcW w:w="1522" w:type="dxa"/>
            <w:shd w:val="clear" w:color="auto" w:fill="auto"/>
            <w:vAlign w:val="center"/>
          </w:tcPr>
          <w:p w14:paraId="2E37F000">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电缆线</w:t>
            </w:r>
          </w:p>
        </w:tc>
        <w:tc>
          <w:tcPr>
            <w:tcW w:w="1824" w:type="dxa"/>
            <w:shd w:val="clear" w:color="auto" w:fill="auto"/>
            <w:vAlign w:val="center"/>
          </w:tcPr>
          <w:p w14:paraId="2A51D6DF">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r>
              <w:rPr>
                <w:rFonts w:hint="eastAsia" w:ascii="仿宋" w:hAnsi="仿宋" w:eastAsia="仿宋" w:cs="仿宋"/>
                <w:i w:val="0"/>
                <w:color w:val="auto"/>
                <w:kern w:val="0"/>
                <w:sz w:val="20"/>
                <w:szCs w:val="20"/>
                <w:u w:val="none"/>
                <w:lang w:val="en-US" w:eastAsia="zh-CN" w:bidi="ar"/>
              </w:rPr>
              <w:t>4*6</w:t>
            </w:r>
            <w:r>
              <w:rPr>
                <w:rStyle w:val="61"/>
                <w:rFonts w:hint="eastAsia" w:ascii="仿宋" w:hAnsi="仿宋" w:eastAsia="仿宋" w:cs="仿宋"/>
                <w:color w:val="auto"/>
                <w:lang w:val="en-US" w:eastAsia="zh-CN" w:bidi="ar"/>
              </w:rPr>
              <w:t>mm²</w:t>
            </w:r>
          </w:p>
          <w:p w14:paraId="440E9107">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长度：</w:t>
            </w:r>
            <w:r>
              <w:rPr>
                <w:rFonts w:hint="eastAsia" w:ascii="仿宋" w:hAnsi="仿宋" w:eastAsia="仿宋" w:cs="仿宋"/>
                <w:i w:val="0"/>
                <w:color w:val="auto"/>
                <w:kern w:val="0"/>
                <w:sz w:val="20"/>
                <w:szCs w:val="20"/>
                <w:u w:val="none"/>
                <w:lang w:val="en-US" w:eastAsia="zh-CN" w:bidi="ar"/>
              </w:rPr>
              <w:t>60m</w:t>
            </w:r>
          </w:p>
        </w:tc>
        <w:tc>
          <w:tcPr>
            <w:tcW w:w="1116" w:type="dxa"/>
            <w:shd w:val="clear" w:color="auto" w:fill="auto"/>
            <w:vAlign w:val="center"/>
          </w:tcPr>
          <w:p w14:paraId="3D21DBFD">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5A763A9B">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配电箱至电机减速机处</w:t>
            </w:r>
          </w:p>
        </w:tc>
      </w:tr>
      <w:tr w14:paraId="422CD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14" w:type="dxa"/>
            <w:vAlign w:val="center"/>
          </w:tcPr>
          <w:p w14:paraId="4185A910">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6</w:t>
            </w:r>
          </w:p>
        </w:tc>
        <w:tc>
          <w:tcPr>
            <w:tcW w:w="995" w:type="dxa"/>
            <w:vMerge w:val="continue"/>
            <w:shd w:val="clear" w:color="auto" w:fill="auto"/>
            <w:vAlign w:val="center"/>
          </w:tcPr>
          <w:p w14:paraId="2D8C4C36">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7A30043A">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山墙维修</w:t>
            </w:r>
          </w:p>
        </w:tc>
        <w:tc>
          <w:tcPr>
            <w:tcW w:w="1522" w:type="dxa"/>
            <w:shd w:val="clear" w:color="auto" w:fill="auto"/>
            <w:vAlign w:val="center"/>
          </w:tcPr>
          <w:p w14:paraId="76982C04">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膜结构墙体</w:t>
            </w:r>
          </w:p>
        </w:tc>
        <w:tc>
          <w:tcPr>
            <w:tcW w:w="1824" w:type="dxa"/>
            <w:shd w:val="clear" w:color="auto" w:fill="auto"/>
            <w:vAlign w:val="center"/>
          </w:tcPr>
          <w:p w14:paraId="20FAF332">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0"/>
                <w:sz w:val="20"/>
                <w:szCs w:val="20"/>
                <w:u w:val="none"/>
                <w:lang w:val="en-US" w:eastAsia="zh-CN" w:bidi="ar"/>
              </w:rPr>
              <w:t>11.5*0.7</w:t>
            </w:r>
            <w:r>
              <w:rPr>
                <w:rStyle w:val="61"/>
                <w:rFonts w:hint="eastAsia" w:ascii="仿宋" w:hAnsi="仿宋" w:eastAsia="仿宋" w:cs="仿宋"/>
                <w:color w:val="auto"/>
                <w:lang w:val="en-US" w:eastAsia="zh-CN" w:bidi="ar"/>
              </w:rPr>
              <w:t>㎡</w:t>
            </w:r>
          </w:p>
        </w:tc>
        <w:tc>
          <w:tcPr>
            <w:tcW w:w="1116" w:type="dxa"/>
            <w:shd w:val="clear" w:color="auto" w:fill="auto"/>
            <w:vAlign w:val="center"/>
          </w:tcPr>
          <w:p w14:paraId="3F7555F4">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0FE52B7C">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两边山墙坡维修</w:t>
            </w:r>
          </w:p>
        </w:tc>
      </w:tr>
      <w:tr w14:paraId="14956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8" w:hRule="atLeast"/>
        </w:trPr>
        <w:tc>
          <w:tcPr>
            <w:tcW w:w="614" w:type="dxa"/>
            <w:vAlign w:val="center"/>
          </w:tcPr>
          <w:p w14:paraId="660853F1">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7</w:t>
            </w:r>
          </w:p>
        </w:tc>
        <w:tc>
          <w:tcPr>
            <w:tcW w:w="995" w:type="dxa"/>
            <w:vMerge w:val="continue"/>
            <w:shd w:val="clear" w:color="auto" w:fill="auto"/>
            <w:vAlign w:val="center"/>
          </w:tcPr>
          <w:p w14:paraId="3F1AD8ED">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169C0362">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棉被维修</w:t>
            </w:r>
          </w:p>
        </w:tc>
        <w:tc>
          <w:tcPr>
            <w:tcW w:w="1522" w:type="dxa"/>
            <w:shd w:val="clear" w:color="auto" w:fill="auto"/>
            <w:vAlign w:val="center"/>
          </w:tcPr>
          <w:p w14:paraId="1EB2A99A">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保温被</w:t>
            </w:r>
          </w:p>
        </w:tc>
        <w:tc>
          <w:tcPr>
            <w:tcW w:w="1824" w:type="dxa"/>
            <w:shd w:val="clear" w:color="auto" w:fill="auto"/>
            <w:vAlign w:val="center"/>
          </w:tcPr>
          <w:p w14:paraId="71B5EEB2">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w:t>
            </w:r>
          </w:p>
        </w:tc>
        <w:tc>
          <w:tcPr>
            <w:tcW w:w="1116" w:type="dxa"/>
            <w:shd w:val="clear" w:color="auto" w:fill="auto"/>
            <w:vAlign w:val="center"/>
          </w:tcPr>
          <w:p w14:paraId="5844412C">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56C71CE4">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中间拆分成两块，四边缝合并包边，破洞处维修。</w:t>
            </w:r>
          </w:p>
        </w:tc>
      </w:tr>
      <w:tr w14:paraId="34E92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14" w:type="dxa"/>
            <w:vAlign w:val="center"/>
          </w:tcPr>
          <w:p w14:paraId="277FD770">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8</w:t>
            </w:r>
          </w:p>
        </w:tc>
        <w:tc>
          <w:tcPr>
            <w:tcW w:w="995" w:type="dxa"/>
            <w:vMerge w:val="continue"/>
            <w:shd w:val="clear" w:color="auto" w:fill="auto"/>
            <w:vAlign w:val="center"/>
          </w:tcPr>
          <w:p w14:paraId="62A18E9D">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4A36B8DA">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耳房门</w:t>
            </w:r>
          </w:p>
        </w:tc>
        <w:tc>
          <w:tcPr>
            <w:tcW w:w="1522" w:type="dxa"/>
            <w:shd w:val="clear" w:color="auto" w:fill="auto"/>
            <w:vAlign w:val="center"/>
          </w:tcPr>
          <w:p w14:paraId="7897FE45">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铁制品</w:t>
            </w:r>
          </w:p>
        </w:tc>
        <w:tc>
          <w:tcPr>
            <w:tcW w:w="1824" w:type="dxa"/>
            <w:shd w:val="clear" w:color="auto" w:fill="auto"/>
            <w:vAlign w:val="center"/>
          </w:tcPr>
          <w:p w14:paraId="6421E283">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两扇1.5m*0.6m</w:t>
            </w:r>
          </w:p>
        </w:tc>
        <w:tc>
          <w:tcPr>
            <w:tcW w:w="1116" w:type="dxa"/>
            <w:shd w:val="clear" w:color="auto" w:fill="auto"/>
            <w:vAlign w:val="center"/>
          </w:tcPr>
          <w:p w14:paraId="454E9590">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20</w:t>
            </w:r>
          </w:p>
        </w:tc>
        <w:tc>
          <w:tcPr>
            <w:tcW w:w="1712" w:type="dxa"/>
            <w:shd w:val="clear" w:color="auto" w:fill="auto"/>
            <w:vAlign w:val="center"/>
          </w:tcPr>
          <w:p w14:paraId="169E21CB">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44"/>
                <w:rFonts w:hint="eastAsia" w:ascii="仿宋" w:hAnsi="仿宋" w:eastAsia="仿宋" w:cs="仿宋"/>
                <w:color w:val="auto"/>
                <w:sz w:val="20"/>
                <w:szCs w:val="20"/>
                <w:lang w:val="en-US" w:eastAsia="zh-CN" w:bidi="ar"/>
              </w:rPr>
              <w:t>根据维修数量计算（具体以实际维修数量计算）</w:t>
            </w:r>
          </w:p>
        </w:tc>
      </w:tr>
      <w:tr w14:paraId="5240F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614" w:type="dxa"/>
            <w:vAlign w:val="center"/>
          </w:tcPr>
          <w:p w14:paraId="41B88F07">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9</w:t>
            </w:r>
          </w:p>
        </w:tc>
        <w:tc>
          <w:tcPr>
            <w:tcW w:w="995" w:type="dxa"/>
            <w:vMerge w:val="continue"/>
            <w:shd w:val="clear" w:color="auto" w:fill="auto"/>
            <w:vAlign w:val="center"/>
          </w:tcPr>
          <w:p w14:paraId="5B0CA59B">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47EF0AA2">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通风口维修</w:t>
            </w:r>
          </w:p>
        </w:tc>
        <w:tc>
          <w:tcPr>
            <w:tcW w:w="1522" w:type="dxa"/>
            <w:shd w:val="clear" w:color="auto" w:fill="auto"/>
            <w:vAlign w:val="center"/>
          </w:tcPr>
          <w:p w14:paraId="45BCF172">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w:t>
            </w:r>
          </w:p>
        </w:tc>
        <w:tc>
          <w:tcPr>
            <w:tcW w:w="1824" w:type="dxa"/>
            <w:shd w:val="clear" w:color="auto" w:fill="auto"/>
            <w:vAlign w:val="center"/>
          </w:tcPr>
          <w:p w14:paraId="7B8282CA">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69m*1.5m</w:t>
            </w:r>
          </w:p>
        </w:tc>
        <w:tc>
          <w:tcPr>
            <w:tcW w:w="1116" w:type="dxa"/>
            <w:shd w:val="clear" w:color="auto" w:fill="auto"/>
            <w:vAlign w:val="center"/>
          </w:tcPr>
          <w:p w14:paraId="36D64ECA">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5F96CA2B">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p>
        </w:tc>
      </w:tr>
      <w:tr w14:paraId="14D22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9" w:hRule="atLeast"/>
        </w:trPr>
        <w:tc>
          <w:tcPr>
            <w:tcW w:w="614" w:type="dxa"/>
            <w:vAlign w:val="center"/>
          </w:tcPr>
          <w:p w14:paraId="17B2843A">
            <w:pPr>
              <w:jc w:val="center"/>
              <w:rPr>
                <w:rFonts w:hint="eastAsia" w:ascii="仿宋" w:hAnsi="仿宋" w:eastAsia="仿宋" w:cs="仿宋"/>
                <w:color w:val="auto"/>
                <w:vertAlign w:val="baseline"/>
                <w:lang w:val="en-US" w:eastAsia="zh-CN"/>
              </w:rPr>
            </w:pPr>
            <w:r>
              <w:rPr>
                <w:rFonts w:hint="eastAsia" w:ascii="仿宋" w:hAnsi="仿宋" w:eastAsia="仿宋" w:cs="仿宋"/>
                <w:color w:val="auto"/>
                <w:vertAlign w:val="baseline"/>
                <w:lang w:val="en-US" w:eastAsia="zh-CN"/>
              </w:rPr>
              <w:t>10</w:t>
            </w:r>
          </w:p>
        </w:tc>
        <w:tc>
          <w:tcPr>
            <w:tcW w:w="995" w:type="dxa"/>
            <w:vMerge w:val="continue"/>
            <w:shd w:val="clear" w:color="auto" w:fill="auto"/>
            <w:vAlign w:val="center"/>
          </w:tcPr>
          <w:p w14:paraId="0012D030">
            <w:pPr>
              <w:keepNext w:val="0"/>
              <w:keepLines w:val="0"/>
              <w:pageBreakBefore w:val="0"/>
              <w:widowControl/>
              <w:suppressLineNumbers w:val="0"/>
              <w:kinsoku/>
              <w:wordWrap/>
              <w:overflowPunct/>
              <w:topLinePunct w:val="0"/>
              <w:autoSpaceDE/>
              <w:autoSpaceDN/>
              <w:bidi w:val="0"/>
              <w:jc w:val="center"/>
              <w:textAlignment w:val="center"/>
              <w:rPr>
                <w:rStyle w:val="61"/>
                <w:rFonts w:hint="eastAsia" w:ascii="仿宋" w:hAnsi="仿宋" w:eastAsia="仿宋" w:cs="仿宋"/>
                <w:color w:val="auto"/>
                <w:lang w:val="en-US" w:eastAsia="zh-CN" w:bidi="ar"/>
              </w:rPr>
            </w:pPr>
          </w:p>
        </w:tc>
        <w:tc>
          <w:tcPr>
            <w:tcW w:w="2072" w:type="dxa"/>
            <w:shd w:val="clear" w:color="auto" w:fill="auto"/>
            <w:vAlign w:val="center"/>
          </w:tcPr>
          <w:p w14:paraId="287E1E01">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Style w:val="61"/>
                <w:rFonts w:hint="eastAsia" w:ascii="仿宋" w:hAnsi="仿宋" w:eastAsia="仿宋" w:cs="仿宋"/>
                <w:color w:val="auto"/>
                <w:lang w:val="en-US" w:eastAsia="zh-CN" w:bidi="ar"/>
              </w:rPr>
              <w:t>钢架校正，人字梁和卷帘杆校正除锈并刷防锈漆</w:t>
            </w:r>
          </w:p>
        </w:tc>
        <w:tc>
          <w:tcPr>
            <w:tcW w:w="1522" w:type="dxa"/>
            <w:shd w:val="clear" w:color="auto" w:fill="auto"/>
            <w:vAlign w:val="center"/>
          </w:tcPr>
          <w:p w14:paraId="0FD233D1">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w:t>
            </w:r>
          </w:p>
        </w:tc>
        <w:tc>
          <w:tcPr>
            <w:tcW w:w="1824" w:type="dxa"/>
            <w:shd w:val="clear" w:color="auto" w:fill="auto"/>
            <w:vAlign w:val="center"/>
          </w:tcPr>
          <w:p w14:paraId="30B4F762">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w:t>
            </w:r>
          </w:p>
        </w:tc>
        <w:tc>
          <w:tcPr>
            <w:tcW w:w="1116" w:type="dxa"/>
            <w:shd w:val="clear" w:color="auto" w:fill="auto"/>
            <w:vAlign w:val="center"/>
          </w:tcPr>
          <w:p w14:paraId="3DBDF70A">
            <w:pPr>
              <w:keepNext w:val="0"/>
              <w:keepLines w:val="0"/>
              <w:pageBreakBefore w:val="0"/>
              <w:widowControl/>
              <w:suppressLineNumbers w:val="0"/>
              <w:kinsoku/>
              <w:wordWrap/>
              <w:overflowPunct/>
              <w:topLinePunct w:val="0"/>
              <w:autoSpaceDE/>
              <w:autoSpaceDN/>
              <w:bidi w:val="0"/>
              <w:jc w:val="center"/>
              <w:textAlignment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sz w:val="20"/>
                <w:szCs w:val="20"/>
                <w:u w:val="none"/>
                <w:lang w:val="en-US" w:eastAsia="zh-CN"/>
              </w:rPr>
              <w:t>100</w:t>
            </w:r>
          </w:p>
        </w:tc>
        <w:tc>
          <w:tcPr>
            <w:tcW w:w="1712" w:type="dxa"/>
            <w:shd w:val="clear" w:color="auto" w:fill="auto"/>
            <w:vAlign w:val="center"/>
          </w:tcPr>
          <w:p w14:paraId="53E1D178">
            <w:pPr>
              <w:keepNext w:val="0"/>
              <w:pageBreakBefore w:val="0"/>
              <w:kinsoku/>
              <w:wordWrap/>
              <w:overflowPunct/>
              <w:topLinePunct w:val="0"/>
              <w:autoSpaceDE/>
              <w:autoSpaceDN/>
              <w:bidi w:val="0"/>
              <w:jc w:val="center"/>
              <w:rPr>
                <w:rFonts w:hint="eastAsia" w:ascii="仿宋" w:hAnsi="仿宋" w:eastAsia="仿宋" w:cs="仿宋"/>
                <w:i w:val="0"/>
                <w:color w:val="auto"/>
                <w:kern w:val="2"/>
                <w:sz w:val="20"/>
                <w:szCs w:val="20"/>
                <w:u w:val="none"/>
                <w:lang w:val="en-US" w:eastAsia="zh-CN" w:bidi="ar-SA"/>
              </w:rPr>
            </w:pPr>
            <w:r>
              <w:rPr>
                <w:rFonts w:hint="eastAsia" w:ascii="仿宋" w:hAnsi="仿宋" w:eastAsia="仿宋" w:cs="仿宋"/>
                <w:i w:val="0"/>
                <w:color w:val="auto"/>
                <w:kern w:val="2"/>
                <w:sz w:val="20"/>
                <w:szCs w:val="20"/>
                <w:u w:val="none"/>
                <w:lang w:val="en-US" w:eastAsia="zh-CN" w:bidi="ar-SA"/>
              </w:rPr>
              <w:t>/</w:t>
            </w:r>
          </w:p>
        </w:tc>
      </w:tr>
    </w:tbl>
    <w:p w14:paraId="26FD8217">
      <w:pPr>
        <w:keepNext w:val="0"/>
        <w:pageBreakBefore w:val="0"/>
        <w:kinsoku/>
        <w:wordWrap/>
        <w:overflowPunct/>
        <w:topLinePunct w:val="0"/>
        <w:autoSpaceDE/>
        <w:autoSpaceDN/>
        <w:bidi w:val="0"/>
        <w:jc w:val="center"/>
        <w:rPr>
          <w:rFonts w:hint="eastAsia" w:ascii="仿宋" w:hAnsi="仿宋" w:eastAsia="仿宋" w:cs="仿宋"/>
          <w:b/>
          <w:bCs/>
          <w:sz w:val="36"/>
          <w:szCs w:val="36"/>
          <w:lang w:val="en-US" w:eastAsia="zh-CN"/>
        </w:rPr>
      </w:pPr>
    </w:p>
    <w:p w14:paraId="7D438356">
      <w:pPr>
        <w:keepNext w:val="0"/>
        <w:pageBreakBefore w:val="0"/>
        <w:kinsoku/>
        <w:wordWrap/>
        <w:overflowPunct/>
        <w:topLinePunct w:val="0"/>
        <w:autoSpaceDE/>
        <w:autoSpaceDN/>
        <w:bidi w:val="0"/>
        <w:jc w:val="center"/>
        <w:rPr>
          <w:rFonts w:hint="eastAsia" w:ascii="仿宋" w:hAnsi="仿宋" w:eastAsia="仿宋" w:cs="仿宋"/>
          <w:b/>
          <w:bCs/>
          <w:sz w:val="36"/>
          <w:szCs w:val="36"/>
          <w:lang w:val="en-US" w:eastAsia="zh-CN"/>
        </w:rPr>
      </w:pPr>
    </w:p>
    <w:p w14:paraId="611EED28">
      <w:pPr>
        <w:keepNext w:val="0"/>
        <w:pageBreakBefore w:val="0"/>
        <w:kinsoku/>
        <w:wordWrap/>
        <w:overflowPunct/>
        <w:topLinePunct w:val="0"/>
        <w:autoSpaceDE/>
        <w:autoSpaceDN/>
        <w:bidi w:val="0"/>
        <w:jc w:val="center"/>
        <w:rPr>
          <w:rFonts w:hint="eastAsia" w:ascii="仿宋" w:hAnsi="仿宋" w:eastAsia="仿宋" w:cs="仿宋"/>
          <w:b/>
          <w:bCs/>
          <w:sz w:val="36"/>
          <w:szCs w:val="36"/>
          <w:lang w:val="en-US" w:eastAsia="zh-CN"/>
        </w:rPr>
      </w:pPr>
    </w:p>
    <w:p w14:paraId="6719CB36">
      <w:pPr>
        <w:keepNext w:val="0"/>
        <w:pageBreakBefore w:val="0"/>
        <w:kinsoku/>
        <w:wordWrap/>
        <w:overflowPunct/>
        <w:topLinePunct w:val="0"/>
        <w:autoSpaceDE/>
        <w:autoSpaceDN/>
        <w:bidi w:val="0"/>
        <w:jc w:val="center"/>
        <w:rPr>
          <w:rFonts w:hint="eastAsia" w:ascii="仿宋" w:hAnsi="仿宋" w:eastAsia="仿宋" w:cs="仿宋"/>
          <w:sz w:val="18"/>
          <w:szCs w:val="16"/>
          <w:lang w:val="en-US" w:eastAsia="zh-CN"/>
        </w:rPr>
      </w:pPr>
      <w:r>
        <w:rPr>
          <w:rFonts w:hint="eastAsia" w:ascii="仿宋" w:hAnsi="仿宋" w:eastAsia="仿宋" w:cs="仿宋"/>
          <w:b/>
          <w:bCs/>
          <w:sz w:val="36"/>
          <w:szCs w:val="36"/>
          <w:lang w:val="en-US" w:eastAsia="zh-CN"/>
        </w:rPr>
        <w:t>维修的工艺及质量要求</w:t>
      </w:r>
    </w:p>
    <w:p w14:paraId="664D5559">
      <w:pPr>
        <w:keepNext w:val="0"/>
        <w:pageBreakBefore w:val="0"/>
        <w:kinsoku/>
        <w:wordWrap/>
        <w:overflowPunct/>
        <w:topLinePunct w:val="0"/>
        <w:autoSpaceDE/>
        <w:autoSpaceDN/>
        <w:bidi w:val="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w:t>
      </w:r>
    </w:p>
    <w:p w14:paraId="14DDBCDC">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老旧大棚维修内容主要包括：卷帘机侧卷方式改为中卷方式，更换PO膜、更换卡槽卡簧、更换电机、减速机，维修山墙坡面、保温被、耳房门、通风口等。具体工艺质量要求如下：</w:t>
      </w:r>
    </w:p>
    <w:p w14:paraId="4AABF3F9">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 一、保温被垫片</w:t>
      </w:r>
    </w:p>
    <w:p w14:paraId="0F65554C">
      <w:pPr>
        <w:keepNext w:val="0"/>
        <w:pageBreakBefore w:val="0"/>
        <w:widowControl w:val="0"/>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1.保温被垫片分为两种：一种是长11.5米*宽2米（中间垫片），另一种是10米*宽1.5米（两侧垫片）。</w:t>
      </w:r>
    </w:p>
    <w:p w14:paraId="48E9F5BF">
      <w:pPr>
        <w:keepNext w:val="0"/>
        <w:pageBreakBefore w:val="0"/>
        <w:widowControl w:val="0"/>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18"/>
          <w:szCs w:val="16"/>
          <w:lang w:val="en-US" w:eastAsia="zh-CN"/>
        </w:rPr>
      </w:pPr>
      <w:r>
        <w:rPr>
          <w:rFonts w:hint="eastAsia" w:ascii="仿宋" w:hAnsi="仿宋" w:eastAsia="仿宋" w:cs="仿宋"/>
          <w:b w:val="0"/>
          <w:bCs w:val="0"/>
          <w:sz w:val="24"/>
          <w:szCs w:val="24"/>
          <w:lang w:val="en-US" w:eastAsia="zh-CN"/>
        </w:rPr>
        <w:t>2.棉被垫片材料为一层PE布，两层珍珠棉，一层喷胶棉，棉被达到3kg/m2。长期固定在温室中间和两侧位置。</w:t>
      </w:r>
    </w:p>
    <w:p w14:paraId="6BEB756B">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二、保温被拆除及缝合</w:t>
      </w:r>
    </w:p>
    <w:p w14:paraId="6F0A793D">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1.温室原保温棉被取中位置，将原棉被拆解为两块，两边缝合。 </w:t>
      </w:r>
    </w:p>
    <w:p w14:paraId="201150A7">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2.把棉被有软合页的一端拉至后墙的软合页上，注意棉被不能划伤大膜。</w:t>
      </w:r>
    </w:p>
    <w:p w14:paraId="2766C185">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18"/>
          <w:szCs w:val="16"/>
          <w:lang w:val="en-US" w:eastAsia="zh-CN"/>
        </w:rPr>
      </w:pPr>
      <w:r>
        <w:rPr>
          <w:rFonts w:hint="eastAsia" w:ascii="仿宋" w:hAnsi="仿宋" w:eastAsia="仿宋" w:cs="仿宋"/>
          <w:b w:val="0"/>
          <w:bCs w:val="0"/>
          <w:sz w:val="24"/>
          <w:szCs w:val="24"/>
          <w:lang w:val="en-US" w:eastAsia="zh-CN"/>
        </w:rPr>
        <w:t>3.将保温被有PVC布的一端大棚后墙上的软合页对齐剪开，穿进6mm粗的钢筋棍连接固定。钢筋棍两端的孔两两对接后，插入开口销固定，已保证所有的钢筋棍都连成一体。同时保证每块棉被间至少搭接80mm,如此往复，将每块棉被固定在后墙软合页上。</w:t>
      </w:r>
    </w:p>
    <w:p w14:paraId="0D17A3F0">
      <w:pPr>
        <w:keepNext w:val="0"/>
        <w:pageBreakBefore w:val="0"/>
        <w:widowControl w:val="0"/>
        <w:numPr>
          <w:ilvl w:val="0"/>
          <w:numId w:val="0"/>
        </w:numPr>
        <w:kinsoku/>
        <w:wordWrap/>
        <w:overflowPunct/>
        <w:topLinePunct w:val="0"/>
        <w:autoSpaceDE/>
        <w:autoSpaceDN/>
        <w:bidi w:val="0"/>
        <w:adjustRightInd/>
        <w:snapToGrid/>
        <w:ind w:firstLine="480" w:firstLineChars="200"/>
        <w:jc w:val="center"/>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drawing>
          <wp:inline distT="0" distB="0" distL="0" distR="0">
            <wp:extent cx="3944620" cy="2054225"/>
            <wp:effectExtent l="0" t="0" r="17780" b="3175"/>
            <wp:docPr id="1671" name="图片 1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1" name="图片 167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3944620" cy="2054225"/>
                    </a:xfrm>
                    <a:prstGeom prst="rect">
                      <a:avLst/>
                    </a:prstGeom>
                    <a:noFill/>
                  </pic:spPr>
                </pic:pic>
              </a:graphicData>
            </a:graphic>
          </wp:inline>
        </w:drawing>
      </w:r>
    </w:p>
    <w:p w14:paraId="7C6E123A">
      <w:pPr>
        <w:keepNext w:val="0"/>
        <w:pageBreakBefore w:val="0"/>
        <w:widowControl w:val="0"/>
        <w:numPr>
          <w:ilvl w:val="0"/>
          <w:numId w:val="0"/>
        </w:numPr>
        <w:kinsoku/>
        <w:wordWrap/>
        <w:overflowPunct/>
        <w:topLinePunct w:val="0"/>
        <w:autoSpaceDE/>
        <w:autoSpaceDN/>
        <w:bidi w:val="0"/>
        <w:adjustRightInd/>
        <w:snapToGrid/>
        <w:ind w:firstLine="480" w:firstLineChars="200"/>
        <w:jc w:val="center"/>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棉被穿钢筋示意图</w:t>
      </w:r>
    </w:p>
    <w:p w14:paraId="1A349ECC">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三、人字梁的移动和调整</w:t>
      </w:r>
    </w:p>
    <w:p w14:paraId="2C0F86D4">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1.原有人字梁在温室侧面，移动到温室中间位置；并除锈打磨干净后刷二道防锈漆。</w:t>
      </w:r>
    </w:p>
    <w:p w14:paraId="47ECDF5D">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2.将人字梁固定，预留电机、减速机的安装板；通过法兰盘链接左右两侧卷帘杆。</w:t>
      </w:r>
    </w:p>
    <w:p w14:paraId="5383691A">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四、更换棚膜</w:t>
      </w:r>
    </w:p>
    <w:p w14:paraId="6AD894FB">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1.材质采用12丝PO膜，新膜透光性≧85%。</w:t>
      </w:r>
    </w:p>
    <w:p w14:paraId="31518951">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2.打开PO膜时注意PO膜的正反面，将PO膜在大棚前屋面铺开，上端拉至指定高度。</w:t>
      </w:r>
    </w:p>
    <w:p w14:paraId="0F33B9C3">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五、更换卡槽卡簧</w:t>
      </w:r>
    </w:p>
    <w:p w14:paraId="50306028">
      <w:pPr>
        <w:keepNext w:val="0"/>
        <w:pageBreakBefore w:val="0"/>
        <w:widowControl w:val="0"/>
        <w:numPr>
          <w:ilvl w:val="0"/>
          <w:numId w:val="1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卡槽厚度0.7</w:t>
      </w:r>
      <w:r>
        <w:rPr>
          <w:rFonts w:hint="eastAsia" w:ascii="仿宋" w:hAnsi="仿宋" w:eastAsia="仿宋" w:cs="仿宋"/>
          <w:b w:val="0"/>
          <w:bCs w:val="0"/>
          <w:color w:val="000000"/>
          <w:kern w:val="44"/>
          <w:sz w:val="24"/>
          <w:szCs w:val="24"/>
          <w:highlight w:val="none"/>
          <w:lang w:val="en-US" w:eastAsia="zh-CN" w:bidi="ar-SA"/>
        </w:rPr>
        <w:t>mm。</w:t>
      </w:r>
    </w:p>
    <w:p w14:paraId="44FDB1A0">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rPr>
        <w:t>2.</w:t>
      </w:r>
      <w:r>
        <w:rPr>
          <w:rFonts w:hint="eastAsia" w:ascii="仿宋" w:hAnsi="仿宋" w:eastAsia="仿宋" w:cs="仿宋"/>
          <w:b w:val="0"/>
          <w:bCs w:val="0"/>
          <w:kern w:val="2"/>
          <w:sz w:val="24"/>
          <w:szCs w:val="24"/>
        </w:rPr>
        <w:t>用钻尾钉</w:t>
      </w:r>
      <w:r>
        <w:rPr>
          <w:rFonts w:hint="eastAsia" w:ascii="仿宋" w:hAnsi="仿宋" w:eastAsia="仿宋" w:cs="仿宋"/>
          <w:b w:val="0"/>
          <w:bCs w:val="0"/>
          <w:kern w:val="2"/>
          <w:sz w:val="24"/>
          <w:szCs w:val="24"/>
          <w:lang w:eastAsia="zh-CN"/>
        </w:rPr>
        <w:t>将</w:t>
      </w:r>
      <w:r>
        <w:rPr>
          <w:rFonts w:hint="eastAsia" w:ascii="仿宋" w:hAnsi="仿宋" w:eastAsia="仿宋" w:cs="仿宋"/>
          <w:b w:val="0"/>
          <w:bCs w:val="0"/>
          <w:kern w:val="2"/>
          <w:sz w:val="24"/>
          <w:szCs w:val="24"/>
        </w:rPr>
        <w:t>卡槽固定到钢梁上</w:t>
      </w:r>
      <w:r>
        <w:rPr>
          <w:rFonts w:hint="eastAsia" w:ascii="仿宋" w:hAnsi="仿宋" w:eastAsia="仿宋" w:cs="仿宋"/>
          <w:b w:val="0"/>
          <w:bCs w:val="0"/>
          <w:kern w:val="2"/>
          <w:sz w:val="24"/>
          <w:szCs w:val="24"/>
          <w:lang w:eastAsia="zh-CN"/>
        </w:rPr>
        <w:t>。</w:t>
      </w:r>
    </w:p>
    <w:p w14:paraId="7B663E6F">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六.更换电机、减速机</w:t>
      </w:r>
    </w:p>
    <w:p w14:paraId="60670E7F">
      <w:pPr>
        <w:keepNext w:val="0"/>
        <w:pageBreakBefore w:val="0"/>
        <w:widowControl w:val="0"/>
        <w:numPr>
          <w:ilvl w:val="0"/>
          <w:numId w:val="11"/>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采用2.2KW电机，小五轴减速机</w:t>
      </w:r>
    </w:p>
    <w:p w14:paraId="53E3FC25">
      <w:pPr>
        <w:keepNext w:val="0"/>
        <w:pageBreakBefore w:val="0"/>
        <w:widowControl w:val="0"/>
        <w:numPr>
          <w:ilvl w:val="0"/>
          <w:numId w:val="11"/>
        </w:numPr>
        <w:kinsoku/>
        <w:wordWrap/>
        <w:overflowPunct/>
        <w:topLinePunct w:val="0"/>
        <w:autoSpaceDE/>
        <w:autoSpaceDN/>
        <w:bidi w:val="0"/>
        <w:adjustRightInd/>
        <w:snapToGrid/>
        <w:ind w:left="0"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将电机、减速机固定安装到人字梁前端，通过法兰盘连接左右两侧卷棉杆。</w:t>
      </w:r>
    </w:p>
    <w:p w14:paraId="41580EBF">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七、电线电缆的移动和调整</w:t>
      </w:r>
    </w:p>
    <w:p w14:paraId="516246C0">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1.卷帘机设备由侧面调整到中间位置，相关电线也需要根据电机位置调整.</w:t>
      </w:r>
    </w:p>
    <w:p w14:paraId="5A529842">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rPr>
        <w:t>2.</w:t>
      </w:r>
      <w:r>
        <w:rPr>
          <w:rFonts w:hint="eastAsia" w:ascii="仿宋" w:hAnsi="仿宋" w:eastAsia="仿宋" w:cs="仿宋"/>
          <w:b w:val="0"/>
          <w:bCs w:val="0"/>
          <w:kern w:val="2"/>
          <w:sz w:val="24"/>
          <w:szCs w:val="24"/>
        </w:rPr>
        <w:t>电源为三相电380V电压，接三相电时，由于有相序，有可能电机反转，这时任意调整其中两相即可</w:t>
      </w:r>
      <w:r>
        <w:rPr>
          <w:rFonts w:hint="eastAsia" w:ascii="仿宋" w:hAnsi="仿宋" w:eastAsia="仿宋" w:cs="仿宋"/>
          <w:b w:val="0"/>
          <w:bCs w:val="0"/>
          <w:kern w:val="2"/>
          <w:sz w:val="24"/>
          <w:szCs w:val="24"/>
          <w:lang w:eastAsia="zh-CN"/>
        </w:rPr>
        <w:t>，并维修开关箱。</w:t>
      </w:r>
    </w:p>
    <w:p w14:paraId="772C1D0A">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rPr>
        <w:t>3.</w:t>
      </w:r>
      <w:r>
        <w:rPr>
          <w:rFonts w:hint="eastAsia" w:ascii="仿宋" w:hAnsi="仿宋" w:eastAsia="仿宋" w:cs="仿宋"/>
          <w:b w:val="0"/>
          <w:bCs w:val="0"/>
          <w:sz w:val="24"/>
          <w:szCs w:val="24"/>
          <w:lang w:val="en-US" w:eastAsia="zh-CN"/>
        </w:rPr>
        <w:t>电线电缆为4*6㎜铜芯线，外套直径32㎜pvc管，挖70cm沟深埋</w:t>
      </w:r>
      <w:r>
        <w:rPr>
          <w:rFonts w:hint="eastAsia" w:ascii="仿宋" w:hAnsi="仿宋" w:eastAsia="仿宋" w:cs="仿宋"/>
          <w:b w:val="0"/>
          <w:bCs w:val="0"/>
          <w:kern w:val="2"/>
          <w:sz w:val="24"/>
          <w:szCs w:val="24"/>
        </w:rPr>
        <w:t>。</w:t>
      </w:r>
    </w:p>
    <w:p w14:paraId="6E1C919A">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kern w:val="2"/>
          <w:sz w:val="24"/>
          <w:szCs w:val="24"/>
          <w:lang w:val="en-US" w:eastAsia="zh-CN"/>
        </w:rPr>
      </w:pPr>
      <w:r>
        <w:rPr>
          <w:rFonts w:hint="eastAsia" w:ascii="仿宋" w:hAnsi="仿宋" w:eastAsia="仿宋" w:cs="仿宋"/>
          <w:b w:val="0"/>
          <w:bCs w:val="0"/>
          <w:kern w:val="2"/>
          <w:sz w:val="24"/>
          <w:szCs w:val="24"/>
          <w:lang w:val="en-US" w:eastAsia="zh-CN"/>
        </w:rPr>
        <w:t>八、温室山墙坡面维修</w:t>
      </w:r>
    </w:p>
    <w:p w14:paraId="037095BD">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bidi="ar-SA"/>
        </w:rPr>
        <w:t>1.</w:t>
      </w:r>
      <w:r>
        <w:rPr>
          <w:rFonts w:hint="eastAsia" w:ascii="仿宋" w:hAnsi="仿宋" w:eastAsia="仿宋" w:cs="仿宋"/>
          <w:b w:val="0"/>
          <w:bCs w:val="0"/>
          <w:sz w:val="24"/>
          <w:szCs w:val="24"/>
          <w:lang w:val="en-US" w:eastAsia="zh-CN"/>
        </w:rPr>
        <w:t>山墙坡面由于长时间磨损，表面已破裂；</w:t>
      </w:r>
    </w:p>
    <w:p w14:paraId="1959FF8E">
      <w:pPr>
        <w:keepNext w:val="0"/>
        <w:pageBreakBefore w:val="0"/>
        <w:widowControl w:val="0"/>
        <w:numPr>
          <w:ilvl w:val="0"/>
          <w:numId w:val="0"/>
        </w:numPr>
        <w:kinsoku/>
        <w:wordWrap/>
        <w:overflowPunct/>
        <w:topLinePunct w:val="0"/>
        <w:autoSpaceDE/>
        <w:autoSpaceDN/>
        <w:bidi w:val="0"/>
        <w:adjustRightInd/>
        <w:snapToGrid/>
        <w:ind w:left="0"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bidi="ar-SA"/>
        </w:rPr>
        <w:t>2.</w:t>
      </w:r>
      <w:r>
        <w:rPr>
          <w:rFonts w:hint="eastAsia" w:ascii="仿宋" w:hAnsi="仿宋" w:eastAsia="仿宋" w:cs="仿宋"/>
          <w:b w:val="0"/>
          <w:bCs w:val="0"/>
          <w:sz w:val="24"/>
          <w:szCs w:val="24"/>
          <w:lang w:val="en-US" w:eastAsia="zh-CN"/>
        </w:rPr>
        <w:t>根据每栋温室破损情况，制作并修补破损面；</w:t>
      </w:r>
    </w:p>
    <w:p w14:paraId="46291482">
      <w:pPr>
        <w:keepNext w:val="0"/>
        <w:pageBreakBefore w:val="0"/>
        <w:widowControl w:val="0"/>
        <w:numPr>
          <w:ilvl w:val="0"/>
          <w:numId w:val="0"/>
        </w:numPr>
        <w:kinsoku/>
        <w:wordWrap/>
        <w:overflowPunct/>
        <w:topLinePunct w:val="0"/>
        <w:autoSpaceDE/>
        <w:autoSpaceDN/>
        <w:bidi w:val="0"/>
        <w:adjustRightInd/>
        <w:snapToGrid/>
        <w:ind w:left="0"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bidi="ar-SA"/>
        </w:rPr>
        <w:t>3.</w:t>
      </w:r>
      <w:r>
        <w:rPr>
          <w:rFonts w:hint="eastAsia" w:ascii="仿宋" w:hAnsi="仿宋" w:eastAsia="仿宋" w:cs="仿宋"/>
          <w:b w:val="0"/>
          <w:bCs w:val="0"/>
          <w:sz w:val="24"/>
          <w:szCs w:val="24"/>
          <w:lang w:val="en-US" w:eastAsia="zh-CN"/>
        </w:rPr>
        <w:t>修补材料采用建筑膜结构保温墙体，外层PVC涂层布1300D750g/㎡、二层无纺棉每层650g/㎡、一层棉毡400g、内层PVC涂层布500D500g/㎡，具有防雨、抗腐蚀、抗紫外线、耐高温、耐低温等功能，正常使用年限不少于15年。</w:t>
      </w:r>
    </w:p>
    <w:p w14:paraId="19053690">
      <w:pPr>
        <w:keepNext w:val="0"/>
        <w:pageBreakBefore w:val="0"/>
        <w:widowControl w:val="0"/>
        <w:numPr>
          <w:ilvl w:val="0"/>
          <w:numId w:val="0"/>
        </w:numPr>
        <w:kinsoku/>
        <w:wordWrap/>
        <w:overflowPunct/>
        <w:topLinePunct w:val="0"/>
        <w:autoSpaceDE/>
        <w:autoSpaceDN/>
        <w:bidi w:val="0"/>
        <w:adjustRightInd/>
        <w:snapToGrid/>
        <w:ind w:left="0"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bidi="ar-SA"/>
        </w:rPr>
        <w:t>4.</w:t>
      </w:r>
      <w:r>
        <w:rPr>
          <w:rFonts w:hint="eastAsia" w:ascii="仿宋" w:hAnsi="仿宋" w:eastAsia="仿宋" w:cs="仿宋"/>
          <w:b w:val="0"/>
          <w:bCs w:val="0"/>
          <w:sz w:val="24"/>
          <w:szCs w:val="24"/>
          <w:lang w:val="en-US" w:eastAsia="zh-CN"/>
        </w:rPr>
        <w:t>材料生产与维修过程中采用高频热合工艺，不采用针线缝制；</w:t>
      </w:r>
    </w:p>
    <w:p w14:paraId="172232A5">
      <w:pPr>
        <w:keepNext w:val="0"/>
        <w:pageBreakBefore w:val="0"/>
        <w:widowControl w:val="0"/>
        <w:numPr>
          <w:ilvl w:val="0"/>
          <w:numId w:val="0"/>
        </w:numPr>
        <w:kinsoku/>
        <w:wordWrap/>
        <w:overflowPunct/>
        <w:topLinePunct w:val="0"/>
        <w:autoSpaceDE/>
        <w:autoSpaceDN/>
        <w:bidi w:val="0"/>
        <w:adjustRightInd/>
        <w:snapToGrid/>
        <w:ind w:left="0"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bidi="ar-SA"/>
        </w:rPr>
        <w:t>5.</w:t>
      </w:r>
      <w:r>
        <w:rPr>
          <w:rFonts w:hint="eastAsia" w:ascii="仿宋" w:hAnsi="仿宋" w:eastAsia="仿宋" w:cs="仿宋"/>
          <w:b w:val="0"/>
          <w:bCs w:val="0"/>
          <w:sz w:val="24"/>
          <w:szCs w:val="24"/>
          <w:lang w:val="en-US" w:eastAsia="zh-CN"/>
        </w:rPr>
        <w:t>现场维修热合时表面整洁，</w:t>
      </w:r>
      <w:r>
        <w:rPr>
          <w:rFonts w:hint="eastAsia" w:ascii="仿宋" w:hAnsi="仿宋" w:eastAsia="仿宋" w:cs="仿宋"/>
          <w:b w:val="0"/>
          <w:bCs w:val="0"/>
          <w:kern w:val="2"/>
          <w:sz w:val="24"/>
          <w:szCs w:val="24"/>
        </w:rPr>
        <w:t>不允许存在较大影响美观的褶皱。</w:t>
      </w:r>
    </w:p>
    <w:p w14:paraId="70CD6B39">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kern w:val="2"/>
          <w:sz w:val="24"/>
          <w:szCs w:val="24"/>
          <w:lang w:val="en-US" w:eastAsia="zh-CN"/>
        </w:rPr>
        <w:t>九、保温被维修</w:t>
      </w:r>
    </w:p>
    <w:p w14:paraId="03376BBD">
      <w:pPr>
        <w:keepNext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1.日光温室侧面棉被由于长时间磨损，表面已破裂，根据每座温室破损情况，制作并修补破损面；</w:t>
      </w:r>
    </w:p>
    <w:p w14:paraId="004FB932">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2.修补材质采用一层PVC涂层布380g/㎡、二层无纺棉400g/㎡、一层棉毡400g。</w:t>
      </w:r>
    </w:p>
    <w:p w14:paraId="3DBA40BE">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3.局部维修的根据破损位置和大小，现场切割修补材料，采用热合链接工艺。</w:t>
      </w:r>
    </w:p>
    <w:p w14:paraId="6B74E7EB">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十、耳房门维修。根据破损情况维修</w:t>
      </w:r>
    </w:p>
    <w:p w14:paraId="4097BF01">
      <w:pPr>
        <w:keepNext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十一、钢架校正、人字梁和卷帘杆除锈并刷防锈漆。</w:t>
      </w:r>
    </w:p>
    <w:p w14:paraId="54F9FEBB">
      <w:pPr>
        <w:keepNext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1.主体钢架弯曲变形的进行校正，使钢架整体在一个平面上。</w:t>
      </w:r>
    </w:p>
    <w:p w14:paraId="5C033723">
      <w:pPr>
        <w:pStyle w:val="3"/>
        <w:spacing w:before="0" w:after="0" w:line="240" w:lineRule="auto"/>
        <w:ind w:firstLine="480" w:firstLineChars="200"/>
        <w:rPr>
          <w:rFonts w:hint="eastAsia" w:ascii="仿宋" w:hAnsi="仿宋" w:eastAsia="仿宋" w:cs="仿宋"/>
          <w:b w:val="0"/>
          <w:bCs w:val="0"/>
          <w:lang w:val="en-US" w:eastAsia="zh-CN"/>
        </w:rPr>
      </w:pPr>
      <w:r>
        <w:rPr>
          <w:rFonts w:hint="eastAsia" w:ascii="仿宋" w:hAnsi="仿宋" w:eastAsia="仿宋" w:cs="仿宋"/>
          <w:b w:val="0"/>
          <w:bCs w:val="0"/>
          <w:sz w:val="24"/>
          <w:szCs w:val="24"/>
          <w:lang w:val="en-US" w:eastAsia="zh-CN"/>
        </w:rPr>
        <w:t>2.人字梁和卷帘杆弯曲变形的进行校正，并除锈打磨干净后刷二道防锈漆，然后安装。</w:t>
      </w:r>
    </w:p>
    <w:p w14:paraId="7A501B1A">
      <w:pPr>
        <w:rPr>
          <w:rFonts w:hint="eastAsia"/>
        </w:rPr>
      </w:pPr>
    </w:p>
    <w:p w14:paraId="75030878">
      <w:pPr>
        <w:jc w:val="center"/>
        <w:rPr>
          <w:rFonts w:hint="eastAsia" w:ascii="宋体" w:hAnsi="宋体" w:cs="宋体"/>
          <w:sz w:val="36"/>
          <w:szCs w:val="36"/>
        </w:rPr>
      </w:pPr>
    </w:p>
    <w:p w14:paraId="3C53E729">
      <w:pPr>
        <w:ind w:firstLine="480"/>
        <w:jc w:val="center"/>
        <w:rPr>
          <w:rFonts w:hint="eastAsia" w:ascii="宋体" w:hAnsi="宋体" w:cs="宋体"/>
          <w:sz w:val="36"/>
          <w:szCs w:val="36"/>
        </w:rPr>
      </w:pPr>
    </w:p>
    <w:p w14:paraId="1E20703D">
      <w:pPr>
        <w:ind w:firstLine="480"/>
        <w:jc w:val="center"/>
        <w:rPr>
          <w:rFonts w:hint="eastAsia" w:ascii="宋体" w:hAnsi="宋体" w:cs="宋体"/>
          <w:sz w:val="36"/>
          <w:szCs w:val="36"/>
        </w:rPr>
      </w:pPr>
    </w:p>
    <w:p w14:paraId="59319F95">
      <w:pPr>
        <w:ind w:firstLine="480"/>
        <w:jc w:val="center"/>
        <w:rPr>
          <w:rFonts w:hint="eastAsia" w:ascii="宋体" w:hAnsi="宋体" w:cs="宋体"/>
          <w:sz w:val="36"/>
          <w:szCs w:val="36"/>
        </w:rPr>
      </w:pPr>
    </w:p>
    <w:p w14:paraId="1BFF0DE8">
      <w:pPr>
        <w:ind w:firstLine="480"/>
        <w:jc w:val="center"/>
        <w:rPr>
          <w:rFonts w:hint="eastAsia" w:ascii="宋体" w:hAnsi="宋体" w:cs="宋体"/>
          <w:sz w:val="36"/>
          <w:szCs w:val="36"/>
        </w:rPr>
      </w:pPr>
    </w:p>
    <w:p w14:paraId="01EAD2B3">
      <w:pPr>
        <w:ind w:firstLine="480"/>
        <w:jc w:val="center"/>
        <w:rPr>
          <w:rFonts w:hint="eastAsia" w:ascii="宋体" w:hAnsi="宋体" w:cs="宋体"/>
          <w:sz w:val="36"/>
          <w:szCs w:val="36"/>
        </w:rPr>
      </w:pPr>
    </w:p>
    <w:p w14:paraId="3E02530B">
      <w:pPr>
        <w:ind w:firstLine="480"/>
        <w:jc w:val="center"/>
        <w:rPr>
          <w:rFonts w:hint="eastAsia" w:ascii="宋体" w:hAnsi="宋体" w:cs="宋体"/>
          <w:sz w:val="36"/>
          <w:szCs w:val="36"/>
        </w:rPr>
      </w:pPr>
    </w:p>
    <w:p w14:paraId="620F292A">
      <w:pPr>
        <w:ind w:firstLine="480"/>
        <w:jc w:val="center"/>
        <w:rPr>
          <w:rFonts w:hint="eastAsia" w:ascii="宋体" w:hAnsi="宋体" w:cs="宋体"/>
          <w:sz w:val="36"/>
          <w:szCs w:val="36"/>
        </w:rPr>
      </w:pPr>
    </w:p>
    <w:p w14:paraId="2B76AE91">
      <w:pPr>
        <w:ind w:firstLine="480"/>
        <w:jc w:val="center"/>
        <w:rPr>
          <w:rFonts w:hint="eastAsia" w:ascii="宋体" w:hAnsi="宋体" w:cs="宋体"/>
          <w:sz w:val="36"/>
          <w:szCs w:val="36"/>
        </w:rPr>
      </w:pPr>
    </w:p>
    <w:p w14:paraId="56A90D08">
      <w:pPr>
        <w:ind w:firstLine="480"/>
        <w:jc w:val="center"/>
        <w:rPr>
          <w:rFonts w:hint="eastAsia" w:ascii="宋体" w:hAnsi="宋体" w:cs="宋体"/>
          <w:sz w:val="36"/>
          <w:szCs w:val="36"/>
        </w:rPr>
      </w:pPr>
    </w:p>
    <w:p w14:paraId="73F634A0">
      <w:pPr>
        <w:ind w:firstLine="480"/>
        <w:jc w:val="center"/>
        <w:rPr>
          <w:rFonts w:hint="eastAsia" w:ascii="宋体" w:hAnsi="宋体" w:cs="宋体"/>
          <w:sz w:val="36"/>
          <w:szCs w:val="36"/>
        </w:rPr>
      </w:pPr>
    </w:p>
    <w:p w14:paraId="4797F55E">
      <w:pPr>
        <w:ind w:firstLine="480"/>
        <w:jc w:val="center"/>
        <w:rPr>
          <w:rFonts w:hint="eastAsia" w:ascii="宋体" w:hAnsi="宋体" w:cs="宋体"/>
          <w:sz w:val="36"/>
          <w:szCs w:val="36"/>
        </w:rPr>
      </w:pPr>
    </w:p>
    <w:p w14:paraId="0E4ABEF6">
      <w:pPr>
        <w:ind w:firstLine="480"/>
        <w:jc w:val="center"/>
        <w:rPr>
          <w:rFonts w:hint="eastAsia" w:ascii="宋体" w:hAnsi="宋体" w:cs="宋体"/>
          <w:sz w:val="36"/>
          <w:szCs w:val="36"/>
        </w:rPr>
      </w:pPr>
    </w:p>
    <w:p w14:paraId="586941FB">
      <w:pPr>
        <w:ind w:firstLine="480"/>
        <w:jc w:val="center"/>
        <w:rPr>
          <w:rFonts w:hint="eastAsia" w:ascii="宋体" w:hAnsi="宋体" w:cs="宋体"/>
          <w:sz w:val="36"/>
          <w:szCs w:val="36"/>
        </w:rPr>
      </w:pPr>
    </w:p>
    <w:p w14:paraId="4853BB90">
      <w:pPr>
        <w:ind w:firstLine="480"/>
        <w:jc w:val="center"/>
        <w:rPr>
          <w:rFonts w:hint="eastAsia" w:ascii="宋体" w:hAnsi="宋体" w:cs="宋体"/>
          <w:sz w:val="36"/>
          <w:szCs w:val="36"/>
        </w:rPr>
      </w:pPr>
    </w:p>
    <w:p w14:paraId="447EC957">
      <w:pPr>
        <w:ind w:firstLine="480"/>
        <w:jc w:val="center"/>
        <w:rPr>
          <w:rFonts w:hint="eastAsia" w:ascii="宋体" w:hAnsi="宋体" w:cs="宋体"/>
          <w:sz w:val="36"/>
          <w:szCs w:val="36"/>
        </w:rPr>
      </w:pPr>
    </w:p>
    <w:p w14:paraId="28A7D298">
      <w:pPr>
        <w:ind w:firstLine="480"/>
        <w:jc w:val="center"/>
        <w:rPr>
          <w:rFonts w:hint="eastAsia" w:ascii="宋体" w:hAnsi="宋体" w:cs="宋体"/>
          <w:sz w:val="36"/>
          <w:szCs w:val="36"/>
        </w:rPr>
      </w:pPr>
    </w:p>
    <w:p w14:paraId="7FEF71A6">
      <w:pPr>
        <w:ind w:firstLine="480"/>
        <w:jc w:val="center"/>
        <w:rPr>
          <w:rFonts w:hint="eastAsia" w:ascii="宋体" w:hAnsi="宋体" w:cs="宋体"/>
          <w:sz w:val="36"/>
          <w:szCs w:val="36"/>
        </w:rPr>
      </w:pPr>
    </w:p>
    <w:p w14:paraId="5C301A31">
      <w:pPr>
        <w:ind w:firstLine="480"/>
        <w:jc w:val="center"/>
        <w:rPr>
          <w:rFonts w:hint="eastAsia" w:ascii="仿宋" w:hAnsi="仿宋" w:eastAsia="仿宋" w:cs="仿宋"/>
          <w:sz w:val="32"/>
          <w:szCs w:val="32"/>
        </w:rPr>
      </w:pPr>
      <w:r>
        <w:rPr>
          <w:rFonts w:hint="eastAsia" w:ascii="仿宋" w:hAnsi="仿宋" w:eastAsia="仿宋" w:cs="仿宋"/>
          <w:sz w:val="36"/>
          <w:szCs w:val="36"/>
        </w:rPr>
        <w:t>第四部分 合同格式及合同条款（仅供参考）</w:t>
      </w:r>
    </w:p>
    <w:p w14:paraId="36C5FE2D">
      <w:pPr>
        <w:spacing w:line="460" w:lineRule="exact"/>
        <w:ind w:firstLine="480"/>
        <w:rPr>
          <w:rFonts w:hint="eastAsia" w:ascii="仿宋" w:hAnsi="仿宋" w:eastAsia="仿宋" w:cs="仿宋"/>
        </w:rPr>
      </w:pPr>
      <w:r>
        <w:rPr>
          <w:rFonts w:hint="eastAsia" w:ascii="仿宋" w:hAnsi="仿宋" w:eastAsia="仿宋" w:cs="仿宋"/>
        </w:rPr>
        <w:t>(根据《政府采购法》和《合同法》。采购人和供应商之间的权 利和义务，应当按照平等的原则以合同方式约定。此合同书仅作为签订正式合同时的参考，正式合同书应包括本参考格式之内容。)</w:t>
      </w:r>
    </w:p>
    <w:p w14:paraId="4DA91B00">
      <w:pPr>
        <w:spacing w:line="460" w:lineRule="exact"/>
        <w:ind w:firstLine="482"/>
        <w:rPr>
          <w:rFonts w:hint="eastAsia" w:ascii="仿宋" w:hAnsi="仿宋" w:eastAsia="仿宋" w:cs="仿宋"/>
          <w:b/>
          <w:bCs/>
        </w:rPr>
      </w:pPr>
      <w:r>
        <w:rPr>
          <w:rFonts w:hint="eastAsia" w:ascii="仿宋" w:hAnsi="仿宋" w:eastAsia="仿宋" w:cs="仿宋"/>
          <w:b/>
          <w:bCs/>
        </w:rPr>
        <w:t>1. 合同文件</w:t>
      </w:r>
    </w:p>
    <w:p w14:paraId="4698533F">
      <w:pPr>
        <w:spacing w:line="460" w:lineRule="exact"/>
        <w:ind w:firstLine="480"/>
        <w:rPr>
          <w:rFonts w:hint="eastAsia" w:ascii="仿宋" w:hAnsi="仿宋" w:eastAsia="仿宋" w:cs="仿宋"/>
        </w:rPr>
      </w:pPr>
      <w:r>
        <w:rPr>
          <w:rFonts w:hint="eastAsia" w:ascii="仿宋" w:hAnsi="仿宋" w:eastAsia="仿宋" w:cs="仿宋"/>
        </w:rPr>
        <w:t>本合同所附下列文件是构成本合同不可分割的部分：</w:t>
      </w:r>
    </w:p>
    <w:p w14:paraId="0CE2A6B5">
      <w:pPr>
        <w:spacing w:line="460" w:lineRule="exact"/>
        <w:ind w:firstLine="480"/>
        <w:rPr>
          <w:rFonts w:hint="eastAsia" w:ascii="仿宋" w:hAnsi="仿宋" w:eastAsia="仿宋" w:cs="仿宋"/>
        </w:rPr>
      </w:pPr>
      <w:r>
        <w:rPr>
          <w:rFonts w:hint="eastAsia" w:ascii="仿宋" w:hAnsi="仿宋" w:eastAsia="仿宋" w:cs="仿宋"/>
        </w:rPr>
        <w:t>(1)采购文件</w:t>
      </w:r>
    </w:p>
    <w:p w14:paraId="0B67773A">
      <w:pPr>
        <w:spacing w:line="460" w:lineRule="exact"/>
        <w:ind w:firstLine="480"/>
        <w:rPr>
          <w:rFonts w:hint="eastAsia" w:ascii="仿宋" w:hAnsi="仿宋" w:eastAsia="仿宋" w:cs="仿宋"/>
        </w:rPr>
      </w:pPr>
      <w:r>
        <w:rPr>
          <w:rFonts w:hint="eastAsia" w:ascii="仿宋" w:hAnsi="仿宋" w:eastAsia="仿宋" w:cs="仿宋"/>
        </w:rPr>
        <w:t>(2)合同条款</w:t>
      </w:r>
    </w:p>
    <w:p w14:paraId="434051A5">
      <w:pPr>
        <w:spacing w:line="460" w:lineRule="exact"/>
        <w:ind w:firstLine="480"/>
        <w:rPr>
          <w:rFonts w:hint="eastAsia" w:ascii="仿宋" w:hAnsi="仿宋" w:eastAsia="仿宋" w:cs="仿宋"/>
        </w:rPr>
      </w:pPr>
      <w:r>
        <w:rPr>
          <w:rFonts w:hint="eastAsia" w:ascii="仿宋" w:hAnsi="仿宋" w:eastAsia="仿宋" w:cs="仿宋"/>
        </w:rPr>
        <w:t>(3)中标人提交的响应文件</w:t>
      </w:r>
    </w:p>
    <w:p w14:paraId="71635A2E">
      <w:pPr>
        <w:spacing w:line="460" w:lineRule="exact"/>
        <w:ind w:firstLine="480"/>
        <w:rPr>
          <w:rFonts w:hint="eastAsia" w:ascii="仿宋" w:hAnsi="仿宋" w:eastAsia="仿宋" w:cs="仿宋"/>
        </w:rPr>
      </w:pPr>
      <w:r>
        <w:rPr>
          <w:rFonts w:hint="eastAsia" w:ascii="仿宋" w:hAnsi="仿宋" w:eastAsia="仿宋" w:cs="仿宋"/>
        </w:rPr>
        <w:t>(4)技术规格 (包括图纸，如果有的话)</w:t>
      </w:r>
    </w:p>
    <w:p w14:paraId="03B252D5">
      <w:pPr>
        <w:spacing w:line="460" w:lineRule="exact"/>
        <w:ind w:firstLine="480"/>
        <w:rPr>
          <w:rFonts w:hint="eastAsia" w:ascii="仿宋" w:hAnsi="仿宋" w:eastAsia="仿宋" w:cs="仿宋"/>
        </w:rPr>
      </w:pPr>
      <w:r>
        <w:rPr>
          <w:rFonts w:hint="eastAsia" w:ascii="仿宋" w:hAnsi="仿宋" w:eastAsia="仿宋" w:cs="仿宋"/>
        </w:rPr>
        <w:t>(5)中标/成交通知书</w:t>
      </w:r>
    </w:p>
    <w:p w14:paraId="72555965">
      <w:pPr>
        <w:spacing w:line="460" w:lineRule="exact"/>
        <w:ind w:firstLine="482"/>
        <w:rPr>
          <w:rFonts w:hint="eastAsia" w:ascii="仿宋" w:hAnsi="仿宋" w:eastAsia="仿宋" w:cs="仿宋"/>
          <w:b/>
          <w:bCs/>
        </w:rPr>
      </w:pPr>
      <w:r>
        <w:rPr>
          <w:rFonts w:hint="eastAsia" w:ascii="仿宋" w:hAnsi="仿宋" w:eastAsia="仿宋" w:cs="仿宋"/>
          <w:b/>
          <w:bCs/>
        </w:rPr>
        <w:t>2．合同范围和条件</w:t>
      </w:r>
    </w:p>
    <w:p w14:paraId="1228275E">
      <w:pPr>
        <w:spacing w:line="460" w:lineRule="exact"/>
        <w:ind w:firstLine="480"/>
        <w:rPr>
          <w:rFonts w:hint="eastAsia" w:ascii="仿宋" w:hAnsi="仿宋" w:eastAsia="仿宋" w:cs="仿宋"/>
        </w:rPr>
      </w:pPr>
      <w:r>
        <w:rPr>
          <w:rFonts w:hint="eastAsia" w:ascii="仿宋" w:hAnsi="仿宋" w:eastAsia="仿宋" w:cs="仿宋"/>
        </w:rPr>
        <w:t>本合同的范围和条件与上述文件的规定相一致。</w:t>
      </w:r>
    </w:p>
    <w:p w14:paraId="6E826973">
      <w:pPr>
        <w:spacing w:line="460" w:lineRule="exact"/>
        <w:ind w:firstLine="482"/>
        <w:rPr>
          <w:rFonts w:hint="eastAsia" w:ascii="仿宋" w:hAnsi="仿宋" w:eastAsia="仿宋" w:cs="仿宋"/>
          <w:b/>
          <w:bCs/>
        </w:rPr>
      </w:pPr>
      <w:r>
        <w:rPr>
          <w:rFonts w:hint="eastAsia" w:ascii="仿宋" w:hAnsi="仿宋" w:eastAsia="仿宋" w:cs="仿宋"/>
          <w:b/>
          <w:bCs/>
        </w:rPr>
        <w:t>3．货物及数量</w:t>
      </w:r>
    </w:p>
    <w:p w14:paraId="090662B3">
      <w:pPr>
        <w:spacing w:line="460" w:lineRule="exact"/>
        <w:ind w:firstLine="480"/>
        <w:rPr>
          <w:rFonts w:hint="eastAsia" w:ascii="仿宋" w:hAnsi="仿宋" w:eastAsia="仿宋" w:cs="仿宋"/>
        </w:rPr>
      </w:pPr>
      <w:r>
        <w:rPr>
          <w:rFonts w:hint="eastAsia" w:ascii="仿宋" w:hAnsi="仿宋" w:eastAsia="仿宋" w:cs="仿宋"/>
        </w:rPr>
        <w:t>本合同所提供的货物数量/服务详见磋商文件“第三章采购项目 技术规格、参数及要求”。</w:t>
      </w:r>
    </w:p>
    <w:p w14:paraId="4FA47A28">
      <w:pPr>
        <w:spacing w:line="460" w:lineRule="exact"/>
        <w:ind w:firstLine="482"/>
        <w:rPr>
          <w:rFonts w:hint="eastAsia" w:ascii="仿宋" w:hAnsi="仿宋" w:eastAsia="仿宋" w:cs="仿宋"/>
          <w:b/>
          <w:bCs/>
        </w:rPr>
      </w:pPr>
      <w:r>
        <w:rPr>
          <w:rFonts w:hint="eastAsia" w:ascii="仿宋" w:hAnsi="仿宋" w:eastAsia="仿宋" w:cs="仿宋"/>
          <w:b/>
          <w:bCs/>
        </w:rPr>
        <w:t>4．合同金额</w:t>
      </w:r>
    </w:p>
    <w:p w14:paraId="24115305">
      <w:pPr>
        <w:spacing w:line="460" w:lineRule="exact"/>
        <w:ind w:firstLine="480"/>
        <w:rPr>
          <w:rFonts w:hint="eastAsia" w:ascii="仿宋" w:hAnsi="仿宋" w:eastAsia="仿宋" w:cs="仿宋"/>
        </w:rPr>
      </w:pPr>
      <w:r>
        <w:rPr>
          <w:rFonts w:hint="eastAsia" w:ascii="仿宋" w:hAnsi="仿宋" w:eastAsia="仿宋" w:cs="仿宋"/>
        </w:rPr>
        <w:t>合同总金额为元人民币，分项价格见响应文件按报价明细表。</w:t>
      </w:r>
    </w:p>
    <w:p w14:paraId="79F1D6EA">
      <w:pPr>
        <w:spacing w:line="460" w:lineRule="exact"/>
        <w:ind w:firstLine="482"/>
        <w:rPr>
          <w:rFonts w:hint="eastAsia" w:ascii="仿宋" w:hAnsi="仿宋" w:eastAsia="仿宋" w:cs="仿宋"/>
          <w:b/>
          <w:bCs/>
        </w:rPr>
      </w:pPr>
      <w:r>
        <w:rPr>
          <w:rFonts w:hint="eastAsia" w:ascii="仿宋" w:hAnsi="仿宋" w:eastAsia="仿宋" w:cs="仿宋"/>
          <w:b/>
          <w:bCs/>
        </w:rPr>
        <w:t>5．合同生效及支付条件和方式</w:t>
      </w:r>
    </w:p>
    <w:p w14:paraId="3CB2DEBA">
      <w:pPr>
        <w:spacing w:line="460" w:lineRule="exact"/>
        <w:ind w:firstLine="482"/>
        <w:rPr>
          <w:rFonts w:hint="eastAsia" w:ascii="仿宋" w:hAnsi="仿宋" w:eastAsia="仿宋" w:cs="仿宋"/>
          <w:b/>
          <w:bCs/>
        </w:rPr>
      </w:pPr>
      <w:r>
        <w:rPr>
          <w:rFonts w:hint="eastAsia" w:ascii="仿宋" w:hAnsi="仿宋" w:eastAsia="仿宋" w:cs="仿宋"/>
          <w:b/>
          <w:bCs/>
        </w:rPr>
        <w:t>6．交货时间和交货地点</w:t>
      </w:r>
    </w:p>
    <w:p w14:paraId="73F75766">
      <w:pPr>
        <w:spacing w:line="460" w:lineRule="exact"/>
        <w:ind w:firstLine="480"/>
        <w:rPr>
          <w:rFonts w:hint="eastAsia" w:ascii="仿宋" w:hAnsi="仿宋" w:eastAsia="仿宋" w:cs="仿宋"/>
        </w:rPr>
      </w:pPr>
      <w:r>
        <w:rPr>
          <w:rFonts w:hint="eastAsia" w:ascii="仿宋" w:hAnsi="仿宋" w:eastAsia="仿宋" w:cs="仿宋"/>
        </w:rPr>
        <w:t>本合同货物的交货时间和交货地点按磋商文件“第三章 采购需求”执行。</w:t>
      </w:r>
    </w:p>
    <w:p w14:paraId="47AFE987">
      <w:pPr>
        <w:spacing w:line="460" w:lineRule="exact"/>
        <w:ind w:firstLine="480"/>
        <w:rPr>
          <w:rFonts w:hint="eastAsia" w:ascii="仿宋" w:hAnsi="仿宋" w:eastAsia="仿宋" w:cs="仿宋"/>
        </w:rPr>
      </w:pPr>
      <w:r>
        <w:rPr>
          <w:rFonts w:hint="eastAsia" w:ascii="仿宋" w:hAnsi="仿宋" w:eastAsia="仿宋" w:cs="仿宋"/>
        </w:rPr>
        <w:t>采购人 (盖章) ：                          供    方 (盖章) ：</w:t>
      </w:r>
    </w:p>
    <w:p w14:paraId="5A01FF6B">
      <w:pPr>
        <w:spacing w:line="460" w:lineRule="exact"/>
        <w:ind w:firstLine="480"/>
        <w:rPr>
          <w:rFonts w:hint="eastAsia" w:ascii="仿宋" w:hAnsi="仿宋" w:eastAsia="仿宋" w:cs="仿宋"/>
        </w:rPr>
      </w:pPr>
      <w:r>
        <w:rPr>
          <w:rFonts w:hint="eastAsia" w:ascii="仿宋" w:hAnsi="仿宋" w:eastAsia="仿宋" w:cs="仿宋"/>
        </w:rPr>
        <w:t>单位地址：                                        单位地址：</w:t>
      </w:r>
    </w:p>
    <w:p w14:paraId="1DA3C616">
      <w:pPr>
        <w:spacing w:line="460" w:lineRule="exact"/>
        <w:ind w:firstLine="480"/>
        <w:rPr>
          <w:rFonts w:hint="eastAsia" w:ascii="仿宋" w:hAnsi="仿宋" w:eastAsia="仿宋" w:cs="仿宋"/>
        </w:rPr>
      </w:pPr>
      <w:r>
        <w:rPr>
          <w:rFonts w:hint="eastAsia" w:ascii="仿宋" w:hAnsi="仿宋" w:eastAsia="仿宋" w:cs="仿宋"/>
        </w:rPr>
        <w:t>法人代表授权人(签字)：               法人代表授权人(签 字)：</w:t>
      </w:r>
    </w:p>
    <w:p w14:paraId="2AD4911D">
      <w:pPr>
        <w:spacing w:line="460" w:lineRule="exact"/>
        <w:ind w:firstLine="480"/>
        <w:rPr>
          <w:rFonts w:hint="eastAsia" w:ascii="仿宋" w:hAnsi="仿宋" w:eastAsia="仿宋" w:cs="仿宋"/>
        </w:rPr>
      </w:pPr>
      <w:r>
        <w:rPr>
          <w:rFonts w:hint="eastAsia" w:ascii="仿宋" w:hAnsi="仿宋" w:eastAsia="仿宋" w:cs="仿宋"/>
        </w:rPr>
        <w:t>联 系 人 ：                                       联 系 人：</w:t>
      </w:r>
    </w:p>
    <w:p w14:paraId="0359D092">
      <w:pPr>
        <w:spacing w:line="460" w:lineRule="exact"/>
        <w:ind w:firstLine="480"/>
        <w:rPr>
          <w:rFonts w:hint="eastAsia" w:ascii="仿宋" w:hAnsi="仿宋" w:eastAsia="仿宋" w:cs="仿宋"/>
        </w:rPr>
      </w:pPr>
      <w:r>
        <w:rPr>
          <w:rFonts w:hint="eastAsia" w:ascii="仿宋" w:hAnsi="仿宋" w:eastAsia="仿宋" w:cs="仿宋"/>
        </w:rPr>
        <w:t>电    话 ：                                       电    话：</w:t>
      </w:r>
    </w:p>
    <w:p w14:paraId="0A22D32E">
      <w:pPr>
        <w:spacing w:line="460" w:lineRule="exact"/>
        <w:ind w:firstLine="480"/>
        <w:rPr>
          <w:rFonts w:hint="eastAsia" w:ascii="仿宋" w:hAnsi="仿宋" w:eastAsia="仿宋" w:cs="仿宋"/>
        </w:rPr>
        <w:sectPr>
          <w:pgSz w:w="11906" w:h="16839"/>
          <w:pgMar w:top="1440" w:right="1080" w:bottom="1440" w:left="1080" w:header="0" w:footer="994" w:gutter="0"/>
          <w:cols w:space="720" w:num="1"/>
        </w:sectPr>
      </w:pPr>
    </w:p>
    <w:p w14:paraId="66537EAB">
      <w:pPr>
        <w:spacing w:line="460" w:lineRule="exact"/>
        <w:ind w:firstLine="480"/>
        <w:rPr>
          <w:rFonts w:hint="eastAsia" w:ascii="仿宋" w:hAnsi="仿宋" w:eastAsia="仿宋" w:cs="仿宋"/>
        </w:rPr>
      </w:pPr>
      <w:r>
        <w:rPr>
          <w:rFonts w:hint="eastAsia" w:ascii="仿宋" w:hAnsi="仿宋" w:eastAsia="仿宋" w:cs="仿宋"/>
        </w:rPr>
        <w:t xml:space="preserve">传    真： </w:t>
      </w:r>
    </w:p>
    <w:p w14:paraId="5B1177C1">
      <w:pPr>
        <w:spacing w:line="460" w:lineRule="exact"/>
        <w:ind w:firstLine="480"/>
        <w:rPr>
          <w:rFonts w:hint="eastAsia" w:ascii="仿宋" w:hAnsi="仿宋" w:eastAsia="仿宋" w:cs="仿宋"/>
        </w:rPr>
      </w:pPr>
      <w:r>
        <w:rPr>
          <w:rFonts w:hint="eastAsia" w:ascii="仿宋" w:hAnsi="仿宋" w:eastAsia="仿宋" w:cs="仿宋"/>
        </w:rPr>
        <w:t>邮政编码：</w:t>
      </w:r>
    </w:p>
    <w:p w14:paraId="44F8E5E6">
      <w:pPr>
        <w:spacing w:line="460" w:lineRule="exact"/>
        <w:ind w:firstLine="480"/>
        <w:rPr>
          <w:rFonts w:hint="eastAsia" w:ascii="仿宋" w:hAnsi="仿宋" w:eastAsia="仿宋" w:cs="仿宋"/>
        </w:rPr>
      </w:pPr>
      <w:r>
        <w:rPr>
          <w:rFonts w:hint="eastAsia" w:ascii="仿宋" w:hAnsi="仿宋" w:eastAsia="仿宋" w:cs="仿宋"/>
        </w:rPr>
        <w:t>开户银行：</w:t>
      </w:r>
    </w:p>
    <w:p w14:paraId="74AAA274">
      <w:pPr>
        <w:spacing w:line="460" w:lineRule="exact"/>
        <w:ind w:firstLine="480"/>
        <w:rPr>
          <w:rFonts w:hint="eastAsia" w:ascii="仿宋" w:hAnsi="仿宋" w:eastAsia="仿宋" w:cs="仿宋"/>
        </w:rPr>
      </w:pPr>
      <w:r>
        <w:rPr>
          <w:rFonts w:hint="eastAsia" w:ascii="仿宋" w:hAnsi="仿宋" w:eastAsia="仿宋" w:cs="仿宋"/>
        </w:rPr>
        <w:t>帐    号：</w:t>
      </w:r>
    </w:p>
    <w:p w14:paraId="712CE9CE">
      <w:pPr>
        <w:spacing w:line="460" w:lineRule="exact"/>
        <w:ind w:firstLine="0" w:firstLineChars="0"/>
        <w:rPr>
          <w:rFonts w:hint="eastAsia" w:ascii="仿宋" w:hAnsi="仿宋" w:eastAsia="仿宋" w:cs="仿宋"/>
        </w:rPr>
      </w:pPr>
      <w:r>
        <w:rPr>
          <w:rFonts w:hint="eastAsia" w:ascii="仿宋" w:hAnsi="仿宋" w:eastAsia="仿宋" w:cs="仿宋"/>
        </w:rPr>
        <w:br w:type="column"/>
      </w:r>
      <w:r>
        <w:rPr>
          <w:rFonts w:hint="eastAsia" w:ascii="仿宋" w:hAnsi="仿宋" w:eastAsia="仿宋" w:cs="仿宋"/>
        </w:rPr>
        <w:t xml:space="preserve">    传    真：</w:t>
      </w:r>
    </w:p>
    <w:p w14:paraId="4CC9E847">
      <w:pPr>
        <w:spacing w:line="460" w:lineRule="exact"/>
        <w:ind w:firstLine="480"/>
        <w:rPr>
          <w:rFonts w:hint="eastAsia" w:ascii="仿宋" w:hAnsi="仿宋" w:eastAsia="仿宋" w:cs="仿宋"/>
        </w:rPr>
      </w:pPr>
      <w:r>
        <w:rPr>
          <w:rFonts w:hint="eastAsia" w:ascii="仿宋" w:hAnsi="仿宋" w:eastAsia="仿宋" w:cs="仿宋"/>
        </w:rPr>
        <w:t>邮政编码：</w:t>
      </w:r>
    </w:p>
    <w:p w14:paraId="1D221025">
      <w:pPr>
        <w:spacing w:line="460" w:lineRule="exact"/>
        <w:ind w:firstLine="480"/>
        <w:rPr>
          <w:rFonts w:hint="eastAsia" w:ascii="仿宋" w:hAnsi="仿宋" w:eastAsia="仿宋" w:cs="仿宋"/>
        </w:rPr>
      </w:pPr>
      <w:r>
        <w:rPr>
          <w:rFonts w:hint="eastAsia" w:ascii="仿宋" w:hAnsi="仿宋" w:eastAsia="仿宋" w:cs="仿宋"/>
        </w:rPr>
        <w:t>开户银行：</w:t>
      </w:r>
    </w:p>
    <w:p w14:paraId="6D54B696">
      <w:pPr>
        <w:spacing w:line="460" w:lineRule="exact"/>
        <w:ind w:firstLine="480"/>
        <w:rPr>
          <w:rFonts w:hint="eastAsia" w:ascii="仿宋" w:hAnsi="仿宋" w:eastAsia="仿宋" w:cs="仿宋"/>
        </w:rPr>
      </w:pPr>
      <w:r>
        <w:rPr>
          <w:rFonts w:hint="eastAsia" w:ascii="仿宋" w:hAnsi="仿宋" w:eastAsia="仿宋" w:cs="仿宋"/>
        </w:rPr>
        <w:t>帐    号：</w:t>
      </w:r>
    </w:p>
    <w:p w14:paraId="75002CB6">
      <w:pPr>
        <w:spacing w:line="460" w:lineRule="exact"/>
        <w:ind w:firstLine="480"/>
        <w:rPr>
          <w:rFonts w:hint="eastAsia" w:ascii="仿宋" w:hAnsi="仿宋" w:eastAsia="仿宋" w:cs="仿宋"/>
        </w:rPr>
        <w:sectPr>
          <w:footerReference r:id="rId10" w:type="default"/>
          <w:type w:val="continuous"/>
          <w:pgSz w:w="11906" w:h="16839"/>
          <w:pgMar w:top="1440" w:right="1080" w:bottom="1440" w:left="1080" w:header="0" w:footer="994" w:gutter="0"/>
          <w:cols w:equalWidth="0" w:num="2">
            <w:col w:w="5948" w:space="100"/>
            <w:col w:w="3698"/>
          </w:cols>
        </w:sectPr>
      </w:pPr>
    </w:p>
    <w:p w14:paraId="1CB2EC14">
      <w:pPr>
        <w:spacing w:line="460" w:lineRule="exact"/>
        <w:ind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合 同 条 款</w:t>
      </w:r>
    </w:p>
    <w:p w14:paraId="76D50596">
      <w:pPr>
        <w:spacing w:line="460" w:lineRule="exact"/>
        <w:ind w:firstLine="482"/>
        <w:rPr>
          <w:rFonts w:hint="eastAsia" w:ascii="仿宋" w:hAnsi="仿宋" w:eastAsia="仿宋" w:cs="仿宋"/>
          <w:b/>
          <w:bCs/>
        </w:rPr>
      </w:pPr>
      <w:r>
        <w:rPr>
          <w:rFonts w:hint="eastAsia" w:ascii="仿宋" w:hAnsi="仿宋" w:eastAsia="仿宋" w:cs="仿宋"/>
          <w:b/>
          <w:bCs/>
        </w:rPr>
        <w:t>1．有关概念</w:t>
      </w:r>
    </w:p>
    <w:p w14:paraId="2AF494BF">
      <w:pPr>
        <w:spacing w:line="460" w:lineRule="exact"/>
        <w:ind w:firstLine="480"/>
        <w:rPr>
          <w:rFonts w:hint="eastAsia" w:ascii="仿宋" w:hAnsi="仿宋" w:eastAsia="仿宋" w:cs="仿宋"/>
        </w:rPr>
      </w:pPr>
      <w:r>
        <w:rPr>
          <w:rFonts w:hint="eastAsia" w:ascii="仿宋" w:hAnsi="仿宋" w:eastAsia="仿宋" w:cs="仿宋"/>
        </w:rPr>
        <w:t>本合同下列术语应解释为：</w:t>
      </w:r>
    </w:p>
    <w:p w14:paraId="1540154D">
      <w:pPr>
        <w:spacing w:line="460" w:lineRule="exact"/>
        <w:ind w:firstLine="480"/>
        <w:rPr>
          <w:rFonts w:hint="eastAsia" w:ascii="仿宋" w:hAnsi="仿宋" w:eastAsia="仿宋" w:cs="仿宋"/>
        </w:rPr>
      </w:pPr>
      <w:r>
        <w:rPr>
          <w:rFonts w:hint="eastAsia" w:ascii="仿宋" w:hAnsi="仿宋" w:eastAsia="仿宋" w:cs="仿宋"/>
        </w:rPr>
        <w:t>1.1“合同”，系指买供双方签署的、合同格式中载明的买供双方所达 成的协议，包括所有的附件、附录和上述文件所提到的构成合同 的所有文件。</w:t>
      </w:r>
    </w:p>
    <w:p w14:paraId="1731CAA7">
      <w:pPr>
        <w:spacing w:line="460" w:lineRule="exact"/>
        <w:ind w:firstLine="480"/>
        <w:rPr>
          <w:rFonts w:hint="eastAsia" w:ascii="仿宋" w:hAnsi="仿宋" w:eastAsia="仿宋" w:cs="仿宋"/>
        </w:rPr>
      </w:pPr>
      <w:r>
        <w:rPr>
          <w:rFonts w:hint="eastAsia" w:ascii="仿宋" w:hAnsi="仿宋" w:eastAsia="仿宋" w:cs="仿宋"/>
        </w:rPr>
        <w:t>1.2“合同价”，系指根据合同规定供方在正确地履行合同义务后采购 人应支付给供方的价格。</w:t>
      </w:r>
    </w:p>
    <w:p w14:paraId="325A59FD">
      <w:pPr>
        <w:spacing w:line="460" w:lineRule="exact"/>
        <w:ind w:firstLine="480"/>
        <w:rPr>
          <w:rFonts w:hint="eastAsia" w:ascii="仿宋" w:hAnsi="仿宋" w:eastAsia="仿宋" w:cs="仿宋"/>
        </w:rPr>
      </w:pPr>
      <w:r>
        <w:rPr>
          <w:rFonts w:hint="eastAsia" w:ascii="仿宋" w:hAnsi="仿宋" w:eastAsia="仿宋" w:cs="仿宋"/>
        </w:rPr>
        <w:t>1.3“货物”，系指供方根据合同规定须向采购人提供的各种形态和种 类的物品，包括产品、设备、配件等。</w:t>
      </w:r>
    </w:p>
    <w:p w14:paraId="0A04898D">
      <w:pPr>
        <w:spacing w:line="460" w:lineRule="exact"/>
        <w:ind w:firstLine="480"/>
        <w:rPr>
          <w:rFonts w:hint="eastAsia" w:ascii="仿宋" w:hAnsi="仿宋" w:eastAsia="仿宋" w:cs="仿宋"/>
        </w:rPr>
      </w:pPr>
      <w:r>
        <w:rPr>
          <w:rFonts w:hint="eastAsia" w:ascii="仿宋" w:hAnsi="仿宋" w:eastAsia="仿宋" w:cs="仿宋"/>
        </w:rPr>
        <w:t>1.4“服务”，系指伴随本项目产生的，根据合同规定由供方承担的与 供货有关的辅助服务，例如安装、调试、技术援助、培训、售后 服务等以及合同中规定供方应承担的所有其它类似义务。</w:t>
      </w:r>
    </w:p>
    <w:p w14:paraId="554FC6C2">
      <w:pPr>
        <w:spacing w:line="460" w:lineRule="exact"/>
        <w:ind w:firstLine="480"/>
        <w:rPr>
          <w:rFonts w:hint="eastAsia" w:ascii="仿宋" w:hAnsi="仿宋" w:eastAsia="仿宋" w:cs="仿宋"/>
        </w:rPr>
      </w:pPr>
      <w:r>
        <w:rPr>
          <w:rFonts w:hint="eastAsia" w:ascii="仿宋" w:hAnsi="仿宋" w:eastAsia="仿宋" w:cs="仿宋"/>
        </w:rPr>
        <w:t>1.5“采购人”，系指磋商文件中所述购买货物和服务的单位。</w:t>
      </w:r>
    </w:p>
    <w:p w14:paraId="2C22F3CA">
      <w:pPr>
        <w:spacing w:line="460" w:lineRule="exact"/>
        <w:ind w:firstLine="480"/>
        <w:rPr>
          <w:rFonts w:hint="eastAsia" w:ascii="仿宋" w:hAnsi="仿宋" w:eastAsia="仿宋" w:cs="仿宋"/>
        </w:rPr>
      </w:pPr>
      <w:r>
        <w:rPr>
          <w:rFonts w:hint="eastAsia" w:ascii="仿宋" w:hAnsi="仿宋" w:eastAsia="仿宋" w:cs="仿宋"/>
        </w:rPr>
        <w:t>1.6“供方”，系指磋商文件中所述提供货物和服务的公司或实体，亦 即中标人。</w:t>
      </w:r>
    </w:p>
    <w:p w14:paraId="236F3525">
      <w:pPr>
        <w:spacing w:line="460" w:lineRule="exact"/>
        <w:ind w:firstLine="480"/>
        <w:rPr>
          <w:rFonts w:hint="eastAsia" w:ascii="仿宋" w:hAnsi="仿宋" w:eastAsia="仿宋" w:cs="仿宋"/>
        </w:rPr>
      </w:pPr>
      <w:r>
        <w:rPr>
          <w:rFonts w:hint="eastAsia" w:ascii="仿宋" w:hAnsi="仿宋" w:eastAsia="仿宋" w:cs="仿宋"/>
        </w:rPr>
        <w:t>1.7“天”，系日历天数。</w:t>
      </w:r>
    </w:p>
    <w:p w14:paraId="0390D324">
      <w:pPr>
        <w:spacing w:line="460" w:lineRule="exact"/>
        <w:ind w:firstLine="482"/>
        <w:rPr>
          <w:rFonts w:hint="eastAsia" w:ascii="仿宋" w:hAnsi="仿宋" w:eastAsia="仿宋" w:cs="仿宋"/>
          <w:b/>
          <w:bCs/>
        </w:rPr>
      </w:pPr>
      <w:r>
        <w:rPr>
          <w:rFonts w:hint="eastAsia" w:ascii="仿宋" w:hAnsi="仿宋" w:eastAsia="仿宋" w:cs="仿宋"/>
          <w:b/>
          <w:bCs/>
        </w:rPr>
        <w:t>2．技术规格</w:t>
      </w:r>
    </w:p>
    <w:p w14:paraId="5BA42939">
      <w:pPr>
        <w:spacing w:line="460" w:lineRule="exact"/>
        <w:ind w:firstLine="480"/>
        <w:rPr>
          <w:rFonts w:hint="eastAsia" w:ascii="仿宋" w:hAnsi="仿宋" w:eastAsia="仿宋" w:cs="仿宋"/>
        </w:rPr>
      </w:pPr>
      <w:r>
        <w:rPr>
          <w:rFonts w:hint="eastAsia" w:ascii="仿宋" w:hAnsi="仿宋" w:eastAsia="仿宋" w:cs="仿宋"/>
        </w:rPr>
        <w:t>2.1 交付货物的技术规格应与响应文件规定的技术规格以及所附的技 术规格响应表相一致。</w:t>
      </w:r>
    </w:p>
    <w:p w14:paraId="1D976F55">
      <w:pPr>
        <w:spacing w:line="460" w:lineRule="exact"/>
        <w:ind w:firstLine="480"/>
        <w:rPr>
          <w:rFonts w:hint="eastAsia" w:ascii="仿宋" w:hAnsi="仿宋" w:eastAsia="仿宋" w:cs="仿宋"/>
        </w:rPr>
      </w:pPr>
      <w:r>
        <w:rPr>
          <w:rFonts w:hint="eastAsia" w:ascii="仿宋" w:hAnsi="仿宋" w:eastAsia="仿宋" w:cs="仿宋"/>
        </w:rPr>
        <w:t>2.2 除技术规格另有规定外，计量单位均使用中华人民共和国法定计 量单位。</w:t>
      </w:r>
    </w:p>
    <w:p w14:paraId="1E31DD8A">
      <w:pPr>
        <w:spacing w:line="460" w:lineRule="exact"/>
        <w:ind w:firstLine="482"/>
        <w:rPr>
          <w:rFonts w:hint="eastAsia" w:ascii="仿宋" w:hAnsi="仿宋" w:eastAsia="仿宋" w:cs="仿宋"/>
          <w:b/>
          <w:bCs/>
        </w:rPr>
      </w:pPr>
      <w:r>
        <w:rPr>
          <w:rFonts w:hint="eastAsia" w:ascii="仿宋" w:hAnsi="仿宋" w:eastAsia="仿宋" w:cs="仿宋"/>
          <w:b/>
          <w:bCs/>
        </w:rPr>
        <w:t>3．专利权</w:t>
      </w:r>
    </w:p>
    <w:p w14:paraId="208353F5">
      <w:pPr>
        <w:spacing w:line="460" w:lineRule="exact"/>
        <w:ind w:firstLine="480"/>
        <w:rPr>
          <w:rFonts w:hint="eastAsia" w:ascii="仿宋" w:hAnsi="仿宋" w:eastAsia="仿宋" w:cs="仿宋"/>
        </w:rPr>
      </w:pPr>
      <w:r>
        <w:rPr>
          <w:rFonts w:hint="eastAsia" w:ascii="仿宋" w:hAnsi="仿宋" w:eastAsia="仿宋" w:cs="仿宋"/>
        </w:rPr>
        <w:t>3.1 供方应保证采购人在使用该货物或其任何一部分时免受第三方提 出侵犯其专利权、商标权或工业设计权的起诉。若由此出现侵权 诉讼，由供方承担全部责任。</w:t>
      </w:r>
    </w:p>
    <w:p w14:paraId="3B5E0925">
      <w:pPr>
        <w:spacing w:line="460" w:lineRule="exact"/>
        <w:ind w:firstLine="480"/>
        <w:rPr>
          <w:rFonts w:hint="eastAsia" w:ascii="仿宋" w:hAnsi="仿宋" w:eastAsia="仿宋" w:cs="仿宋"/>
        </w:rPr>
      </w:pPr>
      <w:r>
        <w:rPr>
          <w:rFonts w:hint="eastAsia" w:ascii="仿宋" w:hAnsi="仿宋" w:eastAsia="仿宋" w:cs="仿宋"/>
        </w:rPr>
        <w:t>3.2 供方按合同要求为采购人提交的设计方案，其所有权、使用权等 所有权力均转为采购人所拥有，供方放弃拥有关于设计方案的所 有权力。</w:t>
      </w:r>
    </w:p>
    <w:p w14:paraId="38DFAB5C">
      <w:pPr>
        <w:spacing w:line="460" w:lineRule="exact"/>
        <w:ind w:firstLine="482"/>
        <w:rPr>
          <w:rFonts w:hint="eastAsia" w:ascii="仿宋" w:hAnsi="仿宋" w:eastAsia="仿宋" w:cs="仿宋"/>
          <w:b/>
          <w:bCs/>
        </w:rPr>
      </w:pPr>
      <w:r>
        <w:rPr>
          <w:rFonts w:hint="eastAsia" w:ascii="仿宋" w:hAnsi="仿宋" w:eastAsia="仿宋" w:cs="仿宋"/>
          <w:b/>
          <w:bCs/>
        </w:rPr>
        <w:t>4.包装要求</w:t>
      </w:r>
    </w:p>
    <w:p w14:paraId="63B5C17F">
      <w:pPr>
        <w:spacing w:line="460" w:lineRule="exact"/>
        <w:ind w:firstLine="480"/>
        <w:rPr>
          <w:rFonts w:hint="eastAsia" w:ascii="仿宋" w:hAnsi="仿宋" w:eastAsia="仿宋" w:cs="仿宋"/>
        </w:rPr>
      </w:pPr>
      <w:r>
        <w:rPr>
          <w:rFonts w:hint="eastAsia" w:ascii="仿宋" w:hAnsi="仿宋" w:eastAsia="仿宋" w:cs="仿宋"/>
        </w:rPr>
        <w:t>4.1 除合同另有规定外，供方提供的所有单独包装的货物都应具有原 始的、完好的标准包装。如遇交付前已拆封货物，采购人有权拒 绝接受或要求更换。</w:t>
      </w:r>
    </w:p>
    <w:p w14:paraId="2A52F9EF">
      <w:pPr>
        <w:spacing w:line="460" w:lineRule="exact"/>
        <w:ind w:firstLine="480"/>
        <w:rPr>
          <w:rFonts w:hint="eastAsia" w:ascii="仿宋" w:hAnsi="仿宋" w:eastAsia="仿宋" w:cs="仿宋"/>
        </w:rPr>
      </w:pPr>
      <w:r>
        <w:rPr>
          <w:rFonts w:hint="eastAsia" w:ascii="仿宋" w:hAnsi="仿宋" w:eastAsia="仿宋" w:cs="仿宋"/>
        </w:rPr>
        <w:t>4.2 每个包装箱内的装箱清单、使用说明书、质量证书、保修卡及软 件使用说明等所有资料均须齐全。</w:t>
      </w:r>
    </w:p>
    <w:p w14:paraId="652FC085">
      <w:pPr>
        <w:spacing w:line="460" w:lineRule="exact"/>
        <w:ind w:firstLine="482"/>
        <w:rPr>
          <w:rFonts w:hint="eastAsia" w:ascii="仿宋" w:hAnsi="仿宋" w:eastAsia="仿宋" w:cs="仿宋"/>
          <w:b/>
          <w:bCs/>
        </w:rPr>
      </w:pPr>
      <w:r>
        <w:rPr>
          <w:rFonts w:hint="eastAsia" w:ascii="仿宋" w:hAnsi="仿宋" w:eastAsia="仿宋" w:cs="仿宋"/>
          <w:b/>
          <w:bCs/>
        </w:rPr>
        <w:t>5. 装运条件</w:t>
      </w:r>
    </w:p>
    <w:p w14:paraId="5EDCFA7E">
      <w:pPr>
        <w:spacing w:line="460" w:lineRule="exact"/>
        <w:ind w:firstLine="480"/>
        <w:rPr>
          <w:rFonts w:hint="eastAsia" w:ascii="仿宋" w:hAnsi="仿宋" w:eastAsia="仿宋" w:cs="仿宋"/>
        </w:rPr>
      </w:pPr>
      <w:r>
        <w:rPr>
          <w:rFonts w:hint="eastAsia" w:ascii="仿宋" w:hAnsi="仿宋" w:eastAsia="仿宋" w:cs="仿宋"/>
        </w:rPr>
        <w:t>5.1 供方负责安排运输，运输费由供方承担。</w:t>
      </w:r>
    </w:p>
    <w:p w14:paraId="7B74EA55">
      <w:pPr>
        <w:spacing w:line="460" w:lineRule="exact"/>
        <w:ind w:firstLine="480"/>
        <w:rPr>
          <w:rFonts w:hint="eastAsia" w:ascii="仿宋" w:hAnsi="仿宋" w:eastAsia="仿宋" w:cs="仿宋"/>
        </w:rPr>
      </w:pPr>
      <w:r>
        <w:rPr>
          <w:rFonts w:hint="eastAsia" w:ascii="仿宋" w:hAnsi="仿宋" w:eastAsia="仿宋" w:cs="仿宋"/>
        </w:rPr>
        <w:t>5.2 提单日期应视为实际交货日期。</w:t>
      </w:r>
    </w:p>
    <w:p w14:paraId="530434DD">
      <w:pPr>
        <w:spacing w:line="460" w:lineRule="exact"/>
        <w:ind w:firstLine="480"/>
        <w:rPr>
          <w:rFonts w:hint="eastAsia" w:ascii="仿宋" w:hAnsi="仿宋" w:eastAsia="仿宋" w:cs="仿宋"/>
        </w:rPr>
      </w:pPr>
      <w:r>
        <w:rPr>
          <w:rFonts w:hint="eastAsia" w:ascii="仿宋" w:hAnsi="仿宋" w:eastAsia="仿宋" w:cs="仿宋"/>
        </w:rPr>
        <w:t>5.3 供方装运的货物不得超过合同规定的数量或重量。否则，供方应 对超运数量或重量而产生的一切后果负责。</w:t>
      </w:r>
    </w:p>
    <w:p w14:paraId="709555F6">
      <w:pPr>
        <w:spacing w:line="460" w:lineRule="exact"/>
        <w:ind w:firstLine="482"/>
        <w:rPr>
          <w:rFonts w:hint="eastAsia" w:ascii="仿宋" w:hAnsi="仿宋" w:eastAsia="仿宋" w:cs="仿宋"/>
          <w:b/>
          <w:bCs/>
        </w:rPr>
      </w:pPr>
      <w:r>
        <w:rPr>
          <w:rFonts w:hint="eastAsia" w:ascii="仿宋" w:hAnsi="仿宋" w:eastAsia="仿宋" w:cs="仿宋"/>
          <w:b/>
          <w:bCs/>
        </w:rPr>
        <w:t>6. 付款</w:t>
      </w:r>
    </w:p>
    <w:p w14:paraId="3FAB21E4">
      <w:pPr>
        <w:spacing w:line="460" w:lineRule="exact"/>
        <w:ind w:firstLine="480"/>
        <w:rPr>
          <w:rFonts w:hint="eastAsia" w:ascii="仿宋" w:hAnsi="仿宋" w:eastAsia="仿宋" w:cs="仿宋"/>
        </w:rPr>
      </w:pPr>
      <w:r>
        <w:rPr>
          <w:rFonts w:hint="eastAsia" w:ascii="仿宋" w:hAnsi="仿宋" w:eastAsia="仿宋" w:cs="仿宋"/>
        </w:rPr>
        <w:t>6.1 本合同以人民币支付。</w:t>
      </w:r>
    </w:p>
    <w:p w14:paraId="4B424D86">
      <w:pPr>
        <w:spacing w:line="460" w:lineRule="exact"/>
        <w:ind w:firstLine="480"/>
        <w:rPr>
          <w:rFonts w:hint="eastAsia" w:ascii="仿宋" w:hAnsi="仿宋" w:eastAsia="仿宋" w:cs="仿宋"/>
        </w:rPr>
      </w:pPr>
      <w:r>
        <w:rPr>
          <w:rFonts w:hint="eastAsia" w:ascii="仿宋" w:hAnsi="仿宋" w:eastAsia="仿宋" w:cs="仿宋"/>
        </w:rPr>
        <w:t>6.2 供方按照合同规定交货。交货后供方把下列单据提交给采购人, 采购人按合同规定审核后办理付款手续：</w:t>
      </w:r>
    </w:p>
    <w:p w14:paraId="00879C7D">
      <w:pPr>
        <w:spacing w:line="460" w:lineRule="exact"/>
        <w:ind w:firstLine="480"/>
        <w:rPr>
          <w:rFonts w:hint="eastAsia" w:ascii="仿宋" w:hAnsi="仿宋" w:eastAsia="仿宋" w:cs="仿宋"/>
        </w:rPr>
      </w:pPr>
      <w:r>
        <w:rPr>
          <w:rFonts w:hint="eastAsia" w:ascii="仿宋" w:hAnsi="仿宋" w:eastAsia="仿宋" w:cs="仿宋"/>
        </w:rPr>
        <w:t>(1) 发票</w:t>
      </w:r>
    </w:p>
    <w:p w14:paraId="774ACDA7">
      <w:pPr>
        <w:spacing w:line="460" w:lineRule="exact"/>
        <w:ind w:firstLine="480"/>
        <w:rPr>
          <w:rFonts w:hint="eastAsia" w:ascii="仿宋" w:hAnsi="仿宋" w:eastAsia="仿宋" w:cs="仿宋"/>
        </w:rPr>
      </w:pPr>
      <w:r>
        <w:rPr>
          <w:rFonts w:hint="eastAsia" w:ascii="仿宋" w:hAnsi="仿宋" w:eastAsia="仿宋" w:cs="仿宋"/>
        </w:rPr>
        <w:t>(2) 质量证书</w:t>
      </w:r>
    </w:p>
    <w:p w14:paraId="0C02E0C9">
      <w:pPr>
        <w:spacing w:line="460" w:lineRule="exact"/>
        <w:ind w:firstLine="480"/>
        <w:rPr>
          <w:rFonts w:hint="eastAsia" w:ascii="仿宋" w:hAnsi="仿宋" w:eastAsia="仿宋" w:cs="仿宋"/>
        </w:rPr>
      </w:pPr>
      <w:r>
        <w:rPr>
          <w:rFonts w:hint="eastAsia" w:ascii="仿宋" w:hAnsi="仿宋" w:eastAsia="仿宋" w:cs="仿宋"/>
        </w:rPr>
        <w:t>(3) 详细配置、数量清单</w:t>
      </w:r>
    </w:p>
    <w:p w14:paraId="42054281">
      <w:pPr>
        <w:spacing w:line="460" w:lineRule="exact"/>
        <w:ind w:firstLine="480"/>
        <w:rPr>
          <w:rFonts w:hint="eastAsia" w:ascii="仿宋" w:hAnsi="仿宋" w:eastAsia="仿宋" w:cs="仿宋"/>
        </w:rPr>
      </w:pPr>
      <w:r>
        <w:rPr>
          <w:rFonts w:hint="eastAsia" w:ascii="仿宋" w:hAnsi="仿宋" w:eastAsia="仿宋" w:cs="仿宋"/>
        </w:rPr>
        <w:t>(4) 检验报告</w:t>
      </w:r>
    </w:p>
    <w:p w14:paraId="3A50FECE">
      <w:pPr>
        <w:spacing w:line="460" w:lineRule="exact"/>
        <w:ind w:firstLine="480"/>
        <w:rPr>
          <w:rFonts w:hint="eastAsia" w:ascii="仿宋" w:hAnsi="仿宋" w:eastAsia="仿宋" w:cs="仿宋"/>
        </w:rPr>
      </w:pPr>
      <w:r>
        <w:rPr>
          <w:rFonts w:hint="eastAsia" w:ascii="仿宋" w:hAnsi="仿宋" w:eastAsia="仿宋" w:cs="仿宋"/>
        </w:rPr>
        <w:t>6.3 采购人按合同规定的合同生效及支付条件和方式安排付款。</w:t>
      </w:r>
    </w:p>
    <w:p w14:paraId="353BA2CD">
      <w:pPr>
        <w:spacing w:line="460" w:lineRule="exact"/>
        <w:ind w:firstLine="482"/>
        <w:rPr>
          <w:rFonts w:hint="eastAsia" w:ascii="仿宋" w:hAnsi="仿宋" w:eastAsia="仿宋" w:cs="仿宋"/>
          <w:b/>
          <w:bCs/>
        </w:rPr>
      </w:pPr>
      <w:r>
        <w:rPr>
          <w:rFonts w:hint="eastAsia" w:ascii="仿宋" w:hAnsi="仿宋" w:eastAsia="仿宋" w:cs="仿宋"/>
          <w:b/>
          <w:bCs/>
        </w:rPr>
        <w:t>7．伴随服务</w:t>
      </w:r>
    </w:p>
    <w:p w14:paraId="6FB7E8E5">
      <w:pPr>
        <w:spacing w:line="460" w:lineRule="exact"/>
        <w:ind w:firstLine="480"/>
        <w:rPr>
          <w:rFonts w:hint="eastAsia" w:ascii="仿宋" w:hAnsi="仿宋" w:eastAsia="仿宋" w:cs="仿宋"/>
        </w:rPr>
      </w:pPr>
      <w:r>
        <w:rPr>
          <w:rFonts w:hint="eastAsia" w:ascii="仿宋" w:hAnsi="仿宋" w:eastAsia="仿宋" w:cs="仿宋"/>
        </w:rPr>
        <w:t>7.1 供方随同货物提交所供货物的技术资料。包括相应每套货物的中 文技术文件，如：产品目录、操作手册、使用说明、维护手册或 服务指南等。</w:t>
      </w:r>
    </w:p>
    <w:p w14:paraId="23E39445">
      <w:pPr>
        <w:spacing w:line="460" w:lineRule="exact"/>
        <w:ind w:firstLine="480"/>
        <w:rPr>
          <w:rFonts w:hint="eastAsia" w:ascii="仿宋" w:hAnsi="仿宋" w:eastAsia="仿宋" w:cs="仿宋"/>
        </w:rPr>
      </w:pPr>
      <w:r>
        <w:rPr>
          <w:rFonts w:hint="eastAsia" w:ascii="仿宋" w:hAnsi="仿宋" w:eastAsia="仿宋" w:cs="仿宋"/>
        </w:rPr>
        <w:t>7.2 供方应提供下列服务：</w:t>
      </w:r>
    </w:p>
    <w:p w14:paraId="008F537C">
      <w:pPr>
        <w:spacing w:line="460" w:lineRule="exact"/>
        <w:ind w:firstLine="480"/>
        <w:rPr>
          <w:rFonts w:hint="eastAsia" w:ascii="仿宋" w:hAnsi="仿宋" w:eastAsia="仿宋" w:cs="仿宋"/>
        </w:rPr>
      </w:pPr>
      <w:r>
        <w:rPr>
          <w:rFonts w:hint="eastAsia" w:ascii="仿宋" w:hAnsi="仿宋" w:eastAsia="仿宋" w:cs="仿宋"/>
        </w:rPr>
        <w:t>(1) 货物的现场安装和启动监督；</w:t>
      </w:r>
    </w:p>
    <w:p w14:paraId="22447377">
      <w:pPr>
        <w:spacing w:line="460" w:lineRule="exact"/>
        <w:ind w:firstLine="480"/>
        <w:rPr>
          <w:rFonts w:hint="eastAsia" w:ascii="仿宋" w:hAnsi="仿宋" w:eastAsia="仿宋" w:cs="仿宋"/>
        </w:rPr>
      </w:pPr>
      <w:r>
        <w:rPr>
          <w:rFonts w:hint="eastAsia" w:ascii="仿宋" w:hAnsi="仿宋" w:eastAsia="仿宋" w:cs="仿宋"/>
        </w:rPr>
        <w:t>(2) 提供货物组装和维修所必须的工具；</w:t>
      </w:r>
    </w:p>
    <w:p w14:paraId="1F0221F3">
      <w:pPr>
        <w:spacing w:line="460" w:lineRule="exact"/>
        <w:ind w:firstLine="480"/>
        <w:rPr>
          <w:rFonts w:hint="eastAsia" w:ascii="仿宋" w:hAnsi="仿宋" w:eastAsia="仿宋" w:cs="仿宋"/>
        </w:rPr>
      </w:pPr>
      <w:r>
        <w:rPr>
          <w:rFonts w:hint="eastAsia" w:ascii="仿宋" w:hAnsi="仿宋" w:eastAsia="仿宋" w:cs="仿宋"/>
        </w:rPr>
        <w:t>(3) 在项目现场就货物的安装、启动、运行和维护，按采购人 的要求提供技术培训。</w:t>
      </w:r>
    </w:p>
    <w:p w14:paraId="4CBA1EA3">
      <w:pPr>
        <w:spacing w:line="460" w:lineRule="exact"/>
        <w:ind w:firstLine="480"/>
        <w:rPr>
          <w:rFonts w:hint="eastAsia" w:ascii="仿宋" w:hAnsi="仿宋" w:eastAsia="仿宋" w:cs="仿宋"/>
        </w:rPr>
      </w:pPr>
      <w:r>
        <w:rPr>
          <w:rFonts w:hint="eastAsia" w:ascii="仿宋" w:hAnsi="仿宋" w:eastAsia="仿宋" w:cs="仿宋"/>
        </w:rPr>
        <w:t xml:space="preserve">7.3 伴随服务的费用含在合同价中，不另行支付。 </w:t>
      </w:r>
    </w:p>
    <w:p w14:paraId="1FECB9D0">
      <w:pPr>
        <w:spacing w:line="460" w:lineRule="exact"/>
        <w:ind w:firstLine="482"/>
        <w:rPr>
          <w:rFonts w:hint="eastAsia" w:ascii="仿宋" w:hAnsi="仿宋" w:eastAsia="仿宋" w:cs="仿宋"/>
          <w:b/>
          <w:bCs/>
        </w:rPr>
      </w:pPr>
      <w:r>
        <w:rPr>
          <w:rFonts w:hint="eastAsia" w:ascii="仿宋" w:hAnsi="仿宋" w:eastAsia="仿宋" w:cs="仿宋"/>
          <w:b/>
          <w:bCs/>
        </w:rPr>
        <w:t>8.备品备件</w:t>
      </w:r>
    </w:p>
    <w:p w14:paraId="2EFAB266">
      <w:pPr>
        <w:spacing w:line="460" w:lineRule="exact"/>
        <w:ind w:firstLine="480"/>
        <w:rPr>
          <w:rFonts w:hint="eastAsia" w:ascii="仿宋" w:hAnsi="仿宋" w:eastAsia="仿宋" w:cs="仿宋"/>
        </w:rPr>
      </w:pPr>
      <w:r>
        <w:rPr>
          <w:rFonts w:hint="eastAsia" w:ascii="仿宋" w:hAnsi="仿宋" w:eastAsia="仿宋" w:cs="仿宋"/>
        </w:rPr>
        <w:t>8.1 供方可能被要求提供下列与备件有关的材料、通知和资料：</w:t>
      </w:r>
    </w:p>
    <w:p w14:paraId="525E038E">
      <w:pPr>
        <w:spacing w:line="460" w:lineRule="exact"/>
        <w:ind w:firstLine="480"/>
        <w:rPr>
          <w:rFonts w:hint="eastAsia" w:ascii="仿宋" w:hAnsi="仿宋" w:eastAsia="仿宋" w:cs="仿宋"/>
        </w:rPr>
      </w:pPr>
      <w:r>
        <w:rPr>
          <w:rFonts w:hint="eastAsia" w:ascii="仿宋" w:hAnsi="仿宋" w:eastAsia="仿宋" w:cs="仿宋"/>
        </w:rPr>
        <w:t>(1) 采购方从供方选购备件，但前提条件是该选购并不能免除 供方在合同保证期内所承担的义务；</w:t>
      </w:r>
    </w:p>
    <w:p w14:paraId="09054075">
      <w:pPr>
        <w:spacing w:line="460" w:lineRule="exact"/>
        <w:ind w:firstLine="480"/>
        <w:rPr>
          <w:rFonts w:hint="eastAsia" w:ascii="仿宋" w:hAnsi="仿宋" w:eastAsia="仿宋" w:cs="仿宋"/>
        </w:rPr>
      </w:pPr>
      <w:r>
        <w:rPr>
          <w:rFonts w:hint="eastAsia" w:ascii="仿宋" w:hAnsi="仿宋" w:eastAsia="仿宋" w:cs="仿宋"/>
        </w:rPr>
        <w:t>(2) 在备件停止生产的情况下，供方应事先将要停止生产的计 划通知买方有足够的时间采购所需的备件；</w:t>
      </w:r>
    </w:p>
    <w:p w14:paraId="1AFD32AF">
      <w:pPr>
        <w:spacing w:line="460" w:lineRule="exact"/>
        <w:ind w:firstLine="480"/>
        <w:rPr>
          <w:rFonts w:hint="eastAsia" w:ascii="仿宋" w:hAnsi="仿宋" w:eastAsia="仿宋" w:cs="仿宋"/>
        </w:rPr>
      </w:pPr>
      <w:r>
        <w:rPr>
          <w:rFonts w:hint="eastAsia" w:ascii="仿宋" w:hAnsi="仿宋" w:eastAsia="仿宋" w:cs="仿宋"/>
        </w:rPr>
        <w:t>(3) 在备件停止生产后，如果采购方要求，供方应免费向采购 方提供备件的蓝图、图纸和规格。</w:t>
      </w:r>
    </w:p>
    <w:p w14:paraId="7B3B11FC">
      <w:pPr>
        <w:spacing w:line="460" w:lineRule="exact"/>
        <w:ind w:firstLine="482"/>
        <w:rPr>
          <w:rFonts w:hint="eastAsia" w:ascii="仿宋" w:hAnsi="仿宋" w:eastAsia="仿宋" w:cs="仿宋"/>
          <w:b/>
          <w:bCs/>
        </w:rPr>
      </w:pPr>
      <w:r>
        <w:rPr>
          <w:rFonts w:hint="eastAsia" w:ascii="仿宋" w:hAnsi="仿宋" w:eastAsia="仿宋" w:cs="仿宋"/>
          <w:b/>
          <w:bCs/>
        </w:rPr>
        <w:t>9、质量保证及售后服务</w:t>
      </w:r>
    </w:p>
    <w:p w14:paraId="399EA124">
      <w:pPr>
        <w:spacing w:line="460" w:lineRule="exact"/>
        <w:ind w:firstLine="482"/>
        <w:rPr>
          <w:rFonts w:hint="eastAsia" w:ascii="仿宋" w:hAnsi="仿宋" w:eastAsia="仿宋" w:cs="仿宋"/>
          <w:b/>
          <w:bCs/>
        </w:rPr>
      </w:pPr>
      <w:r>
        <w:rPr>
          <w:rFonts w:hint="eastAsia" w:ascii="仿宋" w:hAnsi="仿宋" w:eastAsia="仿宋" w:cs="仿宋"/>
          <w:b/>
          <w:bCs/>
        </w:rPr>
        <w:t>(一) 质量保证</w:t>
      </w:r>
    </w:p>
    <w:p w14:paraId="136A879A">
      <w:pPr>
        <w:spacing w:line="460" w:lineRule="exact"/>
        <w:ind w:firstLine="480"/>
        <w:rPr>
          <w:rFonts w:hint="eastAsia" w:ascii="仿宋" w:hAnsi="仿宋" w:eastAsia="仿宋" w:cs="仿宋"/>
        </w:rPr>
      </w:pPr>
      <w:r>
        <w:rPr>
          <w:rFonts w:hint="eastAsia" w:ascii="仿宋" w:hAnsi="仿宋" w:eastAsia="仿宋" w:cs="仿宋"/>
        </w:rPr>
        <w:t>9.1 供方保证所提供的货物是全新的、未使用过的，是完全符合合同 规定的质量、规格和性能要求的。保证货物在正常使用和保养条 件下，在其使用寿命内具有满意的性能。在质保期内供方免费提 供货物正常使用情况下发生故障的维修服务和更换配件服务。在供方或制造商承诺的货物质量保证期内，供方对由于设计工艺或 材料的缺陷而产生的故障负责；货物无质保期的，供方在两年内 对由于设计工艺或材料的缺陷而产生的故障负责。</w:t>
      </w:r>
    </w:p>
    <w:p w14:paraId="2FEBE432">
      <w:pPr>
        <w:spacing w:line="460" w:lineRule="exact"/>
        <w:ind w:firstLine="480"/>
        <w:rPr>
          <w:rFonts w:hint="eastAsia" w:ascii="仿宋" w:hAnsi="仿宋" w:eastAsia="仿宋" w:cs="仿宋"/>
        </w:rPr>
      </w:pPr>
      <w:r>
        <w:rPr>
          <w:rFonts w:hint="eastAsia" w:ascii="仿宋" w:hAnsi="仿宋" w:eastAsia="仿宋" w:cs="仿宋"/>
        </w:rPr>
        <w:t>9.2 在质保期内或货物无质保期的则在两年内，如果货物的数量、质 量或规格与合同不符，或证实货物有缺陷的，采购人可尽快以书 面形式向供方提出本保证下的索赔。</w:t>
      </w:r>
    </w:p>
    <w:p w14:paraId="5CDA8739">
      <w:pPr>
        <w:spacing w:line="460" w:lineRule="exact"/>
        <w:ind w:firstLine="480"/>
        <w:rPr>
          <w:rFonts w:hint="eastAsia" w:ascii="仿宋" w:hAnsi="仿宋" w:eastAsia="仿宋" w:cs="仿宋"/>
        </w:rPr>
      </w:pPr>
      <w:r>
        <w:rPr>
          <w:rFonts w:hint="eastAsia" w:ascii="仿宋" w:hAnsi="仿宋" w:eastAsia="仿宋" w:cs="仿宋"/>
        </w:rPr>
        <w:t>9.3 供方在收到索赔通知后十日内须免费更换有缺陷的货物或部件。</w:t>
      </w:r>
    </w:p>
    <w:p w14:paraId="6DF168EA">
      <w:pPr>
        <w:spacing w:line="460" w:lineRule="exact"/>
        <w:ind w:firstLine="480"/>
        <w:rPr>
          <w:rFonts w:hint="eastAsia" w:ascii="仿宋" w:hAnsi="仿宋" w:eastAsia="仿宋" w:cs="仿宋"/>
        </w:rPr>
      </w:pPr>
      <w:r>
        <w:rPr>
          <w:rFonts w:hint="eastAsia" w:ascii="仿宋" w:hAnsi="仿宋" w:eastAsia="仿宋" w:cs="仿宋"/>
        </w:rPr>
        <w:t>9.4 供方在收到索赔通知后十日内没有弥补缺陷，采购人可采取必要 的补救措施，其风险和费用将由供方承担，采购人根据合同规定 向供方行使的其它权利不受影响。</w:t>
      </w:r>
    </w:p>
    <w:p w14:paraId="0DF1EBDF">
      <w:pPr>
        <w:spacing w:line="460" w:lineRule="exact"/>
        <w:ind w:firstLine="480"/>
        <w:rPr>
          <w:rFonts w:hint="eastAsia" w:ascii="仿宋" w:hAnsi="仿宋" w:eastAsia="仿宋" w:cs="仿宋"/>
        </w:rPr>
      </w:pPr>
      <w:r>
        <w:rPr>
          <w:rFonts w:hint="eastAsia" w:ascii="仿宋" w:hAnsi="仿宋" w:eastAsia="仿宋" w:cs="仿宋"/>
        </w:rPr>
        <w:t>(二)质量保证期后服务</w:t>
      </w:r>
    </w:p>
    <w:p w14:paraId="2D055995">
      <w:pPr>
        <w:spacing w:line="460" w:lineRule="exact"/>
        <w:ind w:firstLine="480"/>
        <w:rPr>
          <w:rFonts w:hint="eastAsia" w:ascii="仿宋" w:hAnsi="仿宋" w:eastAsia="仿宋" w:cs="仿宋"/>
        </w:rPr>
      </w:pPr>
      <w:r>
        <w:rPr>
          <w:rFonts w:hint="eastAsia" w:ascii="仿宋" w:hAnsi="仿宋" w:eastAsia="仿宋" w:cs="仿宋"/>
        </w:rPr>
        <w:t>9.5 质保期满后，若有零部件出现故障，经权威部门鉴定属于寿命异 常问题 (明显短于该零部件正常寿命时)，则由供方负责免费更 换及维修。</w:t>
      </w:r>
    </w:p>
    <w:p w14:paraId="2613F629">
      <w:pPr>
        <w:spacing w:line="460" w:lineRule="exact"/>
        <w:ind w:firstLine="480"/>
        <w:rPr>
          <w:rFonts w:hint="eastAsia" w:ascii="仿宋" w:hAnsi="仿宋" w:eastAsia="仿宋" w:cs="仿宋"/>
        </w:rPr>
      </w:pPr>
      <w:r>
        <w:rPr>
          <w:rFonts w:hint="eastAsia" w:ascii="仿宋" w:hAnsi="仿宋" w:eastAsia="仿宋" w:cs="仿宋"/>
        </w:rPr>
        <w:t>9.6 质保期满后，应采购方要求，供方应按投标时的价格与采购方签 订定期维修保养合同及提供采购方所需零配件，若投标时的价格 高于市场价，则按市场价与与采购方签订定期维修保养合同及提 供采购方所需零配件。</w:t>
      </w:r>
    </w:p>
    <w:p w14:paraId="0B40A3E5">
      <w:pPr>
        <w:spacing w:line="460" w:lineRule="exact"/>
        <w:ind w:firstLine="480"/>
        <w:rPr>
          <w:rFonts w:hint="eastAsia" w:ascii="仿宋" w:hAnsi="仿宋" w:eastAsia="仿宋" w:cs="仿宋"/>
        </w:rPr>
      </w:pPr>
      <w:r>
        <w:rPr>
          <w:rFonts w:hint="eastAsia" w:ascii="仿宋" w:hAnsi="仿宋" w:eastAsia="仿宋" w:cs="仿宋"/>
        </w:rPr>
        <w:t>9.7 乙方交货后，若设备发生故障，乙方应在甲方报修后24 小时内 到达。</w:t>
      </w:r>
    </w:p>
    <w:p w14:paraId="4C2F2F79">
      <w:pPr>
        <w:spacing w:line="460" w:lineRule="exact"/>
        <w:ind w:firstLine="482"/>
        <w:rPr>
          <w:rFonts w:hint="eastAsia" w:ascii="仿宋" w:hAnsi="仿宋" w:eastAsia="仿宋" w:cs="仿宋"/>
          <w:b/>
          <w:bCs/>
        </w:rPr>
      </w:pPr>
      <w:r>
        <w:rPr>
          <w:rFonts w:hint="eastAsia" w:ascii="仿宋" w:hAnsi="仿宋" w:eastAsia="仿宋" w:cs="仿宋"/>
          <w:b/>
          <w:bCs/>
        </w:rPr>
        <w:t>10．检验</w:t>
      </w:r>
    </w:p>
    <w:p w14:paraId="1F4763C1">
      <w:pPr>
        <w:spacing w:line="460" w:lineRule="exact"/>
        <w:ind w:firstLine="480"/>
        <w:rPr>
          <w:rFonts w:hint="eastAsia" w:ascii="仿宋" w:hAnsi="仿宋" w:eastAsia="仿宋" w:cs="仿宋"/>
        </w:rPr>
      </w:pPr>
      <w:r>
        <w:rPr>
          <w:rFonts w:hint="eastAsia" w:ascii="仿宋" w:hAnsi="仿宋" w:eastAsia="仿宋" w:cs="仿宋"/>
        </w:rPr>
        <w:t>10.1 在交货前，供方应对货物的质量、规格、性能、数量等进行详 细全面的检验，并出具一份证明货物符合合同规定要求的检验报 告。检验报告是付款必要的文件组成部分，但不作为对有关质量、 规格、数量的最终检验。</w:t>
      </w:r>
    </w:p>
    <w:p w14:paraId="1BDB87B2">
      <w:pPr>
        <w:spacing w:line="460" w:lineRule="exact"/>
        <w:ind w:firstLine="480"/>
        <w:rPr>
          <w:rFonts w:hint="eastAsia" w:ascii="仿宋" w:hAnsi="仿宋" w:eastAsia="仿宋" w:cs="仿宋"/>
        </w:rPr>
      </w:pPr>
      <w:r>
        <w:rPr>
          <w:rFonts w:hint="eastAsia" w:ascii="仿宋" w:hAnsi="仿宋" w:eastAsia="仿宋" w:cs="仿宋"/>
        </w:rPr>
        <w:t>10.2 货物交付后，采购人申请有关部门对货物的质量、数量等进行 检验并出具检验证书。</w:t>
      </w:r>
    </w:p>
    <w:p w14:paraId="605A5380">
      <w:pPr>
        <w:spacing w:line="460" w:lineRule="exact"/>
        <w:ind w:firstLine="482"/>
        <w:rPr>
          <w:rFonts w:hint="eastAsia" w:ascii="仿宋" w:hAnsi="仿宋" w:eastAsia="仿宋" w:cs="仿宋"/>
          <w:b/>
          <w:bCs/>
        </w:rPr>
      </w:pPr>
      <w:r>
        <w:rPr>
          <w:rFonts w:hint="eastAsia" w:ascii="仿宋" w:hAnsi="仿宋" w:eastAsia="仿宋" w:cs="仿宋"/>
          <w:b/>
          <w:bCs/>
        </w:rPr>
        <w:t>11．索赔</w:t>
      </w:r>
    </w:p>
    <w:p w14:paraId="2DFB1401">
      <w:pPr>
        <w:spacing w:line="460" w:lineRule="exact"/>
        <w:ind w:firstLine="480"/>
        <w:rPr>
          <w:rFonts w:hint="eastAsia" w:ascii="仿宋" w:hAnsi="仿宋" w:eastAsia="仿宋" w:cs="仿宋"/>
        </w:rPr>
      </w:pPr>
      <w:r>
        <w:rPr>
          <w:rFonts w:hint="eastAsia" w:ascii="仿宋" w:hAnsi="仿宋" w:eastAsia="仿宋" w:cs="仿宋"/>
        </w:rPr>
        <w:t>11.1 采购人有权根据有关部门出具的检验证书向供方提出索赔。</w:t>
      </w:r>
    </w:p>
    <w:p w14:paraId="0DEBFDDB">
      <w:pPr>
        <w:spacing w:line="460" w:lineRule="exact"/>
        <w:ind w:firstLine="480"/>
        <w:rPr>
          <w:rFonts w:hint="eastAsia" w:ascii="仿宋" w:hAnsi="仿宋" w:eastAsia="仿宋" w:cs="仿宋"/>
        </w:rPr>
      </w:pPr>
      <w:r>
        <w:rPr>
          <w:rFonts w:hint="eastAsia" w:ascii="仿宋" w:hAnsi="仿宋" w:eastAsia="仿宋" w:cs="仿宋"/>
        </w:rPr>
        <w:t>11.2 在合同条款第 8 条规定的质保期内，如果供方对差异负有责任而采购人提出索赔，供方应按照采购人的损失程度进行赔偿。</w:t>
      </w:r>
    </w:p>
    <w:p w14:paraId="0A75CEE5">
      <w:pPr>
        <w:spacing w:line="460" w:lineRule="exact"/>
        <w:ind w:firstLine="482"/>
        <w:rPr>
          <w:rFonts w:hint="eastAsia" w:ascii="仿宋" w:hAnsi="仿宋" w:eastAsia="仿宋" w:cs="仿宋"/>
          <w:b/>
          <w:bCs/>
        </w:rPr>
      </w:pPr>
      <w:r>
        <w:rPr>
          <w:rFonts w:hint="eastAsia" w:ascii="仿宋" w:hAnsi="仿宋" w:eastAsia="仿宋" w:cs="仿宋"/>
          <w:b/>
          <w:bCs/>
        </w:rPr>
        <w:t>12．供方履约延误</w:t>
      </w:r>
    </w:p>
    <w:p w14:paraId="475DA7DD">
      <w:pPr>
        <w:spacing w:line="460" w:lineRule="exact"/>
        <w:ind w:firstLine="480"/>
        <w:rPr>
          <w:rFonts w:hint="eastAsia" w:ascii="仿宋" w:hAnsi="仿宋" w:eastAsia="仿宋" w:cs="仿宋"/>
        </w:rPr>
      </w:pPr>
      <w:r>
        <w:rPr>
          <w:rFonts w:hint="eastAsia" w:ascii="仿宋" w:hAnsi="仿宋" w:eastAsia="仿宋" w:cs="仿宋"/>
        </w:rPr>
        <w:t>12.1 供方应按规定的时间交货和提供服务。</w:t>
      </w:r>
    </w:p>
    <w:p w14:paraId="2F7B05CA">
      <w:pPr>
        <w:spacing w:line="460" w:lineRule="exact"/>
        <w:ind w:firstLine="480"/>
        <w:rPr>
          <w:rFonts w:hint="eastAsia" w:ascii="仿宋" w:hAnsi="仿宋" w:eastAsia="仿宋" w:cs="仿宋"/>
        </w:rPr>
      </w:pPr>
      <w:r>
        <w:rPr>
          <w:rFonts w:hint="eastAsia" w:ascii="仿宋" w:hAnsi="仿宋" w:eastAsia="仿宋" w:cs="仿宋"/>
        </w:rPr>
        <w:t>12.2 如供方无正当理由而拖延交货，采购人将从货款中扣除误期赔 偿费而不影响合同项下的其他补救方法，赔偿费按每周迟交货 物交货价或未提供服务费用的百分之一 (1%) 计收，直至交货 或提供服务为止。误期赔偿费的最高限额不超过误期货物或服 务合同价的百分之五 (5%) 。一周按七 (7) 天计算，不足七 (7) 天按一周计算。一旦达到误期赔偿费的最高限额，采购人有权 终止合同。</w:t>
      </w:r>
    </w:p>
    <w:p w14:paraId="5E503FEC">
      <w:pPr>
        <w:spacing w:line="460" w:lineRule="exact"/>
        <w:ind w:firstLine="480"/>
        <w:rPr>
          <w:rFonts w:hint="eastAsia" w:ascii="仿宋" w:hAnsi="仿宋" w:eastAsia="仿宋" w:cs="仿宋"/>
        </w:rPr>
      </w:pPr>
      <w:r>
        <w:rPr>
          <w:rFonts w:hint="eastAsia" w:ascii="仿宋" w:hAnsi="仿宋" w:eastAsia="仿宋" w:cs="仿宋"/>
        </w:rPr>
        <w:t>12.3 在履行合同过程中，如果供方遇到可能妨碍按时交货和提供服 务的情况时，应及时以书面形式将拖延的事实、可能拖延的期限 和理由通知采购人。采购人在收到通知后，要尽快对情况进行评 价，并确定是否通过修改合同酌情延长交货时间以及是否收取误 期赔偿费。延期应通过修改合同的方式由双方认可。</w:t>
      </w:r>
    </w:p>
    <w:p w14:paraId="780EC872">
      <w:pPr>
        <w:spacing w:line="460" w:lineRule="exact"/>
        <w:ind w:firstLine="480"/>
        <w:rPr>
          <w:rFonts w:hint="eastAsia" w:ascii="仿宋" w:hAnsi="仿宋" w:eastAsia="仿宋" w:cs="仿宋"/>
        </w:rPr>
      </w:pPr>
      <w:r>
        <w:rPr>
          <w:rFonts w:hint="eastAsia" w:ascii="仿宋" w:hAnsi="仿宋" w:eastAsia="仿宋" w:cs="仿宋"/>
        </w:rPr>
        <w:t>12.4 供方交付的货物不符合磋商文件、响应文件和本合同规定的，</w:t>
      </w:r>
    </w:p>
    <w:p w14:paraId="33BE5AAD">
      <w:pPr>
        <w:spacing w:line="460" w:lineRule="exact"/>
        <w:ind w:firstLine="480"/>
        <w:rPr>
          <w:rFonts w:hint="eastAsia" w:ascii="仿宋" w:hAnsi="仿宋" w:eastAsia="仿宋" w:cs="仿宋"/>
        </w:rPr>
      </w:pPr>
      <w:r>
        <w:rPr>
          <w:rFonts w:hint="eastAsia" w:ascii="仿宋" w:hAnsi="仿宋" w:eastAsia="仿宋" w:cs="仿宋"/>
        </w:rPr>
        <w:t>采购方有权拒收，并且供方需向采购方支付本合同总价 10%的违 约金。</w:t>
      </w:r>
    </w:p>
    <w:p w14:paraId="0BE1D731">
      <w:pPr>
        <w:spacing w:line="460" w:lineRule="exact"/>
        <w:ind w:firstLine="482"/>
        <w:rPr>
          <w:rFonts w:hint="eastAsia" w:ascii="仿宋" w:hAnsi="仿宋" w:eastAsia="仿宋" w:cs="仿宋"/>
          <w:b/>
          <w:bCs/>
        </w:rPr>
      </w:pPr>
      <w:r>
        <w:rPr>
          <w:rFonts w:hint="eastAsia" w:ascii="仿宋" w:hAnsi="仿宋" w:eastAsia="仿宋" w:cs="仿宋"/>
          <w:b/>
          <w:bCs/>
        </w:rPr>
        <w:t>13．不可抗力</w:t>
      </w:r>
    </w:p>
    <w:p w14:paraId="1182721F">
      <w:pPr>
        <w:spacing w:line="460" w:lineRule="exact"/>
        <w:ind w:firstLine="480"/>
        <w:rPr>
          <w:rFonts w:hint="eastAsia" w:ascii="仿宋" w:hAnsi="仿宋" w:eastAsia="仿宋" w:cs="仿宋"/>
        </w:rPr>
      </w:pPr>
      <w:r>
        <w:rPr>
          <w:rFonts w:hint="eastAsia" w:ascii="仿宋" w:hAnsi="仿宋" w:eastAsia="仿宋" w:cs="仿宋"/>
        </w:rPr>
        <w:t>13.1 如果双方任何一方由于经双方认可属于不可抗力的事故，致使 影响合同履行时，履行合同的期限予以延长，延长的期限应相当 于事故所影响的时间。不可抗力事件是指买供双方在缔结合同时 所不能预见、并且它的发生及其后果是无法避免及无法克服的事 件，比如战争、严重火灾、洪水、台风、地震等。</w:t>
      </w:r>
    </w:p>
    <w:p w14:paraId="520451DB">
      <w:pPr>
        <w:spacing w:line="460" w:lineRule="exact"/>
        <w:ind w:firstLine="480"/>
        <w:rPr>
          <w:rFonts w:hint="eastAsia" w:ascii="仿宋" w:hAnsi="仿宋" w:eastAsia="仿宋" w:cs="仿宋"/>
        </w:rPr>
      </w:pPr>
      <w:r>
        <w:rPr>
          <w:rFonts w:hint="eastAsia" w:ascii="仿宋" w:hAnsi="仿宋" w:eastAsia="仿宋" w:cs="仿宋"/>
        </w:rPr>
        <w:t>13.2 受事故影响的一方应在不可抗力发生后尽快以传真、电报通知 另一方，并在事故发生后 14 天内，将有关部门出具的证明文件 用特快专递或挂号信寄给另一方。如果不可抗力影响时间延续90 天以上时，双方可通过友好协商在合理的时间内达成进一步 履行或解除合同的协议。</w:t>
      </w:r>
    </w:p>
    <w:p w14:paraId="2CCEC3A6">
      <w:pPr>
        <w:spacing w:line="460" w:lineRule="exact"/>
        <w:ind w:firstLine="482"/>
        <w:rPr>
          <w:rFonts w:hint="eastAsia" w:ascii="仿宋" w:hAnsi="仿宋" w:eastAsia="仿宋" w:cs="仿宋"/>
          <w:b/>
          <w:bCs/>
        </w:rPr>
      </w:pPr>
      <w:r>
        <w:rPr>
          <w:rFonts w:hint="eastAsia" w:ascii="仿宋" w:hAnsi="仿宋" w:eastAsia="仿宋" w:cs="仿宋"/>
          <w:b/>
          <w:bCs/>
        </w:rPr>
        <w:t>14．税费</w:t>
      </w:r>
    </w:p>
    <w:p w14:paraId="18BDF0C6">
      <w:pPr>
        <w:spacing w:line="460" w:lineRule="exact"/>
        <w:ind w:firstLine="480"/>
        <w:rPr>
          <w:rFonts w:hint="eastAsia" w:ascii="仿宋" w:hAnsi="仿宋" w:eastAsia="仿宋" w:cs="仿宋"/>
        </w:rPr>
      </w:pPr>
      <w:r>
        <w:rPr>
          <w:rFonts w:hint="eastAsia" w:ascii="仿宋" w:hAnsi="仿宋" w:eastAsia="仿宋" w:cs="仿宋"/>
        </w:rPr>
        <w:t>14.1 政府根据现行税法对供方征收的与本合同有关的一切税费均由 供方负担。</w:t>
      </w:r>
    </w:p>
    <w:p w14:paraId="4A6860D3">
      <w:pPr>
        <w:spacing w:line="460" w:lineRule="exact"/>
        <w:ind w:firstLine="482"/>
        <w:rPr>
          <w:rFonts w:hint="eastAsia" w:ascii="仿宋" w:hAnsi="仿宋" w:eastAsia="仿宋" w:cs="仿宋"/>
          <w:b/>
          <w:bCs/>
        </w:rPr>
      </w:pPr>
      <w:r>
        <w:rPr>
          <w:rFonts w:hint="eastAsia" w:ascii="仿宋" w:hAnsi="仿宋" w:eastAsia="仿宋" w:cs="仿宋"/>
          <w:b/>
          <w:bCs/>
        </w:rPr>
        <w:t>15．违约终止合同</w:t>
      </w:r>
    </w:p>
    <w:p w14:paraId="1AE1FBC3">
      <w:pPr>
        <w:spacing w:line="460" w:lineRule="exact"/>
        <w:ind w:firstLine="480"/>
        <w:rPr>
          <w:rFonts w:hint="eastAsia" w:ascii="仿宋" w:hAnsi="仿宋" w:eastAsia="仿宋" w:cs="仿宋"/>
        </w:rPr>
      </w:pPr>
      <w:r>
        <w:rPr>
          <w:rFonts w:hint="eastAsia" w:ascii="仿宋" w:hAnsi="仿宋" w:eastAsia="仿宋" w:cs="仿宋"/>
        </w:rPr>
        <w:t>15.1 出现下列情况之一，采购人在对供方违约而采取的任何补救措 施不受影响的情况下，可向供方发出终止部分或全部合同的书 面通知书。</w:t>
      </w:r>
    </w:p>
    <w:p w14:paraId="2BE1DFC7">
      <w:pPr>
        <w:spacing w:line="460" w:lineRule="exact"/>
        <w:ind w:firstLine="480"/>
        <w:rPr>
          <w:rFonts w:hint="eastAsia" w:ascii="仿宋" w:hAnsi="仿宋" w:eastAsia="仿宋" w:cs="仿宋"/>
        </w:rPr>
      </w:pPr>
      <w:r>
        <w:rPr>
          <w:rFonts w:hint="eastAsia" w:ascii="仿宋" w:hAnsi="仿宋" w:eastAsia="仿宋" w:cs="仿宋"/>
        </w:rPr>
        <w:t>(1)如果供方未能按合同规定的期限或采购人同意延长的限期 内提供部分或全部货物 (服务) 、完成工程施工；</w:t>
      </w:r>
    </w:p>
    <w:p w14:paraId="0A1A92AC">
      <w:pPr>
        <w:spacing w:line="460" w:lineRule="exact"/>
        <w:ind w:firstLine="480"/>
        <w:rPr>
          <w:rFonts w:hint="eastAsia" w:ascii="仿宋" w:hAnsi="仿宋" w:eastAsia="仿宋" w:cs="仿宋"/>
        </w:rPr>
      </w:pPr>
      <w:r>
        <w:rPr>
          <w:rFonts w:hint="eastAsia" w:ascii="仿宋" w:hAnsi="仿宋" w:eastAsia="仿宋" w:cs="仿宋"/>
        </w:rPr>
        <w:t>(2) 供方在收到采购人发出的违约通知后20 天内，或经采购</w:t>
      </w:r>
    </w:p>
    <w:p w14:paraId="618C9DDE">
      <w:pPr>
        <w:spacing w:line="460" w:lineRule="exact"/>
        <w:ind w:firstLine="480"/>
        <w:rPr>
          <w:rFonts w:hint="eastAsia" w:ascii="仿宋" w:hAnsi="仿宋" w:eastAsia="仿宋" w:cs="仿宋"/>
        </w:rPr>
      </w:pPr>
      <w:r>
        <w:rPr>
          <w:rFonts w:hint="eastAsia" w:ascii="仿宋" w:hAnsi="仿宋" w:eastAsia="仿宋" w:cs="仿宋"/>
        </w:rPr>
        <w:t>人书面认可延长的时间内未能纠正其过失；</w:t>
      </w:r>
    </w:p>
    <w:p w14:paraId="279425A2">
      <w:pPr>
        <w:spacing w:line="460" w:lineRule="exact"/>
        <w:ind w:firstLine="480"/>
        <w:rPr>
          <w:rFonts w:hint="eastAsia" w:ascii="仿宋" w:hAnsi="仿宋" w:eastAsia="仿宋" w:cs="仿宋"/>
        </w:rPr>
      </w:pPr>
      <w:r>
        <w:rPr>
          <w:rFonts w:hint="eastAsia" w:ascii="仿宋" w:hAnsi="仿宋" w:eastAsia="仿宋" w:cs="仿宋"/>
        </w:rPr>
        <w:t>(3) 如果供方未能履行合同规定的其它任何义务。</w:t>
      </w:r>
    </w:p>
    <w:p w14:paraId="5419B2EC">
      <w:pPr>
        <w:spacing w:line="460" w:lineRule="exact"/>
        <w:ind w:firstLine="480"/>
        <w:rPr>
          <w:rFonts w:hint="eastAsia" w:ascii="仿宋" w:hAnsi="仿宋" w:eastAsia="仿宋" w:cs="仿宋"/>
        </w:rPr>
      </w:pPr>
      <w:r>
        <w:rPr>
          <w:rFonts w:hint="eastAsia" w:ascii="仿宋" w:hAnsi="仿宋" w:eastAsia="仿宋" w:cs="仿宋"/>
        </w:rPr>
        <w:t>15.2 在采购人根据上述第 15.1 条规定，终止了全部或部分合同后， 采购人可以依其认为适当的条件和方法购买类似未交的货物、 服务或进行工程施工，供方应对采购人购买类似货物、服务或 进行工程施工所超出的费用部分负责，并继续执行合同中未终 止部分。</w:t>
      </w:r>
    </w:p>
    <w:p w14:paraId="0A32FDC6">
      <w:pPr>
        <w:spacing w:line="460" w:lineRule="exact"/>
        <w:ind w:firstLine="482"/>
        <w:rPr>
          <w:rFonts w:hint="eastAsia" w:ascii="仿宋" w:hAnsi="仿宋" w:eastAsia="仿宋" w:cs="仿宋"/>
          <w:b/>
          <w:bCs/>
        </w:rPr>
      </w:pPr>
      <w:r>
        <w:rPr>
          <w:rFonts w:hint="eastAsia" w:ascii="仿宋" w:hAnsi="仿宋" w:eastAsia="仿宋" w:cs="仿宋"/>
          <w:b/>
          <w:bCs/>
        </w:rPr>
        <w:t>16．破产终止合同</w:t>
      </w:r>
    </w:p>
    <w:p w14:paraId="71F01160">
      <w:pPr>
        <w:spacing w:line="460" w:lineRule="exact"/>
        <w:ind w:firstLine="480"/>
        <w:rPr>
          <w:rFonts w:hint="eastAsia" w:ascii="仿宋" w:hAnsi="仿宋" w:eastAsia="仿宋" w:cs="仿宋"/>
        </w:rPr>
      </w:pPr>
      <w:r>
        <w:rPr>
          <w:rFonts w:hint="eastAsia" w:ascii="仿宋" w:hAnsi="仿宋" w:eastAsia="仿宋" w:cs="仿宋"/>
        </w:rPr>
        <w:t>16.1 如果供方破产或无清偿能力时，采购人可在任何时候以书面形 式通知供方终止合同而无须给供方补偿。终止该合同将不损害 或影响采购人已经采取或将要采取的补救措施的权利。</w:t>
      </w:r>
    </w:p>
    <w:p w14:paraId="150CBBC3">
      <w:pPr>
        <w:spacing w:line="460" w:lineRule="exact"/>
        <w:ind w:firstLine="482"/>
        <w:rPr>
          <w:rFonts w:hint="eastAsia" w:ascii="仿宋" w:hAnsi="仿宋" w:eastAsia="仿宋" w:cs="仿宋"/>
          <w:b/>
          <w:bCs/>
        </w:rPr>
      </w:pPr>
      <w:r>
        <w:rPr>
          <w:rFonts w:hint="eastAsia" w:ascii="仿宋" w:hAnsi="仿宋" w:eastAsia="仿宋" w:cs="仿宋"/>
          <w:b/>
          <w:bCs/>
        </w:rPr>
        <w:t>17．转让</w:t>
      </w:r>
    </w:p>
    <w:p w14:paraId="2267D9A4">
      <w:pPr>
        <w:spacing w:line="460" w:lineRule="exact"/>
        <w:ind w:firstLine="480"/>
        <w:rPr>
          <w:rFonts w:hint="eastAsia" w:ascii="仿宋" w:hAnsi="仿宋" w:eastAsia="仿宋" w:cs="仿宋"/>
        </w:rPr>
      </w:pPr>
      <w:r>
        <w:rPr>
          <w:rFonts w:hint="eastAsia" w:ascii="仿宋" w:hAnsi="仿宋" w:eastAsia="仿宋" w:cs="仿宋"/>
        </w:rPr>
        <w:t>17.1 除采购人事先书面同意外，供方不得部分转让或全部转让其应 履行的合同义务。</w:t>
      </w:r>
    </w:p>
    <w:p w14:paraId="5FB6664B">
      <w:pPr>
        <w:spacing w:line="460" w:lineRule="exact"/>
        <w:ind w:firstLine="482"/>
        <w:rPr>
          <w:rFonts w:hint="eastAsia" w:ascii="仿宋" w:hAnsi="仿宋" w:eastAsia="仿宋" w:cs="仿宋"/>
          <w:b/>
          <w:bCs/>
        </w:rPr>
      </w:pPr>
      <w:r>
        <w:rPr>
          <w:rFonts w:hint="eastAsia" w:ascii="仿宋" w:hAnsi="仿宋" w:eastAsia="仿宋" w:cs="仿宋"/>
          <w:b/>
          <w:bCs/>
        </w:rPr>
        <w:t>18．适用法律</w:t>
      </w:r>
    </w:p>
    <w:p w14:paraId="369834E7">
      <w:pPr>
        <w:spacing w:line="460" w:lineRule="exact"/>
        <w:ind w:firstLine="480"/>
        <w:rPr>
          <w:rFonts w:hint="eastAsia" w:ascii="仿宋" w:hAnsi="仿宋" w:eastAsia="仿宋" w:cs="仿宋"/>
        </w:rPr>
      </w:pPr>
      <w:r>
        <w:rPr>
          <w:rFonts w:hint="eastAsia" w:ascii="仿宋" w:hAnsi="仿宋" w:eastAsia="仿宋" w:cs="仿宋"/>
        </w:rPr>
        <w:t>18.1 本合同应按中华人民共和国的法律进行解释。</w:t>
      </w:r>
    </w:p>
    <w:p w14:paraId="6DB49A10">
      <w:pPr>
        <w:spacing w:line="460" w:lineRule="exact"/>
        <w:ind w:firstLine="482"/>
        <w:rPr>
          <w:rFonts w:hint="eastAsia" w:ascii="仿宋" w:hAnsi="仿宋" w:eastAsia="仿宋" w:cs="仿宋"/>
          <w:b/>
          <w:bCs/>
        </w:rPr>
      </w:pPr>
      <w:r>
        <w:rPr>
          <w:rFonts w:hint="eastAsia" w:ascii="仿宋" w:hAnsi="仿宋" w:eastAsia="仿宋" w:cs="仿宋"/>
          <w:b/>
          <w:bCs/>
        </w:rPr>
        <w:t>19．合同生效</w:t>
      </w:r>
    </w:p>
    <w:p w14:paraId="68D2331B">
      <w:pPr>
        <w:spacing w:line="460" w:lineRule="exact"/>
        <w:ind w:firstLine="480"/>
        <w:rPr>
          <w:rFonts w:hint="eastAsia" w:ascii="仿宋" w:hAnsi="仿宋" w:eastAsia="仿宋" w:cs="仿宋"/>
        </w:rPr>
      </w:pPr>
      <w:r>
        <w:rPr>
          <w:rFonts w:hint="eastAsia" w:ascii="仿宋" w:hAnsi="仿宋" w:eastAsia="仿宋" w:cs="仿宋"/>
        </w:rPr>
        <w:t>19.1 合同在双方授权代表签字并盖章后生效。</w:t>
      </w:r>
    </w:p>
    <w:p w14:paraId="7FAAD194">
      <w:pPr>
        <w:spacing w:line="460" w:lineRule="exact"/>
        <w:ind w:firstLine="480"/>
        <w:rPr>
          <w:rFonts w:hint="eastAsia" w:ascii="仿宋" w:hAnsi="仿宋" w:eastAsia="仿宋" w:cs="仿宋"/>
        </w:rPr>
      </w:pPr>
      <w:r>
        <w:rPr>
          <w:rFonts w:hint="eastAsia" w:ascii="仿宋" w:hAnsi="仿宋" w:eastAsia="仿宋" w:cs="仿宋"/>
        </w:rPr>
        <w:t>19.2 本合同一式四份，以中文书写，采购人、供方、采购中心、政 府采购监管部门各执一份。</w:t>
      </w:r>
    </w:p>
    <w:p w14:paraId="03DC0DAC">
      <w:pPr>
        <w:spacing w:line="460" w:lineRule="exact"/>
        <w:ind w:firstLine="482"/>
        <w:rPr>
          <w:rFonts w:hint="eastAsia" w:ascii="仿宋" w:hAnsi="仿宋" w:eastAsia="仿宋" w:cs="仿宋"/>
          <w:b/>
          <w:bCs/>
        </w:rPr>
      </w:pPr>
      <w:r>
        <w:rPr>
          <w:rFonts w:hint="eastAsia" w:ascii="仿宋" w:hAnsi="仿宋" w:eastAsia="仿宋" w:cs="仿宋"/>
          <w:b/>
          <w:bCs/>
        </w:rPr>
        <w:t>20.  争议解决方式</w:t>
      </w:r>
    </w:p>
    <w:p w14:paraId="1B47066F">
      <w:pPr>
        <w:spacing w:line="460" w:lineRule="exact"/>
        <w:ind w:firstLine="480"/>
        <w:rPr>
          <w:rFonts w:hint="eastAsia" w:ascii="仿宋" w:hAnsi="仿宋" w:eastAsia="仿宋" w:cs="仿宋"/>
        </w:rPr>
      </w:pPr>
      <w:r>
        <w:rPr>
          <w:rFonts w:hint="eastAsia" w:ascii="仿宋" w:hAnsi="仿宋" w:eastAsia="仿宋" w:cs="仿宋"/>
        </w:rPr>
        <w:t>20.1 合同实施或与合同有关的一切争议应通过双方协商解决。若协 商不成，则向采购人所在地法院提起诉讼。</w:t>
      </w:r>
    </w:p>
    <w:p w14:paraId="30E4DFDB">
      <w:pPr>
        <w:spacing w:line="460" w:lineRule="exact"/>
        <w:ind w:firstLine="482"/>
        <w:rPr>
          <w:rFonts w:hint="eastAsia" w:ascii="仿宋" w:hAnsi="仿宋" w:eastAsia="仿宋" w:cs="仿宋"/>
          <w:b/>
          <w:bCs/>
        </w:rPr>
      </w:pPr>
      <w:r>
        <w:rPr>
          <w:rFonts w:hint="eastAsia" w:ascii="仿宋" w:hAnsi="仿宋" w:eastAsia="仿宋" w:cs="仿宋"/>
          <w:b/>
          <w:bCs/>
        </w:rPr>
        <w:t>21．合同修改</w:t>
      </w:r>
    </w:p>
    <w:p w14:paraId="2A33C4DB">
      <w:pPr>
        <w:spacing w:line="460" w:lineRule="exact"/>
        <w:ind w:firstLine="480"/>
        <w:rPr>
          <w:rFonts w:hint="eastAsia" w:ascii="仿宋" w:hAnsi="仿宋" w:eastAsia="仿宋" w:cs="仿宋"/>
        </w:rPr>
      </w:pPr>
      <w:r>
        <w:rPr>
          <w:rFonts w:hint="eastAsia" w:ascii="仿宋" w:hAnsi="仿宋" w:eastAsia="仿宋" w:cs="仿宋"/>
        </w:rPr>
        <w:t>21.1 除双方签署书面修改协议，并成为本合同不可分割的一部分的 情况之外，本合同不得有任何变化或修改。</w:t>
      </w:r>
    </w:p>
    <w:p w14:paraId="318BEE22">
      <w:pPr>
        <w:rPr>
          <w:rFonts w:hint="eastAsia" w:ascii="仿宋" w:hAnsi="仿宋" w:eastAsia="仿宋" w:cs="仿宋"/>
        </w:rPr>
      </w:pPr>
    </w:p>
    <w:p w14:paraId="58AC2634"/>
    <w:p w14:paraId="12E562C6">
      <w:pPr>
        <w:pStyle w:val="47"/>
        <w:keepNext w:val="0"/>
        <w:keepLines w:val="0"/>
        <w:pageBreakBefore w:val="0"/>
        <w:widowControl w:val="0"/>
        <w:kinsoku/>
        <w:wordWrap/>
        <w:overflowPunct/>
        <w:topLinePunct w:val="0"/>
        <w:bidi w:val="0"/>
        <w:snapToGrid/>
        <w:spacing w:line="280" w:lineRule="exact"/>
        <w:ind w:firstLine="420" w:firstLineChars="200"/>
        <w:textAlignment w:val="auto"/>
        <w:rPr>
          <w:rFonts w:hint="eastAsia" w:ascii="仿宋" w:hAnsi="仿宋" w:eastAsia="仿宋" w:cs="仿宋"/>
          <w:sz w:val="21"/>
          <w:szCs w:val="21"/>
        </w:rPr>
      </w:pPr>
    </w:p>
    <w:p w14:paraId="1CAA63B2">
      <w:pPr>
        <w:autoSpaceDE w:val="0"/>
        <w:autoSpaceDN w:val="0"/>
        <w:adjustRightInd w:val="0"/>
        <w:spacing w:line="440" w:lineRule="exact"/>
        <w:jc w:val="both"/>
        <w:outlineLvl w:val="0"/>
        <w:rPr>
          <w:rFonts w:hint="eastAsia" w:ascii="仿宋" w:hAnsi="仿宋" w:eastAsia="仿宋" w:cs="仿宋"/>
          <w:b/>
          <w:bCs/>
          <w:color w:val="auto"/>
          <w:sz w:val="21"/>
          <w:szCs w:val="21"/>
          <w:highlight w:val="none"/>
        </w:rPr>
      </w:pPr>
    </w:p>
    <w:p w14:paraId="63FB16A8">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5A027792">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14EF1A58">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360CF756">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63D50BD7">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6A319A83">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36D938AE">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3DCFA688">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0BEC92DE">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35BCB0B1">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2F26AC82">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6B5746B7">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46384B16">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6E95E4B3">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1D19E7A8">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3C242732">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6EACA60B">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1C71110B">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212E3020">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47D84D8A">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188795AB">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492BCC86">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14:paraId="44927D1A">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rPr>
        <w:t>第五部分　</w:t>
      </w:r>
      <w:bookmarkEnd w:id="130"/>
      <w:bookmarkEnd w:id="131"/>
      <w:bookmarkEnd w:id="132"/>
      <w:bookmarkEnd w:id="133"/>
      <w:bookmarkEnd w:id="134"/>
      <w:bookmarkEnd w:id="135"/>
      <w:r>
        <w:rPr>
          <w:rFonts w:hint="eastAsia" w:ascii="仿宋" w:hAnsi="仿宋" w:eastAsia="仿宋" w:cs="仿宋"/>
          <w:b/>
          <w:bCs/>
          <w:color w:val="auto"/>
          <w:sz w:val="21"/>
          <w:szCs w:val="21"/>
        </w:rPr>
        <w:t>磋商响应文件及格式</w:t>
      </w:r>
    </w:p>
    <w:p w14:paraId="65E1F7B7">
      <w:pPr>
        <w:spacing w:line="400" w:lineRule="atLeast"/>
        <w:jc w:val="center"/>
        <w:rPr>
          <w:rFonts w:hint="eastAsia" w:ascii="仿宋" w:hAnsi="仿宋" w:eastAsia="仿宋" w:cs="仿宋"/>
          <w:color w:val="auto"/>
          <w:sz w:val="21"/>
          <w:szCs w:val="21"/>
          <w:highlight w:val="none"/>
        </w:rPr>
      </w:pPr>
    </w:p>
    <w:p w14:paraId="555DAC97">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14:paraId="34255773">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14:paraId="40FB5D5D">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bookmarkStart w:id="136" w:name="_Toc727"/>
      <w:bookmarkStart w:id="137" w:name="_Toc6125"/>
      <w:r>
        <w:rPr>
          <w:rFonts w:hint="eastAsia" w:ascii="仿宋" w:hAnsi="仿宋" w:eastAsia="仿宋" w:cs="仿宋"/>
          <w:color w:val="auto"/>
          <w:sz w:val="21"/>
          <w:szCs w:val="21"/>
          <w:highlight w:val="none"/>
          <w:lang w:val="zh-CN"/>
        </w:rPr>
        <w:t>注：为了便于查找，标注目录及页码</w:t>
      </w:r>
      <w:bookmarkEnd w:id="136"/>
      <w:bookmarkEnd w:id="137"/>
    </w:p>
    <w:p w14:paraId="23394BE3">
      <w:pPr>
        <w:autoSpaceDE w:val="0"/>
        <w:autoSpaceDN w:val="0"/>
        <w:adjustRightInd w:val="0"/>
        <w:spacing w:line="440" w:lineRule="exact"/>
        <w:jc w:val="center"/>
        <w:outlineLvl w:val="0"/>
        <w:rPr>
          <w:rFonts w:hint="eastAsia" w:ascii="仿宋" w:hAnsi="仿宋" w:eastAsia="仿宋" w:cs="仿宋"/>
          <w:color w:val="auto"/>
          <w:sz w:val="21"/>
          <w:szCs w:val="21"/>
          <w:highlight w:val="none"/>
          <w:lang w:val="zh-CN"/>
        </w:rPr>
      </w:pPr>
      <w:bookmarkStart w:id="138" w:name="_Toc23556"/>
      <w:bookmarkStart w:id="139" w:name="_Toc24845"/>
      <w:r>
        <w:rPr>
          <w:rFonts w:hint="eastAsia" w:ascii="仿宋" w:hAnsi="仿宋" w:eastAsia="仿宋" w:cs="仿宋"/>
          <w:color w:val="auto"/>
          <w:sz w:val="21"/>
          <w:szCs w:val="21"/>
          <w:highlight w:val="none"/>
          <w:lang w:val="zh-CN"/>
        </w:rPr>
        <w:t>（以下内容需按要求提供相应证明材料）</w:t>
      </w:r>
      <w:bookmarkEnd w:id="138"/>
      <w:bookmarkEnd w:id="139"/>
    </w:p>
    <w:p w14:paraId="17D6373C">
      <w:pPr>
        <w:autoSpaceDE w:val="0"/>
        <w:autoSpaceDN w:val="0"/>
        <w:adjustRightInd w:val="0"/>
        <w:spacing w:line="440" w:lineRule="exact"/>
        <w:jc w:val="center"/>
        <w:rPr>
          <w:rFonts w:hint="eastAsia" w:ascii="仿宋" w:hAnsi="仿宋" w:eastAsia="仿宋" w:cs="仿宋"/>
          <w:b/>
          <w:bCs/>
          <w:color w:val="auto"/>
          <w:sz w:val="21"/>
          <w:szCs w:val="21"/>
          <w:highlight w:val="none"/>
          <w:lang w:val="zh-CN"/>
        </w:rPr>
      </w:pPr>
    </w:p>
    <w:p w14:paraId="5FCF8F36">
      <w:pPr>
        <w:autoSpaceDE w:val="0"/>
        <w:autoSpaceDN w:val="0"/>
        <w:adjustRightInd w:val="0"/>
        <w:spacing w:line="440" w:lineRule="exact"/>
        <w:rPr>
          <w:rFonts w:hint="eastAsia" w:ascii="仿宋" w:hAnsi="仿宋" w:eastAsia="仿宋" w:cs="仿宋"/>
          <w:b/>
          <w:bCs/>
          <w:color w:val="auto"/>
          <w:sz w:val="21"/>
          <w:szCs w:val="21"/>
          <w:highlight w:val="none"/>
          <w:lang w:val="zh-CN"/>
        </w:rPr>
      </w:pPr>
    </w:p>
    <w:p w14:paraId="713ABCA8">
      <w:pPr>
        <w:pStyle w:val="3"/>
        <w:jc w:val="center"/>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lang w:val="zh-CN"/>
        </w:rPr>
        <w:br w:type="page"/>
      </w:r>
      <w:bookmarkStart w:id="140" w:name="_Toc383102810"/>
      <w:bookmarkStart w:id="141" w:name="_Toc414108641"/>
      <w:r>
        <w:rPr>
          <w:rFonts w:hint="eastAsia" w:ascii="仿宋" w:hAnsi="仿宋" w:eastAsia="仿宋" w:cs="仿宋"/>
          <w:color w:val="auto"/>
          <w:sz w:val="21"/>
          <w:szCs w:val="21"/>
          <w:highlight w:val="none"/>
          <w:lang w:val="zh-CN"/>
        </w:rPr>
        <w:t>商</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务</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标</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格</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式</w:t>
      </w:r>
      <w:bookmarkEnd w:id="140"/>
      <w:bookmarkEnd w:id="141"/>
    </w:p>
    <w:p w14:paraId="70440414">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商务标封面示例</w:t>
      </w:r>
    </w:p>
    <w:p w14:paraId="2D29B444">
      <w:pPr>
        <w:autoSpaceDE w:val="0"/>
        <w:autoSpaceDN w:val="0"/>
        <w:adjustRightInd w:val="0"/>
        <w:ind w:firstLine="5040" w:firstLineChars="2400"/>
        <w:rPr>
          <w:rFonts w:hint="eastAsia" w:ascii="仿宋" w:hAnsi="仿宋" w:eastAsia="仿宋" w:cs="仿宋"/>
          <w:color w:val="auto"/>
          <w:sz w:val="21"/>
          <w:szCs w:val="21"/>
          <w:highlight w:val="none"/>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正本/副本</w:t>
      </w:r>
    </w:p>
    <w:p w14:paraId="73D91F51">
      <w:pPr>
        <w:autoSpaceDE w:val="0"/>
        <w:autoSpaceDN w:val="0"/>
        <w:adjustRightInd w:val="0"/>
        <w:rPr>
          <w:rFonts w:hint="eastAsia" w:ascii="仿宋" w:hAnsi="仿宋" w:eastAsia="仿宋" w:cs="仿宋"/>
          <w:color w:val="auto"/>
          <w:sz w:val="21"/>
          <w:szCs w:val="21"/>
          <w:highlight w:val="none"/>
        </w:rPr>
      </w:pPr>
    </w:p>
    <w:p w14:paraId="78AA6402">
      <w:pPr>
        <w:jc w:val="center"/>
        <w:rPr>
          <w:rFonts w:hint="eastAsia" w:ascii="仿宋" w:hAnsi="仿宋" w:eastAsia="仿宋" w:cs="仿宋"/>
          <w:b/>
          <w:bCs/>
          <w:color w:val="auto"/>
          <w:sz w:val="21"/>
          <w:szCs w:val="21"/>
          <w:highlight w:val="none"/>
          <w:lang w:val="zh-CN"/>
        </w:rPr>
      </w:pPr>
    </w:p>
    <w:p w14:paraId="01AACF15">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zh-CN"/>
        </w:rPr>
        <w:t>响应文件商务标</w:t>
      </w:r>
    </w:p>
    <w:p w14:paraId="3212D292">
      <w:pPr>
        <w:autoSpaceDE w:val="0"/>
        <w:autoSpaceDN w:val="0"/>
        <w:adjustRightInd w:val="0"/>
        <w:rPr>
          <w:rFonts w:hint="eastAsia" w:ascii="仿宋" w:hAnsi="仿宋" w:eastAsia="仿宋" w:cs="仿宋"/>
          <w:color w:val="auto"/>
          <w:sz w:val="21"/>
          <w:szCs w:val="21"/>
          <w:highlight w:val="none"/>
        </w:rPr>
      </w:pPr>
    </w:p>
    <w:p w14:paraId="2E622420">
      <w:pPr>
        <w:autoSpaceDE w:val="0"/>
        <w:autoSpaceDN w:val="0"/>
        <w:adjustRightInd w:val="0"/>
        <w:rPr>
          <w:rFonts w:hint="eastAsia" w:ascii="仿宋" w:hAnsi="仿宋" w:eastAsia="仿宋" w:cs="仿宋"/>
          <w:color w:val="auto"/>
          <w:sz w:val="21"/>
          <w:szCs w:val="21"/>
          <w:highlight w:val="none"/>
        </w:rPr>
      </w:pPr>
    </w:p>
    <w:p w14:paraId="7981BE3F">
      <w:pPr>
        <w:autoSpaceDE w:val="0"/>
        <w:autoSpaceDN w:val="0"/>
        <w:adjustRightInd w:val="0"/>
        <w:rPr>
          <w:rFonts w:hint="eastAsia" w:ascii="仿宋" w:hAnsi="仿宋" w:eastAsia="仿宋" w:cs="仿宋"/>
          <w:color w:val="auto"/>
          <w:sz w:val="21"/>
          <w:szCs w:val="21"/>
          <w:highlight w:val="none"/>
        </w:rPr>
      </w:pPr>
    </w:p>
    <w:p w14:paraId="04EAD36E">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u w:val="single"/>
          <w:lang w:val="en-US" w:eastAsia="zh-CN"/>
        </w:rPr>
        <w:t xml:space="preserve">                           </w:t>
      </w:r>
    </w:p>
    <w:p w14:paraId="62261E77">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u w:val="single"/>
          <w:lang w:val="en-US" w:eastAsia="zh-CN"/>
        </w:rPr>
        <w:t xml:space="preserve">                           </w:t>
      </w:r>
    </w:p>
    <w:p w14:paraId="3572C804">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采购人：</w:t>
      </w:r>
      <w:r>
        <w:rPr>
          <w:rFonts w:hint="eastAsia" w:ascii="仿宋" w:hAnsi="仿宋" w:eastAsia="仿宋" w:cs="仿宋"/>
          <w:color w:val="auto"/>
          <w:sz w:val="21"/>
          <w:szCs w:val="21"/>
          <w:highlight w:val="none"/>
          <w:u w:val="single"/>
          <w:lang w:val="en-US" w:eastAsia="zh-CN"/>
        </w:rPr>
        <w:t xml:space="preserve">                             </w:t>
      </w:r>
    </w:p>
    <w:p w14:paraId="005744AA">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14:paraId="707C23D0">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法定代表人或被授权代理人：</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14:paraId="13A7A4AD">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单位地址：</w:t>
      </w:r>
      <w:r>
        <w:rPr>
          <w:rFonts w:hint="eastAsia" w:ascii="仿宋" w:hAnsi="仿宋" w:eastAsia="仿宋" w:cs="仿宋"/>
          <w:color w:val="auto"/>
          <w:sz w:val="21"/>
          <w:szCs w:val="21"/>
          <w:highlight w:val="none"/>
          <w:u w:val="single"/>
          <w:lang w:val="en-US" w:eastAsia="zh-CN"/>
        </w:rPr>
        <w:t xml:space="preserve">                           </w:t>
      </w:r>
    </w:p>
    <w:p w14:paraId="2DB4B089">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lang w:val="en-US" w:eastAsia="zh-CN"/>
        </w:rPr>
        <w:t xml:space="preserve">                             </w:t>
      </w:r>
    </w:p>
    <w:p w14:paraId="372E2AE3">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single"/>
          <w:lang w:val="en-US" w:eastAsia="zh-CN"/>
        </w:rPr>
        <w:t xml:space="preserve">                           </w:t>
      </w:r>
    </w:p>
    <w:p w14:paraId="3E8F7F37">
      <w:pPr>
        <w:autoSpaceDE w:val="0"/>
        <w:autoSpaceDN w:val="0"/>
        <w:adjustRightInd w:val="0"/>
        <w:jc w:val="left"/>
        <w:rPr>
          <w:rFonts w:hint="eastAsia" w:ascii="仿宋" w:hAnsi="仿宋" w:eastAsia="仿宋" w:cs="仿宋"/>
          <w:color w:val="auto"/>
          <w:sz w:val="21"/>
          <w:szCs w:val="21"/>
          <w:highlight w:val="none"/>
        </w:rPr>
      </w:pPr>
    </w:p>
    <w:p w14:paraId="3CD61670">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年      月       日</w:t>
      </w:r>
    </w:p>
    <w:p w14:paraId="66ED72C3">
      <w:pPr>
        <w:autoSpaceDE w:val="0"/>
        <w:autoSpaceDN w:val="0"/>
        <w:adjustRightInd w:val="0"/>
        <w:rPr>
          <w:rFonts w:hint="eastAsia" w:ascii="仿宋" w:hAnsi="仿宋" w:eastAsia="仿宋" w:cs="仿宋"/>
          <w:color w:val="auto"/>
          <w:sz w:val="21"/>
          <w:szCs w:val="21"/>
          <w:highlight w:val="none"/>
        </w:rPr>
      </w:pPr>
    </w:p>
    <w:p w14:paraId="6BD30E5F">
      <w:pPr>
        <w:autoSpaceDE w:val="0"/>
        <w:autoSpaceDN w:val="0"/>
        <w:adjustRightInd w:val="0"/>
        <w:rPr>
          <w:rFonts w:hint="eastAsia" w:ascii="仿宋" w:hAnsi="仿宋" w:eastAsia="仿宋" w:cs="仿宋"/>
          <w:color w:val="auto"/>
          <w:sz w:val="21"/>
          <w:szCs w:val="21"/>
          <w:highlight w:val="none"/>
        </w:rPr>
      </w:pPr>
    </w:p>
    <w:p w14:paraId="37E483DC">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14:paraId="54DA319F">
      <w:pPr>
        <w:pStyle w:val="3"/>
        <w:jc w:val="center"/>
        <w:rPr>
          <w:rFonts w:hint="eastAsia" w:ascii="仿宋" w:hAnsi="仿宋" w:eastAsia="仿宋" w:cs="仿宋"/>
          <w:color w:val="auto"/>
          <w:sz w:val="21"/>
          <w:szCs w:val="21"/>
          <w:lang w:eastAsia="zh-CN"/>
        </w:rPr>
      </w:pPr>
      <w:bookmarkStart w:id="142" w:name="_Toc8540"/>
      <w:bookmarkStart w:id="143" w:name="_Toc23287"/>
      <w:bookmarkStart w:id="144" w:name="_Toc19403"/>
      <w:bookmarkStart w:id="145" w:name="_Toc17339"/>
      <w:r>
        <w:rPr>
          <w:rFonts w:hint="eastAsia" w:ascii="仿宋" w:hAnsi="仿宋" w:eastAsia="仿宋" w:cs="仿宋"/>
          <w:color w:val="auto"/>
          <w:sz w:val="21"/>
          <w:szCs w:val="21"/>
          <w:lang w:eastAsia="zh-CN"/>
        </w:rPr>
        <w:t>一、</w:t>
      </w:r>
      <w:r>
        <w:rPr>
          <w:rFonts w:hint="eastAsia" w:ascii="仿宋" w:hAnsi="仿宋" w:eastAsia="仿宋" w:cs="仿宋"/>
          <w:color w:val="auto"/>
          <w:sz w:val="21"/>
          <w:szCs w:val="21"/>
        </w:rPr>
        <w:t>投 标</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承</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诺 书</w:t>
      </w:r>
      <w:bookmarkEnd w:id="142"/>
      <w:bookmarkEnd w:id="143"/>
      <w:bookmarkEnd w:id="144"/>
      <w:bookmarkEnd w:id="145"/>
    </w:p>
    <w:p w14:paraId="77D50CDC">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r>
        <w:rPr>
          <w:rFonts w:hint="eastAsia" w:ascii="仿宋" w:hAnsi="仿宋" w:eastAsia="仿宋" w:cs="仿宋"/>
          <w:color w:val="auto"/>
          <w:sz w:val="21"/>
          <w:szCs w:val="21"/>
        </w:rPr>
        <w:t>：</w:t>
      </w:r>
    </w:p>
    <w:p w14:paraId="1B828922">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收到你们的</w:t>
      </w:r>
      <w:r>
        <w:rPr>
          <w:rFonts w:hint="eastAsia" w:ascii="仿宋" w:hAnsi="仿宋" w:eastAsia="仿宋" w:cs="仿宋"/>
          <w:color w:val="auto"/>
          <w:sz w:val="21"/>
          <w:szCs w:val="21"/>
          <w:u w:val="single"/>
        </w:rPr>
        <w:t xml:space="preserve">        （项目名称）</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，经认真研究，我们决定参加投标。</w:t>
      </w:r>
    </w:p>
    <w:p w14:paraId="2AC79A64">
      <w:pPr>
        <w:numPr>
          <w:ilvl w:val="0"/>
          <w:numId w:val="12"/>
        </w:numPr>
        <w:spacing w:line="44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按照</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中的一切要求，提供招标的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w:t>
      </w:r>
      <w:r>
        <w:rPr>
          <w:rFonts w:hint="eastAsia" w:ascii="仿宋" w:hAnsi="仿宋" w:eastAsia="仿宋" w:cs="仿宋"/>
          <w:color w:val="auto"/>
          <w:kern w:val="0"/>
          <w:sz w:val="21"/>
          <w:szCs w:val="21"/>
        </w:rPr>
        <w:t>开具发票和相关售后等服务</w:t>
      </w:r>
      <w:r>
        <w:rPr>
          <w:rFonts w:hint="eastAsia" w:ascii="仿宋" w:hAnsi="仿宋" w:eastAsia="仿宋" w:cs="仿宋"/>
          <w:color w:val="auto"/>
          <w:sz w:val="21"/>
          <w:szCs w:val="21"/>
        </w:rPr>
        <w:t>。总价为￥：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元（用数字书写）人民币大写</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，明细见投标报价表。</w:t>
      </w:r>
    </w:p>
    <w:p w14:paraId="460C78A1">
      <w:pPr>
        <w:numPr>
          <w:ilvl w:val="0"/>
          <w:numId w:val="12"/>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如果我们的投标书被接受，我们将履行</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中规定的每一项义务和要求，按期、按质、完成交货。</w:t>
      </w:r>
    </w:p>
    <w:p w14:paraId="20DE91CE">
      <w:pPr>
        <w:numPr>
          <w:ilvl w:val="0"/>
          <w:numId w:val="12"/>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我们同意按</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的规定，本标书的有效期为开标后</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天。</w:t>
      </w:r>
    </w:p>
    <w:p w14:paraId="7E3D1528">
      <w:pPr>
        <w:numPr>
          <w:ilvl w:val="0"/>
          <w:numId w:val="12"/>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我们愿意提供招标人在</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中要求的所有资料。</w:t>
      </w:r>
    </w:p>
    <w:p w14:paraId="7933643B">
      <w:pPr>
        <w:numPr>
          <w:ilvl w:val="0"/>
          <w:numId w:val="12"/>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我们认为你们有选择或拒绝任何投标者中标的权利。我们理解，最低报价不是中标的唯一条件。</w:t>
      </w:r>
    </w:p>
    <w:p w14:paraId="3F0E80D9">
      <w:pPr>
        <w:numPr>
          <w:ilvl w:val="0"/>
          <w:numId w:val="12"/>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我们愿意按合同履行自己的全部责任。</w:t>
      </w:r>
    </w:p>
    <w:p w14:paraId="7868691C">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该项投标在开标后全过程中保持有效，不做任何更改和变动。</w:t>
      </w:r>
    </w:p>
    <w:p w14:paraId="3EFBAD90">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我们同意按</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规定，缴纳</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元投标保证金。</w:t>
      </w:r>
    </w:p>
    <w:p w14:paraId="5FCBD87A">
      <w:pPr>
        <w:spacing w:line="440" w:lineRule="exact"/>
        <w:ind w:left="691" w:leftChars="229" w:hanging="210" w:hangingChars="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我们保证</w:t>
      </w:r>
      <w:r>
        <w:rPr>
          <w:rFonts w:hint="eastAsia" w:ascii="仿宋" w:hAnsi="仿宋" w:eastAsia="仿宋" w:cs="仿宋"/>
          <w:color w:val="auto"/>
          <w:sz w:val="21"/>
          <w:szCs w:val="21"/>
          <w:lang w:eastAsia="zh-CN"/>
        </w:rPr>
        <w:t>响应文件</w:t>
      </w:r>
      <w:r>
        <w:rPr>
          <w:rFonts w:hint="eastAsia" w:ascii="仿宋" w:hAnsi="仿宋" w:eastAsia="仿宋" w:cs="仿宋"/>
          <w:color w:val="auto"/>
          <w:sz w:val="21"/>
          <w:szCs w:val="21"/>
        </w:rPr>
        <w:t>中的所有证件和内容真实有效，否则我们愿意承担一切法律责任。</w:t>
      </w:r>
    </w:p>
    <w:p w14:paraId="06F09E52">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11、其他说明。</w:t>
      </w:r>
    </w:p>
    <w:p w14:paraId="3EB0044A">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12、所有有关本标书的函电，请按下列地址联系：</w:t>
      </w:r>
    </w:p>
    <w:p w14:paraId="4EBB76A0">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投标单位(盖章)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14:paraId="28F37F31">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14:paraId="5289F167">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lang w:val="en-US" w:eastAsia="zh-CN"/>
        </w:rPr>
        <w:t xml:space="preserve">                                           </w:t>
      </w:r>
    </w:p>
    <w:p w14:paraId="66EFE9D6">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lang w:val="en-US" w:eastAsia="zh-CN"/>
        </w:rPr>
        <w:t xml:space="preserve">                                           </w:t>
      </w:r>
    </w:p>
    <w:p w14:paraId="4B8C5CCB">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联系人：</w:t>
      </w:r>
      <w:r>
        <w:rPr>
          <w:rFonts w:hint="eastAsia" w:ascii="仿宋" w:hAnsi="仿宋" w:eastAsia="仿宋" w:cs="仿宋"/>
          <w:color w:val="auto"/>
          <w:sz w:val="21"/>
          <w:szCs w:val="21"/>
          <w:u w:val="single"/>
          <w:lang w:val="en-US" w:eastAsia="zh-CN"/>
        </w:rPr>
        <w:t xml:space="preserve">                                         </w:t>
      </w:r>
    </w:p>
    <w:p w14:paraId="16917735">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14:paraId="6C22C3CC">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rPr>
        <w:br w:type="page"/>
      </w:r>
    </w:p>
    <w:p w14:paraId="53A6F04B">
      <w:pPr>
        <w:pStyle w:val="4"/>
        <w:keepNext w:val="0"/>
        <w:tabs>
          <w:tab w:val="left" w:pos="720"/>
          <w:tab w:val="left" w:pos="1680"/>
        </w:tabs>
        <w:spacing w:before="0" w:line="520" w:lineRule="exact"/>
        <w:ind w:right="-340" w:rightChars="-162"/>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、投标报价表</w:t>
      </w:r>
    </w:p>
    <w:p w14:paraId="47CB44CF">
      <w:pPr>
        <w:ind w:right="-340" w:rightChars="-162"/>
        <w:rPr>
          <w:rFonts w:hint="eastAsia" w:ascii="仿宋" w:hAnsi="仿宋" w:eastAsia="仿宋" w:cs="仿宋"/>
          <w:color w:val="auto"/>
          <w:sz w:val="21"/>
          <w:szCs w:val="21"/>
        </w:rPr>
      </w:pPr>
      <w:r>
        <w:rPr>
          <w:rFonts w:hint="eastAsia" w:ascii="仿宋" w:hAnsi="仿宋" w:eastAsia="仿宋" w:cs="仿宋"/>
          <w:color w:val="auto"/>
          <w:sz w:val="21"/>
          <w:szCs w:val="21"/>
        </w:rPr>
        <w:t>投标报价汇总表</w:t>
      </w:r>
    </w:p>
    <w:tbl>
      <w:tblPr>
        <w:tblStyle w:val="24"/>
        <w:tblW w:w="98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1882"/>
        <w:gridCol w:w="1971"/>
        <w:gridCol w:w="1530"/>
        <w:gridCol w:w="1268"/>
        <w:gridCol w:w="1231"/>
        <w:gridCol w:w="1050"/>
      </w:tblGrid>
      <w:tr w14:paraId="16963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956" w:type="dxa"/>
            <w:noWrap w:val="0"/>
            <w:vAlign w:val="center"/>
          </w:tcPr>
          <w:p w14:paraId="63DE0D8C">
            <w:pPr>
              <w:rPr>
                <w:rFonts w:hint="eastAsia" w:ascii="仿宋" w:hAnsi="仿宋" w:eastAsia="仿宋" w:cs="仿宋"/>
                <w:color w:val="auto"/>
                <w:sz w:val="21"/>
                <w:szCs w:val="21"/>
              </w:rPr>
            </w:pPr>
            <w:r>
              <w:rPr>
                <w:rFonts w:hint="eastAsia" w:ascii="仿宋" w:hAnsi="仿宋" w:eastAsia="仿宋" w:cs="仿宋"/>
                <w:color w:val="auto"/>
                <w:sz w:val="21"/>
                <w:szCs w:val="21"/>
              </w:rPr>
              <w:t>序号</w:t>
            </w:r>
          </w:p>
        </w:tc>
        <w:tc>
          <w:tcPr>
            <w:tcW w:w="1882" w:type="dxa"/>
            <w:noWrap w:val="0"/>
            <w:vAlign w:val="center"/>
          </w:tcPr>
          <w:p w14:paraId="5FEC62D5">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1971" w:type="dxa"/>
            <w:noWrap w:val="0"/>
            <w:vAlign w:val="center"/>
          </w:tcPr>
          <w:p w14:paraId="2F1565C6">
            <w:pPr>
              <w:rPr>
                <w:rFonts w:hint="eastAsia" w:ascii="仿宋" w:hAnsi="仿宋" w:eastAsia="仿宋" w:cs="仿宋"/>
                <w:color w:val="auto"/>
                <w:sz w:val="21"/>
                <w:szCs w:val="21"/>
              </w:rPr>
            </w:pPr>
            <w:r>
              <w:rPr>
                <w:rFonts w:hint="eastAsia" w:ascii="仿宋" w:hAnsi="仿宋" w:eastAsia="仿宋" w:cs="仿宋"/>
                <w:color w:val="auto"/>
                <w:sz w:val="21"/>
                <w:szCs w:val="21"/>
              </w:rPr>
              <w:t>投标报价（元）</w:t>
            </w:r>
          </w:p>
        </w:tc>
        <w:tc>
          <w:tcPr>
            <w:tcW w:w="1530" w:type="dxa"/>
            <w:noWrap w:val="0"/>
            <w:vAlign w:val="center"/>
          </w:tcPr>
          <w:p w14:paraId="70A5F6AA">
            <w:pPr>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工期</w:t>
            </w:r>
          </w:p>
        </w:tc>
        <w:tc>
          <w:tcPr>
            <w:tcW w:w="1268" w:type="dxa"/>
            <w:noWrap w:val="0"/>
            <w:vAlign w:val="center"/>
          </w:tcPr>
          <w:p w14:paraId="789F9348">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施工地点</w:t>
            </w:r>
          </w:p>
        </w:tc>
        <w:tc>
          <w:tcPr>
            <w:tcW w:w="1231" w:type="dxa"/>
            <w:noWrap w:val="0"/>
            <w:vAlign w:val="center"/>
          </w:tcPr>
          <w:p w14:paraId="2CF45768">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项目负责人及证书编号</w:t>
            </w:r>
          </w:p>
        </w:tc>
        <w:tc>
          <w:tcPr>
            <w:tcW w:w="1050" w:type="dxa"/>
            <w:noWrap w:val="0"/>
            <w:vAlign w:val="center"/>
          </w:tcPr>
          <w:p w14:paraId="742C0D44">
            <w:pPr>
              <w:jc w:val="center"/>
              <w:rPr>
                <w:rFonts w:hint="eastAsia" w:ascii="仿宋" w:hAnsi="仿宋" w:eastAsia="仿宋" w:cs="仿宋"/>
                <w:color w:val="auto"/>
                <w:sz w:val="21"/>
                <w:szCs w:val="21"/>
              </w:rPr>
            </w:pPr>
            <w:r>
              <w:rPr>
                <w:rFonts w:hint="eastAsia" w:ascii="仿宋" w:hAnsi="仿宋" w:eastAsia="仿宋" w:cs="仿宋"/>
                <w:color w:val="auto"/>
                <w:sz w:val="21"/>
                <w:szCs w:val="21"/>
              </w:rPr>
              <w:t>备注</w:t>
            </w:r>
          </w:p>
        </w:tc>
      </w:tr>
      <w:tr w14:paraId="052A2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956" w:type="dxa"/>
            <w:noWrap w:val="0"/>
            <w:vAlign w:val="center"/>
          </w:tcPr>
          <w:p w14:paraId="18A456B4">
            <w:pPr>
              <w:rPr>
                <w:rFonts w:hint="eastAsia" w:ascii="仿宋" w:hAnsi="仿宋" w:eastAsia="仿宋" w:cs="仿宋"/>
                <w:color w:val="auto"/>
                <w:sz w:val="21"/>
                <w:szCs w:val="21"/>
              </w:rPr>
            </w:pPr>
          </w:p>
        </w:tc>
        <w:tc>
          <w:tcPr>
            <w:tcW w:w="1882" w:type="dxa"/>
            <w:noWrap w:val="0"/>
            <w:vAlign w:val="center"/>
          </w:tcPr>
          <w:p w14:paraId="346E2F34">
            <w:pPr>
              <w:rPr>
                <w:rFonts w:hint="eastAsia" w:ascii="仿宋" w:hAnsi="仿宋" w:eastAsia="仿宋" w:cs="仿宋"/>
                <w:color w:val="auto"/>
                <w:sz w:val="21"/>
                <w:szCs w:val="21"/>
              </w:rPr>
            </w:pPr>
          </w:p>
        </w:tc>
        <w:tc>
          <w:tcPr>
            <w:tcW w:w="1971" w:type="dxa"/>
            <w:noWrap w:val="0"/>
            <w:vAlign w:val="center"/>
          </w:tcPr>
          <w:p w14:paraId="01B8E46A">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小写</w:t>
            </w:r>
            <w:r>
              <w:rPr>
                <w:rFonts w:hint="eastAsia" w:ascii="仿宋" w:hAnsi="仿宋" w:eastAsia="仿宋" w:cs="仿宋"/>
                <w:color w:val="auto"/>
                <w:sz w:val="21"/>
                <w:szCs w:val="21"/>
                <w:lang w:val="en-US" w:eastAsia="zh-CN"/>
              </w:rPr>
              <w:t>;</w:t>
            </w:r>
          </w:p>
          <w:p w14:paraId="6835DB05">
            <w:pPr>
              <w:pStyle w:val="29"/>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大写;</w:t>
            </w:r>
          </w:p>
        </w:tc>
        <w:tc>
          <w:tcPr>
            <w:tcW w:w="1530" w:type="dxa"/>
            <w:noWrap w:val="0"/>
            <w:vAlign w:val="center"/>
          </w:tcPr>
          <w:p w14:paraId="64884A79">
            <w:pPr>
              <w:rPr>
                <w:rFonts w:hint="eastAsia" w:ascii="仿宋" w:hAnsi="仿宋" w:eastAsia="仿宋" w:cs="仿宋"/>
                <w:color w:val="auto"/>
                <w:sz w:val="21"/>
                <w:szCs w:val="21"/>
              </w:rPr>
            </w:pPr>
          </w:p>
        </w:tc>
        <w:tc>
          <w:tcPr>
            <w:tcW w:w="1268" w:type="dxa"/>
            <w:noWrap w:val="0"/>
            <w:vAlign w:val="center"/>
          </w:tcPr>
          <w:p w14:paraId="16DF1056">
            <w:pPr>
              <w:rPr>
                <w:rFonts w:hint="eastAsia" w:ascii="仿宋" w:hAnsi="仿宋" w:eastAsia="仿宋" w:cs="仿宋"/>
                <w:color w:val="auto"/>
                <w:sz w:val="21"/>
                <w:szCs w:val="21"/>
              </w:rPr>
            </w:pPr>
          </w:p>
        </w:tc>
        <w:tc>
          <w:tcPr>
            <w:tcW w:w="1231" w:type="dxa"/>
            <w:noWrap w:val="0"/>
            <w:vAlign w:val="center"/>
          </w:tcPr>
          <w:p w14:paraId="5D86E1FC">
            <w:pPr>
              <w:rPr>
                <w:rFonts w:hint="eastAsia" w:ascii="仿宋" w:hAnsi="仿宋" w:eastAsia="仿宋" w:cs="仿宋"/>
                <w:color w:val="auto"/>
                <w:sz w:val="21"/>
                <w:szCs w:val="21"/>
              </w:rPr>
            </w:pPr>
          </w:p>
        </w:tc>
        <w:tc>
          <w:tcPr>
            <w:tcW w:w="1050" w:type="dxa"/>
            <w:noWrap w:val="0"/>
            <w:vAlign w:val="center"/>
          </w:tcPr>
          <w:p w14:paraId="280B8D55">
            <w:pPr>
              <w:rPr>
                <w:rFonts w:hint="eastAsia" w:ascii="仿宋" w:hAnsi="仿宋" w:eastAsia="仿宋" w:cs="仿宋"/>
                <w:color w:val="auto"/>
                <w:sz w:val="21"/>
                <w:szCs w:val="21"/>
              </w:rPr>
            </w:pPr>
          </w:p>
        </w:tc>
      </w:tr>
    </w:tbl>
    <w:p w14:paraId="3BF7F1E9">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jc w:val="left"/>
        <w:textAlignment w:val="auto"/>
        <w:rPr>
          <w:rFonts w:hint="eastAsia" w:ascii="仿宋" w:hAnsi="仿宋" w:eastAsia="仿宋" w:cs="仿宋"/>
          <w:color w:val="auto"/>
          <w:sz w:val="21"/>
          <w:szCs w:val="21"/>
          <w:u w:val="single"/>
        </w:rPr>
      </w:pPr>
      <w:r>
        <w:rPr>
          <w:rFonts w:hint="eastAsia" w:ascii="仿宋" w:hAnsi="仿宋" w:eastAsia="仿宋" w:cs="仿宋"/>
          <w:color w:val="auto"/>
          <w:sz w:val="21"/>
          <w:szCs w:val="21"/>
        </w:rPr>
        <w:t>　注：1. 报价货币为人民币。</w:t>
      </w:r>
    </w:p>
    <w:p w14:paraId="02FE161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80" w:left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2.</w:t>
      </w:r>
      <w:r>
        <w:rPr>
          <w:rFonts w:hint="eastAsia" w:ascii="仿宋" w:hAnsi="仿宋" w:eastAsia="仿宋" w:cs="仿宋"/>
          <w:color w:val="auto"/>
          <w:sz w:val="21"/>
          <w:szCs w:val="21"/>
        </w:rPr>
        <w:t>投标一览表中投标总报价大小应写一致，如不一致以大写为准。</w:t>
      </w:r>
    </w:p>
    <w:p w14:paraId="4D12CBD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以上报价含一切费用,。</w:t>
      </w:r>
    </w:p>
    <w:p w14:paraId="2BF86762">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在表上供应商法人或授权代表签字</w:t>
      </w:r>
      <w:r>
        <w:rPr>
          <w:rFonts w:hint="eastAsia" w:ascii="仿宋" w:hAnsi="仿宋" w:eastAsia="仿宋" w:cs="仿宋"/>
          <w:color w:val="auto"/>
          <w:sz w:val="21"/>
          <w:szCs w:val="21"/>
          <w:lang w:eastAsia="zh-CN"/>
        </w:rPr>
        <w:t>盖章</w:t>
      </w:r>
      <w:r>
        <w:rPr>
          <w:rFonts w:hint="eastAsia" w:ascii="仿宋" w:hAnsi="仿宋" w:eastAsia="仿宋" w:cs="仿宋"/>
          <w:color w:val="auto"/>
          <w:sz w:val="21"/>
          <w:szCs w:val="21"/>
        </w:rPr>
        <w:t>，否则无效；</w:t>
      </w:r>
    </w:p>
    <w:p w14:paraId="1B2A98C7">
      <w:pPr>
        <w:ind w:right="-340" w:rightChars="-162" w:firstLine="5145" w:firstLineChars="2450"/>
        <w:rPr>
          <w:rFonts w:hint="eastAsia" w:ascii="仿宋" w:hAnsi="仿宋" w:eastAsia="仿宋" w:cs="仿宋"/>
          <w:color w:val="auto"/>
          <w:sz w:val="21"/>
          <w:szCs w:val="21"/>
        </w:rPr>
      </w:pPr>
    </w:p>
    <w:p w14:paraId="1D30AA13">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供应商（盖章）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14:paraId="66AE1086">
      <w:pPr>
        <w:ind w:right="-340" w:rightChars="-162" w:firstLine="3360" w:firstLineChars="1600"/>
        <w:rPr>
          <w:rFonts w:hint="eastAsia" w:ascii="仿宋" w:hAnsi="仿宋" w:eastAsia="仿宋" w:cs="仿宋"/>
          <w:color w:val="auto"/>
          <w:sz w:val="21"/>
          <w:szCs w:val="21"/>
        </w:rPr>
      </w:pPr>
    </w:p>
    <w:p w14:paraId="3C9F5668">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法定代表人或授权代理人（</w:t>
      </w:r>
      <w:r>
        <w:rPr>
          <w:rFonts w:hint="eastAsia" w:ascii="仿宋" w:hAnsi="仿宋" w:eastAsia="仿宋" w:cs="仿宋"/>
          <w:color w:val="auto"/>
          <w:sz w:val="21"/>
          <w:szCs w:val="21"/>
          <w:lang w:eastAsia="zh-CN"/>
        </w:rPr>
        <w:t>签字或</w:t>
      </w:r>
      <w:r>
        <w:rPr>
          <w:rFonts w:hint="eastAsia" w:ascii="仿宋" w:hAnsi="仿宋" w:eastAsia="仿宋" w:cs="仿宋"/>
          <w:color w:val="auto"/>
          <w:sz w:val="21"/>
          <w:szCs w:val="21"/>
        </w:rPr>
        <w:t>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14:paraId="530D3260">
      <w:pPr>
        <w:autoSpaceDE w:val="0"/>
        <w:autoSpaceDN w:val="0"/>
        <w:adjustRightInd w:val="0"/>
        <w:rPr>
          <w:rFonts w:hint="eastAsia" w:ascii="仿宋" w:hAnsi="仿宋" w:eastAsia="仿宋" w:cs="仿宋"/>
          <w:color w:val="auto"/>
          <w:sz w:val="21"/>
          <w:szCs w:val="21"/>
        </w:rPr>
      </w:pPr>
    </w:p>
    <w:p w14:paraId="135653D1">
      <w:pPr>
        <w:autoSpaceDE w:val="0"/>
        <w:autoSpaceDN w:val="0"/>
        <w:adjustRightInd w:val="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14:paraId="761868E7">
      <w:pPr>
        <w:pStyle w:val="8"/>
        <w:rPr>
          <w:rFonts w:hint="eastAsia" w:ascii="仿宋" w:hAnsi="仿宋" w:eastAsia="仿宋" w:cs="仿宋"/>
          <w:color w:val="auto"/>
          <w:sz w:val="21"/>
          <w:szCs w:val="21"/>
        </w:rPr>
      </w:pPr>
    </w:p>
    <w:p w14:paraId="5EB43635">
      <w:pPr>
        <w:spacing w:line="360" w:lineRule="auto"/>
        <w:ind w:firstLine="422" w:firstLineChars="200"/>
        <w:jc w:val="center"/>
        <w:rPr>
          <w:rFonts w:hint="eastAsia" w:ascii="仿宋" w:hAnsi="仿宋" w:eastAsia="仿宋" w:cs="仿宋"/>
          <w:b/>
          <w:sz w:val="21"/>
          <w:szCs w:val="21"/>
          <w:lang w:val="en-US" w:eastAsia="zh-CN"/>
        </w:rPr>
      </w:pPr>
    </w:p>
    <w:p w14:paraId="562EE921">
      <w:pPr>
        <w:spacing w:line="360" w:lineRule="auto"/>
        <w:ind w:firstLine="422" w:firstLineChars="200"/>
        <w:jc w:val="center"/>
        <w:rPr>
          <w:rFonts w:hint="eastAsia" w:ascii="仿宋" w:hAnsi="仿宋" w:eastAsia="仿宋" w:cs="仿宋"/>
          <w:b/>
          <w:sz w:val="21"/>
          <w:szCs w:val="21"/>
          <w:lang w:val="en-US" w:eastAsia="zh-CN"/>
        </w:rPr>
      </w:pPr>
    </w:p>
    <w:p w14:paraId="1ED03DE1">
      <w:pPr>
        <w:spacing w:line="360" w:lineRule="auto"/>
        <w:ind w:firstLine="422" w:firstLineChars="200"/>
        <w:jc w:val="center"/>
        <w:rPr>
          <w:rFonts w:hint="eastAsia" w:ascii="仿宋" w:hAnsi="仿宋" w:eastAsia="仿宋" w:cs="仿宋"/>
          <w:b/>
          <w:sz w:val="21"/>
          <w:szCs w:val="21"/>
          <w:lang w:val="en-US" w:eastAsia="zh-CN"/>
        </w:rPr>
      </w:pPr>
    </w:p>
    <w:p w14:paraId="380BFFAD">
      <w:pPr>
        <w:spacing w:line="360" w:lineRule="auto"/>
        <w:ind w:firstLine="422" w:firstLineChars="200"/>
        <w:jc w:val="center"/>
        <w:rPr>
          <w:rFonts w:hint="eastAsia" w:ascii="仿宋" w:hAnsi="仿宋" w:eastAsia="仿宋" w:cs="仿宋"/>
          <w:b/>
          <w:sz w:val="21"/>
          <w:szCs w:val="21"/>
          <w:lang w:val="en-US" w:eastAsia="zh-CN"/>
        </w:rPr>
      </w:pPr>
    </w:p>
    <w:p w14:paraId="1B17C281">
      <w:pPr>
        <w:spacing w:line="360" w:lineRule="auto"/>
        <w:ind w:firstLine="422" w:firstLineChars="200"/>
        <w:jc w:val="center"/>
        <w:rPr>
          <w:rFonts w:hint="eastAsia" w:ascii="仿宋" w:hAnsi="仿宋" w:eastAsia="仿宋" w:cs="仿宋"/>
          <w:b/>
          <w:sz w:val="21"/>
          <w:szCs w:val="21"/>
          <w:lang w:val="en-US" w:eastAsia="zh-CN"/>
        </w:rPr>
      </w:pPr>
    </w:p>
    <w:p w14:paraId="274C78EB">
      <w:pPr>
        <w:pStyle w:val="8"/>
        <w:rPr>
          <w:rFonts w:hint="eastAsia" w:ascii="仿宋" w:hAnsi="仿宋" w:eastAsia="仿宋" w:cs="仿宋"/>
          <w:b/>
          <w:sz w:val="21"/>
          <w:szCs w:val="21"/>
          <w:lang w:val="en-US" w:eastAsia="zh-CN"/>
        </w:rPr>
      </w:pPr>
    </w:p>
    <w:p w14:paraId="46F75062">
      <w:pPr>
        <w:pStyle w:val="20"/>
        <w:rPr>
          <w:rFonts w:hint="eastAsia" w:ascii="仿宋" w:hAnsi="仿宋" w:eastAsia="仿宋" w:cs="仿宋"/>
          <w:b/>
          <w:sz w:val="21"/>
          <w:szCs w:val="21"/>
          <w:lang w:val="en-US" w:eastAsia="zh-CN"/>
        </w:rPr>
      </w:pPr>
    </w:p>
    <w:p w14:paraId="10F4FA03">
      <w:pPr>
        <w:pStyle w:val="20"/>
        <w:rPr>
          <w:rFonts w:hint="eastAsia" w:ascii="仿宋" w:hAnsi="仿宋" w:eastAsia="仿宋" w:cs="仿宋"/>
          <w:b/>
          <w:sz w:val="21"/>
          <w:szCs w:val="21"/>
          <w:lang w:val="en-US" w:eastAsia="zh-CN"/>
        </w:rPr>
      </w:pPr>
    </w:p>
    <w:p w14:paraId="492079CB">
      <w:pPr>
        <w:pStyle w:val="20"/>
        <w:rPr>
          <w:rFonts w:hint="eastAsia" w:ascii="仿宋" w:hAnsi="仿宋" w:eastAsia="仿宋" w:cs="仿宋"/>
          <w:b/>
          <w:sz w:val="21"/>
          <w:szCs w:val="21"/>
          <w:lang w:val="en-US" w:eastAsia="zh-CN"/>
        </w:rPr>
      </w:pPr>
    </w:p>
    <w:p w14:paraId="7D43A715">
      <w:pPr>
        <w:pStyle w:val="20"/>
        <w:rPr>
          <w:rFonts w:hint="eastAsia" w:ascii="仿宋" w:hAnsi="仿宋" w:eastAsia="仿宋" w:cs="仿宋"/>
          <w:b/>
          <w:sz w:val="21"/>
          <w:szCs w:val="21"/>
          <w:lang w:val="en-US" w:eastAsia="zh-CN"/>
        </w:rPr>
      </w:pPr>
    </w:p>
    <w:p w14:paraId="16ACA138">
      <w:pPr>
        <w:pStyle w:val="20"/>
        <w:rPr>
          <w:rFonts w:hint="eastAsia" w:ascii="仿宋" w:hAnsi="仿宋" w:eastAsia="仿宋" w:cs="仿宋"/>
          <w:b/>
          <w:sz w:val="21"/>
          <w:szCs w:val="21"/>
          <w:lang w:val="en-US" w:eastAsia="zh-CN"/>
        </w:rPr>
      </w:pPr>
    </w:p>
    <w:p w14:paraId="773BDDDF">
      <w:pPr>
        <w:pStyle w:val="20"/>
        <w:rPr>
          <w:rFonts w:hint="eastAsia" w:ascii="仿宋" w:hAnsi="仿宋" w:eastAsia="仿宋" w:cs="仿宋"/>
          <w:b/>
          <w:sz w:val="21"/>
          <w:szCs w:val="21"/>
          <w:lang w:val="en-US" w:eastAsia="zh-CN"/>
        </w:rPr>
      </w:pPr>
    </w:p>
    <w:p w14:paraId="026CEA13">
      <w:pPr>
        <w:spacing w:line="360" w:lineRule="auto"/>
        <w:ind w:firstLine="422" w:firstLineChars="200"/>
        <w:jc w:val="center"/>
        <w:rPr>
          <w:rFonts w:hint="eastAsia" w:ascii="仿宋" w:hAnsi="仿宋" w:eastAsia="仿宋" w:cs="仿宋"/>
          <w:b/>
          <w:sz w:val="21"/>
          <w:szCs w:val="21"/>
          <w:lang w:val="en-US" w:eastAsia="zh-CN"/>
        </w:rPr>
      </w:pPr>
    </w:p>
    <w:p w14:paraId="7D49E9C9">
      <w:pPr>
        <w:spacing w:line="360" w:lineRule="auto"/>
        <w:ind w:firstLine="422" w:firstLineChars="200"/>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3、</w:t>
      </w:r>
      <w:r>
        <w:rPr>
          <w:rFonts w:hint="eastAsia" w:ascii="仿宋" w:hAnsi="仿宋" w:eastAsia="仿宋" w:cs="仿宋"/>
          <w:b/>
          <w:color w:val="auto"/>
          <w:sz w:val="21"/>
          <w:szCs w:val="21"/>
        </w:rPr>
        <w:t>报价明细表</w:t>
      </w:r>
    </w:p>
    <w:p w14:paraId="309E3556">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p>
    <w:p w14:paraId="5B5EEC8E">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项目名称：</w:t>
      </w:r>
    </w:p>
    <w:p w14:paraId="4512782E">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项目编号及项目名称：                              金额单位：人民币（元）</w:t>
      </w:r>
    </w:p>
    <w:tbl>
      <w:tblPr>
        <w:tblStyle w:val="24"/>
        <w:tblW w:w="951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5"/>
        <w:gridCol w:w="1586"/>
        <w:gridCol w:w="1235"/>
        <w:gridCol w:w="1436"/>
        <w:gridCol w:w="1616"/>
        <w:gridCol w:w="987"/>
        <w:gridCol w:w="1224"/>
        <w:gridCol w:w="617"/>
      </w:tblGrid>
      <w:tr w14:paraId="78634C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3" w:hRule="atLeast"/>
          <w:jc w:val="center"/>
        </w:trPr>
        <w:tc>
          <w:tcPr>
            <w:tcW w:w="815" w:type="dxa"/>
            <w:tcBorders>
              <w:top w:val="single" w:color="auto" w:sz="4" w:space="0"/>
              <w:left w:val="single" w:color="auto" w:sz="4" w:space="0"/>
              <w:bottom w:val="single" w:color="auto" w:sz="4" w:space="0"/>
              <w:right w:val="single" w:color="auto" w:sz="4" w:space="0"/>
            </w:tcBorders>
            <w:noWrap w:val="0"/>
            <w:vAlign w:val="center"/>
          </w:tcPr>
          <w:p w14:paraId="1040ADF2">
            <w:pPr>
              <w:autoSpaceDE w:val="0"/>
              <w:autoSpaceDN w:val="0"/>
              <w:adjustRightIn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1586" w:type="dxa"/>
            <w:tcBorders>
              <w:top w:val="single" w:color="auto" w:sz="4" w:space="0"/>
              <w:left w:val="single" w:color="auto" w:sz="4" w:space="0"/>
              <w:bottom w:val="single" w:color="auto" w:sz="4" w:space="0"/>
              <w:right w:val="single" w:color="auto" w:sz="4" w:space="0"/>
            </w:tcBorders>
            <w:noWrap w:val="0"/>
            <w:vAlign w:val="center"/>
          </w:tcPr>
          <w:p w14:paraId="61E76508">
            <w:pPr>
              <w:autoSpaceDE w:val="0"/>
              <w:autoSpaceDN w:val="0"/>
              <w:adjustRightInd w:val="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标的名称</w:t>
            </w:r>
          </w:p>
        </w:tc>
        <w:tc>
          <w:tcPr>
            <w:tcW w:w="1235" w:type="dxa"/>
            <w:tcBorders>
              <w:top w:val="single" w:color="auto" w:sz="4" w:space="0"/>
              <w:left w:val="single" w:color="auto" w:sz="4" w:space="0"/>
              <w:bottom w:val="single" w:color="auto" w:sz="4" w:space="0"/>
              <w:right w:val="single" w:color="auto" w:sz="4" w:space="0"/>
            </w:tcBorders>
            <w:noWrap w:val="0"/>
            <w:vAlign w:val="center"/>
          </w:tcPr>
          <w:p w14:paraId="4A79BAE4">
            <w:pPr>
              <w:autoSpaceDE w:val="0"/>
              <w:autoSpaceDN w:val="0"/>
              <w:adjustRightInd w:val="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单位</w:t>
            </w:r>
          </w:p>
        </w:tc>
        <w:tc>
          <w:tcPr>
            <w:tcW w:w="1436" w:type="dxa"/>
            <w:tcBorders>
              <w:top w:val="single" w:color="auto" w:sz="4" w:space="0"/>
              <w:left w:val="single" w:color="auto" w:sz="4" w:space="0"/>
              <w:bottom w:val="single" w:color="auto" w:sz="4" w:space="0"/>
              <w:right w:val="single" w:color="auto" w:sz="4" w:space="0"/>
            </w:tcBorders>
            <w:noWrap w:val="0"/>
            <w:vAlign w:val="center"/>
          </w:tcPr>
          <w:p w14:paraId="3E301683">
            <w:pPr>
              <w:autoSpaceDE w:val="0"/>
              <w:autoSpaceDN w:val="0"/>
              <w:adjustRightInd w:val="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数量</w:t>
            </w:r>
          </w:p>
        </w:tc>
        <w:tc>
          <w:tcPr>
            <w:tcW w:w="1616" w:type="dxa"/>
            <w:tcBorders>
              <w:top w:val="single" w:color="auto" w:sz="4" w:space="0"/>
              <w:left w:val="single" w:color="auto" w:sz="4" w:space="0"/>
              <w:bottom w:val="single" w:color="auto" w:sz="4" w:space="0"/>
              <w:right w:val="single" w:color="auto" w:sz="4" w:space="0"/>
            </w:tcBorders>
            <w:noWrap w:val="0"/>
            <w:vAlign w:val="center"/>
          </w:tcPr>
          <w:p w14:paraId="5A5029CC">
            <w:pPr>
              <w:autoSpaceDE w:val="0"/>
              <w:autoSpaceDN w:val="0"/>
              <w:adjustRightIn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单 价</w:t>
            </w:r>
          </w:p>
        </w:tc>
        <w:tc>
          <w:tcPr>
            <w:tcW w:w="987" w:type="dxa"/>
            <w:tcBorders>
              <w:top w:val="single" w:color="auto" w:sz="4" w:space="0"/>
              <w:left w:val="single" w:color="auto" w:sz="4" w:space="0"/>
              <w:bottom w:val="single" w:color="auto" w:sz="4" w:space="0"/>
              <w:right w:val="single" w:color="auto" w:sz="4" w:space="0"/>
            </w:tcBorders>
            <w:noWrap w:val="0"/>
            <w:vAlign w:val="center"/>
          </w:tcPr>
          <w:p w14:paraId="0892D498">
            <w:pPr>
              <w:autoSpaceDE w:val="0"/>
              <w:autoSpaceDN w:val="0"/>
              <w:adjustRightInd w:val="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总价</w:t>
            </w: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08F452FE">
            <w:pPr>
              <w:autoSpaceDE w:val="0"/>
              <w:autoSpaceDN w:val="0"/>
              <w:adjustRightInd w:val="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备注</w:t>
            </w:r>
          </w:p>
        </w:tc>
      </w:tr>
      <w:tr w14:paraId="63AAEE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815" w:type="dxa"/>
            <w:tcBorders>
              <w:top w:val="single" w:color="auto" w:sz="4" w:space="0"/>
              <w:left w:val="single" w:color="auto" w:sz="4" w:space="0"/>
              <w:bottom w:val="single" w:color="auto" w:sz="4" w:space="0"/>
              <w:right w:val="single" w:color="auto" w:sz="4" w:space="0"/>
            </w:tcBorders>
            <w:noWrap w:val="0"/>
            <w:vAlign w:val="center"/>
          </w:tcPr>
          <w:p w14:paraId="46E51058">
            <w:pPr>
              <w:autoSpaceDE w:val="0"/>
              <w:autoSpaceDN w:val="0"/>
              <w:adjustRightInd w:val="0"/>
              <w:rPr>
                <w:rFonts w:hint="eastAsia" w:ascii="仿宋" w:hAnsi="仿宋" w:eastAsia="仿宋" w:cs="仿宋"/>
                <w:color w:val="auto"/>
                <w:sz w:val="21"/>
                <w:szCs w:val="21"/>
                <w:highlight w:val="none"/>
              </w:rPr>
            </w:pPr>
          </w:p>
        </w:tc>
        <w:tc>
          <w:tcPr>
            <w:tcW w:w="1586" w:type="dxa"/>
            <w:tcBorders>
              <w:top w:val="single" w:color="auto" w:sz="4" w:space="0"/>
              <w:left w:val="single" w:color="auto" w:sz="4" w:space="0"/>
              <w:bottom w:val="single" w:color="auto" w:sz="4" w:space="0"/>
              <w:right w:val="single" w:color="auto" w:sz="4" w:space="0"/>
            </w:tcBorders>
            <w:noWrap w:val="0"/>
            <w:vAlign w:val="center"/>
          </w:tcPr>
          <w:p w14:paraId="4799C0DC">
            <w:pPr>
              <w:autoSpaceDE w:val="0"/>
              <w:autoSpaceDN w:val="0"/>
              <w:adjustRightInd w:val="0"/>
              <w:rPr>
                <w:rFonts w:hint="eastAsia" w:ascii="仿宋" w:hAnsi="仿宋" w:eastAsia="仿宋" w:cs="仿宋"/>
                <w:color w:val="auto"/>
                <w:sz w:val="21"/>
                <w:szCs w:val="21"/>
                <w:highlight w:val="none"/>
              </w:rPr>
            </w:pPr>
          </w:p>
        </w:tc>
        <w:tc>
          <w:tcPr>
            <w:tcW w:w="1235" w:type="dxa"/>
            <w:tcBorders>
              <w:top w:val="single" w:color="auto" w:sz="4" w:space="0"/>
              <w:left w:val="single" w:color="auto" w:sz="4" w:space="0"/>
              <w:bottom w:val="single" w:color="auto" w:sz="4" w:space="0"/>
              <w:right w:val="single" w:color="auto" w:sz="4" w:space="0"/>
            </w:tcBorders>
            <w:noWrap w:val="0"/>
            <w:vAlign w:val="center"/>
          </w:tcPr>
          <w:p w14:paraId="4D8CD485">
            <w:pPr>
              <w:autoSpaceDE w:val="0"/>
              <w:autoSpaceDN w:val="0"/>
              <w:adjustRightInd w:val="0"/>
              <w:rPr>
                <w:rFonts w:hint="eastAsia" w:ascii="仿宋" w:hAnsi="仿宋" w:eastAsia="仿宋" w:cs="仿宋"/>
                <w:color w:val="auto"/>
                <w:sz w:val="21"/>
                <w:szCs w:val="21"/>
                <w:highlight w:val="none"/>
              </w:rPr>
            </w:pPr>
          </w:p>
        </w:tc>
        <w:tc>
          <w:tcPr>
            <w:tcW w:w="1436" w:type="dxa"/>
            <w:tcBorders>
              <w:top w:val="single" w:color="auto" w:sz="4" w:space="0"/>
              <w:left w:val="single" w:color="auto" w:sz="4" w:space="0"/>
              <w:bottom w:val="single" w:color="auto" w:sz="4" w:space="0"/>
              <w:right w:val="single" w:color="auto" w:sz="4" w:space="0"/>
            </w:tcBorders>
            <w:noWrap w:val="0"/>
            <w:vAlign w:val="center"/>
          </w:tcPr>
          <w:p w14:paraId="29843D2F">
            <w:pPr>
              <w:autoSpaceDE w:val="0"/>
              <w:autoSpaceDN w:val="0"/>
              <w:adjustRightInd w:val="0"/>
              <w:rPr>
                <w:rFonts w:hint="eastAsia" w:ascii="仿宋" w:hAnsi="仿宋" w:eastAsia="仿宋" w:cs="仿宋"/>
                <w:color w:val="auto"/>
                <w:sz w:val="21"/>
                <w:szCs w:val="21"/>
                <w:highlight w:val="none"/>
              </w:rPr>
            </w:pPr>
          </w:p>
        </w:tc>
        <w:tc>
          <w:tcPr>
            <w:tcW w:w="1616" w:type="dxa"/>
            <w:tcBorders>
              <w:top w:val="single" w:color="auto" w:sz="4" w:space="0"/>
              <w:left w:val="single" w:color="auto" w:sz="4" w:space="0"/>
              <w:bottom w:val="single" w:color="auto" w:sz="4" w:space="0"/>
              <w:right w:val="single" w:color="auto" w:sz="4" w:space="0"/>
            </w:tcBorders>
            <w:noWrap w:val="0"/>
            <w:vAlign w:val="center"/>
          </w:tcPr>
          <w:p w14:paraId="0D2885D4">
            <w:pPr>
              <w:autoSpaceDE w:val="0"/>
              <w:autoSpaceDN w:val="0"/>
              <w:adjustRightInd w:val="0"/>
              <w:rPr>
                <w:rFonts w:hint="eastAsia" w:ascii="仿宋" w:hAnsi="仿宋" w:eastAsia="仿宋" w:cs="仿宋"/>
                <w:color w:val="auto"/>
                <w:sz w:val="21"/>
                <w:szCs w:val="21"/>
                <w:highlight w:val="none"/>
              </w:rPr>
            </w:pPr>
          </w:p>
        </w:tc>
        <w:tc>
          <w:tcPr>
            <w:tcW w:w="987" w:type="dxa"/>
            <w:tcBorders>
              <w:top w:val="single" w:color="auto" w:sz="4" w:space="0"/>
              <w:left w:val="single" w:color="auto" w:sz="4" w:space="0"/>
              <w:bottom w:val="single" w:color="auto" w:sz="4" w:space="0"/>
              <w:right w:val="single" w:color="auto" w:sz="4" w:space="0"/>
            </w:tcBorders>
            <w:noWrap w:val="0"/>
            <w:vAlign w:val="center"/>
          </w:tcPr>
          <w:p w14:paraId="710638A0">
            <w:pPr>
              <w:autoSpaceDE w:val="0"/>
              <w:autoSpaceDN w:val="0"/>
              <w:adjustRightInd w:val="0"/>
              <w:rPr>
                <w:rFonts w:hint="eastAsia" w:ascii="仿宋" w:hAnsi="仿宋" w:eastAsia="仿宋" w:cs="仿宋"/>
                <w:color w:val="auto"/>
                <w:sz w:val="21"/>
                <w:szCs w:val="21"/>
                <w:highlight w:val="none"/>
              </w:rPr>
            </w:pP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42140469">
            <w:pPr>
              <w:autoSpaceDE w:val="0"/>
              <w:autoSpaceDN w:val="0"/>
              <w:adjustRightInd w:val="0"/>
              <w:rPr>
                <w:rFonts w:hint="eastAsia" w:ascii="仿宋" w:hAnsi="仿宋" w:eastAsia="仿宋" w:cs="仿宋"/>
                <w:color w:val="auto"/>
                <w:sz w:val="21"/>
                <w:szCs w:val="21"/>
                <w:highlight w:val="none"/>
              </w:rPr>
            </w:pPr>
          </w:p>
        </w:tc>
      </w:tr>
      <w:tr w14:paraId="569C09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815" w:type="dxa"/>
            <w:tcBorders>
              <w:top w:val="single" w:color="auto" w:sz="4" w:space="0"/>
              <w:left w:val="single" w:color="auto" w:sz="4" w:space="0"/>
              <w:bottom w:val="single" w:color="auto" w:sz="4" w:space="0"/>
              <w:right w:val="single" w:color="auto" w:sz="4" w:space="0"/>
            </w:tcBorders>
            <w:noWrap w:val="0"/>
            <w:vAlign w:val="center"/>
          </w:tcPr>
          <w:p w14:paraId="52672AA1">
            <w:pPr>
              <w:autoSpaceDE w:val="0"/>
              <w:autoSpaceDN w:val="0"/>
              <w:adjustRightInd w:val="0"/>
              <w:rPr>
                <w:rFonts w:hint="eastAsia" w:ascii="仿宋" w:hAnsi="仿宋" w:eastAsia="仿宋" w:cs="仿宋"/>
                <w:color w:val="auto"/>
                <w:sz w:val="21"/>
                <w:szCs w:val="21"/>
                <w:highlight w:val="none"/>
              </w:rPr>
            </w:pPr>
          </w:p>
        </w:tc>
        <w:tc>
          <w:tcPr>
            <w:tcW w:w="1586" w:type="dxa"/>
            <w:tcBorders>
              <w:top w:val="single" w:color="auto" w:sz="4" w:space="0"/>
              <w:left w:val="single" w:color="auto" w:sz="4" w:space="0"/>
              <w:bottom w:val="single" w:color="auto" w:sz="4" w:space="0"/>
              <w:right w:val="single" w:color="auto" w:sz="4" w:space="0"/>
            </w:tcBorders>
            <w:noWrap w:val="0"/>
            <w:vAlign w:val="center"/>
          </w:tcPr>
          <w:p w14:paraId="7962DDFF">
            <w:pPr>
              <w:autoSpaceDE w:val="0"/>
              <w:autoSpaceDN w:val="0"/>
              <w:adjustRightInd w:val="0"/>
              <w:rPr>
                <w:rFonts w:hint="eastAsia" w:ascii="仿宋" w:hAnsi="仿宋" w:eastAsia="仿宋" w:cs="仿宋"/>
                <w:color w:val="auto"/>
                <w:sz w:val="21"/>
                <w:szCs w:val="21"/>
                <w:highlight w:val="none"/>
              </w:rPr>
            </w:pPr>
          </w:p>
        </w:tc>
        <w:tc>
          <w:tcPr>
            <w:tcW w:w="1235" w:type="dxa"/>
            <w:tcBorders>
              <w:top w:val="single" w:color="auto" w:sz="4" w:space="0"/>
              <w:left w:val="single" w:color="auto" w:sz="4" w:space="0"/>
              <w:bottom w:val="single" w:color="auto" w:sz="4" w:space="0"/>
              <w:right w:val="single" w:color="auto" w:sz="4" w:space="0"/>
            </w:tcBorders>
            <w:noWrap w:val="0"/>
            <w:vAlign w:val="center"/>
          </w:tcPr>
          <w:p w14:paraId="05645447">
            <w:pPr>
              <w:autoSpaceDE w:val="0"/>
              <w:autoSpaceDN w:val="0"/>
              <w:adjustRightInd w:val="0"/>
              <w:rPr>
                <w:rFonts w:hint="eastAsia" w:ascii="仿宋" w:hAnsi="仿宋" w:eastAsia="仿宋" w:cs="仿宋"/>
                <w:color w:val="auto"/>
                <w:sz w:val="21"/>
                <w:szCs w:val="21"/>
                <w:highlight w:val="none"/>
              </w:rPr>
            </w:pPr>
          </w:p>
        </w:tc>
        <w:tc>
          <w:tcPr>
            <w:tcW w:w="1436" w:type="dxa"/>
            <w:tcBorders>
              <w:top w:val="single" w:color="auto" w:sz="4" w:space="0"/>
              <w:left w:val="single" w:color="auto" w:sz="4" w:space="0"/>
              <w:bottom w:val="single" w:color="auto" w:sz="4" w:space="0"/>
              <w:right w:val="single" w:color="auto" w:sz="4" w:space="0"/>
            </w:tcBorders>
            <w:noWrap w:val="0"/>
            <w:vAlign w:val="center"/>
          </w:tcPr>
          <w:p w14:paraId="1FEEF5EF">
            <w:pPr>
              <w:autoSpaceDE w:val="0"/>
              <w:autoSpaceDN w:val="0"/>
              <w:adjustRightInd w:val="0"/>
              <w:rPr>
                <w:rFonts w:hint="eastAsia" w:ascii="仿宋" w:hAnsi="仿宋" w:eastAsia="仿宋" w:cs="仿宋"/>
                <w:color w:val="auto"/>
                <w:sz w:val="21"/>
                <w:szCs w:val="21"/>
                <w:highlight w:val="none"/>
              </w:rPr>
            </w:pPr>
          </w:p>
        </w:tc>
        <w:tc>
          <w:tcPr>
            <w:tcW w:w="1616" w:type="dxa"/>
            <w:tcBorders>
              <w:top w:val="single" w:color="auto" w:sz="4" w:space="0"/>
              <w:left w:val="single" w:color="auto" w:sz="4" w:space="0"/>
              <w:bottom w:val="single" w:color="auto" w:sz="4" w:space="0"/>
              <w:right w:val="single" w:color="auto" w:sz="4" w:space="0"/>
            </w:tcBorders>
            <w:noWrap w:val="0"/>
            <w:vAlign w:val="center"/>
          </w:tcPr>
          <w:p w14:paraId="5024C263">
            <w:pPr>
              <w:autoSpaceDE w:val="0"/>
              <w:autoSpaceDN w:val="0"/>
              <w:adjustRightInd w:val="0"/>
              <w:rPr>
                <w:rFonts w:hint="eastAsia" w:ascii="仿宋" w:hAnsi="仿宋" w:eastAsia="仿宋" w:cs="仿宋"/>
                <w:color w:val="auto"/>
                <w:sz w:val="21"/>
                <w:szCs w:val="21"/>
                <w:highlight w:val="none"/>
              </w:rPr>
            </w:pPr>
          </w:p>
        </w:tc>
        <w:tc>
          <w:tcPr>
            <w:tcW w:w="987" w:type="dxa"/>
            <w:tcBorders>
              <w:top w:val="single" w:color="auto" w:sz="4" w:space="0"/>
              <w:left w:val="single" w:color="auto" w:sz="4" w:space="0"/>
              <w:bottom w:val="single" w:color="auto" w:sz="4" w:space="0"/>
              <w:right w:val="single" w:color="auto" w:sz="4" w:space="0"/>
            </w:tcBorders>
            <w:noWrap w:val="0"/>
            <w:vAlign w:val="center"/>
          </w:tcPr>
          <w:p w14:paraId="4218BC71">
            <w:pPr>
              <w:autoSpaceDE w:val="0"/>
              <w:autoSpaceDN w:val="0"/>
              <w:adjustRightInd w:val="0"/>
              <w:rPr>
                <w:rFonts w:hint="eastAsia" w:ascii="仿宋" w:hAnsi="仿宋" w:eastAsia="仿宋" w:cs="仿宋"/>
                <w:color w:val="auto"/>
                <w:sz w:val="21"/>
                <w:szCs w:val="21"/>
                <w:highlight w:val="none"/>
              </w:rPr>
            </w:pP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23C5623F">
            <w:pPr>
              <w:autoSpaceDE w:val="0"/>
              <w:autoSpaceDN w:val="0"/>
              <w:adjustRightInd w:val="0"/>
              <w:rPr>
                <w:rFonts w:hint="eastAsia" w:ascii="仿宋" w:hAnsi="仿宋" w:eastAsia="仿宋" w:cs="仿宋"/>
                <w:color w:val="auto"/>
                <w:sz w:val="21"/>
                <w:szCs w:val="21"/>
                <w:highlight w:val="none"/>
              </w:rPr>
            </w:pPr>
          </w:p>
        </w:tc>
      </w:tr>
      <w:tr w14:paraId="54B8F6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9" w:hRule="atLeast"/>
          <w:jc w:val="center"/>
        </w:trPr>
        <w:tc>
          <w:tcPr>
            <w:tcW w:w="815" w:type="dxa"/>
            <w:tcBorders>
              <w:top w:val="single" w:color="auto" w:sz="4" w:space="0"/>
              <w:left w:val="single" w:color="auto" w:sz="4" w:space="0"/>
              <w:bottom w:val="single" w:color="auto" w:sz="4" w:space="0"/>
              <w:right w:val="single" w:color="auto" w:sz="4" w:space="0"/>
            </w:tcBorders>
            <w:noWrap w:val="0"/>
            <w:vAlign w:val="center"/>
          </w:tcPr>
          <w:p w14:paraId="492DCC5D">
            <w:pPr>
              <w:autoSpaceDE w:val="0"/>
              <w:autoSpaceDN w:val="0"/>
              <w:adjustRightInd w:val="0"/>
              <w:rPr>
                <w:rFonts w:hint="eastAsia" w:ascii="仿宋" w:hAnsi="仿宋" w:eastAsia="仿宋" w:cs="仿宋"/>
                <w:color w:val="auto"/>
                <w:sz w:val="21"/>
                <w:szCs w:val="21"/>
                <w:highlight w:val="none"/>
              </w:rPr>
            </w:pPr>
          </w:p>
        </w:tc>
        <w:tc>
          <w:tcPr>
            <w:tcW w:w="1586" w:type="dxa"/>
            <w:tcBorders>
              <w:top w:val="single" w:color="auto" w:sz="4" w:space="0"/>
              <w:left w:val="single" w:color="auto" w:sz="4" w:space="0"/>
              <w:bottom w:val="single" w:color="auto" w:sz="4" w:space="0"/>
              <w:right w:val="single" w:color="auto" w:sz="4" w:space="0"/>
            </w:tcBorders>
            <w:noWrap w:val="0"/>
            <w:vAlign w:val="center"/>
          </w:tcPr>
          <w:p w14:paraId="1CB5524A">
            <w:pPr>
              <w:autoSpaceDE w:val="0"/>
              <w:autoSpaceDN w:val="0"/>
              <w:adjustRightInd w:val="0"/>
              <w:rPr>
                <w:rFonts w:hint="eastAsia" w:ascii="仿宋" w:hAnsi="仿宋" w:eastAsia="仿宋" w:cs="仿宋"/>
                <w:color w:val="auto"/>
                <w:sz w:val="21"/>
                <w:szCs w:val="21"/>
                <w:highlight w:val="none"/>
              </w:rPr>
            </w:pPr>
          </w:p>
        </w:tc>
        <w:tc>
          <w:tcPr>
            <w:tcW w:w="1235" w:type="dxa"/>
            <w:tcBorders>
              <w:top w:val="single" w:color="auto" w:sz="4" w:space="0"/>
              <w:left w:val="single" w:color="auto" w:sz="4" w:space="0"/>
              <w:bottom w:val="single" w:color="auto" w:sz="4" w:space="0"/>
              <w:right w:val="single" w:color="auto" w:sz="4" w:space="0"/>
            </w:tcBorders>
            <w:noWrap w:val="0"/>
            <w:vAlign w:val="center"/>
          </w:tcPr>
          <w:p w14:paraId="1E38ECF1">
            <w:pPr>
              <w:autoSpaceDE w:val="0"/>
              <w:autoSpaceDN w:val="0"/>
              <w:adjustRightInd w:val="0"/>
              <w:rPr>
                <w:rFonts w:hint="eastAsia" w:ascii="仿宋" w:hAnsi="仿宋" w:eastAsia="仿宋" w:cs="仿宋"/>
                <w:color w:val="auto"/>
                <w:sz w:val="21"/>
                <w:szCs w:val="21"/>
                <w:highlight w:val="none"/>
              </w:rPr>
            </w:pPr>
          </w:p>
        </w:tc>
        <w:tc>
          <w:tcPr>
            <w:tcW w:w="1436" w:type="dxa"/>
            <w:tcBorders>
              <w:top w:val="single" w:color="auto" w:sz="4" w:space="0"/>
              <w:left w:val="single" w:color="auto" w:sz="4" w:space="0"/>
              <w:bottom w:val="single" w:color="auto" w:sz="4" w:space="0"/>
              <w:right w:val="single" w:color="auto" w:sz="4" w:space="0"/>
            </w:tcBorders>
            <w:noWrap w:val="0"/>
            <w:vAlign w:val="center"/>
          </w:tcPr>
          <w:p w14:paraId="43216B2F">
            <w:pPr>
              <w:autoSpaceDE w:val="0"/>
              <w:autoSpaceDN w:val="0"/>
              <w:adjustRightInd w:val="0"/>
              <w:rPr>
                <w:rFonts w:hint="eastAsia" w:ascii="仿宋" w:hAnsi="仿宋" w:eastAsia="仿宋" w:cs="仿宋"/>
                <w:color w:val="auto"/>
                <w:sz w:val="21"/>
                <w:szCs w:val="21"/>
                <w:highlight w:val="none"/>
              </w:rPr>
            </w:pPr>
          </w:p>
        </w:tc>
        <w:tc>
          <w:tcPr>
            <w:tcW w:w="1616" w:type="dxa"/>
            <w:tcBorders>
              <w:top w:val="single" w:color="auto" w:sz="4" w:space="0"/>
              <w:left w:val="single" w:color="auto" w:sz="4" w:space="0"/>
              <w:bottom w:val="single" w:color="auto" w:sz="4" w:space="0"/>
              <w:right w:val="single" w:color="auto" w:sz="4" w:space="0"/>
            </w:tcBorders>
            <w:noWrap w:val="0"/>
            <w:vAlign w:val="center"/>
          </w:tcPr>
          <w:p w14:paraId="01984C03">
            <w:pPr>
              <w:autoSpaceDE w:val="0"/>
              <w:autoSpaceDN w:val="0"/>
              <w:adjustRightInd w:val="0"/>
              <w:rPr>
                <w:rFonts w:hint="eastAsia" w:ascii="仿宋" w:hAnsi="仿宋" w:eastAsia="仿宋" w:cs="仿宋"/>
                <w:color w:val="auto"/>
                <w:sz w:val="21"/>
                <w:szCs w:val="21"/>
                <w:highlight w:val="none"/>
              </w:rPr>
            </w:pPr>
          </w:p>
        </w:tc>
        <w:tc>
          <w:tcPr>
            <w:tcW w:w="987" w:type="dxa"/>
            <w:tcBorders>
              <w:top w:val="single" w:color="auto" w:sz="4" w:space="0"/>
              <w:left w:val="single" w:color="auto" w:sz="4" w:space="0"/>
              <w:bottom w:val="single" w:color="auto" w:sz="4" w:space="0"/>
              <w:right w:val="single" w:color="auto" w:sz="4" w:space="0"/>
            </w:tcBorders>
            <w:noWrap w:val="0"/>
            <w:vAlign w:val="center"/>
          </w:tcPr>
          <w:p w14:paraId="54B57E51">
            <w:pPr>
              <w:autoSpaceDE w:val="0"/>
              <w:autoSpaceDN w:val="0"/>
              <w:adjustRightInd w:val="0"/>
              <w:rPr>
                <w:rFonts w:hint="eastAsia" w:ascii="仿宋" w:hAnsi="仿宋" w:eastAsia="仿宋" w:cs="仿宋"/>
                <w:color w:val="auto"/>
                <w:sz w:val="21"/>
                <w:szCs w:val="21"/>
                <w:highlight w:val="none"/>
              </w:rPr>
            </w:pPr>
          </w:p>
        </w:tc>
        <w:tc>
          <w:tcPr>
            <w:tcW w:w="1841" w:type="dxa"/>
            <w:gridSpan w:val="2"/>
            <w:tcBorders>
              <w:top w:val="single" w:color="auto" w:sz="4" w:space="0"/>
              <w:left w:val="single" w:color="auto" w:sz="4" w:space="0"/>
              <w:bottom w:val="single" w:color="auto" w:sz="4" w:space="0"/>
              <w:right w:val="single" w:color="auto" w:sz="4" w:space="0"/>
            </w:tcBorders>
            <w:noWrap w:val="0"/>
            <w:vAlign w:val="center"/>
          </w:tcPr>
          <w:p w14:paraId="3E19CF2F">
            <w:pPr>
              <w:autoSpaceDE w:val="0"/>
              <w:autoSpaceDN w:val="0"/>
              <w:adjustRightInd w:val="0"/>
              <w:rPr>
                <w:rFonts w:hint="eastAsia" w:ascii="仿宋" w:hAnsi="仿宋" w:eastAsia="仿宋" w:cs="仿宋"/>
                <w:color w:val="auto"/>
                <w:sz w:val="21"/>
                <w:szCs w:val="21"/>
                <w:highlight w:val="none"/>
              </w:rPr>
            </w:pPr>
          </w:p>
        </w:tc>
      </w:tr>
      <w:tr w14:paraId="5AD7C5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6" w:hRule="atLeast"/>
          <w:jc w:val="center"/>
        </w:trPr>
        <w:tc>
          <w:tcPr>
            <w:tcW w:w="815" w:type="dxa"/>
            <w:tcBorders>
              <w:top w:val="single" w:color="auto" w:sz="4" w:space="0"/>
              <w:left w:val="single" w:color="auto" w:sz="4" w:space="0"/>
              <w:bottom w:val="single" w:color="auto" w:sz="4" w:space="0"/>
              <w:right w:val="single" w:color="auto" w:sz="4" w:space="0"/>
            </w:tcBorders>
            <w:noWrap w:val="0"/>
            <w:vAlign w:val="center"/>
          </w:tcPr>
          <w:p w14:paraId="54A51F7A">
            <w:pPr>
              <w:autoSpaceDE w:val="0"/>
              <w:autoSpaceDN w:val="0"/>
              <w:adjustRightInd w:val="0"/>
              <w:rPr>
                <w:rFonts w:hint="eastAsia" w:ascii="仿宋" w:hAnsi="仿宋" w:eastAsia="仿宋" w:cs="仿宋"/>
                <w:color w:val="auto"/>
                <w:sz w:val="21"/>
                <w:szCs w:val="21"/>
                <w:highlight w:val="none"/>
              </w:rPr>
            </w:pPr>
          </w:p>
        </w:tc>
        <w:tc>
          <w:tcPr>
            <w:tcW w:w="4257" w:type="dxa"/>
            <w:gridSpan w:val="3"/>
            <w:tcBorders>
              <w:top w:val="single" w:color="auto" w:sz="4" w:space="0"/>
              <w:left w:val="single" w:color="auto" w:sz="4" w:space="0"/>
              <w:bottom w:val="single" w:color="auto" w:sz="4" w:space="0"/>
              <w:right w:val="single" w:color="auto" w:sz="4" w:space="0"/>
            </w:tcBorders>
            <w:noWrap w:val="0"/>
            <w:vAlign w:val="center"/>
          </w:tcPr>
          <w:p w14:paraId="33A9F7EA">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投标总报价</w:t>
            </w:r>
          </w:p>
        </w:tc>
        <w:tc>
          <w:tcPr>
            <w:tcW w:w="3827" w:type="dxa"/>
            <w:gridSpan w:val="3"/>
            <w:tcBorders>
              <w:top w:val="single" w:color="auto" w:sz="4" w:space="0"/>
              <w:left w:val="single" w:color="auto" w:sz="4" w:space="0"/>
              <w:bottom w:val="single" w:color="auto" w:sz="4" w:space="0"/>
              <w:right w:val="single" w:color="auto" w:sz="4" w:space="0"/>
            </w:tcBorders>
            <w:noWrap w:val="0"/>
            <w:vAlign w:val="center"/>
          </w:tcPr>
          <w:p w14:paraId="357BC88B">
            <w:pPr>
              <w:autoSpaceDE w:val="0"/>
              <w:autoSpaceDN w:val="0"/>
              <w:adjustRightInd w:val="0"/>
              <w:rPr>
                <w:rFonts w:hint="eastAsia" w:ascii="仿宋" w:hAnsi="仿宋" w:eastAsia="仿宋" w:cs="仿宋"/>
                <w:color w:val="auto"/>
                <w:sz w:val="21"/>
                <w:szCs w:val="21"/>
                <w:highlight w:val="none"/>
              </w:rPr>
            </w:pPr>
          </w:p>
        </w:tc>
        <w:tc>
          <w:tcPr>
            <w:tcW w:w="617" w:type="dxa"/>
            <w:tcBorders>
              <w:top w:val="single" w:color="auto" w:sz="4" w:space="0"/>
              <w:left w:val="single" w:color="auto" w:sz="4" w:space="0"/>
              <w:bottom w:val="single" w:color="auto" w:sz="4" w:space="0"/>
              <w:right w:val="single" w:color="auto" w:sz="4" w:space="0"/>
            </w:tcBorders>
            <w:noWrap w:val="0"/>
            <w:vAlign w:val="center"/>
          </w:tcPr>
          <w:p w14:paraId="6D76BEA3">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tc>
      </w:tr>
    </w:tbl>
    <w:p w14:paraId="1FD10F47">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说明：1、若获得中标资格并与采购人签署供货合同，由于报价遗漏而造成在</w:t>
      </w:r>
      <w:r>
        <w:rPr>
          <w:rFonts w:hint="eastAsia" w:ascii="仿宋" w:hAnsi="仿宋" w:eastAsia="仿宋" w:cs="仿宋"/>
          <w:color w:val="auto"/>
          <w:sz w:val="21"/>
          <w:szCs w:val="21"/>
          <w:highlight w:val="none"/>
          <w:lang w:val="en-US" w:eastAsia="zh-CN"/>
        </w:rPr>
        <w:t>服务</w:t>
      </w:r>
      <w:r>
        <w:rPr>
          <w:rFonts w:hint="eastAsia" w:ascii="仿宋" w:hAnsi="仿宋" w:eastAsia="仿宋" w:cs="仿宋"/>
          <w:color w:val="auto"/>
          <w:sz w:val="21"/>
          <w:szCs w:val="21"/>
          <w:highlight w:val="none"/>
        </w:rPr>
        <w:t>、等工作中出现费用的增加，均由</w:t>
      </w:r>
      <w:r>
        <w:rPr>
          <w:rFonts w:hint="eastAsia" w:ascii="仿宋" w:hAnsi="仿宋" w:eastAsia="仿宋" w:cs="仿宋"/>
          <w:color w:val="auto"/>
          <w:sz w:val="21"/>
          <w:szCs w:val="21"/>
          <w:highlight w:val="none"/>
          <w:lang w:eastAsia="zh-CN"/>
        </w:rPr>
        <w:t>成交供应商</w:t>
      </w:r>
      <w:r>
        <w:rPr>
          <w:rFonts w:hint="eastAsia" w:ascii="仿宋" w:hAnsi="仿宋" w:eastAsia="仿宋" w:cs="仿宋"/>
          <w:color w:val="auto"/>
          <w:sz w:val="21"/>
          <w:szCs w:val="21"/>
          <w:highlight w:val="none"/>
        </w:rPr>
        <w:t>自行承担，采购人将不再支付任何额外费用。</w:t>
      </w:r>
    </w:p>
    <w:p w14:paraId="3866EA28">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投标人名称（盖章）：</w:t>
      </w:r>
    </w:p>
    <w:p w14:paraId="30196A7C">
      <w:pPr>
        <w:autoSpaceDE w:val="0"/>
        <w:autoSpaceDN w:val="0"/>
        <w:adjustRightInd w:val="0"/>
        <w:rPr>
          <w:rFonts w:hint="eastAsia" w:ascii="仿宋" w:hAnsi="仿宋" w:eastAsia="仿宋" w:cs="仿宋"/>
          <w:color w:val="auto"/>
          <w:sz w:val="21"/>
          <w:szCs w:val="21"/>
          <w:highlight w:val="none"/>
        </w:rPr>
      </w:pPr>
    </w:p>
    <w:p w14:paraId="1A813163">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法定代表人或授权代表（签字</w:t>
      </w:r>
      <w:r>
        <w:rPr>
          <w:rFonts w:hint="eastAsia" w:ascii="仿宋" w:hAnsi="仿宋" w:eastAsia="仿宋" w:cs="仿宋"/>
          <w:color w:val="auto"/>
          <w:sz w:val="21"/>
          <w:szCs w:val="21"/>
          <w:highlight w:val="none"/>
          <w:lang w:val="en-US" w:eastAsia="zh-CN"/>
        </w:rPr>
        <w:t>盖章</w:t>
      </w:r>
      <w:r>
        <w:rPr>
          <w:rFonts w:hint="eastAsia" w:ascii="仿宋" w:hAnsi="仿宋" w:eastAsia="仿宋" w:cs="仿宋"/>
          <w:color w:val="auto"/>
          <w:sz w:val="21"/>
          <w:szCs w:val="21"/>
          <w:highlight w:val="none"/>
        </w:rPr>
        <w:t>）：</w:t>
      </w:r>
    </w:p>
    <w:p w14:paraId="7996E001">
      <w:pPr>
        <w:autoSpaceDE w:val="0"/>
        <w:autoSpaceDN w:val="0"/>
        <w:adjustRightInd w:val="0"/>
        <w:rPr>
          <w:rFonts w:hint="eastAsia" w:ascii="仿宋" w:hAnsi="仿宋" w:eastAsia="仿宋" w:cs="仿宋"/>
          <w:color w:val="auto"/>
          <w:sz w:val="21"/>
          <w:szCs w:val="21"/>
          <w:highlight w:val="none"/>
        </w:rPr>
      </w:pPr>
    </w:p>
    <w:p w14:paraId="34960D5A">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日期：    年   月   日</w:t>
      </w:r>
    </w:p>
    <w:p w14:paraId="500E9BE2">
      <w:pPr>
        <w:autoSpaceDE w:val="0"/>
        <w:autoSpaceDN w:val="0"/>
        <w:adjustRightInd w:val="0"/>
        <w:rPr>
          <w:rFonts w:hint="eastAsia" w:ascii="仿宋" w:hAnsi="仿宋" w:eastAsia="仿宋" w:cs="仿宋"/>
          <w:color w:val="auto"/>
          <w:sz w:val="21"/>
          <w:szCs w:val="21"/>
          <w:highlight w:val="none"/>
        </w:rPr>
        <w:sectPr>
          <w:headerReference r:id="rId11" w:type="default"/>
          <w:footerReference r:id="rId12" w:type="default"/>
          <w:pgSz w:w="11905" w:h="16838"/>
          <w:pgMar w:top="1140" w:right="1202" w:bottom="1162" w:left="1219" w:header="851" w:footer="992" w:gutter="0"/>
          <w:cols w:space="720" w:num="1"/>
          <w:docGrid w:type="lines" w:linePitch="316" w:charSpace="0"/>
        </w:sectPr>
      </w:pPr>
    </w:p>
    <w:p w14:paraId="699CEC31">
      <w:pPr>
        <w:pStyle w:val="4"/>
        <w:ind w:firstLine="2951" w:firstLineChars="1400"/>
        <w:jc w:val="both"/>
        <w:rPr>
          <w:rFonts w:hint="eastAsia" w:ascii="仿宋" w:hAnsi="仿宋" w:eastAsia="仿宋" w:cs="仿宋"/>
          <w:color w:val="auto"/>
          <w:sz w:val="21"/>
          <w:szCs w:val="21"/>
          <w:highlight w:val="none"/>
        </w:rPr>
      </w:pPr>
      <w:bookmarkStart w:id="146" w:name="_Toc414108644"/>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val="zh-CN"/>
        </w:rPr>
        <w:t>法定代表人身份证明书</w:t>
      </w:r>
      <w:bookmarkEnd w:id="146"/>
    </w:p>
    <w:p w14:paraId="79A5A072">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单位名称：</w:t>
      </w:r>
      <w:r>
        <w:rPr>
          <w:rFonts w:hint="eastAsia" w:ascii="仿宋" w:hAnsi="仿宋" w:eastAsia="仿宋" w:cs="仿宋"/>
          <w:color w:val="auto"/>
          <w:sz w:val="21"/>
          <w:szCs w:val="21"/>
          <w:u w:val="single"/>
        </w:rPr>
        <w:t xml:space="preserve">                                          </w:t>
      </w:r>
    </w:p>
    <w:p w14:paraId="199C473D">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14:paraId="227D5849">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姓名：</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性别：</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职务：</w:t>
      </w:r>
      <w:r>
        <w:rPr>
          <w:rFonts w:hint="eastAsia" w:ascii="仿宋" w:hAnsi="仿宋" w:eastAsia="仿宋" w:cs="仿宋"/>
          <w:color w:val="auto"/>
          <w:sz w:val="21"/>
          <w:szCs w:val="21"/>
          <w:u w:val="single"/>
        </w:rPr>
        <w:t xml:space="preserve">        </w:t>
      </w:r>
    </w:p>
    <w:p w14:paraId="79D95847">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系</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法定代表人。</w:t>
      </w:r>
    </w:p>
    <w:p w14:paraId="5010572F">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2336"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11"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09501FE3">
                            <w:pPr>
                              <w:jc w:val="center"/>
                            </w:pPr>
                          </w:p>
                          <w:p w14:paraId="0364A6CE">
                            <w:pPr>
                              <w:jc w:val="center"/>
                            </w:pPr>
                          </w:p>
                          <w:p w14:paraId="5CB4E84E">
                            <w:pPr>
                              <w:jc w:val="center"/>
                            </w:pPr>
                            <w:r>
                              <w:rPr>
                                <w:rFonts w:hint="eastAsia"/>
                              </w:rPr>
                              <w:t>法定代表人身份证反面</w:t>
                            </w:r>
                          </w:p>
                          <w:p w14:paraId="7A1AAF27">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62336;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KtK0R9cAAAAJAQAA&#10;DwAAAAAAAAABACAAAAAiAAAAZHJzL2Rvd25yZXYueG1sUEsBAhQAFAAAAAgAh07iQIqwdclTAgAA&#10;3AQAAA4AAAAAAAAAAQAgAAAAJg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14:paraId="09501FE3">
                      <w:pPr>
                        <w:jc w:val="center"/>
                      </w:pPr>
                    </w:p>
                    <w:p w14:paraId="0364A6CE">
                      <w:pPr>
                        <w:jc w:val="center"/>
                      </w:pPr>
                    </w:p>
                    <w:p w14:paraId="5CB4E84E">
                      <w:pPr>
                        <w:jc w:val="center"/>
                      </w:pPr>
                      <w:r>
                        <w:rPr>
                          <w:rFonts w:hint="eastAsia"/>
                        </w:rPr>
                        <w:t>法定代表人身份证反面</w:t>
                      </w:r>
                    </w:p>
                    <w:p w14:paraId="7A1AAF27">
                      <w:pPr>
                        <w:jc w:val="center"/>
                      </w:pP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12"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6FEDB4C6">
                            <w:pPr>
                              <w:jc w:val="center"/>
                            </w:pPr>
                          </w:p>
                          <w:p w14:paraId="173B0219">
                            <w:pPr>
                              <w:jc w:val="center"/>
                            </w:pPr>
                          </w:p>
                          <w:p w14:paraId="02B57776">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61312;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BMc8nrYAAAACgEA&#10;AA8AAAAAAAAAAQAgAAAAIgAAAGRycy9kb3ducmV2LnhtbFBLAQIUABQAAAAIAIdO4kBJduZ1UwIA&#10;ANwEAAAOAAAAAAAAAAEAIAAAACc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14:paraId="6FEDB4C6">
                      <w:pPr>
                        <w:jc w:val="center"/>
                      </w:pPr>
                    </w:p>
                    <w:p w14:paraId="173B0219">
                      <w:pPr>
                        <w:jc w:val="center"/>
                      </w:pPr>
                    </w:p>
                    <w:p w14:paraId="02B57776">
                      <w:pPr>
                        <w:jc w:val="center"/>
                      </w:pPr>
                      <w:r>
                        <w:rPr>
                          <w:rFonts w:hint="eastAsia"/>
                        </w:rPr>
                        <w:t>法定代表人身份证正面</w:t>
                      </w:r>
                    </w:p>
                  </w:txbxContent>
                </v:textbox>
              </v:shape>
            </w:pict>
          </mc:Fallback>
        </mc:AlternateContent>
      </w:r>
    </w:p>
    <w:p w14:paraId="5D0B6C14">
      <w:pPr>
        <w:spacing w:line="360" w:lineRule="auto"/>
        <w:rPr>
          <w:rFonts w:hint="eastAsia" w:ascii="仿宋" w:hAnsi="仿宋" w:eastAsia="仿宋" w:cs="仿宋"/>
          <w:color w:val="auto"/>
          <w:sz w:val="21"/>
          <w:szCs w:val="21"/>
        </w:rPr>
      </w:pPr>
    </w:p>
    <w:p w14:paraId="6876100D">
      <w:pPr>
        <w:spacing w:line="360" w:lineRule="auto"/>
        <w:rPr>
          <w:rFonts w:hint="eastAsia" w:ascii="仿宋" w:hAnsi="仿宋" w:eastAsia="仿宋" w:cs="仿宋"/>
          <w:color w:val="auto"/>
          <w:sz w:val="21"/>
          <w:szCs w:val="21"/>
        </w:rPr>
      </w:pPr>
    </w:p>
    <w:p w14:paraId="3D85D054">
      <w:pPr>
        <w:spacing w:line="360" w:lineRule="auto"/>
        <w:rPr>
          <w:rFonts w:hint="eastAsia" w:ascii="仿宋" w:hAnsi="仿宋" w:eastAsia="仿宋" w:cs="仿宋"/>
          <w:color w:val="auto"/>
          <w:sz w:val="21"/>
          <w:szCs w:val="21"/>
        </w:rPr>
      </w:pPr>
    </w:p>
    <w:p w14:paraId="2A045E76">
      <w:pPr>
        <w:spacing w:line="360" w:lineRule="auto"/>
        <w:rPr>
          <w:rFonts w:hint="eastAsia" w:ascii="仿宋" w:hAnsi="仿宋" w:eastAsia="仿宋" w:cs="仿宋"/>
          <w:color w:val="auto"/>
          <w:sz w:val="21"/>
          <w:szCs w:val="21"/>
        </w:rPr>
      </w:pPr>
    </w:p>
    <w:p w14:paraId="63D8ED64">
      <w:pPr>
        <w:spacing w:line="360" w:lineRule="auto"/>
        <w:rPr>
          <w:rFonts w:hint="eastAsia" w:ascii="仿宋" w:hAnsi="仿宋" w:eastAsia="仿宋" w:cs="仿宋"/>
          <w:color w:val="auto"/>
          <w:sz w:val="21"/>
          <w:szCs w:val="21"/>
        </w:rPr>
      </w:pPr>
    </w:p>
    <w:p w14:paraId="27CFA62C">
      <w:pPr>
        <w:spacing w:line="360" w:lineRule="auto"/>
        <w:rPr>
          <w:rFonts w:hint="eastAsia" w:ascii="仿宋" w:hAnsi="仿宋" w:eastAsia="仿宋" w:cs="仿宋"/>
          <w:color w:val="auto"/>
          <w:sz w:val="21"/>
          <w:szCs w:val="21"/>
        </w:rPr>
      </w:pPr>
    </w:p>
    <w:p w14:paraId="32D6BB40">
      <w:pPr>
        <w:spacing w:line="360" w:lineRule="auto"/>
        <w:rPr>
          <w:rFonts w:hint="eastAsia" w:ascii="仿宋" w:hAnsi="仿宋" w:eastAsia="仿宋" w:cs="仿宋"/>
          <w:color w:val="auto"/>
          <w:sz w:val="21"/>
          <w:szCs w:val="21"/>
        </w:rPr>
      </w:pPr>
    </w:p>
    <w:p w14:paraId="64BD21CE">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投标单位名称：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（单位公章）</w:t>
      </w:r>
    </w:p>
    <w:p w14:paraId="72FF32E9">
      <w:pPr>
        <w:spacing w:line="360" w:lineRule="auto"/>
        <w:rPr>
          <w:rFonts w:hint="eastAsia" w:ascii="仿宋" w:hAnsi="仿宋" w:eastAsia="仿宋" w:cs="仿宋"/>
          <w:color w:val="auto"/>
          <w:sz w:val="21"/>
          <w:szCs w:val="21"/>
        </w:rPr>
      </w:pPr>
    </w:p>
    <w:p w14:paraId="6EB4CE16">
      <w:pPr>
        <w:spacing w:line="360" w:lineRule="auto"/>
        <w:rPr>
          <w:rFonts w:hint="eastAsia" w:ascii="仿宋" w:hAnsi="仿宋" w:eastAsia="仿宋" w:cs="仿宋"/>
          <w:color w:val="auto"/>
          <w:sz w:val="21"/>
          <w:szCs w:val="21"/>
        </w:rPr>
      </w:pPr>
    </w:p>
    <w:p w14:paraId="5F5D2E46">
      <w:pPr>
        <w:spacing w:line="360" w:lineRule="auto"/>
        <w:rPr>
          <w:rFonts w:hint="eastAsia" w:ascii="仿宋" w:hAnsi="仿宋" w:eastAsia="仿宋" w:cs="仿宋"/>
          <w:color w:val="auto"/>
          <w:sz w:val="21"/>
          <w:szCs w:val="21"/>
        </w:rPr>
      </w:pPr>
    </w:p>
    <w:p w14:paraId="1147BC96">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 xml:space="preserve">                                      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14:paraId="5ED3DF54">
      <w:pPr>
        <w:spacing w:line="400" w:lineRule="exact"/>
        <w:rPr>
          <w:rFonts w:hint="eastAsia" w:ascii="仿宋" w:hAnsi="仿宋" w:eastAsia="仿宋" w:cs="仿宋"/>
          <w:color w:val="auto"/>
          <w:sz w:val="21"/>
          <w:szCs w:val="21"/>
        </w:rPr>
      </w:pPr>
    </w:p>
    <w:p w14:paraId="37F4D130">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br w:type="page"/>
      </w:r>
    </w:p>
    <w:p w14:paraId="3E393807">
      <w:pPr>
        <w:pStyle w:val="3"/>
        <w:jc w:val="center"/>
        <w:rPr>
          <w:rFonts w:hint="eastAsia" w:ascii="仿宋" w:hAnsi="仿宋" w:eastAsia="仿宋" w:cs="仿宋"/>
          <w:color w:val="auto"/>
          <w:sz w:val="21"/>
          <w:szCs w:val="21"/>
        </w:rPr>
      </w:pPr>
      <w:bookmarkStart w:id="147" w:name="_Toc13321"/>
      <w:bookmarkStart w:id="148" w:name="_Toc23575"/>
      <w:bookmarkStart w:id="149" w:name="_Toc32628"/>
      <w:bookmarkStart w:id="150" w:name="_Toc32721"/>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法定代表人授权书格式</w:t>
      </w:r>
      <w:bookmarkEnd w:id="147"/>
      <w:bookmarkEnd w:id="148"/>
      <w:bookmarkEnd w:id="149"/>
      <w:bookmarkEnd w:id="150"/>
    </w:p>
    <w:p w14:paraId="7F274CD6">
      <w:pPr>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p>
    <w:p w14:paraId="474B0EFF">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(投标单位名称)法定代表人授权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为本公司的合法代理人，参加贵方组织的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采购招标活动，全权代表我方处理招标活动中的一切事宜和签署一切文件，被授权人无转委托权，特此委托。</w:t>
      </w:r>
    </w:p>
    <w:p w14:paraId="4E7467FE">
      <w:pPr>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     法定代表人签字：</w:t>
      </w:r>
      <w:r>
        <w:rPr>
          <w:rFonts w:hint="eastAsia" w:ascii="仿宋" w:hAnsi="仿宋" w:eastAsia="仿宋" w:cs="仿宋"/>
          <w:color w:val="auto"/>
          <w:sz w:val="21"/>
          <w:szCs w:val="21"/>
          <w:u w:val="single"/>
        </w:rPr>
        <w:t xml:space="preserve">              </w:t>
      </w:r>
    </w:p>
    <w:p w14:paraId="0C6177F2">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日</w:t>
      </w:r>
    </w:p>
    <w:p w14:paraId="23380F52">
      <w:pPr>
        <w:ind w:firstLine="514" w:firstLineChars="245"/>
        <w:rPr>
          <w:rFonts w:hint="eastAsia" w:ascii="仿宋" w:hAnsi="仿宋" w:eastAsia="仿宋" w:cs="仿宋"/>
          <w:color w:val="auto"/>
          <w:sz w:val="21"/>
          <w:szCs w:val="21"/>
          <w:u w:val="single"/>
        </w:rPr>
      </w:pPr>
      <w:r>
        <w:rPr>
          <w:rFonts w:hint="eastAsia" w:ascii="仿宋" w:hAnsi="仿宋" w:eastAsia="仿宋" w:cs="仿宋"/>
          <w:color w:val="auto"/>
          <w:sz w:val="21"/>
          <w:szCs w:val="21"/>
        </w:rPr>
        <w:t>被授权人姓名：</w:t>
      </w:r>
      <w:r>
        <w:rPr>
          <w:rFonts w:hint="eastAsia" w:ascii="仿宋" w:hAnsi="仿宋" w:eastAsia="仿宋" w:cs="仿宋"/>
          <w:color w:val="auto"/>
          <w:sz w:val="21"/>
          <w:szCs w:val="21"/>
          <w:u w:val="single"/>
        </w:rPr>
        <w:t xml:space="preserve">                 </w:t>
      </w:r>
    </w:p>
    <w:p w14:paraId="6C045C28">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职务：</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14:paraId="74096762">
      <w:pPr>
        <w:spacing w:line="360" w:lineRule="auto"/>
        <w:rPr>
          <w:rFonts w:hint="eastAsia" w:ascii="仿宋" w:hAnsi="仿宋" w:eastAsia="仿宋" w:cs="仿宋"/>
          <w:b/>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4384"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14"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071670C5">
                            <w:pPr>
                              <w:jc w:val="center"/>
                            </w:pPr>
                          </w:p>
                          <w:p w14:paraId="213E8C5C">
                            <w:pPr>
                              <w:jc w:val="center"/>
                            </w:pPr>
                          </w:p>
                          <w:p w14:paraId="2717BEBC">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64384;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r7EtN1wAAAAoB&#10;AAAPAAAAAAAAAAEAIAAAACIAAABkcnMvZG93bnJldi54bWxQSwECFAAUAAAACACHTuJA6oMuKlUC&#10;AADcBAAADgAAAAAAAAABACAAAAAm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14:paraId="071670C5">
                      <w:pPr>
                        <w:jc w:val="center"/>
                      </w:pPr>
                    </w:p>
                    <w:p w14:paraId="213E8C5C">
                      <w:pPr>
                        <w:jc w:val="center"/>
                      </w:pPr>
                    </w:p>
                    <w:p w14:paraId="2717BEBC">
                      <w:pPr>
                        <w:jc w:val="center"/>
                      </w:pPr>
                      <w:r>
                        <w:rPr>
                          <w:rFonts w:hint="eastAsia"/>
                        </w:rPr>
                        <w:t>被委托人身份证正面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3360"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13"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5E78D97F">
                            <w:pPr>
                              <w:jc w:val="center"/>
                            </w:pPr>
                          </w:p>
                          <w:p w14:paraId="3C357BD4">
                            <w:pPr>
                              <w:jc w:val="center"/>
                            </w:pPr>
                          </w:p>
                          <w:p w14:paraId="1686A01D">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63360;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o0/Nh1QAAAAgBAAAP&#10;AAAAAAAAAAEAIAAAACIAAABkcnMvZG93bnJldi54bWxQSwECFAAUAAAACACHTuJACd5sTl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14:paraId="5E78D97F">
                      <w:pPr>
                        <w:jc w:val="center"/>
                      </w:pPr>
                    </w:p>
                    <w:p w14:paraId="3C357BD4">
                      <w:pPr>
                        <w:jc w:val="center"/>
                      </w:pPr>
                    </w:p>
                    <w:p w14:paraId="1686A01D">
                      <w:pPr>
                        <w:jc w:val="center"/>
                      </w:pPr>
                      <w:r>
                        <w:rPr>
                          <w:rFonts w:hint="eastAsia"/>
                        </w:rPr>
                        <w:t>法定代表人身份证正面</w:t>
                      </w:r>
                    </w:p>
                  </w:txbxContent>
                </v:textbox>
              </v:shape>
            </w:pict>
          </mc:Fallback>
        </mc:AlternateContent>
      </w:r>
    </w:p>
    <w:p w14:paraId="5A46F385">
      <w:pPr>
        <w:spacing w:line="360" w:lineRule="auto"/>
        <w:rPr>
          <w:rFonts w:hint="eastAsia" w:ascii="仿宋" w:hAnsi="仿宋" w:eastAsia="仿宋" w:cs="仿宋"/>
          <w:b/>
          <w:color w:val="auto"/>
          <w:sz w:val="21"/>
          <w:szCs w:val="21"/>
        </w:rPr>
      </w:pPr>
    </w:p>
    <w:p w14:paraId="78AFCAF1">
      <w:pPr>
        <w:spacing w:line="360" w:lineRule="auto"/>
        <w:rPr>
          <w:rFonts w:hint="eastAsia" w:ascii="仿宋" w:hAnsi="仿宋" w:eastAsia="仿宋" w:cs="仿宋"/>
          <w:b/>
          <w:color w:val="auto"/>
          <w:sz w:val="21"/>
          <w:szCs w:val="21"/>
        </w:rPr>
      </w:pPr>
    </w:p>
    <w:p w14:paraId="7C9ED6ED">
      <w:pPr>
        <w:pStyle w:val="19"/>
        <w:rPr>
          <w:rFonts w:hint="eastAsia"/>
        </w:rPr>
      </w:pPr>
    </w:p>
    <w:p w14:paraId="38D04E7D">
      <w:pPr>
        <w:spacing w:line="360" w:lineRule="auto"/>
        <w:rPr>
          <w:rFonts w:hint="eastAsia" w:ascii="仿宋" w:hAnsi="仿宋" w:eastAsia="仿宋" w:cs="仿宋"/>
          <w:b/>
          <w:color w:val="auto"/>
          <w:sz w:val="21"/>
          <w:szCs w:val="21"/>
        </w:rPr>
      </w:pPr>
    </w:p>
    <w:p w14:paraId="1CAF9BEB">
      <w:pPr>
        <w:spacing w:line="360" w:lineRule="auto"/>
        <w:rPr>
          <w:rFonts w:hint="eastAsia" w:ascii="仿宋" w:hAnsi="仿宋" w:eastAsia="仿宋" w:cs="仿宋"/>
          <w:bCs/>
          <w:color w:val="auto"/>
          <w:sz w:val="21"/>
          <w:szCs w:val="21"/>
          <w:u w:val="single"/>
          <w:lang w:val="en-US" w:eastAsia="zh-CN"/>
        </w:rPr>
      </w:pPr>
      <w:r>
        <w:rPr>
          <w:rFonts w:hint="eastAsia" w:ascii="仿宋" w:hAnsi="仿宋" w:eastAsia="仿宋" w:cs="仿宋"/>
          <w:color w:val="auto"/>
          <w:sz w:val="21"/>
          <w:szCs w:val="21"/>
        </w:rPr>
        <mc:AlternateContent>
          <mc:Choice Requires="wps">
            <w:drawing>
              <wp:anchor distT="0" distB="0" distL="114300" distR="114300" simplePos="0" relativeHeight="251666432" behindDoc="0" locked="0" layoutInCell="1" allowOverlap="1">
                <wp:simplePos x="0" y="0"/>
                <wp:positionH relativeFrom="column">
                  <wp:posOffset>2783205</wp:posOffset>
                </wp:positionH>
                <wp:positionV relativeFrom="paragraph">
                  <wp:posOffset>163830</wp:posOffset>
                </wp:positionV>
                <wp:extent cx="2619375" cy="1428750"/>
                <wp:effectExtent l="7620" t="7620" r="20955" b="11430"/>
                <wp:wrapNone/>
                <wp:docPr id="15"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7ED11EF1">
                            <w:pPr>
                              <w:jc w:val="center"/>
                            </w:pPr>
                          </w:p>
                          <w:p w14:paraId="71923C8A">
                            <w:pPr>
                              <w:jc w:val="center"/>
                            </w:pPr>
                          </w:p>
                          <w:p w14:paraId="2AA685C4">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19.15pt;margin-top:12.9pt;height:112.5pt;width:206.25pt;z-index:251666432;mso-width-relative:page;mso-height-relative:page;" fillcolor="#FFFFFF" filled="t" stroked="t" coordsize="21600,21600" o:gfxdata="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Ltg9rLXAAAACgEA&#10;AA8AAAAAAAAAAQAgAAAAIgAAAGRycy9kb3ducmV2LnhtbFBLAQIUABQAAAAIAIdO4kBgwx+5VAIA&#10;ANwEAAAOAAAAAAAAAAEAIAAAACY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14:paraId="7ED11EF1">
                      <w:pPr>
                        <w:jc w:val="center"/>
                      </w:pPr>
                    </w:p>
                    <w:p w14:paraId="71923C8A">
                      <w:pPr>
                        <w:jc w:val="center"/>
                      </w:pPr>
                    </w:p>
                    <w:p w14:paraId="2AA685C4">
                      <w:pPr>
                        <w:jc w:val="center"/>
                      </w:pPr>
                      <w:r>
                        <w:rPr>
                          <w:rFonts w:hint="eastAsia"/>
                        </w:rPr>
                        <w:t>被委托人身份证背面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5408"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16"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10762871">
                            <w:pPr>
                              <w:jc w:val="center"/>
                            </w:pPr>
                          </w:p>
                          <w:p w14:paraId="69EC4476">
                            <w:pPr>
                              <w:jc w:val="center"/>
                            </w:pPr>
                          </w:p>
                          <w:p w14:paraId="098C659A">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65408;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pTOKP1QAAAAgBAAAP&#10;AAAAAAAAAAEAIAAAACIAAABkcnMvZG93bnJldi54bWxQSwECFAAUAAAACACHTuJAM1O2oV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14:paraId="10762871">
                      <w:pPr>
                        <w:jc w:val="center"/>
                      </w:pPr>
                    </w:p>
                    <w:p w14:paraId="69EC4476">
                      <w:pPr>
                        <w:jc w:val="center"/>
                      </w:pPr>
                    </w:p>
                    <w:p w14:paraId="098C659A">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color w:val="auto"/>
          <w:sz w:val="21"/>
          <w:szCs w:val="21"/>
        </w:rPr>
        <w:t>投标企业（盖章）：</w:t>
      </w:r>
      <w:r>
        <w:rPr>
          <w:rFonts w:hint="eastAsia" w:ascii="仿宋" w:hAnsi="仿宋" w:eastAsia="仿宋" w:cs="仿宋"/>
          <w:bCs/>
          <w:color w:val="auto"/>
          <w:sz w:val="21"/>
          <w:szCs w:val="21"/>
          <w:u w:val="single"/>
          <w:lang w:val="en-US" w:eastAsia="zh-CN"/>
        </w:rPr>
        <w:t xml:space="preserve">                </w:t>
      </w:r>
    </w:p>
    <w:p w14:paraId="21ED65C2">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14:paraId="4ED8EB6F">
      <w:pPr>
        <w:pStyle w:val="8"/>
        <w:rPr>
          <w:rFonts w:hint="eastAsia" w:ascii="仿宋" w:hAnsi="仿宋" w:eastAsia="仿宋" w:cs="仿宋"/>
          <w:color w:val="auto"/>
          <w:sz w:val="21"/>
          <w:szCs w:val="21"/>
        </w:rPr>
      </w:pPr>
    </w:p>
    <w:p w14:paraId="37CC85D8">
      <w:pPr>
        <w:pStyle w:val="20"/>
        <w:rPr>
          <w:rFonts w:hint="eastAsia" w:ascii="仿宋" w:hAnsi="仿宋" w:eastAsia="仿宋" w:cs="仿宋"/>
          <w:color w:val="auto"/>
          <w:sz w:val="21"/>
          <w:szCs w:val="21"/>
        </w:rPr>
      </w:pPr>
    </w:p>
    <w:p w14:paraId="0AD130BF">
      <w:pPr>
        <w:pStyle w:val="20"/>
        <w:rPr>
          <w:rFonts w:hint="eastAsia" w:ascii="仿宋" w:hAnsi="仿宋" w:eastAsia="仿宋" w:cs="仿宋"/>
          <w:color w:val="auto"/>
          <w:sz w:val="21"/>
          <w:szCs w:val="21"/>
        </w:rPr>
      </w:pPr>
    </w:p>
    <w:p w14:paraId="5F5FF29D">
      <w:pPr>
        <w:pStyle w:val="20"/>
        <w:rPr>
          <w:rFonts w:hint="eastAsia" w:ascii="仿宋" w:hAnsi="仿宋" w:eastAsia="仿宋" w:cs="仿宋"/>
          <w:color w:val="auto"/>
          <w:sz w:val="21"/>
          <w:szCs w:val="21"/>
        </w:rPr>
      </w:pPr>
    </w:p>
    <w:p w14:paraId="144516AB">
      <w:pPr>
        <w:pStyle w:val="20"/>
        <w:rPr>
          <w:rFonts w:hint="eastAsia" w:ascii="仿宋" w:hAnsi="仿宋" w:eastAsia="仿宋" w:cs="仿宋"/>
          <w:color w:val="auto"/>
          <w:sz w:val="21"/>
          <w:szCs w:val="21"/>
        </w:rPr>
      </w:pPr>
    </w:p>
    <w:p w14:paraId="70CE5589">
      <w:pPr>
        <w:pStyle w:val="20"/>
        <w:rPr>
          <w:rFonts w:hint="eastAsia" w:ascii="仿宋" w:hAnsi="仿宋" w:eastAsia="仿宋" w:cs="仿宋"/>
          <w:color w:val="auto"/>
          <w:sz w:val="21"/>
          <w:szCs w:val="21"/>
        </w:rPr>
      </w:pPr>
    </w:p>
    <w:p w14:paraId="318A171B">
      <w:pPr>
        <w:pStyle w:val="20"/>
        <w:rPr>
          <w:rFonts w:hint="eastAsia" w:ascii="仿宋" w:hAnsi="仿宋" w:eastAsia="仿宋" w:cs="仿宋"/>
          <w:color w:val="auto"/>
          <w:sz w:val="21"/>
          <w:szCs w:val="21"/>
        </w:rPr>
      </w:pPr>
    </w:p>
    <w:p w14:paraId="3C17CC24">
      <w:pPr>
        <w:rPr>
          <w:rFonts w:hint="eastAsia" w:ascii="仿宋" w:hAnsi="仿宋" w:eastAsia="仿宋" w:cs="仿宋"/>
          <w:color w:val="auto"/>
          <w:sz w:val="21"/>
          <w:szCs w:val="21"/>
        </w:rPr>
      </w:pPr>
    </w:p>
    <w:p w14:paraId="318A3312">
      <w:pPr>
        <w:pStyle w:val="8"/>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6.企业情况</w:t>
      </w:r>
    </w:p>
    <w:p w14:paraId="7390297A">
      <w:pPr>
        <w:pStyle w:val="3"/>
        <w:jc w:val="both"/>
        <w:rPr>
          <w:rFonts w:hint="eastAsia" w:ascii="仿宋" w:hAnsi="仿宋" w:eastAsia="仿宋" w:cs="仿宋"/>
          <w:color w:val="auto"/>
          <w:sz w:val="21"/>
          <w:szCs w:val="21"/>
        </w:rPr>
      </w:pPr>
      <w:bookmarkStart w:id="151" w:name="_Toc414108648"/>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法人营业执照函</w:t>
      </w:r>
    </w:p>
    <w:p w14:paraId="7698953A">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p>
    <w:p w14:paraId="298593A3">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现附上由</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（签发机关名称）签发的我方法人营业执照复印件，该执照已经年检，真实有效。</w:t>
      </w:r>
    </w:p>
    <w:p w14:paraId="23A664B6">
      <w:pPr>
        <w:spacing w:line="360" w:lineRule="auto"/>
        <w:ind w:firstLine="480"/>
        <w:rPr>
          <w:rFonts w:hint="eastAsia" w:ascii="仿宋" w:hAnsi="仿宋" w:eastAsia="仿宋" w:cs="仿宋"/>
          <w:b/>
          <w:bCs/>
          <w:color w:val="auto"/>
          <w:sz w:val="21"/>
          <w:szCs w:val="21"/>
        </w:rPr>
      </w:pPr>
      <w:r>
        <w:rPr>
          <w:rFonts w:hint="eastAsia" w:ascii="仿宋" w:hAnsi="仿宋" w:eastAsia="仿宋" w:cs="仿宋"/>
          <w:b/>
          <w:bCs/>
          <w:color w:val="auto"/>
          <w:sz w:val="21"/>
          <w:szCs w:val="21"/>
        </w:rPr>
        <w:t>注：在此页附上营业执照</w:t>
      </w:r>
    </w:p>
    <w:p w14:paraId="2452E899">
      <w:pPr>
        <w:spacing w:line="360" w:lineRule="auto"/>
        <w:ind w:firstLine="480"/>
        <w:rPr>
          <w:rFonts w:hint="eastAsia" w:ascii="仿宋" w:hAnsi="仿宋" w:eastAsia="仿宋" w:cs="仿宋"/>
          <w:color w:val="auto"/>
          <w:sz w:val="21"/>
          <w:szCs w:val="21"/>
        </w:rPr>
      </w:pPr>
    </w:p>
    <w:p w14:paraId="00DEBEA7">
      <w:pPr>
        <w:spacing w:line="360" w:lineRule="auto"/>
        <w:ind w:firstLine="480"/>
        <w:rPr>
          <w:rFonts w:hint="eastAsia" w:ascii="仿宋" w:hAnsi="仿宋" w:eastAsia="仿宋" w:cs="仿宋"/>
          <w:color w:val="auto"/>
          <w:sz w:val="21"/>
          <w:szCs w:val="21"/>
        </w:rPr>
      </w:pPr>
    </w:p>
    <w:p w14:paraId="06CA8F35">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投标单位名称（单位公章）：</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14:paraId="3C5D9190">
      <w:pPr>
        <w:spacing w:line="360" w:lineRule="auto"/>
        <w:ind w:firstLine="480"/>
        <w:rPr>
          <w:rFonts w:hint="eastAsia" w:ascii="仿宋" w:hAnsi="仿宋" w:eastAsia="仿宋" w:cs="仿宋"/>
          <w:color w:val="auto"/>
          <w:sz w:val="21"/>
          <w:szCs w:val="21"/>
        </w:rPr>
      </w:pPr>
    </w:p>
    <w:p w14:paraId="75EBD8F7">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14:paraId="6A6B3DA8">
      <w:pPr>
        <w:spacing w:line="360" w:lineRule="auto"/>
        <w:ind w:firstLine="480"/>
        <w:rPr>
          <w:rFonts w:hint="eastAsia" w:ascii="仿宋" w:hAnsi="仿宋" w:eastAsia="仿宋" w:cs="仿宋"/>
          <w:color w:val="auto"/>
          <w:sz w:val="21"/>
          <w:szCs w:val="21"/>
        </w:rPr>
      </w:pPr>
    </w:p>
    <w:p w14:paraId="6DA72D14">
      <w:pPr>
        <w:spacing w:line="360" w:lineRule="auto"/>
        <w:ind w:firstLine="480"/>
        <w:rPr>
          <w:rFonts w:hint="eastAsia" w:ascii="仿宋" w:hAnsi="仿宋" w:eastAsia="仿宋" w:cs="仿宋"/>
          <w:color w:val="auto"/>
          <w:sz w:val="21"/>
          <w:szCs w:val="21"/>
        </w:rPr>
      </w:pPr>
    </w:p>
    <w:p w14:paraId="700C2DCD">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14:paraId="752A07DF">
      <w:pPr>
        <w:pStyle w:val="8"/>
        <w:rPr>
          <w:rFonts w:hint="eastAsia" w:ascii="仿宋" w:hAnsi="仿宋" w:eastAsia="仿宋" w:cs="仿宋"/>
          <w:color w:val="auto"/>
          <w:sz w:val="21"/>
          <w:szCs w:val="21"/>
        </w:rPr>
      </w:pPr>
    </w:p>
    <w:p w14:paraId="7C23C437">
      <w:pPr>
        <w:rPr>
          <w:rFonts w:hint="eastAsia" w:ascii="仿宋" w:hAnsi="仿宋" w:eastAsia="仿宋" w:cs="仿宋"/>
          <w:color w:val="auto"/>
          <w:sz w:val="21"/>
          <w:szCs w:val="21"/>
        </w:rPr>
      </w:pPr>
    </w:p>
    <w:p w14:paraId="6FF10EF7">
      <w:pPr>
        <w:spacing w:line="360" w:lineRule="auto"/>
        <w:ind w:firstLine="422" w:firstLineChars="200"/>
        <w:jc w:val="center"/>
        <w:rPr>
          <w:rFonts w:hint="eastAsia" w:ascii="仿宋" w:hAnsi="仿宋" w:eastAsia="仿宋" w:cs="仿宋"/>
          <w:b/>
          <w:sz w:val="21"/>
          <w:szCs w:val="21"/>
        </w:rPr>
      </w:pPr>
    </w:p>
    <w:p w14:paraId="50718B9C">
      <w:pPr>
        <w:spacing w:line="360" w:lineRule="auto"/>
        <w:ind w:firstLine="422" w:firstLineChars="200"/>
        <w:jc w:val="center"/>
        <w:rPr>
          <w:rFonts w:hint="eastAsia" w:ascii="仿宋" w:hAnsi="仿宋" w:eastAsia="仿宋" w:cs="仿宋"/>
          <w:b/>
          <w:sz w:val="21"/>
          <w:szCs w:val="21"/>
        </w:rPr>
      </w:pPr>
    </w:p>
    <w:p w14:paraId="32819A72">
      <w:pPr>
        <w:spacing w:line="360" w:lineRule="auto"/>
        <w:ind w:firstLine="422" w:firstLineChars="200"/>
        <w:jc w:val="center"/>
        <w:rPr>
          <w:rFonts w:hint="eastAsia" w:ascii="仿宋" w:hAnsi="仿宋" w:eastAsia="仿宋" w:cs="仿宋"/>
          <w:b/>
          <w:sz w:val="21"/>
          <w:szCs w:val="21"/>
        </w:rPr>
      </w:pPr>
    </w:p>
    <w:p w14:paraId="5CF224BF">
      <w:pPr>
        <w:spacing w:line="360" w:lineRule="auto"/>
        <w:ind w:firstLine="422" w:firstLineChars="200"/>
        <w:jc w:val="center"/>
        <w:rPr>
          <w:rFonts w:hint="eastAsia" w:ascii="仿宋" w:hAnsi="仿宋" w:eastAsia="仿宋" w:cs="仿宋"/>
          <w:b/>
          <w:sz w:val="21"/>
          <w:szCs w:val="21"/>
        </w:rPr>
      </w:pPr>
    </w:p>
    <w:p w14:paraId="48FDE4DB">
      <w:pPr>
        <w:spacing w:line="360" w:lineRule="auto"/>
        <w:ind w:firstLine="422" w:firstLineChars="200"/>
        <w:jc w:val="center"/>
        <w:rPr>
          <w:rFonts w:hint="eastAsia" w:ascii="仿宋" w:hAnsi="仿宋" w:eastAsia="仿宋" w:cs="仿宋"/>
          <w:b/>
          <w:sz w:val="21"/>
          <w:szCs w:val="21"/>
        </w:rPr>
      </w:pPr>
    </w:p>
    <w:p w14:paraId="62058942">
      <w:pPr>
        <w:pStyle w:val="4"/>
        <w:rPr>
          <w:rFonts w:hint="eastAsia" w:ascii="仿宋" w:hAnsi="仿宋" w:eastAsia="仿宋" w:cs="仿宋"/>
          <w:sz w:val="21"/>
          <w:szCs w:val="21"/>
        </w:rPr>
      </w:pPr>
    </w:p>
    <w:p w14:paraId="4740A028">
      <w:pPr>
        <w:rPr>
          <w:rFonts w:hint="eastAsia" w:ascii="仿宋" w:hAnsi="仿宋" w:eastAsia="仿宋" w:cs="仿宋"/>
          <w:sz w:val="21"/>
          <w:szCs w:val="21"/>
        </w:rPr>
      </w:pPr>
    </w:p>
    <w:p w14:paraId="5F7C7074">
      <w:pPr>
        <w:pStyle w:val="8"/>
        <w:rPr>
          <w:rFonts w:hint="eastAsia" w:ascii="仿宋" w:hAnsi="仿宋" w:eastAsia="仿宋" w:cs="仿宋"/>
          <w:sz w:val="21"/>
          <w:szCs w:val="21"/>
        </w:rPr>
      </w:pPr>
    </w:p>
    <w:p w14:paraId="34EFCF7A">
      <w:pPr>
        <w:pStyle w:val="28"/>
        <w:rPr>
          <w:rFonts w:hint="eastAsia" w:ascii="仿宋" w:hAnsi="仿宋" w:eastAsia="仿宋" w:cs="仿宋"/>
          <w:sz w:val="21"/>
          <w:szCs w:val="21"/>
        </w:rPr>
      </w:pPr>
    </w:p>
    <w:p w14:paraId="2C30DB02">
      <w:pPr>
        <w:pStyle w:val="28"/>
        <w:rPr>
          <w:rFonts w:hint="eastAsia" w:ascii="仿宋" w:hAnsi="仿宋" w:eastAsia="仿宋" w:cs="仿宋"/>
          <w:sz w:val="21"/>
          <w:szCs w:val="21"/>
        </w:rPr>
      </w:pPr>
    </w:p>
    <w:p w14:paraId="3AC1481A">
      <w:pPr>
        <w:pStyle w:val="28"/>
        <w:rPr>
          <w:rFonts w:hint="eastAsia" w:ascii="仿宋" w:hAnsi="仿宋" w:eastAsia="仿宋" w:cs="仿宋"/>
          <w:sz w:val="21"/>
          <w:szCs w:val="21"/>
        </w:rPr>
      </w:pPr>
    </w:p>
    <w:p w14:paraId="21DBE1CD">
      <w:pPr>
        <w:pStyle w:val="28"/>
        <w:rPr>
          <w:rFonts w:hint="eastAsia" w:ascii="仿宋" w:hAnsi="仿宋" w:eastAsia="仿宋" w:cs="仿宋"/>
          <w:sz w:val="21"/>
          <w:szCs w:val="21"/>
        </w:rPr>
      </w:pPr>
    </w:p>
    <w:p w14:paraId="55CB06B3">
      <w:pPr>
        <w:pStyle w:val="28"/>
        <w:rPr>
          <w:rFonts w:hint="eastAsia" w:ascii="仿宋" w:hAnsi="仿宋" w:eastAsia="仿宋" w:cs="仿宋"/>
          <w:sz w:val="21"/>
          <w:szCs w:val="21"/>
        </w:rPr>
      </w:pPr>
    </w:p>
    <w:p w14:paraId="45F23CEB">
      <w:pPr>
        <w:pStyle w:val="28"/>
        <w:rPr>
          <w:rFonts w:hint="eastAsia" w:ascii="仿宋" w:hAnsi="仿宋" w:eastAsia="仿宋" w:cs="仿宋"/>
          <w:sz w:val="21"/>
          <w:szCs w:val="21"/>
        </w:rPr>
      </w:pPr>
    </w:p>
    <w:p w14:paraId="7EC5EEC9">
      <w:pPr>
        <w:pStyle w:val="28"/>
        <w:rPr>
          <w:rFonts w:hint="eastAsia" w:ascii="仿宋" w:hAnsi="仿宋" w:eastAsia="仿宋" w:cs="仿宋"/>
          <w:sz w:val="21"/>
          <w:szCs w:val="21"/>
        </w:rPr>
      </w:pPr>
    </w:p>
    <w:p w14:paraId="344455DC">
      <w:pPr>
        <w:keepNext/>
        <w:keepLines/>
        <w:adjustRightInd w:val="0"/>
        <w:snapToGrid w:val="0"/>
        <w:spacing w:line="360" w:lineRule="auto"/>
        <w:ind w:left="240"/>
        <w:jc w:val="center"/>
        <w:outlineLvl w:val="1"/>
        <w:rPr>
          <w:rFonts w:hint="eastAsia" w:ascii="仿宋" w:hAnsi="仿宋" w:eastAsia="仿宋" w:cs="仿宋"/>
          <w:b/>
          <w:bCs/>
          <w:color w:val="000000" w:themeColor="text1"/>
          <w:kern w:val="0"/>
          <w:sz w:val="28"/>
          <w:szCs w:val="32"/>
          <w:lang w:val="en-US" w:eastAsia="zh-CN"/>
          <w14:textFill>
            <w14:solidFill>
              <w14:schemeClr w14:val="tx1"/>
            </w14:solidFill>
          </w14:textFill>
        </w:rPr>
      </w:pPr>
      <w:r>
        <w:rPr>
          <w:rFonts w:hint="eastAsia" w:ascii="仿宋" w:hAnsi="仿宋" w:eastAsia="仿宋" w:cs="仿宋"/>
          <w:b/>
          <w:sz w:val="21"/>
          <w:szCs w:val="21"/>
          <w:lang w:val="en-US" w:eastAsia="zh-CN"/>
        </w:rPr>
        <w:t>7.</w:t>
      </w:r>
      <w:r>
        <w:rPr>
          <w:rFonts w:hint="eastAsia" w:ascii="仿宋" w:hAnsi="仿宋" w:eastAsia="仿宋" w:cs="仿宋"/>
          <w:b/>
          <w:bCs/>
          <w:color w:val="000000" w:themeColor="text1"/>
          <w:kern w:val="0"/>
          <w:sz w:val="28"/>
          <w:szCs w:val="32"/>
          <w14:textFill>
            <w14:solidFill>
              <w14:schemeClr w14:val="tx1"/>
            </w14:solidFill>
          </w14:textFill>
        </w:rPr>
        <w:t>投标人的资格声明</w:t>
      </w:r>
      <w:r>
        <w:rPr>
          <w:rFonts w:hint="eastAsia" w:ascii="仿宋" w:hAnsi="仿宋" w:eastAsia="仿宋" w:cs="仿宋"/>
          <w:b/>
          <w:bCs/>
          <w:color w:val="000000" w:themeColor="text1"/>
          <w:kern w:val="0"/>
          <w:sz w:val="28"/>
          <w:szCs w:val="32"/>
          <w:lang w:val="en-US" w:eastAsia="zh-CN"/>
          <w14:textFill>
            <w14:solidFill>
              <w14:schemeClr w14:val="tx1"/>
            </w14:solidFill>
          </w14:textFill>
        </w:rPr>
        <w:t>函</w:t>
      </w:r>
    </w:p>
    <w:p w14:paraId="5FFF8D94">
      <w:pPr>
        <w:spacing w:line="360" w:lineRule="auto"/>
        <w:rPr>
          <w:rFonts w:hint="eastAsia"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u w:val="single"/>
          <w14:textFill>
            <w14:solidFill>
              <w14:schemeClr w14:val="tx1"/>
            </w14:solidFill>
          </w14:textFill>
        </w:rPr>
        <w:t xml:space="preserve"> （采购单位）  ：</w:t>
      </w:r>
    </w:p>
    <w:p w14:paraId="33CAC9D1">
      <w:pPr>
        <w:spacing w:line="360" w:lineRule="auto"/>
        <w:ind w:firstLine="480"/>
        <w:rPr>
          <w:rFonts w:hint="eastAsia" w:ascii="仿宋" w:hAnsi="仿宋" w:eastAsia="仿宋" w:cs="仿宋"/>
          <w:color w:val="000000" w:themeColor="text1"/>
          <w:sz w:val="22"/>
          <w:szCs w:val="18"/>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关于贵方</w:t>
      </w:r>
      <w:r>
        <w:rPr>
          <w:rFonts w:hint="eastAsia" w:ascii="仿宋" w:hAnsi="仿宋" w:eastAsia="仿宋" w:cs="仿宋"/>
          <w:color w:val="000000" w:themeColor="text1"/>
          <w:sz w:val="22"/>
          <w:szCs w:val="18"/>
          <w:u w:val="single"/>
          <w14:textFill>
            <w14:solidFill>
              <w14:schemeClr w14:val="tx1"/>
            </w14:solidFill>
          </w14:textFill>
        </w:rPr>
        <w:t xml:space="preserve">  </w:t>
      </w:r>
      <w:r>
        <w:rPr>
          <w:rFonts w:hint="eastAsia" w:ascii="仿宋" w:hAnsi="仿宋" w:eastAsia="仿宋" w:cs="仿宋"/>
          <w:color w:val="000000" w:themeColor="text1"/>
          <w:sz w:val="22"/>
          <w:szCs w:val="18"/>
          <w:u w:val="single"/>
          <w:lang w:val="en-US" w:eastAsia="zh-CN"/>
          <w14:textFill>
            <w14:solidFill>
              <w14:schemeClr w14:val="tx1"/>
            </w14:solidFill>
          </w14:textFill>
        </w:rPr>
        <w:t xml:space="preserve">  </w:t>
      </w:r>
      <w:r>
        <w:rPr>
          <w:rFonts w:hint="eastAsia" w:ascii="仿宋" w:hAnsi="仿宋" w:eastAsia="仿宋" w:cs="仿宋"/>
          <w:color w:val="000000" w:themeColor="text1"/>
          <w:sz w:val="22"/>
          <w:szCs w:val="18"/>
          <w:u w:val="single"/>
          <w14:textFill>
            <w14:solidFill>
              <w14:schemeClr w14:val="tx1"/>
            </w14:solidFill>
          </w14:textFill>
        </w:rPr>
        <w:t xml:space="preserve"> </w:t>
      </w:r>
      <w:r>
        <w:rPr>
          <w:rFonts w:hint="eastAsia" w:ascii="仿宋" w:hAnsi="仿宋" w:eastAsia="仿宋" w:cs="仿宋"/>
          <w:color w:val="000000" w:themeColor="text1"/>
          <w:sz w:val="22"/>
          <w:szCs w:val="18"/>
          <w14:textFill>
            <w14:solidFill>
              <w14:schemeClr w14:val="tx1"/>
            </w14:solidFill>
          </w14:textFill>
        </w:rPr>
        <w:t>年</w:t>
      </w:r>
      <w:r>
        <w:rPr>
          <w:rFonts w:hint="eastAsia" w:ascii="仿宋" w:hAnsi="仿宋" w:eastAsia="仿宋" w:cs="仿宋"/>
          <w:color w:val="000000" w:themeColor="text1"/>
          <w:sz w:val="22"/>
          <w:szCs w:val="18"/>
          <w:u w:val="single"/>
          <w14:textFill>
            <w14:solidFill>
              <w14:schemeClr w14:val="tx1"/>
            </w14:solidFill>
          </w14:textFill>
        </w:rPr>
        <w:t xml:space="preserve">      </w:t>
      </w:r>
      <w:r>
        <w:rPr>
          <w:rFonts w:hint="eastAsia" w:ascii="仿宋" w:hAnsi="仿宋" w:eastAsia="仿宋" w:cs="仿宋"/>
          <w:color w:val="000000" w:themeColor="text1"/>
          <w:sz w:val="22"/>
          <w:szCs w:val="18"/>
          <w14:textFill>
            <w14:solidFill>
              <w14:schemeClr w14:val="tx1"/>
            </w14:solidFill>
          </w14:textFill>
        </w:rPr>
        <w:t>月</w:t>
      </w:r>
      <w:r>
        <w:rPr>
          <w:rFonts w:hint="eastAsia" w:ascii="仿宋" w:hAnsi="仿宋" w:eastAsia="仿宋" w:cs="仿宋"/>
          <w:color w:val="000000" w:themeColor="text1"/>
          <w:sz w:val="22"/>
          <w:szCs w:val="18"/>
          <w:u w:val="single"/>
          <w14:textFill>
            <w14:solidFill>
              <w14:schemeClr w14:val="tx1"/>
            </w14:solidFill>
          </w14:textFill>
        </w:rPr>
        <w:t xml:space="preserve">      </w:t>
      </w:r>
      <w:r>
        <w:rPr>
          <w:rFonts w:hint="eastAsia" w:ascii="仿宋" w:hAnsi="仿宋" w:eastAsia="仿宋" w:cs="仿宋"/>
          <w:color w:val="000000" w:themeColor="text1"/>
          <w:sz w:val="22"/>
          <w:szCs w:val="18"/>
          <w14:textFill>
            <w14:solidFill>
              <w14:schemeClr w14:val="tx1"/>
            </w14:solidFill>
          </w14:textFill>
        </w:rPr>
        <w:t>日发出的</w:t>
      </w:r>
      <w:r>
        <w:rPr>
          <w:rFonts w:hint="eastAsia" w:ascii="仿宋" w:hAnsi="仿宋" w:eastAsia="仿宋" w:cs="仿宋"/>
          <w:color w:val="000000" w:themeColor="text1"/>
          <w:sz w:val="22"/>
          <w:szCs w:val="18"/>
          <w:u w:val="single"/>
          <w14:textFill>
            <w14:solidFill>
              <w14:schemeClr w14:val="tx1"/>
            </w14:solidFill>
          </w14:textFill>
        </w:rPr>
        <w:t xml:space="preserve">                  </w:t>
      </w:r>
      <w:r>
        <w:rPr>
          <w:rFonts w:hint="eastAsia" w:ascii="仿宋" w:hAnsi="仿宋" w:eastAsia="仿宋" w:cs="仿宋"/>
          <w:color w:val="000000" w:themeColor="text1"/>
          <w:sz w:val="22"/>
          <w:szCs w:val="18"/>
          <w14:textFill>
            <w14:solidFill>
              <w14:schemeClr w14:val="tx1"/>
            </w14:solidFill>
          </w14:textFill>
        </w:rPr>
        <w:t>项目</w:t>
      </w:r>
      <w:r>
        <w:rPr>
          <w:rFonts w:hint="eastAsia" w:ascii="仿宋" w:hAnsi="仿宋" w:eastAsia="仿宋" w:cs="仿宋"/>
          <w:color w:val="000000" w:themeColor="text1"/>
          <w:sz w:val="22"/>
          <w:szCs w:val="18"/>
          <w:lang w:val="en-US" w:eastAsia="zh-CN"/>
          <w14:textFill>
            <w14:solidFill>
              <w14:schemeClr w14:val="tx1"/>
            </w14:solidFill>
          </w14:textFill>
        </w:rPr>
        <w:t>采购</w:t>
      </w:r>
      <w:r>
        <w:rPr>
          <w:rFonts w:hint="eastAsia" w:ascii="仿宋" w:hAnsi="仿宋" w:eastAsia="仿宋" w:cs="仿宋"/>
          <w:color w:val="000000" w:themeColor="text1"/>
          <w:sz w:val="22"/>
          <w:szCs w:val="18"/>
          <w14:textFill>
            <w14:solidFill>
              <w14:schemeClr w14:val="tx1"/>
            </w14:solidFill>
          </w14:textFill>
        </w:rPr>
        <w:t>文件，本投标方愿意参加投标，并证明资格文件中所要求的说明是真实和准确的，并声明：本公司具有符合招标要求的具有独立承担民事责任的能力、具有良好的商业信誉和健全的财务会计制度、具有履行合同所必需的设备和专业技术能力、有依法缴纳税收和社会保障资金的良好记录。提交的相关证明文件是准确真实、完整有效的，并已清楚招标文件的要求及有关文件规定。并承诺在本次招标采购活动中，如有违法、违规、弄虚作假行为，所造成的损失、不良后果及法律责任，一律由我公司（企业）承担。本投标方对可能要求的进一步资格资料表示理解和同意，并同意按贵方的要求提供任何有关资料。</w:t>
      </w:r>
    </w:p>
    <w:p w14:paraId="6D33BA8A">
      <w:pPr>
        <w:spacing w:line="440" w:lineRule="exact"/>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18"/>
          <w14:textFill>
            <w14:solidFill>
              <w14:schemeClr w14:val="tx1"/>
            </w14:solidFill>
          </w14:textFill>
        </w:rPr>
        <w:t>特此声明！</w:t>
      </w:r>
    </w:p>
    <w:p w14:paraId="419B37A0">
      <w:pPr>
        <w:spacing w:line="440" w:lineRule="exact"/>
        <w:rPr>
          <w:rFonts w:hint="eastAsia" w:ascii="仿宋" w:hAnsi="仿宋" w:eastAsia="仿宋" w:cs="仿宋"/>
          <w:color w:val="000000" w:themeColor="text1"/>
          <w:sz w:val="22"/>
          <w:szCs w:val="22"/>
          <w14:textFill>
            <w14:solidFill>
              <w14:schemeClr w14:val="tx1"/>
            </w14:solidFill>
          </w14:textFill>
        </w:rPr>
      </w:pPr>
    </w:p>
    <w:p w14:paraId="61C635A3">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14:paraId="7F23C8E2">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w:t>
      </w:r>
      <w:r>
        <w:rPr>
          <w:rFonts w:hint="eastAsia" w:ascii="仿宋" w:hAnsi="仿宋" w:eastAsia="仿宋" w:cs="仿宋"/>
          <w:sz w:val="21"/>
          <w:szCs w:val="21"/>
        </w:rPr>
        <w:t>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14:paraId="64ACE7AB">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14:paraId="05F64531">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 xml:space="preserve">日 期:      年     月    日      </w:t>
      </w:r>
      <w:r>
        <w:rPr>
          <w:rFonts w:hint="eastAsia" w:ascii="仿宋" w:hAnsi="仿宋" w:eastAsia="仿宋" w:cs="仿宋"/>
          <w:color w:val="auto"/>
          <w:sz w:val="21"/>
          <w:szCs w:val="21"/>
          <w:highlight w:val="none"/>
          <w:lang w:val="en-US" w:eastAsia="zh-CN"/>
        </w:rPr>
        <w:t xml:space="preserve">        </w:t>
      </w:r>
    </w:p>
    <w:p w14:paraId="6C462A23">
      <w:pPr>
        <w:pStyle w:val="4"/>
        <w:jc w:val="center"/>
        <w:rPr>
          <w:rFonts w:hint="eastAsia" w:ascii="仿宋" w:hAnsi="仿宋" w:eastAsia="仿宋" w:cs="仿宋"/>
          <w:color w:val="auto"/>
          <w:sz w:val="21"/>
          <w:szCs w:val="21"/>
          <w:highlight w:val="none"/>
          <w:lang w:val="en-US" w:eastAsia="zh-CN"/>
        </w:rPr>
      </w:pPr>
    </w:p>
    <w:p w14:paraId="4DE6EFA3">
      <w:pPr>
        <w:rPr>
          <w:rFonts w:hint="eastAsia" w:ascii="仿宋" w:hAnsi="仿宋" w:eastAsia="仿宋" w:cs="仿宋"/>
          <w:color w:val="auto"/>
          <w:sz w:val="21"/>
          <w:szCs w:val="21"/>
          <w:highlight w:val="none"/>
          <w:lang w:val="en-US" w:eastAsia="zh-CN"/>
        </w:rPr>
      </w:pPr>
    </w:p>
    <w:p w14:paraId="69CCFD27">
      <w:pPr>
        <w:pStyle w:val="8"/>
        <w:rPr>
          <w:rFonts w:hint="eastAsia" w:ascii="仿宋" w:hAnsi="仿宋" w:eastAsia="仿宋" w:cs="仿宋"/>
          <w:color w:val="auto"/>
          <w:sz w:val="21"/>
          <w:szCs w:val="21"/>
          <w:highlight w:val="none"/>
          <w:lang w:val="en-US" w:eastAsia="zh-CN"/>
        </w:rPr>
      </w:pPr>
    </w:p>
    <w:p w14:paraId="0BF72F7D">
      <w:pPr>
        <w:rPr>
          <w:rFonts w:hint="eastAsia" w:ascii="仿宋" w:hAnsi="仿宋" w:eastAsia="仿宋" w:cs="仿宋"/>
          <w:sz w:val="21"/>
          <w:szCs w:val="21"/>
          <w:lang w:val="en-US" w:eastAsia="zh-CN"/>
        </w:rPr>
      </w:pPr>
    </w:p>
    <w:p w14:paraId="744E171F">
      <w:pPr>
        <w:pStyle w:val="4"/>
        <w:jc w:val="center"/>
        <w:rPr>
          <w:rFonts w:hint="eastAsia" w:ascii="仿宋" w:hAnsi="仿宋" w:eastAsia="仿宋" w:cs="仿宋"/>
          <w:color w:val="auto"/>
          <w:sz w:val="21"/>
          <w:szCs w:val="21"/>
          <w:highlight w:val="none"/>
          <w:lang w:val="en-US" w:eastAsia="zh-CN"/>
        </w:rPr>
      </w:pPr>
    </w:p>
    <w:p w14:paraId="63DCAF21">
      <w:pPr>
        <w:rPr>
          <w:rFonts w:hint="eastAsia" w:ascii="仿宋" w:hAnsi="仿宋" w:eastAsia="仿宋" w:cs="仿宋"/>
          <w:color w:val="auto"/>
          <w:sz w:val="21"/>
          <w:szCs w:val="21"/>
          <w:highlight w:val="none"/>
          <w:lang w:val="en-US" w:eastAsia="zh-CN"/>
        </w:rPr>
      </w:pPr>
    </w:p>
    <w:p w14:paraId="36BE5BF9">
      <w:pPr>
        <w:pStyle w:val="8"/>
        <w:rPr>
          <w:rFonts w:hint="eastAsia" w:ascii="仿宋" w:hAnsi="仿宋" w:eastAsia="仿宋" w:cs="仿宋"/>
          <w:color w:val="auto"/>
          <w:sz w:val="21"/>
          <w:szCs w:val="21"/>
          <w:highlight w:val="none"/>
          <w:lang w:val="en-US" w:eastAsia="zh-CN"/>
        </w:rPr>
      </w:pPr>
    </w:p>
    <w:p w14:paraId="07D9122E">
      <w:pPr>
        <w:pStyle w:val="28"/>
        <w:rPr>
          <w:rFonts w:hint="eastAsia" w:ascii="仿宋" w:hAnsi="仿宋" w:eastAsia="仿宋" w:cs="仿宋"/>
          <w:color w:val="auto"/>
          <w:sz w:val="21"/>
          <w:szCs w:val="21"/>
          <w:highlight w:val="none"/>
          <w:lang w:val="en-US" w:eastAsia="zh-CN"/>
        </w:rPr>
      </w:pPr>
    </w:p>
    <w:p w14:paraId="0C9B6B45">
      <w:pPr>
        <w:pStyle w:val="28"/>
        <w:rPr>
          <w:rFonts w:hint="eastAsia" w:ascii="仿宋" w:hAnsi="仿宋" w:eastAsia="仿宋" w:cs="仿宋"/>
          <w:color w:val="auto"/>
          <w:sz w:val="21"/>
          <w:szCs w:val="21"/>
          <w:highlight w:val="none"/>
          <w:lang w:val="en-US" w:eastAsia="zh-CN"/>
        </w:rPr>
      </w:pPr>
    </w:p>
    <w:p w14:paraId="475E23A4">
      <w:pPr>
        <w:pStyle w:val="28"/>
        <w:rPr>
          <w:rFonts w:hint="eastAsia" w:ascii="仿宋" w:hAnsi="仿宋" w:eastAsia="仿宋" w:cs="仿宋"/>
          <w:color w:val="auto"/>
          <w:sz w:val="21"/>
          <w:szCs w:val="21"/>
          <w:highlight w:val="none"/>
          <w:lang w:val="en-US" w:eastAsia="zh-CN"/>
        </w:rPr>
      </w:pPr>
    </w:p>
    <w:p w14:paraId="407BF492">
      <w:pPr>
        <w:pStyle w:val="28"/>
        <w:rPr>
          <w:rFonts w:hint="eastAsia" w:ascii="仿宋" w:hAnsi="仿宋" w:eastAsia="仿宋" w:cs="仿宋"/>
          <w:color w:val="auto"/>
          <w:sz w:val="21"/>
          <w:szCs w:val="21"/>
          <w:highlight w:val="none"/>
          <w:lang w:val="en-US" w:eastAsia="zh-CN"/>
        </w:rPr>
      </w:pPr>
    </w:p>
    <w:p w14:paraId="54B39162">
      <w:pPr>
        <w:pStyle w:val="28"/>
        <w:rPr>
          <w:rFonts w:hint="eastAsia" w:ascii="仿宋" w:hAnsi="仿宋" w:eastAsia="仿宋" w:cs="仿宋"/>
          <w:color w:val="auto"/>
          <w:sz w:val="21"/>
          <w:szCs w:val="21"/>
          <w:highlight w:val="none"/>
          <w:lang w:val="en-US" w:eastAsia="zh-CN"/>
        </w:rPr>
      </w:pPr>
    </w:p>
    <w:p w14:paraId="124DEAE9">
      <w:pPr>
        <w:pStyle w:val="4"/>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8、（1）参加政府采购活动前三年内，在经营活动中没有重大违法记录（提供声明函）</w:t>
      </w:r>
    </w:p>
    <w:p w14:paraId="70E282C5">
      <w:pPr>
        <w:ind w:firstLine="843" w:firstLineChars="400"/>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（2）企业负责人为同一人或者存在直接控股、管理关系的不同投标人，不得参加同一合同项下的政府采购活动（提供声明函）</w:t>
      </w:r>
    </w:p>
    <w:p w14:paraId="5EFD5FAA">
      <w:pPr>
        <w:ind w:firstLine="2310" w:firstLineChars="11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（格式自拟）</w:t>
      </w:r>
    </w:p>
    <w:p w14:paraId="67825E59">
      <w:pPr>
        <w:pStyle w:val="3"/>
        <w:numPr>
          <w:ilvl w:val="0"/>
          <w:numId w:val="0"/>
        </w:numPr>
        <w:spacing w:before="336" w:after="336" w:line="460" w:lineRule="exact"/>
        <w:ind w:leftChars="0" w:firstLine="843" w:firstLineChars="400"/>
        <w:rPr>
          <w:rFonts w:hint="eastAsia" w:ascii="仿宋" w:hAnsi="仿宋" w:eastAsia="仿宋" w:cs="仿宋"/>
          <w:color w:val="auto"/>
          <w:sz w:val="21"/>
          <w:szCs w:val="21"/>
        </w:rPr>
      </w:pPr>
      <w:r>
        <w:rPr>
          <w:rFonts w:hint="eastAsia" w:ascii="仿宋" w:hAnsi="仿宋" w:eastAsia="仿宋" w:cs="仿宋"/>
          <w:color w:val="auto"/>
          <w:sz w:val="21"/>
          <w:szCs w:val="21"/>
        </w:rPr>
        <w:t>信用中国”（www.creditchina.gov.cn）和中国政府采购网（www.ccgp.gov.cn）网站查询</w:t>
      </w:r>
      <w:r>
        <w:rPr>
          <w:rFonts w:hint="eastAsia" w:ascii="仿宋" w:hAnsi="仿宋" w:eastAsia="仿宋" w:cs="仿宋"/>
          <w:color w:val="auto"/>
          <w:sz w:val="21"/>
          <w:szCs w:val="21"/>
          <w:lang w:eastAsia="zh-CN"/>
        </w:rPr>
        <w:t>结果截图</w:t>
      </w:r>
      <w:r>
        <w:rPr>
          <w:rFonts w:hint="eastAsia" w:ascii="仿宋" w:hAnsi="仿宋" w:eastAsia="仿宋" w:cs="仿宋"/>
          <w:color w:val="auto"/>
          <w:sz w:val="21"/>
          <w:szCs w:val="21"/>
        </w:rPr>
        <w:t>（格式自拟）</w:t>
      </w:r>
    </w:p>
    <w:p w14:paraId="64E32237">
      <w:pPr>
        <w:rPr>
          <w:rFonts w:hint="eastAsia" w:ascii="仿宋" w:hAnsi="仿宋" w:eastAsia="仿宋" w:cs="仿宋"/>
          <w:color w:val="auto"/>
          <w:sz w:val="21"/>
          <w:szCs w:val="21"/>
        </w:rPr>
      </w:pPr>
    </w:p>
    <w:p w14:paraId="4556E718">
      <w:pPr>
        <w:autoSpaceDE w:val="0"/>
        <w:autoSpaceDN w:val="0"/>
        <w:ind w:left="105" w:hanging="105"/>
        <w:jc w:val="center"/>
        <w:rPr>
          <w:rFonts w:hint="eastAsia" w:ascii="仿宋" w:hAnsi="仿宋" w:eastAsia="仿宋" w:cs="仿宋"/>
          <w:b/>
          <w:color w:val="auto"/>
          <w:sz w:val="21"/>
          <w:szCs w:val="21"/>
        </w:rPr>
      </w:pPr>
    </w:p>
    <w:p w14:paraId="1F262529">
      <w:pPr>
        <w:pStyle w:val="4"/>
        <w:jc w:val="both"/>
        <w:rPr>
          <w:rFonts w:hint="eastAsia" w:ascii="仿宋" w:hAnsi="仿宋" w:eastAsia="仿宋" w:cs="仿宋"/>
          <w:color w:val="auto"/>
          <w:sz w:val="21"/>
          <w:szCs w:val="21"/>
          <w:lang w:val="en-US" w:eastAsia="zh-CN"/>
        </w:rPr>
        <w:sectPr>
          <w:headerReference r:id="rId13" w:type="default"/>
          <w:footerReference r:id="rId14" w:type="default"/>
          <w:pgSz w:w="11906" w:h="16838"/>
          <w:pgMar w:top="1418" w:right="1247" w:bottom="1418" w:left="1418" w:header="851" w:footer="992" w:gutter="0"/>
          <w:cols w:space="720" w:num="1"/>
          <w:formProt w:val="0"/>
          <w:docGrid w:type="lines" w:linePitch="312" w:charSpace="43007"/>
        </w:sectPr>
      </w:pPr>
    </w:p>
    <w:p w14:paraId="6CCD82CA">
      <w:pPr>
        <w:pStyle w:val="4"/>
        <w:jc w:val="both"/>
        <w:rPr>
          <w:rFonts w:hint="eastAsia" w:ascii="仿宋" w:hAnsi="仿宋" w:eastAsia="仿宋" w:cs="仿宋"/>
          <w:color w:val="auto"/>
          <w:sz w:val="21"/>
          <w:szCs w:val="21"/>
          <w:lang w:val="zh-CN" w:eastAsia="zh-CN"/>
        </w:rPr>
      </w:pPr>
      <w:r>
        <w:rPr>
          <w:rFonts w:hint="eastAsia" w:ascii="仿宋" w:hAnsi="仿宋" w:eastAsia="仿宋" w:cs="仿宋"/>
          <w:b/>
          <w:color w:val="auto"/>
          <w:kern w:val="2"/>
          <w:sz w:val="21"/>
          <w:szCs w:val="21"/>
          <w:lang w:val="en-US" w:eastAsia="zh-CN" w:bidi="ar-SA"/>
        </w:rPr>
        <w:t>9、</w:t>
      </w:r>
      <w:r>
        <w:rPr>
          <w:rFonts w:hint="eastAsia" w:ascii="仿宋" w:hAnsi="仿宋" w:eastAsia="仿宋" w:cs="仿宋"/>
          <w:color w:val="auto"/>
          <w:sz w:val="21"/>
          <w:szCs w:val="21"/>
          <w:lang w:val="en-US" w:eastAsia="zh-CN"/>
        </w:rPr>
        <w:t xml:space="preserve"> 具有良好的商业信誉和健全的财务会计制度：提供2023年度或2024年度第三方审计机构出具的审计报告（2024年新成立的公司按实际发生的情况提供近三个月银行出具的资信证明）；</w:t>
      </w:r>
    </w:p>
    <w:p w14:paraId="1083663F">
      <w:pPr>
        <w:pStyle w:val="4"/>
        <w:jc w:val="center"/>
        <w:rPr>
          <w:rFonts w:hint="eastAsia" w:ascii="仿宋" w:hAnsi="仿宋" w:eastAsia="仿宋" w:cs="仿宋"/>
          <w:color w:val="auto"/>
          <w:sz w:val="21"/>
          <w:szCs w:val="21"/>
          <w:highlight w:val="none"/>
          <w:lang w:val="zh-CN"/>
        </w:rPr>
      </w:pPr>
    </w:p>
    <w:p w14:paraId="621738C3">
      <w:pPr>
        <w:pStyle w:val="4"/>
        <w:ind w:firstLine="1687" w:firstLineChars="800"/>
        <w:jc w:val="both"/>
        <w:rPr>
          <w:rFonts w:hint="eastAsia" w:ascii="仿宋" w:hAnsi="仿宋" w:eastAsia="仿宋" w:cs="仿宋"/>
          <w:color w:val="auto"/>
          <w:sz w:val="21"/>
          <w:szCs w:val="21"/>
          <w:highlight w:val="none"/>
          <w:lang w:val="en-US" w:eastAsia="zh-CN"/>
        </w:rPr>
      </w:pPr>
    </w:p>
    <w:p w14:paraId="58F162CA">
      <w:pPr>
        <w:pStyle w:val="4"/>
        <w:ind w:firstLine="1687" w:firstLineChars="800"/>
        <w:jc w:val="both"/>
        <w:rPr>
          <w:rFonts w:hint="eastAsia" w:ascii="仿宋" w:hAnsi="仿宋" w:eastAsia="仿宋" w:cs="仿宋"/>
          <w:color w:val="auto"/>
          <w:sz w:val="21"/>
          <w:szCs w:val="21"/>
          <w:highlight w:val="none"/>
          <w:lang w:val="en-US" w:eastAsia="zh-CN"/>
        </w:rPr>
      </w:pPr>
    </w:p>
    <w:p w14:paraId="67B89D5B">
      <w:pPr>
        <w:pStyle w:val="4"/>
        <w:ind w:firstLine="1687" w:firstLineChars="800"/>
        <w:jc w:val="both"/>
        <w:rPr>
          <w:rFonts w:hint="eastAsia" w:ascii="仿宋" w:hAnsi="仿宋" w:eastAsia="仿宋" w:cs="仿宋"/>
          <w:color w:val="auto"/>
          <w:sz w:val="21"/>
          <w:szCs w:val="21"/>
          <w:highlight w:val="none"/>
          <w:lang w:val="en-US" w:eastAsia="zh-CN"/>
        </w:rPr>
      </w:pPr>
    </w:p>
    <w:p w14:paraId="385D3F26">
      <w:pPr>
        <w:pStyle w:val="4"/>
        <w:ind w:firstLine="1687" w:firstLineChars="800"/>
        <w:jc w:val="both"/>
        <w:rPr>
          <w:rFonts w:hint="eastAsia" w:ascii="仿宋" w:hAnsi="仿宋" w:eastAsia="仿宋" w:cs="仿宋"/>
          <w:color w:val="auto"/>
          <w:sz w:val="21"/>
          <w:szCs w:val="21"/>
          <w:highlight w:val="none"/>
          <w:lang w:val="en-US" w:eastAsia="zh-CN"/>
        </w:rPr>
      </w:pPr>
    </w:p>
    <w:p w14:paraId="474E9BAC">
      <w:pPr>
        <w:pStyle w:val="4"/>
        <w:ind w:firstLine="1687" w:firstLineChars="800"/>
        <w:jc w:val="both"/>
        <w:rPr>
          <w:rFonts w:hint="eastAsia" w:ascii="仿宋" w:hAnsi="仿宋" w:eastAsia="仿宋" w:cs="仿宋"/>
          <w:color w:val="auto"/>
          <w:sz w:val="21"/>
          <w:szCs w:val="21"/>
          <w:highlight w:val="none"/>
          <w:lang w:val="en-US" w:eastAsia="zh-CN"/>
        </w:rPr>
      </w:pPr>
    </w:p>
    <w:p w14:paraId="3127F2FC">
      <w:pPr>
        <w:pStyle w:val="4"/>
        <w:ind w:firstLine="1687" w:firstLineChars="800"/>
        <w:jc w:val="both"/>
        <w:rPr>
          <w:rFonts w:hint="eastAsia" w:ascii="仿宋" w:hAnsi="仿宋" w:eastAsia="仿宋" w:cs="仿宋"/>
          <w:color w:val="auto"/>
          <w:sz w:val="21"/>
          <w:szCs w:val="21"/>
          <w:highlight w:val="none"/>
          <w:lang w:val="en-US" w:eastAsia="zh-CN"/>
        </w:rPr>
      </w:pPr>
    </w:p>
    <w:p w14:paraId="5C4FF309">
      <w:pPr>
        <w:pStyle w:val="4"/>
        <w:ind w:firstLine="1687" w:firstLineChars="800"/>
        <w:jc w:val="both"/>
        <w:rPr>
          <w:rFonts w:hint="eastAsia" w:ascii="仿宋" w:hAnsi="仿宋" w:eastAsia="仿宋" w:cs="仿宋"/>
          <w:color w:val="auto"/>
          <w:sz w:val="21"/>
          <w:szCs w:val="21"/>
          <w:highlight w:val="none"/>
          <w:lang w:val="en-US" w:eastAsia="zh-CN"/>
        </w:rPr>
      </w:pPr>
    </w:p>
    <w:p w14:paraId="716FBC68">
      <w:pPr>
        <w:pStyle w:val="4"/>
        <w:ind w:firstLine="1687" w:firstLineChars="800"/>
        <w:jc w:val="both"/>
        <w:rPr>
          <w:rFonts w:hint="eastAsia" w:ascii="仿宋" w:hAnsi="仿宋" w:eastAsia="仿宋" w:cs="仿宋"/>
          <w:color w:val="auto"/>
          <w:sz w:val="21"/>
          <w:szCs w:val="21"/>
          <w:highlight w:val="none"/>
          <w:lang w:val="en-US" w:eastAsia="zh-CN"/>
        </w:rPr>
      </w:pPr>
    </w:p>
    <w:p w14:paraId="5ECDCF87">
      <w:pPr>
        <w:pStyle w:val="4"/>
        <w:ind w:firstLine="1687" w:firstLineChars="800"/>
        <w:jc w:val="both"/>
        <w:rPr>
          <w:rFonts w:hint="eastAsia" w:ascii="仿宋" w:hAnsi="仿宋" w:eastAsia="仿宋" w:cs="仿宋"/>
          <w:color w:val="auto"/>
          <w:sz w:val="21"/>
          <w:szCs w:val="21"/>
          <w:highlight w:val="none"/>
          <w:lang w:val="en-US" w:eastAsia="zh-CN"/>
        </w:rPr>
        <w:sectPr>
          <w:pgSz w:w="11906" w:h="16838"/>
          <w:pgMar w:top="1418" w:right="1247" w:bottom="1418" w:left="1418" w:header="851" w:footer="992" w:gutter="0"/>
          <w:cols w:space="720" w:num="1"/>
          <w:formProt w:val="0"/>
          <w:docGrid w:type="lines" w:linePitch="312" w:charSpace="43007"/>
        </w:sectPr>
      </w:pPr>
    </w:p>
    <w:p w14:paraId="2CAB3A18">
      <w:pPr>
        <w:pStyle w:val="4"/>
        <w:ind w:firstLine="2951" w:firstLineChars="1400"/>
        <w:jc w:val="both"/>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10、投标保证金缴纳凭证或保函</w:t>
      </w:r>
    </w:p>
    <w:p w14:paraId="582DBBA2">
      <w:pPr>
        <w:pStyle w:val="4"/>
        <w:jc w:val="center"/>
        <w:rPr>
          <w:rFonts w:hint="eastAsia" w:ascii="仿宋" w:hAnsi="仿宋" w:eastAsia="仿宋" w:cs="仿宋"/>
          <w:color w:val="auto"/>
          <w:sz w:val="21"/>
          <w:szCs w:val="21"/>
          <w:highlight w:val="none"/>
          <w:lang w:val="zh-CN"/>
        </w:rPr>
      </w:pPr>
    </w:p>
    <w:p w14:paraId="62DDBFCB">
      <w:pPr>
        <w:pStyle w:val="4"/>
        <w:jc w:val="center"/>
        <w:rPr>
          <w:rFonts w:hint="eastAsia" w:ascii="仿宋" w:hAnsi="仿宋" w:eastAsia="仿宋" w:cs="仿宋"/>
          <w:color w:val="auto"/>
          <w:sz w:val="21"/>
          <w:szCs w:val="21"/>
          <w:lang w:val="en-US" w:eastAsia="zh-CN"/>
        </w:rPr>
      </w:pPr>
    </w:p>
    <w:p w14:paraId="4F3C428A">
      <w:pPr>
        <w:pStyle w:val="4"/>
        <w:jc w:val="center"/>
        <w:rPr>
          <w:rFonts w:hint="eastAsia" w:ascii="仿宋" w:hAnsi="仿宋" w:eastAsia="仿宋" w:cs="仿宋"/>
          <w:color w:val="auto"/>
          <w:sz w:val="21"/>
          <w:szCs w:val="21"/>
          <w:lang w:val="en-US" w:eastAsia="zh-CN"/>
        </w:rPr>
      </w:pPr>
    </w:p>
    <w:p w14:paraId="355CE7AF">
      <w:pPr>
        <w:pStyle w:val="4"/>
        <w:jc w:val="center"/>
        <w:rPr>
          <w:rFonts w:hint="eastAsia" w:ascii="仿宋" w:hAnsi="仿宋" w:eastAsia="仿宋" w:cs="仿宋"/>
          <w:color w:val="auto"/>
          <w:sz w:val="21"/>
          <w:szCs w:val="21"/>
          <w:lang w:val="en-US" w:eastAsia="zh-CN"/>
        </w:rPr>
      </w:pPr>
    </w:p>
    <w:p w14:paraId="4A06F16B">
      <w:pPr>
        <w:pStyle w:val="4"/>
        <w:jc w:val="center"/>
        <w:rPr>
          <w:rFonts w:hint="eastAsia" w:ascii="仿宋" w:hAnsi="仿宋" w:eastAsia="仿宋" w:cs="仿宋"/>
          <w:color w:val="auto"/>
          <w:sz w:val="21"/>
          <w:szCs w:val="21"/>
          <w:lang w:val="en-US" w:eastAsia="zh-CN"/>
        </w:rPr>
      </w:pPr>
    </w:p>
    <w:p w14:paraId="51D49DA4">
      <w:pPr>
        <w:pStyle w:val="4"/>
        <w:jc w:val="center"/>
        <w:rPr>
          <w:rFonts w:hint="eastAsia" w:ascii="仿宋" w:hAnsi="仿宋" w:eastAsia="仿宋" w:cs="仿宋"/>
          <w:color w:val="auto"/>
          <w:sz w:val="21"/>
          <w:szCs w:val="21"/>
          <w:lang w:val="en-US" w:eastAsia="zh-CN"/>
        </w:rPr>
      </w:pPr>
    </w:p>
    <w:p w14:paraId="155B81DE">
      <w:pPr>
        <w:pStyle w:val="4"/>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14:paraId="2E10F431">
      <w:pPr>
        <w:rPr>
          <w:rFonts w:hint="eastAsia" w:ascii="仿宋" w:hAnsi="仿宋" w:eastAsia="仿宋" w:cs="仿宋"/>
          <w:color w:val="auto"/>
          <w:sz w:val="21"/>
          <w:szCs w:val="21"/>
          <w:highlight w:val="none"/>
          <w:lang w:val="zh-CN"/>
        </w:rPr>
      </w:pPr>
      <w:r>
        <w:rPr>
          <w:rFonts w:hint="eastAsia" w:ascii="仿宋" w:hAnsi="仿宋" w:eastAsia="仿宋" w:cs="仿宋"/>
          <w:b/>
          <w:bCs/>
          <w:color w:val="auto"/>
          <w:kern w:val="2"/>
          <w:sz w:val="21"/>
          <w:szCs w:val="21"/>
          <w:highlight w:val="none"/>
          <w:lang w:val="en-US" w:eastAsia="zh-CN" w:bidi="ar-SA"/>
        </w:rPr>
        <w:t>11、有依法缴纳税收和社会保障资金的良好记录：提供税务机关出具近三个月的完税证明（新成立不足3个月的公司按实际发生提供，成立时间超过 3 个月的零申报的需提供依法报税资料），注：以完税证明税款所属日期为准，代缴税的完税证明不作为税务缴费凭证（如社保缴税等），如依法免税的，应提供相应文件证明；</w:t>
      </w:r>
      <w:r>
        <w:rPr>
          <w:rFonts w:hint="eastAsia" w:ascii="仿宋" w:hAnsi="仿宋" w:eastAsia="仿宋" w:cs="仿宋"/>
          <w:b/>
          <w:bCs/>
          <w:color w:val="auto"/>
          <w:kern w:val="2"/>
          <w:sz w:val="21"/>
          <w:szCs w:val="21"/>
          <w:highlight w:val="none"/>
          <w:lang w:val="zh-CN" w:eastAsia="zh-CN" w:bidi="ar-SA"/>
        </w:rPr>
        <w:br w:type="page"/>
      </w:r>
    </w:p>
    <w:p w14:paraId="7E568208">
      <w:pPr>
        <w:pStyle w:val="4"/>
        <w:jc w:val="left"/>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bookmarkStart w:id="152" w:name="_Toc77072617"/>
      <w:r>
        <w:rPr>
          <w:rFonts w:hint="eastAsia" w:ascii="仿宋" w:hAnsi="仿宋" w:eastAsia="仿宋" w:cs="仿宋"/>
          <w:color w:val="auto"/>
          <w:sz w:val="21"/>
          <w:szCs w:val="21"/>
          <w:lang w:val="en-US" w:eastAsia="zh-CN"/>
        </w:rPr>
        <w:t>12、提供近段时间内指本单位连续三个月（指2025年01月至03月）的缴纳社保证明材料（社保证明材料须是社保局出具的缴纳证明或社保系统导出的缴纳汇总凭证，新成立的公司按实际发生提供，如依法不需要缴纳社会保障资金的，应提供相应文件证明）；</w:t>
      </w:r>
    </w:p>
    <w:p w14:paraId="2265A7D9">
      <w:pPr>
        <w:pStyle w:val="3"/>
        <w:numPr>
          <w:ilvl w:val="0"/>
          <w:numId w:val="0"/>
        </w:numPr>
        <w:spacing w:before="336" w:after="336" w:line="460" w:lineRule="exact"/>
        <w:ind w:firstLine="2319" w:firstLineChars="1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13、</w:t>
      </w:r>
      <w:r>
        <w:rPr>
          <w:rFonts w:hint="eastAsia" w:ascii="仿宋" w:hAnsi="仿宋" w:eastAsia="仿宋" w:cs="仿宋"/>
          <w:color w:val="auto"/>
          <w:sz w:val="21"/>
          <w:szCs w:val="21"/>
        </w:rPr>
        <w:t>供应商（供应商）反商业贿赂承诺书</w:t>
      </w:r>
      <w:bookmarkEnd w:id="152"/>
    </w:p>
    <w:p w14:paraId="6C4C91F3">
      <w:pPr>
        <w:autoSpaceDE w:val="0"/>
        <w:autoSpaceDN w:val="0"/>
        <w:ind w:left="105" w:hanging="105"/>
        <w:jc w:val="left"/>
        <w:rPr>
          <w:rFonts w:hint="eastAsia" w:ascii="仿宋" w:hAnsi="仿宋" w:eastAsia="仿宋" w:cs="仿宋"/>
          <w:color w:val="auto"/>
          <w:kern w:val="0"/>
          <w:sz w:val="21"/>
          <w:szCs w:val="21"/>
          <w:lang w:val="zh-CN"/>
        </w:rPr>
      </w:pPr>
      <w:r>
        <w:rPr>
          <w:rFonts w:hint="eastAsia" w:ascii="仿宋" w:hAnsi="仿宋" w:eastAsia="仿宋" w:cs="仿宋"/>
          <w:color w:val="auto"/>
          <w:kern w:val="0"/>
          <w:sz w:val="21"/>
          <w:szCs w:val="21"/>
          <w:lang w:val="zh-CN"/>
        </w:rPr>
        <w:t xml:space="preserve">   </w:t>
      </w:r>
    </w:p>
    <w:p w14:paraId="24CEE596">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在</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号（</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 xml:space="preserve">项目）招标活动中，我公司承诺如下 ：  </w:t>
      </w:r>
    </w:p>
    <w:p w14:paraId="6E186B9F">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1、不给予国家工作人员及其亲属各种形式的商业贿赂（包括送礼金礼品、有价证券、购物券、回扣、佣金、咨询费、劳务费、赞助费、宣传费、支付旅游费用、报销各种消费凭证、宴请、娱乐等）；</w:t>
      </w:r>
    </w:p>
    <w:p w14:paraId="26F33EF0">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2、不与供应商相互勾结私下协议，弄虚作假，搞假招标、陪标、串通投标，明招暗定，暗箱操作。</w:t>
      </w:r>
    </w:p>
    <w:p w14:paraId="71A7FC4F">
      <w:pPr>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3、我公司法人及项目参与人员有亲戚担任业主方副科级以上领导职务时，自愿放弃此次投标权。</w:t>
      </w:r>
    </w:p>
    <w:p w14:paraId="06B79646">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如有上述行为，一经发现，我公司及项目参与人员愿意按照《政府采购法》、《招投标法》、《反不正当竞争法》的有关规定接受处罚。 </w:t>
      </w:r>
    </w:p>
    <w:p w14:paraId="36E1A705">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14:paraId="724D533D">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公司法人代表：（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14:paraId="03B070D6">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法人授权代表：（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14:paraId="6F83BDC9">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14:paraId="59DA64A8">
      <w:pPr>
        <w:autoSpaceDE w:val="0"/>
        <w:autoSpaceDN w:val="0"/>
        <w:ind w:left="105" w:hanging="105"/>
        <w:jc w:val="center"/>
        <w:rPr>
          <w:rFonts w:hint="eastAsia" w:ascii="仿宋" w:hAnsi="仿宋" w:eastAsia="仿宋" w:cs="仿宋"/>
          <w:color w:val="auto"/>
          <w:kern w:val="0"/>
          <w:sz w:val="21"/>
          <w:szCs w:val="21"/>
          <w:u w:val="single"/>
        </w:rPr>
      </w:pPr>
      <w:r>
        <w:rPr>
          <w:rFonts w:hint="eastAsia" w:ascii="仿宋" w:hAnsi="仿宋" w:eastAsia="仿宋" w:cs="仿宋"/>
          <w:color w:val="auto"/>
          <w:kern w:val="0"/>
          <w:sz w:val="21"/>
          <w:szCs w:val="21"/>
          <w:u w:val="single"/>
        </w:rPr>
        <w:t xml:space="preserve">                              公司签章       </w:t>
      </w:r>
    </w:p>
    <w:p w14:paraId="14765AED">
      <w:pPr>
        <w:autoSpaceDE w:val="0"/>
        <w:autoSpaceDN w:val="0"/>
        <w:ind w:left="105" w:hanging="105"/>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 xml:space="preserve">                       </w:t>
      </w:r>
      <w:r>
        <w:rPr>
          <w:rFonts w:hint="eastAsia" w:ascii="仿宋" w:hAnsi="仿宋" w:eastAsia="仿宋" w:cs="仿宋"/>
          <w:color w:val="auto"/>
          <w:kern w:val="0"/>
          <w:sz w:val="21"/>
          <w:szCs w:val="21"/>
          <w:lang w:val="en-US" w:eastAsia="zh-CN"/>
        </w:rPr>
        <w:t xml:space="preserve">               </w:t>
      </w:r>
    </w:p>
    <w:p w14:paraId="68F9709D">
      <w:pPr>
        <w:autoSpaceDE w:val="0"/>
        <w:autoSpaceDN w:val="0"/>
        <w:ind w:left="210" w:leftChars="100" w:firstLine="4725" w:firstLineChars="2250"/>
        <w:rPr>
          <w:rFonts w:hint="eastAsia" w:ascii="仿宋" w:hAnsi="仿宋" w:eastAsia="仿宋" w:cs="仿宋"/>
          <w:color w:val="auto"/>
          <w:sz w:val="21"/>
          <w:szCs w:val="21"/>
        </w:rPr>
      </w:pPr>
      <w:r>
        <w:rPr>
          <w:rFonts w:hint="eastAsia" w:ascii="仿宋" w:hAnsi="仿宋" w:eastAsia="仿宋" w:cs="仿宋"/>
          <w:color w:val="auto"/>
          <w:kern w:val="0"/>
          <w:sz w:val="21"/>
          <w:szCs w:val="21"/>
        </w:rPr>
        <w:t>年      月     日</w:t>
      </w:r>
    </w:p>
    <w:p w14:paraId="4B09BEA1">
      <w:pPr>
        <w:pStyle w:val="33"/>
        <w:ind w:left="105" w:hanging="105"/>
        <w:rPr>
          <w:rFonts w:hint="eastAsia" w:ascii="仿宋" w:hAnsi="仿宋" w:eastAsia="仿宋" w:cs="仿宋"/>
          <w:color w:val="auto"/>
          <w:sz w:val="21"/>
          <w:szCs w:val="21"/>
        </w:rPr>
      </w:pPr>
    </w:p>
    <w:p w14:paraId="5D7B047F">
      <w:pPr>
        <w:pStyle w:val="33"/>
        <w:ind w:left="105" w:hanging="105"/>
        <w:rPr>
          <w:rFonts w:hint="eastAsia" w:ascii="仿宋" w:hAnsi="仿宋" w:eastAsia="仿宋" w:cs="仿宋"/>
          <w:color w:val="auto"/>
          <w:sz w:val="21"/>
          <w:szCs w:val="21"/>
        </w:rPr>
      </w:pPr>
    </w:p>
    <w:p w14:paraId="203AC449">
      <w:pPr>
        <w:pStyle w:val="33"/>
        <w:ind w:left="105" w:hanging="105"/>
        <w:rPr>
          <w:rFonts w:hint="eastAsia" w:ascii="仿宋" w:hAnsi="仿宋" w:eastAsia="仿宋" w:cs="仿宋"/>
          <w:color w:val="auto"/>
          <w:sz w:val="21"/>
          <w:szCs w:val="21"/>
        </w:rPr>
      </w:pPr>
    </w:p>
    <w:p w14:paraId="5112E837">
      <w:pPr>
        <w:rPr>
          <w:rFonts w:hint="eastAsia" w:ascii="仿宋" w:hAnsi="仿宋" w:eastAsia="仿宋" w:cs="仿宋"/>
          <w:color w:val="auto"/>
          <w:sz w:val="21"/>
          <w:szCs w:val="21"/>
          <w:lang w:val="en-US" w:eastAsia="zh-CN"/>
        </w:rPr>
      </w:pPr>
      <w:bookmarkStart w:id="153" w:name="_Toc77072618"/>
      <w:r>
        <w:rPr>
          <w:rFonts w:hint="eastAsia" w:ascii="仿宋" w:hAnsi="仿宋" w:eastAsia="仿宋" w:cs="仿宋"/>
          <w:color w:val="auto"/>
          <w:sz w:val="21"/>
          <w:szCs w:val="21"/>
          <w:lang w:val="en-US" w:eastAsia="zh-CN"/>
        </w:rPr>
        <w:br w:type="page"/>
      </w:r>
    </w:p>
    <w:p w14:paraId="69255450">
      <w:pPr>
        <w:pStyle w:val="3"/>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14、</w:t>
      </w:r>
      <w:r>
        <w:rPr>
          <w:rFonts w:hint="eastAsia" w:ascii="仿宋" w:hAnsi="仿宋" w:eastAsia="仿宋" w:cs="仿宋"/>
          <w:color w:val="auto"/>
          <w:sz w:val="21"/>
          <w:szCs w:val="21"/>
        </w:rPr>
        <w:t>不参与围标串标承诺书</w:t>
      </w:r>
      <w:bookmarkEnd w:id="153"/>
    </w:p>
    <w:p w14:paraId="10E21725">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 xml:space="preserve">   我公司在参与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项目招投标过程中，自觉遵守《中华人民共和国政府采购法》和《中华人民共和国政府采购实施条例》以及自治区、地、市招标投标管理的有关规定。就本次投标，我公司郑重承诺如下：</w:t>
      </w:r>
    </w:p>
    <w:p w14:paraId="28D2EA49">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（一）不与其他投标企业存在任何关联关系；</w:t>
      </w:r>
    </w:p>
    <w:p w14:paraId="537053A7">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（二）不组织、不参与任何串通投标的行为；</w:t>
      </w:r>
    </w:p>
    <w:p w14:paraId="63C5FC27">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（三）不以他人名义投标，不组织、不参与以其他弄虚作假的方式参加投标的行为；</w:t>
      </w:r>
    </w:p>
    <w:p w14:paraId="7334E15E">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（四）不出让或出租资格、资质证书参加投标，不组织、不参与类似违法违规行为。</w:t>
      </w:r>
    </w:p>
    <w:p w14:paraId="1B7F6A3E">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（五）积极主动检举、揭发和配合相关部门调查串通投标等违法违规行为。</w:t>
      </w:r>
    </w:p>
    <w:p w14:paraId="6F56CA87">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我公司对以上承诺内容的真实性和履约性负责，如有违诺，自愿承担一切违法违规后果。</w:t>
      </w:r>
    </w:p>
    <w:p w14:paraId="3A0769FF">
      <w:pPr>
        <w:ind w:left="239" w:firstLine="315" w:firstLineChars="150"/>
        <w:jc w:val="left"/>
        <w:rPr>
          <w:rFonts w:hint="eastAsia" w:ascii="仿宋" w:hAnsi="仿宋" w:eastAsia="仿宋" w:cs="仿宋"/>
          <w:color w:val="auto"/>
          <w:sz w:val="21"/>
          <w:szCs w:val="21"/>
        </w:rPr>
      </w:pPr>
      <w:r>
        <w:rPr>
          <w:rFonts w:hint="eastAsia" w:ascii="仿宋" w:hAnsi="仿宋" w:eastAsia="仿宋" w:cs="仿宋"/>
          <w:color w:val="auto"/>
          <w:sz w:val="21"/>
          <w:szCs w:val="21"/>
        </w:rPr>
        <w:t>特此承诺。</w:t>
      </w:r>
    </w:p>
    <w:p w14:paraId="55BF7359">
      <w:pPr>
        <w:ind w:left="105" w:leftChars="50" w:right="482" w:firstLine="105" w:firstLineChars="50"/>
        <w:jc w:val="center"/>
        <w:rPr>
          <w:rFonts w:hint="eastAsia" w:ascii="仿宋" w:hAnsi="仿宋" w:eastAsia="仿宋" w:cs="仿宋"/>
          <w:color w:val="auto"/>
          <w:sz w:val="21"/>
          <w:szCs w:val="21"/>
        </w:rPr>
      </w:pPr>
    </w:p>
    <w:p w14:paraId="3A24539B">
      <w:pPr>
        <w:ind w:left="105" w:leftChars="50" w:right="482" w:firstLine="105" w:firstLineChars="50"/>
        <w:jc w:val="center"/>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供应商（公章）：</w:t>
      </w:r>
      <w:r>
        <w:rPr>
          <w:rFonts w:hint="eastAsia" w:ascii="仿宋" w:hAnsi="仿宋" w:eastAsia="仿宋" w:cs="仿宋"/>
          <w:color w:val="auto"/>
          <w:sz w:val="21"/>
          <w:szCs w:val="21"/>
          <w:u w:val="single"/>
          <w:lang w:val="en-US" w:eastAsia="zh-CN"/>
        </w:rPr>
        <w:t xml:space="preserve">               </w:t>
      </w:r>
    </w:p>
    <w:p w14:paraId="40BBEF9D">
      <w:pPr>
        <w:ind w:left="105" w:right="482" w:hanging="105"/>
        <w:jc w:val="center"/>
        <w:rPr>
          <w:rFonts w:hint="eastAsia" w:ascii="仿宋" w:hAnsi="仿宋" w:eastAsia="仿宋" w:cs="仿宋"/>
          <w:color w:val="auto"/>
          <w:sz w:val="21"/>
          <w:szCs w:val="21"/>
        </w:rPr>
      </w:pPr>
    </w:p>
    <w:p w14:paraId="6C113427">
      <w:pPr>
        <w:ind w:left="105" w:right="482"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法定代表人（签字或盖章）：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395C9C5F">
      <w:pPr>
        <w:spacing w:line="640" w:lineRule="exact"/>
        <w:ind w:left="105" w:leftChars="5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14:paraId="5E20AF87">
      <w:pPr>
        <w:ind w:left="105" w:hanging="105"/>
        <w:rPr>
          <w:rFonts w:hint="eastAsia" w:ascii="仿宋" w:hAnsi="仿宋" w:eastAsia="仿宋" w:cs="仿宋"/>
          <w:b/>
          <w:color w:val="auto"/>
          <w:sz w:val="21"/>
          <w:szCs w:val="21"/>
        </w:rPr>
      </w:pPr>
    </w:p>
    <w:p w14:paraId="30C6D980">
      <w:pPr>
        <w:ind w:left="105" w:hanging="105"/>
        <w:rPr>
          <w:rFonts w:hint="eastAsia" w:ascii="仿宋" w:hAnsi="仿宋" w:eastAsia="仿宋" w:cs="仿宋"/>
          <w:b/>
          <w:color w:val="auto"/>
          <w:sz w:val="21"/>
          <w:szCs w:val="21"/>
        </w:rPr>
      </w:pPr>
    </w:p>
    <w:p w14:paraId="03018C1A">
      <w:pPr>
        <w:pStyle w:val="8"/>
        <w:rPr>
          <w:rFonts w:hint="eastAsia" w:ascii="仿宋" w:hAnsi="仿宋" w:eastAsia="仿宋" w:cs="仿宋"/>
          <w:b/>
          <w:color w:val="auto"/>
          <w:sz w:val="21"/>
          <w:szCs w:val="21"/>
        </w:rPr>
      </w:pPr>
    </w:p>
    <w:p w14:paraId="472495B2">
      <w:pPr>
        <w:pStyle w:val="28"/>
        <w:rPr>
          <w:rFonts w:hint="eastAsia" w:ascii="仿宋" w:hAnsi="仿宋" w:eastAsia="仿宋" w:cs="仿宋"/>
          <w:b/>
          <w:color w:val="auto"/>
          <w:sz w:val="21"/>
          <w:szCs w:val="21"/>
        </w:rPr>
      </w:pPr>
    </w:p>
    <w:p w14:paraId="21B6C03B">
      <w:pPr>
        <w:pStyle w:val="28"/>
        <w:rPr>
          <w:rFonts w:hint="eastAsia" w:ascii="仿宋" w:hAnsi="仿宋" w:eastAsia="仿宋" w:cs="仿宋"/>
          <w:b/>
          <w:color w:val="auto"/>
          <w:sz w:val="21"/>
          <w:szCs w:val="21"/>
        </w:rPr>
      </w:pPr>
    </w:p>
    <w:p w14:paraId="34C85173">
      <w:pPr>
        <w:pStyle w:val="28"/>
        <w:rPr>
          <w:rFonts w:hint="eastAsia" w:ascii="仿宋" w:hAnsi="仿宋" w:eastAsia="仿宋" w:cs="仿宋"/>
          <w:b/>
          <w:color w:val="auto"/>
          <w:sz w:val="21"/>
          <w:szCs w:val="21"/>
        </w:rPr>
      </w:pPr>
    </w:p>
    <w:p w14:paraId="7B04E460">
      <w:pPr>
        <w:pStyle w:val="28"/>
        <w:rPr>
          <w:rFonts w:hint="eastAsia" w:ascii="仿宋" w:hAnsi="仿宋" w:eastAsia="仿宋" w:cs="仿宋"/>
          <w:b/>
          <w:color w:val="auto"/>
          <w:sz w:val="21"/>
          <w:szCs w:val="21"/>
        </w:rPr>
      </w:pPr>
    </w:p>
    <w:p w14:paraId="7498B89B">
      <w:pPr>
        <w:pStyle w:val="28"/>
        <w:rPr>
          <w:rFonts w:hint="eastAsia" w:ascii="仿宋" w:hAnsi="仿宋" w:eastAsia="仿宋" w:cs="仿宋"/>
          <w:b/>
          <w:color w:val="auto"/>
          <w:sz w:val="21"/>
          <w:szCs w:val="21"/>
        </w:rPr>
      </w:pPr>
    </w:p>
    <w:p w14:paraId="1B03904E">
      <w:pPr>
        <w:pStyle w:val="28"/>
        <w:rPr>
          <w:rFonts w:hint="eastAsia" w:ascii="仿宋" w:hAnsi="仿宋" w:eastAsia="仿宋" w:cs="仿宋"/>
          <w:b/>
          <w:color w:val="auto"/>
          <w:sz w:val="21"/>
          <w:szCs w:val="21"/>
        </w:rPr>
      </w:pPr>
    </w:p>
    <w:p w14:paraId="4C125F03">
      <w:pPr>
        <w:pStyle w:val="28"/>
        <w:rPr>
          <w:rFonts w:hint="eastAsia" w:ascii="仿宋" w:hAnsi="仿宋" w:eastAsia="仿宋" w:cs="仿宋"/>
          <w:b/>
          <w:color w:val="auto"/>
          <w:sz w:val="21"/>
          <w:szCs w:val="21"/>
        </w:rPr>
      </w:pPr>
    </w:p>
    <w:p w14:paraId="33EF1B38">
      <w:pPr>
        <w:pStyle w:val="28"/>
        <w:rPr>
          <w:rFonts w:hint="eastAsia" w:ascii="仿宋" w:hAnsi="仿宋" w:eastAsia="仿宋" w:cs="仿宋"/>
          <w:b/>
          <w:color w:val="auto"/>
          <w:sz w:val="21"/>
          <w:szCs w:val="21"/>
        </w:rPr>
      </w:pPr>
    </w:p>
    <w:p w14:paraId="6BC3D935">
      <w:pPr>
        <w:pStyle w:val="28"/>
        <w:rPr>
          <w:rFonts w:hint="eastAsia" w:ascii="仿宋" w:hAnsi="仿宋" w:eastAsia="仿宋" w:cs="仿宋"/>
          <w:b/>
          <w:color w:val="auto"/>
          <w:sz w:val="21"/>
          <w:szCs w:val="21"/>
        </w:rPr>
      </w:pPr>
    </w:p>
    <w:p w14:paraId="049D38C8">
      <w:pPr>
        <w:pStyle w:val="28"/>
        <w:rPr>
          <w:rFonts w:hint="eastAsia" w:ascii="仿宋" w:hAnsi="仿宋" w:eastAsia="仿宋" w:cs="仿宋"/>
          <w:b/>
          <w:color w:val="auto"/>
          <w:sz w:val="21"/>
          <w:szCs w:val="21"/>
        </w:rPr>
      </w:pPr>
    </w:p>
    <w:p w14:paraId="527D9A27">
      <w:pPr>
        <w:pStyle w:val="28"/>
        <w:rPr>
          <w:rFonts w:hint="eastAsia" w:ascii="仿宋" w:hAnsi="仿宋" w:eastAsia="仿宋" w:cs="仿宋"/>
          <w:b/>
          <w:color w:val="auto"/>
          <w:sz w:val="21"/>
          <w:szCs w:val="21"/>
        </w:rPr>
      </w:pPr>
    </w:p>
    <w:p w14:paraId="59701D56">
      <w:pPr>
        <w:pStyle w:val="28"/>
        <w:rPr>
          <w:rFonts w:hint="eastAsia" w:ascii="仿宋" w:hAnsi="仿宋" w:eastAsia="仿宋" w:cs="仿宋"/>
          <w:b/>
          <w:color w:val="auto"/>
          <w:sz w:val="21"/>
          <w:szCs w:val="21"/>
        </w:rPr>
      </w:pPr>
    </w:p>
    <w:p w14:paraId="781F20D5">
      <w:pPr>
        <w:pStyle w:val="28"/>
        <w:rPr>
          <w:rFonts w:hint="eastAsia" w:ascii="仿宋" w:hAnsi="仿宋" w:eastAsia="仿宋" w:cs="仿宋"/>
          <w:b/>
          <w:color w:val="auto"/>
          <w:sz w:val="21"/>
          <w:szCs w:val="21"/>
        </w:rPr>
      </w:pPr>
    </w:p>
    <w:p w14:paraId="57836684">
      <w:pPr>
        <w:pStyle w:val="28"/>
        <w:rPr>
          <w:rFonts w:hint="eastAsia" w:ascii="仿宋" w:hAnsi="仿宋" w:eastAsia="仿宋" w:cs="仿宋"/>
          <w:b/>
          <w:color w:val="auto"/>
          <w:sz w:val="21"/>
          <w:szCs w:val="21"/>
        </w:rPr>
      </w:pPr>
    </w:p>
    <w:p w14:paraId="24D9E598">
      <w:pPr>
        <w:pStyle w:val="28"/>
        <w:rPr>
          <w:rFonts w:hint="eastAsia" w:ascii="仿宋" w:hAnsi="仿宋" w:eastAsia="仿宋" w:cs="仿宋"/>
          <w:b/>
          <w:color w:val="auto"/>
          <w:sz w:val="21"/>
          <w:szCs w:val="21"/>
        </w:rPr>
      </w:pPr>
    </w:p>
    <w:p w14:paraId="01C54025">
      <w:pPr>
        <w:pStyle w:val="28"/>
        <w:rPr>
          <w:rFonts w:hint="eastAsia" w:ascii="仿宋" w:hAnsi="仿宋" w:eastAsia="仿宋" w:cs="仿宋"/>
          <w:b/>
          <w:color w:val="auto"/>
          <w:sz w:val="21"/>
          <w:szCs w:val="21"/>
        </w:rPr>
      </w:pPr>
    </w:p>
    <w:p w14:paraId="273F62A2">
      <w:pPr>
        <w:pStyle w:val="28"/>
        <w:rPr>
          <w:rFonts w:hint="eastAsia" w:ascii="仿宋" w:hAnsi="仿宋" w:eastAsia="仿宋" w:cs="仿宋"/>
          <w:b/>
          <w:color w:val="auto"/>
          <w:sz w:val="21"/>
          <w:szCs w:val="21"/>
        </w:rPr>
      </w:pPr>
    </w:p>
    <w:p w14:paraId="211EBFE3">
      <w:pPr>
        <w:pStyle w:val="28"/>
        <w:rPr>
          <w:rFonts w:hint="eastAsia" w:ascii="仿宋" w:hAnsi="仿宋" w:eastAsia="仿宋" w:cs="仿宋"/>
          <w:b/>
          <w:color w:val="auto"/>
          <w:sz w:val="21"/>
          <w:szCs w:val="21"/>
        </w:rPr>
      </w:pPr>
    </w:p>
    <w:p w14:paraId="23D3F2E8">
      <w:pPr>
        <w:pStyle w:val="28"/>
        <w:rPr>
          <w:rFonts w:hint="eastAsia" w:ascii="仿宋" w:hAnsi="仿宋" w:eastAsia="仿宋" w:cs="仿宋"/>
          <w:b/>
          <w:color w:val="auto"/>
          <w:sz w:val="21"/>
          <w:szCs w:val="21"/>
        </w:rPr>
      </w:pPr>
    </w:p>
    <w:p w14:paraId="331375E0">
      <w:pPr>
        <w:pStyle w:val="28"/>
        <w:rPr>
          <w:rFonts w:hint="eastAsia" w:ascii="仿宋" w:hAnsi="仿宋" w:eastAsia="仿宋" w:cs="仿宋"/>
          <w:b/>
          <w:color w:val="auto"/>
          <w:sz w:val="21"/>
          <w:szCs w:val="21"/>
        </w:rPr>
      </w:pPr>
    </w:p>
    <w:p w14:paraId="45DA97A9">
      <w:pPr>
        <w:pStyle w:val="28"/>
        <w:rPr>
          <w:rFonts w:hint="eastAsia" w:ascii="仿宋" w:hAnsi="仿宋" w:eastAsia="仿宋" w:cs="仿宋"/>
          <w:b/>
          <w:color w:val="auto"/>
          <w:sz w:val="21"/>
          <w:szCs w:val="21"/>
        </w:rPr>
      </w:pPr>
    </w:p>
    <w:p w14:paraId="3FCF0535">
      <w:pPr>
        <w:pStyle w:val="28"/>
        <w:rPr>
          <w:rFonts w:hint="eastAsia" w:ascii="仿宋" w:hAnsi="仿宋" w:eastAsia="仿宋" w:cs="仿宋"/>
          <w:b/>
          <w:color w:val="auto"/>
          <w:sz w:val="21"/>
          <w:szCs w:val="21"/>
        </w:rPr>
      </w:pPr>
    </w:p>
    <w:p w14:paraId="0035D96E">
      <w:pPr>
        <w:pStyle w:val="28"/>
        <w:rPr>
          <w:rFonts w:hint="eastAsia" w:ascii="仿宋" w:hAnsi="仿宋" w:eastAsia="仿宋" w:cs="仿宋"/>
          <w:b/>
          <w:color w:val="auto"/>
          <w:sz w:val="21"/>
          <w:szCs w:val="21"/>
        </w:rPr>
      </w:pPr>
    </w:p>
    <w:p w14:paraId="39D84963">
      <w:pPr>
        <w:rPr>
          <w:rFonts w:hint="eastAsia" w:ascii="仿宋" w:hAnsi="仿宋" w:eastAsia="仿宋" w:cs="仿宋"/>
          <w:b/>
          <w:color w:val="auto"/>
          <w:sz w:val="21"/>
          <w:szCs w:val="21"/>
        </w:rPr>
      </w:pPr>
    </w:p>
    <w:p w14:paraId="2553A68C">
      <w:pPr>
        <w:pStyle w:val="3"/>
        <w:numPr>
          <w:ilvl w:val="0"/>
          <w:numId w:val="0"/>
        </w:numPr>
        <w:spacing w:before="336" w:after="336" w:line="460" w:lineRule="exact"/>
        <w:ind w:leftChars="0"/>
        <w:jc w:val="center"/>
        <w:rPr>
          <w:rFonts w:hint="eastAsia" w:ascii="仿宋" w:hAnsi="仿宋" w:eastAsia="仿宋" w:cs="仿宋"/>
          <w:color w:val="auto"/>
          <w:sz w:val="21"/>
          <w:szCs w:val="21"/>
        </w:rPr>
      </w:pPr>
      <w:bookmarkStart w:id="154" w:name="_Toc77072619"/>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提供材料真实性承诺书</w:t>
      </w:r>
      <w:bookmarkEnd w:id="154"/>
    </w:p>
    <w:p w14:paraId="30BA5638">
      <w:pPr>
        <w:pStyle w:val="34"/>
        <w:spacing w:beforeLines="130" w:afterLines="116"/>
        <w:jc w:val="both"/>
        <w:rPr>
          <w:rStyle w:val="37"/>
          <w:rFonts w:hint="eastAsia" w:ascii="仿宋" w:hAnsi="仿宋" w:eastAsia="仿宋" w:cs="仿宋"/>
          <w:color w:val="auto"/>
          <w:kern w:val="0"/>
          <w:sz w:val="21"/>
          <w:szCs w:val="21"/>
        </w:rPr>
      </w:pPr>
      <w:r>
        <w:rPr>
          <w:rStyle w:val="37"/>
          <w:rFonts w:hint="eastAsia" w:ascii="仿宋" w:hAnsi="仿宋" w:eastAsia="仿宋" w:cs="仿宋"/>
          <w:color w:val="auto"/>
          <w:sz w:val="21"/>
          <w:szCs w:val="21"/>
        </w:rPr>
        <w:t xml:space="preserve"> </w:t>
      </w:r>
      <w:r>
        <w:rPr>
          <w:rStyle w:val="37"/>
          <w:rFonts w:hint="eastAsia" w:ascii="仿宋" w:hAnsi="仿宋" w:eastAsia="仿宋" w:cs="仿宋"/>
          <w:color w:val="auto"/>
          <w:kern w:val="0"/>
          <w:sz w:val="21"/>
          <w:szCs w:val="21"/>
          <w:u w:val="single"/>
        </w:rPr>
        <w:t xml:space="preserve">         （采购人）         </w:t>
      </w:r>
      <w:r>
        <w:rPr>
          <w:rStyle w:val="37"/>
          <w:rFonts w:hint="eastAsia" w:ascii="仿宋" w:hAnsi="仿宋" w:eastAsia="仿宋" w:cs="仿宋"/>
          <w:color w:val="auto"/>
          <w:kern w:val="0"/>
          <w:sz w:val="21"/>
          <w:szCs w:val="21"/>
        </w:rPr>
        <w:t xml:space="preserve">: </w:t>
      </w:r>
    </w:p>
    <w:p w14:paraId="1A3405B5">
      <w:pPr>
        <w:pStyle w:val="35"/>
        <w:autoSpaceDE w:val="0"/>
        <w:spacing w:line="440" w:lineRule="exact"/>
        <w:ind w:left="-38" w:right="62" w:firstLine="420" w:firstLineChars="200"/>
        <w:rPr>
          <w:rStyle w:val="37"/>
          <w:rFonts w:hint="eastAsia" w:ascii="仿宋" w:hAnsi="仿宋" w:eastAsia="仿宋" w:cs="仿宋"/>
          <w:color w:val="auto"/>
          <w:sz w:val="21"/>
          <w:szCs w:val="21"/>
        </w:rPr>
      </w:pPr>
      <w:r>
        <w:rPr>
          <w:rStyle w:val="37"/>
          <w:rFonts w:hint="eastAsia" w:ascii="仿宋" w:hAnsi="仿宋" w:eastAsia="仿宋" w:cs="仿宋"/>
          <w:color w:val="auto"/>
          <w:kern w:val="0"/>
          <w:sz w:val="21"/>
          <w:szCs w:val="21"/>
        </w:rPr>
        <w:t>鉴于</w:t>
      </w:r>
      <w:r>
        <w:rPr>
          <w:rStyle w:val="37"/>
          <w:rFonts w:hint="eastAsia" w:ascii="仿宋" w:hAnsi="仿宋" w:eastAsia="仿宋" w:cs="仿宋"/>
          <w:color w:val="auto"/>
          <w:kern w:val="0"/>
          <w:sz w:val="21"/>
          <w:szCs w:val="21"/>
          <w:u w:val="single"/>
        </w:rPr>
        <w:t xml:space="preserve">        （供应商名称）          </w:t>
      </w:r>
      <w:r>
        <w:rPr>
          <w:rStyle w:val="37"/>
          <w:rFonts w:hint="eastAsia" w:ascii="仿宋" w:hAnsi="仿宋" w:eastAsia="仿宋" w:cs="仿宋"/>
          <w:color w:val="auto"/>
          <w:kern w:val="0"/>
          <w:sz w:val="21"/>
          <w:szCs w:val="21"/>
        </w:rPr>
        <w:t>（以下称“我方”）于</w:t>
      </w:r>
      <w:r>
        <w:rPr>
          <w:rStyle w:val="37"/>
          <w:rFonts w:hint="eastAsia" w:ascii="仿宋" w:hAnsi="仿宋" w:eastAsia="仿宋" w:cs="仿宋"/>
          <w:color w:val="auto"/>
          <w:kern w:val="0"/>
          <w:sz w:val="21"/>
          <w:szCs w:val="21"/>
          <w:u w:val="single"/>
        </w:rPr>
        <w:t xml:space="preserve">      </w:t>
      </w:r>
      <w:r>
        <w:rPr>
          <w:rStyle w:val="37"/>
          <w:rFonts w:hint="eastAsia" w:ascii="仿宋" w:hAnsi="仿宋" w:eastAsia="仿宋" w:cs="仿宋"/>
          <w:color w:val="auto"/>
          <w:kern w:val="0"/>
          <w:sz w:val="21"/>
          <w:szCs w:val="21"/>
        </w:rPr>
        <w:t>年＿月＿日参加</w:t>
      </w:r>
      <w:r>
        <w:rPr>
          <w:rStyle w:val="37"/>
          <w:rFonts w:hint="eastAsia" w:ascii="仿宋" w:hAnsi="仿宋" w:eastAsia="仿宋" w:cs="仿宋"/>
          <w:color w:val="auto"/>
          <w:kern w:val="0"/>
          <w:sz w:val="21"/>
          <w:szCs w:val="21"/>
          <w:u w:val="single"/>
        </w:rPr>
        <w:t xml:space="preserve">           （项目名称）           </w:t>
      </w:r>
      <w:r>
        <w:rPr>
          <w:rStyle w:val="37"/>
          <w:rFonts w:hint="eastAsia" w:ascii="仿宋" w:hAnsi="仿宋" w:eastAsia="仿宋" w:cs="仿宋"/>
          <w:color w:val="auto"/>
          <w:kern w:val="0"/>
          <w:sz w:val="21"/>
          <w:szCs w:val="21"/>
        </w:rPr>
        <w:t>标段的投标，我方在响应文件中提供的企业资质、各类证书、业绩材料、</w:t>
      </w:r>
      <w:r>
        <w:rPr>
          <w:rStyle w:val="37"/>
          <w:rFonts w:hint="eastAsia" w:ascii="仿宋" w:hAnsi="仿宋" w:eastAsia="仿宋" w:cs="仿宋"/>
          <w:color w:val="auto"/>
          <w:sz w:val="21"/>
          <w:szCs w:val="21"/>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14:paraId="6A0DF575">
      <w:pPr>
        <w:pStyle w:val="34"/>
        <w:spacing w:beforeLines="130" w:afterLines="116"/>
        <w:ind w:right="62"/>
        <w:jc w:val="both"/>
        <w:textAlignment w:val="baseline"/>
        <w:rPr>
          <w:rStyle w:val="37"/>
          <w:rFonts w:hint="eastAsia" w:ascii="仿宋" w:hAnsi="仿宋" w:eastAsia="仿宋" w:cs="仿宋"/>
          <w:color w:val="auto"/>
          <w:sz w:val="21"/>
          <w:szCs w:val="21"/>
          <w:u w:val="single"/>
        </w:rPr>
      </w:pPr>
      <w:r>
        <w:rPr>
          <w:rStyle w:val="37"/>
          <w:rFonts w:hint="eastAsia" w:ascii="仿宋" w:hAnsi="仿宋" w:eastAsia="仿宋" w:cs="仿宋"/>
          <w:color w:val="auto"/>
          <w:sz w:val="21"/>
          <w:szCs w:val="21"/>
        </w:rPr>
        <w:t>承诺人：（企业名称）</w:t>
      </w:r>
      <w:r>
        <w:rPr>
          <w:rStyle w:val="37"/>
          <w:rFonts w:hint="eastAsia" w:ascii="仿宋" w:hAnsi="仿宋" w:eastAsia="仿宋" w:cs="仿宋"/>
          <w:color w:val="auto"/>
          <w:sz w:val="21"/>
          <w:szCs w:val="21"/>
          <w:u w:val="single"/>
        </w:rPr>
        <w:t xml:space="preserve">                            </w:t>
      </w:r>
    </w:p>
    <w:p w14:paraId="1A5BE167">
      <w:pPr>
        <w:pStyle w:val="34"/>
        <w:spacing w:beforeLines="130" w:afterLines="116"/>
        <w:jc w:val="both"/>
        <w:textAlignment w:val="baseline"/>
        <w:rPr>
          <w:rStyle w:val="37"/>
          <w:rFonts w:hint="eastAsia" w:ascii="仿宋" w:hAnsi="仿宋" w:eastAsia="仿宋" w:cs="仿宋"/>
          <w:color w:val="auto"/>
          <w:sz w:val="21"/>
          <w:szCs w:val="21"/>
        </w:rPr>
      </w:pPr>
      <w:r>
        <w:rPr>
          <w:rStyle w:val="37"/>
          <w:rFonts w:hint="eastAsia" w:ascii="仿宋" w:hAnsi="仿宋" w:eastAsia="仿宋" w:cs="仿宋"/>
          <w:color w:val="auto"/>
          <w:sz w:val="21"/>
          <w:szCs w:val="21"/>
        </w:rPr>
        <w:t>法定代表人或授权委托人：（签字或盖章）</w:t>
      </w:r>
      <w:r>
        <w:rPr>
          <w:rStyle w:val="37"/>
          <w:rFonts w:hint="eastAsia" w:ascii="仿宋" w:hAnsi="仿宋" w:eastAsia="仿宋" w:cs="仿宋"/>
          <w:color w:val="auto"/>
          <w:sz w:val="21"/>
          <w:szCs w:val="21"/>
          <w:u w:val="single"/>
        </w:rPr>
        <w:t xml:space="preserve">           </w:t>
      </w:r>
    </w:p>
    <w:p w14:paraId="13A56C13">
      <w:pPr>
        <w:pStyle w:val="34"/>
        <w:spacing w:beforeLines="130" w:afterLines="116"/>
        <w:jc w:val="both"/>
        <w:textAlignment w:val="baseline"/>
        <w:rPr>
          <w:rStyle w:val="37"/>
          <w:rFonts w:hint="eastAsia" w:ascii="仿宋" w:hAnsi="仿宋" w:eastAsia="仿宋" w:cs="仿宋"/>
          <w:color w:val="auto"/>
          <w:sz w:val="21"/>
          <w:szCs w:val="21"/>
          <w:u w:val="single"/>
        </w:rPr>
      </w:pPr>
      <w:r>
        <w:rPr>
          <w:rStyle w:val="37"/>
          <w:rFonts w:hint="eastAsia" w:ascii="仿宋" w:hAnsi="仿宋" w:eastAsia="仿宋" w:cs="仿宋"/>
          <w:color w:val="auto"/>
          <w:sz w:val="21"/>
          <w:szCs w:val="21"/>
        </w:rPr>
        <w:t>联系电话：</w:t>
      </w:r>
      <w:r>
        <w:rPr>
          <w:rStyle w:val="37"/>
          <w:rFonts w:hint="eastAsia" w:ascii="仿宋" w:hAnsi="仿宋" w:eastAsia="仿宋" w:cs="仿宋"/>
          <w:color w:val="auto"/>
          <w:sz w:val="21"/>
          <w:szCs w:val="21"/>
          <w:u w:val="single"/>
        </w:rPr>
        <w:t xml:space="preserve">                    </w:t>
      </w:r>
    </w:p>
    <w:p w14:paraId="52CF6021">
      <w:pPr>
        <w:autoSpaceDE w:val="0"/>
        <w:autoSpaceDN w:val="0"/>
        <w:spacing w:line="440" w:lineRule="exact"/>
        <w:ind w:firstLine="840" w:firstLineChars="400"/>
        <w:jc w:val="right"/>
        <w:rPr>
          <w:rStyle w:val="37"/>
          <w:rFonts w:hint="eastAsia" w:ascii="仿宋" w:hAnsi="仿宋" w:eastAsia="仿宋" w:cs="仿宋"/>
          <w:color w:val="auto"/>
          <w:sz w:val="21"/>
          <w:szCs w:val="21"/>
        </w:rPr>
      </w:pPr>
      <w:r>
        <w:rPr>
          <w:rStyle w:val="37"/>
          <w:rFonts w:hint="eastAsia" w:ascii="仿宋" w:hAnsi="仿宋" w:eastAsia="仿宋" w:cs="仿宋"/>
          <w:color w:val="auto"/>
          <w:sz w:val="21"/>
          <w:szCs w:val="21"/>
          <w:u w:val="single"/>
          <w:lang w:val="en-US" w:eastAsia="zh-CN"/>
        </w:rPr>
        <w:t xml:space="preserve">       </w:t>
      </w:r>
      <w:r>
        <w:rPr>
          <w:rStyle w:val="37"/>
          <w:rFonts w:hint="eastAsia" w:ascii="仿宋" w:hAnsi="仿宋" w:eastAsia="仿宋" w:cs="仿宋"/>
          <w:color w:val="auto"/>
          <w:sz w:val="21"/>
          <w:szCs w:val="21"/>
        </w:rPr>
        <w:t>年</w:t>
      </w:r>
      <w:r>
        <w:rPr>
          <w:rStyle w:val="37"/>
          <w:rFonts w:hint="eastAsia" w:ascii="仿宋" w:hAnsi="仿宋" w:eastAsia="仿宋" w:cs="仿宋"/>
          <w:color w:val="auto"/>
          <w:sz w:val="21"/>
          <w:szCs w:val="21"/>
          <w:u w:val="single"/>
        </w:rPr>
        <w:t xml:space="preserve">    </w:t>
      </w:r>
      <w:r>
        <w:rPr>
          <w:rStyle w:val="37"/>
          <w:rFonts w:hint="eastAsia" w:ascii="仿宋" w:hAnsi="仿宋" w:eastAsia="仿宋" w:cs="仿宋"/>
          <w:color w:val="auto"/>
          <w:sz w:val="21"/>
          <w:szCs w:val="21"/>
        </w:rPr>
        <w:t xml:space="preserve">月 </w:t>
      </w:r>
      <w:r>
        <w:rPr>
          <w:rStyle w:val="37"/>
          <w:rFonts w:hint="eastAsia" w:ascii="仿宋" w:hAnsi="仿宋" w:eastAsia="仿宋" w:cs="仿宋"/>
          <w:color w:val="auto"/>
          <w:sz w:val="21"/>
          <w:szCs w:val="21"/>
          <w:u w:val="single"/>
        </w:rPr>
        <w:t xml:space="preserve">   </w:t>
      </w:r>
      <w:r>
        <w:rPr>
          <w:rStyle w:val="37"/>
          <w:rFonts w:hint="eastAsia" w:ascii="仿宋" w:hAnsi="仿宋" w:eastAsia="仿宋" w:cs="仿宋"/>
          <w:color w:val="auto"/>
          <w:sz w:val="21"/>
          <w:szCs w:val="21"/>
        </w:rPr>
        <w:t>日</w:t>
      </w:r>
    </w:p>
    <w:p w14:paraId="5643B1CF">
      <w:pPr>
        <w:ind w:left="105" w:hanging="105"/>
        <w:rPr>
          <w:rFonts w:hint="eastAsia" w:ascii="仿宋" w:hAnsi="仿宋" w:eastAsia="仿宋" w:cs="仿宋"/>
          <w:b/>
          <w:color w:val="auto"/>
          <w:sz w:val="21"/>
          <w:szCs w:val="21"/>
        </w:rPr>
      </w:pPr>
    </w:p>
    <w:p w14:paraId="22B2F925">
      <w:pPr>
        <w:ind w:left="105" w:hanging="105"/>
        <w:rPr>
          <w:rFonts w:hint="eastAsia" w:ascii="仿宋" w:hAnsi="仿宋" w:eastAsia="仿宋" w:cs="仿宋"/>
          <w:b/>
          <w:color w:val="auto"/>
          <w:sz w:val="21"/>
          <w:szCs w:val="21"/>
        </w:rPr>
      </w:pPr>
    </w:p>
    <w:p w14:paraId="4491A460">
      <w:pPr>
        <w:ind w:left="105" w:hanging="105"/>
        <w:rPr>
          <w:rFonts w:hint="eastAsia" w:ascii="仿宋" w:hAnsi="仿宋" w:eastAsia="仿宋" w:cs="仿宋"/>
          <w:b/>
          <w:color w:val="auto"/>
          <w:sz w:val="21"/>
          <w:szCs w:val="21"/>
        </w:rPr>
      </w:pPr>
    </w:p>
    <w:p w14:paraId="23B25E6E">
      <w:pPr>
        <w:pStyle w:val="8"/>
        <w:rPr>
          <w:rFonts w:hint="eastAsia" w:ascii="仿宋" w:hAnsi="仿宋" w:eastAsia="仿宋" w:cs="仿宋"/>
          <w:b/>
          <w:color w:val="auto"/>
          <w:sz w:val="21"/>
          <w:szCs w:val="21"/>
        </w:rPr>
      </w:pPr>
    </w:p>
    <w:p w14:paraId="2A896CA1">
      <w:pPr>
        <w:pStyle w:val="28"/>
        <w:rPr>
          <w:rFonts w:hint="eastAsia" w:ascii="仿宋" w:hAnsi="仿宋" w:eastAsia="仿宋" w:cs="仿宋"/>
          <w:b/>
          <w:color w:val="auto"/>
          <w:sz w:val="21"/>
          <w:szCs w:val="21"/>
        </w:rPr>
      </w:pPr>
    </w:p>
    <w:p w14:paraId="507A2340">
      <w:pPr>
        <w:pStyle w:val="28"/>
        <w:rPr>
          <w:rFonts w:hint="eastAsia" w:ascii="仿宋" w:hAnsi="仿宋" w:eastAsia="仿宋" w:cs="仿宋"/>
          <w:b/>
          <w:color w:val="auto"/>
          <w:sz w:val="21"/>
          <w:szCs w:val="21"/>
        </w:rPr>
      </w:pPr>
    </w:p>
    <w:p w14:paraId="2D5427AF">
      <w:pPr>
        <w:pStyle w:val="28"/>
        <w:rPr>
          <w:rFonts w:hint="eastAsia" w:ascii="仿宋" w:hAnsi="仿宋" w:eastAsia="仿宋" w:cs="仿宋"/>
          <w:b/>
          <w:color w:val="auto"/>
          <w:sz w:val="21"/>
          <w:szCs w:val="21"/>
        </w:rPr>
      </w:pPr>
    </w:p>
    <w:p w14:paraId="731B90C1">
      <w:pPr>
        <w:pStyle w:val="28"/>
        <w:rPr>
          <w:rFonts w:hint="eastAsia" w:ascii="仿宋" w:hAnsi="仿宋" w:eastAsia="仿宋" w:cs="仿宋"/>
          <w:b/>
          <w:color w:val="auto"/>
          <w:sz w:val="21"/>
          <w:szCs w:val="21"/>
        </w:rPr>
      </w:pPr>
    </w:p>
    <w:p w14:paraId="1EA0BF5D">
      <w:pPr>
        <w:pStyle w:val="28"/>
        <w:rPr>
          <w:rFonts w:hint="eastAsia" w:ascii="仿宋" w:hAnsi="仿宋" w:eastAsia="仿宋" w:cs="仿宋"/>
          <w:b/>
          <w:color w:val="auto"/>
          <w:sz w:val="21"/>
          <w:szCs w:val="21"/>
        </w:rPr>
      </w:pPr>
    </w:p>
    <w:p w14:paraId="5891D4D6">
      <w:pPr>
        <w:pStyle w:val="28"/>
        <w:rPr>
          <w:rFonts w:hint="eastAsia" w:ascii="仿宋" w:hAnsi="仿宋" w:eastAsia="仿宋" w:cs="仿宋"/>
          <w:b/>
          <w:color w:val="auto"/>
          <w:sz w:val="21"/>
          <w:szCs w:val="21"/>
        </w:rPr>
      </w:pPr>
    </w:p>
    <w:p w14:paraId="290AF028">
      <w:pPr>
        <w:pStyle w:val="28"/>
        <w:rPr>
          <w:rFonts w:hint="eastAsia" w:ascii="仿宋" w:hAnsi="仿宋" w:eastAsia="仿宋" w:cs="仿宋"/>
          <w:b/>
          <w:color w:val="auto"/>
          <w:sz w:val="21"/>
          <w:szCs w:val="21"/>
        </w:rPr>
      </w:pPr>
    </w:p>
    <w:p w14:paraId="6B271CBB">
      <w:pPr>
        <w:rPr>
          <w:rFonts w:hint="eastAsia" w:ascii="仿宋" w:hAnsi="仿宋" w:eastAsia="仿宋" w:cs="仿宋"/>
          <w:b/>
          <w:color w:val="auto"/>
          <w:sz w:val="21"/>
          <w:szCs w:val="21"/>
        </w:rPr>
      </w:pPr>
      <w:r>
        <w:rPr>
          <w:rFonts w:hint="eastAsia" w:ascii="仿宋" w:hAnsi="仿宋" w:eastAsia="仿宋" w:cs="仿宋"/>
          <w:b/>
          <w:color w:val="auto"/>
          <w:sz w:val="21"/>
          <w:szCs w:val="21"/>
        </w:rPr>
        <w:br w:type="page"/>
      </w:r>
    </w:p>
    <w:p w14:paraId="2B787D9A">
      <w:pPr>
        <w:pStyle w:val="19"/>
        <w:numPr>
          <w:ilvl w:val="0"/>
          <w:numId w:val="0"/>
        </w:numPr>
        <w:spacing w:before="120"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仿宋" w:hAnsi="仿宋" w:eastAsia="仿宋" w:cs="仿宋"/>
          <w:color w:val="auto"/>
          <w:sz w:val="21"/>
          <w:szCs w:val="21"/>
          <w:lang w:val="en-US" w:eastAsia="zh-CN"/>
        </w:rPr>
        <w:t>16、</w:t>
      </w:r>
      <w:r>
        <w:rPr>
          <w:rFonts w:hint="eastAsia" w:ascii="宋体" w:hAnsi="宋体" w:eastAsia="宋体" w:cs="宋体"/>
          <w:b/>
          <w:bCs w:val="0"/>
          <w:color w:val="auto"/>
          <w:kern w:val="2"/>
          <w:sz w:val="24"/>
          <w:szCs w:val="24"/>
          <w:highlight w:val="none"/>
          <w:lang w:val="en-US" w:eastAsia="zh-CN" w:bidi="ar-SA"/>
        </w:rPr>
        <w:t>中小企业声明函、</w:t>
      </w:r>
      <w:r>
        <w:rPr>
          <w:rFonts w:hint="eastAsia" w:ascii="宋体" w:hAnsi="宋体" w:eastAsia="宋体" w:cs="宋体"/>
          <w:sz w:val="24"/>
          <w:szCs w:val="24"/>
          <w:lang w:val="en-US" w:eastAsia="zh-CN"/>
        </w:rPr>
        <w:t>JY</w:t>
      </w:r>
      <w:r>
        <w:rPr>
          <w:rFonts w:hint="eastAsia" w:ascii="宋体" w:hAnsi="宋体" w:eastAsia="宋体" w:cs="宋体"/>
          <w:b/>
          <w:bCs w:val="0"/>
          <w:color w:val="auto"/>
          <w:kern w:val="2"/>
          <w:sz w:val="24"/>
          <w:szCs w:val="24"/>
          <w:highlight w:val="none"/>
          <w:lang w:val="en-US" w:eastAsia="zh-CN" w:bidi="ar-SA"/>
        </w:rPr>
        <w:t>企业、残疾人福利性单位及其他相关的充分的证明材料</w:t>
      </w:r>
    </w:p>
    <w:p w14:paraId="65E4FC00">
      <w:pPr>
        <w:spacing w:before="240" w:beforeLines="100" w:after="240" w:afterLines="100" w:line="360" w:lineRule="auto"/>
        <w:jc w:val="center"/>
        <w:rPr>
          <w:rFonts w:hint="eastAsia" w:ascii="宋体" w:hAnsi="宋体" w:eastAsia="宋体" w:cs="宋体"/>
          <w:b/>
          <w:color w:val="000000"/>
          <w:sz w:val="24"/>
          <w:szCs w:val="24"/>
        </w:rPr>
      </w:pPr>
      <w:r>
        <w:rPr>
          <w:rFonts w:hint="eastAsia" w:ascii="宋体" w:hAnsi="宋体" w:eastAsia="宋体" w:cs="宋体"/>
          <w:b/>
          <w:bCs/>
          <w:color w:val="000000"/>
          <w:sz w:val="24"/>
          <w:szCs w:val="24"/>
        </w:rPr>
        <w:t>中小企业声明函（</w:t>
      </w:r>
      <w:r>
        <w:rPr>
          <w:rFonts w:hint="eastAsia" w:ascii="宋体" w:hAnsi="宋体" w:cs="宋体"/>
          <w:b/>
          <w:bCs/>
          <w:color w:val="000000"/>
          <w:sz w:val="24"/>
          <w:szCs w:val="24"/>
          <w:lang w:val="en-US" w:eastAsia="zh-CN"/>
        </w:rPr>
        <w:t>工程</w:t>
      </w:r>
      <w:r>
        <w:rPr>
          <w:rFonts w:hint="eastAsia" w:ascii="宋体" w:hAnsi="宋体" w:eastAsia="宋体" w:cs="宋体"/>
          <w:b/>
          <w:bCs/>
          <w:color w:val="000000"/>
          <w:sz w:val="24"/>
          <w:szCs w:val="24"/>
        </w:rPr>
        <w:t>）格式</w:t>
      </w:r>
    </w:p>
    <w:p w14:paraId="3644E429">
      <w:pPr>
        <w:spacing w:line="360" w:lineRule="auto"/>
        <w:ind w:left="0" w:firstLine="420" w:firstLineChars="200"/>
        <w:rPr>
          <w:rFonts w:hint="eastAsia" w:ascii="仿宋" w:hAnsi="仿宋" w:eastAsia="仿宋" w:cs="仿宋"/>
          <w:sz w:val="21"/>
          <w:szCs w:val="21"/>
        </w:rPr>
      </w:pPr>
      <w:r>
        <w:rPr>
          <w:rFonts w:hint="eastAsia" w:ascii="仿宋" w:hAnsi="仿宋" w:eastAsia="仿宋" w:cs="仿宋"/>
          <w:sz w:val="21"/>
          <w:szCs w:val="21"/>
        </w:rPr>
        <w:t xml:space="preserve">本公司(联合体)郑重声明，根据《政府采购促进中小企业发展管理办法》(财库【2020】46号 )的规定,本公司(联合体)参加 (单位名称)的 (项目名称)采购活动,项目单位全部为符合政策要求的中小企业（或者：服务全部由符合政策要求的中小企业承接）。相关企业 (含联合体中的中小企业、签订分包意向协议的中小企业)的具体情况如下: </w:t>
      </w:r>
    </w:p>
    <w:p w14:paraId="4F197A16">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1.</w:t>
      </w:r>
      <w:r>
        <w:rPr>
          <w:rFonts w:hint="eastAsia" w:ascii="仿宋" w:hAnsi="仿宋" w:eastAsia="仿宋" w:cs="仿宋"/>
          <w:sz w:val="21"/>
          <w:szCs w:val="21"/>
          <w:u w:val="single"/>
        </w:rPr>
        <w:t>(标的名称)</w:t>
      </w:r>
      <w:r>
        <w:rPr>
          <w:rFonts w:hint="eastAsia" w:ascii="仿宋" w:hAnsi="仿宋" w:eastAsia="仿宋" w:cs="仿宋"/>
          <w:sz w:val="21"/>
          <w:szCs w:val="21"/>
        </w:rPr>
        <w:t>，属于</w:t>
      </w:r>
      <w:r>
        <w:rPr>
          <w:rFonts w:hint="eastAsia" w:ascii="仿宋" w:hAnsi="仿宋" w:eastAsia="仿宋" w:cs="仿宋"/>
          <w:sz w:val="21"/>
          <w:szCs w:val="21"/>
          <w:u w:val="single"/>
        </w:rPr>
        <w:t>(采购文件中明确的所属行业)</w:t>
      </w:r>
      <w:r>
        <w:rPr>
          <w:rFonts w:hint="eastAsia" w:ascii="仿宋" w:hAnsi="仿宋" w:eastAsia="仿宋" w:cs="仿宋"/>
          <w:sz w:val="21"/>
          <w:szCs w:val="21"/>
        </w:rPr>
        <w:t>；承建（承接）企业为</w:t>
      </w:r>
      <w:r>
        <w:rPr>
          <w:rFonts w:hint="eastAsia" w:ascii="仿宋" w:hAnsi="仿宋" w:eastAsia="仿宋" w:cs="仿宋"/>
          <w:sz w:val="21"/>
          <w:szCs w:val="21"/>
          <w:u w:val="single"/>
        </w:rPr>
        <w:t>(企业名称)</w:t>
      </w:r>
      <w:r>
        <w:rPr>
          <w:rFonts w:hint="eastAsia" w:ascii="仿宋" w:hAnsi="仿宋" w:eastAsia="仿宋" w:cs="仿宋"/>
          <w:sz w:val="21"/>
          <w:szCs w:val="21"/>
        </w:rPr>
        <w:t>，从业人员</w:t>
      </w:r>
      <w:r>
        <w:rPr>
          <w:rFonts w:hint="eastAsia" w:ascii="仿宋" w:hAnsi="仿宋" w:eastAsia="仿宋" w:cs="仿宋"/>
          <w:sz w:val="21"/>
          <w:szCs w:val="21"/>
          <w:u w:val="single"/>
        </w:rPr>
        <w:t xml:space="preserve">      </w:t>
      </w:r>
      <w:r>
        <w:rPr>
          <w:rFonts w:hint="eastAsia" w:ascii="仿宋" w:hAnsi="仿宋" w:eastAsia="仿宋" w:cs="仿宋"/>
          <w:sz w:val="21"/>
          <w:szCs w:val="21"/>
        </w:rPr>
        <w:t>人，营业收入为</w:t>
      </w:r>
      <w:r>
        <w:rPr>
          <w:rFonts w:hint="eastAsia" w:ascii="仿宋" w:hAnsi="仿宋" w:eastAsia="仿宋" w:cs="仿宋"/>
          <w:sz w:val="21"/>
          <w:szCs w:val="21"/>
          <w:u w:val="single"/>
        </w:rPr>
        <w:t xml:space="preserve">      </w:t>
      </w:r>
      <w:r>
        <w:rPr>
          <w:rFonts w:hint="eastAsia" w:ascii="仿宋" w:hAnsi="仿宋" w:eastAsia="仿宋" w:cs="仿宋"/>
          <w:sz w:val="21"/>
          <w:szCs w:val="21"/>
        </w:rPr>
        <w:t>万元，资产总额为</w:t>
      </w:r>
      <w:r>
        <w:rPr>
          <w:rFonts w:hint="eastAsia" w:ascii="仿宋" w:hAnsi="仿宋" w:eastAsia="仿宋" w:cs="仿宋"/>
          <w:sz w:val="21"/>
          <w:szCs w:val="21"/>
          <w:u w:val="single"/>
        </w:rPr>
        <w:t xml:space="preserve">      </w:t>
      </w:r>
      <w:r>
        <w:rPr>
          <w:rFonts w:hint="eastAsia" w:ascii="仿宋" w:hAnsi="仿宋" w:eastAsia="仿宋" w:cs="仿宋"/>
          <w:sz w:val="21"/>
          <w:szCs w:val="21"/>
        </w:rPr>
        <w:t>万元，属于</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(中型企业、小型企业、微型企业)；</w:t>
      </w:r>
    </w:p>
    <w:p w14:paraId="16CD9A6D">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2.</w:t>
      </w:r>
      <w:r>
        <w:rPr>
          <w:rFonts w:hint="eastAsia" w:ascii="仿宋" w:hAnsi="仿宋" w:eastAsia="仿宋" w:cs="仿宋"/>
          <w:sz w:val="21"/>
          <w:szCs w:val="21"/>
          <w:u w:val="single"/>
        </w:rPr>
        <w:t>(标的名称)</w:t>
      </w:r>
      <w:r>
        <w:rPr>
          <w:rFonts w:hint="eastAsia" w:ascii="仿宋" w:hAnsi="仿宋" w:eastAsia="仿宋" w:cs="仿宋"/>
          <w:sz w:val="21"/>
          <w:szCs w:val="21"/>
        </w:rPr>
        <w:t>，属于</w:t>
      </w:r>
      <w:r>
        <w:rPr>
          <w:rFonts w:hint="eastAsia" w:ascii="仿宋" w:hAnsi="仿宋" w:eastAsia="仿宋" w:cs="仿宋"/>
          <w:sz w:val="21"/>
          <w:szCs w:val="21"/>
          <w:u w:val="single"/>
        </w:rPr>
        <w:t>(采购文件中明确的所属行业)</w:t>
      </w:r>
      <w:r>
        <w:rPr>
          <w:rFonts w:hint="eastAsia" w:ascii="仿宋" w:hAnsi="仿宋" w:eastAsia="仿宋" w:cs="仿宋"/>
          <w:sz w:val="21"/>
          <w:szCs w:val="21"/>
        </w:rPr>
        <w:t>；承建（承接）企业为</w:t>
      </w:r>
      <w:r>
        <w:rPr>
          <w:rFonts w:hint="eastAsia" w:ascii="仿宋" w:hAnsi="仿宋" w:eastAsia="仿宋" w:cs="仿宋"/>
          <w:sz w:val="21"/>
          <w:szCs w:val="21"/>
          <w:u w:val="single"/>
        </w:rPr>
        <w:t>(企业名称)</w:t>
      </w:r>
      <w:r>
        <w:rPr>
          <w:rFonts w:hint="eastAsia" w:ascii="仿宋" w:hAnsi="仿宋" w:eastAsia="仿宋" w:cs="仿宋"/>
          <w:sz w:val="21"/>
          <w:szCs w:val="21"/>
        </w:rPr>
        <w:t>，从业人员</w:t>
      </w:r>
      <w:r>
        <w:rPr>
          <w:rFonts w:hint="eastAsia" w:ascii="仿宋" w:hAnsi="仿宋" w:eastAsia="仿宋" w:cs="仿宋"/>
          <w:sz w:val="21"/>
          <w:szCs w:val="21"/>
          <w:u w:val="single"/>
        </w:rPr>
        <w:t xml:space="preserve">      </w:t>
      </w:r>
      <w:r>
        <w:rPr>
          <w:rFonts w:hint="eastAsia" w:ascii="仿宋" w:hAnsi="仿宋" w:eastAsia="仿宋" w:cs="仿宋"/>
          <w:sz w:val="21"/>
          <w:szCs w:val="21"/>
        </w:rPr>
        <w:t>人，营业收入为</w:t>
      </w:r>
      <w:r>
        <w:rPr>
          <w:rFonts w:hint="eastAsia" w:ascii="仿宋" w:hAnsi="仿宋" w:eastAsia="仿宋" w:cs="仿宋"/>
          <w:sz w:val="21"/>
          <w:szCs w:val="21"/>
          <w:u w:val="single"/>
        </w:rPr>
        <w:t xml:space="preserve">      </w:t>
      </w:r>
      <w:r>
        <w:rPr>
          <w:rFonts w:hint="eastAsia" w:ascii="仿宋" w:hAnsi="仿宋" w:eastAsia="仿宋" w:cs="仿宋"/>
          <w:sz w:val="21"/>
          <w:szCs w:val="21"/>
        </w:rPr>
        <w:t>万元，资产总额为</w:t>
      </w:r>
      <w:r>
        <w:rPr>
          <w:rFonts w:hint="eastAsia" w:ascii="仿宋" w:hAnsi="仿宋" w:eastAsia="仿宋" w:cs="仿宋"/>
          <w:sz w:val="21"/>
          <w:szCs w:val="21"/>
          <w:u w:val="single"/>
        </w:rPr>
        <w:t xml:space="preserve">      </w:t>
      </w:r>
      <w:r>
        <w:rPr>
          <w:rFonts w:hint="eastAsia" w:ascii="仿宋" w:hAnsi="仿宋" w:eastAsia="仿宋" w:cs="仿宋"/>
          <w:sz w:val="21"/>
          <w:szCs w:val="21"/>
        </w:rPr>
        <w:t>万元，属于</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(中型企业、小型企业、微型企业)；</w:t>
      </w:r>
    </w:p>
    <w:p w14:paraId="5927C1F7">
      <w:pPr>
        <w:spacing w:before="110" w:line="360" w:lineRule="auto"/>
        <w:ind w:left="2474" w:firstLine="420" w:firstLineChars="200"/>
        <w:rPr>
          <w:rFonts w:hint="eastAsia" w:ascii="仿宋" w:hAnsi="仿宋" w:eastAsia="仿宋" w:cs="仿宋"/>
          <w:sz w:val="21"/>
          <w:szCs w:val="21"/>
        </w:rPr>
      </w:pPr>
      <w:r>
        <w:rPr>
          <w:rFonts w:hint="eastAsia" w:ascii="仿宋" w:hAnsi="仿宋" w:eastAsia="仿宋" w:cs="仿宋"/>
          <w:sz w:val="21"/>
          <w:szCs w:val="21"/>
        </w:rPr>
        <w:t>......</w:t>
      </w:r>
    </w:p>
    <w:p w14:paraId="1C35C3AE">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 xml:space="preserve">以上企业，不属于大企业的分支机构,不存在控股股东为大企业的情形,也不存在与大企业的负责人为同一人的情形。 </w:t>
      </w:r>
    </w:p>
    <w:p w14:paraId="30169F4F">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 xml:space="preserve">本企业对上述声明内容的真实性负责。如有虚假，将依法承担相应责任。 </w:t>
      </w:r>
    </w:p>
    <w:p w14:paraId="78BAEE54">
      <w:pPr>
        <w:spacing w:before="110" w:line="360" w:lineRule="auto"/>
        <w:ind w:left="2474" w:firstLine="420" w:firstLineChars="200"/>
        <w:rPr>
          <w:rFonts w:hint="eastAsia" w:ascii="仿宋" w:hAnsi="仿宋" w:eastAsia="仿宋" w:cs="仿宋"/>
          <w:sz w:val="21"/>
          <w:szCs w:val="21"/>
        </w:rPr>
      </w:pPr>
    </w:p>
    <w:p w14:paraId="1B030253">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 xml:space="preserve">企业名称 (盖 章)∶ </w:t>
      </w:r>
    </w:p>
    <w:p w14:paraId="4A89940E">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 xml:space="preserve">日期: </w:t>
      </w:r>
    </w:p>
    <w:p w14:paraId="2BB61F43">
      <w:pPr>
        <w:spacing w:line="360" w:lineRule="auto"/>
        <w:ind w:left="0" w:firstLine="0" w:firstLineChars="0"/>
        <w:rPr>
          <w:rFonts w:hint="eastAsia" w:ascii="仿宋" w:hAnsi="仿宋" w:eastAsia="仿宋" w:cs="仿宋"/>
          <w:sz w:val="21"/>
          <w:szCs w:val="21"/>
        </w:rPr>
      </w:pPr>
      <w:r>
        <w:rPr>
          <w:rFonts w:hint="eastAsia" w:ascii="仿宋" w:hAnsi="仿宋" w:eastAsia="仿宋" w:cs="仿宋"/>
          <w:sz w:val="21"/>
          <w:szCs w:val="21"/>
        </w:rPr>
        <w:t>从业人员、营业收入、资产总额填报上一年度数据,无上一年度数据的新成立企可不填报。</w:t>
      </w:r>
    </w:p>
    <w:p w14:paraId="30A6DA97">
      <w:pPr>
        <w:spacing w:line="241" w:lineRule="auto"/>
        <w:rPr>
          <w:rFonts w:hint="eastAsia" w:ascii="仿宋" w:hAnsi="仿宋" w:eastAsia="仿宋" w:cs="仿宋"/>
          <w:sz w:val="21"/>
          <w:szCs w:val="21"/>
        </w:rPr>
      </w:pPr>
    </w:p>
    <w:p w14:paraId="6A6F8775">
      <w:pPr>
        <w:spacing w:line="241" w:lineRule="auto"/>
        <w:rPr>
          <w:rFonts w:hint="eastAsia" w:ascii="仿宋" w:hAnsi="仿宋" w:eastAsia="仿宋" w:cs="仿宋"/>
          <w:sz w:val="21"/>
          <w:szCs w:val="21"/>
        </w:rPr>
      </w:pPr>
    </w:p>
    <w:p w14:paraId="4CDA9DE9">
      <w:pPr>
        <w:spacing w:line="241" w:lineRule="auto"/>
        <w:rPr>
          <w:rFonts w:hint="eastAsia" w:ascii="仿宋" w:hAnsi="仿宋" w:eastAsia="仿宋" w:cs="仿宋"/>
          <w:sz w:val="21"/>
          <w:szCs w:val="21"/>
        </w:rPr>
      </w:pPr>
    </w:p>
    <w:p w14:paraId="38FF721F">
      <w:pPr>
        <w:spacing w:line="241" w:lineRule="auto"/>
        <w:rPr>
          <w:rFonts w:hint="eastAsia" w:ascii="仿宋" w:hAnsi="仿宋" w:eastAsia="仿宋" w:cs="仿宋"/>
          <w:sz w:val="21"/>
          <w:szCs w:val="21"/>
        </w:rPr>
      </w:pPr>
    </w:p>
    <w:p w14:paraId="708851CB">
      <w:pPr>
        <w:spacing w:line="241" w:lineRule="auto"/>
        <w:rPr>
          <w:rFonts w:hint="eastAsia" w:ascii="仿宋" w:hAnsi="仿宋" w:eastAsia="仿宋" w:cs="仿宋"/>
          <w:sz w:val="21"/>
          <w:szCs w:val="21"/>
        </w:rPr>
      </w:pPr>
    </w:p>
    <w:p w14:paraId="6222D8FA">
      <w:pPr>
        <w:ind w:firstLine="422" w:firstLineChars="200"/>
        <w:jc w:val="center"/>
        <w:rPr>
          <w:rFonts w:hint="eastAsia" w:ascii="仿宋" w:hAnsi="仿宋" w:eastAsia="仿宋" w:cs="仿宋"/>
          <w:b/>
          <w:color w:val="auto"/>
          <w:sz w:val="21"/>
          <w:szCs w:val="21"/>
          <w:lang w:val="en-US" w:eastAsia="zh-CN"/>
        </w:rPr>
      </w:pPr>
    </w:p>
    <w:p w14:paraId="2E77F162">
      <w:pPr>
        <w:ind w:firstLine="422" w:firstLineChars="200"/>
        <w:jc w:val="center"/>
        <w:rPr>
          <w:rFonts w:hint="eastAsia" w:ascii="仿宋" w:hAnsi="仿宋" w:eastAsia="仿宋" w:cs="仿宋"/>
          <w:b/>
          <w:color w:val="auto"/>
          <w:sz w:val="21"/>
          <w:szCs w:val="21"/>
          <w:lang w:val="en-US" w:eastAsia="zh-CN"/>
        </w:rPr>
      </w:pPr>
    </w:p>
    <w:p w14:paraId="247FF33A">
      <w:pPr>
        <w:ind w:firstLine="422" w:firstLineChars="200"/>
        <w:jc w:val="center"/>
        <w:rPr>
          <w:rFonts w:hint="eastAsia" w:ascii="仿宋" w:hAnsi="仿宋" w:eastAsia="仿宋" w:cs="仿宋"/>
          <w:b/>
          <w:color w:val="auto"/>
          <w:sz w:val="21"/>
          <w:szCs w:val="21"/>
          <w:lang w:val="en-US" w:eastAsia="zh-CN"/>
        </w:rPr>
      </w:pPr>
    </w:p>
    <w:p w14:paraId="00A2E79F">
      <w:pPr>
        <w:ind w:firstLine="422" w:firstLineChars="200"/>
        <w:jc w:val="center"/>
        <w:rPr>
          <w:rFonts w:hint="eastAsia" w:ascii="仿宋" w:hAnsi="仿宋" w:eastAsia="仿宋" w:cs="仿宋"/>
          <w:b/>
          <w:color w:val="auto"/>
          <w:sz w:val="21"/>
          <w:szCs w:val="21"/>
          <w:lang w:val="en-US" w:eastAsia="zh-CN"/>
        </w:rPr>
      </w:pPr>
    </w:p>
    <w:p w14:paraId="0B4F7FE3">
      <w:pPr>
        <w:rPr>
          <w:rStyle w:val="50"/>
          <w:rFonts w:hint="eastAsia" w:ascii="宋体" w:hAnsi="宋体" w:eastAsia="宋体" w:cs="宋体"/>
          <w:bCs w:val="0"/>
          <w:color w:val="auto"/>
          <w:kern w:val="2"/>
          <w:sz w:val="24"/>
          <w:szCs w:val="24"/>
          <w:lang w:val="en-US" w:eastAsia="zh-CN" w:bidi="ar-SA"/>
        </w:rPr>
      </w:pPr>
      <w:r>
        <w:rPr>
          <w:rStyle w:val="50"/>
          <w:rFonts w:hint="eastAsia" w:ascii="宋体" w:hAnsi="宋体" w:eastAsia="宋体" w:cs="宋体"/>
          <w:bCs w:val="0"/>
          <w:color w:val="auto"/>
          <w:kern w:val="2"/>
          <w:sz w:val="24"/>
          <w:szCs w:val="24"/>
          <w:lang w:val="en-US" w:eastAsia="zh-CN" w:bidi="ar-SA"/>
        </w:rPr>
        <w:br w:type="page"/>
      </w:r>
    </w:p>
    <w:p w14:paraId="160CCCB7">
      <w:pPr>
        <w:rPr>
          <w:rStyle w:val="50"/>
          <w:rFonts w:hint="eastAsia" w:ascii="宋体" w:hAnsi="宋体" w:eastAsia="宋体" w:cs="宋体"/>
          <w:bCs w:val="0"/>
          <w:color w:val="auto"/>
          <w:kern w:val="2"/>
          <w:sz w:val="24"/>
          <w:szCs w:val="24"/>
          <w:lang w:val="en-US" w:eastAsia="zh-CN" w:bidi="ar-SA"/>
        </w:rPr>
      </w:pPr>
    </w:p>
    <w:p w14:paraId="44B0CB00">
      <w:pPr>
        <w:snapToGrid w:val="0"/>
        <w:spacing w:line="360" w:lineRule="auto"/>
        <w:ind w:left="0" w:leftChars="0" w:firstLine="0" w:firstLineChars="0"/>
        <w:jc w:val="center"/>
        <w:rPr>
          <w:rStyle w:val="50"/>
          <w:rFonts w:hint="eastAsia" w:ascii="宋体" w:hAnsi="宋体" w:eastAsia="宋体" w:cs="宋体"/>
          <w:bCs w:val="0"/>
          <w:color w:val="auto"/>
          <w:kern w:val="2"/>
          <w:sz w:val="24"/>
          <w:szCs w:val="24"/>
          <w:lang w:val="en-US" w:eastAsia="zh-CN" w:bidi="ar-SA"/>
        </w:rPr>
      </w:pPr>
      <w:r>
        <w:rPr>
          <w:rStyle w:val="50"/>
          <w:rFonts w:hint="eastAsia" w:ascii="宋体" w:hAnsi="宋体" w:eastAsia="宋体" w:cs="宋体"/>
          <w:bCs w:val="0"/>
          <w:color w:val="auto"/>
          <w:kern w:val="2"/>
          <w:sz w:val="24"/>
          <w:szCs w:val="24"/>
          <w:lang w:val="en-US" w:eastAsia="zh-CN" w:bidi="ar-SA"/>
        </w:rPr>
        <w:t>JY企业声明函</w:t>
      </w:r>
    </w:p>
    <w:p w14:paraId="01CC3B7D">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【不属于JY企业的无需填写、递交】</w:t>
      </w:r>
    </w:p>
    <w:p w14:paraId="5682DE91">
      <w:pPr>
        <w:widowControl/>
        <w:shd w:val="clear" w:color="auto" w:fill="auto"/>
        <w:adjustRightInd w:val="0"/>
        <w:snapToGrid w:val="0"/>
        <w:spacing w:line="360" w:lineRule="auto"/>
        <w:ind w:firstLine="420" w:firstLineChars="20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本单位郑重声明，本单位在参加</w:t>
      </w:r>
      <w:r>
        <w:rPr>
          <w:rFonts w:hint="eastAsia" w:ascii="仿宋" w:hAnsi="仿宋" w:eastAsia="仿宋" w:cs="仿宋"/>
          <w:color w:val="auto"/>
          <w:kern w:val="0"/>
          <w:sz w:val="21"/>
          <w:szCs w:val="21"/>
          <w:highlight w:val="none"/>
          <w:u w:val="single"/>
        </w:rPr>
        <w:t>（采购</w:t>
      </w:r>
      <w:r>
        <w:rPr>
          <w:rFonts w:hint="eastAsia" w:ascii="仿宋" w:hAnsi="仿宋" w:eastAsia="仿宋" w:cs="仿宋"/>
          <w:color w:val="auto"/>
          <w:kern w:val="0"/>
          <w:sz w:val="21"/>
          <w:szCs w:val="21"/>
          <w:highlight w:val="none"/>
          <w:u w:val="single"/>
          <w:lang w:eastAsia="zh-CN"/>
        </w:rPr>
        <w:t>人民</w:t>
      </w:r>
      <w:r>
        <w:rPr>
          <w:rFonts w:hint="eastAsia" w:ascii="仿宋" w:hAnsi="仿宋" w:eastAsia="仿宋" w:cs="仿宋"/>
          <w:color w:val="auto"/>
          <w:kern w:val="0"/>
          <w:sz w:val="21"/>
          <w:szCs w:val="21"/>
          <w:highlight w:val="none"/>
          <w:u w:val="single"/>
        </w:rPr>
        <w:t>称）</w:t>
      </w:r>
      <w:r>
        <w:rPr>
          <w:rFonts w:hint="eastAsia" w:ascii="仿宋" w:hAnsi="仿宋" w:eastAsia="仿宋" w:cs="仿宋"/>
          <w:color w:val="auto"/>
          <w:kern w:val="0"/>
          <w:sz w:val="21"/>
          <w:szCs w:val="21"/>
          <w:highlight w:val="none"/>
        </w:rPr>
        <w:t>的</w:t>
      </w:r>
      <w:r>
        <w:rPr>
          <w:rFonts w:hint="eastAsia" w:ascii="仿宋" w:hAnsi="仿宋" w:eastAsia="仿宋" w:cs="仿宋"/>
          <w:color w:val="auto"/>
          <w:kern w:val="0"/>
          <w:sz w:val="21"/>
          <w:szCs w:val="21"/>
          <w:highlight w:val="none"/>
          <w:u w:val="single"/>
        </w:rPr>
        <w:t>（招标项目名称）</w:t>
      </w:r>
      <w:r>
        <w:rPr>
          <w:rFonts w:hint="eastAsia" w:ascii="仿宋" w:hAnsi="仿宋" w:eastAsia="仿宋" w:cs="仿宋"/>
          <w:color w:val="auto"/>
          <w:kern w:val="0"/>
          <w:sz w:val="21"/>
          <w:szCs w:val="21"/>
          <w:highlight w:val="none"/>
        </w:rPr>
        <w:t>项目采购活动提供以下</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企业制造的货物（或</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企业承担的工程、或</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企业承接的服务），具体情况如下：（按照实际情况勾选或填空）</w:t>
      </w:r>
    </w:p>
    <w:p w14:paraId="142BE71D">
      <w:pPr>
        <w:widowControl/>
        <w:shd w:val="clear" w:color="auto" w:fill="auto"/>
        <w:adjustRightInd w:val="0"/>
        <w:snapToGrid w:val="0"/>
        <w:spacing w:line="360" w:lineRule="auto"/>
        <w:ind w:firstLine="315" w:firstLineChars="15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w:t>
      </w:r>
      <w:r>
        <w:rPr>
          <w:rFonts w:hint="eastAsia" w:ascii="仿宋" w:hAnsi="仿宋" w:eastAsia="仿宋" w:cs="仿宋"/>
          <w:color w:val="auto"/>
          <w:kern w:val="0"/>
          <w:sz w:val="21"/>
          <w:szCs w:val="21"/>
          <w:highlight w:val="none"/>
          <w:u w:val="single"/>
        </w:rPr>
        <w:t>（制造商名称）</w:t>
      </w:r>
      <w:r>
        <w:rPr>
          <w:rFonts w:hint="eastAsia" w:ascii="仿宋" w:hAnsi="仿宋" w:eastAsia="仿宋" w:cs="仿宋"/>
          <w:color w:val="auto"/>
          <w:kern w:val="0"/>
          <w:sz w:val="21"/>
          <w:szCs w:val="21"/>
          <w:highlight w:val="none"/>
        </w:rPr>
        <w:t>属于</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企业，后附省级以上</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管理局、</w:t>
      </w:r>
      <w:r>
        <w:rPr>
          <w:rFonts w:hint="eastAsia" w:ascii="仿宋" w:hAnsi="仿宋" w:eastAsia="仿宋" w:cs="仿宋"/>
          <w:color w:val="auto"/>
          <w:kern w:val="0"/>
          <w:sz w:val="21"/>
          <w:szCs w:val="21"/>
          <w:highlight w:val="none"/>
          <w:lang w:val="en-US" w:eastAsia="zh-CN"/>
        </w:rPr>
        <w:t>JD</w:t>
      </w:r>
      <w:r>
        <w:rPr>
          <w:rFonts w:hint="eastAsia" w:ascii="仿宋" w:hAnsi="仿宋" w:eastAsia="仿宋" w:cs="仿宋"/>
          <w:color w:val="auto"/>
          <w:kern w:val="0"/>
          <w:sz w:val="21"/>
          <w:szCs w:val="21"/>
          <w:highlight w:val="none"/>
        </w:rPr>
        <w:t>管理局（含新疆生产建设兵团）出具的属于</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企业的证明文件。</w:t>
      </w:r>
    </w:p>
    <w:p w14:paraId="7EB0BC74">
      <w:pPr>
        <w:widowControl/>
        <w:shd w:val="clear" w:color="auto" w:fill="auto"/>
        <w:adjustRightInd w:val="0"/>
        <w:snapToGrid w:val="0"/>
        <w:spacing w:line="360" w:lineRule="auto"/>
        <w:ind w:firstLine="42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w:t>
      </w:r>
      <w:r>
        <w:rPr>
          <w:rFonts w:hint="eastAsia" w:ascii="仿宋" w:hAnsi="仿宋" w:eastAsia="仿宋" w:cs="仿宋"/>
          <w:color w:val="auto"/>
          <w:kern w:val="0"/>
          <w:sz w:val="21"/>
          <w:szCs w:val="21"/>
          <w:highlight w:val="none"/>
          <w:u w:val="single"/>
        </w:rPr>
        <w:t>（制造商名称）</w:t>
      </w:r>
      <w:r>
        <w:rPr>
          <w:rFonts w:hint="eastAsia" w:ascii="仿宋" w:hAnsi="仿宋" w:eastAsia="仿宋" w:cs="仿宋"/>
          <w:color w:val="auto"/>
          <w:kern w:val="0"/>
          <w:sz w:val="21"/>
          <w:szCs w:val="21"/>
          <w:highlight w:val="none"/>
        </w:rPr>
        <w:t>属于</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企业并作为联合体一方，其提供协议合同金额占到共同投标协议合同总金额的比例为</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。后附省级以上</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管理局、</w:t>
      </w:r>
      <w:r>
        <w:rPr>
          <w:rFonts w:hint="eastAsia" w:ascii="仿宋" w:hAnsi="仿宋" w:eastAsia="仿宋" w:cs="仿宋"/>
          <w:color w:val="auto"/>
          <w:kern w:val="0"/>
          <w:sz w:val="21"/>
          <w:szCs w:val="21"/>
          <w:highlight w:val="none"/>
          <w:lang w:val="en-US" w:eastAsia="zh-CN"/>
        </w:rPr>
        <w:t>JD</w:t>
      </w:r>
      <w:r>
        <w:rPr>
          <w:rFonts w:hint="eastAsia" w:ascii="仿宋" w:hAnsi="仿宋" w:eastAsia="仿宋" w:cs="仿宋"/>
          <w:color w:val="auto"/>
          <w:kern w:val="0"/>
          <w:sz w:val="21"/>
          <w:szCs w:val="21"/>
          <w:highlight w:val="none"/>
        </w:rPr>
        <w:t>管理局（含新疆生产建设兵团）出具的属于</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企业的证明文件。</w:t>
      </w:r>
    </w:p>
    <w:p w14:paraId="231BFC27">
      <w:pPr>
        <w:widowControl/>
        <w:shd w:val="clear" w:color="auto" w:fill="auto"/>
        <w:adjustRightInd w:val="0"/>
        <w:snapToGrid w:val="0"/>
        <w:spacing w:line="360" w:lineRule="auto"/>
        <w:ind w:firstLine="42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w:t>
      </w:r>
      <w:r>
        <w:rPr>
          <w:rFonts w:hint="eastAsia" w:ascii="仿宋" w:hAnsi="仿宋" w:eastAsia="仿宋" w:cs="仿宋"/>
          <w:color w:val="auto"/>
          <w:kern w:val="0"/>
          <w:sz w:val="21"/>
          <w:szCs w:val="21"/>
          <w:highlight w:val="none"/>
          <w:u w:val="single"/>
        </w:rPr>
        <w:t>（制造商名称）</w:t>
      </w:r>
      <w:r>
        <w:rPr>
          <w:rFonts w:hint="eastAsia" w:ascii="仿宋" w:hAnsi="仿宋" w:eastAsia="仿宋" w:cs="仿宋"/>
          <w:color w:val="auto"/>
          <w:kern w:val="0"/>
          <w:sz w:val="21"/>
          <w:szCs w:val="21"/>
          <w:highlight w:val="none"/>
        </w:rPr>
        <w:t>属于</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企业并作为分包方，其提供协议合同金额占到分包意向协议合同总金额的比例为</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。后附省级以上</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管理局、</w:t>
      </w:r>
      <w:r>
        <w:rPr>
          <w:rFonts w:hint="eastAsia" w:ascii="仿宋" w:hAnsi="仿宋" w:eastAsia="仿宋" w:cs="仿宋"/>
          <w:color w:val="auto"/>
          <w:kern w:val="0"/>
          <w:sz w:val="21"/>
          <w:szCs w:val="21"/>
          <w:highlight w:val="none"/>
          <w:lang w:val="en-US" w:eastAsia="zh-CN"/>
        </w:rPr>
        <w:t>JD</w:t>
      </w:r>
      <w:r>
        <w:rPr>
          <w:rFonts w:hint="eastAsia" w:ascii="仿宋" w:hAnsi="仿宋" w:eastAsia="仿宋" w:cs="仿宋"/>
          <w:color w:val="auto"/>
          <w:kern w:val="0"/>
          <w:sz w:val="21"/>
          <w:szCs w:val="21"/>
          <w:highlight w:val="none"/>
        </w:rPr>
        <w:t>管理局（含新疆生产建设兵团）出具的属于</w:t>
      </w:r>
      <w:r>
        <w:rPr>
          <w:rFonts w:hint="eastAsia" w:ascii="仿宋" w:hAnsi="仿宋" w:eastAsia="仿宋" w:cs="仿宋"/>
          <w:sz w:val="21"/>
          <w:szCs w:val="21"/>
          <w:lang w:val="en-US" w:eastAsia="zh-CN"/>
        </w:rPr>
        <w:t>JY</w:t>
      </w:r>
      <w:r>
        <w:rPr>
          <w:rFonts w:hint="eastAsia" w:ascii="仿宋" w:hAnsi="仿宋" w:eastAsia="仿宋" w:cs="仿宋"/>
          <w:color w:val="auto"/>
          <w:kern w:val="0"/>
          <w:sz w:val="21"/>
          <w:szCs w:val="21"/>
          <w:highlight w:val="none"/>
        </w:rPr>
        <w:t>企业的证明文件。</w:t>
      </w:r>
    </w:p>
    <w:p w14:paraId="0F7FEE7A">
      <w:pPr>
        <w:widowControl/>
        <w:shd w:val="clear" w:color="auto" w:fill="auto"/>
        <w:adjustRightInd w:val="0"/>
        <w:snapToGrid w:val="0"/>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本单位对上述声明的真实性负责。如有虚假，将依法承担相应责任。</w:t>
      </w:r>
    </w:p>
    <w:p w14:paraId="0FC6809C">
      <w:pPr>
        <w:widowControl/>
        <w:shd w:val="clear" w:color="auto" w:fill="auto"/>
        <w:adjustRightInd w:val="0"/>
        <w:snapToGrid w:val="0"/>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w:t>
      </w:r>
    </w:p>
    <w:p w14:paraId="45138038">
      <w:pPr>
        <w:widowControl/>
        <w:shd w:val="clear" w:color="auto" w:fill="auto"/>
        <w:adjustRightInd w:val="0"/>
        <w:snapToGrid w:val="0"/>
        <w:spacing w:line="360" w:lineRule="auto"/>
        <w:jc w:val="left"/>
        <w:rPr>
          <w:rFonts w:hint="eastAsia" w:ascii="仿宋" w:hAnsi="仿宋" w:eastAsia="仿宋" w:cs="仿宋"/>
          <w:color w:val="auto"/>
          <w:kern w:val="0"/>
          <w:sz w:val="21"/>
          <w:szCs w:val="21"/>
          <w:highlight w:val="none"/>
        </w:rPr>
      </w:pPr>
    </w:p>
    <w:p w14:paraId="0DC69338">
      <w:pPr>
        <w:widowControl/>
        <w:shd w:val="clear" w:color="auto" w:fill="auto"/>
        <w:adjustRightInd w:val="0"/>
        <w:snapToGrid w:val="0"/>
        <w:spacing w:line="360" w:lineRule="auto"/>
        <w:jc w:val="left"/>
        <w:rPr>
          <w:rFonts w:hint="eastAsia" w:ascii="仿宋" w:hAnsi="仿宋" w:eastAsia="仿宋" w:cs="仿宋"/>
          <w:color w:val="auto"/>
          <w:kern w:val="0"/>
          <w:sz w:val="21"/>
          <w:szCs w:val="21"/>
          <w:highlight w:val="none"/>
        </w:rPr>
      </w:pPr>
    </w:p>
    <w:p w14:paraId="014149B9">
      <w:pPr>
        <w:shd w:val="clear" w:color="auto" w:fill="auto"/>
        <w:adjustRightInd w:val="0"/>
        <w:snapToGrid w:val="0"/>
        <w:spacing w:line="360" w:lineRule="auto"/>
        <w:ind w:hanging="540"/>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　</w:t>
      </w:r>
    </w:p>
    <w:p w14:paraId="31F83227">
      <w:pPr>
        <w:shd w:val="clear" w:color="auto" w:fill="auto"/>
        <w:adjustRightInd w:val="0"/>
        <w:snapToGrid w:val="0"/>
        <w:spacing w:line="360" w:lineRule="auto"/>
        <w:ind w:firstLine="4620" w:firstLineChars="2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单位名称（盖章）：</w:t>
      </w:r>
    </w:p>
    <w:p w14:paraId="4D09CECE">
      <w:pPr>
        <w:widowControl/>
        <w:shd w:val="clear" w:color="auto" w:fill="auto"/>
        <w:adjustRightInd w:val="0"/>
        <w:snapToGrid w:val="0"/>
        <w:spacing w:line="360" w:lineRule="auto"/>
        <w:ind w:firstLine="4620" w:firstLineChars="220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日  期：</w:t>
      </w:r>
    </w:p>
    <w:p w14:paraId="2B687F5A">
      <w:pPr>
        <w:ind w:firstLine="422" w:firstLineChars="200"/>
        <w:jc w:val="center"/>
        <w:rPr>
          <w:rFonts w:hint="eastAsia" w:ascii="仿宋" w:hAnsi="仿宋" w:eastAsia="仿宋" w:cs="仿宋"/>
          <w:b/>
          <w:color w:val="auto"/>
          <w:sz w:val="21"/>
          <w:szCs w:val="21"/>
          <w:lang w:val="en-US" w:eastAsia="zh-CN"/>
        </w:rPr>
      </w:pPr>
    </w:p>
    <w:p w14:paraId="7A55971A">
      <w:pPr>
        <w:ind w:firstLine="422" w:firstLineChars="200"/>
        <w:jc w:val="center"/>
        <w:rPr>
          <w:rFonts w:hint="eastAsia" w:ascii="仿宋" w:hAnsi="仿宋" w:eastAsia="仿宋" w:cs="仿宋"/>
          <w:b/>
          <w:color w:val="auto"/>
          <w:sz w:val="21"/>
          <w:szCs w:val="21"/>
          <w:lang w:val="en-US" w:eastAsia="zh-CN"/>
        </w:rPr>
      </w:pPr>
    </w:p>
    <w:p w14:paraId="75AD7D41">
      <w:pPr>
        <w:ind w:firstLine="422" w:firstLineChars="200"/>
        <w:jc w:val="center"/>
        <w:rPr>
          <w:rFonts w:hint="eastAsia" w:ascii="仿宋" w:hAnsi="仿宋" w:eastAsia="仿宋" w:cs="仿宋"/>
          <w:b/>
          <w:color w:val="auto"/>
          <w:sz w:val="21"/>
          <w:szCs w:val="21"/>
          <w:lang w:val="en-US" w:eastAsia="zh-CN"/>
        </w:rPr>
      </w:pPr>
    </w:p>
    <w:p w14:paraId="004BB5F8">
      <w:pPr>
        <w:ind w:firstLine="422" w:firstLineChars="200"/>
        <w:jc w:val="center"/>
        <w:rPr>
          <w:rFonts w:hint="eastAsia" w:ascii="仿宋" w:hAnsi="仿宋" w:eastAsia="仿宋" w:cs="仿宋"/>
          <w:b/>
          <w:color w:val="auto"/>
          <w:sz w:val="21"/>
          <w:szCs w:val="21"/>
          <w:lang w:val="en-US" w:eastAsia="zh-CN"/>
        </w:rPr>
      </w:pPr>
    </w:p>
    <w:p w14:paraId="65170666">
      <w:pPr>
        <w:ind w:firstLine="422" w:firstLineChars="200"/>
        <w:jc w:val="center"/>
        <w:rPr>
          <w:rFonts w:hint="eastAsia" w:ascii="仿宋" w:hAnsi="仿宋" w:eastAsia="仿宋" w:cs="仿宋"/>
          <w:b/>
          <w:color w:val="auto"/>
          <w:sz w:val="21"/>
          <w:szCs w:val="21"/>
          <w:lang w:val="en-US" w:eastAsia="zh-CN"/>
        </w:rPr>
      </w:pPr>
    </w:p>
    <w:p w14:paraId="5C1EA08F">
      <w:pPr>
        <w:ind w:firstLine="422" w:firstLineChars="200"/>
        <w:jc w:val="center"/>
        <w:rPr>
          <w:rFonts w:hint="eastAsia" w:ascii="仿宋" w:hAnsi="仿宋" w:eastAsia="仿宋" w:cs="仿宋"/>
          <w:b/>
          <w:color w:val="auto"/>
          <w:sz w:val="21"/>
          <w:szCs w:val="21"/>
          <w:lang w:val="en-US" w:eastAsia="zh-CN"/>
        </w:rPr>
      </w:pPr>
    </w:p>
    <w:p w14:paraId="449F1762">
      <w:pPr>
        <w:ind w:firstLine="422" w:firstLineChars="200"/>
        <w:jc w:val="center"/>
        <w:rPr>
          <w:rFonts w:hint="eastAsia" w:ascii="仿宋" w:hAnsi="仿宋" w:eastAsia="仿宋" w:cs="仿宋"/>
          <w:b/>
          <w:color w:val="auto"/>
          <w:sz w:val="21"/>
          <w:szCs w:val="21"/>
          <w:lang w:val="en-US" w:eastAsia="zh-CN"/>
        </w:rPr>
      </w:pPr>
    </w:p>
    <w:p w14:paraId="75F2732D">
      <w:pPr>
        <w:ind w:firstLine="422" w:firstLineChars="200"/>
        <w:jc w:val="center"/>
        <w:rPr>
          <w:rFonts w:hint="eastAsia" w:ascii="仿宋" w:hAnsi="仿宋" w:eastAsia="仿宋" w:cs="仿宋"/>
          <w:b/>
          <w:color w:val="auto"/>
          <w:sz w:val="21"/>
          <w:szCs w:val="21"/>
          <w:lang w:val="en-US" w:eastAsia="zh-CN"/>
        </w:rPr>
      </w:pPr>
    </w:p>
    <w:p w14:paraId="6727F712">
      <w:pPr>
        <w:ind w:firstLine="422" w:firstLineChars="200"/>
        <w:jc w:val="center"/>
        <w:rPr>
          <w:rFonts w:hint="eastAsia" w:ascii="仿宋" w:hAnsi="仿宋" w:eastAsia="仿宋" w:cs="仿宋"/>
          <w:b/>
          <w:color w:val="auto"/>
          <w:sz w:val="21"/>
          <w:szCs w:val="21"/>
          <w:lang w:val="en-US" w:eastAsia="zh-CN"/>
        </w:rPr>
      </w:pPr>
    </w:p>
    <w:p w14:paraId="0B94D122">
      <w:pPr>
        <w:ind w:firstLine="422" w:firstLineChars="200"/>
        <w:jc w:val="center"/>
        <w:rPr>
          <w:rFonts w:hint="eastAsia" w:ascii="仿宋" w:hAnsi="仿宋" w:eastAsia="仿宋" w:cs="仿宋"/>
          <w:b/>
          <w:color w:val="auto"/>
          <w:sz w:val="21"/>
          <w:szCs w:val="21"/>
          <w:lang w:val="en-US" w:eastAsia="zh-CN"/>
        </w:rPr>
      </w:pPr>
    </w:p>
    <w:p w14:paraId="0875D03E">
      <w:pPr>
        <w:snapToGrid w:val="0"/>
        <w:spacing w:line="360" w:lineRule="auto"/>
        <w:jc w:val="both"/>
        <w:rPr>
          <w:rStyle w:val="50"/>
          <w:rFonts w:hint="eastAsia" w:ascii="宋体" w:hAnsi="宋体" w:eastAsia="宋体" w:cs="宋体"/>
          <w:bCs w:val="0"/>
          <w:color w:val="auto"/>
          <w:kern w:val="2"/>
          <w:sz w:val="24"/>
          <w:szCs w:val="24"/>
          <w:lang w:val="en-US" w:eastAsia="zh-CN" w:bidi="ar-SA"/>
        </w:rPr>
      </w:pPr>
    </w:p>
    <w:p w14:paraId="76658AC2">
      <w:pPr>
        <w:snapToGrid w:val="0"/>
        <w:spacing w:line="360" w:lineRule="auto"/>
        <w:jc w:val="center"/>
        <w:rPr>
          <w:rStyle w:val="50"/>
          <w:rFonts w:hint="eastAsia" w:ascii="宋体" w:hAnsi="宋体" w:eastAsia="宋体" w:cs="宋体"/>
          <w:bCs w:val="0"/>
          <w:color w:val="auto"/>
          <w:kern w:val="2"/>
          <w:sz w:val="24"/>
          <w:szCs w:val="24"/>
          <w:lang w:val="en-US" w:eastAsia="zh-CN" w:bidi="ar-SA"/>
        </w:rPr>
      </w:pPr>
    </w:p>
    <w:p w14:paraId="18DC662E">
      <w:pPr>
        <w:snapToGrid w:val="0"/>
        <w:spacing w:line="360" w:lineRule="auto"/>
        <w:jc w:val="center"/>
        <w:rPr>
          <w:rStyle w:val="50"/>
          <w:rFonts w:hint="eastAsia" w:ascii="宋体" w:hAnsi="宋体" w:eastAsia="宋体" w:cs="宋体"/>
          <w:bCs w:val="0"/>
          <w:color w:val="auto"/>
          <w:kern w:val="2"/>
          <w:sz w:val="24"/>
          <w:szCs w:val="24"/>
          <w:lang w:val="en-US" w:eastAsia="zh-CN" w:bidi="ar-SA"/>
        </w:rPr>
      </w:pPr>
    </w:p>
    <w:p w14:paraId="47C93D35">
      <w:pPr>
        <w:snapToGrid w:val="0"/>
        <w:spacing w:line="360" w:lineRule="auto"/>
        <w:jc w:val="center"/>
        <w:rPr>
          <w:rStyle w:val="50"/>
          <w:rFonts w:hint="eastAsia" w:ascii="宋体" w:hAnsi="宋体" w:eastAsia="宋体" w:cs="宋体"/>
          <w:bCs w:val="0"/>
          <w:color w:val="auto"/>
          <w:kern w:val="2"/>
          <w:sz w:val="24"/>
          <w:szCs w:val="24"/>
          <w:lang w:val="en-US" w:eastAsia="zh-CN" w:bidi="ar-SA"/>
        </w:rPr>
      </w:pPr>
    </w:p>
    <w:p w14:paraId="47E8BE4D">
      <w:pPr>
        <w:snapToGrid w:val="0"/>
        <w:spacing w:line="360" w:lineRule="auto"/>
        <w:jc w:val="center"/>
        <w:rPr>
          <w:rStyle w:val="50"/>
          <w:rFonts w:hint="eastAsia" w:ascii="宋体" w:hAnsi="宋体" w:eastAsia="宋体" w:cs="宋体"/>
          <w:bCs w:val="0"/>
          <w:color w:val="auto"/>
          <w:kern w:val="2"/>
          <w:sz w:val="24"/>
          <w:szCs w:val="24"/>
          <w:lang w:val="en-US" w:eastAsia="zh-CN" w:bidi="ar-SA"/>
        </w:rPr>
      </w:pPr>
    </w:p>
    <w:p w14:paraId="5B88914E">
      <w:pPr>
        <w:snapToGrid w:val="0"/>
        <w:spacing w:line="360" w:lineRule="auto"/>
        <w:jc w:val="center"/>
        <w:rPr>
          <w:rStyle w:val="50"/>
          <w:rFonts w:hint="eastAsia" w:ascii="宋体" w:hAnsi="宋体" w:eastAsia="宋体" w:cs="宋体"/>
          <w:bCs w:val="0"/>
          <w:color w:val="auto"/>
          <w:kern w:val="2"/>
          <w:sz w:val="24"/>
          <w:szCs w:val="24"/>
          <w:lang w:val="en-US" w:eastAsia="zh-CN" w:bidi="ar-SA"/>
        </w:rPr>
      </w:pPr>
    </w:p>
    <w:p w14:paraId="739DC2F1">
      <w:pPr>
        <w:snapToGrid w:val="0"/>
        <w:spacing w:line="360" w:lineRule="auto"/>
        <w:jc w:val="center"/>
        <w:rPr>
          <w:rStyle w:val="50"/>
          <w:rFonts w:hint="eastAsia" w:ascii="宋体" w:hAnsi="宋体" w:eastAsia="宋体" w:cs="宋体"/>
          <w:bCs w:val="0"/>
          <w:color w:val="auto"/>
          <w:kern w:val="2"/>
          <w:sz w:val="24"/>
          <w:szCs w:val="24"/>
          <w:lang w:val="en-US" w:eastAsia="zh-CN" w:bidi="ar-SA"/>
        </w:rPr>
      </w:pPr>
      <w:r>
        <w:rPr>
          <w:rStyle w:val="50"/>
          <w:rFonts w:hint="eastAsia" w:ascii="宋体" w:hAnsi="宋体" w:eastAsia="宋体" w:cs="宋体"/>
          <w:bCs w:val="0"/>
          <w:color w:val="auto"/>
          <w:kern w:val="2"/>
          <w:sz w:val="24"/>
          <w:szCs w:val="24"/>
          <w:lang w:val="en-US" w:eastAsia="zh-CN" w:bidi="ar-SA"/>
        </w:rPr>
        <w:t>残疾人福利性单位声明函</w:t>
      </w:r>
    </w:p>
    <w:p w14:paraId="4406E5E5">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8C371DF">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本单位对上述声明的真实性负责。如有虚假，将依法承担相应责任。</w:t>
      </w:r>
    </w:p>
    <w:p w14:paraId="21C52307">
      <w:pPr>
        <w:spacing w:line="480" w:lineRule="auto"/>
        <w:ind w:firstLine="420" w:firstLineChars="200"/>
        <w:outlineLvl w:val="1"/>
        <w:rPr>
          <w:rFonts w:hint="eastAsia" w:ascii="仿宋" w:hAnsi="仿宋" w:eastAsia="仿宋" w:cs="仿宋"/>
          <w:sz w:val="21"/>
          <w:szCs w:val="21"/>
          <w:lang w:val="en-US" w:eastAsia="zh-CN"/>
        </w:rPr>
      </w:pPr>
    </w:p>
    <w:p w14:paraId="62B4F5D4">
      <w:pPr>
        <w:spacing w:line="480" w:lineRule="auto"/>
        <w:ind w:firstLine="420" w:firstLineChars="200"/>
        <w:outlineLvl w:val="1"/>
        <w:rPr>
          <w:rFonts w:hint="eastAsia" w:ascii="仿宋" w:hAnsi="仿宋" w:eastAsia="仿宋" w:cs="仿宋"/>
          <w:sz w:val="21"/>
          <w:szCs w:val="21"/>
          <w:lang w:val="en-US" w:eastAsia="zh-CN"/>
        </w:rPr>
      </w:pPr>
    </w:p>
    <w:p w14:paraId="333749A8">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单位名称（盖章）：</w:t>
      </w:r>
    </w:p>
    <w:p w14:paraId="13423C76">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日  期：</w:t>
      </w:r>
    </w:p>
    <w:p w14:paraId="1683FB2B">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扶持政策说明：</w:t>
      </w:r>
    </w:p>
    <w:p w14:paraId="7ED9CE7D">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根据财政部、工业和信息化部制定的《政府采购促进中小企业发展暂行办法》和转发财政部工业和信息化部关于印发《政府采购促进中小企业发展暂行办法》的通知，对小型或微型企业的投标报价给予10%的扣除，并用扣除后的价格计算价格评分。</w:t>
      </w:r>
    </w:p>
    <w:p w14:paraId="3CC2C952">
      <w:pPr>
        <w:spacing w:line="480" w:lineRule="auto"/>
        <w:ind w:firstLine="420" w:firstLineChars="200"/>
        <w:outlineLvl w:val="1"/>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2、JY企业视同小微企业，参加本项目投标的，享受小微企业同等的价格扣除。【注：提供《</w:t>
      </w:r>
      <w:r>
        <w:rPr>
          <w:rFonts w:hint="eastAsia" w:ascii="仿宋" w:hAnsi="仿宋" w:eastAsia="仿宋" w:cs="仿宋"/>
          <w:sz w:val="21"/>
          <w:szCs w:val="21"/>
          <w:lang w:val="en-US" w:eastAsia="zh-CN"/>
        </w:rPr>
        <w:tab/>
      </w:r>
      <w:r>
        <w:rPr>
          <w:rFonts w:hint="eastAsia" w:ascii="仿宋" w:hAnsi="仿宋" w:eastAsia="仿宋" w:cs="仿宋"/>
          <w:sz w:val="21"/>
          <w:szCs w:val="21"/>
          <w:lang w:val="en-US" w:eastAsia="zh-CN"/>
        </w:rPr>
        <w:t>JY企业声明函》及其相关的充分的证明材料】。</w:t>
      </w:r>
    </w:p>
    <w:p w14:paraId="3A3E4E7B">
      <w:pPr>
        <w:spacing w:line="480" w:lineRule="auto"/>
        <w:ind w:firstLine="420" w:firstLineChars="200"/>
        <w:outlineLvl w:val="1"/>
        <w:rPr>
          <w:rFonts w:hint="eastAsia" w:ascii="仿宋" w:hAnsi="仿宋" w:eastAsia="仿宋" w:cs="仿宋"/>
          <w:b/>
          <w:color w:val="auto"/>
          <w:sz w:val="21"/>
          <w:szCs w:val="21"/>
          <w:lang w:val="en-US" w:eastAsia="zh-CN"/>
        </w:rPr>
      </w:pPr>
      <w:r>
        <w:rPr>
          <w:rFonts w:hint="eastAsia" w:ascii="仿宋" w:hAnsi="仿宋" w:eastAsia="仿宋" w:cs="仿宋"/>
          <w:sz w:val="21"/>
          <w:szCs w:val="21"/>
          <w:lang w:val="en-US" w:eastAsia="zh-CN"/>
        </w:rPr>
        <w:t>3、残疾人福利性单位参加投标【提供《残疾人福利性单位声明函》】，视为小型、微型企业，享受小微企业政策扶持。</w:t>
      </w:r>
    </w:p>
    <w:p w14:paraId="283A9564">
      <w:pPr>
        <w:ind w:firstLine="422" w:firstLineChars="200"/>
        <w:jc w:val="center"/>
        <w:rPr>
          <w:rFonts w:hint="eastAsia" w:ascii="仿宋" w:hAnsi="仿宋" w:eastAsia="仿宋" w:cs="仿宋"/>
          <w:b/>
          <w:color w:val="auto"/>
          <w:sz w:val="21"/>
          <w:szCs w:val="21"/>
          <w:lang w:val="en-US" w:eastAsia="zh-CN"/>
        </w:rPr>
      </w:pPr>
    </w:p>
    <w:p w14:paraId="6E9109D6">
      <w:pPr>
        <w:ind w:firstLine="422" w:firstLineChars="200"/>
        <w:jc w:val="center"/>
        <w:rPr>
          <w:rFonts w:hint="eastAsia" w:ascii="仿宋" w:hAnsi="仿宋" w:eastAsia="仿宋" w:cs="仿宋"/>
          <w:b/>
          <w:color w:val="auto"/>
          <w:sz w:val="21"/>
          <w:szCs w:val="21"/>
          <w:lang w:val="en-US" w:eastAsia="zh-CN"/>
        </w:rPr>
      </w:pPr>
    </w:p>
    <w:p w14:paraId="010059E2">
      <w:pPr>
        <w:ind w:firstLine="422" w:firstLineChars="200"/>
        <w:jc w:val="center"/>
        <w:rPr>
          <w:rFonts w:hint="eastAsia" w:ascii="仿宋" w:hAnsi="仿宋" w:eastAsia="仿宋" w:cs="仿宋"/>
          <w:b/>
          <w:color w:val="auto"/>
          <w:sz w:val="21"/>
          <w:szCs w:val="21"/>
          <w:lang w:val="en-US" w:eastAsia="zh-CN"/>
        </w:rPr>
      </w:pPr>
    </w:p>
    <w:p w14:paraId="06B054E3">
      <w:pPr>
        <w:ind w:firstLine="422" w:firstLineChars="200"/>
        <w:jc w:val="center"/>
        <w:rPr>
          <w:rFonts w:hint="eastAsia" w:ascii="仿宋" w:hAnsi="仿宋" w:eastAsia="仿宋" w:cs="仿宋"/>
          <w:b/>
          <w:color w:val="auto"/>
          <w:sz w:val="21"/>
          <w:szCs w:val="21"/>
          <w:lang w:val="en-US" w:eastAsia="zh-CN"/>
        </w:rPr>
      </w:pPr>
    </w:p>
    <w:p w14:paraId="58995814">
      <w:pPr>
        <w:ind w:firstLine="422" w:firstLineChars="200"/>
        <w:jc w:val="center"/>
        <w:rPr>
          <w:rFonts w:hint="eastAsia" w:ascii="仿宋" w:hAnsi="仿宋" w:eastAsia="仿宋" w:cs="仿宋"/>
          <w:b/>
          <w:color w:val="auto"/>
          <w:sz w:val="21"/>
          <w:szCs w:val="21"/>
          <w:lang w:val="en-US" w:eastAsia="zh-CN"/>
        </w:rPr>
      </w:pPr>
    </w:p>
    <w:p w14:paraId="0D25243E">
      <w:pPr>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br w:type="page"/>
      </w:r>
    </w:p>
    <w:p w14:paraId="17FF7011">
      <w:pPr>
        <w:ind w:firstLine="422" w:firstLineChars="200"/>
        <w:jc w:val="center"/>
        <w:rPr>
          <w:rFonts w:hint="eastAsia" w:ascii="仿宋" w:hAnsi="仿宋" w:eastAsia="仿宋" w:cs="仿宋"/>
          <w:b/>
          <w:sz w:val="21"/>
          <w:szCs w:val="21"/>
        </w:rPr>
      </w:pPr>
      <w:r>
        <w:rPr>
          <w:rFonts w:hint="eastAsia" w:ascii="仿宋" w:hAnsi="仿宋" w:eastAsia="仿宋" w:cs="仿宋"/>
          <w:b/>
          <w:color w:val="auto"/>
          <w:sz w:val="21"/>
          <w:szCs w:val="21"/>
          <w:lang w:val="en-US" w:eastAsia="zh-CN"/>
        </w:rPr>
        <w:t>17.近三年</w:t>
      </w:r>
      <w:r>
        <w:rPr>
          <w:rFonts w:hint="eastAsia" w:ascii="仿宋" w:hAnsi="仿宋" w:eastAsia="仿宋" w:cs="仿宋"/>
          <w:b/>
          <w:sz w:val="21"/>
          <w:szCs w:val="21"/>
        </w:rPr>
        <w:t>业绩证明文件</w:t>
      </w:r>
    </w:p>
    <w:p w14:paraId="05D001FE">
      <w:pPr>
        <w:pStyle w:val="12"/>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4"/>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14:paraId="7AD683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noWrap w:val="0"/>
            <w:vAlign w:val="center"/>
          </w:tcPr>
          <w:p w14:paraId="3FD518B3">
            <w:pPr>
              <w:snapToGrid w:val="0"/>
              <w:jc w:val="center"/>
              <w:rPr>
                <w:rFonts w:hint="eastAsia" w:ascii="仿宋" w:hAnsi="仿宋" w:eastAsia="仿宋" w:cs="仿宋"/>
                <w:sz w:val="21"/>
                <w:szCs w:val="21"/>
              </w:rPr>
            </w:pPr>
            <w:r>
              <w:rPr>
                <w:rFonts w:hint="eastAsia" w:ascii="仿宋" w:hAnsi="仿宋" w:eastAsia="仿宋" w:cs="仿宋"/>
                <w:sz w:val="21"/>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noWrap w:val="0"/>
            <w:vAlign w:val="center"/>
          </w:tcPr>
          <w:p w14:paraId="1D279A51">
            <w:pPr>
              <w:snapToGrid w:val="0"/>
              <w:jc w:val="center"/>
              <w:rPr>
                <w:rFonts w:hint="eastAsia" w:ascii="仿宋" w:hAnsi="仿宋" w:eastAsia="仿宋" w:cs="仿宋"/>
                <w:sz w:val="21"/>
                <w:szCs w:val="21"/>
              </w:rPr>
            </w:pPr>
            <w:r>
              <w:rPr>
                <w:rFonts w:hint="eastAsia" w:ascii="仿宋" w:hAnsi="仿宋" w:eastAsia="仿宋" w:cs="仿宋"/>
                <w:sz w:val="21"/>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noWrap w:val="0"/>
            <w:vAlign w:val="center"/>
          </w:tcPr>
          <w:p w14:paraId="745A3967">
            <w:pPr>
              <w:snapToGrid w:val="0"/>
              <w:jc w:val="both"/>
              <w:rPr>
                <w:rFonts w:hint="eastAsia" w:ascii="仿宋" w:hAnsi="仿宋" w:eastAsia="仿宋" w:cs="仿宋"/>
                <w:sz w:val="21"/>
                <w:szCs w:val="21"/>
              </w:rPr>
            </w:pPr>
            <w:r>
              <w:rPr>
                <w:rFonts w:hint="eastAsia" w:ascii="仿宋" w:hAnsi="仿宋" w:eastAsia="仿宋" w:cs="仿宋"/>
                <w:sz w:val="21"/>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noWrap w:val="0"/>
            <w:vAlign w:val="center"/>
          </w:tcPr>
          <w:p w14:paraId="72D402BF">
            <w:pPr>
              <w:snapToGrid w:val="0"/>
              <w:jc w:val="both"/>
              <w:rPr>
                <w:rFonts w:hint="eastAsia" w:ascii="仿宋" w:hAnsi="仿宋" w:eastAsia="仿宋" w:cs="仿宋"/>
                <w:sz w:val="21"/>
                <w:szCs w:val="21"/>
              </w:rPr>
            </w:pPr>
            <w:r>
              <w:rPr>
                <w:rFonts w:hint="eastAsia" w:ascii="仿宋" w:hAnsi="仿宋" w:eastAsia="仿宋" w:cs="仿宋"/>
                <w:sz w:val="21"/>
                <w:szCs w:val="21"/>
              </w:rPr>
              <w:t>采购单</w:t>
            </w:r>
            <w:r>
              <w:rPr>
                <w:rFonts w:hint="eastAsia" w:ascii="仿宋" w:hAnsi="仿宋" w:eastAsia="仿宋" w:cs="仿宋"/>
                <w:sz w:val="21"/>
                <w:szCs w:val="21"/>
                <w:lang w:val="en-US" w:eastAsia="zh-CN"/>
              </w:rPr>
              <w:t>位</w:t>
            </w:r>
            <w:r>
              <w:rPr>
                <w:rFonts w:hint="eastAsia" w:ascii="仿宋" w:hAnsi="仿宋" w:eastAsia="仿宋" w:cs="仿宋"/>
                <w:sz w:val="21"/>
                <w:szCs w:val="21"/>
              </w:rPr>
              <w:t>联</w:t>
            </w:r>
            <w:r>
              <w:rPr>
                <w:rFonts w:hint="eastAsia" w:ascii="仿宋" w:hAnsi="仿宋" w:eastAsia="仿宋" w:cs="仿宋"/>
                <w:sz w:val="21"/>
                <w:szCs w:val="21"/>
                <w:lang w:val="en-US" w:eastAsia="zh-CN"/>
              </w:rPr>
              <w:t>系</w:t>
            </w:r>
            <w:r>
              <w:rPr>
                <w:rFonts w:hint="eastAsia" w:ascii="仿宋" w:hAnsi="仿宋" w:eastAsia="仿宋" w:cs="仿宋"/>
                <w:sz w:val="21"/>
                <w:szCs w:val="21"/>
              </w:rPr>
              <w:t>人及联系电话</w:t>
            </w:r>
          </w:p>
        </w:tc>
      </w:tr>
      <w:tr w14:paraId="10C680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noWrap w:val="0"/>
            <w:vAlign w:val="center"/>
          </w:tcPr>
          <w:p w14:paraId="006FA501">
            <w:pPr>
              <w:widowControl/>
              <w:snapToGrid w:val="0"/>
              <w:jc w:val="center"/>
              <w:rPr>
                <w:rFonts w:hint="eastAsia" w:ascii="仿宋" w:hAnsi="仿宋" w:eastAsia="仿宋" w:cs="仿宋"/>
                <w:sz w:val="21"/>
                <w:szCs w:val="21"/>
              </w:rPr>
            </w:pPr>
          </w:p>
        </w:tc>
        <w:tc>
          <w:tcPr>
            <w:tcW w:w="1567" w:type="dxa"/>
            <w:vMerge w:val="continue"/>
            <w:tcBorders>
              <w:top w:val="single" w:color="auto" w:sz="4" w:space="0"/>
              <w:left w:val="single" w:color="auto" w:sz="4" w:space="0"/>
              <w:bottom w:val="single" w:color="auto" w:sz="4" w:space="0"/>
              <w:right w:val="single" w:color="auto" w:sz="4" w:space="0"/>
            </w:tcBorders>
            <w:noWrap w:val="0"/>
            <w:vAlign w:val="center"/>
          </w:tcPr>
          <w:p w14:paraId="6A5E6625">
            <w:pPr>
              <w:widowControl/>
              <w:snapToGrid w:val="0"/>
              <w:jc w:val="center"/>
              <w:rPr>
                <w:rFonts w:hint="eastAsia" w:ascii="仿宋" w:hAnsi="仿宋" w:eastAsia="仿宋" w:cs="仿宋"/>
                <w:sz w:val="21"/>
                <w:szCs w:val="21"/>
              </w:rPr>
            </w:pPr>
          </w:p>
        </w:tc>
        <w:tc>
          <w:tcPr>
            <w:tcW w:w="1905" w:type="dxa"/>
            <w:vMerge w:val="continue"/>
            <w:tcBorders>
              <w:top w:val="single" w:color="auto" w:sz="4" w:space="0"/>
              <w:left w:val="single" w:color="auto" w:sz="4" w:space="0"/>
              <w:bottom w:val="single" w:color="auto" w:sz="4" w:space="0"/>
              <w:right w:val="single" w:color="auto" w:sz="4" w:space="0"/>
            </w:tcBorders>
            <w:noWrap w:val="0"/>
            <w:vAlign w:val="center"/>
          </w:tcPr>
          <w:p w14:paraId="2907DD55">
            <w:pPr>
              <w:widowControl/>
              <w:snapToGrid w:val="0"/>
              <w:jc w:val="center"/>
              <w:rPr>
                <w:rFonts w:hint="eastAsia" w:ascii="仿宋" w:hAnsi="仿宋" w:eastAsia="仿宋" w:cs="仿宋"/>
                <w:sz w:val="21"/>
                <w:szCs w:val="21"/>
              </w:rPr>
            </w:pPr>
          </w:p>
        </w:tc>
        <w:tc>
          <w:tcPr>
            <w:tcW w:w="2800" w:type="dxa"/>
            <w:vMerge w:val="continue"/>
            <w:tcBorders>
              <w:top w:val="single" w:color="auto" w:sz="4" w:space="0"/>
              <w:left w:val="single" w:color="auto" w:sz="4" w:space="0"/>
              <w:bottom w:val="single" w:color="auto" w:sz="4" w:space="0"/>
              <w:right w:val="single" w:color="auto" w:sz="4" w:space="0"/>
            </w:tcBorders>
            <w:noWrap w:val="0"/>
            <w:vAlign w:val="center"/>
          </w:tcPr>
          <w:p w14:paraId="3EAC02A1">
            <w:pPr>
              <w:widowControl/>
              <w:snapToGrid w:val="0"/>
              <w:jc w:val="center"/>
              <w:rPr>
                <w:rFonts w:hint="eastAsia" w:ascii="仿宋" w:hAnsi="仿宋" w:eastAsia="仿宋" w:cs="仿宋"/>
                <w:sz w:val="21"/>
                <w:szCs w:val="21"/>
              </w:rPr>
            </w:pPr>
          </w:p>
        </w:tc>
      </w:tr>
      <w:tr w14:paraId="31B1EA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14:paraId="23C7FD86">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14:paraId="116D3DC8">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14:paraId="462BA6B8">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14:paraId="292B3B86">
            <w:pPr>
              <w:snapToGrid w:val="0"/>
              <w:jc w:val="center"/>
              <w:rPr>
                <w:rFonts w:hint="eastAsia" w:ascii="仿宋" w:hAnsi="仿宋" w:eastAsia="仿宋" w:cs="仿宋"/>
                <w:sz w:val="21"/>
                <w:szCs w:val="21"/>
              </w:rPr>
            </w:pPr>
          </w:p>
        </w:tc>
      </w:tr>
      <w:tr w14:paraId="173486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14:paraId="4B808F12">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14:paraId="7DA08679">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14:paraId="3D50608D">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14:paraId="24832FA0">
            <w:pPr>
              <w:snapToGrid w:val="0"/>
              <w:jc w:val="center"/>
              <w:rPr>
                <w:rFonts w:hint="eastAsia" w:ascii="仿宋" w:hAnsi="仿宋" w:eastAsia="仿宋" w:cs="仿宋"/>
                <w:sz w:val="21"/>
                <w:szCs w:val="21"/>
              </w:rPr>
            </w:pPr>
          </w:p>
        </w:tc>
      </w:tr>
      <w:tr w14:paraId="35AAC1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14:paraId="0AA735AD">
            <w:pPr>
              <w:snapToGrid w:val="0"/>
              <w:jc w:val="center"/>
              <w:rPr>
                <w:rFonts w:hint="eastAsia" w:ascii="仿宋" w:hAnsi="仿宋" w:eastAsia="仿宋" w:cs="仿宋"/>
                <w:sz w:val="21"/>
                <w:szCs w:val="21"/>
              </w:rPr>
            </w:pPr>
            <w:r>
              <w:rPr>
                <w:rFonts w:hint="eastAsia" w:ascii="仿宋" w:hAnsi="仿宋" w:eastAsia="仿宋" w:cs="仿宋"/>
                <w:sz w:val="21"/>
                <w:szCs w:val="21"/>
              </w:rPr>
              <w:t>…</w:t>
            </w:r>
          </w:p>
        </w:tc>
        <w:tc>
          <w:tcPr>
            <w:tcW w:w="1567" w:type="dxa"/>
            <w:tcBorders>
              <w:top w:val="single" w:color="auto" w:sz="4" w:space="0"/>
              <w:left w:val="single" w:color="auto" w:sz="4" w:space="0"/>
              <w:bottom w:val="single" w:color="auto" w:sz="4" w:space="0"/>
              <w:right w:val="single" w:color="auto" w:sz="4" w:space="0"/>
            </w:tcBorders>
            <w:noWrap w:val="0"/>
            <w:vAlign w:val="center"/>
          </w:tcPr>
          <w:p w14:paraId="1C9B65DE">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14:paraId="3CEB2C61">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14:paraId="5C503177">
            <w:pPr>
              <w:snapToGrid w:val="0"/>
              <w:jc w:val="center"/>
              <w:rPr>
                <w:rFonts w:hint="eastAsia" w:ascii="仿宋" w:hAnsi="仿宋" w:eastAsia="仿宋" w:cs="仿宋"/>
                <w:sz w:val="21"/>
                <w:szCs w:val="21"/>
              </w:rPr>
            </w:pPr>
          </w:p>
        </w:tc>
      </w:tr>
    </w:tbl>
    <w:p w14:paraId="29F7151B">
      <w:pPr>
        <w:spacing w:line="360" w:lineRule="auto"/>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后附:项目同类业绩证明材料（</w:t>
      </w:r>
      <w:r>
        <w:rPr>
          <w:rFonts w:hint="eastAsia" w:ascii="仿宋" w:hAnsi="仿宋" w:eastAsia="仿宋" w:cs="仿宋"/>
          <w:color w:val="000000"/>
          <w:sz w:val="22"/>
          <w:szCs w:val="22"/>
          <w:highlight w:val="none"/>
          <w:lang w:val="en-US" w:eastAsia="zh-CN"/>
        </w:rPr>
        <w:t>需提供中标通知书或发包通知书或施工合同，施工合同复印件至少提供合同首页、合同金额所在页、签名盖章页及相关服务内容证明页，加盖投标人公章。</w:t>
      </w:r>
      <w:r>
        <w:rPr>
          <w:rFonts w:hint="eastAsia" w:ascii="仿宋" w:hAnsi="仿宋" w:eastAsia="仿宋" w:cs="仿宋"/>
          <w:sz w:val="21"/>
          <w:szCs w:val="21"/>
          <w:lang w:val="en-US" w:eastAsia="zh-CN"/>
        </w:rPr>
        <w:t>）</w:t>
      </w:r>
    </w:p>
    <w:p w14:paraId="17DFF7C2">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 xml:space="preserve">（单位盖章）： </w:t>
      </w:r>
    </w:p>
    <w:p w14:paraId="613D3C89">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14:paraId="71B3BE6C">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14:paraId="11EE2A15">
      <w:pPr>
        <w:pStyle w:val="29"/>
        <w:ind w:left="0" w:leftChars="0" w:firstLine="0" w:firstLineChars="0"/>
        <w:rPr>
          <w:rFonts w:hint="eastAsia" w:ascii="仿宋" w:hAnsi="仿宋" w:eastAsia="仿宋" w:cs="仿宋"/>
          <w:color w:val="000000"/>
          <w:spacing w:val="-3"/>
          <w:sz w:val="21"/>
          <w:szCs w:val="21"/>
          <w:highlight w:val="none"/>
          <w:lang w:val="en-US" w:eastAsia="zh-CN" w:bidi="zh-CN"/>
        </w:rPr>
      </w:pPr>
    </w:p>
    <w:p w14:paraId="41E1DE52">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3C478521">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207386F6">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0CECC3FD">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336D4D39">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0F943EFF">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39DFCF2C">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16E9FAE2">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6E6CCE23">
      <w:pPr>
        <w:numPr>
          <w:ilvl w:val="0"/>
          <w:numId w:val="0"/>
        </w:numPr>
        <w:jc w:val="center"/>
        <w:rPr>
          <w:rFonts w:hint="eastAsia" w:ascii="仿宋" w:hAnsi="仿宋" w:eastAsia="仿宋" w:cs="仿宋"/>
          <w:b/>
          <w:color w:val="auto"/>
          <w:sz w:val="21"/>
          <w:szCs w:val="21"/>
          <w:lang w:val="en-US" w:eastAsia="zh-CN"/>
        </w:rPr>
      </w:pPr>
    </w:p>
    <w:p w14:paraId="31975355">
      <w:pPr>
        <w:numPr>
          <w:ilvl w:val="0"/>
          <w:numId w:val="0"/>
        </w:numPr>
        <w:jc w:val="center"/>
        <w:rPr>
          <w:rFonts w:hint="eastAsia" w:ascii="仿宋" w:hAnsi="仿宋" w:eastAsia="仿宋" w:cs="仿宋"/>
          <w:b/>
          <w:color w:val="auto"/>
          <w:sz w:val="21"/>
          <w:szCs w:val="21"/>
          <w:lang w:val="en-US" w:eastAsia="zh-CN"/>
        </w:rPr>
      </w:pPr>
    </w:p>
    <w:p w14:paraId="2F732DFE">
      <w:pPr>
        <w:numPr>
          <w:ilvl w:val="0"/>
          <w:numId w:val="0"/>
        </w:numPr>
        <w:jc w:val="center"/>
        <w:rPr>
          <w:rFonts w:hint="eastAsia" w:ascii="仿宋" w:hAnsi="仿宋" w:eastAsia="仿宋" w:cs="仿宋"/>
          <w:b/>
          <w:color w:val="auto"/>
          <w:sz w:val="21"/>
          <w:szCs w:val="21"/>
          <w:lang w:val="en-US" w:eastAsia="zh-CN"/>
        </w:rPr>
      </w:pPr>
    </w:p>
    <w:p w14:paraId="203A51B8">
      <w:pPr>
        <w:pStyle w:val="8"/>
        <w:rPr>
          <w:rFonts w:hint="eastAsia" w:ascii="仿宋" w:hAnsi="仿宋" w:eastAsia="仿宋" w:cs="仿宋"/>
          <w:b/>
          <w:color w:val="auto"/>
          <w:sz w:val="21"/>
          <w:szCs w:val="21"/>
          <w:lang w:val="en-US" w:eastAsia="zh-CN"/>
        </w:rPr>
      </w:pPr>
    </w:p>
    <w:p w14:paraId="18FCAADC">
      <w:pPr>
        <w:pStyle w:val="28"/>
        <w:rPr>
          <w:rFonts w:hint="eastAsia" w:ascii="仿宋" w:hAnsi="仿宋" w:eastAsia="仿宋" w:cs="仿宋"/>
          <w:b/>
          <w:color w:val="auto"/>
          <w:sz w:val="21"/>
          <w:szCs w:val="21"/>
          <w:lang w:val="en-US" w:eastAsia="zh-CN"/>
        </w:rPr>
      </w:pPr>
    </w:p>
    <w:p w14:paraId="30873EBF">
      <w:pPr>
        <w:pStyle w:val="28"/>
        <w:rPr>
          <w:rFonts w:hint="eastAsia" w:ascii="仿宋" w:hAnsi="仿宋" w:eastAsia="仿宋" w:cs="仿宋"/>
          <w:b/>
          <w:color w:val="auto"/>
          <w:sz w:val="21"/>
          <w:szCs w:val="21"/>
          <w:lang w:val="en-US" w:eastAsia="zh-CN"/>
        </w:rPr>
      </w:pPr>
    </w:p>
    <w:p w14:paraId="608E9AE9">
      <w:pPr>
        <w:pStyle w:val="28"/>
        <w:rPr>
          <w:rFonts w:hint="eastAsia" w:ascii="仿宋" w:hAnsi="仿宋" w:eastAsia="仿宋" w:cs="仿宋"/>
          <w:b/>
          <w:color w:val="auto"/>
          <w:sz w:val="21"/>
          <w:szCs w:val="21"/>
          <w:lang w:val="en-US" w:eastAsia="zh-CN"/>
        </w:rPr>
      </w:pPr>
    </w:p>
    <w:p w14:paraId="79F14E1E">
      <w:pPr>
        <w:pStyle w:val="28"/>
        <w:rPr>
          <w:rFonts w:hint="eastAsia" w:ascii="仿宋" w:hAnsi="仿宋" w:eastAsia="仿宋" w:cs="仿宋"/>
          <w:b/>
          <w:color w:val="auto"/>
          <w:sz w:val="21"/>
          <w:szCs w:val="21"/>
          <w:lang w:val="en-US" w:eastAsia="zh-CN"/>
        </w:rPr>
      </w:pPr>
    </w:p>
    <w:p w14:paraId="687C1FBA">
      <w:pPr>
        <w:pStyle w:val="28"/>
        <w:rPr>
          <w:rFonts w:hint="eastAsia" w:ascii="仿宋" w:hAnsi="仿宋" w:eastAsia="仿宋" w:cs="仿宋"/>
          <w:b/>
          <w:color w:val="auto"/>
          <w:sz w:val="21"/>
          <w:szCs w:val="21"/>
          <w:lang w:val="en-US" w:eastAsia="zh-CN"/>
        </w:rPr>
      </w:pPr>
    </w:p>
    <w:p w14:paraId="22103605">
      <w:pPr>
        <w:numPr>
          <w:ilvl w:val="0"/>
          <w:numId w:val="0"/>
        </w:numPr>
        <w:jc w:val="center"/>
        <w:rPr>
          <w:rFonts w:hint="eastAsia" w:ascii="仿宋" w:hAnsi="仿宋" w:eastAsia="仿宋" w:cs="仿宋"/>
          <w:b/>
          <w:color w:val="auto"/>
          <w:sz w:val="21"/>
          <w:szCs w:val="21"/>
          <w:lang w:val="en-US" w:eastAsia="zh-CN"/>
        </w:rPr>
      </w:pPr>
    </w:p>
    <w:p w14:paraId="6849BFC9">
      <w:pPr>
        <w:numPr>
          <w:ilvl w:val="0"/>
          <w:numId w:val="0"/>
        </w:numPr>
        <w:jc w:val="center"/>
        <w:rPr>
          <w:rFonts w:hint="eastAsia" w:ascii="仿宋" w:hAnsi="仿宋" w:eastAsia="仿宋" w:cs="仿宋"/>
          <w:b/>
          <w:color w:val="auto"/>
          <w:sz w:val="21"/>
          <w:szCs w:val="21"/>
          <w:lang w:val="en-US" w:eastAsia="zh-CN"/>
        </w:rPr>
      </w:pPr>
    </w:p>
    <w:p w14:paraId="53C76A00">
      <w:pPr>
        <w:numPr>
          <w:ilvl w:val="0"/>
          <w:numId w:val="0"/>
        </w:numPr>
        <w:jc w:val="center"/>
        <w:rPr>
          <w:rFonts w:hint="eastAsia" w:ascii="仿宋" w:hAnsi="仿宋" w:eastAsia="仿宋" w:cs="仿宋"/>
          <w:b/>
          <w:color w:val="auto"/>
          <w:sz w:val="21"/>
          <w:szCs w:val="21"/>
          <w:lang w:val="en-US" w:eastAsia="zh-CN"/>
        </w:rPr>
      </w:pPr>
    </w:p>
    <w:p w14:paraId="4C31B017">
      <w:pPr>
        <w:spacing w:line="360" w:lineRule="auto"/>
        <w:jc w:val="center"/>
        <w:rPr>
          <w:rFonts w:hint="eastAsia" w:ascii="仿宋" w:hAnsi="仿宋" w:eastAsia="仿宋" w:cs="仿宋"/>
          <w:b/>
          <w:sz w:val="28"/>
          <w:szCs w:val="28"/>
        </w:rPr>
      </w:pPr>
      <w:r>
        <w:rPr>
          <w:rFonts w:hint="eastAsia" w:ascii="仿宋" w:hAnsi="仿宋" w:eastAsia="仿宋" w:cs="仿宋"/>
          <w:b/>
          <w:color w:val="auto"/>
          <w:sz w:val="21"/>
          <w:szCs w:val="21"/>
          <w:lang w:val="en-US" w:eastAsia="zh-CN"/>
        </w:rPr>
        <w:t>18.</w:t>
      </w:r>
      <w:r>
        <w:rPr>
          <w:rFonts w:hint="eastAsia" w:ascii="仿宋" w:hAnsi="仿宋" w:eastAsia="仿宋" w:cs="仿宋"/>
          <w:b/>
          <w:sz w:val="28"/>
          <w:szCs w:val="28"/>
        </w:rPr>
        <w:t>项目负责人简历表</w:t>
      </w:r>
    </w:p>
    <w:p w14:paraId="1ADD3D3C">
      <w:pPr>
        <w:spacing w:line="64" w:lineRule="exact"/>
        <w:rPr>
          <w:rFonts w:hint="eastAsia" w:ascii="仿宋" w:hAnsi="仿宋" w:eastAsia="仿宋" w:cs="仿宋"/>
        </w:rPr>
      </w:pPr>
    </w:p>
    <w:tbl>
      <w:tblPr>
        <w:tblStyle w:val="51"/>
        <w:tblW w:w="9197" w:type="dxa"/>
        <w:tblInd w:w="2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41"/>
        <w:gridCol w:w="1588"/>
        <w:gridCol w:w="1381"/>
        <w:gridCol w:w="1590"/>
        <w:gridCol w:w="1645"/>
        <w:gridCol w:w="1652"/>
      </w:tblGrid>
      <w:tr w14:paraId="3A7BD1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 w:hRule="atLeast"/>
        </w:trPr>
        <w:tc>
          <w:tcPr>
            <w:tcW w:w="1341" w:type="dxa"/>
            <w:noWrap w:val="0"/>
            <w:vAlign w:val="top"/>
          </w:tcPr>
          <w:p w14:paraId="3AEB886D">
            <w:pPr>
              <w:spacing w:before="98" w:line="186" w:lineRule="auto"/>
              <w:ind w:firstLine="547"/>
              <w:rPr>
                <w:rFonts w:hint="eastAsia" w:ascii="仿宋" w:hAnsi="仿宋" w:eastAsia="仿宋" w:cs="仿宋"/>
                <w:sz w:val="24"/>
                <w:szCs w:val="24"/>
              </w:rPr>
            </w:pPr>
            <w:r>
              <w:rPr>
                <w:rFonts w:hint="eastAsia" w:ascii="仿宋" w:hAnsi="仿宋" w:eastAsia="仿宋" w:cs="仿宋"/>
                <w:spacing w:val="-3"/>
                <w:sz w:val="24"/>
                <w:szCs w:val="24"/>
              </w:rPr>
              <w:t>姓名</w:t>
            </w:r>
          </w:p>
        </w:tc>
        <w:tc>
          <w:tcPr>
            <w:tcW w:w="1588" w:type="dxa"/>
            <w:noWrap w:val="0"/>
            <w:vAlign w:val="top"/>
          </w:tcPr>
          <w:p w14:paraId="212E43E5">
            <w:pPr>
              <w:rPr>
                <w:rFonts w:hint="eastAsia" w:ascii="仿宋" w:hAnsi="仿宋" w:eastAsia="仿宋" w:cs="仿宋"/>
                <w:sz w:val="24"/>
                <w:szCs w:val="24"/>
              </w:rPr>
            </w:pPr>
          </w:p>
        </w:tc>
        <w:tc>
          <w:tcPr>
            <w:tcW w:w="1381" w:type="dxa"/>
            <w:noWrap w:val="0"/>
            <w:vAlign w:val="top"/>
          </w:tcPr>
          <w:p w14:paraId="59331826">
            <w:pPr>
              <w:spacing w:before="98" w:line="186" w:lineRule="auto"/>
              <w:ind w:firstLine="544"/>
              <w:rPr>
                <w:rFonts w:hint="eastAsia" w:ascii="仿宋" w:hAnsi="仿宋" w:eastAsia="仿宋" w:cs="仿宋"/>
                <w:sz w:val="24"/>
                <w:szCs w:val="24"/>
              </w:rPr>
            </w:pPr>
            <w:r>
              <w:rPr>
                <w:rFonts w:hint="eastAsia" w:ascii="仿宋" w:hAnsi="仿宋" w:eastAsia="仿宋" w:cs="仿宋"/>
                <w:spacing w:val="-4"/>
                <w:sz w:val="24"/>
                <w:szCs w:val="24"/>
              </w:rPr>
              <w:t>性别</w:t>
            </w:r>
          </w:p>
        </w:tc>
        <w:tc>
          <w:tcPr>
            <w:tcW w:w="1590" w:type="dxa"/>
            <w:noWrap w:val="0"/>
            <w:vAlign w:val="top"/>
          </w:tcPr>
          <w:p w14:paraId="30FAF275">
            <w:pPr>
              <w:rPr>
                <w:rFonts w:hint="eastAsia" w:ascii="仿宋" w:hAnsi="仿宋" w:eastAsia="仿宋" w:cs="仿宋"/>
                <w:sz w:val="24"/>
                <w:szCs w:val="24"/>
              </w:rPr>
            </w:pPr>
          </w:p>
        </w:tc>
        <w:tc>
          <w:tcPr>
            <w:tcW w:w="1645" w:type="dxa"/>
            <w:noWrap w:val="0"/>
            <w:vAlign w:val="top"/>
          </w:tcPr>
          <w:p w14:paraId="444BC469">
            <w:pPr>
              <w:spacing w:before="98" w:line="186" w:lineRule="auto"/>
              <w:ind w:firstLine="657"/>
              <w:rPr>
                <w:rFonts w:hint="eastAsia" w:ascii="仿宋" w:hAnsi="仿宋" w:eastAsia="仿宋" w:cs="仿宋"/>
                <w:sz w:val="24"/>
                <w:szCs w:val="24"/>
              </w:rPr>
            </w:pPr>
            <w:r>
              <w:rPr>
                <w:rFonts w:hint="eastAsia" w:ascii="仿宋" w:hAnsi="仿宋" w:eastAsia="仿宋" w:cs="仿宋"/>
                <w:spacing w:val="-4"/>
                <w:sz w:val="24"/>
                <w:szCs w:val="24"/>
              </w:rPr>
              <w:t>年龄</w:t>
            </w:r>
          </w:p>
        </w:tc>
        <w:tc>
          <w:tcPr>
            <w:tcW w:w="1652" w:type="dxa"/>
            <w:noWrap w:val="0"/>
            <w:vAlign w:val="top"/>
          </w:tcPr>
          <w:p w14:paraId="3445FDED">
            <w:pPr>
              <w:rPr>
                <w:rFonts w:hint="eastAsia" w:ascii="仿宋" w:hAnsi="仿宋" w:eastAsia="仿宋" w:cs="仿宋"/>
                <w:sz w:val="24"/>
                <w:szCs w:val="24"/>
              </w:rPr>
            </w:pPr>
          </w:p>
        </w:tc>
      </w:tr>
      <w:tr w14:paraId="558F41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341" w:type="dxa"/>
            <w:noWrap w:val="0"/>
            <w:vAlign w:val="top"/>
          </w:tcPr>
          <w:p w14:paraId="6A89C80A">
            <w:pPr>
              <w:spacing w:before="94" w:line="186" w:lineRule="auto"/>
              <w:ind w:firstLine="546"/>
              <w:rPr>
                <w:rFonts w:hint="eastAsia" w:ascii="仿宋" w:hAnsi="仿宋" w:eastAsia="仿宋" w:cs="仿宋"/>
                <w:sz w:val="24"/>
                <w:szCs w:val="24"/>
              </w:rPr>
            </w:pPr>
            <w:r>
              <w:rPr>
                <w:rFonts w:hint="eastAsia" w:ascii="仿宋" w:hAnsi="仿宋" w:eastAsia="仿宋" w:cs="仿宋"/>
                <w:spacing w:val="-3"/>
                <w:sz w:val="24"/>
                <w:szCs w:val="24"/>
              </w:rPr>
              <w:t>职务</w:t>
            </w:r>
          </w:p>
        </w:tc>
        <w:tc>
          <w:tcPr>
            <w:tcW w:w="1588" w:type="dxa"/>
            <w:noWrap w:val="0"/>
            <w:vAlign w:val="top"/>
          </w:tcPr>
          <w:p w14:paraId="04F8D070">
            <w:pPr>
              <w:rPr>
                <w:rFonts w:hint="eastAsia" w:ascii="仿宋" w:hAnsi="仿宋" w:eastAsia="仿宋" w:cs="仿宋"/>
                <w:sz w:val="24"/>
                <w:szCs w:val="24"/>
              </w:rPr>
            </w:pPr>
          </w:p>
        </w:tc>
        <w:tc>
          <w:tcPr>
            <w:tcW w:w="1381" w:type="dxa"/>
            <w:noWrap w:val="0"/>
            <w:vAlign w:val="top"/>
          </w:tcPr>
          <w:p w14:paraId="4542C79B">
            <w:pPr>
              <w:spacing w:before="94" w:line="186" w:lineRule="auto"/>
              <w:ind w:firstLine="540"/>
              <w:rPr>
                <w:rFonts w:hint="eastAsia" w:ascii="仿宋" w:hAnsi="仿宋" w:eastAsia="仿宋" w:cs="仿宋"/>
                <w:sz w:val="24"/>
                <w:szCs w:val="24"/>
              </w:rPr>
            </w:pPr>
            <w:r>
              <w:rPr>
                <w:rFonts w:hint="eastAsia" w:ascii="仿宋" w:hAnsi="仿宋" w:eastAsia="仿宋" w:cs="仿宋"/>
                <w:spacing w:val="-3"/>
                <w:sz w:val="24"/>
                <w:szCs w:val="24"/>
              </w:rPr>
              <w:t>职称</w:t>
            </w:r>
          </w:p>
        </w:tc>
        <w:tc>
          <w:tcPr>
            <w:tcW w:w="1590" w:type="dxa"/>
            <w:noWrap w:val="0"/>
            <w:vAlign w:val="top"/>
          </w:tcPr>
          <w:p w14:paraId="7EA09AD4">
            <w:pPr>
              <w:rPr>
                <w:rFonts w:hint="eastAsia" w:ascii="仿宋" w:hAnsi="仿宋" w:eastAsia="仿宋" w:cs="仿宋"/>
                <w:sz w:val="24"/>
                <w:szCs w:val="24"/>
              </w:rPr>
            </w:pPr>
          </w:p>
        </w:tc>
        <w:tc>
          <w:tcPr>
            <w:tcW w:w="1645" w:type="dxa"/>
            <w:noWrap w:val="0"/>
            <w:vAlign w:val="top"/>
          </w:tcPr>
          <w:p w14:paraId="317C251C">
            <w:pPr>
              <w:spacing w:before="94" w:line="186" w:lineRule="auto"/>
              <w:ind w:firstLine="662"/>
              <w:rPr>
                <w:rFonts w:hint="eastAsia" w:ascii="仿宋" w:hAnsi="仿宋" w:eastAsia="仿宋" w:cs="仿宋"/>
                <w:sz w:val="24"/>
                <w:szCs w:val="24"/>
              </w:rPr>
            </w:pPr>
            <w:r>
              <w:rPr>
                <w:rFonts w:hint="eastAsia" w:ascii="仿宋" w:hAnsi="仿宋" w:eastAsia="仿宋" w:cs="仿宋"/>
                <w:spacing w:val="-6"/>
                <w:sz w:val="24"/>
                <w:szCs w:val="24"/>
              </w:rPr>
              <w:t>学历</w:t>
            </w:r>
          </w:p>
        </w:tc>
        <w:tc>
          <w:tcPr>
            <w:tcW w:w="1652" w:type="dxa"/>
            <w:noWrap w:val="0"/>
            <w:vAlign w:val="top"/>
          </w:tcPr>
          <w:p w14:paraId="2FC4435E">
            <w:pPr>
              <w:rPr>
                <w:rFonts w:hint="eastAsia" w:ascii="仿宋" w:hAnsi="仿宋" w:eastAsia="仿宋" w:cs="仿宋"/>
                <w:sz w:val="24"/>
                <w:szCs w:val="24"/>
              </w:rPr>
            </w:pPr>
          </w:p>
        </w:tc>
      </w:tr>
      <w:tr w14:paraId="297649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929" w:type="dxa"/>
            <w:gridSpan w:val="2"/>
            <w:noWrap w:val="0"/>
            <w:vAlign w:val="top"/>
          </w:tcPr>
          <w:p w14:paraId="3BF6EFC3">
            <w:pPr>
              <w:keepNext w:val="0"/>
              <w:keepLines w:val="0"/>
              <w:pageBreakBefore w:val="0"/>
              <w:widowControl w:val="0"/>
              <w:kinsoku/>
              <w:wordWrap/>
              <w:overflowPunct/>
              <w:topLinePunct w:val="0"/>
              <w:autoSpaceDE/>
              <w:autoSpaceDN/>
              <w:bidi w:val="0"/>
              <w:adjustRightInd/>
              <w:snapToGrid/>
              <w:spacing w:before="94" w:line="240" w:lineRule="exact"/>
              <w:textAlignment w:val="auto"/>
              <w:rPr>
                <w:rFonts w:hint="eastAsia" w:ascii="仿宋" w:hAnsi="仿宋" w:eastAsia="仿宋" w:cs="仿宋"/>
                <w:sz w:val="24"/>
                <w:szCs w:val="24"/>
              </w:rPr>
            </w:pPr>
            <w:r>
              <w:rPr>
                <w:rFonts w:hint="eastAsia" w:ascii="仿宋" w:hAnsi="仿宋" w:eastAsia="仿宋" w:cs="仿宋"/>
                <w:spacing w:val="-2"/>
                <w:sz w:val="24"/>
                <w:szCs w:val="24"/>
              </w:rPr>
              <w:t>注册证书/项目经理证书号码</w:t>
            </w:r>
          </w:p>
        </w:tc>
        <w:tc>
          <w:tcPr>
            <w:tcW w:w="6268" w:type="dxa"/>
            <w:gridSpan w:val="4"/>
            <w:noWrap w:val="0"/>
            <w:vAlign w:val="top"/>
          </w:tcPr>
          <w:p w14:paraId="2FF9B511">
            <w:pPr>
              <w:rPr>
                <w:rFonts w:hint="eastAsia" w:ascii="仿宋" w:hAnsi="仿宋" w:eastAsia="仿宋" w:cs="仿宋"/>
                <w:sz w:val="24"/>
                <w:szCs w:val="24"/>
              </w:rPr>
            </w:pPr>
          </w:p>
        </w:tc>
      </w:tr>
      <w:tr w14:paraId="529C43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9197" w:type="dxa"/>
            <w:gridSpan w:val="6"/>
            <w:noWrap w:val="0"/>
            <w:vAlign w:val="top"/>
          </w:tcPr>
          <w:p w14:paraId="332938AD">
            <w:pPr>
              <w:spacing w:before="95" w:line="186" w:lineRule="auto"/>
              <w:ind w:firstLine="4029"/>
              <w:rPr>
                <w:rFonts w:hint="eastAsia" w:ascii="仿宋" w:hAnsi="仿宋" w:eastAsia="仿宋" w:cs="仿宋"/>
                <w:sz w:val="24"/>
                <w:szCs w:val="24"/>
              </w:rPr>
            </w:pPr>
            <w:r>
              <w:rPr>
                <w:rFonts w:hint="eastAsia" w:ascii="仿宋" w:hAnsi="仿宋" w:eastAsia="仿宋" w:cs="仿宋"/>
                <w:spacing w:val="-2"/>
                <w:sz w:val="24"/>
                <w:szCs w:val="24"/>
              </w:rPr>
              <w:t>近三年类似业绩</w:t>
            </w:r>
          </w:p>
        </w:tc>
      </w:tr>
      <w:tr w14:paraId="0CB412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341" w:type="dxa"/>
            <w:noWrap w:val="0"/>
            <w:vAlign w:val="top"/>
          </w:tcPr>
          <w:p w14:paraId="54B4B1E8">
            <w:pPr>
              <w:spacing w:before="95" w:line="186" w:lineRule="auto"/>
              <w:ind w:firstLine="335"/>
              <w:rPr>
                <w:rFonts w:hint="eastAsia" w:ascii="仿宋" w:hAnsi="仿宋" w:eastAsia="仿宋" w:cs="仿宋"/>
                <w:sz w:val="24"/>
                <w:szCs w:val="24"/>
              </w:rPr>
            </w:pPr>
            <w:r>
              <w:rPr>
                <w:rFonts w:hint="eastAsia" w:ascii="仿宋" w:hAnsi="仿宋" w:eastAsia="仿宋" w:cs="仿宋"/>
                <w:spacing w:val="-3"/>
                <w:sz w:val="24"/>
                <w:szCs w:val="24"/>
              </w:rPr>
              <w:t>建设单位</w:t>
            </w:r>
          </w:p>
        </w:tc>
        <w:tc>
          <w:tcPr>
            <w:tcW w:w="1588" w:type="dxa"/>
            <w:noWrap w:val="0"/>
            <w:vAlign w:val="top"/>
          </w:tcPr>
          <w:p w14:paraId="60AB7411">
            <w:pPr>
              <w:spacing w:before="95" w:line="186" w:lineRule="auto"/>
              <w:ind w:firstLine="332"/>
              <w:rPr>
                <w:rFonts w:hint="eastAsia" w:ascii="仿宋" w:hAnsi="仿宋" w:eastAsia="仿宋" w:cs="仿宋"/>
                <w:sz w:val="24"/>
                <w:szCs w:val="24"/>
              </w:rPr>
            </w:pPr>
            <w:r>
              <w:rPr>
                <w:rFonts w:hint="eastAsia" w:ascii="仿宋" w:hAnsi="仿宋" w:eastAsia="仿宋" w:cs="仿宋"/>
                <w:spacing w:val="-3"/>
                <w:sz w:val="24"/>
                <w:szCs w:val="24"/>
              </w:rPr>
              <w:t>项目名称</w:t>
            </w:r>
          </w:p>
        </w:tc>
        <w:tc>
          <w:tcPr>
            <w:tcW w:w="1381" w:type="dxa"/>
            <w:noWrap w:val="0"/>
            <w:vAlign w:val="top"/>
          </w:tcPr>
          <w:p w14:paraId="487B130F">
            <w:pPr>
              <w:spacing w:before="95" w:line="186" w:lineRule="auto"/>
              <w:ind w:firstLine="330"/>
              <w:rPr>
                <w:rFonts w:hint="eastAsia" w:ascii="仿宋" w:hAnsi="仿宋" w:eastAsia="仿宋" w:cs="仿宋"/>
                <w:sz w:val="24"/>
                <w:szCs w:val="24"/>
              </w:rPr>
            </w:pPr>
            <w:r>
              <w:rPr>
                <w:rFonts w:hint="eastAsia" w:ascii="仿宋" w:hAnsi="仿宋" w:eastAsia="仿宋" w:cs="仿宋"/>
                <w:spacing w:val="-3"/>
                <w:sz w:val="24"/>
                <w:szCs w:val="24"/>
              </w:rPr>
              <w:t>建设规模</w:t>
            </w:r>
          </w:p>
        </w:tc>
        <w:tc>
          <w:tcPr>
            <w:tcW w:w="3235" w:type="dxa"/>
            <w:gridSpan w:val="2"/>
            <w:noWrap w:val="0"/>
            <w:vAlign w:val="top"/>
          </w:tcPr>
          <w:p w14:paraId="6C8FCE78">
            <w:pPr>
              <w:spacing w:before="95" w:line="186" w:lineRule="auto"/>
              <w:ind w:firstLine="1054"/>
              <w:rPr>
                <w:rFonts w:hint="eastAsia" w:ascii="仿宋" w:hAnsi="仿宋" w:eastAsia="仿宋" w:cs="仿宋"/>
                <w:sz w:val="24"/>
                <w:szCs w:val="24"/>
              </w:rPr>
            </w:pPr>
            <w:r>
              <w:rPr>
                <w:rFonts w:hint="eastAsia" w:ascii="仿宋" w:hAnsi="仿宋" w:eastAsia="仿宋" w:cs="仿宋"/>
                <w:spacing w:val="-2"/>
                <w:sz w:val="24"/>
                <w:szCs w:val="24"/>
              </w:rPr>
              <w:t>开、竣工日期</w:t>
            </w:r>
          </w:p>
        </w:tc>
        <w:tc>
          <w:tcPr>
            <w:tcW w:w="1652" w:type="dxa"/>
            <w:noWrap w:val="0"/>
            <w:vAlign w:val="top"/>
          </w:tcPr>
          <w:p w14:paraId="48874B68">
            <w:pPr>
              <w:spacing w:before="95" w:line="186" w:lineRule="auto"/>
              <w:ind w:firstLine="450"/>
              <w:rPr>
                <w:rFonts w:hint="eastAsia" w:ascii="仿宋" w:hAnsi="仿宋" w:eastAsia="仿宋" w:cs="仿宋"/>
                <w:sz w:val="24"/>
                <w:szCs w:val="24"/>
              </w:rPr>
            </w:pPr>
            <w:r>
              <w:rPr>
                <w:rFonts w:hint="eastAsia" w:ascii="仿宋" w:hAnsi="仿宋" w:eastAsia="仿宋" w:cs="仿宋"/>
                <w:spacing w:val="-4"/>
                <w:sz w:val="24"/>
                <w:szCs w:val="24"/>
              </w:rPr>
              <w:t>质量等级</w:t>
            </w:r>
          </w:p>
        </w:tc>
      </w:tr>
      <w:tr w14:paraId="673369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1341" w:type="dxa"/>
            <w:noWrap w:val="0"/>
            <w:vAlign w:val="top"/>
          </w:tcPr>
          <w:p w14:paraId="56832925">
            <w:pPr>
              <w:rPr>
                <w:rFonts w:hint="eastAsia" w:ascii="仿宋" w:hAnsi="仿宋" w:eastAsia="仿宋" w:cs="仿宋"/>
                <w:sz w:val="24"/>
                <w:szCs w:val="24"/>
              </w:rPr>
            </w:pPr>
          </w:p>
        </w:tc>
        <w:tc>
          <w:tcPr>
            <w:tcW w:w="1588" w:type="dxa"/>
            <w:noWrap w:val="0"/>
            <w:vAlign w:val="top"/>
          </w:tcPr>
          <w:p w14:paraId="5604D6D0">
            <w:pPr>
              <w:rPr>
                <w:rFonts w:hint="eastAsia" w:ascii="仿宋" w:hAnsi="仿宋" w:eastAsia="仿宋" w:cs="仿宋"/>
                <w:sz w:val="24"/>
                <w:szCs w:val="24"/>
              </w:rPr>
            </w:pPr>
          </w:p>
        </w:tc>
        <w:tc>
          <w:tcPr>
            <w:tcW w:w="1381" w:type="dxa"/>
            <w:noWrap w:val="0"/>
            <w:vAlign w:val="top"/>
          </w:tcPr>
          <w:p w14:paraId="675F2D60">
            <w:pPr>
              <w:rPr>
                <w:rFonts w:hint="eastAsia" w:ascii="仿宋" w:hAnsi="仿宋" w:eastAsia="仿宋" w:cs="仿宋"/>
                <w:sz w:val="24"/>
                <w:szCs w:val="24"/>
              </w:rPr>
            </w:pPr>
          </w:p>
        </w:tc>
        <w:tc>
          <w:tcPr>
            <w:tcW w:w="3235" w:type="dxa"/>
            <w:gridSpan w:val="2"/>
            <w:noWrap w:val="0"/>
            <w:vAlign w:val="top"/>
          </w:tcPr>
          <w:p w14:paraId="7EBA6EE1">
            <w:pPr>
              <w:rPr>
                <w:rFonts w:hint="eastAsia" w:ascii="仿宋" w:hAnsi="仿宋" w:eastAsia="仿宋" w:cs="仿宋"/>
                <w:sz w:val="24"/>
                <w:szCs w:val="24"/>
              </w:rPr>
            </w:pPr>
          </w:p>
        </w:tc>
        <w:tc>
          <w:tcPr>
            <w:tcW w:w="1652" w:type="dxa"/>
            <w:noWrap w:val="0"/>
            <w:vAlign w:val="top"/>
          </w:tcPr>
          <w:p w14:paraId="038BE057">
            <w:pPr>
              <w:rPr>
                <w:rFonts w:hint="eastAsia" w:ascii="仿宋" w:hAnsi="仿宋" w:eastAsia="仿宋" w:cs="仿宋"/>
                <w:sz w:val="24"/>
                <w:szCs w:val="24"/>
              </w:rPr>
            </w:pPr>
          </w:p>
        </w:tc>
      </w:tr>
      <w:tr w14:paraId="197FD5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341" w:type="dxa"/>
            <w:noWrap w:val="0"/>
            <w:vAlign w:val="top"/>
          </w:tcPr>
          <w:p w14:paraId="50AD7713">
            <w:pPr>
              <w:rPr>
                <w:rFonts w:hint="eastAsia" w:ascii="仿宋" w:hAnsi="仿宋" w:eastAsia="仿宋" w:cs="仿宋"/>
                <w:sz w:val="24"/>
                <w:szCs w:val="24"/>
              </w:rPr>
            </w:pPr>
          </w:p>
        </w:tc>
        <w:tc>
          <w:tcPr>
            <w:tcW w:w="1588" w:type="dxa"/>
            <w:noWrap w:val="0"/>
            <w:vAlign w:val="top"/>
          </w:tcPr>
          <w:p w14:paraId="6A7F9783">
            <w:pPr>
              <w:rPr>
                <w:rFonts w:hint="eastAsia" w:ascii="仿宋" w:hAnsi="仿宋" w:eastAsia="仿宋" w:cs="仿宋"/>
                <w:sz w:val="24"/>
                <w:szCs w:val="24"/>
              </w:rPr>
            </w:pPr>
          </w:p>
        </w:tc>
        <w:tc>
          <w:tcPr>
            <w:tcW w:w="1381" w:type="dxa"/>
            <w:noWrap w:val="0"/>
            <w:vAlign w:val="top"/>
          </w:tcPr>
          <w:p w14:paraId="7DC87814">
            <w:pPr>
              <w:rPr>
                <w:rFonts w:hint="eastAsia" w:ascii="仿宋" w:hAnsi="仿宋" w:eastAsia="仿宋" w:cs="仿宋"/>
                <w:sz w:val="24"/>
                <w:szCs w:val="24"/>
              </w:rPr>
            </w:pPr>
          </w:p>
        </w:tc>
        <w:tc>
          <w:tcPr>
            <w:tcW w:w="3235" w:type="dxa"/>
            <w:gridSpan w:val="2"/>
            <w:noWrap w:val="0"/>
            <w:vAlign w:val="top"/>
          </w:tcPr>
          <w:p w14:paraId="1FBE0F07">
            <w:pPr>
              <w:rPr>
                <w:rFonts w:hint="eastAsia" w:ascii="仿宋" w:hAnsi="仿宋" w:eastAsia="仿宋" w:cs="仿宋"/>
                <w:sz w:val="24"/>
                <w:szCs w:val="24"/>
              </w:rPr>
            </w:pPr>
          </w:p>
        </w:tc>
        <w:tc>
          <w:tcPr>
            <w:tcW w:w="1652" w:type="dxa"/>
            <w:noWrap w:val="0"/>
            <w:vAlign w:val="top"/>
          </w:tcPr>
          <w:p w14:paraId="59462E6A">
            <w:pPr>
              <w:rPr>
                <w:rFonts w:hint="eastAsia" w:ascii="仿宋" w:hAnsi="仿宋" w:eastAsia="仿宋" w:cs="仿宋"/>
                <w:sz w:val="24"/>
                <w:szCs w:val="24"/>
              </w:rPr>
            </w:pPr>
          </w:p>
        </w:tc>
      </w:tr>
      <w:tr w14:paraId="2C8A32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341" w:type="dxa"/>
            <w:noWrap w:val="0"/>
            <w:vAlign w:val="top"/>
          </w:tcPr>
          <w:p w14:paraId="432703C5">
            <w:pPr>
              <w:rPr>
                <w:rFonts w:hint="eastAsia" w:ascii="仿宋" w:hAnsi="仿宋" w:eastAsia="仿宋" w:cs="仿宋"/>
                <w:sz w:val="24"/>
                <w:szCs w:val="24"/>
              </w:rPr>
            </w:pPr>
          </w:p>
        </w:tc>
        <w:tc>
          <w:tcPr>
            <w:tcW w:w="1588" w:type="dxa"/>
            <w:noWrap w:val="0"/>
            <w:vAlign w:val="top"/>
          </w:tcPr>
          <w:p w14:paraId="00DD41FE">
            <w:pPr>
              <w:rPr>
                <w:rFonts w:hint="eastAsia" w:ascii="仿宋" w:hAnsi="仿宋" w:eastAsia="仿宋" w:cs="仿宋"/>
                <w:sz w:val="24"/>
                <w:szCs w:val="24"/>
              </w:rPr>
            </w:pPr>
          </w:p>
        </w:tc>
        <w:tc>
          <w:tcPr>
            <w:tcW w:w="1381" w:type="dxa"/>
            <w:noWrap w:val="0"/>
            <w:vAlign w:val="top"/>
          </w:tcPr>
          <w:p w14:paraId="539EB73E">
            <w:pPr>
              <w:rPr>
                <w:rFonts w:hint="eastAsia" w:ascii="仿宋" w:hAnsi="仿宋" w:eastAsia="仿宋" w:cs="仿宋"/>
                <w:sz w:val="24"/>
                <w:szCs w:val="24"/>
              </w:rPr>
            </w:pPr>
          </w:p>
        </w:tc>
        <w:tc>
          <w:tcPr>
            <w:tcW w:w="3235" w:type="dxa"/>
            <w:gridSpan w:val="2"/>
            <w:noWrap w:val="0"/>
            <w:vAlign w:val="top"/>
          </w:tcPr>
          <w:p w14:paraId="0E26795E">
            <w:pPr>
              <w:rPr>
                <w:rFonts w:hint="eastAsia" w:ascii="仿宋" w:hAnsi="仿宋" w:eastAsia="仿宋" w:cs="仿宋"/>
                <w:sz w:val="24"/>
                <w:szCs w:val="24"/>
              </w:rPr>
            </w:pPr>
          </w:p>
        </w:tc>
        <w:tc>
          <w:tcPr>
            <w:tcW w:w="1652" w:type="dxa"/>
            <w:noWrap w:val="0"/>
            <w:vAlign w:val="top"/>
          </w:tcPr>
          <w:p w14:paraId="41A574FE">
            <w:pPr>
              <w:rPr>
                <w:rFonts w:hint="eastAsia" w:ascii="仿宋" w:hAnsi="仿宋" w:eastAsia="仿宋" w:cs="仿宋"/>
                <w:sz w:val="24"/>
                <w:szCs w:val="24"/>
              </w:rPr>
            </w:pPr>
          </w:p>
        </w:tc>
      </w:tr>
      <w:tr w14:paraId="7D9DB7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341" w:type="dxa"/>
            <w:noWrap w:val="0"/>
            <w:vAlign w:val="top"/>
          </w:tcPr>
          <w:p w14:paraId="39B5E77B">
            <w:pPr>
              <w:rPr>
                <w:rFonts w:hint="eastAsia" w:ascii="仿宋" w:hAnsi="仿宋" w:eastAsia="仿宋" w:cs="仿宋"/>
                <w:sz w:val="24"/>
                <w:szCs w:val="24"/>
              </w:rPr>
            </w:pPr>
          </w:p>
        </w:tc>
        <w:tc>
          <w:tcPr>
            <w:tcW w:w="1588" w:type="dxa"/>
            <w:noWrap w:val="0"/>
            <w:vAlign w:val="top"/>
          </w:tcPr>
          <w:p w14:paraId="719E0875">
            <w:pPr>
              <w:rPr>
                <w:rFonts w:hint="eastAsia" w:ascii="仿宋" w:hAnsi="仿宋" w:eastAsia="仿宋" w:cs="仿宋"/>
                <w:sz w:val="24"/>
                <w:szCs w:val="24"/>
              </w:rPr>
            </w:pPr>
          </w:p>
        </w:tc>
        <w:tc>
          <w:tcPr>
            <w:tcW w:w="1381" w:type="dxa"/>
            <w:noWrap w:val="0"/>
            <w:vAlign w:val="top"/>
          </w:tcPr>
          <w:p w14:paraId="20F3EA7A">
            <w:pPr>
              <w:rPr>
                <w:rFonts w:hint="eastAsia" w:ascii="仿宋" w:hAnsi="仿宋" w:eastAsia="仿宋" w:cs="仿宋"/>
                <w:sz w:val="24"/>
                <w:szCs w:val="24"/>
              </w:rPr>
            </w:pPr>
          </w:p>
        </w:tc>
        <w:tc>
          <w:tcPr>
            <w:tcW w:w="3235" w:type="dxa"/>
            <w:gridSpan w:val="2"/>
            <w:noWrap w:val="0"/>
            <w:vAlign w:val="top"/>
          </w:tcPr>
          <w:p w14:paraId="7E967522">
            <w:pPr>
              <w:rPr>
                <w:rFonts w:hint="eastAsia" w:ascii="仿宋" w:hAnsi="仿宋" w:eastAsia="仿宋" w:cs="仿宋"/>
                <w:sz w:val="24"/>
                <w:szCs w:val="24"/>
              </w:rPr>
            </w:pPr>
          </w:p>
        </w:tc>
        <w:tc>
          <w:tcPr>
            <w:tcW w:w="1652" w:type="dxa"/>
            <w:noWrap w:val="0"/>
            <w:vAlign w:val="top"/>
          </w:tcPr>
          <w:p w14:paraId="4B364387">
            <w:pPr>
              <w:rPr>
                <w:rFonts w:hint="eastAsia" w:ascii="仿宋" w:hAnsi="仿宋" w:eastAsia="仿宋" w:cs="仿宋"/>
                <w:sz w:val="24"/>
                <w:szCs w:val="24"/>
              </w:rPr>
            </w:pPr>
          </w:p>
        </w:tc>
      </w:tr>
      <w:tr w14:paraId="406664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341" w:type="dxa"/>
            <w:noWrap w:val="0"/>
            <w:vAlign w:val="top"/>
          </w:tcPr>
          <w:p w14:paraId="7D7F8FE7">
            <w:pPr>
              <w:rPr>
                <w:rFonts w:hint="eastAsia" w:ascii="仿宋" w:hAnsi="仿宋" w:eastAsia="仿宋" w:cs="仿宋"/>
                <w:sz w:val="24"/>
                <w:szCs w:val="24"/>
              </w:rPr>
            </w:pPr>
          </w:p>
        </w:tc>
        <w:tc>
          <w:tcPr>
            <w:tcW w:w="1588" w:type="dxa"/>
            <w:noWrap w:val="0"/>
            <w:vAlign w:val="top"/>
          </w:tcPr>
          <w:p w14:paraId="2732A92C">
            <w:pPr>
              <w:rPr>
                <w:rFonts w:hint="eastAsia" w:ascii="仿宋" w:hAnsi="仿宋" w:eastAsia="仿宋" w:cs="仿宋"/>
                <w:sz w:val="24"/>
                <w:szCs w:val="24"/>
              </w:rPr>
            </w:pPr>
          </w:p>
        </w:tc>
        <w:tc>
          <w:tcPr>
            <w:tcW w:w="1381" w:type="dxa"/>
            <w:noWrap w:val="0"/>
            <w:vAlign w:val="top"/>
          </w:tcPr>
          <w:p w14:paraId="58E0FDDB">
            <w:pPr>
              <w:rPr>
                <w:rFonts w:hint="eastAsia" w:ascii="仿宋" w:hAnsi="仿宋" w:eastAsia="仿宋" w:cs="仿宋"/>
                <w:sz w:val="24"/>
                <w:szCs w:val="24"/>
              </w:rPr>
            </w:pPr>
          </w:p>
        </w:tc>
        <w:tc>
          <w:tcPr>
            <w:tcW w:w="3235" w:type="dxa"/>
            <w:gridSpan w:val="2"/>
            <w:noWrap w:val="0"/>
            <w:vAlign w:val="top"/>
          </w:tcPr>
          <w:p w14:paraId="6DBCE91C">
            <w:pPr>
              <w:rPr>
                <w:rFonts w:hint="eastAsia" w:ascii="仿宋" w:hAnsi="仿宋" w:eastAsia="仿宋" w:cs="仿宋"/>
                <w:sz w:val="24"/>
                <w:szCs w:val="24"/>
              </w:rPr>
            </w:pPr>
          </w:p>
        </w:tc>
        <w:tc>
          <w:tcPr>
            <w:tcW w:w="1652" w:type="dxa"/>
            <w:noWrap w:val="0"/>
            <w:vAlign w:val="top"/>
          </w:tcPr>
          <w:p w14:paraId="56F2F56B">
            <w:pPr>
              <w:rPr>
                <w:rFonts w:hint="eastAsia" w:ascii="仿宋" w:hAnsi="仿宋" w:eastAsia="仿宋" w:cs="仿宋"/>
                <w:sz w:val="24"/>
                <w:szCs w:val="24"/>
              </w:rPr>
            </w:pPr>
          </w:p>
        </w:tc>
      </w:tr>
      <w:tr w14:paraId="1015FD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341" w:type="dxa"/>
            <w:noWrap w:val="0"/>
            <w:vAlign w:val="top"/>
          </w:tcPr>
          <w:p w14:paraId="64BD7D87">
            <w:pPr>
              <w:rPr>
                <w:rFonts w:hint="eastAsia" w:ascii="仿宋" w:hAnsi="仿宋" w:eastAsia="仿宋" w:cs="仿宋"/>
                <w:sz w:val="24"/>
                <w:szCs w:val="24"/>
              </w:rPr>
            </w:pPr>
          </w:p>
        </w:tc>
        <w:tc>
          <w:tcPr>
            <w:tcW w:w="1588" w:type="dxa"/>
            <w:noWrap w:val="0"/>
            <w:vAlign w:val="top"/>
          </w:tcPr>
          <w:p w14:paraId="712E0213">
            <w:pPr>
              <w:rPr>
                <w:rFonts w:hint="eastAsia" w:ascii="仿宋" w:hAnsi="仿宋" w:eastAsia="仿宋" w:cs="仿宋"/>
                <w:sz w:val="24"/>
                <w:szCs w:val="24"/>
              </w:rPr>
            </w:pPr>
          </w:p>
        </w:tc>
        <w:tc>
          <w:tcPr>
            <w:tcW w:w="1381" w:type="dxa"/>
            <w:noWrap w:val="0"/>
            <w:vAlign w:val="top"/>
          </w:tcPr>
          <w:p w14:paraId="352C0C93">
            <w:pPr>
              <w:rPr>
                <w:rFonts w:hint="eastAsia" w:ascii="仿宋" w:hAnsi="仿宋" w:eastAsia="仿宋" w:cs="仿宋"/>
                <w:sz w:val="24"/>
                <w:szCs w:val="24"/>
              </w:rPr>
            </w:pPr>
          </w:p>
        </w:tc>
        <w:tc>
          <w:tcPr>
            <w:tcW w:w="3235" w:type="dxa"/>
            <w:gridSpan w:val="2"/>
            <w:noWrap w:val="0"/>
            <w:vAlign w:val="top"/>
          </w:tcPr>
          <w:p w14:paraId="6652DCD5">
            <w:pPr>
              <w:rPr>
                <w:rFonts w:hint="eastAsia" w:ascii="仿宋" w:hAnsi="仿宋" w:eastAsia="仿宋" w:cs="仿宋"/>
                <w:sz w:val="24"/>
                <w:szCs w:val="24"/>
              </w:rPr>
            </w:pPr>
          </w:p>
        </w:tc>
        <w:tc>
          <w:tcPr>
            <w:tcW w:w="1652" w:type="dxa"/>
            <w:noWrap w:val="0"/>
            <w:vAlign w:val="top"/>
          </w:tcPr>
          <w:p w14:paraId="72A5D4CB">
            <w:pPr>
              <w:rPr>
                <w:rFonts w:hint="eastAsia" w:ascii="仿宋" w:hAnsi="仿宋" w:eastAsia="仿宋" w:cs="仿宋"/>
                <w:sz w:val="24"/>
                <w:szCs w:val="24"/>
              </w:rPr>
            </w:pPr>
          </w:p>
        </w:tc>
      </w:tr>
      <w:tr w14:paraId="0410E0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1341" w:type="dxa"/>
            <w:noWrap w:val="0"/>
            <w:vAlign w:val="top"/>
          </w:tcPr>
          <w:p w14:paraId="1B7C41E1">
            <w:pPr>
              <w:rPr>
                <w:rFonts w:hint="eastAsia" w:ascii="仿宋" w:hAnsi="仿宋" w:eastAsia="仿宋" w:cs="仿宋"/>
                <w:sz w:val="24"/>
                <w:szCs w:val="24"/>
              </w:rPr>
            </w:pPr>
          </w:p>
        </w:tc>
        <w:tc>
          <w:tcPr>
            <w:tcW w:w="1588" w:type="dxa"/>
            <w:noWrap w:val="0"/>
            <w:vAlign w:val="top"/>
          </w:tcPr>
          <w:p w14:paraId="1F15187F">
            <w:pPr>
              <w:rPr>
                <w:rFonts w:hint="eastAsia" w:ascii="仿宋" w:hAnsi="仿宋" w:eastAsia="仿宋" w:cs="仿宋"/>
                <w:sz w:val="24"/>
                <w:szCs w:val="24"/>
              </w:rPr>
            </w:pPr>
          </w:p>
        </w:tc>
        <w:tc>
          <w:tcPr>
            <w:tcW w:w="1381" w:type="dxa"/>
            <w:noWrap w:val="0"/>
            <w:vAlign w:val="top"/>
          </w:tcPr>
          <w:p w14:paraId="1DE185A2">
            <w:pPr>
              <w:rPr>
                <w:rFonts w:hint="eastAsia" w:ascii="仿宋" w:hAnsi="仿宋" w:eastAsia="仿宋" w:cs="仿宋"/>
                <w:sz w:val="24"/>
                <w:szCs w:val="24"/>
              </w:rPr>
            </w:pPr>
          </w:p>
        </w:tc>
        <w:tc>
          <w:tcPr>
            <w:tcW w:w="3235" w:type="dxa"/>
            <w:gridSpan w:val="2"/>
            <w:noWrap w:val="0"/>
            <w:vAlign w:val="top"/>
          </w:tcPr>
          <w:p w14:paraId="34CAB5A9">
            <w:pPr>
              <w:rPr>
                <w:rFonts w:hint="eastAsia" w:ascii="仿宋" w:hAnsi="仿宋" w:eastAsia="仿宋" w:cs="仿宋"/>
                <w:sz w:val="24"/>
                <w:szCs w:val="24"/>
              </w:rPr>
            </w:pPr>
          </w:p>
        </w:tc>
        <w:tc>
          <w:tcPr>
            <w:tcW w:w="1652" w:type="dxa"/>
            <w:noWrap w:val="0"/>
            <w:vAlign w:val="top"/>
          </w:tcPr>
          <w:p w14:paraId="416B73B1">
            <w:pPr>
              <w:rPr>
                <w:rFonts w:hint="eastAsia" w:ascii="仿宋" w:hAnsi="仿宋" w:eastAsia="仿宋" w:cs="仿宋"/>
                <w:sz w:val="24"/>
                <w:szCs w:val="24"/>
              </w:rPr>
            </w:pPr>
          </w:p>
        </w:tc>
      </w:tr>
      <w:tr w14:paraId="3ED6AB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1341" w:type="dxa"/>
            <w:noWrap w:val="0"/>
            <w:vAlign w:val="top"/>
          </w:tcPr>
          <w:p w14:paraId="3C9F217E">
            <w:pPr>
              <w:rPr>
                <w:rFonts w:hint="eastAsia" w:ascii="仿宋" w:hAnsi="仿宋" w:eastAsia="仿宋" w:cs="仿宋"/>
                <w:sz w:val="24"/>
                <w:szCs w:val="24"/>
              </w:rPr>
            </w:pPr>
          </w:p>
        </w:tc>
        <w:tc>
          <w:tcPr>
            <w:tcW w:w="1588" w:type="dxa"/>
            <w:noWrap w:val="0"/>
            <w:vAlign w:val="top"/>
          </w:tcPr>
          <w:p w14:paraId="060C7444">
            <w:pPr>
              <w:rPr>
                <w:rFonts w:hint="eastAsia" w:ascii="仿宋" w:hAnsi="仿宋" w:eastAsia="仿宋" w:cs="仿宋"/>
                <w:sz w:val="24"/>
                <w:szCs w:val="24"/>
              </w:rPr>
            </w:pPr>
          </w:p>
        </w:tc>
        <w:tc>
          <w:tcPr>
            <w:tcW w:w="1381" w:type="dxa"/>
            <w:noWrap w:val="0"/>
            <w:vAlign w:val="top"/>
          </w:tcPr>
          <w:p w14:paraId="5111B6BE">
            <w:pPr>
              <w:rPr>
                <w:rFonts w:hint="eastAsia" w:ascii="仿宋" w:hAnsi="仿宋" w:eastAsia="仿宋" w:cs="仿宋"/>
                <w:sz w:val="24"/>
                <w:szCs w:val="24"/>
              </w:rPr>
            </w:pPr>
          </w:p>
        </w:tc>
        <w:tc>
          <w:tcPr>
            <w:tcW w:w="3235" w:type="dxa"/>
            <w:gridSpan w:val="2"/>
            <w:noWrap w:val="0"/>
            <w:vAlign w:val="top"/>
          </w:tcPr>
          <w:p w14:paraId="72201DD3">
            <w:pPr>
              <w:rPr>
                <w:rFonts w:hint="eastAsia" w:ascii="仿宋" w:hAnsi="仿宋" w:eastAsia="仿宋" w:cs="仿宋"/>
                <w:sz w:val="24"/>
                <w:szCs w:val="24"/>
              </w:rPr>
            </w:pPr>
          </w:p>
        </w:tc>
        <w:tc>
          <w:tcPr>
            <w:tcW w:w="1652" w:type="dxa"/>
            <w:noWrap w:val="0"/>
            <w:vAlign w:val="top"/>
          </w:tcPr>
          <w:p w14:paraId="4E0F440A">
            <w:pPr>
              <w:rPr>
                <w:rFonts w:hint="eastAsia" w:ascii="仿宋" w:hAnsi="仿宋" w:eastAsia="仿宋" w:cs="仿宋"/>
                <w:sz w:val="24"/>
                <w:szCs w:val="24"/>
              </w:rPr>
            </w:pPr>
          </w:p>
        </w:tc>
      </w:tr>
    </w:tbl>
    <w:p w14:paraId="1913FF29">
      <w:pPr>
        <w:spacing w:before="99" w:line="186" w:lineRule="auto"/>
        <w:ind w:firstLine="44"/>
        <w:rPr>
          <w:rFonts w:hint="eastAsia" w:ascii="仿宋" w:hAnsi="仿宋" w:eastAsia="仿宋" w:cs="仿宋"/>
          <w:b/>
          <w:sz w:val="28"/>
          <w:szCs w:val="28"/>
        </w:rPr>
      </w:pPr>
      <w:r>
        <w:rPr>
          <w:rFonts w:hint="eastAsia" w:ascii="仿宋" w:hAnsi="仿宋" w:eastAsia="仿宋" w:cs="仿宋"/>
          <w:spacing w:val="-7"/>
          <w:sz w:val="24"/>
          <w:szCs w:val="24"/>
        </w:rPr>
        <w:t>备注：1、项目负责人应附注册证书、职称证书、学历证书</w:t>
      </w:r>
      <w:r>
        <w:rPr>
          <w:rFonts w:hint="eastAsia" w:ascii="仿宋" w:hAnsi="仿宋" w:eastAsia="仿宋" w:cs="仿宋"/>
          <w:spacing w:val="-7"/>
          <w:sz w:val="24"/>
          <w:szCs w:val="24"/>
          <w:lang w:eastAsia="zh-CN"/>
        </w:rPr>
        <w:t>、</w:t>
      </w:r>
      <w:r>
        <w:rPr>
          <w:rFonts w:hint="eastAsia" w:ascii="仿宋" w:hAnsi="仿宋" w:eastAsia="仿宋" w:cs="仿宋"/>
          <w:spacing w:val="-7"/>
          <w:sz w:val="24"/>
          <w:szCs w:val="24"/>
          <w:lang w:val="en-US" w:eastAsia="zh-CN"/>
        </w:rPr>
        <w:t>身份证、劳动合同或近三个月社保缴纳证明</w:t>
      </w:r>
      <w:r>
        <w:rPr>
          <w:rFonts w:hint="eastAsia" w:ascii="仿宋" w:hAnsi="仿宋" w:eastAsia="仿宋" w:cs="仿宋"/>
          <w:spacing w:val="-7"/>
          <w:sz w:val="24"/>
          <w:szCs w:val="24"/>
        </w:rPr>
        <w:t>复印件</w:t>
      </w:r>
      <w:r>
        <w:rPr>
          <w:rFonts w:hint="eastAsia" w:ascii="仿宋" w:hAnsi="仿宋" w:eastAsia="仿宋" w:cs="仿宋"/>
          <w:spacing w:val="-1"/>
          <w:sz w:val="24"/>
          <w:szCs w:val="24"/>
        </w:rPr>
        <w:t>。</w:t>
      </w:r>
    </w:p>
    <w:p w14:paraId="45CC6B51">
      <w:pPr>
        <w:spacing w:line="360" w:lineRule="auto"/>
        <w:ind w:right="-21" w:rightChars="-10"/>
        <w:rPr>
          <w:rFonts w:hint="eastAsia" w:ascii="仿宋" w:hAnsi="仿宋" w:eastAsia="仿宋" w:cs="仿宋"/>
          <w:spacing w:val="20"/>
          <w:sz w:val="24"/>
        </w:rPr>
      </w:pPr>
      <w:r>
        <w:rPr>
          <w:rFonts w:hint="eastAsia" w:ascii="仿宋" w:hAnsi="仿宋" w:eastAsia="仿宋" w:cs="仿宋"/>
          <w:sz w:val="24"/>
        </w:rPr>
        <w:t>投标人（</w:t>
      </w:r>
      <w:r>
        <w:rPr>
          <w:rFonts w:hint="eastAsia" w:ascii="仿宋" w:hAnsi="仿宋" w:eastAsia="仿宋" w:cs="仿宋"/>
          <w:spacing w:val="20"/>
          <w:sz w:val="24"/>
        </w:rPr>
        <w:t>盖章）：</w:t>
      </w:r>
    </w:p>
    <w:p w14:paraId="545B8474">
      <w:pPr>
        <w:spacing w:line="360" w:lineRule="auto"/>
        <w:ind w:right="-21" w:rightChars="-10"/>
        <w:rPr>
          <w:rFonts w:hint="eastAsia" w:ascii="仿宋" w:hAnsi="仿宋" w:eastAsia="仿宋" w:cs="仿宋"/>
          <w:sz w:val="24"/>
        </w:rPr>
      </w:pPr>
      <w:r>
        <w:rPr>
          <w:rFonts w:hint="eastAsia" w:ascii="仿宋" w:hAnsi="仿宋" w:eastAsia="仿宋" w:cs="仿宋"/>
          <w:sz w:val="24"/>
        </w:rPr>
        <w:t xml:space="preserve">日期： </w:t>
      </w:r>
    </w:p>
    <w:p w14:paraId="7A299229">
      <w:pPr>
        <w:spacing w:line="360" w:lineRule="auto"/>
        <w:ind w:right="-21" w:rightChars="-10"/>
        <w:rPr>
          <w:rFonts w:hint="eastAsia" w:ascii="宋体" w:hAnsi="宋体" w:cs="宋体"/>
          <w:sz w:val="24"/>
        </w:rPr>
      </w:pPr>
    </w:p>
    <w:p w14:paraId="20830FF2">
      <w:pPr>
        <w:spacing w:line="360" w:lineRule="auto"/>
        <w:ind w:right="-21" w:rightChars="-10"/>
        <w:rPr>
          <w:rFonts w:hint="eastAsia" w:ascii="宋体" w:hAnsi="宋体" w:cs="宋体"/>
          <w:sz w:val="24"/>
        </w:rPr>
      </w:pPr>
    </w:p>
    <w:p w14:paraId="77474AD4">
      <w:pPr>
        <w:spacing w:line="360" w:lineRule="auto"/>
        <w:ind w:right="-21" w:rightChars="-10"/>
        <w:rPr>
          <w:rFonts w:hint="eastAsia" w:ascii="宋体" w:hAnsi="宋体" w:cs="宋体"/>
          <w:sz w:val="24"/>
        </w:rPr>
      </w:pPr>
    </w:p>
    <w:p w14:paraId="59000C97">
      <w:pPr>
        <w:spacing w:line="360" w:lineRule="auto"/>
        <w:ind w:right="-21" w:rightChars="-10"/>
        <w:rPr>
          <w:rFonts w:hint="eastAsia" w:ascii="宋体" w:hAnsi="宋体" w:cs="宋体"/>
          <w:sz w:val="24"/>
        </w:rPr>
      </w:pPr>
    </w:p>
    <w:p w14:paraId="1BC0A48A">
      <w:pPr>
        <w:spacing w:line="360" w:lineRule="auto"/>
        <w:ind w:right="-21" w:rightChars="-10"/>
        <w:rPr>
          <w:rFonts w:hint="eastAsia" w:ascii="宋体" w:hAnsi="宋体" w:cs="宋体"/>
          <w:sz w:val="24"/>
        </w:rPr>
      </w:pPr>
    </w:p>
    <w:p w14:paraId="1F1E95C2">
      <w:pPr>
        <w:spacing w:line="360" w:lineRule="auto"/>
        <w:ind w:right="-21" w:rightChars="-10"/>
        <w:rPr>
          <w:rFonts w:hint="eastAsia" w:ascii="宋体" w:hAnsi="宋体" w:cs="宋体"/>
          <w:sz w:val="24"/>
        </w:rPr>
      </w:pPr>
    </w:p>
    <w:p w14:paraId="3DEF0BCB">
      <w:pPr>
        <w:spacing w:line="360" w:lineRule="auto"/>
        <w:ind w:right="-21" w:rightChars="-10"/>
        <w:rPr>
          <w:rFonts w:hint="eastAsia" w:ascii="宋体" w:hAnsi="宋体" w:cs="宋体"/>
          <w:sz w:val="24"/>
        </w:rPr>
      </w:pPr>
    </w:p>
    <w:p w14:paraId="7BA23FD6">
      <w:pPr>
        <w:spacing w:line="360" w:lineRule="auto"/>
        <w:ind w:right="-21" w:rightChars="-10"/>
        <w:rPr>
          <w:rFonts w:hint="eastAsia" w:ascii="宋体" w:hAnsi="宋体" w:cs="宋体"/>
          <w:sz w:val="24"/>
        </w:rPr>
      </w:pPr>
    </w:p>
    <w:p w14:paraId="371AC49E">
      <w:pPr>
        <w:spacing w:line="360" w:lineRule="auto"/>
        <w:ind w:right="-21" w:rightChars="-10"/>
        <w:rPr>
          <w:rFonts w:hint="eastAsia" w:ascii="宋体" w:hAnsi="宋体" w:cs="宋体"/>
          <w:sz w:val="24"/>
        </w:rPr>
      </w:pPr>
    </w:p>
    <w:p w14:paraId="00E22754">
      <w:pPr>
        <w:spacing w:line="360" w:lineRule="auto"/>
        <w:ind w:right="-21" w:rightChars="-10"/>
        <w:rPr>
          <w:rFonts w:hint="eastAsia" w:ascii="宋体" w:hAnsi="宋体" w:cs="宋体"/>
          <w:sz w:val="24"/>
        </w:rPr>
        <w:sectPr>
          <w:type w:val="continuous"/>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6BCF34DA">
      <w:pPr>
        <w:spacing w:line="360" w:lineRule="auto"/>
        <w:ind w:right="-21" w:rightChars="-10"/>
        <w:jc w:val="center"/>
        <w:rPr>
          <w:rFonts w:hint="eastAsia" w:ascii="仿宋" w:hAnsi="仿宋" w:eastAsia="仿宋" w:cs="仿宋"/>
          <w:sz w:val="21"/>
          <w:szCs w:val="21"/>
        </w:rPr>
      </w:pPr>
      <w:r>
        <w:rPr>
          <w:rFonts w:hint="eastAsia" w:ascii="仿宋" w:hAnsi="仿宋" w:eastAsia="仿宋" w:cs="仿宋"/>
          <w:b/>
          <w:kern w:val="2"/>
          <w:sz w:val="28"/>
          <w:szCs w:val="28"/>
          <w:lang w:val="en-US" w:eastAsia="zh-CN" w:bidi="ar-SA"/>
        </w:rPr>
        <w:t>19.项目现场管理班子配备情况</w:t>
      </w:r>
    </w:p>
    <w:tbl>
      <w:tblPr>
        <w:tblStyle w:val="51"/>
        <w:tblW w:w="9505"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18"/>
        <w:gridCol w:w="1166"/>
        <w:gridCol w:w="1060"/>
        <w:gridCol w:w="1166"/>
        <w:gridCol w:w="4095"/>
      </w:tblGrid>
      <w:tr w14:paraId="7735B8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 w:hRule="atLeast"/>
          <w:jc w:val="center"/>
        </w:trPr>
        <w:tc>
          <w:tcPr>
            <w:tcW w:w="2018" w:type="dxa"/>
            <w:noWrap w:val="0"/>
            <w:vAlign w:val="top"/>
          </w:tcPr>
          <w:p w14:paraId="3C36ADB5">
            <w:pPr>
              <w:spacing w:before="108" w:line="186" w:lineRule="auto"/>
              <w:ind w:firstLine="837"/>
              <w:rPr>
                <w:rFonts w:hint="eastAsia" w:ascii="仿宋" w:hAnsi="仿宋" w:eastAsia="仿宋" w:cs="仿宋"/>
                <w:sz w:val="24"/>
                <w:szCs w:val="24"/>
              </w:rPr>
            </w:pPr>
            <w:r>
              <w:rPr>
                <w:rFonts w:hint="eastAsia" w:ascii="仿宋" w:hAnsi="仿宋" w:eastAsia="仿宋" w:cs="仿宋"/>
                <w:spacing w:val="-10"/>
                <w:sz w:val="24"/>
                <w:szCs w:val="24"/>
              </w:rPr>
              <w:t>岗位</w:t>
            </w:r>
          </w:p>
        </w:tc>
        <w:tc>
          <w:tcPr>
            <w:tcW w:w="1166" w:type="dxa"/>
            <w:noWrap w:val="0"/>
            <w:vAlign w:val="top"/>
          </w:tcPr>
          <w:p w14:paraId="250E3681">
            <w:pPr>
              <w:spacing w:before="108" w:line="186" w:lineRule="auto"/>
              <w:ind w:firstLine="381"/>
              <w:rPr>
                <w:rFonts w:hint="eastAsia" w:ascii="仿宋" w:hAnsi="仿宋" w:eastAsia="仿宋" w:cs="仿宋"/>
                <w:sz w:val="24"/>
                <w:szCs w:val="24"/>
              </w:rPr>
            </w:pPr>
            <w:r>
              <w:rPr>
                <w:rFonts w:hint="eastAsia" w:ascii="仿宋" w:hAnsi="仿宋" w:eastAsia="仿宋" w:cs="仿宋"/>
                <w:spacing w:val="-3"/>
                <w:sz w:val="24"/>
                <w:szCs w:val="24"/>
              </w:rPr>
              <w:t>职务</w:t>
            </w:r>
          </w:p>
        </w:tc>
        <w:tc>
          <w:tcPr>
            <w:tcW w:w="1060" w:type="dxa"/>
            <w:noWrap w:val="0"/>
            <w:vAlign w:val="top"/>
          </w:tcPr>
          <w:p w14:paraId="0B8B8A5F">
            <w:pPr>
              <w:spacing w:before="108" w:line="186" w:lineRule="auto"/>
              <w:ind w:firstLine="329"/>
              <w:rPr>
                <w:rFonts w:hint="eastAsia" w:ascii="仿宋" w:hAnsi="仿宋" w:eastAsia="仿宋" w:cs="仿宋"/>
                <w:sz w:val="24"/>
                <w:szCs w:val="24"/>
              </w:rPr>
            </w:pPr>
            <w:r>
              <w:rPr>
                <w:rFonts w:hint="eastAsia" w:ascii="仿宋" w:hAnsi="仿宋" w:eastAsia="仿宋" w:cs="仿宋"/>
                <w:spacing w:val="-3"/>
                <w:sz w:val="24"/>
                <w:szCs w:val="24"/>
              </w:rPr>
              <w:t>姓名</w:t>
            </w:r>
          </w:p>
        </w:tc>
        <w:tc>
          <w:tcPr>
            <w:tcW w:w="1166" w:type="dxa"/>
            <w:noWrap w:val="0"/>
            <w:vAlign w:val="top"/>
          </w:tcPr>
          <w:p w14:paraId="69E40BD0">
            <w:pPr>
              <w:spacing w:before="108" w:line="186" w:lineRule="auto"/>
              <w:ind w:firstLine="382"/>
              <w:rPr>
                <w:rFonts w:hint="eastAsia" w:ascii="仿宋" w:hAnsi="仿宋" w:eastAsia="仿宋" w:cs="仿宋"/>
                <w:sz w:val="24"/>
                <w:szCs w:val="24"/>
              </w:rPr>
            </w:pPr>
            <w:r>
              <w:rPr>
                <w:rFonts w:hint="eastAsia" w:ascii="仿宋" w:hAnsi="仿宋" w:eastAsia="仿宋" w:cs="仿宋"/>
                <w:spacing w:val="-3"/>
                <w:sz w:val="24"/>
                <w:szCs w:val="24"/>
              </w:rPr>
              <w:t>职称</w:t>
            </w:r>
          </w:p>
        </w:tc>
        <w:tc>
          <w:tcPr>
            <w:tcW w:w="4095" w:type="dxa"/>
            <w:noWrap w:val="0"/>
            <w:vAlign w:val="top"/>
          </w:tcPr>
          <w:p w14:paraId="60F007EB">
            <w:pPr>
              <w:spacing w:before="108" w:line="186" w:lineRule="auto"/>
              <w:ind w:firstLine="1214"/>
              <w:rPr>
                <w:rFonts w:hint="eastAsia" w:ascii="仿宋" w:hAnsi="仿宋" w:eastAsia="仿宋" w:cs="仿宋"/>
                <w:sz w:val="24"/>
                <w:szCs w:val="24"/>
              </w:rPr>
            </w:pPr>
            <w:r>
              <w:rPr>
                <w:rFonts w:hint="eastAsia" w:ascii="仿宋" w:hAnsi="仿宋" w:eastAsia="仿宋" w:cs="仿宋"/>
                <w:spacing w:val="-2"/>
                <w:sz w:val="24"/>
                <w:szCs w:val="24"/>
              </w:rPr>
              <w:t>承担在建项目情况</w:t>
            </w:r>
          </w:p>
        </w:tc>
      </w:tr>
      <w:tr w14:paraId="5CC500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jc w:val="center"/>
        </w:trPr>
        <w:tc>
          <w:tcPr>
            <w:tcW w:w="2018" w:type="dxa"/>
            <w:noWrap w:val="0"/>
            <w:vAlign w:val="top"/>
          </w:tcPr>
          <w:p w14:paraId="3B3CC081">
            <w:pPr>
              <w:rPr>
                <w:rFonts w:hint="eastAsia" w:ascii="仿宋" w:hAnsi="仿宋" w:eastAsia="仿宋" w:cs="仿宋"/>
                <w:sz w:val="24"/>
                <w:szCs w:val="24"/>
              </w:rPr>
            </w:pPr>
          </w:p>
        </w:tc>
        <w:tc>
          <w:tcPr>
            <w:tcW w:w="1166" w:type="dxa"/>
            <w:noWrap w:val="0"/>
            <w:vAlign w:val="top"/>
          </w:tcPr>
          <w:p w14:paraId="37821DDD">
            <w:pPr>
              <w:rPr>
                <w:rFonts w:hint="eastAsia" w:ascii="仿宋" w:hAnsi="仿宋" w:eastAsia="仿宋" w:cs="仿宋"/>
                <w:sz w:val="24"/>
                <w:szCs w:val="24"/>
              </w:rPr>
            </w:pPr>
          </w:p>
        </w:tc>
        <w:tc>
          <w:tcPr>
            <w:tcW w:w="1060" w:type="dxa"/>
            <w:noWrap w:val="0"/>
            <w:vAlign w:val="top"/>
          </w:tcPr>
          <w:p w14:paraId="61D8749B">
            <w:pPr>
              <w:rPr>
                <w:rFonts w:hint="eastAsia" w:ascii="仿宋" w:hAnsi="仿宋" w:eastAsia="仿宋" w:cs="仿宋"/>
                <w:sz w:val="24"/>
                <w:szCs w:val="24"/>
              </w:rPr>
            </w:pPr>
          </w:p>
        </w:tc>
        <w:tc>
          <w:tcPr>
            <w:tcW w:w="1166" w:type="dxa"/>
            <w:noWrap w:val="0"/>
            <w:vAlign w:val="top"/>
          </w:tcPr>
          <w:p w14:paraId="5EDD2851">
            <w:pPr>
              <w:rPr>
                <w:rFonts w:hint="eastAsia" w:ascii="仿宋" w:hAnsi="仿宋" w:eastAsia="仿宋" w:cs="仿宋"/>
                <w:sz w:val="24"/>
                <w:szCs w:val="24"/>
              </w:rPr>
            </w:pPr>
          </w:p>
        </w:tc>
        <w:tc>
          <w:tcPr>
            <w:tcW w:w="4095" w:type="dxa"/>
            <w:noWrap w:val="0"/>
            <w:vAlign w:val="top"/>
          </w:tcPr>
          <w:p w14:paraId="2C48C903">
            <w:pPr>
              <w:rPr>
                <w:rFonts w:hint="eastAsia" w:ascii="仿宋" w:hAnsi="仿宋" w:eastAsia="仿宋" w:cs="仿宋"/>
                <w:sz w:val="24"/>
                <w:szCs w:val="24"/>
              </w:rPr>
            </w:pPr>
          </w:p>
        </w:tc>
      </w:tr>
      <w:tr w14:paraId="7D98DB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jc w:val="center"/>
        </w:trPr>
        <w:tc>
          <w:tcPr>
            <w:tcW w:w="2018" w:type="dxa"/>
            <w:noWrap w:val="0"/>
            <w:vAlign w:val="top"/>
          </w:tcPr>
          <w:p w14:paraId="572EEBEA">
            <w:pPr>
              <w:rPr>
                <w:rFonts w:hint="eastAsia" w:ascii="仿宋" w:hAnsi="仿宋" w:eastAsia="仿宋" w:cs="仿宋"/>
                <w:sz w:val="24"/>
                <w:szCs w:val="24"/>
              </w:rPr>
            </w:pPr>
          </w:p>
        </w:tc>
        <w:tc>
          <w:tcPr>
            <w:tcW w:w="1166" w:type="dxa"/>
            <w:noWrap w:val="0"/>
            <w:vAlign w:val="top"/>
          </w:tcPr>
          <w:p w14:paraId="165532BC">
            <w:pPr>
              <w:rPr>
                <w:rFonts w:hint="eastAsia" w:ascii="仿宋" w:hAnsi="仿宋" w:eastAsia="仿宋" w:cs="仿宋"/>
                <w:sz w:val="24"/>
                <w:szCs w:val="24"/>
              </w:rPr>
            </w:pPr>
          </w:p>
        </w:tc>
        <w:tc>
          <w:tcPr>
            <w:tcW w:w="1060" w:type="dxa"/>
            <w:noWrap w:val="0"/>
            <w:vAlign w:val="top"/>
          </w:tcPr>
          <w:p w14:paraId="1B1A24EE">
            <w:pPr>
              <w:rPr>
                <w:rFonts w:hint="eastAsia" w:ascii="仿宋" w:hAnsi="仿宋" w:eastAsia="仿宋" w:cs="仿宋"/>
                <w:sz w:val="24"/>
                <w:szCs w:val="24"/>
              </w:rPr>
            </w:pPr>
          </w:p>
        </w:tc>
        <w:tc>
          <w:tcPr>
            <w:tcW w:w="1166" w:type="dxa"/>
            <w:noWrap w:val="0"/>
            <w:vAlign w:val="top"/>
          </w:tcPr>
          <w:p w14:paraId="00380C51">
            <w:pPr>
              <w:rPr>
                <w:rFonts w:hint="eastAsia" w:ascii="仿宋" w:hAnsi="仿宋" w:eastAsia="仿宋" w:cs="仿宋"/>
                <w:sz w:val="24"/>
                <w:szCs w:val="24"/>
              </w:rPr>
            </w:pPr>
          </w:p>
        </w:tc>
        <w:tc>
          <w:tcPr>
            <w:tcW w:w="4095" w:type="dxa"/>
            <w:noWrap w:val="0"/>
            <w:vAlign w:val="top"/>
          </w:tcPr>
          <w:p w14:paraId="732CA0AA">
            <w:pPr>
              <w:rPr>
                <w:rFonts w:hint="eastAsia" w:ascii="仿宋" w:hAnsi="仿宋" w:eastAsia="仿宋" w:cs="仿宋"/>
                <w:sz w:val="24"/>
                <w:szCs w:val="24"/>
              </w:rPr>
            </w:pPr>
          </w:p>
        </w:tc>
      </w:tr>
      <w:tr w14:paraId="42E54A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jc w:val="center"/>
        </w:trPr>
        <w:tc>
          <w:tcPr>
            <w:tcW w:w="2018" w:type="dxa"/>
            <w:noWrap w:val="0"/>
            <w:vAlign w:val="top"/>
          </w:tcPr>
          <w:p w14:paraId="62131B6C">
            <w:pPr>
              <w:rPr>
                <w:rFonts w:hint="eastAsia" w:ascii="仿宋" w:hAnsi="仿宋" w:eastAsia="仿宋" w:cs="仿宋"/>
                <w:sz w:val="24"/>
                <w:szCs w:val="24"/>
              </w:rPr>
            </w:pPr>
          </w:p>
        </w:tc>
        <w:tc>
          <w:tcPr>
            <w:tcW w:w="1166" w:type="dxa"/>
            <w:noWrap w:val="0"/>
            <w:vAlign w:val="top"/>
          </w:tcPr>
          <w:p w14:paraId="783C55A0">
            <w:pPr>
              <w:rPr>
                <w:rFonts w:hint="eastAsia" w:ascii="仿宋" w:hAnsi="仿宋" w:eastAsia="仿宋" w:cs="仿宋"/>
                <w:sz w:val="24"/>
                <w:szCs w:val="24"/>
              </w:rPr>
            </w:pPr>
          </w:p>
        </w:tc>
        <w:tc>
          <w:tcPr>
            <w:tcW w:w="1060" w:type="dxa"/>
            <w:noWrap w:val="0"/>
            <w:vAlign w:val="top"/>
          </w:tcPr>
          <w:p w14:paraId="32B15E46">
            <w:pPr>
              <w:rPr>
                <w:rFonts w:hint="eastAsia" w:ascii="仿宋" w:hAnsi="仿宋" w:eastAsia="仿宋" w:cs="仿宋"/>
                <w:sz w:val="24"/>
                <w:szCs w:val="24"/>
              </w:rPr>
            </w:pPr>
          </w:p>
        </w:tc>
        <w:tc>
          <w:tcPr>
            <w:tcW w:w="1166" w:type="dxa"/>
            <w:noWrap w:val="0"/>
            <w:vAlign w:val="top"/>
          </w:tcPr>
          <w:p w14:paraId="78171B76">
            <w:pPr>
              <w:rPr>
                <w:rFonts w:hint="eastAsia" w:ascii="仿宋" w:hAnsi="仿宋" w:eastAsia="仿宋" w:cs="仿宋"/>
                <w:sz w:val="24"/>
                <w:szCs w:val="24"/>
              </w:rPr>
            </w:pPr>
          </w:p>
        </w:tc>
        <w:tc>
          <w:tcPr>
            <w:tcW w:w="4095" w:type="dxa"/>
            <w:noWrap w:val="0"/>
            <w:vAlign w:val="top"/>
          </w:tcPr>
          <w:p w14:paraId="36F2BC98">
            <w:pPr>
              <w:rPr>
                <w:rFonts w:hint="eastAsia" w:ascii="仿宋" w:hAnsi="仿宋" w:eastAsia="仿宋" w:cs="仿宋"/>
                <w:sz w:val="24"/>
                <w:szCs w:val="24"/>
              </w:rPr>
            </w:pPr>
          </w:p>
        </w:tc>
      </w:tr>
      <w:tr w14:paraId="2F9AA9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 w:hRule="atLeast"/>
          <w:jc w:val="center"/>
        </w:trPr>
        <w:tc>
          <w:tcPr>
            <w:tcW w:w="2018" w:type="dxa"/>
            <w:noWrap w:val="0"/>
            <w:vAlign w:val="top"/>
          </w:tcPr>
          <w:p w14:paraId="500275A6">
            <w:pPr>
              <w:rPr>
                <w:rFonts w:hint="eastAsia" w:ascii="仿宋" w:hAnsi="仿宋" w:eastAsia="仿宋" w:cs="仿宋"/>
                <w:sz w:val="24"/>
                <w:szCs w:val="24"/>
              </w:rPr>
            </w:pPr>
          </w:p>
        </w:tc>
        <w:tc>
          <w:tcPr>
            <w:tcW w:w="1166" w:type="dxa"/>
            <w:noWrap w:val="0"/>
            <w:vAlign w:val="top"/>
          </w:tcPr>
          <w:p w14:paraId="523C7111">
            <w:pPr>
              <w:rPr>
                <w:rFonts w:hint="eastAsia" w:ascii="仿宋" w:hAnsi="仿宋" w:eastAsia="仿宋" w:cs="仿宋"/>
                <w:sz w:val="24"/>
                <w:szCs w:val="24"/>
              </w:rPr>
            </w:pPr>
          </w:p>
        </w:tc>
        <w:tc>
          <w:tcPr>
            <w:tcW w:w="1060" w:type="dxa"/>
            <w:noWrap w:val="0"/>
            <w:vAlign w:val="top"/>
          </w:tcPr>
          <w:p w14:paraId="06ADD491">
            <w:pPr>
              <w:rPr>
                <w:rFonts w:hint="eastAsia" w:ascii="仿宋" w:hAnsi="仿宋" w:eastAsia="仿宋" w:cs="仿宋"/>
                <w:sz w:val="24"/>
                <w:szCs w:val="24"/>
              </w:rPr>
            </w:pPr>
          </w:p>
        </w:tc>
        <w:tc>
          <w:tcPr>
            <w:tcW w:w="1166" w:type="dxa"/>
            <w:noWrap w:val="0"/>
            <w:vAlign w:val="top"/>
          </w:tcPr>
          <w:p w14:paraId="4A6C2154">
            <w:pPr>
              <w:rPr>
                <w:rFonts w:hint="eastAsia" w:ascii="仿宋" w:hAnsi="仿宋" w:eastAsia="仿宋" w:cs="仿宋"/>
                <w:sz w:val="24"/>
                <w:szCs w:val="24"/>
              </w:rPr>
            </w:pPr>
          </w:p>
        </w:tc>
        <w:tc>
          <w:tcPr>
            <w:tcW w:w="4095" w:type="dxa"/>
            <w:noWrap w:val="0"/>
            <w:vAlign w:val="top"/>
          </w:tcPr>
          <w:p w14:paraId="6C93995A">
            <w:pPr>
              <w:rPr>
                <w:rFonts w:hint="eastAsia" w:ascii="仿宋" w:hAnsi="仿宋" w:eastAsia="仿宋" w:cs="仿宋"/>
                <w:sz w:val="24"/>
                <w:szCs w:val="24"/>
              </w:rPr>
            </w:pPr>
          </w:p>
        </w:tc>
      </w:tr>
      <w:tr w14:paraId="4B6C87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jc w:val="center"/>
        </w:trPr>
        <w:tc>
          <w:tcPr>
            <w:tcW w:w="2018" w:type="dxa"/>
            <w:noWrap w:val="0"/>
            <w:vAlign w:val="top"/>
          </w:tcPr>
          <w:p w14:paraId="2BCE1A6F">
            <w:pPr>
              <w:rPr>
                <w:rFonts w:hint="eastAsia" w:ascii="仿宋" w:hAnsi="仿宋" w:eastAsia="仿宋" w:cs="仿宋"/>
                <w:sz w:val="24"/>
                <w:szCs w:val="24"/>
              </w:rPr>
            </w:pPr>
          </w:p>
        </w:tc>
        <w:tc>
          <w:tcPr>
            <w:tcW w:w="1166" w:type="dxa"/>
            <w:noWrap w:val="0"/>
            <w:vAlign w:val="top"/>
          </w:tcPr>
          <w:p w14:paraId="42CA138D">
            <w:pPr>
              <w:rPr>
                <w:rFonts w:hint="eastAsia" w:ascii="仿宋" w:hAnsi="仿宋" w:eastAsia="仿宋" w:cs="仿宋"/>
                <w:sz w:val="24"/>
                <w:szCs w:val="24"/>
              </w:rPr>
            </w:pPr>
          </w:p>
        </w:tc>
        <w:tc>
          <w:tcPr>
            <w:tcW w:w="1060" w:type="dxa"/>
            <w:noWrap w:val="0"/>
            <w:vAlign w:val="top"/>
          </w:tcPr>
          <w:p w14:paraId="5CCE6895">
            <w:pPr>
              <w:rPr>
                <w:rFonts w:hint="eastAsia" w:ascii="仿宋" w:hAnsi="仿宋" w:eastAsia="仿宋" w:cs="仿宋"/>
                <w:sz w:val="24"/>
                <w:szCs w:val="24"/>
              </w:rPr>
            </w:pPr>
          </w:p>
        </w:tc>
        <w:tc>
          <w:tcPr>
            <w:tcW w:w="1166" w:type="dxa"/>
            <w:noWrap w:val="0"/>
            <w:vAlign w:val="top"/>
          </w:tcPr>
          <w:p w14:paraId="5152FD87">
            <w:pPr>
              <w:rPr>
                <w:rFonts w:hint="eastAsia" w:ascii="仿宋" w:hAnsi="仿宋" w:eastAsia="仿宋" w:cs="仿宋"/>
                <w:sz w:val="24"/>
                <w:szCs w:val="24"/>
              </w:rPr>
            </w:pPr>
          </w:p>
        </w:tc>
        <w:tc>
          <w:tcPr>
            <w:tcW w:w="4095" w:type="dxa"/>
            <w:noWrap w:val="0"/>
            <w:vAlign w:val="top"/>
          </w:tcPr>
          <w:p w14:paraId="63EF7A01">
            <w:pPr>
              <w:rPr>
                <w:rFonts w:hint="eastAsia" w:ascii="仿宋" w:hAnsi="仿宋" w:eastAsia="仿宋" w:cs="仿宋"/>
                <w:sz w:val="24"/>
                <w:szCs w:val="24"/>
              </w:rPr>
            </w:pPr>
          </w:p>
        </w:tc>
      </w:tr>
      <w:tr w14:paraId="51CFBE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2" w:hRule="atLeast"/>
          <w:jc w:val="center"/>
        </w:trPr>
        <w:tc>
          <w:tcPr>
            <w:tcW w:w="2018" w:type="dxa"/>
            <w:noWrap w:val="0"/>
            <w:vAlign w:val="top"/>
          </w:tcPr>
          <w:p w14:paraId="6EE2B35C">
            <w:pPr>
              <w:rPr>
                <w:rFonts w:hint="eastAsia" w:ascii="仿宋" w:hAnsi="仿宋" w:eastAsia="仿宋" w:cs="仿宋"/>
                <w:sz w:val="24"/>
                <w:szCs w:val="24"/>
              </w:rPr>
            </w:pPr>
          </w:p>
        </w:tc>
        <w:tc>
          <w:tcPr>
            <w:tcW w:w="1166" w:type="dxa"/>
            <w:noWrap w:val="0"/>
            <w:vAlign w:val="top"/>
          </w:tcPr>
          <w:p w14:paraId="2157EA90">
            <w:pPr>
              <w:rPr>
                <w:rFonts w:hint="eastAsia" w:ascii="仿宋" w:hAnsi="仿宋" w:eastAsia="仿宋" w:cs="仿宋"/>
                <w:sz w:val="24"/>
                <w:szCs w:val="24"/>
              </w:rPr>
            </w:pPr>
          </w:p>
        </w:tc>
        <w:tc>
          <w:tcPr>
            <w:tcW w:w="1060" w:type="dxa"/>
            <w:noWrap w:val="0"/>
            <w:vAlign w:val="top"/>
          </w:tcPr>
          <w:p w14:paraId="28DFD06D">
            <w:pPr>
              <w:rPr>
                <w:rFonts w:hint="eastAsia" w:ascii="仿宋" w:hAnsi="仿宋" w:eastAsia="仿宋" w:cs="仿宋"/>
                <w:sz w:val="24"/>
                <w:szCs w:val="24"/>
              </w:rPr>
            </w:pPr>
          </w:p>
        </w:tc>
        <w:tc>
          <w:tcPr>
            <w:tcW w:w="1166" w:type="dxa"/>
            <w:noWrap w:val="0"/>
            <w:vAlign w:val="top"/>
          </w:tcPr>
          <w:p w14:paraId="75CB8B59">
            <w:pPr>
              <w:rPr>
                <w:rFonts w:hint="eastAsia" w:ascii="仿宋" w:hAnsi="仿宋" w:eastAsia="仿宋" w:cs="仿宋"/>
                <w:sz w:val="24"/>
                <w:szCs w:val="24"/>
              </w:rPr>
            </w:pPr>
          </w:p>
        </w:tc>
        <w:tc>
          <w:tcPr>
            <w:tcW w:w="4095" w:type="dxa"/>
            <w:noWrap w:val="0"/>
            <w:vAlign w:val="top"/>
          </w:tcPr>
          <w:p w14:paraId="0E9F4BB7">
            <w:pPr>
              <w:rPr>
                <w:rFonts w:hint="eastAsia" w:ascii="仿宋" w:hAnsi="仿宋" w:eastAsia="仿宋" w:cs="仿宋"/>
                <w:sz w:val="24"/>
                <w:szCs w:val="24"/>
              </w:rPr>
            </w:pPr>
          </w:p>
        </w:tc>
      </w:tr>
      <w:tr w14:paraId="0B4960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1" w:hRule="atLeast"/>
          <w:jc w:val="center"/>
        </w:trPr>
        <w:tc>
          <w:tcPr>
            <w:tcW w:w="2018" w:type="dxa"/>
            <w:noWrap w:val="0"/>
            <w:vAlign w:val="top"/>
          </w:tcPr>
          <w:p w14:paraId="700A07CE">
            <w:pPr>
              <w:rPr>
                <w:rFonts w:hint="eastAsia" w:ascii="仿宋" w:hAnsi="仿宋" w:eastAsia="仿宋" w:cs="仿宋"/>
                <w:sz w:val="24"/>
                <w:szCs w:val="24"/>
              </w:rPr>
            </w:pPr>
          </w:p>
        </w:tc>
        <w:tc>
          <w:tcPr>
            <w:tcW w:w="1166" w:type="dxa"/>
            <w:noWrap w:val="0"/>
            <w:vAlign w:val="top"/>
          </w:tcPr>
          <w:p w14:paraId="18E0E2DD">
            <w:pPr>
              <w:rPr>
                <w:rFonts w:hint="eastAsia" w:ascii="仿宋" w:hAnsi="仿宋" w:eastAsia="仿宋" w:cs="仿宋"/>
                <w:sz w:val="24"/>
                <w:szCs w:val="24"/>
              </w:rPr>
            </w:pPr>
          </w:p>
        </w:tc>
        <w:tc>
          <w:tcPr>
            <w:tcW w:w="1060" w:type="dxa"/>
            <w:noWrap w:val="0"/>
            <w:vAlign w:val="top"/>
          </w:tcPr>
          <w:p w14:paraId="025B7DD5">
            <w:pPr>
              <w:rPr>
                <w:rFonts w:hint="eastAsia" w:ascii="仿宋" w:hAnsi="仿宋" w:eastAsia="仿宋" w:cs="仿宋"/>
                <w:sz w:val="24"/>
                <w:szCs w:val="24"/>
              </w:rPr>
            </w:pPr>
          </w:p>
        </w:tc>
        <w:tc>
          <w:tcPr>
            <w:tcW w:w="1166" w:type="dxa"/>
            <w:noWrap w:val="0"/>
            <w:vAlign w:val="top"/>
          </w:tcPr>
          <w:p w14:paraId="7E1698F5">
            <w:pPr>
              <w:rPr>
                <w:rFonts w:hint="eastAsia" w:ascii="仿宋" w:hAnsi="仿宋" w:eastAsia="仿宋" w:cs="仿宋"/>
                <w:sz w:val="24"/>
                <w:szCs w:val="24"/>
              </w:rPr>
            </w:pPr>
          </w:p>
        </w:tc>
        <w:tc>
          <w:tcPr>
            <w:tcW w:w="4095" w:type="dxa"/>
            <w:noWrap w:val="0"/>
            <w:vAlign w:val="top"/>
          </w:tcPr>
          <w:p w14:paraId="03AA1BB5">
            <w:pPr>
              <w:rPr>
                <w:rFonts w:hint="eastAsia" w:ascii="仿宋" w:hAnsi="仿宋" w:eastAsia="仿宋" w:cs="仿宋"/>
                <w:sz w:val="24"/>
                <w:szCs w:val="24"/>
              </w:rPr>
            </w:pPr>
          </w:p>
        </w:tc>
      </w:tr>
      <w:tr w14:paraId="32FE05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jc w:val="center"/>
        </w:trPr>
        <w:tc>
          <w:tcPr>
            <w:tcW w:w="2018" w:type="dxa"/>
            <w:noWrap w:val="0"/>
            <w:vAlign w:val="top"/>
          </w:tcPr>
          <w:p w14:paraId="27E6E07F">
            <w:pPr>
              <w:rPr>
                <w:rFonts w:hint="eastAsia" w:ascii="仿宋" w:hAnsi="仿宋" w:eastAsia="仿宋" w:cs="仿宋"/>
                <w:sz w:val="24"/>
                <w:szCs w:val="24"/>
              </w:rPr>
            </w:pPr>
          </w:p>
        </w:tc>
        <w:tc>
          <w:tcPr>
            <w:tcW w:w="1166" w:type="dxa"/>
            <w:noWrap w:val="0"/>
            <w:vAlign w:val="top"/>
          </w:tcPr>
          <w:p w14:paraId="24E0FE06">
            <w:pPr>
              <w:rPr>
                <w:rFonts w:hint="eastAsia" w:ascii="仿宋" w:hAnsi="仿宋" w:eastAsia="仿宋" w:cs="仿宋"/>
                <w:sz w:val="24"/>
                <w:szCs w:val="24"/>
              </w:rPr>
            </w:pPr>
          </w:p>
        </w:tc>
        <w:tc>
          <w:tcPr>
            <w:tcW w:w="1060" w:type="dxa"/>
            <w:noWrap w:val="0"/>
            <w:vAlign w:val="top"/>
          </w:tcPr>
          <w:p w14:paraId="07C5A728">
            <w:pPr>
              <w:rPr>
                <w:rFonts w:hint="eastAsia" w:ascii="仿宋" w:hAnsi="仿宋" w:eastAsia="仿宋" w:cs="仿宋"/>
                <w:sz w:val="24"/>
                <w:szCs w:val="24"/>
              </w:rPr>
            </w:pPr>
          </w:p>
        </w:tc>
        <w:tc>
          <w:tcPr>
            <w:tcW w:w="1166" w:type="dxa"/>
            <w:noWrap w:val="0"/>
            <w:vAlign w:val="top"/>
          </w:tcPr>
          <w:p w14:paraId="55690911">
            <w:pPr>
              <w:rPr>
                <w:rFonts w:hint="eastAsia" w:ascii="仿宋" w:hAnsi="仿宋" w:eastAsia="仿宋" w:cs="仿宋"/>
                <w:sz w:val="24"/>
                <w:szCs w:val="24"/>
              </w:rPr>
            </w:pPr>
          </w:p>
        </w:tc>
        <w:tc>
          <w:tcPr>
            <w:tcW w:w="4095" w:type="dxa"/>
            <w:noWrap w:val="0"/>
            <w:vAlign w:val="top"/>
          </w:tcPr>
          <w:p w14:paraId="56E04F70">
            <w:pPr>
              <w:rPr>
                <w:rFonts w:hint="eastAsia" w:ascii="仿宋" w:hAnsi="仿宋" w:eastAsia="仿宋" w:cs="仿宋"/>
                <w:sz w:val="24"/>
                <w:szCs w:val="24"/>
              </w:rPr>
            </w:pPr>
          </w:p>
        </w:tc>
      </w:tr>
    </w:tbl>
    <w:p w14:paraId="08C006B9">
      <w:pPr>
        <w:spacing w:before="99" w:line="186" w:lineRule="auto"/>
        <w:rPr>
          <w:rFonts w:hint="eastAsia" w:ascii="仿宋" w:hAnsi="仿宋" w:eastAsia="仿宋" w:cs="仿宋"/>
          <w:sz w:val="24"/>
          <w:szCs w:val="24"/>
        </w:rPr>
      </w:pPr>
      <w:r>
        <w:rPr>
          <w:rFonts w:hint="eastAsia" w:ascii="仿宋" w:hAnsi="仿宋" w:eastAsia="仿宋" w:cs="仿宋"/>
          <w:spacing w:val="-14"/>
          <w:sz w:val="24"/>
          <w:szCs w:val="24"/>
        </w:rPr>
        <w:t>备注：</w:t>
      </w:r>
    </w:p>
    <w:p w14:paraId="6A555F6A">
      <w:pPr>
        <w:keepNext w:val="0"/>
        <w:keepLines w:val="0"/>
        <w:pageBreakBefore w:val="0"/>
        <w:widowControl w:val="0"/>
        <w:numPr>
          <w:ilvl w:val="0"/>
          <w:numId w:val="0"/>
        </w:numPr>
        <w:kinsoku/>
        <w:wordWrap/>
        <w:overflowPunct/>
        <w:topLinePunct w:val="0"/>
        <w:autoSpaceDE/>
        <w:autoSpaceDN/>
        <w:bidi w:val="0"/>
        <w:adjustRightInd/>
        <w:snapToGrid/>
        <w:spacing w:line="274" w:lineRule="auto"/>
        <w:ind w:firstLine="452" w:firstLineChars="200"/>
        <w:textAlignment w:val="auto"/>
        <w:rPr>
          <w:rFonts w:hint="eastAsia" w:ascii="仿宋" w:hAnsi="仿宋" w:eastAsia="仿宋" w:cs="仿宋"/>
          <w:spacing w:val="-7"/>
          <w:sz w:val="24"/>
          <w:szCs w:val="24"/>
        </w:rPr>
      </w:pPr>
      <w:r>
        <w:rPr>
          <w:rFonts w:hint="eastAsia" w:ascii="仿宋" w:hAnsi="仿宋" w:eastAsia="仿宋" w:cs="仿宋"/>
          <w:spacing w:val="-7"/>
          <w:sz w:val="24"/>
          <w:szCs w:val="24"/>
          <w:lang w:val="en-US" w:eastAsia="zh-CN"/>
        </w:rPr>
        <w:t>1、</w:t>
      </w:r>
      <w:r>
        <w:rPr>
          <w:rFonts w:hint="eastAsia" w:ascii="仿宋" w:hAnsi="仿宋" w:eastAsia="仿宋" w:cs="仿宋"/>
          <w:spacing w:val="-7"/>
          <w:sz w:val="24"/>
          <w:szCs w:val="24"/>
        </w:rPr>
        <w:t>项目现场管理班子人员应包括：</w:t>
      </w:r>
      <w:r>
        <w:rPr>
          <w:rFonts w:hint="eastAsia" w:ascii="仿宋" w:hAnsi="仿宋" w:eastAsia="仿宋" w:cs="仿宋"/>
          <w:spacing w:val="-7"/>
          <w:sz w:val="24"/>
          <w:szCs w:val="24"/>
          <w:lang w:val="en-US" w:eastAsia="zh-CN"/>
        </w:rPr>
        <w:t>技术负责人</w:t>
      </w:r>
      <w:r>
        <w:rPr>
          <w:rFonts w:hint="eastAsia" w:ascii="仿宋" w:hAnsi="仿宋" w:eastAsia="仿宋" w:cs="仿宋"/>
          <w:spacing w:val="-7"/>
          <w:sz w:val="24"/>
          <w:szCs w:val="24"/>
        </w:rPr>
        <w:t>、质量管理员、材料管理员、安全管理员、</w:t>
      </w:r>
      <w:r>
        <w:rPr>
          <w:rFonts w:hint="eastAsia" w:ascii="仿宋" w:hAnsi="仿宋" w:eastAsia="仿宋" w:cs="仿宋"/>
          <w:spacing w:val="-7"/>
          <w:sz w:val="24"/>
          <w:szCs w:val="24"/>
          <w:lang w:val="en-US" w:eastAsia="zh-CN"/>
        </w:rPr>
        <w:t>施工</w:t>
      </w:r>
      <w:r>
        <w:rPr>
          <w:rFonts w:hint="eastAsia" w:ascii="仿宋" w:hAnsi="仿宋" w:eastAsia="仿宋" w:cs="仿宋"/>
          <w:spacing w:val="-7"/>
          <w:sz w:val="24"/>
          <w:szCs w:val="24"/>
        </w:rPr>
        <w:t>管理员、资料员和项目负责人认为需要配备的其他关键人员</w:t>
      </w:r>
      <w:r>
        <w:rPr>
          <w:rFonts w:hint="eastAsia" w:ascii="仿宋" w:hAnsi="仿宋" w:eastAsia="仿宋" w:cs="仿宋"/>
          <w:spacing w:val="-7"/>
          <w:sz w:val="24"/>
          <w:szCs w:val="24"/>
          <w:lang w:eastAsia="zh-CN"/>
        </w:rPr>
        <w:t>；</w:t>
      </w:r>
    </w:p>
    <w:p w14:paraId="440563E8">
      <w:pPr>
        <w:keepNext w:val="0"/>
        <w:keepLines w:val="0"/>
        <w:pageBreakBefore w:val="0"/>
        <w:widowControl w:val="0"/>
        <w:numPr>
          <w:ilvl w:val="0"/>
          <w:numId w:val="0"/>
        </w:numPr>
        <w:kinsoku/>
        <w:wordWrap/>
        <w:overflowPunct/>
        <w:topLinePunct w:val="0"/>
        <w:autoSpaceDE/>
        <w:autoSpaceDN/>
        <w:bidi w:val="0"/>
        <w:adjustRightInd/>
        <w:snapToGrid/>
        <w:spacing w:line="274" w:lineRule="auto"/>
        <w:ind w:firstLine="452" w:firstLineChars="200"/>
        <w:textAlignment w:val="auto"/>
        <w:rPr>
          <w:rFonts w:hint="eastAsia" w:ascii="仿宋" w:hAnsi="仿宋" w:eastAsia="仿宋" w:cs="仿宋"/>
          <w:spacing w:val="-7"/>
          <w:sz w:val="24"/>
          <w:szCs w:val="24"/>
          <w:lang w:eastAsia="zh-CN"/>
        </w:rPr>
      </w:pPr>
      <w:r>
        <w:rPr>
          <w:rFonts w:hint="eastAsia" w:ascii="仿宋" w:hAnsi="仿宋" w:eastAsia="仿宋" w:cs="仿宋"/>
          <w:spacing w:val="-7"/>
          <w:sz w:val="24"/>
          <w:szCs w:val="24"/>
        </w:rPr>
        <w:t>2、项目现场管理班子人员应附职称证书或上岗证书复印件</w:t>
      </w:r>
      <w:r>
        <w:rPr>
          <w:rFonts w:hint="eastAsia" w:ascii="仿宋" w:hAnsi="仿宋" w:eastAsia="仿宋" w:cs="仿宋"/>
          <w:spacing w:val="-7"/>
          <w:sz w:val="24"/>
          <w:szCs w:val="24"/>
          <w:lang w:eastAsia="zh-CN"/>
        </w:rPr>
        <w:t>、</w:t>
      </w:r>
      <w:r>
        <w:rPr>
          <w:rFonts w:hint="eastAsia" w:ascii="仿宋" w:hAnsi="仿宋" w:eastAsia="仿宋" w:cs="仿宋"/>
          <w:spacing w:val="-7"/>
          <w:sz w:val="24"/>
          <w:szCs w:val="24"/>
        </w:rPr>
        <w:t>学历证书</w:t>
      </w:r>
      <w:r>
        <w:rPr>
          <w:rFonts w:hint="eastAsia" w:ascii="仿宋" w:hAnsi="仿宋" w:eastAsia="仿宋" w:cs="仿宋"/>
          <w:spacing w:val="-7"/>
          <w:sz w:val="24"/>
          <w:szCs w:val="24"/>
          <w:lang w:eastAsia="zh-CN"/>
        </w:rPr>
        <w:t>、</w:t>
      </w:r>
      <w:r>
        <w:rPr>
          <w:rFonts w:hint="eastAsia" w:ascii="仿宋" w:hAnsi="仿宋" w:eastAsia="仿宋" w:cs="仿宋"/>
          <w:spacing w:val="-7"/>
          <w:sz w:val="24"/>
          <w:szCs w:val="24"/>
          <w:lang w:val="en-US" w:eastAsia="zh-CN"/>
        </w:rPr>
        <w:t>身份证、劳动合同或近三个月社保缴纳证明</w:t>
      </w:r>
      <w:r>
        <w:rPr>
          <w:rFonts w:hint="eastAsia" w:ascii="仿宋" w:hAnsi="仿宋" w:eastAsia="仿宋" w:cs="仿宋"/>
          <w:spacing w:val="-7"/>
          <w:sz w:val="24"/>
          <w:szCs w:val="24"/>
        </w:rPr>
        <w:t>复印件</w:t>
      </w:r>
      <w:r>
        <w:rPr>
          <w:rFonts w:hint="eastAsia" w:ascii="仿宋" w:hAnsi="仿宋" w:eastAsia="仿宋" w:cs="仿宋"/>
          <w:spacing w:val="-7"/>
          <w:sz w:val="24"/>
          <w:szCs w:val="24"/>
          <w:lang w:eastAsia="zh-CN"/>
        </w:rPr>
        <w:t>；</w:t>
      </w:r>
    </w:p>
    <w:p w14:paraId="6423FBC7">
      <w:pPr>
        <w:keepNext w:val="0"/>
        <w:keepLines w:val="0"/>
        <w:pageBreakBefore w:val="0"/>
        <w:widowControl w:val="0"/>
        <w:numPr>
          <w:ilvl w:val="0"/>
          <w:numId w:val="0"/>
        </w:numPr>
        <w:kinsoku/>
        <w:wordWrap/>
        <w:overflowPunct/>
        <w:topLinePunct w:val="0"/>
        <w:autoSpaceDE/>
        <w:autoSpaceDN/>
        <w:bidi w:val="0"/>
        <w:adjustRightInd/>
        <w:snapToGrid/>
        <w:spacing w:line="274" w:lineRule="auto"/>
        <w:ind w:firstLine="452" w:firstLineChars="200"/>
        <w:textAlignment w:val="auto"/>
        <w:rPr>
          <w:rFonts w:hint="eastAsia" w:ascii="仿宋" w:hAnsi="仿宋" w:eastAsia="仿宋" w:cs="仿宋"/>
          <w:spacing w:val="-7"/>
          <w:sz w:val="24"/>
          <w:szCs w:val="24"/>
        </w:rPr>
      </w:pPr>
      <w:r>
        <w:rPr>
          <w:rFonts w:hint="eastAsia" w:ascii="仿宋" w:hAnsi="仿宋" w:eastAsia="仿宋" w:cs="仿宋"/>
          <w:spacing w:val="-7"/>
          <w:sz w:val="24"/>
          <w:szCs w:val="24"/>
          <w:lang w:val="en-US" w:eastAsia="zh-CN"/>
        </w:rPr>
        <w:t>3、</w:t>
      </w:r>
      <w:r>
        <w:rPr>
          <w:rFonts w:hint="eastAsia" w:ascii="仿宋" w:hAnsi="仿宋" w:eastAsia="仿宋" w:cs="仿宋"/>
          <w:spacing w:val="-7"/>
          <w:sz w:val="24"/>
          <w:szCs w:val="24"/>
        </w:rPr>
        <w:t>本</w:t>
      </w:r>
      <w:r>
        <w:rPr>
          <w:rFonts w:hint="eastAsia" w:ascii="仿宋" w:hAnsi="仿宋" w:eastAsia="仿宋" w:cs="仿宋"/>
          <w:spacing w:val="-7"/>
          <w:sz w:val="24"/>
          <w:szCs w:val="24"/>
          <w:lang w:val="en-US" w:eastAsia="zh-CN"/>
        </w:rPr>
        <w:t>项目</w:t>
      </w:r>
      <w:r>
        <w:rPr>
          <w:rFonts w:hint="eastAsia" w:ascii="仿宋" w:hAnsi="仿宋" w:eastAsia="仿宋" w:cs="仿宋"/>
          <w:spacing w:val="-7"/>
          <w:sz w:val="24"/>
          <w:szCs w:val="24"/>
        </w:rPr>
        <w:t>一旦我单位中标，将由上述人员组建为项目管理班子。我单位承诺上述填报内容真实，如不真实，将按照有关规定接受处理。</w:t>
      </w:r>
    </w:p>
    <w:p w14:paraId="14C874E8">
      <w:pPr>
        <w:spacing w:line="360" w:lineRule="auto"/>
        <w:ind w:right="-21" w:rightChars="-10"/>
        <w:jc w:val="left"/>
        <w:rPr>
          <w:rFonts w:hint="eastAsia" w:ascii="仿宋" w:hAnsi="仿宋" w:eastAsia="仿宋" w:cs="仿宋"/>
          <w:b/>
          <w:sz w:val="28"/>
          <w:szCs w:val="28"/>
        </w:rPr>
      </w:pPr>
    </w:p>
    <w:p w14:paraId="27D42031">
      <w:pPr>
        <w:spacing w:line="360" w:lineRule="auto"/>
        <w:ind w:right="-21" w:rightChars="-10"/>
        <w:rPr>
          <w:rFonts w:hint="eastAsia" w:ascii="仿宋" w:hAnsi="仿宋" w:eastAsia="仿宋" w:cs="仿宋"/>
          <w:spacing w:val="20"/>
          <w:sz w:val="24"/>
        </w:rPr>
      </w:pPr>
      <w:r>
        <w:rPr>
          <w:rFonts w:hint="eastAsia" w:ascii="仿宋" w:hAnsi="仿宋" w:eastAsia="仿宋" w:cs="仿宋"/>
          <w:sz w:val="24"/>
        </w:rPr>
        <w:t>投标人（</w:t>
      </w:r>
      <w:r>
        <w:rPr>
          <w:rFonts w:hint="eastAsia" w:ascii="仿宋" w:hAnsi="仿宋" w:eastAsia="仿宋" w:cs="仿宋"/>
          <w:spacing w:val="20"/>
          <w:sz w:val="24"/>
        </w:rPr>
        <w:t>盖章）：</w:t>
      </w:r>
    </w:p>
    <w:p w14:paraId="1EC987F0">
      <w:pPr>
        <w:spacing w:line="360" w:lineRule="auto"/>
        <w:ind w:right="-21" w:rightChars="-10"/>
        <w:rPr>
          <w:rFonts w:hint="eastAsia" w:ascii="仿宋" w:hAnsi="仿宋" w:eastAsia="仿宋" w:cs="仿宋"/>
          <w:sz w:val="24"/>
        </w:rPr>
        <w:sectPr>
          <w:type w:val="continuous"/>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仿宋" w:hAnsi="仿宋" w:eastAsia="仿宋" w:cs="仿宋"/>
          <w:sz w:val="24"/>
        </w:rPr>
        <w:t xml:space="preserve">日期： </w:t>
      </w:r>
    </w:p>
    <w:p w14:paraId="6BC1733E">
      <w:pPr>
        <w:tabs>
          <w:tab w:val="left" w:pos="6300"/>
        </w:tabs>
        <w:snapToGrid w:val="0"/>
        <w:spacing w:line="500" w:lineRule="exact"/>
        <w:ind w:firstLine="422" w:firstLineChars="200"/>
        <w:jc w:val="center"/>
        <w:rPr>
          <w:rFonts w:hint="eastAsia" w:ascii="仿宋" w:hAnsi="仿宋" w:eastAsia="仿宋" w:cs="仿宋"/>
          <w:sz w:val="21"/>
          <w:szCs w:val="21"/>
          <w:lang w:val="en-US" w:eastAsia="zh-CN"/>
        </w:rPr>
      </w:pPr>
      <w:r>
        <w:rPr>
          <w:rFonts w:hint="eastAsia" w:ascii="仿宋" w:hAnsi="仿宋" w:eastAsia="仿宋" w:cs="仿宋"/>
          <w:b/>
          <w:bCs/>
          <w:sz w:val="21"/>
          <w:szCs w:val="21"/>
          <w:lang w:val="en-US" w:eastAsia="zh-CN"/>
        </w:rPr>
        <w:t>20.</w:t>
      </w:r>
      <w:r>
        <w:rPr>
          <w:rFonts w:hint="eastAsia" w:ascii="仿宋" w:hAnsi="仿宋" w:eastAsia="仿宋" w:cs="仿宋"/>
          <w:b/>
          <w:bCs/>
          <w:sz w:val="21"/>
          <w:szCs w:val="21"/>
        </w:rPr>
        <w:t xml:space="preserve"> </w:t>
      </w:r>
      <w:r>
        <w:rPr>
          <w:rFonts w:hint="eastAsia" w:ascii="仿宋" w:hAnsi="仿宋" w:eastAsia="仿宋" w:cs="仿宋"/>
          <w:b/>
          <w:bCs/>
          <w:sz w:val="21"/>
          <w:szCs w:val="21"/>
          <w:lang w:val="en-US" w:eastAsia="zh-CN"/>
        </w:rPr>
        <w:t>商务标偏离表</w:t>
      </w:r>
    </w:p>
    <w:p w14:paraId="23920F4D">
      <w:pPr>
        <w:pStyle w:val="12"/>
        <w:tabs>
          <w:tab w:val="left" w:pos="6300"/>
        </w:tabs>
        <w:snapToGrid w:val="0"/>
        <w:spacing w:line="500" w:lineRule="exact"/>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项目名称：</w:t>
      </w:r>
    </w:p>
    <w:tbl>
      <w:tblPr>
        <w:tblStyle w:val="24"/>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14:paraId="1726B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14:paraId="6B3FADED">
            <w:pPr>
              <w:tabs>
                <w:tab w:val="left" w:pos="6300"/>
              </w:tabs>
              <w:snapToGrid w:val="0"/>
              <w:spacing w:line="500" w:lineRule="exact"/>
              <w:jc w:val="center"/>
              <w:outlineLvl w:val="0"/>
              <w:rPr>
                <w:rFonts w:hint="eastAsia" w:ascii="仿宋" w:hAnsi="仿宋" w:eastAsia="仿宋" w:cs="仿宋"/>
                <w:sz w:val="21"/>
                <w:szCs w:val="21"/>
              </w:rPr>
            </w:pPr>
            <w:bookmarkStart w:id="155" w:name="_Toc503777884"/>
            <w:r>
              <w:rPr>
                <w:rFonts w:hint="eastAsia" w:ascii="仿宋" w:hAnsi="仿宋" w:eastAsia="仿宋" w:cs="仿宋"/>
                <w:sz w:val="21"/>
                <w:szCs w:val="21"/>
              </w:rPr>
              <w:t>序号</w:t>
            </w:r>
            <w:bookmarkEnd w:id="155"/>
          </w:p>
        </w:tc>
        <w:tc>
          <w:tcPr>
            <w:tcW w:w="2969" w:type="dxa"/>
            <w:noWrap w:val="0"/>
            <w:vAlign w:val="center"/>
          </w:tcPr>
          <w:p w14:paraId="454E394A">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14:paraId="3FBB806C">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14:paraId="7AFE246F">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14:paraId="58963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14:paraId="6CB670CD">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14:paraId="190A7DB4">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14:paraId="16DFE4C8">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14:paraId="46A8D131">
            <w:pPr>
              <w:tabs>
                <w:tab w:val="left" w:pos="6300"/>
              </w:tabs>
              <w:snapToGrid w:val="0"/>
              <w:spacing w:line="500" w:lineRule="exact"/>
              <w:jc w:val="center"/>
              <w:outlineLvl w:val="0"/>
              <w:rPr>
                <w:rFonts w:hint="eastAsia" w:ascii="仿宋" w:hAnsi="仿宋" w:eastAsia="仿宋" w:cs="仿宋"/>
                <w:sz w:val="21"/>
                <w:szCs w:val="21"/>
              </w:rPr>
            </w:pPr>
          </w:p>
        </w:tc>
      </w:tr>
      <w:tr w14:paraId="3740C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14:paraId="08E2D418">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14:paraId="1BD3A2F5">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14:paraId="301FAB35">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14:paraId="46B94857">
            <w:pPr>
              <w:tabs>
                <w:tab w:val="left" w:pos="6300"/>
              </w:tabs>
              <w:snapToGrid w:val="0"/>
              <w:spacing w:line="500" w:lineRule="exact"/>
              <w:jc w:val="center"/>
              <w:outlineLvl w:val="0"/>
              <w:rPr>
                <w:rFonts w:hint="eastAsia" w:ascii="仿宋" w:hAnsi="仿宋" w:eastAsia="仿宋" w:cs="仿宋"/>
                <w:sz w:val="21"/>
                <w:szCs w:val="21"/>
              </w:rPr>
            </w:pPr>
          </w:p>
        </w:tc>
      </w:tr>
      <w:tr w14:paraId="57B63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14:paraId="1592F0CD">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14:paraId="45691482">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14:paraId="3EA0CAEE">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14:paraId="2320DC5B">
            <w:pPr>
              <w:tabs>
                <w:tab w:val="left" w:pos="6300"/>
              </w:tabs>
              <w:snapToGrid w:val="0"/>
              <w:spacing w:line="500" w:lineRule="exact"/>
              <w:jc w:val="center"/>
              <w:outlineLvl w:val="0"/>
              <w:rPr>
                <w:rFonts w:hint="eastAsia" w:ascii="仿宋" w:hAnsi="仿宋" w:eastAsia="仿宋" w:cs="仿宋"/>
                <w:sz w:val="21"/>
                <w:szCs w:val="21"/>
              </w:rPr>
            </w:pPr>
          </w:p>
        </w:tc>
      </w:tr>
      <w:tr w14:paraId="5DE05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14:paraId="60E3B30A">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14:paraId="2ED764BA">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14:paraId="757949F4">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14:paraId="14DF070D">
            <w:pPr>
              <w:tabs>
                <w:tab w:val="left" w:pos="6300"/>
              </w:tabs>
              <w:snapToGrid w:val="0"/>
              <w:spacing w:line="500" w:lineRule="exact"/>
              <w:jc w:val="center"/>
              <w:outlineLvl w:val="0"/>
              <w:rPr>
                <w:rFonts w:hint="eastAsia" w:ascii="仿宋" w:hAnsi="仿宋" w:eastAsia="仿宋" w:cs="仿宋"/>
                <w:sz w:val="21"/>
                <w:szCs w:val="21"/>
              </w:rPr>
            </w:pPr>
          </w:p>
        </w:tc>
      </w:tr>
      <w:tr w14:paraId="2BDA1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14:paraId="7173298F">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14:paraId="6F7529C4">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14:paraId="58039E8C">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14:paraId="7EACC262">
            <w:pPr>
              <w:tabs>
                <w:tab w:val="left" w:pos="6300"/>
              </w:tabs>
              <w:snapToGrid w:val="0"/>
              <w:spacing w:line="500" w:lineRule="exact"/>
              <w:jc w:val="center"/>
              <w:outlineLvl w:val="0"/>
              <w:rPr>
                <w:rFonts w:hint="eastAsia" w:ascii="仿宋" w:hAnsi="仿宋" w:eastAsia="仿宋" w:cs="仿宋"/>
                <w:sz w:val="21"/>
                <w:szCs w:val="21"/>
              </w:rPr>
            </w:pPr>
          </w:p>
        </w:tc>
      </w:tr>
      <w:tr w14:paraId="0D96D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14:paraId="1770094F">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14:paraId="612A217E">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14:paraId="37DCE97C">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14:paraId="32A697F9">
            <w:pPr>
              <w:tabs>
                <w:tab w:val="left" w:pos="6300"/>
              </w:tabs>
              <w:snapToGrid w:val="0"/>
              <w:spacing w:line="500" w:lineRule="exact"/>
              <w:jc w:val="center"/>
              <w:outlineLvl w:val="0"/>
              <w:rPr>
                <w:rFonts w:hint="eastAsia" w:ascii="仿宋" w:hAnsi="仿宋" w:eastAsia="仿宋" w:cs="仿宋"/>
                <w:sz w:val="21"/>
                <w:szCs w:val="21"/>
              </w:rPr>
            </w:pPr>
          </w:p>
        </w:tc>
      </w:tr>
    </w:tbl>
    <w:p w14:paraId="4D6331A9">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14:paraId="6FA92245">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14:paraId="3F296369">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14:paraId="346D2A1E">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文件中商务条款（包括</w:t>
      </w:r>
      <w:r>
        <w:rPr>
          <w:rFonts w:hint="eastAsia" w:ascii="仿宋" w:hAnsi="仿宋" w:eastAsia="仿宋" w:cs="仿宋"/>
          <w:color w:val="auto"/>
          <w:sz w:val="21"/>
          <w:szCs w:val="21"/>
          <w:highlight w:val="none"/>
          <w:lang w:val="en-US" w:eastAsia="zh-CN"/>
        </w:rPr>
        <w:t>合同履行期限</w:t>
      </w:r>
      <w:r>
        <w:rPr>
          <w:rFonts w:hint="eastAsia" w:ascii="仿宋" w:hAnsi="仿宋" w:eastAsia="仿宋" w:cs="仿宋"/>
          <w:color w:val="auto"/>
          <w:sz w:val="21"/>
          <w:szCs w:val="21"/>
          <w:highlight w:val="none"/>
        </w:rPr>
        <w:t>、付款、合同条款以及其它所有商务内容）与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文件有偏差的，均应在此表中列出（内容较多的可以标注见响应文件第几页，偏差包括正偏差和负偏差）。</w:t>
      </w:r>
    </w:p>
    <w:p w14:paraId="588EC69F">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5BED5CCD">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3A2C2EB8">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341D4AF6">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0159A970">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48259F5A">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45818136">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34D35175">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4A7DD30E">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14:paraId="7B5B15E7">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14:paraId="68580277">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14:paraId="68FE0DCC">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14:paraId="46358B1D">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14:paraId="056B671E">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21.</w:t>
      </w:r>
      <w:r>
        <w:rPr>
          <w:rFonts w:hint="eastAsia" w:ascii="仿宋" w:hAnsi="仿宋" w:eastAsia="仿宋" w:cs="仿宋"/>
          <w:b/>
          <w:color w:val="auto"/>
          <w:sz w:val="21"/>
          <w:szCs w:val="21"/>
          <w:highlight w:val="none"/>
        </w:rPr>
        <w:t>技术条款偏差表</w:t>
      </w:r>
    </w:p>
    <w:p w14:paraId="04692C1C">
      <w:pPr>
        <w:pStyle w:val="12"/>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4"/>
        <w:tblW w:w="103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1325"/>
        <w:gridCol w:w="2331"/>
        <w:gridCol w:w="1954"/>
        <w:gridCol w:w="1524"/>
        <w:gridCol w:w="2306"/>
      </w:tblGrid>
      <w:tr w14:paraId="29BB2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0" w:type="dxa"/>
            <w:noWrap w:val="0"/>
            <w:vAlign w:val="center"/>
          </w:tcPr>
          <w:p w14:paraId="6D409D22">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1325" w:type="dxa"/>
            <w:noWrap w:val="0"/>
            <w:vAlign w:val="center"/>
          </w:tcPr>
          <w:p w14:paraId="6CEEAEC7">
            <w:pPr>
              <w:keepNext w:val="0"/>
              <w:keepLines w:val="0"/>
              <w:suppressLineNumbers w:val="0"/>
              <w:spacing w:before="0" w:beforeAutospacing="0" w:after="0" w:afterAutospacing="0" w:line="360" w:lineRule="auto"/>
              <w:ind w:left="0" w:leftChars="0" w:right="0" w:rightChars="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货物名称</w:t>
            </w:r>
          </w:p>
        </w:tc>
        <w:tc>
          <w:tcPr>
            <w:tcW w:w="2331" w:type="dxa"/>
            <w:noWrap w:val="0"/>
            <w:vAlign w:val="center"/>
          </w:tcPr>
          <w:p w14:paraId="7ED9567B">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1954" w:type="dxa"/>
            <w:noWrap w:val="0"/>
            <w:vAlign w:val="center"/>
          </w:tcPr>
          <w:p w14:paraId="56964858">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1524" w:type="dxa"/>
            <w:noWrap w:val="0"/>
            <w:vAlign w:val="center"/>
          </w:tcPr>
          <w:p w14:paraId="15C4F0A4">
            <w:pPr>
              <w:keepNext w:val="0"/>
              <w:keepLines w:val="0"/>
              <w:suppressLineNumbers w:val="0"/>
              <w:spacing w:before="0" w:beforeAutospacing="0" w:after="0" w:afterAutospacing="0" w:line="360" w:lineRule="auto"/>
              <w:ind w:left="0" w:leftChars="0" w:right="0" w:rightChars="0"/>
              <w:jc w:val="center"/>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偏离情况</w:t>
            </w:r>
          </w:p>
        </w:tc>
        <w:tc>
          <w:tcPr>
            <w:tcW w:w="2306" w:type="dxa"/>
            <w:noWrap w:val="0"/>
            <w:vAlign w:val="center"/>
          </w:tcPr>
          <w:p w14:paraId="0BAAE1FE">
            <w:pPr>
              <w:keepNext w:val="0"/>
              <w:keepLines w:val="0"/>
              <w:suppressLineNumbers w:val="0"/>
              <w:spacing w:before="0" w:beforeAutospacing="0" w:after="0" w:afterAutospacing="0" w:line="360" w:lineRule="auto"/>
              <w:ind w:left="0" w:leftChars="0" w:right="0" w:rightChars="0"/>
              <w:jc w:val="center"/>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备注</w:t>
            </w:r>
          </w:p>
        </w:tc>
      </w:tr>
      <w:tr w14:paraId="37F88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50" w:type="dxa"/>
            <w:noWrap w:val="0"/>
            <w:vAlign w:val="center"/>
          </w:tcPr>
          <w:p w14:paraId="40117435">
            <w:pPr>
              <w:tabs>
                <w:tab w:val="left" w:pos="6300"/>
              </w:tabs>
              <w:snapToGrid w:val="0"/>
              <w:spacing w:line="500" w:lineRule="exact"/>
              <w:jc w:val="center"/>
              <w:outlineLvl w:val="0"/>
              <w:rPr>
                <w:rFonts w:hint="eastAsia" w:ascii="仿宋" w:hAnsi="仿宋" w:eastAsia="仿宋" w:cs="仿宋"/>
                <w:sz w:val="21"/>
                <w:szCs w:val="21"/>
              </w:rPr>
            </w:pPr>
          </w:p>
        </w:tc>
        <w:tc>
          <w:tcPr>
            <w:tcW w:w="1325" w:type="dxa"/>
            <w:noWrap w:val="0"/>
            <w:vAlign w:val="center"/>
          </w:tcPr>
          <w:p w14:paraId="0DFE2318">
            <w:pPr>
              <w:tabs>
                <w:tab w:val="left" w:pos="6300"/>
              </w:tabs>
              <w:snapToGrid w:val="0"/>
              <w:spacing w:line="500" w:lineRule="exact"/>
              <w:jc w:val="center"/>
              <w:outlineLvl w:val="0"/>
              <w:rPr>
                <w:rFonts w:hint="eastAsia" w:ascii="仿宋" w:hAnsi="仿宋" w:eastAsia="仿宋" w:cs="仿宋"/>
                <w:sz w:val="21"/>
                <w:szCs w:val="21"/>
              </w:rPr>
            </w:pPr>
          </w:p>
        </w:tc>
        <w:tc>
          <w:tcPr>
            <w:tcW w:w="2331" w:type="dxa"/>
            <w:noWrap w:val="0"/>
            <w:vAlign w:val="center"/>
          </w:tcPr>
          <w:p w14:paraId="62A7E89E">
            <w:pPr>
              <w:tabs>
                <w:tab w:val="left" w:pos="6300"/>
              </w:tabs>
              <w:snapToGrid w:val="0"/>
              <w:spacing w:line="500" w:lineRule="exact"/>
              <w:jc w:val="center"/>
              <w:outlineLvl w:val="0"/>
              <w:rPr>
                <w:rFonts w:hint="eastAsia" w:ascii="仿宋" w:hAnsi="仿宋" w:eastAsia="仿宋" w:cs="仿宋"/>
                <w:sz w:val="21"/>
                <w:szCs w:val="21"/>
              </w:rPr>
            </w:pPr>
          </w:p>
        </w:tc>
        <w:tc>
          <w:tcPr>
            <w:tcW w:w="1954" w:type="dxa"/>
            <w:noWrap w:val="0"/>
            <w:vAlign w:val="center"/>
          </w:tcPr>
          <w:p w14:paraId="2A787B79">
            <w:pPr>
              <w:tabs>
                <w:tab w:val="left" w:pos="6300"/>
              </w:tabs>
              <w:snapToGrid w:val="0"/>
              <w:spacing w:line="500" w:lineRule="exact"/>
              <w:jc w:val="center"/>
              <w:outlineLvl w:val="0"/>
              <w:rPr>
                <w:rFonts w:hint="eastAsia" w:ascii="仿宋" w:hAnsi="仿宋" w:eastAsia="仿宋" w:cs="仿宋"/>
                <w:sz w:val="21"/>
                <w:szCs w:val="21"/>
              </w:rPr>
            </w:pPr>
          </w:p>
        </w:tc>
        <w:tc>
          <w:tcPr>
            <w:tcW w:w="1524" w:type="dxa"/>
            <w:noWrap w:val="0"/>
            <w:vAlign w:val="center"/>
          </w:tcPr>
          <w:p w14:paraId="69E4BF79">
            <w:pPr>
              <w:tabs>
                <w:tab w:val="left" w:pos="6300"/>
              </w:tabs>
              <w:snapToGrid w:val="0"/>
              <w:spacing w:line="500" w:lineRule="exact"/>
              <w:jc w:val="center"/>
              <w:outlineLvl w:val="0"/>
              <w:rPr>
                <w:rFonts w:hint="eastAsia" w:ascii="仿宋" w:hAnsi="仿宋" w:eastAsia="仿宋" w:cs="仿宋"/>
                <w:sz w:val="21"/>
                <w:szCs w:val="21"/>
              </w:rPr>
            </w:pPr>
          </w:p>
        </w:tc>
        <w:tc>
          <w:tcPr>
            <w:tcW w:w="2306" w:type="dxa"/>
            <w:noWrap w:val="0"/>
            <w:vAlign w:val="center"/>
          </w:tcPr>
          <w:p w14:paraId="48FF7694">
            <w:pPr>
              <w:tabs>
                <w:tab w:val="left" w:pos="6300"/>
              </w:tabs>
              <w:snapToGrid w:val="0"/>
              <w:spacing w:line="500" w:lineRule="exact"/>
              <w:jc w:val="center"/>
              <w:outlineLvl w:val="0"/>
              <w:rPr>
                <w:rFonts w:hint="eastAsia" w:ascii="仿宋" w:hAnsi="仿宋" w:eastAsia="仿宋" w:cs="仿宋"/>
                <w:sz w:val="21"/>
                <w:szCs w:val="21"/>
              </w:rPr>
            </w:pPr>
          </w:p>
        </w:tc>
      </w:tr>
      <w:tr w14:paraId="6F5C8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50" w:type="dxa"/>
            <w:noWrap w:val="0"/>
            <w:vAlign w:val="center"/>
          </w:tcPr>
          <w:p w14:paraId="77F8E6A1">
            <w:pPr>
              <w:tabs>
                <w:tab w:val="left" w:pos="6300"/>
              </w:tabs>
              <w:snapToGrid w:val="0"/>
              <w:spacing w:line="500" w:lineRule="exact"/>
              <w:jc w:val="center"/>
              <w:outlineLvl w:val="0"/>
              <w:rPr>
                <w:rFonts w:hint="eastAsia" w:ascii="仿宋" w:hAnsi="仿宋" w:eastAsia="仿宋" w:cs="仿宋"/>
                <w:sz w:val="21"/>
                <w:szCs w:val="21"/>
              </w:rPr>
            </w:pPr>
          </w:p>
        </w:tc>
        <w:tc>
          <w:tcPr>
            <w:tcW w:w="1325" w:type="dxa"/>
            <w:noWrap w:val="0"/>
            <w:vAlign w:val="center"/>
          </w:tcPr>
          <w:p w14:paraId="4FB6BCAD">
            <w:pPr>
              <w:tabs>
                <w:tab w:val="left" w:pos="6300"/>
              </w:tabs>
              <w:snapToGrid w:val="0"/>
              <w:spacing w:line="500" w:lineRule="exact"/>
              <w:jc w:val="center"/>
              <w:outlineLvl w:val="0"/>
              <w:rPr>
                <w:rFonts w:hint="eastAsia" w:ascii="仿宋" w:hAnsi="仿宋" w:eastAsia="仿宋" w:cs="仿宋"/>
                <w:sz w:val="21"/>
                <w:szCs w:val="21"/>
              </w:rPr>
            </w:pPr>
          </w:p>
        </w:tc>
        <w:tc>
          <w:tcPr>
            <w:tcW w:w="2331" w:type="dxa"/>
            <w:noWrap w:val="0"/>
            <w:vAlign w:val="center"/>
          </w:tcPr>
          <w:p w14:paraId="67D51C09">
            <w:pPr>
              <w:tabs>
                <w:tab w:val="left" w:pos="6300"/>
              </w:tabs>
              <w:snapToGrid w:val="0"/>
              <w:spacing w:line="500" w:lineRule="exact"/>
              <w:jc w:val="center"/>
              <w:outlineLvl w:val="0"/>
              <w:rPr>
                <w:rFonts w:hint="eastAsia" w:ascii="仿宋" w:hAnsi="仿宋" w:eastAsia="仿宋" w:cs="仿宋"/>
                <w:sz w:val="21"/>
                <w:szCs w:val="21"/>
              </w:rPr>
            </w:pPr>
          </w:p>
        </w:tc>
        <w:tc>
          <w:tcPr>
            <w:tcW w:w="1954" w:type="dxa"/>
            <w:noWrap w:val="0"/>
            <w:vAlign w:val="center"/>
          </w:tcPr>
          <w:p w14:paraId="5AD73139">
            <w:pPr>
              <w:tabs>
                <w:tab w:val="left" w:pos="6300"/>
              </w:tabs>
              <w:snapToGrid w:val="0"/>
              <w:spacing w:line="500" w:lineRule="exact"/>
              <w:jc w:val="center"/>
              <w:outlineLvl w:val="0"/>
              <w:rPr>
                <w:rFonts w:hint="eastAsia" w:ascii="仿宋" w:hAnsi="仿宋" w:eastAsia="仿宋" w:cs="仿宋"/>
                <w:sz w:val="21"/>
                <w:szCs w:val="21"/>
              </w:rPr>
            </w:pPr>
          </w:p>
        </w:tc>
        <w:tc>
          <w:tcPr>
            <w:tcW w:w="1524" w:type="dxa"/>
            <w:noWrap w:val="0"/>
            <w:vAlign w:val="center"/>
          </w:tcPr>
          <w:p w14:paraId="0B7F6BF0">
            <w:pPr>
              <w:tabs>
                <w:tab w:val="left" w:pos="6300"/>
              </w:tabs>
              <w:snapToGrid w:val="0"/>
              <w:spacing w:line="500" w:lineRule="exact"/>
              <w:jc w:val="center"/>
              <w:outlineLvl w:val="0"/>
              <w:rPr>
                <w:rFonts w:hint="eastAsia" w:ascii="仿宋" w:hAnsi="仿宋" w:eastAsia="仿宋" w:cs="仿宋"/>
                <w:sz w:val="21"/>
                <w:szCs w:val="21"/>
              </w:rPr>
            </w:pPr>
          </w:p>
        </w:tc>
        <w:tc>
          <w:tcPr>
            <w:tcW w:w="2306" w:type="dxa"/>
            <w:noWrap w:val="0"/>
            <w:vAlign w:val="center"/>
          </w:tcPr>
          <w:p w14:paraId="6E91AEDE">
            <w:pPr>
              <w:tabs>
                <w:tab w:val="left" w:pos="6300"/>
              </w:tabs>
              <w:snapToGrid w:val="0"/>
              <w:spacing w:line="500" w:lineRule="exact"/>
              <w:jc w:val="center"/>
              <w:outlineLvl w:val="0"/>
              <w:rPr>
                <w:rFonts w:hint="eastAsia" w:ascii="仿宋" w:hAnsi="仿宋" w:eastAsia="仿宋" w:cs="仿宋"/>
                <w:sz w:val="21"/>
                <w:szCs w:val="21"/>
              </w:rPr>
            </w:pPr>
          </w:p>
        </w:tc>
      </w:tr>
      <w:tr w14:paraId="36BC2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50" w:type="dxa"/>
            <w:noWrap w:val="0"/>
            <w:vAlign w:val="center"/>
          </w:tcPr>
          <w:p w14:paraId="63F0D051">
            <w:pPr>
              <w:tabs>
                <w:tab w:val="left" w:pos="6300"/>
              </w:tabs>
              <w:snapToGrid w:val="0"/>
              <w:spacing w:line="500" w:lineRule="exact"/>
              <w:jc w:val="center"/>
              <w:outlineLvl w:val="0"/>
              <w:rPr>
                <w:rFonts w:hint="eastAsia" w:ascii="仿宋" w:hAnsi="仿宋" w:eastAsia="仿宋" w:cs="仿宋"/>
                <w:sz w:val="21"/>
                <w:szCs w:val="21"/>
              </w:rPr>
            </w:pPr>
          </w:p>
        </w:tc>
        <w:tc>
          <w:tcPr>
            <w:tcW w:w="1325" w:type="dxa"/>
            <w:noWrap w:val="0"/>
            <w:vAlign w:val="center"/>
          </w:tcPr>
          <w:p w14:paraId="7E935C6D">
            <w:pPr>
              <w:tabs>
                <w:tab w:val="left" w:pos="6300"/>
              </w:tabs>
              <w:snapToGrid w:val="0"/>
              <w:spacing w:line="500" w:lineRule="exact"/>
              <w:jc w:val="center"/>
              <w:outlineLvl w:val="0"/>
              <w:rPr>
                <w:rFonts w:hint="eastAsia" w:ascii="仿宋" w:hAnsi="仿宋" w:eastAsia="仿宋" w:cs="仿宋"/>
                <w:sz w:val="21"/>
                <w:szCs w:val="21"/>
              </w:rPr>
            </w:pPr>
          </w:p>
        </w:tc>
        <w:tc>
          <w:tcPr>
            <w:tcW w:w="2331" w:type="dxa"/>
            <w:noWrap w:val="0"/>
            <w:vAlign w:val="center"/>
          </w:tcPr>
          <w:p w14:paraId="15711383">
            <w:pPr>
              <w:tabs>
                <w:tab w:val="left" w:pos="6300"/>
              </w:tabs>
              <w:snapToGrid w:val="0"/>
              <w:spacing w:line="500" w:lineRule="exact"/>
              <w:jc w:val="center"/>
              <w:outlineLvl w:val="0"/>
              <w:rPr>
                <w:rFonts w:hint="eastAsia" w:ascii="仿宋" w:hAnsi="仿宋" w:eastAsia="仿宋" w:cs="仿宋"/>
                <w:sz w:val="21"/>
                <w:szCs w:val="21"/>
              </w:rPr>
            </w:pPr>
          </w:p>
        </w:tc>
        <w:tc>
          <w:tcPr>
            <w:tcW w:w="1954" w:type="dxa"/>
            <w:noWrap w:val="0"/>
            <w:vAlign w:val="center"/>
          </w:tcPr>
          <w:p w14:paraId="66A305E8">
            <w:pPr>
              <w:tabs>
                <w:tab w:val="left" w:pos="6300"/>
              </w:tabs>
              <w:snapToGrid w:val="0"/>
              <w:spacing w:line="500" w:lineRule="exact"/>
              <w:jc w:val="center"/>
              <w:outlineLvl w:val="0"/>
              <w:rPr>
                <w:rFonts w:hint="eastAsia" w:ascii="仿宋" w:hAnsi="仿宋" w:eastAsia="仿宋" w:cs="仿宋"/>
                <w:sz w:val="21"/>
                <w:szCs w:val="21"/>
              </w:rPr>
            </w:pPr>
          </w:p>
        </w:tc>
        <w:tc>
          <w:tcPr>
            <w:tcW w:w="1524" w:type="dxa"/>
            <w:noWrap w:val="0"/>
            <w:vAlign w:val="center"/>
          </w:tcPr>
          <w:p w14:paraId="42222F6B">
            <w:pPr>
              <w:tabs>
                <w:tab w:val="left" w:pos="6300"/>
              </w:tabs>
              <w:snapToGrid w:val="0"/>
              <w:spacing w:line="500" w:lineRule="exact"/>
              <w:jc w:val="center"/>
              <w:outlineLvl w:val="0"/>
              <w:rPr>
                <w:rFonts w:hint="eastAsia" w:ascii="仿宋" w:hAnsi="仿宋" w:eastAsia="仿宋" w:cs="仿宋"/>
                <w:sz w:val="21"/>
                <w:szCs w:val="21"/>
              </w:rPr>
            </w:pPr>
          </w:p>
        </w:tc>
        <w:tc>
          <w:tcPr>
            <w:tcW w:w="2306" w:type="dxa"/>
            <w:noWrap w:val="0"/>
            <w:vAlign w:val="center"/>
          </w:tcPr>
          <w:p w14:paraId="4B27B238">
            <w:pPr>
              <w:tabs>
                <w:tab w:val="left" w:pos="6300"/>
              </w:tabs>
              <w:snapToGrid w:val="0"/>
              <w:spacing w:line="500" w:lineRule="exact"/>
              <w:jc w:val="center"/>
              <w:outlineLvl w:val="0"/>
              <w:rPr>
                <w:rFonts w:hint="eastAsia" w:ascii="仿宋" w:hAnsi="仿宋" w:eastAsia="仿宋" w:cs="仿宋"/>
                <w:sz w:val="21"/>
                <w:szCs w:val="21"/>
              </w:rPr>
            </w:pPr>
          </w:p>
        </w:tc>
      </w:tr>
      <w:tr w14:paraId="0B278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50" w:type="dxa"/>
            <w:noWrap w:val="0"/>
            <w:vAlign w:val="center"/>
          </w:tcPr>
          <w:p w14:paraId="34DC83A3">
            <w:pPr>
              <w:tabs>
                <w:tab w:val="left" w:pos="6300"/>
              </w:tabs>
              <w:snapToGrid w:val="0"/>
              <w:spacing w:line="500" w:lineRule="exact"/>
              <w:jc w:val="center"/>
              <w:outlineLvl w:val="0"/>
              <w:rPr>
                <w:rFonts w:hint="eastAsia" w:ascii="仿宋" w:hAnsi="仿宋" w:eastAsia="仿宋" w:cs="仿宋"/>
                <w:sz w:val="21"/>
                <w:szCs w:val="21"/>
              </w:rPr>
            </w:pPr>
          </w:p>
        </w:tc>
        <w:tc>
          <w:tcPr>
            <w:tcW w:w="1325" w:type="dxa"/>
            <w:noWrap w:val="0"/>
            <w:vAlign w:val="center"/>
          </w:tcPr>
          <w:p w14:paraId="47DBC535">
            <w:pPr>
              <w:tabs>
                <w:tab w:val="left" w:pos="6300"/>
              </w:tabs>
              <w:snapToGrid w:val="0"/>
              <w:spacing w:line="500" w:lineRule="exact"/>
              <w:jc w:val="center"/>
              <w:outlineLvl w:val="0"/>
              <w:rPr>
                <w:rFonts w:hint="eastAsia" w:ascii="仿宋" w:hAnsi="仿宋" w:eastAsia="仿宋" w:cs="仿宋"/>
                <w:sz w:val="21"/>
                <w:szCs w:val="21"/>
              </w:rPr>
            </w:pPr>
          </w:p>
        </w:tc>
        <w:tc>
          <w:tcPr>
            <w:tcW w:w="2331" w:type="dxa"/>
            <w:noWrap w:val="0"/>
            <w:vAlign w:val="center"/>
          </w:tcPr>
          <w:p w14:paraId="6A0B26AA">
            <w:pPr>
              <w:tabs>
                <w:tab w:val="left" w:pos="6300"/>
              </w:tabs>
              <w:snapToGrid w:val="0"/>
              <w:spacing w:line="500" w:lineRule="exact"/>
              <w:jc w:val="center"/>
              <w:outlineLvl w:val="0"/>
              <w:rPr>
                <w:rFonts w:hint="eastAsia" w:ascii="仿宋" w:hAnsi="仿宋" w:eastAsia="仿宋" w:cs="仿宋"/>
                <w:sz w:val="21"/>
                <w:szCs w:val="21"/>
              </w:rPr>
            </w:pPr>
          </w:p>
        </w:tc>
        <w:tc>
          <w:tcPr>
            <w:tcW w:w="1954" w:type="dxa"/>
            <w:noWrap w:val="0"/>
            <w:vAlign w:val="center"/>
          </w:tcPr>
          <w:p w14:paraId="236530CE">
            <w:pPr>
              <w:tabs>
                <w:tab w:val="left" w:pos="6300"/>
              </w:tabs>
              <w:snapToGrid w:val="0"/>
              <w:spacing w:line="500" w:lineRule="exact"/>
              <w:jc w:val="center"/>
              <w:outlineLvl w:val="0"/>
              <w:rPr>
                <w:rFonts w:hint="eastAsia" w:ascii="仿宋" w:hAnsi="仿宋" w:eastAsia="仿宋" w:cs="仿宋"/>
                <w:sz w:val="21"/>
                <w:szCs w:val="21"/>
              </w:rPr>
            </w:pPr>
          </w:p>
        </w:tc>
        <w:tc>
          <w:tcPr>
            <w:tcW w:w="1524" w:type="dxa"/>
            <w:noWrap w:val="0"/>
            <w:vAlign w:val="center"/>
          </w:tcPr>
          <w:p w14:paraId="75019551">
            <w:pPr>
              <w:tabs>
                <w:tab w:val="left" w:pos="6300"/>
              </w:tabs>
              <w:snapToGrid w:val="0"/>
              <w:spacing w:line="500" w:lineRule="exact"/>
              <w:jc w:val="center"/>
              <w:outlineLvl w:val="0"/>
              <w:rPr>
                <w:rFonts w:hint="eastAsia" w:ascii="仿宋" w:hAnsi="仿宋" w:eastAsia="仿宋" w:cs="仿宋"/>
                <w:sz w:val="21"/>
                <w:szCs w:val="21"/>
              </w:rPr>
            </w:pPr>
          </w:p>
        </w:tc>
        <w:tc>
          <w:tcPr>
            <w:tcW w:w="2306" w:type="dxa"/>
            <w:noWrap w:val="0"/>
            <w:vAlign w:val="center"/>
          </w:tcPr>
          <w:p w14:paraId="62575F9C">
            <w:pPr>
              <w:tabs>
                <w:tab w:val="left" w:pos="6300"/>
              </w:tabs>
              <w:snapToGrid w:val="0"/>
              <w:spacing w:line="500" w:lineRule="exact"/>
              <w:jc w:val="center"/>
              <w:outlineLvl w:val="0"/>
              <w:rPr>
                <w:rFonts w:hint="eastAsia" w:ascii="仿宋" w:hAnsi="仿宋" w:eastAsia="仿宋" w:cs="仿宋"/>
                <w:sz w:val="21"/>
                <w:szCs w:val="21"/>
              </w:rPr>
            </w:pPr>
          </w:p>
        </w:tc>
      </w:tr>
      <w:tr w14:paraId="41E83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50" w:type="dxa"/>
            <w:noWrap w:val="0"/>
            <w:vAlign w:val="center"/>
          </w:tcPr>
          <w:p w14:paraId="215005D4">
            <w:pPr>
              <w:tabs>
                <w:tab w:val="left" w:pos="6300"/>
              </w:tabs>
              <w:snapToGrid w:val="0"/>
              <w:spacing w:line="500" w:lineRule="exact"/>
              <w:jc w:val="center"/>
              <w:outlineLvl w:val="0"/>
              <w:rPr>
                <w:rFonts w:hint="eastAsia" w:ascii="仿宋" w:hAnsi="仿宋" w:eastAsia="仿宋" w:cs="仿宋"/>
                <w:sz w:val="21"/>
                <w:szCs w:val="21"/>
              </w:rPr>
            </w:pPr>
          </w:p>
        </w:tc>
        <w:tc>
          <w:tcPr>
            <w:tcW w:w="1325" w:type="dxa"/>
            <w:noWrap w:val="0"/>
            <w:vAlign w:val="center"/>
          </w:tcPr>
          <w:p w14:paraId="0976A259">
            <w:pPr>
              <w:tabs>
                <w:tab w:val="left" w:pos="6300"/>
              </w:tabs>
              <w:snapToGrid w:val="0"/>
              <w:spacing w:line="500" w:lineRule="exact"/>
              <w:jc w:val="center"/>
              <w:outlineLvl w:val="0"/>
              <w:rPr>
                <w:rFonts w:hint="eastAsia" w:ascii="仿宋" w:hAnsi="仿宋" w:eastAsia="仿宋" w:cs="仿宋"/>
                <w:sz w:val="21"/>
                <w:szCs w:val="21"/>
              </w:rPr>
            </w:pPr>
          </w:p>
        </w:tc>
        <w:tc>
          <w:tcPr>
            <w:tcW w:w="2331" w:type="dxa"/>
            <w:noWrap w:val="0"/>
            <w:vAlign w:val="center"/>
          </w:tcPr>
          <w:p w14:paraId="66C0C7C5">
            <w:pPr>
              <w:tabs>
                <w:tab w:val="left" w:pos="6300"/>
              </w:tabs>
              <w:snapToGrid w:val="0"/>
              <w:spacing w:line="500" w:lineRule="exact"/>
              <w:jc w:val="center"/>
              <w:outlineLvl w:val="0"/>
              <w:rPr>
                <w:rFonts w:hint="eastAsia" w:ascii="仿宋" w:hAnsi="仿宋" w:eastAsia="仿宋" w:cs="仿宋"/>
                <w:sz w:val="21"/>
                <w:szCs w:val="21"/>
              </w:rPr>
            </w:pPr>
          </w:p>
        </w:tc>
        <w:tc>
          <w:tcPr>
            <w:tcW w:w="1954" w:type="dxa"/>
            <w:noWrap w:val="0"/>
            <w:vAlign w:val="center"/>
          </w:tcPr>
          <w:p w14:paraId="4B0D2B25">
            <w:pPr>
              <w:tabs>
                <w:tab w:val="left" w:pos="6300"/>
              </w:tabs>
              <w:snapToGrid w:val="0"/>
              <w:spacing w:line="500" w:lineRule="exact"/>
              <w:jc w:val="center"/>
              <w:outlineLvl w:val="0"/>
              <w:rPr>
                <w:rFonts w:hint="eastAsia" w:ascii="仿宋" w:hAnsi="仿宋" w:eastAsia="仿宋" w:cs="仿宋"/>
                <w:sz w:val="21"/>
                <w:szCs w:val="21"/>
              </w:rPr>
            </w:pPr>
          </w:p>
        </w:tc>
        <w:tc>
          <w:tcPr>
            <w:tcW w:w="1524" w:type="dxa"/>
            <w:noWrap w:val="0"/>
            <w:vAlign w:val="center"/>
          </w:tcPr>
          <w:p w14:paraId="1C07337C">
            <w:pPr>
              <w:tabs>
                <w:tab w:val="left" w:pos="6300"/>
              </w:tabs>
              <w:snapToGrid w:val="0"/>
              <w:spacing w:line="500" w:lineRule="exact"/>
              <w:jc w:val="center"/>
              <w:outlineLvl w:val="0"/>
              <w:rPr>
                <w:rFonts w:hint="eastAsia" w:ascii="仿宋" w:hAnsi="仿宋" w:eastAsia="仿宋" w:cs="仿宋"/>
                <w:sz w:val="21"/>
                <w:szCs w:val="21"/>
              </w:rPr>
            </w:pPr>
          </w:p>
        </w:tc>
        <w:tc>
          <w:tcPr>
            <w:tcW w:w="2306" w:type="dxa"/>
            <w:noWrap w:val="0"/>
            <w:vAlign w:val="center"/>
          </w:tcPr>
          <w:p w14:paraId="23868F66">
            <w:pPr>
              <w:tabs>
                <w:tab w:val="left" w:pos="6300"/>
              </w:tabs>
              <w:snapToGrid w:val="0"/>
              <w:spacing w:line="500" w:lineRule="exact"/>
              <w:jc w:val="center"/>
              <w:outlineLvl w:val="0"/>
              <w:rPr>
                <w:rFonts w:hint="eastAsia" w:ascii="仿宋" w:hAnsi="仿宋" w:eastAsia="仿宋" w:cs="仿宋"/>
                <w:sz w:val="21"/>
                <w:szCs w:val="21"/>
              </w:rPr>
            </w:pPr>
          </w:p>
        </w:tc>
      </w:tr>
      <w:tr w14:paraId="2E979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950" w:type="dxa"/>
            <w:noWrap w:val="0"/>
            <w:vAlign w:val="center"/>
          </w:tcPr>
          <w:p w14:paraId="628D73CF">
            <w:pPr>
              <w:tabs>
                <w:tab w:val="left" w:pos="6300"/>
              </w:tabs>
              <w:snapToGrid w:val="0"/>
              <w:spacing w:line="500" w:lineRule="exact"/>
              <w:jc w:val="center"/>
              <w:outlineLvl w:val="0"/>
              <w:rPr>
                <w:rFonts w:hint="eastAsia" w:ascii="仿宋" w:hAnsi="仿宋" w:eastAsia="仿宋" w:cs="仿宋"/>
                <w:sz w:val="21"/>
                <w:szCs w:val="21"/>
              </w:rPr>
            </w:pPr>
          </w:p>
        </w:tc>
        <w:tc>
          <w:tcPr>
            <w:tcW w:w="1325" w:type="dxa"/>
            <w:noWrap w:val="0"/>
            <w:vAlign w:val="center"/>
          </w:tcPr>
          <w:p w14:paraId="0337E257">
            <w:pPr>
              <w:tabs>
                <w:tab w:val="left" w:pos="6300"/>
              </w:tabs>
              <w:snapToGrid w:val="0"/>
              <w:spacing w:line="500" w:lineRule="exact"/>
              <w:jc w:val="center"/>
              <w:outlineLvl w:val="0"/>
              <w:rPr>
                <w:rFonts w:hint="eastAsia" w:ascii="仿宋" w:hAnsi="仿宋" w:eastAsia="仿宋" w:cs="仿宋"/>
                <w:sz w:val="21"/>
                <w:szCs w:val="21"/>
              </w:rPr>
            </w:pPr>
          </w:p>
        </w:tc>
        <w:tc>
          <w:tcPr>
            <w:tcW w:w="2331" w:type="dxa"/>
            <w:noWrap w:val="0"/>
            <w:vAlign w:val="center"/>
          </w:tcPr>
          <w:p w14:paraId="3CBEC8B0">
            <w:pPr>
              <w:tabs>
                <w:tab w:val="left" w:pos="6300"/>
              </w:tabs>
              <w:snapToGrid w:val="0"/>
              <w:spacing w:line="500" w:lineRule="exact"/>
              <w:jc w:val="center"/>
              <w:outlineLvl w:val="0"/>
              <w:rPr>
                <w:rFonts w:hint="eastAsia" w:ascii="仿宋" w:hAnsi="仿宋" w:eastAsia="仿宋" w:cs="仿宋"/>
                <w:sz w:val="21"/>
                <w:szCs w:val="21"/>
              </w:rPr>
            </w:pPr>
          </w:p>
        </w:tc>
        <w:tc>
          <w:tcPr>
            <w:tcW w:w="1954" w:type="dxa"/>
            <w:noWrap w:val="0"/>
            <w:vAlign w:val="center"/>
          </w:tcPr>
          <w:p w14:paraId="5B501B51">
            <w:pPr>
              <w:tabs>
                <w:tab w:val="left" w:pos="6300"/>
              </w:tabs>
              <w:snapToGrid w:val="0"/>
              <w:spacing w:line="500" w:lineRule="exact"/>
              <w:jc w:val="center"/>
              <w:outlineLvl w:val="0"/>
              <w:rPr>
                <w:rFonts w:hint="eastAsia" w:ascii="仿宋" w:hAnsi="仿宋" w:eastAsia="仿宋" w:cs="仿宋"/>
                <w:sz w:val="21"/>
                <w:szCs w:val="21"/>
              </w:rPr>
            </w:pPr>
          </w:p>
        </w:tc>
        <w:tc>
          <w:tcPr>
            <w:tcW w:w="1524" w:type="dxa"/>
            <w:noWrap w:val="0"/>
            <w:vAlign w:val="center"/>
          </w:tcPr>
          <w:p w14:paraId="38E960B4">
            <w:pPr>
              <w:tabs>
                <w:tab w:val="left" w:pos="6300"/>
              </w:tabs>
              <w:snapToGrid w:val="0"/>
              <w:spacing w:line="500" w:lineRule="exact"/>
              <w:jc w:val="center"/>
              <w:outlineLvl w:val="0"/>
              <w:rPr>
                <w:rFonts w:hint="eastAsia" w:ascii="仿宋" w:hAnsi="仿宋" w:eastAsia="仿宋" w:cs="仿宋"/>
                <w:sz w:val="21"/>
                <w:szCs w:val="21"/>
              </w:rPr>
            </w:pPr>
          </w:p>
        </w:tc>
        <w:tc>
          <w:tcPr>
            <w:tcW w:w="2306" w:type="dxa"/>
            <w:noWrap w:val="0"/>
            <w:vAlign w:val="center"/>
          </w:tcPr>
          <w:p w14:paraId="6988A613">
            <w:pPr>
              <w:tabs>
                <w:tab w:val="left" w:pos="6300"/>
              </w:tabs>
              <w:snapToGrid w:val="0"/>
              <w:spacing w:line="500" w:lineRule="exact"/>
              <w:jc w:val="center"/>
              <w:outlineLvl w:val="0"/>
              <w:rPr>
                <w:rFonts w:hint="eastAsia" w:ascii="仿宋" w:hAnsi="仿宋" w:eastAsia="仿宋" w:cs="仿宋"/>
                <w:sz w:val="21"/>
                <w:szCs w:val="21"/>
              </w:rPr>
            </w:pPr>
          </w:p>
        </w:tc>
      </w:tr>
    </w:tbl>
    <w:p w14:paraId="6DC2B3D6">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14:paraId="0F3BEC9C">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14:paraId="1305DA1F">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14:paraId="1655A6CD">
      <w:pPr>
        <w:pStyle w:val="29"/>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注：1、投标人应根据投标设备的性能指标、对照招标文件要求在“偏离情况”栏注明“正偏离”、“负偏离”或“无偏离”。</w:t>
      </w:r>
    </w:p>
    <w:p w14:paraId="06EDC7CD">
      <w:pPr>
        <w:pStyle w:val="29"/>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2、投标文件内技术偏离表完全复制磋商文件技术参数的（不涉及具体参数指标的描述性技术要求除外），视为负偏离；</w:t>
      </w:r>
    </w:p>
    <w:p w14:paraId="472B4D9E">
      <w:pPr>
        <w:pStyle w:val="29"/>
        <w:ind w:left="0" w:leftChars="0" w:firstLine="0" w:firstLineChars="0"/>
        <w:rPr>
          <w:rFonts w:hint="eastAsia" w:ascii="仿宋" w:hAnsi="仿宋" w:eastAsia="仿宋" w:cs="仿宋"/>
          <w:b/>
          <w:bCs/>
          <w:color w:val="auto"/>
          <w:sz w:val="21"/>
          <w:szCs w:val="21"/>
          <w:highlight w:val="none"/>
          <w:lang w:val="en-US" w:eastAsia="zh-CN"/>
        </w:rPr>
      </w:pPr>
    </w:p>
    <w:p w14:paraId="7E25494A">
      <w:pP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br w:type="page"/>
      </w:r>
    </w:p>
    <w:p w14:paraId="1FD6F016">
      <w:pPr>
        <w:pStyle w:val="8"/>
        <w:numPr>
          <w:ilvl w:val="0"/>
          <w:numId w:val="0"/>
        </w:numPr>
        <w:jc w:val="center"/>
        <w:rPr>
          <w:rFonts w:hint="eastAsia" w:ascii="仿宋" w:hAnsi="仿宋" w:eastAsia="仿宋" w:cs="仿宋"/>
          <w:b/>
          <w:bCs/>
          <w:color w:val="auto"/>
          <w:kern w:val="0"/>
          <w:sz w:val="21"/>
          <w:szCs w:val="21"/>
        </w:rPr>
      </w:pPr>
      <w:bookmarkStart w:id="156" w:name="_Toc77072623"/>
      <w:r>
        <w:rPr>
          <w:rFonts w:hint="eastAsia" w:ascii="仿宋" w:hAnsi="仿宋" w:eastAsia="仿宋" w:cs="仿宋"/>
          <w:b/>
          <w:bCs/>
          <w:color w:val="auto"/>
          <w:kern w:val="0"/>
          <w:sz w:val="21"/>
          <w:szCs w:val="21"/>
          <w:lang w:val="en-US" w:eastAsia="zh-CN"/>
        </w:rPr>
        <w:t>22</w:t>
      </w:r>
      <w:r>
        <w:rPr>
          <w:rFonts w:hint="eastAsia" w:ascii="仿宋" w:hAnsi="仿宋" w:eastAsia="仿宋" w:cs="仿宋"/>
          <w:b/>
          <w:bCs/>
          <w:color w:val="auto"/>
          <w:kern w:val="0"/>
          <w:sz w:val="21"/>
          <w:szCs w:val="21"/>
        </w:rPr>
        <w:t>、项目实施方案</w:t>
      </w:r>
      <w:r>
        <w:rPr>
          <w:rFonts w:hint="eastAsia" w:ascii="仿宋" w:hAnsi="仿宋" w:eastAsia="仿宋" w:cs="仿宋"/>
          <w:b/>
          <w:bCs/>
          <w:color w:val="auto"/>
          <w:kern w:val="0"/>
          <w:sz w:val="21"/>
          <w:szCs w:val="21"/>
          <w:lang w:eastAsia="zh-CN"/>
        </w:rPr>
        <w:t>（</w:t>
      </w:r>
      <w:r>
        <w:rPr>
          <w:rFonts w:hint="eastAsia" w:ascii="仿宋" w:hAnsi="仿宋" w:eastAsia="仿宋" w:cs="仿宋"/>
          <w:b/>
          <w:bCs/>
          <w:color w:val="auto"/>
          <w:kern w:val="0"/>
          <w:sz w:val="21"/>
          <w:szCs w:val="21"/>
          <w:lang w:val="en-US" w:eastAsia="zh-CN"/>
        </w:rPr>
        <w:t>格式自拟</w:t>
      </w:r>
      <w:r>
        <w:rPr>
          <w:rFonts w:hint="eastAsia" w:ascii="仿宋" w:hAnsi="仿宋" w:eastAsia="仿宋" w:cs="仿宋"/>
          <w:b/>
          <w:bCs/>
          <w:color w:val="auto"/>
          <w:kern w:val="0"/>
          <w:sz w:val="21"/>
          <w:szCs w:val="21"/>
          <w:lang w:eastAsia="zh-CN"/>
        </w:rPr>
        <w:t>）</w:t>
      </w:r>
    </w:p>
    <w:p w14:paraId="2A871AEF">
      <w:pPr>
        <w:pStyle w:val="8"/>
        <w:numPr>
          <w:ilvl w:val="0"/>
          <w:numId w:val="0"/>
        </w:numPr>
        <w:ind w:firstLine="1054" w:firstLineChars="500"/>
        <w:rPr>
          <w:rFonts w:hint="eastAsia" w:ascii="仿宋" w:hAnsi="仿宋" w:eastAsia="仿宋" w:cs="仿宋"/>
          <w:b/>
          <w:bCs/>
          <w:color w:val="FF0000"/>
          <w:kern w:val="0"/>
          <w:sz w:val="21"/>
          <w:szCs w:val="21"/>
        </w:rPr>
      </w:pPr>
    </w:p>
    <w:p w14:paraId="0C50D1A1">
      <w:pPr>
        <w:pStyle w:val="8"/>
        <w:numPr>
          <w:ilvl w:val="0"/>
          <w:numId w:val="0"/>
        </w:numPr>
        <w:ind w:firstLine="422" w:firstLineChars="200"/>
        <w:rPr>
          <w:rFonts w:hint="eastAsia" w:ascii="仿宋" w:hAnsi="仿宋" w:eastAsia="仿宋" w:cs="仿宋"/>
          <w:b/>
          <w:bCs/>
          <w:color w:val="auto"/>
          <w:kern w:val="0"/>
          <w:sz w:val="21"/>
          <w:szCs w:val="21"/>
          <w:lang w:val="en-US" w:eastAsia="zh-CN"/>
        </w:rPr>
      </w:pPr>
    </w:p>
    <w:p w14:paraId="5DA5F90B">
      <w:pPr>
        <w:pStyle w:val="8"/>
        <w:numPr>
          <w:ilvl w:val="0"/>
          <w:numId w:val="0"/>
        </w:numPr>
        <w:ind w:firstLine="422" w:firstLineChars="200"/>
        <w:rPr>
          <w:rFonts w:hint="eastAsia" w:ascii="仿宋" w:hAnsi="仿宋" w:eastAsia="仿宋" w:cs="仿宋"/>
          <w:b/>
          <w:bCs/>
          <w:color w:val="auto"/>
          <w:kern w:val="0"/>
          <w:sz w:val="21"/>
          <w:szCs w:val="21"/>
          <w:lang w:val="en-US" w:eastAsia="zh-CN"/>
        </w:rPr>
      </w:pPr>
    </w:p>
    <w:p w14:paraId="4F2DED39">
      <w:pPr>
        <w:pStyle w:val="8"/>
        <w:ind w:firstLine="422" w:firstLineChars="200"/>
        <w:rPr>
          <w:rFonts w:hint="eastAsia" w:ascii="仿宋" w:hAnsi="仿宋" w:eastAsia="仿宋" w:cs="仿宋"/>
          <w:b/>
          <w:bCs/>
          <w:color w:val="auto"/>
          <w:kern w:val="0"/>
          <w:sz w:val="21"/>
          <w:szCs w:val="21"/>
          <w:lang w:val="en-US" w:eastAsia="zh-CN" w:bidi="ar-SA"/>
        </w:rPr>
      </w:pPr>
    </w:p>
    <w:p w14:paraId="7B9088AF">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内容要求：</w:t>
      </w:r>
    </w:p>
    <w:p w14:paraId="67D7A036">
      <w:pPr>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投标人须针对本采购项目的要求逐个作出实质性的响应，请按服务内容、要求及评标办法中涉及内容进行详细说明。</w:t>
      </w:r>
    </w:p>
    <w:p w14:paraId="7344E63F">
      <w:pPr>
        <w:adjustRightInd w:val="0"/>
        <w:snapToGrid w:val="0"/>
        <w:spacing w:line="360" w:lineRule="auto"/>
        <w:ind w:firstLine="240" w:firstLineChars="100"/>
        <w:jc w:val="both"/>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（按第</w:t>
      </w:r>
      <w:r>
        <w:rPr>
          <w:rFonts w:hint="eastAsia" w:ascii="仿宋" w:hAnsi="仿宋" w:eastAsia="仿宋" w:cs="仿宋"/>
          <w:kern w:val="0"/>
          <w:sz w:val="24"/>
          <w:szCs w:val="24"/>
          <w:lang w:val="en-US" w:eastAsia="zh-CN"/>
        </w:rPr>
        <w:t>二部分详细评审</w:t>
      </w:r>
      <w:r>
        <w:rPr>
          <w:rFonts w:hint="eastAsia" w:ascii="仿宋" w:hAnsi="仿宋" w:eastAsia="仿宋" w:cs="仿宋"/>
          <w:kern w:val="0"/>
          <w:sz w:val="24"/>
          <w:szCs w:val="24"/>
        </w:rPr>
        <w:t>标准细则</w:t>
      </w:r>
      <w:r>
        <w:rPr>
          <w:rFonts w:hint="eastAsia" w:ascii="仿宋" w:hAnsi="仿宋" w:eastAsia="仿宋" w:cs="仿宋"/>
          <w:kern w:val="0"/>
          <w:sz w:val="24"/>
          <w:szCs w:val="24"/>
          <w:lang w:val="en-US" w:eastAsia="zh-CN"/>
        </w:rPr>
        <w:t>自行填写，格式自拟。）</w:t>
      </w:r>
    </w:p>
    <w:p w14:paraId="3EC2720F">
      <w:pPr>
        <w:pStyle w:val="29"/>
        <w:numPr>
          <w:ilvl w:val="0"/>
          <w:numId w:val="0"/>
        </w:numPr>
        <w:ind w:leftChars="200"/>
        <w:jc w:val="both"/>
        <w:rPr>
          <w:rFonts w:hint="default" w:ascii="仿宋" w:hAnsi="仿宋" w:eastAsia="仿宋" w:cs="仿宋"/>
          <w:b/>
          <w:bCs/>
          <w:color w:val="000000"/>
          <w:spacing w:val="-3"/>
          <w:sz w:val="32"/>
          <w:szCs w:val="32"/>
          <w:highlight w:val="none"/>
          <w:lang w:val="en-US" w:eastAsia="zh-CN" w:bidi="zh-CN"/>
        </w:rPr>
      </w:pPr>
    </w:p>
    <w:p w14:paraId="5DCC9765">
      <w:pPr>
        <w:pStyle w:val="4"/>
        <w:spacing w:before="336" w:after="336"/>
        <w:ind w:left="105" w:hanging="105"/>
        <w:jc w:val="center"/>
        <w:rPr>
          <w:rFonts w:hint="eastAsia" w:ascii="仿宋" w:hAnsi="仿宋" w:eastAsia="仿宋" w:cs="仿宋"/>
          <w:color w:val="auto"/>
          <w:sz w:val="21"/>
          <w:szCs w:val="21"/>
        </w:rPr>
      </w:pPr>
    </w:p>
    <w:p w14:paraId="64CD4087">
      <w:pPr>
        <w:rPr>
          <w:rFonts w:hint="eastAsia" w:ascii="仿宋" w:hAnsi="仿宋" w:eastAsia="仿宋" w:cs="仿宋"/>
          <w:color w:val="auto"/>
          <w:sz w:val="21"/>
          <w:szCs w:val="21"/>
        </w:rPr>
      </w:pPr>
    </w:p>
    <w:p w14:paraId="1774EF5A">
      <w:pPr>
        <w:pStyle w:val="4"/>
        <w:rPr>
          <w:rFonts w:hint="eastAsia" w:ascii="仿宋" w:hAnsi="仿宋" w:eastAsia="仿宋" w:cs="仿宋"/>
          <w:color w:val="auto"/>
          <w:sz w:val="21"/>
          <w:szCs w:val="21"/>
        </w:rPr>
      </w:pPr>
    </w:p>
    <w:p w14:paraId="0629A9A6">
      <w:pPr>
        <w:rPr>
          <w:rFonts w:hint="eastAsia"/>
        </w:rPr>
      </w:pPr>
    </w:p>
    <w:p w14:paraId="34CA6665">
      <w:pPr>
        <w:rPr>
          <w:rFonts w:hint="eastAsia" w:ascii="仿宋" w:hAnsi="仿宋" w:eastAsia="仿宋" w:cs="仿宋"/>
          <w:color w:val="auto"/>
          <w:sz w:val="21"/>
          <w:szCs w:val="21"/>
        </w:rPr>
      </w:pPr>
    </w:p>
    <w:p w14:paraId="182E9442">
      <w:pPr>
        <w:pStyle w:val="4"/>
        <w:rPr>
          <w:rFonts w:hint="eastAsia" w:ascii="仿宋" w:hAnsi="仿宋" w:eastAsia="仿宋" w:cs="仿宋"/>
          <w:color w:val="auto"/>
          <w:sz w:val="21"/>
          <w:szCs w:val="21"/>
        </w:rPr>
      </w:pPr>
    </w:p>
    <w:p w14:paraId="26C09002">
      <w:pPr>
        <w:pStyle w:val="4"/>
        <w:spacing w:before="336" w:after="336"/>
        <w:jc w:val="both"/>
        <w:rPr>
          <w:rFonts w:hint="eastAsia" w:ascii="仿宋" w:hAnsi="仿宋" w:eastAsia="仿宋" w:cs="仿宋"/>
          <w:color w:val="auto"/>
          <w:sz w:val="21"/>
          <w:szCs w:val="21"/>
        </w:rPr>
      </w:pPr>
    </w:p>
    <w:p w14:paraId="05426847">
      <w:pPr>
        <w:rPr>
          <w:rFonts w:hint="eastAsia" w:ascii="仿宋" w:hAnsi="仿宋" w:eastAsia="仿宋" w:cs="仿宋"/>
          <w:color w:val="auto"/>
          <w:sz w:val="21"/>
          <w:szCs w:val="21"/>
        </w:rPr>
      </w:pPr>
    </w:p>
    <w:p w14:paraId="363D3D22">
      <w:pPr>
        <w:pStyle w:val="8"/>
        <w:rPr>
          <w:rFonts w:hint="eastAsia" w:ascii="仿宋" w:hAnsi="仿宋" w:eastAsia="仿宋" w:cs="仿宋"/>
          <w:color w:val="auto"/>
          <w:sz w:val="21"/>
          <w:szCs w:val="21"/>
        </w:rPr>
      </w:pPr>
    </w:p>
    <w:p w14:paraId="38160678">
      <w:pPr>
        <w:pStyle w:val="20"/>
        <w:rPr>
          <w:rFonts w:hint="eastAsia" w:ascii="仿宋" w:hAnsi="仿宋" w:eastAsia="仿宋" w:cs="仿宋"/>
          <w:color w:val="auto"/>
          <w:sz w:val="21"/>
          <w:szCs w:val="21"/>
        </w:rPr>
      </w:pPr>
    </w:p>
    <w:p w14:paraId="79764466">
      <w:pPr>
        <w:pStyle w:val="20"/>
        <w:rPr>
          <w:rFonts w:hint="eastAsia" w:ascii="仿宋" w:hAnsi="仿宋" w:eastAsia="仿宋" w:cs="仿宋"/>
          <w:color w:val="auto"/>
          <w:sz w:val="21"/>
          <w:szCs w:val="21"/>
        </w:rPr>
      </w:pPr>
    </w:p>
    <w:p w14:paraId="4E304667">
      <w:pPr>
        <w:pStyle w:val="20"/>
        <w:rPr>
          <w:rFonts w:hint="eastAsia" w:ascii="仿宋" w:hAnsi="仿宋" w:eastAsia="仿宋" w:cs="仿宋"/>
          <w:color w:val="auto"/>
          <w:sz w:val="21"/>
          <w:szCs w:val="21"/>
        </w:rPr>
      </w:pPr>
    </w:p>
    <w:p w14:paraId="58E1A540">
      <w:pPr>
        <w:pStyle w:val="20"/>
        <w:rPr>
          <w:rFonts w:hint="eastAsia" w:ascii="仿宋" w:hAnsi="仿宋" w:eastAsia="仿宋" w:cs="仿宋"/>
          <w:color w:val="auto"/>
          <w:sz w:val="21"/>
          <w:szCs w:val="21"/>
        </w:rPr>
      </w:pPr>
    </w:p>
    <w:p w14:paraId="7AEBCFB9">
      <w:pPr>
        <w:rPr>
          <w:rFonts w:hint="eastAsia" w:ascii="仿宋" w:hAnsi="仿宋" w:eastAsia="仿宋" w:cs="仿宋"/>
          <w:color w:val="auto"/>
          <w:sz w:val="21"/>
          <w:szCs w:val="21"/>
        </w:rPr>
      </w:pPr>
      <w:r>
        <w:rPr>
          <w:rFonts w:hint="eastAsia" w:ascii="仿宋" w:hAnsi="仿宋" w:eastAsia="仿宋" w:cs="仿宋"/>
          <w:color w:val="auto"/>
          <w:sz w:val="21"/>
          <w:szCs w:val="21"/>
        </w:rPr>
        <w:br w:type="page"/>
      </w:r>
    </w:p>
    <w:p w14:paraId="32F22130">
      <w:pPr>
        <w:pStyle w:val="4"/>
        <w:spacing w:before="336" w:after="336"/>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特别注意：</w:t>
      </w:r>
      <w:bookmarkEnd w:id="156"/>
    </w:p>
    <w:p w14:paraId="34CF79DA">
      <w:pPr>
        <w:pStyle w:val="6"/>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请各供应商仔细阅读并理解磋商文件的相关说明，严格按照磋商文件要求制作响应文件，如未按要求提供相关材料及承诺，视为不响应竞争性磋商文件，做无效投标处理，</w:t>
      </w:r>
    </w:p>
    <w:p w14:paraId="08B96BB3">
      <w:pPr>
        <w:pStyle w:val="6"/>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1、供应商对所附表格中要求的资料和询问应做出肯定的回答。</w:t>
      </w:r>
    </w:p>
    <w:p w14:paraId="23D854AF">
      <w:pPr>
        <w:pStyle w:val="6"/>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2、磋商文件的签字人应保证他所做的声明及对一切问题的回答的真实性和准确。</w:t>
      </w:r>
    </w:p>
    <w:p w14:paraId="6C7ACDB7">
      <w:pPr>
        <w:pStyle w:val="6"/>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3、供应商提供的响应文件将由采购人使用，并据此进行评价和判断，确定供应商的能力。</w:t>
      </w:r>
    </w:p>
    <w:p w14:paraId="11AD4AD1">
      <w:pPr>
        <w:pStyle w:val="6"/>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4、供应商提交的文件将给予保密，</w:t>
      </w:r>
      <w:r>
        <w:rPr>
          <w:rFonts w:hint="eastAsia" w:ascii="仿宋" w:hAnsi="仿宋" w:eastAsia="仿宋" w:cs="仿宋"/>
          <w:b/>
          <w:bCs/>
          <w:color w:val="auto"/>
          <w:sz w:val="21"/>
          <w:szCs w:val="21"/>
          <w:lang w:val="en-US" w:eastAsia="zh-CN"/>
        </w:rPr>
        <w:t>概</w:t>
      </w:r>
      <w:r>
        <w:rPr>
          <w:rFonts w:hint="eastAsia" w:ascii="仿宋" w:hAnsi="仿宋" w:eastAsia="仿宋" w:cs="仿宋"/>
          <w:b/>
          <w:bCs/>
          <w:color w:val="auto"/>
          <w:sz w:val="21"/>
          <w:szCs w:val="21"/>
        </w:rPr>
        <w:t>不退还。</w:t>
      </w:r>
    </w:p>
    <w:bookmarkEnd w:id="151"/>
    <w:p w14:paraId="3B6A3655">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bookmarkStart w:id="157" w:name="_Toc414108650"/>
    </w:p>
    <w:p w14:paraId="32971514">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4910C0B5">
      <w:pPr>
        <w:rPr>
          <w:rFonts w:hint="eastAsia" w:ascii="仿宋" w:hAnsi="仿宋" w:eastAsia="仿宋" w:cs="仿宋"/>
          <w:b/>
          <w:bCs/>
          <w:color w:val="auto"/>
          <w:sz w:val="21"/>
          <w:szCs w:val="21"/>
          <w:highlight w:val="none"/>
          <w:lang w:val="zh-CN" w:eastAsia="zh-CN"/>
        </w:rPr>
      </w:pPr>
    </w:p>
    <w:p w14:paraId="237D5CC5">
      <w:pPr>
        <w:pStyle w:val="8"/>
        <w:rPr>
          <w:rFonts w:hint="eastAsia" w:ascii="仿宋" w:hAnsi="仿宋" w:eastAsia="仿宋" w:cs="仿宋"/>
          <w:b/>
          <w:bCs/>
          <w:color w:val="auto"/>
          <w:sz w:val="21"/>
          <w:szCs w:val="21"/>
          <w:highlight w:val="none"/>
          <w:lang w:val="zh-CN" w:eastAsia="zh-CN"/>
        </w:rPr>
      </w:pPr>
    </w:p>
    <w:p w14:paraId="6E60BB78">
      <w:pPr>
        <w:pStyle w:val="20"/>
        <w:rPr>
          <w:rFonts w:hint="eastAsia" w:ascii="仿宋" w:hAnsi="仿宋" w:eastAsia="仿宋" w:cs="仿宋"/>
          <w:b/>
          <w:bCs/>
          <w:color w:val="auto"/>
          <w:sz w:val="21"/>
          <w:szCs w:val="21"/>
          <w:highlight w:val="none"/>
          <w:lang w:val="zh-CN" w:eastAsia="zh-CN"/>
        </w:rPr>
      </w:pPr>
    </w:p>
    <w:p w14:paraId="6BC371A8">
      <w:pPr>
        <w:pStyle w:val="20"/>
        <w:rPr>
          <w:rFonts w:hint="eastAsia" w:ascii="仿宋" w:hAnsi="仿宋" w:eastAsia="仿宋" w:cs="仿宋"/>
          <w:b/>
          <w:bCs/>
          <w:color w:val="auto"/>
          <w:sz w:val="21"/>
          <w:szCs w:val="21"/>
          <w:highlight w:val="none"/>
          <w:lang w:val="zh-CN" w:eastAsia="zh-CN"/>
        </w:rPr>
      </w:pPr>
    </w:p>
    <w:p w14:paraId="1F21239D">
      <w:pPr>
        <w:pStyle w:val="20"/>
        <w:rPr>
          <w:rFonts w:hint="eastAsia" w:ascii="仿宋" w:hAnsi="仿宋" w:eastAsia="仿宋" w:cs="仿宋"/>
          <w:b/>
          <w:bCs/>
          <w:color w:val="auto"/>
          <w:sz w:val="21"/>
          <w:szCs w:val="21"/>
          <w:highlight w:val="none"/>
          <w:lang w:val="zh-CN" w:eastAsia="zh-CN"/>
        </w:rPr>
      </w:pPr>
    </w:p>
    <w:p w14:paraId="1B818B5C">
      <w:pPr>
        <w:pStyle w:val="20"/>
        <w:rPr>
          <w:rFonts w:hint="eastAsia" w:ascii="仿宋" w:hAnsi="仿宋" w:eastAsia="仿宋" w:cs="仿宋"/>
          <w:b/>
          <w:bCs/>
          <w:color w:val="auto"/>
          <w:sz w:val="21"/>
          <w:szCs w:val="21"/>
          <w:highlight w:val="none"/>
          <w:lang w:val="zh-CN" w:eastAsia="zh-CN"/>
        </w:rPr>
      </w:pPr>
    </w:p>
    <w:p w14:paraId="50624ECE">
      <w:pPr>
        <w:pStyle w:val="20"/>
        <w:rPr>
          <w:rFonts w:hint="eastAsia" w:ascii="仿宋" w:hAnsi="仿宋" w:eastAsia="仿宋" w:cs="仿宋"/>
          <w:b/>
          <w:bCs/>
          <w:color w:val="auto"/>
          <w:sz w:val="21"/>
          <w:szCs w:val="21"/>
          <w:highlight w:val="none"/>
          <w:lang w:val="zh-CN" w:eastAsia="zh-CN"/>
        </w:rPr>
      </w:pPr>
    </w:p>
    <w:p w14:paraId="4917B231">
      <w:pPr>
        <w:pStyle w:val="20"/>
        <w:rPr>
          <w:rFonts w:hint="eastAsia" w:ascii="仿宋" w:hAnsi="仿宋" w:eastAsia="仿宋" w:cs="仿宋"/>
          <w:b/>
          <w:bCs/>
          <w:color w:val="auto"/>
          <w:sz w:val="21"/>
          <w:szCs w:val="21"/>
          <w:highlight w:val="none"/>
          <w:lang w:val="zh-CN" w:eastAsia="zh-CN"/>
        </w:rPr>
      </w:pPr>
    </w:p>
    <w:p w14:paraId="360A5454">
      <w:pPr>
        <w:pStyle w:val="20"/>
        <w:rPr>
          <w:rFonts w:hint="eastAsia" w:ascii="仿宋" w:hAnsi="仿宋" w:eastAsia="仿宋" w:cs="仿宋"/>
          <w:b/>
          <w:bCs/>
          <w:color w:val="auto"/>
          <w:sz w:val="21"/>
          <w:szCs w:val="21"/>
          <w:highlight w:val="none"/>
          <w:lang w:val="zh-CN" w:eastAsia="zh-CN"/>
        </w:rPr>
      </w:pPr>
    </w:p>
    <w:p w14:paraId="54549CB2">
      <w:pPr>
        <w:pStyle w:val="20"/>
        <w:rPr>
          <w:rFonts w:hint="eastAsia" w:ascii="仿宋" w:hAnsi="仿宋" w:eastAsia="仿宋" w:cs="仿宋"/>
          <w:b/>
          <w:bCs/>
          <w:color w:val="auto"/>
          <w:sz w:val="21"/>
          <w:szCs w:val="21"/>
          <w:highlight w:val="none"/>
          <w:lang w:val="zh-CN" w:eastAsia="zh-CN"/>
        </w:rPr>
      </w:pPr>
    </w:p>
    <w:p w14:paraId="0108E43A">
      <w:pPr>
        <w:pStyle w:val="20"/>
        <w:rPr>
          <w:rFonts w:hint="eastAsia" w:ascii="仿宋" w:hAnsi="仿宋" w:eastAsia="仿宋" w:cs="仿宋"/>
          <w:b/>
          <w:bCs/>
          <w:color w:val="auto"/>
          <w:sz w:val="21"/>
          <w:szCs w:val="21"/>
          <w:highlight w:val="none"/>
          <w:lang w:val="zh-CN" w:eastAsia="zh-CN"/>
        </w:rPr>
      </w:pPr>
    </w:p>
    <w:p w14:paraId="2DB9F878">
      <w:pPr>
        <w:pStyle w:val="20"/>
        <w:rPr>
          <w:rFonts w:hint="eastAsia" w:ascii="仿宋" w:hAnsi="仿宋" w:eastAsia="仿宋" w:cs="仿宋"/>
          <w:b/>
          <w:bCs/>
          <w:color w:val="auto"/>
          <w:sz w:val="21"/>
          <w:szCs w:val="21"/>
          <w:highlight w:val="none"/>
          <w:lang w:val="zh-CN" w:eastAsia="zh-CN"/>
        </w:rPr>
      </w:pPr>
    </w:p>
    <w:p w14:paraId="4E6C3002">
      <w:pPr>
        <w:pStyle w:val="20"/>
        <w:rPr>
          <w:rFonts w:hint="eastAsia" w:ascii="仿宋" w:hAnsi="仿宋" w:eastAsia="仿宋" w:cs="仿宋"/>
          <w:b/>
          <w:bCs/>
          <w:color w:val="auto"/>
          <w:sz w:val="21"/>
          <w:szCs w:val="21"/>
          <w:highlight w:val="none"/>
          <w:lang w:val="zh-CN" w:eastAsia="zh-CN"/>
        </w:rPr>
      </w:pPr>
    </w:p>
    <w:p w14:paraId="565E07CA">
      <w:pPr>
        <w:pStyle w:val="20"/>
        <w:rPr>
          <w:rFonts w:hint="eastAsia" w:ascii="仿宋" w:hAnsi="仿宋" w:eastAsia="仿宋" w:cs="仿宋"/>
          <w:b/>
          <w:bCs/>
          <w:color w:val="auto"/>
          <w:sz w:val="21"/>
          <w:szCs w:val="21"/>
          <w:highlight w:val="none"/>
          <w:lang w:val="zh-CN" w:eastAsia="zh-CN"/>
        </w:rPr>
      </w:pPr>
    </w:p>
    <w:p w14:paraId="4D1D26F6">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6EEF90B0">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23.</w:t>
      </w:r>
      <w:r>
        <w:rPr>
          <w:rFonts w:hint="eastAsia" w:ascii="仿宋" w:hAnsi="仿宋" w:eastAsia="仿宋" w:cs="仿宋"/>
          <w:b/>
          <w:color w:val="auto"/>
          <w:sz w:val="21"/>
          <w:szCs w:val="21"/>
        </w:rPr>
        <w:t>供应商认为需要提供的其它资料</w:t>
      </w:r>
    </w:p>
    <w:p w14:paraId="700DA71E">
      <w:pPr>
        <w:spacing w:line="360" w:lineRule="auto"/>
        <w:ind w:firstLine="420" w:firstLineChars="200"/>
        <w:jc w:val="center"/>
        <w:rPr>
          <w:rFonts w:hint="eastAsia" w:ascii="仿宋" w:hAnsi="仿宋" w:eastAsia="仿宋" w:cs="仿宋"/>
          <w:color w:val="auto"/>
          <w:sz w:val="21"/>
          <w:szCs w:val="21"/>
        </w:rPr>
      </w:pPr>
    </w:p>
    <w:p w14:paraId="57E8BA44">
      <w:pPr>
        <w:spacing w:line="360" w:lineRule="auto"/>
        <w:jc w:val="cente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中未提供的格式</w:t>
      </w:r>
      <w:r>
        <w:rPr>
          <w:rFonts w:hint="eastAsia" w:ascii="仿宋" w:hAnsi="仿宋" w:eastAsia="仿宋" w:cs="仿宋"/>
          <w:color w:val="auto"/>
          <w:sz w:val="21"/>
          <w:szCs w:val="21"/>
          <w:lang w:val="en-US" w:eastAsia="zh-CN"/>
        </w:rPr>
        <w:t>或表格</w:t>
      </w:r>
      <w:r>
        <w:rPr>
          <w:rFonts w:hint="eastAsia" w:ascii="仿宋" w:hAnsi="仿宋" w:eastAsia="仿宋" w:cs="仿宋"/>
          <w:color w:val="auto"/>
          <w:sz w:val="21"/>
          <w:szCs w:val="21"/>
        </w:rPr>
        <w:t>，投标人自拟）</w:t>
      </w:r>
    </w:p>
    <w:p w14:paraId="42DDB71F">
      <w:pPr>
        <w:pStyle w:val="8"/>
        <w:rPr>
          <w:rFonts w:hint="eastAsia" w:ascii="仿宋" w:hAnsi="仿宋" w:eastAsia="仿宋" w:cs="仿宋"/>
          <w:color w:val="auto"/>
          <w:sz w:val="21"/>
          <w:szCs w:val="21"/>
        </w:rPr>
      </w:pPr>
    </w:p>
    <w:p w14:paraId="578E0291">
      <w:pPr>
        <w:pStyle w:val="28"/>
        <w:rPr>
          <w:rFonts w:hint="eastAsia" w:ascii="仿宋" w:hAnsi="仿宋" w:eastAsia="仿宋" w:cs="仿宋"/>
          <w:color w:val="auto"/>
          <w:sz w:val="21"/>
          <w:szCs w:val="21"/>
        </w:rPr>
      </w:pPr>
    </w:p>
    <w:p w14:paraId="0079073D">
      <w:pPr>
        <w:pStyle w:val="28"/>
        <w:rPr>
          <w:rFonts w:hint="eastAsia" w:ascii="仿宋" w:hAnsi="仿宋" w:eastAsia="仿宋" w:cs="仿宋"/>
          <w:color w:val="auto"/>
          <w:sz w:val="21"/>
          <w:szCs w:val="21"/>
        </w:rPr>
      </w:pPr>
    </w:p>
    <w:p w14:paraId="308DEFEC">
      <w:pPr>
        <w:pStyle w:val="28"/>
        <w:rPr>
          <w:rFonts w:hint="eastAsia" w:ascii="仿宋" w:hAnsi="仿宋" w:eastAsia="仿宋" w:cs="仿宋"/>
          <w:color w:val="auto"/>
          <w:sz w:val="21"/>
          <w:szCs w:val="21"/>
        </w:rPr>
      </w:pPr>
    </w:p>
    <w:p w14:paraId="47B0A03B">
      <w:pPr>
        <w:pStyle w:val="28"/>
        <w:rPr>
          <w:rFonts w:hint="eastAsia" w:ascii="仿宋" w:hAnsi="仿宋" w:eastAsia="仿宋" w:cs="仿宋"/>
          <w:color w:val="auto"/>
          <w:sz w:val="21"/>
          <w:szCs w:val="21"/>
        </w:rPr>
      </w:pPr>
    </w:p>
    <w:p w14:paraId="060BD614">
      <w:pPr>
        <w:pStyle w:val="28"/>
        <w:rPr>
          <w:rFonts w:hint="eastAsia" w:ascii="仿宋" w:hAnsi="仿宋" w:eastAsia="仿宋" w:cs="仿宋"/>
          <w:color w:val="auto"/>
          <w:sz w:val="21"/>
          <w:szCs w:val="21"/>
        </w:rPr>
      </w:pPr>
    </w:p>
    <w:p w14:paraId="19EE3802">
      <w:pPr>
        <w:pStyle w:val="28"/>
        <w:rPr>
          <w:rFonts w:hint="eastAsia" w:ascii="仿宋" w:hAnsi="仿宋" w:eastAsia="仿宋" w:cs="仿宋"/>
          <w:color w:val="auto"/>
          <w:sz w:val="21"/>
          <w:szCs w:val="21"/>
        </w:rPr>
      </w:pPr>
    </w:p>
    <w:p w14:paraId="408769CA">
      <w:pPr>
        <w:pStyle w:val="28"/>
        <w:rPr>
          <w:rFonts w:hint="eastAsia" w:ascii="仿宋" w:hAnsi="仿宋" w:eastAsia="仿宋" w:cs="仿宋"/>
          <w:color w:val="auto"/>
          <w:sz w:val="21"/>
          <w:szCs w:val="21"/>
        </w:rPr>
      </w:pPr>
    </w:p>
    <w:p w14:paraId="607D55F4">
      <w:pPr>
        <w:pStyle w:val="28"/>
        <w:rPr>
          <w:rFonts w:hint="eastAsia" w:ascii="仿宋" w:hAnsi="仿宋" w:eastAsia="仿宋" w:cs="仿宋"/>
          <w:color w:val="auto"/>
          <w:sz w:val="21"/>
          <w:szCs w:val="21"/>
        </w:rPr>
      </w:pPr>
    </w:p>
    <w:p w14:paraId="48DD00B6">
      <w:pPr>
        <w:pStyle w:val="28"/>
        <w:rPr>
          <w:rFonts w:hint="eastAsia" w:ascii="仿宋" w:hAnsi="仿宋" w:eastAsia="仿宋" w:cs="仿宋"/>
          <w:color w:val="auto"/>
          <w:sz w:val="21"/>
          <w:szCs w:val="21"/>
        </w:rPr>
      </w:pPr>
    </w:p>
    <w:p w14:paraId="17E8B6FA">
      <w:pPr>
        <w:pStyle w:val="28"/>
        <w:rPr>
          <w:rFonts w:hint="eastAsia" w:ascii="仿宋" w:hAnsi="仿宋" w:eastAsia="仿宋" w:cs="仿宋"/>
          <w:color w:val="auto"/>
          <w:sz w:val="21"/>
          <w:szCs w:val="21"/>
        </w:rPr>
      </w:pPr>
    </w:p>
    <w:p w14:paraId="027B1CE2">
      <w:pPr>
        <w:pStyle w:val="28"/>
        <w:rPr>
          <w:rFonts w:hint="eastAsia" w:ascii="仿宋" w:hAnsi="仿宋" w:eastAsia="仿宋" w:cs="仿宋"/>
          <w:color w:val="auto"/>
          <w:sz w:val="21"/>
          <w:szCs w:val="21"/>
        </w:rPr>
      </w:pPr>
    </w:p>
    <w:p w14:paraId="10AEC52B">
      <w:pPr>
        <w:pStyle w:val="28"/>
        <w:rPr>
          <w:rFonts w:hint="eastAsia" w:ascii="仿宋" w:hAnsi="仿宋" w:eastAsia="仿宋" w:cs="仿宋"/>
          <w:color w:val="auto"/>
          <w:sz w:val="21"/>
          <w:szCs w:val="21"/>
        </w:rPr>
      </w:pPr>
    </w:p>
    <w:p w14:paraId="2C59BDD4">
      <w:pPr>
        <w:pStyle w:val="28"/>
        <w:rPr>
          <w:rFonts w:hint="eastAsia" w:ascii="仿宋" w:hAnsi="仿宋" w:eastAsia="仿宋" w:cs="仿宋"/>
          <w:color w:val="auto"/>
          <w:sz w:val="21"/>
          <w:szCs w:val="21"/>
        </w:rPr>
      </w:pPr>
    </w:p>
    <w:p w14:paraId="0872B0C1">
      <w:pPr>
        <w:pStyle w:val="28"/>
        <w:rPr>
          <w:rFonts w:hint="eastAsia" w:ascii="仿宋" w:hAnsi="仿宋" w:eastAsia="仿宋" w:cs="仿宋"/>
          <w:color w:val="auto"/>
          <w:sz w:val="21"/>
          <w:szCs w:val="21"/>
        </w:rPr>
      </w:pPr>
    </w:p>
    <w:p w14:paraId="3E4337EB">
      <w:pPr>
        <w:pStyle w:val="28"/>
        <w:rPr>
          <w:rFonts w:hint="eastAsia" w:ascii="仿宋" w:hAnsi="仿宋" w:eastAsia="仿宋" w:cs="仿宋"/>
          <w:color w:val="auto"/>
          <w:sz w:val="21"/>
          <w:szCs w:val="21"/>
        </w:rPr>
      </w:pPr>
    </w:p>
    <w:p w14:paraId="5FE7A66D">
      <w:pPr>
        <w:pStyle w:val="28"/>
        <w:rPr>
          <w:rFonts w:hint="eastAsia" w:ascii="仿宋" w:hAnsi="仿宋" w:eastAsia="仿宋" w:cs="仿宋"/>
          <w:color w:val="auto"/>
          <w:sz w:val="21"/>
          <w:szCs w:val="21"/>
        </w:rPr>
      </w:pPr>
    </w:p>
    <w:p w14:paraId="5AB0F79C">
      <w:pPr>
        <w:pStyle w:val="28"/>
        <w:rPr>
          <w:rFonts w:hint="eastAsia" w:ascii="仿宋" w:hAnsi="仿宋" w:eastAsia="仿宋" w:cs="仿宋"/>
          <w:color w:val="auto"/>
          <w:sz w:val="21"/>
          <w:szCs w:val="21"/>
        </w:rPr>
      </w:pPr>
    </w:p>
    <w:p w14:paraId="535DD3D3">
      <w:pPr>
        <w:pStyle w:val="28"/>
        <w:rPr>
          <w:rFonts w:hint="eastAsia" w:ascii="仿宋" w:hAnsi="仿宋" w:eastAsia="仿宋" w:cs="仿宋"/>
          <w:color w:val="auto"/>
          <w:sz w:val="21"/>
          <w:szCs w:val="21"/>
        </w:rPr>
      </w:pPr>
    </w:p>
    <w:p w14:paraId="745A53FA">
      <w:pPr>
        <w:pStyle w:val="28"/>
        <w:rPr>
          <w:rFonts w:hint="eastAsia" w:ascii="仿宋" w:hAnsi="仿宋" w:eastAsia="仿宋" w:cs="仿宋"/>
          <w:color w:val="auto"/>
          <w:sz w:val="21"/>
          <w:szCs w:val="21"/>
        </w:rPr>
      </w:pPr>
    </w:p>
    <w:p w14:paraId="45ED3E07">
      <w:pPr>
        <w:pStyle w:val="28"/>
        <w:rPr>
          <w:rFonts w:hint="eastAsia" w:ascii="仿宋" w:hAnsi="仿宋" w:eastAsia="仿宋" w:cs="仿宋"/>
          <w:color w:val="auto"/>
          <w:sz w:val="21"/>
          <w:szCs w:val="21"/>
        </w:rPr>
      </w:pPr>
    </w:p>
    <w:p w14:paraId="0463266F">
      <w:pPr>
        <w:pStyle w:val="28"/>
        <w:rPr>
          <w:rFonts w:hint="eastAsia" w:ascii="仿宋" w:hAnsi="仿宋" w:eastAsia="仿宋" w:cs="仿宋"/>
          <w:color w:val="auto"/>
          <w:sz w:val="21"/>
          <w:szCs w:val="21"/>
        </w:rPr>
      </w:pPr>
    </w:p>
    <w:p w14:paraId="5A7880E6">
      <w:pPr>
        <w:pStyle w:val="28"/>
        <w:rPr>
          <w:rFonts w:hint="eastAsia" w:ascii="仿宋" w:hAnsi="仿宋" w:eastAsia="仿宋" w:cs="仿宋"/>
          <w:color w:val="auto"/>
          <w:sz w:val="21"/>
          <w:szCs w:val="21"/>
        </w:rPr>
      </w:pPr>
    </w:p>
    <w:p w14:paraId="15C78A84">
      <w:pPr>
        <w:pStyle w:val="28"/>
        <w:rPr>
          <w:rFonts w:hint="eastAsia" w:ascii="仿宋" w:hAnsi="仿宋" w:eastAsia="仿宋" w:cs="仿宋"/>
          <w:color w:val="auto"/>
          <w:sz w:val="21"/>
          <w:szCs w:val="21"/>
        </w:rPr>
      </w:pPr>
    </w:p>
    <w:p w14:paraId="2838143E">
      <w:pPr>
        <w:pStyle w:val="28"/>
        <w:rPr>
          <w:rFonts w:hint="eastAsia" w:ascii="仿宋" w:hAnsi="仿宋" w:eastAsia="仿宋" w:cs="仿宋"/>
          <w:color w:val="auto"/>
          <w:sz w:val="21"/>
          <w:szCs w:val="21"/>
        </w:rPr>
      </w:pPr>
    </w:p>
    <w:p w14:paraId="7BC09210">
      <w:pPr>
        <w:pStyle w:val="28"/>
        <w:rPr>
          <w:rFonts w:hint="eastAsia" w:ascii="仿宋" w:hAnsi="仿宋" w:eastAsia="仿宋" w:cs="仿宋"/>
          <w:color w:val="auto"/>
          <w:sz w:val="21"/>
          <w:szCs w:val="21"/>
        </w:rPr>
      </w:pPr>
    </w:p>
    <w:p w14:paraId="07B9F164">
      <w:pPr>
        <w:pStyle w:val="28"/>
        <w:rPr>
          <w:rFonts w:hint="eastAsia" w:ascii="仿宋" w:hAnsi="仿宋" w:eastAsia="仿宋" w:cs="仿宋"/>
          <w:color w:val="auto"/>
          <w:sz w:val="21"/>
          <w:szCs w:val="21"/>
        </w:rPr>
      </w:pPr>
    </w:p>
    <w:p w14:paraId="189AA066">
      <w:pPr>
        <w:pStyle w:val="28"/>
        <w:rPr>
          <w:rFonts w:hint="eastAsia" w:ascii="仿宋" w:hAnsi="仿宋" w:eastAsia="仿宋" w:cs="仿宋"/>
          <w:color w:val="auto"/>
          <w:sz w:val="21"/>
          <w:szCs w:val="21"/>
        </w:rPr>
      </w:pPr>
    </w:p>
    <w:p w14:paraId="39617F91">
      <w:pPr>
        <w:pStyle w:val="28"/>
        <w:rPr>
          <w:rFonts w:hint="eastAsia" w:ascii="仿宋" w:hAnsi="仿宋" w:eastAsia="仿宋" w:cs="仿宋"/>
          <w:color w:val="auto"/>
          <w:sz w:val="21"/>
          <w:szCs w:val="21"/>
        </w:rPr>
      </w:pPr>
    </w:p>
    <w:p w14:paraId="67E2E436">
      <w:pPr>
        <w:pStyle w:val="28"/>
        <w:rPr>
          <w:rFonts w:hint="eastAsia" w:ascii="仿宋" w:hAnsi="仿宋" w:eastAsia="仿宋" w:cs="仿宋"/>
          <w:color w:val="auto"/>
          <w:sz w:val="21"/>
          <w:szCs w:val="21"/>
        </w:rPr>
      </w:pPr>
    </w:p>
    <w:p w14:paraId="1A951381">
      <w:pPr>
        <w:pStyle w:val="28"/>
        <w:rPr>
          <w:rFonts w:hint="eastAsia" w:ascii="仿宋" w:hAnsi="仿宋" w:eastAsia="仿宋" w:cs="仿宋"/>
          <w:color w:val="auto"/>
          <w:sz w:val="21"/>
          <w:szCs w:val="21"/>
        </w:rPr>
      </w:pPr>
    </w:p>
    <w:p w14:paraId="0FCE2490">
      <w:pPr>
        <w:pStyle w:val="28"/>
        <w:rPr>
          <w:rFonts w:hint="eastAsia" w:ascii="仿宋" w:hAnsi="仿宋" w:eastAsia="仿宋" w:cs="仿宋"/>
          <w:color w:val="auto"/>
          <w:sz w:val="21"/>
          <w:szCs w:val="21"/>
        </w:rPr>
      </w:pPr>
    </w:p>
    <w:p w14:paraId="2167519A">
      <w:pPr>
        <w:pStyle w:val="28"/>
        <w:rPr>
          <w:rFonts w:hint="eastAsia" w:ascii="仿宋" w:hAnsi="仿宋" w:eastAsia="仿宋" w:cs="仿宋"/>
          <w:color w:val="auto"/>
          <w:sz w:val="21"/>
          <w:szCs w:val="21"/>
        </w:rPr>
      </w:pPr>
    </w:p>
    <w:p w14:paraId="2A825542">
      <w:pPr>
        <w:pStyle w:val="28"/>
        <w:rPr>
          <w:rFonts w:hint="eastAsia" w:ascii="仿宋" w:hAnsi="仿宋" w:eastAsia="仿宋" w:cs="仿宋"/>
          <w:color w:val="auto"/>
          <w:sz w:val="21"/>
          <w:szCs w:val="21"/>
        </w:rPr>
      </w:pPr>
    </w:p>
    <w:p w14:paraId="697C5701">
      <w:pPr>
        <w:pStyle w:val="28"/>
        <w:rPr>
          <w:rFonts w:hint="eastAsia" w:ascii="仿宋" w:hAnsi="仿宋" w:eastAsia="仿宋" w:cs="仿宋"/>
          <w:color w:val="auto"/>
          <w:sz w:val="21"/>
          <w:szCs w:val="21"/>
        </w:rPr>
      </w:pPr>
    </w:p>
    <w:p w14:paraId="127576E2">
      <w:pPr>
        <w:pStyle w:val="28"/>
        <w:rPr>
          <w:rFonts w:hint="eastAsia" w:ascii="仿宋" w:hAnsi="仿宋" w:eastAsia="仿宋" w:cs="仿宋"/>
          <w:color w:val="auto"/>
          <w:sz w:val="21"/>
          <w:szCs w:val="21"/>
        </w:rPr>
      </w:pPr>
    </w:p>
    <w:p w14:paraId="6896410F">
      <w:pPr>
        <w:pStyle w:val="28"/>
        <w:rPr>
          <w:rFonts w:hint="eastAsia" w:ascii="仿宋" w:hAnsi="仿宋" w:eastAsia="仿宋" w:cs="仿宋"/>
          <w:color w:val="auto"/>
          <w:sz w:val="21"/>
          <w:szCs w:val="21"/>
        </w:rPr>
      </w:pPr>
    </w:p>
    <w:p w14:paraId="3ECECFDD">
      <w:pPr>
        <w:pStyle w:val="28"/>
        <w:rPr>
          <w:rFonts w:hint="eastAsia" w:ascii="仿宋" w:hAnsi="仿宋" w:eastAsia="仿宋" w:cs="仿宋"/>
          <w:color w:val="auto"/>
          <w:sz w:val="21"/>
          <w:szCs w:val="21"/>
        </w:rPr>
      </w:pPr>
    </w:p>
    <w:p w14:paraId="5AB9D55A">
      <w:pPr>
        <w:pStyle w:val="28"/>
        <w:rPr>
          <w:rFonts w:hint="eastAsia" w:ascii="仿宋" w:hAnsi="仿宋" w:eastAsia="仿宋" w:cs="仿宋"/>
          <w:color w:val="auto"/>
          <w:sz w:val="21"/>
          <w:szCs w:val="21"/>
        </w:rPr>
      </w:pPr>
    </w:p>
    <w:p w14:paraId="3E49D62A">
      <w:pPr>
        <w:shd w:val="clear" w:color="auto" w:fill="auto"/>
        <w:spacing w:before="101" w:line="224" w:lineRule="auto"/>
        <w:ind w:firstLine="3780" w:firstLineChars="1500"/>
        <w:jc w:val="both"/>
        <w:outlineLvl w:val="2"/>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质疑函范本</w:t>
      </w:r>
    </w:p>
    <w:p w14:paraId="2CF231A3">
      <w:pPr>
        <w:shd w:val="clear" w:color="auto" w:fill="auto"/>
        <w:spacing w:line="250" w:lineRule="auto"/>
        <w:rPr>
          <w:rFonts w:hint="eastAsia" w:ascii="仿宋" w:hAnsi="仿宋" w:eastAsia="仿宋" w:cs="仿宋"/>
          <w:color w:val="auto"/>
          <w:sz w:val="24"/>
          <w:highlight w:val="none"/>
        </w:rPr>
      </w:pPr>
    </w:p>
    <w:p w14:paraId="78FC869E">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14:paraId="487957A1">
      <w:pPr>
        <w:shd w:val="clear" w:color="auto" w:fill="auto"/>
        <w:spacing w:before="237" w:line="468" w:lineRule="exact"/>
        <w:ind w:left="27"/>
        <w:outlineLvl w:val="2"/>
        <w:rPr>
          <w:rFonts w:hint="eastAsia" w:ascii="仿宋" w:hAnsi="仿宋" w:eastAsia="仿宋" w:cs="仿宋"/>
          <w:color w:val="auto"/>
          <w:sz w:val="24"/>
          <w:highlight w:val="none"/>
        </w:rPr>
      </w:pPr>
      <w:bookmarkStart w:id="158" w:name="_Toc5896"/>
      <w:bookmarkStart w:id="159" w:name="_Toc25739"/>
      <w:bookmarkStart w:id="160" w:name="_Toc110010425"/>
      <w:bookmarkStart w:id="161" w:name="_Toc1299"/>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bookmarkEnd w:id="158"/>
      <w:bookmarkEnd w:id="159"/>
      <w:bookmarkEnd w:id="160"/>
      <w:bookmarkEnd w:id="161"/>
    </w:p>
    <w:p w14:paraId="2846D194">
      <w:pPr>
        <w:shd w:val="clear" w:color="auto" w:fill="auto"/>
        <w:spacing w:before="77"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r>
        <w:rPr>
          <w:rFonts w:hint="eastAsia" w:ascii="仿宋" w:hAnsi="仿宋" w:eastAsia="仿宋" w:cs="仿宋"/>
          <w:color w:val="auto"/>
          <w:sz w:val="24"/>
          <w:highlight w:val="none"/>
          <w:u w:val="dotted"/>
        </w:rPr>
        <w:t xml:space="preserve">                                       </w:t>
      </w:r>
    </w:p>
    <w:p w14:paraId="33076906">
      <w:pPr>
        <w:shd w:val="clear" w:color="auto" w:fill="auto"/>
        <w:spacing w:before="21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14:paraId="6769EE0E">
      <w:pPr>
        <w:shd w:val="clear" w:color="auto" w:fill="auto"/>
        <w:spacing w:before="211"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14:paraId="2A929058">
      <w:pPr>
        <w:shd w:val="clear" w:color="auto" w:fill="auto"/>
        <w:spacing w:before="205"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r>
        <w:rPr>
          <w:rFonts w:hint="eastAsia" w:ascii="仿宋" w:hAnsi="仿宋" w:eastAsia="仿宋" w:cs="仿宋"/>
          <w:color w:val="auto"/>
          <w:sz w:val="24"/>
          <w:highlight w:val="none"/>
          <w:u w:val="dotted"/>
        </w:rPr>
        <w:t xml:space="preserve">                                         </w:t>
      </w:r>
    </w:p>
    <w:p w14:paraId="23D67D9E">
      <w:pPr>
        <w:shd w:val="clear" w:color="auto" w:fill="auto"/>
        <w:spacing w:before="21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14:paraId="1B0E16F9">
      <w:pPr>
        <w:shd w:val="clear" w:color="auto" w:fill="auto"/>
        <w:spacing w:before="208"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14:paraId="12AEF397">
      <w:pPr>
        <w:shd w:val="clear" w:color="auto" w:fill="auto"/>
        <w:spacing w:before="209" w:line="371" w:lineRule="exact"/>
        <w:ind w:left="27"/>
        <w:outlineLvl w:val="2"/>
        <w:rPr>
          <w:rFonts w:hint="eastAsia" w:ascii="仿宋" w:hAnsi="仿宋" w:eastAsia="仿宋" w:cs="仿宋"/>
          <w:color w:val="auto"/>
          <w:sz w:val="24"/>
          <w:highlight w:val="none"/>
        </w:rPr>
      </w:pPr>
      <w:bookmarkStart w:id="162" w:name="_Toc15098"/>
      <w:bookmarkStart w:id="163" w:name="_Toc1061"/>
      <w:bookmarkStart w:id="164" w:name="_Toc110010426"/>
      <w:bookmarkStart w:id="165" w:name="_Toc3585"/>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bookmarkEnd w:id="162"/>
      <w:bookmarkEnd w:id="163"/>
      <w:bookmarkEnd w:id="164"/>
      <w:bookmarkEnd w:id="165"/>
    </w:p>
    <w:p w14:paraId="6DFC6B8E">
      <w:pPr>
        <w:shd w:val="clear" w:color="auto" w:fill="auto"/>
        <w:spacing w:before="173"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r>
        <w:rPr>
          <w:rFonts w:hint="eastAsia" w:ascii="仿宋" w:hAnsi="仿宋" w:eastAsia="仿宋" w:cs="仿宋"/>
          <w:color w:val="auto"/>
          <w:sz w:val="24"/>
          <w:highlight w:val="none"/>
          <w:u w:val="dotted"/>
        </w:rPr>
        <w:t xml:space="preserve">                                         </w:t>
      </w:r>
    </w:p>
    <w:p w14:paraId="6B6C1CD9">
      <w:pPr>
        <w:shd w:val="clear" w:color="auto" w:fill="auto"/>
        <w:spacing w:before="210"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5"/>
          <w:sz w:val="24"/>
          <w:highlight w:val="none"/>
        </w:rPr>
        <w:t>包号：</w:t>
      </w:r>
      <w:r>
        <w:rPr>
          <w:rFonts w:hint="eastAsia" w:ascii="仿宋" w:hAnsi="仿宋" w:eastAsia="仿宋" w:cs="仿宋"/>
          <w:color w:val="auto"/>
          <w:sz w:val="24"/>
          <w:highlight w:val="none"/>
          <w:u w:val="dotted"/>
        </w:rPr>
        <w:t xml:space="preserve">                    </w:t>
      </w:r>
    </w:p>
    <w:p w14:paraId="15F697D7">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14:paraId="0A2DC0E8">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r>
        <w:rPr>
          <w:rFonts w:hint="eastAsia" w:ascii="仿宋" w:hAnsi="仿宋" w:eastAsia="仿宋" w:cs="仿宋"/>
          <w:color w:val="auto"/>
          <w:sz w:val="24"/>
          <w:highlight w:val="none"/>
          <w:u w:val="dotted"/>
        </w:rPr>
        <w:t xml:space="preserve">                                       </w:t>
      </w:r>
    </w:p>
    <w:p w14:paraId="451C2C1C">
      <w:pPr>
        <w:shd w:val="clear" w:color="auto" w:fill="auto"/>
        <w:spacing w:before="213" w:line="237" w:lineRule="auto"/>
        <w:ind w:left="22"/>
        <w:outlineLvl w:val="2"/>
        <w:rPr>
          <w:rFonts w:hint="eastAsia" w:ascii="仿宋" w:hAnsi="仿宋" w:eastAsia="仿宋" w:cs="仿宋"/>
          <w:color w:val="auto"/>
          <w:sz w:val="24"/>
          <w:highlight w:val="none"/>
        </w:rPr>
      </w:pPr>
      <w:bookmarkStart w:id="166" w:name="_Toc22496"/>
      <w:bookmarkStart w:id="167" w:name="_Toc32569"/>
      <w:bookmarkStart w:id="168" w:name="_Toc14686"/>
      <w:bookmarkStart w:id="169" w:name="_Toc110010427"/>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bookmarkEnd w:id="166"/>
      <w:bookmarkEnd w:id="167"/>
      <w:bookmarkEnd w:id="168"/>
      <w:bookmarkEnd w:id="169"/>
    </w:p>
    <w:p w14:paraId="0C58EE25">
      <w:pPr>
        <w:shd w:val="clear" w:color="auto" w:fill="auto"/>
        <w:spacing w:before="184"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 1：</w:t>
      </w:r>
      <w:r>
        <w:rPr>
          <w:rFonts w:hint="eastAsia" w:ascii="仿宋" w:hAnsi="仿宋" w:eastAsia="仿宋" w:cs="仿宋"/>
          <w:color w:val="auto"/>
          <w:sz w:val="24"/>
          <w:highlight w:val="none"/>
          <w:u w:val="dotted"/>
        </w:rPr>
        <w:t xml:space="preserve">                                             </w:t>
      </w:r>
    </w:p>
    <w:p w14:paraId="6A054B89">
      <w:pPr>
        <w:shd w:val="clear" w:color="auto" w:fill="auto"/>
        <w:spacing w:before="211"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14:paraId="0E76FF3B">
      <w:pPr>
        <w:shd w:val="clear" w:color="auto" w:fill="auto"/>
        <w:tabs>
          <w:tab w:val="left" w:pos="8322"/>
        </w:tabs>
        <w:spacing w:before="286"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14:paraId="602E676F">
      <w:pPr>
        <w:shd w:val="clear" w:color="auto" w:fill="auto"/>
        <w:spacing w:before="230"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14:paraId="003690DF">
      <w:pPr>
        <w:shd w:val="clear" w:color="auto" w:fill="auto"/>
        <w:tabs>
          <w:tab w:val="left" w:pos="8322"/>
        </w:tabs>
        <w:spacing w:before="289"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14:paraId="59014E45">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 2</w:t>
      </w:r>
    </w:p>
    <w:p w14:paraId="1910FB91">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14:paraId="31E12F27">
      <w:pPr>
        <w:shd w:val="clear" w:color="auto" w:fill="auto"/>
        <w:jc w:val="center"/>
        <w:rPr>
          <w:rFonts w:hint="eastAsia" w:ascii="仿宋" w:hAnsi="仿宋" w:eastAsia="仿宋" w:cs="仿宋"/>
          <w:color w:val="auto"/>
          <w:sz w:val="24"/>
          <w:highlight w:val="none"/>
        </w:rPr>
      </w:pPr>
    </w:p>
    <w:p w14:paraId="5818319A">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签字(签章)：                          日期：</w:t>
      </w:r>
    </w:p>
    <w:p w14:paraId="56CF5B63">
      <w:pPr>
        <w:shd w:val="clear" w:color="auto" w:fill="auto"/>
        <w:rPr>
          <w:rFonts w:hint="eastAsia" w:ascii="仿宋" w:hAnsi="仿宋" w:eastAsia="仿宋" w:cs="仿宋"/>
          <w:color w:val="auto"/>
          <w:sz w:val="24"/>
          <w:highlight w:val="none"/>
        </w:rPr>
        <w:sectPr>
          <w:footerReference r:id="rId15" w:type="default"/>
          <w:type w:val="continuous"/>
          <w:pgSz w:w="11905" w:h="16838"/>
          <w:pgMar w:top="1304" w:right="964" w:bottom="1020" w:left="1191" w:header="567" w:footer="454" w:gutter="0"/>
          <w:pgNumType w:fmt="decimal"/>
          <w:cols w:space="720" w:num="1"/>
          <w:rtlGutter w:val="0"/>
          <w:docGrid w:type="lines" w:linePitch="317" w:charSpace="0"/>
        </w:sectPr>
      </w:pPr>
    </w:p>
    <w:p w14:paraId="2A09165D">
      <w:pPr>
        <w:shd w:val="clear" w:color="auto" w:fill="auto"/>
        <w:spacing w:before="91" w:line="220" w:lineRule="auto"/>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14:paraId="7919670E">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14:paraId="2232A900">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14:paraId="579D3F99">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3.质疑供应商若对项目的某一分包进行质疑，质疑函中应列明具体分包号。</w:t>
      </w:r>
    </w:p>
    <w:p w14:paraId="478218C0">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 依据。</w:t>
      </w:r>
    </w:p>
    <w:p w14:paraId="00EC479B">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14:paraId="26737712">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 法人或者其他组织的，质疑函应由法定代表人、主要负责人，或者其 授权代表签字或者盖章，并加盖公章。</w:t>
      </w:r>
    </w:p>
    <w:p w14:paraId="4B4CE637">
      <w:pPr>
        <w:shd w:val="clear" w:color="auto" w:fill="auto"/>
        <w:spacing w:line="360" w:lineRule="auto"/>
        <w:jc w:val="center"/>
        <w:rPr>
          <w:rFonts w:hint="eastAsia" w:ascii="仿宋" w:hAnsi="仿宋" w:eastAsia="仿宋" w:cs="仿宋"/>
          <w:color w:val="auto"/>
          <w:kern w:val="0"/>
          <w:sz w:val="24"/>
          <w:highlight w:val="none"/>
        </w:rPr>
      </w:pPr>
    </w:p>
    <w:p w14:paraId="4878B164">
      <w:pPr>
        <w:shd w:val="clear" w:color="auto" w:fill="auto"/>
        <w:spacing w:before="101" w:line="224" w:lineRule="auto"/>
        <w:ind w:left="49"/>
        <w:jc w:val="center"/>
        <w:outlineLvl w:val="2"/>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bookmarkStart w:id="170" w:name="_Toc31259"/>
      <w:bookmarkStart w:id="171" w:name="_Toc23110"/>
      <w:bookmarkStart w:id="172" w:name="_Toc22150"/>
      <w:bookmarkStart w:id="173" w:name="_Toc110010428"/>
      <w:r>
        <w:rPr>
          <w:rFonts w:hint="eastAsia" w:ascii="仿宋" w:hAnsi="仿宋" w:eastAsia="仿宋" w:cs="仿宋"/>
          <w:color w:val="auto"/>
          <w:spacing w:val="6"/>
          <w:sz w:val="24"/>
          <w:highlight w:val="none"/>
        </w:rPr>
        <w:t>投诉书范本</w:t>
      </w:r>
      <w:bookmarkEnd w:id="170"/>
      <w:bookmarkEnd w:id="171"/>
      <w:bookmarkEnd w:id="172"/>
      <w:bookmarkEnd w:id="173"/>
    </w:p>
    <w:p w14:paraId="681F1201">
      <w:pPr>
        <w:shd w:val="clear" w:color="auto" w:fill="auto"/>
        <w:spacing w:line="393" w:lineRule="auto"/>
        <w:rPr>
          <w:rFonts w:hint="eastAsia" w:ascii="仿宋" w:hAnsi="仿宋" w:eastAsia="仿宋" w:cs="仿宋"/>
          <w:color w:val="auto"/>
          <w:sz w:val="24"/>
          <w:highlight w:val="none"/>
        </w:rPr>
      </w:pPr>
    </w:p>
    <w:p w14:paraId="46B5884A">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14:paraId="23A3A5EF">
      <w:pPr>
        <w:shd w:val="clear" w:color="auto" w:fill="auto"/>
        <w:spacing w:before="265" w:line="434" w:lineRule="exact"/>
        <w:ind w:left="27"/>
        <w:outlineLvl w:val="2"/>
        <w:rPr>
          <w:rFonts w:hint="eastAsia" w:ascii="仿宋" w:hAnsi="仿宋" w:eastAsia="仿宋" w:cs="仿宋"/>
          <w:color w:val="auto"/>
          <w:sz w:val="24"/>
          <w:highlight w:val="none"/>
        </w:rPr>
      </w:pPr>
      <w:bookmarkStart w:id="174" w:name="_Toc21592"/>
      <w:bookmarkStart w:id="175" w:name="_Toc26371"/>
      <w:bookmarkStart w:id="176" w:name="_Toc5746"/>
      <w:bookmarkStart w:id="177" w:name="_Toc110010429"/>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bookmarkEnd w:id="174"/>
      <w:bookmarkEnd w:id="175"/>
      <w:bookmarkEnd w:id="176"/>
      <w:bookmarkEnd w:id="177"/>
    </w:p>
    <w:p w14:paraId="5B88D359">
      <w:pPr>
        <w:shd w:val="clear" w:color="auto" w:fill="auto"/>
        <w:spacing w:before="1" w:line="220" w:lineRule="auto"/>
        <w:ind w:left="508"/>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r>
        <w:rPr>
          <w:rFonts w:hint="eastAsia" w:ascii="仿宋" w:hAnsi="仿宋" w:eastAsia="仿宋" w:cs="仿宋"/>
          <w:color w:val="auto"/>
          <w:sz w:val="24"/>
          <w:highlight w:val="none"/>
          <w:u w:val="dotted"/>
        </w:rPr>
        <w:t xml:space="preserve">                                                 </w:t>
      </w:r>
    </w:p>
    <w:p w14:paraId="6BC3DF10">
      <w:pPr>
        <w:shd w:val="clear" w:color="auto" w:fill="auto"/>
        <w:spacing w:before="10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14:paraId="07B58E59">
      <w:pPr>
        <w:shd w:val="clear" w:color="auto" w:fill="auto"/>
        <w:spacing w:before="10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r>
        <w:rPr>
          <w:rFonts w:hint="eastAsia" w:ascii="仿宋" w:hAnsi="仿宋" w:eastAsia="仿宋" w:cs="仿宋"/>
          <w:color w:val="auto"/>
          <w:sz w:val="24"/>
          <w:highlight w:val="none"/>
          <w:u w:val="dotted"/>
        </w:rPr>
        <w:t xml:space="preserve">                                  </w:t>
      </w:r>
    </w:p>
    <w:p w14:paraId="54310994">
      <w:pPr>
        <w:shd w:val="clear" w:color="auto" w:fill="auto"/>
        <w:spacing w:before="10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14:paraId="223CC36A">
      <w:pPr>
        <w:shd w:val="clear" w:color="auto" w:fill="auto"/>
        <w:spacing w:before="99"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14:paraId="0E3E765D">
      <w:pPr>
        <w:shd w:val="clear" w:color="auto" w:fill="auto"/>
        <w:spacing w:before="101"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14:paraId="7FD262EB">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 1：</w:t>
      </w:r>
    </w:p>
    <w:p w14:paraId="42312FC9">
      <w:pPr>
        <w:shd w:val="clear" w:color="auto" w:fill="auto"/>
        <w:spacing w:before="101" w:line="185"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14:paraId="03082F70">
      <w:pPr>
        <w:shd w:val="clear" w:color="auto" w:fill="auto"/>
        <w:rPr>
          <w:rFonts w:hint="eastAsia" w:ascii="仿宋" w:hAnsi="仿宋" w:eastAsia="仿宋" w:cs="仿宋"/>
          <w:color w:val="auto"/>
          <w:sz w:val="24"/>
          <w:highlight w:val="none"/>
        </w:rPr>
      </w:pPr>
    </w:p>
    <w:p w14:paraId="4AC87891">
      <w:pPr>
        <w:shd w:val="clear" w:color="auto" w:fill="auto"/>
        <w:spacing w:before="103" w:line="220" w:lineRule="auto"/>
        <w:ind w:left="505"/>
        <w:rPr>
          <w:rFonts w:hint="eastAsia" w:ascii="仿宋" w:hAnsi="仿宋" w:eastAsia="仿宋" w:cs="仿宋"/>
          <w:color w:val="auto"/>
          <w:spacing w:val="-17"/>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p>
    <w:p w14:paraId="242C145E">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r>
        <w:rPr>
          <w:rFonts w:hint="eastAsia" w:ascii="仿宋" w:hAnsi="仿宋" w:eastAsia="仿宋" w:cs="仿宋"/>
          <w:color w:val="auto"/>
          <w:sz w:val="24"/>
          <w:highlight w:val="none"/>
          <w:u w:val="dotted"/>
        </w:rPr>
        <w:t xml:space="preserve">           </w:t>
      </w:r>
    </w:p>
    <w:p w14:paraId="31D7C299">
      <w:pPr>
        <w:shd w:val="clear" w:color="auto" w:fill="auto"/>
        <w:spacing w:before="100" w:line="371" w:lineRule="exact"/>
        <w:ind w:left="27"/>
        <w:outlineLvl w:val="2"/>
        <w:rPr>
          <w:rFonts w:hint="eastAsia" w:ascii="仿宋" w:hAnsi="仿宋" w:eastAsia="仿宋" w:cs="仿宋"/>
          <w:color w:val="auto"/>
          <w:sz w:val="24"/>
          <w:highlight w:val="none"/>
        </w:rPr>
      </w:pPr>
      <w:bookmarkStart w:id="178" w:name="_Toc110010430"/>
      <w:bookmarkStart w:id="179" w:name="_Toc27620"/>
      <w:bookmarkStart w:id="180" w:name="_Toc25199"/>
      <w:bookmarkStart w:id="181" w:name="_Toc377"/>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bookmarkEnd w:id="178"/>
      <w:bookmarkEnd w:id="179"/>
      <w:bookmarkEnd w:id="180"/>
      <w:bookmarkEnd w:id="181"/>
    </w:p>
    <w:p w14:paraId="1941F9E7">
      <w:pPr>
        <w:shd w:val="clear" w:color="auto" w:fill="auto"/>
        <w:spacing w:before="6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r>
        <w:rPr>
          <w:rFonts w:hint="eastAsia" w:ascii="仿宋" w:hAnsi="仿宋" w:eastAsia="仿宋" w:cs="仿宋"/>
          <w:color w:val="auto"/>
          <w:sz w:val="24"/>
          <w:highlight w:val="none"/>
          <w:u w:val="dotted"/>
        </w:rPr>
        <w:t xml:space="preserve">                                           </w:t>
      </w:r>
    </w:p>
    <w:p w14:paraId="3F9DBDC0">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包号：</w:t>
      </w:r>
      <w:r>
        <w:rPr>
          <w:rFonts w:hint="eastAsia" w:ascii="仿宋" w:hAnsi="仿宋" w:eastAsia="仿宋" w:cs="仿宋"/>
          <w:color w:val="auto"/>
          <w:sz w:val="24"/>
          <w:highlight w:val="none"/>
          <w:u w:val="dotted"/>
        </w:rPr>
        <w:t xml:space="preserve">              </w:t>
      </w:r>
    </w:p>
    <w:p w14:paraId="6E5F4900">
      <w:pPr>
        <w:shd w:val="clear" w:color="auto" w:fill="auto"/>
        <w:spacing w:before="10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14:paraId="4EEDA3B8">
      <w:pPr>
        <w:shd w:val="clear" w:color="auto" w:fill="auto"/>
        <w:spacing w:before="105"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14:paraId="609F30B3">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u w:val="single"/>
        </w:rPr>
        <w:t xml:space="preserve">  是/否 </w:t>
      </w:r>
      <w:r>
        <w:rPr>
          <w:rFonts w:hint="eastAsia" w:ascii="仿宋" w:hAnsi="仿宋" w:eastAsia="仿宋" w:cs="仿宋"/>
          <w:color w:val="auto"/>
          <w:spacing w:val="7"/>
          <w:sz w:val="24"/>
          <w:highlight w:val="none"/>
        </w:rPr>
        <w:t xml:space="preserve"> 公告期限</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u w:val="dotted"/>
        </w:rPr>
        <w:t xml:space="preserve">                        </w:t>
      </w:r>
    </w:p>
    <w:p w14:paraId="432B1FDF">
      <w:pPr>
        <w:shd w:val="clear" w:color="auto" w:fill="auto"/>
        <w:spacing w:before="103" w:line="287" w:lineRule="auto"/>
        <w:ind w:left="22" w:right="12" w:firstLine="481"/>
        <w:rPr>
          <w:rFonts w:hint="eastAsia" w:ascii="仿宋" w:hAnsi="仿宋" w:eastAsia="仿宋" w:cs="仿宋"/>
          <w:color w:val="auto"/>
          <w:sz w:val="24"/>
          <w:highlight w:val="none"/>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 xml:space="preserve">  是/否 </w:t>
      </w:r>
      <w:r>
        <w:rPr>
          <w:rFonts w:hint="eastAsia" w:ascii="仿宋" w:hAnsi="仿宋" w:eastAsia="仿宋" w:cs="仿宋"/>
          <w:color w:val="auto"/>
          <w:spacing w:val="-1"/>
          <w:sz w:val="24"/>
          <w:highlight w:val="none"/>
        </w:rPr>
        <w:t xml:space="preserve"> 公告期限：</w:t>
      </w:r>
      <w:r>
        <w:rPr>
          <w:rFonts w:hint="eastAsia" w:ascii="仿宋" w:hAnsi="仿宋" w:eastAsia="仿宋" w:cs="仿宋"/>
          <w:color w:val="auto"/>
          <w:spacing w:val="-1"/>
          <w:sz w:val="24"/>
          <w:highlight w:val="none"/>
          <w:u w:val="dotted"/>
        </w:rPr>
        <w:t xml:space="preserve">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B673A69">
      <w:pPr>
        <w:shd w:val="clear" w:color="auto" w:fill="auto"/>
        <w:spacing w:before="100" w:line="371" w:lineRule="exact"/>
        <w:ind w:left="27" w:right="0" w:firstLine="0"/>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14:paraId="00A3AD47">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年</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月</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日 ，向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14:paraId="6C2DA3D9">
      <w:pPr>
        <w:shd w:val="clear" w:color="auto" w:fill="auto"/>
        <w:spacing w:before="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r>
        <w:rPr>
          <w:rFonts w:hint="eastAsia" w:ascii="仿宋" w:hAnsi="仿宋" w:eastAsia="仿宋" w:cs="仿宋"/>
          <w:color w:val="auto"/>
          <w:sz w:val="24"/>
          <w:highlight w:val="none"/>
          <w:u w:val="dotted"/>
        </w:rPr>
        <w:t xml:space="preserve">                                           </w:t>
      </w:r>
    </w:p>
    <w:p w14:paraId="6C0C913B">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年</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月</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日，就质疑</w:t>
      </w:r>
      <w:r>
        <w:rPr>
          <w:rFonts w:hint="eastAsia" w:ascii="仿宋" w:hAnsi="仿宋" w:eastAsia="仿宋" w:cs="仿宋"/>
          <w:color w:val="auto"/>
          <w:sz w:val="24"/>
          <w:highlight w:val="none"/>
        </w:rPr>
        <w:t xml:space="preserve"> </w:t>
      </w:r>
      <w:r>
        <w:rPr>
          <w:rFonts w:hint="eastAsia" w:ascii="仿宋" w:hAnsi="仿宋" w:eastAsia="仿宋" w:cs="仿宋"/>
          <w:color w:val="auto"/>
          <w:spacing w:val="-1"/>
          <w:sz w:val="24"/>
          <w:highlight w:val="none"/>
        </w:rPr>
        <w:t>事项做出了答复/没有在</w:t>
      </w:r>
      <w:r>
        <w:rPr>
          <w:rFonts w:hint="eastAsia" w:ascii="仿宋" w:hAnsi="仿宋" w:eastAsia="仿宋" w:cs="仿宋"/>
          <w:color w:val="auto"/>
          <w:sz w:val="24"/>
          <w:highlight w:val="none"/>
        </w:rPr>
        <w:t>法定期限内做出答复。</w:t>
      </w:r>
    </w:p>
    <w:p w14:paraId="160A1F4F">
      <w:pPr>
        <w:shd w:val="clear" w:color="auto" w:fill="auto"/>
        <w:spacing w:before="100" w:line="371" w:lineRule="exact"/>
        <w:ind w:left="27"/>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14:paraId="625FDD06">
      <w:pPr>
        <w:shd w:val="clear" w:color="auto" w:fill="auto"/>
        <w:spacing w:before="98" w:line="221" w:lineRule="auto"/>
        <w:ind w:left="508"/>
        <w:rPr>
          <w:rFonts w:hint="eastAsia" w:ascii="仿宋" w:hAnsi="仿宋" w:eastAsia="仿宋" w:cs="仿宋"/>
          <w:color w:val="auto"/>
          <w:sz w:val="24"/>
          <w:highlight w:val="none"/>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 1 ：</w:t>
      </w:r>
      <w:r>
        <w:rPr>
          <w:rFonts w:hint="eastAsia" w:ascii="仿宋" w:hAnsi="仿宋" w:eastAsia="仿宋" w:cs="仿宋"/>
          <w:color w:val="auto"/>
          <w:sz w:val="24"/>
          <w:highlight w:val="none"/>
          <w:u w:val="dotted"/>
        </w:rPr>
        <w:t xml:space="preserve">                                            </w:t>
      </w:r>
    </w:p>
    <w:p w14:paraId="0E996CA0">
      <w:pPr>
        <w:shd w:val="clear" w:color="auto" w:fill="auto"/>
        <w:spacing w:before="100"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14:paraId="7EAA59FE">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14:paraId="2126882B">
      <w:pPr>
        <w:shd w:val="clear" w:color="auto" w:fill="auto"/>
        <w:spacing w:before="118"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14:paraId="64D775CC">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14:paraId="3726E62A">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 2</w:t>
      </w:r>
    </w:p>
    <w:p w14:paraId="702FD0F4">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14:paraId="48CB0ADE">
      <w:pPr>
        <w:shd w:val="clear" w:color="auto" w:fill="auto"/>
        <w:spacing w:line="239" w:lineRule="exact"/>
        <w:rPr>
          <w:rFonts w:hint="eastAsia" w:ascii="仿宋" w:hAnsi="仿宋" w:eastAsia="仿宋" w:cs="仿宋"/>
          <w:color w:val="auto"/>
          <w:sz w:val="24"/>
          <w:highlight w:val="none"/>
        </w:rPr>
      </w:pPr>
    </w:p>
    <w:p w14:paraId="5F96F7C0">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
          <w:position w:val="11"/>
          <w:sz w:val="24"/>
          <w:highlight w:val="none"/>
        </w:rPr>
        <w:t>签字(签</w:t>
      </w:r>
      <w:r>
        <w:rPr>
          <w:rFonts w:hint="eastAsia" w:ascii="仿宋" w:hAnsi="仿宋" w:eastAsia="仿宋" w:cs="仿宋"/>
          <w:color w:val="auto"/>
          <w:spacing w:val="-1"/>
          <w:position w:val="11"/>
          <w:sz w:val="24"/>
          <w:highlight w:val="none"/>
        </w:rPr>
        <w:t xml:space="preserve">章)： </w:t>
      </w:r>
    </w:p>
    <w:p w14:paraId="5920DFBD">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r>
        <w:rPr>
          <w:rFonts w:hint="eastAsia" w:ascii="仿宋" w:hAnsi="仿宋" w:eastAsia="仿宋" w:cs="仿宋"/>
          <w:color w:val="auto"/>
          <w:spacing w:val="-1"/>
          <w:position w:val="11"/>
          <w:sz w:val="24"/>
          <w:highlight w:val="none"/>
        </w:rPr>
        <w:t xml:space="preserve"> </w:t>
      </w:r>
    </w:p>
    <w:p w14:paraId="425B53F2">
      <w:pPr>
        <w:shd w:val="clear" w:color="auto" w:fill="auto"/>
        <w:spacing w:line="392" w:lineRule="auto"/>
        <w:rPr>
          <w:rFonts w:hint="eastAsia" w:ascii="仿宋" w:hAnsi="仿宋" w:eastAsia="仿宋" w:cs="仿宋"/>
          <w:color w:val="auto"/>
          <w:sz w:val="24"/>
          <w:highlight w:val="none"/>
        </w:rPr>
      </w:pPr>
    </w:p>
    <w:p w14:paraId="06635C46">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14:paraId="55D67FA2">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1.投诉人提起投诉时，应当提交投诉书和必要的证明材料，并按照被投诉人和与投诉事项有关的供应商数量提供投诉书副本。</w:t>
      </w:r>
    </w:p>
    <w:p w14:paraId="0F30E66F">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2.投诉人若委托代理人进行投诉的，投诉书应按要求列明“授权代表”的有关内容，并在附件中提交由投诉人签署的授权委托书。授 权委托书应载明代理人的姓名或者名称、代理事项、具体权限、期限和相关事项。</w:t>
      </w:r>
    </w:p>
    <w:p w14:paraId="4FA10CD9">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3.投诉人若对项目的某一分包进行投诉，投诉书中应列明具体分包号。</w:t>
      </w:r>
    </w:p>
    <w:p w14:paraId="6D2357E4">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4.投诉书应简要列明质疑事项，质疑函、质疑答复等作为附件材料提供。</w:t>
      </w:r>
    </w:p>
    <w:p w14:paraId="419C153B">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5.投诉书的投诉事项应具体、明确，并有必要的事实依据和法律依据。</w:t>
      </w:r>
    </w:p>
    <w:p w14:paraId="14F10C5F">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14:paraId="4528EF4D">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7.投诉人为自然人的，投诉书应由本人签字；投诉人为法人或者其他组织的，投诉书应当由法定代表人、主要负责人，或者其授权代 表签字或者盖章，并加盖公章。</w:t>
      </w:r>
    </w:p>
    <w:p w14:paraId="685755E3">
      <w:pPr>
        <w:pStyle w:val="28"/>
        <w:rPr>
          <w:rFonts w:hint="eastAsia" w:ascii="仿宋" w:hAnsi="仿宋" w:eastAsia="仿宋" w:cs="仿宋"/>
          <w:color w:val="auto"/>
          <w:sz w:val="21"/>
          <w:szCs w:val="21"/>
        </w:rPr>
      </w:pPr>
    </w:p>
    <w:p w14:paraId="67A309A8">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58B831D9">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5FE47123">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3F0681C7">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5F98911C">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60382F8B">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14:paraId="552D3E51">
      <w:pPr>
        <w:pStyle w:val="3"/>
        <w:keepNext/>
        <w:keepLines/>
        <w:pageBreakBefore w:val="0"/>
        <w:widowControl w:val="0"/>
        <w:numPr>
          <w:ilvl w:val="0"/>
          <w:numId w:val="0"/>
        </w:numPr>
        <w:tabs>
          <w:tab w:val="left" w:pos="5852"/>
        </w:tabs>
        <w:kinsoku/>
        <w:wordWrap/>
        <w:overflowPunct/>
        <w:topLinePunct w:val="0"/>
        <w:autoSpaceDE/>
        <w:autoSpaceDN/>
        <w:bidi w:val="0"/>
        <w:adjustRightInd/>
        <w:snapToGrid/>
        <w:spacing w:line="416" w:lineRule="auto"/>
        <w:ind w:leftChars="0"/>
        <w:jc w:val="center"/>
        <w:textAlignment w:val="auto"/>
        <w:outlineLvl w:val="1"/>
        <w:rPr>
          <w:rFonts w:hint="eastAsia" w:ascii="仿宋" w:hAnsi="仿宋" w:eastAsia="仿宋" w:cs="仿宋"/>
          <w:color w:val="000000" w:themeColor="text1"/>
          <w:sz w:val="21"/>
          <w:szCs w:val="21"/>
          <w14:textFill>
            <w14:solidFill>
              <w14:schemeClr w14:val="tx1"/>
            </w14:solidFill>
          </w14:textFill>
        </w:rPr>
      </w:pPr>
      <w:bookmarkStart w:id="182" w:name="_Toc28928"/>
      <w:bookmarkStart w:id="183" w:name="_Toc16557"/>
      <w:bookmarkStart w:id="184" w:name="_Toc12869"/>
      <w:bookmarkStart w:id="185" w:name="_Toc8722"/>
      <w:bookmarkStart w:id="186" w:name="_Toc9878"/>
      <w:bookmarkStart w:id="187" w:name="_Toc14085"/>
      <w:r>
        <w:rPr>
          <w:rFonts w:hint="eastAsia" w:ascii="仿宋" w:hAnsi="仿宋" w:eastAsia="仿宋" w:cs="仿宋"/>
          <w:color w:val="000000" w:themeColor="text1"/>
          <w:sz w:val="32"/>
          <w:szCs w:val="32"/>
          <w14:textFill>
            <w14:solidFill>
              <w14:schemeClr w14:val="tx1"/>
            </w14:solidFill>
          </w14:textFill>
        </w:rPr>
        <w:t>中小企业划分标准</w:t>
      </w:r>
      <w:bookmarkEnd w:id="182"/>
      <w:bookmarkEnd w:id="183"/>
      <w:bookmarkEnd w:id="184"/>
      <w:bookmarkEnd w:id="185"/>
      <w:bookmarkEnd w:id="186"/>
      <w:bookmarkEnd w:id="187"/>
    </w:p>
    <w:p w14:paraId="648960D0">
      <w:pPr>
        <w:ind w:firstLine="420" w:firstLineChars="20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工业和信息化部、国家统计局、发展改革委、财政部等四部门《关于印发中小企业划型标准规定的通知》（工信部联企业〔2011〕300号）规定中小企业划型标准如表所示：</w:t>
      </w:r>
    </w:p>
    <w:tbl>
      <w:tblPr>
        <w:tblStyle w:val="24"/>
        <w:tblW w:w="504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372"/>
        <w:gridCol w:w="1090"/>
        <w:gridCol w:w="7395"/>
      </w:tblGrid>
      <w:tr w14:paraId="21FA4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5DEE710C">
            <w:pPr>
              <w:pStyle w:val="56"/>
              <w:keepNext w:val="0"/>
              <w:keepLines w:val="0"/>
              <w:suppressLineNumbers w:val="0"/>
              <w:shd w:val="clear" w:color="auto" w:fill="auto"/>
              <w:spacing w:before="0" w:beforeAutospacing="0" w:after="0" w:afterAutospacing="0" w:line="240" w:lineRule="auto"/>
              <w:ind w:left="0" w:right="0" w:firstLine="2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农、林、牧、渔业</w:t>
            </w:r>
          </w:p>
        </w:tc>
        <w:tc>
          <w:tcPr>
            <w:tcW w:w="4303" w:type="pct"/>
            <w:gridSpan w:val="2"/>
            <w:shd w:val="clear" w:color="auto" w:fill="FFFFFF"/>
            <w:noWrap w:val="0"/>
            <w:vAlign w:val="center"/>
          </w:tcPr>
          <w:p w14:paraId="4F245421">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营业收入20000万元以下的为中小微型企业。</w:t>
            </w:r>
          </w:p>
        </w:tc>
      </w:tr>
      <w:tr w14:paraId="74776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27603E38">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07C9C1E3">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3AB5C026">
            <w:pPr>
              <w:pStyle w:val="56"/>
              <w:keepNext w:val="0"/>
              <w:keepLines w:val="0"/>
              <w:suppressLineNumbers w:val="0"/>
              <w:shd w:val="clear" w:color="auto" w:fill="auto"/>
              <w:tabs>
                <w:tab w:val="left" w:pos="1930"/>
              </w:tabs>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500万元</w:t>
            </w:r>
            <w:r>
              <w:rPr>
                <w:rFonts w:hint="eastAsia" w:ascii="仿宋" w:hAnsi="仿宋" w:eastAsia="仿宋" w:cs="仿宋"/>
                <w:color w:val="000000" w:themeColor="text1"/>
                <w:sz w:val="21"/>
                <w:szCs w:val="21"/>
                <w:lang w:val="en-US"/>
                <w14:textFill>
                  <w14:solidFill>
                    <w14:schemeClr w14:val="tx1"/>
                  </w14:solidFill>
                </w14:textFill>
              </w:rPr>
              <w:t>-</w:t>
            </w:r>
            <w:r>
              <w:rPr>
                <w:rFonts w:hint="eastAsia" w:ascii="仿宋" w:hAnsi="仿宋" w:eastAsia="仿宋" w:cs="仿宋"/>
                <w:color w:val="000000" w:themeColor="text1"/>
                <w:sz w:val="21"/>
                <w:szCs w:val="21"/>
                <w14:textFill>
                  <w14:solidFill>
                    <w14:schemeClr w14:val="tx1"/>
                  </w14:solidFill>
                </w14:textFill>
              </w:rPr>
              <w:t>20 000万元</w:t>
            </w:r>
          </w:p>
        </w:tc>
      </w:tr>
      <w:tr w14:paraId="05FCA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1C2471ED">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68F0DC71">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79BF3D9E">
            <w:pPr>
              <w:pStyle w:val="56"/>
              <w:keepNext w:val="0"/>
              <w:keepLines w:val="0"/>
              <w:suppressLineNumbers w:val="0"/>
              <w:shd w:val="clear" w:color="auto" w:fill="auto"/>
              <w:tabs>
                <w:tab w:val="left" w:pos="1752"/>
              </w:tabs>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50万元</w:t>
            </w:r>
            <w:r>
              <w:rPr>
                <w:rFonts w:hint="eastAsia" w:ascii="仿宋" w:hAnsi="仿宋" w:eastAsia="仿宋" w:cs="仿宋"/>
                <w:color w:val="000000" w:themeColor="text1"/>
                <w:sz w:val="21"/>
                <w:szCs w:val="21"/>
                <w:lang w:val="en-US"/>
                <w14:textFill>
                  <w14:solidFill>
                    <w14:schemeClr w14:val="tx1"/>
                  </w14:solidFill>
                </w14:textFill>
              </w:rPr>
              <w:t>-</w:t>
            </w:r>
            <w:r>
              <w:rPr>
                <w:rFonts w:hint="eastAsia" w:ascii="仿宋" w:hAnsi="仿宋" w:eastAsia="仿宋" w:cs="仿宋"/>
                <w:color w:val="000000" w:themeColor="text1"/>
                <w:sz w:val="21"/>
                <w:szCs w:val="21"/>
                <w14:textFill>
                  <w14:solidFill>
                    <w14:schemeClr w14:val="tx1"/>
                  </w14:solidFill>
                </w14:textFill>
              </w:rPr>
              <w:t>500万元</w:t>
            </w:r>
          </w:p>
        </w:tc>
      </w:tr>
      <w:tr w14:paraId="56268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5CB118E9">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1DC699EA">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197B8B79">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50万元以下</w:t>
            </w:r>
          </w:p>
        </w:tc>
      </w:tr>
      <w:tr w14:paraId="42D17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3013B70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工业</w:t>
            </w:r>
          </w:p>
          <w:p w14:paraId="545C5315">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（包括采矿业，制造业，电力、热力、燃气及水生产和供应</w:t>
            </w:r>
          </w:p>
          <w:p w14:paraId="1BFEE26F">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业）</w:t>
            </w:r>
          </w:p>
        </w:tc>
        <w:tc>
          <w:tcPr>
            <w:tcW w:w="4303" w:type="pct"/>
            <w:gridSpan w:val="2"/>
            <w:shd w:val="clear" w:color="auto" w:fill="FFFFFF"/>
            <w:noWrap w:val="0"/>
            <w:vAlign w:val="center"/>
          </w:tcPr>
          <w:p w14:paraId="13884382">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从业人员1 000人以下或营业收入 40000万元以下的为中小微型企业。</w:t>
            </w:r>
          </w:p>
        </w:tc>
      </w:tr>
      <w:tr w14:paraId="36566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65854CD3">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7DC79ACE">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36F319F2">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 300人一1 000人，且营业收入 2 000万元一40 000万元</w:t>
            </w:r>
          </w:p>
        </w:tc>
      </w:tr>
      <w:tr w14:paraId="162F3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492401CB">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5A7FC4BD">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1E96B11A">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从业人员20人一300人，且营业收入 300万元一2 000万元</w:t>
            </w:r>
          </w:p>
        </w:tc>
      </w:tr>
      <w:tr w14:paraId="1E4C3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72E4965C">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574C02A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2219DCB9">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从业人员20人以下或营业收入 300万元以下</w:t>
            </w:r>
          </w:p>
        </w:tc>
      </w:tr>
      <w:tr w14:paraId="5B4F2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36A8831A">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建筑业</w:t>
            </w:r>
          </w:p>
        </w:tc>
        <w:tc>
          <w:tcPr>
            <w:tcW w:w="4303" w:type="pct"/>
            <w:gridSpan w:val="2"/>
            <w:shd w:val="clear" w:color="auto" w:fill="FFFFFF"/>
            <w:noWrap w:val="0"/>
            <w:vAlign w:val="center"/>
          </w:tcPr>
          <w:p w14:paraId="10B91729">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营业收入80000万元以下或资产总额 80000万元以下的为中小微型企业。</w:t>
            </w:r>
          </w:p>
        </w:tc>
      </w:tr>
      <w:tr w14:paraId="68B16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6407D452">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p>
        </w:tc>
        <w:tc>
          <w:tcPr>
            <w:tcW w:w="553" w:type="pct"/>
            <w:shd w:val="clear" w:color="auto" w:fill="FFFFFF"/>
            <w:noWrap w:val="0"/>
            <w:vAlign w:val="center"/>
          </w:tcPr>
          <w:p w14:paraId="6EF4AA63">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中型</w:t>
            </w:r>
          </w:p>
        </w:tc>
        <w:tc>
          <w:tcPr>
            <w:tcW w:w="3749" w:type="pct"/>
            <w:shd w:val="clear" w:color="auto" w:fill="FFFFFF"/>
            <w:noWrap w:val="0"/>
            <w:vAlign w:val="center"/>
          </w:tcPr>
          <w:p w14:paraId="587808D5">
            <w:pPr>
              <w:pStyle w:val="56"/>
              <w:keepNext w:val="0"/>
              <w:keepLines w:val="0"/>
              <w:suppressLineNumbers w:val="0"/>
              <w:shd w:val="clear" w:color="auto" w:fill="auto"/>
              <w:spacing w:before="0" w:beforeAutospacing="0" w:after="0" w:afterAutospacing="0" w:line="240" w:lineRule="auto"/>
              <w:ind w:left="0" w:right="0" w:firstLine="14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营业收入6000万元一80000万元，且资产总额 5 000万元一80 000 万元</w:t>
            </w:r>
          </w:p>
        </w:tc>
      </w:tr>
      <w:tr w14:paraId="72F3A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5EF8045A">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p>
        </w:tc>
        <w:tc>
          <w:tcPr>
            <w:tcW w:w="553" w:type="pct"/>
            <w:shd w:val="clear" w:color="auto" w:fill="FFFFFF"/>
            <w:noWrap w:val="0"/>
            <w:vAlign w:val="center"/>
          </w:tcPr>
          <w:p w14:paraId="6DB64AE0">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小型</w:t>
            </w:r>
          </w:p>
        </w:tc>
        <w:tc>
          <w:tcPr>
            <w:tcW w:w="3749" w:type="pct"/>
            <w:shd w:val="clear" w:color="auto" w:fill="FFFFFF"/>
            <w:noWrap w:val="0"/>
            <w:vAlign w:val="center"/>
          </w:tcPr>
          <w:p w14:paraId="7BC986A8">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营业收入 300万元一6 000万元，且资产总额 300万一5 000万元</w:t>
            </w:r>
          </w:p>
        </w:tc>
      </w:tr>
      <w:tr w14:paraId="3A06D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45B60075">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p>
        </w:tc>
        <w:tc>
          <w:tcPr>
            <w:tcW w:w="553" w:type="pct"/>
            <w:shd w:val="clear" w:color="auto" w:fill="FFFFFF"/>
            <w:noWrap w:val="0"/>
            <w:vAlign w:val="center"/>
          </w:tcPr>
          <w:p w14:paraId="2C6ABFA8">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微型</w:t>
            </w:r>
          </w:p>
        </w:tc>
        <w:tc>
          <w:tcPr>
            <w:tcW w:w="3749" w:type="pct"/>
            <w:shd w:val="clear" w:color="auto" w:fill="FFFFFF"/>
            <w:noWrap w:val="0"/>
            <w:vAlign w:val="center"/>
          </w:tcPr>
          <w:p w14:paraId="0D9DAD97">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highlight w:val="yellow"/>
                <w14:textFill>
                  <w14:solidFill>
                    <w14:schemeClr w14:val="tx1"/>
                  </w14:solidFill>
                </w14:textFill>
              </w:rPr>
              <w:t>营业收入300万元以下或资产总额 300万元以下</w:t>
            </w:r>
          </w:p>
        </w:tc>
      </w:tr>
      <w:tr w14:paraId="716C8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40A5AD10">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批发业</w:t>
            </w:r>
          </w:p>
        </w:tc>
        <w:tc>
          <w:tcPr>
            <w:tcW w:w="4303" w:type="pct"/>
            <w:gridSpan w:val="2"/>
            <w:shd w:val="clear" w:color="auto" w:fill="FFFFFF"/>
            <w:noWrap w:val="0"/>
            <w:vAlign w:val="center"/>
          </w:tcPr>
          <w:p w14:paraId="4D1AF749">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从业人员200人以下或营业收入 40 000万元以下的为中小微型企业。</w:t>
            </w:r>
          </w:p>
        </w:tc>
      </w:tr>
      <w:tr w14:paraId="3400F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6F848B3D">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033179A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22C010C5">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从业人员20人一200人，且营业收入 5 000万元一40 000万元</w:t>
            </w:r>
          </w:p>
        </w:tc>
      </w:tr>
      <w:tr w14:paraId="0D169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1CA09CC3">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7BC52930">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47B1BBCE">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从业人员5人一20人，且营业收入 1 000万元一5 000万元</w:t>
            </w:r>
          </w:p>
        </w:tc>
      </w:tr>
      <w:tr w14:paraId="69BED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4D5F4C72">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52D0C2F6">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1456358D">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从业人员5人以下或营业收入 1 000万元以下</w:t>
            </w:r>
          </w:p>
        </w:tc>
      </w:tr>
      <w:tr w14:paraId="0923B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12B18616">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零售业</w:t>
            </w:r>
          </w:p>
        </w:tc>
        <w:tc>
          <w:tcPr>
            <w:tcW w:w="4303" w:type="pct"/>
            <w:gridSpan w:val="2"/>
            <w:shd w:val="clear" w:color="auto" w:fill="FFFFFF"/>
            <w:noWrap w:val="0"/>
            <w:vAlign w:val="center"/>
          </w:tcPr>
          <w:p w14:paraId="6801AED4">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从业人员300人以下或营业收入 20 000万元以下的为中小微型企业。</w:t>
            </w:r>
          </w:p>
        </w:tc>
      </w:tr>
      <w:tr w14:paraId="3BFCE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1D995BA7">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023C4730">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41E76179">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 50人一300人，且营业收入 500万元一20 000万元</w:t>
            </w:r>
          </w:p>
        </w:tc>
      </w:tr>
      <w:tr w14:paraId="2E5C6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0A20139E">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5409DC56">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451D549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从业人员10人一50人，且营业收入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一500万元</w:t>
            </w:r>
          </w:p>
        </w:tc>
      </w:tr>
      <w:tr w14:paraId="18AD1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71564F72">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337176D0">
            <w:pPr>
              <w:pStyle w:val="56"/>
              <w:keepNext w:val="0"/>
              <w:keepLines w:val="0"/>
              <w:suppressLineNumbers w:val="0"/>
              <w:shd w:val="clear" w:color="auto" w:fill="auto"/>
              <w:spacing w:before="8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6CDCDE7F">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从业人员10人以下或营业收入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r w14:paraId="2092C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7ED9C31F">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交通运输业 （不含铁路运输业）</w:t>
            </w:r>
          </w:p>
        </w:tc>
        <w:tc>
          <w:tcPr>
            <w:tcW w:w="4303" w:type="pct"/>
            <w:gridSpan w:val="2"/>
            <w:shd w:val="clear" w:color="auto" w:fill="FFFFFF"/>
            <w:noWrap w:val="0"/>
            <w:vAlign w:val="center"/>
          </w:tcPr>
          <w:p w14:paraId="0B15A9DC">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从业人员1 000人以下或营业收入 30 000万元以下的为中小微型企业。</w:t>
            </w:r>
          </w:p>
        </w:tc>
      </w:tr>
      <w:tr w14:paraId="6ABBA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44CBD8FA">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6FA0BCB1">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2FC751FC">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 300人一1 000人，且营业收入 3 000万元一30 000万元</w:t>
            </w:r>
          </w:p>
        </w:tc>
      </w:tr>
      <w:tr w14:paraId="3BD5C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1E584B0B">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5BB88DA7">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67660E00">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从业人员20人一300人，且营业收入 200万元一3 000万元</w:t>
            </w:r>
          </w:p>
        </w:tc>
      </w:tr>
      <w:tr w14:paraId="5553C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46B7ECEC">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32C2A5EA">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14F14B87">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从业人员20人以下或营业收入 200万元以下</w:t>
            </w:r>
          </w:p>
        </w:tc>
      </w:tr>
      <w:tr w14:paraId="093E1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156BC9C3">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仓储业</w:t>
            </w:r>
          </w:p>
        </w:tc>
        <w:tc>
          <w:tcPr>
            <w:tcW w:w="4303" w:type="pct"/>
            <w:gridSpan w:val="2"/>
            <w:shd w:val="clear" w:color="auto" w:fill="FFFFFF"/>
            <w:noWrap w:val="0"/>
            <w:vAlign w:val="center"/>
          </w:tcPr>
          <w:p w14:paraId="7386AF05">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从业人员200人以下或营业收入 30 000万元以下的为中小微型企业。</w:t>
            </w:r>
          </w:p>
        </w:tc>
      </w:tr>
      <w:tr w14:paraId="097B8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0BA801EC">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0A80A95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50F3FCCD">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从业人员100人一200人，且营业收入 1 000万元一30 000万元</w:t>
            </w:r>
          </w:p>
        </w:tc>
      </w:tr>
      <w:tr w14:paraId="52828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2606BAE1">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796CC1EA">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75D92D9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从业人员20人一100人，且营业收入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一1 000万元</w:t>
            </w:r>
          </w:p>
        </w:tc>
      </w:tr>
      <w:tr w14:paraId="2EC2D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193E96F8">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46D64D46">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039F2F81">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从业人员20人以下或营业收入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r w14:paraId="50498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restart"/>
            <w:shd w:val="clear" w:color="auto" w:fill="FFFFFF"/>
            <w:noWrap w:val="0"/>
            <w:vAlign w:val="center"/>
          </w:tcPr>
          <w:p w14:paraId="430F67D6">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邮政业</w:t>
            </w:r>
          </w:p>
        </w:tc>
        <w:tc>
          <w:tcPr>
            <w:tcW w:w="4303" w:type="pct"/>
            <w:gridSpan w:val="2"/>
            <w:shd w:val="clear" w:color="auto" w:fill="FFFFFF"/>
            <w:noWrap w:val="0"/>
            <w:vAlign w:val="center"/>
          </w:tcPr>
          <w:p w14:paraId="057C5DC1">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从业人员1 000人以下或营业收入 30 000万元以下的为中小微型企业。</w:t>
            </w:r>
          </w:p>
        </w:tc>
      </w:tr>
      <w:tr w14:paraId="5B1C2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71B88703">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2235DEF3">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3749" w:type="pct"/>
            <w:shd w:val="clear" w:color="auto" w:fill="FFFFFF"/>
            <w:noWrap w:val="0"/>
            <w:vAlign w:val="center"/>
          </w:tcPr>
          <w:p w14:paraId="404ACE95">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 300人一1 000人，且营业收入 2 000万元一30 000万元</w:t>
            </w:r>
          </w:p>
        </w:tc>
      </w:tr>
      <w:tr w14:paraId="0A27D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0A94F567">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01C02795">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3749" w:type="pct"/>
            <w:shd w:val="clear" w:color="auto" w:fill="FFFFFF"/>
            <w:noWrap w:val="0"/>
            <w:vAlign w:val="center"/>
          </w:tcPr>
          <w:p w14:paraId="2EA79213">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从业人员20人一300人，且营业收入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一2 000万元</w:t>
            </w:r>
          </w:p>
        </w:tc>
      </w:tr>
      <w:tr w14:paraId="32650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696" w:type="pct"/>
            <w:vMerge w:val="continue"/>
            <w:shd w:val="clear" w:color="auto" w:fill="FFFFFF"/>
            <w:noWrap w:val="0"/>
            <w:vAlign w:val="center"/>
          </w:tcPr>
          <w:p w14:paraId="0213F978">
            <w:pPr>
              <w:keepNext w:val="0"/>
              <w:keepLines w:val="0"/>
              <w:suppressLineNumbers w:val="0"/>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553" w:type="pct"/>
            <w:shd w:val="clear" w:color="auto" w:fill="FFFFFF"/>
            <w:noWrap w:val="0"/>
            <w:vAlign w:val="center"/>
          </w:tcPr>
          <w:p w14:paraId="7033BB42">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3749" w:type="pct"/>
            <w:shd w:val="clear" w:color="auto" w:fill="FFFFFF"/>
            <w:noWrap w:val="0"/>
            <w:vAlign w:val="center"/>
          </w:tcPr>
          <w:p w14:paraId="1493A44B">
            <w:pPr>
              <w:pStyle w:val="56"/>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从业人员20人以下或营业收入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bl>
    <w:p w14:paraId="024974D2">
      <w:pPr>
        <w:spacing w:line="1" w:lineRule="exact"/>
        <w:jc w:val="center"/>
        <w:rPr>
          <w:rFonts w:hint="eastAsia" w:ascii="仿宋" w:hAnsi="仿宋" w:eastAsia="仿宋" w:cs="仿宋"/>
          <w:color w:val="000000" w:themeColor="text1"/>
          <w:sz w:val="21"/>
          <w:szCs w:val="21"/>
          <w14:textFill>
            <w14:solidFill>
              <w14:schemeClr w14:val="tx1"/>
            </w14:solidFill>
          </w14:textFill>
        </w:rPr>
      </w:pPr>
    </w:p>
    <w:tbl>
      <w:tblPr>
        <w:tblStyle w:val="24"/>
        <w:tblW w:w="97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558"/>
        <w:gridCol w:w="1055"/>
        <w:gridCol w:w="7181"/>
      </w:tblGrid>
      <w:tr w14:paraId="58029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3C7D22DF">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住宿业</w:t>
            </w:r>
          </w:p>
        </w:tc>
        <w:tc>
          <w:tcPr>
            <w:tcW w:w="8236" w:type="dxa"/>
            <w:gridSpan w:val="2"/>
            <w:shd w:val="clear" w:color="auto" w:fill="FFFFFF"/>
            <w:noWrap w:val="0"/>
            <w:vAlign w:val="center"/>
          </w:tcPr>
          <w:p w14:paraId="7BB842B5">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从业人员300人以下或营业收入 10000万元以下的为中小微型企业。</w:t>
            </w:r>
          </w:p>
        </w:tc>
      </w:tr>
      <w:tr w14:paraId="3C301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390C0819">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008130B1">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3EB66296">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从业人员100人一300人，且营业收入 2 000万元一10 000万元</w:t>
            </w:r>
          </w:p>
        </w:tc>
      </w:tr>
      <w:tr w14:paraId="7A6C6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2C2CED56">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3C05B7B2">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1DA9B40E">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从业人员10人一100人，且营业收入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一2 000万元</w:t>
            </w:r>
          </w:p>
        </w:tc>
      </w:tr>
      <w:tr w14:paraId="2B3BD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06FB8CEC">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3D328F36">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772F527B">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从业人员10人以下或营业收入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r w14:paraId="6D2F4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125ECB74">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餐饮业</w:t>
            </w:r>
          </w:p>
        </w:tc>
        <w:tc>
          <w:tcPr>
            <w:tcW w:w="8236" w:type="dxa"/>
            <w:gridSpan w:val="2"/>
            <w:shd w:val="clear" w:color="auto" w:fill="FFFFFF"/>
            <w:noWrap w:val="0"/>
            <w:vAlign w:val="center"/>
          </w:tcPr>
          <w:p w14:paraId="63698CAD">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从业人员300人以下或营业收入 10 000万元以下的为中小微型企业。</w:t>
            </w:r>
          </w:p>
        </w:tc>
      </w:tr>
      <w:tr w14:paraId="0FD2A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2703B2FC">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69294CC7">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3E87579F">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 300人，且营业收入 2 000万元一10 000万元</w:t>
            </w:r>
          </w:p>
        </w:tc>
      </w:tr>
      <w:tr w14:paraId="15F88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1D5279BC">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664DD791">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1C845468">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从业人员10人一100人，且营业收入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一2 000万元</w:t>
            </w:r>
          </w:p>
        </w:tc>
      </w:tr>
      <w:tr w14:paraId="7BD2A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444923E2">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1B07BA7C">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41EC3D40">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从业人员10人以下或营业收入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r w14:paraId="27FFE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68CFCE4C">
            <w:pPr>
              <w:pStyle w:val="56"/>
              <w:keepNext w:val="0"/>
              <w:keepLines w:val="0"/>
              <w:suppressLineNumbers w:val="0"/>
              <w:shd w:val="clear" w:color="auto" w:fill="auto"/>
              <w:spacing w:before="0" w:beforeAutospacing="0" w:after="0" w:afterAutospacing="0" w:line="492" w:lineRule="exact"/>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信息传输业 （包括电信、互联网 和相关服务）</w:t>
            </w:r>
          </w:p>
        </w:tc>
        <w:tc>
          <w:tcPr>
            <w:tcW w:w="8236" w:type="dxa"/>
            <w:gridSpan w:val="2"/>
            <w:shd w:val="clear" w:color="auto" w:fill="FFFFFF"/>
            <w:noWrap w:val="0"/>
            <w:vAlign w:val="center"/>
          </w:tcPr>
          <w:p w14:paraId="4541CECA">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从业人员2 000人以下或营业收入 100 000万元以下的为中小微型企业。</w:t>
            </w:r>
          </w:p>
        </w:tc>
      </w:tr>
      <w:tr w14:paraId="7C87E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65424229">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388ACE76">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7E14E927">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从业人员100人一2 000人，且营业收入 1 000万元一10 000万元</w:t>
            </w:r>
          </w:p>
        </w:tc>
      </w:tr>
      <w:tr w14:paraId="4EED1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3FB0C698">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26EFA60E">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0FA67E94">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从业人员10人一100人，且营业收入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一1 000万元</w:t>
            </w:r>
          </w:p>
        </w:tc>
      </w:tr>
      <w:tr w14:paraId="2F79C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27425750">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10DAB4C2">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052D6D2A">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从业人员10人以下或营业收入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r w14:paraId="4B63C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13382D33">
            <w:pPr>
              <w:pStyle w:val="56"/>
              <w:keepNext w:val="0"/>
              <w:keepLines w:val="0"/>
              <w:suppressLineNumbers w:val="0"/>
              <w:shd w:val="clear" w:color="auto" w:fill="auto"/>
              <w:spacing w:before="0" w:beforeAutospacing="0" w:after="0" w:afterAutospacing="0" w:line="509" w:lineRule="exact"/>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软件和信息技术服务业</w:t>
            </w:r>
          </w:p>
        </w:tc>
        <w:tc>
          <w:tcPr>
            <w:tcW w:w="8236" w:type="dxa"/>
            <w:gridSpan w:val="2"/>
            <w:shd w:val="clear" w:color="auto" w:fill="FFFFFF"/>
            <w:noWrap w:val="0"/>
            <w:vAlign w:val="center"/>
          </w:tcPr>
          <w:p w14:paraId="709EDBE6">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从业人员300人以下或营业收入 10 000万元以下的为中小微型企业。</w:t>
            </w:r>
          </w:p>
        </w:tc>
      </w:tr>
      <w:tr w14:paraId="0F151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5CA3F8BE">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59675ED4">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00F5A94D">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 300人，且营业收入 1 000万元一10 000万元</w:t>
            </w:r>
          </w:p>
        </w:tc>
      </w:tr>
      <w:tr w14:paraId="46D6F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65E61DF6">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3E65BCC7">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56EA8176">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从业人员10人一100人，且营业收入 50万元一1 000万元</w:t>
            </w:r>
          </w:p>
        </w:tc>
      </w:tr>
      <w:tr w14:paraId="0083C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0D891901">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28EBBA28">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34F52E95">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从业人员10人以下或营业收入 50万元以下</w:t>
            </w:r>
          </w:p>
        </w:tc>
      </w:tr>
      <w:tr w14:paraId="1F539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29A6774F">
            <w:pPr>
              <w:pStyle w:val="56"/>
              <w:keepNext w:val="0"/>
              <w:keepLines w:val="0"/>
              <w:suppressLineNumbers w:val="0"/>
              <w:shd w:val="clear" w:color="auto" w:fill="auto"/>
              <w:spacing w:before="0" w:beforeAutospacing="0" w:after="0" w:afterAutospacing="0"/>
              <w:ind w:left="0" w:right="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房地产开发经营</w:t>
            </w:r>
          </w:p>
        </w:tc>
        <w:tc>
          <w:tcPr>
            <w:tcW w:w="8236" w:type="dxa"/>
            <w:gridSpan w:val="2"/>
            <w:shd w:val="clear" w:color="auto" w:fill="FFFFFF"/>
            <w:noWrap w:val="0"/>
            <w:vAlign w:val="center"/>
          </w:tcPr>
          <w:p w14:paraId="11195537">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营业收入200 000万元以下或资产总额 10 000万元以下的为中小微型企业。</w:t>
            </w:r>
          </w:p>
        </w:tc>
      </w:tr>
      <w:tr w14:paraId="6FDCE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02B227CE">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0902A985">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627B3DE7">
            <w:pPr>
              <w:pStyle w:val="56"/>
              <w:keepNext w:val="0"/>
              <w:keepLines w:val="0"/>
              <w:suppressLineNumbers w:val="0"/>
              <w:shd w:val="clear" w:color="auto" w:fill="auto"/>
              <w:spacing w:before="0" w:beforeAutospacing="0" w:after="12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营业收入1 000万元一200 000万元，且资产总额 5 000万元一10000万元</w:t>
            </w:r>
          </w:p>
        </w:tc>
      </w:tr>
      <w:tr w14:paraId="4824F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52A81B3A">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13960F61">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567297CD">
            <w:pPr>
              <w:pStyle w:val="56"/>
              <w:keepNext w:val="0"/>
              <w:keepLines w:val="0"/>
              <w:suppressLineNumbers w:val="0"/>
              <w:shd w:val="clear" w:color="auto" w:fill="auto"/>
              <w:spacing w:before="0" w:beforeAutospacing="0" w:after="0" w:afterAutospacing="0" w:line="240" w:lineRule="auto"/>
              <w:ind w:left="14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营业收入</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一1 000万元，且资产总额 2 000万元一5 000 万元</w:t>
            </w:r>
          </w:p>
        </w:tc>
      </w:tr>
      <w:tr w14:paraId="5F85F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2E57AAA7">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4FA89784">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7B3B7263">
            <w:pPr>
              <w:pStyle w:val="56"/>
              <w:keepNext w:val="0"/>
              <w:keepLines w:val="0"/>
              <w:suppressLineNumbers w:val="0"/>
              <w:shd w:val="clear" w:color="auto" w:fill="auto"/>
              <w:tabs>
                <w:tab w:val="left" w:pos="5256"/>
              </w:tabs>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营业收入</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以下或资产总额2 000万元以下的为微型企业</w:t>
            </w:r>
          </w:p>
        </w:tc>
      </w:tr>
      <w:tr w14:paraId="69EAC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3A9A7A7F">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物业管理</w:t>
            </w:r>
          </w:p>
        </w:tc>
        <w:tc>
          <w:tcPr>
            <w:tcW w:w="8236" w:type="dxa"/>
            <w:gridSpan w:val="2"/>
            <w:shd w:val="clear" w:color="auto" w:fill="FFFFFF"/>
            <w:noWrap w:val="0"/>
            <w:vAlign w:val="center"/>
          </w:tcPr>
          <w:p w14:paraId="767BD28D">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从业人员1 000人以下或营业收入 5 000万元以下的为中小微型企业。</w:t>
            </w:r>
          </w:p>
        </w:tc>
      </w:tr>
      <w:tr w14:paraId="6E955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24AFBE42">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490FAC2E">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206D3CF1">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 300人一1 000人，且营业收入 1000万元一5 000万元</w:t>
            </w:r>
          </w:p>
        </w:tc>
      </w:tr>
      <w:tr w14:paraId="77BD2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18950314">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7C130838">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0A71D543">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从业人员100人一300人，且营业收入 500万元一1 000万元</w:t>
            </w:r>
          </w:p>
        </w:tc>
      </w:tr>
      <w:tr w14:paraId="41C60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69DC1FAD">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1FE955C7">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19D2D3C8">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从业人员100人以下或营业收入 500万元以下</w:t>
            </w:r>
          </w:p>
        </w:tc>
      </w:tr>
      <w:tr w14:paraId="23702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2BA3B463">
            <w:pPr>
              <w:pStyle w:val="56"/>
              <w:keepNext w:val="0"/>
              <w:keepLines w:val="0"/>
              <w:suppressLineNumbers w:val="0"/>
              <w:shd w:val="clear" w:color="auto" w:fill="auto"/>
              <w:spacing w:before="0" w:beforeAutospacing="0" w:after="0" w:afterAutospacing="0"/>
              <w:ind w:left="0" w:right="0" w:firstLine="2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租赁和商务</w:t>
            </w:r>
          </w:p>
          <w:p w14:paraId="19E86F68">
            <w:pPr>
              <w:pStyle w:val="56"/>
              <w:keepNext w:val="0"/>
              <w:keepLines w:val="0"/>
              <w:suppressLineNumbers w:val="0"/>
              <w:shd w:val="clear" w:color="auto" w:fill="auto"/>
              <w:spacing w:before="0" w:beforeAutospacing="0" w:after="0" w:afterAutospacing="0"/>
              <w:ind w:left="0" w:right="0" w:firstLine="2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服务业</w:t>
            </w:r>
          </w:p>
        </w:tc>
        <w:tc>
          <w:tcPr>
            <w:tcW w:w="8236" w:type="dxa"/>
            <w:gridSpan w:val="2"/>
            <w:shd w:val="clear" w:color="auto" w:fill="FFFFFF"/>
            <w:noWrap w:val="0"/>
            <w:vAlign w:val="center"/>
          </w:tcPr>
          <w:p w14:paraId="53B78A1E">
            <w:pPr>
              <w:pStyle w:val="56"/>
              <w:keepNext w:val="0"/>
              <w:keepLines w:val="0"/>
              <w:suppressLineNumbers w:val="0"/>
              <w:shd w:val="clear" w:color="auto" w:fill="auto"/>
              <w:tabs>
                <w:tab w:val="left" w:pos="10666"/>
              </w:tabs>
              <w:spacing w:before="0" w:beforeAutospacing="0" w:after="0" w:afterAutospacing="0" w:line="240" w:lineRule="auto"/>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从业人员300人以下或资产总额 120 000万元以下的为中小微型企业。 其中， 从业人员100人及以上，且资产总额 8 000万元及以上的为中型企业；从业 人员10人及以上，且资产总额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及以上的为小型企业；从业人员</w:t>
            </w:r>
            <w:r>
              <w:rPr>
                <w:rFonts w:hint="eastAsia" w:ascii="仿宋" w:hAnsi="仿宋" w:eastAsia="仿宋" w:cs="仿宋"/>
                <w:color w:val="000000" w:themeColor="text1"/>
                <w:sz w:val="21"/>
                <w:szCs w:val="21"/>
                <w:lang w:val="en-US"/>
                <w14:textFill>
                  <w14:solidFill>
                    <w14:schemeClr w14:val="tx1"/>
                  </w14:solidFill>
                </w14:textFill>
              </w:rPr>
              <w:t>10</w:t>
            </w:r>
            <w:r>
              <w:rPr>
                <w:rFonts w:hint="eastAsia" w:ascii="仿宋" w:hAnsi="仿宋" w:eastAsia="仿宋" w:cs="仿宋"/>
                <w:color w:val="000000" w:themeColor="text1"/>
                <w:sz w:val="21"/>
                <w:szCs w:val="21"/>
                <w14:textFill>
                  <w14:solidFill>
                    <w14:schemeClr w14:val="tx1"/>
                  </w14:solidFill>
                </w14:textFill>
              </w:rPr>
              <w:t xml:space="preserve">人以下或资产总额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以下的为微型企业。</w:t>
            </w:r>
          </w:p>
        </w:tc>
      </w:tr>
      <w:tr w14:paraId="07E66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1E14584C">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63CA574C">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7E6E7F10">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从业人员100人一300人，且资产总额 8 000万元一120 000万元</w:t>
            </w:r>
          </w:p>
        </w:tc>
      </w:tr>
      <w:tr w14:paraId="0CB41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357D5A93">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65063BB8">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19EDCEAD">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从业人员10人一100人，且资产总额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一8 000万元</w:t>
            </w:r>
          </w:p>
        </w:tc>
      </w:tr>
      <w:tr w14:paraId="0258A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2F983EA8">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72C47A93">
            <w:pPr>
              <w:pStyle w:val="56"/>
              <w:keepNext w:val="0"/>
              <w:keepLines w:val="0"/>
              <w:suppressLineNumbers w:val="0"/>
              <w:shd w:val="clear" w:color="auto" w:fill="auto"/>
              <w:spacing w:before="10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1958D06D">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从业人员10人以下或资产总额 </w:t>
            </w:r>
            <w:r>
              <w:rPr>
                <w:rFonts w:hint="eastAsia" w:ascii="仿宋" w:hAnsi="仿宋" w:eastAsia="仿宋" w:cs="仿宋"/>
                <w:color w:val="000000" w:themeColor="text1"/>
                <w:sz w:val="21"/>
                <w:szCs w:val="21"/>
                <w:lang w:eastAsia="zh-CN"/>
                <w14:textFill>
                  <w14:solidFill>
                    <w14:schemeClr w14:val="tx1"/>
                  </w14:solidFill>
                </w14:textFill>
              </w:rPr>
              <w:t>80万元</w:t>
            </w:r>
            <w:r>
              <w:rPr>
                <w:rFonts w:hint="eastAsia" w:ascii="仿宋" w:hAnsi="仿宋" w:eastAsia="仿宋" w:cs="仿宋"/>
                <w:color w:val="000000" w:themeColor="text1"/>
                <w:sz w:val="21"/>
                <w:szCs w:val="21"/>
                <w14:textFill>
                  <w14:solidFill>
                    <w14:schemeClr w14:val="tx1"/>
                  </w14:solidFill>
                </w14:textFill>
              </w:rPr>
              <w:t>以下</w:t>
            </w:r>
          </w:p>
        </w:tc>
      </w:tr>
      <w:tr w14:paraId="73AF2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restart"/>
            <w:shd w:val="clear" w:color="auto" w:fill="FFFFFF"/>
            <w:noWrap w:val="0"/>
            <w:vAlign w:val="center"/>
          </w:tcPr>
          <w:p w14:paraId="20AFD4AC">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其他未列明行业</w:t>
            </w:r>
          </w:p>
        </w:tc>
        <w:tc>
          <w:tcPr>
            <w:tcW w:w="8236" w:type="dxa"/>
            <w:gridSpan w:val="2"/>
            <w:shd w:val="clear" w:color="auto" w:fill="FFFFFF"/>
            <w:noWrap w:val="0"/>
            <w:vAlign w:val="center"/>
          </w:tcPr>
          <w:p w14:paraId="3923EA8E">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从业人员300人以下的为中小微型企业。</w:t>
            </w:r>
          </w:p>
        </w:tc>
      </w:tr>
      <w:tr w14:paraId="02DF1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627A9995">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5199AD06">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中型</w:t>
            </w:r>
          </w:p>
        </w:tc>
        <w:tc>
          <w:tcPr>
            <w:tcW w:w="7181" w:type="dxa"/>
            <w:shd w:val="clear" w:color="auto" w:fill="FFFFFF"/>
            <w:noWrap w:val="0"/>
            <w:vAlign w:val="center"/>
          </w:tcPr>
          <w:p w14:paraId="2AB0FE15">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从业人员100— 300人</w:t>
            </w:r>
          </w:p>
        </w:tc>
      </w:tr>
      <w:tr w14:paraId="57C74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7EE032E4">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10C82F0E">
            <w:pPr>
              <w:pStyle w:val="56"/>
              <w:keepNext w:val="0"/>
              <w:keepLines w:val="0"/>
              <w:suppressLineNumbers w:val="0"/>
              <w:shd w:val="clear" w:color="auto" w:fill="auto"/>
              <w:spacing w:before="8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小型</w:t>
            </w:r>
          </w:p>
        </w:tc>
        <w:tc>
          <w:tcPr>
            <w:tcW w:w="7181" w:type="dxa"/>
            <w:shd w:val="clear" w:color="auto" w:fill="FFFFFF"/>
            <w:noWrap w:val="0"/>
            <w:vAlign w:val="center"/>
          </w:tcPr>
          <w:p w14:paraId="55D3B941">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从业人员10人一100人</w:t>
            </w:r>
          </w:p>
        </w:tc>
      </w:tr>
      <w:tr w14:paraId="54954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58" w:type="dxa"/>
            <w:vMerge w:val="continue"/>
            <w:shd w:val="clear" w:color="auto" w:fill="FFFFFF"/>
            <w:noWrap w:val="0"/>
            <w:vAlign w:val="center"/>
          </w:tcPr>
          <w:p w14:paraId="3FC8951C">
            <w:pPr>
              <w:keepNext w:val="0"/>
              <w:keepLines w:val="0"/>
              <w:suppressLineNumbers w:val="0"/>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p>
        </w:tc>
        <w:tc>
          <w:tcPr>
            <w:tcW w:w="1055" w:type="dxa"/>
            <w:shd w:val="clear" w:color="auto" w:fill="FFFFFF"/>
            <w:noWrap w:val="0"/>
            <w:vAlign w:val="center"/>
          </w:tcPr>
          <w:p w14:paraId="75E31F3C">
            <w:pPr>
              <w:pStyle w:val="56"/>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微型</w:t>
            </w:r>
          </w:p>
        </w:tc>
        <w:tc>
          <w:tcPr>
            <w:tcW w:w="7181" w:type="dxa"/>
            <w:shd w:val="clear" w:color="auto" w:fill="FFFFFF"/>
            <w:noWrap w:val="0"/>
            <w:vAlign w:val="center"/>
          </w:tcPr>
          <w:p w14:paraId="343BE72C">
            <w:pPr>
              <w:pStyle w:val="56"/>
              <w:keepNext w:val="0"/>
              <w:keepLines w:val="0"/>
              <w:suppressLineNumbers w:val="0"/>
              <w:shd w:val="clear" w:color="auto" w:fill="auto"/>
              <w:spacing w:before="0" w:beforeAutospacing="0" w:after="0" w:afterAutospacing="0"/>
              <w:ind w:left="0" w:right="0" w:firstLine="140"/>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从业人员10人以下</w:t>
            </w:r>
          </w:p>
        </w:tc>
      </w:tr>
    </w:tbl>
    <w:p w14:paraId="1F3153A7">
      <w:pPr>
        <w:pStyle w:val="19"/>
        <w:rPr>
          <w:rFonts w:hint="eastAsia" w:ascii="仿宋" w:hAnsi="仿宋" w:eastAsia="仿宋" w:cs="仿宋"/>
        </w:rPr>
      </w:pPr>
    </w:p>
    <w:p w14:paraId="46788164">
      <w:pPr>
        <w:pStyle w:val="19"/>
        <w:rPr>
          <w:rFonts w:hint="eastAsia" w:ascii="仿宋" w:hAnsi="仿宋" w:eastAsia="仿宋" w:cs="仿宋"/>
        </w:rPr>
      </w:pPr>
    </w:p>
    <w:p w14:paraId="440CC751">
      <w:pPr>
        <w:pStyle w:val="19"/>
        <w:rPr>
          <w:rFonts w:hint="eastAsia" w:ascii="仿宋" w:hAnsi="仿宋" w:eastAsia="仿宋" w:cs="仿宋"/>
        </w:rPr>
      </w:pPr>
    </w:p>
    <w:p w14:paraId="3EFBBE76">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bookmarkEnd w:id="157"/>
    <w:p w14:paraId="6891AC73">
      <w:pPr>
        <w:pStyle w:val="11"/>
        <w:widowControl w:val="0"/>
        <w:numPr>
          <w:ilvl w:val="0"/>
          <w:numId w:val="0"/>
        </w:numPr>
        <w:spacing w:line="440" w:lineRule="exact"/>
        <w:jc w:val="center"/>
        <w:rPr>
          <w:rFonts w:hint="eastAsia" w:ascii="仿宋" w:hAnsi="仿宋" w:eastAsia="仿宋" w:cs="仿宋"/>
          <w:b/>
          <w:bCs/>
          <w:color w:val="auto"/>
          <w:sz w:val="21"/>
          <w:szCs w:val="21"/>
          <w:highlight w:val="none"/>
          <w:lang w:val="en-US" w:eastAsia="zh-CN"/>
        </w:rPr>
      </w:pPr>
    </w:p>
    <w:sectPr>
      <w:headerReference r:id="rId16" w:type="default"/>
      <w:footerReference r:id="rId17" w:type="default"/>
      <w:pgSz w:w="11907" w:h="16840"/>
      <w:pgMar w:top="1440" w:right="1080" w:bottom="1440" w:left="1080" w:header="851" w:footer="68" w:gutter="0"/>
      <w:pgNumType w:fmt="decimal"/>
      <w:cols w:space="720" w:num="1"/>
      <w:titlePg/>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auto"/>
    <w:pitch w:val="default"/>
    <w:sig w:usb0="E1002EFF" w:usb1="C000605B" w:usb2="00000029" w:usb3="00000000" w:csb0="200101FF" w:csb1="20280000"/>
  </w:font>
  <w:font w:name="方正仿宋_GBK">
    <w:altName w:val="微软雅黑"/>
    <w:panose1 w:val="02000000000000000000"/>
    <w:charset w:val="86"/>
    <w:family w:val="auto"/>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97B23D">
    <w:r>
      <mc:AlternateContent>
        <mc:Choice Requires="wps">
          <w:drawing>
            <wp:anchor distT="0" distB="0" distL="114300" distR="114300" simplePos="0" relativeHeight="251659264"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0FAB0E9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59264;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ujMZ9cAAAALAQAADwAAAAAAAAAB&#10;ACAAAAAiAAAAZHJzL2Rvd25yZXYueG1sUEsBAhQAFAAAAAgAh07iQMtq2XLYAQAAsAMAAA4AAAAA&#10;AAAAAQAgAAAAJgEAAGRycy9lMm9Eb2MueG1sUEsFBgAAAAAGAAYAWQEAAHAFAAAAAA==&#10;">
              <v:fill on="f" focussize="0,0"/>
              <v:stroke on="f"/>
              <v:imagedata o:title=""/>
              <o:lock v:ext="edit" aspectratio="f"/>
              <v:textbox inset="0mm,0mm,0mm,0mm" style="mso-fit-shape-to-text:t;">
                <w:txbxContent>
                  <w:p w14:paraId="0FAB0E9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BEC02">
    <w:pPr>
      <w:pStyle w:val="1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C2BCDD">
    <w:pPr>
      <w:pStyle w:val="15"/>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68AD78">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C68AD78">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6411A7">
    <w:pPr>
      <w:spacing w:line="188" w:lineRule="auto"/>
      <w:ind w:left="4083" w:firstLine="340"/>
      <w:rPr>
        <w:rFonts w:ascii="Calibri" w:hAnsi="Calibri" w:eastAsia="Calibri" w:cs="Calibri"/>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7A6C380">
                          <w:pPr>
                            <w:pStyle w:val="15"/>
                            <w:ind w:firstLine="360"/>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naByc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M&#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p2gcnIAQAAmQMAAA4AAAAAAAAAAQAgAAAAHgEAAGRycy9lMm9Eb2Mu&#10;eG1sUEsFBgAAAAAGAAYAWQEAAFgFAAAAAA==&#10;">
              <v:fill on="f" focussize="0,0"/>
              <v:stroke on="f"/>
              <v:imagedata o:title=""/>
              <o:lock v:ext="edit" aspectratio="f"/>
              <v:textbox inset="0mm,0mm,0mm,0mm" style="mso-fit-shape-to-text:t;">
                <w:txbxContent>
                  <w:p w14:paraId="47A6C380">
                    <w:pPr>
                      <w:pStyle w:val="15"/>
                      <w:ind w:firstLine="360"/>
                    </w:pPr>
                    <w:r>
                      <w:fldChar w:fldCharType="begin"/>
                    </w:r>
                    <w:r>
                      <w:instrText xml:space="preserve"> PAGE  \* MERGEFORMAT </w:instrText>
                    </w:r>
                    <w:r>
                      <w:fldChar w:fldCharType="separate"/>
                    </w:r>
                    <w:r>
                      <w:t>1</w:t>
                    </w:r>
                    <w:r>
                      <w:fldChar w:fldCharType="end"/>
                    </w:r>
                  </w:p>
                </w:txbxContent>
              </v:textbox>
            </v:shape>
          </w:pict>
        </mc:Fallback>
      </mc:AlternateContent>
    </w:r>
    <w:r>
      <w:rPr>
        <w:rFonts w:ascii="Calibri" w:hAnsi="Calibri" w:eastAsia="Calibri" w:cs="Calibri"/>
        <w:sz w:val="17"/>
        <w:szCs w:val="17"/>
      </w:rPr>
      <w:t>38</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0E7E42">
    <w:pPr>
      <w:pStyle w:val="15"/>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E927E9">
    <w:pPr>
      <w:pStyle w:val="15"/>
      <w:ind w:left="90" w:hanging="9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165" cy="194945"/>
              <wp:effectExtent l="0" t="0" r="0" b="0"/>
              <wp:wrapNone/>
              <wp:docPr id="5" name="矩形 5"/>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14:paraId="4FCF4B5E">
                          <w:pPr>
                            <w:pStyle w:val="15"/>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59264;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wy1jGNcAAAAEAQAADwAAAAAA&#10;AAABACAAAAAiAAAAZHJzL2Rvd25yZXYueG1sUEsBAhQAFAAAAAgAh07iQPjJ01SiAQAAQQMAAA4A&#10;AAAAAAAAAQAgAAAAJgEAAGRycy9lMm9Eb2MueG1sUEsFBgAAAAAGAAYAWQEAADoFAAAAAA==&#10;">
              <v:fill on="f" focussize="0,0"/>
              <v:stroke on="f"/>
              <v:imagedata o:title=""/>
              <o:lock v:ext="edit" aspectratio="f"/>
              <v:textbox>
                <w:txbxContent>
                  <w:p w14:paraId="4FCF4B5E">
                    <w:pPr>
                      <w:pStyle w:val="15"/>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82602">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6B42BFF">
                          <w:pPr>
                            <w:pStyle w:val="15"/>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kRMfazAEAAKcDAAAOAAAAAAAAAAEAIAAAAB4BAABkcnMvZTJv&#10;RG9jLnhtbFBLBQYAAAAABgAGAFkBAABcBQAAAAA=&#10;">
              <v:fill on="f" focussize="0,0"/>
              <v:stroke on="f"/>
              <v:imagedata o:title=""/>
              <o:lock v:ext="edit" aspectratio="f"/>
              <v:textbox inset="0mm,0mm,0mm,0mm" style="mso-fit-shape-to-text:t;">
                <w:txbxContent>
                  <w:p w14:paraId="26B42BFF">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9EAFD">
    <w:pPr>
      <w:pStyle w:val="15"/>
      <w:ind w:right="360"/>
      <w:jc w:val="right"/>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270BBC">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4270BBC">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r>
      <w:rPr>
        <w:lang w:val="zh-CN"/>
      </w:rPr>
      <w:t xml:space="preserve">  </w:t>
    </w:r>
  </w:p>
  <w:p w14:paraId="42BA0492">
    <w:pPr>
      <w:pStyle w:val="1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3FD58">
    <w:pPr>
      <w:pStyle w:val="16"/>
      <w:ind w:firstLine="361"/>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181F58">
    <w:pPr>
      <w:pStyle w:val="16"/>
      <w:ind w:firstLine="36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4DAAE">
    <w:pPr>
      <w:pStyle w:val="9"/>
      <w:ind w:left="0" w:leftChars="0" w:firstLine="0" w:firstLineChars="0"/>
      <w:rPr>
        <w:rFonts w:hint="default"/>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8C1492">
    <w:pPr>
      <w:pStyle w:val="16"/>
      <w:rPr>
        <w:rFonts w:hint="eastAsia"/>
        <w:lang w:val="en-US"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B4ED13">
    <w:pPr>
      <w:pStyle w:val="16"/>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167A97">
    <w:pPr>
      <w:ind w:left="105" w:hanging="105"/>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45513">
    <w:pPr>
      <w:pStyle w:val="16"/>
      <w:pBdr>
        <w:bottom w:val="none" w:color="auto" w:sz="0" w:space="1"/>
      </w:pBdr>
      <w:rPr>
        <w:rFonts w:hint="eastAsia"/>
        <w:sz w:val="21"/>
      </w:rPr>
    </w:pPr>
    <w:r>
      <w:rPr>
        <w:rFonts w:hint="eastAsia"/>
        <w:sz w:val="21"/>
        <w:szCs w:val="22"/>
      </w:rPr>
      <w:t xml:space="preserve">    </w:t>
    </w:r>
    <w:r>
      <w:rPr>
        <w:rFonts w:hint="eastAsia"/>
        <w:sz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9A8B6C"/>
    <w:multiLevelType w:val="singleLevel"/>
    <w:tmpl w:val="A29A8B6C"/>
    <w:lvl w:ilvl="0" w:tentative="0">
      <w:start w:val="18"/>
      <w:numFmt w:val="decimal"/>
      <w:suff w:val="space"/>
      <w:lvlText w:val="%1."/>
      <w:lvlJc w:val="left"/>
    </w:lvl>
  </w:abstractNum>
  <w:abstractNum w:abstractNumId="1">
    <w:nsid w:val="ABF6E928"/>
    <w:multiLevelType w:val="singleLevel"/>
    <w:tmpl w:val="ABF6E928"/>
    <w:lvl w:ilvl="0" w:tentative="0">
      <w:start w:val="1"/>
      <w:numFmt w:val="decimal"/>
      <w:lvlText w:val="%1."/>
      <w:lvlJc w:val="left"/>
      <w:pPr>
        <w:tabs>
          <w:tab w:val="left" w:pos="312"/>
        </w:tabs>
      </w:pPr>
    </w:lvl>
  </w:abstractNum>
  <w:abstractNum w:abstractNumId="2">
    <w:nsid w:val="ADC1C43D"/>
    <w:multiLevelType w:val="singleLevel"/>
    <w:tmpl w:val="ADC1C43D"/>
    <w:lvl w:ilvl="0" w:tentative="0">
      <w:start w:val="1"/>
      <w:numFmt w:val="decimal"/>
      <w:suff w:val="nothing"/>
      <w:lvlText w:val="（%1）"/>
      <w:lvlJc w:val="left"/>
    </w:lvl>
  </w:abstractNum>
  <w:abstractNum w:abstractNumId="3">
    <w:nsid w:val="BDC1F4B3"/>
    <w:multiLevelType w:val="singleLevel"/>
    <w:tmpl w:val="BDC1F4B3"/>
    <w:lvl w:ilvl="0" w:tentative="0">
      <w:start w:val="2"/>
      <w:numFmt w:val="decimal"/>
      <w:suff w:val="nothing"/>
      <w:lvlText w:val="%1．"/>
      <w:lvlJc w:val="left"/>
    </w:lvl>
  </w:abstractNum>
  <w:abstractNum w:abstractNumId="4">
    <w:nsid w:val="CB66B541"/>
    <w:multiLevelType w:val="singleLevel"/>
    <w:tmpl w:val="CB66B541"/>
    <w:lvl w:ilvl="0" w:tentative="0">
      <w:start w:val="1"/>
      <w:numFmt w:val="decimal"/>
      <w:lvlText w:val="(%1)"/>
      <w:lvlJc w:val="left"/>
      <w:pPr>
        <w:ind w:left="425" w:hanging="425"/>
      </w:pPr>
      <w:rPr>
        <w:rFonts w:hint="default"/>
      </w:rPr>
    </w:lvl>
  </w:abstractNum>
  <w:abstractNum w:abstractNumId="5">
    <w:nsid w:val="DBA4F139"/>
    <w:multiLevelType w:val="singleLevel"/>
    <w:tmpl w:val="DBA4F139"/>
    <w:lvl w:ilvl="0" w:tentative="0">
      <w:start w:val="1"/>
      <w:numFmt w:val="chineseCounting"/>
      <w:suff w:val="nothing"/>
      <w:lvlText w:val="%1、"/>
      <w:lvlJc w:val="left"/>
      <w:rPr>
        <w:rFonts w:hint="eastAsia"/>
      </w:rPr>
    </w:lvl>
  </w:abstractNum>
  <w:abstractNum w:abstractNumId="6">
    <w:nsid w:val="15812A10"/>
    <w:multiLevelType w:val="multilevel"/>
    <w:tmpl w:val="15812A10"/>
    <w:lvl w:ilvl="0" w:tentative="0">
      <w:start w:val="1"/>
      <w:numFmt w:val="upperLetter"/>
      <w:pStyle w:val="2"/>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2309C1BC"/>
    <w:multiLevelType w:val="singleLevel"/>
    <w:tmpl w:val="2309C1BC"/>
    <w:lvl w:ilvl="0" w:tentative="0">
      <w:start w:val="2"/>
      <w:numFmt w:val="chineseCounting"/>
      <w:suff w:val="space"/>
      <w:lvlText w:val="第%1部分"/>
      <w:lvlJc w:val="left"/>
      <w:pPr>
        <w:ind w:left="269"/>
      </w:pPr>
      <w:rPr>
        <w:rFonts w:hint="eastAsia"/>
      </w:rPr>
    </w:lvl>
  </w:abstractNum>
  <w:abstractNum w:abstractNumId="8">
    <w:nsid w:val="37F965CC"/>
    <w:multiLevelType w:val="singleLevel"/>
    <w:tmpl w:val="37F965CC"/>
    <w:lvl w:ilvl="0" w:tentative="0">
      <w:start w:val="1"/>
      <w:numFmt w:val="decimal"/>
      <w:lvlText w:val="%1."/>
      <w:lvlJc w:val="left"/>
      <w:pPr>
        <w:tabs>
          <w:tab w:val="left" w:pos="312"/>
        </w:tabs>
      </w:pPr>
    </w:lvl>
  </w:abstractNum>
  <w:abstractNum w:abstractNumId="9">
    <w:nsid w:val="38E72660"/>
    <w:multiLevelType w:val="multilevel"/>
    <w:tmpl w:val="38E72660"/>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11">
    <w:nsid w:val="5DB4C8BC"/>
    <w:multiLevelType w:val="singleLevel"/>
    <w:tmpl w:val="5DB4C8BC"/>
    <w:lvl w:ilvl="0" w:tentative="0">
      <w:start w:val="2"/>
      <w:numFmt w:val="decimal"/>
      <w:lvlText w:val="%1."/>
      <w:lvlJc w:val="left"/>
      <w:pPr>
        <w:tabs>
          <w:tab w:val="left" w:pos="312"/>
        </w:tabs>
      </w:pPr>
    </w:lvl>
  </w:abstractNum>
  <w:num w:numId="1">
    <w:abstractNumId w:val="6"/>
  </w:num>
  <w:num w:numId="2">
    <w:abstractNumId w:val="5"/>
  </w:num>
  <w:num w:numId="3">
    <w:abstractNumId w:val="7"/>
  </w:num>
  <w:num w:numId="4">
    <w:abstractNumId w:val="11"/>
  </w:num>
  <w:num w:numId="5">
    <w:abstractNumId w:val="2"/>
  </w:num>
  <w:num w:numId="6">
    <w:abstractNumId w:val="9"/>
  </w:num>
  <w:num w:numId="7">
    <w:abstractNumId w:val="3"/>
  </w:num>
  <w:num w:numId="8">
    <w:abstractNumId w:val="0"/>
  </w:num>
  <w:num w:numId="9">
    <w:abstractNumId w:val="4"/>
  </w:num>
  <w:num w:numId="10">
    <w:abstractNumId w:val="8"/>
  </w:num>
  <w:num w:numId="11">
    <w:abstractNumId w:val="1"/>
  </w:num>
  <w:num w:numId="12">
    <w:abstractNumId w:val="1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阿强">
    <w15:presenceInfo w15:providerId="None" w15:userId="阿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xMTgxODMzNmQ0YzY1ZTgwNzViNDlhNzU1M2E0MWEifQ=="/>
  </w:docVars>
  <w:rsids>
    <w:rsidRoot w:val="562A7F8C"/>
    <w:rsid w:val="001709D0"/>
    <w:rsid w:val="00172E78"/>
    <w:rsid w:val="002102A4"/>
    <w:rsid w:val="003A4DB8"/>
    <w:rsid w:val="00515C5E"/>
    <w:rsid w:val="00B52690"/>
    <w:rsid w:val="012F2443"/>
    <w:rsid w:val="01303CC8"/>
    <w:rsid w:val="014D1D6F"/>
    <w:rsid w:val="0159301C"/>
    <w:rsid w:val="017B56D8"/>
    <w:rsid w:val="01AA1AC9"/>
    <w:rsid w:val="02225B04"/>
    <w:rsid w:val="023E3454"/>
    <w:rsid w:val="02F604AF"/>
    <w:rsid w:val="02F948B2"/>
    <w:rsid w:val="03165668"/>
    <w:rsid w:val="032136EA"/>
    <w:rsid w:val="03394EB3"/>
    <w:rsid w:val="03563FE6"/>
    <w:rsid w:val="03686CEA"/>
    <w:rsid w:val="03B15391"/>
    <w:rsid w:val="03B17CC4"/>
    <w:rsid w:val="041E0D76"/>
    <w:rsid w:val="04567CE7"/>
    <w:rsid w:val="046B5540"/>
    <w:rsid w:val="04ED23F9"/>
    <w:rsid w:val="050022B6"/>
    <w:rsid w:val="050C225F"/>
    <w:rsid w:val="050D3DAA"/>
    <w:rsid w:val="052D3FE4"/>
    <w:rsid w:val="05704DD8"/>
    <w:rsid w:val="05FD40D9"/>
    <w:rsid w:val="064047AA"/>
    <w:rsid w:val="064926C3"/>
    <w:rsid w:val="069B5E85"/>
    <w:rsid w:val="069E30D6"/>
    <w:rsid w:val="06B10483"/>
    <w:rsid w:val="070856F4"/>
    <w:rsid w:val="0719587F"/>
    <w:rsid w:val="073E68E9"/>
    <w:rsid w:val="074C1DED"/>
    <w:rsid w:val="07BE1E2B"/>
    <w:rsid w:val="07C242FF"/>
    <w:rsid w:val="07D258D6"/>
    <w:rsid w:val="08117958"/>
    <w:rsid w:val="082006DA"/>
    <w:rsid w:val="085144DA"/>
    <w:rsid w:val="08780298"/>
    <w:rsid w:val="08C6543B"/>
    <w:rsid w:val="08DD4532"/>
    <w:rsid w:val="09383E5F"/>
    <w:rsid w:val="093942E6"/>
    <w:rsid w:val="095A3DD5"/>
    <w:rsid w:val="098C1123"/>
    <w:rsid w:val="09C15C02"/>
    <w:rsid w:val="09D80A3D"/>
    <w:rsid w:val="09DA3F01"/>
    <w:rsid w:val="0A39491D"/>
    <w:rsid w:val="0AA74DF8"/>
    <w:rsid w:val="0ACC2A7A"/>
    <w:rsid w:val="0AE0655C"/>
    <w:rsid w:val="0AFD710E"/>
    <w:rsid w:val="0B0E7656"/>
    <w:rsid w:val="0B86467B"/>
    <w:rsid w:val="0B9A4B88"/>
    <w:rsid w:val="0BAB6B6A"/>
    <w:rsid w:val="0C063DA0"/>
    <w:rsid w:val="0C0A52F6"/>
    <w:rsid w:val="0C2B1A59"/>
    <w:rsid w:val="0C5E598A"/>
    <w:rsid w:val="0C936EC9"/>
    <w:rsid w:val="0CB11F5E"/>
    <w:rsid w:val="0CB8153E"/>
    <w:rsid w:val="0CBC3F4A"/>
    <w:rsid w:val="0CD31979"/>
    <w:rsid w:val="0CE90EDE"/>
    <w:rsid w:val="0D077E4D"/>
    <w:rsid w:val="0D246BD4"/>
    <w:rsid w:val="0D2E1801"/>
    <w:rsid w:val="0D4A7260"/>
    <w:rsid w:val="0D673AAC"/>
    <w:rsid w:val="0D7A4A46"/>
    <w:rsid w:val="0DA644EA"/>
    <w:rsid w:val="0DBA12E6"/>
    <w:rsid w:val="0DBC26D5"/>
    <w:rsid w:val="0DDD6E45"/>
    <w:rsid w:val="0E2230B3"/>
    <w:rsid w:val="0E224BE9"/>
    <w:rsid w:val="0E2748D8"/>
    <w:rsid w:val="0E345BC0"/>
    <w:rsid w:val="0E67321C"/>
    <w:rsid w:val="0E8F4521"/>
    <w:rsid w:val="0EAE0614"/>
    <w:rsid w:val="0F030974"/>
    <w:rsid w:val="0F03484A"/>
    <w:rsid w:val="0F6239E3"/>
    <w:rsid w:val="0FF07241"/>
    <w:rsid w:val="100432AF"/>
    <w:rsid w:val="10141182"/>
    <w:rsid w:val="10407D3F"/>
    <w:rsid w:val="107C6D27"/>
    <w:rsid w:val="10914580"/>
    <w:rsid w:val="111E3E94"/>
    <w:rsid w:val="111F7DDE"/>
    <w:rsid w:val="113F0F35"/>
    <w:rsid w:val="11747ADC"/>
    <w:rsid w:val="118B7221"/>
    <w:rsid w:val="11B36E49"/>
    <w:rsid w:val="11DC6897"/>
    <w:rsid w:val="11F34DC7"/>
    <w:rsid w:val="11FF551A"/>
    <w:rsid w:val="12096398"/>
    <w:rsid w:val="122060A8"/>
    <w:rsid w:val="12535865"/>
    <w:rsid w:val="12A738C8"/>
    <w:rsid w:val="12B96010"/>
    <w:rsid w:val="12D05D18"/>
    <w:rsid w:val="12DF5ACB"/>
    <w:rsid w:val="12E34E3B"/>
    <w:rsid w:val="13462C73"/>
    <w:rsid w:val="135B2C24"/>
    <w:rsid w:val="13857CA0"/>
    <w:rsid w:val="14011A1D"/>
    <w:rsid w:val="141C6857"/>
    <w:rsid w:val="14225448"/>
    <w:rsid w:val="14385160"/>
    <w:rsid w:val="14FC1FEF"/>
    <w:rsid w:val="150A3B81"/>
    <w:rsid w:val="150B08E6"/>
    <w:rsid w:val="1517701E"/>
    <w:rsid w:val="154A2F50"/>
    <w:rsid w:val="1586527A"/>
    <w:rsid w:val="15F22C28"/>
    <w:rsid w:val="16096967"/>
    <w:rsid w:val="1615355E"/>
    <w:rsid w:val="1629525B"/>
    <w:rsid w:val="163C29C8"/>
    <w:rsid w:val="165B2F3A"/>
    <w:rsid w:val="166B0E3F"/>
    <w:rsid w:val="16777EBF"/>
    <w:rsid w:val="167C131A"/>
    <w:rsid w:val="1699418F"/>
    <w:rsid w:val="16DB47A7"/>
    <w:rsid w:val="16F2389F"/>
    <w:rsid w:val="16F26FFB"/>
    <w:rsid w:val="17002725"/>
    <w:rsid w:val="17201C52"/>
    <w:rsid w:val="1732013F"/>
    <w:rsid w:val="17917DCC"/>
    <w:rsid w:val="17936C42"/>
    <w:rsid w:val="17C0574B"/>
    <w:rsid w:val="17E74439"/>
    <w:rsid w:val="18221F62"/>
    <w:rsid w:val="18634390"/>
    <w:rsid w:val="18740651"/>
    <w:rsid w:val="187A159E"/>
    <w:rsid w:val="18B3705E"/>
    <w:rsid w:val="18B43502"/>
    <w:rsid w:val="18B84674"/>
    <w:rsid w:val="18C27582"/>
    <w:rsid w:val="18C431DA"/>
    <w:rsid w:val="18D13137"/>
    <w:rsid w:val="18EE3246"/>
    <w:rsid w:val="19332B35"/>
    <w:rsid w:val="197B677C"/>
    <w:rsid w:val="19A31AA7"/>
    <w:rsid w:val="1A180BC5"/>
    <w:rsid w:val="1AC61994"/>
    <w:rsid w:val="1AED4AA9"/>
    <w:rsid w:val="1B0D51E7"/>
    <w:rsid w:val="1B506DE6"/>
    <w:rsid w:val="1BB27AA1"/>
    <w:rsid w:val="1BB43819"/>
    <w:rsid w:val="1C1D3C84"/>
    <w:rsid w:val="1C536B8E"/>
    <w:rsid w:val="1C686DDC"/>
    <w:rsid w:val="1CA4413F"/>
    <w:rsid w:val="1CB07CE5"/>
    <w:rsid w:val="1CED1AC3"/>
    <w:rsid w:val="1CF05B1D"/>
    <w:rsid w:val="1CF71C0F"/>
    <w:rsid w:val="1D291DE0"/>
    <w:rsid w:val="1D4B1F5B"/>
    <w:rsid w:val="1D910DE4"/>
    <w:rsid w:val="1DDC2BB3"/>
    <w:rsid w:val="1E2A5750"/>
    <w:rsid w:val="1E4D0A1C"/>
    <w:rsid w:val="1E9A6699"/>
    <w:rsid w:val="1E9A6CF6"/>
    <w:rsid w:val="1EA5569B"/>
    <w:rsid w:val="1EC05AB5"/>
    <w:rsid w:val="1EC7766E"/>
    <w:rsid w:val="1EF06916"/>
    <w:rsid w:val="1F0C7EB0"/>
    <w:rsid w:val="1F4D1FBA"/>
    <w:rsid w:val="1F79582C"/>
    <w:rsid w:val="1FA15E62"/>
    <w:rsid w:val="1FAD2A59"/>
    <w:rsid w:val="1FB21E1D"/>
    <w:rsid w:val="1FE04BDC"/>
    <w:rsid w:val="203C020F"/>
    <w:rsid w:val="20467F9D"/>
    <w:rsid w:val="206A617C"/>
    <w:rsid w:val="20DB1848"/>
    <w:rsid w:val="21471BB1"/>
    <w:rsid w:val="214C004F"/>
    <w:rsid w:val="21607F04"/>
    <w:rsid w:val="21AF47B7"/>
    <w:rsid w:val="21C17DF3"/>
    <w:rsid w:val="21E37001"/>
    <w:rsid w:val="21EB0026"/>
    <w:rsid w:val="21FF3314"/>
    <w:rsid w:val="221B014E"/>
    <w:rsid w:val="222B5EB7"/>
    <w:rsid w:val="22745AB0"/>
    <w:rsid w:val="22DD5403"/>
    <w:rsid w:val="23230F2C"/>
    <w:rsid w:val="232E5C5F"/>
    <w:rsid w:val="235F050E"/>
    <w:rsid w:val="2386564E"/>
    <w:rsid w:val="239857CE"/>
    <w:rsid w:val="23B113D4"/>
    <w:rsid w:val="24117358"/>
    <w:rsid w:val="245416F5"/>
    <w:rsid w:val="24F9229C"/>
    <w:rsid w:val="2541634D"/>
    <w:rsid w:val="255B550B"/>
    <w:rsid w:val="25A03B85"/>
    <w:rsid w:val="25CD79B1"/>
    <w:rsid w:val="25D50034"/>
    <w:rsid w:val="25D725DE"/>
    <w:rsid w:val="26450CC0"/>
    <w:rsid w:val="26485289"/>
    <w:rsid w:val="265E4AAD"/>
    <w:rsid w:val="266F2816"/>
    <w:rsid w:val="26722306"/>
    <w:rsid w:val="26802C75"/>
    <w:rsid w:val="26C1158E"/>
    <w:rsid w:val="26C30DB4"/>
    <w:rsid w:val="26F23447"/>
    <w:rsid w:val="27426465"/>
    <w:rsid w:val="274C781B"/>
    <w:rsid w:val="275E288B"/>
    <w:rsid w:val="279E046E"/>
    <w:rsid w:val="27C61B43"/>
    <w:rsid w:val="27D668C5"/>
    <w:rsid w:val="282B6C11"/>
    <w:rsid w:val="28327F9F"/>
    <w:rsid w:val="28331991"/>
    <w:rsid w:val="283D06F2"/>
    <w:rsid w:val="284E0B51"/>
    <w:rsid w:val="285D041B"/>
    <w:rsid w:val="28B704A4"/>
    <w:rsid w:val="28CF3E4A"/>
    <w:rsid w:val="28EF5C4A"/>
    <w:rsid w:val="29362F86"/>
    <w:rsid w:val="296F6FD1"/>
    <w:rsid w:val="297E291D"/>
    <w:rsid w:val="297F2B8F"/>
    <w:rsid w:val="29AC3D81"/>
    <w:rsid w:val="29C42E79"/>
    <w:rsid w:val="29D735AC"/>
    <w:rsid w:val="29D73D8B"/>
    <w:rsid w:val="29DF65CD"/>
    <w:rsid w:val="29EB1815"/>
    <w:rsid w:val="2A0834F7"/>
    <w:rsid w:val="2A27165A"/>
    <w:rsid w:val="2A302808"/>
    <w:rsid w:val="2A5C7555"/>
    <w:rsid w:val="2A6A43BB"/>
    <w:rsid w:val="2A854A4E"/>
    <w:rsid w:val="2AC05D36"/>
    <w:rsid w:val="2AF96FA6"/>
    <w:rsid w:val="2B1E2A5D"/>
    <w:rsid w:val="2B367DA6"/>
    <w:rsid w:val="2B502E02"/>
    <w:rsid w:val="2B593A95"/>
    <w:rsid w:val="2B85488A"/>
    <w:rsid w:val="2BA469B4"/>
    <w:rsid w:val="2BF47C53"/>
    <w:rsid w:val="2C0B267A"/>
    <w:rsid w:val="2C8C39F6"/>
    <w:rsid w:val="2C9A4365"/>
    <w:rsid w:val="2CB54D26"/>
    <w:rsid w:val="2CCB4E0F"/>
    <w:rsid w:val="2D312F83"/>
    <w:rsid w:val="2D4A5C64"/>
    <w:rsid w:val="2D88240F"/>
    <w:rsid w:val="2DA14747"/>
    <w:rsid w:val="2DA67262"/>
    <w:rsid w:val="2DAA0AE3"/>
    <w:rsid w:val="2DB72CF5"/>
    <w:rsid w:val="2DE955A4"/>
    <w:rsid w:val="2DED6716"/>
    <w:rsid w:val="2E114033"/>
    <w:rsid w:val="2E206AEC"/>
    <w:rsid w:val="2E293BF2"/>
    <w:rsid w:val="2E440A2C"/>
    <w:rsid w:val="2E4418F4"/>
    <w:rsid w:val="2E9E2416"/>
    <w:rsid w:val="2F0B706C"/>
    <w:rsid w:val="2F236894"/>
    <w:rsid w:val="2F3565C7"/>
    <w:rsid w:val="2F8B0851"/>
    <w:rsid w:val="2F9257C7"/>
    <w:rsid w:val="2FA1668B"/>
    <w:rsid w:val="2FA71273"/>
    <w:rsid w:val="2FE9008C"/>
    <w:rsid w:val="300B5864"/>
    <w:rsid w:val="304C5976"/>
    <w:rsid w:val="30555D5A"/>
    <w:rsid w:val="30654F90"/>
    <w:rsid w:val="30803C31"/>
    <w:rsid w:val="30E107B4"/>
    <w:rsid w:val="30E43C34"/>
    <w:rsid w:val="310E70CF"/>
    <w:rsid w:val="31382286"/>
    <w:rsid w:val="313F372D"/>
    <w:rsid w:val="31886E82"/>
    <w:rsid w:val="31A43590"/>
    <w:rsid w:val="31A727F2"/>
    <w:rsid w:val="31BA2CDF"/>
    <w:rsid w:val="31DE2CAD"/>
    <w:rsid w:val="31E85B0F"/>
    <w:rsid w:val="31ED1B4E"/>
    <w:rsid w:val="32033018"/>
    <w:rsid w:val="323E5792"/>
    <w:rsid w:val="3268280F"/>
    <w:rsid w:val="3284589B"/>
    <w:rsid w:val="32987598"/>
    <w:rsid w:val="32B048E2"/>
    <w:rsid w:val="337A66A2"/>
    <w:rsid w:val="33D87A68"/>
    <w:rsid w:val="33F359B8"/>
    <w:rsid w:val="33FB7DDF"/>
    <w:rsid w:val="34014CFA"/>
    <w:rsid w:val="34237336"/>
    <w:rsid w:val="348C6C89"/>
    <w:rsid w:val="34B561E0"/>
    <w:rsid w:val="35424C9F"/>
    <w:rsid w:val="35591701"/>
    <w:rsid w:val="35D97CAC"/>
    <w:rsid w:val="361707D4"/>
    <w:rsid w:val="361B1A21"/>
    <w:rsid w:val="3656754F"/>
    <w:rsid w:val="36AC3612"/>
    <w:rsid w:val="376141E7"/>
    <w:rsid w:val="37C85FF7"/>
    <w:rsid w:val="37C8622A"/>
    <w:rsid w:val="37DB66E3"/>
    <w:rsid w:val="37FF3F7C"/>
    <w:rsid w:val="3825542A"/>
    <w:rsid w:val="384F24A7"/>
    <w:rsid w:val="386812B7"/>
    <w:rsid w:val="38A26A7B"/>
    <w:rsid w:val="39122391"/>
    <w:rsid w:val="393873DF"/>
    <w:rsid w:val="395A55A8"/>
    <w:rsid w:val="39974106"/>
    <w:rsid w:val="39B21228"/>
    <w:rsid w:val="39CA51D3"/>
    <w:rsid w:val="39CB740D"/>
    <w:rsid w:val="3A5C3116"/>
    <w:rsid w:val="3AAC1E33"/>
    <w:rsid w:val="3B3A743F"/>
    <w:rsid w:val="3B895CD0"/>
    <w:rsid w:val="3B8B4C6A"/>
    <w:rsid w:val="3BB645EB"/>
    <w:rsid w:val="3BC71B89"/>
    <w:rsid w:val="3BE41159"/>
    <w:rsid w:val="3CA60B04"/>
    <w:rsid w:val="3CB44FCF"/>
    <w:rsid w:val="3D3B6DEA"/>
    <w:rsid w:val="3D7B3755"/>
    <w:rsid w:val="3D807426"/>
    <w:rsid w:val="3DF71617"/>
    <w:rsid w:val="3E2672E7"/>
    <w:rsid w:val="3E4D1237"/>
    <w:rsid w:val="3E6678F8"/>
    <w:rsid w:val="3EE32406"/>
    <w:rsid w:val="3F285800"/>
    <w:rsid w:val="3F5A4156"/>
    <w:rsid w:val="3FA26E4D"/>
    <w:rsid w:val="4021297B"/>
    <w:rsid w:val="404C4DE4"/>
    <w:rsid w:val="406B1E48"/>
    <w:rsid w:val="40762ABD"/>
    <w:rsid w:val="40781025"/>
    <w:rsid w:val="40A87283"/>
    <w:rsid w:val="40BC6B48"/>
    <w:rsid w:val="40CB42F5"/>
    <w:rsid w:val="411F7F94"/>
    <w:rsid w:val="412F10C8"/>
    <w:rsid w:val="414779F7"/>
    <w:rsid w:val="415835B4"/>
    <w:rsid w:val="41744D2D"/>
    <w:rsid w:val="41B20F4B"/>
    <w:rsid w:val="41DB4DAC"/>
    <w:rsid w:val="41DF14DB"/>
    <w:rsid w:val="42101F31"/>
    <w:rsid w:val="421F36AF"/>
    <w:rsid w:val="422D4C04"/>
    <w:rsid w:val="423050F8"/>
    <w:rsid w:val="423D5A66"/>
    <w:rsid w:val="428611BC"/>
    <w:rsid w:val="42896C0B"/>
    <w:rsid w:val="42A14BDF"/>
    <w:rsid w:val="42C121F4"/>
    <w:rsid w:val="430B7913"/>
    <w:rsid w:val="43D67F21"/>
    <w:rsid w:val="43D941C3"/>
    <w:rsid w:val="4412096A"/>
    <w:rsid w:val="44B4325F"/>
    <w:rsid w:val="44D51F86"/>
    <w:rsid w:val="44ED5522"/>
    <w:rsid w:val="451A5BEB"/>
    <w:rsid w:val="45407CA5"/>
    <w:rsid w:val="454E3F0A"/>
    <w:rsid w:val="456357E4"/>
    <w:rsid w:val="456B1CC4"/>
    <w:rsid w:val="4579583D"/>
    <w:rsid w:val="45892246"/>
    <w:rsid w:val="45C51FFB"/>
    <w:rsid w:val="45E06E35"/>
    <w:rsid w:val="46230960"/>
    <w:rsid w:val="46250CEB"/>
    <w:rsid w:val="462E356B"/>
    <w:rsid w:val="465E7D59"/>
    <w:rsid w:val="46756BB6"/>
    <w:rsid w:val="4695351C"/>
    <w:rsid w:val="469745E4"/>
    <w:rsid w:val="469750EF"/>
    <w:rsid w:val="469829BE"/>
    <w:rsid w:val="46CD5F81"/>
    <w:rsid w:val="46D33DC6"/>
    <w:rsid w:val="46D651B3"/>
    <w:rsid w:val="46F3327E"/>
    <w:rsid w:val="471E6542"/>
    <w:rsid w:val="473F5DDD"/>
    <w:rsid w:val="474F720D"/>
    <w:rsid w:val="476A7BFA"/>
    <w:rsid w:val="476D294A"/>
    <w:rsid w:val="477A6F54"/>
    <w:rsid w:val="477D7A39"/>
    <w:rsid w:val="478101A3"/>
    <w:rsid w:val="479223B1"/>
    <w:rsid w:val="479B74B7"/>
    <w:rsid w:val="47AB54FA"/>
    <w:rsid w:val="47B36031"/>
    <w:rsid w:val="47BB0396"/>
    <w:rsid w:val="47E0660A"/>
    <w:rsid w:val="47F210A1"/>
    <w:rsid w:val="48021352"/>
    <w:rsid w:val="48052B82"/>
    <w:rsid w:val="4812529F"/>
    <w:rsid w:val="48164D90"/>
    <w:rsid w:val="481A666F"/>
    <w:rsid w:val="484713ED"/>
    <w:rsid w:val="48477312"/>
    <w:rsid w:val="4883391C"/>
    <w:rsid w:val="489A776F"/>
    <w:rsid w:val="48EC789E"/>
    <w:rsid w:val="4921579A"/>
    <w:rsid w:val="49507E2D"/>
    <w:rsid w:val="49753D38"/>
    <w:rsid w:val="497B39EA"/>
    <w:rsid w:val="49E60792"/>
    <w:rsid w:val="4A084ABE"/>
    <w:rsid w:val="4A1D01B3"/>
    <w:rsid w:val="4A4D25BF"/>
    <w:rsid w:val="4A7A7E0A"/>
    <w:rsid w:val="4A8050E2"/>
    <w:rsid w:val="4A946440"/>
    <w:rsid w:val="4AC91857"/>
    <w:rsid w:val="4AFE29E5"/>
    <w:rsid w:val="4B0C368F"/>
    <w:rsid w:val="4B4E2A92"/>
    <w:rsid w:val="4B5F2A4D"/>
    <w:rsid w:val="4B6C333C"/>
    <w:rsid w:val="4B7A3887"/>
    <w:rsid w:val="4B942912"/>
    <w:rsid w:val="4C191E51"/>
    <w:rsid w:val="4C1C787E"/>
    <w:rsid w:val="4C2555A1"/>
    <w:rsid w:val="4C39311D"/>
    <w:rsid w:val="4C4F4AC7"/>
    <w:rsid w:val="4C7E2F03"/>
    <w:rsid w:val="4CB86415"/>
    <w:rsid w:val="4CC052CA"/>
    <w:rsid w:val="4CC814AE"/>
    <w:rsid w:val="4CF305FB"/>
    <w:rsid w:val="4D697D65"/>
    <w:rsid w:val="4D7B33A4"/>
    <w:rsid w:val="4DA33313"/>
    <w:rsid w:val="4DD8132A"/>
    <w:rsid w:val="4E143B1F"/>
    <w:rsid w:val="4E2875CB"/>
    <w:rsid w:val="4E8D3B81"/>
    <w:rsid w:val="4EAC3D58"/>
    <w:rsid w:val="4EC06F8F"/>
    <w:rsid w:val="4ECC64F1"/>
    <w:rsid w:val="4F22226C"/>
    <w:rsid w:val="4F50502B"/>
    <w:rsid w:val="4F5E32CE"/>
    <w:rsid w:val="4F5F701C"/>
    <w:rsid w:val="4F6507F6"/>
    <w:rsid w:val="4F6C1739"/>
    <w:rsid w:val="4F723866"/>
    <w:rsid w:val="4FB3211C"/>
    <w:rsid w:val="4FB40A26"/>
    <w:rsid w:val="4FDC2460"/>
    <w:rsid w:val="5002340A"/>
    <w:rsid w:val="50463D38"/>
    <w:rsid w:val="505F3335"/>
    <w:rsid w:val="508B5BEF"/>
    <w:rsid w:val="509C05C5"/>
    <w:rsid w:val="50B11AF9"/>
    <w:rsid w:val="50D4096B"/>
    <w:rsid w:val="51107923"/>
    <w:rsid w:val="511D2CEB"/>
    <w:rsid w:val="51562339"/>
    <w:rsid w:val="51586FAB"/>
    <w:rsid w:val="5167665C"/>
    <w:rsid w:val="517501BC"/>
    <w:rsid w:val="51BC0756"/>
    <w:rsid w:val="51EC090F"/>
    <w:rsid w:val="52107D3F"/>
    <w:rsid w:val="52225B87"/>
    <w:rsid w:val="522307D5"/>
    <w:rsid w:val="5250430D"/>
    <w:rsid w:val="52666914"/>
    <w:rsid w:val="52CA29FF"/>
    <w:rsid w:val="52ED2B91"/>
    <w:rsid w:val="531E0F9C"/>
    <w:rsid w:val="53245EE9"/>
    <w:rsid w:val="533802B0"/>
    <w:rsid w:val="533E519B"/>
    <w:rsid w:val="53692FF6"/>
    <w:rsid w:val="539C3FA2"/>
    <w:rsid w:val="53CD71B7"/>
    <w:rsid w:val="53DA1367"/>
    <w:rsid w:val="54005D98"/>
    <w:rsid w:val="541F321E"/>
    <w:rsid w:val="548E7A76"/>
    <w:rsid w:val="549B5FE5"/>
    <w:rsid w:val="54F6197A"/>
    <w:rsid w:val="559D264C"/>
    <w:rsid w:val="55B61C6E"/>
    <w:rsid w:val="55CE6CAA"/>
    <w:rsid w:val="55D76DB9"/>
    <w:rsid w:val="562969FC"/>
    <w:rsid w:val="562A7F8C"/>
    <w:rsid w:val="56462975"/>
    <w:rsid w:val="565A420A"/>
    <w:rsid w:val="5689497F"/>
    <w:rsid w:val="56B950D7"/>
    <w:rsid w:val="56C14289"/>
    <w:rsid w:val="56D26326"/>
    <w:rsid w:val="56DB78D0"/>
    <w:rsid w:val="57233025"/>
    <w:rsid w:val="5726041F"/>
    <w:rsid w:val="572F5217"/>
    <w:rsid w:val="5739015C"/>
    <w:rsid w:val="57574A7D"/>
    <w:rsid w:val="57882E88"/>
    <w:rsid w:val="579A3D4A"/>
    <w:rsid w:val="57D750CA"/>
    <w:rsid w:val="58135565"/>
    <w:rsid w:val="58552FA4"/>
    <w:rsid w:val="5862192B"/>
    <w:rsid w:val="5870229A"/>
    <w:rsid w:val="589715D5"/>
    <w:rsid w:val="58A106A5"/>
    <w:rsid w:val="58FA7DB6"/>
    <w:rsid w:val="58FE78A6"/>
    <w:rsid w:val="590E45F0"/>
    <w:rsid w:val="59123351"/>
    <w:rsid w:val="59223975"/>
    <w:rsid w:val="594A2AEB"/>
    <w:rsid w:val="59835FFD"/>
    <w:rsid w:val="598C4EB2"/>
    <w:rsid w:val="59BB7545"/>
    <w:rsid w:val="59EE791A"/>
    <w:rsid w:val="5A8B5169"/>
    <w:rsid w:val="5AD53984"/>
    <w:rsid w:val="5AE900E2"/>
    <w:rsid w:val="5AF214B3"/>
    <w:rsid w:val="5B935A55"/>
    <w:rsid w:val="5BE2525D"/>
    <w:rsid w:val="5BED72B5"/>
    <w:rsid w:val="5C2313D1"/>
    <w:rsid w:val="5C514191"/>
    <w:rsid w:val="5C741C2D"/>
    <w:rsid w:val="5CA27028"/>
    <w:rsid w:val="5D4E247E"/>
    <w:rsid w:val="5D647EF4"/>
    <w:rsid w:val="5D740137"/>
    <w:rsid w:val="5D9F1247"/>
    <w:rsid w:val="5DA97E4D"/>
    <w:rsid w:val="5DAA7C48"/>
    <w:rsid w:val="5DCD01E7"/>
    <w:rsid w:val="5E3D700A"/>
    <w:rsid w:val="5E413D91"/>
    <w:rsid w:val="5E532442"/>
    <w:rsid w:val="5E5F0DE7"/>
    <w:rsid w:val="5E79249B"/>
    <w:rsid w:val="5EB822A5"/>
    <w:rsid w:val="5EBD78BB"/>
    <w:rsid w:val="5F150FC9"/>
    <w:rsid w:val="5F4D437C"/>
    <w:rsid w:val="5F69359F"/>
    <w:rsid w:val="5F8A3AFF"/>
    <w:rsid w:val="5FB52C88"/>
    <w:rsid w:val="5FF770AB"/>
    <w:rsid w:val="605007E5"/>
    <w:rsid w:val="60900E16"/>
    <w:rsid w:val="60A06F3C"/>
    <w:rsid w:val="60D224EF"/>
    <w:rsid w:val="60F538F8"/>
    <w:rsid w:val="612941B8"/>
    <w:rsid w:val="6138591F"/>
    <w:rsid w:val="61411FB6"/>
    <w:rsid w:val="615B2E7E"/>
    <w:rsid w:val="61AC3CD1"/>
    <w:rsid w:val="61AF6787"/>
    <w:rsid w:val="61D37ED8"/>
    <w:rsid w:val="61E22550"/>
    <w:rsid w:val="61E635CD"/>
    <w:rsid w:val="621771F3"/>
    <w:rsid w:val="622B435C"/>
    <w:rsid w:val="626A3B5D"/>
    <w:rsid w:val="62772330"/>
    <w:rsid w:val="62832486"/>
    <w:rsid w:val="62D578C9"/>
    <w:rsid w:val="63035AB9"/>
    <w:rsid w:val="63373080"/>
    <w:rsid w:val="639D3C37"/>
    <w:rsid w:val="63C74D38"/>
    <w:rsid w:val="63D52EC5"/>
    <w:rsid w:val="63F55E58"/>
    <w:rsid w:val="63F83144"/>
    <w:rsid w:val="64430863"/>
    <w:rsid w:val="648B3FB8"/>
    <w:rsid w:val="64D140C0"/>
    <w:rsid w:val="65200BA4"/>
    <w:rsid w:val="65293A1E"/>
    <w:rsid w:val="654C7BEB"/>
    <w:rsid w:val="65713EE3"/>
    <w:rsid w:val="65831FFE"/>
    <w:rsid w:val="65B82D44"/>
    <w:rsid w:val="65BA4B55"/>
    <w:rsid w:val="65D06126"/>
    <w:rsid w:val="65D61F4D"/>
    <w:rsid w:val="660D1128"/>
    <w:rsid w:val="660D737A"/>
    <w:rsid w:val="661B018A"/>
    <w:rsid w:val="663C603C"/>
    <w:rsid w:val="665A1E94"/>
    <w:rsid w:val="667C1E0A"/>
    <w:rsid w:val="668B64F1"/>
    <w:rsid w:val="668D04BB"/>
    <w:rsid w:val="66A63182"/>
    <w:rsid w:val="66B5531C"/>
    <w:rsid w:val="66C23A0D"/>
    <w:rsid w:val="66C7779B"/>
    <w:rsid w:val="672D1422"/>
    <w:rsid w:val="672E57FA"/>
    <w:rsid w:val="67613F05"/>
    <w:rsid w:val="676E3E49"/>
    <w:rsid w:val="679C6C08"/>
    <w:rsid w:val="67E07097"/>
    <w:rsid w:val="68101F1A"/>
    <w:rsid w:val="684D54BF"/>
    <w:rsid w:val="689340DA"/>
    <w:rsid w:val="68FE2FAA"/>
    <w:rsid w:val="69330DF7"/>
    <w:rsid w:val="6934178A"/>
    <w:rsid w:val="696E0130"/>
    <w:rsid w:val="69BF0D46"/>
    <w:rsid w:val="69E35A81"/>
    <w:rsid w:val="69FF522C"/>
    <w:rsid w:val="6A0F7293"/>
    <w:rsid w:val="6A1330E9"/>
    <w:rsid w:val="6A192BBD"/>
    <w:rsid w:val="6A283FA3"/>
    <w:rsid w:val="6A991279"/>
    <w:rsid w:val="6ADC731B"/>
    <w:rsid w:val="6B44040B"/>
    <w:rsid w:val="6BAE0CB8"/>
    <w:rsid w:val="6C2B0057"/>
    <w:rsid w:val="6C6455FC"/>
    <w:rsid w:val="6CC47EC3"/>
    <w:rsid w:val="6CD75FEC"/>
    <w:rsid w:val="6CDE55CC"/>
    <w:rsid w:val="6CF52916"/>
    <w:rsid w:val="6D395B76"/>
    <w:rsid w:val="6D543AE1"/>
    <w:rsid w:val="6DA70DDE"/>
    <w:rsid w:val="6DB70F9A"/>
    <w:rsid w:val="6E076DA5"/>
    <w:rsid w:val="6E501DE9"/>
    <w:rsid w:val="6EAB7785"/>
    <w:rsid w:val="6EB365E5"/>
    <w:rsid w:val="6EE669BA"/>
    <w:rsid w:val="6F1251D3"/>
    <w:rsid w:val="6F4E0AFA"/>
    <w:rsid w:val="6F656ED8"/>
    <w:rsid w:val="6F706EB8"/>
    <w:rsid w:val="6F9E1043"/>
    <w:rsid w:val="6FA7439C"/>
    <w:rsid w:val="6FC7059A"/>
    <w:rsid w:val="70264B58"/>
    <w:rsid w:val="70457711"/>
    <w:rsid w:val="70476728"/>
    <w:rsid w:val="70491BD8"/>
    <w:rsid w:val="704E0CBB"/>
    <w:rsid w:val="70590E1E"/>
    <w:rsid w:val="705E388D"/>
    <w:rsid w:val="70853FB1"/>
    <w:rsid w:val="70BC5C25"/>
    <w:rsid w:val="70BD483C"/>
    <w:rsid w:val="715879CC"/>
    <w:rsid w:val="716B31A7"/>
    <w:rsid w:val="71FB4CFB"/>
    <w:rsid w:val="720A29C0"/>
    <w:rsid w:val="722C2936"/>
    <w:rsid w:val="724E26A6"/>
    <w:rsid w:val="726C5429"/>
    <w:rsid w:val="72702C11"/>
    <w:rsid w:val="72B34E05"/>
    <w:rsid w:val="72D80D10"/>
    <w:rsid w:val="72F53670"/>
    <w:rsid w:val="730C62FF"/>
    <w:rsid w:val="731C3ECE"/>
    <w:rsid w:val="731F25E1"/>
    <w:rsid w:val="732301DD"/>
    <w:rsid w:val="73772B44"/>
    <w:rsid w:val="738B796F"/>
    <w:rsid w:val="73D809E1"/>
    <w:rsid w:val="73DD2FB2"/>
    <w:rsid w:val="73E6120B"/>
    <w:rsid w:val="74153B95"/>
    <w:rsid w:val="746F7452"/>
    <w:rsid w:val="74956EB9"/>
    <w:rsid w:val="752F323C"/>
    <w:rsid w:val="753777CB"/>
    <w:rsid w:val="755F25E1"/>
    <w:rsid w:val="756C40D1"/>
    <w:rsid w:val="758D6003"/>
    <w:rsid w:val="759224B5"/>
    <w:rsid w:val="75B66CCE"/>
    <w:rsid w:val="75EB6813"/>
    <w:rsid w:val="75F4354A"/>
    <w:rsid w:val="763D45EE"/>
    <w:rsid w:val="763F7606"/>
    <w:rsid w:val="76B949B4"/>
    <w:rsid w:val="76D66663"/>
    <w:rsid w:val="773F135E"/>
    <w:rsid w:val="77517D6E"/>
    <w:rsid w:val="77991440"/>
    <w:rsid w:val="77CB1259"/>
    <w:rsid w:val="77D63658"/>
    <w:rsid w:val="77F04406"/>
    <w:rsid w:val="7808174F"/>
    <w:rsid w:val="78085BF3"/>
    <w:rsid w:val="782D126E"/>
    <w:rsid w:val="783C764B"/>
    <w:rsid w:val="783E034C"/>
    <w:rsid w:val="784C3D32"/>
    <w:rsid w:val="786E011D"/>
    <w:rsid w:val="78915BE9"/>
    <w:rsid w:val="78E828F5"/>
    <w:rsid w:val="79621BBF"/>
    <w:rsid w:val="797A48CF"/>
    <w:rsid w:val="797B7098"/>
    <w:rsid w:val="799F6CA3"/>
    <w:rsid w:val="7A3B2DFB"/>
    <w:rsid w:val="7A3C1B84"/>
    <w:rsid w:val="7A6F3D08"/>
    <w:rsid w:val="7A770E0E"/>
    <w:rsid w:val="7AB930CE"/>
    <w:rsid w:val="7B160627"/>
    <w:rsid w:val="7B2127B7"/>
    <w:rsid w:val="7B333CA3"/>
    <w:rsid w:val="7B3D3E06"/>
    <w:rsid w:val="7B547D85"/>
    <w:rsid w:val="7BA300D0"/>
    <w:rsid w:val="7BBD0AA3"/>
    <w:rsid w:val="7BC166F1"/>
    <w:rsid w:val="7C484810"/>
    <w:rsid w:val="7C9932BE"/>
    <w:rsid w:val="7CAF0790"/>
    <w:rsid w:val="7CC877DD"/>
    <w:rsid w:val="7CEA232C"/>
    <w:rsid w:val="7D036989"/>
    <w:rsid w:val="7D1110A6"/>
    <w:rsid w:val="7D221110"/>
    <w:rsid w:val="7D690EE2"/>
    <w:rsid w:val="7D9B04C6"/>
    <w:rsid w:val="7DAB3F44"/>
    <w:rsid w:val="7DBD7996"/>
    <w:rsid w:val="7DDA1DE0"/>
    <w:rsid w:val="7DEB7B49"/>
    <w:rsid w:val="7E0D4A1D"/>
    <w:rsid w:val="7E4016A1"/>
    <w:rsid w:val="7E6B28C4"/>
    <w:rsid w:val="7E7318ED"/>
    <w:rsid w:val="7EA33A11"/>
    <w:rsid w:val="7EA40F29"/>
    <w:rsid w:val="7EA5419C"/>
    <w:rsid w:val="7EFA5481"/>
    <w:rsid w:val="7F472E49"/>
    <w:rsid w:val="7F6209DC"/>
    <w:rsid w:val="7F762C43"/>
    <w:rsid w:val="7FB914CF"/>
    <w:rsid w:val="7FC00B62"/>
    <w:rsid w:val="7FE72592"/>
    <w:rsid w:val="7FF37189"/>
    <w:rsid w:val="7FFC42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autoRedefine/>
    <w:qFormat/>
    <w:uiPriority w:val="0"/>
    <w:pPr>
      <w:keepNext/>
      <w:numPr>
        <w:ilvl w:val="0"/>
        <w:numId w:val="1"/>
      </w:numPr>
      <w:outlineLvl w:val="0"/>
    </w:pPr>
    <w:rPr>
      <w:b/>
    </w:rPr>
  </w:style>
  <w:style w:type="paragraph" w:styleId="3">
    <w:name w:val="heading 2"/>
    <w:basedOn w:val="1"/>
    <w:next w:val="1"/>
    <w:autoRedefine/>
    <w:qFormat/>
    <w:uiPriority w:val="0"/>
    <w:pPr>
      <w:keepNext/>
      <w:keepLines/>
      <w:spacing w:before="260" w:after="260" w:line="416" w:lineRule="auto"/>
      <w:outlineLvl w:val="1"/>
    </w:pPr>
    <w:rPr>
      <w:rFonts w:ascii="Arial" w:hAnsi="Arial" w:eastAsia="黑体"/>
      <w:b/>
      <w:sz w:val="32"/>
    </w:rPr>
  </w:style>
  <w:style w:type="paragraph" w:styleId="4">
    <w:name w:val="heading 3"/>
    <w:basedOn w:val="1"/>
    <w:next w:val="1"/>
    <w:link w:val="50"/>
    <w:autoRedefine/>
    <w:qFormat/>
    <w:uiPriority w:val="0"/>
    <w:pPr>
      <w:keepNext/>
      <w:keepLines/>
      <w:spacing w:before="260" w:after="260" w:line="416" w:lineRule="auto"/>
      <w:outlineLvl w:val="2"/>
    </w:pPr>
    <w:rPr>
      <w:b/>
      <w:bCs/>
      <w:sz w:val="32"/>
      <w:szCs w:val="32"/>
    </w:rPr>
  </w:style>
  <w:style w:type="paragraph" w:styleId="5">
    <w:name w:val="heading 4"/>
    <w:basedOn w:val="1"/>
    <w:next w:val="1"/>
    <w:autoRedefine/>
    <w:qFormat/>
    <w:uiPriority w:val="0"/>
    <w:pPr>
      <w:keepNext/>
      <w:keepLines/>
      <w:spacing w:before="280" w:after="290" w:line="376" w:lineRule="auto"/>
      <w:outlineLvl w:val="3"/>
    </w:pPr>
    <w:rPr>
      <w:rFonts w:ascii="Arial" w:hAnsi="Arial" w:eastAsia="黑体"/>
      <w:b/>
      <w:bCs/>
      <w:sz w:val="28"/>
      <w:szCs w:val="28"/>
    </w:rPr>
  </w:style>
  <w:style w:type="character" w:default="1" w:styleId="26">
    <w:name w:val="Default Paragraph Font"/>
    <w:autoRedefine/>
    <w:semiHidden/>
    <w:qFormat/>
    <w:uiPriority w:val="0"/>
  </w:style>
  <w:style w:type="table" w:default="1" w:styleId="24">
    <w:name w:val="Normal Table"/>
    <w:autoRedefine/>
    <w:semiHidden/>
    <w:qFormat/>
    <w:uiPriority w:val="0"/>
    <w:tblPr>
      <w:tblCellMar>
        <w:top w:w="0" w:type="dxa"/>
        <w:left w:w="108" w:type="dxa"/>
        <w:bottom w:w="0" w:type="dxa"/>
        <w:right w:w="108" w:type="dxa"/>
      </w:tblCellMar>
    </w:tblPr>
  </w:style>
  <w:style w:type="paragraph" w:styleId="6">
    <w:name w:val="Normal Indent"/>
    <w:basedOn w:val="1"/>
    <w:autoRedefine/>
    <w:qFormat/>
    <w:uiPriority w:val="0"/>
    <w:pPr>
      <w:ind w:firstLine="420" w:firstLineChars="200"/>
    </w:pPr>
    <w:rPr>
      <w:szCs w:val="24"/>
    </w:rPr>
  </w:style>
  <w:style w:type="paragraph" w:styleId="7">
    <w:name w:val="index 5"/>
    <w:basedOn w:val="1"/>
    <w:next w:val="1"/>
    <w:qFormat/>
    <w:uiPriority w:val="0"/>
    <w:pPr>
      <w:ind w:left="800" w:leftChars="800"/>
    </w:pPr>
    <w:rPr>
      <w:rFonts w:ascii="Times New Roman" w:hAnsi="Times New Roman" w:eastAsia="宋体" w:cs="Times New Roman"/>
    </w:rPr>
  </w:style>
  <w:style w:type="paragraph" w:styleId="8">
    <w:name w:val="Body Text"/>
    <w:basedOn w:val="1"/>
    <w:next w:val="9"/>
    <w:autoRedefine/>
    <w:qFormat/>
    <w:uiPriority w:val="0"/>
    <w:rPr>
      <w:rFonts w:ascii="Arial" w:hAnsi="Arial"/>
      <w:sz w:val="24"/>
    </w:rPr>
  </w:style>
  <w:style w:type="paragraph" w:styleId="9">
    <w:name w:val="Body Text First Indent 2"/>
    <w:basedOn w:val="10"/>
    <w:autoRedefine/>
    <w:unhideWhenUsed/>
    <w:qFormat/>
    <w:uiPriority w:val="99"/>
    <w:pPr>
      <w:ind w:firstLine="420" w:firstLineChars="200"/>
    </w:pPr>
  </w:style>
  <w:style w:type="paragraph" w:styleId="10">
    <w:name w:val="Body Text Indent"/>
    <w:basedOn w:val="1"/>
    <w:autoRedefine/>
    <w:qFormat/>
    <w:uiPriority w:val="0"/>
    <w:pPr>
      <w:ind w:firstLine="480"/>
    </w:pPr>
    <w:rPr>
      <w:rFonts w:ascii="宋体" w:hAnsi="宋体"/>
      <w:sz w:val="24"/>
    </w:rPr>
  </w:style>
  <w:style w:type="paragraph" w:styleId="11">
    <w:name w:val="Plain Text"/>
    <w:basedOn w:val="1"/>
    <w:qFormat/>
    <w:uiPriority w:val="0"/>
    <w:rPr>
      <w:rFonts w:ascii="宋体" w:hAnsi="Courier New"/>
    </w:rPr>
  </w:style>
  <w:style w:type="paragraph" w:styleId="12">
    <w:name w:val="Date"/>
    <w:basedOn w:val="1"/>
    <w:next w:val="1"/>
    <w:autoRedefine/>
    <w:qFormat/>
    <w:uiPriority w:val="0"/>
    <w:pPr>
      <w:ind w:left="100" w:leftChars="2500"/>
    </w:pPr>
  </w:style>
  <w:style w:type="paragraph" w:styleId="13">
    <w:name w:val="Body Text Indent 2"/>
    <w:basedOn w:val="1"/>
    <w:next w:val="14"/>
    <w:qFormat/>
    <w:uiPriority w:val="0"/>
    <w:pPr>
      <w:spacing w:after="120" w:line="480" w:lineRule="auto"/>
      <w:ind w:left="420" w:leftChars="200"/>
    </w:pPr>
  </w:style>
  <w:style w:type="paragraph" w:customStyle="1" w:styleId="14">
    <w:name w:val="z正文"/>
    <w:basedOn w:val="11"/>
    <w:qFormat/>
    <w:uiPriority w:val="99"/>
    <w:pPr>
      <w:tabs>
        <w:tab w:val="left" w:pos="525"/>
      </w:tabs>
      <w:snapToGrid w:val="0"/>
      <w:spacing w:line="360" w:lineRule="auto"/>
    </w:pPr>
    <w:rPr>
      <w:rFonts w:hAnsi="宋体" w:eastAsia="宋体"/>
      <w:sz w:val="24"/>
    </w:rPr>
  </w:style>
  <w:style w:type="paragraph" w:styleId="15">
    <w:name w:val="footer"/>
    <w:basedOn w:val="1"/>
    <w:autoRedefine/>
    <w:qFormat/>
    <w:uiPriority w:val="99"/>
    <w:pPr>
      <w:tabs>
        <w:tab w:val="center" w:pos="4153"/>
        <w:tab w:val="right" w:pos="8306"/>
      </w:tabs>
      <w:snapToGrid w:val="0"/>
      <w:jc w:val="left"/>
    </w:pPr>
    <w:rPr>
      <w:sz w:val="18"/>
    </w:rPr>
  </w:style>
  <w:style w:type="paragraph" w:styleId="16">
    <w:name w:val="header"/>
    <w:basedOn w:val="1"/>
    <w:autoRedefine/>
    <w:qFormat/>
    <w:uiPriority w:val="0"/>
    <w:pPr>
      <w:pBdr>
        <w:bottom w:val="single" w:color="auto" w:sz="6" w:space="1"/>
      </w:pBdr>
      <w:tabs>
        <w:tab w:val="center" w:pos="4153"/>
        <w:tab w:val="right" w:pos="8306"/>
      </w:tabs>
      <w:snapToGrid w:val="0"/>
      <w:jc w:val="center"/>
    </w:pPr>
    <w:rPr>
      <w:sz w:val="18"/>
    </w:rPr>
  </w:style>
  <w:style w:type="paragraph" w:styleId="17">
    <w:name w:val="toc 1"/>
    <w:basedOn w:val="1"/>
    <w:next w:val="1"/>
    <w:autoRedefine/>
    <w:qFormat/>
    <w:uiPriority w:val="39"/>
  </w:style>
  <w:style w:type="paragraph" w:styleId="18">
    <w:name w:val="List"/>
    <w:basedOn w:val="1"/>
    <w:autoRedefine/>
    <w:qFormat/>
    <w:uiPriority w:val="0"/>
    <w:pPr>
      <w:widowControl/>
      <w:overflowPunct w:val="0"/>
      <w:autoSpaceDE w:val="0"/>
      <w:autoSpaceDN w:val="0"/>
      <w:adjustRightInd w:val="0"/>
      <w:ind w:left="283" w:hanging="283"/>
      <w:jc w:val="left"/>
      <w:textAlignment w:val="baseline"/>
    </w:pPr>
    <w:rPr>
      <w:kern w:val="0"/>
      <w:sz w:val="20"/>
      <w:szCs w:val="20"/>
      <w:lang w:val="en-GB"/>
    </w:rPr>
  </w:style>
  <w:style w:type="paragraph" w:styleId="19">
    <w:name w:val="footnote text"/>
    <w:basedOn w:val="1"/>
    <w:autoRedefine/>
    <w:qFormat/>
    <w:uiPriority w:val="0"/>
    <w:pPr>
      <w:widowControl w:val="0"/>
      <w:adjustRightInd w:val="0"/>
      <w:spacing w:line="315" w:lineRule="atLeast"/>
      <w:jc w:val="both"/>
      <w:textAlignment w:val="baseline"/>
    </w:pPr>
    <w:rPr>
      <w:rFonts w:ascii="宋体" w:hAnsi="宋体"/>
      <w:sz w:val="18"/>
      <w:szCs w:val="18"/>
    </w:rPr>
  </w:style>
  <w:style w:type="paragraph" w:styleId="20">
    <w:name w:val="Body Text 2"/>
    <w:basedOn w:val="1"/>
    <w:autoRedefine/>
    <w:qFormat/>
    <w:uiPriority w:val="0"/>
    <w:pPr>
      <w:spacing w:after="120" w:line="480" w:lineRule="auto"/>
    </w:pPr>
  </w:style>
  <w:style w:type="paragraph" w:styleId="21">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22">
    <w:name w:val="Normal (Web)"/>
    <w:basedOn w:val="1"/>
    <w:autoRedefine/>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23">
    <w:name w:val="Body Text First Indent"/>
    <w:basedOn w:val="8"/>
    <w:next w:val="13"/>
    <w:qFormat/>
    <w:uiPriority w:val="0"/>
    <w:pPr>
      <w:tabs>
        <w:tab w:val="left" w:pos="1890"/>
      </w:tabs>
      <w:ind w:firstLine="420" w:firstLineChars="100"/>
    </w:pPr>
    <w:rPr>
      <w:rFonts w:ascii="Calibri" w:hAnsi="Calibri" w:eastAsia="宋体" w:cs="Times New Roman"/>
      <w:szCs w:val="24"/>
    </w:rPr>
  </w:style>
  <w:style w:type="table" w:styleId="25">
    <w:name w:val="Table Grid"/>
    <w:basedOn w:val="2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autoRedefine/>
    <w:qFormat/>
    <w:uiPriority w:val="0"/>
    <w:rPr>
      <w:b/>
    </w:rPr>
  </w:style>
  <w:style w:type="paragraph" w:customStyle="1" w:styleId="28">
    <w:name w:val="Default"/>
    <w:autoRedefine/>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29">
    <w:name w:val="正文首行缩进 21"/>
    <w:basedOn w:val="30"/>
    <w:autoRedefine/>
    <w:qFormat/>
    <w:uiPriority w:val="0"/>
    <w:pPr>
      <w:ind w:firstLine="420" w:firstLineChars="200"/>
    </w:pPr>
  </w:style>
  <w:style w:type="paragraph" w:customStyle="1" w:styleId="30">
    <w:name w:val="正文文本缩进1"/>
    <w:basedOn w:val="1"/>
    <w:autoRedefine/>
    <w:qFormat/>
    <w:uiPriority w:val="0"/>
    <w:pPr>
      <w:adjustRightInd w:val="0"/>
      <w:snapToGrid w:val="0"/>
      <w:spacing w:after="120" w:line="360" w:lineRule="auto"/>
      <w:ind w:left="420" w:leftChars="200" w:firstLine="512" w:firstLineChars="200"/>
    </w:pPr>
    <w:rPr>
      <w:kern w:val="0"/>
      <w:sz w:val="28"/>
      <w:szCs w:val="20"/>
    </w:rPr>
  </w:style>
  <w:style w:type="paragraph" w:customStyle="1" w:styleId="31">
    <w:name w:val="BodyText"/>
    <w:basedOn w:val="1"/>
    <w:next w:val="1"/>
    <w:autoRedefine/>
    <w:qFormat/>
    <w:uiPriority w:val="0"/>
    <w:pPr>
      <w:tabs>
        <w:tab w:val="left" w:pos="9214"/>
      </w:tabs>
      <w:spacing w:after="120" w:line="400" w:lineRule="atLeast"/>
      <w:ind w:right="-58" w:firstLine="600"/>
      <w:textAlignment w:val="bottom"/>
    </w:pPr>
    <w:rPr>
      <w:rFonts w:ascii="宋体"/>
      <w:kern w:val="0"/>
      <w:sz w:val="24"/>
      <w:szCs w:val="20"/>
    </w:rPr>
  </w:style>
  <w:style w:type="character" w:customStyle="1" w:styleId="32">
    <w:name w:val="NormalCharacter"/>
    <w:autoRedefine/>
    <w:semiHidden/>
    <w:qFormat/>
    <w:uiPriority w:val="0"/>
  </w:style>
  <w:style w:type="paragraph" w:customStyle="1" w:styleId="33">
    <w:name w:val="1正文"/>
    <w:basedOn w:val="1"/>
    <w:autoRedefine/>
    <w:qFormat/>
    <w:uiPriority w:val="0"/>
    <w:pPr>
      <w:ind w:left="-38"/>
      <w:textAlignment w:val="baseline"/>
    </w:pPr>
    <w:rPr>
      <w:rFonts w:ascii="宋体" w:hAnsi="宋体"/>
      <w:kern w:val="0"/>
      <w:sz w:val="24"/>
      <w:szCs w:val="20"/>
    </w:rPr>
  </w:style>
  <w:style w:type="paragraph" w:customStyle="1" w:styleId="34">
    <w:name w:val="列表_0"/>
    <w:basedOn w:val="35"/>
    <w:autoRedefine/>
    <w:qFormat/>
    <w:uiPriority w:val="0"/>
    <w:pPr>
      <w:spacing w:afterAutospacing="1" w:line="360" w:lineRule="auto"/>
      <w:jc w:val="center"/>
    </w:pPr>
    <w:rPr>
      <w:rFonts w:ascii="宋体" w:hAnsi="宋体"/>
      <w:b/>
      <w:bCs/>
      <w:sz w:val="28"/>
      <w:szCs w:val="28"/>
    </w:rPr>
  </w:style>
  <w:style w:type="paragraph" w:customStyle="1" w:styleId="35">
    <w:name w:val="正文_15_0"/>
    <w:basedOn w:val="36"/>
    <w:next w:val="34"/>
    <w:autoRedefine/>
    <w:qFormat/>
    <w:uiPriority w:val="0"/>
    <w:rPr>
      <w:rFonts w:ascii="Times New Roman" w:hAnsi="Times New Roman"/>
      <w:szCs w:val="21"/>
    </w:rPr>
  </w:style>
  <w:style w:type="paragraph" w:customStyle="1" w:styleId="36">
    <w:name w:val="正文_16"/>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37">
    <w:name w:val="10_0"/>
    <w:basedOn w:val="26"/>
    <w:autoRedefine/>
    <w:qFormat/>
    <w:uiPriority w:val="0"/>
    <w:rPr>
      <w:rFonts w:ascii="Times New Roman" w:hAnsi="Times New Roman" w:eastAsia="宋体" w:cs="Times New Roman"/>
    </w:rPr>
  </w:style>
  <w:style w:type="paragraph" w:customStyle="1" w:styleId="38">
    <w:name w:val="标题 3 + 宋体"/>
    <w:basedOn w:val="3"/>
    <w:autoRedefine/>
    <w:qFormat/>
    <w:uiPriority w:val="0"/>
    <w:pPr>
      <w:spacing w:line="415" w:lineRule="auto"/>
      <w:jc w:val="both"/>
    </w:pPr>
    <w:rPr>
      <w:rFonts w:ascii="宋体" w:hAnsi="宋体" w:cs="Arial"/>
      <w:kern w:val="0"/>
      <w:sz w:val="28"/>
    </w:rPr>
  </w:style>
  <w:style w:type="paragraph" w:customStyle="1" w:styleId="39">
    <w:name w:val="Table Paragraph"/>
    <w:basedOn w:val="1"/>
    <w:autoRedefine/>
    <w:qFormat/>
    <w:uiPriority w:val="1"/>
    <w:pPr>
      <w:jc w:val="center"/>
    </w:pPr>
    <w:rPr>
      <w:rFonts w:ascii="宋体" w:hAnsi="宋体" w:eastAsia="宋体" w:cs="宋体"/>
      <w:lang w:val="zh-CN" w:eastAsia="zh-CN" w:bidi="zh-CN"/>
    </w:rPr>
  </w:style>
  <w:style w:type="paragraph" w:customStyle="1" w:styleId="40">
    <w:name w:val="正文_12"/>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1">
    <w:name w:val="font01"/>
    <w:basedOn w:val="26"/>
    <w:autoRedefine/>
    <w:qFormat/>
    <w:uiPriority w:val="0"/>
    <w:rPr>
      <w:rFonts w:hint="eastAsia" w:ascii="宋体" w:hAnsi="宋体" w:eastAsia="宋体" w:cs="宋体"/>
      <w:color w:val="000000"/>
      <w:sz w:val="22"/>
      <w:szCs w:val="22"/>
      <w:u w:val="none"/>
    </w:rPr>
  </w:style>
  <w:style w:type="character" w:customStyle="1" w:styleId="42">
    <w:name w:val="font41"/>
    <w:basedOn w:val="26"/>
    <w:autoRedefine/>
    <w:qFormat/>
    <w:uiPriority w:val="0"/>
    <w:rPr>
      <w:rFonts w:ascii="Tahoma" w:hAnsi="Tahoma" w:eastAsia="Tahoma" w:cs="Tahoma"/>
      <w:color w:val="808080"/>
      <w:sz w:val="24"/>
      <w:szCs w:val="24"/>
      <w:u w:val="none"/>
    </w:rPr>
  </w:style>
  <w:style w:type="character" w:customStyle="1" w:styleId="43">
    <w:name w:val="font21"/>
    <w:basedOn w:val="26"/>
    <w:autoRedefine/>
    <w:qFormat/>
    <w:uiPriority w:val="0"/>
    <w:rPr>
      <w:rFonts w:hint="eastAsia" w:ascii="宋体" w:hAnsi="宋体" w:eastAsia="宋体" w:cs="宋体"/>
      <w:color w:val="666666"/>
      <w:sz w:val="24"/>
      <w:szCs w:val="24"/>
      <w:u w:val="none"/>
    </w:rPr>
  </w:style>
  <w:style w:type="character" w:customStyle="1" w:styleId="44">
    <w:name w:val="font51"/>
    <w:basedOn w:val="26"/>
    <w:autoRedefine/>
    <w:qFormat/>
    <w:uiPriority w:val="0"/>
    <w:rPr>
      <w:rFonts w:hint="eastAsia" w:ascii="宋体" w:hAnsi="宋体" w:eastAsia="宋体" w:cs="宋体"/>
      <w:color w:val="808080"/>
      <w:sz w:val="24"/>
      <w:szCs w:val="24"/>
      <w:u w:val="none"/>
    </w:rPr>
  </w:style>
  <w:style w:type="paragraph" w:customStyle="1" w:styleId="45">
    <w:name w:val="UserStyle_0"/>
    <w:basedOn w:val="31"/>
    <w:autoRedefine/>
    <w:qFormat/>
    <w:uiPriority w:val="0"/>
    <w:pPr>
      <w:spacing w:after="120" w:line="480" w:lineRule="exact"/>
      <w:ind w:firstLine="1041" w:firstLineChars="200"/>
      <w:jc w:val="both"/>
      <w:textAlignment w:val="baseline"/>
    </w:pPr>
    <w:rPr>
      <w:rFonts w:ascii="Times New Roman" w:hAnsi="Times New Roman" w:eastAsia="方正仿宋_GBK"/>
      <w:kern w:val="2"/>
      <w:sz w:val="32"/>
      <w:szCs w:val="20"/>
      <w:lang w:val="en-US" w:eastAsia="zh-CN" w:bidi="ar-SA"/>
    </w:rPr>
  </w:style>
  <w:style w:type="paragraph" w:customStyle="1" w:styleId="46">
    <w:name w:val="zhang"/>
    <w:basedOn w:val="1"/>
    <w:autoRedefine/>
    <w:qFormat/>
    <w:uiPriority w:val="0"/>
    <w:pPr>
      <w:widowControl/>
      <w:spacing w:before="100" w:beforeAutospacing="1" w:after="100" w:afterAutospacing="1"/>
      <w:jc w:val="left"/>
    </w:pPr>
    <w:rPr>
      <w:rFonts w:ascii="宋体" w:hAnsi="宋体" w:cs="宋体"/>
      <w:b/>
      <w:bCs/>
      <w:smallCaps/>
      <w:color w:val="000000"/>
      <w:kern w:val="0"/>
      <w:sz w:val="20"/>
      <w:szCs w:val="20"/>
    </w:rPr>
  </w:style>
  <w:style w:type="paragraph" w:customStyle="1" w:styleId="47">
    <w:name w:val="正文_0"/>
    <w:autoRedefine/>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customStyle="1" w:styleId="48">
    <w:name w:val="样式 首行缩进:  2 字符"/>
    <w:basedOn w:val="1"/>
    <w:qFormat/>
    <w:uiPriority w:val="0"/>
    <w:pPr>
      <w:spacing w:line="400" w:lineRule="exact"/>
      <w:ind w:firstLine="200" w:firstLineChars="200"/>
    </w:pPr>
    <w:rPr>
      <w:rFonts w:cs="宋体"/>
      <w:sz w:val="24"/>
      <w:szCs w:val="24"/>
    </w:rPr>
  </w:style>
  <w:style w:type="paragraph" w:customStyle="1" w:styleId="49">
    <w:name w:val="正文缩进1"/>
    <w:basedOn w:val="1"/>
    <w:qFormat/>
    <w:uiPriority w:val="0"/>
    <w:pPr>
      <w:autoSpaceDE w:val="0"/>
      <w:autoSpaceDN w:val="0"/>
      <w:adjustRightInd w:val="0"/>
      <w:ind w:firstLine="420"/>
      <w:jc w:val="left"/>
    </w:pPr>
    <w:rPr>
      <w:rFonts w:ascii="宋体" w:hAnsi="Calibri" w:eastAsia="宋体" w:cs="Times New Roman"/>
      <w:sz w:val="24"/>
      <w:szCs w:val="22"/>
    </w:rPr>
  </w:style>
  <w:style w:type="character" w:customStyle="1" w:styleId="50">
    <w:name w:val="标题 3 字符"/>
    <w:basedOn w:val="26"/>
    <w:link w:val="4"/>
    <w:qFormat/>
    <w:uiPriority w:val="0"/>
    <w:rPr>
      <w:b/>
      <w:bCs/>
      <w:sz w:val="32"/>
      <w:szCs w:val="32"/>
    </w:rPr>
  </w:style>
  <w:style w:type="table" w:customStyle="1" w:styleId="51">
    <w:name w:val="Table Normal"/>
    <w:autoRedefine/>
    <w:semiHidden/>
    <w:unhideWhenUsed/>
    <w:qFormat/>
    <w:uiPriority w:val="0"/>
    <w:tblPr>
      <w:tblCellMar>
        <w:top w:w="0" w:type="dxa"/>
        <w:left w:w="0" w:type="dxa"/>
        <w:bottom w:w="0" w:type="dxa"/>
        <w:right w:w="0" w:type="dxa"/>
      </w:tblCellMar>
    </w:tblPr>
  </w:style>
  <w:style w:type="paragraph" w:customStyle="1" w:styleId="5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3">
    <w:name w:val="列出段落1"/>
    <w:basedOn w:val="1"/>
    <w:qFormat/>
    <w:uiPriority w:val="0"/>
    <w:pPr>
      <w:ind w:firstLine="420" w:firstLineChars="200"/>
    </w:pPr>
    <w:rPr>
      <w:szCs w:val="21"/>
    </w:rPr>
  </w:style>
  <w:style w:type="character" w:customStyle="1" w:styleId="54">
    <w:name w:val="font61"/>
    <w:basedOn w:val="26"/>
    <w:qFormat/>
    <w:uiPriority w:val="0"/>
    <w:rPr>
      <w:rFonts w:ascii="微软雅黑" w:hAnsi="微软雅黑" w:eastAsia="微软雅黑" w:cs="微软雅黑"/>
      <w:color w:val="000000"/>
      <w:sz w:val="20"/>
      <w:szCs w:val="20"/>
      <w:u w:val="none"/>
    </w:rPr>
  </w:style>
  <w:style w:type="character" w:customStyle="1" w:styleId="55">
    <w:name w:val="font31"/>
    <w:basedOn w:val="26"/>
    <w:qFormat/>
    <w:uiPriority w:val="0"/>
    <w:rPr>
      <w:rFonts w:hint="eastAsia" w:ascii="宋体" w:hAnsi="宋体" w:eastAsia="宋体" w:cs="宋体"/>
      <w:b/>
      <w:bCs/>
      <w:color w:val="000000"/>
      <w:sz w:val="22"/>
      <w:szCs w:val="22"/>
      <w:u w:val="none"/>
    </w:rPr>
  </w:style>
  <w:style w:type="paragraph" w:customStyle="1" w:styleId="56">
    <w:name w:val="其他"/>
    <w:basedOn w:val="1"/>
    <w:autoRedefine/>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57">
    <w:name w:val="正文式样"/>
    <w:basedOn w:val="6"/>
    <w:qFormat/>
    <w:uiPriority w:val="0"/>
    <w:pPr>
      <w:ind w:firstLine="601" w:firstLineChars="0"/>
    </w:pPr>
    <w:rPr>
      <w:sz w:val="28"/>
      <w:szCs w:val="20"/>
    </w:rPr>
  </w:style>
  <w:style w:type="paragraph" w:customStyle="1" w:styleId="58">
    <w:name w:val="样式1"/>
    <w:basedOn w:val="1"/>
    <w:qFormat/>
    <w:uiPriority w:val="0"/>
  </w:style>
  <w:style w:type="paragraph" w:customStyle="1" w:styleId="59">
    <w:name w:val="Table Text"/>
    <w:basedOn w:val="1"/>
    <w:semiHidden/>
    <w:qFormat/>
    <w:uiPriority w:val="0"/>
    <w:rPr>
      <w:rFonts w:ascii="宋体" w:hAnsi="宋体" w:eastAsia="宋体" w:cs="宋体"/>
      <w:sz w:val="23"/>
      <w:szCs w:val="23"/>
    </w:rPr>
  </w:style>
  <w:style w:type="character" w:customStyle="1" w:styleId="60">
    <w:name w:val="font91"/>
    <w:basedOn w:val="26"/>
    <w:qFormat/>
    <w:uiPriority w:val="0"/>
    <w:rPr>
      <w:rFonts w:ascii="黑体" w:hAnsi="宋体" w:eastAsia="黑体" w:cs="黑体"/>
      <w:color w:val="000000"/>
      <w:sz w:val="22"/>
      <w:szCs w:val="22"/>
      <w:u w:val="none"/>
    </w:rPr>
  </w:style>
  <w:style w:type="character" w:customStyle="1" w:styleId="61">
    <w:name w:val="font81"/>
    <w:basedOn w:val="26"/>
    <w:qFormat/>
    <w:uiPriority w:val="0"/>
    <w:rPr>
      <w:rFonts w:hint="eastAsia" w:ascii="宋体" w:hAnsi="宋体" w:eastAsia="宋体" w:cs="宋体"/>
      <w:color w:val="000000"/>
      <w:sz w:val="20"/>
      <w:szCs w:val="20"/>
      <w:u w:val="none"/>
    </w:rPr>
  </w:style>
  <w:style w:type="character" w:customStyle="1" w:styleId="62">
    <w:name w:val="font71"/>
    <w:basedOn w:val="26"/>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3" Type="http://schemas.microsoft.com/office/2011/relationships/people" Target="people.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png"/><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73</Pages>
  <Words>24367</Words>
  <Characters>26225</Characters>
  <Lines>0</Lines>
  <Paragraphs>0</Paragraphs>
  <TotalTime>0</TotalTime>
  <ScaleCrop>false</ScaleCrop>
  <LinksUpToDate>false</LinksUpToDate>
  <CharactersWithSpaces>26828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2021-12-16T04:49:00Z</dcterms:created>
  <dc:creator>哈呆</dc:creator>
  <cp:lastModifiedBy>王燕燕</cp:lastModifiedBy>
  <cp:lastPrinted>2024-05-29T11:05:00Z</cp:lastPrinted>
  <dcterms:modified xsi:type="dcterms:W3CDTF">2025-04-03T10:12:57Z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8B70E2EA533B4CE6A899116F28AB667A_13</vt:lpwstr>
  </property>
  <property fmtid="{D5CDD505-2E9C-101B-9397-08002B2CF9AE}" pid="4" name="KSOTemplateDocerSaveRecord">
    <vt:lpwstr>eyJoZGlkIjoiMGU2YzVjNzEyNTNmZTc5MTBmNTU0MzdiNTA5NzNlM2IiLCJ1c2VySWQiOiIzNjk4NzMzNjQifQ==</vt:lpwstr>
  </property>
</Properties>
</file>