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61121">
      <w:pPr>
        <w:pStyle w:val="14"/>
        <w:spacing w:line="720" w:lineRule="exact"/>
        <w:ind w:firstLine="0" w:firstLineChars="0"/>
        <w:jc w:val="left"/>
        <w:rPr>
          <w:rFonts w:hint="eastAsia" w:asciiTheme="minorEastAsia" w:hAnsiTheme="minorEastAsia" w:eastAsiaTheme="minorEastAsia" w:cstheme="minorEastAsia"/>
          <w:b/>
          <w:color w:val="000000" w:themeColor="text1"/>
          <w:sz w:val="32"/>
          <w:highlight w:val="yellow"/>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项目编号：PSXZC202</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005</w:t>
      </w:r>
      <w:r>
        <w:rPr>
          <w:rFonts w:hint="eastAsia" w:asciiTheme="minorEastAsia" w:hAnsiTheme="minorEastAsia" w:eastAsiaTheme="minorEastAsia" w:cstheme="minorEastAsia"/>
          <w:b/>
          <w:color w:val="000000" w:themeColor="text1"/>
          <w:sz w:val="30"/>
          <w:szCs w:val="30"/>
          <w14:textFill>
            <w14:solidFill>
              <w14:schemeClr w14:val="tx1"/>
            </w14:solidFill>
          </w14:textFill>
        </w:rPr>
        <w:t>号</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-2</w:t>
      </w:r>
    </w:p>
    <w:p w14:paraId="51CA55F4">
      <w:pPr>
        <w:pStyle w:val="36"/>
        <w:numPr>
          <w:ilvl w:val="0"/>
          <w:numId w:val="0"/>
        </w:numPr>
        <w:rPr>
          <w:rFonts w:hint="eastAsia" w:asciiTheme="minorEastAsia" w:hAnsiTheme="minorEastAsia" w:eastAsiaTheme="minorEastAsia" w:cstheme="minorEastAsia"/>
          <w:b/>
          <w:sz w:val="30"/>
          <w:szCs w:val="30"/>
        </w:rPr>
      </w:pPr>
    </w:p>
    <w:p w14:paraId="5B3ADC6B">
      <w:pPr>
        <w:pStyle w:val="7"/>
        <w:numPr>
          <w:ilvl w:val="3"/>
          <w:numId w:val="0"/>
        </w:numPr>
        <w:ind w:left="1260"/>
        <w:rPr>
          <w:rFonts w:hint="eastAsia" w:asciiTheme="minorEastAsia" w:hAnsiTheme="minorEastAsia" w:eastAsiaTheme="minorEastAsia" w:cstheme="minorEastAsia"/>
        </w:rPr>
      </w:pPr>
    </w:p>
    <w:p w14:paraId="46BA8522">
      <w:pPr>
        <w:tabs>
          <w:tab w:val="left" w:pos="1134"/>
          <w:tab w:val="left" w:pos="5481"/>
          <w:tab w:val="left" w:pos="5859"/>
        </w:tabs>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lang w:val="en-US" w:eastAsia="zh-CN"/>
        </w:rPr>
        <w:t>皮山县民政局2025年养老福利机构集中供养人员照料护理购买服务项目</w:t>
      </w:r>
    </w:p>
    <w:p w14:paraId="066CB4B3">
      <w:pPr>
        <w:tabs>
          <w:tab w:val="left" w:pos="1134"/>
          <w:tab w:val="left" w:pos="5481"/>
          <w:tab w:val="left" w:pos="5859"/>
        </w:tabs>
        <w:jc w:val="center"/>
        <w:rPr>
          <w:rFonts w:hint="eastAsia" w:asciiTheme="minorEastAsia" w:hAnsiTheme="minorEastAsia" w:eastAsiaTheme="minorEastAsia" w:cstheme="minorEastAsia"/>
          <w:b/>
          <w:bCs/>
          <w:sz w:val="72"/>
          <w:szCs w:val="72"/>
        </w:rPr>
      </w:pPr>
    </w:p>
    <w:p w14:paraId="659C367B">
      <w:pPr>
        <w:tabs>
          <w:tab w:val="left" w:pos="1134"/>
          <w:tab w:val="left" w:pos="5481"/>
          <w:tab w:val="left" w:pos="5859"/>
        </w:tabs>
        <w:jc w:val="center"/>
        <w:rPr>
          <w:rFonts w:hint="eastAsia" w:asciiTheme="minorEastAsia" w:hAnsiTheme="minorEastAsia" w:eastAsiaTheme="minorEastAsia" w:cstheme="minorEastAsia"/>
          <w:b/>
          <w:bCs/>
          <w:sz w:val="72"/>
          <w:szCs w:val="72"/>
        </w:rPr>
      </w:pPr>
    </w:p>
    <w:p w14:paraId="6D03B17A">
      <w:pPr>
        <w:rPr>
          <w:rFonts w:hint="eastAsia" w:asciiTheme="minorEastAsia" w:hAnsiTheme="minorEastAsia" w:eastAsiaTheme="minorEastAsia" w:cstheme="minorEastAsia"/>
        </w:rPr>
      </w:pPr>
    </w:p>
    <w:p w14:paraId="5E564E0E">
      <w:pPr>
        <w:tabs>
          <w:tab w:val="left" w:pos="1134"/>
          <w:tab w:val="left" w:pos="5481"/>
          <w:tab w:val="left" w:pos="5859"/>
        </w:tabs>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招 标 文 件</w:t>
      </w:r>
    </w:p>
    <w:p w14:paraId="028599B0">
      <w:pPr>
        <w:tabs>
          <w:tab w:val="left" w:pos="1134"/>
          <w:tab w:val="left" w:pos="5481"/>
          <w:tab w:val="left" w:pos="5859"/>
        </w:tabs>
        <w:jc w:val="center"/>
        <w:rPr>
          <w:rFonts w:hint="eastAsia" w:asciiTheme="minorEastAsia" w:hAnsiTheme="minorEastAsia" w:eastAsiaTheme="minorEastAsia" w:cstheme="minorEastAsia"/>
          <w:sz w:val="72"/>
          <w:szCs w:val="72"/>
        </w:rPr>
      </w:pPr>
    </w:p>
    <w:p w14:paraId="592468A8">
      <w:pPr>
        <w:tabs>
          <w:tab w:val="left" w:pos="1134"/>
          <w:tab w:val="left" w:pos="5481"/>
          <w:tab w:val="left" w:pos="5859"/>
        </w:tabs>
        <w:jc w:val="center"/>
        <w:rPr>
          <w:rFonts w:hint="eastAsia" w:asciiTheme="minorEastAsia" w:hAnsiTheme="minorEastAsia" w:eastAsiaTheme="minorEastAsia" w:cstheme="minorEastAsia"/>
          <w:b/>
          <w:sz w:val="36"/>
          <w:szCs w:val="36"/>
        </w:rPr>
      </w:pPr>
    </w:p>
    <w:p w14:paraId="2D88E54C">
      <w:pPr>
        <w:tabs>
          <w:tab w:val="left" w:pos="1134"/>
          <w:tab w:val="left" w:pos="5481"/>
          <w:tab w:val="left" w:pos="5859"/>
        </w:tabs>
        <w:jc w:val="both"/>
        <w:rPr>
          <w:rFonts w:hint="eastAsia" w:asciiTheme="minorEastAsia" w:hAnsiTheme="minorEastAsia" w:eastAsiaTheme="minorEastAsia" w:cstheme="minorEastAsia"/>
          <w:b/>
          <w:sz w:val="32"/>
        </w:rPr>
      </w:pPr>
    </w:p>
    <w:p w14:paraId="6F4CD706">
      <w:pPr>
        <w:pStyle w:val="14"/>
        <w:spacing w:line="720" w:lineRule="exact"/>
        <w:ind w:firstLine="0" w:firstLineChars="0"/>
        <w:rPr>
          <w:rFonts w:hint="eastAsia" w:asciiTheme="minorEastAsia" w:hAnsiTheme="minorEastAsia" w:eastAsiaTheme="minorEastAsia" w:cstheme="minorEastAsia"/>
          <w:b/>
          <w:sz w:val="32"/>
        </w:rPr>
      </w:pPr>
    </w:p>
    <w:p w14:paraId="7D21099E">
      <w:pPr>
        <w:pStyle w:val="14"/>
        <w:spacing w:line="720" w:lineRule="exact"/>
        <w:ind w:firstLine="0" w:firstLineChars="0"/>
        <w:jc w:val="center"/>
        <w:rPr>
          <w:rFonts w:hint="eastAsia" w:asciiTheme="minorEastAsia" w:hAnsiTheme="minorEastAsia" w:eastAsiaTheme="minorEastAsia" w:cstheme="minorEastAsia"/>
          <w:b/>
          <w:sz w:val="32"/>
          <w:szCs w:val="22"/>
          <w:lang w:eastAsia="zh-CN"/>
        </w:rPr>
      </w:pPr>
      <w:r>
        <w:rPr>
          <w:rFonts w:hint="eastAsia" w:asciiTheme="minorEastAsia" w:hAnsiTheme="minorEastAsia" w:eastAsiaTheme="minorEastAsia" w:cstheme="minorEastAsia"/>
          <w:b/>
          <w:sz w:val="32"/>
          <w:szCs w:val="22"/>
          <w:lang w:val="en-US" w:eastAsia="zh-CN"/>
        </w:rPr>
        <w:t>采购人</w:t>
      </w:r>
      <w:r>
        <w:rPr>
          <w:rFonts w:hint="eastAsia" w:asciiTheme="minorEastAsia" w:hAnsiTheme="minorEastAsia" w:eastAsiaTheme="minorEastAsia" w:cstheme="minorEastAsia"/>
          <w:b/>
          <w:sz w:val="32"/>
          <w:szCs w:val="22"/>
        </w:rPr>
        <w:t>：</w:t>
      </w:r>
      <w:r>
        <w:rPr>
          <w:rFonts w:hint="eastAsia" w:asciiTheme="minorEastAsia" w:hAnsiTheme="minorEastAsia" w:eastAsiaTheme="minorEastAsia" w:cstheme="minorEastAsia"/>
          <w:b/>
          <w:sz w:val="32"/>
          <w:szCs w:val="22"/>
          <w:lang w:eastAsia="zh-CN"/>
        </w:rPr>
        <w:t>皮山县民政局</w:t>
      </w:r>
    </w:p>
    <w:p w14:paraId="6B67BDD7">
      <w:pPr>
        <w:pStyle w:val="14"/>
        <w:spacing w:line="720" w:lineRule="exact"/>
        <w:ind w:firstLine="0" w:firstLineChars="0"/>
        <w:jc w:val="center"/>
        <w:rPr>
          <w:rFonts w:hint="eastAsia" w:asciiTheme="minorEastAsia" w:hAnsiTheme="minorEastAsia" w:eastAsiaTheme="minorEastAsia" w:cstheme="minorEastAsia"/>
          <w:b/>
          <w:sz w:val="32"/>
          <w:u w:val="single"/>
        </w:rPr>
      </w:pPr>
      <w:r>
        <w:rPr>
          <w:rFonts w:hint="eastAsia" w:asciiTheme="minorEastAsia" w:hAnsiTheme="minorEastAsia" w:eastAsiaTheme="minorEastAsia" w:cstheme="minorEastAsia"/>
          <w:b/>
          <w:sz w:val="32"/>
        </w:rPr>
        <w:t>代理机构：和田锦荣工程项目管理有限公司</w:t>
      </w:r>
    </w:p>
    <w:p w14:paraId="6902B2E6">
      <w:pPr>
        <w:pStyle w:val="14"/>
        <w:spacing w:line="720" w:lineRule="exact"/>
        <w:ind w:firstLine="0" w:firstLineChars="0"/>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2"/>
        </w:rPr>
        <w:t>日期：</w:t>
      </w:r>
      <w:r>
        <w:rPr>
          <w:rFonts w:hint="eastAsia" w:asciiTheme="minorEastAsia" w:hAnsiTheme="minorEastAsia" w:eastAsiaTheme="minorEastAsia" w:cstheme="minorEastAsia"/>
          <w:b/>
          <w:sz w:val="32"/>
          <w:lang w:val="en-US" w:eastAsia="zh-CN"/>
        </w:rPr>
        <w:t>2025</w:t>
      </w:r>
      <w:r>
        <w:rPr>
          <w:rFonts w:hint="eastAsia" w:asciiTheme="minorEastAsia" w:hAnsiTheme="minorEastAsia" w:eastAsiaTheme="minorEastAsia" w:cstheme="minorEastAsia"/>
          <w:b/>
          <w:sz w:val="32"/>
        </w:rPr>
        <w:t>年0</w:t>
      </w:r>
      <w:r>
        <w:rPr>
          <w:rFonts w:hint="eastAsia" w:asciiTheme="minorEastAsia" w:hAnsiTheme="minorEastAsia" w:eastAsiaTheme="minorEastAsia" w:cstheme="minorEastAsia"/>
          <w:b/>
          <w:sz w:val="32"/>
          <w:lang w:val="en-US" w:eastAsia="zh-CN"/>
        </w:rPr>
        <w:t>2</w:t>
      </w:r>
      <w:r>
        <w:rPr>
          <w:rFonts w:hint="eastAsia" w:asciiTheme="minorEastAsia" w:hAnsiTheme="minorEastAsia" w:eastAsiaTheme="minorEastAsia" w:cstheme="minorEastAsia"/>
          <w:b/>
          <w:sz w:val="32"/>
        </w:rPr>
        <w:t>月</w:t>
      </w:r>
    </w:p>
    <w:p w14:paraId="1541F358">
      <w:pPr>
        <w:spacing w:line="360" w:lineRule="auto"/>
        <w:rPr>
          <w:rFonts w:hint="eastAsia" w:asciiTheme="minorEastAsia" w:hAnsiTheme="minorEastAsia" w:eastAsiaTheme="minorEastAsia" w:cstheme="minorEastAsia"/>
        </w:rPr>
      </w:pPr>
    </w:p>
    <w:p w14:paraId="5CE38CFA">
      <w:pPr>
        <w:ind w:left="1077" w:leftChars="513"/>
        <w:rPr>
          <w:rFonts w:hint="eastAsia" w:asciiTheme="minorEastAsia" w:hAnsiTheme="minorEastAsia" w:eastAsiaTheme="minorEastAsia" w:cstheme="minorEastAsia"/>
          <w:sz w:val="32"/>
          <w:szCs w:val="32"/>
        </w:rPr>
      </w:pPr>
    </w:p>
    <w:p w14:paraId="4F359C6D">
      <w:pPr>
        <w:rPr>
          <w:rFonts w:hint="eastAsia" w:asciiTheme="minorEastAsia" w:hAnsiTheme="minorEastAsia" w:eastAsiaTheme="minorEastAsia" w:cstheme="minorEastAsia"/>
          <w:sz w:val="48"/>
          <w:szCs w:val="48"/>
        </w:rPr>
      </w:pPr>
    </w:p>
    <w:p w14:paraId="722A13C1">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48"/>
          <w:szCs w:val="48"/>
        </w:rPr>
        <w:t>招标文件</w:t>
      </w:r>
    </w:p>
    <w:p w14:paraId="586875FC">
      <w:pPr>
        <w:ind w:left="-141" w:leftChars="-95" w:hanging="58" w:hangingChars="21"/>
        <w:jc w:val="left"/>
        <w:rPr>
          <w:rFonts w:hint="eastAsia" w:asciiTheme="minorEastAsia" w:hAnsiTheme="minorEastAsia" w:eastAsiaTheme="minorEastAsia" w:cstheme="minorEastAsia"/>
          <w:bCs/>
          <w:sz w:val="28"/>
          <w:szCs w:val="28"/>
        </w:rPr>
      </w:pPr>
    </w:p>
    <w:p w14:paraId="1CFF4F59">
      <w:pPr>
        <w:pStyle w:val="29"/>
        <w:ind w:left="1747" w:firstLine="540"/>
        <w:rPr>
          <w:rFonts w:hint="eastAsia" w:asciiTheme="minorEastAsia" w:hAnsiTheme="minorEastAsia" w:eastAsiaTheme="minorEastAsia" w:cstheme="minorEastAsia"/>
        </w:rPr>
      </w:pPr>
    </w:p>
    <w:p w14:paraId="3C8235B3">
      <w:pPr>
        <w:snapToGrid w:val="0"/>
        <w:spacing w:line="800" w:lineRule="exact"/>
        <w:ind w:left="1366" w:leftChars="-95" w:hanging="1565" w:hangingChars="559"/>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lang w:eastAsia="zh-CN"/>
        </w:rPr>
        <w:t>皮山县民政局2025年养老福利机构集中供养人员照料护理购买服务项目</w:t>
      </w:r>
    </w:p>
    <w:p w14:paraId="661366B4">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联系人： </w:t>
      </w:r>
      <w:r>
        <w:rPr>
          <w:rFonts w:hint="eastAsia" w:asciiTheme="minorEastAsia" w:hAnsiTheme="minorEastAsia" w:eastAsiaTheme="minorEastAsia" w:cstheme="minorEastAsia"/>
          <w:bCs/>
          <w:sz w:val="28"/>
          <w:szCs w:val="28"/>
          <w:lang w:val="zh-CN"/>
        </w:rPr>
        <w:t xml:space="preserve">艾科热木江·阿卜来提  </w:t>
      </w:r>
    </w:p>
    <w:p w14:paraId="7839BA15">
      <w:pPr>
        <w:snapToGrid w:val="0"/>
        <w:spacing w:line="800" w:lineRule="exact"/>
        <w:ind w:left="-26" w:leftChars="-95" w:hanging="173" w:hangingChars="62"/>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sz w:val="28"/>
          <w:szCs w:val="28"/>
        </w:rPr>
        <w:t>联系电话：</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0903</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6422474</w:t>
      </w:r>
    </w:p>
    <w:p w14:paraId="02B2D433">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地址：皮山县社会福利园区</w:t>
      </w:r>
    </w:p>
    <w:p w14:paraId="3ACDBFE3">
      <w:pPr>
        <w:autoSpaceDE w:val="0"/>
        <w:autoSpaceDN w:val="0"/>
        <w:adjustRightInd w:val="0"/>
        <w:spacing w:line="8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30"/>
          <w:szCs w:val="30"/>
        </w:rPr>
        <w:t>-------------------------------------------------------</w:t>
      </w:r>
    </w:p>
    <w:p w14:paraId="1D8FE98E">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招标代理机构（盖章）:和田锦荣工程项目管理有限公司</w:t>
      </w:r>
    </w:p>
    <w:p w14:paraId="015FD613">
      <w:pPr>
        <w:pStyle w:val="9"/>
        <w:rPr>
          <w:rFonts w:hint="eastAsia" w:asciiTheme="minorEastAsia" w:hAnsiTheme="minorEastAsia" w:eastAsiaTheme="minorEastAsia" w:cstheme="minorEastAsia"/>
        </w:rPr>
      </w:pPr>
    </w:p>
    <w:p w14:paraId="180654F8">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项目负责人：王慧珍</w:t>
      </w:r>
    </w:p>
    <w:p w14:paraId="015F7D2D">
      <w:pPr>
        <w:pStyle w:val="9"/>
        <w:rPr>
          <w:rFonts w:hint="eastAsia" w:asciiTheme="minorEastAsia" w:hAnsiTheme="minorEastAsia" w:eastAsiaTheme="minorEastAsia" w:cstheme="minorEastAsia"/>
        </w:rPr>
      </w:pPr>
    </w:p>
    <w:p w14:paraId="015958F7">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电话：0903-2515565</w:t>
      </w:r>
    </w:p>
    <w:p w14:paraId="1F75BA51">
      <w:pPr>
        <w:snapToGrid w:val="0"/>
        <w:spacing w:line="800" w:lineRule="exact"/>
        <w:ind w:left="-26" w:leftChars="-95" w:hanging="173" w:hangingChars="62"/>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详细地址：新疆和田地区和田市古勒巴格街道凯旋路57号川亿凯旋公馆B区19栋</w:t>
      </w:r>
    </w:p>
    <w:p w14:paraId="49D3BA71">
      <w:pPr>
        <w:pStyle w:val="6"/>
        <w:rPr>
          <w:rFonts w:hint="eastAsia" w:asciiTheme="minorEastAsia" w:hAnsiTheme="minorEastAsia" w:eastAsiaTheme="minorEastAsia" w:cstheme="minorEastAsia"/>
        </w:rPr>
      </w:pPr>
    </w:p>
    <w:p w14:paraId="7471E9D5">
      <w:pPr>
        <w:rPr>
          <w:rFonts w:hint="eastAsia" w:asciiTheme="minorEastAsia" w:hAnsiTheme="minorEastAsia" w:eastAsiaTheme="minorEastAsia" w:cstheme="minorEastAsia"/>
        </w:rPr>
      </w:pPr>
    </w:p>
    <w:p w14:paraId="002667B1">
      <w:pPr>
        <w:rPr>
          <w:rFonts w:hint="eastAsia" w:asciiTheme="minorEastAsia" w:hAnsiTheme="minorEastAsia" w:eastAsiaTheme="minorEastAsia" w:cstheme="minorEastAsia"/>
        </w:rPr>
      </w:pPr>
    </w:p>
    <w:p w14:paraId="184EE1B6">
      <w:pPr>
        <w:rPr>
          <w:rFonts w:hint="eastAsia" w:asciiTheme="minorEastAsia" w:hAnsiTheme="minorEastAsia" w:eastAsiaTheme="minorEastAsia" w:cstheme="minorEastAsia"/>
        </w:rPr>
      </w:pPr>
    </w:p>
    <w:p w14:paraId="555DE17E">
      <w:pPr>
        <w:rPr>
          <w:rFonts w:hint="eastAsia" w:asciiTheme="minorEastAsia" w:hAnsiTheme="minorEastAsia" w:eastAsiaTheme="minorEastAsia" w:cstheme="minorEastAsia"/>
        </w:rPr>
      </w:pPr>
    </w:p>
    <w:p w14:paraId="6AFDF62E">
      <w:pPr>
        <w:autoSpaceDE w:val="0"/>
        <w:autoSpaceDN w:val="0"/>
        <w:adjustRightInd w:val="0"/>
        <w:spacing w:line="600" w:lineRule="auto"/>
        <w:jc w:val="center"/>
        <w:rPr>
          <w:rFonts w:hint="eastAsia"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目  录</w:t>
      </w:r>
    </w:p>
    <w:p w14:paraId="079D3E9F">
      <w:pPr>
        <w:pStyle w:val="20"/>
        <w:tabs>
          <w:tab w:val="right" w:leader="dot" w:pos="9240"/>
        </w:tabs>
        <w:spacing w:line="7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"1-9" \f \h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"_Toc31121"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24"/>
        </w:rPr>
        <w:t>第一部分   招标公告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p>
    <w:p w14:paraId="06976C57">
      <w:pPr>
        <w:pStyle w:val="20"/>
        <w:tabs>
          <w:tab w:val="right" w:leader="dot" w:pos="9240"/>
        </w:tabs>
        <w:spacing w:line="7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"_Toc25035"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第二部分   投标人须知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p>
    <w:p w14:paraId="4BCAE5B2">
      <w:pPr>
        <w:pStyle w:val="20"/>
        <w:tabs>
          <w:tab w:val="right" w:leader="dot" w:pos="9240"/>
        </w:tabs>
        <w:spacing w:line="7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"_Toc10179"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投标人须知前附表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p>
    <w:p w14:paraId="722AD539">
      <w:pPr>
        <w:pStyle w:val="24"/>
        <w:tabs>
          <w:tab w:val="right" w:leader="dot" w:pos="9240"/>
        </w:tabs>
        <w:spacing w:line="720" w:lineRule="exact"/>
        <w:ind w:left="0" w:lef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第一章 总则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rPr>
        <w:fldChar w:fldCharType="end"/>
      </w:r>
    </w:p>
    <w:p w14:paraId="7102882B">
      <w:pPr>
        <w:pStyle w:val="24"/>
        <w:tabs>
          <w:tab w:val="right" w:leader="dot" w:pos="9240"/>
        </w:tabs>
        <w:spacing w:line="720" w:lineRule="exact"/>
        <w:ind w:left="0" w:lef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第二章 采购需求、技术参数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6</w:t>
      </w:r>
    </w:p>
    <w:p w14:paraId="125CC267">
      <w:pPr>
        <w:pStyle w:val="20"/>
        <w:tabs>
          <w:tab w:val="right" w:leader="dot" w:pos="9240"/>
        </w:tabs>
        <w:spacing w:line="7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"_Toc13536"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24"/>
        </w:rPr>
        <w:t>第三部 采购合同范本（仅供参考）</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9</w:t>
      </w:r>
    </w:p>
    <w:p w14:paraId="17331F9D">
      <w:pPr>
        <w:pStyle w:val="20"/>
        <w:tabs>
          <w:tab w:val="right" w:leader="dot" w:pos="9240"/>
        </w:tabs>
        <w:spacing w:line="72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第四章 投标文件内容及格式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3</w:t>
      </w:r>
    </w:p>
    <w:p w14:paraId="0AA48CFD">
      <w:pPr>
        <w:pStyle w:val="20"/>
        <w:tabs>
          <w:tab w:val="right" w:leader="dot" w:pos="9240"/>
        </w:tabs>
        <w:spacing w:line="72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第五章 评标办法及标准</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5</w:t>
      </w:r>
    </w:p>
    <w:p w14:paraId="651C10C0">
      <w:pPr>
        <w:jc w:val="left"/>
        <w:rPr>
          <w:rFonts w:hint="eastAsia" w:asciiTheme="minorEastAsia" w:hAnsiTheme="minorEastAsia" w:eastAsiaTheme="minorEastAsia" w:cstheme="minorEastAsia"/>
        </w:rPr>
      </w:pPr>
    </w:p>
    <w:p w14:paraId="02BE6043">
      <w:pPr>
        <w:pStyle w:val="13"/>
        <w:rPr>
          <w:rFonts w:hint="eastAsia" w:asciiTheme="minorEastAsia" w:hAnsiTheme="minorEastAsia" w:eastAsiaTheme="minorEastAsia" w:cstheme="minorEastAsia"/>
        </w:rPr>
      </w:pPr>
    </w:p>
    <w:p w14:paraId="2D6AB3BC">
      <w:pPr>
        <w:rPr>
          <w:rFonts w:hint="eastAsia" w:asciiTheme="minorEastAsia" w:hAnsiTheme="minorEastAsia" w:eastAsiaTheme="minorEastAsia" w:cstheme="minorEastAsia"/>
        </w:rPr>
      </w:pPr>
    </w:p>
    <w:p w14:paraId="4294EEEE">
      <w:pPr>
        <w:pStyle w:val="13"/>
        <w:rPr>
          <w:rFonts w:hint="eastAsia" w:asciiTheme="minorEastAsia" w:hAnsiTheme="minorEastAsia" w:eastAsiaTheme="minorEastAsia" w:cstheme="minorEastAsia"/>
        </w:rPr>
      </w:pPr>
    </w:p>
    <w:p w14:paraId="4CFB72BC">
      <w:pPr>
        <w:rPr>
          <w:rFonts w:hint="eastAsia" w:asciiTheme="minorEastAsia" w:hAnsiTheme="minorEastAsia" w:eastAsiaTheme="minorEastAsia" w:cstheme="minorEastAsia"/>
        </w:rPr>
      </w:pPr>
    </w:p>
    <w:p w14:paraId="74331724">
      <w:pPr>
        <w:pStyle w:val="13"/>
        <w:rPr>
          <w:rFonts w:hint="eastAsia" w:asciiTheme="minorEastAsia" w:hAnsiTheme="minorEastAsia" w:eastAsiaTheme="minorEastAsia" w:cstheme="minorEastAsia"/>
        </w:rPr>
      </w:pPr>
    </w:p>
    <w:p w14:paraId="0CEED863">
      <w:pPr>
        <w:rPr>
          <w:rFonts w:hint="eastAsia" w:asciiTheme="minorEastAsia" w:hAnsiTheme="minorEastAsia" w:eastAsiaTheme="minorEastAsia" w:cstheme="minorEastAsia"/>
        </w:rPr>
      </w:pPr>
    </w:p>
    <w:p w14:paraId="0B6B7FF9">
      <w:pPr>
        <w:pStyle w:val="13"/>
        <w:rPr>
          <w:rFonts w:hint="eastAsia" w:asciiTheme="minorEastAsia" w:hAnsiTheme="minorEastAsia" w:eastAsiaTheme="minorEastAsia" w:cstheme="minorEastAsia"/>
        </w:rPr>
      </w:pPr>
    </w:p>
    <w:p w14:paraId="2D5B910D">
      <w:pPr>
        <w:rPr>
          <w:rFonts w:hint="eastAsia" w:asciiTheme="minorEastAsia" w:hAnsiTheme="minorEastAsia" w:eastAsiaTheme="minorEastAsia" w:cstheme="minorEastAsia"/>
        </w:rPr>
      </w:pPr>
    </w:p>
    <w:p w14:paraId="32ABF14E">
      <w:pPr>
        <w:pStyle w:val="13"/>
        <w:rPr>
          <w:rFonts w:hint="eastAsia" w:asciiTheme="minorEastAsia" w:hAnsiTheme="minorEastAsia" w:eastAsiaTheme="minorEastAsia" w:cstheme="minorEastAsia"/>
        </w:rPr>
      </w:pPr>
    </w:p>
    <w:p w14:paraId="6D3387FD">
      <w:pPr>
        <w:rPr>
          <w:rFonts w:hint="eastAsia" w:asciiTheme="minorEastAsia" w:hAnsiTheme="minorEastAsia" w:eastAsiaTheme="minorEastAsia" w:cstheme="minorEastAsia"/>
        </w:rPr>
      </w:pPr>
    </w:p>
    <w:p w14:paraId="079207FB">
      <w:pPr>
        <w:pStyle w:val="13"/>
        <w:rPr>
          <w:rFonts w:hint="eastAsia" w:asciiTheme="minorEastAsia" w:hAnsiTheme="minorEastAsia" w:eastAsiaTheme="minorEastAsia" w:cstheme="minorEastAsia"/>
        </w:rPr>
      </w:pPr>
    </w:p>
    <w:p w14:paraId="07CCB518">
      <w:pPr>
        <w:rPr>
          <w:rFonts w:hint="eastAsia" w:asciiTheme="minorEastAsia" w:hAnsiTheme="minorEastAsia" w:eastAsiaTheme="minorEastAsia" w:cstheme="minorEastAsia"/>
        </w:rPr>
      </w:pPr>
    </w:p>
    <w:p w14:paraId="556243D2">
      <w:pPr>
        <w:pStyle w:val="13"/>
        <w:rPr>
          <w:rFonts w:hint="eastAsia" w:asciiTheme="minorEastAsia" w:hAnsiTheme="minorEastAsia" w:eastAsiaTheme="minorEastAsia" w:cstheme="minorEastAsia"/>
        </w:rPr>
      </w:pPr>
    </w:p>
    <w:p w14:paraId="04DD0134">
      <w:pPr>
        <w:rPr>
          <w:rFonts w:hint="eastAsia" w:asciiTheme="minorEastAsia" w:hAnsiTheme="minorEastAsia" w:eastAsiaTheme="minorEastAsia" w:cstheme="minorEastAsia"/>
        </w:rPr>
      </w:pPr>
    </w:p>
    <w:p w14:paraId="1051637B">
      <w:pPr>
        <w:pStyle w:val="13"/>
        <w:rPr>
          <w:rFonts w:hint="eastAsia" w:asciiTheme="minorEastAsia" w:hAnsiTheme="minorEastAsia" w:eastAsiaTheme="minorEastAsia" w:cstheme="minorEastAsia"/>
        </w:rPr>
      </w:pPr>
    </w:p>
    <w:p w14:paraId="66F7FFE4">
      <w:pPr>
        <w:pStyle w:val="5"/>
        <w:tabs>
          <w:tab w:val="left" w:pos="0"/>
          <w:tab w:val="left" w:pos="3165"/>
          <w:tab w:val="center" w:pos="4153"/>
        </w:tabs>
        <w:autoSpaceDE w:val="0"/>
        <w:autoSpaceDN w:val="0"/>
        <w:adjustRightInd w:val="0"/>
        <w:spacing w:before="0" w:after="0" w:line="360" w:lineRule="auto"/>
        <w:jc w:val="both"/>
        <w:rPr>
          <w:rFonts w:hint="eastAsia" w:asciiTheme="minorEastAsia" w:hAnsiTheme="minorEastAsia" w:eastAsiaTheme="minorEastAsia" w:cstheme="minorEastAsia"/>
        </w:rPr>
        <w:sectPr>
          <w:footerReference r:id="rId3" w:type="default"/>
          <w:pgSz w:w="11906" w:h="16838"/>
          <w:pgMar w:top="1440" w:right="1800" w:bottom="1440" w:left="1800" w:header="851" w:footer="992" w:gutter="0"/>
          <w:pgNumType w:fmt="decimal"/>
          <w:cols w:space="425" w:num="1"/>
          <w:docGrid w:type="lines" w:linePitch="312" w:charSpace="0"/>
        </w:sectPr>
      </w:pPr>
      <w:bookmarkStart w:id="0" w:name="_Toc32415"/>
    </w:p>
    <w:p w14:paraId="4D99EB08">
      <w:pPr>
        <w:pStyle w:val="5"/>
        <w:numPr>
          <w:ilvl w:val="0"/>
          <w:numId w:val="2"/>
        </w:numPr>
        <w:tabs>
          <w:tab w:val="left" w:pos="0"/>
          <w:tab w:val="left" w:pos="3165"/>
          <w:tab w:val="center" w:pos="4153"/>
        </w:tabs>
        <w:autoSpaceDE w:val="0"/>
        <w:autoSpaceDN w:val="0"/>
        <w:adjustRightInd w:val="0"/>
        <w:spacing w:before="0" w:after="0" w:line="360" w:lineRule="auto"/>
        <w:ind w:left="73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招标公告</w:t>
      </w:r>
      <w:bookmarkEnd w:id="0"/>
    </w:p>
    <w:p w14:paraId="51026143">
      <w:pPr>
        <w:widowControl w:val="0"/>
        <w:numPr>
          <w:ilvl w:val="0"/>
          <w:numId w:val="0"/>
        </w:numPr>
        <w:jc w:val="both"/>
        <w:rPr>
          <w:rFonts w:hint="eastAsia"/>
        </w:rPr>
      </w:pPr>
    </w:p>
    <w:p w14:paraId="17F657EE">
      <w:pPr>
        <w:pStyle w:val="5"/>
        <w:tabs>
          <w:tab w:val="left" w:pos="0"/>
          <w:tab w:val="left" w:pos="3165"/>
          <w:tab w:val="center" w:pos="4153"/>
        </w:tabs>
        <w:autoSpaceDE w:val="0"/>
        <w:autoSpaceDN w:val="0"/>
        <w:adjustRightInd w:val="0"/>
        <w:spacing w:before="0" w:after="0" w:line="360" w:lineRule="auto"/>
        <w:ind w:left="2891" w:hanging="2891" w:hangingChars="9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皮山县民政局2025年养老福利机构集中供养人员照料护理购买</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服务项目的公开招标公告</w:t>
      </w:r>
    </w:p>
    <w:p w14:paraId="13AB36E8">
      <w:pPr>
        <w:pBdr>
          <w:top w:val="single" w:color="auto" w:sz="4" w:space="0"/>
          <w:left w:val="single" w:color="auto" w:sz="4" w:space="4"/>
          <w:bottom w:val="single" w:color="auto" w:sz="4" w:space="1"/>
          <w:right w:val="single" w:color="auto" w:sz="4" w:space="4"/>
        </w:pBdr>
        <w:ind w:firstLine="480"/>
        <w:rPr>
          <w:rFonts w:hint="eastAsia" w:asciiTheme="minorEastAsia" w:hAnsiTheme="minorEastAsia" w:eastAsiaTheme="minorEastAsia" w:cstheme="minorEastAsia"/>
          <w:sz w:val="24"/>
          <w:szCs w:val="24"/>
        </w:rPr>
      </w:pPr>
      <w:bookmarkStart w:id="1" w:name="_Toc35393621"/>
      <w:bookmarkStart w:id="2" w:name="_Toc35393790"/>
      <w:bookmarkStart w:id="3" w:name="_Toc28359079"/>
      <w:bookmarkStart w:id="4" w:name="_Toc28359002"/>
      <w:bookmarkStart w:id="5" w:name="_Hlk24379207"/>
      <w:r>
        <w:rPr>
          <w:rFonts w:hint="eastAsia" w:asciiTheme="minorEastAsia" w:hAnsiTheme="minorEastAsia" w:eastAsiaTheme="minorEastAsia" w:cstheme="minorEastAsia"/>
          <w:sz w:val="24"/>
          <w:szCs w:val="24"/>
        </w:rPr>
        <w:t>项目概况</w:t>
      </w:r>
    </w:p>
    <w:p w14:paraId="53625A04">
      <w:pPr>
        <w:pBdr>
          <w:top w:val="single" w:color="auto" w:sz="4" w:space="0"/>
          <w:left w:val="single" w:color="auto" w:sz="4" w:space="4"/>
          <w:bottom w:val="single" w:color="auto" w:sz="4" w:space="1"/>
          <w:right w:val="single" w:color="auto" w:sz="4" w:space="4"/>
        </w:pBd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皮山县民政局2025年养老福利机构集中供养人员照料护理购买服务项目招标项目的潜在投标人应在政采云平台线上获取招标文件，</w:t>
      </w:r>
      <w:r>
        <w:rPr>
          <w:rFonts w:hint="eastAsia" w:asciiTheme="minorEastAsia" w:hAnsiTheme="minorEastAsia" w:eastAsiaTheme="minorEastAsia" w:cstheme="minorEastAsia"/>
          <w:color w:val="auto"/>
          <w:sz w:val="24"/>
          <w:szCs w:val="24"/>
        </w:rPr>
        <w:t>并于</w:t>
      </w:r>
      <w:r>
        <w:rPr>
          <w:rFonts w:hint="eastAsia" w:asciiTheme="minorEastAsia" w:hAnsiTheme="minorEastAsia" w:eastAsiaTheme="minorEastAsia" w:cstheme="minorEastAsia"/>
          <w:color w:val="0000FF"/>
          <w:sz w:val="24"/>
          <w:szCs w:val="24"/>
        </w:rPr>
        <w:t>202</w:t>
      </w: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年0</w:t>
      </w:r>
      <w:r>
        <w:rPr>
          <w:rFonts w:hint="eastAsia" w:asciiTheme="minorEastAsia" w:hAnsiTheme="minorEastAsia" w:eastAsiaTheme="minorEastAsia" w:cstheme="minorEastAsia"/>
          <w:color w:val="0000FF"/>
          <w:sz w:val="24"/>
          <w:szCs w:val="24"/>
          <w:lang w:val="en-US" w:eastAsia="zh-CN"/>
        </w:rPr>
        <w:t>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12</w:t>
      </w:r>
      <w:r>
        <w:rPr>
          <w:rFonts w:hint="eastAsia" w:asciiTheme="minorEastAsia" w:hAnsiTheme="minorEastAsia" w:eastAsiaTheme="minorEastAsia" w:cstheme="minorEastAsia"/>
          <w:color w:val="0000FF"/>
          <w:sz w:val="24"/>
          <w:szCs w:val="24"/>
        </w:rPr>
        <w:t>日11:00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sz w:val="24"/>
          <w:szCs w:val="24"/>
        </w:rPr>
        <w:t>）前递交投标文件。</w:t>
      </w:r>
    </w:p>
    <w:bookmarkEnd w:id="1"/>
    <w:bookmarkEnd w:id="2"/>
    <w:bookmarkEnd w:id="3"/>
    <w:bookmarkEnd w:id="4"/>
    <w:bookmarkEnd w:id="5"/>
    <w:p w14:paraId="0B21F3EC">
      <w:pPr>
        <w:pStyle w:val="5"/>
        <w:spacing w:line="240" w:lineRule="auto"/>
        <w:rPr>
          <w:rFonts w:hint="eastAsia" w:asciiTheme="minorEastAsia" w:hAnsiTheme="minorEastAsia" w:eastAsiaTheme="minorEastAsia" w:cstheme="minorEastAsia"/>
          <w:b w:val="0"/>
          <w:sz w:val="24"/>
          <w:szCs w:val="24"/>
        </w:rPr>
      </w:pPr>
      <w:bookmarkStart w:id="6" w:name="_Toc31021"/>
      <w:bookmarkStart w:id="7" w:name="_Toc8181"/>
      <w:bookmarkStart w:id="8" w:name="_Toc17129"/>
      <w:bookmarkStart w:id="9" w:name="_Toc17685"/>
      <w:bookmarkStart w:id="10" w:name="_Toc31185"/>
      <w:bookmarkStart w:id="11" w:name="_Toc35393791"/>
      <w:bookmarkStart w:id="12" w:name="_Toc35393622"/>
      <w:bookmarkStart w:id="13" w:name="_Toc14454"/>
      <w:bookmarkStart w:id="14" w:name="_Toc28359080"/>
      <w:bookmarkStart w:id="15" w:name="_Toc28359003"/>
      <w:r>
        <w:rPr>
          <w:rFonts w:hint="eastAsia" w:asciiTheme="minorEastAsia" w:hAnsiTheme="minorEastAsia" w:eastAsiaTheme="minorEastAsia" w:cstheme="minorEastAsia"/>
          <w:b w:val="0"/>
          <w:sz w:val="24"/>
          <w:szCs w:val="24"/>
        </w:rPr>
        <w:t>一、项目基本情况</w:t>
      </w:r>
      <w:bookmarkEnd w:id="6"/>
      <w:bookmarkEnd w:id="7"/>
      <w:bookmarkEnd w:id="8"/>
    </w:p>
    <w:p w14:paraId="69C2B3C9">
      <w:pPr>
        <w:spacing w:line="400" w:lineRule="exact"/>
        <w:ind w:firstLine="480" w:firstLineChars="200"/>
        <w:rPr>
          <w:rFonts w:hint="eastAsia" w:asciiTheme="minorEastAsia" w:hAnsiTheme="minorEastAsia" w:eastAsiaTheme="minorEastAsia" w:cstheme="minorEastAsia"/>
          <w:color w:val="000000" w:themeColor="text1"/>
          <w:sz w:val="24"/>
          <w:szCs w:val="24"/>
          <w:highlight w:val="red"/>
          <w14:textFill>
            <w14:solidFill>
              <w14:schemeClr w14:val="tx1"/>
            </w14:solidFill>
          </w14:textFill>
        </w:rPr>
      </w:pPr>
      <w:r>
        <w:rPr>
          <w:rFonts w:hint="eastAsia" w:asciiTheme="minorEastAsia" w:hAnsiTheme="minorEastAsia" w:eastAsiaTheme="minorEastAsia" w:cstheme="minorEastAsia"/>
          <w:sz w:val="24"/>
          <w:szCs w:val="24"/>
        </w:rPr>
        <w:t>项目编</w:t>
      </w:r>
      <w:r>
        <w:rPr>
          <w:rFonts w:hint="eastAsia" w:asciiTheme="minorEastAsia" w:hAnsiTheme="minorEastAsia" w:eastAsiaTheme="minorEastAsia" w:cstheme="minorEastAsia"/>
          <w:color w:val="000000" w:themeColor="text1"/>
          <w:sz w:val="24"/>
          <w:szCs w:val="24"/>
          <w14:textFill>
            <w14:solidFill>
              <w14:schemeClr w14:val="tx1"/>
            </w14:solidFill>
          </w14:textFill>
        </w:rPr>
        <w:t>号：PSXZC202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005</w:t>
      </w:r>
      <w:r>
        <w:rPr>
          <w:rFonts w:hint="eastAsia" w:asciiTheme="minorEastAsia" w:hAnsiTheme="minorEastAsia" w:eastAsiaTheme="minorEastAsia" w:cstheme="minorEastAsia"/>
          <w:color w:val="000000" w:themeColor="text1"/>
          <w:sz w:val="24"/>
          <w:szCs w:val="24"/>
          <w14:textFill>
            <w14:solidFill>
              <w14:schemeClr w14:val="tx1"/>
            </w14:solidFill>
          </w14:textFill>
        </w:rPr>
        <w:t>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p w14:paraId="638C471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项目名称：皮山县民政局2025年养老福利机构集中供养人员照料护理购买服务项目</w:t>
      </w:r>
    </w:p>
    <w:p w14:paraId="021C7009">
      <w:pPr>
        <w:pStyle w:val="12"/>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采购方式：公开招标</w:t>
      </w:r>
    </w:p>
    <w:p w14:paraId="16664F1D">
      <w:pPr>
        <w:ind w:firstLine="480"/>
        <w:rPr>
          <w:rFonts w:hint="default"/>
          <w:lang w:val="en-US" w:eastAsia="zh-CN"/>
        </w:rPr>
      </w:pPr>
      <w:r>
        <w:rPr>
          <w:rFonts w:hint="eastAsia" w:asciiTheme="minorEastAsia" w:hAnsiTheme="minorEastAsia" w:eastAsiaTheme="minorEastAsia" w:cstheme="minorEastAsia"/>
          <w:kern w:val="2"/>
          <w:sz w:val="24"/>
          <w:szCs w:val="24"/>
          <w:lang w:val="en-US" w:eastAsia="zh-CN" w:bidi="ar-SA"/>
        </w:rPr>
        <w:t>预算金额（元）：2636400</w:t>
      </w:r>
    </w:p>
    <w:p w14:paraId="50860093">
      <w:pPr>
        <w:spacing w:line="40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最高限价（元）：</w:t>
      </w:r>
      <w:r>
        <w:rPr>
          <w:rFonts w:hint="eastAsia" w:asciiTheme="minorEastAsia" w:hAnsiTheme="minorEastAsia" w:eastAsiaTheme="minorEastAsia" w:cstheme="minorEastAsia"/>
          <w:kern w:val="2"/>
          <w:sz w:val="24"/>
          <w:szCs w:val="24"/>
          <w:lang w:val="en-US" w:eastAsia="zh-CN" w:bidi="ar-SA"/>
        </w:rPr>
        <w:t>2636400</w:t>
      </w:r>
    </w:p>
    <w:p w14:paraId="487396E7">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采购需求：</w:t>
      </w:r>
    </w:p>
    <w:p w14:paraId="00CC0D05">
      <w:pPr>
        <w:spacing w:line="400" w:lineRule="exact"/>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标项名称：</w:t>
      </w:r>
      <w:r>
        <w:rPr>
          <w:rFonts w:hint="eastAsia" w:asciiTheme="minorEastAsia" w:hAnsiTheme="minorEastAsia" w:eastAsiaTheme="minorEastAsia" w:cstheme="minorEastAsia"/>
          <w:sz w:val="24"/>
          <w:szCs w:val="24"/>
        </w:rPr>
        <w:t>皮山县民政局2025年养老福利机构集中供养人员照料护理购买服务项目</w:t>
      </w:r>
    </w:p>
    <w:p w14:paraId="27BA4142">
      <w:pPr>
        <w:spacing w:line="400" w:lineRule="exact"/>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数量:1</w:t>
      </w:r>
    </w:p>
    <w:p w14:paraId="2EA78EF9">
      <w:pPr>
        <w:spacing w:line="40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预算金额（元）:</w:t>
      </w:r>
      <w:r>
        <w:rPr>
          <w:rFonts w:hint="eastAsia" w:asciiTheme="minorEastAsia" w:hAnsiTheme="minorEastAsia" w:eastAsiaTheme="minorEastAsia" w:cstheme="minorEastAsia"/>
          <w:kern w:val="2"/>
          <w:sz w:val="24"/>
          <w:szCs w:val="24"/>
          <w:lang w:val="en-US" w:eastAsia="zh-CN" w:bidi="ar-SA"/>
        </w:rPr>
        <w:t>2636400</w:t>
      </w:r>
    </w:p>
    <w:p w14:paraId="7C285A2A">
      <w:pPr>
        <w:spacing w:line="400" w:lineRule="exact"/>
        <w:ind w:firstLine="480" w:firstLineChars="20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简要规格描述或项目基本概况介绍、用途：基本照料护理服务、残疾老年人服务、送医陪护服务、心理疏导服务、社会融入服务等（具体服务要求详见招标文件）</w:t>
      </w:r>
    </w:p>
    <w:p w14:paraId="42264CF2">
      <w:pPr>
        <w:spacing w:line="400" w:lineRule="exact"/>
        <w:ind w:firstLine="480" w:firstLineChars="20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备注：</w:t>
      </w:r>
    </w:p>
    <w:p w14:paraId="691B87D2">
      <w:pPr>
        <w:spacing w:line="400" w:lineRule="exact"/>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标项1，12个月</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（具体时间以签订合同为准）</w:t>
      </w:r>
    </w:p>
    <w:p w14:paraId="5C02F66F">
      <w:pPr>
        <w:pStyle w:val="13"/>
        <w:spacing w:after="0"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本项目（是/否）接受联合体投标：否</w:t>
      </w:r>
    </w:p>
    <w:p w14:paraId="02DF7E74">
      <w:pPr>
        <w:numPr>
          <w:ilvl w:val="0"/>
          <w:numId w:val="3"/>
        </w:numPr>
        <w:spacing w:line="400" w:lineRule="exact"/>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申请人的资格要求：</w:t>
      </w:r>
      <w:bookmarkEnd w:id="9"/>
      <w:bookmarkEnd w:id="10"/>
      <w:bookmarkEnd w:id="11"/>
      <w:bookmarkEnd w:id="12"/>
      <w:bookmarkEnd w:id="13"/>
      <w:bookmarkEnd w:id="14"/>
      <w:bookmarkEnd w:id="15"/>
      <w:bookmarkStart w:id="16" w:name="_Toc28359081"/>
      <w:bookmarkStart w:id="17" w:name="_Toc28359004"/>
    </w:p>
    <w:p w14:paraId="13725827">
      <w:pPr>
        <w:numPr>
          <w:ilvl w:val="0"/>
          <w:numId w:val="4"/>
        </w:numPr>
        <w:spacing w:line="400" w:lineRule="exact"/>
        <w:ind w:firstLine="480" w:firstLineChars="200"/>
        <w:rPr>
          <w:rFonts w:hint="eastAsia" w:asciiTheme="minorEastAsia" w:hAnsiTheme="minorEastAsia" w:eastAsiaTheme="minorEastAsia" w:cstheme="minorEastAsia"/>
        </w:rPr>
      </w:pPr>
      <w:bookmarkStart w:id="18" w:name="_Toc24117"/>
      <w:bookmarkStart w:id="19" w:name="_Toc12439"/>
      <w:bookmarkStart w:id="20" w:name="_Toc35393792"/>
      <w:bookmarkStart w:id="21" w:name="_Toc35393623"/>
      <w:bookmarkStart w:id="22" w:name="_Toc14160"/>
      <w:r>
        <w:rPr>
          <w:rFonts w:hint="eastAsia" w:asciiTheme="minorEastAsia" w:hAnsiTheme="minorEastAsia" w:eastAsiaTheme="minorEastAsia" w:cstheme="minorEastAsia"/>
          <w:kern w:val="0"/>
          <w:sz w:val="24"/>
          <w:szCs w:val="24"/>
        </w:rPr>
        <w:t>满足《中华人民共和国政府采购法》第二十二条规定；</w:t>
      </w:r>
    </w:p>
    <w:p w14:paraId="1C66ABA0">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eastAsiaTheme="minorEastAsia" w:cstheme="minorEastAsia"/>
          <w:i w:val="0"/>
          <w:iCs w:val="0"/>
          <w:caps w:val="0"/>
          <w:color w:val="000000"/>
          <w:spacing w:val="0"/>
          <w:sz w:val="24"/>
          <w:szCs w:val="24"/>
          <w:lang w:val="en-US" w:eastAsia="zh-CN"/>
        </w:rPr>
        <w:t>2、落实政府采购政策需满足的资格要求：</w:t>
      </w:r>
    </w:p>
    <w:p w14:paraId="03D1CF60">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2.1 中小企业政策</w:t>
      </w:r>
    </w:p>
    <w:p w14:paraId="5BE1CC4A">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☑本项目不专门面向中小企业预留采购份额。</w:t>
      </w:r>
    </w:p>
    <w:p w14:paraId="72F4783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□本项目专门面向中小企业预留采购份额。对于预留份额，提供的货物由符合政策要求的中小企业制造、服务由符合政策要求的中小企业承接。预留份额通过以下措施进行：</w:t>
      </w:r>
      <w:r>
        <w:rPr>
          <w:rFonts w:hint="eastAsia" w:asciiTheme="minorEastAsia" w:hAnsiTheme="minorEastAsia" w:eastAsiaTheme="minorEastAsia" w:cstheme="minorEastAsia"/>
          <w:kern w:val="0"/>
          <w:sz w:val="24"/>
          <w:szCs w:val="24"/>
          <w:u w:val="single"/>
          <w:lang w:val="en-US" w:eastAsia="zh-CN" w:bidi="ar-SA"/>
        </w:rPr>
        <w:t>不分包</w:t>
      </w:r>
      <w:r>
        <w:rPr>
          <w:rFonts w:hint="eastAsia" w:asciiTheme="minorEastAsia" w:hAnsiTheme="minorEastAsia" w:eastAsiaTheme="minorEastAsia" w:cstheme="minorEastAsia"/>
          <w:kern w:val="0"/>
          <w:sz w:val="24"/>
          <w:szCs w:val="24"/>
          <w:lang w:val="en-US" w:eastAsia="zh-CN" w:bidi="ar-SA"/>
        </w:rPr>
        <w:t>。</w:t>
      </w:r>
    </w:p>
    <w:p w14:paraId="0F789F92">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2.2 其它落实政府采购政策的资格要求</w:t>
      </w:r>
    </w:p>
    <w:p w14:paraId="7C9B76F1">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（1）财政部、国家发展改革委、生态环境部、市场监管总局《关于调整优化节能产品、环境标志产品政府采购执行机制的通知》（财库[2019]9号文）；  </w:t>
      </w:r>
    </w:p>
    <w:p w14:paraId="1E4313F0">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（2）财政部、生态环境部《关于印发环境标志产品政府采购品目清单的通知》（财库[2019]18号文）； </w:t>
      </w:r>
    </w:p>
    <w:p w14:paraId="2A397349">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（3）财政部、发展改革委《关于印发节能产品政府采购品目清单的通知》（财库[2019]19号文）； </w:t>
      </w:r>
    </w:p>
    <w:p w14:paraId="7E4434C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（4）市场监管总局《市场监管总局关于发布参与实施政府采购节能产品、环境标志产品认证机构名录的公告》（2019年第16号）；  </w:t>
      </w:r>
    </w:p>
    <w:p w14:paraId="5CCA1B6D">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6087D503">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（6）财政部、民政部、中国残疾人联合会《关于促进残疾人就业政府采购政策的通知》（财库[2017]141号）；  </w:t>
      </w:r>
    </w:p>
    <w:p w14:paraId="60EFC38A">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（7）财政部、司法部《关于政府采购支持监狱企业发展有关问题的通知》（财库[2014]68号文）； </w:t>
      </w:r>
    </w:p>
    <w:p w14:paraId="3355D656">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（8）财政部、生态环境部、国家邮政局《关于印发《商品包装政府采购需求标准（试行）》、 《快递包装政府采购需求标准（试行）》的通知》（财办库〔2020〕123号）。</w:t>
      </w:r>
    </w:p>
    <w:p w14:paraId="3A10CE5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标项1：</w:t>
      </w:r>
    </w:p>
    <w:p w14:paraId="2B184446">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B8C5B45">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（2）法定代表人的需提供法定代表人证明书（须附法人身份证复印件正反面）或委托代理人需提供法定代表人授权委托书（授权书需附法人身份证复印件及委托人身份证复印件正反面）；</w:t>
      </w:r>
    </w:p>
    <w:p w14:paraId="728D6A49">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p w14:paraId="48B8DE67">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（4）具有良好的商业信誉和健全的财务会计制度（需单独提供）：提供2023年由第三方审计机构</w:t>
      </w:r>
      <w:r>
        <w:rPr>
          <w:rFonts w:ascii="微软雅黑" w:hAnsi="微软雅黑" w:eastAsia="微软雅黑" w:cs="微软雅黑"/>
          <w:i w:val="0"/>
          <w:iCs w:val="0"/>
          <w:caps w:val="0"/>
          <w:color w:val="232323"/>
          <w:spacing w:val="0"/>
          <w:sz w:val="21"/>
          <w:szCs w:val="21"/>
          <w:shd w:val="clear" w:fill="FAFAFA"/>
        </w:rPr>
        <w:t>出</w:t>
      </w:r>
      <w:r>
        <w:rPr>
          <w:rFonts w:hint="eastAsia" w:asciiTheme="minorEastAsia" w:hAnsiTheme="minorEastAsia" w:eastAsiaTheme="minorEastAsia" w:cstheme="minorEastAsia"/>
          <w:kern w:val="0"/>
          <w:sz w:val="24"/>
          <w:szCs w:val="24"/>
          <w:lang w:val="en-US" w:eastAsia="zh-CN" w:bidi="ar-SA"/>
        </w:rPr>
        <w:t>具在注册会计师行业统一监管平台备案赋码的审计报告（2024年新成立的公司按实际发生的情况提供银行出具的资信证明）和健全的财务会计制度；</w:t>
      </w:r>
    </w:p>
    <w:p w14:paraId="0CCCE0A5">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（5）履行合同所必需的设备和专业技术能力：提供《投标人资格声明函》；</w:t>
      </w:r>
    </w:p>
    <w:p w14:paraId="6A747975">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6）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B4A8BA4">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AEF4228">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（8）企业负责人为同一人或者存在直接控股、管理关系的不同投标人，不得参加同一合同项下的政府采购活动。否则，皆取消投标资格；</w:t>
      </w:r>
    </w:p>
    <w:p w14:paraId="15826818">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（9）投标保证金或电子保函：20000.00元（大写：贰万元整）。</w:t>
      </w:r>
    </w:p>
    <w:p w14:paraId="4C3BCC98">
      <w:pPr>
        <w:pStyle w:val="15"/>
        <w:numPr>
          <w:ilvl w:val="0"/>
          <w:numId w:val="0"/>
        </w:numPr>
        <w:snapToGrid w:val="0"/>
        <w:spacing w:line="360" w:lineRule="auto"/>
        <w:ind w:firstLine="480" w:firstLineChars="200"/>
        <w:outlineLvl w:val="2"/>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（10）本项目不接受联合体投标。</w:t>
      </w:r>
    </w:p>
    <w:p w14:paraId="4B533C3B">
      <w:pPr>
        <w:pStyle w:val="15"/>
        <w:numPr>
          <w:ilvl w:val="0"/>
          <w:numId w:val="0"/>
        </w:numPr>
        <w:snapToGrid w:val="0"/>
        <w:spacing w:line="360" w:lineRule="auto"/>
        <w:ind w:firstLine="480" w:firstLineChars="200"/>
        <w:outlineLvl w:val="2"/>
        <w:rPr>
          <w:rFonts w:hint="eastAsia" w:asciiTheme="minorEastAsia" w:hAnsiTheme="minorEastAsia" w:eastAsiaTheme="minorEastAsia" w:cstheme="minorEastAsia"/>
          <w:kern w:val="0"/>
          <w:sz w:val="24"/>
          <w:szCs w:val="24"/>
          <w:lang w:val="en-US" w:eastAsia="zh-CN" w:bidi="ar-SA"/>
        </w:rPr>
      </w:pPr>
      <w:bookmarkStart w:id="23" w:name="_Toc5294"/>
      <w:r>
        <w:rPr>
          <w:rFonts w:hint="eastAsia" w:asciiTheme="minorEastAsia" w:hAnsiTheme="minorEastAsia" w:eastAsiaTheme="minorEastAsia" w:cstheme="minorEastAsia"/>
          <w:kern w:val="0"/>
          <w:sz w:val="24"/>
          <w:szCs w:val="24"/>
          <w:lang w:val="en-US" w:eastAsia="zh-CN" w:bidi="ar-SA"/>
        </w:rPr>
        <w:t>3.本项目的特定资格要求：</w:t>
      </w:r>
      <w:bookmarkEnd w:id="23"/>
    </w:p>
    <w:p w14:paraId="7B604994">
      <w:pPr>
        <w:pStyle w:val="15"/>
        <w:numPr>
          <w:ilvl w:val="0"/>
          <w:numId w:val="0"/>
        </w:numPr>
        <w:snapToGrid w:val="0"/>
        <w:spacing w:line="360" w:lineRule="auto"/>
        <w:ind w:firstLine="960" w:firstLineChars="400"/>
        <w:outlineLvl w:val="2"/>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供应商须</w:t>
      </w:r>
      <w:r>
        <w:rPr>
          <w:rFonts w:hint="default" w:asciiTheme="minorEastAsia" w:hAnsiTheme="minorEastAsia" w:eastAsiaTheme="minorEastAsia" w:cstheme="minorEastAsia"/>
          <w:kern w:val="0"/>
          <w:sz w:val="24"/>
          <w:szCs w:val="24"/>
          <w:lang w:val="en-US" w:eastAsia="zh-CN" w:bidi="ar-SA"/>
        </w:rPr>
        <w:t>具备提供社会救助服务所必需的固定办公场所、设施、人员和专业技术能力，具有健全的法人管理结构，完善的内部管理和信息公开、民监督制度</w:t>
      </w:r>
      <w:r>
        <w:rPr>
          <w:rFonts w:hint="eastAsia" w:asciiTheme="minorEastAsia" w:hAnsiTheme="minorEastAsia" w:eastAsiaTheme="minorEastAsia" w:cstheme="minorEastAsia"/>
          <w:kern w:val="0"/>
          <w:sz w:val="24"/>
          <w:szCs w:val="24"/>
          <w:lang w:val="en-US" w:eastAsia="zh-CN" w:bidi="ar-SA"/>
        </w:rPr>
        <w:t>；</w:t>
      </w:r>
    </w:p>
    <w:p w14:paraId="197DA6DE">
      <w:pPr>
        <w:numPr>
          <w:ilvl w:val="0"/>
          <w:numId w:val="0"/>
        </w:numPr>
        <w:spacing w:line="400" w:lineRule="exact"/>
        <w:outlineLvl w:val="1"/>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三、获取招标文件</w:t>
      </w:r>
      <w:bookmarkEnd w:id="16"/>
      <w:bookmarkEnd w:id="17"/>
      <w:bookmarkEnd w:id="18"/>
      <w:bookmarkEnd w:id="19"/>
      <w:bookmarkEnd w:id="20"/>
      <w:bookmarkEnd w:id="21"/>
      <w:bookmarkEnd w:id="22"/>
    </w:p>
    <w:p w14:paraId="5080BF2A">
      <w:pPr>
        <w:spacing w:line="400" w:lineRule="exact"/>
        <w:ind w:firstLine="540"/>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0000FF"/>
          <w:sz w:val="24"/>
          <w:szCs w:val="24"/>
          <w:lang w:val="en-US" w:eastAsia="zh-CN"/>
        </w:rPr>
        <w:t>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02</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19</w:t>
      </w:r>
      <w:r>
        <w:rPr>
          <w:rFonts w:hint="eastAsia" w:asciiTheme="minorEastAsia" w:hAnsiTheme="minorEastAsia" w:eastAsiaTheme="minorEastAsia" w:cstheme="minorEastAsia"/>
          <w:color w:val="0000FF"/>
          <w:sz w:val="24"/>
          <w:szCs w:val="24"/>
        </w:rPr>
        <w:t>日至</w:t>
      </w:r>
      <w:r>
        <w:rPr>
          <w:rFonts w:hint="eastAsia" w:asciiTheme="minorEastAsia" w:hAnsiTheme="minorEastAsia" w:eastAsiaTheme="minorEastAsia" w:cstheme="minorEastAsia"/>
          <w:color w:val="0000FF"/>
          <w:sz w:val="24"/>
          <w:szCs w:val="24"/>
          <w:lang w:val="en-US" w:eastAsia="zh-CN"/>
        </w:rPr>
        <w:t>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11</w:t>
      </w:r>
      <w:r>
        <w:rPr>
          <w:rFonts w:hint="eastAsia" w:asciiTheme="minorEastAsia" w:hAnsiTheme="minorEastAsia" w:eastAsiaTheme="minorEastAsia" w:cstheme="minorEastAsia"/>
          <w:color w:val="0000FF"/>
          <w:sz w:val="24"/>
          <w:szCs w:val="24"/>
        </w:rPr>
        <w:t>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每天上午00:00至12:00，下午12:00至23:59（北京时间，法定节假日除外）</w:t>
      </w:r>
    </w:p>
    <w:p w14:paraId="3284A4C1">
      <w:pPr>
        <w:spacing w:line="400" w:lineRule="exact"/>
        <w:ind w:firstLine="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地点：政采云平台线上</w:t>
      </w:r>
      <w:bookmarkStart w:id="643" w:name="_GoBack"/>
      <w:bookmarkEnd w:id="643"/>
    </w:p>
    <w:p w14:paraId="632C76F1">
      <w:pPr>
        <w:spacing w:line="400" w:lineRule="exact"/>
        <w:ind w:firstLine="5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2D82403">
      <w:pPr>
        <w:spacing w:line="400" w:lineRule="exact"/>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文件售价：</w:t>
      </w:r>
      <w:bookmarkStart w:id="24" w:name="_Toc28359082"/>
      <w:bookmarkStart w:id="25" w:name="_Toc35393624"/>
      <w:bookmarkStart w:id="26" w:name="_Toc21441"/>
      <w:bookmarkStart w:id="27" w:name="_Toc28359005"/>
      <w:bookmarkStart w:id="28" w:name="_Toc7609"/>
      <w:bookmarkStart w:id="29" w:name="_Toc35393793"/>
      <w:bookmarkStart w:id="30" w:name="_Toc16029"/>
      <w:r>
        <w:rPr>
          <w:rFonts w:hint="eastAsia" w:asciiTheme="minorEastAsia" w:hAnsiTheme="minorEastAsia" w:eastAsiaTheme="minorEastAsia" w:cstheme="minorEastAsia"/>
          <w:sz w:val="24"/>
          <w:szCs w:val="24"/>
        </w:rPr>
        <w:t>0</w:t>
      </w:r>
    </w:p>
    <w:p w14:paraId="5FC28C83">
      <w:pPr>
        <w:pStyle w:val="8"/>
        <w:rPr>
          <w:rFonts w:hint="eastAsia" w:asciiTheme="minorEastAsia" w:hAnsiTheme="minorEastAsia" w:eastAsiaTheme="minorEastAsia" w:cstheme="minorEastAsia"/>
          <w:sz w:val="24"/>
          <w:szCs w:val="24"/>
        </w:rPr>
      </w:pPr>
    </w:p>
    <w:p w14:paraId="234C393B">
      <w:pPr>
        <w:pStyle w:val="5"/>
        <w:spacing w:before="0" w:after="0" w:line="240" w:lineRule="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四、提交投标文件截止时间、开标时间和地点</w:t>
      </w:r>
    </w:p>
    <w:p w14:paraId="78A06256">
      <w:pPr>
        <w:widowControl/>
        <w:spacing w:before="75" w:after="75"/>
        <w:ind w:firstLine="480"/>
        <w:jc w:val="left"/>
        <w:rPr>
          <w:rFonts w:hint="eastAsia" w:asciiTheme="minorEastAsia" w:hAnsiTheme="minorEastAsia" w:eastAsiaTheme="minorEastAsia" w:cstheme="minorEastAsia"/>
          <w:color w:val="auto"/>
          <w:kern w:val="0"/>
          <w:sz w:val="24"/>
          <w:szCs w:val="24"/>
        </w:rPr>
      </w:pPr>
      <w:bookmarkStart w:id="31" w:name="_Toc28359007"/>
      <w:bookmarkStart w:id="32" w:name="_Toc28359084"/>
      <w:bookmarkStart w:id="33" w:name="_Toc35393625"/>
      <w:bookmarkStart w:id="34" w:name="_Toc35393794"/>
      <w:r>
        <w:rPr>
          <w:rFonts w:hint="eastAsia" w:asciiTheme="minorEastAsia" w:hAnsiTheme="minorEastAsia" w:eastAsiaTheme="minorEastAsia" w:cstheme="minorEastAsia"/>
          <w:color w:val="auto"/>
          <w:kern w:val="0"/>
          <w:sz w:val="24"/>
          <w:szCs w:val="24"/>
        </w:rPr>
        <w:t>提交投标文件截止时间：</w:t>
      </w:r>
      <w:r>
        <w:rPr>
          <w:rFonts w:hint="eastAsia" w:asciiTheme="minorEastAsia" w:hAnsiTheme="minorEastAsia" w:eastAsiaTheme="minorEastAsia" w:cstheme="minorEastAsia"/>
          <w:color w:val="0000FF"/>
          <w:kern w:val="0"/>
          <w:sz w:val="24"/>
          <w:szCs w:val="24"/>
          <w:lang w:val="en-US" w:eastAsia="zh-CN"/>
        </w:rPr>
        <w:t>2025年03月12日</w:t>
      </w:r>
      <w:r>
        <w:rPr>
          <w:rFonts w:hint="eastAsia" w:asciiTheme="minorEastAsia" w:hAnsiTheme="minorEastAsia" w:eastAsiaTheme="minorEastAsia" w:cstheme="minorEastAsia"/>
          <w:color w:val="auto"/>
          <w:kern w:val="0"/>
          <w:sz w:val="24"/>
          <w:szCs w:val="24"/>
        </w:rPr>
        <w:t xml:space="preserve"> 11:00（北京时间）</w:t>
      </w:r>
    </w:p>
    <w:p w14:paraId="6DFDBE87">
      <w:pPr>
        <w:widowControl/>
        <w:spacing w:before="75" w:after="75"/>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投标地点：请登录政采云投标客户端投标。</w:t>
      </w:r>
    </w:p>
    <w:p w14:paraId="46376E31">
      <w:pPr>
        <w:widowControl/>
        <w:spacing w:before="75" w:after="75"/>
        <w:ind w:firstLine="48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开标时间</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0000FF"/>
          <w:kern w:val="0"/>
          <w:sz w:val="24"/>
          <w:szCs w:val="24"/>
          <w:lang w:val="en-US" w:eastAsia="zh-CN"/>
        </w:rPr>
        <w:t>2025年03月12日</w:t>
      </w:r>
      <w:r>
        <w:rPr>
          <w:rFonts w:hint="eastAsia" w:asciiTheme="minorEastAsia" w:hAnsiTheme="minorEastAsia" w:eastAsiaTheme="minorEastAsia" w:cstheme="minorEastAsia"/>
          <w:color w:val="auto"/>
          <w:kern w:val="0"/>
          <w:sz w:val="24"/>
          <w:szCs w:val="24"/>
          <w:lang w:val="en-US" w:eastAsia="zh-CN"/>
        </w:rPr>
        <w:t xml:space="preserve"> 11:00(北京时间）</w:t>
      </w:r>
    </w:p>
    <w:p w14:paraId="7424215A">
      <w:pPr>
        <w:widowControl/>
        <w:spacing w:before="75" w:after="75"/>
        <w:ind w:firstLine="480"/>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开标地点：投标人登录政采云平台https://www.zcygov.cn/，进入“项目采购-开标评标-右边选择对应项目点击“进入项目”进入开标大厅。</w:t>
      </w:r>
    </w:p>
    <w:p w14:paraId="1C295D10">
      <w:pPr>
        <w:pStyle w:val="5"/>
        <w:spacing w:line="240" w:lineRule="auto"/>
        <w:rPr>
          <w:rFonts w:hint="eastAsia" w:asciiTheme="minorEastAsia" w:hAnsiTheme="minorEastAsia" w:eastAsiaTheme="minorEastAsia" w:cstheme="minorEastAsia"/>
          <w:b w:val="0"/>
          <w:sz w:val="24"/>
          <w:szCs w:val="24"/>
        </w:rPr>
      </w:pPr>
      <w:bookmarkStart w:id="35" w:name="_Toc18038"/>
      <w:bookmarkStart w:id="36" w:name="_Toc1554"/>
      <w:bookmarkStart w:id="37" w:name="_Toc14845"/>
      <w:r>
        <w:rPr>
          <w:rFonts w:hint="eastAsia" w:asciiTheme="minorEastAsia" w:hAnsiTheme="minorEastAsia" w:eastAsiaTheme="minorEastAsia" w:cstheme="minorEastAsia"/>
          <w:b w:val="0"/>
          <w:sz w:val="24"/>
          <w:szCs w:val="24"/>
        </w:rPr>
        <w:t>五、公告期限</w:t>
      </w:r>
      <w:bookmarkEnd w:id="31"/>
      <w:bookmarkEnd w:id="32"/>
      <w:bookmarkEnd w:id="33"/>
      <w:bookmarkEnd w:id="34"/>
      <w:bookmarkEnd w:id="35"/>
      <w:bookmarkEnd w:id="36"/>
      <w:bookmarkEnd w:id="37"/>
    </w:p>
    <w:p w14:paraId="71C073F7">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35F417F1">
      <w:pPr>
        <w:pStyle w:val="5"/>
        <w:numPr>
          <w:ilvl w:val="0"/>
          <w:numId w:val="5"/>
        </w:numPr>
        <w:spacing w:line="240" w:lineRule="auto"/>
        <w:rPr>
          <w:rFonts w:hint="eastAsia" w:asciiTheme="minorEastAsia" w:hAnsiTheme="minorEastAsia" w:eastAsiaTheme="minorEastAsia" w:cstheme="minorEastAsia"/>
          <w:b w:val="0"/>
          <w:sz w:val="24"/>
          <w:szCs w:val="24"/>
        </w:rPr>
      </w:pPr>
      <w:bookmarkStart w:id="38" w:name="_Toc35393795"/>
      <w:bookmarkStart w:id="39" w:name="_Toc27078"/>
      <w:bookmarkStart w:id="40" w:name="_Toc35393626"/>
      <w:bookmarkStart w:id="41" w:name="_Toc1253"/>
      <w:bookmarkStart w:id="42" w:name="_Toc21056"/>
      <w:r>
        <w:rPr>
          <w:rFonts w:hint="eastAsia" w:asciiTheme="minorEastAsia" w:hAnsiTheme="minorEastAsia" w:eastAsiaTheme="minorEastAsia" w:cstheme="minorEastAsia"/>
          <w:b w:val="0"/>
          <w:sz w:val="24"/>
          <w:szCs w:val="24"/>
        </w:rPr>
        <w:t>其他补充事宜</w:t>
      </w:r>
      <w:bookmarkEnd w:id="38"/>
      <w:bookmarkEnd w:id="39"/>
      <w:bookmarkEnd w:id="40"/>
      <w:bookmarkEnd w:id="41"/>
      <w:bookmarkEnd w:id="42"/>
    </w:p>
    <w:p w14:paraId="6C7EFA3F">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bookmarkStart w:id="43" w:name="_Toc35393627"/>
      <w:bookmarkStart w:id="44" w:name="_Toc35393796"/>
      <w:bookmarkStart w:id="45" w:name="_Toc28359085"/>
      <w:bookmarkStart w:id="46" w:name="_Toc28359008"/>
      <w:r>
        <w:rPr>
          <w:rFonts w:hint="eastAsia" w:asciiTheme="minorEastAsia" w:hAnsiTheme="minorEastAsia" w:eastAsiaTheme="minorEastAsia" w:cstheme="minorEastAsia"/>
          <w:kern w:val="0"/>
          <w:sz w:val="24"/>
          <w:szCs w:val="24"/>
        </w:rPr>
        <w:t>1、本项目实行网上投标，采用电子投标文件。若供应商参与投标，自行承担投标一切费用。</w:t>
      </w:r>
    </w:p>
    <w:p w14:paraId="471CEE7D">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913377F">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A14E1A9">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4、有意向参与新疆区域电子开评标的供应商，可访问新疆数字证书认证中心官方网站（https://www.xjca.com.cn/）或下载“新疆政务通”APP自行进行申领。如需咨询，请联系新疆CA服务热线0991-2819290</w:t>
      </w:r>
    </w:p>
    <w:p w14:paraId="0E811382">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kern w:val="0"/>
          <w:sz w:val="24"/>
          <w:szCs w:val="24"/>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错文件格式提供《中小企业声明函》等政府采购政策。《财政部发展改革委 生态环境部 市场监管总局关于调整优化节能产品、环境标志产品政府采购执行机制的通知》（财库〔2019〕9号）。</w:t>
      </w:r>
    </w:p>
    <w:p w14:paraId="4C249054">
      <w:pPr>
        <w:numPr>
          <w:ilvl w:val="0"/>
          <w:numId w:val="0"/>
        </w:numPr>
        <w:adjustRightInd w:val="0"/>
        <w:snapToGrid w:val="0"/>
        <w:spacing w:line="400" w:lineRule="exact"/>
        <w:ind w:firstLine="482" w:firstLineChars="200"/>
        <w:jc w:val="left"/>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特别强调：</w:t>
      </w:r>
    </w:p>
    <w:p w14:paraId="4E9B73F4">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1、采购限额标准以上，200万元以下的货物和服务采购项目、400万元以下的工程采购项目，适宜由中小企业提供的，采购人应当专门面向中小企业采购。</w:t>
      </w:r>
    </w:p>
    <w:p w14:paraId="12FDA415">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2、超过200万元的货物和服务采购项目，预留该部分采购项目预算总额的30%以上专门面向中小企业采购，其中预留给小微企业的比例不低于60%。</w:t>
      </w:r>
    </w:p>
    <w:p w14:paraId="07E6AA29">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3、超过400万元的工程采购项目中适宜由中小企业提供的，预留该部分采购项目预算总额的40%以上专门面向中小企业采购，其中预留给小微企业的比例不低于60%。</w:t>
      </w:r>
    </w:p>
    <w:p w14:paraId="6F778863">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得分的6％～10％作为其价格分。</w:t>
      </w:r>
    </w:p>
    <w:p w14:paraId="7B5351E9">
      <w:pPr>
        <w:numPr>
          <w:ilvl w:val="0"/>
          <w:numId w:val="0"/>
        </w:numPr>
        <w:adjustRightInd w:val="0"/>
        <w:snapToGrid w:val="0"/>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337C94AD">
      <w:pPr>
        <w:pStyle w:val="5"/>
        <w:spacing w:line="240" w:lineRule="auto"/>
        <w:rPr>
          <w:rFonts w:hint="eastAsia" w:asciiTheme="minorEastAsia" w:hAnsiTheme="minorEastAsia" w:eastAsiaTheme="minorEastAsia" w:cstheme="minorEastAsia"/>
          <w:kern w:val="0"/>
          <w:sz w:val="24"/>
          <w:szCs w:val="24"/>
          <w:lang w:val="en-US" w:eastAsia="zh-CN" w:bidi="ar-SA"/>
        </w:rPr>
      </w:pPr>
      <w:bookmarkStart w:id="47" w:name="_Toc2501"/>
      <w:bookmarkStart w:id="48" w:name="_Toc266"/>
      <w:bookmarkStart w:id="49" w:name="_Toc7535"/>
      <w:r>
        <w:rPr>
          <w:rFonts w:hint="eastAsia" w:asciiTheme="minorEastAsia" w:hAnsiTheme="minorEastAsia" w:eastAsiaTheme="minorEastAsia" w:cstheme="minorEastAsia"/>
          <w:b w:val="0"/>
          <w:sz w:val="24"/>
          <w:szCs w:val="24"/>
          <w:lang w:val="en-US" w:eastAsia="zh-CN"/>
        </w:rPr>
        <w:t>七</w:t>
      </w:r>
      <w:r>
        <w:rPr>
          <w:rFonts w:hint="eastAsia" w:asciiTheme="minorEastAsia" w:hAnsiTheme="minorEastAsia" w:eastAsiaTheme="minorEastAsia" w:cstheme="minorEastAsia"/>
          <w:b w:val="0"/>
          <w:sz w:val="24"/>
          <w:szCs w:val="24"/>
        </w:rPr>
        <w:t>、对本次采购提出询问，请按以下方式联系。</w:t>
      </w:r>
      <w:bookmarkEnd w:id="43"/>
      <w:bookmarkEnd w:id="44"/>
      <w:bookmarkEnd w:id="45"/>
      <w:bookmarkEnd w:id="46"/>
      <w:bookmarkEnd w:id="47"/>
      <w:bookmarkEnd w:id="48"/>
      <w:bookmarkEnd w:id="49"/>
    </w:p>
    <w:p w14:paraId="7C05DE58">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1.采购人信息</w:t>
      </w:r>
    </w:p>
    <w:p w14:paraId="43370A18">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名 称：皮山县民政局</w:t>
      </w:r>
    </w:p>
    <w:p w14:paraId="3686A59B">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地 址：皮山县社会福利园区</w:t>
      </w:r>
    </w:p>
    <w:p w14:paraId="1AB8700D">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联系方式：0903-6422474</w:t>
      </w:r>
    </w:p>
    <w:p w14:paraId="7AD69DD0">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2.采购代理机构信息</w:t>
      </w:r>
    </w:p>
    <w:p w14:paraId="0FE2DBB7">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名 称：和田锦荣工程项目管理有限公司</w:t>
      </w:r>
    </w:p>
    <w:p w14:paraId="2D118849">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地 址：新疆和田地区和田市古勒巴格街道凯旋路57号川亿凯旋公馆B区19栋</w:t>
      </w:r>
    </w:p>
    <w:p w14:paraId="1FC1338E">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联系方式：0903-2515565</w:t>
      </w:r>
    </w:p>
    <w:p w14:paraId="49AFD4AF">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3.项目联系方式</w:t>
      </w:r>
    </w:p>
    <w:p w14:paraId="74B38FC7">
      <w:pP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项目联系人：王慧珍</w:t>
      </w:r>
    </w:p>
    <w:p w14:paraId="2538DE9B">
      <w:r>
        <w:rPr>
          <w:rFonts w:hint="eastAsia" w:asciiTheme="minorEastAsia" w:hAnsiTheme="minorEastAsia" w:eastAsiaTheme="minorEastAsia" w:cstheme="minorEastAsia"/>
          <w:kern w:val="0"/>
          <w:sz w:val="24"/>
          <w:szCs w:val="24"/>
          <w:lang w:val="en-US" w:eastAsia="zh-CN" w:bidi="ar-SA"/>
        </w:rPr>
        <w:t>电 话：0903-2515565</w:t>
      </w:r>
      <w:bookmarkEnd w:id="24"/>
      <w:bookmarkEnd w:id="25"/>
      <w:bookmarkEnd w:id="26"/>
      <w:bookmarkEnd w:id="27"/>
      <w:bookmarkEnd w:id="28"/>
      <w:bookmarkEnd w:id="29"/>
      <w:bookmarkEnd w:id="30"/>
    </w:p>
    <w:p w14:paraId="2A5E1080">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3888F9C">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D99AB9F">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61CB048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4A59E48">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66A5BBB0">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09E96A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5091DC1">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2C25C57">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5923CD72">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32471BE">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37B747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6D7388A8">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9E5979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08605532">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0DD6B0F">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51ACD392">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6FA4F2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4D07311C">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特别提醒：</w:t>
      </w:r>
    </w:p>
    <w:p w14:paraId="1E4AB698">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1、投标企业采用银行转账或电汇的方式的，投标保证金由投标人基本账户汇出（投标保证金需一笔汇出，分笔汇出银行系统将不予统计），且不得以分公司的名义转账，投标保证金需在</w:t>
      </w:r>
      <w:r>
        <w:rPr>
          <w:rStyle w:val="37"/>
          <w:rFonts w:hint="eastAsia" w:asciiTheme="minorEastAsia" w:hAnsiTheme="minorEastAsia" w:eastAsiaTheme="minorEastAsia" w:cstheme="minorEastAsia"/>
          <w:b/>
          <w:bCs/>
          <w:color w:val="0000FF"/>
          <w:sz w:val="28"/>
          <w:szCs w:val="18"/>
          <w:lang w:val="en-US" w:eastAsia="zh-CN"/>
        </w:rPr>
        <w:t>2025</w:t>
      </w:r>
      <w:r>
        <w:rPr>
          <w:rStyle w:val="37"/>
          <w:rFonts w:hint="eastAsia" w:asciiTheme="minorEastAsia" w:hAnsiTheme="minorEastAsia" w:eastAsiaTheme="minorEastAsia" w:cstheme="minorEastAsia"/>
          <w:b/>
          <w:color w:val="0000FF"/>
          <w:sz w:val="28"/>
          <w:szCs w:val="22"/>
        </w:rPr>
        <w:t>年</w:t>
      </w:r>
      <w:r>
        <w:rPr>
          <w:rStyle w:val="37"/>
          <w:rFonts w:hint="eastAsia" w:asciiTheme="minorEastAsia" w:hAnsiTheme="minorEastAsia" w:eastAsiaTheme="minorEastAsia" w:cstheme="minorEastAsia"/>
          <w:b/>
          <w:color w:val="0000FF"/>
          <w:sz w:val="28"/>
          <w:szCs w:val="22"/>
          <w:lang w:val="en-US" w:eastAsia="zh-CN"/>
        </w:rPr>
        <w:t>03月11日</w:t>
      </w:r>
      <w:r>
        <w:rPr>
          <w:rStyle w:val="37"/>
          <w:rFonts w:hint="eastAsia" w:asciiTheme="minorEastAsia" w:hAnsiTheme="minorEastAsia" w:eastAsiaTheme="minorEastAsia" w:cstheme="minorEastAsia"/>
          <w:b/>
          <w:color w:val="auto"/>
          <w:sz w:val="28"/>
          <w:szCs w:val="22"/>
          <w:lang w:val="en-US" w:eastAsia="zh-CN"/>
        </w:rPr>
        <w:t>20</w:t>
      </w:r>
      <w:r>
        <w:rPr>
          <w:rStyle w:val="37"/>
          <w:rFonts w:hint="eastAsia" w:asciiTheme="minorEastAsia" w:hAnsiTheme="minorEastAsia" w:eastAsiaTheme="minorEastAsia" w:cstheme="minorEastAsia"/>
          <w:b/>
          <w:color w:val="auto"/>
          <w:sz w:val="28"/>
          <w:szCs w:val="22"/>
        </w:rPr>
        <w:t>：</w:t>
      </w:r>
      <w:r>
        <w:rPr>
          <w:rStyle w:val="37"/>
          <w:rFonts w:hint="eastAsia" w:asciiTheme="minorEastAsia" w:hAnsiTheme="minorEastAsia" w:eastAsiaTheme="minorEastAsia" w:cstheme="minorEastAsia"/>
          <w:b/>
          <w:color w:val="auto"/>
          <w:sz w:val="28"/>
          <w:szCs w:val="22"/>
          <w:lang w:val="en-US" w:eastAsia="zh-CN"/>
        </w:rPr>
        <w:t>00</w:t>
      </w:r>
      <w:r>
        <w:rPr>
          <w:rStyle w:val="37"/>
          <w:rFonts w:hint="eastAsia" w:asciiTheme="minorEastAsia" w:hAnsiTheme="minorEastAsia" w:eastAsiaTheme="minorEastAsia" w:cstheme="minorEastAsia"/>
          <w:b/>
          <w:color w:val="000000" w:themeColor="text1"/>
          <w:sz w:val="28"/>
          <w:szCs w:val="22"/>
          <w14:textFill>
            <w14:solidFill>
              <w14:schemeClr w14:val="tx1"/>
            </w14:solidFill>
          </w14:textFill>
        </w:rPr>
        <w:t>前到账，</w:t>
      </w: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60B93F3B">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2、投标企业下载招标文件后请仔细阅读，如对招标文件内容有质疑，投标人应在投标截止7日前按招标文件中载明的邮箱</w:t>
      </w:r>
      <w:r>
        <w:rPr>
          <w:rStyle w:val="37"/>
          <w:rFonts w:hint="eastAsia" w:asciiTheme="minorEastAsia" w:hAnsiTheme="minorEastAsia" w:eastAsiaTheme="minorEastAsia" w:cstheme="minorEastAsia"/>
          <w:b/>
          <w:bCs/>
          <w:color w:val="000000" w:themeColor="text1"/>
          <w:sz w:val="28"/>
          <w:szCs w:val="18"/>
          <w:lang w:eastAsia="zh-CN"/>
          <w14:textFill>
            <w14:solidFill>
              <w14:schemeClr w14:val="tx1"/>
            </w14:solidFill>
          </w14:textFill>
        </w:rPr>
        <w:t>：</w:t>
      </w:r>
      <w:r>
        <w:rPr>
          <w:rStyle w:val="37"/>
          <w:rFonts w:hint="eastAsia" w:asciiTheme="minorEastAsia" w:hAnsiTheme="minorEastAsia" w:eastAsiaTheme="minorEastAsia" w:cstheme="minorEastAsia"/>
          <w:b/>
          <w:color w:val="000000" w:themeColor="text1"/>
          <w:sz w:val="28"/>
          <w:szCs w:val="22"/>
          <w14:textFill>
            <w14:solidFill>
              <w14:schemeClr w14:val="tx1"/>
            </w14:solidFill>
          </w14:textFill>
        </w:rPr>
        <w:t>918263649@qq.com</w:t>
      </w:r>
      <w:r>
        <w:rPr>
          <w:rStyle w:val="37"/>
          <w:rFonts w:hint="eastAsia" w:asciiTheme="minorEastAsia" w:hAnsiTheme="minorEastAsia" w:eastAsiaTheme="minorEastAsia" w:cstheme="minorEastAsia"/>
          <w:b/>
          <w:color w:val="000000" w:themeColor="text1"/>
          <w:sz w:val="28"/>
          <w:szCs w:val="22"/>
          <w:lang w:eastAsia="zh-CN"/>
          <w14:textFill>
            <w14:solidFill>
              <w14:schemeClr w14:val="tx1"/>
            </w14:solidFill>
          </w14:textFill>
        </w:rPr>
        <w:t>，</w:t>
      </w: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2D26F829">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3、投标保证金退还：自中标、成交通知书发出之日起5个工作日内退还未中标（成交）供应商的投标（响应）保证金（原路退回，无需提供材料），自政府采购合同签订之日起5个工作日内退还中标（成交）供应商的投标（响应）保证金（原路退回，需提供合同原件一份）。（财务联系电话：0903-6422474）</w:t>
      </w:r>
    </w:p>
    <w:p w14:paraId="3AD25700">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对于符合政府采购政策和采购文件规定不予退还的保证金，我单位按照财政非税收入管理等规定上缴采购人同级预算级次国库。</w:t>
      </w:r>
    </w:p>
    <w:p w14:paraId="72398D9A">
      <w:pPr>
        <w:pStyle w:val="35"/>
        <w:keepNext w:val="0"/>
        <w:keepLines w:val="0"/>
        <w:pageBreakBefore w:val="0"/>
        <w:widowControl w:val="0"/>
        <w:kinsoku/>
        <w:wordWrap/>
        <w:overflowPunct/>
        <w:topLinePunct w:val="0"/>
        <w:autoSpaceDE/>
        <w:autoSpaceDN/>
        <w:bidi w:val="0"/>
        <w:adjustRightInd/>
        <w:snapToGrid/>
        <w:spacing w:line="440" w:lineRule="exact"/>
        <w:textAlignment w:val="auto"/>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r>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t>4.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54F10B8D">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2672B36C">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3260624C">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13909189">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2CF961E">
      <w:pPr>
        <w:pStyle w:val="35"/>
        <w:rPr>
          <w:rStyle w:val="37"/>
          <w:rFonts w:hint="eastAsia" w:asciiTheme="minorEastAsia" w:hAnsiTheme="minorEastAsia" w:eastAsiaTheme="minorEastAsia" w:cstheme="minorEastAsia"/>
          <w:b/>
          <w:bCs/>
          <w:color w:val="000000" w:themeColor="text1"/>
          <w:sz w:val="28"/>
          <w:szCs w:val="18"/>
          <w14:textFill>
            <w14:solidFill>
              <w14:schemeClr w14:val="tx1"/>
            </w14:solidFill>
          </w14:textFill>
        </w:rPr>
      </w:pPr>
    </w:p>
    <w:p w14:paraId="788EA4AF">
      <w:pPr>
        <w:pStyle w:val="6"/>
        <w:jc w:val="center"/>
        <w:rPr>
          <w:rFonts w:hint="eastAsia" w:asciiTheme="minorEastAsia" w:hAnsiTheme="minorEastAsia" w:eastAsiaTheme="minorEastAsia" w:cstheme="minorEastAsia"/>
          <w:b/>
          <w:sz w:val="28"/>
          <w:szCs w:val="28"/>
        </w:rPr>
      </w:pPr>
      <w:bookmarkStart w:id="50" w:name="_Toc5064"/>
      <w:bookmarkStart w:id="51" w:name="_Toc1277"/>
      <w:bookmarkStart w:id="52" w:name="_Toc19282"/>
      <w:bookmarkStart w:id="53" w:name="_Toc30559"/>
      <w:bookmarkStart w:id="54" w:name="_Toc15770"/>
      <w:bookmarkStart w:id="55" w:name="_Toc25035"/>
      <w:bookmarkStart w:id="56" w:name="_Toc15231"/>
      <w:r>
        <w:rPr>
          <w:rFonts w:hint="eastAsia" w:asciiTheme="minorEastAsia" w:hAnsiTheme="minorEastAsia" w:eastAsiaTheme="minorEastAsia" w:cstheme="minorEastAsia"/>
          <w:b/>
          <w:sz w:val="28"/>
          <w:szCs w:val="28"/>
        </w:rPr>
        <w:t>第二</w:t>
      </w:r>
      <w:r>
        <w:rPr>
          <w:rFonts w:hint="eastAsia" w:asciiTheme="minorEastAsia" w:hAnsiTheme="minorEastAsia" w:eastAsiaTheme="minorEastAsia" w:cstheme="minorEastAsia"/>
          <w:b/>
          <w:sz w:val="28"/>
          <w:szCs w:val="28"/>
          <w:lang w:val="en-US" w:eastAsia="zh-CN"/>
        </w:rPr>
        <w:t>章</w:t>
      </w:r>
      <w:r>
        <w:rPr>
          <w:rFonts w:hint="eastAsia" w:asciiTheme="minorEastAsia" w:hAnsiTheme="minorEastAsia" w:eastAsiaTheme="minorEastAsia" w:cstheme="minorEastAsia"/>
          <w:b/>
          <w:sz w:val="28"/>
          <w:szCs w:val="28"/>
        </w:rPr>
        <w:t xml:space="preserve">    投标人须知</w:t>
      </w:r>
      <w:bookmarkEnd w:id="50"/>
      <w:bookmarkEnd w:id="51"/>
      <w:bookmarkEnd w:id="52"/>
      <w:bookmarkEnd w:id="53"/>
      <w:bookmarkEnd w:id="54"/>
      <w:bookmarkEnd w:id="55"/>
      <w:bookmarkEnd w:id="56"/>
    </w:p>
    <w:p w14:paraId="1CDF6818">
      <w:pPr>
        <w:pStyle w:val="5"/>
        <w:numPr>
          <w:ilvl w:val="1"/>
          <w:numId w:val="0"/>
        </w:numPr>
        <w:jc w:val="center"/>
        <w:rPr>
          <w:rFonts w:hint="eastAsia" w:asciiTheme="minorEastAsia" w:hAnsiTheme="minorEastAsia" w:eastAsiaTheme="minorEastAsia" w:cstheme="minorEastAsia"/>
          <w:bCs w:val="0"/>
          <w:sz w:val="28"/>
          <w:szCs w:val="28"/>
        </w:rPr>
      </w:pPr>
      <w:bookmarkStart w:id="57" w:name="_Toc12827"/>
      <w:bookmarkStart w:id="58" w:name="_Toc18219"/>
      <w:bookmarkStart w:id="59" w:name="_Toc10179"/>
      <w:bookmarkStart w:id="60" w:name="_Toc7237"/>
      <w:bookmarkStart w:id="61" w:name="_Toc9144"/>
      <w:bookmarkStart w:id="62" w:name="_Toc24832"/>
      <w:bookmarkStart w:id="63" w:name="_Toc14053"/>
      <w:bookmarkStart w:id="64" w:name="_Toc10040"/>
      <w:bookmarkStart w:id="65" w:name="_Toc21348_WPSOffice_Level1"/>
      <w:bookmarkStart w:id="66" w:name="_Toc29111"/>
      <w:bookmarkStart w:id="67" w:name="_Toc17655"/>
      <w:bookmarkStart w:id="68" w:name="_Toc8971"/>
      <w:r>
        <w:rPr>
          <w:rFonts w:hint="eastAsia" w:asciiTheme="minorEastAsia" w:hAnsiTheme="minorEastAsia" w:eastAsiaTheme="minorEastAsia" w:cstheme="minorEastAsia"/>
          <w:bCs w:val="0"/>
          <w:sz w:val="28"/>
          <w:szCs w:val="28"/>
        </w:rPr>
        <w:t>投标人须知前附表</w:t>
      </w:r>
      <w:bookmarkEnd w:id="57"/>
      <w:bookmarkEnd w:id="58"/>
      <w:bookmarkEnd w:id="59"/>
      <w:bookmarkEnd w:id="60"/>
      <w:bookmarkEnd w:id="61"/>
      <w:bookmarkEnd w:id="62"/>
      <w:bookmarkEnd w:id="63"/>
      <w:bookmarkEnd w:id="64"/>
      <w:bookmarkEnd w:id="65"/>
      <w:bookmarkEnd w:id="66"/>
      <w:bookmarkEnd w:id="67"/>
      <w:bookmarkEnd w:id="68"/>
    </w:p>
    <w:tbl>
      <w:tblPr>
        <w:tblStyle w:val="30"/>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708"/>
      </w:tblGrid>
      <w:tr w14:paraId="48859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14:paraId="355787DA">
            <w:pPr>
              <w:spacing w:line="36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序号</w:t>
            </w:r>
          </w:p>
        </w:tc>
        <w:tc>
          <w:tcPr>
            <w:tcW w:w="1497" w:type="dxa"/>
            <w:tcBorders>
              <w:top w:val="single" w:color="auto" w:sz="12" w:space="0"/>
              <w:right w:val="single" w:color="auto" w:sz="4" w:space="0"/>
            </w:tcBorders>
            <w:vAlign w:val="center"/>
          </w:tcPr>
          <w:p w14:paraId="683F9ED3">
            <w:pPr>
              <w:spacing w:line="36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条款名称</w:t>
            </w:r>
          </w:p>
        </w:tc>
        <w:tc>
          <w:tcPr>
            <w:tcW w:w="7708" w:type="dxa"/>
            <w:tcBorders>
              <w:top w:val="single" w:color="auto" w:sz="12" w:space="0"/>
              <w:left w:val="single" w:color="auto" w:sz="4" w:space="0"/>
            </w:tcBorders>
            <w:vAlign w:val="center"/>
          </w:tcPr>
          <w:p w14:paraId="248F6669">
            <w:pPr>
              <w:spacing w:line="36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说明和要求</w:t>
            </w:r>
          </w:p>
        </w:tc>
      </w:tr>
      <w:tr w14:paraId="25EA2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823" w:type="dxa"/>
            <w:vAlign w:val="center"/>
          </w:tcPr>
          <w:p w14:paraId="293D3A3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497" w:type="dxa"/>
            <w:tcBorders>
              <w:right w:val="single" w:color="auto" w:sz="4" w:space="0"/>
            </w:tcBorders>
            <w:vAlign w:val="center"/>
          </w:tcPr>
          <w:p w14:paraId="1FCE1DF3">
            <w:pPr>
              <w:spacing w:before="31" w:beforeLines="10" w:after="31" w:afterLines="10" w:line="360" w:lineRule="exact"/>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采购人</w:t>
            </w:r>
          </w:p>
        </w:tc>
        <w:tc>
          <w:tcPr>
            <w:tcW w:w="7708" w:type="dxa"/>
            <w:tcBorders>
              <w:left w:val="single" w:color="auto" w:sz="4" w:space="0"/>
            </w:tcBorders>
            <w:vAlign w:val="center"/>
          </w:tcPr>
          <w:p w14:paraId="338E4BE2">
            <w:pPr>
              <w:spacing w:line="35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皮山县民政局</w:t>
            </w:r>
          </w:p>
          <w:p w14:paraId="0FA3C495">
            <w:pPr>
              <w:pStyle w:val="8"/>
              <w:ind w:left="0" w:leftChars="0"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地址：皮山县社会福利园区</w:t>
            </w:r>
          </w:p>
          <w:p w14:paraId="4E20A759">
            <w:pPr>
              <w:spacing w:line="35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szCs w:val="24"/>
                <w:lang w:val="zh-CN"/>
              </w:rPr>
              <w:t>联系人：艾科热木江·阿卜来提 </w:t>
            </w:r>
          </w:p>
          <w:p w14:paraId="5E4C0195">
            <w:pPr>
              <w:spacing w:before="31" w:beforeLines="10" w:after="31" w:afterLines="10" w:line="360" w:lineRule="exac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bCs/>
                <w:color w:val="000000"/>
                <w:sz w:val="24"/>
                <w:szCs w:val="24"/>
                <w:lang w:val="zh-CN"/>
              </w:rPr>
              <w:t>电</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bCs/>
                <w:color w:val="000000"/>
                <w:sz w:val="24"/>
                <w:szCs w:val="24"/>
                <w:lang w:val="zh-CN"/>
              </w:rPr>
              <w:t>话：</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0903</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6422474</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/18197892277</w:t>
            </w:r>
          </w:p>
        </w:tc>
      </w:tr>
      <w:tr w14:paraId="61215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14:paraId="1992994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497" w:type="dxa"/>
            <w:tcBorders>
              <w:right w:val="single" w:color="auto" w:sz="4" w:space="0"/>
            </w:tcBorders>
            <w:vAlign w:val="center"/>
          </w:tcPr>
          <w:p w14:paraId="4A2E0663">
            <w:pPr>
              <w:spacing w:before="31" w:beforeLines="10" w:after="31" w:afterLines="10"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代理机构</w:t>
            </w:r>
          </w:p>
        </w:tc>
        <w:tc>
          <w:tcPr>
            <w:tcW w:w="7708" w:type="dxa"/>
            <w:tcBorders>
              <w:left w:val="single" w:color="auto" w:sz="4" w:space="0"/>
            </w:tcBorders>
            <w:vAlign w:val="center"/>
          </w:tcPr>
          <w:p w14:paraId="4D3D40AF">
            <w:pPr>
              <w:spacing w:before="31" w:beforeLines="10" w:after="31" w:afterLines="10" w:line="3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称：和田锦荣工程项目管理有限公司</w:t>
            </w:r>
          </w:p>
          <w:p w14:paraId="73760E76">
            <w:pPr>
              <w:spacing w:before="31" w:beforeLines="10" w:after="31" w:afterLines="10" w:line="3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址：新疆和田地区和田市古勒巴格街道凯旋路57号川亿凯旋公馆B区19栋</w:t>
            </w:r>
          </w:p>
          <w:p w14:paraId="2687EBFB">
            <w:pPr>
              <w:spacing w:before="31" w:beforeLines="10" w:after="31" w:afterLines="10" w:line="3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联系人：王慧珍</w:t>
            </w:r>
          </w:p>
          <w:p w14:paraId="1212B172">
            <w:pPr>
              <w:spacing w:before="31" w:beforeLines="10" w:after="31" w:afterLines="10" w:line="360" w:lineRule="exac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szCs w:val="24"/>
              </w:rPr>
              <w:t>电  话：0903-2515565</w:t>
            </w:r>
            <w:r>
              <w:rPr>
                <w:rFonts w:hint="eastAsia" w:asciiTheme="minorEastAsia" w:hAnsiTheme="minorEastAsia" w:eastAsiaTheme="minorEastAsia" w:cstheme="minorEastAsia"/>
                <w:color w:val="000000"/>
                <w:sz w:val="24"/>
                <w:szCs w:val="24"/>
                <w:lang w:val="en-US" w:eastAsia="zh-CN"/>
              </w:rPr>
              <w:t>/13699329049</w:t>
            </w:r>
          </w:p>
        </w:tc>
      </w:tr>
      <w:tr w14:paraId="28C6E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14:paraId="3117A97D">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497" w:type="dxa"/>
            <w:tcBorders>
              <w:right w:val="single" w:color="auto" w:sz="4" w:space="0"/>
            </w:tcBorders>
            <w:vAlign w:val="center"/>
          </w:tcPr>
          <w:p w14:paraId="37B69CEE">
            <w:pPr>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采购项目名称</w:t>
            </w:r>
          </w:p>
        </w:tc>
        <w:tc>
          <w:tcPr>
            <w:tcW w:w="7708" w:type="dxa"/>
            <w:tcBorders>
              <w:left w:val="single" w:color="auto" w:sz="4" w:space="0"/>
            </w:tcBorders>
            <w:vAlign w:val="center"/>
          </w:tcPr>
          <w:p w14:paraId="57F8D43E">
            <w:pPr>
              <w:tabs>
                <w:tab w:val="left" w:pos="900"/>
              </w:tabs>
              <w:spacing w:before="31" w:beforeLines="10" w:after="31" w:afterLines="10" w:line="360" w:lineRule="exact"/>
              <w:jc w:val="left"/>
              <w:rPr>
                <w:rFonts w:hint="eastAsia" w:asciiTheme="minorEastAsia" w:hAnsiTheme="minorEastAsia" w:eastAsiaTheme="minorEastAsia" w:cstheme="minorEastAsia"/>
                <w:color w:val="000000"/>
                <w:sz w:val="24"/>
                <w:szCs w:val="22"/>
                <w:lang w:eastAsia="zh-CN"/>
              </w:rPr>
            </w:pPr>
            <w:r>
              <w:rPr>
                <w:rFonts w:hint="eastAsia" w:asciiTheme="minorEastAsia" w:hAnsiTheme="minorEastAsia" w:eastAsiaTheme="minorEastAsia" w:cstheme="minorEastAsia"/>
                <w:color w:val="000000"/>
                <w:sz w:val="24"/>
                <w:szCs w:val="22"/>
                <w:lang w:eastAsia="zh-CN"/>
              </w:rPr>
              <w:t>皮山县民政局2025年养老福利机构集中供养人员照料护理购买服务项目</w:t>
            </w:r>
          </w:p>
        </w:tc>
      </w:tr>
      <w:tr w14:paraId="2A1A3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823" w:type="dxa"/>
            <w:vAlign w:val="center"/>
          </w:tcPr>
          <w:p w14:paraId="268FC5D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497" w:type="dxa"/>
            <w:tcBorders>
              <w:right w:val="single" w:color="auto" w:sz="4" w:space="0"/>
            </w:tcBorders>
            <w:vAlign w:val="center"/>
          </w:tcPr>
          <w:p w14:paraId="26122F9A">
            <w:pPr>
              <w:spacing w:line="360" w:lineRule="exact"/>
              <w:ind w:firstLine="240" w:firstLineChars="1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采购内容</w:t>
            </w:r>
          </w:p>
        </w:tc>
        <w:tc>
          <w:tcPr>
            <w:tcW w:w="7708" w:type="dxa"/>
            <w:tcBorders>
              <w:left w:val="single" w:color="auto" w:sz="4" w:space="0"/>
            </w:tcBorders>
            <w:vAlign w:val="center"/>
          </w:tcPr>
          <w:p w14:paraId="70CB463E">
            <w:pPr>
              <w:tabs>
                <w:tab w:val="left" w:pos="900"/>
              </w:tabs>
              <w:spacing w:before="31" w:beforeLines="10" w:after="31" w:afterLines="10" w:line="360" w:lineRule="exact"/>
              <w:jc w:val="left"/>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sz w:val="24"/>
                <w:szCs w:val="22"/>
                <w:lang w:val="en-US" w:eastAsia="zh-CN"/>
              </w:rPr>
              <w:t>购买2025年皮山</w:t>
            </w:r>
            <w:r>
              <w:rPr>
                <w:rFonts w:hint="eastAsia" w:asciiTheme="minorEastAsia" w:hAnsiTheme="minorEastAsia" w:eastAsiaTheme="minorEastAsia" w:cstheme="minorEastAsia"/>
                <w:color w:val="000000"/>
                <w:sz w:val="24"/>
                <w:szCs w:val="22"/>
                <w:lang w:eastAsia="zh-CN"/>
              </w:rPr>
              <w:t>县</w:t>
            </w:r>
            <w:r>
              <w:rPr>
                <w:rFonts w:hint="eastAsia" w:asciiTheme="minorEastAsia" w:hAnsiTheme="minorEastAsia" w:eastAsiaTheme="minorEastAsia" w:cstheme="minorEastAsia"/>
                <w:color w:val="000000"/>
                <w:sz w:val="24"/>
                <w:szCs w:val="22"/>
                <w:lang w:val="en-US" w:eastAsia="zh-CN"/>
              </w:rPr>
              <w:t>养老福利机构集中</w:t>
            </w:r>
            <w:r>
              <w:rPr>
                <w:rFonts w:hint="eastAsia" w:asciiTheme="minorEastAsia" w:hAnsiTheme="minorEastAsia" w:eastAsiaTheme="minorEastAsia" w:cstheme="minorEastAsia"/>
                <w:color w:val="000000"/>
                <w:sz w:val="24"/>
                <w:szCs w:val="22"/>
                <w:lang w:eastAsia="zh-CN"/>
              </w:rPr>
              <w:t>供养人员照料护理</w:t>
            </w:r>
            <w:r>
              <w:rPr>
                <w:rFonts w:hint="eastAsia" w:asciiTheme="minorEastAsia" w:hAnsiTheme="minorEastAsia" w:eastAsiaTheme="minorEastAsia" w:cstheme="minorEastAsia"/>
                <w:color w:val="000000"/>
                <w:sz w:val="24"/>
                <w:szCs w:val="22"/>
                <w:lang w:val="en-US" w:eastAsia="zh-CN"/>
              </w:rPr>
              <w:t>服务（基本照料护理服务、</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残疾老年人服务、</w:t>
            </w:r>
            <w:r>
              <w:rPr>
                <w:rFonts w:hint="eastAsia" w:asciiTheme="minorEastAsia" w:hAnsiTheme="minorEastAsia" w:eastAsiaTheme="minorEastAsia" w:cstheme="minorEastAsia"/>
                <w:color w:val="000000"/>
                <w:sz w:val="24"/>
                <w:szCs w:val="22"/>
                <w:lang w:val="en-US" w:eastAsia="zh-CN"/>
              </w:rPr>
              <w:t>送医陪护服务、心理疏导服务、社会融入服务等）</w:t>
            </w:r>
          </w:p>
        </w:tc>
      </w:tr>
      <w:tr w14:paraId="05C54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823" w:type="dxa"/>
            <w:vAlign w:val="center"/>
          </w:tcPr>
          <w:p w14:paraId="6DFEB4D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497" w:type="dxa"/>
            <w:tcBorders>
              <w:right w:val="single" w:color="auto" w:sz="4" w:space="0"/>
            </w:tcBorders>
            <w:vAlign w:val="center"/>
          </w:tcPr>
          <w:p w14:paraId="68835AFD">
            <w:pPr>
              <w:tabs>
                <w:tab w:val="left" w:pos="900"/>
              </w:tabs>
              <w:spacing w:before="31" w:beforeLines="10" w:after="31" w:afterLines="10" w:line="360" w:lineRule="exact"/>
              <w:jc w:val="center"/>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资金来源</w:t>
            </w:r>
          </w:p>
        </w:tc>
        <w:tc>
          <w:tcPr>
            <w:tcW w:w="7708" w:type="dxa"/>
            <w:tcBorders>
              <w:left w:val="single" w:color="auto" w:sz="4" w:space="0"/>
            </w:tcBorders>
            <w:vAlign w:val="bottom"/>
          </w:tcPr>
          <w:p w14:paraId="426FCA76">
            <w:pPr>
              <w:tabs>
                <w:tab w:val="left" w:pos="900"/>
              </w:tabs>
              <w:spacing w:before="31" w:beforeLines="10" w:after="31" w:afterLines="10" w:line="360" w:lineRule="exact"/>
              <w:jc w:val="left"/>
              <w:rPr>
                <w:rFonts w:hint="default" w:asciiTheme="minorEastAsia" w:hAnsiTheme="minorEastAsia" w:eastAsiaTheme="minorEastAsia" w:cstheme="minorEastAsia"/>
                <w:color w:val="000000" w:themeColor="text1"/>
                <w:sz w:val="24"/>
                <w:szCs w:val="2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2"/>
                <w:lang w:val="en-US" w:eastAsia="zh-CN"/>
                <w14:textFill>
                  <w14:solidFill>
                    <w14:schemeClr w14:val="tx1"/>
                  </w14:solidFill>
                </w14:textFill>
              </w:rPr>
              <w:t>2025年中央财政困难群众救助补助资金。</w:t>
            </w:r>
          </w:p>
        </w:tc>
      </w:tr>
      <w:tr w14:paraId="0421F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823" w:type="dxa"/>
            <w:vAlign w:val="center"/>
          </w:tcPr>
          <w:p w14:paraId="339BDEF9">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497" w:type="dxa"/>
            <w:tcBorders>
              <w:right w:val="single" w:color="auto" w:sz="4" w:space="0"/>
            </w:tcBorders>
            <w:vAlign w:val="center"/>
          </w:tcPr>
          <w:p w14:paraId="71FA9C0C">
            <w:pPr>
              <w:tabs>
                <w:tab w:val="left" w:pos="900"/>
              </w:tabs>
              <w:spacing w:before="31" w:beforeLines="10" w:after="31" w:afterLines="10" w:line="360" w:lineRule="exact"/>
              <w:jc w:val="center"/>
              <w:rPr>
                <w:rFonts w:hint="eastAsia" w:asciiTheme="minorEastAsia" w:hAnsiTheme="minorEastAsia" w:eastAsiaTheme="minorEastAsia" w:cstheme="minorEastAsia"/>
                <w:color w:val="000000" w:themeColor="text1"/>
                <w:kern w:val="0"/>
                <w:sz w:val="24"/>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14:textFill>
                  <w14:solidFill>
                    <w14:schemeClr w14:val="tx1"/>
                  </w14:solidFill>
                </w14:textFill>
              </w:rPr>
              <w:t>采购概算价</w:t>
            </w:r>
          </w:p>
        </w:tc>
        <w:tc>
          <w:tcPr>
            <w:tcW w:w="7708" w:type="dxa"/>
            <w:tcBorders>
              <w:left w:val="single" w:color="auto" w:sz="4" w:space="0"/>
            </w:tcBorders>
            <w:vAlign w:val="center"/>
          </w:tcPr>
          <w:p w14:paraId="58270A2D">
            <w:pPr>
              <w:tabs>
                <w:tab w:val="left" w:pos="900"/>
              </w:tabs>
              <w:spacing w:before="31" w:beforeLines="10" w:after="31" w:afterLines="10" w:line="360" w:lineRule="exact"/>
              <w:jc w:val="left"/>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预算总价：</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2636400元</w:t>
            </w:r>
            <w:r>
              <w:rPr>
                <w:rFonts w:hint="eastAsia" w:asciiTheme="minorEastAsia" w:hAnsiTheme="minorEastAsia" w:eastAsiaTheme="minorEastAsia" w:cstheme="minorEastAsia"/>
                <w:color w:val="000000" w:themeColor="text1"/>
                <w:sz w:val="24"/>
                <w:szCs w:val="22"/>
                <w14:textFill>
                  <w14:solidFill>
                    <w14:schemeClr w14:val="tx1"/>
                  </w14:solidFill>
                </w14:textFill>
              </w:rPr>
              <w:t>（此采购金额为最高限价，如超过预算价的报价为无效报价）</w:t>
            </w:r>
          </w:p>
          <w:p w14:paraId="06664D9D">
            <w:pPr>
              <w:tabs>
                <w:tab w:val="left" w:pos="900"/>
              </w:tabs>
              <w:spacing w:before="31" w:beforeLines="10" w:after="31" w:afterLines="10" w:line="360" w:lineRule="exact"/>
              <w:jc w:val="left"/>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投标人注意！</w:t>
            </w:r>
          </w:p>
        </w:tc>
      </w:tr>
      <w:tr w14:paraId="11560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3D690CC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1497" w:type="dxa"/>
            <w:tcBorders>
              <w:right w:val="single" w:color="auto" w:sz="4" w:space="0"/>
            </w:tcBorders>
            <w:vAlign w:val="center"/>
          </w:tcPr>
          <w:p w14:paraId="70DEC835">
            <w:pPr>
              <w:spacing w:line="360" w:lineRule="exact"/>
              <w:jc w:val="center"/>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kern w:val="0"/>
                <w:sz w:val="24"/>
              </w:rPr>
              <w:t>采购方式</w:t>
            </w:r>
          </w:p>
        </w:tc>
        <w:tc>
          <w:tcPr>
            <w:tcW w:w="7708" w:type="dxa"/>
            <w:tcBorders>
              <w:left w:val="single" w:color="auto" w:sz="4" w:space="0"/>
            </w:tcBorders>
            <w:vAlign w:val="center"/>
          </w:tcPr>
          <w:p w14:paraId="6B5D7F19">
            <w:pPr>
              <w:spacing w:line="360" w:lineRule="exact"/>
              <w:jc w:val="left"/>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kern w:val="0"/>
                <w:sz w:val="24"/>
                <w:szCs w:val="22"/>
              </w:rPr>
              <w:t>公开招标</w:t>
            </w:r>
          </w:p>
        </w:tc>
      </w:tr>
      <w:tr w14:paraId="2708B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1597A170">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1497" w:type="dxa"/>
            <w:tcBorders>
              <w:right w:val="single" w:color="auto" w:sz="4" w:space="0"/>
            </w:tcBorders>
            <w:vAlign w:val="center"/>
          </w:tcPr>
          <w:p w14:paraId="0E990B46">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评标方法</w:t>
            </w:r>
          </w:p>
        </w:tc>
        <w:tc>
          <w:tcPr>
            <w:tcW w:w="7708" w:type="dxa"/>
            <w:tcBorders>
              <w:left w:val="single" w:color="auto" w:sz="4" w:space="0"/>
            </w:tcBorders>
            <w:vAlign w:val="center"/>
          </w:tcPr>
          <w:p w14:paraId="7CEF5349">
            <w:pPr>
              <w:spacing w:line="3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根据《政府采购货物和服务招标投标管理办法》（中华人民共和国财政部令第87号）规定的评审标准，采用综合评分法。</w:t>
            </w:r>
          </w:p>
        </w:tc>
      </w:tr>
      <w:tr w14:paraId="5E059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14:paraId="359C6BA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1497" w:type="dxa"/>
            <w:tcBorders>
              <w:right w:val="single" w:color="auto" w:sz="4" w:space="0"/>
            </w:tcBorders>
            <w:vAlign w:val="center"/>
          </w:tcPr>
          <w:p w14:paraId="0F8736F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信息公告媒体</w:t>
            </w:r>
          </w:p>
        </w:tc>
        <w:tc>
          <w:tcPr>
            <w:tcW w:w="7708" w:type="dxa"/>
            <w:tcBorders>
              <w:left w:val="single" w:color="auto" w:sz="4" w:space="0"/>
            </w:tcBorders>
            <w:vAlign w:val="center"/>
          </w:tcPr>
          <w:p w14:paraId="000A942C">
            <w:pPr>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rPr>
              <w:t>新疆政府采购网（http://www.ccgp-xinjiang.gov.cn/）</w:t>
            </w:r>
          </w:p>
        </w:tc>
      </w:tr>
      <w:tr w14:paraId="246CA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62B6B91F">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w:t>
            </w:r>
          </w:p>
        </w:tc>
        <w:tc>
          <w:tcPr>
            <w:tcW w:w="1497" w:type="dxa"/>
            <w:tcBorders>
              <w:right w:val="single" w:color="auto" w:sz="4" w:space="0"/>
            </w:tcBorders>
            <w:vAlign w:val="center"/>
          </w:tcPr>
          <w:p w14:paraId="4A91D128">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资格要求</w:t>
            </w:r>
          </w:p>
        </w:tc>
        <w:tc>
          <w:tcPr>
            <w:tcW w:w="7708" w:type="dxa"/>
            <w:tcBorders>
              <w:left w:val="single" w:color="auto" w:sz="4" w:space="0"/>
            </w:tcBorders>
            <w:vAlign w:val="center"/>
          </w:tcPr>
          <w:p w14:paraId="661BABD4">
            <w:pPr>
              <w:spacing w:line="360" w:lineRule="exact"/>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投标供应商资格要求:</w:t>
            </w:r>
          </w:p>
          <w:p w14:paraId="77826321">
            <w:pPr>
              <w:spacing w:line="360" w:lineRule="exact"/>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满足《中华人民共和国政府采购法》第二十二条规定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14:paraId="5DDBF5E7">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EC9188B">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（2）法定代表人的需提供法定代表人证明书（须附法人身份证复印件正反面）或委托代理人需提供法定代表人授权委托书（授权书需附法人身份证复印件及委托人身份证复印件正反面）；</w:t>
            </w:r>
          </w:p>
          <w:p w14:paraId="50D2B79E">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3）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p w14:paraId="6740059F">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4）具有良好的商业信誉和健全的财务会计制度（需单独提供）：提供2023年由第三方审计机构出具在注册会计师行业统一监管平台备案赋码的审计报告（2024年新成立的公司按实际发生的情况提供银行出具的资信证明）和健全的财务会计制度；</w:t>
            </w:r>
          </w:p>
          <w:p w14:paraId="0AF05CF7">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（5）履行合同所必需的设备和专业技术能力：提供《投标人资格声明函》；</w:t>
            </w:r>
          </w:p>
          <w:p w14:paraId="19480FF8">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6）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8A782EF">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7）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5CC508CF">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（8）企业负责人为同一人或者存在直接控股、管理关系的不同投标人，不得参加同一合同项下的政府采购活动。否则，皆取消投标资格；</w:t>
            </w:r>
          </w:p>
          <w:p w14:paraId="3F1E868D">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（9）投标保证金或电子保函：20000.00元（大写：贰万元整）。</w:t>
            </w:r>
          </w:p>
          <w:p w14:paraId="3B367276">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（10）本项目不接受联合体投标。</w:t>
            </w:r>
          </w:p>
          <w:p w14:paraId="35AD370F">
            <w:pPr>
              <w:pStyle w:val="15"/>
              <w:numPr>
                <w:ilvl w:val="0"/>
                <w:numId w:val="0"/>
              </w:numPr>
              <w:snapToGrid w:val="0"/>
              <w:spacing w:line="360" w:lineRule="auto"/>
              <w:ind w:firstLine="440" w:firstLineChars="2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特定资格要求：</w:t>
            </w:r>
          </w:p>
          <w:p w14:paraId="2C0B4E35">
            <w:pPr>
              <w:pStyle w:val="15"/>
              <w:numPr>
                <w:ilvl w:val="0"/>
                <w:numId w:val="0"/>
              </w:numPr>
              <w:snapToGrid w:val="0"/>
              <w:spacing w:line="360" w:lineRule="auto"/>
              <w:ind w:firstLine="880" w:firstLineChars="400"/>
              <w:outlineLvl w:val="2"/>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供应商须</w:t>
            </w:r>
            <w:r>
              <w:rPr>
                <w:rFonts w:hint="default" w:asciiTheme="minorEastAsia" w:hAnsiTheme="minorEastAsia" w:eastAsiaTheme="minorEastAsia" w:cstheme="minorEastAsia"/>
                <w:kern w:val="0"/>
                <w:sz w:val="22"/>
                <w:szCs w:val="22"/>
                <w:lang w:val="en-US" w:eastAsia="zh-CN" w:bidi="ar-SA"/>
              </w:rPr>
              <w:t>具备提供社会救助服务所必需的固定办公场所、设施、人员和专业技术能力，具有健全的法人管理结构，完善的内部管理和信息公开、民监督制度</w:t>
            </w:r>
            <w:r>
              <w:rPr>
                <w:rFonts w:hint="eastAsia" w:asciiTheme="minorEastAsia" w:hAnsiTheme="minorEastAsia" w:eastAsiaTheme="minorEastAsia" w:cstheme="minorEastAsia"/>
                <w:kern w:val="0"/>
                <w:sz w:val="22"/>
                <w:szCs w:val="22"/>
                <w:lang w:val="en-US" w:eastAsia="zh-CN" w:bidi="ar-SA"/>
              </w:rPr>
              <w:t>；</w:t>
            </w:r>
          </w:p>
        </w:tc>
      </w:tr>
      <w:tr w14:paraId="47201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7B75297D">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11</w:t>
            </w:r>
          </w:p>
        </w:tc>
        <w:tc>
          <w:tcPr>
            <w:tcW w:w="1497" w:type="dxa"/>
            <w:tcBorders>
              <w:right w:val="single" w:color="auto" w:sz="4" w:space="0"/>
            </w:tcBorders>
            <w:vAlign w:val="center"/>
          </w:tcPr>
          <w:p w14:paraId="78177A5A">
            <w:pPr>
              <w:spacing w:line="360" w:lineRule="exact"/>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服务期</w:t>
            </w:r>
          </w:p>
        </w:tc>
        <w:tc>
          <w:tcPr>
            <w:tcW w:w="7708" w:type="dxa"/>
            <w:tcBorders>
              <w:left w:val="single" w:color="auto" w:sz="4" w:space="0"/>
            </w:tcBorders>
            <w:vAlign w:val="center"/>
          </w:tcPr>
          <w:p w14:paraId="5B79E32D">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12个月（具体时间以签订合同为准）</w:t>
            </w:r>
          </w:p>
        </w:tc>
      </w:tr>
      <w:tr w14:paraId="12420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61D7D99F">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w:t>
            </w:r>
          </w:p>
        </w:tc>
        <w:tc>
          <w:tcPr>
            <w:tcW w:w="1497" w:type="dxa"/>
            <w:tcBorders>
              <w:right w:val="single" w:color="auto" w:sz="4" w:space="0"/>
            </w:tcBorders>
            <w:vAlign w:val="center"/>
          </w:tcPr>
          <w:p w14:paraId="2C1D26D9">
            <w:pPr>
              <w:spacing w:line="360" w:lineRule="exact"/>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质量要求</w:t>
            </w:r>
          </w:p>
        </w:tc>
        <w:tc>
          <w:tcPr>
            <w:tcW w:w="7708" w:type="dxa"/>
            <w:tcBorders>
              <w:left w:val="single" w:color="auto" w:sz="4" w:space="0"/>
            </w:tcBorders>
            <w:vAlign w:val="center"/>
          </w:tcPr>
          <w:p w14:paraId="3065B657">
            <w:pPr>
              <w:spacing w:line="360" w:lineRule="exac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合格及以上</w:t>
            </w:r>
          </w:p>
        </w:tc>
      </w:tr>
      <w:tr w14:paraId="6B5D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03666DA">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13</w:t>
            </w:r>
          </w:p>
        </w:tc>
        <w:tc>
          <w:tcPr>
            <w:tcW w:w="1497" w:type="dxa"/>
            <w:tcBorders>
              <w:right w:val="single" w:color="auto" w:sz="4" w:space="0"/>
            </w:tcBorders>
            <w:vAlign w:val="center"/>
          </w:tcPr>
          <w:p w14:paraId="7483B3BB">
            <w:pPr>
              <w:spacing w:line="360" w:lineRule="exact"/>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合同付款方式</w:t>
            </w:r>
          </w:p>
        </w:tc>
        <w:tc>
          <w:tcPr>
            <w:tcW w:w="7708" w:type="dxa"/>
            <w:tcBorders>
              <w:left w:val="single" w:color="auto" w:sz="4" w:space="0"/>
            </w:tcBorders>
            <w:vAlign w:val="center"/>
          </w:tcPr>
          <w:p w14:paraId="64A93E21">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甲乙双方签订合同后，甲方向乙方支付合同总价的80%；全部服务达标及评估合格后，甲方向乙方支付合同总价的20%。</w:t>
            </w:r>
          </w:p>
        </w:tc>
      </w:tr>
      <w:tr w14:paraId="20EB7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6E93227">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14</w:t>
            </w:r>
          </w:p>
        </w:tc>
        <w:tc>
          <w:tcPr>
            <w:tcW w:w="1497" w:type="dxa"/>
            <w:tcBorders>
              <w:right w:val="single" w:color="auto" w:sz="4" w:space="0"/>
            </w:tcBorders>
            <w:vAlign w:val="center"/>
          </w:tcPr>
          <w:p w14:paraId="3DE8FC1B">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验收要求</w:t>
            </w:r>
          </w:p>
        </w:tc>
        <w:tc>
          <w:tcPr>
            <w:tcW w:w="7708" w:type="dxa"/>
            <w:tcBorders>
              <w:left w:val="single" w:color="auto" w:sz="4" w:space="0"/>
            </w:tcBorders>
            <w:vAlign w:val="center"/>
          </w:tcPr>
          <w:p w14:paraId="43DE7579">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政府采购合同履行完毕后，收到中标人验收申请10日内组织履约验收</w:t>
            </w:r>
          </w:p>
        </w:tc>
      </w:tr>
      <w:tr w14:paraId="6CB82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898E000">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15</w:t>
            </w:r>
          </w:p>
        </w:tc>
        <w:tc>
          <w:tcPr>
            <w:tcW w:w="1497" w:type="dxa"/>
            <w:tcBorders>
              <w:right w:val="single" w:color="auto" w:sz="4" w:space="0"/>
            </w:tcBorders>
            <w:vAlign w:val="center"/>
          </w:tcPr>
          <w:p w14:paraId="6AABC8B2">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联合体投标</w:t>
            </w:r>
          </w:p>
        </w:tc>
        <w:tc>
          <w:tcPr>
            <w:tcW w:w="7708" w:type="dxa"/>
            <w:tcBorders>
              <w:left w:val="single" w:color="auto" w:sz="4" w:space="0"/>
            </w:tcBorders>
            <w:vAlign w:val="center"/>
          </w:tcPr>
          <w:p w14:paraId="3940C3A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不接受（如非专门面向中小企业采购，需要预留中小企业份额的项目建议接受联合体投标）</w:t>
            </w:r>
          </w:p>
        </w:tc>
      </w:tr>
      <w:tr w14:paraId="4420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C150875">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16</w:t>
            </w:r>
          </w:p>
        </w:tc>
        <w:tc>
          <w:tcPr>
            <w:tcW w:w="1497" w:type="dxa"/>
            <w:tcBorders>
              <w:right w:val="single" w:color="auto" w:sz="4" w:space="0"/>
            </w:tcBorders>
            <w:vAlign w:val="center"/>
          </w:tcPr>
          <w:p w14:paraId="281736E1">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踏勘现场</w:t>
            </w:r>
          </w:p>
        </w:tc>
        <w:tc>
          <w:tcPr>
            <w:tcW w:w="7708" w:type="dxa"/>
            <w:tcBorders>
              <w:left w:val="single" w:color="auto" w:sz="4" w:space="0"/>
            </w:tcBorders>
            <w:vAlign w:val="center"/>
          </w:tcPr>
          <w:p w14:paraId="7B463449">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tc>
      </w:tr>
      <w:tr w14:paraId="294A4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7D62EAB1">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17</w:t>
            </w:r>
          </w:p>
        </w:tc>
        <w:tc>
          <w:tcPr>
            <w:tcW w:w="1497" w:type="dxa"/>
            <w:tcBorders>
              <w:right w:val="single" w:color="auto" w:sz="4" w:space="0"/>
            </w:tcBorders>
            <w:vAlign w:val="center"/>
          </w:tcPr>
          <w:p w14:paraId="32EECD77">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分包</w:t>
            </w:r>
          </w:p>
        </w:tc>
        <w:tc>
          <w:tcPr>
            <w:tcW w:w="7708" w:type="dxa"/>
            <w:tcBorders>
              <w:left w:val="single" w:color="auto" w:sz="4" w:space="0"/>
            </w:tcBorders>
            <w:vAlign w:val="center"/>
          </w:tcPr>
          <w:p w14:paraId="3ED823B1">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14:textFill>
                  <w14:solidFill>
                    <w14:schemeClr w14:val="tx1"/>
                  </w14:solidFill>
                </w14:textFill>
              </w:rPr>
              <w:t>允许</w:t>
            </w:r>
          </w:p>
        </w:tc>
      </w:tr>
      <w:tr w14:paraId="31B92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B90D7C3">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18</w:t>
            </w:r>
          </w:p>
        </w:tc>
        <w:tc>
          <w:tcPr>
            <w:tcW w:w="1497" w:type="dxa"/>
            <w:tcBorders>
              <w:right w:val="single" w:color="auto" w:sz="4" w:space="0"/>
            </w:tcBorders>
            <w:vAlign w:val="center"/>
          </w:tcPr>
          <w:p w14:paraId="4E4F7F2A">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转包</w:t>
            </w:r>
          </w:p>
        </w:tc>
        <w:tc>
          <w:tcPr>
            <w:tcW w:w="7708" w:type="dxa"/>
            <w:tcBorders>
              <w:left w:val="single" w:color="auto" w:sz="4" w:space="0"/>
            </w:tcBorders>
            <w:vAlign w:val="center"/>
          </w:tcPr>
          <w:p w14:paraId="33242C22">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w:t>
            </w:r>
          </w:p>
        </w:tc>
      </w:tr>
      <w:tr w14:paraId="5873E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178A29C">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19</w:t>
            </w:r>
          </w:p>
        </w:tc>
        <w:tc>
          <w:tcPr>
            <w:tcW w:w="1497" w:type="dxa"/>
            <w:tcBorders>
              <w:right w:val="single" w:color="auto" w:sz="4" w:space="0"/>
            </w:tcBorders>
            <w:vAlign w:val="center"/>
          </w:tcPr>
          <w:p w14:paraId="6D46F130">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投标人对招标文件提出质疑的时间</w:t>
            </w:r>
          </w:p>
        </w:tc>
        <w:tc>
          <w:tcPr>
            <w:tcW w:w="7708" w:type="dxa"/>
            <w:tcBorders>
              <w:left w:val="single" w:color="auto" w:sz="4" w:space="0"/>
            </w:tcBorders>
            <w:vAlign w:val="center"/>
          </w:tcPr>
          <w:p w14:paraId="3FFC247E">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招标文件、招标过程或中标结果使自己的合法权益受到损害的，应当在知道或者应知其权益受到损害之日起七个工作日内，以书面形式向招标人、招标代理机构提出质疑；质疑函的方式：将PDF格式电子版质疑文件加盖公章扫描发送至邮箱。</w:t>
            </w:r>
          </w:p>
          <w:p w14:paraId="3059E0DF">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接受质疑的单位：和田锦荣工程项目管理有限公司              </w:t>
            </w:r>
          </w:p>
          <w:p w14:paraId="51BCF6DB">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联系电话：0903-2515565              </w:t>
            </w:r>
          </w:p>
          <w:p w14:paraId="545259C8">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邮箱：918263649@qq.com</w:t>
            </w:r>
          </w:p>
        </w:tc>
      </w:tr>
      <w:tr w14:paraId="606E6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823" w:type="dxa"/>
            <w:vAlign w:val="center"/>
          </w:tcPr>
          <w:p w14:paraId="54562C3D">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20</w:t>
            </w:r>
          </w:p>
        </w:tc>
        <w:tc>
          <w:tcPr>
            <w:tcW w:w="1497" w:type="dxa"/>
            <w:tcBorders>
              <w:right w:val="single" w:color="auto" w:sz="4" w:space="0"/>
            </w:tcBorders>
            <w:vAlign w:val="center"/>
          </w:tcPr>
          <w:p w14:paraId="19551CB7">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构成招标文件的其他文件</w:t>
            </w:r>
          </w:p>
        </w:tc>
        <w:tc>
          <w:tcPr>
            <w:tcW w:w="7708" w:type="dxa"/>
            <w:tcBorders>
              <w:left w:val="single" w:color="auto" w:sz="4" w:space="0"/>
            </w:tcBorders>
            <w:vAlign w:val="center"/>
          </w:tcPr>
          <w:p w14:paraId="2C904BB4">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招标文件的澄清、修改书及有关补充通知为招标文件的有效组成部分。</w:t>
            </w:r>
          </w:p>
        </w:tc>
      </w:tr>
      <w:tr w14:paraId="2E242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2020E189">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21</w:t>
            </w:r>
          </w:p>
        </w:tc>
        <w:tc>
          <w:tcPr>
            <w:tcW w:w="1497" w:type="dxa"/>
            <w:tcBorders>
              <w:right w:val="single" w:color="auto" w:sz="4" w:space="0"/>
            </w:tcBorders>
            <w:vAlign w:val="center"/>
          </w:tcPr>
          <w:p w14:paraId="4F0A83C2">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投标截止时间</w:t>
            </w:r>
          </w:p>
        </w:tc>
        <w:tc>
          <w:tcPr>
            <w:tcW w:w="7708" w:type="dxa"/>
            <w:tcBorders>
              <w:left w:val="single" w:color="auto" w:sz="4" w:space="0"/>
            </w:tcBorders>
            <w:vAlign w:val="center"/>
          </w:tcPr>
          <w:p w14:paraId="2125EB9E">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FF"/>
                <w:sz w:val="24"/>
                <w:szCs w:val="24"/>
                <w:lang w:val="en-US" w:eastAsia="zh-CN"/>
              </w:rPr>
              <w:t>2025年03月12</w:t>
            </w:r>
            <w:r>
              <w:rPr>
                <w:rFonts w:hint="eastAsia" w:asciiTheme="minorEastAsia" w:hAnsiTheme="minorEastAsia" w:eastAsiaTheme="minorEastAsia" w:cstheme="minorEastAsia"/>
                <w:color w:val="auto"/>
                <w:sz w:val="24"/>
                <w:szCs w:val="24"/>
                <w:lang w:val="en-US" w:eastAsia="zh-CN"/>
              </w:rPr>
              <w:t>日11:00分（北京时间）</w:t>
            </w:r>
          </w:p>
        </w:tc>
      </w:tr>
      <w:tr w14:paraId="3A5F1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1193244">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22</w:t>
            </w:r>
          </w:p>
        </w:tc>
        <w:tc>
          <w:tcPr>
            <w:tcW w:w="1497" w:type="dxa"/>
            <w:tcBorders>
              <w:right w:val="single" w:color="auto" w:sz="4" w:space="0"/>
            </w:tcBorders>
            <w:vAlign w:val="center"/>
          </w:tcPr>
          <w:p w14:paraId="66EF2493">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投标有效期</w:t>
            </w:r>
          </w:p>
        </w:tc>
        <w:tc>
          <w:tcPr>
            <w:tcW w:w="7708" w:type="dxa"/>
            <w:tcBorders>
              <w:left w:val="single" w:color="auto" w:sz="4" w:space="0"/>
            </w:tcBorders>
            <w:vAlign w:val="center"/>
          </w:tcPr>
          <w:p w14:paraId="3C5D986A">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90日历天（从投标截止之日算起）</w:t>
            </w:r>
          </w:p>
        </w:tc>
      </w:tr>
      <w:tr w14:paraId="59CB6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75B8114E">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23</w:t>
            </w:r>
          </w:p>
        </w:tc>
        <w:tc>
          <w:tcPr>
            <w:tcW w:w="1497" w:type="dxa"/>
            <w:tcBorders>
              <w:right w:val="single" w:color="auto" w:sz="4" w:space="0"/>
            </w:tcBorders>
            <w:vAlign w:val="center"/>
          </w:tcPr>
          <w:p w14:paraId="0BD13ED9">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投标保证金</w:t>
            </w:r>
          </w:p>
        </w:tc>
        <w:tc>
          <w:tcPr>
            <w:tcW w:w="7708" w:type="dxa"/>
            <w:tcBorders>
              <w:left w:val="single" w:color="auto" w:sz="4" w:space="0"/>
            </w:tcBorders>
            <w:vAlign w:val="center"/>
          </w:tcPr>
          <w:p w14:paraId="64B56BCE">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投标保证金的形式：转账、电汇、电子保函</w:t>
            </w:r>
          </w:p>
          <w:p w14:paraId="17037FB3">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投标保证金的金额：</w:t>
            </w:r>
            <w:r>
              <w:rPr>
                <w:rFonts w:hint="eastAsia" w:asciiTheme="minorEastAsia" w:hAnsiTheme="minorEastAsia" w:eastAsiaTheme="minorEastAsia" w:cstheme="minorEastAsia"/>
                <w:color w:val="auto"/>
                <w:sz w:val="24"/>
                <w:szCs w:val="24"/>
                <w:lang w:val="en-US" w:eastAsia="zh-CN"/>
              </w:rPr>
              <w:t>20000.00</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贰万元整</w:t>
            </w:r>
            <w:r>
              <w:rPr>
                <w:rFonts w:hint="eastAsia" w:asciiTheme="minorEastAsia" w:hAnsiTheme="minorEastAsia" w:eastAsiaTheme="minorEastAsia" w:cstheme="minorEastAsia"/>
                <w:color w:val="auto"/>
                <w:sz w:val="24"/>
                <w:szCs w:val="24"/>
              </w:rPr>
              <w:t>）</w:t>
            </w:r>
          </w:p>
          <w:p w14:paraId="0B5B7061">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投标保证金缴纳账户：</w:t>
            </w:r>
          </w:p>
          <w:p w14:paraId="71A75CE8">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账户名称：皮山县民政局</w:t>
            </w:r>
          </w:p>
          <w:p w14:paraId="633C9D2F">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帐号：8781010001201100066513</w:t>
            </w:r>
          </w:p>
          <w:p w14:paraId="3A961651">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开户银行：皮山县农村信用合作联社</w:t>
            </w:r>
          </w:p>
          <w:p w14:paraId="2713F629">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w:t>
            </w:r>
            <w:r>
              <w:rPr>
                <w:rFonts w:hint="eastAsia" w:asciiTheme="minorEastAsia" w:hAnsiTheme="minorEastAsia" w:eastAsiaTheme="minorEastAsia" w:cstheme="minorEastAsia"/>
                <w:color w:val="auto"/>
                <w:sz w:val="24"/>
                <w:szCs w:val="24"/>
                <w:highlight w:val="none"/>
              </w:rPr>
              <w:t xml:space="preserve">号：402896400017 </w:t>
            </w:r>
          </w:p>
          <w:p w14:paraId="1AD9BF08">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注：1.采用银行转账或电汇的方式的，由报名单位基本账户于</w:t>
            </w:r>
            <w:r>
              <w:rPr>
                <w:rFonts w:hint="eastAsia" w:asciiTheme="minorEastAsia" w:hAnsiTheme="minorEastAsia" w:eastAsiaTheme="minorEastAsia" w:cstheme="minorEastAsia"/>
                <w:color w:val="0000FF"/>
                <w:sz w:val="24"/>
                <w:szCs w:val="24"/>
                <w:lang w:val="en-US" w:eastAsia="zh-CN"/>
              </w:rPr>
              <w:t>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11</w:t>
            </w:r>
            <w:r>
              <w:rPr>
                <w:rFonts w:hint="eastAsia" w:asciiTheme="minorEastAsia" w:hAnsiTheme="minorEastAsia" w:eastAsiaTheme="minorEastAsia" w:cstheme="minorEastAsia"/>
                <w:color w:val="0000FF"/>
                <w:sz w:val="24"/>
                <w:szCs w:val="24"/>
              </w:rPr>
              <w:t>日</w:t>
            </w:r>
            <w:r>
              <w:rPr>
                <w:rFonts w:hint="eastAsia" w:asciiTheme="minorEastAsia" w:hAnsiTheme="minorEastAsia" w:eastAsiaTheme="minorEastAsia" w:cstheme="minorEastAsia"/>
                <w:color w:val="auto"/>
                <w:sz w:val="24"/>
                <w:szCs w:val="24"/>
              </w:rPr>
              <w:t>20：00（北京时间）前汇至皮山县民政局专用账户，不得以现金和其他形式缴纳，不得以分公司、办事处或其他机构的名义缴纳，报名单位在缴纳保证金时，需在进账凭证上明确资金用途、项目名称 ，以便查对核实。投标保证金缴纳截止时间为递交投标文件截止时间，无须到皮山县民政局换取收据。</w:t>
            </w:r>
          </w:p>
          <w:p w14:paraId="551A0735">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2CC8B3BA">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保函投保金额(元)：</w:t>
            </w:r>
            <w:r>
              <w:rPr>
                <w:rFonts w:hint="eastAsia" w:asciiTheme="minorEastAsia" w:hAnsiTheme="minorEastAsia" w:eastAsiaTheme="minorEastAsia" w:cstheme="minorEastAsia"/>
                <w:color w:val="auto"/>
                <w:sz w:val="24"/>
                <w:szCs w:val="24"/>
                <w:lang w:val="en-US" w:eastAsia="zh-CN"/>
              </w:rPr>
              <w:t>20000.00元（贰万元整）</w:t>
            </w:r>
            <w:r>
              <w:rPr>
                <w:rFonts w:hint="eastAsia" w:asciiTheme="minorEastAsia" w:hAnsiTheme="minorEastAsia" w:eastAsiaTheme="minorEastAsia" w:cstheme="minorEastAsia"/>
                <w:color w:val="auto"/>
                <w:sz w:val="24"/>
                <w:szCs w:val="24"/>
              </w:rPr>
              <w:t xml:space="preserve">           </w:t>
            </w:r>
          </w:p>
          <w:p w14:paraId="10239ABE">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保函承保期限：</w:t>
            </w:r>
            <w:r>
              <w:rPr>
                <w:rFonts w:hint="eastAsia" w:asciiTheme="minorEastAsia" w:hAnsiTheme="minorEastAsia" w:eastAsiaTheme="minorEastAsia" w:cstheme="minorEastAsia"/>
                <w:color w:val="0000FF"/>
                <w:sz w:val="24"/>
                <w:szCs w:val="24"/>
                <w:lang w:val="en-US" w:eastAsia="zh-CN"/>
              </w:rPr>
              <w:t>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12</w:t>
            </w:r>
            <w:r>
              <w:rPr>
                <w:rFonts w:hint="eastAsia" w:asciiTheme="minorEastAsia" w:hAnsiTheme="minorEastAsia" w:eastAsiaTheme="minorEastAsia" w:cstheme="minorEastAsia"/>
                <w:color w:val="0000FF"/>
                <w:sz w:val="24"/>
                <w:szCs w:val="24"/>
              </w:rPr>
              <w:t>日</w:t>
            </w:r>
            <w:r>
              <w:rPr>
                <w:rFonts w:hint="eastAsia" w:asciiTheme="minorEastAsia" w:hAnsiTheme="minorEastAsia" w:eastAsiaTheme="minorEastAsia" w:cstheme="minorEastAsia"/>
                <w:color w:val="0000FF"/>
                <w:sz w:val="24"/>
                <w:szCs w:val="24"/>
                <w:lang w:val="en-US" w:eastAsia="zh-CN"/>
              </w:rPr>
              <w:t>至2025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06</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10</w:t>
            </w:r>
            <w:r>
              <w:rPr>
                <w:rFonts w:hint="eastAsia" w:asciiTheme="minorEastAsia" w:hAnsiTheme="minorEastAsia" w:eastAsiaTheme="minorEastAsia" w:cstheme="minorEastAsia"/>
                <w:color w:val="0000FF"/>
                <w:sz w:val="24"/>
                <w:szCs w:val="24"/>
              </w:rPr>
              <w:t>日</w:t>
            </w:r>
            <w:r>
              <w:rPr>
                <w:rFonts w:hint="eastAsia" w:asciiTheme="minorEastAsia" w:hAnsiTheme="minorEastAsia" w:eastAsiaTheme="minorEastAsia" w:cstheme="minorEastAsia"/>
                <w:color w:val="auto"/>
                <w:sz w:val="24"/>
                <w:szCs w:val="24"/>
              </w:rPr>
              <w:t xml:space="preserve">（90日历天）  </w:t>
            </w:r>
          </w:p>
        </w:tc>
      </w:tr>
      <w:tr w14:paraId="4599E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E37B0D5">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24</w:t>
            </w:r>
          </w:p>
        </w:tc>
        <w:tc>
          <w:tcPr>
            <w:tcW w:w="1497" w:type="dxa"/>
            <w:tcBorders>
              <w:right w:val="single" w:color="auto" w:sz="4" w:space="0"/>
            </w:tcBorders>
            <w:vAlign w:val="center"/>
          </w:tcPr>
          <w:p w14:paraId="4B70ACAC">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签字盖章</w:t>
            </w:r>
          </w:p>
        </w:tc>
        <w:tc>
          <w:tcPr>
            <w:tcW w:w="7708" w:type="dxa"/>
            <w:tcBorders>
              <w:left w:val="single" w:color="auto" w:sz="4" w:space="0"/>
            </w:tcBorders>
            <w:vAlign w:val="center"/>
          </w:tcPr>
          <w:p w14:paraId="0239A7BC">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投标人必须按照招标文件的规定和要求签字、盖章</w:t>
            </w:r>
          </w:p>
        </w:tc>
      </w:tr>
      <w:tr w14:paraId="21F72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40D0E77E">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25</w:t>
            </w:r>
          </w:p>
        </w:tc>
        <w:tc>
          <w:tcPr>
            <w:tcW w:w="1497" w:type="dxa"/>
            <w:tcBorders>
              <w:right w:val="single" w:color="auto" w:sz="4" w:space="0"/>
            </w:tcBorders>
            <w:vAlign w:val="center"/>
          </w:tcPr>
          <w:p w14:paraId="1F2F44BD">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递交投标文件的地点及方式</w:t>
            </w:r>
          </w:p>
        </w:tc>
        <w:tc>
          <w:tcPr>
            <w:tcW w:w="7708" w:type="dxa"/>
            <w:tcBorders>
              <w:left w:val="single" w:color="auto" w:sz="4" w:space="0"/>
            </w:tcBorders>
            <w:vAlign w:val="center"/>
          </w:tcPr>
          <w:p w14:paraId="10574132">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开标地点：皮山县政府投资交易中心四楼（新城区东经二路南端）</w:t>
            </w:r>
          </w:p>
          <w:p w14:paraId="660782D1">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递交投标文件的地点及方式：投标人应</w:t>
            </w:r>
            <w:r>
              <w:rPr>
                <w:rFonts w:hint="eastAsia" w:asciiTheme="minorEastAsia" w:hAnsiTheme="minorEastAsia" w:eastAsiaTheme="minorEastAsia" w:cstheme="minorEastAsia"/>
                <w:color w:val="0000FF"/>
                <w:sz w:val="24"/>
                <w:szCs w:val="24"/>
                <w:lang w:val="en-US" w:eastAsia="zh-CN"/>
              </w:rPr>
              <w:t>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12</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点00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或95763。</w:t>
            </w:r>
          </w:p>
          <w:p w14:paraId="750BCBA6">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投标文件：开标结束后各投标人将上传政府采购网的投标文件使用A4纸胶装成册（1正2副）递交或邮寄至新疆和田地区和田市古勒巴格街道凯旋路57号川亿凯旋公馆B区19栋。</w:t>
            </w:r>
          </w:p>
        </w:tc>
      </w:tr>
      <w:tr w14:paraId="2C3A4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2A0037A8">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26</w:t>
            </w:r>
          </w:p>
        </w:tc>
        <w:tc>
          <w:tcPr>
            <w:tcW w:w="1497" w:type="dxa"/>
            <w:tcBorders>
              <w:right w:val="single" w:color="auto" w:sz="4" w:space="0"/>
            </w:tcBorders>
            <w:vAlign w:val="center"/>
          </w:tcPr>
          <w:p w14:paraId="4FB2CDF4">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标前准备</w:t>
            </w:r>
          </w:p>
        </w:tc>
        <w:tc>
          <w:tcPr>
            <w:tcW w:w="7708" w:type="dxa"/>
            <w:tcBorders>
              <w:left w:val="single" w:color="auto" w:sz="4" w:space="0"/>
            </w:tcBorders>
            <w:vAlign w:val="center"/>
          </w:tcPr>
          <w:p w14:paraId="054E490A">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1、本项目实行网上投标，采用电子投标文件。供应商应按照相关格式要求上传投标文件即可，无需到现场开标。若供应商参与投标，自行承担投标一切费用。</w:t>
            </w:r>
          </w:p>
          <w:p w14:paraId="42A33C09">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479C1E86">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14:paraId="6D86041A">
            <w:pPr>
              <w:spacing w:line="3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5C1A1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176C616">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27</w:t>
            </w:r>
          </w:p>
        </w:tc>
        <w:tc>
          <w:tcPr>
            <w:tcW w:w="1497" w:type="dxa"/>
            <w:tcBorders>
              <w:right w:val="single" w:color="auto" w:sz="4" w:space="0"/>
            </w:tcBorders>
            <w:vAlign w:val="center"/>
          </w:tcPr>
          <w:p w14:paraId="1C314EDB">
            <w:pPr>
              <w:spacing w:line="36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招标文件解密时间</w:t>
            </w:r>
          </w:p>
          <w:p w14:paraId="61694DD6">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7708" w:type="dxa"/>
            <w:tcBorders>
              <w:left w:val="single" w:color="auto" w:sz="4" w:space="0"/>
            </w:tcBorders>
            <w:vAlign w:val="center"/>
          </w:tcPr>
          <w:p w14:paraId="51057AC2">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0000FF"/>
                <w:sz w:val="24"/>
                <w:szCs w:val="24"/>
                <w:lang w:val="en-US" w:eastAsia="zh-CN"/>
              </w:rPr>
              <w:t>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12</w:t>
            </w:r>
            <w:r>
              <w:rPr>
                <w:rFonts w:hint="eastAsia" w:asciiTheme="minorEastAsia" w:hAnsiTheme="minorEastAsia" w:eastAsiaTheme="minorEastAsia" w:cstheme="minorEastAsia"/>
                <w:color w:val="0000FF"/>
                <w:sz w:val="24"/>
                <w:szCs w:val="24"/>
              </w:rPr>
              <w:t>日</w:t>
            </w:r>
            <w:r>
              <w:rPr>
                <w:rFonts w:hint="eastAsia" w:asciiTheme="minorEastAsia" w:hAnsiTheme="minorEastAsia" w:eastAsiaTheme="minorEastAsia" w:cstheme="minorEastAsia"/>
                <w:color w:val="auto"/>
                <w:sz w:val="24"/>
                <w:szCs w:val="24"/>
              </w:rPr>
              <w:t>11：00-12：00（北京时间）前供应商可以登录“政采云”平台，用“项目采购-开标评标”功能进行解密投标文件。若供应商在规定时间内（</w:t>
            </w:r>
            <w:r>
              <w:rPr>
                <w:rFonts w:hint="eastAsia" w:asciiTheme="minorEastAsia" w:hAnsiTheme="minorEastAsia" w:eastAsiaTheme="minorEastAsia" w:cstheme="minorEastAsia"/>
                <w:color w:val="0000FF"/>
                <w:sz w:val="24"/>
                <w:szCs w:val="24"/>
                <w:lang w:val="en-US" w:eastAsia="zh-CN"/>
              </w:rPr>
              <w:t>2025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12</w:t>
            </w:r>
            <w:r>
              <w:rPr>
                <w:rFonts w:hint="eastAsia" w:asciiTheme="minorEastAsia" w:hAnsiTheme="minorEastAsia" w:eastAsiaTheme="minorEastAsia" w:cstheme="minorEastAsia"/>
                <w:color w:val="auto"/>
                <w:sz w:val="24"/>
                <w:szCs w:val="24"/>
              </w:rPr>
              <w:t>日上午12:00前）未按时解密的，视为投标文件撤回。</w:t>
            </w:r>
          </w:p>
        </w:tc>
      </w:tr>
      <w:tr w14:paraId="115CE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6ED9CF6">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28</w:t>
            </w:r>
          </w:p>
        </w:tc>
        <w:tc>
          <w:tcPr>
            <w:tcW w:w="1497" w:type="dxa"/>
            <w:tcBorders>
              <w:right w:val="single" w:color="auto" w:sz="4" w:space="0"/>
            </w:tcBorders>
            <w:vAlign w:val="center"/>
          </w:tcPr>
          <w:p w14:paraId="08240FFD">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招标代理服务费</w:t>
            </w:r>
          </w:p>
        </w:tc>
        <w:tc>
          <w:tcPr>
            <w:tcW w:w="7708" w:type="dxa"/>
            <w:tcBorders>
              <w:left w:val="single" w:color="auto" w:sz="4" w:space="0"/>
            </w:tcBorders>
            <w:vAlign w:val="center"/>
          </w:tcPr>
          <w:p w14:paraId="5DF13863">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代理费用收取方式及标准，采用以下方式：</w:t>
            </w:r>
          </w:p>
          <w:p w14:paraId="04D73CD7">
            <w:pPr>
              <w:spacing w:line="3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参照国家发改委［2011］534号文、［2015］299号文作为协商价格的基础收取。</w:t>
            </w:r>
          </w:p>
          <w:p w14:paraId="4AAE9826">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本项目招标代理服务费：由中标供应商支付。</w:t>
            </w:r>
          </w:p>
        </w:tc>
      </w:tr>
      <w:tr w14:paraId="4886E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6A22327B">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29</w:t>
            </w:r>
          </w:p>
        </w:tc>
        <w:tc>
          <w:tcPr>
            <w:tcW w:w="1497" w:type="dxa"/>
            <w:tcBorders>
              <w:right w:val="single" w:color="auto" w:sz="4" w:space="0"/>
            </w:tcBorders>
            <w:vAlign w:val="center"/>
          </w:tcPr>
          <w:p w14:paraId="6D7C57E6">
            <w:pPr>
              <w:spacing w:line="36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代理服务费付款方式</w:t>
            </w:r>
          </w:p>
        </w:tc>
        <w:tc>
          <w:tcPr>
            <w:tcW w:w="7708" w:type="dxa"/>
            <w:tcBorders>
              <w:left w:val="single" w:color="auto" w:sz="4" w:space="0"/>
            </w:tcBorders>
            <w:vAlign w:val="center"/>
          </w:tcPr>
          <w:p w14:paraId="55FAC4E9">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公对公转账或电汇</w:t>
            </w:r>
          </w:p>
        </w:tc>
      </w:tr>
      <w:tr w14:paraId="436A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9B81A19">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30</w:t>
            </w:r>
          </w:p>
        </w:tc>
        <w:tc>
          <w:tcPr>
            <w:tcW w:w="1497" w:type="dxa"/>
            <w:tcBorders>
              <w:right w:val="single" w:color="auto" w:sz="4" w:space="0"/>
            </w:tcBorders>
            <w:vAlign w:val="center"/>
          </w:tcPr>
          <w:p w14:paraId="3DEDDB6A">
            <w:pPr>
              <w:spacing w:line="36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评标委员的组建</w:t>
            </w:r>
          </w:p>
        </w:tc>
        <w:tc>
          <w:tcPr>
            <w:tcW w:w="7708" w:type="dxa"/>
            <w:tcBorders>
              <w:left w:val="single" w:color="auto" w:sz="4" w:space="0"/>
            </w:tcBorders>
            <w:vAlign w:val="center"/>
          </w:tcPr>
          <w:p w14:paraId="7C0A4566">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评标委员会构成：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p>
          <w:p w14:paraId="67E8A85F">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评标专家确定方式：由招标代理在开标前48小时在新疆政府采购专家库中随机抽取此次评标专家。</w:t>
            </w:r>
          </w:p>
        </w:tc>
      </w:tr>
      <w:tr w14:paraId="3AE9D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0DDD88C">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31</w:t>
            </w:r>
          </w:p>
        </w:tc>
        <w:tc>
          <w:tcPr>
            <w:tcW w:w="1497" w:type="dxa"/>
            <w:tcBorders>
              <w:right w:val="single" w:color="auto" w:sz="4" w:space="0"/>
            </w:tcBorders>
            <w:vAlign w:val="center"/>
          </w:tcPr>
          <w:p w14:paraId="59C6C4BC">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履约保证金</w:t>
            </w:r>
          </w:p>
        </w:tc>
        <w:tc>
          <w:tcPr>
            <w:tcW w:w="7708" w:type="dxa"/>
            <w:tcBorders>
              <w:left w:val="single" w:color="auto" w:sz="4" w:space="0"/>
            </w:tcBorders>
            <w:vAlign w:val="center"/>
          </w:tcPr>
          <w:p w14:paraId="1AA44B00">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合同总价的　10%　，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6367FEF6">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履约保证金形式：支票、汇票、本票、或者金融机构、担保机构出具的保函、等非现金形式提交（履约赔付地点为项目所在地）</w:t>
            </w:r>
          </w:p>
        </w:tc>
      </w:tr>
      <w:tr w14:paraId="6CA58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40CD2184">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32</w:t>
            </w:r>
          </w:p>
        </w:tc>
        <w:tc>
          <w:tcPr>
            <w:tcW w:w="1497" w:type="dxa"/>
            <w:tcBorders>
              <w:right w:val="single" w:color="auto" w:sz="4" w:space="0"/>
            </w:tcBorders>
            <w:vAlign w:val="center"/>
          </w:tcPr>
          <w:p w14:paraId="30686BA3">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政府采购政策支持</w:t>
            </w:r>
          </w:p>
        </w:tc>
        <w:tc>
          <w:tcPr>
            <w:tcW w:w="7708" w:type="dxa"/>
            <w:tcBorders>
              <w:left w:val="single" w:color="auto" w:sz="4" w:space="0"/>
            </w:tcBorders>
            <w:vAlign w:val="top"/>
          </w:tcPr>
          <w:p w14:paraId="433D8CD9">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根据《中华人民共和国政府采购法》、财政部、 工信部《政府采购促进中小企业发展管理办法》（财 库〔2020〕46 号）、《关于进一步加大政府采购支持中小企业力度的通知财库〔2022〕19 号》等有关法律法规执行； </w:t>
            </w:r>
          </w:p>
          <w:p w14:paraId="5D12A216">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价格扣除幅度：货物服务采购项目给予小微企业的价格扣除优惠，由财库〔2020〕46 号文件规定的 6%—10%提高至 10%—20%。大中型企业与小微企业组成联合体或者大中型企业向小微企业分包的，评审优惠幅度由 2%—3%提高至 4%—6%。政府采购工程的价格评审优惠按照财库〔2020〕46 号文件的规定执行。</w:t>
            </w:r>
          </w:p>
          <w:p w14:paraId="3394F27F">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注：供应商应当对《中小企业声明函》、监狱企业 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4BF73AB5">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本项目所属行业：其他未列明行业。                    </w:t>
            </w:r>
          </w:p>
        </w:tc>
      </w:tr>
      <w:tr w14:paraId="68687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370A753">
            <w:pPr>
              <w:spacing w:line="3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w:t>
            </w:r>
          </w:p>
        </w:tc>
        <w:tc>
          <w:tcPr>
            <w:tcW w:w="1497" w:type="dxa"/>
            <w:tcBorders>
              <w:right w:val="single" w:color="auto" w:sz="4" w:space="0"/>
            </w:tcBorders>
            <w:vAlign w:val="center"/>
          </w:tcPr>
          <w:p w14:paraId="0F181A7A">
            <w:pPr>
              <w:spacing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关于小微企业报价扣除比例说明</w:t>
            </w:r>
          </w:p>
        </w:tc>
        <w:tc>
          <w:tcPr>
            <w:tcW w:w="7708" w:type="dxa"/>
            <w:tcBorders>
              <w:left w:val="single" w:color="auto" w:sz="4" w:space="0"/>
            </w:tcBorders>
            <w:vAlign w:val="top"/>
          </w:tcPr>
          <w:p w14:paraId="3D3C35C4">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1.投标人为非联合体投标的，对其投标货物的制造商为小微型企业的给予10%的扣除，以扣除后的报价参与评审。</w:t>
            </w:r>
          </w:p>
          <w:p w14:paraId="0747C424">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-6%由采购人在幅度范围内确定）的扣除，用扣除后的价格参加评审。</w:t>
            </w:r>
          </w:p>
          <w:p w14:paraId="2746F199">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3.监狱企业、残疾人福利性单位视同小型、微型企业。</w:t>
            </w:r>
          </w:p>
          <w:p w14:paraId="3BB9B2D6">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color w:val="auto"/>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4.如专门面向中小企业的采购项目，不再享受价格扣除。</w:t>
            </w:r>
          </w:p>
        </w:tc>
      </w:tr>
      <w:tr w14:paraId="6CBAA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6518E526">
            <w:pPr>
              <w:spacing w:line="36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34</w:t>
            </w:r>
          </w:p>
        </w:tc>
        <w:tc>
          <w:tcPr>
            <w:tcW w:w="1497" w:type="dxa"/>
            <w:tcBorders>
              <w:right w:val="single" w:color="auto" w:sz="4" w:space="0"/>
            </w:tcBorders>
            <w:vAlign w:val="center"/>
          </w:tcPr>
          <w:p w14:paraId="408DC0E1">
            <w:pPr>
              <w:spacing w:line="36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供应商服务团队要求</w:t>
            </w:r>
          </w:p>
        </w:tc>
        <w:tc>
          <w:tcPr>
            <w:tcW w:w="7708" w:type="dxa"/>
            <w:tcBorders>
              <w:left w:val="single" w:color="auto" w:sz="4" w:space="0"/>
            </w:tcBorders>
            <w:vAlign w:val="top"/>
          </w:tcPr>
          <w:p w14:paraId="0134C8E7">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 xml:space="preserve"> 具有 1 名以上持有中华人民共和国人力资源和社会保障部、民政部颁发的（中级）社会工作师职业资格证书且具有 5年以上社会工作服务机构的从业经验，项目执行期间负责项目的统筹协调并实地参与项目工作；具有 2 名以上持有中华人民共和国人力资源和社会保障部、民政部颁发的助理社会工作师职业资格证书，具有 5年以上社会工作服务机构的从业经验，项目执行期间负责项目的实地策划指导。（提供相关证明材料，否则按废标处理）</w:t>
            </w:r>
          </w:p>
        </w:tc>
      </w:tr>
      <w:tr w14:paraId="2A304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8E9C2C0">
            <w:pPr>
              <w:spacing w:line="36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35</w:t>
            </w:r>
          </w:p>
        </w:tc>
        <w:tc>
          <w:tcPr>
            <w:tcW w:w="1497" w:type="dxa"/>
            <w:tcBorders>
              <w:right w:val="single" w:color="auto" w:sz="4" w:space="0"/>
            </w:tcBorders>
            <w:vAlign w:val="center"/>
          </w:tcPr>
          <w:p w14:paraId="6BC22C06">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服务期及服务地点</w:t>
            </w:r>
          </w:p>
        </w:tc>
        <w:tc>
          <w:tcPr>
            <w:tcW w:w="7708" w:type="dxa"/>
            <w:tcBorders>
              <w:left w:val="single" w:color="auto" w:sz="4" w:space="0"/>
            </w:tcBorders>
            <w:vAlign w:val="top"/>
          </w:tcPr>
          <w:p w14:paraId="7E447D80">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服务期：中标结果公示期1个工作日后3个日历日内中标单位与甲方签订合同。</w:t>
            </w:r>
          </w:p>
          <w:p w14:paraId="488B2E8D">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服务地点：最终按甲方指定地点验收、服务。</w:t>
            </w:r>
          </w:p>
        </w:tc>
      </w:tr>
      <w:tr w14:paraId="04500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704287D">
            <w:pPr>
              <w:spacing w:line="36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36</w:t>
            </w:r>
          </w:p>
        </w:tc>
        <w:tc>
          <w:tcPr>
            <w:tcW w:w="1497" w:type="dxa"/>
            <w:tcBorders>
              <w:right w:val="single" w:color="auto" w:sz="4" w:space="0"/>
            </w:tcBorders>
            <w:vAlign w:val="center"/>
          </w:tcPr>
          <w:p w14:paraId="4F504C24">
            <w:pPr>
              <w:spacing w:line="360" w:lineRule="exac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不予退还保证金的情形</w:t>
            </w:r>
          </w:p>
        </w:tc>
        <w:tc>
          <w:tcPr>
            <w:tcW w:w="7708" w:type="dxa"/>
            <w:tcBorders>
              <w:left w:val="single" w:color="auto" w:sz="4" w:space="0"/>
            </w:tcBorders>
            <w:vAlign w:val="top"/>
          </w:tcPr>
          <w:p w14:paraId="09FD6FB5">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有下列情形之一的，保证金不予退还：</w:t>
            </w:r>
          </w:p>
          <w:p w14:paraId="5934677E">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（1）供应商在提交投标文件截止时间后撤回投标文件的；</w:t>
            </w:r>
          </w:p>
          <w:p w14:paraId="30ED1FEA">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（2）供应商在投标文件中提供虚假材料的；</w:t>
            </w:r>
          </w:p>
          <w:p w14:paraId="3FCC0AAF">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（3）除因不可抗力或招标文件认可的情形以外，成交供应商不与采购人签订合同的；</w:t>
            </w:r>
          </w:p>
          <w:p w14:paraId="2F4E6BDF">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（4）供应商与采购人、其他供应商或者采购代理机构恶意串通的；</w:t>
            </w:r>
          </w:p>
          <w:p w14:paraId="0632A28F">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（5）招标文件规定的其他情形。</w:t>
            </w:r>
          </w:p>
        </w:tc>
      </w:tr>
      <w:tr w14:paraId="2C5C4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104F5B20">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37</w:t>
            </w:r>
          </w:p>
        </w:tc>
        <w:tc>
          <w:tcPr>
            <w:tcW w:w="1497" w:type="dxa"/>
            <w:tcBorders>
              <w:right w:val="single" w:color="auto" w:sz="4" w:space="0"/>
            </w:tcBorders>
            <w:vAlign w:val="center"/>
          </w:tcPr>
          <w:p w14:paraId="030C8FE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其他说明</w:t>
            </w:r>
            <w:r>
              <w:rPr>
                <w:rFonts w:hint="eastAsia" w:asciiTheme="minorEastAsia" w:hAnsiTheme="minorEastAsia" w:eastAsiaTheme="minorEastAsia" w:cstheme="minorEastAsia"/>
                <w:color w:val="auto"/>
                <w:sz w:val="24"/>
                <w:szCs w:val="24"/>
                <w:highlight w:val="none"/>
                <w:lang w:val="en-US" w:eastAsia="zh-CN"/>
              </w:rPr>
              <w:t>1</w:t>
            </w:r>
          </w:p>
        </w:tc>
        <w:tc>
          <w:tcPr>
            <w:tcW w:w="7708" w:type="dxa"/>
            <w:tcBorders>
              <w:left w:val="single" w:color="auto" w:sz="4" w:space="0"/>
            </w:tcBorders>
            <w:vAlign w:val="center"/>
          </w:tcPr>
          <w:p w14:paraId="2E4D3BB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特别提醒：</w:t>
            </w:r>
          </w:p>
          <w:p w14:paraId="05AF113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1、所有投标人的报价高于本项目（标项）最高限价额度的视为无效报价（即作否决投标处理）。</w:t>
            </w:r>
          </w:p>
          <w:p w14:paraId="4F0AAD2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14:paraId="40C7EB8A">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7099E48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4、更正补充公告请自行登录新疆政府采购网查看下载。</w:t>
            </w:r>
          </w:p>
          <w:p w14:paraId="5908D4A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5、采购代理机构将拒绝接受未在政采云平台获取招标文件的投标人的投标文件。</w:t>
            </w:r>
          </w:p>
          <w:p w14:paraId="65F727C6">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6、所有投标单位对招标文件中所有条款如有疑问或异议请在开标以书面形式提出，否则不予受理。</w:t>
            </w:r>
          </w:p>
          <w:p w14:paraId="4B2BFEB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7、为确保投标保证金的及时退还，结果公示后投标企业需提供保证金汇款凭证、开户许可证复印件、收据并注明开户行行号、联系方式（加盖公司鲜公章）交至皮山县民政局财务室办理。（注：废标项目投标保证金在后续项目再次招标时银行系统不做统计，投标企业及时办理退款）。</w:t>
            </w:r>
          </w:p>
          <w:p w14:paraId="11659CDD">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8、本项目资格审查模块由招标代理组织进行。</w:t>
            </w:r>
          </w:p>
        </w:tc>
      </w:tr>
      <w:tr w14:paraId="15CFA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35B0138">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38</w:t>
            </w:r>
          </w:p>
        </w:tc>
        <w:tc>
          <w:tcPr>
            <w:tcW w:w="1497" w:type="dxa"/>
            <w:tcBorders>
              <w:right w:val="single" w:color="auto" w:sz="4" w:space="0"/>
            </w:tcBorders>
            <w:vAlign w:val="center"/>
          </w:tcPr>
          <w:p w14:paraId="29340EA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其他说明</w:t>
            </w:r>
            <w:r>
              <w:rPr>
                <w:rFonts w:hint="eastAsia" w:asciiTheme="minorEastAsia" w:hAnsiTheme="minorEastAsia" w:eastAsiaTheme="minorEastAsia" w:cstheme="minorEastAsia"/>
                <w:color w:val="auto"/>
                <w:sz w:val="24"/>
                <w:szCs w:val="24"/>
                <w:highlight w:val="none"/>
                <w:lang w:val="en-US" w:eastAsia="zh-CN"/>
              </w:rPr>
              <w:t>2</w:t>
            </w:r>
          </w:p>
        </w:tc>
        <w:tc>
          <w:tcPr>
            <w:tcW w:w="7708" w:type="dxa"/>
            <w:tcBorders>
              <w:left w:val="single" w:color="auto" w:sz="4" w:space="0"/>
            </w:tcBorders>
            <w:vAlign w:val="center"/>
          </w:tcPr>
          <w:p w14:paraId="5BB92D6C">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61E02A9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07C7EDF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zh-CN" w:eastAsia="zh-CN"/>
              </w:rPr>
            </w:pPr>
            <w:r>
              <w:rPr>
                <w:rFonts w:hint="eastAsia" w:asciiTheme="minorEastAsia" w:hAnsiTheme="minorEastAsia" w:eastAsiaTheme="minorEastAsia" w:cstheme="minorEastAsia"/>
                <w:b w:val="0"/>
                <w:bCs w:val="0"/>
                <w:color w:val="000000"/>
                <w:sz w:val="24"/>
                <w:szCs w:val="24"/>
                <w:highlight w:val="none"/>
                <w:lang w:val="en-US" w:eastAsia="zh-CN"/>
              </w:rPr>
              <w:t>3、</w:t>
            </w:r>
            <w:r>
              <w:rPr>
                <w:rFonts w:hint="eastAsia" w:asciiTheme="minorEastAsia" w:hAnsiTheme="minorEastAsia" w:eastAsiaTheme="minorEastAsia" w:cstheme="minorEastAsia"/>
                <w:b w:val="0"/>
                <w:bCs w:val="0"/>
                <w:color w:val="000000"/>
                <w:sz w:val="24"/>
                <w:szCs w:val="24"/>
                <w:highlight w:val="none"/>
                <w:lang w:val="zh-CN" w:eastAsia="zh-CN"/>
              </w:rPr>
              <w:t>本项目的招标投标活动以及相关当事人须接受财政监督部门依法实施的监督。</w:t>
            </w:r>
          </w:p>
          <w:p w14:paraId="5298947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647EBE9C">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F37E470">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76E9C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156C9A5">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39</w:t>
            </w:r>
          </w:p>
        </w:tc>
        <w:tc>
          <w:tcPr>
            <w:tcW w:w="1497" w:type="dxa"/>
            <w:tcBorders>
              <w:right w:val="single" w:color="auto" w:sz="4" w:space="0"/>
            </w:tcBorders>
            <w:vAlign w:val="center"/>
          </w:tcPr>
          <w:p w14:paraId="302248B4">
            <w:pPr>
              <w:shd w:val="clear" w:color="auto" w:fill="auto"/>
              <w:spacing w:line="360" w:lineRule="exact"/>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重要提示</w:t>
            </w:r>
          </w:p>
        </w:tc>
        <w:tc>
          <w:tcPr>
            <w:tcW w:w="7708" w:type="dxa"/>
            <w:tcBorders>
              <w:left w:val="single" w:color="auto" w:sz="4" w:space="0"/>
            </w:tcBorders>
            <w:vAlign w:val="center"/>
          </w:tcPr>
          <w:p w14:paraId="1C5F3656">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（1）中标供应商应在规定期限内领取《中标通知书》，若中标供应商未在规定期限内领取《中标通知书》，采购人有权取消中标供应商中标资格，并将相关违约行为报送监管部门，实施信用惩戒； </w:t>
            </w:r>
          </w:p>
          <w:p w14:paraId="5D56F5D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7D2ECFB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2FD0A49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 xml:space="preserve">（4）中标供应商中标后被监管部门查实存在违法行为，不满足中标条件的，由采购人取消中标资格，并做好项目后续工作； </w:t>
            </w:r>
          </w:p>
          <w:p w14:paraId="33287EB3">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（5）中标供应商在中标项目发生投诉、信访举报案件、履约存在争议时，拒绝协助配合执法部门调查案件的，采购人可以取消其中标资格或解除合同，并追究其违约责任。</w:t>
            </w:r>
          </w:p>
        </w:tc>
      </w:tr>
      <w:tr w14:paraId="437CA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04EAF825">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w:t>
            </w:r>
          </w:p>
        </w:tc>
        <w:tc>
          <w:tcPr>
            <w:tcW w:w="1497" w:type="dxa"/>
            <w:tcBorders>
              <w:right w:val="single" w:color="auto" w:sz="4" w:space="0"/>
            </w:tcBorders>
            <w:vAlign w:val="center"/>
          </w:tcPr>
          <w:p w14:paraId="7E13021D">
            <w:pPr>
              <w:shd w:val="clear" w:color="auto" w:fill="auto"/>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其他方式采购</w:t>
            </w:r>
          </w:p>
        </w:tc>
        <w:tc>
          <w:tcPr>
            <w:tcW w:w="7708" w:type="dxa"/>
            <w:tcBorders>
              <w:left w:val="single" w:color="auto" w:sz="4" w:space="0"/>
            </w:tcBorders>
            <w:vAlign w:val="center"/>
          </w:tcPr>
          <w:p w14:paraId="5D1B7F0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263712FE">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（1）招标文件存在不合理条款或者采购程序不符合规定的，采购人、采购代理机构改正后依法重新采购；</w:t>
            </w:r>
          </w:p>
          <w:p w14:paraId="00728639">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000000"/>
                <w:sz w:val="24"/>
                <w:szCs w:val="24"/>
                <w:highlight w:val="none"/>
                <w:lang w:val="en-US" w:eastAsia="zh-CN"/>
              </w:rPr>
              <w:t>（2）招标文件没有不合理条款、采购程序符合规定，需要采用其他采购方式采购的，采购人应当依法报财政部门批准。</w:t>
            </w:r>
          </w:p>
        </w:tc>
      </w:tr>
      <w:tr w14:paraId="2890D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5F872B3E">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41</w:t>
            </w:r>
          </w:p>
        </w:tc>
        <w:tc>
          <w:tcPr>
            <w:tcW w:w="1497" w:type="dxa"/>
            <w:tcBorders>
              <w:right w:val="single" w:color="auto" w:sz="4" w:space="0"/>
            </w:tcBorders>
            <w:vAlign w:val="center"/>
          </w:tcPr>
          <w:p w14:paraId="44182F93">
            <w:pPr>
              <w:shd w:val="clear" w:color="auto" w:fill="auto"/>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质疑</w:t>
            </w:r>
          </w:p>
        </w:tc>
        <w:tc>
          <w:tcPr>
            <w:tcW w:w="7708" w:type="dxa"/>
            <w:tcBorders>
              <w:left w:val="single" w:color="auto" w:sz="4" w:space="0"/>
            </w:tcBorders>
            <w:vAlign w:val="center"/>
          </w:tcPr>
          <w:p w14:paraId="2FB1A5D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五个工作日内向有关监管部门投诉。</w:t>
            </w:r>
          </w:p>
          <w:p w14:paraId="3B459022">
            <w:pPr>
              <w:keepNext w:val="0"/>
              <w:keepLines w:val="0"/>
              <w:pageBreakBefore w:val="0"/>
              <w:kinsoku/>
              <w:wordWrap/>
              <w:overflowPunct/>
              <w:topLinePunct w:val="0"/>
              <w:autoSpaceDE/>
              <w:autoSpaceDN/>
              <w:bidi w:val="0"/>
              <w:adjustRightInd/>
              <w:snapToGrid/>
              <w:spacing w:line="300" w:lineRule="exact"/>
              <w:ind w:left="0" w:leftChars="0" w:right="0" w:rightChars="0" w:firstLine="482"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color w:val="000000"/>
                <w:sz w:val="24"/>
                <w:szCs w:val="24"/>
                <w:highlight w:val="none"/>
                <w:lang w:val="en-US" w:eastAsia="zh-CN"/>
              </w:rPr>
              <w:t>注：根据《中华人民共和国政府采购法》的规定，供应商质疑不得超出公开招标文件、公开招标过程及公开招标结果的范围及时效限制。</w:t>
            </w:r>
          </w:p>
        </w:tc>
      </w:tr>
      <w:tr w14:paraId="41ED7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14:paraId="3D256823">
            <w:pPr>
              <w:spacing w:line="36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42</w:t>
            </w:r>
          </w:p>
        </w:tc>
        <w:tc>
          <w:tcPr>
            <w:tcW w:w="1497" w:type="dxa"/>
            <w:tcBorders>
              <w:right w:val="single" w:color="auto" w:sz="4" w:space="0"/>
            </w:tcBorders>
            <w:vAlign w:val="center"/>
          </w:tcPr>
          <w:p w14:paraId="2CA62930">
            <w:pPr>
              <w:shd w:val="clear" w:color="auto" w:fill="auto"/>
              <w:ind w:left="120" w:leftChars="0" w:right="62" w:rightChars="0" w:hanging="120" w:hanging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投诉</w:t>
            </w:r>
          </w:p>
        </w:tc>
        <w:tc>
          <w:tcPr>
            <w:tcW w:w="7708" w:type="dxa"/>
            <w:tcBorders>
              <w:left w:val="single" w:color="auto" w:sz="4" w:space="0"/>
            </w:tcBorders>
            <w:vAlign w:val="center"/>
          </w:tcPr>
          <w:p w14:paraId="7C453FA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662DFD0A">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09378A29">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注：根据《中华人民共和国政府采购法实施条例》的规定，供应商投诉事项不得超出已质疑事项的范围。</w:t>
            </w:r>
          </w:p>
          <w:p w14:paraId="047FDD36">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采购监管部门：皮山县政府采购办</w:t>
            </w:r>
          </w:p>
          <w:p w14:paraId="43461C2C">
            <w:pPr>
              <w:pStyle w:val="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联系方式：0903-6422575</w:t>
            </w:r>
          </w:p>
        </w:tc>
      </w:tr>
      <w:tr w14:paraId="784AA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10028" w:type="dxa"/>
            <w:gridSpan w:val="3"/>
            <w:vAlign w:val="center"/>
          </w:tcPr>
          <w:p w14:paraId="26F3DECA">
            <w:pPr>
              <w:spacing w:line="240" w:lineRule="auto"/>
              <w:ind w:left="0" w:right="0" w:firstLine="48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173C85A5">
            <w:pPr>
              <w:spacing w:line="240" w:lineRule="auto"/>
              <w:ind w:left="0" w:right="0" w:firstLine="48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请注意：供应商需在投标文件截止时间前，将加密投标文件上传至云平台项目采购系统，逾期上传或错误方式投递送达将导致投标无效。</w:t>
            </w:r>
          </w:p>
          <w:p w14:paraId="549B93D7">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kern w:val="2"/>
                <w:sz w:val="24"/>
                <w:szCs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1D5BA193">
      <w:pPr>
        <w:spacing w:line="360" w:lineRule="auto"/>
        <w:jc w:val="both"/>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szCs w:val="24"/>
        </w:rPr>
        <w:t>备注：本须知前附表内容与招标文件的内容相对应，如有矛盾，应以投标须知前附表为准。</w:t>
      </w:r>
    </w:p>
    <w:p w14:paraId="31CD56BC">
      <w:pPr>
        <w:spacing w:line="500" w:lineRule="exact"/>
        <w:jc w:val="center"/>
        <w:rPr>
          <w:rFonts w:hint="eastAsia" w:asciiTheme="minorEastAsia" w:hAnsiTheme="minorEastAsia" w:eastAsiaTheme="minorEastAsia" w:cstheme="minorEastAsia"/>
          <w:b/>
          <w:sz w:val="28"/>
          <w:szCs w:val="28"/>
        </w:rPr>
      </w:pPr>
    </w:p>
    <w:p w14:paraId="507AA368">
      <w:pPr>
        <w:spacing w:line="500" w:lineRule="exact"/>
        <w:jc w:val="center"/>
        <w:rPr>
          <w:rFonts w:hint="eastAsia" w:asciiTheme="minorEastAsia" w:hAnsiTheme="minorEastAsia" w:eastAsiaTheme="minorEastAsia" w:cstheme="minorEastAsia"/>
          <w:b/>
          <w:sz w:val="28"/>
          <w:szCs w:val="28"/>
        </w:rPr>
      </w:pPr>
    </w:p>
    <w:p w14:paraId="05BC0964">
      <w:pPr>
        <w:spacing w:line="5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8"/>
          <w:szCs w:val="28"/>
        </w:rPr>
        <w:t>投标人须知正文部分</w:t>
      </w:r>
    </w:p>
    <w:p w14:paraId="69C2E732">
      <w:pPr>
        <w:spacing w:line="500" w:lineRule="exact"/>
        <w:ind w:left="120" w:hanging="120"/>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 xml:space="preserve"> </w:t>
      </w:r>
      <w:bookmarkStart w:id="69" w:name="_Toc17382"/>
      <w:r>
        <w:rPr>
          <w:rFonts w:hint="eastAsia" w:asciiTheme="minorEastAsia" w:hAnsiTheme="minorEastAsia" w:eastAsiaTheme="minorEastAsia" w:cstheme="minorEastAsia"/>
          <w:b/>
          <w:sz w:val="28"/>
          <w:szCs w:val="28"/>
          <w:lang w:val="en-US" w:eastAsia="zh-CN"/>
        </w:rPr>
        <w:t>（一）总则</w:t>
      </w:r>
      <w:bookmarkEnd w:id="69"/>
    </w:p>
    <w:p w14:paraId="6BF04F01">
      <w:pPr>
        <w:spacing w:line="30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（一）适用范围</w:t>
      </w:r>
    </w:p>
    <w:p w14:paraId="4482B169">
      <w:pPr>
        <w:spacing w:line="360" w:lineRule="auto"/>
        <w:ind w:left="0" w:right="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本招标文件适用于</w:t>
      </w:r>
      <w:r>
        <w:rPr>
          <w:rFonts w:hint="eastAsia" w:asciiTheme="minorEastAsia" w:hAnsiTheme="minorEastAsia" w:eastAsiaTheme="minorEastAsia" w:cstheme="minorEastAsia"/>
          <w:sz w:val="24"/>
          <w:szCs w:val="24"/>
          <w:highlight w:val="none"/>
          <w:lang w:val="en-US" w:eastAsia="zh-CN"/>
        </w:rPr>
        <w:t>皮山县民政局2025年养老福利机构集中供养人员照料护理购买服务项目</w:t>
      </w:r>
      <w:r>
        <w:rPr>
          <w:rFonts w:hint="eastAsia" w:asciiTheme="minorEastAsia" w:hAnsiTheme="minorEastAsia" w:eastAsiaTheme="minorEastAsia" w:cstheme="minorEastAsia"/>
          <w:sz w:val="24"/>
          <w:szCs w:val="24"/>
          <w:lang w:val="en-US" w:eastAsia="zh-CN"/>
        </w:rPr>
        <w:t>的招标、投标、评标、定标、验收、合同履约、付款等行为（法律、法规另有规定的，从其规定）。</w:t>
      </w:r>
    </w:p>
    <w:p w14:paraId="329872EC">
      <w:pPr>
        <w:spacing w:line="300" w:lineRule="auto"/>
        <w:outlineLvl w:val="1"/>
        <w:rPr>
          <w:rFonts w:hint="eastAsia" w:asciiTheme="minorEastAsia" w:hAnsiTheme="minorEastAsia" w:eastAsiaTheme="minorEastAsia" w:cstheme="minorEastAsia"/>
          <w:b/>
          <w:bCs/>
          <w:sz w:val="24"/>
          <w:szCs w:val="24"/>
          <w:lang w:val="en-US" w:eastAsia="zh-CN"/>
        </w:rPr>
      </w:pPr>
      <w:bookmarkStart w:id="70" w:name="_Toc13192"/>
      <w:bookmarkStart w:id="71" w:name="_Toc21374"/>
      <w:r>
        <w:rPr>
          <w:rFonts w:hint="eastAsia" w:asciiTheme="minorEastAsia" w:hAnsiTheme="minorEastAsia" w:eastAsiaTheme="minorEastAsia" w:cstheme="minorEastAsia"/>
          <w:b/>
          <w:bCs/>
          <w:sz w:val="24"/>
          <w:szCs w:val="24"/>
          <w:lang w:val="en-US" w:eastAsia="zh-CN"/>
        </w:rPr>
        <w:t>（二）定义</w:t>
      </w:r>
      <w:bookmarkEnd w:id="70"/>
      <w:bookmarkEnd w:id="71"/>
    </w:p>
    <w:p w14:paraId="37083CCE">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1.招标采购单位系指组织本次招标的代理机构（“招标人”）和采购单位。</w:t>
      </w:r>
    </w:p>
    <w:p w14:paraId="628148E8">
      <w:pPr>
        <w:spacing w:line="300" w:lineRule="auto"/>
        <w:ind w:left="210" w:leftChars="100" w:firstLine="120" w:firstLineChars="50"/>
        <w:outlineLvl w:val="2"/>
        <w:rPr>
          <w:rFonts w:hint="eastAsia" w:asciiTheme="minorEastAsia" w:hAnsiTheme="minorEastAsia" w:eastAsiaTheme="minorEastAsia" w:cstheme="minorEastAsia"/>
          <w:sz w:val="24"/>
          <w:szCs w:val="24"/>
          <w:lang w:val="en-US" w:eastAsia="zh-CN"/>
        </w:rPr>
      </w:pPr>
      <w:bookmarkStart w:id="72" w:name="_Toc16199"/>
      <w:r>
        <w:rPr>
          <w:rFonts w:hint="eastAsia" w:asciiTheme="minorEastAsia" w:hAnsiTheme="minorEastAsia" w:eastAsiaTheme="minorEastAsia" w:cstheme="minorEastAsia"/>
          <w:sz w:val="24"/>
          <w:szCs w:val="24"/>
          <w:lang w:val="en-US" w:eastAsia="zh-CN"/>
        </w:rPr>
        <w:t>2.“投标人”系指向招标方提交投标文件的单位或个人。</w:t>
      </w:r>
      <w:bookmarkEnd w:id="72"/>
    </w:p>
    <w:p w14:paraId="163FB407">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3.“产品”系指供方按招标文件规定，须向招标人提供的一切服务及其它有关技术资料和材料。</w:t>
      </w:r>
    </w:p>
    <w:p w14:paraId="77C778D8">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4.“服务”系指招标文件规定投标人须承担的技术协助、校准、培训、技术指导以及其他类似的义务。</w:t>
      </w:r>
    </w:p>
    <w:p w14:paraId="452EF5CF">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5.“项目”系指投标人按招标文件规定向招标人提供的产品和服务。</w:t>
      </w:r>
    </w:p>
    <w:p w14:paraId="72216043">
      <w:pPr>
        <w:spacing w:line="300" w:lineRule="auto"/>
        <w:ind w:left="210" w:leftChars="100" w:firstLine="120" w:firstLineChars="50"/>
        <w:outlineLvl w:val="2"/>
        <w:rPr>
          <w:rFonts w:hint="eastAsia" w:asciiTheme="minorEastAsia" w:hAnsiTheme="minorEastAsia" w:eastAsiaTheme="minorEastAsia" w:cstheme="minorEastAsia"/>
          <w:sz w:val="24"/>
          <w:szCs w:val="24"/>
          <w:lang w:val="en-US" w:eastAsia="zh-CN"/>
        </w:rPr>
      </w:pPr>
      <w:bookmarkStart w:id="73" w:name="_Toc20586"/>
      <w:r>
        <w:rPr>
          <w:rFonts w:hint="eastAsia" w:asciiTheme="minorEastAsia" w:hAnsiTheme="minorEastAsia" w:eastAsiaTheme="minorEastAsia" w:cstheme="minorEastAsia"/>
          <w:sz w:val="24"/>
          <w:szCs w:val="24"/>
          <w:lang w:val="en-US" w:eastAsia="zh-CN"/>
        </w:rPr>
        <w:t>6.“书面形式”包括信函、传真、电报等。</w:t>
      </w:r>
      <w:bookmarkEnd w:id="73"/>
    </w:p>
    <w:p w14:paraId="62B34438">
      <w:pPr>
        <w:spacing w:line="300" w:lineRule="auto"/>
        <w:outlineLvl w:val="1"/>
        <w:rPr>
          <w:rFonts w:hint="eastAsia" w:asciiTheme="minorEastAsia" w:hAnsiTheme="minorEastAsia" w:eastAsiaTheme="minorEastAsia" w:cstheme="minorEastAsia"/>
          <w:b/>
          <w:bCs/>
          <w:sz w:val="24"/>
          <w:szCs w:val="24"/>
          <w:lang w:val="en-US" w:eastAsia="zh-CN"/>
        </w:rPr>
      </w:pPr>
      <w:bookmarkStart w:id="74" w:name="_Toc14030"/>
      <w:bookmarkStart w:id="75" w:name="_Toc15840"/>
      <w:r>
        <w:rPr>
          <w:rFonts w:hint="eastAsia" w:asciiTheme="minorEastAsia" w:hAnsiTheme="minorEastAsia" w:eastAsiaTheme="minorEastAsia" w:cstheme="minorEastAsia"/>
          <w:b/>
          <w:bCs/>
          <w:sz w:val="24"/>
          <w:szCs w:val="24"/>
          <w:lang w:val="en-US" w:eastAsia="zh-CN"/>
        </w:rPr>
        <w:t>（三）招标方式</w:t>
      </w:r>
      <w:bookmarkEnd w:id="74"/>
      <w:bookmarkEnd w:id="75"/>
    </w:p>
    <w:p w14:paraId="1A207433">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本次招标采用公开招标方式进行。</w:t>
      </w:r>
    </w:p>
    <w:p w14:paraId="215041A5">
      <w:pPr>
        <w:pStyle w:val="8"/>
        <w:ind w:left="0" w:leftChars="0" w:firstLine="0" w:firstLineChars="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（四）采购文件获取</w:t>
      </w:r>
    </w:p>
    <w:p w14:paraId="6A435684">
      <w:pPr>
        <w:spacing w:line="300" w:lineRule="auto"/>
        <w:rPr>
          <w:rFonts w:hint="eastAsia" w:asciiTheme="minorEastAsia" w:hAnsiTheme="minorEastAsia" w:eastAsiaTheme="minorEastAsia" w:cstheme="minorEastAsia"/>
          <w:sz w:val="24"/>
          <w:szCs w:val="24"/>
          <w:lang w:val="en-US" w:eastAsia="zh-CN"/>
        </w:rPr>
      </w:pPr>
      <w:bookmarkStart w:id="76" w:name="_Toc17293"/>
      <w:bookmarkStart w:id="77" w:name="_Toc1704"/>
      <w:r>
        <w:rPr>
          <w:rFonts w:hint="eastAsia" w:asciiTheme="minorEastAsia" w:hAnsiTheme="minorEastAsia" w:eastAsiaTheme="minorEastAsia" w:cstheme="minorEastAsia"/>
          <w:sz w:val="24"/>
          <w:szCs w:val="24"/>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24AFD20">
      <w:pPr>
        <w:spacing w:line="300" w:lineRule="auto"/>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（五）投标费用</w:t>
      </w:r>
      <w:bookmarkEnd w:id="76"/>
      <w:bookmarkEnd w:id="77"/>
    </w:p>
    <w:p w14:paraId="0D6513E5">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不论投标结果如何，投标人均应自行承担所有与投标有关的全部费用。</w:t>
      </w:r>
    </w:p>
    <w:p w14:paraId="31C27780">
      <w:pPr>
        <w:spacing w:line="300" w:lineRule="auto"/>
        <w:outlineLvl w:val="1"/>
        <w:rPr>
          <w:rFonts w:hint="eastAsia" w:asciiTheme="minorEastAsia" w:hAnsiTheme="minorEastAsia" w:eastAsiaTheme="minorEastAsia" w:cstheme="minorEastAsia"/>
          <w:b/>
          <w:bCs/>
          <w:sz w:val="24"/>
          <w:szCs w:val="24"/>
          <w:lang w:val="en-US" w:eastAsia="zh-CN"/>
        </w:rPr>
      </w:pPr>
      <w:bookmarkStart w:id="78" w:name="_Toc22117"/>
      <w:bookmarkStart w:id="79" w:name="_Toc19554"/>
      <w:r>
        <w:rPr>
          <w:rFonts w:hint="eastAsia" w:asciiTheme="minorEastAsia" w:hAnsiTheme="minorEastAsia" w:eastAsiaTheme="minorEastAsia" w:cstheme="minorEastAsia"/>
          <w:b/>
          <w:bCs/>
          <w:sz w:val="24"/>
          <w:szCs w:val="24"/>
          <w:lang w:val="en-US" w:eastAsia="zh-CN"/>
        </w:rPr>
        <w:t>（六）联合体投标</w:t>
      </w:r>
      <w:bookmarkEnd w:id="78"/>
      <w:bookmarkEnd w:id="79"/>
    </w:p>
    <w:p w14:paraId="4BDB233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联合体各方均应当满足《中华人民共和国政府采购法》第二十二条规定的条件，并在投标文件中提供联合体各方的相关证明材料。</w:t>
      </w:r>
    </w:p>
    <w:p w14:paraId="2CF8096D">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3EFA8BE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1F80D2D6">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联合体成员存在不良信用记录的，视同联合体存在不良信用记录。</w:t>
      </w:r>
    </w:p>
    <w:p w14:paraId="0D71CA7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5F19503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联合体各方应当共同与采购人签订采购合同，就合同约定的事项对采购人承担连带责任。</w:t>
      </w:r>
    </w:p>
    <w:p w14:paraId="76B96D7D">
      <w:pPr>
        <w:spacing w:line="30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本项目不接受联合体投标。</w:t>
      </w:r>
    </w:p>
    <w:p w14:paraId="318D2633">
      <w:pPr>
        <w:spacing w:line="300" w:lineRule="auto"/>
        <w:outlineLvl w:val="1"/>
        <w:rPr>
          <w:rFonts w:hint="eastAsia" w:asciiTheme="minorEastAsia" w:hAnsiTheme="minorEastAsia" w:eastAsiaTheme="minorEastAsia" w:cstheme="minorEastAsia"/>
          <w:b/>
          <w:bCs/>
          <w:sz w:val="24"/>
          <w:szCs w:val="24"/>
          <w:highlight w:val="none"/>
          <w:lang w:val="en-US" w:eastAsia="zh-CN"/>
        </w:rPr>
      </w:pPr>
      <w:bookmarkStart w:id="80" w:name="_Toc21389"/>
      <w:bookmarkStart w:id="81" w:name="_Toc11478"/>
      <w:r>
        <w:rPr>
          <w:rFonts w:hint="eastAsia" w:asciiTheme="minorEastAsia" w:hAnsiTheme="minorEastAsia" w:eastAsiaTheme="minorEastAsia" w:cstheme="minorEastAsia"/>
          <w:b/>
          <w:bCs/>
          <w:sz w:val="24"/>
          <w:szCs w:val="24"/>
          <w:highlight w:val="none"/>
          <w:lang w:val="en-US" w:eastAsia="zh-CN"/>
        </w:rPr>
        <w:t>（七）转包与分包</w:t>
      </w:r>
      <w:bookmarkEnd w:id="80"/>
      <w:bookmarkEnd w:id="81"/>
    </w:p>
    <w:p w14:paraId="4045301B">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1.本项目不允许转包。</w:t>
      </w:r>
    </w:p>
    <w:p w14:paraId="22EF97A2">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2.本项目不可以分包。</w:t>
      </w:r>
    </w:p>
    <w:p w14:paraId="2CA15F32">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3.投标人应仔细阅读招标文件的所有内容，按照招标文件的要求提交投标文件，并对所提供的全部资料的真实性承担法律责任。</w:t>
      </w:r>
    </w:p>
    <w:p w14:paraId="0E3C6CDC">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0AB859C2">
      <w:pPr>
        <w:spacing w:line="300" w:lineRule="auto"/>
        <w:outlineLvl w:val="1"/>
        <w:rPr>
          <w:rFonts w:hint="eastAsia" w:asciiTheme="minorEastAsia" w:hAnsiTheme="minorEastAsia" w:eastAsiaTheme="minorEastAsia" w:cstheme="minorEastAsia"/>
          <w:b/>
          <w:bCs/>
          <w:sz w:val="24"/>
          <w:szCs w:val="24"/>
          <w:lang w:val="en-US" w:eastAsia="zh-CN"/>
        </w:rPr>
      </w:pPr>
      <w:bookmarkStart w:id="82" w:name="_Toc4294"/>
      <w:bookmarkStart w:id="83" w:name="_Toc14774"/>
      <w:r>
        <w:rPr>
          <w:rFonts w:hint="eastAsia" w:asciiTheme="minorEastAsia" w:hAnsiTheme="minorEastAsia" w:eastAsiaTheme="minorEastAsia" w:cstheme="minorEastAsia"/>
          <w:b/>
          <w:bCs/>
          <w:sz w:val="24"/>
          <w:szCs w:val="24"/>
          <w:lang w:val="en-US" w:eastAsia="zh-CN"/>
        </w:rPr>
        <w:t>（八）质疑和投诉</w:t>
      </w:r>
      <w:bookmarkEnd w:id="82"/>
      <w:bookmarkEnd w:id="83"/>
    </w:p>
    <w:p w14:paraId="49B61ACA">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14:paraId="77E02BD6">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3046250">
      <w:pPr>
        <w:spacing w:line="300" w:lineRule="auto"/>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（九）纪律与保密事项</w:t>
      </w:r>
    </w:p>
    <w:p w14:paraId="2ED1E6C4">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35E7F7E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在确定中标供应商之前，投标人不得与采购人就投标价格、投标方案等实质性内容进行谈判，也不得私下接触评标委员会成员。</w:t>
      </w:r>
    </w:p>
    <w:p w14:paraId="1464774D">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在确定中标供应商之前，投标人试图在投标文件审查、澄清、比较和评价时对评标委员会、采购人和采购代理机构施加任何影响都可能导致其投标无效。</w:t>
      </w:r>
    </w:p>
    <w:p w14:paraId="165A1B4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获得本招标文件者，须履行本项目下保密义务，不得将因本次项目获得的信息向第三人外传，不得将招标文件用作本次投标以外的任何用途。</w:t>
      </w:r>
    </w:p>
    <w:p w14:paraId="5F6A3F5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317328C5">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采购人或采购代理机构有权将供应商提供的所有资料向有关政府部门或评审小组披露。</w:t>
      </w:r>
    </w:p>
    <w:p w14:paraId="0AEC69B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3FA5F34">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Theme="minorEastAsia" w:hAnsiTheme="minorEastAsia" w:eastAsiaTheme="minorEastAsia" w:cstheme="minorEastAsia"/>
          <w:b/>
          <w:bCs/>
          <w:color w:val="000000"/>
          <w:sz w:val="24"/>
          <w:szCs w:val="24"/>
          <w:highlight w:val="none"/>
          <w:lang w:val="en-US" w:eastAsia="zh-CN"/>
        </w:rPr>
      </w:pPr>
      <w:bookmarkStart w:id="84" w:name="_Toc30350"/>
      <w:bookmarkStart w:id="85" w:name="_Toc503212209"/>
      <w:bookmarkStart w:id="86" w:name="_Toc32144"/>
      <w:bookmarkStart w:id="87" w:name="_Toc28270"/>
      <w:bookmarkStart w:id="88" w:name="_Toc521014777"/>
    </w:p>
    <w:p w14:paraId="650D9CFB">
      <w:pPr>
        <w:keepNext w:val="0"/>
        <w:keepLines w:val="0"/>
        <w:pageBreakBefore w:val="0"/>
        <w:numPr>
          <w:ilvl w:val="0"/>
          <w:numId w:val="6"/>
        </w:numPr>
        <w:kinsoku/>
        <w:wordWrap/>
        <w:overflowPunct/>
        <w:topLinePunct w:val="0"/>
        <w:autoSpaceDE/>
        <w:autoSpaceDN/>
        <w:bidi w:val="0"/>
        <w:adjustRightInd/>
        <w:snapToGrid/>
        <w:spacing w:line="300" w:lineRule="exact"/>
        <w:ind w:left="0" w:right="0" w:firstLine="482" w:firstLineChars="200"/>
        <w:jc w:val="center"/>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招标文件</w:t>
      </w:r>
      <w:bookmarkEnd w:id="84"/>
      <w:bookmarkEnd w:id="85"/>
      <w:bookmarkEnd w:id="86"/>
      <w:bookmarkEnd w:id="87"/>
      <w:bookmarkEnd w:id="88"/>
    </w:p>
    <w:p w14:paraId="7B489790">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（一）招标文件的构成。本招标文件由以下部份组成：</w:t>
      </w:r>
    </w:p>
    <w:p w14:paraId="76F50EF2">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第一章 招标公告</w:t>
      </w:r>
    </w:p>
    <w:p w14:paraId="63503EBE">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第二章 投标人须知</w:t>
      </w:r>
    </w:p>
    <w:p w14:paraId="10AAA98A">
      <w:pPr>
        <w:pStyle w:val="12"/>
        <w:ind w:left="0" w:leftChars="0" w:firstLine="240" w:firstLineChars="100"/>
        <w:rPr>
          <w:rFonts w:hint="default"/>
          <w:lang w:val="en-US" w:eastAsia="zh-CN"/>
        </w:rPr>
      </w:pPr>
      <w:r>
        <w:rPr>
          <w:rFonts w:hint="eastAsia" w:asciiTheme="minorEastAsia" w:hAnsiTheme="minorEastAsia" w:eastAsiaTheme="minorEastAsia" w:cstheme="minorEastAsia"/>
          <w:sz w:val="24"/>
          <w:szCs w:val="24"/>
          <w:lang w:val="en-US" w:eastAsia="zh-CN"/>
        </w:rPr>
        <w:t>第三章  资格审查</w:t>
      </w:r>
    </w:p>
    <w:p w14:paraId="4DFC68B2">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第四章 评标办法及标准</w:t>
      </w:r>
    </w:p>
    <w:p w14:paraId="5D977697">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第五章 招标需求</w:t>
      </w:r>
    </w:p>
    <w:p w14:paraId="755969F7">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第六章 合同主要条款</w:t>
      </w:r>
    </w:p>
    <w:p w14:paraId="5A634C9C">
      <w:pPr>
        <w:spacing w:line="300" w:lineRule="auto"/>
        <w:ind w:left="210" w:leftChars="100" w:firstLine="120" w:firstLine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第七章 投标文件格式</w:t>
      </w:r>
    </w:p>
    <w:p w14:paraId="32C29C52">
      <w:pPr>
        <w:spacing w:line="300" w:lineRule="auto"/>
        <w:outlineLvl w:val="1"/>
        <w:rPr>
          <w:rFonts w:hint="eastAsia" w:asciiTheme="minorEastAsia" w:hAnsiTheme="minorEastAsia" w:eastAsiaTheme="minorEastAsia" w:cstheme="minorEastAsia"/>
          <w:b/>
          <w:bCs/>
          <w:sz w:val="24"/>
          <w:szCs w:val="24"/>
          <w:lang w:val="en-US" w:eastAsia="zh-CN"/>
        </w:rPr>
      </w:pPr>
      <w:bookmarkStart w:id="89" w:name="_Toc12877"/>
      <w:bookmarkStart w:id="90" w:name="_Toc18044"/>
      <w:r>
        <w:rPr>
          <w:rFonts w:hint="eastAsia" w:asciiTheme="minorEastAsia" w:hAnsiTheme="minorEastAsia" w:eastAsiaTheme="minorEastAsia" w:cstheme="minorEastAsia"/>
          <w:b/>
          <w:bCs/>
          <w:sz w:val="24"/>
          <w:szCs w:val="24"/>
          <w:lang w:val="en-US" w:eastAsia="zh-CN"/>
        </w:rPr>
        <w:t>（二）投标人的风险</w:t>
      </w:r>
      <w:bookmarkEnd w:id="89"/>
      <w:bookmarkEnd w:id="90"/>
    </w:p>
    <w:p w14:paraId="3CD4230F">
      <w:pPr>
        <w:spacing w:line="300" w:lineRule="auto"/>
        <w:ind w:left="210" w:leftChars="100"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投标人没有按照招标文件要求提供全部资料，或者投标人没有对招标文件在各方面作出实质性响应是投标人的风险，并可能导致其投标为无效标。</w:t>
      </w:r>
    </w:p>
    <w:p w14:paraId="4DF3178C">
      <w:pPr>
        <w:spacing w:line="300" w:lineRule="auto"/>
        <w:outlineLvl w:val="1"/>
        <w:rPr>
          <w:rFonts w:hint="eastAsia" w:asciiTheme="minorEastAsia" w:hAnsiTheme="minorEastAsia" w:eastAsiaTheme="minorEastAsia" w:cstheme="minorEastAsia"/>
          <w:b/>
          <w:bCs/>
          <w:sz w:val="24"/>
          <w:szCs w:val="24"/>
          <w:lang w:val="en-US" w:eastAsia="zh-CN"/>
        </w:rPr>
      </w:pPr>
      <w:bookmarkStart w:id="91" w:name="_Toc15241"/>
      <w:bookmarkStart w:id="92" w:name="_Toc27766"/>
      <w:r>
        <w:rPr>
          <w:rFonts w:hint="eastAsia" w:asciiTheme="minorEastAsia" w:hAnsiTheme="minorEastAsia" w:eastAsiaTheme="minorEastAsia" w:cstheme="minorEastAsia"/>
          <w:b/>
          <w:bCs/>
          <w:sz w:val="24"/>
          <w:szCs w:val="24"/>
          <w:lang w:val="en-US" w:eastAsia="zh-CN"/>
        </w:rPr>
        <w:t>（三）招标文件的澄清与修改</w:t>
      </w:r>
      <w:bookmarkEnd w:id="91"/>
      <w:bookmarkEnd w:id="92"/>
      <w:r>
        <w:rPr>
          <w:rFonts w:hint="eastAsia" w:asciiTheme="minorEastAsia" w:hAnsiTheme="minorEastAsia" w:eastAsiaTheme="minorEastAsia" w:cstheme="minorEastAsia"/>
          <w:b/>
          <w:bCs/>
          <w:sz w:val="24"/>
          <w:szCs w:val="24"/>
          <w:lang w:val="en-US" w:eastAsia="zh-CN"/>
        </w:rPr>
        <w:t xml:space="preserve"> </w:t>
      </w:r>
    </w:p>
    <w:p w14:paraId="7F2E694F">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1.招标代理机构必须以书面形式答复投标人要求澄清的问题，并将不包含问题来源的答复书面通知所有购买招标文件的投标人；除书面答复以外的其他澄清方式及澄清内容均无效。</w:t>
      </w:r>
    </w:p>
    <w:p w14:paraId="315A527D">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2.招标文件澄清、答复、修改、补充的内容为招标文件的组成部分。当招标文件与招标文件的答复、澄清、修改、补充通知就同一内容的表述不一致时，以最后发出的书面文件为准。</w:t>
      </w:r>
    </w:p>
    <w:p w14:paraId="5879FD61">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3.招标文件的澄清、答复、修改或补充都应该通过本代理机构以法定形式发布，招标人非通过本机构，不得擅自澄清、答复、修改或补充招标文件。</w:t>
      </w:r>
    </w:p>
    <w:p w14:paraId="5AF79C3C">
      <w:pPr>
        <w:pStyle w:val="5"/>
        <w:numPr>
          <w:ilvl w:val="0"/>
          <w:numId w:val="0"/>
        </w:numPr>
        <w:ind w:leftChars="-50" w:right="62" w:rightChars="0"/>
        <w:jc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bookmarkStart w:id="93" w:name="_Toc12173"/>
      <w:bookmarkStart w:id="94" w:name="_Toc503212210"/>
      <w:bookmarkStart w:id="95" w:name="_Toc521014778"/>
      <w:bookmarkStart w:id="96" w:name="_Toc8746"/>
      <w:bookmarkStart w:id="97" w:name="_Toc10814"/>
      <w:bookmarkStart w:id="98" w:name="_Toc765"/>
      <w:bookmarkStart w:id="99" w:name="_Toc27918"/>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（三）投标文件的编制</w:t>
      </w:r>
      <w:bookmarkEnd w:id="93"/>
      <w:bookmarkEnd w:id="94"/>
      <w:bookmarkEnd w:id="95"/>
      <w:bookmarkEnd w:id="96"/>
      <w:bookmarkEnd w:id="97"/>
      <w:bookmarkEnd w:id="98"/>
      <w:bookmarkEnd w:id="99"/>
    </w:p>
    <w:p w14:paraId="1E7CDAD7">
      <w:pPr>
        <w:spacing w:line="30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100" w:name="_Toc23068"/>
      <w:bookmarkStart w:id="101" w:name="_Toc521014779"/>
      <w:bookmarkStart w:id="102" w:name="_Toc503212211"/>
      <w:bookmarkStart w:id="103" w:name="_Toc29977"/>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投标文件的组成</w:t>
      </w:r>
      <w:bookmarkEnd w:id="100"/>
      <w:bookmarkEnd w:id="101"/>
      <w:bookmarkEnd w:id="102"/>
      <w:bookmarkEnd w:id="103"/>
    </w:p>
    <w:p w14:paraId="6B7782AF">
      <w:pPr>
        <w:spacing w:line="300" w:lineRule="auto"/>
        <w:outlineLvl w:val="2"/>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04" w:name="_Toc21340"/>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投标文件由报价部分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商务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技术部分组成。</w:t>
      </w:r>
      <w:bookmarkEnd w:id="104"/>
    </w:p>
    <w:p w14:paraId="39A4934E">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、投标单位应按招标文件的要求提供招标文件，并保证所有材料的真实性，以确保其投标对招标文件做出实质性的响应。</w:t>
      </w:r>
    </w:p>
    <w:p w14:paraId="6A1F1D8C">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、招标文件使用的计量单位，应采用国家法定的计量单位。</w:t>
      </w:r>
    </w:p>
    <w:p w14:paraId="11590880">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、投标人所递交的投标文件应包含以下文件：</w:t>
      </w:r>
    </w:p>
    <w:p w14:paraId="395CFC83">
      <w:pPr>
        <w:spacing w:line="30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报价部分：</w:t>
      </w:r>
    </w:p>
    <w:p w14:paraId="023658F8">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1、投标函；</w:t>
      </w:r>
    </w:p>
    <w:p w14:paraId="596B6A59">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2、开标一览表；</w:t>
      </w:r>
    </w:p>
    <w:p w14:paraId="0D2BF451">
      <w:pPr>
        <w:spacing w:line="30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3、投标报价明细表</w:t>
      </w:r>
    </w:p>
    <w:p w14:paraId="20D2F116">
      <w:pPr>
        <w:spacing w:line="30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商务部分：</w:t>
      </w:r>
    </w:p>
    <w:p w14:paraId="2AEB93CC">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投标单位简介，并附投标人资质证件等；</w:t>
      </w:r>
    </w:p>
    <w:p w14:paraId="5FA4D772">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出具法人营业执照函（格式见附件）；</w:t>
      </w:r>
    </w:p>
    <w:p w14:paraId="588083CE">
      <w:pPr>
        <w:spacing w:line="300" w:lineRule="auto"/>
        <w:outlineLvl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6、联合体协议书（如是）</w:t>
      </w:r>
    </w:p>
    <w:p w14:paraId="09A9292A">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法定代表人证明书及身份证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复印</w:t>
      </w:r>
      <w:r>
        <w:rPr>
          <w:rFonts w:hint="eastAsia" w:asciiTheme="minorEastAsia" w:hAnsiTheme="minorEastAsia" w:eastAsiaTheme="minorEastAsia" w:cstheme="minorEastAsia"/>
          <w:color w:val="000000" w:themeColor="text1"/>
          <w:sz w:val="24"/>
          <w:szCs w:val="24"/>
          <w14:textFill>
            <w14:solidFill>
              <w14:schemeClr w14:val="tx1"/>
            </w14:solidFill>
          </w14:textFill>
        </w:rPr>
        <w:t>件；</w:t>
      </w:r>
    </w:p>
    <w:p w14:paraId="5E5CABBC">
      <w:pPr>
        <w:spacing w:line="30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法人代表授权委托书及身份证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复印件</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2C2DAFB">
      <w:pPr>
        <w:spacing w:line="300" w:lineRule="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9、委托代理人身份证复印件； </w:t>
      </w:r>
    </w:p>
    <w:p w14:paraId="24F9290D">
      <w:pPr>
        <w:spacing w:line="300" w:lineRule="auto"/>
        <w:rPr>
          <w:ins w:id="0" w:author="何以忘言" w:date="2023-03-20T15:50:00Z"/>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凡拟参加本次招标项目的投标人在“信用中国（www.creditchina.gov.cn）”被列入失信被执行人、企业经营异常名录、重大税收违法案件当事人名单、政府采购严重违法失信名单（尚在处罚期内的）；在“中国政府采购网（www.ccgp.gov.cn）”被列入失信被执行人、重大税收违法案件当事人名单、政府采购严重违法失信行为记录名单的(尚在处罚期内的)、经营异常名录的，将拒绝其参与本次政府釆购活动，投标人自行截图并加盖公章；</w:t>
      </w:r>
    </w:p>
    <w:p w14:paraId="47A1DB79">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11、具有良好的商业信誉和健全的财务会计制度：提供2023年由第三方审计机构出具及备案赋码的审计报告（2024年新成立的公司按实际发生的情况提供银行出具的资信证明）和健全的财务会计制度；</w:t>
      </w:r>
    </w:p>
    <w:p w14:paraId="5B49D16C">
      <w:pPr>
        <w:spacing w:line="300" w:lineRule="auto"/>
        <w:outlineLvl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12、投标保证金打款凭证或保函文件；</w:t>
      </w:r>
    </w:p>
    <w:p w14:paraId="1C1B3127">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 xml:space="preserve">商务偏离表（格式见附件）；  </w:t>
      </w:r>
    </w:p>
    <w:p w14:paraId="49703CEC">
      <w:pPr>
        <w:spacing w:line="3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反商业贿赂承诺书（格式见附件）；</w:t>
      </w:r>
    </w:p>
    <w:p w14:paraId="295B0C8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15、无围标、串标等违法违规行为承诺书</w:t>
      </w:r>
      <w:r>
        <w:rPr>
          <w:rFonts w:hint="eastAsia" w:asciiTheme="minorEastAsia" w:hAnsiTheme="minorEastAsia" w:eastAsiaTheme="minorEastAsia" w:cstheme="minorEastAsia"/>
          <w:sz w:val="24"/>
          <w:szCs w:val="24"/>
        </w:rPr>
        <w:t>（格式见附件）；</w:t>
      </w:r>
    </w:p>
    <w:p w14:paraId="2C9BAA88">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16、中小企业声明函</w:t>
      </w:r>
      <w:r>
        <w:rPr>
          <w:rFonts w:hint="eastAsia" w:asciiTheme="minorEastAsia" w:hAnsiTheme="minorEastAsia" w:eastAsiaTheme="minorEastAsia" w:cstheme="minorEastAsia"/>
          <w:sz w:val="24"/>
          <w:szCs w:val="24"/>
        </w:rPr>
        <w:t>；</w:t>
      </w:r>
    </w:p>
    <w:p w14:paraId="5F9CE21C">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投标人认为有必要提供的声明及文件资料。</w:t>
      </w:r>
    </w:p>
    <w:p w14:paraId="488329BA">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技术部分：</w:t>
      </w:r>
    </w:p>
    <w:p w14:paraId="7B163131">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18、对本次投标项目的技术方案(投标人视需要自行编写)；</w:t>
      </w:r>
    </w:p>
    <w:p w14:paraId="1E8A3470">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19、技术偏离表（格式见附件）</w:t>
      </w:r>
      <w:r>
        <w:rPr>
          <w:rFonts w:hint="eastAsia" w:asciiTheme="minorEastAsia" w:hAnsiTheme="minorEastAsia" w:eastAsiaTheme="minorEastAsia" w:cstheme="minorEastAsia"/>
          <w:sz w:val="24"/>
          <w:szCs w:val="24"/>
          <w:lang w:eastAsia="zh-CN"/>
        </w:rPr>
        <w:t>；</w:t>
      </w:r>
    </w:p>
    <w:p w14:paraId="7B2D85E5">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20、服务承诺书</w:t>
      </w:r>
    </w:p>
    <w:p w14:paraId="001BBFE2">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21、分包协议书(本项目不适用）</w:t>
      </w:r>
    </w:p>
    <w:p w14:paraId="4CFBBC6B">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22、其他有利</w:t>
      </w:r>
      <w:r>
        <w:rPr>
          <w:rFonts w:hint="eastAsia" w:asciiTheme="minorEastAsia" w:hAnsiTheme="minorEastAsia" w:eastAsiaTheme="minorEastAsia" w:cstheme="minorEastAsia"/>
          <w:sz w:val="21"/>
          <w:szCs w:val="21"/>
          <w:highlight w:val="none"/>
          <w:lang w:val="en-US" w:eastAsia="zh-CN"/>
        </w:rPr>
        <w:t>于</w:t>
      </w:r>
      <w:r>
        <w:rPr>
          <w:rFonts w:hint="eastAsia" w:asciiTheme="minorEastAsia" w:hAnsiTheme="minorEastAsia" w:eastAsiaTheme="minorEastAsia" w:cstheme="minorEastAsia"/>
          <w:sz w:val="24"/>
          <w:szCs w:val="24"/>
          <w:highlight w:val="none"/>
          <w:lang w:val="en-US" w:eastAsia="zh-CN"/>
        </w:rPr>
        <w:t>投标人的资料（如有）</w:t>
      </w:r>
    </w:p>
    <w:p w14:paraId="7C7C5641">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▲注：法定代表人授权委托书、投标声明书、投标函、投标报价一览表必须由法定代表人签名</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rPr>
        <w:t>盖章并加盖单位公章。</w:t>
      </w:r>
    </w:p>
    <w:p w14:paraId="155AD1F9">
      <w:pPr>
        <w:spacing w:line="300" w:lineRule="auto"/>
        <w:outlineLvl w:val="1"/>
        <w:rPr>
          <w:rFonts w:hint="eastAsia" w:asciiTheme="minorEastAsia" w:hAnsiTheme="minorEastAsia" w:eastAsiaTheme="minorEastAsia" w:cstheme="minorEastAsia"/>
          <w:b/>
          <w:bCs/>
          <w:sz w:val="24"/>
          <w:szCs w:val="24"/>
        </w:rPr>
      </w:pPr>
      <w:bookmarkStart w:id="105" w:name="_Toc521014780"/>
      <w:bookmarkStart w:id="106" w:name="_Toc28971"/>
      <w:bookmarkStart w:id="107" w:name="_Toc18015"/>
      <w:bookmarkStart w:id="108" w:name="_Toc503212212"/>
      <w:bookmarkStart w:id="109" w:name="_Toc14838"/>
      <w:bookmarkStart w:id="110" w:name="_Toc24112"/>
      <w:r>
        <w:rPr>
          <w:rFonts w:hint="eastAsia" w:asciiTheme="minorEastAsia" w:hAnsiTheme="minorEastAsia" w:eastAsiaTheme="minorEastAsia" w:cstheme="minorEastAsia"/>
          <w:b/>
          <w:bCs/>
          <w:sz w:val="24"/>
          <w:szCs w:val="24"/>
        </w:rPr>
        <w:t>投标文件的语言及计量</w:t>
      </w:r>
      <w:bookmarkEnd w:id="105"/>
      <w:bookmarkEnd w:id="106"/>
      <w:bookmarkEnd w:id="107"/>
      <w:bookmarkEnd w:id="108"/>
      <w:bookmarkEnd w:id="109"/>
      <w:bookmarkEnd w:id="110"/>
    </w:p>
    <w:p w14:paraId="6DF9E736">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2ECBD78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0A83A559">
      <w:pPr>
        <w:spacing w:line="300" w:lineRule="auto"/>
        <w:rPr>
          <w:rFonts w:hint="eastAsia" w:asciiTheme="minorEastAsia" w:hAnsiTheme="minorEastAsia" w:eastAsiaTheme="minorEastAsia" w:cstheme="minorEastAsia"/>
          <w:b/>
          <w:bCs/>
          <w:sz w:val="24"/>
          <w:szCs w:val="24"/>
        </w:rPr>
      </w:pPr>
      <w:bookmarkStart w:id="111" w:name="_Toc3970"/>
      <w:bookmarkStart w:id="112" w:name="_Toc503212213"/>
      <w:bookmarkStart w:id="113" w:name="_Toc6985"/>
      <w:bookmarkStart w:id="114" w:name="_Toc521014781"/>
      <w:r>
        <w:rPr>
          <w:rFonts w:hint="eastAsia" w:asciiTheme="minorEastAsia" w:hAnsiTheme="minorEastAsia" w:eastAsiaTheme="minorEastAsia" w:cstheme="minorEastAsia"/>
          <w:b/>
          <w:bCs/>
          <w:sz w:val="24"/>
          <w:szCs w:val="24"/>
        </w:rPr>
        <w:t>投标报价</w:t>
      </w:r>
      <w:bookmarkEnd w:id="111"/>
      <w:bookmarkEnd w:id="112"/>
      <w:bookmarkEnd w:id="113"/>
      <w:bookmarkEnd w:id="114"/>
    </w:p>
    <w:p w14:paraId="2F5EBC5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报价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67FC40AE">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（一）投标文件中开标一览表（报价表）内容与投标文件中相应内容不一致的，以开标一览表（报价表）为准；</w:t>
      </w:r>
    </w:p>
    <w:p w14:paraId="5F7BB105">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（二）大写金额和小写金额不一致的，以大写金额为准；</w:t>
      </w:r>
    </w:p>
    <w:p w14:paraId="43E85E9D">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（三）单价金额小数点或者百分比有明显错位的，以开标一览表的总价为准，并修改单价；</w:t>
      </w:r>
    </w:p>
    <w:p w14:paraId="161A4DDC">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（四）总价金额与单价汇总金额不一致的，以单价金额计算结果为准。</w:t>
      </w:r>
    </w:p>
    <w:p w14:paraId="7D7B7007">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供应商应在投标报价表中标明其提供的所有货物及其相关工作范围内所在费用的总价，不接受有任何选择性报价。</w:t>
      </w:r>
    </w:p>
    <w:p w14:paraId="39E5C8F2">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▲3报价时应对下列几点特别注明：</w:t>
      </w:r>
    </w:p>
    <w:p w14:paraId="4FA6F570">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3.1招标文件中特别要求的备品备件、易损件和专用工具的费用；</w:t>
      </w:r>
    </w:p>
    <w:p w14:paraId="57E51290">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3.2招标文件中特别要求的货物、运输、装卸、验收、税费和相关售后服务等费用及其它附带服务的全部费用；</w:t>
      </w:r>
    </w:p>
    <w:p w14:paraId="402B2922">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64B4F1C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算术性修正。算术性修正是指对招标响应文件的报价明细进行校核，并对其算术上和运算上的差错给予修正。修正的原则如下：</w:t>
      </w:r>
    </w:p>
    <w:p w14:paraId="6F45C07D">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当以数字表示的金额与文字表示的金额有差异时，以文字表示的金额为准；</w:t>
      </w:r>
    </w:p>
    <w:p w14:paraId="0632B4BF">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当单价与数量相乘不等于合价时，以单价计算为准。如果单价有明显的小数点位置差错，应以标出的合价为准，同时对单价予以修正；</w:t>
      </w:r>
    </w:p>
    <w:p w14:paraId="4510EF5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当各明细部分的价格累计不等于合价时，应以各明细的累计计数为准，修正合价。</w:t>
      </w:r>
    </w:p>
    <w:p w14:paraId="6721E67D">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按以上原则对算术性差错修正，应取得供应商的同意，并确认修正后最终招标报价。如果供应商拒绝确认，则其招标响应文件将不予以评审并按废标处理，没收其投标担保。</w:t>
      </w:r>
    </w:p>
    <w:p w14:paraId="609EE399">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投标文件只允许有一个报价，有选择的或有条件的报价将不予接受。</w:t>
      </w:r>
    </w:p>
    <w:p w14:paraId="0C6C9CD7">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rPr>
        <w:t>招标代理服</w:t>
      </w:r>
      <w:r>
        <w:rPr>
          <w:rFonts w:hint="eastAsia" w:asciiTheme="minorEastAsia" w:hAnsiTheme="minorEastAsia" w:eastAsiaTheme="minorEastAsia" w:cstheme="minorEastAsia"/>
          <w:sz w:val="24"/>
          <w:szCs w:val="24"/>
          <w:highlight w:val="none"/>
        </w:rPr>
        <w:t>务费由中标单位支付，投</w:t>
      </w:r>
      <w:r>
        <w:rPr>
          <w:rFonts w:hint="eastAsia" w:asciiTheme="minorEastAsia" w:hAnsiTheme="minorEastAsia" w:eastAsiaTheme="minorEastAsia" w:cstheme="minorEastAsia"/>
          <w:sz w:val="24"/>
          <w:szCs w:val="24"/>
        </w:rPr>
        <w:t>标单位在报价时请考虑。</w:t>
      </w:r>
    </w:p>
    <w:p w14:paraId="13A3A6A6">
      <w:pPr>
        <w:spacing w:line="300" w:lineRule="auto"/>
        <w:rPr>
          <w:rFonts w:hint="eastAsia" w:asciiTheme="minorEastAsia" w:hAnsiTheme="minorEastAsia" w:eastAsiaTheme="minorEastAsia" w:cstheme="minorEastAsia"/>
          <w:b/>
          <w:bCs/>
          <w:sz w:val="24"/>
          <w:szCs w:val="24"/>
        </w:rPr>
      </w:pPr>
      <w:bookmarkStart w:id="115" w:name="_Toc21800"/>
      <w:bookmarkStart w:id="116" w:name="_Toc503212214"/>
      <w:bookmarkStart w:id="117" w:name="_Toc21211"/>
      <w:bookmarkStart w:id="118" w:name="_Toc521014782"/>
      <w:r>
        <w:rPr>
          <w:rFonts w:hint="eastAsia" w:asciiTheme="minorEastAsia" w:hAnsiTheme="minorEastAsia" w:eastAsiaTheme="minorEastAsia" w:cstheme="minorEastAsia"/>
          <w:b/>
          <w:bCs/>
          <w:sz w:val="24"/>
          <w:szCs w:val="24"/>
        </w:rPr>
        <w:t>投标文件的有效期</w:t>
      </w:r>
      <w:bookmarkEnd w:id="115"/>
      <w:bookmarkEnd w:id="116"/>
      <w:bookmarkEnd w:id="117"/>
      <w:bookmarkEnd w:id="118"/>
    </w:p>
    <w:p w14:paraId="30E59AE4">
      <w:pPr>
        <w:spacing w:line="30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▲1.自投标截止日起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天投标文件应保持有效。有效期不足的投标文件将被拒绝。</w:t>
      </w:r>
    </w:p>
    <w:p w14:paraId="27AC875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2.在特殊情况下，招标人可与投标人协商延长投标书的有效期，这种要求和答复均以书面形式进行。</w:t>
      </w:r>
    </w:p>
    <w:p w14:paraId="401DF23F">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3.投标人可拒绝接受延期要求而不会导致投标保证金被没收。同意延长有效期的投标人需要相应延长投标保证金的有效期，但不能修改投标文件。 </w:t>
      </w:r>
    </w:p>
    <w:p w14:paraId="2F384BD2">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4.中标人的投标文件自开标之日起至合同履行完毕止均应保持有效。</w:t>
      </w:r>
    </w:p>
    <w:p w14:paraId="102BBF9A">
      <w:pPr>
        <w:spacing w:line="300" w:lineRule="auto"/>
        <w:rPr>
          <w:rFonts w:hint="eastAsia" w:asciiTheme="minorEastAsia" w:hAnsiTheme="minorEastAsia" w:eastAsiaTheme="minorEastAsia" w:cstheme="minorEastAsia"/>
          <w:b/>
          <w:bCs/>
          <w:sz w:val="24"/>
          <w:szCs w:val="24"/>
        </w:rPr>
      </w:pPr>
      <w:bookmarkStart w:id="119" w:name="_Toc503212215"/>
      <w:bookmarkStart w:id="120" w:name="_Toc521014783"/>
      <w:bookmarkStart w:id="121" w:name="_Toc16117"/>
      <w:bookmarkStart w:id="122" w:name="_Toc22838"/>
      <w:r>
        <w:rPr>
          <w:rFonts w:hint="eastAsia" w:asciiTheme="minorEastAsia" w:hAnsiTheme="minorEastAsia" w:eastAsiaTheme="minorEastAsia" w:cstheme="minorEastAsia"/>
          <w:b/>
          <w:bCs/>
          <w:sz w:val="24"/>
          <w:szCs w:val="24"/>
        </w:rPr>
        <w:t>投标保证金</w:t>
      </w:r>
      <w:bookmarkEnd w:id="119"/>
      <w:bookmarkEnd w:id="120"/>
      <w:bookmarkEnd w:id="121"/>
      <w:bookmarkEnd w:id="122"/>
    </w:p>
    <w:p w14:paraId="6FEDCF82">
      <w:pPr>
        <w:spacing w:line="30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▲1.投标人须按规定提交投标保证金</w:t>
      </w:r>
      <w:r>
        <w:rPr>
          <w:rFonts w:hint="eastAsia" w:asciiTheme="minorEastAsia" w:hAnsiTheme="minorEastAsia" w:eastAsiaTheme="minorEastAsia" w:cstheme="minorEastAsia"/>
          <w:sz w:val="24"/>
          <w:szCs w:val="24"/>
          <w:lang w:val="en-US" w:eastAsia="zh-CN"/>
        </w:rPr>
        <w:t>或电子保函</w:t>
      </w:r>
      <w:r>
        <w:rPr>
          <w:rFonts w:hint="eastAsia" w:asciiTheme="minorEastAsia" w:hAnsiTheme="minorEastAsia" w:eastAsiaTheme="minorEastAsia" w:cstheme="minorEastAsia"/>
          <w:sz w:val="24"/>
          <w:szCs w:val="24"/>
        </w:rPr>
        <w:t>。否则，其投标将被拒绝。</w:t>
      </w:r>
    </w:p>
    <w:p w14:paraId="25F11034">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2.保证金形式：</w:t>
      </w:r>
      <w:r>
        <w:rPr>
          <w:rFonts w:hint="eastAsia" w:asciiTheme="minorEastAsia" w:hAnsiTheme="minorEastAsia" w:eastAsiaTheme="minorEastAsia" w:cstheme="minorEastAsia"/>
          <w:sz w:val="24"/>
          <w:szCs w:val="24"/>
          <w:lang w:val="en-US" w:eastAsia="zh-CN"/>
        </w:rPr>
        <w:t>转账、汇款</w:t>
      </w:r>
      <w:r>
        <w:rPr>
          <w:rFonts w:hint="eastAsia" w:asciiTheme="minorEastAsia" w:hAnsiTheme="minorEastAsia" w:eastAsiaTheme="minorEastAsia" w:cstheme="minorEastAsia"/>
          <w:sz w:val="24"/>
          <w:szCs w:val="24"/>
        </w:rPr>
        <w:t>（必须从基本账户转出）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电子保函</w:t>
      </w:r>
      <w:r>
        <w:rPr>
          <w:rFonts w:hint="eastAsia" w:asciiTheme="minorEastAsia" w:hAnsiTheme="minorEastAsia" w:eastAsiaTheme="minorEastAsia" w:cstheme="minorEastAsia"/>
          <w:sz w:val="24"/>
          <w:szCs w:val="24"/>
        </w:rPr>
        <w:t xml:space="preserve">。 </w:t>
      </w:r>
    </w:p>
    <w:p w14:paraId="680D4387">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3.未中标人的投标保证金在公示期截止后退还。</w:t>
      </w:r>
    </w:p>
    <w:p w14:paraId="7E95F26F">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4.中标人的投标保证金在中标通知书发出签订正式采购合同，</w:t>
      </w:r>
      <w:r>
        <w:rPr>
          <w:rFonts w:hint="eastAsia" w:asciiTheme="minorEastAsia" w:hAnsiTheme="minorEastAsia" w:eastAsiaTheme="minorEastAsia" w:cstheme="minorEastAsia"/>
          <w:sz w:val="24"/>
          <w:szCs w:val="24"/>
          <w:lang w:val="en-US" w:eastAsia="zh-CN"/>
        </w:rPr>
        <w:t>需提供一份合同原件及相关材料办理退还投标保证金事宜</w:t>
      </w:r>
      <w:r>
        <w:rPr>
          <w:rFonts w:hint="eastAsia" w:asciiTheme="minorEastAsia" w:hAnsiTheme="minorEastAsia" w:eastAsiaTheme="minorEastAsia" w:cstheme="minorEastAsia"/>
          <w:sz w:val="24"/>
          <w:szCs w:val="24"/>
        </w:rPr>
        <w:t>。</w:t>
      </w:r>
    </w:p>
    <w:p w14:paraId="20FE5280">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5.保证金不计息。</w:t>
      </w:r>
    </w:p>
    <w:p w14:paraId="66B9F5D3">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6.投标人有下列情形之一的，投标保证金将不予退还：</w:t>
      </w:r>
    </w:p>
    <w:p w14:paraId="205BDF9F">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（1）投标人在投标有效期内撤回投标文件的；</w:t>
      </w:r>
    </w:p>
    <w:p w14:paraId="12A08B9B">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（2）投标人在投标过程中弄虚作假，提供虚假材料的；</w:t>
      </w:r>
    </w:p>
    <w:p w14:paraId="3D55E8F1">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（3）中标人无正当理由不与招标人签订合同的；</w:t>
      </w:r>
    </w:p>
    <w:p w14:paraId="07448142">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（4）其他严重扰乱招投标程序的。</w:t>
      </w:r>
    </w:p>
    <w:p w14:paraId="31FEC2BC">
      <w:pPr>
        <w:spacing w:line="300" w:lineRule="auto"/>
        <w:rPr>
          <w:rFonts w:hint="eastAsia" w:asciiTheme="minorEastAsia" w:hAnsiTheme="minorEastAsia" w:eastAsiaTheme="minorEastAsia" w:cstheme="minorEastAsia"/>
          <w:b/>
          <w:bCs/>
          <w:sz w:val="24"/>
          <w:szCs w:val="24"/>
        </w:rPr>
      </w:pPr>
      <w:bookmarkStart w:id="123" w:name="_Toc25982"/>
      <w:bookmarkStart w:id="124" w:name="_Toc503212216"/>
      <w:bookmarkStart w:id="125" w:name="_Toc521014784"/>
      <w:bookmarkStart w:id="126" w:name="_Toc4584"/>
      <w:r>
        <w:rPr>
          <w:rFonts w:hint="eastAsia" w:asciiTheme="minorEastAsia" w:hAnsiTheme="minorEastAsia" w:eastAsiaTheme="minorEastAsia" w:cstheme="minorEastAsia"/>
          <w:b/>
          <w:bCs/>
          <w:sz w:val="24"/>
          <w:szCs w:val="24"/>
        </w:rPr>
        <w:t>投标文件的签署和</w:t>
      </w:r>
      <w:bookmarkEnd w:id="123"/>
      <w:bookmarkEnd w:id="124"/>
      <w:bookmarkEnd w:id="125"/>
      <w:bookmarkEnd w:id="126"/>
      <w:r>
        <w:rPr>
          <w:rFonts w:hint="eastAsia" w:asciiTheme="minorEastAsia" w:hAnsiTheme="minorEastAsia" w:eastAsiaTheme="minorEastAsia" w:cstheme="minorEastAsia"/>
          <w:b/>
          <w:bCs/>
          <w:sz w:val="24"/>
          <w:szCs w:val="24"/>
          <w:lang w:eastAsia="zh-CN"/>
        </w:rPr>
        <w:t>递交</w:t>
      </w:r>
    </w:p>
    <w:p w14:paraId="049594B8">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投标人应按本招标文件规定的格式和顺序编制、装订投标文件并标注页码，投标文件内容不完整、编排混乱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上传不完整</w:t>
      </w:r>
      <w:r>
        <w:rPr>
          <w:rFonts w:hint="eastAsia" w:asciiTheme="minorEastAsia" w:hAnsiTheme="minorEastAsia" w:eastAsiaTheme="minorEastAsia" w:cstheme="minorEastAsia"/>
          <w:sz w:val="24"/>
          <w:szCs w:val="24"/>
        </w:rPr>
        <w:t>导致投标文件被误读、漏读或者查找不到相关内容的，是投标人的责任。</w:t>
      </w:r>
    </w:p>
    <w:p w14:paraId="53865BF5">
      <w:pPr>
        <w:spacing w:line="300" w:lineRule="auto"/>
        <w:ind w:left="210" w:leftChars="100"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w:t>
      </w:r>
      <w:r>
        <w:rPr>
          <w:rFonts w:hint="eastAsia" w:asciiTheme="minorEastAsia" w:hAnsiTheme="minorEastAsia" w:eastAsiaTheme="minorEastAsia" w:cstheme="minorEastAsia"/>
          <w:color w:val="auto"/>
          <w:sz w:val="24"/>
          <w:szCs w:val="24"/>
          <w:highlight w:val="none"/>
        </w:rPr>
        <w:t>应于</w:t>
      </w:r>
      <w:r>
        <w:rPr>
          <w:rFonts w:hint="eastAsia" w:asciiTheme="minorEastAsia" w:hAnsiTheme="minorEastAsia" w:eastAsiaTheme="minorEastAsia" w:cstheme="minorEastAsia"/>
          <w:color w:val="0000FF"/>
          <w:sz w:val="24"/>
          <w:szCs w:val="24"/>
          <w:highlight w:val="none"/>
          <w:lang w:val="en-US" w:eastAsia="zh-CN"/>
        </w:rPr>
        <w:t>2025</w:t>
      </w:r>
      <w:r>
        <w:rPr>
          <w:rFonts w:hint="eastAsia" w:asciiTheme="minorEastAsia" w:hAnsiTheme="minorEastAsia" w:eastAsiaTheme="minorEastAsia" w:cstheme="minorEastAsia"/>
          <w:color w:val="0000FF"/>
          <w:sz w:val="24"/>
          <w:szCs w:val="24"/>
          <w:highlight w:val="none"/>
        </w:rPr>
        <w:t>年</w:t>
      </w:r>
      <w:r>
        <w:rPr>
          <w:rFonts w:hint="eastAsia" w:asciiTheme="minorEastAsia" w:hAnsiTheme="minorEastAsia" w:eastAsiaTheme="minorEastAsia" w:cstheme="minorEastAsia"/>
          <w:color w:val="0000FF"/>
          <w:sz w:val="24"/>
          <w:szCs w:val="24"/>
          <w:highlight w:val="none"/>
          <w:lang w:val="en-US" w:eastAsia="zh-CN"/>
        </w:rPr>
        <w:t>03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12</w:t>
      </w:r>
      <w:r>
        <w:rPr>
          <w:rFonts w:hint="eastAsia" w:asciiTheme="minorEastAsia" w:hAnsiTheme="minorEastAsia" w:eastAsiaTheme="minorEastAsia" w:cstheme="minorEastAsia"/>
          <w:color w:val="0000FF"/>
          <w:sz w:val="24"/>
          <w:szCs w:val="24"/>
          <w:highlight w:val="none"/>
        </w:rPr>
        <w:t>日1</w:t>
      </w:r>
      <w:r>
        <w:rPr>
          <w:rFonts w:hint="eastAsia" w:asciiTheme="minorEastAsia" w:hAnsiTheme="minorEastAsia" w:eastAsiaTheme="minorEastAsia" w:cstheme="minorEastAsia"/>
          <w:color w:val="0000FF"/>
          <w:sz w:val="24"/>
          <w:szCs w:val="24"/>
          <w:highlight w:val="none"/>
          <w:lang w:val="en-US" w:eastAsia="zh-CN"/>
        </w:rPr>
        <w:t>1</w:t>
      </w:r>
      <w:r>
        <w:rPr>
          <w:rFonts w:hint="eastAsia" w:asciiTheme="minorEastAsia" w:hAnsiTheme="minorEastAsia" w:eastAsiaTheme="minorEastAsia" w:cstheme="minorEastAsia"/>
          <w:color w:val="0000FF"/>
          <w:sz w:val="24"/>
          <w:szCs w:val="24"/>
          <w:highlight w:val="none"/>
        </w:rPr>
        <w:t>：00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北京时间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前将电</w:t>
      </w:r>
      <w:r>
        <w:rPr>
          <w:rFonts w:hint="eastAsia" w:asciiTheme="minorEastAsia" w:hAnsiTheme="minorEastAsia" w:eastAsiaTheme="minorEastAsia" w:cstheme="minorEastAsia"/>
          <w:sz w:val="24"/>
          <w:szCs w:val="24"/>
          <w:highlight w:val="none"/>
        </w:rPr>
        <w:t>子投标文件上传到“</w:t>
      </w:r>
      <w:r>
        <w:rPr>
          <w:rFonts w:hint="eastAsia" w:asciiTheme="minorEastAsia" w:hAnsiTheme="minorEastAsia" w:eastAsiaTheme="minorEastAsia" w:cstheme="minorEastAsia"/>
          <w:sz w:val="24"/>
          <w:szCs w:val="24"/>
          <w:highlight w:val="none"/>
          <w:lang w:eastAsia="zh-CN"/>
        </w:rPr>
        <w:t>新疆政府采购</w:t>
      </w:r>
      <w:r>
        <w:rPr>
          <w:rFonts w:hint="eastAsia" w:asciiTheme="minorEastAsia" w:hAnsiTheme="minorEastAsia" w:eastAsiaTheme="minorEastAsia" w:cstheme="minorEastAsia"/>
          <w:sz w:val="24"/>
          <w:szCs w:val="24"/>
          <w:highlight w:val="none"/>
        </w:rPr>
        <w:t>”平台。应按照本项目招标文件和</w:t>
      </w:r>
      <w:r>
        <w:rPr>
          <w:rFonts w:hint="eastAsia" w:asciiTheme="minorEastAsia" w:hAnsiTheme="minorEastAsia" w:eastAsiaTheme="minorEastAsia" w:cstheme="minorEastAsia"/>
          <w:sz w:val="24"/>
          <w:szCs w:val="24"/>
          <w:highlight w:val="none"/>
          <w:lang w:eastAsia="zh-CN"/>
        </w:rPr>
        <w:t>新疆政府采购</w:t>
      </w:r>
      <w:r>
        <w:rPr>
          <w:rFonts w:hint="eastAsia" w:asciiTheme="minorEastAsia" w:hAnsiTheme="minorEastAsia" w:eastAsiaTheme="minorEastAsia" w:cstheme="minorEastAsia"/>
          <w:sz w:val="24"/>
          <w:szCs w:val="24"/>
          <w:highlight w:val="none"/>
        </w:rPr>
        <w:t>平台的要求编制、加密传输投标文件。供应商在使用系统进行投标的过程中遇到涉及平台使用的任何问题，可致电</w:t>
      </w:r>
      <w:r>
        <w:rPr>
          <w:rFonts w:hint="eastAsia" w:asciiTheme="minorEastAsia" w:hAnsiTheme="minorEastAsia" w:eastAsiaTheme="minorEastAsia" w:cstheme="minorEastAsia"/>
          <w:sz w:val="24"/>
          <w:szCs w:val="24"/>
          <w:highlight w:val="none"/>
          <w:lang w:eastAsia="zh-CN"/>
        </w:rPr>
        <w:t>新疆政府采购</w:t>
      </w:r>
      <w:r>
        <w:rPr>
          <w:rFonts w:hint="eastAsia" w:asciiTheme="minorEastAsia" w:hAnsiTheme="minorEastAsia" w:eastAsiaTheme="minorEastAsia" w:cstheme="minorEastAsia"/>
          <w:sz w:val="24"/>
          <w:szCs w:val="24"/>
          <w:highlight w:val="none"/>
        </w:rPr>
        <w:t>平台技术支持热线咨询，联系方式：</w:t>
      </w:r>
      <w:r>
        <w:rPr>
          <w:rFonts w:hint="eastAsia" w:asciiTheme="minorEastAsia" w:hAnsiTheme="minorEastAsia" w:eastAsiaTheme="minorEastAsia" w:cstheme="minorEastAsia"/>
          <w:sz w:val="24"/>
          <w:szCs w:val="24"/>
          <w:highlight w:val="none"/>
          <w:lang w:val="en-US" w:eastAsia="zh-CN"/>
        </w:rPr>
        <w:t>95763</w:t>
      </w:r>
      <w:r>
        <w:rPr>
          <w:rFonts w:hint="eastAsia" w:asciiTheme="minorEastAsia" w:hAnsiTheme="minorEastAsia" w:eastAsiaTheme="minorEastAsia" w:cstheme="minorEastAsia"/>
          <w:sz w:val="24"/>
          <w:szCs w:val="24"/>
          <w:highlight w:val="none"/>
        </w:rPr>
        <w:t>。</w:t>
      </w:r>
    </w:p>
    <w:p w14:paraId="1ABB216A">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.投标文件须由投标人在规定位置盖章并由法定代表人或法定代表人的授权委托人签署，投标人应写全称。</w:t>
      </w:r>
    </w:p>
    <w:p w14:paraId="0A5C698D">
      <w:pPr>
        <w:spacing w:line="300" w:lineRule="auto"/>
        <w:ind w:left="210" w:leftChars="1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val="en-US" w:eastAsia="zh-CN"/>
        </w:rPr>
        <w:t>应严格响应招标文件要求，有表述</w:t>
      </w:r>
      <w:r>
        <w:rPr>
          <w:rFonts w:hint="eastAsia" w:asciiTheme="minorEastAsia" w:hAnsiTheme="minorEastAsia" w:eastAsiaTheme="minorEastAsia" w:cstheme="minorEastAsia"/>
          <w:sz w:val="24"/>
          <w:szCs w:val="24"/>
        </w:rPr>
        <w:t>不清所引起的后果由投标人负责。</w:t>
      </w:r>
      <w:bookmarkStart w:id="127" w:name="_Toc28926"/>
      <w:bookmarkStart w:id="128" w:name="_Toc9280"/>
    </w:p>
    <w:p w14:paraId="1647DDF7">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rPr>
        <w:t xml:space="preserve">、本项目实行网上投标，采用电子投标文件。若供应商参与投标，自行承担投标一切费用。 </w:t>
      </w:r>
    </w:p>
    <w:p w14:paraId="2886FA60">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 xml:space="preserve">、各供应商应在开标前应确保成为正式注册入库供应商，并完成CA数字证书申领。因未注册入库、未办理CA数字证书等原因造成无法投标或投标失败等后果由供应商自行承担。 </w:t>
      </w:r>
    </w:p>
    <w:p w14:paraId="753DD544">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516EB5B">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8</w:t>
      </w:r>
      <w:r>
        <w:rPr>
          <w:rFonts w:hint="eastAsia" w:asciiTheme="minorEastAsia" w:hAnsiTheme="minorEastAsia" w:eastAsiaTheme="minorEastAsia" w:cstheme="minorEastAsia"/>
          <w:b/>
          <w:bCs/>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inorEastAsia" w:hAnsiTheme="minorEastAsia" w:eastAsiaTheme="minorEastAsia" w:cstheme="minorEastAsia"/>
          <w:b/>
          <w:bCs/>
          <w:sz w:val="24"/>
          <w:szCs w:val="24"/>
          <w:highlight w:val="none"/>
          <w:lang w:eastAsia="zh-CN"/>
        </w:rPr>
        <w:t>http://www.ccgp-xinjiang.gov.cn/</w:t>
      </w:r>
      <w:r>
        <w:rPr>
          <w:rFonts w:hint="eastAsia" w:asciiTheme="minorEastAsia" w:hAnsiTheme="minorEastAsia" w:eastAsiaTheme="minorEastAsia" w:cstheme="minorEastAsia"/>
          <w:b/>
          <w:bCs/>
          <w:sz w:val="24"/>
          <w:szCs w:val="24"/>
          <w:highlight w:val="none"/>
        </w:rPr>
        <w:t>/）下载专区查看，如有问题可拨打政采云客户服务热线400-881-7190进行咨询。</w:t>
      </w:r>
    </w:p>
    <w:p w14:paraId="5EB621B6">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9、</w:t>
      </w:r>
      <w:r>
        <w:rPr>
          <w:rFonts w:hint="eastAsia" w:asciiTheme="minorEastAsia" w:hAnsiTheme="minorEastAsia" w:eastAsiaTheme="minorEastAsia" w:cstheme="minorEastAsia"/>
          <w:b/>
          <w:bCs/>
          <w:sz w:val="24"/>
          <w:szCs w:val="24"/>
          <w:highlight w:val="none"/>
          <w:lang w:eastAsia="zh-CN"/>
        </w:rPr>
        <w:t>开标时间后60分钟内</w:t>
      </w:r>
      <w:r>
        <w:rPr>
          <w:rFonts w:hint="eastAsia" w:asciiTheme="minorEastAsia" w:hAnsiTheme="minorEastAsia" w:eastAsiaTheme="minorEastAsia" w:cstheme="minorEastAsia"/>
          <w:b/>
          <w:bCs/>
          <w:sz w:val="24"/>
          <w:szCs w:val="24"/>
          <w:highlight w:val="none"/>
        </w:rPr>
        <w:t>供应商可以登录“政采云”平台，用“项目采购-开标评标”功能进行解密投标文件。若供应商在规定时间内未按时解密的，视为投标文件撤回。</w:t>
      </w:r>
    </w:p>
    <w:p w14:paraId="5350052C">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10、</w:t>
      </w:r>
      <w:r>
        <w:rPr>
          <w:rFonts w:hint="eastAsia" w:asciiTheme="minorEastAsia" w:hAnsiTheme="minorEastAsia" w:eastAsiaTheme="minorEastAsia" w:cstheme="minorEastAsia"/>
          <w:b/>
          <w:bCs/>
          <w:sz w:val="24"/>
          <w:szCs w:val="24"/>
          <w:highlight w:val="none"/>
        </w:rPr>
        <w:t>因系统（非投标供应商行为）的原因，造成投标供应商未能在规定的解密时限内解密的，请及时与招标代理机构或与新疆政府采购网投标客户端进行联系。</w:t>
      </w:r>
    </w:p>
    <w:p w14:paraId="06D4DEE6">
      <w:pPr>
        <w:spacing w:line="300" w:lineRule="auto"/>
        <w:ind w:left="210" w:leftChars="100" w:firstLine="120" w:firstLineChars="5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11、</w:t>
      </w:r>
      <w:r>
        <w:rPr>
          <w:rFonts w:hint="eastAsia" w:asciiTheme="minorEastAsia" w:hAnsiTheme="minorEastAsia" w:eastAsiaTheme="minorEastAsia" w:cstheme="minorEastAsia"/>
          <w:b/>
          <w:bCs/>
          <w:sz w:val="24"/>
          <w:szCs w:val="24"/>
          <w:highlight w:val="none"/>
        </w:rPr>
        <w:t>投标文件未按规定上传的，视为其自动放弃投标。</w:t>
      </w:r>
    </w:p>
    <w:bookmarkEnd w:id="127"/>
    <w:bookmarkEnd w:id="128"/>
    <w:p w14:paraId="56C981E5">
      <w:pPr>
        <w:spacing w:line="300" w:lineRule="auto"/>
        <w:rPr>
          <w:rFonts w:hint="eastAsia" w:asciiTheme="minorEastAsia" w:hAnsiTheme="minorEastAsia" w:eastAsiaTheme="minorEastAsia" w:cstheme="minorEastAsia"/>
          <w:b/>
          <w:bCs/>
          <w:sz w:val="24"/>
          <w:szCs w:val="24"/>
        </w:rPr>
      </w:pPr>
      <w:bookmarkStart w:id="129" w:name="_Toc521014786"/>
      <w:bookmarkStart w:id="130" w:name="_Toc6355"/>
      <w:bookmarkStart w:id="131" w:name="_Toc503212218"/>
      <w:bookmarkStart w:id="132" w:name="_Toc4197"/>
      <w:r>
        <w:rPr>
          <w:rFonts w:hint="eastAsia" w:asciiTheme="minorEastAsia" w:hAnsiTheme="minorEastAsia" w:eastAsiaTheme="minorEastAsia" w:cstheme="minorEastAsia"/>
          <w:b/>
          <w:bCs/>
          <w:sz w:val="24"/>
          <w:szCs w:val="24"/>
        </w:rPr>
        <w:t>投标文件的修改、撤回与撤销</w:t>
      </w:r>
    </w:p>
    <w:p w14:paraId="6D6F1A63">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5B288BAB">
      <w:pPr>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2投标人在投标截止期后不得修改、撤回投标文件。投标人在投标截止期后修改投标文件的，其投标无效。</w:t>
      </w:r>
    </w:p>
    <w:p w14:paraId="2DE119FF">
      <w:pPr>
        <w:spacing w:line="300" w:lineRule="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3若供应商在规定的时间内（“投标人须知前附表”的中规定）未能解密的，也将被视为供应商对其投标文件的撤回。</w:t>
      </w:r>
    </w:p>
    <w:p w14:paraId="0884F8B1">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投标文件的解密</w:t>
      </w:r>
    </w:p>
    <w:p w14:paraId="207380B1">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236731DC">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投标有效期</w:t>
      </w:r>
    </w:p>
    <w:p w14:paraId="1E6DDF1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1投标有效期内投标人撤销投标文件的，采购人或者采购代理机构可以不退还投标保证金（如有）。采用投标保函方式替代保证金的，采购人或者采购代理机构可以向担保机构索赔保证金。</w:t>
      </w:r>
    </w:p>
    <w:p w14:paraId="44A12A6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44157410">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投标无效的情形</w:t>
      </w:r>
      <w:bookmarkEnd w:id="129"/>
      <w:bookmarkEnd w:id="130"/>
      <w:bookmarkEnd w:id="131"/>
      <w:bookmarkEnd w:id="132"/>
    </w:p>
    <w:p w14:paraId="72954C66">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133" w:name="_Toc4280"/>
      <w:bookmarkStart w:id="134" w:name="_Toc13224"/>
    </w:p>
    <w:p w14:paraId="3E71198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1投标文件未按照招标文件要求签署、盖章；</w:t>
      </w:r>
    </w:p>
    <w:p w14:paraId="77FF922F">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2不符合招标文件中规定的资格要求；</w:t>
      </w:r>
    </w:p>
    <w:p w14:paraId="52DFDFD6">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3投标报价超过招标文件中规定的预算金额或最高限价；</w:t>
      </w:r>
    </w:p>
    <w:p w14:paraId="074B2D61">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4投标文件含有采购人不能接受的附加条件；</w:t>
      </w:r>
    </w:p>
    <w:p w14:paraId="1540258A">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5有关法律、法规和规章及招标文件规定的其他无效情形。</w:t>
      </w:r>
    </w:p>
    <w:p w14:paraId="61601C8E">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bookmarkStart w:id="135" w:name="_Toc503212219"/>
      <w:bookmarkStart w:id="136" w:name="_Toc11270"/>
      <w:bookmarkStart w:id="137" w:name="_Toc521014787"/>
      <w:bookmarkStart w:id="138" w:name="_Toc3022"/>
      <w:bookmarkStart w:id="139" w:name="_Toc31877"/>
      <w:r>
        <w:rPr>
          <w:rFonts w:hint="eastAsia" w:asciiTheme="minorEastAsia" w:hAnsiTheme="minorEastAsia" w:eastAsiaTheme="minorEastAsia" w:cstheme="minorEastAsia"/>
          <w:b/>
          <w:bCs/>
          <w:color w:val="000000"/>
          <w:kern w:val="2"/>
          <w:sz w:val="24"/>
          <w:szCs w:val="24"/>
          <w:highlight w:val="none"/>
          <w:lang w:val="en-US" w:eastAsia="zh-CN" w:bidi="ar-SA"/>
        </w:rPr>
        <w:t>（四）开标</w:t>
      </w:r>
      <w:bookmarkEnd w:id="133"/>
      <w:bookmarkEnd w:id="134"/>
      <w:bookmarkEnd w:id="135"/>
      <w:bookmarkEnd w:id="136"/>
      <w:bookmarkEnd w:id="137"/>
      <w:bookmarkEnd w:id="138"/>
      <w:bookmarkEnd w:id="139"/>
    </w:p>
    <w:p w14:paraId="2D33BDCD">
      <w:pPr>
        <w:pStyle w:val="15"/>
        <w:snapToGrid w:val="0"/>
        <w:spacing w:line="360" w:lineRule="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（一）开标准备</w:t>
      </w:r>
    </w:p>
    <w:p w14:paraId="5D3F08DA">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招标代理机构将在规定的时间和地点进行开标，投标供应商无需到场，但应按照招标文件要求按时参与网上投标文件解密。（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"http://www.ccgp-xinjiang.gov.cn/"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http://www.ccgp-xinjiang.gov.cn/</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）下载专区查看，如有问题可拨打新疆政府采购客户服务热线95763进行咨询。）</w:t>
      </w:r>
    </w:p>
    <w:p w14:paraId="42E7D2B5">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40" w:name="_Toc24853"/>
      <w:bookmarkStart w:id="141" w:name="_Toc1875"/>
      <w:r>
        <w:rPr>
          <w:rFonts w:hint="eastAsia" w:asciiTheme="minorEastAsia" w:hAnsiTheme="minorEastAsia" w:eastAsiaTheme="minorEastAsia" w:cstheme="minorEastAsia"/>
          <w:b/>
          <w:bCs/>
          <w:kern w:val="2"/>
          <w:sz w:val="24"/>
          <w:szCs w:val="24"/>
          <w:lang w:val="en-US" w:eastAsia="zh-CN" w:bidi="ar-SA"/>
        </w:rPr>
        <w:t>（二） 开标程序：</w:t>
      </w:r>
      <w:bookmarkEnd w:id="140"/>
      <w:bookmarkEnd w:id="141"/>
    </w:p>
    <w:p w14:paraId="4FAEFD2B">
      <w:pPr>
        <w:spacing w:line="360" w:lineRule="auto"/>
        <w:ind w:firstLine="480"/>
        <w:rPr>
          <w:rFonts w:hint="eastAsia" w:asciiTheme="minorEastAsia" w:hAnsiTheme="minorEastAsia" w:eastAsiaTheme="minorEastAsia" w:cstheme="minorEastAsia"/>
          <w:sz w:val="24"/>
          <w:szCs w:val="24"/>
        </w:rPr>
      </w:pPr>
      <w:bookmarkStart w:id="142" w:name="_Toc20065"/>
      <w:bookmarkStart w:id="143" w:name="_Toc521014788"/>
      <w:bookmarkStart w:id="144" w:name="_Toc24288"/>
      <w:bookmarkStart w:id="145" w:name="_Toc12263"/>
      <w:bookmarkStart w:id="146" w:name="_Toc20288"/>
      <w:bookmarkStart w:id="147" w:name="_Toc3024"/>
      <w:bookmarkStart w:id="148" w:name="_Toc503212220"/>
      <w:r>
        <w:rPr>
          <w:rFonts w:hint="eastAsia" w:asciiTheme="minorEastAsia" w:hAnsiTheme="minorEastAsia" w:eastAsiaTheme="minorEastAsia" w:cstheme="minorEastAsia"/>
          <w:sz w:val="24"/>
          <w:szCs w:val="24"/>
        </w:rPr>
        <w:t>1.1 开标程序</w:t>
      </w:r>
    </w:p>
    <w:p w14:paraId="1F2666C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61794B2B">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426878B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04826DFA">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1C53282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1.2开标异议</w:t>
      </w:r>
    </w:p>
    <w:p w14:paraId="40966837">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投标人代表对开标过程和开标记录有疑义，以及认为采购人、采购代理机构相关工作人员有需要回避的情形的，应当场提出询问或者回避申请。投标人未参加开标的，视同认可开标结果。</w:t>
      </w:r>
    </w:p>
    <w:p w14:paraId="5000A820">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投标截止时间后，投标人不足须知前附表中约定的有效供应商家数的，不得开标。同时，本次采购活动结束。</w:t>
      </w:r>
    </w:p>
    <w:p w14:paraId="1DEF65AD">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1.4开标时出现下列情况的，视为投标无效处理：</w:t>
      </w:r>
    </w:p>
    <w:p w14:paraId="040AFEAE">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（1）经检查数字证书无效的；</w:t>
      </w:r>
    </w:p>
    <w:p w14:paraId="6F35891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（2）因投标人自身原因，未在规定时间内完成电子投标文件解密的；</w:t>
      </w:r>
    </w:p>
    <w:p w14:paraId="55F776B5">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（3）如需使用备用电子投标文件解密时，在规定的解密时间内无法提供备用电子投标文件或提供的备用电子投标文件与加密的电子投标文件版本不一致（即两份文件不是通过投标客户端同时加密生成的）。</w:t>
      </w:r>
    </w:p>
    <w:p w14:paraId="65225BEB">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r>
        <w:rPr>
          <w:rFonts w:hint="eastAsia" w:asciiTheme="minorEastAsia" w:hAnsiTheme="minorEastAsia" w:eastAsiaTheme="minorEastAsia" w:cstheme="minorEastAsia"/>
          <w:b/>
          <w:bCs/>
          <w:color w:val="000000"/>
          <w:kern w:val="2"/>
          <w:sz w:val="24"/>
          <w:szCs w:val="24"/>
          <w:highlight w:val="none"/>
          <w:lang w:val="en-US" w:eastAsia="zh-CN" w:bidi="ar-SA"/>
        </w:rPr>
        <w:t>（五）评标</w:t>
      </w:r>
      <w:bookmarkEnd w:id="142"/>
      <w:bookmarkEnd w:id="143"/>
      <w:bookmarkEnd w:id="144"/>
      <w:bookmarkEnd w:id="145"/>
      <w:bookmarkEnd w:id="146"/>
      <w:bookmarkEnd w:id="147"/>
      <w:bookmarkEnd w:id="148"/>
    </w:p>
    <w:p w14:paraId="480495BE">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（一）组建评标委员会</w:t>
      </w:r>
    </w:p>
    <w:p w14:paraId="4F27149C">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评标委员会或评标小组（以下简称评标委员会）的评标工作由招标单位负责组织，具体评标事务由评标委员会负责，并独立履行其法规规定的职责。</w:t>
      </w:r>
    </w:p>
    <w:p w14:paraId="79388BED">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本项目评标委员会由评审</w:t>
      </w:r>
      <w:r>
        <w:rPr>
          <w:rFonts w:hint="eastAsia" w:asciiTheme="minorEastAsia" w:hAnsiTheme="minorEastAsia" w:eastAsiaTheme="minorEastAsia" w:cstheme="minorEastAsia"/>
          <w:kern w:val="2"/>
          <w:sz w:val="24"/>
          <w:szCs w:val="24"/>
          <w:highlight w:val="none"/>
          <w:lang w:val="en-US" w:eastAsia="zh-CN" w:bidi="ar-SA"/>
        </w:rPr>
        <w:t>专家5人</w:t>
      </w:r>
      <w:r>
        <w:rPr>
          <w:rFonts w:hint="eastAsia" w:asciiTheme="minorEastAsia" w:hAnsiTheme="minorEastAsia" w:eastAsiaTheme="minorEastAsia" w:cstheme="minorEastAsia"/>
          <w:kern w:val="2"/>
          <w:sz w:val="24"/>
          <w:szCs w:val="24"/>
          <w:lang w:val="en-US" w:eastAsia="zh-CN" w:bidi="ar-SA"/>
        </w:rPr>
        <w:t>组成；专家由招标代理机构在开标前48小时在新疆政府采购专家中随机抽取。其中熟悉相关技术方面的专家不得少于成员总数的三之二。并对投标文件进行审查、评估和比较，并做出授予合同的建议。</w:t>
      </w:r>
    </w:p>
    <w:p w14:paraId="4C2C8288">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49" w:name="_Toc27271"/>
      <w:bookmarkStart w:id="150" w:name="_Toc26886"/>
      <w:r>
        <w:rPr>
          <w:rFonts w:hint="eastAsia" w:asciiTheme="minorEastAsia" w:hAnsiTheme="minorEastAsia" w:eastAsiaTheme="minorEastAsia" w:cstheme="minorEastAsia"/>
          <w:b/>
          <w:bCs/>
          <w:kern w:val="2"/>
          <w:sz w:val="24"/>
          <w:szCs w:val="24"/>
          <w:lang w:val="en-US" w:eastAsia="zh-CN" w:bidi="ar-SA"/>
        </w:rPr>
        <w:t>（二）评标的方式</w:t>
      </w:r>
      <w:bookmarkEnd w:id="149"/>
      <w:bookmarkEnd w:id="150"/>
    </w:p>
    <w:p w14:paraId="4F810A6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本项目采用不公开方式评标，评标的依据为《中华人民共和国招标投标法》《中华人民共和国政府采购法》、《中华人民共和国财政部令第87号--政府采购货物和服务招标投标管理办法》及招标文件。</w:t>
      </w:r>
    </w:p>
    <w:p w14:paraId="02524191">
      <w:pPr>
        <w:spacing w:line="360" w:lineRule="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（三）评标原则</w:t>
      </w:r>
    </w:p>
    <w:p w14:paraId="1C550140">
      <w:pPr>
        <w:pStyle w:val="15"/>
        <w:snapToGrid w:val="0"/>
        <w:spacing w:line="360" w:lineRule="auto"/>
        <w:ind w:left="0" w:leftChars="0" w:firstLine="420" w:firstLineChars="200"/>
        <w:outlineLvl w:val="2"/>
        <w:rPr>
          <w:rFonts w:hint="eastAsia" w:asciiTheme="minorEastAsia" w:hAnsiTheme="minorEastAsia" w:eastAsiaTheme="minorEastAsia" w:cstheme="minorEastAsia"/>
          <w:kern w:val="2"/>
          <w:sz w:val="24"/>
          <w:szCs w:val="24"/>
          <w:lang w:val="en-US" w:eastAsia="zh-CN" w:bidi="ar-SA"/>
        </w:rPr>
        <w:pPrChange w:id="1" w:author="何以忘言" w:date="2023-03-20T16:08:00Z">
          <w:pPr>
            <w:pStyle w:val="15"/>
            <w:snapToGrid w:val="0"/>
            <w:spacing w:line="360" w:lineRule="auto"/>
            <w:ind w:left="0" w:leftChars="0" w:firstLine="420" w:firstLineChars="200"/>
            <w:outlineLvl w:val="2"/>
          </w:pPr>
        </w:pPrChange>
      </w:pPr>
      <w:r>
        <w:rPr>
          <w:rFonts w:hint="eastAsia" w:asciiTheme="minorEastAsia" w:hAnsiTheme="minorEastAsia" w:eastAsiaTheme="minorEastAsia" w:cstheme="minorEastAsia"/>
          <w:kern w:val="2"/>
          <w:sz w:val="24"/>
          <w:szCs w:val="24"/>
          <w:lang w:val="en-US" w:eastAsia="zh-CN" w:bidi="ar-SA"/>
        </w:rPr>
        <w:t>1评标活动遵循公平、公正、科学和择优的原则，以招标文件和投标文件为评标的基本依据，并按照招标文件规定的评标方法和评标标准进行评标。</w:t>
      </w:r>
    </w:p>
    <w:p w14:paraId="7B687CC0">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kern w:val="2"/>
          <w:sz w:val="24"/>
          <w:szCs w:val="24"/>
          <w:lang w:val="en-US" w:eastAsia="zh-CN" w:bidi="ar-SA"/>
        </w:rPr>
        <w:t>2评标委员会必须公平、公正、客观，不带任何倾向性和启发性；不得向外界透露任何与评标有关的内容；任何单位和个人不得干扰、影响评标的正常进行；评标委员会及有关工作人</w:t>
      </w:r>
      <w:r>
        <w:rPr>
          <w:rFonts w:hint="eastAsia" w:asciiTheme="minorEastAsia" w:hAnsiTheme="minorEastAsia" w:eastAsiaTheme="minorEastAsia" w:cstheme="minorEastAsia"/>
          <w:kern w:val="2"/>
          <w:sz w:val="24"/>
          <w:szCs w:val="24"/>
          <w:u w:val="none"/>
          <w:lang w:val="en-US" w:eastAsia="zh-CN" w:bidi="ar-SA"/>
        </w:rPr>
        <w:t>员不得私下与投标人接触。</w:t>
      </w:r>
    </w:p>
    <w:p w14:paraId="441C8531">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u w:val="none"/>
          <w:lang w:val="en-US" w:eastAsia="zh-CN" w:bidi="ar-SA"/>
        </w:rPr>
      </w:pPr>
      <w:r>
        <w:rPr>
          <w:rFonts w:hint="eastAsia" w:asciiTheme="minorEastAsia" w:hAnsiTheme="minorEastAsia" w:eastAsiaTheme="minorEastAsia" w:cstheme="minorEastAsia"/>
          <w:kern w:val="2"/>
          <w:sz w:val="24"/>
          <w:szCs w:val="24"/>
          <w:u w:val="none"/>
          <w:lang w:val="en-US" w:eastAsia="zh-CN" w:bidi="ar-SA"/>
        </w:rPr>
        <w:t>3具体评标事项由评标委员会负责，并按招标文件的规定办法进行评审。</w:t>
      </w:r>
    </w:p>
    <w:p w14:paraId="01670C8F">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u w:val="none"/>
          <w:lang w:val="en-US" w:eastAsia="zh-CN" w:bidi="ar-SA"/>
        </w:rPr>
        <w:t>4合格投</w:t>
      </w:r>
      <w:r>
        <w:rPr>
          <w:rFonts w:hint="eastAsia" w:asciiTheme="minorEastAsia" w:hAnsiTheme="minorEastAsia" w:eastAsiaTheme="minorEastAsia" w:cstheme="minorEastAsia"/>
          <w:kern w:val="2"/>
          <w:sz w:val="24"/>
          <w:szCs w:val="24"/>
          <w:lang w:val="en-US" w:eastAsia="zh-CN" w:bidi="ar-SA"/>
        </w:rPr>
        <w:t>标人不足须知前附表中约定的有效供应商家数的，不得评标。</w:t>
      </w:r>
    </w:p>
    <w:p w14:paraId="1B29C60E">
      <w:pPr>
        <w:spacing w:line="360" w:lineRule="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（四）评标应遵守下列评标纪律：</w:t>
      </w:r>
    </w:p>
    <w:p w14:paraId="0D1BFC1E">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（1）评标情况不得私自外泄，有关信息由和田锦荣工程项目管理有限公司统一对外发布。</w:t>
      </w:r>
    </w:p>
    <w:p w14:paraId="1334D1C3">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（2）对和田锦荣工程项目管理有限公司或投标人提供的要求保密的资料，不得摘记翻印和外传。</w:t>
      </w:r>
    </w:p>
    <w:p w14:paraId="36A90378">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（3）不得收受投标供应商或有关人员的任何礼物，不得串联鼓动其他人袒护某投标人。若与投标人存在利害关系，则应主动声明并回避。</w:t>
      </w:r>
    </w:p>
    <w:p w14:paraId="4D178525">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（4）全体评委应按照招标文件规定进行评标，一切认定事项应查有实据且不得弄虚作假。</w:t>
      </w:r>
    </w:p>
    <w:p w14:paraId="310AE8BD">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（5）评标委员会各成员应当独立对每个投标人的投标文件进行评价，并对评价意见承担个人责任。评审过程中，不得发表倾向性言论。</w:t>
      </w:r>
    </w:p>
    <w:p w14:paraId="38A23DFA">
      <w:pPr>
        <w:pStyle w:val="15"/>
        <w:snapToGrid w:val="0"/>
        <w:spacing w:line="360" w:lineRule="auto"/>
        <w:ind w:left="0" w:leftChars="0" w:firstLine="480" w:firstLineChars="200"/>
        <w:outlineLvl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※对违反评标纪律的评委，将取消其评委资格，对评标工作造成严重损失者将予以通报批评乃至追究法律责任。</w:t>
      </w:r>
    </w:p>
    <w:p w14:paraId="4F038D30">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51" w:name="_Toc13223"/>
      <w:bookmarkStart w:id="152" w:name="_Toc4747"/>
      <w:r>
        <w:rPr>
          <w:rFonts w:hint="eastAsia" w:asciiTheme="minorEastAsia" w:hAnsiTheme="minorEastAsia" w:eastAsiaTheme="minorEastAsia" w:cstheme="minorEastAsia"/>
          <w:b/>
          <w:bCs/>
          <w:kern w:val="2"/>
          <w:sz w:val="24"/>
          <w:szCs w:val="24"/>
          <w:lang w:val="en-US" w:eastAsia="zh-CN" w:bidi="ar-SA"/>
        </w:rPr>
        <w:t>（五）评标程序</w:t>
      </w:r>
      <w:bookmarkEnd w:id="151"/>
      <w:bookmarkEnd w:id="152"/>
    </w:p>
    <w:p w14:paraId="1DD5238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本项目采</w:t>
      </w:r>
      <w:r>
        <w:rPr>
          <w:rFonts w:hint="eastAsia" w:asciiTheme="minorEastAsia" w:hAnsiTheme="minorEastAsia" w:eastAsiaTheme="minorEastAsia" w:cstheme="minorEastAsia"/>
          <w:kern w:val="2"/>
          <w:sz w:val="24"/>
          <w:szCs w:val="24"/>
          <w:highlight w:val="none"/>
          <w:lang w:val="en-US" w:eastAsia="zh-CN" w:bidi="ar-SA"/>
        </w:rPr>
        <w:t>用</w:t>
      </w:r>
      <w:r>
        <w:rPr>
          <w:rFonts w:hint="eastAsia" w:asciiTheme="minorEastAsia" w:hAnsiTheme="minorEastAsia" w:eastAsiaTheme="minorEastAsia" w:cstheme="minorEastAsia"/>
          <w:sz w:val="24"/>
          <w:szCs w:val="24"/>
          <w:highlight w:val="none"/>
        </w:rPr>
        <w:t>综合评分法,是指</w:t>
      </w:r>
      <w:r>
        <w:rPr>
          <w:rFonts w:hint="eastAsia" w:asciiTheme="minorEastAsia" w:hAnsiTheme="minorEastAsia" w:eastAsiaTheme="minorEastAsia" w:cstheme="minorEastAsia"/>
          <w:sz w:val="24"/>
          <w:szCs w:val="24"/>
        </w:rPr>
        <w:t>投标文件满足招标文件全部实质性要求，且按照评审因素的量化指标评审得分最高的投标人为中标候选人的评标方法。（最低报价不是中标的唯一依据。）</w:t>
      </w:r>
    </w:p>
    <w:p w14:paraId="09C84943">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53" w:name="_Toc17462"/>
      <w:r>
        <w:rPr>
          <w:rFonts w:hint="eastAsia" w:asciiTheme="minorEastAsia" w:hAnsiTheme="minorEastAsia" w:eastAsiaTheme="minorEastAsia" w:cstheme="minorEastAsia"/>
          <w:kern w:val="2"/>
          <w:sz w:val="24"/>
          <w:szCs w:val="24"/>
          <w:lang w:val="en-US" w:eastAsia="zh-CN" w:bidi="ar-SA"/>
        </w:rPr>
        <w:t>2. 评标的依据为招标文件和投标文件。</w:t>
      </w:r>
      <w:bookmarkEnd w:id="153"/>
    </w:p>
    <w:p w14:paraId="0A56120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评标过程的保密性。开标后，直到授予投标人合同为止，凡是属于审查、澄清、评价和比较的有关资料以及授标建议等均不得向投标人或其他无关的人员透露。</w:t>
      </w:r>
    </w:p>
    <w:p w14:paraId="5FA800F3">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投标人在评标过程中所进行的试图影响评标结果、有悖于招标规则的活动，可能导致取消其中标资格。</w:t>
      </w:r>
    </w:p>
    <w:p w14:paraId="3512A00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与招标文件有重大偏离的投标文件将被拒绝。且此重大偏离在开标后不许修改。</w:t>
      </w:r>
    </w:p>
    <w:p w14:paraId="79F9C676">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 根据国家计委等七部委颁发的《评标委员会和评标方法暂行规定》以下为重大偏离：</w:t>
      </w:r>
    </w:p>
    <w:p w14:paraId="7527BA7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（一）投标保证金的缴纳主体与投标人不一致的，没有按照招标文件要求提供投标担保，或者所提供的投标担保有瑕疵的；</w:t>
      </w:r>
    </w:p>
    <w:p w14:paraId="741CD6AA">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（二）投标文件没有投标人法定代表人或其授权代表签字（章）和加盖投标单位公章的；</w:t>
      </w:r>
    </w:p>
    <w:p w14:paraId="3721B89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（三）投标文件记载的招标项目完成期限超过招标文件规定的完成期限；</w:t>
      </w:r>
    </w:p>
    <w:p w14:paraId="18E6DCA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（四）明显不符合技术规格和技术标准（技术规格、合同条款有偏离情况的）；</w:t>
      </w:r>
    </w:p>
    <w:p w14:paraId="54F53A4E">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（五）商务条款有偏离情况的；</w:t>
      </w:r>
    </w:p>
    <w:p w14:paraId="30205AC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（六）投标附有招标人不能接受的条件；</w:t>
      </w:r>
    </w:p>
    <w:p w14:paraId="29CAAA4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（七）不符合招标文件中规定的其他实质性要求。</w:t>
      </w:r>
    </w:p>
    <w:p w14:paraId="1BB6CAD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 投标报价不符合招标文件规定的要求。</w:t>
      </w:r>
    </w:p>
    <w:p w14:paraId="12AC36FF">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投标文件有上述情形之一的，视为非实质性响应招标，并按规定作废标处理。招标文件对重大偏差另有规定的，从其规定。</w:t>
      </w:r>
    </w:p>
    <w:p w14:paraId="1EC09A3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评标委员会应当审查每一投标文件是否对招标文件提出的所有实质性要求和条件作出响应。未能在实质上响应招标的投标，将作废标处理。</w:t>
      </w:r>
    </w:p>
    <w:p w14:paraId="49563D89">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54" w:name="_Toc3963"/>
      <w:r>
        <w:rPr>
          <w:rFonts w:hint="eastAsia" w:asciiTheme="minorEastAsia" w:hAnsiTheme="minorEastAsia" w:eastAsiaTheme="minorEastAsia" w:cstheme="minorEastAsia"/>
          <w:kern w:val="2"/>
          <w:sz w:val="24"/>
          <w:szCs w:val="24"/>
          <w:lang w:val="en-US" w:eastAsia="zh-CN" w:bidi="ar-SA"/>
        </w:rPr>
        <w:t>7.对投标文件的初步审查和响应性确定</w:t>
      </w:r>
      <w:bookmarkEnd w:id="154"/>
    </w:p>
    <w:p w14:paraId="61E73DB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2C0C02E1">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4F8607F1">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10.招标人判断投标文件的响应性是基于投标文件本身而不靠外部证据。</w:t>
      </w:r>
    </w:p>
    <w:p w14:paraId="45A540AD">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11.招标人将拒绝被定为非响应性的投标，投标人不能通过修正或撤消不符之处而使其投标成为响应性投标。</w:t>
      </w:r>
    </w:p>
    <w:p w14:paraId="2666B395">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55" w:name="_Toc32133"/>
      <w:bookmarkStart w:id="156" w:name="_Toc13450"/>
      <w:r>
        <w:rPr>
          <w:rFonts w:hint="eastAsia" w:asciiTheme="minorEastAsia" w:hAnsiTheme="minorEastAsia" w:eastAsiaTheme="minorEastAsia" w:cstheme="minorEastAsia"/>
          <w:b/>
          <w:bCs/>
          <w:kern w:val="2"/>
          <w:sz w:val="24"/>
          <w:szCs w:val="24"/>
          <w:lang w:val="en-US" w:eastAsia="zh-CN" w:bidi="ar-SA"/>
        </w:rPr>
        <w:t>（六）澄清问题的形式</w:t>
      </w:r>
      <w:bookmarkEnd w:id="155"/>
      <w:bookmarkEnd w:id="156"/>
    </w:p>
    <w:p w14:paraId="04B05FD2">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5C390F3">
      <w:pPr>
        <w:pStyle w:val="15"/>
        <w:snapToGrid w:val="0"/>
        <w:spacing w:line="360" w:lineRule="auto"/>
        <w:outlineLvl w:val="1"/>
        <w:rPr>
          <w:rFonts w:hint="eastAsia" w:asciiTheme="minorEastAsia" w:hAnsiTheme="minorEastAsia" w:eastAsiaTheme="minorEastAsia" w:cstheme="minorEastAsia"/>
          <w:b/>
          <w:bCs/>
          <w:kern w:val="2"/>
          <w:sz w:val="24"/>
          <w:szCs w:val="24"/>
          <w:lang w:val="en-US" w:eastAsia="zh-CN" w:bidi="ar-SA"/>
        </w:rPr>
      </w:pPr>
      <w:bookmarkStart w:id="157" w:name="_Toc30297"/>
      <w:bookmarkStart w:id="158" w:name="_Toc31156"/>
      <w:r>
        <w:rPr>
          <w:rFonts w:hint="eastAsia" w:asciiTheme="minorEastAsia" w:hAnsiTheme="minorEastAsia" w:eastAsiaTheme="minorEastAsia" w:cstheme="minorEastAsia"/>
          <w:b/>
          <w:bCs/>
          <w:kern w:val="2"/>
          <w:sz w:val="24"/>
          <w:szCs w:val="24"/>
          <w:lang w:val="en-US" w:eastAsia="zh-CN" w:bidi="ar-SA"/>
        </w:rPr>
        <w:t>（七）错误修正</w:t>
      </w:r>
      <w:bookmarkEnd w:id="157"/>
      <w:bookmarkEnd w:id="158"/>
    </w:p>
    <w:p w14:paraId="1E474C68">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投标文件如果出现计算或表达上的错误，修正错误的原则如下：</w:t>
      </w:r>
    </w:p>
    <w:p w14:paraId="7CEA899F">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1.投标报价一览表总价与投标报价明细表汇总数不一致的，以投标报价一览表为准；</w:t>
      </w:r>
    </w:p>
    <w:p w14:paraId="6155D77F">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59" w:name="_Toc29280"/>
      <w:r>
        <w:rPr>
          <w:rFonts w:hint="eastAsia" w:asciiTheme="minorEastAsia" w:hAnsiTheme="minorEastAsia" w:eastAsiaTheme="minorEastAsia" w:cstheme="minorEastAsia"/>
          <w:kern w:val="2"/>
          <w:sz w:val="24"/>
          <w:szCs w:val="24"/>
          <w:lang w:val="en-US" w:eastAsia="zh-CN" w:bidi="ar-SA"/>
        </w:rPr>
        <w:t>2.投标文件的大写金额和小写金额不一致的，以大写金额为准；</w:t>
      </w:r>
      <w:bookmarkEnd w:id="159"/>
    </w:p>
    <w:p w14:paraId="17C09533">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3.总价金额与按单价汇总金额不一致的，以单价金额计算结果为准；</w:t>
      </w:r>
    </w:p>
    <w:p w14:paraId="5D76459D">
      <w:pPr>
        <w:pStyle w:val="15"/>
        <w:snapToGrid w:val="0"/>
        <w:spacing w:line="360" w:lineRule="auto"/>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160" w:name="_Toc16465"/>
      <w:r>
        <w:rPr>
          <w:rFonts w:hint="eastAsia" w:asciiTheme="minorEastAsia" w:hAnsiTheme="minorEastAsia" w:eastAsiaTheme="minorEastAsia" w:cstheme="minorEastAsia"/>
          <w:kern w:val="2"/>
          <w:sz w:val="24"/>
          <w:szCs w:val="24"/>
          <w:lang w:val="en-US" w:eastAsia="zh-CN" w:bidi="ar-SA"/>
        </w:rPr>
        <w:t>4.对不同文字文本投标文件的解释发生异议的，以中文文本为准。</w:t>
      </w:r>
      <w:bookmarkEnd w:id="160"/>
    </w:p>
    <w:p w14:paraId="4CC374D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14:paraId="4C39C773">
      <w:pPr>
        <w:pStyle w:val="15"/>
        <w:snapToGrid w:val="0"/>
        <w:spacing w:line="360" w:lineRule="auto"/>
        <w:ind w:left="0" w:leftChars="0" w:firstLine="0" w:firstLineChars="0"/>
        <w:outlineLvl w:val="1"/>
        <w:rPr>
          <w:rFonts w:hint="eastAsia" w:asciiTheme="minorEastAsia" w:hAnsiTheme="minorEastAsia" w:eastAsiaTheme="minorEastAsia" w:cstheme="minorEastAsia"/>
          <w:b/>
          <w:bCs/>
          <w:kern w:val="2"/>
          <w:sz w:val="24"/>
          <w:szCs w:val="24"/>
          <w:lang w:val="en-US" w:eastAsia="zh-CN" w:bidi="ar-SA"/>
        </w:rPr>
      </w:pPr>
      <w:bookmarkStart w:id="161" w:name="_Toc19846"/>
      <w:bookmarkStart w:id="162" w:name="_Toc15699"/>
      <w:r>
        <w:rPr>
          <w:rFonts w:hint="eastAsia" w:asciiTheme="minorEastAsia" w:hAnsiTheme="minorEastAsia" w:eastAsiaTheme="minorEastAsia" w:cstheme="minorEastAsia"/>
          <w:b/>
          <w:bCs/>
          <w:kern w:val="2"/>
          <w:sz w:val="24"/>
          <w:szCs w:val="24"/>
          <w:lang w:val="en-US" w:eastAsia="zh-CN" w:bidi="ar-SA"/>
        </w:rPr>
        <w:t>（八）</w:t>
      </w:r>
      <w:bookmarkEnd w:id="161"/>
      <w:bookmarkEnd w:id="162"/>
      <w:r>
        <w:rPr>
          <w:rFonts w:hint="eastAsia" w:asciiTheme="minorEastAsia" w:hAnsiTheme="minorEastAsia" w:eastAsiaTheme="minorEastAsia" w:cstheme="minorEastAsia"/>
          <w:b/>
          <w:bCs/>
          <w:kern w:val="2"/>
          <w:sz w:val="24"/>
          <w:szCs w:val="24"/>
          <w:lang w:val="en-US" w:eastAsia="zh-CN" w:bidi="ar-SA"/>
        </w:rPr>
        <w:t>有下列情形之一的，视为投标人串通投标，其投标无效</w:t>
      </w:r>
    </w:p>
    <w:p w14:paraId="2932D4A2">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bookmarkStart w:id="163" w:name="_Toc29743"/>
      <w:bookmarkStart w:id="164" w:name="_Toc9664"/>
      <w:r>
        <w:rPr>
          <w:rFonts w:hint="eastAsia" w:asciiTheme="minorEastAsia" w:hAnsiTheme="minorEastAsia" w:eastAsiaTheme="minorEastAsia" w:cstheme="minorEastAsia"/>
          <w:kern w:val="2"/>
          <w:sz w:val="24"/>
          <w:szCs w:val="24"/>
          <w:lang w:val="en-US" w:eastAsia="zh-CN" w:bidi="ar-SA"/>
        </w:rPr>
        <w:t>1不同投标人的投标文件由同一单位或者个人编制；</w:t>
      </w:r>
    </w:p>
    <w:p w14:paraId="64FFD46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2不同投标人委托同一单位或者个人办理投标事宜；</w:t>
      </w:r>
    </w:p>
    <w:p w14:paraId="707C87FA">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3不同投标人的投标文件载明的项目管理成员或者联系人员为同一人；</w:t>
      </w:r>
    </w:p>
    <w:p w14:paraId="3CA1012B">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4不同投标人的投标文件异常一致或者投标报价呈规律性差异；</w:t>
      </w:r>
    </w:p>
    <w:p w14:paraId="737D073C">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5不同投标人的投标文件相互混装；</w:t>
      </w:r>
    </w:p>
    <w:p w14:paraId="1A529D5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6不同投标人的投标保证金或购买电子保函支付款为从同一单位或个人的账户转出；</w:t>
      </w:r>
    </w:p>
    <w:p w14:paraId="431E1F8B">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7投标人上传的电子投标文件使用该项目其他投标人的数字证书加密的或加盖该项目的其他投标人的电子印章的。</w:t>
      </w:r>
    </w:p>
    <w:p w14:paraId="0C7BD3C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说明：在评标过程中发现投标人有上述情形的，评标委员会应当认定其投标无效。同时，项目评审时被认定为串通投标的投标人不得参加该合同项下的采购活动。</w:t>
      </w:r>
    </w:p>
    <w:p w14:paraId="2A59965F">
      <w:pPr>
        <w:pStyle w:val="15"/>
        <w:snapToGrid w:val="0"/>
        <w:spacing w:line="360" w:lineRule="auto"/>
        <w:ind w:left="0" w:leftChars="0" w:firstLine="0" w:firstLine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（九）评标过程的监控</w:t>
      </w:r>
      <w:bookmarkEnd w:id="163"/>
      <w:bookmarkEnd w:id="164"/>
    </w:p>
    <w:p w14:paraId="5998ABE3">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本项目评标过程实行录像监控、照片记录，且由监标人员进行现场监督，评标过程中所发生的试图影响评标结果的不公正活动，可能导致其投标被拒绝。</w:t>
      </w:r>
    </w:p>
    <w:p w14:paraId="4A1BC419">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bookmarkStart w:id="165" w:name="_Toc503212221"/>
      <w:bookmarkStart w:id="166" w:name="_Toc521014789"/>
      <w:bookmarkStart w:id="167" w:name="_Toc10823"/>
      <w:bookmarkStart w:id="168" w:name="_Toc26644"/>
      <w:bookmarkStart w:id="169" w:name="_Toc21069"/>
      <w:bookmarkStart w:id="170" w:name="_Toc28372"/>
      <w:bookmarkStart w:id="171" w:name="_Toc2497"/>
    </w:p>
    <w:p w14:paraId="0529A63B">
      <w:pPr>
        <w:pStyle w:val="5"/>
        <w:numPr>
          <w:ilvl w:val="0"/>
          <w:numId w:val="0"/>
        </w:numPr>
        <w:ind w:leftChars="-50" w:right="62" w:rightChars="0"/>
        <w:jc w:val="center"/>
        <w:rPr>
          <w:rFonts w:hint="eastAsia" w:asciiTheme="minorEastAsia" w:hAnsiTheme="minorEastAsia" w:eastAsiaTheme="minorEastAsia" w:cstheme="minorEastAsia"/>
          <w:b/>
          <w:bCs/>
          <w:color w:val="000000"/>
          <w:kern w:val="2"/>
          <w:sz w:val="24"/>
          <w:szCs w:val="24"/>
          <w:highlight w:val="none"/>
          <w:lang w:val="en-US" w:eastAsia="zh-CN" w:bidi="ar-SA"/>
        </w:rPr>
      </w:pPr>
      <w:r>
        <w:rPr>
          <w:rFonts w:hint="eastAsia" w:asciiTheme="minorEastAsia" w:hAnsiTheme="minorEastAsia" w:eastAsiaTheme="minorEastAsia" w:cstheme="minorEastAsia"/>
          <w:b/>
          <w:bCs/>
          <w:color w:val="000000"/>
          <w:kern w:val="2"/>
          <w:sz w:val="24"/>
          <w:szCs w:val="24"/>
          <w:highlight w:val="none"/>
          <w:lang w:val="en-US" w:eastAsia="zh-CN" w:bidi="ar-SA"/>
        </w:rPr>
        <w:t>（六）定标</w:t>
      </w:r>
      <w:bookmarkEnd w:id="165"/>
      <w:bookmarkEnd w:id="166"/>
      <w:bookmarkEnd w:id="167"/>
      <w:bookmarkEnd w:id="168"/>
      <w:bookmarkEnd w:id="169"/>
      <w:bookmarkEnd w:id="170"/>
      <w:bookmarkEnd w:id="171"/>
    </w:p>
    <w:p w14:paraId="29F93136">
      <w:pPr>
        <w:snapToGrid w:val="0"/>
        <w:spacing w:line="360" w:lineRule="auto"/>
        <w:ind w:left="10" w:leftChars="0" w:hanging="1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确定中标人：</w:t>
      </w:r>
      <w:r>
        <w:rPr>
          <w:rFonts w:hint="eastAsia" w:asciiTheme="minorEastAsia" w:hAnsiTheme="minorEastAsia" w:eastAsiaTheme="minorEastAsia" w:cstheme="minorEastAsia"/>
          <w:kern w:val="2"/>
          <w:sz w:val="24"/>
          <w:szCs w:val="24"/>
          <w:lang w:val="en-US" w:eastAsia="zh-CN" w:bidi="ar-SA"/>
        </w:rPr>
        <w:t>本项目由招标人根据评标结果排名第一位的候选人为中标人。</w:t>
      </w:r>
    </w:p>
    <w:p w14:paraId="4F1B8A73">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中标公告：</w:t>
      </w:r>
      <w:r>
        <w:rPr>
          <w:rFonts w:hint="eastAsia" w:asciiTheme="minorEastAsia" w:hAnsiTheme="minorEastAsia" w:eastAsiaTheme="minorEastAsia" w:cstheme="minorEastAsia"/>
          <w:sz w:val="24"/>
          <w:szCs w:val="24"/>
        </w:rPr>
        <w:t>中标供应商确定之日起2个工作日内，采购人或采购代理机构将在中国政府采购网(www.ccgp.gov.cn)、新疆政府采购网(http://www.ccgp-xinjiang.gov.cn/)上以公告的形式发布中标结果，中标公告的公告期限为 1个工作日。中标公告同时作为采购代理机构通知除中标供应商外的其他投标人没有中标的书面形式，采购代理机构不再以其它方式另行通知。</w:t>
      </w:r>
    </w:p>
    <w:p w14:paraId="04E742C1">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中标通知书：</w:t>
      </w:r>
      <w:r>
        <w:rPr>
          <w:rFonts w:hint="eastAsia" w:asciiTheme="minorEastAsia" w:hAnsiTheme="minorEastAsia" w:eastAsiaTheme="minorEastAsia" w:cstheme="minorEastAsia"/>
          <w:sz w:val="24"/>
          <w:szCs w:val="24"/>
        </w:rPr>
        <w:t>中标通知书在发布中标公告时，同步发除中标通知书至中标供应商。中标通知书发出后，采购人不得违法改变中标结果，中标供应商不得放弃中标。中标供应商放弃中标的，应当依法承担相应的法律责任。</w:t>
      </w:r>
    </w:p>
    <w:p w14:paraId="2166BD94">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项目废标处理：</w:t>
      </w:r>
      <w:r>
        <w:rPr>
          <w:rFonts w:hint="eastAsia" w:asciiTheme="minorEastAsia" w:hAnsiTheme="minorEastAsia" w:eastAsiaTheme="minorEastAsia" w:cstheme="minorEastAsia"/>
          <w:sz w:val="24"/>
          <w:szCs w:val="24"/>
        </w:rPr>
        <w:t>根据《中华人民共和国政府采购法》第三十六条及招标文件的约定，本项目或分包下列情况出现将作废标处理：</w:t>
      </w:r>
    </w:p>
    <w:p w14:paraId="005A7C2C">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14:paraId="7BF98EE2">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14:paraId="30E531B2">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（3）投标人的报价均超过了采购预算，采购人不能支付的。</w:t>
      </w:r>
    </w:p>
    <w:p w14:paraId="7D905685">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（4）因重大变故，采购任务取消的。</w:t>
      </w:r>
    </w:p>
    <w:p w14:paraId="4B0E930C">
      <w:pPr>
        <w:spacing w:line="360" w:lineRule="auto"/>
        <w:ind w:left="10" w:leftChars="0" w:hanging="1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对废标的采购项目，评标委员会应出具采购文件是否存在不合理条款的论证意见。</w:t>
      </w:r>
    </w:p>
    <w:p w14:paraId="345A7C30">
      <w:pPr>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终止公告：</w:t>
      </w:r>
      <w:r>
        <w:rPr>
          <w:rFonts w:hint="eastAsia" w:asciiTheme="minorEastAsia" w:hAnsiTheme="minorEastAsia" w:eastAsiaTheme="minorEastAsia" w:cstheme="minorEastAsia"/>
          <w:sz w:val="24"/>
          <w:szCs w:val="24"/>
        </w:rPr>
        <w:t>项目废标后，采购人或采购代理机构将在中国政府采购网(www.ccgp.gov.cn)、新疆政府采购网(http://www.ccgp-xinjiang.gov.cn/)、上发布终止公告，终止公告的公告期限为1个工作日。</w:t>
      </w:r>
    </w:p>
    <w:p w14:paraId="04B4C85E">
      <w:pPr>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bookmarkStart w:id="172" w:name="_Toc11259"/>
      <w:bookmarkStart w:id="173" w:name="_Toc20063"/>
      <w:bookmarkStart w:id="174" w:name="_Toc521014790"/>
      <w:bookmarkStart w:id="175" w:name="_Toc503212222"/>
      <w:bookmarkStart w:id="176" w:name="_Toc15327"/>
    </w:p>
    <w:p w14:paraId="18E24C9D">
      <w:pPr>
        <w:snapToGrid w:val="0"/>
        <w:spacing w:line="360" w:lineRule="auto"/>
        <w:ind w:firstLine="482" w:firstLineChars="200"/>
        <w:jc w:val="center"/>
        <w:outlineLvl w:val="1"/>
        <w:rPr>
          <w:rFonts w:hint="eastAsia" w:asciiTheme="minorEastAsia" w:hAnsiTheme="minorEastAsia" w:eastAsiaTheme="minorEastAsia" w:cstheme="minorEastAsia"/>
          <w:color w:val="000000"/>
          <w:sz w:val="24"/>
          <w:szCs w:val="24"/>
        </w:rPr>
      </w:pPr>
      <w:bookmarkStart w:id="177" w:name="_Toc20345"/>
      <w:bookmarkStart w:id="178" w:name="_Toc20117"/>
      <w:r>
        <w:rPr>
          <w:rFonts w:hint="eastAsia" w:asciiTheme="minorEastAsia" w:hAnsiTheme="minorEastAsia" w:eastAsiaTheme="minorEastAsia" w:cstheme="minorEastAsia"/>
          <w:b/>
          <w:bCs/>
          <w:color w:val="000000"/>
          <w:kern w:val="2"/>
          <w:sz w:val="24"/>
          <w:szCs w:val="24"/>
          <w:highlight w:val="none"/>
          <w:lang w:val="en-US" w:eastAsia="zh-CN" w:bidi="ar-SA"/>
        </w:rPr>
        <w:t>（七）合同授予</w:t>
      </w:r>
      <w:bookmarkEnd w:id="172"/>
      <w:bookmarkEnd w:id="173"/>
      <w:bookmarkEnd w:id="174"/>
      <w:bookmarkEnd w:id="175"/>
      <w:bookmarkEnd w:id="176"/>
      <w:bookmarkEnd w:id="177"/>
      <w:bookmarkEnd w:id="178"/>
    </w:p>
    <w:p w14:paraId="7C96DC8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1.合同签订</w:t>
      </w:r>
    </w:p>
    <w:p w14:paraId="64AD6112">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7FD2AC7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1.2采购人不得提出试用合格等任何不合理的要求作为签订合同的条件，且不得与中标供应商私下订立背离合同实质性内容的协议。</w:t>
      </w:r>
    </w:p>
    <w:p w14:paraId="4930B0DE">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1.3采购人应当自政府采购合同签订之日起2个工作日内，将政府采购合同在省级以上人民政府财政部门指定的媒体上公告，但政府采购合同中涉及国家秘密、商业秘密的内容除外。</w:t>
      </w:r>
    </w:p>
    <w:p w14:paraId="54A61C22">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30A2B5B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2.合同的履行</w:t>
      </w:r>
    </w:p>
    <w:p w14:paraId="6EB346F8">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88604A">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090AEA4C">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2.3有融资要求的中标供应商可根据自身情况，在新疆政府采购网上自行选择金融机构及其融资产品，凭政府采购中标通知书或政府采购合同向金融机构提出融资申请。</w:t>
      </w:r>
    </w:p>
    <w:p w14:paraId="42E4BFD4">
      <w:pPr>
        <w:snapToGrid w:val="0"/>
        <w:spacing w:line="360" w:lineRule="auto"/>
        <w:ind w:firstLine="482" w:firstLineChars="200"/>
        <w:jc w:val="center"/>
        <w:outlineLvl w:val="1"/>
        <w:rPr>
          <w:rFonts w:hint="eastAsia" w:asciiTheme="minorEastAsia" w:hAnsiTheme="minorEastAsia" w:eastAsiaTheme="minorEastAsia" w:cstheme="minorEastAsia"/>
          <w:b/>
          <w:bCs/>
          <w:color w:val="000000"/>
          <w:kern w:val="2"/>
          <w:sz w:val="24"/>
          <w:szCs w:val="24"/>
          <w:highlight w:val="none"/>
          <w:lang w:val="en-US" w:eastAsia="zh-CN" w:bidi="ar-SA"/>
        </w:rPr>
      </w:pPr>
      <w:bookmarkStart w:id="179" w:name="_Toc17664"/>
      <w:bookmarkStart w:id="180" w:name="_Toc115436070"/>
      <w:r>
        <w:rPr>
          <w:rFonts w:hint="eastAsia" w:asciiTheme="minorEastAsia" w:hAnsiTheme="minorEastAsia" w:eastAsiaTheme="minorEastAsia" w:cstheme="minorEastAsia"/>
          <w:b/>
          <w:bCs/>
          <w:color w:val="000000"/>
          <w:kern w:val="2"/>
          <w:sz w:val="24"/>
          <w:szCs w:val="24"/>
          <w:highlight w:val="none"/>
          <w:lang w:val="en-US" w:eastAsia="zh-CN" w:bidi="ar-SA"/>
        </w:rPr>
        <w:t>（八）法律责任</w:t>
      </w:r>
      <w:bookmarkEnd w:id="179"/>
      <w:bookmarkEnd w:id="180"/>
    </w:p>
    <w:p w14:paraId="491B7791">
      <w:pPr>
        <w:shd w:val="clear" w:color="auto" w:fill="auto"/>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法律责任</w:t>
      </w:r>
    </w:p>
    <w:p w14:paraId="76D6EB3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6531FD2F">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（一）提供虚假材料谋取中标的； </w:t>
      </w:r>
    </w:p>
    <w:p w14:paraId="6560BE5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（二）采取不正当手段诋毁、排挤其他投标人的；</w:t>
      </w:r>
    </w:p>
    <w:p w14:paraId="02D32EE9">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（三）与招标人、采购人、其他投标人恶意串通的； </w:t>
      </w:r>
    </w:p>
    <w:p w14:paraId="23DE9440">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（四）向招标人、采购人行贿或者提供其他不正当利益的； </w:t>
      </w:r>
    </w:p>
    <w:p w14:paraId="76396866">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（五）在招标过程中与招标人、采购人进行协商谈判、不按照招标文件、投标文件订立合同，或者与采购人另行订立背离合同实质性内容的协议的； </w:t>
      </w:r>
    </w:p>
    <w:p w14:paraId="19158EE7">
      <w:pPr>
        <w:pStyle w:val="15"/>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（六）拒绝有关部门监督检查或者提供虚假情况的。 </w:t>
      </w:r>
    </w:p>
    <w:p w14:paraId="5C4F765F">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投标人有前款第（一）至（五）项情形之一的，中标无效。 </w:t>
      </w:r>
    </w:p>
    <w:p w14:paraId="08D292FB">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2.中标人有下列情形之一的，招标人不予退还其交纳的投标保证金；情节严重的，由财政部门将其列入不良行为记录名单，在一至三年内禁止参加政府采购活动，并予以通报：</w:t>
      </w:r>
    </w:p>
    <w:p w14:paraId="2A9AFFDB">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（一）中标后无正当理由不与采购人签订合同的；</w:t>
      </w:r>
    </w:p>
    <w:p w14:paraId="4DDFB531">
      <w:pPr>
        <w:pStyle w:val="15"/>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（二）将中标项目转让给他人，或者在投标文件中未说明，且未经招标人同意，将中标项目分包给他人的；</w:t>
      </w:r>
    </w:p>
    <w:p w14:paraId="045899B7">
      <w:pPr>
        <w:pStyle w:val="15"/>
        <w:snapToGrid w:val="0"/>
        <w:spacing w:line="360" w:lineRule="auto"/>
        <w:ind w:left="210" w:leftChars="100" w:firstLine="360" w:firstLineChars="15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（三）拒绝履行合同义务的。</w:t>
      </w:r>
    </w:p>
    <w:p w14:paraId="15924340">
      <w:pPr>
        <w:numPr>
          <w:ilvl w:val="0"/>
          <w:numId w:val="0"/>
        </w:numPr>
        <w:shd w:val="clear" w:color="auto" w:fill="auto"/>
        <w:spacing w:line="460" w:lineRule="exact"/>
        <w:ind w:leftChars="-50" w:right="62" w:rightChars="0"/>
        <w:jc w:val="center"/>
        <w:outlineLvl w:val="1"/>
        <w:rPr>
          <w:rFonts w:hint="eastAsia" w:asciiTheme="minorEastAsia" w:hAnsiTheme="minorEastAsia" w:eastAsiaTheme="minorEastAsia" w:cstheme="minorEastAsia"/>
          <w:b/>
          <w:color w:val="auto"/>
          <w:sz w:val="24"/>
          <w:szCs w:val="24"/>
          <w:highlight w:val="none"/>
        </w:rPr>
      </w:pPr>
      <w:bookmarkStart w:id="181" w:name="_Toc5688"/>
      <w:bookmarkStart w:id="182" w:name="_Toc115436071"/>
      <w:r>
        <w:rPr>
          <w:rFonts w:hint="eastAsia" w:asciiTheme="minorEastAsia" w:hAnsiTheme="minorEastAsia" w:eastAsiaTheme="minorEastAsia" w:cstheme="minorEastAsia"/>
          <w:b/>
          <w:bCs/>
          <w:color w:val="000000"/>
          <w:kern w:val="2"/>
          <w:sz w:val="24"/>
          <w:szCs w:val="24"/>
          <w:highlight w:val="none"/>
          <w:lang w:val="en-US" w:eastAsia="zh-CN" w:bidi="ar-SA"/>
        </w:rPr>
        <w:t>（九）</w:t>
      </w:r>
      <w:r>
        <w:rPr>
          <w:rFonts w:hint="eastAsia" w:asciiTheme="minorEastAsia" w:hAnsiTheme="minorEastAsia" w:eastAsiaTheme="minorEastAsia" w:cstheme="minorEastAsia"/>
          <w:b/>
          <w:color w:val="auto"/>
          <w:sz w:val="24"/>
          <w:szCs w:val="24"/>
          <w:highlight w:val="none"/>
        </w:rPr>
        <w:t>特别提示</w:t>
      </w:r>
      <w:bookmarkEnd w:id="181"/>
      <w:bookmarkEnd w:id="182"/>
    </w:p>
    <w:p w14:paraId="22898792">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1、投标人应认真研读招标文件，充分考虑招标文件中的技术要求和合同条款后编制投标文件。</w:t>
      </w:r>
    </w:p>
    <w:p w14:paraId="755F1253">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2、如招标文件中未提供的各类表格样式，投标人可另行设计表格样式，但力求内容完整，表达清晰、准确。</w:t>
      </w:r>
    </w:p>
    <w:p w14:paraId="7A9C333C">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3、本项目实行网上投标，采用电子投标文件。若供应商参与投标，自行承担投标一切费用。 </w:t>
      </w:r>
    </w:p>
    <w:p w14:paraId="2A3557C9">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4、各供应商应在开标前应确保成为正式注册入库供应商，并完成CA数字证书申领。因未注册入库、未办理CA数字证书等原因造成无法投标或投标失败等后果由供应商自行承担。 </w:t>
      </w:r>
    </w:p>
    <w:p w14:paraId="753A333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B35B5A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EFA0A2C">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7、本招标文件是根据《中华人民共和国招标投标法》规定编制的，解释权属和田锦荣工程项目管理有限公司。</w:t>
      </w:r>
    </w:p>
    <w:p w14:paraId="52F37E4E">
      <w:pPr>
        <w:numPr>
          <w:ilvl w:val="0"/>
          <w:numId w:val="0"/>
        </w:numPr>
        <w:shd w:val="clear" w:color="auto" w:fill="auto"/>
        <w:spacing w:line="460" w:lineRule="exact"/>
        <w:ind w:leftChars="-50" w:right="62" w:rightChars="0"/>
        <w:jc w:val="center"/>
        <w:outlineLvl w:val="1"/>
        <w:rPr>
          <w:rFonts w:hint="eastAsia" w:asciiTheme="minorEastAsia" w:hAnsiTheme="minorEastAsia" w:eastAsiaTheme="minorEastAsia" w:cstheme="minorEastAsia"/>
          <w:b/>
          <w:color w:val="auto"/>
          <w:sz w:val="24"/>
          <w:szCs w:val="24"/>
          <w:highlight w:val="none"/>
        </w:rPr>
      </w:pPr>
      <w:bookmarkStart w:id="183" w:name="_Toc4516"/>
      <w:bookmarkStart w:id="184" w:name="_Toc115436072"/>
      <w:r>
        <w:rPr>
          <w:rFonts w:hint="eastAsia" w:asciiTheme="minorEastAsia" w:hAnsiTheme="minorEastAsia" w:eastAsiaTheme="minorEastAsia" w:cstheme="minorEastAsia"/>
          <w:b/>
          <w:bCs/>
          <w:color w:val="000000"/>
          <w:kern w:val="2"/>
          <w:sz w:val="24"/>
          <w:szCs w:val="24"/>
          <w:highlight w:val="none"/>
          <w:lang w:val="en-US" w:eastAsia="zh-CN" w:bidi="ar-SA"/>
        </w:rPr>
        <w:t>（十）</w:t>
      </w:r>
      <w:r>
        <w:rPr>
          <w:rFonts w:hint="eastAsia" w:asciiTheme="minorEastAsia" w:hAnsiTheme="minorEastAsia" w:eastAsiaTheme="minorEastAsia" w:cstheme="minorEastAsia"/>
          <w:b/>
          <w:color w:val="auto"/>
          <w:sz w:val="24"/>
          <w:szCs w:val="24"/>
          <w:highlight w:val="none"/>
        </w:rPr>
        <w:t>重新招标和其他方式采购</w:t>
      </w:r>
      <w:bookmarkEnd w:id="183"/>
      <w:bookmarkEnd w:id="184"/>
    </w:p>
    <w:p w14:paraId="006568D6">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1.重新招标</w:t>
      </w:r>
    </w:p>
    <w:p w14:paraId="36D72A6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1.1在招标采购中，出现下列情形之一的，应当在废标后重新招标：</w:t>
      </w:r>
    </w:p>
    <w:p w14:paraId="5312C7FE">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（1）符合专业条件的供应商或者对招标文件作实质响应的供应商不足三家的；</w:t>
      </w:r>
    </w:p>
    <w:p w14:paraId="443E570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（2）出现影响采购公正的违法、违规行为的；</w:t>
      </w:r>
    </w:p>
    <w:p w14:paraId="769F553B">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（3）投标人的报价均超过了采购预算，采购人不能支付的；</w:t>
      </w:r>
    </w:p>
    <w:p w14:paraId="4B65E9BE">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（4）因重大变故，采购任务取消的。</w:t>
      </w:r>
    </w:p>
    <w:p w14:paraId="13828687">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1.2如果排名第一、二的中标候选人，直至排名第三的中标候选人因不可抗力或自身原因放弃中标结果，本次招标宣布失败。招标人应依法按规定重新组织招标。</w:t>
      </w:r>
    </w:p>
    <w:p w14:paraId="6C5AFF81">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2其他方式采购</w:t>
      </w:r>
    </w:p>
    <w:p w14:paraId="5D83A308">
      <w:pPr>
        <w:shd w:val="clear" w:color="auto" w:fill="auto"/>
        <w:spacing w:line="4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2.1需要采取其他方式采购的，应当在采购活动开始前获得设区的市、自治州以上人民政府采购监督管理部门或者政府有关部门批准。</w:t>
      </w:r>
    </w:p>
    <w:p w14:paraId="5B2CD3CE">
      <w:pPr>
        <w:shd w:val="clear" w:color="auto" w:fill="auto"/>
        <w:spacing w:line="460" w:lineRule="exact"/>
        <w:jc w:val="center"/>
        <w:outlineLvl w:val="1"/>
        <w:rPr>
          <w:rFonts w:hint="eastAsia" w:asciiTheme="minorEastAsia" w:hAnsiTheme="minorEastAsia" w:eastAsiaTheme="minorEastAsia" w:cstheme="minorEastAsia"/>
          <w:color w:val="auto"/>
          <w:sz w:val="24"/>
          <w:szCs w:val="24"/>
          <w:highlight w:val="none"/>
          <w:lang w:val="en-US" w:eastAsia="zh-CN"/>
        </w:rPr>
      </w:pPr>
      <w:bookmarkStart w:id="185" w:name="_Toc26775"/>
      <w:bookmarkStart w:id="186" w:name="_Toc115436073"/>
      <w:r>
        <w:rPr>
          <w:rFonts w:hint="eastAsia" w:asciiTheme="minorEastAsia" w:hAnsiTheme="minorEastAsia" w:eastAsiaTheme="minorEastAsia" w:cstheme="minorEastAsia"/>
          <w:b/>
          <w:bCs/>
          <w:color w:val="000000"/>
          <w:kern w:val="2"/>
          <w:sz w:val="24"/>
          <w:szCs w:val="24"/>
          <w:highlight w:val="none"/>
          <w:lang w:val="en-US" w:eastAsia="zh-CN" w:bidi="ar-SA"/>
        </w:rPr>
        <w:t>（十</w:t>
      </w: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bCs/>
          <w:color w:val="000000"/>
          <w:kern w:val="2"/>
          <w:sz w:val="24"/>
          <w:szCs w:val="24"/>
          <w:highlight w:val="none"/>
          <w:lang w:val="en-US" w:eastAsia="zh-CN" w:bidi="ar-SA"/>
        </w:rPr>
        <w:t>）</w:t>
      </w:r>
      <w:r>
        <w:rPr>
          <w:rFonts w:hint="eastAsia" w:asciiTheme="minorEastAsia" w:hAnsiTheme="minorEastAsia" w:eastAsiaTheme="minorEastAsia" w:cstheme="minorEastAsia"/>
          <w:b/>
          <w:color w:val="auto"/>
          <w:sz w:val="24"/>
          <w:szCs w:val="24"/>
          <w:highlight w:val="none"/>
        </w:rPr>
        <w:t>质疑及答复</w:t>
      </w:r>
      <w:bookmarkEnd w:id="185"/>
      <w:bookmarkEnd w:id="186"/>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投诉</w:t>
      </w:r>
    </w:p>
    <w:p w14:paraId="1618E6C0">
      <w:pPr>
        <w:shd w:val="clear" w:color="auto" w:fill="auto"/>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、质疑的提出</w:t>
      </w:r>
      <w:r>
        <w:rPr>
          <w:rFonts w:hint="eastAsia" w:asciiTheme="minorEastAsia" w:hAnsiTheme="minorEastAsia" w:eastAsiaTheme="minorEastAsia" w:cstheme="minorEastAsia"/>
          <w:color w:val="auto"/>
          <w:sz w:val="24"/>
          <w:szCs w:val="24"/>
          <w:highlight w:val="none"/>
        </w:rPr>
        <w:tab/>
      </w:r>
    </w:p>
    <w:p w14:paraId="64BEDC1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 本采购文件中所称质疑及答复，是指参加本次采购活动的供应商对政府采购活动中的采购文件、采购过程和中标结果向采购方</w:t>
      </w:r>
      <w:r>
        <w:rPr>
          <w:rFonts w:hint="eastAsia" w:asciiTheme="minorEastAsia" w:hAnsiTheme="minorEastAsia" w:eastAsiaTheme="minorEastAsia" w:cstheme="minorEastAsia"/>
          <w:color w:val="auto"/>
          <w:sz w:val="24"/>
          <w:szCs w:val="24"/>
          <w:highlight w:val="none"/>
          <w:lang w:eastAsia="zh-CN"/>
        </w:rPr>
        <w:t>一次性</w:t>
      </w:r>
      <w:r>
        <w:rPr>
          <w:rFonts w:hint="eastAsia" w:asciiTheme="minorEastAsia" w:hAnsiTheme="minorEastAsia" w:eastAsiaTheme="minorEastAsia" w:cstheme="minorEastAsia"/>
          <w:color w:val="auto"/>
          <w:sz w:val="24"/>
          <w:szCs w:val="24"/>
          <w:highlight w:val="none"/>
        </w:rPr>
        <w:t>提出质疑，采购方答复质疑的行为。</w:t>
      </w:r>
    </w:p>
    <w:p w14:paraId="5795C6EB">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 供应商认为采购文件、采购过程和中标结果使自己的权益受到损害的，可以在知道或者应知其权益受到损害之日起 7 个工作日内，以书面形式</w:t>
      </w:r>
      <w:r>
        <w:rPr>
          <w:rFonts w:hint="eastAsia" w:asciiTheme="minorEastAsia" w:hAnsiTheme="minorEastAsia" w:eastAsiaTheme="minorEastAsia" w:cstheme="minorEastAsia"/>
          <w:color w:val="auto"/>
          <w:sz w:val="24"/>
          <w:szCs w:val="24"/>
          <w:highlight w:val="none"/>
          <w:lang w:eastAsia="zh-CN"/>
        </w:rPr>
        <w:t>一次性</w:t>
      </w:r>
      <w:r>
        <w:rPr>
          <w:rFonts w:hint="eastAsia" w:asciiTheme="minorEastAsia" w:hAnsiTheme="minorEastAsia" w:eastAsiaTheme="minorEastAsia" w:cstheme="minorEastAsia"/>
          <w:color w:val="auto"/>
          <w:sz w:val="24"/>
          <w:szCs w:val="24"/>
          <w:highlight w:val="none"/>
        </w:rPr>
        <w:t>向采购方提出质疑。</w:t>
      </w:r>
    </w:p>
    <w:p w14:paraId="50F3433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供应商应知其权益受到损害之日，是指：</w:t>
      </w:r>
    </w:p>
    <w:p w14:paraId="404E7A04">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（一）对可以质疑的采购文件提出质疑的，为收到采购文件之日或者采购文件公告期限届满之日；</w:t>
      </w:r>
    </w:p>
    <w:p w14:paraId="03D69C6D">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（二）对采购过程提出质疑的，为各采购程序环节结束之日；</w:t>
      </w:r>
    </w:p>
    <w:p w14:paraId="1666A84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（三）对中标结果提出质疑的，为中标结果公告期限届满之日。</w:t>
      </w:r>
    </w:p>
    <w:p w14:paraId="5061E34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5EFC0BD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12EE27C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 xml:space="preserve">  提出质疑应当符合下列条件：</w:t>
      </w:r>
    </w:p>
    <w:p w14:paraId="76113421">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（一）质疑主体应当符合有关规定；</w:t>
      </w:r>
    </w:p>
    <w:p w14:paraId="5ADCA1D4">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（二）在质疑法定期限内提出；</w:t>
      </w:r>
    </w:p>
    <w:p w14:paraId="30C7A01A">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（三）属于可以提出质疑的政府采购事项受理范围和本项目采购人的管辖权范围；</w:t>
      </w:r>
    </w:p>
    <w:p w14:paraId="4B7543E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（四）政府采购法律、法规、规章规定的其他条件。</w:t>
      </w:r>
    </w:p>
    <w:p w14:paraId="10BE99C9">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24A456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 xml:space="preserve"> 质疑人所提供的证明材料应当具有真实性、合法性以及与质疑事项的关联性和证明力，否则不能作为认定该质疑事项成立的依据。</w:t>
      </w:r>
    </w:p>
    <w:p w14:paraId="3B6D457B">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 xml:space="preserve"> 质疑人提出质疑时应当提交质疑函。质疑函包括下列内容：</w:t>
      </w:r>
    </w:p>
    <w:p w14:paraId="76D2A7BD">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（一）提出质疑的质疑人的名称、地址、邮编、联系人及联系电话等；</w:t>
      </w:r>
    </w:p>
    <w:p w14:paraId="416DEFDD">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（二）质疑项目的名称、编号；</w:t>
      </w:r>
    </w:p>
    <w:p w14:paraId="5D254998">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（三）质疑事项；</w:t>
      </w:r>
    </w:p>
    <w:p w14:paraId="2EFC3B1B">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（四）事实依据和证明材料；</w:t>
      </w:r>
    </w:p>
    <w:p w14:paraId="18E6E098">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（五）法律依据；</w:t>
      </w:r>
    </w:p>
    <w:p w14:paraId="45C48C88">
      <w:pPr>
        <w:shd w:val="clear" w:color="auto" w:fill="auto"/>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（六）提出质疑的日期。</w:t>
      </w:r>
    </w:p>
    <w:p w14:paraId="2093AA1C">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1.10</w:t>
      </w:r>
      <w:r>
        <w:rPr>
          <w:rFonts w:hint="eastAsia" w:asciiTheme="minorEastAsia" w:hAnsiTheme="minorEastAsia" w:eastAsiaTheme="minorEastAsia" w:cstheme="minorEastAsia"/>
          <w:color w:val="auto"/>
          <w:sz w:val="24"/>
          <w:szCs w:val="24"/>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14:paraId="03198FA7">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rPr>
        <w:t xml:space="preserve"> 质疑人可以委托代理人进行质疑。代理人应当提交授权委托书。授权委托书应当载明委托代理的具体权限、期限和相关事项。</w:t>
      </w:r>
    </w:p>
    <w:p w14:paraId="42C9B9B7">
      <w:pPr>
        <w:shd w:val="clear" w:color="auto" w:fill="auto"/>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、质疑的审查和受理</w:t>
      </w:r>
    </w:p>
    <w:p w14:paraId="0897FCC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 采购方在收到质疑函后应当及时审查是否符合质疑受理条件，对符合质疑受理条件的，及时予以受理。</w:t>
      </w:r>
    </w:p>
    <w:p w14:paraId="3731A0AC">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.2对不符合质疑受理条件的，分别按照下列不同情形予以处理：</w:t>
      </w:r>
    </w:p>
    <w:p w14:paraId="17CF215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98ABF1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（二）质疑主体不符合有关规定的，告知质疑人不予受理；</w:t>
      </w:r>
    </w:p>
    <w:p w14:paraId="7E07469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（三）超过质疑法定期限提出质疑的，告知质疑人不予受理；</w:t>
      </w:r>
    </w:p>
    <w:p w14:paraId="7A7DCBA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（四）对不属于可以提出质疑的政府采购事项提出质疑的，告知质疑人不予受理；</w:t>
      </w:r>
    </w:p>
    <w:p w14:paraId="6853A30F">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（五）质疑不属于本项目采购方管辖的，告知质疑人向有管辖权的采购人提出质疑；</w:t>
      </w:r>
    </w:p>
    <w:p w14:paraId="21E522BA">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（六）质疑不符合其他条件的，告知质疑人不予受理。</w:t>
      </w:r>
    </w:p>
    <w:p w14:paraId="7E33A4B7">
      <w:pPr>
        <w:shd w:val="clear" w:color="auto" w:fill="auto"/>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、质疑的处理和答复</w:t>
      </w:r>
    </w:p>
    <w:p w14:paraId="108AB61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 按照《政府采购质疑和投诉办法（财政部94号令）》处理及答复质疑。</w:t>
      </w:r>
    </w:p>
    <w:p w14:paraId="7E76A1A5">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 采购方受理质疑后，将及时把质疑函发送给被质疑人，并要求其在一定限期人提交书面答复，同时提供有关证据、依据和相关材料。</w:t>
      </w:r>
    </w:p>
    <w:p w14:paraId="7D44B1CB">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 对于质疑事项中涉及的问题较多、情况比较复杂的，为了全面查清事实、取得充分的证据，采购方认为有必要时，可以进行调查取证或者组织质证。</w:t>
      </w:r>
    </w:p>
    <w:p w14:paraId="765905B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.4对评审过程、中标结果提出质疑的，采购方可以组织原评审委员会协助答复质疑。</w:t>
      </w:r>
    </w:p>
    <w:p w14:paraId="25A5D9BC">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.5质疑处理过程中，质疑人书面申请撤回质疑的，将终止质疑处理程序。</w:t>
      </w:r>
    </w:p>
    <w:p w14:paraId="7EE7BF0D">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14:paraId="25EB231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14:paraId="03B7A68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.8 采购方经调查、论证、核实，认定质疑不能成立的，继续开展采购活动；认定质疑成立的，按照以下情况处理：</w:t>
      </w:r>
    </w:p>
    <w:p w14:paraId="6941FD25">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18F5016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66B84B6D">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.9 采购方将书面答复质疑，质疑答复包括下列内容：</w:t>
      </w:r>
    </w:p>
    <w:p w14:paraId="4B25454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（一）质疑人名称；</w:t>
      </w:r>
    </w:p>
    <w:p w14:paraId="06BA768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（二）收到质疑函的日期、质疑项目名称及编号;</w:t>
      </w:r>
    </w:p>
    <w:p w14:paraId="7718C080">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（三）质疑事项、质疑答复的具体内容、事实依据和法律依据；</w:t>
      </w:r>
    </w:p>
    <w:p w14:paraId="7A26C962">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（四）告知质疑人依法投诉的权利；</w:t>
      </w:r>
    </w:p>
    <w:p w14:paraId="281D41D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（五）质疑答复日期。</w:t>
      </w:r>
    </w:p>
    <w:p w14:paraId="5BC10BF3">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.10 质疑人有下列行为之一的，属于虚假、恶意质疑，将由采购方建议财政部门将其列入不良行为记录名单，禁止其 1 至 3 年内参加政府采购活动：</w:t>
      </w:r>
    </w:p>
    <w:p w14:paraId="4F175F3E">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（一）受理后发现投诉不符合法定受理条件；</w:t>
      </w:r>
    </w:p>
    <w:p w14:paraId="36AA62DA">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（二）投诉事项缺乏事实依据，投诉事项不成立；</w:t>
      </w:r>
    </w:p>
    <w:p w14:paraId="6C684051">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（三）投诉人捏造事实或者提供虚假材料；</w:t>
      </w:r>
    </w:p>
    <w:p w14:paraId="1C77F4F5">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（四）投诉人以非法手段取得证明材料。证据来源的合法性存在明显疑问，投诉人无法证明其取得方式合法的，视为以非法手段取得证明材料。</w:t>
      </w:r>
    </w:p>
    <w:p w14:paraId="6924E4C8">
      <w:pPr>
        <w:shd w:val="clear" w:color="auto" w:fill="auto"/>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（五）法律法规规定的其他违法情形。</w:t>
      </w:r>
    </w:p>
    <w:p w14:paraId="11163CD5">
      <w:pPr>
        <w:pStyle w:val="39"/>
        <w:shd w:val="clear" w:color="auto" w:fill="auto"/>
        <w:spacing w:line="450" w:lineRule="exact"/>
        <w:jc w:val="center"/>
        <w:rPr>
          <w:rFonts w:hint="eastAsia" w:asciiTheme="minorEastAsia" w:hAnsiTheme="minorEastAsia" w:eastAsiaTheme="minorEastAsia" w:cstheme="minorEastAsia"/>
          <w:color w:val="auto"/>
          <w:sz w:val="24"/>
          <w:szCs w:val="24"/>
          <w:highlight w:val="none"/>
        </w:rPr>
      </w:pPr>
    </w:p>
    <w:p w14:paraId="390C1626">
      <w:pPr>
        <w:shd w:val="clear" w:color="auto" w:fill="auto"/>
        <w:spacing w:before="101" w:line="224" w:lineRule="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87" w:name="_Toc21178"/>
      <w:bookmarkStart w:id="188" w:name="_Toc110010424"/>
      <w:bookmarkStart w:id="189" w:name="_Toc1224"/>
      <w:r>
        <w:rPr>
          <w:rFonts w:hint="eastAsia" w:asciiTheme="minorEastAsia" w:hAnsiTheme="minorEastAsia" w:eastAsiaTheme="minorEastAsia" w:cstheme="minorEastAsia"/>
          <w:color w:val="auto"/>
          <w:spacing w:val="8"/>
          <w:sz w:val="24"/>
          <w:szCs w:val="24"/>
          <w:highlight w:val="none"/>
        </w:rPr>
        <w:t>附</w:t>
      </w:r>
      <w:r>
        <w:rPr>
          <w:rFonts w:hint="eastAsia" w:asciiTheme="minorEastAsia" w:hAnsiTheme="minorEastAsia" w:eastAsiaTheme="minorEastAsia" w:cstheme="minorEastAsia"/>
          <w:color w:val="auto"/>
          <w:spacing w:val="6"/>
          <w:sz w:val="24"/>
          <w:szCs w:val="24"/>
          <w:highlight w:val="none"/>
        </w:rPr>
        <w:t>件：质疑函范本</w:t>
      </w:r>
      <w:bookmarkEnd w:id="187"/>
      <w:bookmarkEnd w:id="188"/>
      <w:bookmarkEnd w:id="189"/>
    </w:p>
    <w:p w14:paraId="3725CCAF">
      <w:pPr>
        <w:shd w:val="clear" w:color="auto" w:fill="auto"/>
        <w:spacing w:line="250" w:lineRule="auto"/>
        <w:rPr>
          <w:rFonts w:hint="eastAsia" w:asciiTheme="minorEastAsia" w:hAnsiTheme="minorEastAsia" w:eastAsiaTheme="minorEastAsia" w:cstheme="minorEastAsia"/>
          <w:color w:val="auto"/>
          <w:sz w:val="24"/>
          <w:szCs w:val="24"/>
          <w:highlight w:val="none"/>
        </w:rPr>
      </w:pPr>
    </w:p>
    <w:p w14:paraId="4D093CB0">
      <w:pPr>
        <w:shd w:val="clear" w:color="auto" w:fill="auto"/>
        <w:spacing w:before="101" w:line="225" w:lineRule="auto"/>
        <w:ind w:left="365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质</w:t>
      </w:r>
      <w:r>
        <w:rPr>
          <w:rFonts w:hint="eastAsia" w:asciiTheme="minorEastAsia" w:hAnsiTheme="minorEastAsia" w:eastAsiaTheme="minorEastAsia" w:cstheme="minorEastAsia"/>
          <w:color w:val="auto"/>
          <w:spacing w:val="24"/>
          <w:sz w:val="24"/>
          <w:szCs w:val="24"/>
          <w:highlight w:val="none"/>
        </w:rPr>
        <w:t>疑函</w:t>
      </w:r>
    </w:p>
    <w:p w14:paraId="564D063C">
      <w:pPr>
        <w:shd w:val="clear" w:color="auto" w:fill="auto"/>
        <w:spacing w:before="237" w:line="468" w:lineRule="exact"/>
        <w:ind w:left="27"/>
        <w:outlineLvl w:val="2"/>
        <w:rPr>
          <w:rFonts w:hint="eastAsia" w:asciiTheme="minorEastAsia" w:hAnsiTheme="minorEastAsia" w:eastAsiaTheme="minorEastAsia" w:cstheme="minorEastAsia"/>
          <w:color w:val="auto"/>
          <w:sz w:val="24"/>
          <w:szCs w:val="24"/>
          <w:highlight w:val="none"/>
        </w:rPr>
      </w:pPr>
      <w:bookmarkStart w:id="190" w:name="_Toc110010425"/>
      <w:bookmarkStart w:id="191" w:name="_Toc5896"/>
      <w:bookmarkStart w:id="192" w:name="_Toc1299"/>
      <w:bookmarkStart w:id="193" w:name="_Toc25739"/>
      <w:r>
        <w:rPr>
          <w:rFonts w:hint="eastAsia" w:asciiTheme="minorEastAsia" w:hAnsiTheme="minorEastAsia" w:eastAsiaTheme="minorEastAsia" w:cstheme="minorEastAsia"/>
          <w:color w:val="auto"/>
          <w:spacing w:val="-2"/>
          <w:position w:val="2"/>
          <w:sz w:val="24"/>
          <w:szCs w:val="24"/>
          <w:highlight w:val="none"/>
        </w:rPr>
        <w:t>一、质</w:t>
      </w:r>
      <w:r>
        <w:rPr>
          <w:rFonts w:hint="eastAsia" w:asciiTheme="minorEastAsia" w:hAnsiTheme="minorEastAsia" w:eastAsiaTheme="minorEastAsia" w:cstheme="minorEastAsia"/>
          <w:color w:val="auto"/>
          <w:spacing w:val="-1"/>
          <w:position w:val="2"/>
          <w:sz w:val="24"/>
          <w:szCs w:val="24"/>
          <w:highlight w:val="none"/>
        </w:rPr>
        <w:t>疑供应商基本信息</w:t>
      </w:r>
      <w:bookmarkEnd w:id="190"/>
      <w:bookmarkEnd w:id="191"/>
      <w:bookmarkEnd w:id="192"/>
      <w:bookmarkEnd w:id="193"/>
    </w:p>
    <w:p w14:paraId="55FBA831">
      <w:pPr>
        <w:shd w:val="clear" w:color="auto" w:fill="auto"/>
        <w:spacing w:before="77"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w:t>
      </w:r>
      <w:r>
        <w:rPr>
          <w:rFonts w:hint="eastAsia" w:asciiTheme="minorEastAsia" w:hAnsiTheme="minorEastAsia" w:eastAsiaTheme="minorEastAsia" w:cstheme="minorEastAsia"/>
          <w:color w:val="auto"/>
          <w:spacing w:val="-2"/>
          <w:sz w:val="24"/>
          <w:szCs w:val="24"/>
          <w:highlight w:val="none"/>
        </w:rPr>
        <w:t>疑供应商：</w:t>
      </w:r>
      <w:r>
        <w:rPr>
          <w:rFonts w:hint="eastAsia" w:asciiTheme="minorEastAsia" w:hAnsiTheme="minorEastAsia" w:eastAsiaTheme="minorEastAsia" w:cstheme="minorEastAsia"/>
          <w:color w:val="auto"/>
          <w:sz w:val="24"/>
          <w:szCs w:val="24"/>
          <w:highlight w:val="none"/>
          <w:u w:val="dotted"/>
        </w:rPr>
        <w:t xml:space="preserve">                                       </w:t>
      </w:r>
    </w:p>
    <w:p w14:paraId="45EFECFA">
      <w:pPr>
        <w:shd w:val="clear" w:color="auto" w:fill="auto"/>
        <w:spacing w:before="212"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67EB86EB">
      <w:pPr>
        <w:shd w:val="clear" w:color="auto" w:fill="auto"/>
        <w:spacing w:before="211"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联系人：</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4362BEF2">
      <w:pPr>
        <w:shd w:val="clear" w:color="auto" w:fill="auto"/>
        <w:spacing w:before="205" w:line="220"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授</w:t>
      </w:r>
      <w:r>
        <w:rPr>
          <w:rFonts w:hint="eastAsia" w:asciiTheme="minorEastAsia" w:hAnsiTheme="minorEastAsia" w:eastAsiaTheme="minorEastAsia" w:cstheme="minorEastAsia"/>
          <w:color w:val="auto"/>
          <w:spacing w:val="-2"/>
          <w:sz w:val="24"/>
          <w:szCs w:val="24"/>
          <w:highlight w:val="none"/>
        </w:rPr>
        <w:t>权代表：</w:t>
      </w:r>
      <w:r>
        <w:rPr>
          <w:rFonts w:hint="eastAsia" w:asciiTheme="minorEastAsia" w:hAnsiTheme="minorEastAsia" w:eastAsiaTheme="minorEastAsia" w:cstheme="minorEastAsia"/>
          <w:color w:val="auto"/>
          <w:sz w:val="24"/>
          <w:szCs w:val="24"/>
          <w:highlight w:val="none"/>
          <w:u w:val="dotted"/>
        </w:rPr>
        <w:t xml:space="preserve">                                         </w:t>
      </w:r>
    </w:p>
    <w:p w14:paraId="1512A1C8">
      <w:pPr>
        <w:shd w:val="clear" w:color="auto" w:fill="auto"/>
        <w:spacing w:before="214"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联系</w:t>
      </w:r>
      <w:r>
        <w:rPr>
          <w:rFonts w:hint="eastAsia" w:asciiTheme="minorEastAsia" w:hAnsiTheme="minorEastAsia" w:eastAsiaTheme="minorEastAsia" w:cstheme="minorEastAsia"/>
          <w:color w:val="auto"/>
          <w:spacing w:val="-2"/>
          <w:sz w:val="24"/>
          <w:szCs w:val="24"/>
          <w:highlight w:val="none"/>
        </w:rPr>
        <w:t>电话：</w:t>
      </w:r>
      <w:r>
        <w:rPr>
          <w:rFonts w:hint="eastAsia" w:asciiTheme="minorEastAsia" w:hAnsiTheme="minorEastAsia" w:eastAsiaTheme="minorEastAsia" w:cstheme="minorEastAsia"/>
          <w:color w:val="auto"/>
          <w:sz w:val="24"/>
          <w:szCs w:val="24"/>
          <w:highlight w:val="none"/>
          <w:u w:val="dotted"/>
        </w:rPr>
        <w:t xml:space="preserve">                                          </w:t>
      </w:r>
    </w:p>
    <w:p w14:paraId="30D0DA61">
      <w:pPr>
        <w:shd w:val="clear" w:color="auto" w:fill="auto"/>
        <w:spacing w:before="208"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229956A9">
      <w:pPr>
        <w:shd w:val="clear" w:color="auto" w:fill="auto"/>
        <w:spacing w:before="209" w:line="371" w:lineRule="exact"/>
        <w:ind w:left="27"/>
        <w:outlineLvl w:val="2"/>
        <w:rPr>
          <w:rFonts w:hint="eastAsia" w:asciiTheme="minorEastAsia" w:hAnsiTheme="minorEastAsia" w:eastAsiaTheme="minorEastAsia" w:cstheme="minorEastAsia"/>
          <w:color w:val="auto"/>
          <w:sz w:val="24"/>
          <w:szCs w:val="24"/>
          <w:highlight w:val="none"/>
        </w:rPr>
      </w:pPr>
      <w:bookmarkStart w:id="194" w:name="_Toc3585"/>
      <w:bookmarkStart w:id="195" w:name="_Toc110010426"/>
      <w:bookmarkStart w:id="196" w:name="_Toc1061"/>
      <w:bookmarkStart w:id="197" w:name="_Toc15098"/>
      <w:r>
        <w:rPr>
          <w:rFonts w:hint="eastAsia" w:asciiTheme="minorEastAsia" w:hAnsiTheme="minorEastAsia" w:eastAsiaTheme="minorEastAsia" w:cstheme="minorEastAsia"/>
          <w:color w:val="auto"/>
          <w:spacing w:val="-2"/>
          <w:position w:val="1"/>
          <w:sz w:val="24"/>
          <w:szCs w:val="24"/>
          <w:highlight w:val="none"/>
        </w:rPr>
        <w:t>二、质疑项</w:t>
      </w:r>
      <w:r>
        <w:rPr>
          <w:rFonts w:hint="eastAsia" w:asciiTheme="minorEastAsia" w:hAnsiTheme="minorEastAsia" w:eastAsiaTheme="minorEastAsia" w:cstheme="minorEastAsia"/>
          <w:color w:val="auto"/>
          <w:spacing w:val="-1"/>
          <w:position w:val="1"/>
          <w:sz w:val="24"/>
          <w:szCs w:val="24"/>
          <w:highlight w:val="none"/>
        </w:rPr>
        <w:t>目基本情况</w:t>
      </w:r>
      <w:bookmarkEnd w:id="194"/>
      <w:bookmarkEnd w:id="195"/>
      <w:bookmarkEnd w:id="196"/>
      <w:bookmarkEnd w:id="197"/>
    </w:p>
    <w:p w14:paraId="7A79EBEE">
      <w:pPr>
        <w:shd w:val="clear" w:color="auto" w:fill="auto"/>
        <w:spacing w:before="173" w:line="221"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质疑项目</w:t>
      </w:r>
      <w:r>
        <w:rPr>
          <w:rFonts w:hint="eastAsia" w:asciiTheme="minorEastAsia" w:hAnsiTheme="minorEastAsia" w:eastAsiaTheme="minorEastAsia" w:cstheme="minorEastAsia"/>
          <w:color w:val="auto"/>
          <w:spacing w:val="-1"/>
          <w:sz w:val="24"/>
          <w:szCs w:val="24"/>
          <w:highlight w:val="none"/>
        </w:rPr>
        <w:t>的名称：</w:t>
      </w:r>
      <w:r>
        <w:rPr>
          <w:rFonts w:hint="eastAsia" w:asciiTheme="minorEastAsia" w:hAnsiTheme="minorEastAsia" w:eastAsiaTheme="minorEastAsia" w:cstheme="minorEastAsia"/>
          <w:color w:val="auto"/>
          <w:sz w:val="24"/>
          <w:szCs w:val="24"/>
          <w:highlight w:val="none"/>
          <w:u w:val="dotted"/>
        </w:rPr>
        <w:t xml:space="preserve">                                         </w:t>
      </w:r>
    </w:p>
    <w:p w14:paraId="73A353A4">
      <w:pPr>
        <w:shd w:val="clear" w:color="auto" w:fill="auto"/>
        <w:spacing w:before="210"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质疑项</w:t>
      </w:r>
      <w:r>
        <w:rPr>
          <w:rFonts w:hint="eastAsia" w:asciiTheme="minorEastAsia" w:hAnsiTheme="minorEastAsia" w:eastAsiaTheme="minorEastAsia" w:cstheme="minorEastAsia"/>
          <w:color w:val="auto"/>
          <w:spacing w:val="-9"/>
          <w:sz w:val="24"/>
          <w:szCs w:val="24"/>
          <w:highlight w:val="none"/>
        </w:rPr>
        <w:t>目</w:t>
      </w:r>
      <w:r>
        <w:rPr>
          <w:rFonts w:hint="eastAsia" w:asciiTheme="minorEastAsia" w:hAnsiTheme="minorEastAsia" w:eastAsiaTheme="minorEastAsia" w:cstheme="minorEastAsia"/>
          <w:color w:val="auto"/>
          <w:spacing w:val="-5"/>
          <w:sz w:val="24"/>
          <w:szCs w:val="24"/>
          <w:highlight w:val="none"/>
        </w:rPr>
        <w:t>的编号：</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79314AD0">
      <w:pPr>
        <w:shd w:val="clear" w:color="auto" w:fill="auto"/>
        <w:spacing w:before="21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采购人名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3887B52B">
      <w:pPr>
        <w:shd w:val="clear" w:color="auto" w:fill="auto"/>
        <w:spacing w:before="21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w:t>
      </w:r>
      <w:r>
        <w:rPr>
          <w:rFonts w:hint="eastAsia" w:asciiTheme="minorEastAsia" w:hAnsiTheme="minorEastAsia" w:eastAsiaTheme="minorEastAsia" w:cstheme="minorEastAsia"/>
          <w:color w:val="auto"/>
          <w:spacing w:val="-1"/>
          <w:sz w:val="24"/>
          <w:szCs w:val="24"/>
          <w:highlight w:val="none"/>
        </w:rPr>
        <w:t>文件获取日期：</w:t>
      </w:r>
      <w:r>
        <w:rPr>
          <w:rFonts w:hint="eastAsia" w:asciiTheme="minorEastAsia" w:hAnsiTheme="minorEastAsia" w:eastAsiaTheme="minorEastAsia" w:cstheme="minorEastAsia"/>
          <w:color w:val="auto"/>
          <w:sz w:val="24"/>
          <w:szCs w:val="24"/>
          <w:highlight w:val="none"/>
          <w:u w:val="dotted"/>
        </w:rPr>
        <w:t xml:space="preserve">                                       </w:t>
      </w:r>
    </w:p>
    <w:p w14:paraId="163CE2C7">
      <w:pPr>
        <w:shd w:val="clear" w:color="auto" w:fill="auto"/>
        <w:spacing w:before="213" w:line="237" w:lineRule="auto"/>
        <w:ind w:left="22"/>
        <w:outlineLvl w:val="2"/>
        <w:rPr>
          <w:rFonts w:hint="eastAsia" w:asciiTheme="minorEastAsia" w:hAnsiTheme="minorEastAsia" w:eastAsiaTheme="minorEastAsia" w:cstheme="minorEastAsia"/>
          <w:color w:val="auto"/>
          <w:sz w:val="24"/>
          <w:szCs w:val="24"/>
          <w:highlight w:val="none"/>
        </w:rPr>
      </w:pPr>
      <w:bookmarkStart w:id="198" w:name="_Toc32569"/>
      <w:bookmarkStart w:id="199" w:name="_Toc110010427"/>
      <w:bookmarkStart w:id="200" w:name="_Toc14686"/>
      <w:bookmarkStart w:id="201" w:name="_Toc22496"/>
      <w:r>
        <w:rPr>
          <w:rFonts w:hint="eastAsia" w:asciiTheme="minorEastAsia" w:hAnsiTheme="minorEastAsia" w:eastAsiaTheme="minorEastAsia" w:cstheme="minorEastAsia"/>
          <w:color w:val="auto"/>
          <w:spacing w:val="-2"/>
          <w:sz w:val="24"/>
          <w:szCs w:val="24"/>
          <w:highlight w:val="none"/>
        </w:rPr>
        <w:t>三</w:t>
      </w:r>
      <w:r>
        <w:rPr>
          <w:rFonts w:hint="eastAsia" w:asciiTheme="minorEastAsia" w:hAnsiTheme="minorEastAsia" w:eastAsiaTheme="minorEastAsia" w:cstheme="minorEastAsia"/>
          <w:color w:val="auto"/>
          <w:spacing w:val="-1"/>
          <w:sz w:val="24"/>
          <w:szCs w:val="24"/>
          <w:highlight w:val="none"/>
        </w:rPr>
        <w:t>、质疑事项具体内容</w:t>
      </w:r>
      <w:bookmarkEnd w:id="198"/>
      <w:bookmarkEnd w:id="199"/>
      <w:bookmarkEnd w:id="200"/>
      <w:bookmarkEnd w:id="201"/>
    </w:p>
    <w:p w14:paraId="7620DEB0">
      <w:pPr>
        <w:shd w:val="clear" w:color="auto" w:fill="auto"/>
        <w:spacing w:before="184" w:line="221"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质</w:t>
      </w:r>
      <w:r>
        <w:rPr>
          <w:rFonts w:hint="eastAsia" w:asciiTheme="minorEastAsia" w:hAnsiTheme="minorEastAsia" w:eastAsiaTheme="minorEastAsia" w:cstheme="minorEastAsia"/>
          <w:color w:val="auto"/>
          <w:spacing w:val="-11"/>
          <w:sz w:val="24"/>
          <w:szCs w:val="24"/>
          <w:highlight w:val="none"/>
        </w:rPr>
        <w:t>疑事项 1：</w:t>
      </w:r>
      <w:r>
        <w:rPr>
          <w:rFonts w:hint="eastAsia" w:asciiTheme="minorEastAsia" w:hAnsiTheme="minorEastAsia" w:eastAsiaTheme="minorEastAsia" w:cstheme="minorEastAsia"/>
          <w:color w:val="auto"/>
          <w:sz w:val="24"/>
          <w:szCs w:val="24"/>
          <w:highlight w:val="none"/>
          <w:u w:val="dotted"/>
        </w:rPr>
        <w:t xml:space="preserve">                                             </w:t>
      </w:r>
    </w:p>
    <w:p w14:paraId="093B82F5">
      <w:pPr>
        <w:shd w:val="clear" w:color="auto" w:fill="auto"/>
        <w:spacing w:before="211" w:line="219"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事</w:t>
      </w:r>
      <w:r>
        <w:rPr>
          <w:rFonts w:hint="eastAsia" w:asciiTheme="minorEastAsia" w:hAnsiTheme="minorEastAsia" w:eastAsiaTheme="minorEastAsia" w:cstheme="minorEastAsia"/>
          <w:color w:val="auto"/>
          <w:spacing w:val="-2"/>
          <w:sz w:val="24"/>
          <w:szCs w:val="24"/>
          <w:highlight w:val="none"/>
        </w:rPr>
        <w:t>实依据：</w:t>
      </w:r>
      <w:r>
        <w:rPr>
          <w:rFonts w:hint="eastAsia" w:asciiTheme="minorEastAsia" w:hAnsiTheme="minorEastAsia" w:eastAsiaTheme="minorEastAsia" w:cstheme="minorEastAsia"/>
          <w:color w:val="auto"/>
          <w:sz w:val="24"/>
          <w:szCs w:val="24"/>
          <w:highlight w:val="none"/>
          <w:u w:val="dotted"/>
        </w:rPr>
        <w:t xml:space="preserve">                                             </w:t>
      </w:r>
    </w:p>
    <w:p w14:paraId="26C7E9B7">
      <w:pPr>
        <w:shd w:val="clear" w:color="auto" w:fill="auto"/>
        <w:tabs>
          <w:tab w:val="left" w:pos="8322"/>
        </w:tabs>
        <w:spacing w:before="286" w:line="241"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05A4243F">
      <w:pPr>
        <w:shd w:val="clear" w:color="auto" w:fill="auto"/>
        <w:spacing w:before="230"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法律</w:t>
      </w:r>
      <w:r>
        <w:rPr>
          <w:rFonts w:hint="eastAsia" w:asciiTheme="minorEastAsia" w:hAnsiTheme="minorEastAsia" w:eastAsiaTheme="minorEastAsia" w:cstheme="minorEastAsia"/>
          <w:color w:val="auto"/>
          <w:spacing w:val="-2"/>
          <w:sz w:val="24"/>
          <w:szCs w:val="24"/>
          <w:highlight w:val="none"/>
        </w:rPr>
        <w:t>依据：</w:t>
      </w:r>
      <w:r>
        <w:rPr>
          <w:rFonts w:hint="eastAsia" w:asciiTheme="minorEastAsia" w:hAnsiTheme="minorEastAsia" w:eastAsiaTheme="minorEastAsia" w:cstheme="minorEastAsia"/>
          <w:color w:val="auto"/>
          <w:sz w:val="24"/>
          <w:szCs w:val="24"/>
          <w:highlight w:val="none"/>
          <w:u w:val="dotted"/>
        </w:rPr>
        <w:t xml:space="preserve">                                             </w:t>
      </w:r>
    </w:p>
    <w:p w14:paraId="2EC2F09F">
      <w:pPr>
        <w:shd w:val="clear" w:color="auto" w:fill="auto"/>
        <w:tabs>
          <w:tab w:val="left" w:pos="8322"/>
        </w:tabs>
        <w:spacing w:before="289" w:line="241"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6F1CE49C">
      <w:pPr>
        <w:shd w:val="clear" w:color="auto" w:fill="auto"/>
        <w:spacing w:before="227" w:line="545" w:lineRule="exact"/>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position w:val="19"/>
          <w:sz w:val="24"/>
          <w:szCs w:val="24"/>
          <w:highlight w:val="none"/>
        </w:rPr>
        <w:t>质</w:t>
      </w:r>
      <w:r>
        <w:rPr>
          <w:rFonts w:hint="eastAsia" w:asciiTheme="minorEastAsia" w:hAnsiTheme="minorEastAsia" w:eastAsiaTheme="minorEastAsia" w:cstheme="minorEastAsia"/>
          <w:color w:val="auto"/>
          <w:spacing w:val="-11"/>
          <w:position w:val="19"/>
          <w:sz w:val="24"/>
          <w:szCs w:val="24"/>
          <w:highlight w:val="none"/>
        </w:rPr>
        <w:t>疑事项 2</w:t>
      </w:r>
    </w:p>
    <w:p w14:paraId="38FA1066">
      <w:pPr>
        <w:shd w:val="clear" w:color="auto" w:fill="auto"/>
        <w:spacing w:line="442" w:lineRule="exact"/>
        <w:ind w:left="5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p w14:paraId="3102B3AE">
      <w:pPr>
        <w:shd w:val="clear" w:color="auto" w:fill="auto"/>
        <w:jc w:val="center"/>
        <w:rPr>
          <w:rFonts w:hint="eastAsia" w:asciiTheme="minorEastAsia" w:hAnsiTheme="minorEastAsia" w:eastAsiaTheme="minorEastAsia" w:cstheme="minorEastAsia"/>
          <w:color w:val="auto"/>
          <w:sz w:val="24"/>
          <w:szCs w:val="24"/>
          <w:highlight w:val="none"/>
        </w:rPr>
      </w:pPr>
    </w:p>
    <w:p w14:paraId="63F43FBA">
      <w:pPr>
        <w:shd w:val="clear" w:color="auto" w:fill="auto"/>
        <w:spacing w:line="442" w:lineRule="exact"/>
        <w:ind w:left="522"/>
        <w:rPr>
          <w:rFonts w:hint="eastAsia" w:asciiTheme="minorEastAsia" w:hAnsiTheme="minorEastAsia" w:eastAsiaTheme="minorEastAsia" w:cstheme="minorEastAsia"/>
          <w:color w:val="auto"/>
          <w:position w:val="3"/>
          <w:sz w:val="24"/>
          <w:szCs w:val="24"/>
          <w:highlight w:val="none"/>
        </w:rPr>
      </w:pPr>
      <w:r>
        <w:rPr>
          <w:rFonts w:hint="eastAsia" w:asciiTheme="minorEastAsia" w:hAnsiTheme="minorEastAsia" w:eastAsiaTheme="minorEastAsia" w:cstheme="minorEastAsia"/>
          <w:color w:val="auto"/>
          <w:position w:val="3"/>
          <w:sz w:val="24"/>
          <w:szCs w:val="24"/>
          <w:highlight w:val="none"/>
        </w:rPr>
        <w:t>签字(签章)：                          日期：</w:t>
      </w:r>
    </w:p>
    <w:p w14:paraId="40B5B790">
      <w:pPr>
        <w:shd w:val="clear" w:color="auto" w:fill="auto"/>
        <w:spacing w:before="56" w:line="185" w:lineRule="auto"/>
        <w:rPr>
          <w:rFonts w:hint="eastAsia" w:asciiTheme="minorEastAsia" w:hAnsiTheme="minorEastAsia" w:eastAsiaTheme="minorEastAsia" w:cstheme="minorEastAsia"/>
          <w:color w:val="auto"/>
          <w:sz w:val="24"/>
          <w:szCs w:val="24"/>
          <w:highlight w:val="none"/>
        </w:rPr>
      </w:pPr>
    </w:p>
    <w:p w14:paraId="5D7DD3EF">
      <w:pPr>
        <w:shd w:val="clear" w:color="auto" w:fill="auto"/>
        <w:spacing w:line="14" w:lineRule="auto"/>
        <w:rPr>
          <w:rFonts w:hint="eastAsia" w:asciiTheme="minorEastAsia" w:hAnsiTheme="minorEastAsia" w:eastAsiaTheme="minorEastAsia" w:cstheme="minorEastAsia"/>
          <w:color w:val="auto"/>
          <w:sz w:val="24"/>
          <w:szCs w:val="24"/>
          <w:highlight w:val="none"/>
        </w:rPr>
        <w:sectPr>
          <w:footerReference r:id="rId4" w:type="default"/>
          <w:type w:val="continuous"/>
          <w:pgSz w:w="11905" w:h="16838"/>
          <w:pgMar w:top="1304" w:right="964" w:bottom="1020" w:left="1191" w:header="567" w:footer="454" w:gutter="0"/>
          <w:pgNumType w:fmt="decimal"/>
          <w:cols w:space="720" w:num="1"/>
          <w:rtlGutter w:val="0"/>
          <w:docGrid w:type="lines" w:linePitch="317" w:charSpace="0"/>
        </w:sectPr>
      </w:pPr>
    </w:p>
    <w:p w14:paraId="57BB36A7">
      <w:pPr>
        <w:shd w:val="clear" w:color="auto" w:fill="auto"/>
        <w:rPr>
          <w:rFonts w:hint="eastAsia" w:asciiTheme="minorEastAsia" w:hAnsiTheme="minorEastAsia" w:eastAsiaTheme="minorEastAsia" w:cstheme="minorEastAsia"/>
          <w:color w:val="auto"/>
          <w:sz w:val="24"/>
          <w:szCs w:val="24"/>
          <w:highlight w:val="none"/>
        </w:rPr>
        <w:sectPr>
          <w:footerReference r:id="rId5" w:type="default"/>
          <w:type w:val="continuous"/>
          <w:pgSz w:w="11905" w:h="16838"/>
          <w:pgMar w:top="1304" w:right="964" w:bottom="1020" w:left="1191" w:header="567" w:footer="454" w:gutter="0"/>
          <w:pgNumType w:fmt="decimal"/>
          <w:cols w:space="720" w:num="1"/>
          <w:rtlGutter w:val="0"/>
          <w:docGrid w:type="lines" w:linePitch="317" w:charSpace="0"/>
        </w:sectPr>
      </w:pPr>
    </w:p>
    <w:p w14:paraId="1258B36F">
      <w:pPr>
        <w:shd w:val="clear" w:color="auto" w:fill="auto"/>
        <w:spacing w:line="478" w:lineRule="auto"/>
        <w:rPr>
          <w:rFonts w:hint="eastAsia" w:asciiTheme="minorEastAsia" w:hAnsiTheme="minorEastAsia" w:eastAsiaTheme="minorEastAsia" w:cstheme="minorEastAsia"/>
          <w:color w:val="auto"/>
          <w:sz w:val="24"/>
          <w:szCs w:val="24"/>
          <w:highlight w:val="none"/>
        </w:rPr>
      </w:pPr>
    </w:p>
    <w:p w14:paraId="3A6D61C8">
      <w:pPr>
        <w:shd w:val="clear" w:color="auto" w:fill="auto"/>
        <w:spacing w:before="91" w:line="220" w:lineRule="auto"/>
        <w:ind w:left="506"/>
        <w:rPr>
          <w:rFonts w:hint="eastAsia" w:asciiTheme="minorEastAsia" w:hAnsiTheme="minorEastAsia" w:eastAsiaTheme="minorEastAsia" w:cstheme="minorEastAsia"/>
          <w:color w:val="auto"/>
          <w:spacing w:val="-2"/>
          <w:sz w:val="24"/>
          <w:szCs w:val="24"/>
          <w:highlight w:val="none"/>
        </w:rPr>
      </w:pPr>
    </w:p>
    <w:p w14:paraId="56C95226">
      <w:pPr>
        <w:shd w:val="clear" w:color="auto" w:fill="auto"/>
        <w:spacing w:before="9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质疑函制</w:t>
      </w:r>
      <w:r>
        <w:rPr>
          <w:rFonts w:hint="eastAsia" w:asciiTheme="minorEastAsia" w:hAnsiTheme="minorEastAsia" w:eastAsiaTheme="minorEastAsia" w:cstheme="minorEastAsia"/>
          <w:color w:val="auto"/>
          <w:spacing w:val="-1"/>
          <w:sz w:val="24"/>
          <w:szCs w:val="24"/>
          <w:highlight w:val="none"/>
        </w:rPr>
        <w:t>作说明：</w:t>
      </w:r>
    </w:p>
    <w:p w14:paraId="6136A269">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1.供应商提出质疑时，应提交质疑函和必要的证明材料。</w:t>
      </w:r>
    </w:p>
    <w:p w14:paraId="24553A3A">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2ED943CA">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3.质疑供应商若对项目的某一分包进行质疑，质疑函中应列明具 体分包号。</w:t>
      </w:r>
    </w:p>
    <w:p w14:paraId="46C374B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4.质疑函的质疑事项应具体、明确，并有必要的事实依据和法律 依据。</w:t>
      </w:r>
    </w:p>
    <w:p w14:paraId="0E371A3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5.质疑函的质疑请求应与质疑事项相关。</w:t>
      </w:r>
    </w:p>
    <w:p w14:paraId="4B2B11CD">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6.质疑供应商为自然人的，质疑函应由本人签字；质疑供应商为 法人或者其他组织的，质疑函应由法定代表人、主要负责人，或者其 授权代表签字或者盖章，并加盖公章。</w:t>
      </w:r>
    </w:p>
    <w:p w14:paraId="6948521B">
      <w:pPr>
        <w:shd w:val="clear" w:color="auto" w:fill="auto"/>
        <w:spacing w:line="360" w:lineRule="auto"/>
        <w:jc w:val="center"/>
        <w:rPr>
          <w:rFonts w:hint="eastAsia" w:asciiTheme="minorEastAsia" w:hAnsiTheme="minorEastAsia" w:eastAsiaTheme="minorEastAsia" w:cstheme="minorEastAsia"/>
          <w:color w:val="auto"/>
          <w:kern w:val="0"/>
          <w:sz w:val="24"/>
          <w:szCs w:val="24"/>
          <w:highlight w:val="none"/>
        </w:rPr>
      </w:pPr>
    </w:p>
    <w:p w14:paraId="401B487F">
      <w:pPr>
        <w:shd w:val="clear" w:color="auto" w:fill="auto"/>
        <w:spacing w:before="101" w:line="224" w:lineRule="auto"/>
        <w:ind w:left="49"/>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highlight w:val="none"/>
        </w:rPr>
        <w:br w:type="page"/>
      </w:r>
      <w:bookmarkStart w:id="202" w:name="_Toc110010428"/>
      <w:bookmarkStart w:id="203" w:name="_Toc23110"/>
      <w:bookmarkStart w:id="204" w:name="_Toc31259"/>
      <w:bookmarkStart w:id="205" w:name="_Toc22150"/>
      <w:r>
        <w:rPr>
          <w:rFonts w:hint="eastAsia" w:asciiTheme="minorEastAsia" w:hAnsiTheme="minorEastAsia" w:eastAsiaTheme="minorEastAsia" w:cstheme="minorEastAsia"/>
          <w:color w:val="auto"/>
          <w:spacing w:val="8"/>
          <w:sz w:val="24"/>
          <w:szCs w:val="24"/>
          <w:highlight w:val="none"/>
        </w:rPr>
        <w:t>附</w:t>
      </w:r>
      <w:r>
        <w:rPr>
          <w:rFonts w:hint="eastAsia" w:asciiTheme="minorEastAsia" w:hAnsiTheme="minorEastAsia" w:eastAsiaTheme="minorEastAsia" w:cstheme="minorEastAsia"/>
          <w:color w:val="auto"/>
          <w:spacing w:val="6"/>
          <w:sz w:val="24"/>
          <w:szCs w:val="24"/>
          <w:highlight w:val="none"/>
        </w:rPr>
        <w:t>件：投诉书范本</w:t>
      </w:r>
      <w:bookmarkEnd w:id="202"/>
      <w:bookmarkEnd w:id="203"/>
      <w:bookmarkEnd w:id="204"/>
      <w:bookmarkEnd w:id="205"/>
    </w:p>
    <w:p w14:paraId="1C8788B6">
      <w:pPr>
        <w:shd w:val="clear" w:color="auto" w:fill="auto"/>
        <w:spacing w:line="393" w:lineRule="auto"/>
        <w:rPr>
          <w:rFonts w:hint="eastAsia" w:asciiTheme="minorEastAsia" w:hAnsiTheme="minorEastAsia" w:eastAsiaTheme="minorEastAsia" w:cstheme="minorEastAsia"/>
          <w:color w:val="auto"/>
          <w:sz w:val="24"/>
          <w:szCs w:val="24"/>
          <w:highlight w:val="none"/>
        </w:rPr>
      </w:pPr>
    </w:p>
    <w:p w14:paraId="547C4EBF">
      <w:pPr>
        <w:shd w:val="clear" w:color="auto" w:fill="auto"/>
        <w:spacing w:before="115" w:line="22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投诉</w:t>
      </w:r>
      <w:r>
        <w:rPr>
          <w:rFonts w:hint="eastAsia" w:asciiTheme="minorEastAsia" w:hAnsiTheme="minorEastAsia" w:eastAsiaTheme="minorEastAsia" w:cstheme="minorEastAsia"/>
          <w:color w:val="auto"/>
          <w:spacing w:val="23"/>
          <w:sz w:val="24"/>
          <w:szCs w:val="24"/>
          <w:highlight w:val="none"/>
        </w:rPr>
        <w:t>书</w:t>
      </w:r>
    </w:p>
    <w:p w14:paraId="2EF0CC9A">
      <w:pPr>
        <w:shd w:val="clear" w:color="auto" w:fill="auto"/>
        <w:spacing w:before="265" w:line="434" w:lineRule="exact"/>
        <w:ind w:left="27"/>
        <w:outlineLvl w:val="2"/>
        <w:rPr>
          <w:rFonts w:hint="eastAsia" w:asciiTheme="minorEastAsia" w:hAnsiTheme="minorEastAsia" w:eastAsiaTheme="minorEastAsia" w:cstheme="minorEastAsia"/>
          <w:color w:val="auto"/>
          <w:sz w:val="24"/>
          <w:szCs w:val="24"/>
          <w:highlight w:val="none"/>
        </w:rPr>
      </w:pPr>
      <w:bookmarkStart w:id="206" w:name="_Toc110010429"/>
      <w:bookmarkStart w:id="207" w:name="_Toc21592"/>
      <w:bookmarkStart w:id="208" w:name="_Toc26371"/>
      <w:bookmarkStart w:id="209" w:name="_Toc5746"/>
      <w:r>
        <w:rPr>
          <w:rFonts w:hint="eastAsia" w:asciiTheme="minorEastAsia" w:hAnsiTheme="minorEastAsia" w:eastAsiaTheme="minorEastAsia" w:cstheme="minorEastAsia"/>
          <w:color w:val="auto"/>
          <w:spacing w:val="-2"/>
          <w:position w:val="1"/>
          <w:sz w:val="24"/>
          <w:szCs w:val="24"/>
          <w:highlight w:val="none"/>
        </w:rPr>
        <w:t>一、投诉</w:t>
      </w:r>
      <w:r>
        <w:rPr>
          <w:rFonts w:hint="eastAsia" w:asciiTheme="minorEastAsia" w:hAnsiTheme="minorEastAsia" w:eastAsiaTheme="minorEastAsia" w:cstheme="minorEastAsia"/>
          <w:color w:val="auto"/>
          <w:spacing w:val="-1"/>
          <w:position w:val="1"/>
          <w:sz w:val="24"/>
          <w:szCs w:val="24"/>
          <w:highlight w:val="none"/>
        </w:rPr>
        <w:t>相关主体基本情况</w:t>
      </w:r>
      <w:bookmarkEnd w:id="206"/>
      <w:bookmarkEnd w:id="207"/>
      <w:bookmarkEnd w:id="208"/>
      <w:bookmarkEnd w:id="209"/>
    </w:p>
    <w:p w14:paraId="45C8FD2B">
      <w:pPr>
        <w:shd w:val="clear" w:color="auto" w:fill="auto"/>
        <w:spacing w:before="1" w:line="220"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投</w:t>
      </w:r>
      <w:r>
        <w:rPr>
          <w:rFonts w:hint="eastAsia" w:asciiTheme="minorEastAsia" w:hAnsiTheme="minorEastAsia" w:eastAsiaTheme="minorEastAsia" w:cstheme="minorEastAsia"/>
          <w:color w:val="auto"/>
          <w:spacing w:val="-3"/>
          <w:sz w:val="24"/>
          <w:szCs w:val="24"/>
          <w:highlight w:val="none"/>
        </w:rPr>
        <w:t>诉人：</w:t>
      </w:r>
      <w:r>
        <w:rPr>
          <w:rFonts w:hint="eastAsia" w:asciiTheme="minorEastAsia" w:hAnsiTheme="minorEastAsia" w:eastAsiaTheme="minorEastAsia" w:cstheme="minorEastAsia"/>
          <w:color w:val="auto"/>
          <w:sz w:val="24"/>
          <w:szCs w:val="24"/>
          <w:highlight w:val="none"/>
          <w:u w:val="dotted"/>
        </w:rPr>
        <w:t xml:space="preserve">                                                 </w:t>
      </w:r>
    </w:p>
    <w:p w14:paraId="77E41E11">
      <w:pPr>
        <w:shd w:val="clear" w:color="auto" w:fill="auto"/>
        <w:spacing w:before="102"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4BBB0534">
      <w:pPr>
        <w:shd w:val="clear" w:color="auto" w:fill="auto"/>
        <w:spacing w:before="10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法定代</w:t>
      </w:r>
      <w:r>
        <w:rPr>
          <w:rFonts w:hint="eastAsia" w:asciiTheme="minorEastAsia" w:hAnsiTheme="minorEastAsia" w:eastAsiaTheme="minorEastAsia" w:cstheme="minorEastAsia"/>
          <w:color w:val="auto"/>
          <w:spacing w:val="-1"/>
          <w:sz w:val="24"/>
          <w:szCs w:val="24"/>
          <w:highlight w:val="none"/>
        </w:rPr>
        <w:t>表人/主要负责人：</w:t>
      </w:r>
      <w:r>
        <w:rPr>
          <w:rFonts w:hint="eastAsia" w:asciiTheme="minorEastAsia" w:hAnsiTheme="minorEastAsia" w:eastAsiaTheme="minorEastAsia" w:cstheme="minorEastAsia"/>
          <w:color w:val="auto"/>
          <w:sz w:val="24"/>
          <w:szCs w:val="24"/>
          <w:highlight w:val="none"/>
          <w:u w:val="dotted"/>
        </w:rPr>
        <w:t xml:space="preserve">                                  </w:t>
      </w:r>
    </w:p>
    <w:p w14:paraId="2FFE887D">
      <w:pPr>
        <w:shd w:val="clear" w:color="auto" w:fill="auto"/>
        <w:spacing w:before="104" w:line="222"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联系</w:t>
      </w:r>
      <w:r>
        <w:rPr>
          <w:rFonts w:hint="eastAsia" w:asciiTheme="minorEastAsia" w:hAnsiTheme="minorEastAsia" w:eastAsiaTheme="minorEastAsia" w:cstheme="minorEastAsia"/>
          <w:color w:val="auto"/>
          <w:spacing w:val="-2"/>
          <w:sz w:val="24"/>
          <w:szCs w:val="24"/>
          <w:highlight w:val="none"/>
        </w:rPr>
        <w:t>电话：</w:t>
      </w:r>
      <w:r>
        <w:rPr>
          <w:rFonts w:hint="eastAsia" w:asciiTheme="minorEastAsia" w:hAnsiTheme="minorEastAsia" w:eastAsiaTheme="minorEastAsia" w:cstheme="minorEastAsia"/>
          <w:color w:val="auto"/>
          <w:sz w:val="24"/>
          <w:szCs w:val="24"/>
          <w:highlight w:val="none"/>
          <w:u w:val="dotted"/>
        </w:rPr>
        <w:t xml:space="preserve">                                             </w:t>
      </w:r>
    </w:p>
    <w:p w14:paraId="1C376E9B">
      <w:pPr>
        <w:shd w:val="clear" w:color="auto" w:fill="auto"/>
        <w:spacing w:before="99" w:line="220"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授权代表：</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14FC315">
      <w:pPr>
        <w:shd w:val="clear" w:color="auto" w:fill="auto"/>
        <w:spacing w:before="101"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29A5A13C">
      <w:pPr>
        <w:shd w:val="clear" w:color="auto" w:fill="auto"/>
        <w:spacing w:before="103"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被</w:t>
      </w:r>
      <w:r>
        <w:rPr>
          <w:rFonts w:hint="eastAsia" w:asciiTheme="minorEastAsia" w:hAnsiTheme="minorEastAsia" w:eastAsiaTheme="minorEastAsia" w:cstheme="minorEastAsia"/>
          <w:color w:val="auto"/>
          <w:spacing w:val="-11"/>
          <w:sz w:val="24"/>
          <w:szCs w:val="24"/>
          <w:highlight w:val="none"/>
        </w:rPr>
        <w:t>投诉人 1：</w:t>
      </w:r>
    </w:p>
    <w:p w14:paraId="2D61B6E2">
      <w:pPr>
        <w:shd w:val="clear" w:color="auto" w:fill="auto"/>
        <w:spacing w:before="101" w:line="185"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地址：</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lang w:val="en-US" w:eastAsia="zh-CN"/>
        </w:rPr>
        <w:t xml:space="preserve"> </w:t>
      </w:r>
      <w:r>
        <w:rPr>
          <w:rFonts w:hint="eastAsia" w:asciiTheme="minorEastAsia" w:hAnsiTheme="minorEastAsia" w:eastAsiaTheme="minorEastAsia" w:cstheme="minorEastAsia"/>
          <w:color w:val="auto"/>
          <w:spacing w:val="-4"/>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783E64BB">
      <w:pPr>
        <w:shd w:val="clear" w:color="auto" w:fill="auto"/>
        <w:rPr>
          <w:rFonts w:hint="eastAsia" w:asciiTheme="minorEastAsia" w:hAnsiTheme="minorEastAsia" w:eastAsiaTheme="minorEastAsia" w:cstheme="minorEastAsia"/>
          <w:color w:val="auto"/>
          <w:sz w:val="24"/>
          <w:szCs w:val="24"/>
          <w:highlight w:val="none"/>
        </w:rPr>
      </w:pPr>
    </w:p>
    <w:p w14:paraId="0F854231">
      <w:pPr>
        <w:shd w:val="clear" w:color="auto" w:fill="auto"/>
        <w:spacing w:before="103" w:line="220"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联系人：</w:t>
      </w:r>
      <w:r>
        <w:rPr>
          <w:rFonts w:hint="eastAsia" w:asciiTheme="minorEastAsia" w:hAnsiTheme="minorEastAsia" w:eastAsiaTheme="minorEastAsia" w:cstheme="minorEastAsia"/>
          <w:color w:val="auto"/>
          <w:spacing w:val="-8"/>
          <w:sz w:val="24"/>
          <w:szCs w:val="24"/>
          <w:highlight w:val="none"/>
          <w:u w:val="dotted"/>
        </w:rPr>
        <w:t xml:space="preserve">   </w:t>
      </w:r>
      <w:r>
        <w:rPr>
          <w:rFonts w:hint="eastAsia" w:asciiTheme="minorEastAsia" w:hAnsiTheme="minorEastAsia" w:eastAsiaTheme="minorEastAsia" w:cstheme="minorEastAsia"/>
          <w:color w:val="auto"/>
          <w:spacing w:val="-5"/>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17"/>
          <w:sz w:val="24"/>
          <w:szCs w:val="24"/>
          <w:highlight w:val="none"/>
        </w:rPr>
        <w:t xml:space="preserve">联系电话：  </w:t>
      </w:r>
      <w:r>
        <w:rPr>
          <w:rFonts w:hint="eastAsia" w:asciiTheme="minorEastAsia" w:hAnsiTheme="minorEastAsia" w:eastAsiaTheme="minorEastAsia" w:cstheme="minorEastAsia"/>
          <w:color w:val="auto"/>
          <w:sz w:val="24"/>
          <w:szCs w:val="24"/>
          <w:highlight w:val="none"/>
          <w:u w:val="dotted"/>
        </w:rPr>
        <w:t xml:space="preserve">           </w:t>
      </w:r>
    </w:p>
    <w:p w14:paraId="71D49440">
      <w:pPr>
        <w:shd w:val="clear" w:color="auto" w:fill="auto"/>
        <w:spacing w:before="100" w:line="371" w:lineRule="exact"/>
        <w:ind w:left="27"/>
        <w:outlineLvl w:val="2"/>
        <w:rPr>
          <w:rFonts w:hint="eastAsia" w:asciiTheme="minorEastAsia" w:hAnsiTheme="minorEastAsia" w:eastAsiaTheme="minorEastAsia" w:cstheme="minorEastAsia"/>
          <w:color w:val="auto"/>
          <w:sz w:val="24"/>
          <w:szCs w:val="24"/>
          <w:highlight w:val="none"/>
        </w:rPr>
      </w:pPr>
      <w:bookmarkStart w:id="210" w:name="_Toc27620"/>
      <w:bookmarkStart w:id="211" w:name="_Toc110010430"/>
      <w:bookmarkStart w:id="212" w:name="_Toc377"/>
      <w:bookmarkStart w:id="213" w:name="_Toc25199"/>
      <w:r>
        <w:rPr>
          <w:rFonts w:hint="eastAsia" w:asciiTheme="minorEastAsia" w:hAnsiTheme="minorEastAsia" w:eastAsiaTheme="minorEastAsia" w:cstheme="minorEastAsia"/>
          <w:color w:val="auto"/>
          <w:spacing w:val="-2"/>
          <w:position w:val="1"/>
          <w:sz w:val="24"/>
          <w:szCs w:val="24"/>
          <w:highlight w:val="none"/>
        </w:rPr>
        <w:t>二、投诉项目</w:t>
      </w:r>
      <w:r>
        <w:rPr>
          <w:rFonts w:hint="eastAsia" w:asciiTheme="minorEastAsia" w:hAnsiTheme="minorEastAsia" w:eastAsiaTheme="minorEastAsia" w:cstheme="minorEastAsia"/>
          <w:color w:val="auto"/>
          <w:spacing w:val="-1"/>
          <w:position w:val="1"/>
          <w:sz w:val="24"/>
          <w:szCs w:val="24"/>
          <w:highlight w:val="none"/>
        </w:rPr>
        <w:t>基本情况</w:t>
      </w:r>
      <w:bookmarkEnd w:id="210"/>
      <w:bookmarkEnd w:id="211"/>
      <w:bookmarkEnd w:id="212"/>
      <w:bookmarkEnd w:id="213"/>
    </w:p>
    <w:p w14:paraId="5422BCB0">
      <w:pPr>
        <w:shd w:val="clear" w:color="auto" w:fill="auto"/>
        <w:spacing w:before="6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采购项</w:t>
      </w:r>
      <w:r>
        <w:rPr>
          <w:rFonts w:hint="eastAsia" w:asciiTheme="minorEastAsia" w:hAnsiTheme="minorEastAsia" w:eastAsiaTheme="minorEastAsia" w:cstheme="minorEastAsia"/>
          <w:color w:val="auto"/>
          <w:spacing w:val="-1"/>
          <w:sz w:val="24"/>
          <w:szCs w:val="24"/>
          <w:highlight w:val="none"/>
        </w:rPr>
        <w:t>目名称：</w:t>
      </w:r>
      <w:r>
        <w:rPr>
          <w:rFonts w:hint="eastAsia" w:asciiTheme="minorEastAsia" w:hAnsiTheme="minorEastAsia" w:eastAsiaTheme="minorEastAsia" w:cstheme="minorEastAsia"/>
          <w:color w:val="auto"/>
          <w:sz w:val="24"/>
          <w:szCs w:val="24"/>
          <w:highlight w:val="none"/>
          <w:u w:val="dotted"/>
        </w:rPr>
        <w:t xml:space="preserve">                                           </w:t>
      </w:r>
    </w:p>
    <w:p w14:paraId="5AAC3A1C">
      <w:pPr>
        <w:shd w:val="clear" w:color="auto" w:fill="auto"/>
        <w:spacing w:before="10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采购项目</w:t>
      </w:r>
      <w:r>
        <w:rPr>
          <w:rFonts w:hint="eastAsia" w:asciiTheme="minorEastAsia" w:hAnsiTheme="minorEastAsia" w:eastAsiaTheme="minorEastAsia" w:cstheme="minorEastAsia"/>
          <w:color w:val="auto"/>
          <w:spacing w:val="-4"/>
          <w:sz w:val="24"/>
          <w:szCs w:val="24"/>
          <w:highlight w:val="none"/>
        </w:rPr>
        <w:t>编号：</w:t>
      </w:r>
      <w:r>
        <w:rPr>
          <w:rFonts w:hint="eastAsia" w:asciiTheme="minorEastAsia" w:hAnsiTheme="minorEastAsia" w:eastAsiaTheme="minorEastAsia" w:cstheme="minorEastAsia"/>
          <w:color w:val="auto"/>
          <w:spacing w:val="-4"/>
          <w:sz w:val="24"/>
          <w:szCs w:val="24"/>
          <w:highlight w:val="none"/>
          <w:u w:val="dotted"/>
        </w:rPr>
        <w:t xml:space="preserve">                        </w:t>
      </w:r>
      <w:r>
        <w:rPr>
          <w:rFonts w:hint="eastAsia" w:asciiTheme="minorEastAsia" w:hAnsiTheme="minorEastAsia" w:eastAsiaTheme="minorEastAsia" w:cstheme="minorEastAsia"/>
          <w:color w:val="auto"/>
          <w:spacing w:val="-4"/>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18205FBA">
      <w:pPr>
        <w:shd w:val="clear" w:color="auto" w:fill="auto"/>
        <w:spacing w:before="102"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采购人名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38B3E750">
      <w:pPr>
        <w:shd w:val="clear" w:color="auto" w:fill="auto"/>
        <w:spacing w:before="105"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代理机构名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z w:val="24"/>
          <w:szCs w:val="24"/>
          <w:highlight w:val="none"/>
          <w:u w:val="dotted"/>
        </w:rPr>
        <w:t xml:space="preserve">                                           </w:t>
      </w:r>
    </w:p>
    <w:p w14:paraId="53ED74A8">
      <w:pPr>
        <w:shd w:val="clear" w:color="auto" w:fill="auto"/>
        <w:spacing w:before="104" w:line="219" w:lineRule="auto"/>
        <w:ind w:left="5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采购文件公告:</w:t>
      </w:r>
      <w:r>
        <w:rPr>
          <w:rFonts w:hint="eastAsia" w:asciiTheme="minorEastAsia" w:hAnsiTheme="minorEastAsia" w:eastAsiaTheme="minorEastAsia" w:cstheme="minorEastAsia"/>
          <w:color w:val="auto"/>
          <w:spacing w:val="7"/>
          <w:sz w:val="24"/>
          <w:szCs w:val="24"/>
          <w:highlight w:val="none"/>
          <w:u w:val="single"/>
        </w:rPr>
        <w:t xml:space="preserve">  是/否 </w:t>
      </w:r>
      <w:r>
        <w:rPr>
          <w:rFonts w:hint="eastAsia" w:asciiTheme="minorEastAsia" w:hAnsiTheme="minorEastAsia" w:eastAsiaTheme="minorEastAsia" w:cstheme="minorEastAsia"/>
          <w:color w:val="auto"/>
          <w:spacing w:val="7"/>
          <w:sz w:val="24"/>
          <w:szCs w:val="24"/>
          <w:highlight w:val="none"/>
        </w:rPr>
        <w:t xml:space="preserve"> 公告期限</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u w:val="dotted"/>
        </w:rPr>
        <w:t xml:space="preserve">                        </w:t>
      </w:r>
    </w:p>
    <w:p w14:paraId="75017A7B">
      <w:pPr>
        <w:shd w:val="clear" w:color="auto" w:fill="auto"/>
        <w:spacing w:before="103" w:line="287" w:lineRule="auto"/>
        <w:ind w:left="22" w:right="12"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采购结果公告：</w:t>
      </w:r>
      <w:r>
        <w:rPr>
          <w:rFonts w:hint="eastAsia" w:asciiTheme="minorEastAsia" w:hAnsiTheme="minorEastAsia" w:eastAsiaTheme="minorEastAsia" w:cstheme="minorEastAsia"/>
          <w:color w:val="auto"/>
          <w:spacing w:val="-1"/>
          <w:sz w:val="24"/>
          <w:szCs w:val="24"/>
          <w:highlight w:val="none"/>
          <w:u w:val="single"/>
        </w:rPr>
        <w:t xml:space="preserve">  是/否 </w:t>
      </w:r>
      <w:r>
        <w:rPr>
          <w:rFonts w:hint="eastAsia" w:asciiTheme="minorEastAsia" w:hAnsiTheme="minorEastAsia" w:eastAsiaTheme="minorEastAsia" w:cstheme="minorEastAsia"/>
          <w:color w:val="auto"/>
          <w:spacing w:val="-1"/>
          <w:sz w:val="24"/>
          <w:szCs w:val="24"/>
          <w:highlight w:val="none"/>
        </w:rPr>
        <w:t xml:space="preserve"> 公告期限：</w:t>
      </w:r>
      <w:r>
        <w:rPr>
          <w:rFonts w:hint="eastAsia" w:asciiTheme="minorEastAsia" w:hAnsiTheme="minorEastAsia" w:eastAsiaTheme="minorEastAsia" w:cstheme="minorEastAsia"/>
          <w:color w:val="auto"/>
          <w:spacing w:val="-1"/>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6BFC1AC5">
      <w:pPr>
        <w:shd w:val="clear" w:color="auto" w:fill="auto"/>
        <w:spacing w:before="100" w:line="371" w:lineRule="exact"/>
        <w:ind w:left="27" w:right="0" w:firstLine="0"/>
        <w:outlineLvl w:val="2"/>
        <w:rPr>
          <w:rFonts w:hint="eastAsia" w:asciiTheme="minorEastAsia" w:hAnsiTheme="minorEastAsia" w:eastAsiaTheme="minorEastAsia" w:cstheme="minorEastAsia"/>
          <w:color w:val="auto"/>
          <w:spacing w:val="-2"/>
          <w:position w:val="1"/>
          <w:sz w:val="24"/>
          <w:szCs w:val="24"/>
          <w:highlight w:val="none"/>
        </w:rPr>
      </w:pPr>
      <w:r>
        <w:rPr>
          <w:rFonts w:hint="eastAsia" w:asciiTheme="minorEastAsia" w:hAnsiTheme="minorEastAsia" w:eastAsiaTheme="minorEastAsia" w:cstheme="minorEastAsia"/>
          <w:color w:val="auto"/>
          <w:spacing w:val="-2"/>
          <w:position w:val="1"/>
          <w:sz w:val="24"/>
          <w:szCs w:val="24"/>
          <w:highlight w:val="none"/>
        </w:rPr>
        <w:t>三、质疑基本情况</w:t>
      </w:r>
    </w:p>
    <w:p w14:paraId="63F25D21">
      <w:pPr>
        <w:shd w:val="clear" w:color="auto" w:fill="auto"/>
        <w:spacing w:before="1" w:line="287" w:lineRule="auto"/>
        <w:ind w:left="23" w:right="11" w:firstLine="4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投</w:t>
      </w:r>
      <w:r>
        <w:rPr>
          <w:rFonts w:hint="eastAsia" w:asciiTheme="minorEastAsia" w:hAnsiTheme="minorEastAsia" w:eastAsiaTheme="minorEastAsia" w:cstheme="minorEastAsia"/>
          <w:color w:val="auto"/>
          <w:spacing w:val="-6"/>
          <w:sz w:val="24"/>
          <w:szCs w:val="24"/>
          <w:highlight w:val="none"/>
        </w:rPr>
        <w:t>诉人于</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年</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月</w:t>
      </w:r>
      <w:r>
        <w:rPr>
          <w:rFonts w:hint="eastAsia" w:asciiTheme="minorEastAsia" w:hAnsiTheme="minorEastAsia" w:eastAsiaTheme="minorEastAsia" w:cstheme="minorEastAsia"/>
          <w:color w:val="auto"/>
          <w:spacing w:val="-6"/>
          <w:sz w:val="24"/>
          <w:szCs w:val="24"/>
          <w:highlight w:val="none"/>
          <w:u w:val="dotted"/>
        </w:rPr>
        <w:t xml:space="preserve">            </w:t>
      </w:r>
      <w:r>
        <w:rPr>
          <w:rFonts w:hint="eastAsia" w:asciiTheme="minorEastAsia" w:hAnsiTheme="minorEastAsia" w:eastAsiaTheme="minorEastAsia" w:cstheme="minorEastAsia"/>
          <w:color w:val="auto"/>
          <w:spacing w:val="-6"/>
          <w:sz w:val="24"/>
          <w:szCs w:val="24"/>
          <w:highlight w:val="none"/>
        </w:rPr>
        <w:t>日 ，向</w:t>
      </w:r>
      <w:r>
        <w:rPr>
          <w:rFonts w:hint="eastAsia" w:asciiTheme="minorEastAsia" w:hAnsiTheme="minorEastAsia" w:eastAsiaTheme="minorEastAsia" w:cstheme="minorEastAsia"/>
          <w:color w:val="auto"/>
          <w:spacing w:val="-4"/>
          <w:sz w:val="24"/>
          <w:szCs w:val="24"/>
          <w:highlight w:val="none"/>
        </w:rPr>
        <w:t>提</w:t>
      </w:r>
      <w:r>
        <w:rPr>
          <w:rFonts w:hint="eastAsia" w:asciiTheme="minorEastAsia" w:hAnsiTheme="minorEastAsia" w:eastAsiaTheme="minorEastAsia" w:cstheme="minorEastAsia"/>
          <w:color w:val="auto"/>
          <w:spacing w:val="-2"/>
          <w:sz w:val="24"/>
          <w:szCs w:val="24"/>
          <w:highlight w:val="none"/>
        </w:rPr>
        <w:t>出质疑，</w:t>
      </w:r>
    </w:p>
    <w:p w14:paraId="32FBD889">
      <w:pPr>
        <w:shd w:val="clear" w:color="auto" w:fill="auto"/>
        <w:spacing w:before="1" w:line="220"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w:t>
      </w:r>
      <w:r>
        <w:rPr>
          <w:rFonts w:hint="eastAsia" w:asciiTheme="minorEastAsia" w:hAnsiTheme="minorEastAsia" w:eastAsiaTheme="minorEastAsia" w:cstheme="minorEastAsia"/>
          <w:color w:val="auto"/>
          <w:spacing w:val="-2"/>
          <w:sz w:val="24"/>
          <w:szCs w:val="24"/>
          <w:highlight w:val="none"/>
        </w:rPr>
        <w:t>疑事项为：</w:t>
      </w:r>
      <w:r>
        <w:rPr>
          <w:rFonts w:hint="eastAsia" w:asciiTheme="minorEastAsia" w:hAnsiTheme="minorEastAsia" w:eastAsiaTheme="minorEastAsia" w:cstheme="minorEastAsia"/>
          <w:color w:val="auto"/>
          <w:sz w:val="24"/>
          <w:szCs w:val="24"/>
          <w:highlight w:val="none"/>
          <w:u w:val="dotted"/>
        </w:rPr>
        <w:t xml:space="preserve">                                           </w:t>
      </w:r>
    </w:p>
    <w:p w14:paraId="6E10EFD2">
      <w:pPr>
        <w:shd w:val="clear" w:color="auto" w:fill="auto"/>
        <w:spacing w:before="103" w:line="287" w:lineRule="auto"/>
        <w:ind w:left="459" w:right="11" w:firstLine="10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采购人/</w:t>
      </w:r>
      <w:r>
        <w:rPr>
          <w:rFonts w:hint="eastAsia" w:asciiTheme="minorEastAsia" w:hAnsiTheme="minorEastAsia" w:eastAsiaTheme="minorEastAsia" w:cstheme="minorEastAsia"/>
          <w:color w:val="auto"/>
          <w:spacing w:val="-2"/>
          <w:sz w:val="24"/>
          <w:szCs w:val="24"/>
          <w:highlight w:val="none"/>
        </w:rPr>
        <w:t>采购代理机构于</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年</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月</w:t>
      </w:r>
      <w:r>
        <w:rPr>
          <w:rFonts w:hint="eastAsia" w:asciiTheme="minorEastAsia" w:hAnsiTheme="minorEastAsia" w:eastAsiaTheme="minorEastAsia" w:cstheme="minorEastAsia"/>
          <w:color w:val="auto"/>
          <w:spacing w:val="-2"/>
          <w:sz w:val="24"/>
          <w:szCs w:val="24"/>
          <w:highlight w:val="none"/>
          <w:u w:val="dotted"/>
        </w:rPr>
        <w:t xml:space="preserve">      </w:t>
      </w:r>
      <w:r>
        <w:rPr>
          <w:rFonts w:hint="eastAsia" w:asciiTheme="minorEastAsia" w:hAnsiTheme="minorEastAsia" w:eastAsiaTheme="minorEastAsia" w:cstheme="minorEastAsia"/>
          <w:color w:val="auto"/>
          <w:spacing w:val="-2"/>
          <w:sz w:val="24"/>
          <w:szCs w:val="24"/>
          <w:highlight w:val="none"/>
        </w:rPr>
        <w:t xml:space="preserve"> 日，就质疑</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事项做出了答复/没有在</w:t>
      </w:r>
      <w:r>
        <w:rPr>
          <w:rFonts w:hint="eastAsia" w:asciiTheme="minorEastAsia" w:hAnsiTheme="minorEastAsia" w:eastAsiaTheme="minorEastAsia" w:cstheme="minorEastAsia"/>
          <w:color w:val="auto"/>
          <w:sz w:val="24"/>
          <w:szCs w:val="24"/>
          <w:highlight w:val="none"/>
        </w:rPr>
        <w:t>法定期限内做出答复。</w:t>
      </w:r>
    </w:p>
    <w:p w14:paraId="34D15A72">
      <w:pPr>
        <w:shd w:val="clear" w:color="auto" w:fill="auto"/>
        <w:spacing w:before="100" w:line="371" w:lineRule="exact"/>
        <w:ind w:left="27"/>
        <w:outlineLvl w:val="2"/>
        <w:rPr>
          <w:rFonts w:hint="eastAsia" w:asciiTheme="minorEastAsia" w:hAnsiTheme="minorEastAsia" w:eastAsiaTheme="minorEastAsia" w:cstheme="minorEastAsia"/>
          <w:color w:val="auto"/>
          <w:spacing w:val="-2"/>
          <w:position w:val="1"/>
          <w:sz w:val="24"/>
          <w:szCs w:val="24"/>
          <w:highlight w:val="none"/>
        </w:rPr>
      </w:pPr>
      <w:r>
        <w:rPr>
          <w:rFonts w:hint="eastAsia" w:asciiTheme="minorEastAsia" w:hAnsiTheme="minorEastAsia" w:eastAsiaTheme="minorEastAsia" w:cstheme="minorEastAsia"/>
          <w:color w:val="auto"/>
          <w:spacing w:val="-2"/>
          <w:position w:val="1"/>
          <w:sz w:val="24"/>
          <w:szCs w:val="24"/>
          <w:highlight w:val="none"/>
          <w:lang w:val="en-US" w:eastAsia="zh-CN"/>
        </w:rPr>
        <w:t>四</w:t>
      </w:r>
      <w:r>
        <w:rPr>
          <w:rFonts w:hint="eastAsia" w:asciiTheme="minorEastAsia" w:hAnsiTheme="minorEastAsia" w:eastAsiaTheme="minorEastAsia" w:cstheme="minorEastAsia"/>
          <w:color w:val="auto"/>
          <w:spacing w:val="-2"/>
          <w:position w:val="1"/>
          <w:sz w:val="24"/>
          <w:szCs w:val="24"/>
          <w:highlight w:val="none"/>
        </w:rPr>
        <w:t>、投诉事项具体内容</w:t>
      </w:r>
    </w:p>
    <w:p w14:paraId="2A8EF375">
      <w:pPr>
        <w:shd w:val="clear" w:color="auto" w:fill="auto"/>
        <w:spacing w:before="98" w:line="221"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投</w:t>
      </w:r>
      <w:r>
        <w:rPr>
          <w:rFonts w:hint="eastAsia" w:asciiTheme="minorEastAsia" w:hAnsiTheme="minorEastAsia" w:eastAsiaTheme="minorEastAsia" w:cstheme="minorEastAsia"/>
          <w:color w:val="auto"/>
          <w:spacing w:val="-10"/>
          <w:sz w:val="24"/>
          <w:szCs w:val="24"/>
          <w:highlight w:val="none"/>
        </w:rPr>
        <w:t>诉事项 1 ：</w:t>
      </w:r>
      <w:r>
        <w:rPr>
          <w:rFonts w:hint="eastAsia" w:asciiTheme="minorEastAsia" w:hAnsiTheme="minorEastAsia" w:eastAsiaTheme="minorEastAsia" w:cstheme="minorEastAsia"/>
          <w:color w:val="auto"/>
          <w:sz w:val="24"/>
          <w:szCs w:val="24"/>
          <w:highlight w:val="none"/>
          <w:u w:val="dotted"/>
        </w:rPr>
        <w:t xml:space="preserve">                                            </w:t>
      </w:r>
    </w:p>
    <w:p w14:paraId="74475D9C">
      <w:pPr>
        <w:shd w:val="clear" w:color="auto" w:fill="auto"/>
        <w:spacing w:before="100" w:line="219" w:lineRule="auto"/>
        <w:ind w:left="5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事</w:t>
      </w:r>
      <w:r>
        <w:rPr>
          <w:rFonts w:hint="eastAsia" w:asciiTheme="minorEastAsia" w:hAnsiTheme="minorEastAsia" w:eastAsiaTheme="minorEastAsia" w:cstheme="minorEastAsia"/>
          <w:color w:val="auto"/>
          <w:spacing w:val="-2"/>
          <w:sz w:val="24"/>
          <w:szCs w:val="24"/>
          <w:highlight w:val="none"/>
        </w:rPr>
        <w:t>实依据：</w:t>
      </w:r>
      <w:r>
        <w:rPr>
          <w:rFonts w:hint="eastAsia" w:asciiTheme="minorEastAsia" w:hAnsiTheme="minorEastAsia" w:eastAsiaTheme="minorEastAsia" w:cstheme="minorEastAsia"/>
          <w:color w:val="auto"/>
          <w:sz w:val="24"/>
          <w:szCs w:val="24"/>
          <w:highlight w:val="none"/>
          <w:u w:val="dotted"/>
        </w:rPr>
        <w:t xml:space="preserve">                                             </w:t>
      </w:r>
    </w:p>
    <w:p w14:paraId="53831859">
      <w:pPr>
        <w:shd w:val="clear" w:color="auto" w:fill="auto"/>
        <w:tabs>
          <w:tab w:val="left" w:pos="8322"/>
        </w:tabs>
        <w:spacing w:before="179" w:line="242"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2292D880">
      <w:pPr>
        <w:shd w:val="clear" w:color="auto" w:fill="auto"/>
        <w:spacing w:before="118" w:line="219" w:lineRule="auto"/>
        <w:ind w:left="5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法律</w:t>
      </w:r>
      <w:r>
        <w:rPr>
          <w:rFonts w:hint="eastAsia" w:asciiTheme="minorEastAsia" w:hAnsiTheme="minorEastAsia" w:eastAsiaTheme="minorEastAsia" w:cstheme="minorEastAsia"/>
          <w:color w:val="auto"/>
          <w:spacing w:val="-2"/>
          <w:sz w:val="24"/>
          <w:szCs w:val="24"/>
          <w:highlight w:val="none"/>
        </w:rPr>
        <w:t>依据：</w:t>
      </w:r>
      <w:r>
        <w:rPr>
          <w:rFonts w:hint="eastAsia" w:asciiTheme="minorEastAsia" w:hAnsiTheme="minorEastAsia" w:eastAsiaTheme="minorEastAsia" w:cstheme="minorEastAsia"/>
          <w:color w:val="auto"/>
          <w:sz w:val="24"/>
          <w:szCs w:val="24"/>
          <w:highlight w:val="none"/>
          <w:u w:val="dotted"/>
        </w:rPr>
        <w:t xml:space="preserve">                                             </w:t>
      </w:r>
    </w:p>
    <w:p w14:paraId="14E7688D">
      <w:pPr>
        <w:shd w:val="clear" w:color="auto" w:fill="auto"/>
        <w:tabs>
          <w:tab w:val="left" w:pos="8322"/>
        </w:tabs>
        <w:spacing w:before="179" w:line="242" w:lineRule="exact"/>
        <w:ind w:left="49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p>
    <w:p w14:paraId="67D45F2E">
      <w:pPr>
        <w:shd w:val="clear" w:color="auto" w:fill="auto"/>
        <w:spacing w:before="118" w:line="437" w:lineRule="exact"/>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position w:val="11"/>
          <w:sz w:val="24"/>
          <w:szCs w:val="24"/>
          <w:highlight w:val="none"/>
        </w:rPr>
        <w:t>投</w:t>
      </w:r>
      <w:r>
        <w:rPr>
          <w:rFonts w:hint="eastAsia" w:asciiTheme="minorEastAsia" w:hAnsiTheme="minorEastAsia" w:eastAsiaTheme="minorEastAsia" w:cstheme="minorEastAsia"/>
          <w:color w:val="auto"/>
          <w:spacing w:val="-12"/>
          <w:position w:val="11"/>
          <w:sz w:val="24"/>
          <w:szCs w:val="24"/>
          <w:highlight w:val="none"/>
        </w:rPr>
        <w:t>诉事项 2</w:t>
      </w:r>
    </w:p>
    <w:p w14:paraId="37F2E930">
      <w:pPr>
        <w:shd w:val="clear" w:color="auto" w:fill="auto"/>
        <w:spacing w:line="437" w:lineRule="exact"/>
        <w:ind w:left="5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p w14:paraId="2A84B530">
      <w:pPr>
        <w:shd w:val="clear" w:color="auto" w:fill="auto"/>
        <w:spacing w:line="239" w:lineRule="exact"/>
        <w:rPr>
          <w:rFonts w:hint="eastAsia" w:asciiTheme="minorEastAsia" w:hAnsiTheme="minorEastAsia" w:eastAsiaTheme="minorEastAsia" w:cstheme="minorEastAsia"/>
          <w:color w:val="auto"/>
          <w:sz w:val="24"/>
          <w:szCs w:val="24"/>
          <w:highlight w:val="none"/>
        </w:rPr>
      </w:pPr>
    </w:p>
    <w:p w14:paraId="433E4E0C">
      <w:pPr>
        <w:shd w:val="clear" w:color="auto" w:fill="auto"/>
        <w:spacing w:before="56" w:line="437" w:lineRule="exact"/>
        <w:ind w:left="505"/>
        <w:rPr>
          <w:rFonts w:hint="eastAsia" w:asciiTheme="minorEastAsia" w:hAnsiTheme="minorEastAsia" w:eastAsiaTheme="minorEastAsia" w:cstheme="minorEastAsia"/>
          <w:color w:val="auto"/>
          <w:spacing w:val="-1"/>
          <w:position w:val="11"/>
          <w:sz w:val="24"/>
          <w:szCs w:val="24"/>
          <w:highlight w:val="none"/>
        </w:rPr>
      </w:pPr>
      <w:r>
        <w:rPr>
          <w:rFonts w:hint="eastAsia" w:asciiTheme="minorEastAsia" w:hAnsiTheme="minorEastAsia" w:eastAsiaTheme="minorEastAsia" w:cstheme="minorEastAsia"/>
          <w:color w:val="auto"/>
          <w:spacing w:val="-2"/>
          <w:position w:val="11"/>
          <w:sz w:val="24"/>
          <w:szCs w:val="24"/>
          <w:highlight w:val="none"/>
        </w:rPr>
        <w:t>签字(签</w:t>
      </w:r>
      <w:r>
        <w:rPr>
          <w:rFonts w:hint="eastAsia" w:asciiTheme="minorEastAsia" w:hAnsiTheme="minorEastAsia" w:eastAsiaTheme="minorEastAsia" w:cstheme="minorEastAsia"/>
          <w:color w:val="auto"/>
          <w:spacing w:val="-1"/>
          <w:position w:val="11"/>
          <w:sz w:val="24"/>
          <w:szCs w:val="24"/>
          <w:highlight w:val="none"/>
        </w:rPr>
        <w:t xml:space="preserve">章)： </w:t>
      </w:r>
    </w:p>
    <w:p w14:paraId="700F000D">
      <w:pPr>
        <w:shd w:val="clear" w:color="auto" w:fill="auto"/>
        <w:spacing w:before="56" w:line="437" w:lineRule="exact"/>
        <w:ind w:left="505"/>
        <w:rPr>
          <w:rFonts w:hint="eastAsia" w:asciiTheme="minorEastAsia" w:hAnsiTheme="minorEastAsia" w:eastAsiaTheme="minorEastAsia" w:cstheme="minorEastAsia"/>
          <w:color w:val="auto"/>
          <w:spacing w:val="-1"/>
          <w:position w:val="11"/>
          <w:sz w:val="24"/>
          <w:szCs w:val="24"/>
          <w:highlight w:val="none"/>
        </w:rPr>
      </w:pPr>
      <w:r>
        <w:rPr>
          <w:rFonts w:hint="eastAsia" w:asciiTheme="minorEastAsia" w:hAnsiTheme="minorEastAsia" w:eastAsiaTheme="minorEastAsia" w:cstheme="minorEastAsia"/>
          <w:color w:val="auto"/>
          <w:spacing w:val="-20"/>
          <w:sz w:val="24"/>
          <w:szCs w:val="24"/>
          <w:highlight w:val="none"/>
        </w:rPr>
        <w:t>日</w:t>
      </w:r>
      <w:r>
        <w:rPr>
          <w:rFonts w:hint="eastAsia" w:asciiTheme="minorEastAsia" w:hAnsiTheme="minorEastAsia" w:eastAsiaTheme="minorEastAsia" w:cstheme="minorEastAsia"/>
          <w:color w:val="auto"/>
          <w:spacing w:val="-19"/>
          <w:sz w:val="24"/>
          <w:szCs w:val="24"/>
          <w:highlight w:val="none"/>
        </w:rPr>
        <w:t>期：</w:t>
      </w:r>
      <w:r>
        <w:rPr>
          <w:rFonts w:hint="eastAsia" w:asciiTheme="minorEastAsia" w:hAnsiTheme="minorEastAsia" w:eastAsiaTheme="minorEastAsia" w:cstheme="minorEastAsia"/>
          <w:color w:val="auto"/>
          <w:spacing w:val="-1"/>
          <w:position w:val="11"/>
          <w:sz w:val="24"/>
          <w:szCs w:val="24"/>
          <w:highlight w:val="none"/>
        </w:rPr>
        <w:t xml:space="preserve"> </w:t>
      </w:r>
    </w:p>
    <w:p w14:paraId="73391BF3">
      <w:pPr>
        <w:pStyle w:val="8"/>
        <w:ind w:left="0" w:leftChars="0" w:firstLine="0" w:firstLineChars="0"/>
        <w:rPr>
          <w:rFonts w:hint="eastAsia"/>
        </w:rPr>
      </w:pPr>
    </w:p>
    <w:p w14:paraId="3334A81C">
      <w:pPr>
        <w:shd w:val="clear" w:color="auto" w:fill="auto"/>
        <w:spacing w:before="91" w:line="219" w:lineRule="auto"/>
        <w:ind w:left="5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投诉书制作说</w:t>
      </w:r>
      <w:r>
        <w:rPr>
          <w:rFonts w:hint="eastAsia" w:asciiTheme="minorEastAsia" w:hAnsiTheme="minorEastAsia" w:eastAsiaTheme="minorEastAsia" w:cstheme="minorEastAsia"/>
          <w:color w:val="auto"/>
          <w:spacing w:val="-1"/>
          <w:sz w:val="24"/>
          <w:szCs w:val="24"/>
          <w:highlight w:val="none"/>
        </w:rPr>
        <w:t>明：</w:t>
      </w:r>
    </w:p>
    <w:p w14:paraId="1C560674">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1.投诉人提起投诉时，应当提交投诉书和必要的证明材料，并按 照被投诉人和与投诉事项有关的供应商数量提供投诉书副本。</w:t>
      </w:r>
    </w:p>
    <w:p w14:paraId="360B2B1E">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181CB06F">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3.投诉人若对项目的某一分包进行投诉，投诉书中应列明具体分 包号。</w:t>
      </w:r>
    </w:p>
    <w:p w14:paraId="783A87F1">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4.投诉书应简要列明质疑事项，质疑函、质疑答复等作为附件材 料提供。</w:t>
      </w:r>
    </w:p>
    <w:p w14:paraId="65D65DC8">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5.投诉书的投诉事项应具体、明确，并有必要的事实依据和法律 依据。</w:t>
      </w:r>
    </w:p>
    <w:p w14:paraId="17426192">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6.投诉书的投诉请求应与投诉事项相关。</w:t>
      </w:r>
    </w:p>
    <w:p w14:paraId="3820DE34">
      <w:pPr>
        <w:shd w:val="clear" w:color="auto" w:fill="auto"/>
        <w:spacing w:before="31" w:line="239" w:lineRule="auto"/>
        <w:ind w:left="525"/>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7.投诉人为自然人的，投诉书应由本人签字；投诉人为法人或者 其他组织的，投诉书应当由法定代表人、主要负责人，或者其授权代 表签字或者盖章，并加盖公章。</w:t>
      </w:r>
    </w:p>
    <w:p w14:paraId="70DC6B31">
      <w:pPr>
        <w:pStyle w:val="8"/>
        <w:rPr>
          <w:rFonts w:hint="eastAsia" w:asciiTheme="minorEastAsia" w:hAnsiTheme="minorEastAsia" w:eastAsiaTheme="minorEastAsia" w:cstheme="minorEastAsia"/>
          <w:sz w:val="24"/>
          <w:szCs w:val="24"/>
        </w:rPr>
      </w:pPr>
    </w:p>
    <w:p w14:paraId="36CE50C9">
      <w:pPr>
        <w:rPr>
          <w:rFonts w:hint="eastAsia" w:asciiTheme="minorEastAsia" w:hAnsiTheme="minorEastAsia" w:eastAsiaTheme="minorEastAsia" w:cstheme="minorEastAsia"/>
          <w:sz w:val="24"/>
          <w:szCs w:val="24"/>
        </w:rPr>
      </w:pPr>
    </w:p>
    <w:p w14:paraId="7AECDF91">
      <w:pPr>
        <w:pStyle w:val="8"/>
        <w:rPr>
          <w:rFonts w:hint="eastAsia" w:asciiTheme="minorEastAsia" w:hAnsiTheme="minorEastAsia" w:eastAsiaTheme="minorEastAsia" w:cstheme="minorEastAsia"/>
        </w:rPr>
      </w:pPr>
    </w:p>
    <w:p w14:paraId="4D20E187">
      <w:pPr>
        <w:rPr>
          <w:rFonts w:hint="eastAsia" w:asciiTheme="minorEastAsia" w:hAnsiTheme="minorEastAsia" w:eastAsiaTheme="minorEastAsia" w:cstheme="minorEastAsia"/>
        </w:rPr>
      </w:pPr>
    </w:p>
    <w:p w14:paraId="172DA098">
      <w:pPr>
        <w:pStyle w:val="8"/>
        <w:rPr>
          <w:rFonts w:hint="eastAsia" w:asciiTheme="minorEastAsia" w:hAnsiTheme="minorEastAsia" w:eastAsiaTheme="minorEastAsia" w:cstheme="minorEastAsia"/>
        </w:rPr>
      </w:pPr>
    </w:p>
    <w:p w14:paraId="4ACB06A8">
      <w:pPr>
        <w:rPr>
          <w:rFonts w:hint="eastAsia" w:asciiTheme="minorEastAsia" w:hAnsiTheme="minorEastAsia" w:eastAsiaTheme="minorEastAsia" w:cstheme="minorEastAsia"/>
        </w:rPr>
      </w:pPr>
    </w:p>
    <w:p w14:paraId="246AAF1E">
      <w:pPr>
        <w:pStyle w:val="8"/>
        <w:rPr>
          <w:rFonts w:hint="eastAsia" w:asciiTheme="minorEastAsia" w:hAnsiTheme="minorEastAsia" w:eastAsiaTheme="minorEastAsia" w:cstheme="minorEastAsia"/>
        </w:rPr>
      </w:pPr>
    </w:p>
    <w:p w14:paraId="5658CA73">
      <w:pPr>
        <w:rPr>
          <w:rFonts w:hint="eastAsia" w:asciiTheme="minorEastAsia" w:hAnsiTheme="minorEastAsia" w:eastAsiaTheme="minorEastAsia" w:cstheme="minorEastAsia"/>
        </w:rPr>
      </w:pPr>
    </w:p>
    <w:p w14:paraId="5DC92D43">
      <w:pPr>
        <w:pStyle w:val="8"/>
        <w:ind w:left="0" w:leftChars="0" w:firstLine="0" w:firstLineChars="0"/>
        <w:rPr>
          <w:rFonts w:hint="eastAsia" w:asciiTheme="minorEastAsia" w:hAnsiTheme="minorEastAsia" w:eastAsiaTheme="minorEastAsia" w:cstheme="minorEastAsia"/>
        </w:rPr>
      </w:pPr>
    </w:p>
    <w:p w14:paraId="40945D0C">
      <w:pPr>
        <w:rPr>
          <w:rFonts w:hint="eastAsia" w:asciiTheme="minorEastAsia" w:hAnsiTheme="minorEastAsia" w:eastAsiaTheme="minorEastAsia" w:cstheme="minorEastAsia"/>
        </w:rPr>
      </w:pPr>
    </w:p>
    <w:p w14:paraId="7B3C7539">
      <w:pPr>
        <w:rPr>
          <w:rFonts w:hint="eastAsia" w:asciiTheme="minorEastAsia" w:hAnsiTheme="minorEastAsia" w:eastAsiaTheme="minorEastAsia" w:cstheme="minorEastAsia"/>
        </w:rPr>
      </w:pPr>
    </w:p>
    <w:p w14:paraId="26FD1AFF">
      <w:pPr>
        <w:rPr>
          <w:rFonts w:hint="eastAsia" w:asciiTheme="minorEastAsia" w:hAnsiTheme="minorEastAsia" w:eastAsiaTheme="minorEastAsia" w:cstheme="minorEastAsia"/>
        </w:rPr>
      </w:pPr>
    </w:p>
    <w:p w14:paraId="332ADE00">
      <w:pPr>
        <w:rPr>
          <w:rFonts w:hint="eastAsia" w:asciiTheme="minorEastAsia" w:hAnsiTheme="minorEastAsia" w:eastAsiaTheme="minorEastAsia" w:cstheme="minorEastAsia"/>
        </w:rPr>
      </w:pPr>
    </w:p>
    <w:p w14:paraId="7DA3D02A">
      <w:pPr>
        <w:rPr>
          <w:rFonts w:hint="eastAsia" w:asciiTheme="minorEastAsia" w:hAnsiTheme="minorEastAsia" w:eastAsiaTheme="minorEastAsia" w:cstheme="minorEastAsia"/>
        </w:rPr>
      </w:pPr>
    </w:p>
    <w:p w14:paraId="4C64A383">
      <w:pPr>
        <w:rPr>
          <w:rFonts w:hint="eastAsia" w:asciiTheme="minorEastAsia" w:hAnsiTheme="minorEastAsia" w:eastAsiaTheme="minorEastAsia" w:cstheme="minorEastAsia"/>
        </w:rPr>
      </w:pPr>
    </w:p>
    <w:p w14:paraId="3C37536E">
      <w:pPr>
        <w:rPr>
          <w:rFonts w:hint="eastAsia" w:asciiTheme="minorEastAsia" w:hAnsiTheme="minorEastAsia" w:eastAsiaTheme="minorEastAsia" w:cstheme="minorEastAsia"/>
        </w:rPr>
      </w:pPr>
    </w:p>
    <w:p w14:paraId="47DA0530">
      <w:pPr>
        <w:rPr>
          <w:rFonts w:hint="eastAsia" w:asciiTheme="minorEastAsia" w:hAnsiTheme="minorEastAsia" w:eastAsiaTheme="minorEastAsia" w:cstheme="minorEastAsia"/>
        </w:rPr>
      </w:pPr>
    </w:p>
    <w:p w14:paraId="13C0E681">
      <w:pPr>
        <w:rPr>
          <w:rFonts w:hint="eastAsia" w:asciiTheme="minorEastAsia" w:hAnsiTheme="minorEastAsia" w:eastAsiaTheme="minorEastAsia" w:cstheme="minorEastAsia"/>
        </w:rPr>
      </w:pPr>
    </w:p>
    <w:p w14:paraId="010981F0">
      <w:pPr>
        <w:rPr>
          <w:rFonts w:hint="eastAsia" w:asciiTheme="minorEastAsia" w:hAnsiTheme="minorEastAsia" w:eastAsiaTheme="minorEastAsia" w:cstheme="minorEastAsia"/>
        </w:rPr>
      </w:pPr>
    </w:p>
    <w:p w14:paraId="3B83D987">
      <w:pPr>
        <w:rPr>
          <w:rFonts w:hint="eastAsia" w:asciiTheme="minorEastAsia" w:hAnsiTheme="minorEastAsia" w:eastAsiaTheme="minorEastAsia" w:cstheme="minorEastAsia"/>
        </w:rPr>
      </w:pPr>
    </w:p>
    <w:p w14:paraId="62AE1CF3">
      <w:pPr>
        <w:rPr>
          <w:rFonts w:hint="eastAsia" w:asciiTheme="minorEastAsia" w:hAnsiTheme="minorEastAsia" w:eastAsiaTheme="minorEastAsia" w:cstheme="minorEastAsia"/>
        </w:rPr>
      </w:pPr>
    </w:p>
    <w:p w14:paraId="19E54788">
      <w:pPr>
        <w:rPr>
          <w:rFonts w:hint="eastAsia" w:asciiTheme="minorEastAsia" w:hAnsiTheme="minorEastAsia" w:eastAsiaTheme="minorEastAsia" w:cstheme="minorEastAsia"/>
        </w:rPr>
      </w:pPr>
    </w:p>
    <w:p w14:paraId="29F955C7">
      <w:pPr>
        <w:pStyle w:val="2"/>
        <w:rPr>
          <w:rFonts w:hint="eastAsia"/>
        </w:rPr>
      </w:pPr>
    </w:p>
    <w:p w14:paraId="4E3C70BB">
      <w:pPr>
        <w:rPr>
          <w:rFonts w:hint="eastAsia" w:asciiTheme="minorEastAsia" w:hAnsiTheme="minorEastAsia" w:eastAsiaTheme="minorEastAsia" w:cstheme="minorEastAsia"/>
        </w:rPr>
      </w:pPr>
    </w:p>
    <w:p w14:paraId="60A4028E">
      <w:pPr>
        <w:rPr>
          <w:rFonts w:hint="eastAsia" w:asciiTheme="minorEastAsia" w:hAnsiTheme="minorEastAsia" w:eastAsiaTheme="minorEastAsia" w:cstheme="minorEastAsia"/>
        </w:rPr>
      </w:pPr>
    </w:p>
    <w:p w14:paraId="73EDAE19">
      <w:pPr>
        <w:rPr>
          <w:rFonts w:hint="eastAsia" w:asciiTheme="minorEastAsia" w:hAnsiTheme="minorEastAsia" w:eastAsiaTheme="minorEastAsia" w:cstheme="minorEastAsia"/>
        </w:rPr>
      </w:pPr>
    </w:p>
    <w:p w14:paraId="0FA4B2FC">
      <w:pPr>
        <w:rPr>
          <w:rFonts w:hint="eastAsia" w:asciiTheme="minorEastAsia" w:hAnsiTheme="minorEastAsia" w:eastAsiaTheme="minorEastAsia" w:cstheme="minorEastAsia"/>
        </w:rPr>
      </w:pPr>
    </w:p>
    <w:p w14:paraId="5923D61C">
      <w:pPr>
        <w:rPr>
          <w:rFonts w:hint="eastAsia" w:asciiTheme="minorEastAsia" w:hAnsiTheme="minorEastAsia" w:eastAsiaTheme="minorEastAsia" w:cstheme="minorEastAsia"/>
        </w:rPr>
      </w:pPr>
    </w:p>
    <w:p w14:paraId="1A86A960">
      <w:pPr>
        <w:rPr>
          <w:rFonts w:hint="eastAsia" w:asciiTheme="minorEastAsia" w:hAnsiTheme="minorEastAsia" w:eastAsiaTheme="minorEastAsia" w:cstheme="minorEastAsia"/>
        </w:rPr>
      </w:pPr>
    </w:p>
    <w:p w14:paraId="12FEB548">
      <w:pPr>
        <w:rPr>
          <w:rFonts w:hint="eastAsia" w:asciiTheme="minorEastAsia" w:hAnsiTheme="minorEastAsia" w:eastAsiaTheme="minorEastAsia" w:cstheme="minorEastAsia"/>
        </w:rPr>
      </w:pPr>
    </w:p>
    <w:p w14:paraId="64C2A69B">
      <w:pPr>
        <w:rPr>
          <w:rFonts w:hint="eastAsia" w:asciiTheme="minorEastAsia" w:hAnsiTheme="minorEastAsia" w:eastAsiaTheme="minorEastAsia" w:cstheme="minorEastAsia"/>
        </w:rPr>
      </w:pPr>
    </w:p>
    <w:p w14:paraId="11C8B7A5">
      <w:pPr>
        <w:rPr>
          <w:rFonts w:hint="eastAsia" w:asciiTheme="minorEastAsia" w:hAnsiTheme="minorEastAsia" w:eastAsiaTheme="minorEastAsia" w:cstheme="minorEastAsia"/>
        </w:rPr>
      </w:pPr>
    </w:p>
    <w:p w14:paraId="3D77D023">
      <w:pPr>
        <w:rPr>
          <w:rFonts w:hint="eastAsia" w:asciiTheme="minorEastAsia" w:hAnsiTheme="minorEastAsia" w:eastAsiaTheme="minorEastAsia" w:cstheme="minorEastAsia"/>
        </w:rPr>
      </w:pPr>
    </w:p>
    <w:p w14:paraId="6F5571E9">
      <w:pPr>
        <w:rPr>
          <w:rFonts w:hint="eastAsia" w:asciiTheme="minorEastAsia" w:hAnsiTheme="minorEastAsia" w:eastAsiaTheme="minorEastAsia" w:cstheme="minorEastAsia"/>
        </w:rPr>
      </w:pPr>
    </w:p>
    <w:p w14:paraId="00DD1EF5">
      <w:pPr>
        <w:rPr>
          <w:rFonts w:hint="eastAsia" w:asciiTheme="minorEastAsia" w:hAnsiTheme="minorEastAsia" w:eastAsiaTheme="minorEastAsia" w:cstheme="minorEastAsia"/>
        </w:rPr>
      </w:pPr>
    </w:p>
    <w:p w14:paraId="7494BEF1">
      <w:pPr>
        <w:rPr>
          <w:rFonts w:hint="eastAsia" w:asciiTheme="minorEastAsia" w:hAnsiTheme="minorEastAsia" w:eastAsiaTheme="minorEastAsia" w:cstheme="minorEastAsia"/>
        </w:rPr>
      </w:pPr>
    </w:p>
    <w:p w14:paraId="29ECEBE7">
      <w:pPr>
        <w:rPr>
          <w:rFonts w:hint="eastAsia" w:asciiTheme="minorEastAsia" w:hAnsiTheme="minorEastAsia" w:eastAsiaTheme="minorEastAsia" w:cstheme="minorEastAsia"/>
        </w:rPr>
      </w:pPr>
    </w:p>
    <w:p w14:paraId="2B93D789">
      <w:pPr>
        <w:rPr>
          <w:rFonts w:hint="eastAsia" w:asciiTheme="minorEastAsia" w:hAnsiTheme="minorEastAsia" w:eastAsiaTheme="minorEastAsia" w:cstheme="minorEastAsia"/>
        </w:rPr>
      </w:pPr>
    </w:p>
    <w:p w14:paraId="0DD00365">
      <w:pPr>
        <w:rPr>
          <w:rFonts w:hint="eastAsia" w:asciiTheme="minorEastAsia" w:hAnsiTheme="minorEastAsia" w:eastAsiaTheme="minorEastAsia" w:cstheme="minorEastAsia"/>
        </w:rPr>
      </w:pPr>
    </w:p>
    <w:p w14:paraId="21D4BE5C">
      <w:pPr>
        <w:rPr>
          <w:rFonts w:hint="eastAsia" w:asciiTheme="minorEastAsia" w:hAnsiTheme="minorEastAsia" w:eastAsiaTheme="minorEastAsia" w:cstheme="minorEastAsia"/>
        </w:rPr>
      </w:pPr>
    </w:p>
    <w:p w14:paraId="12D59300">
      <w:pPr>
        <w:rPr>
          <w:rFonts w:hint="eastAsia" w:asciiTheme="minorEastAsia" w:hAnsiTheme="minorEastAsia" w:eastAsiaTheme="minorEastAsia" w:cstheme="minorEastAsia"/>
        </w:rPr>
      </w:pPr>
    </w:p>
    <w:p w14:paraId="36CC7C0B">
      <w:pPr>
        <w:rPr>
          <w:rFonts w:hint="eastAsia" w:asciiTheme="minorEastAsia" w:hAnsiTheme="minorEastAsia" w:eastAsiaTheme="minorEastAsia" w:cstheme="minorEastAsia"/>
        </w:rPr>
      </w:pPr>
    </w:p>
    <w:p w14:paraId="506450A0">
      <w:pPr>
        <w:spacing w:line="360" w:lineRule="auto"/>
        <w:jc w:val="center"/>
        <w:outlineLvl w:val="0"/>
        <w:rPr>
          <w:rFonts w:hint="eastAsia" w:asciiTheme="minorEastAsia" w:hAnsiTheme="minorEastAsia" w:eastAsiaTheme="minorEastAsia" w:cstheme="minorEastAsia"/>
          <w:b/>
          <w:sz w:val="24"/>
          <w:szCs w:val="24"/>
        </w:rPr>
      </w:pPr>
      <w:bookmarkStart w:id="214" w:name="_Toc99301421"/>
      <w:r>
        <w:rPr>
          <w:rFonts w:hint="eastAsia" w:asciiTheme="minorEastAsia" w:hAnsiTheme="minorEastAsia" w:eastAsiaTheme="minorEastAsia" w:cstheme="minorEastAsia"/>
          <w:b/>
          <w:sz w:val="24"/>
          <w:szCs w:val="24"/>
        </w:rPr>
        <w:t>第三章   资格审查</w:t>
      </w:r>
      <w:bookmarkEnd w:id="214"/>
    </w:p>
    <w:p w14:paraId="2B180880">
      <w:pPr>
        <w:tabs>
          <w:tab w:val="left" w:pos="360"/>
          <w:tab w:val="left" w:pos="900"/>
        </w:tabs>
        <w:snapToGrid w:val="0"/>
        <w:spacing w:line="360" w:lineRule="auto"/>
        <w:jc w:val="center"/>
        <w:outlineLvl w:val="1"/>
        <w:rPr>
          <w:rFonts w:hint="eastAsia" w:asciiTheme="minorEastAsia" w:hAnsiTheme="minorEastAsia" w:eastAsiaTheme="minorEastAsia" w:cstheme="minorEastAsia"/>
          <w:b/>
          <w:sz w:val="24"/>
          <w:szCs w:val="24"/>
        </w:rPr>
      </w:pPr>
      <w:bookmarkStart w:id="215" w:name="_Toc99301422"/>
      <w:r>
        <w:rPr>
          <w:rFonts w:hint="eastAsia" w:asciiTheme="minorEastAsia" w:hAnsiTheme="minorEastAsia" w:eastAsiaTheme="minorEastAsia" w:cstheme="minorEastAsia"/>
          <w:b/>
          <w:sz w:val="24"/>
          <w:szCs w:val="24"/>
        </w:rPr>
        <w:t>一、资格审查程序</w:t>
      </w:r>
      <w:bookmarkEnd w:id="215"/>
    </w:p>
    <w:p w14:paraId="720E312A">
      <w:pPr>
        <w:numPr>
          <w:ilvl w:val="0"/>
          <w:numId w:val="7"/>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开标结束后，采购人或采购代理机构将根据《资格审查要求》中的规定，对投标人进行资格审查，并形成资格审查结果。</w:t>
      </w:r>
    </w:p>
    <w:p w14:paraId="7C1C9195">
      <w:pPr>
        <w:numPr>
          <w:ilvl w:val="0"/>
          <w:numId w:val="7"/>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《资格审查要求》中对格式有要求的，除招标文件另有规定外，均为“实质性格式”文件。</w:t>
      </w:r>
    </w:p>
    <w:p w14:paraId="341B8856">
      <w:pPr>
        <w:numPr>
          <w:ilvl w:val="0"/>
          <w:numId w:val="7"/>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投标人《资格证明文件》有任何一项不符合《资格审查要求》的，资格审查不合格，其投标无效。</w:t>
      </w:r>
    </w:p>
    <w:p w14:paraId="3776C3A1">
      <w:pPr>
        <w:numPr>
          <w:ilvl w:val="0"/>
          <w:numId w:val="7"/>
        </w:numPr>
        <w:tabs>
          <w:tab w:val="left" w:pos="426"/>
          <w:tab w:val="left" w:pos="851"/>
          <w:tab w:val="clear" w:pos="900"/>
        </w:tabs>
        <w:snapToGrid w:val="0"/>
        <w:spacing w:line="360" w:lineRule="auto"/>
        <w:ind w:left="426" w:hanging="426"/>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资格审查合格的投标人不足3家的，不进行评标。</w:t>
      </w:r>
    </w:p>
    <w:p w14:paraId="5608419D">
      <w:pPr>
        <w:widowControl/>
        <w:jc w:val="left"/>
        <w:rPr>
          <w:rFonts w:hint="eastAsia" w:asciiTheme="minorEastAsia" w:hAnsiTheme="minorEastAsia" w:eastAsiaTheme="minorEastAsia" w:cstheme="minorEastAsia"/>
          <w:sz w:val="24"/>
          <w:szCs w:val="24"/>
        </w:rPr>
      </w:pPr>
    </w:p>
    <w:p w14:paraId="5838B2D8">
      <w:pPr>
        <w:tabs>
          <w:tab w:val="left" w:pos="360"/>
          <w:tab w:val="left" w:pos="900"/>
        </w:tabs>
        <w:snapToGrid w:val="0"/>
        <w:spacing w:line="360" w:lineRule="auto"/>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二、资格审查要求</w:t>
      </w:r>
    </w:p>
    <w:tbl>
      <w:tblPr>
        <w:tblStyle w:val="30"/>
        <w:tblpPr w:leftFromText="180" w:rightFromText="180" w:vertAnchor="text" w:horzAnchor="page" w:tblpX="772" w:tblpY="16"/>
        <w:tblOverlap w:val="never"/>
        <w:tblW w:w="10322" w:type="dxa"/>
        <w:tblInd w:w="0" w:type="dxa"/>
        <w:tblLayout w:type="fixed"/>
        <w:tblCellMar>
          <w:top w:w="15" w:type="dxa"/>
          <w:left w:w="15" w:type="dxa"/>
          <w:bottom w:w="15" w:type="dxa"/>
          <w:right w:w="15" w:type="dxa"/>
        </w:tblCellMar>
      </w:tblPr>
      <w:tblGrid>
        <w:gridCol w:w="842"/>
        <w:gridCol w:w="5114"/>
        <w:gridCol w:w="2611"/>
        <w:gridCol w:w="1755"/>
      </w:tblGrid>
      <w:tr w14:paraId="7020AD25">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19A7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sz w:val="24"/>
                <w:szCs w:val="24"/>
              </w:rPr>
            </w:pPr>
            <w:bookmarkStart w:id="216" w:name="_Hlt487972895"/>
            <w:bookmarkEnd w:id="216"/>
            <w:r>
              <w:rPr>
                <w:rFonts w:hint="eastAsia" w:ascii="仿宋" w:hAnsi="仿宋" w:eastAsia="仿宋" w:cs="仿宋"/>
                <w:b w:val="0"/>
                <w:bCs w:val="0"/>
                <w:color w:val="auto"/>
                <w:kern w:val="0"/>
                <w:sz w:val="24"/>
                <w:szCs w:val="24"/>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3C1FF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rPr>
              <w:t>审查要求</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59EC7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要求说明</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6B97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是否通过评审</w:t>
            </w:r>
          </w:p>
          <w:p w14:paraId="14615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（注：通过的打“√”，未通过的打“×”）</w:t>
            </w:r>
          </w:p>
        </w:tc>
      </w:tr>
      <w:tr w14:paraId="33A3E640">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1535D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0"/>
                <w:sz w:val="24"/>
                <w:szCs w:val="24"/>
                <w:lang w:val="en-US" w:eastAsia="zh-CN"/>
              </w:rPr>
              <w:t>1</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EEF6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08DC9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336B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41C2574F">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16CC5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9990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法定代表人的需提供法定代表人证明书（须附法人身份证复印件正反面）或委托代理人需提供法定代表人授权委托书（授权书需附法人身份证复印件及委托人身份证复印件正反面）；</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2D1FC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1508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76ECFF75">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0D5D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59BF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有依法缴纳税收和社会保障资金的良好记录：提供近段时间内（连续三个月、新成立的公司按实际发生提供）的缴纳税收的完税证明或税务部门出具的纳税证明；如依法免税的，应提供相应文件证明；提供近段时间内（法人连续三个月、新成立的公司按实际发生提供）的缴纳社保证明材料加盖公章。如依法不需要缴纳社会保障资金的，应提供相应文件证明；</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692C1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E10F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4B7BD308">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2E82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9C8B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具有良好的商业信誉和健全的财务会计制度：提供2023年由第三方审计机构出具</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在注册会计师行业统一监管平台</w:t>
            </w:r>
            <w:r>
              <w:rPr>
                <w:rFonts w:hint="eastAsia" w:ascii="仿宋" w:hAnsi="仿宋" w:eastAsia="仿宋" w:cs="仿宋"/>
                <w:color w:val="000000" w:themeColor="text1"/>
                <w:spacing w:val="-2"/>
                <w:sz w:val="24"/>
                <w:szCs w:val="24"/>
                <w:highlight w:val="none"/>
                <w14:textFill>
                  <w14:solidFill>
                    <w14:schemeClr w14:val="tx1"/>
                  </w14:solidFill>
                </w14:textFill>
              </w:rPr>
              <w:t>备案赋码的审计报告（2024年新成立的公司按实际发生的情况提供银行出具的资信证明）和健全的财务会计制度；</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059C3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69C0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54EB5123">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4B856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30DB7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履行合同所必需的设备和专业技术能力：提供《投标人资格声明函》；</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30773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8CE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2797D9D5">
        <w:tblPrEx>
          <w:tblCellMar>
            <w:top w:w="15" w:type="dxa"/>
            <w:left w:w="15" w:type="dxa"/>
            <w:bottom w:w="15" w:type="dxa"/>
            <w:right w:w="15" w:type="dxa"/>
          </w:tblCellMar>
        </w:tblPrEx>
        <w:trPr>
          <w:cantSplit/>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5E991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8B07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32ACB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符合《政府采购法》第二十二条规定：请按审查要求上传相关材料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3995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7E1C86A7">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79D67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022B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5E8D2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符合《政府采购法》第二十二条规定：开标现场查询，投标人不用提供截图，应当就自己的诚信情况在</w:t>
            </w:r>
            <w:r>
              <w:rPr>
                <w:rFonts w:hint="eastAsia" w:ascii="仿宋" w:hAnsi="仿宋" w:eastAsia="仿宋" w:cs="仿宋"/>
                <w:color w:val="000000" w:themeColor="text1"/>
                <w:spacing w:val="-2"/>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pacing w:val="-2"/>
                <w:sz w:val="24"/>
                <w:szCs w:val="24"/>
                <w:highlight w:val="none"/>
                <w14:textFill>
                  <w14:solidFill>
                    <w14:schemeClr w14:val="tx1"/>
                  </w14:solidFill>
                </w14:textFill>
              </w:rPr>
              <w:t>文件中进行承诺</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66CE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753F139A">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0B837A9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EE1E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eastAsia" w:ascii="仿宋" w:hAnsi="仿宋" w:eastAsia="仿宋" w:cs="仿宋"/>
                <w:snapToGrid w:val="0"/>
                <w:color w:val="000000" w:themeColor="text1"/>
                <w:kern w:val="0"/>
                <w:sz w:val="24"/>
                <w:szCs w:val="24"/>
                <w:highlight w:val="none"/>
                <w:vertAlign w:val="baseline"/>
                <w:lang w:val="zh-CN"/>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企业负责人为同一人或者存在直接控股、管理关系的不同投标人，不得参加同一合同项下的政府采购活动。否则，皆取消投标资格；</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22066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snapToGrid w:val="0"/>
                <w:color w:val="000000" w:themeColor="text1"/>
                <w:kern w:val="0"/>
                <w:sz w:val="24"/>
                <w:szCs w:val="24"/>
                <w:highlight w:val="none"/>
                <w:vertAlign w:val="baseline"/>
                <w:lang w:val="zh-CN"/>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符合《政府采购法》第二十二条规定：请按审查要求上传承诺书</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C3D5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481F1494">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7F36750F">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53A9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pacing w:val="-2"/>
                <w:sz w:val="24"/>
                <w:szCs w:val="24"/>
                <w:highlight w:val="none"/>
              </w:rPr>
              <w:t>本项目不接受联合体投标</w:t>
            </w:r>
            <w:r>
              <w:rPr>
                <w:rFonts w:hint="eastAsia" w:ascii="仿宋" w:hAnsi="仿宋" w:eastAsia="仿宋" w:cs="仿宋"/>
                <w:color w:val="auto"/>
                <w:spacing w:val="-2"/>
                <w:sz w:val="24"/>
                <w:szCs w:val="24"/>
                <w:highlight w:val="none"/>
                <w:lang w:eastAsia="zh-CN"/>
              </w:rPr>
              <w:t>。</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246E9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pacing w:val="-2"/>
                <w:sz w:val="24"/>
                <w:szCs w:val="24"/>
                <w:highlight w:val="none"/>
              </w:rPr>
              <w:t>请按审查要求上传承诺书</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096B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6FE14E16">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2029A0AD">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snapToGrid w:val="0"/>
                <w:color w:val="auto"/>
                <w:kern w:val="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17D4AB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both"/>
              <w:textAlignment w:val="center"/>
              <w:outlineLvl w:val="9"/>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z w:val="24"/>
                <w:szCs w:val="24"/>
                <w:highlight w:val="none"/>
                <w:lang w:val="en-US" w:eastAsia="zh-CN"/>
              </w:rPr>
              <w:t>投标保证金或电子保函：20000.00元（大写：贰万元整）。</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19FBBB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snapToGrid w:val="0"/>
                <w:color w:val="auto"/>
                <w:kern w:val="0"/>
                <w:sz w:val="24"/>
                <w:szCs w:val="24"/>
                <w:highlight w:val="none"/>
                <w:vertAlign w:val="baseline"/>
                <w:lang w:val="zh-CN"/>
              </w:rPr>
            </w:pPr>
            <w:r>
              <w:rPr>
                <w:rFonts w:hint="eastAsia" w:ascii="仿宋" w:hAnsi="仿宋" w:eastAsia="仿宋" w:cs="仿宋"/>
                <w:color w:val="auto"/>
                <w:sz w:val="24"/>
                <w:szCs w:val="24"/>
                <w:highlight w:val="none"/>
                <w:lang w:eastAsia="zh-CN"/>
              </w:rPr>
              <w:t>请按审查要求上传投标保证金缴纳凭证或投标保证金保函或投标保函及开户许可证复印件</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789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r w14:paraId="0B56A066">
        <w:tblPrEx>
          <w:tblCellMar>
            <w:top w:w="15" w:type="dxa"/>
            <w:left w:w="15" w:type="dxa"/>
            <w:bottom w:w="15" w:type="dxa"/>
            <w:right w:w="15" w:type="dxa"/>
          </w:tblCellMar>
        </w:tblPrEx>
        <w:trPr>
          <w:trHeight w:val="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14:paraId="66D6A409">
            <w:pPr>
              <w:keepNext w:val="0"/>
              <w:keepLines w:val="0"/>
              <w:widowControl/>
              <w:suppressLineNumbers w:val="0"/>
              <w:spacing w:before="0" w:beforeAutospacing="0" w:after="0" w:afterAutospacing="0" w:line="240" w:lineRule="auto"/>
              <w:ind w:left="0" w:right="0"/>
              <w:jc w:val="center"/>
              <w:rPr>
                <w:rFonts w:hint="default" w:ascii="仿宋" w:hAnsi="仿宋" w:eastAsia="仿宋" w:cs="仿宋"/>
                <w:color w:val="auto"/>
                <w:sz w:val="24"/>
                <w:szCs w:val="24"/>
                <w:highlight w:val="none"/>
                <w:vertAlign w:val="baseline"/>
                <w:lang w:val="en-US" w:eastAsia="zh-CN"/>
              </w:rPr>
            </w:pPr>
            <w:bookmarkStart w:id="217" w:name="_Toc99301423"/>
            <w:r>
              <w:rPr>
                <w:rFonts w:hint="eastAsia" w:ascii="仿宋" w:hAnsi="仿宋" w:eastAsia="仿宋" w:cs="仿宋"/>
                <w:color w:val="auto"/>
                <w:sz w:val="24"/>
                <w:szCs w:val="24"/>
                <w:highlight w:val="none"/>
                <w:vertAlign w:val="baseline"/>
                <w:lang w:val="en-US" w:eastAsia="zh-CN"/>
              </w:rPr>
              <w:t>11</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739E2D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both"/>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供应商须具备提供社会救助服务所必需的固定办公场所、设施、人员和专业技术能力，具有健全的法人管理结构，完善的内部管理和信息公开、民监督制度；</w:t>
            </w:r>
          </w:p>
        </w:tc>
        <w:tc>
          <w:tcPr>
            <w:tcW w:w="2611" w:type="dxa"/>
            <w:tcBorders>
              <w:top w:val="single" w:color="auto" w:sz="4" w:space="0"/>
              <w:left w:val="single" w:color="auto" w:sz="4" w:space="0"/>
              <w:bottom w:val="single" w:color="auto" w:sz="4" w:space="0"/>
              <w:right w:val="single" w:color="auto" w:sz="4" w:space="0"/>
            </w:tcBorders>
            <w:noWrap w:val="0"/>
            <w:vAlign w:val="center"/>
          </w:tcPr>
          <w:p w14:paraId="6B3316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请按审查要求上传相关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lang w:eastAsia="zh-CN"/>
              </w:rPr>
              <w:t>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8B29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outlineLvl w:val="9"/>
              <w:rPr>
                <w:rFonts w:hint="eastAsia" w:ascii="仿宋" w:hAnsi="仿宋" w:eastAsia="仿宋" w:cs="仿宋"/>
                <w:b w:val="0"/>
                <w:bCs w:val="0"/>
                <w:color w:val="auto"/>
                <w:kern w:val="0"/>
                <w:sz w:val="24"/>
                <w:szCs w:val="24"/>
              </w:rPr>
            </w:pPr>
          </w:p>
        </w:tc>
      </w:tr>
    </w:tbl>
    <w:p w14:paraId="7C05D959">
      <w:pPr>
        <w:spacing w:line="360" w:lineRule="auto"/>
        <w:jc w:val="both"/>
        <w:outlineLvl w:val="0"/>
        <w:rPr>
          <w:rFonts w:hint="eastAsia" w:asciiTheme="minorEastAsia" w:hAnsiTheme="minorEastAsia" w:eastAsiaTheme="minorEastAsia" w:cstheme="minorEastAsia"/>
          <w:b/>
          <w:sz w:val="36"/>
          <w:szCs w:val="36"/>
        </w:rPr>
      </w:pPr>
    </w:p>
    <w:p w14:paraId="22E716CC">
      <w:pPr>
        <w:pStyle w:val="2"/>
        <w:rPr>
          <w:rFonts w:hint="eastAsia"/>
        </w:rPr>
      </w:pPr>
    </w:p>
    <w:p w14:paraId="3A6760D6">
      <w:pPr>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第四章   </w:t>
      </w:r>
      <w:bookmarkStart w:id="218" w:name="_Hlt164229061"/>
      <w:bookmarkEnd w:id="218"/>
      <w:r>
        <w:rPr>
          <w:rFonts w:hint="eastAsia" w:asciiTheme="minorEastAsia" w:hAnsiTheme="minorEastAsia" w:eastAsiaTheme="minorEastAsia" w:cstheme="minorEastAsia"/>
          <w:b/>
          <w:sz w:val="36"/>
          <w:szCs w:val="36"/>
        </w:rPr>
        <w:t>评标程序、评标方法和评标标准</w:t>
      </w:r>
      <w:bookmarkEnd w:id="217"/>
    </w:p>
    <w:p w14:paraId="1C9F8240">
      <w:pPr>
        <w:tabs>
          <w:tab w:val="left" w:pos="360"/>
          <w:tab w:val="left" w:pos="900"/>
        </w:tabs>
        <w:snapToGri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一、评标方法</w:t>
      </w:r>
    </w:p>
    <w:p w14:paraId="0E6D7958">
      <w:pPr>
        <w:numPr>
          <w:ilvl w:val="0"/>
          <w:numId w:val="8"/>
        </w:numPr>
        <w:tabs>
          <w:tab w:val="left" w:pos="360"/>
        </w:tabs>
        <w:snapToGrid w:val="0"/>
        <w:spacing w:line="360" w:lineRule="auto"/>
        <w:outlineLvl w:val="1"/>
        <w:rPr>
          <w:rFonts w:hint="eastAsia" w:asciiTheme="minorEastAsia" w:hAnsiTheme="minorEastAsia" w:eastAsiaTheme="minorEastAsia" w:cstheme="minorEastAsia"/>
          <w:sz w:val="24"/>
          <w:szCs w:val="24"/>
        </w:rPr>
      </w:pPr>
      <w:bookmarkStart w:id="219" w:name="_Toc164229382"/>
      <w:bookmarkStart w:id="220" w:name="_Toc226337237"/>
      <w:bookmarkStart w:id="221" w:name="_Toc150480779"/>
      <w:bookmarkStart w:id="222" w:name="_Toc151193929"/>
      <w:bookmarkStart w:id="223" w:name="_Toc164229236"/>
      <w:bookmarkStart w:id="224" w:name="_Toc149720834"/>
      <w:bookmarkStart w:id="225" w:name="_Toc305158883"/>
      <w:bookmarkStart w:id="226" w:name="_Toc264969231"/>
      <w:bookmarkStart w:id="227" w:name="_Toc151193711"/>
      <w:bookmarkStart w:id="228" w:name="_Toc226309785"/>
      <w:bookmarkStart w:id="229" w:name="_Toc127151541"/>
      <w:bookmarkStart w:id="230" w:name="_Toc265228379"/>
      <w:bookmarkStart w:id="231" w:name="_Toc164351635"/>
      <w:bookmarkStart w:id="232" w:name="_Toc226965731"/>
      <w:bookmarkStart w:id="233" w:name="_Toc150774746"/>
      <w:bookmarkStart w:id="234" w:name="_Toc142311043"/>
      <w:bookmarkStart w:id="235" w:name="_Toc164608810"/>
      <w:bookmarkStart w:id="236" w:name="_Toc195842906"/>
      <w:bookmarkStart w:id="237" w:name="_Toc127161455"/>
      <w:bookmarkStart w:id="238" w:name="_Toc226965814"/>
      <w:bookmarkStart w:id="239" w:name="_Toc151190168"/>
      <w:bookmarkStart w:id="240" w:name="_Toc164608655"/>
      <w:bookmarkStart w:id="241" w:name="_Toc305158809"/>
      <w:bookmarkStart w:id="242" w:name="_Toc150509292"/>
      <w:bookmarkStart w:id="243" w:name="_Toc150774641"/>
      <w:bookmarkStart w:id="244" w:name="_Toc151193855"/>
      <w:bookmarkStart w:id="245" w:name="_Toc151193783"/>
      <w:bookmarkStart w:id="246" w:name="_Toc151193639"/>
      <w:bookmarkStart w:id="247" w:name="_Toc127151742"/>
      <w:bookmarkStart w:id="248" w:name="_Toc353825551"/>
      <w:bookmarkStart w:id="249" w:name="_Toc353873941"/>
      <w:r>
        <w:rPr>
          <w:rFonts w:hint="eastAsia" w:asciiTheme="minorEastAsia" w:hAnsiTheme="minorEastAsia" w:eastAsiaTheme="minorEastAsia" w:cstheme="minorEastAsia"/>
          <w:sz w:val="24"/>
          <w:szCs w:val="24"/>
        </w:rPr>
        <w:t>投标文件的符合性审查</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2C0A748">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评标委员会对资格审查合格的投标人的投标文件进行符合性审查，以确定其是否满足招标文件的实质性要求。</w:t>
      </w:r>
      <w:bookmarkStart w:id="250" w:name="_Toc520356167"/>
    </w:p>
    <w:p w14:paraId="7A90D2D8">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50"/>
      <w:r>
        <w:rPr>
          <w:rFonts w:hint="eastAsia" w:asciiTheme="minorEastAsia" w:hAnsiTheme="minorEastAsia" w:eastAsiaTheme="minorEastAsia" w:cstheme="minorEastAsia"/>
          <w:sz w:val="24"/>
          <w:szCs w:val="24"/>
        </w:rPr>
        <w:t>要求的，</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4E9A2803">
      <w:pPr>
        <w:tabs>
          <w:tab w:val="left" w:pos="900"/>
          <w:tab w:val="left" w:pos="1080"/>
          <w:tab w:val="left" w:pos="1589"/>
        </w:tabs>
        <w:snapToGrid w:val="0"/>
        <w:spacing w:line="360" w:lineRule="auto"/>
        <w:ind w:leftChars="-170" w:hanging="357" w:hangingChars="148"/>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符合性审查要求</w:t>
      </w:r>
    </w:p>
    <w:tbl>
      <w:tblPr>
        <w:tblStyle w:val="60"/>
        <w:tblW w:w="9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944"/>
        <w:gridCol w:w="7037"/>
      </w:tblGrid>
      <w:tr w14:paraId="7DC44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9" w:type="dxa"/>
            <w:noWrap w:val="0"/>
            <w:vAlign w:val="center"/>
          </w:tcPr>
          <w:p w14:paraId="56EF8460">
            <w:pPr>
              <w:keepNext w:val="0"/>
              <w:keepLines w:val="0"/>
              <w:pageBreakBefore w:val="0"/>
              <w:widowControl w:val="0"/>
              <w:kinsoku/>
              <w:wordWrap/>
              <w:overflowPunct/>
              <w:topLinePunct w:val="0"/>
              <w:autoSpaceDE/>
              <w:autoSpaceDN/>
              <w:bidi w:val="0"/>
              <w:adjustRightInd/>
              <w:snapToGrid/>
              <w:spacing w:line="221"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pacing w:val="-5"/>
                <w:sz w:val="21"/>
                <w:szCs w:val="21"/>
              </w:rPr>
              <w:t>序号</w:t>
            </w:r>
          </w:p>
        </w:tc>
        <w:tc>
          <w:tcPr>
            <w:tcW w:w="1944" w:type="dxa"/>
            <w:noWrap w:val="0"/>
            <w:vAlign w:val="center"/>
          </w:tcPr>
          <w:p w14:paraId="738652D9">
            <w:pPr>
              <w:keepNext w:val="0"/>
              <w:keepLines w:val="0"/>
              <w:pageBreakBefore w:val="0"/>
              <w:widowControl w:val="0"/>
              <w:kinsoku/>
              <w:wordWrap/>
              <w:overflowPunct/>
              <w:topLinePunct w:val="0"/>
              <w:autoSpaceDE/>
              <w:autoSpaceDN/>
              <w:bidi w:val="0"/>
              <w:adjustRightInd/>
              <w:snapToGrid/>
              <w:spacing w:line="219"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pacing w:val="-5"/>
                <w:sz w:val="21"/>
                <w:szCs w:val="21"/>
              </w:rPr>
              <w:t>审查因素</w:t>
            </w:r>
          </w:p>
        </w:tc>
        <w:tc>
          <w:tcPr>
            <w:tcW w:w="7037" w:type="dxa"/>
            <w:noWrap w:val="0"/>
            <w:vAlign w:val="center"/>
          </w:tcPr>
          <w:p w14:paraId="7DA74891">
            <w:pPr>
              <w:keepNext w:val="0"/>
              <w:keepLines w:val="0"/>
              <w:pageBreakBefore w:val="0"/>
              <w:widowControl w:val="0"/>
              <w:kinsoku/>
              <w:wordWrap/>
              <w:overflowPunct/>
              <w:topLinePunct w:val="0"/>
              <w:autoSpaceDE/>
              <w:autoSpaceDN/>
              <w:bidi w:val="0"/>
              <w:adjustRightInd/>
              <w:snapToGrid/>
              <w:spacing w:line="219" w:lineRule="auto"/>
              <w:ind w:left="0" w:righ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pacing w:val="-5"/>
                <w:sz w:val="21"/>
                <w:szCs w:val="21"/>
              </w:rPr>
              <w:t>审查内容</w:t>
            </w:r>
          </w:p>
        </w:tc>
      </w:tr>
      <w:tr w14:paraId="69975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09" w:type="dxa"/>
            <w:noWrap w:val="0"/>
            <w:vAlign w:val="center"/>
          </w:tcPr>
          <w:p w14:paraId="35C51AC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1</w:t>
            </w:r>
          </w:p>
        </w:tc>
        <w:tc>
          <w:tcPr>
            <w:tcW w:w="1944" w:type="dxa"/>
            <w:noWrap w:val="0"/>
            <w:vAlign w:val="center"/>
          </w:tcPr>
          <w:p w14:paraId="4C8B269E">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签字、盖章</w:t>
            </w:r>
          </w:p>
        </w:tc>
        <w:tc>
          <w:tcPr>
            <w:tcW w:w="7037" w:type="dxa"/>
            <w:noWrap w:val="0"/>
            <w:vAlign w:val="center"/>
          </w:tcPr>
          <w:p w14:paraId="675684F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投标响应文件签字盖章是否满足招标文件要求；</w:t>
            </w:r>
          </w:p>
        </w:tc>
      </w:tr>
      <w:tr w14:paraId="64451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7FE429F8">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2</w:t>
            </w:r>
          </w:p>
        </w:tc>
        <w:tc>
          <w:tcPr>
            <w:tcW w:w="1944" w:type="dxa"/>
            <w:noWrap w:val="0"/>
            <w:vAlign w:val="center"/>
          </w:tcPr>
          <w:p w14:paraId="57748C9B">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响应文件编制</w:t>
            </w:r>
          </w:p>
        </w:tc>
        <w:tc>
          <w:tcPr>
            <w:tcW w:w="7037" w:type="dxa"/>
            <w:noWrap w:val="0"/>
            <w:vAlign w:val="center"/>
          </w:tcPr>
          <w:p w14:paraId="06185375">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投标响应文件是否按招标文件要求编制，内容是否全面或字迹是否模</w:t>
            </w:r>
          </w:p>
          <w:p w14:paraId="1B6AF1BF">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糊、辨认不清的；</w:t>
            </w:r>
          </w:p>
        </w:tc>
      </w:tr>
      <w:tr w14:paraId="10F71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445DBADD">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3</w:t>
            </w:r>
          </w:p>
        </w:tc>
        <w:tc>
          <w:tcPr>
            <w:tcW w:w="1944" w:type="dxa"/>
            <w:noWrap w:val="0"/>
            <w:vAlign w:val="center"/>
          </w:tcPr>
          <w:p w14:paraId="50E04171">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响应文件内容</w:t>
            </w:r>
          </w:p>
        </w:tc>
        <w:tc>
          <w:tcPr>
            <w:tcW w:w="7037" w:type="dxa"/>
            <w:noWrap w:val="0"/>
            <w:vAlign w:val="center"/>
          </w:tcPr>
          <w:p w14:paraId="0941E470">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投标文件是否不齐全或者内容虚假的；</w:t>
            </w:r>
          </w:p>
        </w:tc>
      </w:tr>
      <w:tr w14:paraId="7C308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09" w:type="dxa"/>
            <w:noWrap w:val="0"/>
            <w:vAlign w:val="center"/>
          </w:tcPr>
          <w:p w14:paraId="0B94FC26">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4</w:t>
            </w:r>
          </w:p>
        </w:tc>
        <w:tc>
          <w:tcPr>
            <w:tcW w:w="1944" w:type="dxa"/>
            <w:noWrap w:val="0"/>
            <w:vAlign w:val="center"/>
          </w:tcPr>
          <w:p w14:paraId="764D1C0D">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投标报价</w:t>
            </w:r>
          </w:p>
        </w:tc>
        <w:tc>
          <w:tcPr>
            <w:tcW w:w="7037" w:type="dxa"/>
            <w:noWrap w:val="0"/>
            <w:vAlign w:val="center"/>
          </w:tcPr>
          <w:p w14:paraId="0F6CF25A">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投标人对同一招标项目做出两个或两个以上报价未明确效力；超出预</w:t>
            </w:r>
          </w:p>
          <w:p w14:paraId="6F0A13C9">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算总价的。</w:t>
            </w:r>
          </w:p>
        </w:tc>
      </w:tr>
      <w:tr w14:paraId="35FEE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06AB7C60">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5</w:t>
            </w:r>
          </w:p>
        </w:tc>
        <w:tc>
          <w:tcPr>
            <w:tcW w:w="1944" w:type="dxa"/>
            <w:noWrap w:val="0"/>
            <w:vAlign w:val="center"/>
          </w:tcPr>
          <w:p w14:paraId="721A45A1">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供货期、质保期</w:t>
            </w:r>
          </w:p>
        </w:tc>
        <w:tc>
          <w:tcPr>
            <w:tcW w:w="7037" w:type="dxa"/>
            <w:noWrap w:val="0"/>
            <w:vAlign w:val="center"/>
          </w:tcPr>
          <w:p w14:paraId="5EEB1BB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投标文件记载的招标项目供货期、质保期是否满足招标文件要求；</w:t>
            </w:r>
          </w:p>
        </w:tc>
      </w:tr>
      <w:tr w14:paraId="263E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09" w:type="dxa"/>
            <w:noWrap w:val="0"/>
            <w:vAlign w:val="center"/>
          </w:tcPr>
          <w:p w14:paraId="72A5BF70">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6</w:t>
            </w:r>
          </w:p>
        </w:tc>
        <w:tc>
          <w:tcPr>
            <w:tcW w:w="1944" w:type="dxa"/>
            <w:noWrap w:val="0"/>
            <w:vAlign w:val="center"/>
          </w:tcPr>
          <w:p w14:paraId="43CE047E">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投标有效期</w:t>
            </w:r>
          </w:p>
        </w:tc>
        <w:tc>
          <w:tcPr>
            <w:tcW w:w="7037" w:type="dxa"/>
            <w:noWrap w:val="0"/>
            <w:vAlign w:val="center"/>
          </w:tcPr>
          <w:p w14:paraId="5C056A3F">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投标文件中承诺的投标有效期满足招标文件中载明的投标有效期的；</w:t>
            </w:r>
          </w:p>
        </w:tc>
      </w:tr>
      <w:tr w14:paraId="5538C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09" w:type="dxa"/>
            <w:noWrap w:val="0"/>
            <w:vAlign w:val="center"/>
          </w:tcPr>
          <w:p w14:paraId="282EEB1A">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7</w:t>
            </w:r>
          </w:p>
        </w:tc>
        <w:tc>
          <w:tcPr>
            <w:tcW w:w="1944" w:type="dxa"/>
            <w:noWrap w:val="0"/>
            <w:vAlign w:val="center"/>
          </w:tcPr>
          <w:p w14:paraId="393E7352">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商务条款</w:t>
            </w:r>
          </w:p>
        </w:tc>
        <w:tc>
          <w:tcPr>
            <w:tcW w:w="7037" w:type="dxa"/>
            <w:noWrap w:val="0"/>
            <w:vAlign w:val="center"/>
          </w:tcPr>
          <w:p w14:paraId="46CCA1B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商务条款是否有偏离情况的；</w:t>
            </w:r>
          </w:p>
        </w:tc>
      </w:tr>
      <w:tr w14:paraId="52980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809" w:type="dxa"/>
            <w:noWrap w:val="0"/>
            <w:vAlign w:val="center"/>
          </w:tcPr>
          <w:p w14:paraId="2D0157D8">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8</w:t>
            </w:r>
          </w:p>
        </w:tc>
        <w:tc>
          <w:tcPr>
            <w:tcW w:w="1944" w:type="dxa"/>
            <w:noWrap w:val="0"/>
            <w:vAlign w:val="center"/>
          </w:tcPr>
          <w:p w14:paraId="7792948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技术条款</w:t>
            </w:r>
          </w:p>
        </w:tc>
        <w:tc>
          <w:tcPr>
            <w:tcW w:w="7037" w:type="dxa"/>
            <w:noWrap w:val="0"/>
            <w:vAlign w:val="center"/>
          </w:tcPr>
          <w:p w14:paraId="0D9CDCC1">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技术条款是否有实质性偏离情况的（产品名称</w:t>
            </w:r>
            <w:r>
              <w:rPr>
                <w:rFonts w:hint="eastAsia" w:ascii="宋体" w:hAnsi="宋体" w:cs="宋体"/>
                <w:spacing w:val="6"/>
                <w:sz w:val="21"/>
                <w:szCs w:val="21"/>
                <w:lang w:val="en-US" w:eastAsia="zh-CN"/>
              </w:rPr>
              <w:t>、</w:t>
            </w:r>
            <w:r>
              <w:rPr>
                <w:rFonts w:hint="eastAsia" w:ascii="宋体" w:hAnsi="宋体" w:eastAsia="宋体" w:cs="宋体"/>
                <w:spacing w:val="6"/>
                <w:sz w:val="21"/>
                <w:szCs w:val="21"/>
                <w:lang w:val="en-US" w:eastAsia="en-US"/>
              </w:rPr>
              <w:t>产品数量</w:t>
            </w:r>
            <w:r>
              <w:rPr>
                <w:rFonts w:hint="eastAsia" w:ascii="宋体" w:hAnsi="宋体" w:cs="宋体"/>
                <w:spacing w:val="6"/>
                <w:sz w:val="21"/>
                <w:szCs w:val="21"/>
                <w:lang w:val="en-US" w:eastAsia="zh-CN"/>
              </w:rPr>
              <w:t>等</w:t>
            </w:r>
            <w:r>
              <w:rPr>
                <w:rFonts w:hint="eastAsia" w:ascii="宋体" w:hAnsi="宋体" w:eastAsia="宋体" w:cs="宋体"/>
                <w:spacing w:val="6"/>
                <w:sz w:val="21"/>
                <w:szCs w:val="21"/>
                <w:lang w:val="en-US" w:eastAsia="en-US"/>
              </w:rPr>
              <w:t>不符合招标文件要求的）；</w:t>
            </w:r>
          </w:p>
        </w:tc>
      </w:tr>
      <w:tr w14:paraId="3FC6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09" w:type="dxa"/>
            <w:noWrap w:val="0"/>
            <w:vAlign w:val="center"/>
          </w:tcPr>
          <w:p w14:paraId="56BECEB6">
            <w:pPr>
              <w:keepNext w:val="0"/>
              <w:keepLines w:val="0"/>
              <w:pageBreakBefore w:val="0"/>
              <w:widowControl w:val="0"/>
              <w:kinsoku/>
              <w:wordWrap/>
              <w:overflowPunct/>
              <w:topLinePunct w:val="0"/>
              <w:autoSpaceDE/>
              <w:autoSpaceDN/>
              <w:bidi w:val="0"/>
              <w:adjustRightInd/>
              <w:snapToGrid/>
              <w:spacing w:line="284" w:lineRule="auto"/>
              <w:ind w:left="0" w:right="0" w:firstLine="0" w:firstLineChars="0"/>
              <w:jc w:val="center"/>
              <w:textAlignment w:val="auto"/>
              <w:rPr>
                <w:rFonts w:hint="eastAsia" w:ascii="宋体" w:hAnsi="宋体" w:eastAsia="宋体" w:cs="宋体"/>
                <w:sz w:val="21"/>
                <w:szCs w:val="21"/>
              </w:rPr>
            </w:pPr>
          </w:p>
          <w:p w14:paraId="5DBB3CBC">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944" w:type="dxa"/>
            <w:noWrap w:val="0"/>
            <w:vAlign w:val="center"/>
          </w:tcPr>
          <w:p w14:paraId="5EE30EAD">
            <w:pPr>
              <w:keepNext w:val="0"/>
              <w:keepLines w:val="0"/>
              <w:pageBreakBefore w:val="0"/>
              <w:widowControl w:val="0"/>
              <w:kinsoku/>
              <w:wordWrap/>
              <w:overflowPunct/>
              <w:topLinePunct w:val="0"/>
              <w:autoSpaceDE/>
              <w:autoSpaceDN/>
              <w:bidi w:val="0"/>
              <w:adjustRightInd/>
              <w:snapToGrid/>
              <w:spacing w:line="241" w:lineRule="auto"/>
              <w:ind w:left="0" w:right="0" w:firstLine="0" w:firstLineChars="0"/>
              <w:jc w:val="center"/>
              <w:textAlignment w:val="auto"/>
              <w:rPr>
                <w:rFonts w:hint="eastAsia" w:ascii="宋体" w:hAnsi="宋体" w:eastAsia="宋体" w:cs="宋体"/>
                <w:sz w:val="21"/>
                <w:szCs w:val="21"/>
              </w:rPr>
            </w:pPr>
          </w:p>
          <w:p w14:paraId="43E6DD6F">
            <w:pPr>
              <w:keepNext w:val="0"/>
              <w:keepLines w:val="0"/>
              <w:pageBreakBefore w:val="0"/>
              <w:widowControl w:val="0"/>
              <w:kinsoku/>
              <w:wordWrap/>
              <w:overflowPunct/>
              <w:topLinePunct w:val="0"/>
              <w:autoSpaceDE/>
              <w:autoSpaceDN/>
              <w:bidi w:val="0"/>
              <w:adjustRightInd/>
              <w:snapToGrid/>
              <w:spacing w:line="226"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报价合理性</w:t>
            </w:r>
          </w:p>
        </w:tc>
        <w:tc>
          <w:tcPr>
            <w:tcW w:w="7037" w:type="dxa"/>
            <w:noWrap w:val="0"/>
            <w:vAlign w:val="center"/>
          </w:tcPr>
          <w:p w14:paraId="61048620">
            <w:pPr>
              <w:keepNext w:val="0"/>
              <w:keepLines w:val="0"/>
              <w:pageBreakBefore w:val="0"/>
              <w:widowControl w:val="0"/>
              <w:kinsoku/>
              <w:wordWrap/>
              <w:overflowPunct/>
              <w:topLinePunct w:val="0"/>
              <w:autoSpaceDE/>
              <w:autoSpaceDN/>
              <w:bidi w:val="0"/>
              <w:adjustRightInd/>
              <w:snapToGrid/>
              <w:spacing w:line="226" w:lineRule="auto"/>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10"/>
                <w:sz w:val="21"/>
                <w:szCs w:val="21"/>
              </w:rPr>
              <w:t>投标人的报价明显低于其他通过符合性审查投标人的报价</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rPr>
              <w:t>有</w:t>
            </w:r>
            <w:r>
              <w:rPr>
                <w:rFonts w:hint="eastAsia" w:ascii="宋体" w:hAnsi="宋体" w:eastAsia="宋体" w:cs="宋体"/>
                <w:spacing w:val="7"/>
                <w:sz w:val="21"/>
                <w:szCs w:val="21"/>
              </w:rPr>
              <w:t>可能影响产品质量或者不能诚信履约的，能够应</w:t>
            </w:r>
            <w:r>
              <w:rPr>
                <w:rFonts w:hint="eastAsia" w:ascii="宋体" w:hAnsi="宋体" w:eastAsia="宋体" w:cs="宋体"/>
                <w:spacing w:val="6"/>
                <w:sz w:val="21"/>
                <w:szCs w:val="21"/>
              </w:rPr>
              <w:t>评标委员会要求在规定时间</w:t>
            </w:r>
            <w:r>
              <w:rPr>
                <w:rFonts w:hint="eastAsia" w:ascii="宋体" w:hAnsi="宋体" w:eastAsia="宋体" w:cs="宋体"/>
                <w:spacing w:val="5"/>
                <w:sz w:val="21"/>
                <w:szCs w:val="21"/>
              </w:rPr>
              <w:t>内证明其报价合理性的；</w:t>
            </w:r>
          </w:p>
        </w:tc>
      </w:tr>
      <w:tr w14:paraId="148C6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809" w:type="dxa"/>
            <w:noWrap w:val="0"/>
            <w:vAlign w:val="center"/>
          </w:tcPr>
          <w:p w14:paraId="6B62F5D5">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0</w:t>
            </w:r>
          </w:p>
        </w:tc>
        <w:tc>
          <w:tcPr>
            <w:tcW w:w="1944" w:type="dxa"/>
            <w:noWrap w:val="0"/>
            <w:vAlign w:val="center"/>
          </w:tcPr>
          <w:p w14:paraId="40F65B4C">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公平竞争</w:t>
            </w:r>
          </w:p>
        </w:tc>
        <w:tc>
          <w:tcPr>
            <w:tcW w:w="7037" w:type="dxa"/>
            <w:noWrap w:val="0"/>
            <w:vAlign w:val="center"/>
          </w:tcPr>
          <w:p w14:paraId="562B0ABC">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投标人遵循公平竞争的原则，不存在恶意串通，妨碍其他投标人的竞争行为，</w:t>
            </w:r>
            <w:r>
              <w:rPr>
                <w:rFonts w:hint="eastAsia" w:ascii="宋体" w:hAnsi="宋体" w:eastAsia="宋体" w:cs="宋体"/>
                <w:spacing w:val="9"/>
                <w:sz w:val="21"/>
                <w:szCs w:val="21"/>
              </w:rPr>
              <w:t>不存在损害采购人或者其他投标人的合法权益情形的；</w:t>
            </w:r>
          </w:p>
        </w:tc>
      </w:tr>
      <w:tr w14:paraId="0BCB7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09" w:type="dxa"/>
            <w:noWrap w:val="0"/>
            <w:vAlign w:val="center"/>
          </w:tcPr>
          <w:p w14:paraId="6563C813">
            <w:pPr>
              <w:keepNext w:val="0"/>
              <w:keepLines w:val="0"/>
              <w:pageBreakBefore w:val="0"/>
              <w:widowControl w:val="0"/>
              <w:kinsoku/>
              <w:wordWrap/>
              <w:overflowPunct/>
              <w:topLinePunct w:val="0"/>
              <w:autoSpaceDE/>
              <w:autoSpaceDN/>
              <w:bidi w:val="0"/>
              <w:adjustRightInd/>
              <w:snapToGrid/>
              <w:spacing w:line="345" w:lineRule="auto"/>
              <w:ind w:left="0" w:right="0" w:firstLine="0" w:firstLineChars="0"/>
              <w:jc w:val="both"/>
              <w:textAlignment w:val="auto"/>
              <w:rPr>
                <w:rFonts w:hint="eastAsia" w:ascii="宋体" w:hAnsi="宋体" w:eastAsia="宋体" w:cs="宋体"/>
                <w:sz w:val="21"/>
                <w:szCs w:val="21"/>
              </w:rPr>
            </w:pPr>
          </w:p>
          <w:p w14:paraId="22D758E0">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1</w:t>
            </w:r>
          </w:p>
        </w:tc>
        <w:tc>
          <w:tcPr>
            <w:tcW w:w="1944" w:type="dxa"/>
            <w:noWrap w:val="0"/>
            <w:vAlign w:val="center"/>
          </w:tcPr>
          <w:p w14:paraId="2155DC8D">
            <w:pPr>
              <w:keepNext w:val="0"/>
              <w:keepLines w:val="0"/>
              <w:pageBreakBefore w:val="0"/>
              <w:widowControl w:val="0"/>
              <w:kinsoku/>
              <w:wordWrap/>
              <w:overflowPunct/>
              <w:topLinePunct w:val="0"/>
              <w:autoSpaceDE/>
              <w:autoSpaceDN/>
              <w:bidi w:val="0"/>
              <w:adjustRightInd/>
              <w:snapToGrid/>
              <w:spacing w:line="322" w:lineRule="auto"/>
              <w:ind w:left="0" w:right="0" w:firstLine="0" w:firstLineChars="0"/>
              <w:jc w:val="both"/>
              <w:textAlignment w:val="auto"/>
              <w:rPr>
                <w:rFonts w:hint="eastAsia" w:ascii="宋体" w:hAnsi="宋体" w:eastAsia="宋体" w:cs="宋体"/>
                <w:sz w:val="21"/>
                <w:szCs w:val="21"/>
              </w:rPr>
            </w:pPr>
          </w:p>
          <w:p w14:paraId="5B297C6C">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串通投标</w:t>
            </w:r>
          </w:p>
        </w:tc>
        <w:tc>
          <w:tcPr>
            <w:tcW w:w="7037" w:type="dxa"/>
            <w:noWrap w:val="0"/>
            <w:vAlign w:val="center"/>
          </w:tcPr>
          <w:p w14:paraId="5197735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不存在《政府采购货物和服务招标投标管理办法》视为投标人串通投标的情形</w:t>
            </w:r>
          </w:p>
          <w:p w14:paraId="00BE222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（一）不同投标人的投标文件由同一单位或者个人编制；</w:t>
            </w:r>
          </w:p>
          <w:p w14:paraId="05A7B564">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（二）不同投标人委托同一单位或者个人办理投标事宜；</w:t>
            </w:r>
          </w:p>
          <w:p w14:paraId="6016844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en-US"/>
              </w:rPr>
              <w:t>（三）不同投标人的投标文件载明的项目管理成员或者联系人员为同一人</w:t>
            </w:r>
            <w:r>
              <w:rPr>
                <w:rFonts w:hint="eastAsia" w:ascii="宋体" w:hAnsi="宋体" w:eastAsia="宋体" w:cs="宋体"/>
                <w:spacing w:val="6"/>
                <w:sz w:val="21"/>
                <w:szCs w:val="21"/>
                <w:lang w:val="en-US" w:eastAsia="zh-CN"/>
              </w:rPr>
              <w:t>；</w:t>
            </w:r>
          </w:p>
          <w:p w14:paraId="624D114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（四）不同投标人的投标文件异常一致或者投标报价呈规律性差异；</w:t>
            </w:r>
          </w:p>
          <w:p w14:paraId="2600BB08">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（五）不同投标人的投标文件相互混装；</w:t>
            </w:r>
          </w:p>
          <w:p w14:paraId="266787A6">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（六）不同投标人的投标保证金从同一单位或者个人的账户转出；</w:t>
            </w:r>
          </w:p>
        </w:tc>
      </w:tr>
      <w:tr w14:paraId="41C1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09" w:type="dxa"/>
            <w:noWrap w:val="0"/>
            <w:vAlign w:val="center"/>
          </w:tcPr>
          <w:p w14:paraId="36CFFDC0">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2</w:t>
            </w:r>
          </w:p>
        </w:tc>
        <w:tc>
          <w:tcPr>
            <w:tcW w:w="1944" w:type="dxa"/>
            <w:noWrap w:val="0"/>
            <w:vAlign w:val="center"/>
          </w:tcPr>
          <w:p w14:paraId="1F1B69C5">
            <w:pPr>
              <w:keepNext w:val="0"/>
              <w:keepLines w:val="0"/>
              <w:pageBreakBefore w:val="0"/>
              <w:widowControl w:val="0"/>
              <w:kinsoku/>
              <w:wordWrap/>
              <w:overflowPunct/>
              <w:topLinePunct w:val="0"/>
              <w:autoSpaceDE/>
              <w:autoSpaceDN/>
              <w:bidi w:val="0"/>
              <w:adjustRightInd/>
              <w:snapToGrid/>
              <w:spacing w:line="227"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附加条件</w:t>
            </w:r>
          </w:p>
        </w:tc>
        <w:tc>
          <w:tcPr>
            <w:tcW w:w="7037" w:type="dxa"/>
            <w:noWrap w:val="0"/>
            <w:vAlign w:val="center"/>
          </w:tcPr>
          <w:p w14:paraId="2EB084E7">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pacing w:val="6"/>
                <w:sz w:val="21"/>
                <w:szCs w:val="21"/>
                <w:lang w:val="en-US" w:eastAsia="en-US"/>
              </w:rPr>
            </w:pPr>
            <w:r>
              <w:rPr>
                <w:rFonts w:hint="eastAsia" w:ascii="宋体" w:hAnsi="宋体" w:eastAsia="宋体" w:cs="宋体"/>
                <w:spacing w:val="6"/>
                <w:sz w:val="21"/>
                <w:szCs w:val="21"/>
                <w:lang w:val="en-US" w:eastAsia="en-US"/>
              </w:rPr>
              <w:t>投标文件未含有采购人不能接受的附加条件的；</w:t>
            </w:r>
          </w:p>
        </w:tc>
      </w:tr>
      <w:tr w14:paraId="11F7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09" w:type="dxa"/>
            <w:noWrap w:val="0"/>
            <w:vAlign w:val="center"/>
          </w:tcPr>
          <w:p w14:paraId="6DC3F8DF">
            <w:pPr>
              <w:keepNext w:val="0"/>
              <w:keepLines w:val="0"/>
              <w:pageBreakBefore w:val="0"/>
              <w:widowControl w:val="0"/>
              <w:kinsoku/>
              <w:wordWrap/>
              <w:overflowPunct/>
              <w:topLinePunct w:val="0"/>
              <w:autoSpaceDE/>
              <w:autoSpaceDN/>
              <w:bidi w:val="0"/>
              <w:adjustRightInd/>
              <w:snapToGrid/>
              <w:spacing w:line="195"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3</w:t>
            </w:r>
          </w:p>
        </w:tc>
        <w:tc>
          <w:tcPr>
            <w:tcW w:w="1944" w:type="dxa"/>
            <w:noWrap w:val="0"/>
            <w:vAlign w:val="center"/>
          </w:tcPr>
          <w:p w14:paraId="5F2A085D">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其他无效情形</w:t>
            </w:r>
          </w:p>
        </w:tc>
        <w:tc>
          <w:tcPr>
            <w:tcW w:w="7037" w:type="dxa"/>
            <w:noWrap w:val="0"/>
            <w:vAlign w:val="center"/>
          </w:tcPr>
          <w:p w14:paraId="6A15224A">
            <w:pPr>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投标人、投标文件不存在不符合法律、法规和招标文件规定的其他无效情形。</w:t>
            </w:r>
          </w:p>
        </w:tc>
      </w:tr>
    </w:tbl>
    <w:p w14:paraId="6280A5F4">
      <w:pPr>
        <w:pStyle w:val="6"/>
        <w:rPr>
          <w:rFonts w:hint="eastAsia"/>
        </w:rPr>
      </w:pPr>
    </w:p>
    <w:p w14:paraId="79366FC9">
      <w:pPr>
        <w:numPr>
          <w:ilvl w:val="0"/>
          <w:numId w:val="8"/>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投标文件有关事项的澄清或者说明</w:t>
      </w:r>
    </w:p>
    <w:p w14:paraId="08C78CBD">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C0E0D0C">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Theme="minorEastAsia" w:hAnsiTheme="minorEastAsia" w:eastAsiaTheme="minorEastAsia" w:cstheme="minorEastAsia"/>
          <w:b/>
          <w:sz w:val="24"/>
          <w:szCs w:val="24"/>
        </w:rPr>
        <w:t>无效投标处理</w:t>
      </w:r>
      <w:r>
        <w:rPr>
          <w:rFonts w:hint="eastAsia" w:asciiTheme="minorEastAsia" w:hAnsiTheme="minorEastAsia" w:eastAsiaTheme="minorEastAsia" w:cstheme="minorEastAsia"/>
          <w:sz w:val="24"/>
          <w:szCs w:val="24"/>
        </w:rPr>
        <w:t>。</w:t>
      </w:r>
    </w:p>
    <w:p w14:paraId="703E8FA7">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6BCFCE1B">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投标文件报价出现前后不一致的，按照下列规定修正：</w:t>
      </w:r>
    </w:p>
    <w:p w14:paraId="0FDA9676">
      <w:pPr>
        <w:numPr>
          <w:ilvl w:val="2"/>
          <w:numId w:val="8"/>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招标文件对于报价修正是否另有规定：</w:t>
      </w:r>
    </w:p>
    <w:p w14:paraId="5996B01C">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□有，具体规定为：______________</w:t>
      </w:r>
    </w:p>
    <w:p w14:paraId="03EB857C">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无，按下述2.4.2-2.4.7项规定修正。</w:t>
      </w:r>
    </w:p>
    <w:p w14:paraId="7EF8178A">
      <w:pPr>
        <w:numPr>
          <w:ilvl w:val="2"/>
          <w:numId w:val="8"/>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单独递交的开标一览表（报价表）与投标文件中开标一览表（报价表）内容不一致的，以单独递交的开标一览表（报价表）为准；</w:t>
      </w:r>
    </w:p>
    <w:p w14:paraId="1A407180">
      <w:pPr>
        <w:numPr>
          <w:ilvl w:val="2"/>
          <w:numId w:val="8"/>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投标文件中开标一览表（报价表）内容与投标文件中相应内容不一致的，以开标一览表（报价表）为准；</w:t>
      </w:r>
    </w:p>
    <w:p w14:paraId="3A14A7F9">
      <w:pPr>
        <w:numPr>
          <w:ilvl w:val="2"/>
          <w:numId w:val="8"/>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大写金额和小写金额不一致的，以大写金额为准；</w:t>
      </w:r>
    </w:p>
    <w:p w14:paraId="012C5512">
      <w:pPr>
        <w:numPr>
          <w:ilvl w:val="2"/>
          <w:numId w:val="8"/>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单价金额小数点或者百分比有明显错位的，以开标一览表的总价为准，并修改单价；</w:t>
      </w:r>
    </w:p>
    <w:p w14:paraId="3CBB966C">
      <w:pPr>
        <w:numPr>
          <w:ilvl w:val="2"/>
          <w:numId w:val="8"/>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总价金额与按单价汇总金额不一致的，以单价金额计算结果为准。</w:t>
      </w:r>
    </w:p>
    <w:p w14:paraId="1D8634A9">
      <w:pPr>
        <w:numPr>
          <w:ilvl w:val="2"/>
          <w:numId w:val="8"/>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同时出现两种以上不一致的，按照前款规定的顺序修正。修正后的报价经投标人书面确认后产生约束力，投标人不确认的，其</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75DFF973">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落实政府采购政策的价格调整：只有符合第二章《投标人须知》规定情形的，可以享受中小企业扶持政策，用扣除后的价格参加评审；否则，评标时价格不予扣除。</w:t>
      </w:r>
    </w:p>
    <w:p w14:paraId="21056EF7">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对于未预留份额专门面向中小企业采购的采购项目，以及预留份额项目中的非预留部分采购包，对小微企业报价给予</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的扣除，用扣除后的价格参加评审。</w:t>
      </w:r>
    </w:p>
    <w:p w14:paraId="5B1EE280">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0%以上的联合体或者大中型企业的报价给予</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的扣除，用扣除后的价格参加评审。</w:t>
      </w:r>
    </w:p>
    <w:p w14:paraId="2760120D">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组成联合体或者接受分包的小微企业与联合体内其他企业、分包企业之间存在直接控股、管理关系的，不享受价格扣除优惠政策。</w:t>
      </w:r>
    </w:p>
    <w:p w14:paraId="23AC2639">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价格扣除比例对小型企业和微型企业同等对待，不作区分。</w:t>
      </w:r>
    </w:p>
    <w:p w14:paraId="67536E28">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中小企业参加政府采购活动，应当按照招标文件给定的格式出具《中小企业声明函》，否则不得享受相关中小企业扶持政策。</w:t>
      </w:r>
    </w:p>
    <w:p w14:paraId="43F5785A">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监狱企业提供了由省级以上监狱管理局（北京市含教育矫治局）、戒毒管理局（含新疆生产建设兵团）出具的属于监狱企业的证明文件的，视同小微企业。</w:t>
      </w:r>
    </w:p>
    <w:p w14:paraId="2C22FA31">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残疾人福利性单位按招标文件要求提供了《残疾人福利性单位声明函》（见附件）的，视同小微企业。</w:t>
      </w:r>
    </w:p>
    <w:p w14:paraId="7ECD6014">
      <w:pPr>
        <w:numPr>
          <w:ilvl w:val="2"/>
          <w:numId w:val="8"/>
        </w:numPr>
        <w:tabs>
          <w:tab w:val="left" w:pos="1080"/>
          <w:tab w:val="left" w:pos="1589"/>
          <w:tab w:val="left" w:pos="2014"/>
          <w:tab w:val="clear" w:pos="1980"/>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若投标人同时属于小型或微型企业、监狱企业、残疾人福利性单位中的两种及以上，将不重复享受小微企业价格扣减的优惠政策。</w:t>
      </w:r>
    </w:p>
    <w:p w14:paraId="1FE1241A">
      <w:pPr>
        <w:numPr>
          <w:ilvl w:val="0"/>
          <w:numId w:val="8"/>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投标文件的比较和评价</w:t>
      </w:r>
      <w:bookmarkEnd w:id="248"/>
      <w:bookmarkEnd w:id="249"/>
    </w:p>
    <w:p w14:paraId="0EE719F1">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评标委员会将按照招标文件中规定的评标方法和标准，对符合性审查合格的投标文件进行商务和技术评估，综合比较与评价；未通过符合性审查的投标文件不得进入比较与评价。</w:t>
      </w:r>
    </w:p>
    <w:p w14:paraId="278775AC">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评标方法和评标标准</w:t>
      </w:r>
    </w:p>
    <w:p w14:paraId="3CEE7A5A">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本项目采用的评标方法为：</w:t>
      </w:r>
    </w:p>
    <w:p w14:paraId="08E9B22D">
      <w:pPr>
        <w:tabs>
          <w:tab w:val="left" w:pos="900"/>
          <w:tab w:val="left" w:pos="1589"/>
          <w:tab w:val="left" w:pos="1701"/>
        </w:tabs>
        <w:snapToGrid w:val="0"/>
        <w:spacing w:line="360" w:lineRule="auto"/>
        <w:ind w:left="19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3243FD">
      <w:pPr>
        <w:tabs>
          <w:tab w:val="left" w:pos="900"/>
          <w:tab w:val="left" w:pos="1589"/>
          <w:tab w:val="left" w:pos="1701"/>
        </w:tabs>
        <w:snapToGrid w:val="0"/>
        <w:spacing w:line="360" w:lineRule="auto"/>
        <w:ind w:left="19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□最低评标价法，指投标文件满足招标文件全部实质性要求，且投标报价最低的投标人为中标候选人的评标方法。</w:t>
      </w:r>
    </w:p>
    <w:p w14:paraId="2D9CD9DC">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Theme="minorEastAsia" w:hAnsiTheme="minorEastAsia" w:eastAsiaTheme="minorEastAsia" w:cstheme="minorEastAsia"/>
          <w:b/>
          <w:sz w:val="24"/>
          <w:szCs w:val="24"/>
        </w:rPr>
        <w:t>投标无效</w:t>
      </w:r>
      <w:r>
        <w:rPr>
          <w:rFonts w:hint="eastAsia" w:asciiTheme="minorEastAsia" w:hAnsiTheme="minorEastAsia" w:eastAsiaTheme="minorEastAsia" w:cstheme="minorEastAsia"/>
          <w:sz w:val="24"/>
          <w:szCs w:val="24"/>
        </w:rPr>
        <w:t>。</w:t>
      </w:r>
    </w:p>
    <w:p w14:paraId="115B9FC1">
      <w:p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□随机抽取</w:t>
      </w:r>
    </w:p>
    <w:p w14:paraId="0C39139B">
      <w:p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□其他方式，具体要求：_____</w:t>
      </w:r>
    </w:p>
    <w:p w14:paraId="6DE416F8">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非政府强制采购的节能产品或环境标志产品，依据品目清单和认证证书实施政府优先采购。优先采购的具体规定（如涉及）_____。</w:t>
      </w:r>
    </w:p>
    <w:p w14:paraId="4B8E69CA">
      <w:pPr>
        <w:numPr>
          <w:ilvl w:val="2"/>
          <w:numId w:val="8"/>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关于无线局域网认证产品政府采购清单中的产品，优先采购的具体规定（如涉及）_____。</w:t>
      </w:r>
    </w:p>
    <w:p w14:paraId="6383BFCE">
      <w:pPr>
        <w:numPr>
          <w:ilvl w:val="0"/>
          <w:numId w:val="8"/>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w:t>
      </w:r>
      <w:bookmarkStart w:id="251" w:name="_Toc151193716"/>
      <w:bookmarkStart w:id="252" w:name="_Toc164608660"/>
      <w:bookmarkStart w:id="253" w:name="_Toc226965819"/>
      <w:bookmarkStart w:id="254" w:name="_Toc164351640"/>
      <w:bookmarkStart w:id="255" w:name="_Toc226337242"/>
      <w:bookmarkStart w:id="256" w:name="_Toc151193934"/>
      <w:bookmarkStart w:id="257" w:name="_Toc305158888"/>
      <w:bookmarkStart w:id="258" w:name="_Toc164229241"/>
      <w:bookmarkStart w:id="259" w:name="_Toc142311048"/>
      <w:bookmarkStart w:id="260" w:name="_Ref467307010"/>
      <w:bookmarkStart w:id="261" w:name="_Toc195842911"/>
      <w:bookmarkStart w:id="262" w:name="_Toc150480784"/>
      <w:bookmarkStart w:id="263" w:name="_Toc264969236"/>
      <w:bookmarkStart w:id="264" w:name="_Toc151193860"/>
      <w:bookmarkStart w:id="265" w:name="_Toc149720839"/>
      <w:bookmarkStart w:id="266" w:name="_Toc151193788"/>
      <w:bookmarkStart w:id="267" w:name="_Toc226965736"/>
      <w:bookmarkStart w:id="268" w:name="_Toc127151546"/>
      <w:bookmarkStart w:id="269" w:name="_Toc151190173"/>
      <w:bookmarkStart w:id="270" w:name="_Toc226309790"/>
      <w:bookmarkStart w:id="271" w:name="_Toc150774646"/>
      <w:bookmarkStart w:id="272" w:name="_Toc265228384"/>
      <w:bookmarkStart w:id="273" w:name="_Toc127151747"/>
      <w:bookmarkStart w:id="274" w:name="_Toc520356170"/>
      <w:bookmarkStart w:id="275" w:name="_Toc127161460"/>
      <w:bookmarkStart w:id="276" w:name="_Toc164229387"/>
      <w:bookmarkStart w:id="277" w:name="_Toc164608815"/>
      <w:bookmarkStart w:id="278" w:name="_Toc151193644"/>
      <w:bookmarkStart w:id="279" w:name="_Toc150774751"/>
      <w:bookmarkStart w:id="280" w:name="_Toc305158814"/>
      <w:bookmarkStart w:id="281" w:name="_Toc150509297"/>
      <w:r>
        <w:rPr>
          <w:rFonts w:hint="eastAsia" w:asciiTheme="minorEastAsia" w:hAnsiTheme="minorEastAsia" w:eastAsiaTheme="minorEastAsia" w:cstheme="minorEastAsia"/>
          <w:sz w:val="24"/>
          <w:szCs w:val="24"/>
        </w:rPr>
        <w:t>中标候选人名单</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28A16422">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9E71F79">
      <w:pPr>
        <w:pStyle w:val="15"/>
        <w:tabs>
          <w:tab w:val="left" w:pos="900"/>
          <w:tab w:val="left" w:pos="2127"/>
        </w:tabs>
        <w:adjustRightInd w:val="0"/>
        <w:snapToGrid w:val="0"/>
        <w:spacing w:line="360" w:lineRule="auto"/>
        <w:ind w:left="993" w:firstLine="136" w:firstLineChars="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随机抽取</w:t>
      </w:r>
    </w:p>
    <w:p w14:paraId="6C617B06">
      <w:pPr>
        <w:pStyle w:val="15"/>
        <w:tabs>
          <w:tab w:val="left" w:pos="900"/>
          <w:tab w:val="left" w:pos="2127"/>
        </w:tabs>
        <w:adjustRightInd w:val="0"/>
        <w:snapToGrid w:val="0"/>
        <w:spacing w:line="360" w:lineRule="auto"/>
        <w:ind w:left="993" w:firstLine="136" w:firstLineChars="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□其他方式，具体要求：_____</w:t>
      </w:r>
    </w:p>
    <w:p w14:paraId="1D9B2ACB">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E642CBC">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189E68A">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评标委员会要对评分汇总情况进行复核，特别是对排名第一的、报价最低的、投标或响应文件被认定为无效的情形进行重点复核。</w:t>
      </w:r>
    </w:p>
    <w:p w14:paraId="1316FF27">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评标委员会将根据各投标人的评标排序，依次推荐本项目（各采购包）的中标候选人，起草并签署评标报告。本项目（各采购包）评标委员会共（各）推荐</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名中标候选人。</w:t>
      </w:r>
    </w:p>
    <w:p w14:paraId="1F7749D3">
      <w:pPr>
        <w:numPr>
          <w:ilvl w:val="0"/>
          <w:numId w:val="8"/>
        </w:numPr>
        <w:tabs>
          <w:tab w:val="left" w:pos="360"/>
        </w:tabs>
        <w:snapToGrid w:val="0"/>
        <w:spacing w:line="360" w:lineRule="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报告违法行为</w:t>
      </w:r>
    </w:p>
    <w:p w14:paraId="38051130">
      <w:pPr>
        <w:numPr>
          <w:ilvl w:val="1"/>
          <w:numId w:val="8"/>
        </w:numPr>
        <w:tabs>
          <w:tab w:val="left" w:pos="1080"/>
        </w:tabs>
        <w:snapToGrid w:val="0"/>
        <w:spacing w:line="360" w:lineRule="auto"/>
        <w:ind w:left="1077" w:hanging="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评标委员会在评标过程中发现投标人有行贿、提供虚假材料或者串通等违法行为时，有向采购人、采购代理机构或者有关部门报告的职责。</w:t>
      </w:r>
    </w:p>
    <w:p w14:paraId="6CDC3CAE">
      <w:pPr>
        <w:widowControl/>
        <w:jc w:val="center"/>
        <w:rPr>
          <w:rFonts w:hint="eastAsia" w:asciiTheme="minorEastAsia" w:hAnsiTheme="minorEastAsia" w:eastAsiaTheme="minorEastAsia" w:cstheme="minorEastAsia"/>
          <w:b/>
          <w:sz w:val="24"/>
          <w:szCs w:val="24"/>
        </w:rPr>
      </w:pPr>
    </w:p>
    <w:p w14:paraId="053BF49C">
      <w:pPr>
        <w:pStyle w:val="8"/>
        <w:rPr>
          <w:rFonts w:hint="eastAsia" w:asciiTheme="minorEastAsia" w:hAnsiTheme="minorEastAsia" w:eastAsiaTheme="minorEastAsia" w:cstheme="minorEastAsia"/>
          <w:b/>
          <w:sz w:val="24"/>
        </w:rPr>
      </w:pPr>
    </w:p>
    <w:p w14:paraId="1529AA27">
      <w:pPr>
        <w:rPr>
          <w:rFonts w:hint="eastAsia" w:asciiTheme="minorEastAsia" w:hAnsiTheme="minorEastAsia" w:eastAsiaTheme="minorEastAsia" w:cstheme="minorEastAsia"/>
          <w:b/>
          <w:sz w:val="24"/>
        </w:rPr>
      </w:pPr>
    </w:p>
    <w:p w14:paraId="6F706967">
      <w:pPr>
        <w:pStyle w:val="8"/>
        <w:rPr>
          <w:rFonts w:hint="eastAsia" w:asciiTheme="minorEastAsia" w:hAnsiTheme="minorEastAsia" w:eastAsiaTheme="minorEastAsia" w:cstheme="minorEastAsia"/>
          <w:b/>
          <w:sz w:val="24"/>
        </w:rPr>
      </w:pPr>
    </w:p>
    <w:p w14:paraId="661FC963">
      <w:pPr>
        <w:rPr>
          <w:rFonts w:hint="eastAsia"/>
        </w:rPr>
      </w:pPr>
    </w:p>
    <w:p w14:paraId="501DFAA4">
      <w:pPr>
        <w:rPr>
          <w:rFonts w:hint="eastAsia" w:asciiTheme="minorEastAsia" w:hAnsiTheme="minorEastAsia" w:eastAsiaTheme="minorEastAsia" w:cstheme="minorEastAsia"/>
          <w:b/>
          <w:sz w:val="24"/>
        </w:rPr>
      </w:pPr>
    </w:p>
    <w:p w14:paraId="3499905E">
      <w:pPr>
        <w:pStyle w:val="8"/>
        <w:rPr>
          <w:rFonts w:hint="eastAsia" w:asciiTheme="minorEastAsia" w:hAnsiTheme="minorEastAsia" w:eastAsiaTheme="minorEastAsia" w:cstheme="minorEastAsia"/>
          <w:b/>
          <w:sz w:val="24"/>
        </w:rPr>
      </w:pPr>
    </w:p>
    <w:p w14:paraId="52AE0F63">
      <w:pPr>
        <w:pStyle w:val="8"/>
        <w:ind w:left="0" w:leftChars="0" w:firstLine="0" w:firstLineChars="0"/>
        <w:rPr>
          <w:rFonts w:hint="eastAsia" w:asciiTheme="minorEastAsia" w:hAnsiTheme="minorEastAsia" w:eastAsiaTheme="minorEastAsia" w:cstheme="minorEastAsia"/>
        </w:rPr>
      </w:pPr>
    </w:p>
    <w:p w14:paraId="5D5D7189">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二、评标标准</w:t>
      </w:r>
    </w:p>
    <w:p w14:paraId="6E082E6B">
      <w:pPr>
        <w:spacing w:line="560" w:lineRule="exact"/>
        <w:jc w:val="left"/>
        <w:rPr>
          <w:rFonts w:hint="eastAsia" w:asciiTheme="minorEastAsia" w:hAnsiTheme="minorEastAsia" w:eastAsiaTheme="minorEastAsia" w:cstheme="minorEastAsia"/>
          <w:sz w:val="21"/>
          <w:szCs w:val="21"/>
          <w:lang w:val="en-US" w:eastAsia="zh-CN"/>
        </w:rPr>
      </w:pPr>
      <w:bookmarkStart w:id="282" w:name="_Toc99301424"/>
      <w:r>
        <w:rPr>
          <w:rFonts w:hint="eastAsia" w:asciiTheme="minorEastAsia" w:hAnsiTheme="minorEastAsia" w:eastAsiaTheme="minorEastAsia" w:cstheme="minorEastAsia"/>
          <w:sz w:val="21"/>
          <w:szCs w:val="21"/>
          <w:lang w:val="en-US" w:eastAsia="zh-CN"/>
        </w:rPr>
        <w:t>技术商务部分、报价部分</w:t>
      </w:r>
    </w:p>
    <w:p w14:paraId="6477B6D2">
      <w:pPr>
        <w:pStyle w:val="6"/>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7"/>
          <w:sz w:val="21"/>
          <w:szCs w:val="21"/>
        </w:rPr>
        <w:t>评标标准</w:t>
      </w:r>
    </w:p>
    <w:p w14:paraId="05711739">
      <w:pPr>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rPr>
        <w:t>商务报价评分</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0分</w:t>
      </w:r>
    </w:p>
    <w:p w14:paraId="392B7C89">
      <w:pPr>
        <w:pStyle w:val="6"/>
        <w:pageBreakBefore w:val="0"/>
        <w:widowControl/>
        <w:kinsoku w:val="0"/>
        <w:wordWrap/>
        <w:overflowPunct/>
        <w:topLinePunct w:val="0"/>
        <w:autoSpaceDE w:val="0"/>
        <w:autoSpaceDN w:val="0"/>
        <w:bidi w:val="0"/>
        <w:adjustRightInd w:val="0"/>
        <w:snapToGrid w:val="0"/>
        <w:spacing w:before="0" w:after="0" w:line="460" w:lineRule="exac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、以有效投标供应商的有效投标价中的最低价为评标基准价，报价评分满分可得</w:t>
      </w:r>
      <w:r>
        <w:rPr>
          <w:rFonts w:hint="eastAsia" w:asciiTheme="minorEastAsia" w:hAnsiTheme="minorEastAsia" w:eastAsiaTheme="minorEastAsia" w:cstheme="minorEastAsia"/>
          <w:b w:val="0"/>
          <w:bCs w:val="0"/>
          <w:sz w:val="21"/>
          <w:szCs w:val="21"/>
          <w:lang w:val="en-US" w:eastAsia="zh-CN"/>
        </w:rPr>
        <w:t>30</w:t>
      </w:r>
      <w:r>
        <w:rPr>
          <w:rFonts w:hint="eastAsia" w:asciiTheme="minorEastAsia" w:hAnsiTheme="minorEastAsia" w:eastAsiaTheme="minorEastAsia" w:cstheme="minorEastAsia"/>
          <w:b w:val="0"/>
          <w:bCs w:val="0"/>
          <w:sz w:val="21"/>
          <w:szCs w:val="21"/>
        </w:rPr>
        <w:t>分，报价评分结算公式为:报价得分=(评标基准价/投标价)x</w:t>
      </w:r>
      <w:r>
        <w:rPr>
          <w:rFonts w:hint="eastAsia" w:asciiTheme="minorEastAsia" w:hAnsiTheme="minorEastAsia" w:eastAsiaTheme="minorEastAsia" w:cstheme="minorEastAsia"/>
          <w:b w:val="0"/>
          <w:bCs w:val="0"/>
          <w:sz w:val="21"/>
          <w:szCs w:val="21"/>
          <w:lang w:val="en-US" w:eastAsia="zh-CN"/>
        </w:rPr>
        <w:t>价格权值</w:t>
      </w:r>
      <w:r>
        <w:rPr>
          <w:rFonts w:hint="eastAsia" w:asciiTheme="minorEastAsia" w:hAnsiTheme="minorEastAsia" w:eastAsiaTheme="minorEastAsia" w:cstheme="minorEastAsia"/>
          <w:b w:val="0"/>
          <w:bCs w:val="0"/>
          <w:sz w:val="21"/>
          <w:szCs w:val="21"/>
        </w:rPr>
        <w:t>x100;</w:t>
      </w:r>
    </w:p>
    <w:p w14:paraId="68FE22FC">
      <w:pPr>
        <w:pStyle w:val="6"/>
        <w:pageBreakBefore w:val="0"/>
        <w:widowControl/>
        <w:kinsoku w:val="0"/>
        <w:wordWrap/>
        <w:overflowPunct/>
        <w:topLinePunct w:val="0"/>
        <w:autoSpaceDE w:val="0"/>
        <w:autoSpaceDN w:val="0"/>
        <w:bidi w:val="0"/>
        <w:adjustRightInd w:val="0"/>
        <w:snapToGrid w:val="0"/>
        <w:spacing w:before="0" w:after="0" w:line="460" w:lineRule="exact"/>
        <w:textAlignment w:val="baseline"/>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2、如果供应商的报价均超出采购最高限价且采购人确认不能支付的情况，则本项目做流(废)标处理。如果仅仅某些(个)供应商投标报价超出最高限价的，则拒绝接受其投标报价，该供应商投标按无效投标处理。</w:t>
      </w:r>
    </w:p>
    <w:p w14:paraId="294863C3">
      <w:pPr>
        <w:pStyle w:val="6"/>
        <w:pageBreakBefore w:val="0"/>
        <w:widowControl/>
        <w:kinsoku w:val="0"/>
        <w:wordWrap/>
        <w:overflowPunct/>
        <w:topLinePunct w:val="0"/>
        <w:autoSpaceDE w:val="0"/>
        <w:autoSpaceDN w:val="0"/>
        <w:bidi w:val="0"/>
        <w:adjustRightInd w:val="0"/>
        <w:snapToGrid w:val="0"/>
        <w:spacing w:before="0" w:after="0" w:line="460" w:lineRule="exact"/>
        <w:ind w:left="0" w:leftChars="0" w:firstLine="0" w:firstLineChars="0"/>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技术商务部分</w:t>
      </w:r>
      <w:r>
        <w:rPr>
          <w:rFonts w:hint="eastAsia" w:asciiTheme="minorEastAsia" w:hAnsiTheme="minorEastAsia" w:eastAsiaTheme="minorEastAsia" w:cstheme="minorEastAsia"/>
          <w:b w:val="0"/>
          <w:bCs w:val="0"/>
          <w:sz w:val="21"/>
          <w:szCs w:val="21"/>
        </w:rPr>
        <w:t>综合评分</w:t>
      </w:r>
      <w:r>
        <w:rPr>
          <w:rFonts w:hint="eastAsia" w:asciiTheme="minorEastAsia" w:hAnsiTheme="minorEastAsia" w:eastAsiaTheme="minorEastAsia" w:cstheme="minorEastAsia"/>
          <w:b w:val="0"/>
          <w:bCs w:val="0"/>
          <w:sz w:val="21"/>
          <w:szCs w:val="21"/>
          <w:lang w:val="en-US" w:eastAsia="zh-CN"/>
        </w:rPr>
        <w:t>70</w:t>
      </w:r>
      <w:r>
        <w:rPr>
          <w:rFonts w:hint="eastAsia" w:asciiTheme="minorEastAsia" w:hAnsiTheme="minorEastAsia" w:eastAsiaTheme="minorEastAsia" w:cstheme="minorEastAsia"/>
          <w:b w:val="0"/>
          <w:bCs w:val="0"/>
          <w:sz w:val="21"/>
          <w:szCs w:val="21"/>
        </w:rPr>
        <w:t>分</w:t>
      </w:r>
    </w:p>
    <w:p w14:paraId="09C9988B">
      <w:pPr>
        <w:spacing w:before="192"/>
      </w:pPr>
    </w:p>
    <w:tbl>
      <w:tblPr>
        <w:tblStyle w:val="60"/>
        <w:tblW w:w="9975"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185"/>
        <w:gridCol w:w="840"/>
        <w:gridCol w:w="7350"/>
      </w:tblGrid>
      <w:tr w14:paraId="7A946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600" w:type="dxa"/>
            <w:textDirection w:val="tbRlV"/>
            <w:vAlign w:val="top"/>
          </w:tcPr>
          <w:p w14:paraId="52B12E0F">
            <w:pPr>
              <w:spacing w:before="204" w:line="217" w:lineRule="auto"/>
              <w:ind w:left="32"/>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7"/>
                <w:sz w:val="23"/>
                <w:szCs w:val="23"/>
                <w14:textFill>
                  <w14:solidFill>
                    <w14:schemeClr w14:val="tx1"/>
                  </w14:solidFill>
                </w14:textFill>
              </w:rPr>
              <w:t>序</w:t>
            </w:r>
            <w:r>
              <w:rPr>
                <w:rFonts w:ascii="宋体" w:hAnsi="宋体" w:eastAsia="宋体" w:cs="宋体"/>
                <w:color w:val="000000" w:themeColor="text1"/>
                <w:spacing w:val="-43"/>
                <w:sz w:val="23"/>
                <w:szCs w:val="23"/>
                <w14:textFill>
                  <w14:solidFill>
                    <w14:schemeClr w14:val="tx1"/>
                  </w14:solidFill>
                </w14:textFill>
              </w:rPr>
              <w:t xml:space="preserve"> </w:t>
            </w:r>
            <w:r>
              <w:rPr>
                <w:rFonts w:ascii="宋体" w:hAnsi="宋体" w:eastAsia="宋体" w:cs="宋体"/>
                <w:b/>
                <w:bCs/>
                <w:color w:val="000000" w:themeColor="text1"/>
                <w:spacing w:val="7"/>
                <w:sz w:val="23"/>
                <w:szCs w:val="23"/>
                <w14:textFill>
                  <w14:solidFill>
                    <w14:schemeClr w14:val="tx1"/>
                  </w14:solidFill>
                </w14:textFill>
              </w:rPr>
              <w:t>号</w:t>
            </w:r>
          </w:p>
        </w:tc>
        <w:tc>
          <w:tcPr>
            <w:tcW w:w="1185" w:type="dxa"/>
            <w:vAlign w:val="top"/>
          </w:tcPr>
          <w:p w14:paraId="57DCB941">
            <w:pPr>
              <w:spacing w:before="33" w:line="239" w:lineRule="auto"/>
              <w:ind w:left="196" w:right="247" w:hanging="4"/>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3"/>
                <w:sz w:val="23"/>
                <w:szCs w:val="23"/>
                <w14:textFill>
                  <w14:solidFill>
                    <w14:schemeClr w14:val="tx1"/>
                  </w14:solidFill>
                </w14:textFill>
              </w:rPr>
              <w:t>评分</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b/>
                <w:bCs/>
                <w:color w:val="000000" w:themeColor="text1"/>
                <w:sz w:val="23"/>
                <w:szCs w:val="23"/>
                <w14:textFill>
                  <w14:solidFill>
                    <w14:schemeClr w14:val="tx1"/>
                  </w14:solidFill>
                </w14:textFill>
              </w:rPr>
              <w:t>项目</w:t>
            </w:r>
          </w:p>
        </w:tc>
        <w:tc>
          <w:tcPr>
            <w:tcW w:w="840" w:type="dxa"/>
            <w:vAlign w:val="top"/>
          </w:tcPr>
          <w:p w14:paraId="4C38F592">
            <w:pPr>
              <w:spacing w:before="33" w:line="227" w:lineRule="auto"/>
              <w:ind w:left="177"/>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1"/>
                <w:sz w:val="23"/>
                <w:szCs w:val="23"/>
                <w14:textFill>
                  <w14:solidFill>
                    <w14:schemeClr w14:val="tx1"/>
                  </w14:solidFill>
                </w14:textFill>
              </w:rPr>
              <w:t>分值</w:t>
            </w:r>
          </w:p>
        </w:tc>
        <w:tc>
          <w:tcPr>
            <w:tcW w:w="7350" w:type="dxa"/>
            <w:vAlign w:val="top"/>
          </w:tcPr>
          <w:p w14:paraId="510D5727">
            <w:pPr>
              <w:spacing w:before="32" w:line="228" w:lineRule="auto"/>
              <w:ind w:left="3320"/>
              <w:rPr>
                <w:rFonts w:ascii="宋体" w:hAnsi="宋体" w:eastAsia="宋体" w:cs="宋体"/>
                <w:color w:val="000000" w:themeColor="text1"/>
                <w:sz w:val="23"/>
                <w:szCs w:val="23"/>
                <w14:textFill>
                  <w14:solidFill>
                    <w14:schemeClr w14:val="tx1"/>
                  </w14:solidFill>
                </w14:textFill>
              </w:rPr>
            </w:pPr>
            <w:r>
              <w:rPr>
                <w:rFonts w:ascii="宋体" w:hAnsi="宋体" w:eastAsia="宋体" w:cs="宋体"/>
                <w:b/>
                <w:bCs/>
                <w:color w:val="000000" w:themeColor="text1"/>
                <w:spacing w:val="6"/>
                <w:sz w:val="23"/>
                <w:szCs w:val="23"/>
                <w14:textFill>
                  <w14:solidFill>
                    <w14:schemeClr w14:val="tx1"/>
                  </w14:solidFill>
                </w14:textFill>
              </w:rPr>
              <w:t>评分标准</w:t>
            </w:r>
          </w:p>
        </w:tc>
      </w:tr>
      <w:tr w14:paraId="15221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00" w:type="dxa"/>
            <w:vAlign w:val="top"/>
          </w:tcPr>
          <w:p w14:paraId="64EF11B4">
            <w:pPr>
              <w:spacing w:before="121" w:line="180" w:lineRule="exact"/>
              <w:ind w:left="1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position w:val="-4"/>
                <w:sz w:val="23"/>
                <w:szCs w:val="23"/>
                <w14:textFill>
                  <w14:solidFill>
                    <w14:schemeClr w14:val="tx1"/>
                  </w14:solidFill>
                </w14:textFill>
              </w:rPr>
              <w:t>一</w:t>
            </w:r>
          </w:p>
        </w:tc>
        <w:tc>
          <w:tcPr>
            <w:tcW w:w="1185" w:type="dxa"/>
            <w:vAlign w:val="top"/>
          </w:tcPr>
          <w:p w14:paraId="1623C96F">
            <w:pPr>
              <w:spacing w:before="31" w:line="239" w:lineRule="auto"/>
              <w:ind w:left="195" w:right="247" w:hanging="4"/>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报价</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部分</w:t>
            </w:r>
          </w:p>
        </w:tc>
        <w:tc>
          <w:tcPr>
            <w:tcW w:w="840" w:type="dxa"/>
            <w:vAlign w:val="top"/>
          </w:tcPr>
          <w:p w14:paraId="7E9B2027">
            <w:pPr>
              <w:spacing w:before="31" w:line="228" w:lineRule="auto"/>
              <w:ind w:left="11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30</w:t>
            </w:r>
            <w:r>
              <w:rPr>
                <w:rFonts w:ascii="宋体" w:hAnsi="宋体" w:eastAsia="宋体" w:cs="宋体"/>
                <w:color w:val="000000" w:themeColor="text1"/>
                <w:spacing w:val="2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3C7651D4">
            <w:pPr>
              <w:rPr>
                <w:rFonts w:ascii="Arial"/>
                <w:color w:val="000000" w:themeColor="text1"/>
                <w:sz w:val="21"/>
                <w14:textFill>
                  <w14:solidFill>
                    <w14:schemeClr w14:val="tx1"/>
                  </w14:solidFill>
                </w14:textFill>
              </w:rPr>
            </w:pPr>
          </w:p>
        </w:tc>
      </w:tr>
      <w:tr w14:paraId="56EE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600" w:type="dxa"/>
            <w:vAlign w:val="top"/>
          </w:tcPr>
          <w:p w14:paraId="09B458CE">
            <w:pPr>
              <w:spacing w:line="306" w:lineRule="auto"/>
              <w:rPr>
                <w:rFonts w:ascii="Arial"/>
                <w:color w:val="000000" w:themeColor="text1"/>
                <w:sz w:val="21"/>
                <w14:textFill>
                  <w14:solidFill>
                    <w14:schemeClr w14:val="tx1"/>
                  </w14:solidFill>
                </w14:textFill>
              </w:rPr>
            </w:pPr>
          </w:p>
          <w:p w14:paraId="19CCD9BE">
            <w:pPr>
              <w:spacing w:line="306" w:lineRule="auto"/>
              <w:rPr>
                <w:rFonts w:ascii="Arial"/>
                <w:color w:val="000000" w:themeColor="text1"/>
                <w:sz w:val="21"/>
                <w14:textFill>
                  <w14:solidFill>
                    <w14:schemeClr w14:val="tx1"/>
                  </w14:solidFill>
                </w14:textFill>
              </w:rPr>
            </w:pPr>
          </w:p>
          <w:p w14:paraId="22ED10F3">
            <w:pPr>
              <w:spacing w:before="75" w:line="189" w:lineRule="auto"/>
              <w:ind w:left="22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1</w:t>
            </w:r>
          </w:p>
        </w:tc>
        <w:tc>
          <w:tcPr>
            <w:tcW w:w="1185" w:type="dxa"/>
            <w:vAlign w:val="top"/>
          </w:tcPr>
          <w:p w14:paraId="59DFF228">
            <w:pPr>
              <w:spacing w:line="265" w:lineRule="auto"/>
              <w:rPr>
                <w:rFonts w:ascii="Arial"/>
                <w:color w:val="000000" w:themeColor="text1"/>
                <w:sz w:val="21"/>
                <w14:textFill>
                  <w14:solidFill>
                    <w14:schemeClr w14:val="tx1"/>
                  </w14:solidFill>
                </w14:textFill>
              </w:rPr>
            </w:pPr>
          </w:p>
          <w:p w14:paraId="6852AE55">
            <w:pPr>
              <w:spacing w:before="74" w:line="239" w:lineRule="auto"/>
              <w:ind w:left="194" w:right="247"/>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4"/>
                <w:sz w:val="23"/>
                <w:szCs w:val="23"/>
                <w14:textFill>
                  <w14:solidFill>
                    <w14:schemeClr w14:val="tx1"/>
                  </w14:solidFill>
                </w14:textFill>
              </w:rPr>
              <w:t>价格</w:t>
            </w:r>
            <w:r>
              <w:rPr>
                <w:rFonts w:ascii="宋体" w:hAnsi="宋体" w:eastAsia="宋体" w:cs="宋体"/>
                <w:color w:val="000000" w:themeColor="text1"/>
                <w:sz w:val="23"/>
                <w:szCs w:val="23"/>
                <w14:textFill>
                  <w14:solidFill>
                    <w14:schemeClr w14:val="tx1"/>
                  </w14:solidFill>
                </w14:textFill>
              </w:rPr>
              <w:t xml:space="preserve"> </w:t>
            </w:r>
            <w:r>
              <w:rPr>
                <w:rFonts w:ascii="宋体" w:hAnsi="宋体" w:eastAsia="宋体" w:cs="宋体"/>
                <w:color w:val="000000" w:themeColor="text1"/>
                <w:spacing w:val="4"/>
                <w:sz w:val="23"/>
                <w:szCs w:val="23"/>
                <w14:textFill>
                  <w14:solidFill>
                    <w14:schemeClr w14:val="tx1"/>
                  </w14:solidFill>
                </w14:textFill>
              </w:rPr>
              <w:t>得分</w:t>
            </w:r>
          </w:p>
        </w:tc>
        <w:tc>
          <w:tcPr>
            <w:tcW w:w="840" w:type="dxa"/>
            <w:vAlign w:val="top"/>
          </w:tcPr>
          <w:p w14:paraId="42E362F1">
            <w:pPr>
              <w:spacing w:line="287" w:lineRule="auto"/>
              <w:rPr>
                <w:rFonts w:ascii="Arial"/>
                <w:color w:val="000000" w:themeColor="text1"/>
                <w:sz w:val="21"/>
                <w14:textFill>
                  <w14:solidFill>
                    <w14:schemeClr w14:val="tx1"/>
                  </w14:solidFill>
                </w14:textFill>
              </w:rPr>
            </w:pPr>
          </w:p>
          <w:p w14:paraId="4E08CF7C">
            <w:pPr>
              <w:spacing w:line="288" w:lineRule="auto"/>
              <w:rPr>
                <w:rFonts w:ascii="Arial"/>
                <w:color w:val="000000" w:themeColor="text1"/>
                <w:sz w:val="21"/>
                <w14:textFill>
                  <w14:solidFill>
                    <w14:schemeClr w14:val="tx1"/>
                  </w14:solidFill>
                </w14:textFill>
              </w:rPr>
            </w:pPr>
          </w:p>
          <w:p w14:paraId="256028A5">
            <w:pPr>
              <w:spacing w:before="75" w:line="228" w:lineRule="auto"/>
              <w:ind w:left="11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30</w:t>
            </w:r>
            <w:r>
              <w:rPr>
                <w:rFonts w:ascii="宋体" w:hAnsi="宋体" w:eastAsia="宋体" w:cs="宋体"/>
                <w:color w:val="000000" w:themeColor="text1"/>
                <w:spacing w:val="2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4609876D">
            <w:pPr>
              <w:spacing w:before="32" w:line="237" w:lineRule="auto"/>
              <w:ind w:left="3325" w:leftChars="107" w:right="85" w:hanging="3100" w:hangingChars="1250"/>
              <w:jc w:val="both"/>
              <w:rPr>
                <w:rFonts w:ascii="宋体" w:hAnsi="宋体" w:eastAsia="宋体" w:cs="宋体"/>
                <w:color w:val="000000" w:themeColor="text1"/>
                <w:sz w:val="23"/>
                <w:szCs w:val="23"/>
                <w14:textFill>
                  <w14:solidFill>
                    <w14:schemeClr w14:val="tx1"/>
                  </w14:solidFill>
                </w14:textFill>
              </w:rPr>
            </w:pPr>
            <w:r>
              <w:rPr>
                <w:rFonts w:hint="eastAsia" w:ascii="宋体" w:hAnsi="宋体" w:cs="宋体"/>
                <w:color w:val="000000" w:themeColor="text1"/>
                <w:spacing w:val="9"/>
                <w:sz w:val="23"/>
                <w:szCs w:val="23"/>
                <w:lang w:val="en-US" w:eastAsia="zh-CN"/>
                <w14:textFill>
                  <w14:solidFill>
                    <w14:schemeClr w14:val="tx1"/>
                  </w14:solidFill>
                </w14:textFill>
              </w:rPr>
              <w:t>1、</w:t>
            </w:r>
            <w:r>
              <w:rPr>
                <w:rFonts w:ascii="宋体" w:hAnsi="宋体" w:eastAsia="宋体" w:cs="宋体"/>
                <w:color w:val="000000" w:themeColor="text1"/>
                <w:spacing w:val="9"/>
                <w:sz w:val="23"/>
                <w:szCs w:val="23"/>
                <w14:textFill>
                  <w14:solidFill>
                    <w14:schemeClr w14:val="tx1"/>
                  </w14:solidFill>
                </w14:textFill>
              </w:rPr>
              <w:t>评标基准价：满足招标文件要求且投标价格最低</w:t>
            </w:r>
            <w:r>
              <w:rPr>
                <w:rFonts w:ascii="宋体" w:hAnsi="宋体" w:eastAsia="宋体" w:cs="宋体"/>
                <w:color w:val="000000" w:themeColor="text1"/>
                <w:spacing w:val="8"/>
                <w:sz w:val="23"/>
                <w:szCs w:val="23"/>
                <w14:textFill>
                  <w14:solidFill>
                    <w14:schemeClr w14:val="tx1"/>
                  </w14:solidFill>
                </w14:textFill>
              </w:rPr>
              <w:t>的有效投标报价为</w:t>
            </w:r>
            <w:r>
              <w:rPr>
                <w:rFonts w:ascii="宋体" w:hAnsi="宋体" w:eastAsia="宋体" w:cs="宋体"/>
                <w:color w:val="000000" w:themeColor="text1"/>
                <w:spacing w:val="1"/>
                <w:sz w:val="23"/>
                <w:szCs w:val="23"/>
                <w14:textFill>
                  <w14:solidFill>
                    <w14:schemeClr w14:val="tx1"/>
                  </w14:solidFill>
                </w14:textFill>
              </w:rPr>
              <w:t>评标基准价。</w:t>
            </w:r>
          </w:p>
          <w:p w14:paraId="0D3C3A26">
            <w:pPr>
              <w:spacing w:before="30" w:line="226" w:lineRule="auto"/>
              <w:ind w:firstLine="234" w:firstLineChars="100"/>
              <w:rPr>
                <w:rFonts w:ascii="宋体" w:hAnsi="宋体" w:eastAsia="宋体" w:cs="宋体"/>
                <w:color w:val="000000" w:themeColor="text1"/>
                <w:sz w:val="23"/>
                <w:szCs w:val="23"/>
                <w14:textFill>
                  <w14:solidFill>
                    <w14:schemeClr w14:val="tx1"/>
                  </w14:solidFill>
                </w14:textFill>
              </w:rPr>
            </w:pPr>
            <w:r>
              <w:rPr>
                <w:rFonts w:hint="eastAsia" w:ascii="宋体" w:hAnsi="宋体" w:cs="宋体"/>
                <w:color w:val="000000" w:themeColor="text1"/>
                <w:spacing w:val="2"/>
                <w:sz w:val="23"/>
                <w:szCs w:val="23"/>
                <w:lang w:val="en-US" w:eastAsia="zh-CN"/>
                <w14:textFill>
                  <w14:solidFill>
                    <w14:schemeClr w14:val="tx1"/>
                  </w14:solidFill>
                </w14:textFill>
              </w:rPr>
              <w:t>2、</w:t>
            </w:r>
            <w:r>
              <w:rPr>
                <w:rFonts w:ascii="宋体" w:hAnsi="宋体" w:eastAsia="宋体" w:cs="宋体"/>
                <w:color w:val="000000" w:themeColor="text1"/>
                <w:spacing w:val="2"/>
                <w:sz w:val="23"/>
                <w:szCs w:val="23"/>
                <w14:textFill>
                  <w14:solidFill>
                    <w14:schemeClr w14:val="tx1"/>
                  </w14:solidFill>
                </w14:textFill>
              </w:rPr>
              <w:t>投标报价得分=</w:t>
            </w:r>
            <w:r>
              <w:rPr>
                <w:rFonts w:ascii="宋体" w:hAnsi="宋体" w:eastAsia="宋体" w:cs="宋体"/>
                <w:color w:val="000000" w:themeColor="text1"/>
                <w:spacing w:val="-65"/>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（评标基准价/投标报价）×</w:t>
            </w:r>
            <w:r>
              <w:rPr>
                <w:rFonts w:ascii="宋体" w:hAnsi="宋体" w:eastAsia="宋体" w:cs="宋体"/>
                <w:color w:val="000000" w:themeColor="text1"/>
                <w:spacing w:val="-88"/>
                <w:sz w:val="23"/>
                <w:szCs w:val="23"/>
                <w14:textFill>
                  <w14:solidFill>
                    <w14:schemeClr w14:val="tx1"/>
                  </w14:solidFill>
                </w14:textFill>
              </w:rPr>
              <w:t xml:space="preserve"> </w:t>
            </w:r>
            <w:r>
              <w:rPr>
                <w:rFonts w:ascii="宋体" w:hAnsi="宋体" w:eastAsia="宋体" w:cs="宋体"/>
                <w:color w:val="000000" w:themeColor="text1"/>
                <w:spacing w:val="2"/>
                <w:sz w:val="23"/>
                <w:szCs w:val="23"/>
                <w14:textFill>
                  <w14:solidFill>
                    <w14:schemeClr w14:val="tx1"/>
                  </w14:solidFill>
                </w14:textFill>
              </w:rPr>
              <w:t>100×30%</w:t>
            </w:r>
          </w:p>
          <w:p w14:paraId="53E272F1">
            <w:pPr>
              <w:spacing w:before="30" w:line="238" w:lineRule="auto"/>
              <w:ind w:right="133" w:firstLine="240" w:firstLineChars="100"/>
              <w:rPr>
                <w:rFonts w:ascii="宋体" w:hAnsi="宋体" w:eastAsia="宋体" w:cs="宋体"/>
                <w:color w:val="000000" w:themeColor="text1"/>
                <w:sz w:val="23"/>
                <w:szCs w:val="23"/>
                <w14:textFill>
                  <w14:solidFill>
                    <w14:schemeClr w14:val="tx1"/>
                  </w14:solidFill>
                </w14:textFill>
              </w:rPr>
            </w:pPr>
            <w:r>
              <w:rPr>
                <w:rFonts w:hint="eastAsia" w:ascii="宋体" w:hAnsi="宋体" w:cs="宋体"/>
                <w:color w:val="000000" w:themeColor="text1"/>
                <w:spacing w:val="5"/>
                <w:sz w:val="23"/>
                <w:szCs w:val="23"/>
                <w:lang w:val="en-US" w:eastAsia="zh-CN"/>
                <w14:textFill>
                  <w14:solidFill>
                    <w14:schemeClr w14:val="tx1"/>
                  </w14:solidFill>
                </w14:textFill>
              </w:rPr>
              <w:t>3、</w:t>
            </w:r>
            <w:r>
              <w:rPr>
                <w:rFonts w:ascii="宋体" w:hAnsi="宋体" w:eastAsia="宋体" w:cs="宋体"/>
                <w:color w:val="000000" w:themeColor="text1"/>
                <w:spacing w:val="5"/>
                <w:sz w:val="23"/>
                <w:szCs w:val="23"/>
                <w14:textFill>
                  <w14:solidFill>
                    <w14:schemeClr w14:val="tx1"/>
                  </w14:solidFill>
                </w14:textFill>
              </w:rPr>
              <w:t>报价得分计算结果按四舍五入规则保留小数点后两位数字。 对符</w:t>
            </w:r>
            <w:r>
              <w:rPr>
                <w:rFonts w:ascii="宋体" w:hAnsi="宋体" w:eastAsia="宋体" w:cs="宋体"/>
                <w:color w:val="000000" w:themeColor="text1"/>
                <w:spacing w:val="7"/>
                <w:sz w:val="23"/>
                <w:szCs w:val="23"/>
                <w14:textFill>
                  <w14:solidFill>
                    <w14:schemeClr w14:val="tx1"/>
                  </w14:solidFill>
                </w14:textFill>
              </w:rPr>
              <w:t>合规定的小微企业报价给予 10%</w:t>
            </w:r>
            <w:r>
              <w:rPr>
                <w:rFonts w:ascii="宋体" w:hAnsi="宋体" w:eastAsia="宋体" w:cs="宋体"/>
                <w:color w:val="000000" w:themeColor="text1"/>
                <w:spacing w:val="36"/>
                <w:sz w:val="23"/>
                <w:szCs w:val="23"/>
                <w14:textFill>
                  <w14:solidFill>
                    <w14:schemeClr w14:val="tx1"/>
                  </w14:solidFill>
                </w14:textFill>
              </w:rPr>
              <w:t xml:space="preserve"> </w:t>
            </w:r>
            <w:r>
              <w:rPr>
                <w:rFonts w:ascii="宋体" w:hAnsi="宋体" w:eastAsia="宋体" w:cs="宋体"/>
                <w:color w:val="000000" w:themeColor="text1"/>
                <w:spacing w:val="7"/>
                <w:sz w:val="23"/>
                <w:szCs w:val="23"/>
                <w14:textFill>
                  <w14:solidFill>
                    <w14:schemeClr w14:val="tx1"/>
                  </w14:solidFill>
                </w14:textFill>
              </w:rPr>
              <w:t>的扣除，用扣除后的</w:t>
            </w:r>
            <w:r>
              <w:rPr>
                <w:rFonts w:ascii="宋体" w:hAnsi="宋体" w:eastAsia="宋体" w:cs="宋体"/>
                <w:color w:val="000000" w:themeColor="text1"/>
                <w:spacing w:val="6"/>
                <w:sz w:val="23"/>
                <w:szCs w:val="23"/>
                <w14:textFill>
                  <w14:solidFill>
                    <w14:schemeClr w14:val="tx1"/>
                  </w14:solidFill>
                </w14:textFill>
              </w:rPr>
              <w:t>价格参加评审。</w:t>
            </w:r>
          </w:p>
        </w:tc>
      </w:tr>
      <w:tr w14:paraId="1EB5E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00" w:type="dxa"/>
            <w:vAlign w:val="top"/>
          </w:tcPr>
          <w:p w14:paraId="1E583E3C">
            <w:pPr>
              <w:spacing w:before="76" w:line="183" w:lineRule="auto"/>
              <w:ind w:left="153"/>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二</w:t>
            </w:r>
          </w:p>
        </w:tc>
        <w:tc>
          <w:tcPr>
            <w:tcW w:w="2025" w:type="dxa"/>
            <w:gridSpan w:val="2"/>
            <w:vAlign w:val="top"/>
          </w:tcPr>
          <w:p w14:paraId="2195B64C">
            <w:pPr>
              <w:spacing w:before="32" w:line="239" w:lineRule="auto"/>
              <w:ind w:left="395" w:right="208" w:hanging="23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7"/>
                <w:sz w:val="23"/>
                <w:szCs w:val="23"/>
                <w14:textFill>
                  <w14:solidFill>
                    <w14:schemeClr w14:val="tx1"/>
                  </w14:solidFill>
                </w14:textFill>
              </w:rPr>
              <w:t>商务及技术部</w:t>
            </w:r>
            <w:r>
              <w:rPr>
                <w:rFonts w:ascii="宋体" w:hAnsi="宋体" w:eastAsia="宋体" w:cs="宋体"/>
                <w:color w:val="000000" w:themeColor="text1"/>
                <w:spacing w:val="2"/>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r>
              <w:rPr>
                <w:rFonts w:ascii="宋体" w:hAnsi="宋体" w:eastAsia="宋体" w:cs="宋体"/>
                <w:color w:val="000000" w:themeColor="text1"/>
                <w:spacing w:val="21"/>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70</w:t>
            </w:r>
            <w:r>
              <w:rPr>
                <w:rFonts w:ascii="宋体" w:hAnsi="宋体" w:eastAsia="宋体" w:cs="宋体"/>
                <w:color w:val="000000" w:themeColor="text1"/>
                <w:spacing w:val="19"/>
                <w:sz w:val="23"/>
                <w:szCs w:val="23"/>
                <w14:textFill>
                  <w14:solidFill>
                    <w14:schemeClr w14:val="tx1"/>
                  </w14:solidFill>
                </w14:textFill>
              </w:rPr>
              <w:t xml:space="preserve"> </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23AAC8E2">
            <w:pPr>
              <w:rPr>
                <w:rFonts w:ascii="Arial"/>
                <w:color w:val="000000" w:themeColor="text1"/>
                <w:sz w:val="21"/>
                <w14:textFill>
                  <w14:solidFill>
                    <w14:schemeClr w14:val="tx1"/>
                  </w14:solidFill>
                </w14:textFill>
              </w:rPr>
            </w:pPr>
          </w:p>
        </w:tc>
      </w:tr>
      <w:tr w14:paraId="79D97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600" w:type="dxa"/>
            <w:vAlign w:val="top"/>
          </w:tcPr>
          <w:p w14:paraId="028D8962">
            <w:pPr>
              <w:spacing w:line="249" w:lineRule="auto"/>
              <w:rPr>
                <w:rFonts w:ascii="Arial"/>
                <w:color w:val="000000" w:themeColor="text1"/>
                <w:sz w:val="21"/>
                <w14:textFill>
                  <w14:solidFill>
                    <w14:schemeClr w14:val="tx1"/>
                  </w14:solidFill>
                </w14:textFill>
              </w:rPr>
            </w:pPr>
          </w:p>
          <w:p w14:paraId="1A8F5467">
            <w:pPr>
              <w:spacing w:line="249" w:lineRule="auto"/>
              <w:rPr>
                <w:rFonts w:ascii="Arial"/>
                <w:color w:val="000000" w:themeColor="text1"/>
                <w:sz w:val="21"/>
                <w14:textFill>
                  <w14:solidFill>
                    <w14:schemeClr w14:val="tx1"/>
                  </w14:solidFill>
                </w14:textFill>
              </w:rPr>
            </w:pPr>
          </w:p>
          <w:p w14:paraId="6D8D335A">
            <w:pPr>
              <w:spacing w:line="250" w:lineRule="auto"/>
              <w:rPr>
                <w:rFonts w:ascii="Arial"/>
                <w:color w:val="000000" w:themeColor="text1"/>
                <w:sz w:val="21"/>
                <w14:textFill>
                  <w14:solidFill>
                    <w14:schemeClr w14:val="tx1"/>
                  </w14:solidFill>
                </w14:textFill>
              </w:rPr>
            </w:pPr>
          </w:p>
          <w:p w14:paraId="624F1308">
            <w:pPr>
              <w:spacing w:before="75" w:line="189"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1</w:t>
            </w:r>
          </w:p>
        </w:tc>
        <w:tc>
          <w:tcPr>
            <w:tcW w:w="1185" w:type="dxa"/>
            <w:vAlign w:val="top"/>
          </w:tcPr>
          <w:p w14:paraId="6024546E">
            <w:pPr>
              <w:spacing w:before="74" w:line="244" w:lineRule="auto"/>
              <w:ind w:right="216"/>
              <w:jc w:val="both"/>
              <w:rPr>
                <w:rFonts w:ascii="宋体" w:hAnsi="宋体" w:eastAsia="宋体" w:cs="宋体"/>
                <w:color w:val="000000" w:themeColor="text1"/>
                <w:spacing w:val="6"/>
                <w:sz w:val="23"/>
                <w:szCs w:val="23"/>
                <w14:textFill>
                  <w14:solidFill>
                    <w14:schemeClr w14:val="tx1"/>
                  </w14:solidFill>
                </w14:textFill>
              </w:rPr>
            </w:pPr>
          </w:p>
          <w:p w14:paraId="58A42D4B">
            <w:pPr>
              <w:spacing w:before="74" w:line="244" w:lineRule="auto"/>
              <w:ind w:right="216"/>
              <w:jc w:val="both"/>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类似业</w:t>
            </w:r>
            <w:r>
              <w:rPr>
                <w:rFonts w:ascii="宋体" w:hAnsi="宋体" w:eastAsia="宋体" w:cs="宋体"/>
                <w:color w:val="000000" w:themeColor="text1"/>
                <w:spacing w:val="1"/>
                <w:sz w:val="23"/>
                <w:szCs w:val="23"/>
                <w14:textFill>
                  <w14:solidFill>
                    <w14:schemeClr w14:val="tx1"/>
                  </w14:solidFill>
                </w14:textFill>
              </w:rPr>
              <w:t xml:space="preserve"> </w:t>
            </w:r>
            <w:r>
              <w:rPr>
                <w:rFonts w:ascii="宋体" w:hAnsi="宋体" w:eastAsia="宋体" w:cs="宋体"/>
                <w:color w:val="000000" w:themeColor="text1"/>
                <w:sz w:val="23"/>
                <w:szCs w:val="23"/>
                <w14:textFill>
                  <w14:solidFill>
                    <w14:schemeClr w14:val="tx1"/>
                  </w14:solidFill>
                </w14:textFill>
              </w:rPr>
              <w:t>绩</w:t>
            </w:r>
          </w:p>
        </w:tc>
        <w:tc>
          <w:tcPr>
            <w:tcW w:w="840" w:type="dxa"/>
            <w:vAlign w:val="top"/>
          </w:tcPr>
          <w:p w14:paraId="109B97EC">
            <w:pPr>
              <w:spacing w:before="75" w:line="228" w:lineRule="auto"/>
              <w:rPr>
                <w:rFonts w:ascii="宋体" w:hAnsi="宋体" w:eastAsia="宋体" w:cs="宋体"/>
                <w:color w:val="000000" w:themeColor="text1"/>
                <w:spacing w:val="3"/>
                <w:sz w:val="23"/>
                <w:szCs w:val="23"/>
                <w14:textFill>
                  <w14:solidFill>
                    <w14:schemeClr w14:val="tx1"/>
                  </w14:solidFill>
                </w14:textFill>
              </w:rPr>
            </w:pPr>
          </w:p>
          <w:p w14:paraId="49394D86">
            <w:pPr>
              <w:spacing w:before="75" w:line="228" w:lineRule="auto"/>
              <w:rPr>
                <w:rFonts w:ascii="宋体" w:hAnsi="宋体" w:eastAsia="宋体" w:cs="宋体"/>
                <w:color w:val="000000" w:themeColor="text1"/>
                <w:spacing w:val="3"/>
                <w:sz w:val="23"/>
                <w:szCs w:val="23"/>
                <w14:textFill>
                  <w14:solidFill>
                    <w14:schemeClr w14:val="tx1"/>
                  </w14:solidFill>
                </w14:textFill>
              </w:rPr>
            </w:pPr>
          </w:p>
          <w:p w14:paraId="03041164">
            <w:pPr>
              <w:spacing w:before="75" w:line="228"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3"/>
                <w:sz w:val="23"/>
                <w:szCs w:val="23"/>
                <w14:textFill>
                  <w14:solidFill>
                    <w14:schemeClr w14:val="tx1"/>
                  </w14:solidFill>
                </w14:textFill>
              </w:rPr>
              <w:t>0-</w:t>
            </w:r>
            <w:r>
              <w:rPr>
                <w:rFonts w:hint="eastAsia" w:ascii="宋体" w:hAnsi="宋体" w:cs="宋体"/>
                <w:color w:val="000000" w:themeColor="text1"/>
                <w:spacing w:val="3"/>
                <w:sz w:val="23"/>
                <w:szCs w:val="23"/>
                <w:lang w:val="en-US" w:eastAsia="zh-CN"/>
                <w14:textFill>
                  <w14:solidFill>
                    <w14:schemeClr w14:val="tx1"/>
                  </w14:solidFill>
                </w14:textFill>
              </w:rPr>
              <w:t>6</w:t>
            </w:r>
            <w:r>
              <w:rPr>
                <w:rFonts w:ascii="宋体" w:hAnsi="宋体" w:eastAsia="宋体" w:cs="宋体"/>
                <w:color w:val="000000" w:themeColor="text1"/>
                <w:spacing w:val="3"/>
                <w:sz w:val="23"/>
                <w:szCs w:val="23"/>
                <w14:textFill>
                  <w14:solidFill>
                    <w14:schemeClr w14:val="tx1"/>
                  </w14:solidFill>
                </w14:textFill>
              </w:rPr>
              <w:t>分</w:t>
            </w:r>
          </w:p>
        </w:tc>
        <w:tc>
          <w:tcPr>
            <w:tcW w:w="7350" w:type="dxa"/>
            <w:vAlign w:val="top"/>
          </w:tcPr>
          <w:p w14:paraId="64DC1D1A">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pacing w:val="7"/>
                <w:sz w:val="23"/>
                <w:szCs w:val="23"/>
                <w14:textFill>
                  <w14:solidFill>
                    <w14:schemeClr w14:val="tx1"/>
                  </w14:solidFill>
                </w14:textFill>
              </w:rPr>
              <w:t>投标人须提供近</w:t>
            </w:r>
            <w:r>
              <w:rPr>
                <w:rFonts w:hint="eastAsia" w:ascii="宋体" w:hAnsi="宋体" w:cs="宋体"/>
                <w:color w:val="000000" w:themeColor="text1"/>
                <w:spacing w:val="7"/>
                <w:sz w:val="23"/>
                <w:szCs w:val="23"/>
                <w:lang w:val="en-US" w:eastAsia="zh-CN"/>
                <w14:textFill>
                  <w14:solidFill>
                    <w14:schemeClr w14:val="tx1"/>
                  </w14:solidFill>
                </w14:textFill>
              </w:rPr>
              <w:t>三</w:t>
            </w:r>
            <w:r>
              <w:rPr>
                <w:rFonts w:hint="eastAsia" w:ascii="宋体" w:hAnsi="宋体" w:eastAsia="宋体" w:cs="宋体"/>
                <w:color w:val="000000" w:themeColor="text1"/>
                <w:spacing w:val="7"/>
                <w:sz w:val="23"/>
                <w:szCs w:val="23"/>
                <w14:textFill>
                  <w14:solidFill>
                    <w14:schemeClr w14:val="tx1"/>
                  </w14:solidFill>
                </w14:textFill>
              </w:rPr>
              <w:t>年（2022年1月1日至今，以合同签订时间为准）类似项目业绩，一项计</w:t>
            </w:r>
            <w:r>
              <w:rPr>
                <w:rFonts w:hint="eastAsia" w:ascii="宋体" w:hAnsi="宋体" w:cs="宋体"/>
                <w:color w:val="000000" w:themeColor="text1"/>
                <w:spacing w:val="7"/>
                <w:sz w:val="23"/>
                <w:szCs w:val="23"/>
                <w:lang w:val="en-US" w:eastAsia="zh-CN"/>
                <w14:textFill>
                  <w14:solidFill>
                    <w14:schemeClr w14:val="tx1"/>
                  </w14:solidFill>
                </w14:textFill>
              </w:rPr>
              <w:t>3</w:t>
            </w:r>
            <w:r>
              <w:rPr>
                <w:rFonts w:hint="eastAsia" w:ascii="宋体" w:hAnsi="宋体" w:eastAsia="宋体" w:cs="宋体"/>
                <w:color w:val="000000" w:themeColor="text1"/>
                <w:spacing w:val="7"/>
                <w:sz w:val="23"/>
                <w:szCs w:val="23"/>
                <w14:textFill>
                  <w14:solidFill>
                    <w14:schemeClr w14:val="tx1"/>
                  </w14:solidFill>
                </w14:textFill>
              </w:rPr>
              <w:t>分，最多</w:t>
            </w:r>
            <w:r>
              <w:rPr>
                <w:rFonts w:hint="eastAsia" w:ascii="宋体" w:hAnsi="宋体" w:cs="宋体"/>
                <w:color w:val="000000" w:themeColor="text1"/>
                <w:spacing w:val="7"/>
                <w:sz w:val="23"/>
                <w:szCs w:val="23"/>
                <w:lang w:val="en-US" w:eastAsia="zh-CN"/>
                <w14:textFill>
                  <w14:solidFill>
                    <w14:schemeClr w14:val="tx1"/>
                  </w14:solidFill>
                </w14:textFill>
              </w:rPr>
              <w:t>得6分</w:t>
            </w:r>
            <w:r>
              <w:rPr>
                <w:rFonts w:hint="eastAsia" w:ascii="宋体" w:hAnsi="宋体" w:cs="宋体"/>
                <w:color w:val="000000" w:themeColor="text1"/>
                <w:spacing w:val="7"/>
                <w:sz w:val="23"/>
                <w:szCs w:val="23"/>
                <w:lang w:eastAsia="zh-CN"/>
                <w14:textFill>
                  <w14:solidFill>
                    <w14:schemeClr w14:val="tx1"/>
                  </w14:solidFill>
                </w14:textFill>
              </w:rPr>
              <w:t>（</w:t>
            </w:r>
            <w:r>
              <w:rPr>
                <w:rFonts w:hint="eastAsia" w:ascii="宋体" w:hAnsi="宋体" w:eastAsia="宋体" w:cs="宋体"/>
                <w:color w:val="000000" w:themeColor="text1"/>
                <w:spacing w:val="7"/>
                <w:sz w:val="23"/>
                <w:szCs w:val="23"/>
                <w14:textFill>
                  <w14:solidFill>
                    <w14:schemeClr w14:val="tx1"/>
                  </w14:solidFill>
                </w14:textFill>
              </w:rPr>
              <w:t>须提供合同扫描件，合同文件需体现：合同首页、服务内容页、金额页、双方盖章签字页、合同签订时间</w:t>
            </w:r>
            <w:r>
              <w:rPr>
                <w:rFonts w:hint="eastAsia" w:ascii="宋体" w:hAnsi="宋体" w:cs="宋体"/>
                <w:color w:val="000000" w:themeColor="text1"/>
                <w:spacing w:val="7"/>
                <w:sz w:val="23"/>
                <w:szCs w:val="23"/>
                <w:lang w:eastAsia="zh-CN"/>
                <w14:textFill>
                  <w14:solidFill>
                    <w14:schemeClr w14:val="tx1"/>
                  </w14:solidFill>
                </w14:textFill>
              </w:rPr>
              <w:t>）。</w:t>
            </w:r>
            <w:r>
              <w:rPr>
                <w:rFonts w:hint="eastAsia" w:ascii="宋体" w:hAnsi="宋体" w:eastAsia="宋体" w:cs="宋体"/>
                <w:color w:val="000000" w:themeColor="text1"/>
                <w:spacing w:val="7"/>
                <w:sz w:val="23"/>
                <w:szCs w:val="23"/>
                <w:lang w:val="en-US" w:eastAsia="zh-CN"/>
                <w14:textFill>
                  <w14:solidFill>
                    <w14:schemeClr w14:val="tx1"/>
                  </w14:solidFill>
                </w14:textFill>
              </w:rPr>
              <w:t>注：所附的证明材料的复印件或扫描件含糊不清，导致无法辨认的，视为未提供证明材料</w:t>
            </w:r>
            <w:r>
              <w:rPr>
                <w:rFonts w:hint="eastAsia" w:ascii="宋体" w:hAnsi="宋体" w:cs="宋体"/>
                <w:color w:val="000000" w:themeColor="text1"/>
                <w:spacing w:val="7"/>
                <w:sz w:val="23"/>
                <w:szCs w:val="23"/>
                <w:lang w:val="en-US" w:eastAsia="zh-CN"/>
                <w14:textFill>
                  <w14:solidFill>
                    <w14:schemeClr w14:val="tx1"/>
                  </w14:solidFill>
                </w14:textFill>
              </w:rPr>
              <w:t>。</w:t>
            </w:r>
          </w:p>
        </w:tc>
      </w:tr>
      <w:tr w14:paraId="1A4A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600" w:type="dxa"/>
            <w:vAlign w:val="top"/>
          </w:tcPr>
          <w:p w14:paraId="67EBE41F">
            <w:pPr>
              <w:spacing w:line="277" w:lineRule="auto"/>
              <w:rPr>
                <w:rFonts w:ascii="Arial"/>
                <w:color w:val="000000" w:themeColor="text1"/>
                <w:sz w:val="21"/>
                <w14:textFill>
                  <w14:solidFill>
                    <w14:schemeClr w14:val="tx1"/>
                  </w14:solidFill>
                </w14:textFill>
              </w:rPr>
            </w:pPr>
          </w:p>
          <w:p w14:paraId="16D45DB3">
            <w:pPr>
              <w:spacing w:line="277" w:lineRule="auto"/>
              <w:rPr>
                <w:rFonts w:ascii="Arial"/>
                <w:color w:val="000000" w:themeColor="text1"/>
                <w:sz w:val="21"/>
                <w14:textFill>
                  <w14:solidFill>
                    <w14:schemeClr w14:val="tx1"/>
                  </w14:solidFill>
                </w14:textFill>
              </w:rPr>
            </w:pPr>
          </w:p>
          <w:p w14:paraId="6881B343">
            <w:pPr>
              <w:spacing w:before="75" w:line="188"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2</w:t>
            </w:r>
          </w:p>
        </w:tc>
        <w:tc>
          <w:tcPr>
            <w:tcW w:w="1185" w:type="dxa"/>
            <w:vAlign w:val="top"/>
          </w:tcPr>
          <w:p w14:paraId="4F6A0093">
            <w:pPr>
              <w:spacing w:before="75" w:line="241" w:lineRule="auto"/>
              <w:ind w:right="216"/>
              <w:jc w:val="both"/>
              <w:rPr>
                <w:rFonts w:ascii="宋体" w:hAnsi="宋体" w:eastAsia="宋体" w:cs="宋体"/>
                <w:color w:val="000000" w:themeColor="text1"/>
                <w:spacing w:val="6"/>
                <w:sz w:val="23"/>
                <w:szCs w:val="23"/>
                <w14:textFill>
                  <w14:solidFill>
                    <w14:schemeClr w14:val="tx1"/>
                  </w14:solidFill>
                </w14:textFill>
              </w:rPr>
            </w:pPr>
          </w:p>
          <w:p w14:paraId="14D985A2">
            <w:pPr>
              <w:spacing w:before="75" w:line="241" w:lineRule="auto"/>
              <w:ind w:right="216"/>
              <w:jc w:val="both"/>
              <w:rPr>
                <w:rFonts w:ascii="宋体" w:hAnsi="宋体" w:eastAsia="宋体" w:cs="宋体"/>
                <w:color w:val="000000" w:themeColor="text1"/>
                <w:spacing w:val="6"/>
                <w:sz w:val="23"/>
                <w:szCs w:val="23"/>
                <w14:textFill>
                  <w14:solidFill>
                    <w14:schemeClr w14:val="tx1"/>
                  </w14:solidFill>
                </w14:textFill>
              </w:rPr>
            </w:pPr>
          </w:p>
          <w:p w14:paraId="384700B5">
            <w:pPr>
              <w:spacing w:before="75" w:line="241" w:lineRule="auto"/>
              <w:ind w:right="216"/>
              <w:jc w:val="both"/>
              <w:rPr>
                <w:rFonts w:hint="default"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pacing w:val="6"/>
                <w:sz w:val="23"/>
                <w:szCs w:val="23"/>
                <w:lang w:val="en-US" w:eastAsia="zh-CN"/>
                <w14:textFill>
                  <w14:solidFill>
                    <w14:schemeClr w14:val="tx1"/>
                  </w14:solidFill>
                </w14:textFill>
              </w:rPr>
              <w:t>体系制度</w:t>
            </w:r>
          </w:p>
        </w:tc>
        <w:tc>
          <w:tcPr>
            <w:tcW w:w="840" w:type="dxa"/>
            <w:vAlign w:val="top"/>
          </w:tcPr>
          <w:p w14:paraId="29C4E3E2">
            <w:pPr>
              <w:spacing w:before="75" w:line="228" w:lineRule="auto"/>
              <w:rPr>
                <w:rFonts w:ascii="宋体" w:hAnsi="宋体" w:eastAsia="宋体" w:cs="宋体"/>
                <w:color w:val="000000" w:themeColor="text1"/>
                <w:spacing w:val="1"/>
                <w:sz w:val="23"/>
                <w:szCs w:val="23"/>
                <w14:textFill>
                  <w14:solidFill>
                    <w14:schemeClr w14:val="tx1"/>
                  </w14:solidFill>
                </w14:textFill>
              </w:rPr>
            </w:pPr>
          </w:p>
          <w:p w14:paraId="0D12EFD0">
            <w:pPr>
              <w:spacing w:before="75" w:line="228" w:lineRule="auto"/>
              <w:rPr>
                <w:rFonts w:ascii="宋体" w:hAnsi="宋体" w:eastAsia="宋体" w:cs="宋体"/>
                <w:color w:val="000000" w:themeColor="text1"/>
                <w:spacing w:val="1"/>
                <w:sz w:val="23"/>
                <w:szCs w:val="23"/>
                <w14:textFill>
                  <w14:solidFill>
                    <w14:schemeClr w14:val="tx1"/>
                  </w14:solidFill>
                </w14:textFill>
              </w:rPr>
            </w:pPr>
          </w:p>
          <w:p w14:paraId="0678FD73">
            <w:pPr>
              <w:spacing w:before="75" w:line="228" w:lineRule="auto"/>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
                <w:sz w:val="23"/>
                <w:szCs w:val="23"/>
                <w14:textFill>
                  <w14:solidFill>
                    <w14:schemeClr w14:val="tx1"/>
                  </w14:solidFill>
                </w14:textFill>
              </w:rPr>
              <w:t>0-</w:t>
            </w:r>
            <w:r>
              <w:rPr>
                <w:rFonts w:hint="eastAsia" w:ascii="宋体" w:hAnsi="宋体" w:cs="宋体"/>
                <w:color w:val="000000" w:themeColor="text1"/>
                <w:spacing w:val="1"/>
                <w:sz w:val="23"/>
                <w:szCs w:val="23"/>
                <w:lang w:val="en-US" w:eastAsia="zh-CN"/>
                <w14:textFill>
                  <w14:solidFill>
                    <w14:schemeClr w14:val="tx1"/>
                  </w14:solidFill>
                </w14:textFill>
              </w:rPr>
              <w:t>20</w:t>
            </w:r>
            <w:r>
              <w:rPr>
                <w:rFonts w:ascii="宋体" w:hAnsi="宋体" w:eastAsia="宋体" w:cs="宋体"/>
                <w:color w:val="000000" w:themeColor="text1"/>
                <w:spacing w:val="1"/>
                <w:sz w:val="23"/>
                <w:szCs w:val="23"/>
                <w14:textFill>
                  <w14:solidFill>
                    <w14:schemeClr w14:val="tx1"/>
                  </w14:solidFill>
                </w14:textFill>
              </w:rPr>
              <w:t>分</w:t>
            </w:r>
          </w:p>
        </w:tc>
        <w:tc>
          <w:tcPr>
            <w:tcW w:w="7350" w:type="dxa"/>
            <w:vAlign w:val="top"/>
          </w:tcPr>
          <w:p w14:paraId="5EBFA3D0">
            <w:pPr>
              <w:spacing w:before="74" w:line="227" w:lineRule="auto"/>
              <w:rPr>
                <w:rFonts w:hint="default" w:ascii="宋体" w:hAnsi="宋体" w:eastAsia="宋体" w:cs="宋体"/>
                <w:color w:val="000000" w:themeColor="text1"/>
                <w:spacing w:val="10"/>
                <w:sz w:val="23"/>
                <w:szCs w:val="23"/>
                <w:lang w:val="en-US" w:eastAsia="zh-CN"/>
                <w14:textFill>
                  <w14:solidFill>
                    <w14:schemeClr w14:val="tx1"/>
                  </w14:solidFill>
                </w14:textFill>
              </w:rPr>
            </w:pP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体系制度应包含管理组织架构，人员分工，管理制度等。有完善的派遣劳务人员资薪酬管理体系和财务管理等制度保障，能保证薪酬安全可靠，及时发放，并承诺不拖欠劳务人员薪酬。根据保障制度完善程度评分，(1)有开展服务工作的基本组织机构</w:t>
            </w:r>
            <w:r>
              <w:rPr>
                <w:rFonts w:hint="eastAsia" w:ascii="宋体" w:hAnsi="宋体" w:cs="宋体"/>
                <w:color w:val="000000" w:themeColor="text1"/>
                <w:spacing w:val="9"/>
                <w:kern w:val="2"/>
                <w:sz w:val="23"/>
                <w:szCs w:val="23"/>
                <w:lang w:val="en-US" w:eastAsia="zh-CN" w:bidi="ar-SA"/>
                <w14:textFill>
                  <w14:solidFill>
                    <w14:schemeClr w14:val="tx1"/>
                  </w14:solidFill>
                </w14:textFill>
              </w:rPr>
              <w:t>、</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有人事财务部门的得 </w:t>
            </w:r>
            <w:r>
              <w:rPr>
                <w:rFonts w:hint="eastAsia" w:ascii="宋体" w:hAnsi="宋体" w:cs="宋体"/>
                <w:color w:val="000000" w:themeColor="text1"/>
                <w:spacing w:val="9"/>
                <w:kern w:val="2"/>
                <w:sz w:val="23"/>
                <w:szCs w:val="23"/>
                <w:lang w:val="en-US" w:eastAsia="zh-CN" w:bidi="ar-SA"/>
                <w14:textFill>
                  <w14:solidFill>
                    <w14:schemeClr w14:val="tx1"/>
                  </w14:solidFill>
                </w14:textFill>
              </w:rPr>
              <w:t>10</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 分，每少一项扣 </w:t>
            </w:r>
            <w:r>
              <w:rPr>
                <w:rFonts w:hint="eastAsia" w:ascii="宋体" w:hAnsi="宋体" w:cs="宋体"/>
                <w:color w:val="000000" w:themeColor="text1"/>
                <w:spacing w:val="9"/>
                <w:kern w:val="2"/>
                <w:sz w:val="23"/>
                <w:szCs w:val="23"/>
                <w:lang w:val="en-US" w:eastAsia="zh-CN" w:bidi="ar-SA"/>
                <w14:textFill>
                  <w14:solidFill>
                    <w14:schemeClr w14:val="tx1"/>
                  </w14:solidFill>
                </w14:textFill>
              </w:rPr>
              <w:t>5</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分，直至为零。(2)有人事(含薪酬、考勤、奖惩、辞退等主要内容)、财务 (含收支、预算等主要内容)、培训(含礼仪、技能、应急等 主要内容)管理制度的得 </w:t>
            </w:r>
            <w:r>
              <w:rPr>
                <w:rFonts w:hint="eastAsia" w:ascii="宋体" w:hAnsi="宋体" w:cs="宋体"/>
                <w:color w:val="000000" w:themeColor="text1"/>
                <w:spacing w:val="9"/>
                <w:kern w:val="2"/>
                <w:sz w:val="23"/>
                <w:szCs w:val="23"/>
                <w:lang w:val="en-US" w:eastAsia="zh-CN" w:bidi="ar-SA"/>
                <w14:textFill>
                  <w14:solidFill>
                    <w14:schemeClr w14:val="tx1"/>
                  </w14:solidFill>
                </w14:textFill>
              </w:rPr>
              <w:t>9</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 xml:space="preserve"> 分，每少一个主要内容小项扣</w:t>
            </w:r>
            <w:r>
              <w:rPr>
                <w:rFonts w:hint="eastAsia" w:ascii="宋体" w:hAnsi="宋体" w:cs="宋体"/>
                <w:color w:val="000000" w:themeColor="text1"/>
                <w:spacing w:val="9"/>
                <w:kern w:val="2"/>
                <w:sz w:val="23"/>
                <w:szCs w:val="23"/>
                <w:lang w:val="en-US" w:eastAsia="zh-CN" w:bidi="ar-SA"/>
                <w14:textFill>
                  <w14:solidFill>
                    <w14:schemeClr w14:val="tx1"/>
                  </w14:solidFill>
                </w14:textFill>
              </w:rPr>
              <w:t>3</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分，直至为零。</w:t>
            </w:r>
            <w:r>
              <w:rPr>
                <w:rFonts w:hint="eastAsia" w:ascii="宋体" w:hAnsi="宋体" w:cs="宋体"/>
                <w:color w:val="000000" w:themeColor="text1"/>
                <w:spacing w:val="9"/>
                <w:kern w:val="2"/>
                <w:sz w:val="23"/>
                <w:szCs w:val="23"/>
                <w:lang w:val="en-US" w:eastAsia="zh-CN" w:bidi="ar-SA"/>
                <w14:textFill>
                  <w14:solidFill>
                    <w14:schemeClr w14:val="tx1"/>
                  </w14:solidFill>
                </w14:textFill>
              </w:rPr>
              <w:t>（3）提供</w:t>
            </w:r>
            <w:r>
              <w:rPr>
                <w:rFonts w:hint="eastAsia" w:ascii="宋体" w:hAnsi="宋体" w:eastAsia="宋体" w:cs="宋体"/>
                <w:color w:val="000000" w:themeColor="text1"/>
                <w:spacing w:val="9"/>
                <w:kern w:val="2"/>
                <w:sz w:val="23"/>
                <w:szCs w:val="23"/>
                <w:lang w:val="en-US" w:eastAsia="zh-CN" w:bidi="ar-SA"/>
                <w14:textFill>
                  <w14:solidFill>
                    <w14:schemeClr w14:val="tx1"/>
                  </w14:solidFill>
                </w14:textFill>
              </w:rPr>
              <w:t>不拖欠劳务人员薪酬承诺</w:t>
            </w:r>
            <w:r>
              <w:rPr>
                <w:rFonts w:hint="eastAsia" w:ascii="宋体" w:hAnsi="宋体" w:cs="宋体"/>
                <w:color w:val="000000" w:themeColor="text1"/>
                <w:spacing w:val="9"/>
                <w:kern w:val="2"/>
                <w:sz w:val="23"/>
                <w:szCs w:val="23"/>
                <w:lang w:val="en-US" w:eastAsia="zh-CN" w:bidi="ar-SA"/>
                <w14:textFill>
                  <w14:solidFill>
                    <w14:schemeClr w14:val="tx1"/>
                  </w14:solidFill>
                </w14:textFill>
              </w:rPr>
              <w:t>（格式自拟）的得1分，不提供的不得分。</w:t>
            </w:r>
          </w:p>
        </w:tc>
      </w:tr>
      <w:tr w14:paraId="27BA2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00" w:type="dxa"/>
            <w:vAlign w:val="top"/>
          </w:tcPr>
          <w:p w14:paraId="55F037E0">
            <w:pPr>
              <w:spacing w:line="242" w:lineRule="auto"/>
              <w:rPr>
                <w:rFonts w:ascii="Arial"/>
                <w:color w:val="000000" w:themeColor="text1"/>
                <w:sz w:val="21"/>
                <w14:textFill>
                  <w14:solidFill>
                    <w14:schemeClr w14:val="tx1"/>
                  </w14:solidFill>
                </w14:textFill>
              </w:rPr>
            </w:pPr>
          </w:p>
          <w:p w14:paraId="156852AC">
            <w:pPr>
              <w:spacing w:line="242" w:lineRule="auto"/>
              <w:rPr>
                <w:rFonts w:ascii="Arial"/>
                <w:color w:val="000000" w:themeColor="text1"/>
                <w:sz w:val="21"/>
                <w14:textFill>
                  <w14:solidFill>
                    <w14:schemeClr w14:val="tx1"/>
                  </w14:solidFill>
                </w14:textFill>
              </w:rPr>
            </w:pPr>
          </w:p>
          <w:p w14:paraId="4D751E8C">
            <w:pPr>
              <w:spacing w:before="75" w:line="189"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3</w:t>
            </w:r>
          </w:p>
        </w:tc>
        <w:tc>
          <w:tcPr>
            <w:tcW w:w="1185" w:type="dxa"/>
            <w:vAlign w:val="top"/>
          </w:tcPr>
          <w:p w14:paraId="155B4C2E">
            <w:pPr>
              <w:spacing w:before="75" w:line="241" w:lineRule="auto"/>
              <w:ind w:right="216"/>
              <w:jc w:val="both"/>
              <w:rPr>
                <w:rFonts w:hint="eastAsia" w:ascii="宋体" w:hAnsi="宋体" w:cs="宋体"/>
                <w:color w:val="000000" w:themeColor="text1"/>
                <w:sz w:val="23"/>
                <w:szCs w:val="23"/>
                <w:lang w:val="en-US" w:eastAsia="zh-CN"/>
                <w14:textFill>
                  <w14:solidFill>
                    <w14:schemeClr w14:val="tx1"/>
                  </w14:solidFill>
                </w14:textFill>
              </w:rPr>
            </w:pPr>
          </w:p>
          <w:p w14:paraId="34B92F70">
            <w:pPr>
              <w:spacing w:before="75" w:line="241" w:lineRule="auto"/>
              <w:ind w:right="216"/>
              <w:jc w:val="both"/>
              <w:rPr>
                <w:rFonts w:hint="eastAsia" w:ascii="宋体" w:hAnsi="宋体" w:cs="宋体"/>
                <w:color w:val="000000" w:themeColor="text1"/>
                <w:sz w:val="23"/>
                <w:szCs w:val="23"/>
                <w:lang w:val="en-US" w:eastAsia="zh-CN"/>
                <w14:textFill>
                  <w14:solidFill>
                    <w14:schemeClr w14:val="tx1"/>
                  </w14:solidFill>
                </w14:textFill>
              </w:rPr>
            </w:pPr>
          </w:p>
          <w:p w14:paraId="271BA3F3">
            <w:pPr>
              <w:spacing w:before="75" w:line="241" w:lineRule="auto"/>
              <w:ind w:right="216"/>
              <w:jc w:val="both"/>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服务方案</w:t>
            </w:r>
          </w:p>
        </w:tc>
        <w:tc>
          <w:tcPr>
            <w:tcW w:w="840" w:type="dxa"/>
            <w:vAlign w:val="top"/>
          </w:tcPr>
          <w:p w14:paraId="4E467C24">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44863BDA">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7F403A58">
            <w:pPr>
              <w:spacing w:before="75" w:line="228" w:lineRule="auto"/>
              <w:rPr>
                <w:rFonts w:hint="default"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0-16分</w:t>
            </w:r>
          </w:p>
        </w:tc>
        <w:tc>
          <w:tcPr>
            <w:tcW w:w="7350" w:type="dxa"/>
            <w:vAlign w:val="top"/>
          </w:tcPr>
          <w:p w14:paraId="64098CDC">
            <w:pPr>
              <w:numPr>
                <w:ilvl w:val="0"/>
                <w:numId w:val="0"/>
              </w:numPr>
              <w:spacing w:before="75" w:line="239" w:lineRule="auto"/>
              <w:ind w:right="102" w:rightChars="0"/>
              <w:rPr>
                <w:rFonts w:hint="eastAsia" w:ascii="宋体" w:hAnsi="宋体" w:cs="宋体"/>
                <w:color w:val="000000" w:themeColor="text1"/>
                <w:spacing w:val="9"/>
                <w:sz w:val="23"/>
                <w:szCs w:val="23"/>
                <w:lang w:eastAsia="zh-CN"/>
                <w14:textFill>
                  <w14:solidFill>
                    <w14:schemeClr w14:val="tx1"/>
                  </w14:solidFill>
                </w14:textFill>
              </w:rPr>
            </w:pPr>
            <w:r>
              <w:rPr>
                <w:rFonts w:hint="eastAsia" w:ascii="宋体" w:hAnsi="宋体" w:cs="宋体"/>
                <w:color w:val="000000" w:themeColor="text1"/>
                <w:spacing w:val="9"/>
                <w:sz w:val="23"/>
                <w:szCs w:val="23"/>
                <w:lang w:eastAsia="zh-CN"/>
                <w14:textFill>
                  <w14:solidFill>
                    <w14:schemeClr w14:val="tx1"/>
                  </w14:solidFill>
                </w14:textFill>
              </w:rPr>
              <w:t>根据本项目的特点，投标人从以下方面编制服务方案:</w:t>
            </w:r>
          </w:p>
          <w:p w14:paraId="7568370C">
            <w:pPr>
              <w:numPr>
                <w:ilvl w:val="0"/>
                <w:numId w:val="9"/>
              </w:numPr>
              <w:spacing w:before="75" w:line="239" w:lineRule="auto"/>
              <w:ind w:right="102" w:rightChars="0"/>
              <w:rPr>
                <w:rFonts w:hint="eastAsia" w:ascii="宋体" w:hAnsi="宋体" w:cs="宋体"/>
                <w:color w:val="000000" w:themeColor="text1"/>
                <w:spacing w:val="9"/>
                <w:sz w:val="23"/>
                <w:szCs w:val="23"/>
                <w:lang w:eastAsia="zh-CN"/>
                <w14:textFill>
                  <w14:solidFill>
                    <w14:schemeClr w14:val="tx1"/>
                  </w14:solidFill>
                </w14:textFill>
              </w:rPr>
            </w:pPr>
            <w:r>
              <w:rPr>
                <w:rFonts w:hint="eastAsia" w:ascii="宋体" w:hAnsi="宋体" w:cs="宋体"/>
                <w:color w:val="000000" w:themeColor="text1"/>
                <w:spacing w:val="9"/>
                <w:sz w:val="23"/>
                <w:szCs w:val="23"/>
                <w:lang w:eastAsia="zh-CN"/>
                <w14:textFill>
                  <w14:solidFill>
                    <w14:schemeClr w14:val="tx1"/>
                  </w14:solidFill>
                </w14:textFill>
              </w:rPr>
              <w:t>服务期总体规划(对院内</w:t>
            </w:r>
            <w:r>
              <w:rPr>
                <w:rFonts w:hint="eastAsia" w:ascii="宋体" w:hAnsi="宋体" w:cs="宋体"/>
                <w:color w:val="000000" w:themeColor="text1"/>
                <w:spacing w:val="9"/>
                <w:sz w:val="23"/>
                <w:szCs w:val="23"/>
                <w:lang w:val="en-US" w:eastAsia="zh-CN"/>
                <w14:textFill>
                  <w14:solidFill>
                    <w14:schemeClr w14:val="tx1"/>
                  </w14:solidFill>
                </w14:textFill>
              </w:rPr>
              <w:t>老年人</w:t>
            </w:r>
            <w:r>
              <w:rPr>
                <w:rFonts w:hint="eastAsia" w:ascii="宋体" w:hAnsi="宋体" w:cs="宋体"/>
                <w:color w:val="000000" w:themeColor="text1"/>
                <w:spacing w:val="9"/>
                <w:sz w:val="23"/>
                <w:szCs w:val="23"/>
                <w:lang w:eastAsia="zh-CN"/>
                <w14:textFill>
                  <w14:solidFill>
                    <w14:schemeClr w14:val="tx1"/>
                  </w14:solidFill>
                </w14:textFill>
              </w:rPr>
              <w:t>基本照料护理服务、残疾老年人服务、送医陪护服务、心理疏导服务、社会融入服务等服务);</w:t>
            </w:r>
            <w:r>
              <w:rPr>
                <w:rFonts w:hint="eastAsia" w:ascii="宋体" w:hAnsi="宋体" w:cs="宋体"/>
                <w:color w:val="000000" w:themeColor="text1"/>
                <w:spacing w:val="9"/>
                <w:sz w:val="23"/>
                <w:szCs w:val="23"/>
                <w:lang w:val="en-US" w:eastAsia="zh-CN"/>
                <w14:textFill>
                  <w14:solidFill>
                    <w14:schemeClr w14:val="tx1"/>
                  </w14:solidFill>
                </w14:textFill>
              </w:rPr>
              <w:t>2</w:t>
            </w:r>
            <w:r>
              <w:rPr>
                <w:rFonts w:hint="eastAsia" w:ascii="宋体" w:hAnsi="宋体" w:cs="宋体"/>
                <w:color w:val="000000" w:themeColor="text1"/>
                <w:spacing w:val="9"/>
                <w:sz w:val="23"/>
                <w:szCs w:val="23"/>
                <w:lang w:eastAsia="zh-CN"/>
                <w14:textFill>
                  <w14:solidFill>
                    <w14:schemeClr w14:val="tx1"/>
                  </w14:solidFill>
                </w14:textFill>
              </w:rPr>
              <w:t>.服务方式方法(日常养护、精细化护理、个案护理等);</w:t>
            </w:r>
            <w:r>
              <w:rPr>
                <w:rFonts w:hint="eastAsia" w:ascii="宋体" w:hAnsi="宋体" w:cs="宋体"/>
                <w:color w:val="000000" w:themeColor="text1"/>
                <w:spacing w:val="9"/>
                <w:sz w:val="23"/>
                <w:szCs w:val="23"/>
                <w:lang w:val="en-US" w:eastAsia="zh-CN"/>
                <w14:textFill>
                  <w14:solidFill>
                    <w14:schemeClr w14:val="tx1"/>
                  </w14:solidFill>
                </w14:textFill>
              </w:rPr>
              <w:t>3</w:t>
            </w:r>
            <w:r>
              <w:rPr>
                <w:rFonts w:hint="eastAsia" w:ascii="宋体" w:hAnsi="宋体" w:cs="宋体"/>
                <w:color w:val="000000" w:themeColor="text1"/>
                <w:spacing w:val="9"/>
                <w:sz w:val="23"/>
                <w:szCs w:val="23"/>
                <w:lang w:eastAsia="zh-CN"/>
                <w14:textFill>
                  <w14:solidFill>
                    <w14:schemeClr w14:val="tx1"/>
                  </w14:solidFill>
                </w14:textFill>
              </w:rPr>
              <w:t>.日常生活照料服务;</w:t>
            </w:r>
            <w:r>
              <w:rPr>
                <w:rFonts w:hint="eastAsia" w:ascii="宋体" w:hAnsi="宋体" w:cs="宋体"/>
                <w:color w:val="000000" w:themeColor="text1"/>
                <w:spacing w:val="9"/>
                <w:sz w:val="23"/>
                <w:szCs w:val="23"/>
                <w:lang w:val="en-US" w:eastAsia="zh-CN"/>
                <w14:textFill>
                  <w14:solidFill>
                    <w14:schemeClr w14:val="tx1"/>
                  </w14:solidFill>
                </w14:textFill>
              </w:rPr>
              <w:t>4</w:t>
            </w:r>
            <w:r>
              <w:rPr>
                <w:rFonts w:hint="eastAsia" w:ascii="宋体" w:hAnsi="宋体" w:cs="宋体"/>
                <w:color w:val="000000" w:themeColor="text1"/>
                <w:spacing w:val="9"/>
                <w:sz w:val="23"/>
                <w:szCs w:val="23"/>
                <w:lang w:eastAsia="zh-CN"/>
                <w14:textFill>
                  <w14:solidFill>
                    <w14:schemeClr w14:val="tx1"/>
                  </w14:solidFill>
                </w14:textFill>
              </w:rPr>
              <w:t>.服务期间人员管理、安排、培训等;</w:t>
            </w:r>
            <w:r>
              <w:rPr>
                <w:rFonts w:hint="eastAsia" w:ascii="宋体" w:hAnsi="宋体" w:cs="宋体"/>
                <w:color w:val="000000" w:themeColor="text1"/>
                <w:spacing w:val="9"/>
                <w:sz w:val="23"/>
                <w:szCs w:val="23"/>
                <w:lang w:val="en-US" w:eastAsia="zh-CN"/>
                <w14:textFill>
                  <w14:solidFill>
                    <w14:schemeClr w14:val="tx1"/>
                  </w14:solidFill>
                </w14:textFill>
              </w:rPr>
              <w:t>5</w:t>
            </w:r>
            <w:r>
              <w:rPr>
                <w:rFonts w:hint="eastAsia" w:ascii="宋体" w:hAnsi="宋体" w:cs="宋体"/>
                <w:color w:val="000000" w:themeColor="text1"/>
                <w:spacing w:val="9"/>
                <w:sz w:val="23"/>
                <w:szCs w:val="23"/>
                <w:lang w:eastAsia="zh-CN"/>
                <w14:textFill>
                  <w14:solidFill>
                    <w14:schemeClr w14:val="tx1"/>
                  </w14:solidFill>
                </w14:textFill>
              </w:rPr>
              <w:t>.信息资料保密制度;</w:t>
            </w:r>
            <w:r>
              <w:rPr>
                <w:rFonts w:hint="eastAsia" w:ascii="宋体" w:hAnsi="宋体" w:cs="宋体"/>
                <w:color w:val="000000" w:themeColor="text1"/>
                <w:spacing w:val="9"/>
                <w:sz w:val="23"/>
                <w:szCs w:val="23"/>
                <w:lang w:val="en-US" w:eastAsia="zh-CN"/>
                <w14:textFill>
                  <w14:solidFill>
                    <w14:schemeClr w14:val="tx1"/>
                  </w14:solidFill>
                </w14:textFill>
              </w:rPr>
              <w:t>6</w:t>
            </w:r>
            <w:r>
              <w:rPr>
                <w:rFonts w:hint="eastAsia" w:ascii="宋体" w:hAnsi="宋体" w:cs="宋体"/>
                <w:color w:val="000000" w:themeColor="text1"/>
                <w:spacing w:val="9"/>
                <w:sz w:val="23"/>
                <w:szCs w:val="23"/>
                <w:lang w:eastAsia="zh-CN"/>
                <w14:textFill>
                  <w14:solidFill>
                    <w14:schemeClr w14:val="tx1"/>
                  </w14:solidFill>
                </w14:textFill>
              </w:rPr>
              <w:t>具体服务流程;</w:t>
            </w:r>
            <w:r>
              <w:rPr>
                <w:rFonts w:hint="eastAsia" w:ascii="宋体" w:hAnsi="宋体" w:cs="宋体"/>
                <w:color w:val="000000" w:themeColor="text1"/>
                <w:spacing w:val="9"/>
                <w:sz w:val="23"/>
                <w:szCs w:val="23"/>
                <w:lang w:val="en-US" w:eastAsia="zh-CN"/>
                <w14:textFill>
                  <w14:solidFill>
                    <w14:schemeClr w14:val="tx1"/>
                  </w14:solidFill>
                </w14:textFill>
              </w:rPr>
              <w:t>7</w:t>
            </w:r>
            <w:r>
              <w:rPr>
                <w:rFonts w:hint="eastAsia" w:ascii="宋体" w:hAnsi="宋体" w:cs="宋体"/>
                <w:color w:val="000000" w:themeColor="text1"/>
                <w:spacing w:val="9"/>
                <w:sz w:val="23"/>
                <w:szCs w:val="23"/>
                <w:lang w:eastAsia="zh-CN"/>
                <w14:textFill>
                  <w14:solidFill>
                    <w14:schemeClr w14:val="tx1"/>
                  </w14:solidFill>
                </w14:textFill>
              </w:rPr>
              <w:t>.服务保障措施;</w:t>
            </w:r>
            <w:r>
              <w:rPr>
                <w:rFonts w:hint="eastAsia" w:ascii="宋体" w:hAnsi="宋体" w:cs="宋体"/>
                <w:color w:val="000000" w:themeColor="text1"/>
                <w:spacing w:val="9"/>
                <w:sz w:val="23"/>
                <w:szCs w:val="23"/>
                <w:lang w:val="en-US" w:eastAsia="zh-CN"/>
                <w14:textFill>
                  <w14:solidFill>
                    <w14:schemeClr w14:val="tx1"/>
                  </w14:solidFill>
                </w14:textFill>
              </w:rPr>
              <w:t>8</w:t>
            </w:r>
            <w:r>
              <w:rPr>
                <w:rFonts w:hint="eastAsia" w:ascii="宋体" w:hAnsi="宋体" w:cs="宋体"/>
                <w:color w:val="000000" w:themeColor="text1"/>
                <w:spacing w:val="9"/>
                <w:sz w:val="23"/>
                <w:szCs w:val="23"/>
                <w:lang w:eastAsia="zh-CN"/>
                <w14:textFill>
                  <w14:solidFill>
                    <w14:schemeClr w14:val="tx1"/>
                  </w14:solidFill>
                </w14:textFill>
              </w:rPr>
              <w:t>.安全、卫生、信息管理方案，</w:t>
            </w:r>
          </w:p>
          <w:p w14:paraId="0037BD41">
            <w:pPr>
              <w:numPr>
                <w:ilvl w:val="0"/>
                <w:numId w:val="0"/>
              </w:numPr>
              <w:spacing w:before="75" w:line="239" w:lineRule="auto"/>
              <w:ind w:right="102" w:rightChars="0"/>
              <w:rPr>
                <w:rFonts w:hint="default" w:ascii="宋体" w:hAnsi="宋体" w:cs="宋体"/>
                <w:color w:val="000000" w:themeColor="text1"/>
                <w:spacing w:val="9"/>
                <w:sz w:val="23"/>
                <w:szCs w:val="23"/>
                <w:lang w:val="en-US" w:eastAsia="zh-CN"/>
                <w14:textFill>
                  <w14:solidFill>
                    <w14:schemeClr w14:val="tx1"/>
                  </w14:solidFill>
                </w14:textFill>
              </w:rPr>
            </w:pPr>
            <w:r>
              <w:rPr>
                <w:rFonts w:hint="eastAsia" w:ascii="宋体" w:hAnsi="宋体" w:cs="宋体"/>
                <w:color w:val="000000" w:themeColor="text1"/>
                <w:spacing w:val="9"/>
                <w:sz w:val="23"/>
                <w:szCs w:val="23"/>
                <w:lang w:eastAsia="zh-CN"/>
                <w14:textFill>
                  <w14:solidFill>
                    <w14:schemeClr w14:val="tx1"/>
                  </w14:solidFill>
                </w14:textFill>
              </w:rPr>
              <w:t xml:space="preserve">根据以上要求，每提供 1项得 </w:t>
            </w:r>
            <w:r>
              <w:rPr>
                <w:rFonts w:hint="eastAsia" w:ascii="宋体" w:hAnsi="宋体" w:cs="宋体"/>
                <w:color w:val="000000" w:themeColor="text1"/>
                <w:spacing w:val="9"/>
                <w:sz w:val="23"/>
                <w:szCs w:val="23"/>
                <w:lang w:val="en-US" w:eastAsia="zh-CN"/>
                <w14:textFill>
                  <w14:solidFill>
                    <w14:schemeClr w14:val="tx1"/>
                  </w14:solidFill>
                </w14:textFill>
              </w:rPr>
              <w:t>2</w:t>
            </w:r>
            <w:r>
              <w:rPr>
                <w:rFonts w:hint="eastAsia" w:ascii="宋体" w:hAnsi="宋体" w:cs="宋体"/>
                <w:color w:val="000000" w:themeColor="text1"/>
                <w:spacing w:val="9"/>
                <w:sz w:val="23"/>
                <w:szCs w:val="23"/>
                <w:lang w:eastAsia="zh-CN"/>
                <w14:textFill>
                  <w14:solidFill>
                    <w14:schemeClr w14:val="tx1"/>
                  </w14:solidFill>
                </w14:textFill>
              </w:rPr>
              <w:t xml:space="preserve"> 分，满分 </w:t>
            </w:r>
            <w:r>
              <w:rPr>
                <w:rFonts w:hint="eastAsia" w:ascii="宋体" w:hAnsi="宋体" w:cs="宋体"/>
                <w:color w:val="000000" w:themeColor="text1"/>
                <w:spacing w:val="9"/>
                <w:sz w:val="23"/>
                <w:szCs w:val="23"/>
                <w:lang w:val="en-US" w:eastAsia="zh-CN"/>
                <w14:textFill>
                  <w14:solidFill>
                    <w14:schemeClr w14:val="tx1"/>
                  </w14:solidFill>
                </w14:textFill>
              </w:rPr>
              <w:t>16</w:t>
            </w:r>
            <w:r>
              <w:rPr>
                <w:rFonts w:hint="eastAsia" w:ascii="宋体" w:hAnsi="宋体" w:cs="宋体"/>
                <w:color w:val="000000" w:themeColor="text1"/>
                <w:spacing w:val="9"/>
                <w:sz w:val="23"/>
                <w:szCs w:val="23"/>
                <w:lang w:eastAsia="zh-CN"/>
                <w14:textFill>
                  <w14:solidFill>
                    <w14:schemeClr w14:val="tx1"/>
                  </w14:solidFill>
                </w14:textFill>
              </w:rPr>
              <w:t xml:space="preserve"> 分;未提供不得</w:t>
            </w:r>
            <w:r>
              <w:rPr>
                <w:rFonts w:hint="eastAsia" w:ascii="宋体" w:hAnsi="宋体" w:cs="宋体"/>
                <w:color w:val="000000" w:themeColor="text1"/>
                <w:spacing w:val="9"/>
                <w:sz w:val="23"/>
                <w:szCs w:val="23"/>
                <w:lang w:val="en-US" w:eastAsia="zh-CN"/>
                <w14:textFill>
                  <w14:solidFill>
                    <w14:schemeClr w14:val="tx1"/>
                  </w14:solidFill>
                </w14:textFill>
              </w:rPr>
              <w:t>分。（缺陷是指：存在不适用项目实际情况的情形、凭空编造、内容不完整、逻辑不请、涉及的规范及标准错误、地点区域错误、内容缺漏、不能完全满足招标文件要求等）</w:t>
            </w:r>
          </w:p>
        </w:tc>
      </w:tr>
      <w:tr w14:paraId="5CF50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600" w:type="dxa"/>
            <w:vAlign w:val="top"/>
          </w:tcPr>
          <w:p w14:paraId="1268F466">
            <w:pPr>
              <w:spacing w:line="247" w:lineRule="auto"/>
              <w:rPr>
                <w:rFonts w:ascii="Arial"/>
                <w:color w:val="000000" w:themeColor="text1"/>
                <w:sz w:val="21"/>
                <w14:textFill>
                  <w14:solidFill>
                    <w14:schemeClr w14:val="tx1"/>
                  </w14:solidFill>
                </w14:textFill>
              </w:rPr>
            </w:pPr>
          </w:p>
          <w:p w14:paraId="200472C3">
            <w:pPr>
              <w:spacing w:line="247" w:lineRule="auto"/>
              <w:rPr>
                <w:rFonts w:ascii="Arial"/>
                <w:color w:val="000000" w:themeColor="text1"/>
                <w:sz w:val="21"/>
                <w14:textFill>
                  <w14:solidFill>
                    <w14:schemeClr w14:val="tx1"/>
                  </w14:solidFill>
                </w14:textFill>
              </w:rPr>
            </w:pPr>
          </w:p>
          <w:p w14:paraId="39EFBAC9">
            <w:pPr>
              <w:spacing w:before="74" w:line="188"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4</w:t>
            </w:r>
          </w:p>
        </w:tc>
        <w:tc>
          <w:tcPr>
            <w:tcW w:w="1185" w:type="dxa"/>
            <w:vAlign w:val="top"/>
          </w:tcPr>
          <w:p w14:paraId="22BD261A">
            <w:pPr>
              <w:spacing w:before="75" w:line="245" w:lineRule="auto"/>
              <w:ind w:right="216"/>
              <w:jc w:val="both"/>
              <w:rPr>
                <w:rFonts w:hint="eastAsia" w:ascii="宋体" w:hAnsi="宋体" w:cs="宋体"/>
                <w:color w:val="000000" w:themeColor="text1"/>
                <w:sz w:val="23"/>
                <w:szCs w:val="23"/>
                <w:lang w:val="en-US" w:eastAsia="zh-CN"/>
                <w14:textFill>
                  <w14:solidFill>
                    <w14:schemeClr w14:val="tx1"/>
                  </w14:solidFill>
                </w14:textFill>
              </w:rPr>
            </w:pPr>
          </w:p>
          <w:p w14:paraId="25DC3B0E">
            <w:pPr>
              <w:spacing w:before="75" w:line="245" w:lineRule="auto"/>
              <w:ind w:right="216"/>
              <w:jc w:val="both"/>
              <w:rPr>
                <w:rFonts w:hint="eastAsia" w:ascii="宋体" w:hAnsi="宋体" w:cs="宋体"/>
                <w:color w:val="000000" w:themeColor="text1"/>
                <w:sz w:val="23"/>
                <w:szCs w:val="23"/>
                <w:lang w:val="en-US" w:eastAsia="zh-CN"/>
                <w14:textFill>
                  <w14:solidFill>
                    <w14:schemeClr w14:val="tx1"/>
                  </w14:solidFill>
                </w14:textFill>
              </w:rPr>
            </w:pPr>
          </w:p>
          <w:p w14:paraId="69050237">
            <w:pPr>
              <w:spacing w:before="75" w:line="245" w:lineRule="auto"/>
              <w:ind w:right="216"/>
              <w:jc w:val="both"/>
              <w:rPr>
                <w:rFonts w:hint="default"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后续服务与回访</w:t>
            </w:r>
          </w:p>
        </w:tc>
        <w:tc>
          <w:tcPr>
            <w:tcW w:w="840" w:type="dxa"/>
            <w:vAlign w:val="top"/>
          </w:tcPr>
          <w:p w14:paraId="3540E6B2">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1C75AFFF">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0F5A1314">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16E835B0">
            <w:pPr>
              <w:spacing w:before="75" w:line="228" w:lineRule="auto"/>
              <w:rPr>
                <w:rFonts w:hint="default" w:ascii="宋体" w:hAnsi="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0-6分</w:t>
            </w:r>
          </w:p>
        </w:tc>
        <w:tc>
          <w:tcPr>
            <w:tcW w:w="7350" w:type="dxa"/>
            <w:vAlign w:val="top"/>
          </w:tcPr>
          <w:p w14:paraId="35E34DE8">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hint="eastAsia" w:ascii="宋体" w:hAnsi="宋体" w:eastAsia="宋体" w:cs="宋体"/>
                <w:color w:val="000000" w:themeColor="text1"/>
                <w:spacing w:val="6"/>
                <w:sz w:val="23"/>
                <w:szCs w:val="23"/>
                <w14:textFill>
                  <w14:solidFill>
                    <w14:schemeClr w14:val="tx1"/>
                  </w14:solidFill>
                </w14:textFill>
              </w:rPr>
            </w:pPr>
            <w:r>
              <w:rPr>
                <w:rFonts w:hint="eastAsia" w:ascii="宋体" w:hAnsi="宋体" w:eastAsia="宋体" w:cs="宋体"/>
                <w:color w:val="000000" w:themeColor="text1"/>
                <w:spacing w:val="6"/>
                <w:sz w:val="23"/>
                <w:szCs w:val="23"/>
                <w14:textFill>
                  <w14:solidFill>
                    <w14:schemeClr w14:val="tx1"/>
                  </w14:solidFill>
                </w14:textFill>
              </w:rPr>
              <w:t>针对本项目合同期满后的售后服务:</w:t>
            </w:r>
          </w:p>
          <w:p w14:paraId="616062B8">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hint="eastAsia" w:ascii="宋体" w:hAnsi="宋体" w:eastAsia="宋体" w:cs="宋体"/>
                <w:color w:val="000000" w:themeColor="text1"/>
                <w:spacing w:val="6"/>
                <w:sz w:val="23"/>
                <w:szCs w:val="23"/>
                <w14:textFill>
                  <w14:solidFill>
                    <w14:schemeClr w14:val="tx1"/>
                  </w14:solidFill>
                </w14:textFill>
              </w:rPr>
            </w:pPr>
            <w:r>
              <w:rPr>
                <w:rFonts w:hint="eastAsia" w:ascii="宋体" w:hAnsi="宋体" w:eastAsia="宋体" w:cs="宋体"/>
                <w:color w:val="000000" w:themeColor="text1"/>
                <w:spacing w:val="6"/>
                <w:sz w:val="23"/>
                <w:szCs w:val="23"/>
                <w14:textFill>
                  <w14:solidFill>
                    <w14:schemeClr w14:val="tx1"/>
                  </w14:solidFill>
                </w14:textFill>
              </w:rPr>
              <w:t>1.制定回访计划包含但不限于(回访计划表、回访人员、关心关爱、相关活动计划)，得</w:t>
            </w:r>
            <w:r>
              <w:rPr>
                <w:rFonts w:hint="eastAsia" w:ascii="宋体" w:hAnsi="宋体" w:cs="宋体"/>
                <w:color w:val="000000" w:themeColor="text1"/>
                <w:spacing w:val="6"/>
                <w:sz w:val="23"/>
                <w:szCs w:val="23"/>
                <w:lang w:val="en-US" w:eastAsia="zh-CN"/>
                <w14:textFill>
                  <w14:solidFill>
                    <w14:schemeClr w14:val="tx1"/>
                  </w14:solidFill>
                </w14:textFill>
              </w:rPr>
              <w:t>2</w:t>
            </w:r>
            <w:r>
              <w:rPr>
                <w:rFonts w:hint="eastAsia" w:ascii="宋体" w:hAnsi="宋体" w:eastAsia="宋体" w:cs="宋体"/>
                <w:color w:val="000000" w:themeColor="text1"/>
                <w:spacing w:val="6"/>
                <w:sz w:val="23"/>
                <w:szCs w:val="23"/>
                <w14:textFill>
                  <w14:solidFill>
                    <w14:schemeClr w14:val="tx1"/>
                  </w14:solidFill>
                </w14:textFill>
              </w:rPr>
              <w:t>分;</w:t>
            </w:r>
          </w:p>
          <w:p w14:paraId="6245C570">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ascii="宋体" w:hAnsi="宋体" w:eastAsia="宋体" w:cs="宋体"/>
                <w:color w:val="000000" w:themeColor="text1"/>
                <w:spacing w:val="6"/>
                <w:sz w:val="23"/>
                <w:szCs w:val="23"/>
                <w14:textFill>
                  <w14:solidFill>
                    <w14:schemeClr w14:val="tx1"/>
                  </w14:solidFill>
                </w14:textFill>
              </w:rPr>
            </w:pPr>
            <w:r>
              <w:rPr>
                <w:rFonts w:hint="eastAsia" w:ascii="宋体" w:hAnsi="宋体" w:eastAsia="宋体" w:cs="宋体"/>
                <w:color w:val="000000" w:themeColor="text1"/>
                <w:spacing w:val="6"/>
                <w:sz w:val="23"/>
                <w:szCs w:val="23"/>
                <w14:textFill>
                  <w14:solidFill>
                    <w14:schemeClr w14:val="tx1"/>
                  </w14:solidFill>
                </w14:textFill>
              </w:rPr>
              <w:t xml:space="preserve">2.回访时间(每年回访不少于4次，每季度回访不少于1次)，满足得 </w:t>
            </w:r>
            <w:r>
              <w:rPr>
                <w:rFonts w:hint="eastAsia" w:ascii="宋体" w:hAnsi="宋体" w:cs="宋体"/>
                <w:color w:val="000000" w:themeColor="text1"/>
                <w:spacing w:val="6"/>
                <w:sz w:val="23"/>
                <w:szCs w:val="23"/>
                <w:lang w:val="en-US" w:eastAsia="zh-CN"/>
                <w14:textFill>
                  <w14:solidFill>
                    <w14:schemeClr w14:val="tx1"/>
                  </w14:solidFill>
                </w14:textFill>
              </w:rPr>
              <w:t>2</w:t>
            </w:r>
            <w:r>
              <w:rPr>
                <w:rFonts w:hint="eastAsia" w:ascii="宋体" w:hAnsi="宋体" w:eastAsia="宋体" w:cs="宋体"/>
                <w:color w:val="000000" w:themeColor="text1"/>
                <w:spacing w:val="6"/>
                <w:sz w:val="23"/>
                <w:szCs w:val="23"/>
                <w14:textFill>
                  <w14:solidFill>
                    <w14:schemeClr w14:val="tx1"/>
                  </w14:solidFill>
                </w14:textFill>
              </w:rPr>
              <w:t>分，每增加一次得1分，满分</w:t>
            </w:r>
            <w:r>
              <w:rPr>
                <w:rFonts w:hint="eastAsia" w:ascii="宋体" w:hAnsi="宋体" w:cs="宋体"/>
                <w:color w:val="000000" w:themeColor="text1"/>
                <w:spacing w:val="6"/>
                <w:sz w:val="23"/>
                <w:szCs w:val="23"/>
                <w:lang w:val="en-US" w:eastAsia="zh-CN"/>
                <w14:textFill>
                  <w14:solidFill>
                    <w14:schemeClr w14:val="tx1"/>
                  </w14:solidFill>
                </w14:textFill>
              </w:rPr>
              <w:t>4</w:t>
            </w:r>
            <w:r>
              <w:rPr>
                <w:rFonts w:hint="eastAsia" w:ascii="宋体" w:hAnsi="宋体" w:eastAsia="宋体" w:cs="宋体"/>
                <w:color w:val="000000" w:themeColor="text1"/>
                <w:spacing w:val="6"/>
                <w:sz w:val="23"/>
                <w:szCs w:val="23"/>
                <w14:textFill>
                  <w14:solidFill>
                    <w14:schemeClr w14:val="tx1"/>
                  </w14:solidFill>
                </w14:textFill>
              </w:rPr>
              <w:t>分;未提供不得分。</w:t>
            </w:r>
            <w:r>
              <w:rPr>
                <w:rFonts w:hint="eastAsia" w:ascii="宋体" w:hAnsi="宋体" w:cs="宋体"/>
                <w:color w:val="000000" w:themeColor="text1"/>
                <w:spacing w:val="9"/>
                <w:sz w:val="23"/>
                <w:szCs w:val="23"/>
                <w:lang w:val="en-US" w:eastAsia="zh-CN"/>
                <w14:textFill>
                  <w14:solidFill>
                    <w14:schemeClr w14:val="tx1"/>
                  </w14:solidFill>
                </w14:textFill>
              </w:rPr>
              <w:t>（缺陷是指：存在不适用项目实际情况的情形、凭空编造、内容不完整、逻辑不请、涉及的规范及标准错误、地点区域错误、内容缺漏、不能完全满足招标文件要求等）</w:t>
            </w:r>
          </w:p>
        </w:tc>
      </w:tr>
      <w:tr w14:paraId="03570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600" w:type="dxa"/>
            <w:vAlign w:val="top"/>
          </w:tcPr>
          <w:p w14:paraId="6391261A">
            <w:pPr>
              <w:spacing w:line="247" w:lineRule="auto"/>
              <w:rPr>
                <w:rFonts w:ascii="Arial"/>
                <w:color w:val="000000" w:themeColor="text1"/>
                <w:sz w:val="21"/>
                <w14:textFill>
                  <w14:solidFill>
                    <w14:schemeClr w14:val="tx1"/>
                  </w14:solidFill>
                </w14:textFill>
              </w:rPr>
            </w:pPr>
          </w:p>
          <w:p w14:paraId="466D0B09">
            <w:pPr>
              <w:spacing w:line="247" w:lineRule="auto"/>
              <w:rPr>
                <w:rFonts w:ascii="Arial"/>
                <w:color w:val="000000" w:themeColor="text1"/>
                <w:sz w:val="21"/>
                <w14:textFill>
                  <w14:solidFill>
                    <w14:schemeClr w14:val="tx1"/>
                  </w14:solidFill>
                </w14:textFill>
              </w:rPr>
            </w:pPr>
          </w:p>
          <w:p w14:paraId="2DC8E522">
            <w:pPr>
              <w:spacing w:before="75" w:line="187" w:lineRule="auto"/>
              <w:ind w:firstLine="230" w:firstLineChars="10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5</w:t>
            </w:r>
          </w:p>
        </w:tc>
        <w:tc>
          <w:tcPr>
            <w:tcW w:w="1185" w:type="dxa"/>
            <w:vAlign w:val="top"/>
          </w:tcPr>
          <w:p w14:paraId="56E06D4D">
            <w:pPr>
              <w:spacing w:before="74" w:line="239" w:lineRule="auto"/>
              <w:ind w:right="216"/>
              <w:rPr>
                <w:rFonts w:hint="eastAsia" w:ascii="宋体" w:hAnsi="宋体" w:cs="宋体"/>
                <w:color w:val="000000" w:themeColor="text1"/>
                <w:sz w:val="23"/>
                <w:szCs w:val="23"/>
                <w:lang w:val="en-US" w:eastAsia="zh-CN"/>
                <w14:textFill>
                  <w14:solidFill>
                    <w14:schemeClr w14:val="tx1"/>
                  </w14:solidFill>
                </w14:textFill>
              </w:rPr>
            </w:pPr>
          </w:p>
          <w:p w14:paraId="1A7D8463">
            <w:pPr>
              <w:spacing w:before="74" w:line="239" w:lineRule="auto"/>
              <w:ind w:right="216"/>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服务承诺</w:t>
            </w:r>
          </w:p>
        </w:tc>
        <w:tc>
          <w:tcPr>
            <w:tcW w:w="840" w:type="dxa"/>
            <w:vAlign w:val="top"/>
          </w:tcPr>
          <w:p w14:paraId="22F2BA7C">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394AEF59">
            <w:pPr>
              <w:spacing w:before="75" w:line="228" w:lineRule="auto"/>
              <w:rPr>
                <w:rFonts w:hint="default" w:ascii="宋体" w:hAnsi="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0-4分</w:t>
            </w:r>
          </w:p>
        </w:tc>
        <w:tc>
          <w:tcPr>
            <w:tcW w:w="7350" w:type="dxa"/>
            <w:vAlign w:val="top"/>
          </w:tcPr>
          <w:p w14:paraId="00D1F0A1">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hint="eastAsia"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1.承诺本公司有良好的职业道德，遵守法律，服从管理，自觉接受监督、每季度接受甲方考核的得</w:t>
            </w:r>
            <w:r>
              <w:rPr>
                <w:rFonts w:hint="eastAsia" w:ascii="宋体" w:hAnsi="宋体" w:cs="宋体"/>
                <w:color w:val="000000" w:themeColor="text1"/>
                <w:sz w:val="23"/>
                <w:szCs w:val="23"/>
                <w:lang w:val="en-US" w:eastAsia="zh-CN"/>
                <w14:textFill>
                  <w14:solidFill>
                    <w14:schemeClr w14:val="tx1"/>
                  </w14:solidFill>
                </w14:textFill>
              </w:rPr>
              <w:t>2</w:t>
            </w:r>
            <w:r>
              <w:rPr>
                <w:rFonts w:hint="eastAsia" w:ascii="宋体" w:hAnsi="宋体" w:eastAsia="宋体" w:cs="宋体"/>
                <w:color w:val="000000" w:themeColor="text1"/>
                <w:sz w:val="23"/>
                <w:szCs w:val="23"/>
                <w14:textFill>
                  <w14:solidFill>
                    <w14:schemeClr w14:val="tx1"/>
                  </w14:solidFill>
                </w14:textFill>
              </w:rPr>
              <w:t>分，未提供不得分，</w:t>
            </w:r>
          </w:p>
          <w:p w14:paraId="68604D71">
            <w:pPr>
              <w:pStyle w:val="73"/>
              <w:keepNext w:val="0"/>
              <w:keepLines w:val="0"/>
              <w:pageBreakBefore w:val="0"/>
              <w:numPr>
                <w:ilvl w:val="0"/>
                <w:numId w:val="0"/>
              </w:numPr>
              <w:kinsoku/>
              <w:wordWrap/>
              <w:overflowPunct/>
              <w:topLinePunct w:val="0"/>
              <w:autoSpaceDE/>
              <w:autoSpaceDN/>
              <w:bidi w:val="0"/>
              <w:adjustRightInd/>
              <w:snapToGrid/>
              <w:spacing w:line="320" w:lineRule="exact"/>
              <w:ind w:right="62"/>
              <w:jc w:val="left"/>
              <w:textAlignment w:val="auto"/>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2.承诺为</w:t>
            </w:r>
            <w:r>
              <w:rPr>
                <w:rFonts w:hint="eastAsia" w:ascii="宋体" w:hAnsi="宋体" w:cs="宋体"/>
                <w:color w:val="000000" w:themeColor="text1"/>
                <w:sz w:val="23"/>
                <w:szCs w:val="23"/>
                <w:lang w:val="en-US" w:eastAsia="zh-CN"/>
                <w14:textFill>
                  <w14:solidFill>
                    <w14:schemeClr w14:val="tx1"/>
                  </w14:solidFill>
                </w14:textFill>
              </w:rPr>
              <w:t>老年人</w:t>
            </w:r>
            <w:r>
              <w:rPr>
                <w:rFonts w:hint="eastAsia" w:ascii="宋体" w:hAnsi="宋体" w:eastAsia="宋体" w:cs="宋体"/>
                <w:color w:val="000000" w:themeColor="text1"/>
                <w:sz w:val="23"/>
                <w:szCs w:val="23"/>
                <w14:textFill>
                  <w14:solidFill>
                    <w14:schemeClr w14:val="tx1"/>
                  </w14:solidFill>
                </w14:textFill>
              </w:rPr>
              <w:t>提供 24 小时的生活护理服务提供时间安排计划表的得</w:t>
            </w:r>
            <w:r>
              <w:rPr>
                <w:rFonts w:hint="eastAsia" w:ascii="宋体" w:hAnsi="宋体" w:cs="宋体"/>
                <w:color w:val="000000" w:themeColor="text1"/>
                <w:sz w:val="23"/>
                <w:szCs w:val="23"/>
                <w:lang w:val="en-US" w:eastAsia="zh-CN"/>
                <w14:textFill>
                  <w14:solidFill>
                    <w14:schemeClr w14:val="tx1"/>
                  </w14:solidFill>
                </w14:textFill>
              </w:rPr>
              <w:t>2</w:t>
            </w:r>
            <w:r>
              <w:rPr>
                <w:rFonts w:hint="eastAsia" w:ascii="宋体" w:hAnsi="宋体" w:eastAsia="宋体" w:cs="宋体"/>
                <w:color w:val="000000" w:themeColor="text1"/>
                <w:sz w:val="23"/>
                <w:szCs w:val="23"/>
                <w14:textFill>
                  <w14:solidFill>
                    <w14:schemeClr w14:val="tx1"/>
                  </w14:solidFill>
                </w14:textFill>
              </w:rPr>
              <w:t>分，不提供不得分。</w:t>
            </w:r>
          </w:p>
        </w:tc>
      </w:tr>
      <w:tr w14:paraId="0A87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600" w:type="dxa"/>
            <w:vAlign w:val="top"/>
          </w:tcPr>
          <w:p w14:paraId="2CE2154F">
            <w:pPr>
              <w:spacing w:line="442" w:lineRule="auto"/>
              <w:rPr>
                <w:rFonts w:ascii="Arial"/>
                <w:color w:val="000000" w:themeColor="text1"/>
                <w:sz w:val="21"/>
                <w14:textFill>
                  <w14:solidFill>
                    <w14:schemeClr w14:val="tx1"/>
                  </w14:solidFill>
                </w14:textFill>
              </w:rPr>
            </w:pPr>
          </w:p>
          <w:p w14:paraId="1F8CA37D">
            <w:pPr>
              <w:spacing w:before="75" w:line="187" w:lineRule="auto"/>
              <w:ind w:left="215"/>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7</w:t>
            </w:r>
          </w:p>
        </w:tc>
        <w:tc>
          <w:tcPr>
            <w:tcW w:w="1185" w:type="dxa"/>
            <w:vAlign w:val="top"/>
          </w:tcPr>
          <w:p w14:paraId="442F4B91">
            <w:pPr>
              <w:spacing w:before="75" w:line="239" w:lineRule="auto"/>
              <w:ind w:right="96"/>
              <w:rPr>
                <w:rFonts w:hint="eastAsia" w:ascii="宋体" w:hAnsi="宋体" w:cs="宋体"/>
                <w:color w:val="000000" w:themeColor="text1"/>
                <w:sz w:val="23"/>
                <w:szCs w:val="23"/>
                <w:lang w:val="en-US" w:eastAsia="zh-CN"/>
                <w14:textFill>
                  <w14:solidFill>
                    <w14:schemeClr w14:val="tx1"/>
                  </w14:solidFill>
                </w14:textFill>
              </w:rPr>
            </w:pPr>
          </w:p>
          <w:p w14:paraId="24CC154A">
            <w:pPr>
              <w:spacing w:before="75" w:line="239" w:lineRule="auto"/>
              <w:ind w:right="96"/>
              <w:rPr>
                <w:rFonts w:hint="eastAsia" w:ascii="宋体" w:hAnsi="宋体" w:cs="宋体"/>
                <w:color w:val="000000" w:themeColor="text1"/>
                <w:sz w:val="23"/>
                <w:szCs w:val="23"/>
                <w:lang w:val="en-US" w:eastAsia="zh-CN"/>
                <w14:textFill>
                  <w14:solidFill>
                    <w14:schemeClr w14:val="tx1"/>
                  </w14:solidFill>
                </w14:textFill>
              </w:rPr>
            </w:pPr>
          </w:p>
          <w:p w14:paraId="4230D25C">
            <w:pPr>
              <w:spacing w:before="75" w:line="239" w:lineRule="auto"/>
              <w:ind w:right="96"/>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应急预案</w:t>
            </w:r>
          </w:p>
        </w:tc>
        <w:tc>
          <w:tcPr>
            <w:tcW w:w="840" w:type="dxa"/>
            <w:vAlign w:val="top"/>
          </w:tcPr>
          <w:p w14:paraId="097C92E0">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7EA19DE0">
            <w:pPr>
              <w:spacing w:before="75" w:line="228" w:lineRule="auto"/>
              <w:rPr>
                <w:rFonts w:hint="eastAsia" w:ascii="宋体" w:hAnsi="宋体" w:cs="宋体"/>
                <w:color w:val="000000" w:themeColor="text1"/>
                <w:sz w:val="23"/>
                <w:szCs w:val="23"/>
                <w:lang w:val="en-US" w:eastAsia="zh-CN"/>
                <w14:textFill>
                  <w14:solidFill>
                    <w14:schemeClr w14:val="tx1"/>
                  </w14:solidFill>
                </w14:textFill>
              </w:rPr>
            </w:pPr>
          </w:p>
          <w:p w14:paraId="3E7C2772">
            <w:pPr>
              <w:spacing w:before="75" w:line="228" w:lineRule="auto"/>
              <w:rPr>
                <w:rFonts w:hint="default" w:ascii="宋体" w:hAnsi="宋体" w:cs="宋体"/>
                <w:color w:val="000000" w:themeColor="text1"/>
                <w:sz w:val="23"/>
                <w:szCs w:val="23"/>
                <w:lang w:val="en-US" w:eastAsia="zh-CN"/>
                <w14:textFill>
                  <w14:solidFill>
                    <w14:schemeClr w14:val="tx1"/>
                  </w14:solidFill>
                </w14:textFill>
              </w:rPr>
            </w:pPr>
            <w:r>
              <w:rPr>
                <w:rFonts w:hint="eastAsia" w:ascii="宋体" w:hAnsi="宋体" w:cs="宋体"/>
                <w:color w:val="000000" w:themeColor="text1"/>
                <w:sz w:val="23"/>
                <w:szCs w:val="23"/>
                <w:lang w:val="en-US" w:eastAsia="zh-CN"/>
                <w14:textFill>
                  <w14:solidFill>
                    <w14:schemeClr w14:val="tx1"/>
                  </w14:solidFill>
                </w14:textFill>
              </w:rPr>
              <w:t>-18分</w:t>
            </w:r>
          </w:p>
        </w:tc>
        <w:tc>
          <w:tcPr>
            <w:tcW w:w="7350" w:type="dxa"/>
            <w:vAlign w:val="top"/>
          </w:tcPr>
          <w:p w14:paraId="42619BA4">
            <w:pPr>
              <w:spacing w:before="168" w:line="227" w:lineRule="auto"/>
              <w:ind w:left="53"/>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针对本项目制定合理完善的应急预案和应急措施，包含以下内容:1.针对服务对象的人身安全;2.急救车安排计划;3.人员安排人员更替;4.防火、防电;5.突发疾病等预防措施;6.应急响应时间;根据以上要求，每提供1项得</w:t>
            </w:r>
            <w:r>
              <w:rPr>
                <w:rFonts w:hint="eastAsia" w:ascii="宋体" w:hAnsi="宋体" w:cs="宋体"/>
                <w:color w:val="000000" w:themeColor="text1"/>
                <w:sz w:val="23"/>
                <w:szCs w:val="23"/>
                <w:lang w:val="en-US" w:eastAsia="zh-CN"/>
                <w14:textFill>
                  <w14:solidFill>
                    <w14:schemeClr w14:val="tx1"/>
                  </w14:solidFill>
                </w14:textFill>
              </w:rPr>
              <w:t>3</w:t>
            </w:r>
            <w:r>
              <w:rPr>
                <w:rFonts w:hint="eastAsia" w:ascii="宋体" w:hAnsi="宋体" w:eastAsia="宋体" w:cs="宋体"/>
                <w:color w:val="000000" w:themeColor="text1"/>
                <w:sz w:val="23"/>
                <w:szCs w:val="23"/>
                <w14:textFill>
                  <w14:solidFill>
                    <w14:schemeClr w14:val="tx1"/>
                  </w14:solidFill>
                </w14:textFill>
              </w:rPr>
              <w:t>分，满分1</w:t>
            </w:r>
            <w:r>
              <w:rPr>
                <w:rFonts w:hint="eastAsia" w:ascii="宋体" w:hAnsi="宋体" w:cs="宋体"/>
                <w:color w:val="000000" w:themeColor="text1"/>
                <w:sz w:val="23"/>
                <w:szCs w:val="23"/>
                <w:lang w:val="en-US" w:eastAsia="zh-CN"/>
                <w14:textFill>
                  <w14:solidFill>
                    <w14:schemeClr w14:val="tx1"/>
                  </w14:solidFill>
                </w14:textFill>
              </w:rPr>
              <w:t>8</w:t>
            </w:r>
            <w:r>
              <w:rPr>
                <w:rFonts w:hint="eastAsia" w:ascii="宋体" w:hAnsi="宋体" w:eastAsia="宋体" w:cs="宋体"/>
                <w:color w:val="000000" w:themeColor="text1"/>
                <w:sz w:val="23"/>
                <w:szCs w:val="23"/>
                <w14:textFill>
                  <w14:solidFill>
                    <w14:schemeClr w14:val="tx1"/>
                  </w14:solidFill>
                </w14:textFill>
              </w:rPr>
              <w:t>分;未提供不得分。</w:t>
            </w:r>
            <w:r>
              <w:rPr>
                <w:rFonts w:hint="eastAsia" w:ascii="宋体" w:hAnsi="宋体" w:cs="宋体"/>
                <w:color w:val="000000" w:themeColor="text1"/>
                <w:spacing w:val="9"/>
                <w:sz w:val="23"/>
                <w:szCs w:val="23"/>
                <w:lang w:val="en-US" w:eastAsia="zh-CN"/>
                <w14:textFill>
                  <w14:solidFill>
                    <w14:schemeClr w14:val="tx1"/>
                  </w14:solidFill>
                </w14:textFill>
              </w:rPr>
              <w:t>（缺陷是指：存在不适用项目实际情况的情形、凭空编造、内容不完整、逻辑不请、涉及的规范及标准错误、地点区域错误、内容缺漏、不能完全满足招标文件要求等）</w:t>
            </w:r>
          </w:p>
        </w:tc>
      </w:tr>
    </w:tbl>
    <w:p w14:paraId="121ABE92">
      <w:pPr>
        <w:pStyle w:val="13"/>
      </w:pPr>
    </w:p>
    <w:p w14:paraId="7CD3BA82"/>
    <w:p w14:paraId="3265D392"/>
    <w:p w14:paraId="06BDF743">
      <w:pPr>
        <w:sectPr>
          <w:footerReference r:id="rId6" w:type="default"/>
          <w:type w:val="continuous"/>
          <w:pgSz w:w="11900" w:h="16838"/>
          <w:pgMar w:top="400" w:right="603" w:bottom="663" w:left="1253" w:header="0" w:footer="496" w:gutter="0"/>
          <w:cols w:space="720" w:num="1"/>
        </w:sectPr>
      </w:pPr>
    </w:p>
    <w:p w14:paraId="7F943CAE">
      <w:pPr>
        <w:spacing w:line="360" w:lineRule="auto"/>
        <w:jc w:val="both"/>
        <w:outlineLvl w:val="0"/>
        <w:rPr>
          <w:rFonts w:hint="eastAsia" w:asciiTheme="minorEastAsia" w:hAnsiTheme="minorEastAsia" w:eastAsiaTheme="minorEastAsia" w:cstheme="minorEastAsia"/>
          <w:b/>
          <w:sz w:val="36"/>
          <w:szCs w:val="36"/>
        </w:rPr>
      </w:pPr>
    </w:p>
    <w:p w14:paraId="33F3D4D6">
      <w:pPr>
        <w:spacing w:line="360" w:lineRule="auto"/>
        <w:jc w:val="center"/>
        <w:outlineLvl w:val="0"/>
        <w:rPr>
          <w:rFonts w:hint="eastAsia" w:asciiTheme="minorEastAsia" w:hAnsiTheme="minorEastAsia" w:eastAsiaTheme="minorEastAsia" w:cstheme="minorEastAsia"/>
          <w:b/>
          <w:kern w:val="2"/>
          <w:sz w:val="28"/>
          <w:szCs w:val="28"/>
          <w:lang w:val="en-US" w:eastAsia="zh-CN" w:bidi="ar-SA"/>
        </w:rPr>
      </w:pPr>
      <w:r>
        <w:rPr>
          <w:rFonts w:hint="eastAsia" w:asciiTheme="minorEastAsia" w:hAnsiTheme="minorEastAsia" w:eastAsiaTheme="minorEastAsia" w:cstheme="minorEastAsia"/>
          <w:b/>
          <w:sz w:val="36"/>
          <w:szCs w:val="36"/>
        </w:rPr>
        <w:t>第五章   采购需求</w:t>
      </w:r>
      <w:bookmarkEnd w:id="282"/>
      <w:bookmarkStart w:id="283" w:name="_Toc2874"/>
    </w:p>
    <w:tbl>
      <w:tblPr>
        <w:tblStyle w:val="3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78"/>
        <w:gridCol w:w="2380"/>
        <w:gridCol w:w="1331"/>
        <w:gridCol w:w="2325"/>
      </w:tblGrid>
      <w:tr w14:paraId="553C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862" w:type="dxa"/>
            <w:noWrap w:val="0"/>
            <w:vAlign w:val="center"/>
          </w:tcPr>
          <w:p w14:paraId="1C4A8FCA">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项目名称</w:t>
            </w:r>
          </w:p>
        </w:tc>
        <w:tc>
          <w:tcPr>
            <w:tcW w:w="2678" w:type="dxa"/>
            <w:noWrap w:val="0"/>
            <w:vAlign w:val="center"/>
          </w:tcPr>
          <w:p w14:paraId="255B471B">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服务内容</w:t>
            </w:r>
          </w:p>
        </w:tc>
        <w:tc>
          <w:tcPr>
            <w:tcW w:w="2380" w:type="dxa"/>
            <w:noWrap w:val="0"/>
            <w:vAlign w:val="center"/>
          </w:tcPr>
          <w:p w14:paraId="61BC5BD1">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服务要求</w:t>
            </w:r>
          </w:p>
        </w:tc>
        <w:tc>
          <w:tcPr>
            <w:tcW w:w="1331" w:type="dxa"/>
            <w:noWrap w:val="0"/>
            <w:vAlign w:val="center"/>
          </w:tcPr>
          <w:p w14:paraId="7356592D">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时间期限</w:t>
            </w:r>
          </w:p>
        </w:tc>
        <w:tc>
          <w:tcPr>
            <w:tcW w:w="2325" w:type="dxa"/>
            <w:noWrap w:val="0"/>
            <w:vAlign w:val="center"/>
          </w:tcPr>
          <w:p w14:paraId="42F95519">
            <w:pPr>
              <w:pStyle w:val="10"/>
              <w:keepNext w:val="0"/>
              <w:keepLines w:val="0"/>
              <w:pageBreakBefore w:val="0"/>
              <w:widowControl/>
              <w:kinsoku/>
              <w:wordWrap/>
              <w:overflowPunct/>
              <w:topLinePunct w:val="0"/>
              <w:autoSpaceDE/>
              <w:autoSpaceDN/>
              <w:bidi w:val="0"/>
              <w:adjustRightInd w:val="0"/>
              <w:snapToGrid w:val="0"/>
              <w:spacing w:before="0" w:after="0" w:line="520" w:lineRule="exact"/>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kern w:val="2"/>
                <w:sz w:val="28"/>
                <w:szCs w:val="28"/>
                <w:lang w:val="en-US" w:eastAsia="zh-CN" w:bidi="ar-SA"/>
              </w:rPr>
              <w:t>评估方法</w:t>
            </w:r>
          </w:p>
        </w:tc>
      </w:tr>
      <w:tr w14:paraId="5D26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62" w:type="dxa"/>
            <w:noWrap w:val="0"/>
            <w:vAlign w:val="center"/>
          </w:tcPr>
          <w:p w14:paraId="4D1909A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基本生活照料服务</w:t>
            </w:r>
          </w:p>
        </w:tc>
        <w:tc>
          <w:tcPr>
            <w:tcW w:w="2678" w:type="dxa"/>
            <w:noWrap w:val="0"/>
            <w:vAlign w:val="center"/>
          </w:tcPr>
          <w:p w14:paraId="4B9485C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通过购买服务，由第三方组建照料护理团队，对老年人提供用餐、饮水、用药、穿（脱）衣、洗漱、洗澡、如厕等生活照料、生病看护以及需求转介等服务，协助做好院舍安全隐患排查。</w:t>
            </w:r>
          </w:p>
        </w:tc>
        <w:tc>
          <w:tcPr>
            <w:tcW w:w="2380" w:type="dxa"/>
            <w:noWrap w:val="0"/>
            <w:vAlign w:val="center"/>
          </w:tcPr>
          <w:p w14:paraId="0A8A2E2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对老年人的每日三餐按时留样、做到每一名老年人按时就餐，衣着干净整洁、住宿环境干净、整洁、温馨，老年人的行为习惯规范。</w:t>
            </w:r>
          </w:p>
        </w:tc>
        <w:tc>
          <w:tcPr>
            <w:tcW w:w="1331" w:type="dxa"/>
            <w:noWrap w:val="0"/>
            <w:vAlign w:val="center"/>
          </w:tcPr>
          <w:p w14:paraId="6FB9D6C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1528E3E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5D32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62" w:type="dxa"/>
            <w:noWrap w:val="0"/>
            <w:vAlign w:val="center"/>
          </w:tcPr>
          <w:p w14:paraId="0725054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残疾老年人服务</w:t>
            </w:r>
          </w:p>
        </w:tc>
        <w:tc>
          <w:tcPr>
            <w:tcW w:w="2678" w:type="dxa"/>
            <w:noWrap w:val="0"/>
            <w:vAlign w:val="center"/>
          </w:tcPr>
          <w:p w14:paraId="101A5A6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第三方对机构内残疾老年人进行专业式康复训练，对不同残疾老年人制定康复训练计划，要有成效。</w:t>
            </w:r>
          </w:p>
        </w:tc>
        <w:tc>
          <w:tcPr>
            <w:tcW w:w="2380" w:type="dxa"/>
            <w:noWrap w:val="0"/>
            <w:vAlign w:val="center"/>
          </w:tcPr>
          <w:p w14:paraId="069A01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对残疾老年人制定康复训练计划，并对重残老年人进行专人负责专人照料康复。计划由养老机构负责人审批，按照计划执行。</w:t>
            </w:r>
          </w:p>
        </w:tc>
        <w:tc>
          <w:tcPr>
            <w:tcW w:w="1331" w:type="dxa"/>
            <w:noWrap w:val="0"/>
            <w:vAlign w:val="center"/>
          </w:tcPr>
          <w:p w14:paraId="7645B8E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01ECF7F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1883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62" w:type="dxa"/>
            <w:noWrap w:val="0"/>
            <w:vAlign w:val="center"/>
          </w:tcPr>
          <w:p w14:paraId="4E6E862F">
            <w:pPr>
              <w:keepNext w:val="0"/>
              <w:keepLines w:val="0"/>
              <w:pageBreakBefore w:val="0"/>
              <w:widowControl/>
              <w:kinsoku/>
              <w:wordWrap/>
              <w:overflowPunct/>
              <w:topLinePunct w:val="0"/>
              <w:autoSpaceDE/>
              <w:autoSpaceDN/>
              <w:bidi w:val="0"/>
              <w:adjustRightInd w:val="0"/>
              <w:snapToGrid w:val="0"/>
              <w:spacing w:after="0" w:line="520" w:lineRule="exact"/>
              <w:jc w:val="center"/>
              <w:rPr>
                <w:rFonts w:hint="default" w:ascii="仿宋" w:hAnsi="仿宋" w:eastAsia="仿宋" w:cs="仿宋"/>
                <w:b w:val="0"/>
                <w:bCs w:val="0"/>
                <w:i w:val="0"/>
                <w:iCs w:val="0"/>
                <w:sz w:val="20"/>
                <w:szCs w:val="20"/>
                <w:lang w:val="en-US" w:eastAsia="zh-CN"/>
              </w:rPr>
            </w:pPr>
            <w:r>
              <w:rPr>
                <w:rFonts w:hint="eastAsia" w:ascii="仿宋" w:hAnsi="仿宋" w:eastAsia="仿宋"/>
                <w:color w:val="000000" w:themeColor="text1"/>
                <w:sz w:val="24"/>
                <w:szCs w:val="24"/>
                <w:highlight w:val="none"/>
                <w:lang w:val="en-US" w:eastAsia="zh-CN"/>
                <w14:textFill>
                  <w14:solidFill>
                    <w14:schemeClr w14:val="tx1"/>
                  </w14:solidFill>
                </w14:textFill>
              </w:rPr>
              <w:t>送医陪护服务</w:t>
            </w:r>
          </w:p>
        </w:tc>
        <w:tc>
          <w:tcPr>
            <w:tcW w:w="2678" w:type="dxa"/>
            <w:noWrap w:val="0"/>
            <w:vAlign w:val="center"/>
          </w:tcPr>
          <w:p w14:paraId="3D101DF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陪送有需要的入住老人就医，并代为挂号、取药，陪同就诊、检查及住院陪护等。</w:t>
            </w:r>
          </w:p>
        </w:tc>
        <w:tc>
          <w:tcPr>
            <w:tcW w:w="2380" w:type="dxa"/>
            <w:noWrap w:val="0"/>
            <w:vAlign w:val="center"/>
          </w:tcPr>
          <w:p w14:paraId="54A1A4F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发现老年人生病以后第一时间送医就诊陪护</w:t>
            </w:r>
          </w:p>
        </w:tc>
        <w:tc>
          <w:tcPr>
            <w:tcW w:w="1331" w:type="dxa"/>
            <w:noWrap w:val="0"/>
            <w:vAlign w:val="center"/>
          </w:tcPr>
          <w:p w14:paraId="46471A8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58579BE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5723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862" w:type="dxa"/>
            <w:noWrap w:val="0"/>
            <w:vAlign w:val="center"/>
          </w:tcPr>
          <w:p w14:paraId="126AB61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心理疏导服务</w:t>
            </w:r>
          </w:p>
        </w:tc>
        <w:tc>
          <w:tcPr>
            <w:tcW w:w="2678" w:type="dxa"/>
            <w:noWrap w:val="0"/>
            <w:vAlign w:val="center"/>
          </w:tcPr>
          <w:p w14:paraId="120F0A7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协助专业人士对患有抑郁症、痴呆症、焦虑症等认知和情绪问题提供心理辅导；在精神上关怀老年人，帮助老年人适应角色转变。帮助困难老年人抚慰消极和敌视情绪、缓解心理压力、矫正不良行为、改变负面看法，建立积极乐观上进的心态。共同体意识。</w:t>
            </w:r>
          </w:p>
        </w:tc>
        <w:tc>
          <w:tcPr>
            <w:tcW w:w="2380" w:type="dxa"/>
            <w:noWrap w:val="0"/>
            <w:vAlign w:val="center"/>
          </w:tcPr>
          <w:p w14:paraId="3DF0C91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p>
          <w:p w14:paraId="5ACBD65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按照老年人的实际情况制定计划，计划由养老机构负责人审批，按照计划执行，每月至少邀请一位心理专家开展一次心理疏导服务</w:t>
            </w:r>
          </w:p>
        </w:tc>
        <w:tc>
          <w:tcPr>
            <w:tcW w:w="1331" w:type="dxa"/>
            <w:noWrap w:val="0"/>
            <w:vAlign w:val="center"/>
          </w:tcPr>
          <w:p w14:paraId="236AAB0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75F300D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005D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62" w:type="dxa"/>
            <w:noWrap w:val="0"/>
            <w:vAlign w:val="center"/>
          </w:tcPr>
          <w:p w14:paraId="3C1B98D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社会融入服务</w:t>
            </w:r>
          </w:p>
        </w:tc>
        <w:tc>
          <w:tcPr>
            <w:tcW w:w="2678" w:type="dxa"/>
            <w:noWrap w:val="0"/>
            <w:vAlign w:val="center"/>
          </w:tcPr>
          <w:p w14:paraId="65A5947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帮助老年人调节家庭和社会关系，引导其积极参加社会活动，逐步增强其使用社会公共资源、享受社会公共服务。专业社工每月要积极引领照料护理团队及社会力量，举办各类康乐小组、交流活动，丰富老年人精神文化生活；推动建立老年人互助小组、学习小组，建立组员支持网络；建立照顾者支持体系，为老年人照顾者提供服务。</w:t>
            </w:r>
          </w:p>
        </w:tc>
        <w:tc>
          <w:tcPr>
            <w:tcW w:w="2380" w:type="dxa"/>
            <w:noWrap w:val="0"/>
            <w:vAlign w:val="center"/>
          </w:tcPr>
          <w:p w14:paraId="7E1677D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定期组织老年人参观爱国教育基地，节假日开展大型活动，邀请社会组织开展活动</w:t>
            </w:r>
          </w:p>
        </w:tc>
        <w:tc>
          <w:tcPr>
            <w:tcW w:w="1331" w:type="dxa"/>
            <w:noWrap w:val="0"/>
            <w:vAlign w:val="center"/>
          </w:tcPr>
          <w:p w14:paraId="2E2D076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2025年1月1日至2025年12月31日</w:t>
            </w:r>
          </w:p>
        </w:tc>
        <w:tc>
          <w:tcPr>
            <w:tcW w:w="2325" w:type="dxa"/>
            <w:noWrap w:val="0"/>
            <w:vAlign w:val="center"/>
          </w:tcPr>
          <w:p w14:paraId="2C8710A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由养老机构负责人每日实地检查，按要求进行考核，每月25日之前给民政局上报每月评估验收结果。民政局不定时抽查。</w:t>
            </w:r>
          </w:p>
        </w:tc>
      </w:tr>
      <w:tr w14:paraId="5D9E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576" w:type="dxa"/>
            <w:gridSpan w:val="5"/>
            <w:noWrap w:val="0"/>
            <w:vAlign w:val="center"/>
          </w:tcPr>
          <w:p w14:paraId="19A229C0">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注：1、养老机构内集中供养特困人员目前约300人（其中全自理46人、半自理133人、全护理121人），具体以实际情况为准。</w:t>
            </w:r>
          </w:p>
          <w:p w14:paraId="686BC0C3">
            <w:pPr>
              <w:pStyle w:val="2"/>
              <w:numPr>
                <w:ilvl w:val="0"/>
                <w:numId w:val="4"/>
              </w:numPr>
              <w:ind w:left="0" w:leftChars="0" w:firstLine="480" w:firstLineChars="200"/>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养老机构内目前现有生活照料护理人员薪酬（含社保）、开展活动费用、办公费、税费、残疾人保障金、浮动社保金及管理费等费用均由中标人支付（具体以与招标人签订合同为准）。</w:t>
            </w:r>
          </w:p>
          <w:p w14:paraId="0624F3D9">
            <w:pPr>
              <w:pStyle w:val="2"/>
              <w:numPr>
                <w:ilvl w:val="0"/>
                <w:numId w:val="4"/>
              </w:numPr>
              <w:ind w:left="0" w:leftChars="0" w:firstLine="480" w:firstLineChars="200"/>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default" w:ascii="仿宋" w:hAnsi="仿宋" w:eastAsia="仿宋"/>
                <w:color w:val="000000" w:themeColor="text1"/>
                <w:sz w:val="24"/>
                <w:szCs w:val="24"/>
                <w:highlight w:val="none"/>
                <w:lang w:val="en-US" w:eastAsia="zh-CN"/>
                <w14:textFill>
                  <w14:solidFill>
                    <w14:schemeClr w14:val="tx1"/>
                  </w14:solidFill>
                </w14:textFill>
              </w:rPr>
              <w:t>老人集中供养机构的护理人员按照与失能失智老人不低于1∶3、与生活自理老人不低于1:10的比例配备</w:t>
            </w:r>
            <w:r>
              <w:rPr>
                <w:rFonts w:hint="eastAsia" w:ascii="仿宋" w:hAnsi="仿宋" w:eastAsia="仿宋"/>
                <w:color w:val="000000" w:themeColor="text1"/>
                <w:sz w:val="24"/>
                <w:szCs w:val="24"/>
                <w:highlight w:val="none"/>
                <w:lang w:val="en-US" w:eastAsia="zh-CN"/>
                <w14:textFill>
                  <w14:solidFill>
                    <w14:schemeClr w14:val="tx1"/>
                  </w14:solidFill>
                </w14:textFill>
              </w:rPr>
              <w:t>。</w:t>
            </w:r>
          </w:p>
        </w:tc>
      </w:tr>
    </w:tbl>
    <w:p w14:paraId="623F08CB">
      <w:pPr>
        <w:pageBreakBefore w:val="0"/>
        <w:widowControl w:val="0"/>
        <w:numPr>
          <w:ilvl w:val="0"/>
          <w:numId w:val="0"/>
        </w:numPr>
        <w:kinsoku/>
        <w:wordWrap/>
        <w:overflowPunct/>
        <w:topLinePunct w:val="0"/>
        <w:autoSpaceDE/>
        <w:autoSpaceDN/>
        <w:bidi w:val="0"/>
        <w:spacing w:line="440" w:lineRule="exact"/>
        <w:ind w:right="62" w:rightChars="0"/>
        <w:jc w:val="both"/>
        <w:textAlignment w:val="auto"/>
        <w:outlineLvl w:val="0"/>
        <w:rPr>
          <w:rFonts w:hint="eastAsia" w:ascii="宋体" w:hAnsi="宋体" w:eastAsia="宋体" w:cs="宋体"/>
          <w:b/>
          <w:kern w:val="2"/>
          <w:sz w:val="24"/>
          <w:szCs w:val="24"/>
          <w:lang w:val="en-US" w:eastAsia="zh-CN" w:bidi="ar-SA"/>
        </w:rPr>
      </w:pPr>
    </w:p>
    <w:p w14:paraId="3F6206F1">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4"/>
          <w:szCs w:val="24"/>
          <w:lang w:val="en-US" w:eastAsia="zh-CN" w:bidi="ar-SA"/>
        </w:rPr>
      </w:pPr>
    </w:p>
    <w:p w14:paraId="4581426A">
      <w:pPr>
        <w:pageBreakBefore w:val="0"/>
        <w:widowControl w:val="0"/>
        <w:numPr>
          <w:ilvl w:val="0"/>
          <w:numId w:val="0"/>
        </w:numPr>
        <w:kinsoku/>
        <w:wordWrap/>
        <w:overflowPunct/>
        <w:topLinePunct w:val="0"/>
        <w:autoSpaceDE/>
        <w:autoSpaceDN/>
        <w:bidi w:val="0"/>
        <w:spacing w:line="440" w:lineRule="exact"/>
        <w:ind w:right="62" w:rightChars="0"/>
        <w:jc w:val="both"/>
        <w:textAlignment w:val="auto"/>
        <w:outlineLvl w:val="0"/>
        <w:rPr>
          <w:rFonts w:hint="eastAsia" w:ascii="宋体" w:hAnsi="宋体" w:eastAsia="宋体" w:cs="宋体"/>
          <w:b/>
          <w:kern w:val="2"/>
          <w:sz w:val="24"/>
          <w:szCs w:val="24"/>
          <w:lang w:val="en-US" w:eastAsia="zh-CN" w:bidi="ar-SA"/>
        </w:rPr>
      </w:pPr>
    </w:p>
    <w:p w14:paraId="0BFBE1BE">
      <w:pPr>
        <w:pageBreakBefore w:val="0"/>
        <w:widowControl w:val="0"/>
        <w:numPr>
          <w:ilvl w:val="0"/>
          <w:numId w:val="0"/>
        </w:numPr>
        <w:kinsoku/>
        <w:wordWrap/>
        <w:overflowPunct/>
        <w:topLinePunct w:val="0"/>
        <w:autoSpaceDE/>
        <w:autoSpaceDN/>
        <w:bidi w:val="0"/>
        <w:spacing w:line="440" w:lineRule="exact"/>
        <w:ind w:right="62" w:rightChars="0"/>
        <w:jc w:val="both"/>
        <w:textAlignment w:val="auto"/>
        <w:outlineLvl w:val="0"/>
        <w:rPr>
          <w:rFonts w:hint="eastAsia" w:ascii="宋体" w:hAnsi="宋体" w:eastAsia="宋体" w:cs="宋体"/>
          <w:b/>
          <w:kern w:val="2"/>
          <w:sz w:val="24"/>
          <w:szCs w:val="24"/>
          <w:lang w:val="en-US" w:eastAsia="zh-CN" w:bidi="ar-SA"/>
        </w:rPr>
      </w:pPr>
    </w:p>
    <w:p w14:paraId="6D1C80AE">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 xml:space="preserve">第六章  </w:t>
      </w:r>
      <w:bookmarkEnd w:id="283"/>
      <w:r>
        <w:rPr>
          <w:rFonts w:hint="eastAsia" w:ascii="宋体" w:hAnsi="宋体" w:eastAsia="宋体" w:cs="宋体"/>
          <w:b/>
          <w:kern w:val="2"/>
          <w:sz w:val="24"/>
          <w:szCs w:val="24"/>
          <w:lang w:val="en-US" w:eastAsia="zh-CN" w:bidi="ar-SA"/>
        </w:rPr>
        <w:t>拟签订的合同文本</w:t>
      </w:r>
    </w:p>
    <w:p w14:paraId="6004EC6F">
      <w:pPr>
        <w:snapToGrid w:val="0"/>
        <w:spacing w:line="360" w:lineRule="auto"/>
        <w:ind w:left="0" w:leftChars="0" w:firstLine="0" w:firstLineChars="0"/>
        <w:jc w:val="center"/>
        <w:rPr>
          <w:rFonts w:hint="eastAsia" w:ascii="宋体" w:hAnsi="宋体" w:eastAsia="宋体" w:cs="宋体"/>
          <w:b/>
          <w:color w:val="000000"/>
          <w:sz w:val="24"/>
          <w:szCs w:val="24"/>
          <w:highlight w:val="none"/>
        </w:rPr>
      </w:pPr>
    </w:p>
    <w:p w14:paraId="124AACCB">
      <w:pPr>
        <w:snapToGrid w:val="0"/>
        <w:spacing w:line="360" w:lineRule="auto"/>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 xml:space="preserve">部分 </w:t>
      </w:r>
      <w:r>
        <w:rPr>
          <w:rFonts w:hint="eastAsia" w:ascii="宋体" w:hAnsi="宋体" w:eastAsia="宋体" w:cs="宋体"/>
          <w:b/>
          <w:color w:val="000000"/>
          <w:sz w:val="24"/>
          <w:szCs w:val="24"/>
          <w:highlight w:val="none"/>
          <w:lang w:val="en-US" w:eastAsia="zh-CN"/>
        </w:rPr>
        <w:t>合同</w:t>
      </w:r>
      <w:r>
        <w:rPr>
          <w:rFonts w:hint="eastAsia" w:ascii="宋体" w:hAnsi="宋体" w:eastAsia="宋体" w:cs="宋体"/>
          <w:b/>
          <w:bCs/>
          <w:kern w:val="2"/>
          <w:sz w:val="24"/>
          <w:szCs w:val="24"/>
          <w:lang w:val="en-US" w:eastAsia="zh-CN" w:bidi="ar-SA"/>
        </w:rPr>
        <w:t>主要条款</w:t>
      </w:r>
    </w:p>
    <w:p w14:paraId="7BFCF253">
      <w:pPr>
        <w:snapToGrid w:val="0"/>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(本合同仅供参考，最终合同由采购人与中标人协商确定)</w:t>
      </w:r>
    </w:p>
    <w:p w14:paraId="792F500F">
      <w:pPr>
        <w:snapToGrid w:val="0"/>
        <w:spacing w:line="360" w:lineRule="auto"/>
        <w:ind w:left="0" w:leftChars="0" w:firstLine="0" w:firstLineChars="0"/>
        <w:jc w:val="left"/>
        <w:rPr>
          <w:rFonts w:hint="eastAsia" w:ascii="宋体" w:hAnsi="宋体" w:eastAsia="宋体" w:cs="宋体"/>
          <w:kern w:val="2"/>
          <w:sz w:val="24"/>
          <w:szCs w:val="24"/>
          <w:u w:val="single"/>
          <w:lang w:val="en-US" w:eastAsia="zh-CN" w:bidi="ar-SA"/>
        </w:rPr>
      </w:pPr>
    </w:p>
    <w:p w14:paraId="4B8D6D75">
      <w:pPr>
        <w:widowControl/>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 xml:space="preserve">                                                 </w:t>
      </w:r>
    </w:p>
    <w:p w14:paraId="37B60154">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合同编号：                                         </w:t>
      </w:r>
    </w:p>
    <w:p w14:paraId="0AD3ABAA">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签订地点：                                         </w:t>
      </w:r>
    </w:p>
    <w:p w14:paraId="1D8F642E">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签订时间：                                         </w:t>
      </w:r>
    </w:p>
    <w:p w14:paraId="16826A47">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采购人（甲方）：                                          </w:t>
      </w:r>
    </w:p>
    <w:p w14:paraId="67FF095A">
      <w:pPr>
        <w:pStyle w:val="58"/>
        <w:ind w:firstLine="420"/>
        <w:rPr>
          <w:rFonts w:hint="eastAsia" w:ascii="宋体" w:hAnsi="宋体" w:eastAsia="宋体" w:cs="宋体"/>
          <w:sz w:val="24"/>
          <w:szCs w:val="24"/>
        </w:rPr>
      </w:pPr>
      <w:r>
        <w:rPr>
          <w:rFonts w:hint="eastAsia" w:ascii="宋体" w:hAnsi="宋体" w:eastAsia="宋体" w:cs="宋体"/>
          <w:sz w:val="24"/>
          <w:szCs w:val="24"/>
        </w:rPr>
        <w:t xml:space="preserve">供应商（乙方）：                                          </w:t>
      </w:r>
    </w:p>
    <w:p w14:paraId="073FC18C">
      <w:pPr>
        <w:spacing w:line="400" w:lineRule="exact"/>
        <w:rPr>
          <w:rFonts w:hint="eastAsia" w:ascii="宋体" w:hAnsi="宋体" w:eastAsia="宋体" w:cs="宋体"/>
          <w:sz w:val="24"/>
          <w:szCs w:val="24"/>
        </w:rPr>
      </w:pPr>
    </w:p>
    <w:p w14:paraId="7A0048A5">
      <w:pPr>
        <w:pStyle w:val="58"/>
        <w:ind w:firstLine="42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根据《中华人民共和国政府采购法》、《中华人民共和国合同法》及</w:t>
      </w:r>
      <w:r>
        <w:rPr>
          <w:rFonts w:hint="eastAsia" w:ascii="宋体" w:hAnsi="宋体" w:eastAsia="宋体" w:cs="宋体"/>
          <w:color w:val="000000"/>
          <w:sz w:val="24"/>
          <w:szCs w:val="24"/>
        </w:rPr>
        <w:t>XX</w:t>
      </w:r>
      <w:r>
        <w:rPr>
          <w:rFonts w:hint="eastAsia" w:ascii="宋体" w:hAnsi="宋体" w:eastAsia="宋体" w:cs="宋体"/>
          <w:sz w:val="24"/>
          <w:szCs w:val="24"/>
        </w:rPr>
        <w:t>政府采购中心采购项目（项目编号：</w:t>
      </w:r>
      <w:r>
        <w:rPr>
          <w:rFonts w:hint="eastAsia" w:ascii="宋体" w:hAnsi="宋体" w:eastAsia="宋体" w:cs="宋体"/>
          <w:color w:val="000000"/>
          <w:sz w:val="24"/>
          <w:szCs w:val="24"/>
        </w:rPr>
        <w:t>XX</w:t>
      </w:r>
      <w:r>
        <w:rPr>
          <w:rFonts w:hint="eastAsia" w:ascii="宋体" w:hAnsi="宋体" w:eastAsia="宋体" w:cs="宋体"/>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6A4A5BA">
      <w:pPr>
        <w:rPr>
          <w:rFonts w:hint="eastAsia" w:ascii="宋体" w:hAnsi="宋体" w:eastAsia="宋体" w:cs="宋体"/>
          <w:b/>
          <w:sz w:val="24"/>
          <w:szCs w:val="24"/>
        </w:rPr>
      </w:pPr>
      <w:bookmarkStart w:id="284" w:name="_Toc217446107"/>
      <w:r>
        <w:rPr>
          <w:rFonts w:hint="eastAsia" w:ascii="宋体" w:hAnsi="宋体" w:eastAsia="宋体" w:cs="宋体"/>
          <w:b/>
          <w:sz w:val="24"/>
          <w:szCs w:val="24"/>
        </w:rPr>
        <w:t>一、合同货物</w:t>
      </w:r>
      <w:bookmarkEnd w:id="284"/>
    </w:p>
    <w:tbl>
      <w:tblPr>
        <w:tblStyle w:val="30"/>
        <w:tblW w:w="73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1"/>
        <w:gridCol w:w="968"/>
        <w:gridCol w:w="743"/>
        <w:gridCol w:w="885"/>
        <w:gridCol w:w="1027"/>
        <w:gridCol w:w="1154"/>
        <w:gridCol w:w="1085"/>
      </w:tblGrid>
      <w:tr w14:paraId="795A0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451" w:type="dxa"/>
            <w:tcBorders>
              <w:top w:val="single" w:color="auto" w:sz="4" w:space="0"/>
              <w:left w:val="single" w:color="auto" w:sz="4" w:space="0"/>
              <w:bottom w:val="single" w:color="auto" w:sz="4" w:space="0"/>
              <w:right w:val="single" w:color="auto" w:sz="4" w:space="0"/>
            </w:tcBorders>
            <w:noWrap w:val="0"/>
            <w:vAlign w:val="center"/>
          </w:tcPr>
          <w:p w14:paraId="1583A6A8">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货物品名</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63BA87C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规格</w:t>
            </w:r>
          </w:p>
          <w:p w14:paraId="0ABB0A0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6344785D">
            <w:pPr>
              <w:spacing w:line="400" w:lineRule="exact"/>
              <w:rPr>
                <w:rFonts w:hint="eastAsia" w:ascii="宋体" w:hAnsi="宋体" w:eastAsia="宋体" w:cs="宋体"/>
                <w:sz w:val="24"/>
                <w:szCs w:val="24"/>
              </w:rPr>
            </w:pPr>
            <w:r>
              <w:rPr>
                <w:rFonts w:hint="eastAsia" w:ascii="宋体" w:hAnsi="宋体" w:eastAsia="宋体" w:cs="宋体"/>
                <w:sz w:val="24"/>
                <w:szCs w:val="24"/>
              </w:rPr>
              <w:t>单位</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49190E">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数量</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A56DA65">
            <w:pPr>
              <w:spacing w:line="40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单价</w:t>
            </w:r>
          </w:p>
          <w:p w14:paraId="5F3DCF7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（万元）</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00026540">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总价</w:t>
            </w:r>
          </w:p>
          <w:p w14:paraId="166E22FA">
            <w:pPr>
              <w:spacing w:line="400" w:lineRule="exact"/>
              <w:rPr>
                <w:rFonts w:hint="eastAsia" w:ascii="宋体" w:hAnsi="宋体" w:eastAsia="宋体" w:cs="宋体"/>
                <w:sz w:val="24"/>
                <w:szCs w:val="24"/>
              </w:rPr>
            </w:pPr>
            <w:r>
              <w:rPr>
                <w:rFonts w:hint="eastAsia" w:ascii="宋体" w:hAnsi="宋体" w:eastAsia="宋体" w:cs="宋体"/>
                <w:sz w:val="24"/>
                <w:szCs w:val="24"/>
              </w:rPr>
              <w:t>（万元）</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71F1F04E">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交货期</w:t>
            </w:r>
          </w:p>
        </w:tc>
      </w:tr>
      <w:tr w14:paraId="79FF8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451" w:type="dxa"/>
            <w:tcBorders>
              <w:top w:val="single" w:color="auto" w:sz="4" w:space="0"/>
              <w:left w:val="single" w:color="auto" w:sz="4" w:space="0"/>
              <w:bottom w:val="single" w:color="auto" w:sz="4" w:space="0"/>
              <w:right w:val="single" w:color="auto" w:sz="4" w:space="0"/>
            </w:tcBorders>
            <w:noWrap w:val="0"/>
            <w:vAlign w:val="center"/>
          </w:tcPr>
          <w:p w14:paraId="7BC8447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231B2C0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FA9315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70B419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2307F6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6C027E7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33EAA07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4B475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451" w:type="dxa"/>
            <w:tcBorders>
              <w:top w:val="single" w:color="auto" w:sz="4" w:space="0"/>
              <w:left w:val="single" w:color="auto" w:sz="4" w:space="0"/>
              <w:bottom w:val="single" w:color="auto" w:sz="4" w:space="0"/>
              <w:right w:val="single" w:color="auto" w:sz="4" w:space="0"/>
            </w:tcBorders>
            <w:noWrap w:val="0"/>
            <w:vAlign w:val="center"/>
          </w:tcPr>
          <w:p w14:paraId="60E5600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178B432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0FD1CFC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2A4F65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C5A5E2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50943AC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3A79466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r>
    </w:tbl>
    <w:p w14:paraId="13BA65A2">
      <w:pPr>
        <w:rPr>
          <w:rFonts w:hint="eastAsia" w:ascii="宋体" w:hAnsi="宋体" w:eastAsia="宋体" w:cs="宋体"/>
          <w:b/>
          <w:sz w:val="24"/>
          <w:szCs w:val="24"/>
        </w:rPr>
      </w:pPr>
      <w:bookmarkStart w:id="285" w:name="_Toc217446108"/>
      <w:r>
        <w:rPr>
          <w:rFonts w:hint="eastAsia" w:ascii="宋体" w:hAnsi="宋体" w:eastAsia="宋体" w:cs="宋体"/>
          <w:b/>
          <w:sz w:val="24"/>
          <w:szCs w:val="24"/>
        </w:rPr>
        <w:t>二、合同总价</w:t>
      </w:r>
      <w:bookmarkEnd w:id="285"/>
    </w:p>
    <w:p w14:paraId="5FAB1972">
      <w:pPr>
        <w:pStyle w:val="9"/>
        <w:spacing w:line="4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合同总价为人民币大写：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85AB479">
      <w:pPr>
        <w:outlineLvl w:val="1"/>
        <w:rPr>
          <w:rFonts w:hint="eastAsia" w:ascii="宋体" w:hAnsi="宋体" w:eastAsia="宋体" w:cs="宋体"/>
          <w:b/>
          <w:sz w:val="24"/>
          <w:szCs w:val="24"/>
        </w:rPr>
      </w:pPr>
      <w:bookmarkStart w:id="286" w:name="_Toc217446109"/>
      <w:r>
        <w:rPr>
          <w:rFonts w:hint="eastAsia" w:ascii="宋体" w:hAnsi="宋体" w:eastAsia="宋体" w:cs="宋体"/>
          <w:b/>
          <w:sz w:val="24"/>
          <w:szCs w:val="24"/>
        </w:rPr>
        <w:t>三、质量要求</w:t>
      </w:r>
      <w:bookmarkEnd w:id="286"/>
    </w:p>
    <w:p w14:paraId="3A1C8E45">
      <w:pPr>
        <w:pStyle w:val="58"/>
        <w:ind w:firstLine="420"/>
        <w:rPr>
          <w:rFonts w:hint="eastAsia" w:ascii="宋体" w:hAnsi="宋体" w:eastAsia="宋体" w:cs="宋体"/>
          <w:sz w:val="24"/>
          <w:szCs w:val="24"/>
        </w:rPr>
      </w:pPr>
      <w:r>
        <w:rPr>
          <w:rFonts w:hint="eastAsia" w:ascii="宋体" w:hAnsi="宋体" w:eastAsia="宋体" w:cs="宋体"/>
          <w:sz w:val="24"/>
          <w:szCs w:val="24"/>
        </w:rPr>
        <w:t>1、乙方须提供全新的货物（含零部件、配件等），表面无划伤、无碰撞痕迹，且权属清楚，不得侵害他人的知识产权。</w:t>
      </w:r>
    </w:p>
    <w:p w14:paraId="0E7B7C8D">
      <w:pPr>
        <w:pStyle w:val="58"/>
        <w:ind w:firstLine="420"/>
        <w:rPr>
          <w:rFonts w:hint="eastAsia" w:ascii="宋体" w:hAnsi="宋体" w:eastAsia="宋体" w:cs="宋体"/>
          <w:sz w:val="24"/>
          <w:szCs w:val="24"/>
        </w:rPr>
      </w:pPr>
      <w:r>
        <w:rPr>
          <w:rFonts w:hint="eastAsia" w:ascii="宋体" w:hAnsi="宋体" w:eastAsia="宋体" w:cs="宋体"/>
          <w:sz w:val="24"/>
          <w:szCs w:val="24"/>
        </w:rPr>
        <w:t>货物必须符合或优于国家（行业）标准，以及本项目招标文件的质量要求和技术指标与出厂标准。</w:t>
      </w:r>
    </w:p>
    <w:p w14:paraId="5A48BBEC">
      <w:pPr>
        <w:pStyle w:val="58"/>
        <w:ind w:firstLine="420"/>
        <w:rPr>
          <w:rFonts w:hint="eastAsia" w:ascii="宋体" w:hAnsi="宋体" w:eastAsia="宋体" w:cs="宋体"/>
          <w:sz w:val="24"/>
          <w:szCs w:val="24"/>
        </w:rPr>
      </w:pPr>
      <w:r>
        <w:rPr>
          <w:rFonts w:hint="eastAsia" w:ascii="宋体" w:hAnsi="宋体" w:eastAsia="宋体" w:cs="宋体"/>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10EFC81">
      <w:pPr>
        <w:pStyle w:val="58"/>
        <w:ind w:firstLine="420"/>
        <w:rPr>
          <w:rFonts w:hint="eastAsia" w:ascii="宋体" w:hAnsi="宋体" w:eastAsia="宋体" w:cs="宋体"/>
          <w:sz w:val="24"/>
          <w:szCs w:val="24"/>
        </w:rPr>
      </w:pPr>
      <w:r>
        <w:rPr>
          <w:rFonts w:hint="eastAsia" w:ascii="宋体" w:hAnsi="宋体" w:eastAsia="宋体" w:cs="宋体"/>
          <w:sz w:val="24"/>
          <w:szCs w:val="24"/>
        </w:rPr>
        <w:t>4、货物制造质量出现问题，乙方应负责三包（包修、包换、包退），费用由乙方负担，甲方有权到乙方生产场地检查货物质量和生产进度。</w:t>
      </w:r>
    </w:p>
    <w:p w14:paraId="116131D9">
      <w:pPr>
        <w:pStyle w:val="58"/>
        <w:ind w:firstLine="420"/>
        <w:rPr>
          <w:rFonts w:hint="eastAsia" w:ascii="宋体" w:hAnsi="宋体" w:eastAsia="宋体" w:cs="宋体"/>
          <w:sz w:val="24"/>
          <w:szCs w:val="24"/>
        </w:rPr>
      </w:pPr>
      <w:r>
        <w:rPr>
          <w:rFonts w:hint="eastAsia" w:ascii="宋体" w:hAnsi="宋体" w:eastAsia="宋体" w:cs="宋体"/>
          <w:sz w:val="24"/>
          <w:szCs w:val="24"/>
        </w:rPr>
        <w:t>5、货到现场后由于甲方保管不当造成的质量问题，乙方亦应负责修理，但费用由甲方负担。</w:t>
      </w:r>
    </w:p>
    <w:p w14:paraId="5F3088C6">
      <w:pPr>
        <w:outlineLvl w:val="1"/>
        <w:rPr>
          <w:rFonts w:hint="eastAsia" w:ascii="宋体" w:hAnsi="宋体" w:eastAsia="宋体" w:cs="宋体"/>
          <w:b/>
          <w:sz w:val="24"/>
          <w:szCs w:val="24"/>
        </w:rPr>
      </w:pPr>
      <w:bookmarkStart w:id="287" w:name="_Toc217446110"/>
      <w:r>
        <w:rPr>
          <w:rFonts w:hint="eastAsia" w:ascii="宋体" w:hAnsi="宋体" w:eastAsia="宋体" w:cs="宋体"/>
          <w:b/>
          <w:sz w:val="24"/>
          <w:szCs w:val="24"/>
        </w:rPr>
        <w:t>四、交货及验收</w:t>
      </w:r>
      <w:bookmarkEnd w:id="287"/>
    </w:p>
    <w:p w14:paraId="1FF725DC">
      <w:pPr>
        <w:pStyle w:val="58"/>
        <w:ind w:firstLine="420"/>
        <w:rPr>
          <w:rFonts w:hint="eastAsia" w:ascii="宋体" w:hAnsi="宋体" w:eastAsia="宋体" w:cs="宋体"/>
          <w:sz w:val="24"/>
          <w:szCs w:val="24"/>
        </w:rPr>
      </w:pPr>
      <w:r>
        <w:rPr>
          <w:rFonts w:hint="eastAsia" w:ascii="宋体" w:hAnsi="宋体" w:eastAsia="宋体" w:cs="宋体"/>
          <w:sz w:val="24"/>
          <w:szCs w:val="24"/>
        </w:rPr>
        <w:t>1、乙方交货期限为合同签订生效后的</w:t>
      </w:r>
      <w:r>
        <w:rPr>
          <w:rFonts w:hint="eastAsia" w:ascii="宋体" w:hAnsi="宋体" w:eastAsia="宋体" w:cs="宋体"/>
          <w:color w:val="000000"/>
          <w:sz w:val="24"/>
          <w:szCs w:val="24"/>
        </w:rPr>
        <w:t>XX</w:t>
      </w:r>
      <w:r>
        <w:rPr>
          <w:rFonts w:hint="eastAsia" w:ascii="宋体" w:hAnsi="宋体" w:eastAsia="宋体" w:cs="宋体"/>
          <w:sz w:val="24"/>
          <w:szCs w:val="24"/>
        </w:rPr>
        <w:t>日内，在合同签订生效之日起</w:t>
      </w:r>
      <w:r>
        <w:rPr>
          <w:rFonts w:hint="eastAsia" w:ascii="宋体" w:hAnsi="宋体" w:eastAsia="宋体" w:cs="宋体"/>
          <w:color w:val="000000"/>
          <w:sz w:val="24"/>
          <w:szCs w:val="24"/>
        </w:rPr>
        <w:t>XX</w:t>
      </w:r>
      <w:r>
        <w:rPr>
          <w:rFonts w:hint="eastAsia" w:ascii="宋体" w:hAnsi="宋体" w:eastAsia="宋体" w:cs="宋体"/>
          <w:sz w:val="24"/>
          <w:szCs w:val="24"/>
        </w:rPr>
        <w:t>天内交货到甲方指定地点，随即在</w:t>
      </w:r>
      <w:r>
        <w:rPr>
          <w:rFonts w:hint="eastAsia" w:ascii="宋体" w:hAnsi="宋体" w:eastAsia="宋体" w:cs="宋体"/>
          <w:color w:val="000000"/>
          <w:sz w:val="24"/>
          <w:szCs w:val="24"/>
        </w:rPr>
        <w:t>XX</w:t>
      </w:r>
      <w:r>
        <w:rPr>
          <w:rFonts w:hint="eastAsia" w:ascii="宋体" w:hAnsi="宋体" w:eastAsia="宋体" w:cs="宋体"/>
          <w:sz w:val="24"/>
          <w:szCs w:val="24"/>
        </w:rPr>
        <w:t>日内全部完成安装调试验收合格交付使用，并且最迟应在</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w:t>
      </w:r>
      <w:r>
        <w:rPr>
          <w:rFonts w:hint="eastAsia" w:ascii="宋体" w:hAnsi="宋体" w:eastAsia="宋体" w:cs="宋体"/>
          <w:sz w:val="24"/>
          <w:szCs w:val="24"/>
        </w:rPr>
        <w:t>日前全部完成安装调试验收合格交付使用(如由于采购人的原因造成合同延迟签订或验收的，时间顺延)。交货验收时须提供产品质检部门从同类产品中抽样检查合格的检测报告。</w:t>
      </w:r>
    </w:p>
    <w:p w14:paraId="7642F22E">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2、验收由甲方组织，乙方配合进行：</w:t>
      </w:r>
    </w:p>
    <w:p w14:paraId="4B8F4834">
      <w:pPr>
        <w:pStyle w:val="58"/>
        <w:ind w:firstLine="420"/>
        <w:rPr>
          <w:rFonts w:hint="eastAsia" w:ascii="宋体" w:hAnsi="宋体" w:eastAsia="宋体" w:cs="宋体"/>
          <w:sz w:val="24"/>
          <w:szCs w:val="24"/>
        </w:rPr>
      </w:pPr>
      <w:r>
        <w:rPr>
          <w:rFonts w:hint="eastAsia" w:ascii="宋体" w:hAnsi="宋体" w:eastAsia="宋体" w:cs="宋体"/>
          <w:sz w:val="24"/>
          <w:szCs w:val="24"/>
        </w:rPr>
        <w:t>(1) 货物在乙方通知安装调试完毕后日内初步验收。初步验收合格后，进入试用期；试用期间发生重大质量问题，修复后试用相应顺延；试用期结束后日内完成最终验收；</w:t>
      </w:r>
    </w:p>
    <w:p w14:paraId="4EAE3A4E">
      <w:pPr>
        <w:pStyle w:val="58"/>
        <w:ind w:firstLine="420"/>
        <w:rPr>
          <w:rFonts w:hint="eastAsia" w:ascii="宋体" w:hAnsi="宋体" w:eastAsia="宋体" w:cs="宋体"/>
          <w:sz w:val="24"/>
          <w:szCs w:val="24"/>
        </w:rPr>
      </w:pPr>
      <w:r>
        <w:rPr>
          <w:rFonts w:hint="eastAsia" w:ascii="宋体" w:hAnsi="宋体" w:eastAsia="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A6DC9DA">
      <w:pPr>
        <w:pStyle w:val="58"/>
        <w:ind w:firstLine="420"/>
        <w:rPr>
          <w:rFonts w:hint="eastAsia" w:ascii="宋体" w:hAnsi="宋体" w:eastAsia="宋体" w:cs="宋体"/>
          <w:sz w:val="24"/>
          <w:szCs w:val="24"/>
        </w:rPr>
      </w:pPr>
      <w:r>
        <w:rPr>
          <w:rFonts w:hint="eastAsia" w:ascii="宋体" w:hAnsi="宋体" w:eastAsia="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F3473A0">
      <w:pPr>
        <w:pStyle w:val="58"/>
        <w:ind w:firstLine="420"/>
        <w:rPr>
          <w:rFonts w:hint="eastAsia" w:ascii="宋体" w:hAnsi="宋体" w:eastAsia="宋体" w:cs="宋体"/>
          <w:sz w:val="24"/>
          <w:szCs w:val="24"/>
        </w:rPr>
      </w:pPr>
      <w:r>
        <w:rPr>
          <w:rFonts w:hint="eastAsia" w:ascii="宋体" w:hAnsi="宋体" w:eastAsia="宋体" w:cs="宋体"/>
          <w:sz w:val="24"/>
          <w:szCs w:val="24"/>
        </w:rPr>
        <w:t>(4) 如质量验收合格，双方签署质量验收报告。</w:t>
      </w:r>
    </w:p>
    <w:p w14:paraId="3399CA98">
      <w:pPr>
        <w:pStyle w:val="58"/>
        <w:ind w:firstLine="420"/>
        <w:rPr>
          <w:rFonts w:hint="eastAsia" w:ascii="宋体" w:hAnsi="宋体" w:eastAsia="宋体" w:cs="宋体"/>
          <w:sz w:val="24"/>
          <w:szCs w:val="24"/>
        </w:rPr>
      </w:pPr>
      <w:r>
        <w:rPr>
          <w:rFonts w:hint="eastAsia" w:ascii="宋体" w:hAnsi="宋体" w:eastAsia="宋体" w:cs="宋体"/>
          <w:sz w:val="24"/>
          <w:szCs w:val="24"/>
        </w:rPr>
        <w:t>3、货物安装完成后日内，甲方无故不进行验收工作并已使用货物的，视同已安装调试完成并验收合格。</w:t>
      </w:r>
    </w:p>
    <w:p w14:paraId="480F7E54">
      <w:pPr>
        <w:pStyle w:val="58"/>
        <w:ind w:firstLine="420"/>
        <w:rPr>
          <w:rFonts w:hint="eastAsia" w:ascii="宋体" w:hAnsi="宋体" w:eastAsia="宋体" w:cs="宋体"/>
          <w:sz w:val="24"/>
          <w:szCs w:val="24"/>
        </w:rPr>
      </w:pPr>
      <w:r>
        <w:rPr>
          <w:rFonts w:hint="eastAsia" w:ascii="宋体" w:hAnsi="宋体" w:eastAsia="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F9EA6C9">
      <w:pPr>
        <w:pStyle w:val="58"/>
        <w:ind w:firstLine="420"/>
        <w:rPr>
          <w:rFonts w:hint="eastAsia" w:ascii="宋体" w:hAnsi="宋体" w:eastAsia="宋体" w:cs="宋体"/>
          <w:sz w:val="24"/>
          <w:szCs w:val="24"/>
        </w:rPr>
      </w:pPr>
      <w:r>
        <w:rPr>
          <w:rFonts w:hint="eastAsia" w:ascii="宋体" w:hAnsi="宋体" w:eastAsia="宋体" w:cs="宋体"/>
          <w:sz w:val="24"/>
          <w:szCs w:val="24"/>
        </w:rPr>
        <w:t>5、如货物经乙方次维修仍不能达到合同约定的质量标准，甲方有权退货，并视作乙方不能交付货物而须支付违约赔偿金给甲方，甲方还可依法追究乙方的违约责任。 </w:t>
      </w:r>
    </w:p>
    <w:p w14:paraId="0C53291E">
      <w:pPr>
        <w:outlineLvl w:val="1"/>
        <w:rPr>
          <w:rFonts w:hint="eastAsia" w:ascii="宋体" w:hAnsi="宋体" w:eastAsia="宋体" w:cs="宋体"/>
          <w:b/>
          <w:sz w:val="24"/>
          <w:szCs w:val="24"/>
        </w:rPr>
      </w:pPr>
      <w:bookmarkStart w:id="288" w:name="_Toc217446111"/>
      <w:r>
        <w:rPr>
          <w:rFonts w:hint="eastAsia" w:ascii="宋体" w:hAnsi="宋体" w:eastAsia="宋体" w:cs="宋体"/>
          <w:b/>
          <w:sz w:val="24"/>
          <w:szCs w:val="24"/>
        </w:rPr>
        <w:t>五、付款方式</w:t>
      </w:r>
      <w:bookmarkEnd w:id="288"/>
    </w:p>
    <w:p w14:paraId="62A942DC">
      <w:pPr>
        <w:pStyle w:val="58"/>
        <w:ind w:firstLine="420"/>
        <w:rPr>
          <w:rFonts w:hint="eastAsia" w:ascii="宋体" w:hAnsi="宋体" w:eastAsia="宋体" w:cs="宋体"/>
          <w:sz w:val="24"/>
          <w:szCs w:val="24"/>
        </w:rPr>
      </w:pPr>
      <w:r>
        <w:rPr>
          <w:rFonts w:hint="eastAsia" w:ascii="宋体" w:hAnsi="宋体" w:eastAsia="宋体" w:cs="宋体"/>
          <w:sz w:val="24"/>
          <w:szCs w:val="24"/>
        </w:rPr>
        <w:t>1、甲方在本合同签订生效之日起接到乙方通知和票据凭证资料以及乙方交给甲方的合同履约保证金（按合同总价的百分之计算款额￥元，人民币大写：元整）后的日内支付合同金额百分之的价款；</w:t>
      </w:r>
    </w:p>
    <w:p w14:paraId="326E205F">
      <w:pPr>
        <w:pStyle w:val="58"/>
        <w:ind w:firstLine="420"/>
        <w:rPr>
          <w:rFonts w:hint="eastAsia" w:ascii="宋体" w:hAnsi="宋体" w:eastAsia="宋体" w:cs="宋体"/>
          <w:sz w:val="24"/>
          <w:szCs w:val="24"/>
        </w:rPr>
      </w:pPr>
      <w:r>
        <w:rPr>
          <w:rFonts w:hint="eastAsia" w:ascii="宋体" w:hAnsi="宋体" w:eastAsia="宋体" w:cs="宋体"/>
          <w:sz w:val="24"/>
          <w:szCs w:val="24"/>
        </w:rPr>
        <w:t>2、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14:paraId="0DBA02A2">
      <w:pPr>
        <w:pStyle w:val="58"/>
        <w:ind w:firstLine="420"/>
        <w:rPr>
          <w:rFonts w:hint="eastAsia" w:ascii="宋体" w:hAnsi="宋体" w:eastAsia="宋体" w:cs="宋体"/>
          <w:sz w:val="24"/>
          <w:szCs w:val="24"/>
        </w:rPr>
      </w:pPr>
      <w:r>
        <w:rPr>
          <w:rFonts w:hint="eastAsia" w:ascii="宋体" w:hAnsi="宋体" w:eastAsia="宋体" w:cs="宋体"/>
          <w:sz w:val="24"/>
          <w:szCs w:val="24"/>
        </w:rPr>
        <w:t>3、合同履约保证金：在货物验收合格满后，甲方财务部门接到乙方通知和支付凭证资料文件，以及由甲方确认本合同货物质量与服务等约定事项已经履行完毕的正式书面文件后的日内，递交结算凭证资料给银行并由其向乙方支付价款￥元， 人民币大写：元整；</w:t>
      </w:r>
    </w:p>
    <w:p w14:paraId="0013C383">
      <w:pPr>
        <w:pStyle w:val="58"/>
        <w:ind w:firstLine="420"/>
        <w:rPr>
          <w:rFonts w:hint="eastAsia" w:ascii="宋体" w:hAnsi="宋体" w:eastAsia="宋体" w:cs="宋体"/>
          <w:sz w:val="24"/>
          <w:szCs w:val="24"/>
        </w:rPr>
      </w:pPr>
      <w:r>
        <w:rPr>
          <w:rFonts w:hint="eastAsia" w:ascii="宋体" w:hAnsi="宋体" w:eastAsia="宋体" w:cs="宋体"/>
          <w:sz w:val="24"/>
          <w:szCs w:val="24"/>
        </w:rPr>
        <w:t>4、乙方须向甲方出具合法有效完整的完税发票及凭证资料进行支付结算。</w:t>
      </w:r>
    </w:p>
    <w:p w14:paraId="115E1EC4">
      <w:pPr>
        <w:outlineLvl w:val="1"/>
        <w:rPr>
          <w:rFonts w:hint="eastAsia" w:ascii="宋体" w:hAnsi="宋体" w:eastAsia="宋体" w:cs="宋体"/>
          <w:b/>
          <w:sz w:val="24"/>
          <w:szCs w:val="24"/>
        </w:rPr>
      </w:pPr>
      <w:bookmarkStart w:id="289" w:name="_Toc217446112"/>
      <w:r>
        <w:rPr>
          <w:rFonts w:hint="eastAsia" w:ascii="宋体" w:hAnsi="宋体" w:eastAsia="宋体" w:cs="宋体"/>
          <w:b/>
          <w:sz w:val="24"/>
          <w:szCs w:val="24"/>
        </w:rPr>
        <w:t>六、售后服务</w:t>
      </w:r>
      <w:bookmarkEnd w:id="289"/>
    </w:p>
    <w:p w14:paraId="0B510EAB">
      <w:pPr>
        <w:pStyle w:val="58"/>
        <w:ind w:firstLine="420"/>
        <w:rPr>
          <w:rFonts w:hint="eastAsia" w:ascii="宋体" w:hAnsi="宋体" w:eastAsia="宋体" w:cs="宋体"/>
          <w:sz w:val="24"/>
          <w:szCs w:val="24"/>
        </w:rPr>
      </w:pPr>
      <w:r>
        <w:rPr>
          <w:rFonts w:hint="eastAsia" w:ascii="宋体" w:hAnsi="宋体" w:eastAsia="宋体" w:cs="宋体"/>
          <w:sz w:val="24"/>
          <w:szCs w:val="24"/>
        </w:rPr>
        <w:t>1、质保期为验收合格后</w:t>
      </w:r>
      <w:r>
        <w:rPr>
          <w:rFonts w:hint="eastAsia" w:ascii="宋体" w:hAnsi="宋体" w:eastAsia="宋体" w:cs="宋体"/>
          <w:color w:val="000000"/>
          <w:sz w:val="24"/>
          <w:szCs w:val="24"/>
        </w:rPr>
        <w:t>XX</w:t>
      </w:r>
      <w:r>
        <w:rPr>
          <w:rFonts w:hint="eastAsia" w:ascii="宋体" w:hAnsi="宋体" w:eastAsia="宋体" w:cs="宋体"/>
          <w:sz w:val="24"/>
          <w:szCs w:val="24"/>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14:paraId="0489B728">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2、乙方须指派专人负责与甲方联系售后服务事宜。 </w:t>
      </w:r>
    </w:p>
    <w:p w14:paraId="138C4508">
      <w:pPr>
        <w:outlineLvl w:val="1"/>
        <w:rPr>
          <w:rFonts w:hint="eastAsia" w:ascii="宋体" w:hAnsi="宋体" w:eastAsia="宋体" w:cs="宋体"/>
          <w:b/>
          <w:sz w:val="24"/>
          <w:szCs w:val="24"/>
        </w:rPr>
      </w:pPr>
      <w:bookmarkStart w:id="290" w:name="_Toc217446113"/>
      <w:r>
        <w:rPr>
          <w:rFonts w:hint="eastAsia" w:ascii="宋体" w:hAnsi="宋体" w:eastAsia="宋体" w:cs="宋体"/>
          <w:b/>
          <w:sz w:val="24"/>
          <w:szCs w:val="24"/>
        </w:rPr>
        <w:t>七、违约责任</w:t>
      </w:r>
      <w:bookmarkEnd w:id="290"/>
    </w:p>
    <w:p w14:paraId="6EC7BEBF">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1、甲方违约责任</w:t>
      </w:r>
    </w:p>
    <w:p w14:paraId="0229E2C7">
      <w:pPr>
        <w:pStyle w:val="58"/>
        <w:ind w:firstLine="420"/>
        <w:rPr>
          <w:rFonts w:hint="eastAsia" w:ascii="宋体" w:hAnsi="宋体" w:eastAsia="宋体" w:cs="宋体"/>
          <w:sz w:val="24"/>
          <w:szCs w:val="24"/>
        </w:rPr>
      </w:pPr>
      <w:r>
        <w:rPr>
          <w:rFonts w:hint="eastAsia" w:ascii="宋体" w:hAnsi="宋体" w:eastAsia="宋体" w:cs="宋体"/>
          <w:sz w:val="24"/>
          <w:szCs w:val="24"/>
        </w:rPr>
        <w:t>（1） 甲方无正当理由拒收货物的，甲方应偿付合同总价百分之的违约金；</w:t>
      </w:r>
    </w:p>
    <w:p w14:paraId="5ECA780E">
      <w:pPr>
        <w:pStyle w:val="58"/>
        <w:ind w:firstLine="420"/>
        <w:rPr>
          <w:rFonts w:hint="eastAsia" w:ascii="宋体" w:hAnsi="宋体" w:eastAsia="宋体" w:cs="宋体"/>
          <w:sz w:val="24"/>
          <w:szCs w:val="24"/>
        </w:rPr>
      </w:pPr>
      <w:r>
        <w:rPr>
          <w:rFonts w:hint="eastAsia" w:ascii="宋体" w:hAnsi="宋体" w:eastAsia="宋体" w:cs="宋体"/>
          <w:sz w:val="24"/>
          <w:szCs w:val="24"/>
        </w:rPr>
        <w:t>（2） 甲方逾期支付货款的，除应及时付足货款外，应向乙方偿付欠款总额万分之 /天的违约金；逾期付款超过天的，乙方有权终止合同；</w:t>
      </w:r>
    </w:p>
    <w:p w14:paraId="0F6611B0">
      <w:pPr>
        <w:pStyle w:val="58"/>
        <w:ind w:firstLine="420"/>
        <w:rPr>
          <w:rFonts w:hint="eastAsia" w:ascii="宋体" w:hAnsi="宋体" w:eastAsia="宋体" w:cs="宋体"/>
          <w:sz w:val="24"/>
          <w:szCs w:val="24"/>
        </w:rPr>
      </w:pPr>
      <w:r>
        <w:rPr>
          <w:rFonts w:hint="eastAsia" w:ascii="宋体" w:hAnsi="宋体" w:eastAsia="宋体" w:cs="宋体"/>
          <w:sz w:val="24"/>
          <w:szCs w:val="24"/>
        </w:rPr>
        <w:t>（3） 甲方偿付的违约金不足以弥补乙方损失的，还应按乙方损失尚未弥补的部分，支付赔偿金给乙方。</w:t>
      </w:r>
    </w:p>
    <w:p w14:paraId="2908D05C">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2、乙方违约责任</w:t>
      </w:r>
    </w:p>
    <w:p w14:paraId="2523E084">
      <w:pPr>
        <w:pStyle w:val="58"/>
        <w:ind w:firstLine="420"/>
        <w:rPr>
          <w:rFonts w:hint="eastAsia" w:ascii="宋体" w:hAnsi="宋体" w:eastAsia="宋体" w:cs="宋体"/>
          <w:sz w:val="24"/>
          <w:szCs w:val="24"/>
        </w:rPr>
      </w:pPr>
      <w:r>
        <w:rPr>
          <w:rFonts w:hint="eastAsia" w:ascii="宋体" w:hAnsi="宋体" w:eastAsia="宋体" w:cs="宋体"/>
          <w:sz w:val="24"/>
          <w:szCs w:val="24"/>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14:paraId="738B00F3">
      <w:pPr>
        <w:pStyle w:val="58"/>
        <w:ind w:firstLine="420"/>
        <w:rPr>
          <w:rFonts w:hint="eastAsia" w:ascii="宋体" w:hAnsi="宋体" w:eastAsia="宋体" w:cs="宋体"/>
          <w:sz w:val="24"/>
          <w:szCs w:val="24"/>
        </w:rPr>
      </w:pPr>
      <w:r>
        <w:rPr>
          <w:rFonts w:hint="eastAsia" w:ascii="宋体" w:hAnsi="宋体" w:eastAsia="宋体" w:cs="宋体"/>
          <w:sz w:val="24"/>
          <w:szCs w:val="24"/>
        </w:rPr>
        <w:t>（2）乙方不能交付货物或逾期交付货物而违约的，除应及时交足货物外，应向甲方偿付逾期交货部分货款总额的万分之 /天的违约金；逾期交货超过</w:t>
      </w:r>
      <w:r>
        <w:rPr>
          <w:rFonts w:hint="eastAsia" w:ascii="宋体" w:hAnsi="宋体" w:eastAsia="宋体" w:cs="宋体"/>
          <w:color w:val="000000"/>
          <w:sz w:val="24"/>
          <w:szCs w:val="24"/>
        </w:rPr>
        <w:t>XX</w:t>
      </w:r>
      <w:r>
        <w:rPr>
          <w:rFonts w:hint="eastAsia" w:ascii="宋体" w:hAnsi="宋体" w:eastAsia="宋体" w:cs="宋体"/>
          <w:sz w:val="24"/>
          <w:szCs w:val="24"/>
        </w:rPr>
        <w:t>天，甲方有权终止合同，乙方则应按合同总价的百分之的款额向甲方偿付赔偿金，并须全额退还甲方已经付给乙方的货款及其利息。</w:t>
      </w:r>
    </w:p>
    <w:p w14:paraId="18361494">
      <w:pPr>
        <w:pStyle w:val="58"/>
        <w:ind w:firstLine="420"/>
        <w:rPr>
          <w:rFonts w:hint="eastAsia" w:ascii="宋体" w:hAnsi="宋体" w:eastAsia="宋体" w:cs="宋体"/>
          <w:sz w:val="24"/>
          <w:szCs w:val="24"/>
        </w:rPr>
      </w:pPr>
      <w:r>
        <w:rPr>
          <w:rFonts w:hint="eastAsia" w:ascii="宋体" w:hAnsi="宋体" w:eastAsia="宋体" w:cs="宋体"/>
          <w:sz w:val="24"/>
          <w:szCs w:val="24"/>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14:paraId="6E8C1A9F">
      <w:pPr>
        <w:pStyle w:val="58"/>
        <w:ind w:firstLine="420"/>
        <w:rPr>
          <w:rFonts w:hint="eastAsia" w:ascii="宋体" w:hAnsi="宋体" w:eastAsia="宋体" w:cs="宋体"/>
          <w:sz w:val="24"/>
          <w:szCs w:val="24"/>
        </w:rPr>
      </w:pPr>
      <w:r>
        <w:rPr>
          <w:rFonts w:hint="eastAsia" w:ascii="宋体" w:hAnsi="宋体" w:eastAsia="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14:paraId="5F9E863C">
      <w:pPr>
        <w:pStyle w:val="58"/>
        <w:ind w:firstLine="420"/>
        <w:rPr>
          <w:rFonts w:hint="eastAsia" w:ascii="宋体" w:hAnsi="宋体" w:eastAsia="宋体" w:cs="宋体"/>
          <w:sz w:val="24"/>
          <w:szCs w:val="24"/>
        </w:rPr>
      </w:pPr>
      <w:r>
        <w:rPr>
          <w:rFonts w:hint="eastAsia" w:ascii="宋体" w:hAnsi="宋体" w:eastAsia="宋体" w:cs="宋体"/>
          <w:sz w:val="24"/>
          <w:szCs w:val="24"/>
        </w:rPr>
        <w:t>（5）乙方偿付的违约金不足以弥补甲方损失的，还应按甲方损失尚未弥补的部分，支付赔偿金给甲方。</w:t>
      </w:r>
    </w:p>
    <w:p w14:paraId="76830904">
      <w:pPr>
        <w:outlineLvl w:val="1"/>
        <w:rPr>
          <w:rFonts w:hint="eastAsia" w:ascii="宋体" w:hAnsi="宋体" w:eastAsia="宋体" w:cs="宋体"/>
          <w:b/>
          <w:sz w:val="24"/>
          <w:szCs w:val="24"/>
        </w:rPr>
      </w:pPr>
      <w:bookmarkStart w:id="291" w:name="_Toc217446114"/>
      <w:r>
        <w:rPr>
          <w:rFonts w:hint="eastAsia" w:ascii="宋体" w:hAnsi="宋体" w:eastAsia="宋体" w:cs="宋体"/>
          <w:b/>
          <w:sz w:val="24"/>
          <w:szCs w:val="24"/>
        </w:rPr>
        <w:t>八、争议解决办法</w:t>
      </w:r>
      <w:bookmarkEnd w:id="291"/>
    </w:p>
    <w:p w14:paraId="3ACFD0F4">
      <w:pPr>
        <w:pStyle w:val="58"/>
        <w:ind w:firstLine="420"/>
        <w:rPr>
          <w:rFonts w:hint="eastAsia" w:ascii="宋体" w:hAnsi="宋体" w:eastAsia="宋体" w:cs="宋体"/>
          <w:sz w:val="24"/>
          <w:szCs w:val="24"/>
        </w:rPr>
      </w:pPr>
      <w:r>
        <w:rPr>
          <w:rFonts w:hint="eastAsia" w:ascii="宋体" w:hAnsi="宋体" w:eastAsia="宋体" w:cs="宋体"/>
          <w:sz w:val="24"/>
          <w:szCs w:val="24"/>
        </w:rPr>
        <w:t>1、因货物的质量问题发生争议，由质量技术监督部门或其指定的质量鉴定机构进行质量鉴定。货物符合标准的，鉴定费由甲方承担；货物不符合质量标准的，鉴定费由乙方承担。</w:t>
      </w:r>
    </w:p>
    <w:p w14:paraId="55C5748E">
      <w:pPr>
        <w:pStyle w:val="58"/>
        <w:ind w:firstLine="420"/>
        <w:rPr>
          <w:rFonts w:hint="eastAsia" w:ascii="宋体" w:hAnsi="宋体" w:eastAsia="宋体" w:cs="宋体"/>
          <w:sz w:val="24"/>
          <w:szCs w:val="24"/>
        </w:rPr>
      </w:pPr>
      <w:r>
        <w:rPr>
          <w:rFonts w:hint="eastAsia" w:ascii="宋体" w:hAnsi="宋体" w:eastAsia="宋体" w:cs="宋体"/>
          <w:sz w:val="24"/>
          <w:szCs w:val="24"/>
        </w:rPr>
        <w:t>2、合同履行期间,若双方发生争议，可协商或由有关部门调解解决，协商或调解不成的，由当事人依法维护其合法权益。</w:t>
      </w:r>
    </w:p>
    <w:p w14:paraId="4A53E0E1">
      <w:pPr>
        <w:outlineLvl w:val="1"/>
        <w:rPr>
          <w:rFonts w:hint="eastAsia" w:ascii="宋体" w:hAnsi="宋体" w:eastAsia="宋体" w:cs="宋体"/>
          <w:b/>
          <w:sz w:val="24"/>
          <w:szCs w:val="24"/>
        </w:rPr>
      </w:pPr>
      <w:bookmarkStart w:id="292" w:name="_Toc217446115"/>
      <w:r>
        <w:rPr>
          <w:rFonts w:hint="eastAsia" w:ascii="宋体" w:hAnsi="宋体" w:eastAsia="宋体" w:cs="宋体"/>
          <w:b/>
          <w:sz w:val="24"/>
          <w:szCs w:val="24"/>
        </w:rPr>
        <w:t>九、其他</w:t>
      </w:r>
      <w:bookmarkEnd w:id="292"/>
    </w:p>
    <w:p w14:paraId="30F77709">
      <w:pPr>
        <w:pStyle w:val="58"/>
        <w:ind w:firstLine="420"/>
        <w:outlineLvl w:val="2"/>
        <w:rPr>
          <w:rFonts w:hint="eastAsia" w:ascii="宋体" w:hAnsi="宋体" w:eastAsia="宋体" w:cs="宋体"/>
          <w:sz w:val="24"/>
          <w:szCs w:val="24"/>
        </w:rPr>
      </w:pPr>
      <w:r>
        <w:rPr>
          <w:rFonts w:hint="eastAsia" w:ascii="宋体" w:hAnsi="宋体" w:eastAsia="宋体" w:cs="宋体"/>
          <w:sz w:val="24"/>
          <w:szCs w:val="24"/>
        </w:rPr>
        <w:t>1、如有未尽事宜，由双方依法订立补充合同。</w:t>
      </w:r>
    </w:p>
    <w:p w14:paraId="051C0F7A">
      <w:pPr>
        <w:pStyle w:val="58"/>
        <w:ind w:firstLine="420"/>
        <w:rPr>
          <w:rFonts w:hint="eastAsia" w:ascii="宋体" w:hAnsi="宋体" w:eastAsia="宋体" w:cs="宋体"/>
          <w:sz w:val="24"/>
          <w:szCs w:val="24"/>
        </w:rPr>
      </w:pPr>
      <w:r>
        <w:rPr>
          <w:rFonts w:hint="eastAsia" w:ascii="宋体" w:hAnsi="宋体" w:eastAsia="宋体" w:cs="宋体"/>
          <w:sz w:val="24"/>
          <w:szCs w:val="24"/>
        </w:rPr>
        <w:t>2、本合同一式六份，自双方签章之日起生效。甲方三份，乙方、政府采购管理部门、采购代理机构各一份。</w:t>
      </w:r>
    </w:p>
    <w:p w14:paraId="07CA6D48">
      <w:pPr>
        <w:spacing w:line="400" w:lineRule="exact"/>
        <w:rPr>
          <w:rFonts w:hint="eastAsia" w:ascii="宋体" w:hAnsi="宋体" w:eastAsia="宋体" w:cs="宋体"/>
          <w:sz w:val="24"/>
          <w:szCs w:val="24"/>
        </w:rPr>
      </w:pPr>
    </w:p>
    <w:p w14:paraId="3A45F8A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14:paraId="1752E7A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14:paraId="1B19AE0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                         地    址：</w:t>
      </w:r>
    </w:p>
    <w:p w14:paraId="325A95F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14:paraId="4B6EC13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                             账号：</w:t>
      </w:r>
    </w:p>
    <w:p w14:paraId="62865CF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14:paraId="72AB356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    真：                         传    真：</w:t>
      </w:r>
    </w:p>
    <w:p w14:paraId="7267F7C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签约日期：</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w:t>
      </w:r>
      <w:r>
        <w:rPr>
          <w:rFonts w:hint="eastAsia" w:ascii="宋体" w:hAnsi="宋体" w:eastAsia="宋体" w:cs="宋体"/>
          <w:sz w:val="24"/>
          <w:szCs w:val="24"/>
        </w:rPr>
        <w:t xml:space="preserve">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签约日期：</w:t>
      </w:r>
      <w:r>
        <w:rPr>
          <w:rFonts w:hint="eastAsia" w:ascii="宋体" w:hAnsi="宋体" w:eastAsia="宋体" w:cs="宋体"/>
          <w:color w:val="000000"/>
          <w:sz w:val="24"/>
          <w:szCs w:val="24"/>
        </w:rPr>
        <w:t>XX</w:t>
      </w:r>
      <w:r>
        <w:rPr>
          <w:rFonts w:hint="eastAsia" w:ascii="宋体" w:hAnsi="宋体" w:eastAsia="宋体" w:cs="宋体"/>
          <w:sz w:val="24"/>
          <w:szCs w:val="24"/>
        </w:rPr>
        <w:t>年</w:t>
      </w:r>
      <w:r>
        <w:rPr>
          <w:rFonts w:hint="eastAsia" w:ascii="宋体" w:hAnsi="宋体" w:eastAsia="宋体" w:cs="宋体"/>
          <w:color w:val="000000"/>
          <w:sz w:val="24"/>
          <w:szCs w:val="24"/>
        </w:rPr>
        <w:t>XX</w:t>
      </w:r>
      <w:r>
        <w:rPr>
          <w:rFonts w:hint="eastAsia" w:ascii="宋体" w:hAnsi="宋体" w:eastAsia="宋体" w:cs="宋体"/>
          <w:sz w:val="24"/>
          <w:szCs w:val="24"/>
        </w:rPr>
        <w:t>月</w:t>
      </w:r>
      <w:r>
        <w:rPr>
          <w:rFonts w:hint="eastAsia" w:ascii="宋体" w:hAnsi="宋体" w:eastAsia="宋体" w:cs="宋体"/>
          <w:color w:val="000000"/>
          <w:sz w:val="24"/>
          <w:szCs w:val="24"/>
        </w:rPr>
        <w:t>XX日</w:t>
      </w:r>
    </w:p>
    <w:p w14:paraId="535E2823">
      <w:pPr>
        <w:spacing w:line="240" w:lineRule="auto"/>
        <w:jc w:val="center"/>
        <w:rPr>
          <w:rFonts w:hint="eastAsia" w:ascii="宋体" w:hAnsi="宋体" w:eastAsia="宋体" w:cs="宋体"/>
          <w:b/>
          <w:color w:val="000000"/>
          <w:sz w:val="24"/>
          <w:szCs w:val="24"/>
          <w:highlight w:val="none"/>
        </w:rPr>
      </w:pPr>
    </w:p>
    <w:p w14:paraId="3F63E993">
      <w:pPr>
        <w:spacing w:line="240" w:lineRule="auto"/>
        <w:jc w:val="center"/>
        <w:rPr>
          <w:rFonts w:hint="eastAsia" w:ascii="宋体" w:hAnsi="宋体" w:eastAsia="宋体" w:cs="宋体"/>
          <w:b/>
          <w:color w:val="000000"/>
          <w:sz w:val="24"/>
          <w:szCs w:val="24"/>
          <w:highlight w:val="none"/>
        </w:rPr>
      </w:pPr>
    </w:p>
    <w:p w14:paraId="6C1DA547">
      <w:pPr>
        <w:spacing w:line="240" w:lineRule="auto"/>
        <w:jc w:val="center"/>
        <w:rPr>
          <w:rFonts w:hint="eastAsia" w:ascii="宋体" w:hAnsi="宋体" w:eastAsia="宋体" w:cs="宋体"/>
          <w:b/>
          <w:color w:val="000000"/>
          <w:sz w:val="24"/>
          <w:szCs w:val="24"/>
          <w:highlight w:val="none"/>
        </w:rPr>
      </w:pPr>
    </w:p>
    <w:p w14:paraId="66FAF8B0">
      <w:pPr>
        <w:spacing w:line="240" w:lineRule="auto"/>
        <w:jc w:val="center"/>
        <w:rPr>
          <w:rFonts w:hint="eastAsia" w:ascii="宋体" w:hAnsi="宋体" w:eastAsia="宋体" w:cs="宋体"/>
          <w:b/>
          <w:color w:val="000000"/>
          <w:sz w:val="24"/>
          <w:szCs w:val="24"/>
          <w:highlight w:val="none"/>
        </w:rPr>
      </w:pPr>
    </w:p>
    <w:p w14:paraId="4A0198B9">
      <w:pPr>
        <w:spacing w:line="240" w:lineRule="auto"/>
        <w:ind w:left="0" w:leftChars="0" w:firstLine="0" w:firstLineChars="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第二部分 合同一般条款</w:t>
      </w:r>
    </w:p>
    <w:p w14:paraId="68CE2B4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293" w:name="_Toc16970"/>
      <w:bookmarkStart w:id="294" w:name="_Ref467378463"/>
      <w:bookmarkStart w:id="295" w:name="_Toc259093669"/>
      <w:bookmarkStart w:id="296" w:name="_Toc9652"/>
      <w:bookmarkStart w:id="297" w:name="_Ref467379195"/>
      <w:bookmarkStart w:id="298" w:name="_Toc22431"/>
      <w:bookmarkStart w:id="299" w:name="_Toc22904"/>
      <w:bookmarkStart w:id="300" w:name="_Toc11445"/>
      <w:bookmarkStart w:id="301" w:name="_Ref467379109"/>
      <w:bookmarkStart w:id="302" w:name="_Toc487900349"/>
      <w:bookmarkStart w:id="303" w:name="_Toc279701240"/>
      <w:bookmarkStart w:id="304" w:name="_Ref467379205"/>
      <w:bookmarkStart w:id="305" w:name="_Ref467378499"/>
      <w:bookmarkStart w:id="306" w:name="_Toc22939"/>
      <w:bookmarkStart w:id="307" w:name="_Toc18200"/>
      <w:bookmarkStart w:id="308" w:name="_Ref467379214"/>
      <w:bookmarkStart w:id="309" w:name="_Toc16917"/>
      <w:bookmarkStart w:id="310" w:name="_Toc19614"/>
      <w:bookmarkStart w:id="311" w:name="_Ref467378404"/>
      <w:bookmarkStart w:id="312" w:name="_Ref467379101"/>
      <w:bookmarkStart w:id="313" w:name="_Toc28763"/>
      <w:bookmarkStart w:id="314" w:name="_Ref467379225"/>
      <w:bookmarkStart w:id="315" w:name="_Ref467379094"/>
      <w:r>
        <w:rPr>
          <w:rFonts w:hint="eastAsia" w:ascii="宋体" w:hAnsi="宋体" w:eastAsia="宋体" w:cs="宋体"/>
          <w:b/>
          <w:bCs/>
          <w:kern w:val="2"/>
          <w:sz w:val="24"/>
          <w:szCs w:val="24"/>
          <w:lang w:val="en-US" w:eastAsia="zh-CN" w:bidi="ar-SA"/>
        </w:rPr>
        <w:t>2.1 定义</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7A21DF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本合同中的下列词语应按以下内容进行解释：</w:t>
      </w:r>
    </w:p>
    <w:p w14:paraId="5F6F024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 “合同”系指采购人和中标投标人签订的载明双方当事人所达成的协议，并包括所有的附件、附录和构成合同的其他文件。</w:t>
      </w:r>
    </w:p>
    <w:p w14:paraId="5447BB3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 “合同价”系指根据合同约定，中标投标人在完全履行合同义务后，采购人应支付给中标投标人的价格。</w:t>
      </w:r>
    </w:p>
    <w:p w14:paraId="2E4544C3">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 “货物”系指中标投标人根据合同约定应向采购人交付的一切各种形态和种类的物品，包括原材料、燃料、设备、机械、仪表、备件、计算机软件、产品等，并包括工具、手册等其他相关资料。</w:t>
      </w:r>
    </w:p>
    <w:p w14:paraId="0A0B5592">
      <w:pPr>
        <w:spacing w:line="560" w:lineRule="exact"/>
        <w:ind w:firstLine="480" w:firstLineChars="200"/>
        <w:rPr>
          <w:rFonts w:hint="eastAsia" w:ascii="宋体" w:hAnsi="宋体" w:eastAsia="宋体" w:cs="宋体"/>
          <w:kern w:val="2"/>
          <w:sz w:val="24"/>
          <w:szCs w:val="24"/>
          <w:lang w:val="en-US" w:eastAsia="zh-CN" w:bidi="ar-SA"/>
        </w:rPr>
      </w:pPr>
      <w:bookmarkStart w:id="316" w:name="_Ref467378840"/>
      <w:r>
        <w:rPr>
          <w:rFonts w:hint="eastAsia" w:ascii="宋体" w:hAnsi="宋体" w:eastAsia="宋体" w:cs="宋体"/>
          <w:kern w:val="2"/>
          <w:sz w:val="24"/>
          <w:szCs w:val="24"/>
          <w:lang w:val="en-US" w:eastAsia="zh-CN" w:bidi="ar-SA"/>
        </w:rPr>
        <w:t>2.1.4 “甲方”系指与中标投标人签署合同的采购人</w:t>
      </w:r>
      <w:bookmarkEnd w:id="316"/>
      <w:r>
        <w:rPr>
          <w:rFonts w:hint="eastAsia" w:ascii="宋体" w:hAnsi="宋体" w:eastAsia="宋体" w:cs="宋体"/>
          <w:kern w:val="2"/>
          <w:sz w:val="24"/>
          <w:szCs w:val="24"/>
          <w:lang w:val="en-US" w:eastAsia="zh-CN" w:bidi="ar-SA"/>
        </w:rPr>
        <w:t>；采购人委托采购代理机构代表其与乙方签订合同的，采购人的授权委托书作为合同附件。</w:t>
      </w:r>
    </w:p>
    <w:p w14:paraId="1A19C349">
      <w:pPr>
        <w:spacing w:line="560" w:lineRule="exact"/>
        <w:ind w:firstLine="480" w:firstLineChars="200"/>
        <w:rPr>
          <w:rFonts w:hint="eastAsia" w:ascii="宋体" w:hAnsi="宋体" w:eastAsia="宋体" w:cs="宋体"/>
          <w:kern w:val="2"/>
          <w:sz w:val="24"/>
          <w:szCs w:val="24"/>
          <w:lang w:val="en-US" w:eastAsia="zh-CN" w:bidi="ar-SA"/>
        </w:rPr>
      </w:pPr>
      <w:bookmarkStart w:id="317" w:name="_Ref467379400"/>
      <w:r>
        <w:rPr>
          <w:rFonts w:hint="eastAsia" w:ascii="宋体" w:hAnsi="宋体" w:eastAsia="宋体" w:cs="宋体"/>
          <w:kern w:val="2"/>
          <w:sz w:val="24"/>
          <w:szCs w:val="24"/>
          <w:lang w:val="en-US" w:eastAsia="zh-CN" w:bidi="ar-SA"/>
        </w:rPr>
        <w:t>2.1.5 “乙方”系指根据合同约定交付货物的中标</w:t>
      </w:r>
      <w:bookmarkEnd w:id="317"/>
      <w:r>
        <w:rPr>
          <w:rFonts w:hint="eastAsia" w:ascii="宋体" w:hAnsi="宋体" w:eastAsia="宋体" w:cs="宋体"/>
          <w:kern w:val="2"/>
          <w:sz w:val="24"/>
          <w:szCs w:val="24"/>
          <w:lang w:val="en-US" w:eastAsia="zh-CN" w:bidi="ar-SA"/>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154F1487">
      <w:pPr>
        <w:spacing w:line="560" w:lineRule="exact"/>
        <w:ind w:firstLine="480" w:firstLineChars="200"/>
        <w:rPr>
          <w:rFonts w:hint="eastAsia" w:ascii="宋体" w:hAnsi="宋体" w:eastAsia="宋体" w:cs="宋体"/>
          <w:kern w:val="2"/>
          <w:sz w:val="24"/>
          <w:szCs w:val="24"/>
          <w:lang w:val="en-US" w:eastAsia="zh-CN" w:bidi="ar-SA"/>
        </w:rPr>
      </w:pPr>
      <w:bookmarkStart w:id="318" w:name="_Ref467379436"/>
      <w:r>
        <w:rPr>
          <w:rFonts w:hint="eastAsia" w:ascii="宋体" w:hAnsi="宋体" w:eastAsia="宋体" w:cs="宋体"/>
          <w:kern w:val="2"/>
          <w:sz w:val="24"/>
          <w:szCs w:val="24"/>
          <w:lang w:val="en-US" w:eastAsia="zh-CN" w:bidi="ar-SA"/>
        </w:rPr>
        <w:t>2.1.6 “现场”系指合同约定货物将要运至或者安装的地点。</w:t>
      </w:r>
      <w:bookmarkEnd w:id="318"/>
    </w:p>
    <w:p w14:paraId="06641669">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19" w:name="_Toc8472"/>
      <w:bookmarkStart w:id="320" w:name="_Toc13557"/>
      <w:bookmarkStart w:id="321" w:name="_Toc20853"/>
      <w:bookmarkStart w:id="322" w:name="_Toc279701241"/>
      <w:bookmarkStart w:id="323" w:name="_Toc487900350"/>
      <w:bookmarkStart w:id="324" w:name="_Toc15561"/>
      <w:bookmarkStart w:id="325" w:name="_Toc32504"/>
      <w:bookmarkStart w:id="326" w:name="_Toc1705"/>
      <w:bookmarkStart w:id="327" w:name="_Toc259093670"/>
      <w:bookmarkStart w:id="328" w:name="_Toc31131"/>
      <w:bookmarkStart w:id="329" w:name="_Toc13336"/>
      <w:bookmarkStart w:id="330" w:name="_Toc1967"/>
      <w:bookmarkStart w:id="331" w:name="_Toc27635"/>
      <w:r>
        <w:rPr>
          <w:rFonts w:hint="eastAsia" w:ascii="宋体" w:hAnsi="宋体" w:eastAsia="宋体" w:cs="宋体"/>
          <w:b/>
          <w:bCs/>
          <w:kern w:val="2"/>
          <w:sz w:val="24"/>
          <w:szCs w:val="24"/>
          <w:lang w:val="en-US" w:eastAsia="zh-CN" w:bidi="ar-SA"/>
        </w:rPr>
        <w:t>2.2 技术规范</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032580E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378BA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32" w:name="_Toc23631"/>
      <w:bookmarkStart w:id="333" w:name="_Toc279701242"/>
      <w:bookmarkStart w:id="334" w:name="_Toc25689"/>
      <w:bookmarkStart w:id="335" w:name="_Toc23716"/>
      <w:bookmarkStart w:id="336" w:name="_Toc9557"/>
      <w:bookmarkStart w:id="337" w:name="_Toc259093671"/>
      <w:bookmarkStart w:id="338" w:name="_Toc7715"/>
      <w:bookmarkStart w:id="339" w:name="_Toc31634"/>
      <w:bookmarkStart w:id="340" w:name="_Toc30303"/>
      <w:bookmarkStart w:id="341" w:name="_Toc8504"/>
      <w:bookmarkStart w:id="342" w:name="_Toc27853"/>
      <w:bookmarkStart w:id="343" w:name="_Toc487900351"/>
      <w:bookmarkStart w:id="344" w:name="_Toc9829"/>
      <w:r>
        <w:rPr>
          <w:rFonts w:hint="eastAsia" w:ascii="宋体" w:hAnsi="宋体" w:eastAsia="宋体" w:cs="宋体"/>
          <w:b/>
          <w:bCs/>
          <w:kern w:val="2"/>
          <w:sz w:val="24"/>
          <w:szCs w:val="24"/>
          <w:lang w:val="en-US" w:eastAsia="zh-CN" w:bidi="ar-SA"/>
        </w:rPr>
        <w:t>2.3 知识产权</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64ED1BF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1B65657">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2.3.2具有知识产权的计算机软件等货物的知识产权归属，详见合同专用条款。</w:t>
      </w:r>
    </w:p>
    <w:p w14:paraId="3FFFDA1D">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45" w:name="_Toc11932"/>
      <w:bookmarkStart w:id="346" w:name="_Toc24074"/>
      <w:bookmarkStart w:id="347" w:name="_Toc1620"/>
      <w:bookmarkStart w:id="348" w:name="_Toc17478"/>
      <w:bookmarkStart w:id="349" w:name="_Toc4194"/>
      <w:bookmarkStart w:id="350" w:name="_Toc25769"/>
      <w:bookmarkStart w:id="351" w:name="_Toc29149"/>
      <w:bookmarkStart w:id="352" w:name="_Toc11150"/>
      <w:bookmarkStart w:id="353" w:name="_Toc19455"/>
      <w:bookmarkStart w:id="354" w:name="_Toc21086"/>
      <w:r>
        <w:rPr>
          <w:rFonts w:hint="eastAsia" w:ascii="宋体" w:hAnsi="宋体" w:eastAsia="宋体" w:cs="宋体"/>
          <w:b/>
          <w:bCs/>
          <w:kern w:val="2"/>
          <w:sz w:val="24"/>
          <w:szCs w:val="24"/>
          <w:lang w:val="en-US" w:eastAsia="zh-CN" w:bidi="ar-SA"/>
        </w:rPr>
        <w:t>2.4 包装和装运</w:t>
      </w:r>
      <w:bookmarkEnd w:id="345"/>
      <w:bookmarkEnd w:id="346"/>
      <w:bookmarkEnd w:id="347"/>
      <w:bookmarkEnd w:id="348"/>
      <w:bookmarkEnd w:id="349"/>
      <w:bookmarkEnd w:id="350"/>
      <w:bookmarkEnd w:id="351"/>
      <w:bookmarkEnd w:id="352"/>
      <w:bookmarkEnd w:id="353"/>
      <w:bookmarkEnd w:id="354"/>
    </w:p>
    <w:p w14:paraId="688062A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4DFDAF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2.4.2 装运货物的要求和通知，详见合同专用条款。</w:t>
      </w:r>
    </w:p>
    <w:p w14:paraId="56B5F2DD">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55" w:name="_Toc487900354"/>
      <w:bookmarkStart w:id="356" w:name="_Toc259093674"/>
      <w:bookmarkStart w:id="357" w:name="_Ref467378541"/>
      <w:bookmarkStart w:id="358" w:name="_Ref467379536"/>
      <w:bookmarkStart w:id="359" w:name="_Ref467379542"/>
      <w:bookmarkStart w:id="360" w:name="_Ref467378591"/>
      <w:bookmarkStart w:id="361" w:name="_Toc279701245"/>
      <w:bookmarkStart w:id="362" w:name="_Ref467379527"/>
      <w:bookmarkStart w:id="363" w:name="_Toc26182"/>
      <w:bookmarkStart w:id="364" w:name="_Toc1950"/>
      <w:bookmarkStart w:id="365" w:name="_Toc30272"/>
      <w:bookmarkStart w:id="366" w:name="_Toc825"/>
      <w:bookmarkStart w:id="367" w:name="_Toc32471"/>
      <w:bookmarkStart w:id="368" w:name="_Toc27983"/>
      <w:bookmarkStart w:id="369" w:name="_Toc178"/>
      <w:bookmarkStart w:id="370" w:name="_Toc28369"/>
      <w:bookmarkStart w:id="371" w:name="_Toc19074"/>
      <w:bookmarkStart w:id="372" w:name="_Toc30869"/>
      <w:r>
        <w:rPr>
          <w:rFonts w:hint="eastAsia" w:ascii="宋体" w:hAnsi="宋体" w:eastAsia="宋体" w:cs="宋体"/>
          <w:b/>
          <w:bCs/>
          <w:kern w:val="2"/>
          <w:sz w:val="24"/>
          <w:szCs w:val="24"/>
          <w:lang w:val="en-US" w:eastAsia="zh-CN" w:bidi="ar-SA"/>
        </w:rPr>
        <w:t>2.</w:t>
      </w:r>
      <w:bookmarkEnd w:id="355"/>
      <w:bookmarkEnd w:id="356"/>
      <w:bookmarkEnd w:id="357"/>
      <w:bookmarkEnd w:id="358"/>
      <w:bookmarkEnd w:id="359"/>
      <w:bookmarkEnd w:id="360"/>
      <w:bookmarkEnd w:id="361"/>
      <w:bookmarkEnd w:id="362"/>
      <w:r>
        <w:rPr>
          <w:rFonts w:hint="eastAsia" w:ascii="宋体" w:hAnsi="宋体" w:eastAsia="宋体" w:cs="宋体"/>
          <w:b/>
          <w:bCs/>
          <w:kern w:val="2"/>
          <w:sz w:val="24"/>
          <w:szCs w:val="24"/>
          <w:lang w:val="en-US" w:eastAsia="zh-CN" w:bidi="ar-SA"/>
        </w:rPr>
        <w:t>5 履约检查和问题反馈</w:t>
      </w:r>
      <w:bookmarkEnd w:id="363"/>
      <w:bookmarkEnd w:id="364"/>
      <w:bookmarkEnd w:id="365"/>
      <w:bookmarkEnd w:id="366"/>
      <w:bookmarkEnd w:id="367"/>
      <w:bookmarkEnd w:id="368"/>
      <w:bookmarkEnd w:id="369"/>
      <w:bookmarkEnd w:id="370"/>
      <w:bookmarkEnd w:id="371"/>
      <w:bookmarkEnd w:id="372"/>
    </w:p>
    <w:p w14:paraId="08BA74F0">
      <w:pPr>
        <w:spacing w:line="560" w:lineRule="exact"/>
        <w:ind w:firstLine="480" w:firstLineChars="200"/>
        <w:rPr>
          <w:rFonts w:hint="eastAsia" w:ascii="宋体" w:hAnsi="宋体" w:eastAsia="宋体" w:cs="宋体"/>
          <w:kern w:val="2"/>
          <w:sz w:val="24"/>
          <w:szCs w:val="24"/>
          <w:lang w:val="en-US" w:eastAsia="zh-CN" w:bidi="ar-SA"/>
        </w:rPr>
      </w:pPr>
      <w:bookmarkStart w:id="373" w:name="_Ref467379657"/>
      <w:r>
        <w:rPr>
          <w:rFonts w:hint="eastAsia" w:ascii="宋体" w:hAnsi="宋体" w:eastAsia="宋体" w:cs="宋体"/>
          <w:kern w:val="2"/>
          <w:sz w:val="24"/>
          <w:szCs w:val="24"/>
          <w:lang w:val="en-US" w:eastAsia="zh-CN" w:bidi="ar-SA"/>
        </w:rPr>
        <w:t>2.5.1</w:t>
      </w:r>
      <w:bookmarkEnd w:id="373"/>
      <w:bookmarkStart w:id="374" w:name="_Toc186431854"/>
      <w:bookmarkStart w:id="375" w:name="_Toc279701247"/>
      <w:bookmarkStart w:id="376" w:name="_Toc487900357"/>
      <w:bookmarkStart w:id="377" w:name="_Toc259093676"/>
      <w:bookmarkStart w:id="378" w:name="_Ref467379793"/>
      <w:bookmarkStart w:id="379" w:name="_Ref467379807"/>
      <w:r>
        <w:rPr>
          <w:rFonts w:hint="eastAsia" w:ascii="宋体" w:hAnsi="宋体" w:eastAsia="宋体" w:cs="宋体"/>
          <w:kern w:val="2"/>
          <w:sz w:val="24"/>
          <w:szCs w:val="24"/>
          <w:lang w:val="en-US" w:eastAsia="zh-CN" w:bidi="ar-SA"/>
        </w:rPr>
        <w:t>甲方有权在其认为必要时，对乙方是否能够按照合同约定交付货物进行履约检查，以确保乙方所交付的货物能够依约满足甲方之项目需求，但不得因履约检查妨碍乙方的正常工作，乙方应予积极配合；</w:t>
      </w:r>
    </w:p>
    <w:p w14:paraId="69B913E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2.5.2 合同履行期间，甲方有权将履行过程中出现的问题反馈给乙方，双方当事人应以书面形式约定需要完善和改进的内容</w:t>
      </w:r>
      <w:bookmarkEnd w:id="374"/>
      <w:bookmarkStart w:id="380" w:name="_Toc186431855"/>
      <w:r>
        <w:rPr>
          <w:rFonts w:hint="eastAsia" w:ascii="宋体" w:hAnsi="宋体" w:eastAsia="宋体" w:cs="宋体"/>
          <w:kern w:val="2"/>
          <w:sz w:val="24"/>
          <w:szCs w:val="24"/>
          <w:lang w:val="en-US" w:eastAsia="zh-CN" w:bidi="ar-SA"/>
        </w:rPr>
        <w:t>。</w:t>
      </w:r>
    </w:p>
    <w:bookmarkEnd w:id="380"/>
    <w:p w14:paraId="263CE763">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81" w:name="_Toc24597"/>
      <w:bookmarkStart w:id="382" w:name="_Toc22776"/>
      <w:bookmarkStart w:id="383" w:name="_Toc20387"/>
      <w:bookmarkStart w:id="384" w:name="_Toc6987"/>
      <w:bookmarkStart w:id="385" w:name="_Toc8786"/>
      <w:bookmarkStart w:id="386" w:name="_Toc7836"/>
      <w:bookmarkStart w:id="387" w:name="_Toc19219"/>
      <w:bookmarkStart w:id="388" w:name="_Toc28451"/>
      <w:bookmarkStart w:id="389" w:name="_Toc2279"/>
      <w:bookmarkStart w:id="390" w:name="_Toc16577"/>
      <w:r>
        <w:rPr>
          <w:rFonts w:hint="eastAsia" w:ascii="宋体" w:hAnsi="宋体" w:eastAsia="宋体" w:cs="宋体"/>
          <w:b/>
          <w:bCs/>
          <w:kern w:val="2"/>
          <w:sz w:val="24"/>
          <w:szCs w:val="24"/>
          <w:lang w:val="en-US" w:eastAsia="zh-CN" w:bidi="ar-SA"/>
        </w:rPr>
        <w:t>2.6 结算方式和付款条件</w:t>
      </w:r>
      <w:bookmarkEnd w:id="375"/>
      <w:bookmarkEnd w:id="376"/>
      <w:bookmarkEnd w:id="377"/>
      <w:bookmarkEnd w:id="378"/>
      <w:bookmarkEnd w:id="379"/>
      <w:bookmarkEnd w:id="381"/>
      <w:bookmarkEnd w:id="382"/>
      <w:bookmarkEnd w:id="383"/>
      <w:bookmarkEnd w:id="384"/>
      <w:bookmarkEnd w:id="385"/>
      <w:bookmarkEnd w:id="386"/>
      <w:bookmarkEnd w:id="387"/>
      <w:bookmarkEnd w:id="388"/>
      <w:bookmarkEnd w:id="389"/>
      <w:bookmarkEnd w:id="390"/>
    </w:p>
    <w:p w14:paraId="634AE28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详见合同专用条款。</w:t>
      </w:r>
    </w:p>
    <w:p w14:paraId="47E9899F">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391" w:name="_Toc259093677"/>
      <w:bookmarkStart w:id="392" w:name="_Ref467379863"/>
      <w:bookmarkStart w:id="393" w:name="_Ref467379852"/>
      <w:bookmarkStart w:id="394" w:name="_Toc279701248"/>
      <w:bookmarkStart w:id="395" w:name="_Ref467379923"/>
      <w:bookmarkStart w:id="396" w:name="_Toc487900358"/>
      <w:bookmarkStart w:id="397" w:name="_Toc12012"/>
      <w:bookmarkStart w:id="398" w:name="_Toc28812"/>
      <w:bookmarkStart w:id="399" w:name="_Toc14899"/>
      <w:bookmarkStart w:id="400" w:name="_Toc23337"/>
      <w:bookmarkStart w:id="401" w:name="_Toc905"/>
      <w:bookmarkStart w:id="402" w:name="_Toc1395"/>
      <w:bookmarkStart w:id="403" w:name="_Toc1198"/>
      <w:bookmarkStart w:id="404" w:name="_Toc16110"/>
      <w:bookmarkStart w:id="405" w:name="_Toc3225"/>
      <w:bookmarkStart w:id="406" w:name="_Toc774"/>
      <w:r>
        <w:rPr>
          <w:rFonts w:hint="eastAsia" w:ascii="宋体" w:hAnsi="宋体" w:eastAsia="宋体" w:cs="宋体"/>
          <w:b/>
          <w:bCs/>
          <w:kern w:val="2"/>
          <w:sz w:val="24"/>
          <w:szCs w:val="24"/>
          <w:lang w:val="en-US" w:eastAsia="zh-CN" w:bidi="ar-SA"/>
        </w:rPr>
        <w:t>2.7 技术资料</w:t>
      </w:r>
      <w:bookmarkEnd w:id="391"/>
      <w:bookmarkEnd w:id="392"/>
      <w:bookmarkEnd w:id="393"/>
      <w:bookmarkEnd w:id="394"/>
      <w:bookmarkEnd w:id="395"/>
      <w:bookmarkEnd w:id="396"/>
      <w:r>
        <w:rPr>
          <w:rFonts w:hint="eastAsia" w:ascii="宋体" w:hAnsi="宋体" w:eastAsia="宋体" w:cs="宋体"/>
          <w:b/>
          <w:bCs/>
          <w:kern w:val="2"/>
          <w:sz w:val="24"/>
          <w:szCs w:val="24"/>
          <w:lang w:val="en-US" w:eastAsia="zh-CN" w:bidi="ar-SA"/>
        </w:rPr>
        <w:t>和保密义务</w:t>
      </w:r>
      <w:bookmarkEnd w:id="397"/>
      <w:bookmarkEnd w:id="398"/>
      <w:bookmarkEnd w:id="399"/>
      <w:bookmarkEnd w:id="400"/>
      <w:bookmarkEnd w:id="401"/>
      <w:bookmarkEnd w:id="402"/>
      <w:bookmarkEnd w:id="403"/>
      <w:bookmarkEnd w:id="404"/>
      <w:bookmarkEnd w:id="405"/>
      <w:bookmarkEnd w:id="406"/>
    </w:p>
    <w:p w14:paraId="3A47E90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2.7.1 乙方有权依据合同约定和项目需要，向甲方了解有关情况，调阅有关资料等，甲方应予积极配合；</w:t>
      </w:r>
    </w:p>
    <w:p w14:paraId="3D71682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2.7.2 乙方有义务妥善保管和保护由甲方提供的前款信息和资料等；</w:t>
      </w:r>
    </w:p>
    <w:p w14:paraId="4182BB7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28067D">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07" w:name="_Toc7860"/>
      <w:bookmarkStart w:id="408" w:name="_Toc2838"/>
      <w:bookmarkStart w:id="409" w:name="_Toc14301"/>
      <w:bookmarkStart w:id="410" w:name="_Toc6460"/>
      <w:bookmarkStart w:id="411" w:name="_Toc13130"/>
      <w:bookmarkStart w:id="412" w:name="_Toc13442"/>
      <w:bookmarkStart w:id="413" w:name="_Toc19803"/>
      <w:bookmarkStart w:id="414" w:name="_Toc11864"/>
      <w:r>
        <w:rPr>
          <w:rFonts w:hint="eastAsia" w:ascii="宋体" w:hAnsi="宋体" w:eastAsia="宋体" w:cs="宋体"/>
          <w:b/>
          <w:bCs/>
          <w:kern w:val="2"/>
          <w:sz w:val="24"/>
          <w:szCs w:val="24"/>
          <w:lang w:val="en-US" w:eastAsia="zh-CN" w:bidi="ar-SA"/>
        </w:rPr>
        <w:t>2.8 质量保证</w:t>
      </w:r>
      <w:bookmarkEnd w:id="407"/>
      <w:bookmarkEnd w:id="408"/>
      <w:bookmarkEnd w:id="409"/>
      <w:bookmarkEnd w:id="410"/>
      <w:bookmarkEnd w:id="411"/>
      <w:bookmarkEnd w:id="412"/>
      <w:bookmarkEnd w:id="413"/>
      <w:bookmarkEnd w:id="414"/>
    </w:p>
    <w:p w14:paraId="3E78C7D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2.8.1 乙方应建立和完善履行合同的内部质量保证体系，并提供相关内部规章制度给甲方，以便甲方进行监督检查；</w:t>
      </w:r>
    </w:p>
    <w:p w14:paraId="5A0384A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2.8.2 乙方应保证履行合同的人员数量和素质、软件和硬件设备的配置、场地、环境和设施等满足全面履行合同的要求，并应接受甲方的监督检查。</w:t>
      </w:r>
    </w:p>
    <w:p w14:paraId="74AD2009">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15" w:name="_Toc17648"/>
      <w:bookmarkStart w:id="416" w:name="_Toc17244"/>
      <w:bookmarkStart w:id="417" w:name="_Toc2429"/>
      <w:bookmarkStart w:id="418" w:name="_Toc27782"/>
      <w:bookmarkStart w:id="419" w:name="_Toc23768"/>
      <w:bookmarkStart w:id="420" w:name="_Toc19420"/>
      <w:bookmarkStart w:id="421" w:name="_Toc2990"/>
      <w:bookmarkStart w:id="422" w:name="_Toc11641"/>
      <w:bookmarkStart w:id="423" w:name="_Toc259093681"/>
      <w:bookmarkStart w:id="424" w:name="_Toc279701252"/>
      <w:bookmarkStart w:id="425" w:name="_Toc487900362"/>
      <w:r>
        <w:rPr>
          <w:rFonts w:hint="eastAsia" w:ascii="宋体" w:hAnsi="宋体" w:eastAsia="宋体" w:cs="宋体"/>
          <w:b/>
          <w:bCs/>
          <w:kern w:val="2"/>
          <w:sz w:val="24"/>
          <w:szCs w:val="24"/>
          <w:lang w:val="en-US" w:eastAsia="zh-CN" w:bidi="ar-SA"/>
        </w:rPr>
        <w:t>2.9 货物的风险负担</w:t>
      </w:r>
      <w:bookmarkEnd w:id="415"/>
      <w:bookmarkEnd w:id="416"/>
      <w:bookmarkEnd w:id="417"/>
      <w:bookmarkEnd w:id="418"/>
      <w:bookmarkEnd w:id="419"/>
      <w:bookmarkEnd w:id="420"/>
      <w:bookmarkEnd w:id="421"/>
      <w:bookmarkEnd w:id="422"/>
    </w:p>
    <w:p w14:paraId="1DA8C48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货物或者在途货物或者交付给第一承运人后的货物毁损、灭失的风险负担详见合同专用条款。</w:t>
      </w:r>
    </w:p>
    <w:p w14:paraId="3076A742">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26" w:name="_Toc4487"/>
      <w:bookmarkStart w:id="427" w:name="_Toc18768"/>
      <w:bookmarkStart w:id="428" w:name="_Toc14055"/>
      <w:bookmarkStart w:id="429" w:name="_Toc20495"/>
      <w:bookmarkStart w:id="430" w:name="_Toc16383"/>
      <w:bookmarkStart w:id="431" w:name="_Toc1317"/>
      <w:bookmarkStart w:id="432" w:name="_Toc13111"/>
      <w:bookmarkStart w:id="433" w:name="_Toc11996"/>
      <w:r>
        <w:rPr>
          <w:rFonts w:hint="eastAsia" w:ascii="宋体" w:hAnsi="宋体" w:eastAsia="宋体" w:cs="宋体"/>
          <w:b/>
          <w:bCs/>
          <w:kern w:val="2"/>
          <w:sz w:val="24"/>
          <w:szCs w:val="24"/>
          <w:lang w:val="en-US" w:eastAsia="zh-CN" w:bidi="ar-SA"/>
        </w:rPr>
        <w:t>2.10 延迟交货</w:t>
      </w:r>
      <w:bookmarkEnd w:id="423"/>
      <w:bookmarkEnd w:id="424"/>
      <w:bookmarkEnd w:id="425"/>
      <w:bookmarkEnd w:id="426"/>
      <w:bookmarkEnd w:id="427"/>
      <w:bookmarkEnd w:id="428"/>
      <w:bookmarkEnd w:id="429"/>
      <w:bookmarkEnd w:id="430"/>
      <w:bookmarkEnd w:id="431"/>
      <w:bookmarkEnd w:id="432"/>
      <w:bookmarkEnd w:id="433"/>
    </w:p>
    <w:p w14:paraId="14AE7C6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F21B22A">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34" w:name="_Toc14128"/>
      <w:bookmarkStart w:id="435" w:name="_Toc21628"/>
      <w:bookmarkStart w:id="436" w:name="_Toc7502"/>
      <w:bookmarkStart w:id="437" w:name="_Toc26705"/>
      <w:bookmarkStart w:id="438" w:name="_Toc2431"/>
      <w:bookmarkStart w:id="439" w:name="_Toc27305"/>
      <w:bookmarkStart w:id="440" w:name="_Toc4271"/>
      <w:bookmarkStart w:id="441" w:name="_Toc10624"/>
      <w:bookmarkStart w:id="442" w:name="_Ref467378121"/>
      <w:bookmarkStart w:id="443" w:name="_Toc259093683"/>
      <w:bookmarkStart w:id="444" w:name="_Toc279701254"/>
      <w:bookmarkStart w:id="445" w:name="_Toc487900364"/>
      <w:r>
        <w:rPr>
          <w:rFonts w:hint="eastAsia" w:ascii="宋体" w:hAnsi="宋体" w:eastAsia="宋体" w:cs="宋体"/>
          <w:b/>
          <w:bCs/>
          <w:kern w:val="2"/>
          <w:sz w:val="24"/>
          <w:szCs w:val="24"/>
          <w:lang w:val="en-US" w:eastAsia="zh-CN" w:bidi="ar-SA"/>
        </w:rPr>
        <w:t>2.11 合同变更</w:t>
      </w:r>
      <w:bookmarkEnd w:id="434"/>
      <w:bookmarkEnd w:id="435"/>
      <w:bookmarkEnd w:id="436"/>
      <w:bookmarkEnd w:id="437"/>
      <w:bookmarkEnd w:id="438"/>
      <w:bookmarkEnd w:id="439"/>
      <w:bookmarkEnd w:id="440"/>
      <w:bookmarkEnd w:id="441"/>
    </w:p>
    <w:p w14:paraId="798C0E3D">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2.11.1双方当事人协商一致，可以签订书面补充合同的形式变更合同，但不得违背采购文件确定的事项，且如果系追加与合同标的相同的货物的，那么所有补充合同的采购金额不得超过原合同价的10%；</w:t>
      </w:r>
    </w:p>
    <w:p w14:paraId="446CAE2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2.11.2 合同继续履行将损害国家利益和社会公共利益的，双方当事人应当以书面形式变更合同。有过错的一方应当承担赔偿责任，双方当事人都有过错的，各自承担相应的责任。</w:t>
      </w:r>
      <w:bookmarkStart w:id="446" w:name="_Toc487900369"/>
      <w:bookmarkStart w:id="447" w:name="_Toc279701259"/>
      <w:bookmarkStart w:id="448" w:name="_Toc259093688"/>
    </w:p>
    <w:p w14:paraId="31328E9E">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49" w:name="_Toc9013"/>
      <w:bookmarkStart w:id="450" w:name="_Toc8912"/>
      <w:bookmarkStart w:id="451" w:name="_Toc13604"/>
      <w:bookmarkStart w:id="452" w:name="_Toc27360"/>
      <w:bookmarkStart w:id="453" w:name="_Toc21469"/>
      <w:bookmarkStart w:id="454" w:name="_Toc22955"/>
      <w:bookmarkStart w:id="455" w:name="_Toc31277"/>
      <w:bookmarkStart w:id="456" w:name="_Toc10366"/>
      <w:bookmarkStart w:id="457" w:name="_Toc15237"/>
      <w:bookmarkStart w:id="458" w:name="_Toc13330"/>
      <w:r>
        <w:rPr>
          <w:rFonts w:hint="eastAsia" w:ascii="宋体" w:hAnsi="宋体" w:eastAsia="宋体" w:cs="宋体"/>
          <w:b/>
          <w:bCs/>
          <w:kern w:val="2"/>
          <w:sz w:val="24"/>
          <w:szCs w:val="24"/>
          <w:lang w:val="en-US" w:eastAsia="zh-CN" w:bidi="ar-SA"/>
        </w:rPr>
        <w:t>2.12 合同转让</w:t>
      </w:r>
      <w:bookmarkEnd w:id="446"/>
      <w:bookmarkEnd w:id="447"/>
      <w:bookmarkEnd w:id="448"/>
      <w:r>
        <w:rPr>
          <w:rFonts w:hint="eastAsia" w:ascii="宋体" w:hAnsi="宋体" w:eastAsia="宋体" w:cs="宋体"/>
          <w:b/>
          <w:bCs/>
          <w:kern w:val="2"/>
          <w:sz w:val="24"/>
          <w:szCs w:val="24"/>
          <w:lang w:val="en-US" w:eastAsia="zh-CN" w:bidi="ar-SA"/>
        </w:rPr>
        <w:t>和分包</w:t>
      </w:r>
      <w:bookmarkEnd w:id="449"/>
      <w:bookmarkEnd w:id="450"/>
      <w:bookmarkEnd w:id="451"/>
      <w:bookmarkEnd w:id="452"/>
      <w:bookmarkEnd w:id="453"/>
      <w:bookmarkEnd w:id="454"/>
      <w:bookmarkEnd w:id="455"/>
      <w:bookmarkEnd w:id="456"/>
      <w:bookmarkEnd w:id="457"/>
      <w:bookmarkEnd w:id="458"/>
    </w:p>
    <w:p w14:paraId="664DEB7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61E4046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59" w:name="_Toc16508"/>
      <w:bookmarkStart w:id="460" w:name="_Toc14066"/>
      <w:bookmarkStart w:id="461" w:name="_Toc16866"/>
      <w:bookmarkStart w:id="462" w:name="_Toc13566"/>
      <w:bookmarkStart w:id="463" w:name="_Toc13315"/>
      <w:bookmarkStart w:id="464" w:name="_Toc21117"/>
      <w:bookmarkStart w:id="465" w:name="_Toc14589"/>
      <w:bookmarkStart w:id="466" w:name="_Toc11275"/>
      <w:bookmarkStart w:id="467" w:name="_Toc13667"/>
      <w:bookmarkStart w:id="468" w:name="_Toc30689"/>
      <w:r>
        <w:rPr>
          <w:rFonts w:hint="eastAsia" w:ascii="宋体" w:hAnsi="宋体" w:eastAsia="宋体" w:cs="宋体"/>
          <w:b/>
          <w:bCs/>
          <w:kern w:val="2"/>
          <w:sz w:val="24"/>
          <w:szCs w:val="24"/>
          <w:lang w:val="en-US" w:eastAsia="zh-CN" w:bidi="ar-SA"/>
        </w:rPr>
        <w:t>2.13 不可抗力</w:t>
      </w:r>
      <w:bookmarkEnd w:id="459"/>
      <w:bookmarkEnd w:id="460"/>
      <w:bookmarkEnd w:id="461"/>
      <w:bookmarkEnd w:id="462"/>
      <w:bookmarkEnd w:id="463"/>
      <w:bookmarkEnd w:id="464"/>
      <w:bookmarkEnd w:id="465"/>
      <w:bookmarkEnd w:id="466"/>
      <w:bookmarkEnd w:id="467"/>
      <w:bookmarkEnd w:id="468"/>
    </w:p>
    <w:p w14:paraId="5771CD1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2.13.1如果任何一方遭遇法律规定的不可抗力，致使合同履行受阻时，履行合同的期限应予延长，延长的期限应相当于不可抗力所影响的时间；</w:t>
      </w:r>
    </w:p>
    <w:p w14:paraId="1D3FEBA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2.13.2 因不可抗力致使不能实现合同目的的，当事人可以解除合同；</w:t>
      </w:r>
    </w:p>
    <w:p w14:paraId="7FDCBAE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2.13.3 因不可抗力致使合同有变更必要的，双方当事人应在合同专用条款约定时间内以书面形式变更合同；</w:t>
      </w:r>
    </w:p>
    <w:p w14:paraId="199F3A3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2.13.4受不可抗力影响的一方在不可抗力发生后，应在合同专用条款约定时间内以书面形式通知对方当事人，并在合同专用条款约定时间内，将有关部门出具的证明文件送达对方当事人。</w:t>
      </w:r>
    </w:p>
    <w:p w14:paraId="09FAADFC">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69" w:name="_Toc28553"/>
      <w:bookmarkStart w:id="470" w:name="_Toc279701255"/>
      <w:bookmarkStart w:id="471" w:name="_Toc12526"/>
      <w:bookmarkStart w:id="472" w:name="_Toc689"/>
      <w:bookmarkStart w:id="473" w:name="_Toc487900365"/>
      <w:bookmarkStart w:id="474" w:name="_Toc24210"/>
      <w:bookmarkStart w:id="475" w:name="_Toc30676"/>
      <w:bookmarkStart w:id="476" w:name="_Toc26701"/>
      <w:bookmarkStart w:id="477" w:name="_Toc15529"/>
      <w:bookmarkStart w:id="478" w:name="_Toc3271"/>
      <w:bookmarkStart w:id="479" w:name="_Toc259093684"/>
      <w:bookmarkStart w:id="480" w:name="_Toc6969"/>
      <w:bookmarkStart w:id="481" w:name="_Toc4202"/>
      <w:r>
        <w:rPr>
          <w:rFonts w:hint="eastAsia" w:ascii="宋体" w:hAnsi="宋体" w:eastAsia="宋体" w:cs="宋体"/>
          <w:b/>
          <w:bCs/>
          <w:kern w:val="2"/>
          <w:sz w:val="24"/>
          <w:szCs w:val="24"/>
          <w:lang w:val="en-US" w:eastAsia="zh-CN" w:bidi="ar-SA"/>
        </w:rPr>
        <w:t>2.14 税费</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7D395E2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与合同有关的一切税费，均按照中华人民共和国法律的相关规定。</w:t>
      </w:r>
    </w:p>
    <w:p w14:paraId="1937A226">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82" w:name="_Toc279701258"/>
      <w:bookmarkStart w:id="483" w:name="_Toc14652"/>
      <w:bookmarkStart w:id="484" w:name="_Toc487900368"/>
      <w:bookmarkStart w:id="485" w:name="_Toc16959"/>
      <w:bookmarkStart w:id="486" w:name="_Toc23378"/>
      <w:bookmarkStart w:id="487" w:name="_Toc8298"/>
      <w:bookmarkStart w:id="488" w:name="_Toc259093687"/>
      <w:bookmarkStart w:id="489" w:name="_Toc7102"/>
      <w:bookmarkStart w:id="490" w:name="_Toc9201"/>
      <w:bookmarkStart w:id="491" w:name="_Toc4921"/>
      <w:bookmarkStart w:id="492" w:name="_Toc19279"/>
      <w:bookmarkStart w:id="493" w:name="_Toc23363"/>
      <w:bookmarkStart w:id="494" w:name="_Toc725"/>
      <w:r>
        <w:rPr>
          <w:rFonts w:hint="eastAsia" w:ascii="宋体" w:hAnsi="宋体" w:eastAsia="宋体" w:cs="宋体"/>
          <w:b/>
          <w:bCs/>
          <w:kern w:val="2"/>
          <w:sz w:val="24"/>
          <w:szCs w:val="24"/>
          <w:lang w:val="en-US" w:eastAsia="zh-CN" w:bidi="ar-SA"/>
        </w:rPr>
        <w:t>2.15 乙方破产</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482A64A6">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436F68">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495" w:name="_Toc29378"/>
      <w:bookmarkStart w:id="496" w:name="_Toc29333"/>
      <w:bookmarkStart w:id="497" w:name="_Toc28828"/>
      <w:bookmarkStart w:id="498" w:name="_Toc6847"/>
      <w:bookmarkStart w:id="499" w:name="_Toc15387"/>
      <w:bookmarkStart w:id="500" w:name="_Toc13954"/>
      <w:bookmarkStart w:id="501" w:name="_Toc6134"/>
      <w:bookmarkStart w:id="502" w:name="_Toc6530"/>
      <w:bookmarkStart w:id="503" w:name="_Toc2684"/>
      <w:bookmarkStart w:id="504" w:name="_Toc9443"/>
      <w:r>
        <w:rPr>
          <w:rFonts w:hint="eastAsia" w:ascii="宋体" w:hAnsi="宋体" w:eastAsia="宋体" w:cs="宋体"/>
          <w:b/>
          <w:bCs/>
          <w:kern w:val="2"/>
          <w:sz w:val="24"/>
          <w:szCs w:val="24"/>
          <w:lang w:val="en-US" w:eastAsia="zh-CN" w:bidi="ar-SA"/>
        </w:rPr>
        <w:t>2.16 合同中止、终止</w:t>
      </w:r>
      <w:bookmarkEnd w:id="495"/>
      <w:bookmarkEnd w:id="496"/>
      <w:bookmarkEnd w:id="497"/>
      <w:bookmarkEnd w:id="498"/>
      <w:bookmarkEnd w:id="499"/>
      <w:bookmarkEnd w:id="500"/>
      <w:bookmarkEnd w:id="501"/>
      <w:bookmarkEnd w:id="502"/>
      <w:bookmarkEnd w:id="503"/>
      <w:bookmarkEnd w:id="504"/>
    </w:p>
    <w:p w14:paraId="66921D06">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2.16.1 双方当事人不得擅自中止或者终止合同；</w:t>
      </w:r>
    </w:p>
    <w:p w14:paraId="3CBFBE9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2.16.2合同继续履行将损害国家利益和社会公共利益的，双方当事人应当中止或者终止合同。有过错的一方应当承担赔偿责任，双方当事人都有过错的，各自承担相应的责任。</w:t>
      </w:r>
    </w:p>
    <w:p w14:paraId="17E3CAA4">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05" w:name="_Toc17050"/>
      <w:bookmarkStart w:id="506" w:name="_Toc19390"/>
      <w:bookmarkStart w:id="507" w:name="_Toc14563"/>
      <w:bookmarkStart w:id="508" w:name="_Toc1125"/>
      <w:bookmarkStart w:id="509" w:name="_Toc786"/>
      <w:bookmarkStart w:id="510" w:name="_Toc6596"/>
      <w:bookmarkStart w:id="511" w:name="_Toc13616"/>
      <w:bookmarkStart w:id="512" w:name="_Toc22722"/>
      <w:bookmarkStart w:id="513" w:name="_Toc5287"/>
      <w:bookmarkStart w:id="514" w:name="_Toc29723"/>
      <w:r>
        <w:rPr>
          <w:rFonts w:hint="eastAsia" w:ascii="宋体" w:hAnsi="宋体" w:eastAsia="宋体" w:cs="宋体"/>
          <w:b/>
          <w:bCs/>
          <w:kern w:val="2"/>
          <w:sz w:val="24"/>
          <w:szCs w:val="24"/>
          <w:lang w:val="en-US" w:eastAsia="zh-CN" w:bidi="ar-SA"/>
        </w:rPr>
        <w:t>2.17 检验和验收</w:t>
      </w:r>
      <w:bookmarkEnd w:id="505"/>
      <w:bookmarkEnd w:id="506"/>
      <w:bookmarkEnd w:id="507"/>
      <w:bookmarkEnd w:id="508"/>
      <w:bookmarkEnd w:id="509"/>
      <w:bookmarkEnd w:id="510"/>
      <w:bookmarkEnd w:id="511"/>
      <w:bookmarkEnd w:id="512"/>
      <w:bookmarkEnd w:id="513"/>
      <w:bookmarkEnd w:id="514"/>
    </w:p>
    <w:p w14:paraId="789907AF">
      <w:pPr>
        <w:tabs>
          <w:tab w:val="left" w:pos="360"/>
          <w:tab w:val="left" w:pos="540"/>
          <w:tab w:val="left" w:pos="1080"/>
        </w:tabs>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57B4A683">
      <w:pPr>
        <w:tabs>
          <w:tab w:val="left" w:pos="360"/>
          <w:tab w:val="left" w:pos="540"/>
          <w:tab w:val="left" w:pos="1080"/>
        </w:tabs>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4C12B8">
      <w:pPr>
        <w:tabs>
          <w:tab w:val="left" w:pos="360"/>
          <w:tab w:val="left" w:pos="540"/>
          <w:tab w:val="left" w:pos="1080"/>
        </w:tabs>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2.17.3 检验和验收标准、程序等具体内容以及前述验收书的效力详见合同专用条款。</w:t>
      </w:r>
    </w:p>
    <w:bookmarkEnd w:id="442"/>
    <w:bookmarkEnd w:id="443"/>
    <w:bookmarkEnd w:id="444"/>
    <w:bookmarkEnd w:id="445"/>
    <w:p w14:paraId="0B984511">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15" w:name="_Toc259093690"/>
      <w:bookmarkStart w:id="516" w:name="_Toc279701261"/>
      <w:bookmarkStart w:id="517" w:name="_Toc487900371"/>
      <w:bookmarkStart w:id="518" w:name="_Toc8977"/>
      <w:bookmarkStart w:id="519" w:name="_Toc15871"/>
      <w:bookmarkStart w:id="520" w:name="_Toc12036"/>
      <w:bookmarkStart w:id="521" w:name="_Toc19604"/>
      <w:bookmarkStart w:id="522" w:name="_Toc21540"/>
      <w:bookmarkStart w:id="523" w:name="_Toc25182"/>
      <w:bookmarkStart w:id="524" w:name="_Toc16089"/>
      <w:bookmarkStart w:id="525" w:name="_Toc11284"/>
      <w:bookmarkStart w:id="526" w:name="_Toc14977"/>
      <w:bookmarkStart w:id="527" w:name="_Toc11908"/>
      <w:r>
        <w:rPr>
          <w:rFonts w:hint="eastAsia" w:ascii="宋体" w:hAnsi="宋体" w:eastAsia="宋体" w:cs="宋体"/>
          <w:b/>
          <w:bCs/>
          <w:kern w:val="2"/>
          <w:sz w:val="24"/>
          <w:szCs w:val="24"/>
          <w:lang w:val="en-US" w:eastAsia="zh-CN" w:bidi="ar-SA"/>
        </w:rPr>
        <w:t>2.18 通知</w:t>
      </w:r>
      <w:bookmarkEnd w:id="515"/>
      <w:bookmarkEnd w:id="516"/>
      <w:bookmarkEnd w:id="517"/>
      <w:r>
        <w:rPr>
          <w:rFonts w:hint="eastAsia" w:ascii="宋体" w:hAnsi="宋体" w:eastAsia="宋体" w:cs="宋体"/>
          <w:b/>
          <w:bCs/>
          <w:kern w:val="2"/>
          <w:sz w:val="24"/>
          <w:szCs w:val="24"/>
          <w:lang w:val="en-US" w:eastAsia="zh-CN" w:bidi="ar-SA"/>
        </w:rPr>
        <w:t>和送达</w:t>
      </w:r>
      <w:bookmarkEnd w:id="518"/>
      <w:bookmarkEnd w:id="519"/>
      <w:bookmarkEnd w:id="520"/>
      <w:bookmarkEnd w:id="521"/>
      <w:bookmarkEnd w:id="522"/>
      <w:bookmarkEnd w:id="523"/>
      <w:bookmarkEnd w:id="524"/>
      <w:bookmarkEnd w:id="525"/>
      <w:bookmarkEnd w:id="526"/>
      <w:bookmarkEnd w:id="527"/>
    </w:p>
    <w:p w14:paraId="244E585C">
      <w:pPr>
        <w:spacing w:line="560" w:lineRule="exact"/>
        <w:ind w:firstLine="480" w:firstLineChars="200"/>
        <w:rPr>
          <w:rFonts w:hint="eastAsia" w:ascii="宋体" w:hAnsi="宋体" w:eastAsia="宋体" w:cs="宋体"/>
          <w:kern w:val="2"/>
          <w:sz w:val="24"/>
          <w:szCs w:val="24"/>
          <w:lang w:val="en-US" w:eastAsia="zh-CN" w:bidi="ar-SA"/>
        </w:rPr>
      </w:pPr>
      <w:bookmarkStart w:id="528" w:name="_Toc6698"/>
      <w:bookmarkStart w:id="529" w:name="_Toc3135"/>
      <w:bookmarkStart w:id="530" w:name="_Toc259093691"/>
      <w:bookmarkStart w:id="531" w:name="_Toc487900372"/>
      <w:bookmarkStart w:id="532" w:name="_Toc279701262"/>
      <w:r>
        <w:rPr>
          <w:rFonts w:hint="eastAsia" w:ascii="宋体" w:hAnsi="宋体" w:eastAsia="宋体" w:cs="宋体"/>
          <w:kern w:val="2"/>
          <w:sz w:val="24"/>
          <w:szCs w:val="24"/>
          <w:lang w:val="en-US" w:eastAsia="zh-CN" w:bidi="ar-SA"/>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528"/>
      <w:bookmarkEnd w:id="529"/>
    </w:p>
    <w:p w14:paraId="143041D6">
      <w:pPr>
        <w:spacing w:line="560" w:lineRule="exact"/>
        <w:ind w:firstLine="480" w:firstLineChars="200"/>
        <w:rPr>
          <w:rFonts w:hint="eastAsia" w:ascii="宋体" w:hAnsi="宋体" w:eastAsia="宋体" w:cs="宋体"/>
          <w:kern w:val="2"/>
          <w:sz w:val="24"/>
          <w:szCs w:val="24"/>
          <w:lang w:val="en-US" w:eastAsia="zh-CN" w:bidi="ar-SA"/>
        </w:rPr>
      </w:pPr>
      <w:bookmarkStart w:id="533" w:name="_Toc23128"/>
      <w:bookmarkStart w:id="534" w:name="_Toc23294"/>
      <w:r>
        <w:rPr>
          <w:rFonts w:hint="eastAsia" w:ascii="宋体" w:hAnsi="宋体" w:eastAsia="宋体" w:cs="宋体"/>
          <w:kern w:val="2"/>
          <w:sz w:val="24"/>
          <w:szCs w:val="24"/>
          <w:lang w:val="en-US" w:eastAsia="zh-CN" w:bidi="ar-SA"/>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0F47F662">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35" w:name="_Toc18540"/>
      <w:bookmarkStart w:id="536" w:name="_Toc14626"/>
      <w:bookmarkStart w:id="537" w:name="_Toc848"/>
      <w:bookmarkStart w:id="538" w:name="_Toc5507"/>
      <w:bookmarkStart w:id="539" w:name="_Toc14896"/>
      <w:bookmarkStart w:id="540" w:name="_Toc16769"/>
      <w:bookmarkStart w:id="541" w:name="_Toc29488"/>
      <w:bookmarkStart w:id="542" w:name="_Toc9916"/>
      <w:bookmarkStart w:id="543" w:name="_Toc4355"/>
      <w:bookmarkStart w:id="544" w:name="_Toc30599"/>
      <w:r>
        <w:rPr>
          <w:rFonts w:hint="eastAsia" w:ascii="宋体" w:hAnsi="宋体" w:eastAsia="宋体" w:cs="宋体"/>
          <w:b/>
          <w:bCs/>
          <w:kern w:val="2"/>
          <w:sz w:val="24"/>
          <w:szCs w:val="24"/>
          <w:lang w:val="en-US" w:eastAsia="zh-CN" w:bidi="ar-SA"/>
        </w:rPr>
        <w:t>2.19 计量单位</w:t>
      </w:r>
      <w:bookmarkEnd w:id="530"/>
      <w:bookmarkEnd w:id="531"/>
      <w:bookmarkEnd w:id="532"/>
      <w:bookmarkEnd w:id="535"/>
      <w:bookmarkEnd w:id="536"/>
      <w:bookmarkEnd w:id="537"/>
      <w:bookmarkEnd w:id="538"/>
      <w:bookmarkEnd w:id="539"/>
      <w:bookmarkEnd w:id="540"/>
      <w:bookmarkEnd w:id="541"/>
      <w:bookmarkEnd w:id="542"/>
      <w:bookmarkEnd w:id="543"/>
      <w:bookmarkEnd w:id="544"/>
    </w:p>
    <w:p w14:paraId="63030E8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除技术规范中另有规定外,合同的计量单位均使用国家法定计量单位。</w:t>
      </w:r>
    </w:p>
    <w:p w14:paraId="7CD11B68">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45" w:name="_Toc12784"/>
      <w:bookmarkStart w:id="546" w:name="_Toc19036"/>
      <w:bookmarkStart w:id="547" w:name="_Toc21688"/>
      <w:bookmarkStart w:id="548" w:name="_Toc12773"/>
      <w:bookmarkStart w:id="549" w:name="_Toc279701263"/>
      <w:bookmarkStart w:id="550" w:name="_Toc487900373"/>
      <w:bookmarkStart w:id="551" w:name="_Toc259093692"/>
      <w:bookmarkStart w:id="552" w:name="_Toc4647"/>
      <w:bookmarkStart w:id="553" w:name="_Toc10330"/>
      <w:bookmarkStart w:id="554" w:name="_Toc8385"/>
      <w:bookmarkStart w:id="555" w:name="_Toc26728"/>
      <w:bookmarkStart w:id="556" w:name="_Toc18567"/>
      <w:r>
        <w:rPr>
          <w:rFonts w:hint="eastAsia" w:ascii="宋体" w:hAnsi="宋体" w:eastAsia="宋体" w:cs="宋体"/>
          <w:b/>
          <w:bCs/>
          <w:kern w:val="2"/>
          <w:sz w:val="24"/>
          <w:szCs w:val="24"/>
          <w:lang w:val="en-US" w:eastAsia="zh-CN" w:bidi="ar-SA"/>
        </w:rPr>
        <w:t>2.20 合同使用的文字和适用的法律</w:t>
      </w:r>
      <w:bookmarkEnd w:id="545"/>
      <w:bookmarkEnd w:id="546"/>
      <w:bookmarkEnd w:id="547"/>
      <w:bookmarkEnd w:id="548"/>
      <w:bookmarkEnd w:id="549"/>
      <w:bookmarkEnd w:id="550"/>
      <w:bookmarkEnd w:id="551"/>
      <w:bookmarkEnd w:id="552"/>
      <w:bookmarkEnd w:id="553"/>
      <w:bookmarkEnd w:id="554"/>
      <w:bookmarkEnd w:id="555"/>
      <w:bookmarkEnd w:id="556"/>
    </w:p>
    <w:p w14:paraId="0A4DC1A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2.20.1 合同使用汉语书就、变更和解释；</w:t>
      </w:r>
    </w:p>
    <w:p w14:paraId="793A1A5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2.20.2 合同适用中华人民共和国法律。</w:t>
      </w:r>
    </w:p>
    <w:p w14:paraId="42E82EF6">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57" w:name="_Toc279701264"/>
      <w:bookmarkStart w:id="558" w:name="_Toc12681"/>
      <w:bookmarkStart w:id="559" w:name="_Toc21191"/>
      <w:bookmarkStart w:id="560" w:name="_Toc3148"/>
      <w:bookmarkStart w:id="561" w:name="_Toc12336"/>
      <w:bookmarkStart w:id="562" w:name="_Toc259093693"/>
      <w:bookmarkStart w:id="563" w:name="_Toc32426"/>
      <w:bookmarkStart w:id="564" w:name="_Toc12004"/>
      <w:bookmarkStart w:id="565" w:name="_Toc4674"/>
      <w:bookmarkStart w:id="566" w:name="_Toc9006"/>
      <w:bookmarkStart w:id="567" w:name="_Toc16673"/>
      <w:bookmarkStart w:id="568" w:name="_Toc5694"/>
      <w:bookmarkStart w:id="569" w:name="_Toc487900374"/>
      <w:r>
        <w:rPr>
          <w:rFonts w:hint="eastAsia" w:ascii="宋体" w:hAnsi="宋体" w:eastAsia="宋体" w:cs="宋体"/>
          <w:b/>
          <w:bCs/>
          <w:kern w:val="2"/>
          <w:sz w:val="24"/>
          <w:szCs w:val="24"/>
          <w:lang w:val="en-US" w:eastAsia="zh-CN" w:bidi="ar-SA"/>
        </w:rPr>
        <w:t>2.21 履约保证金</w:t>
      </w:r>
      <w:bookmarkEnd w:id="557"/>
      <w:bookmarkEnd w:id="558"/>
      <w:bookmarkEnd w:id="559"/>
      <w:bookmarkEnd w:id="560"/>
      <w:bookmarkEnd w:id="561"/>
      <w:bookmarkEnd w:id="562"/>
      <w:bookmarkEnd w:id="563"/>
      <w:bookmarkEnd w:id="564"/>
      <w:bookmarkEnd w:id="565"/>
      <w:bookmarkEnd w:id="566"/>
      <w:bookmarkEnd w:id="567"/>
      <w:bookmarkEnd w:id="568"/>
    </w:p>
    <w:p w14:paraId="07ED0B9E">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2.21.1 采购文件要求乙方提交履约保证金的，乙方应按合同专用条款约定的方式，以支票、汇票、本票或者金融机构、担保机构出具的保函等非现金形式，提交不超过合同价10%的履约保证金；</w:t>
      </w:r>
    </w:p>
    <w:p w14:paraId="1840CD5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2.21.2  履约保证金在合同专用条款约定期间内或者货物质量保证期内不予退还或者应完全有效，前述约定期间届满或者货物质量保证期届满之日起  个工作日内，甲方应将履约保证金退还乙方；</w:t>
      </w:r>
    </w:p>
    <w:p w14:paraId="20F98890">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9"/>
    <w:p w14:paraId="48438176">
      <w:pPr>
        <w:spacing w:line="560" w:lineRule="exact"/>
        <w:ind w:firstLine="482" w:firstLineChars="200"/>
        <w:outlineLvl w:val="0"/>
        <w:rPr>
          <w:rFonts w:hint="eastAsia" w:ascii="宋体" w:hAnsi="宋体" w:eastAsia="宋体" w:cs="宋体"/>
          <w:b/>
          <w:bCs/>
          <w:kern w:val="2"/>
          <w:sz w:val="24"/>
          <w:szCs w:val="24"/>
          <w:lang w:val="en-US" w:eastAsia="zh-CN" w:bidi="ar-SA"/>
        </w:rPr>
      </w:pPr>
      <w:bookmarkStart w:id="570" w:name="_Toc14041"/>
      <w:bookmarkStart w:id="571" w:name="_Toc27063"/>
      <w:bookmarkStart w:id="572" w:name="_Toc24488"/>
      <w:bookmarkStart w:id="573" w:name="_Toc19890"/>
      <w:bookmarkStart w:id="574" w:name="_Toc14001"/>
      <w:bookmarkStart w:id="575" w:name="_Toc26837"/>
      <w:bookmarkStart w:id="576" w:name="_Toc6885"/>
      <w:bookmarkStart w:id="577" w:name="_Toc30308"/>
      <w:bookmarkStart w:id="578" w:name="_Toc17442"/>
      <w:bookmarkStart w:id="579" w:name="_Toc14044"/>
      <w:r>
        <w:rPr>
          <w:rFonts w:hint="eastAsia" w:ascii="宋体" w:hAnsi="宋体" w:eastAsia="宋体" w:cs="宋体"/>
          <w:b/>
          <w:bCs/>
          <w:kern w:val="2"/>
          <w:sz w:val="24"/>
          <w:szCs w:val="24"/>
          <w:lang w:val="en-US" w:eastAsia="zh-CN" w:bidi="ar-SA"/>
        </w:rPr>
        <w:t>2.22 合同份数</w:t>
      </w:r>
      <w:bookmarkEnd w:id="570"/>
      <w:bookmarkEnd w:id="571"/>
      <w:bookmarkEnd w:id="572"/>
      <w:bookmarkEnd w:id="573"/>
      <w:bookmarkEnd w:id="574"/>
      <w:bookmarkEnd w:id="575"/>
      <w:bookmarkEnd w:id="576"/>
      <w:bookmarkEnd w:id="577"/>
      <w:bookmarkEnd w:id="578"/>
      <w:bookmarkEnd w:id="579"/>
    </w:p>
    <w:p w14:paraId="7584E75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合同份数按合同专用条款规定，每份均具有同等法律效力。</w:t>
      </w:r>
    </w:p>
    <w:p w14:paraId="2E4CA178">
      <w:pPr>
        <w:pStyle w:val="59"/>
        <w:spacing w:line="560" w:lineRule="exact"/>
        <w:ind w:left="0" w:leftChars="0" w:firstLine="0" w:firstLineChars="0"/>
        <w:jc w:val="both"/>
        <w:rPr>
          <w:rFonts w:hint="eastAsia" w:ascii="宋体" w:hAnsi="宋体" w:eastAsia="宋体" w:cs="宋体"/>
          <w:b/>
          <w:color w:val="000000"/>
          <w:kern w:val="2"/>
          <w:sz w:val="24"/>
          <w:szCs w:val="24"/>
          <w:highlight w:val="none"/>
          <w:lang w:val="en-US" w:eastAsia="zh-CN" w:bidi="ar-SA"/>
        </w:rPr>
      </w:pPr>
    </w:p>
    <w:p w14:paraId="22C9C009">
      <w:pPr>
        <w:pStyle w:val="59"/>
        <w:spacing w:line="560" w:lineRule="exact"/>
        <w:ind w:firstLine="0"/>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第三部分  合同专用条款</w:t>
      </w:r>
    </w:p>
    <w:p w14:paraId="222B2F07">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18"/>
        <w:gridCol w:w="7416"/>
      </w:tblGrid>
      <w:tr w14:paraId="42A67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018" w:type="dxa"/>
            <w:tcBorders>
              <w:left w:val="single" w:color="auto" w:sz="4" w:space="0"/>
            </w:tcBorders>
            <w:noWrap w:val="0"/>
            <w:vAlign w:val="center"/>
          </w:tcPr>
          <w:p w14:paraId="0E4A5D46">
            <w:pPr>
              <w:keepNext w:val="0"/>
              <w:keepLines w:val="0"/>
              <w:suppressLineNumbers w:val="0"/>
              <w:spacing w:before="0" w:beforeAutospacing="0" w:after="0" w:afterAutospacing="0" w:line="560" w:lineRule="exact"/>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条款号</w:t>
            </w:r>
          </w:p>
        </w:tc>
        <w:tc>
          <w:tcPr>
            <w:tcW w:w="7416" w:type="dxa"/>
            <w:noWrap w:val="0"/>
            <w:vAlign w:val="center"/>
          </w:tcPr>
          <w:p w14:paraId="2AAB6209">
            <w:pPr>
              <w:keepNext w:val="0"/>
              <w:keepLines w:val="0"/>
              <w:suppressLineNumbers w:val="0"/>
              <w:spacing w:before="0" w:beforeAutospacing="0" w:after="0" w:afterAutospacing="0" w:line="560" w:lineRule="exact"/>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约定内容</w:t>
            </w:r>
          </w:p>
        </w:tc>
      </w:tr>
      <w:tr w14:paraId="3C8DC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18" w:type="dxa"/>
            <w:tcBorders>
              <w:left w:val="single" w:color="auto" w:sz="4" w:space="0"/>
            </w:tcBorders>
            <w:noWrap w:val="0"/>
            <w:vAlign w:val="center"/>
          </w:tcPr>
          <w:p w14:paraId="3438B949">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c>
          <w:tcPr>
            <w:tcW w:w="7416" w:type="dxa"/>
            <w:noWrap w:val="0"/>
            <w:vAlign w:val="center"/>
          </w:tcPr>
          <w:p w14:paraId="3D303BE7">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r>
      <w:tr w14:paraId="3A94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18" w:type="dxa"/>
            <w:tcBorders>
              <w:left w:val="single" w:color="auto" w:sz="4" w:space="0"/>
            </w:tcBorders>
            <w:noWrap w:val="0"/>
            <w:vAlign w:val="center"/>
          </w:tcPr>
          <w:p w14:paraId="66ADA1D2">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c>
          <w:tcPr>
            <w:tcW w:w="7416" w:type="dxa"/>
            <w:noWrap w:val="0"/>
            <w:vAlign w:val="center"/>
          </w:tcPr>
          <w:p w14:paraId="7108ED96">
            <w:pPr>
              <w:keepNext w:val="0"/>
              <w:keepLines w:val="0"/>
              <w:suppressLineNumbers w:val="0"/>
              <w:spacing w:before="0" w:beforeAutospacing="0" w:after="0" w:afterAutospacing="0" w:line="560" w:lineRule="exact"/>
              <w:ind w:left="0" w:right="0"/>
              <w:rPr>
                <w:rFonts w:hint="eastAsia" w:ascii="宋体" w:hAnsi="宋体" w:eastAsia="宋体" w:cs="宋体"/>
                <w:kern w:val="2"/>
                <w:sz w:val="24"/>
                <w:szCs w:val="24"/>
                <w:lang w:val="en-US" w:eastAsia="zh-CN" w:bidi="ar-SA"/>
              </w:rPr>
            </w:pPr>
          </w:p>
        </w:tc>
      </w:tr>
    </w:tbl>
    <w:p w14:paraId="258B3B8A">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bookmarkStart w:id="580" w:name="_Toc9510643"/>
      <w:bookmarkStart w:id="581" w:name="_Toc25342"/>
      <w:bookmarkStart w:id="582" w:name="_Toc6125"/>
      <w:bookmarkStart w:id="583" w:name="_Toc19415"/>
      <w:bookmarkStart w:id="584" w:name="_Toc11035"/>
    </w:p>
    <w:p w14:paraId="38E10D1C">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379E14BB">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1A0380F4">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15C4E78A">
      <w:pPr>
        <w:spacing w:line="360" w:lineRule="auto"/>
        <w:ind w:firstLine="562" w:firstLineChars="200"/>
        <w:jc w:val="center"/>
        <w:outlineLvl w:val="0"/>
        <w:rPr>
          <w:rFonts w:hint="eastAsia" w:asciiTheme="minorEastAsia" w:hAnsiTheme="minorEastAsia" w:eastAsiaTheme="minorEastAsia" w:cstheme="minorEastAsia"/>
          <w:b/>
          <w:kern w:val="2"/>
          <w:sz w:val="28"/>
          <w:szCs w:val="28"/>
          <w:lang w:val="en-US" w:eastAsia="zh-CN" w:bidi="ar-SA"/>
        </w:rPr>
      </w:pPr>
    </w:p>
    <w:p w14:paraId="1A6FB06F">
      <w:pPr>
        <w:spacing w:line="360" w:lineRule="auto"/>
        <w:ind w:firstLine="562" w:firstLineChars="200"/>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kern w:val="2"/>
          <w:sz w:val="28"/>
          <w:szCs w:val="28"/>
          <w:lang w:val="en-US" w:eastAsia="zh-CN" w:bidi="ar-SA"/>
        </w:rPr>
        <w:t>第七章　投标文件格式</w:t>
      </w:r>
      <w:bookmarkEnd w:id="580"/>
      <w:bookmarkEnd w:id="581"/>
      <w:bookmarkEnd w:id="582"/>
      <w:bookmarkEnd w:id="583"/>
      <w:bookmarkEnd w:id="584"/>
    </w:p>
    <w:p w14:paraId="35CA32FA">
      <w:pPr>
        <w:adjustRightInd w:val="0"/>
        <w:spacing w:line="360" w:lineRule="auto"/>
        <w:rPr>
          <w:rFonts w:hint="eastAsia" w:asciiTheme="minorEastAsia" w:hAnsiTheme="minorEastAsia" w:eastAsiaTheme="minorEastAsia" w:cstheme="minorEastAsia"/>
          <w:szCs w:val="24"/>
        </w:rPr>
      </w:pPr>
    </w:p>
    <w:p w14:paraId="4255CB46">
      <w:pPr>
        <w:spacing w:line="560" w:lineRule="exact"/>
        <w:ind w:firstLine="480" w:firstLineChars="200"/>
        <w:outlineLvl w:val="1"/>
        <w:rPr>
          <w:rFonts w:hint="eastAsia" w:asciiTheme="minorEastAsia" w:hAnsiTheme="minorEastAsia" w:eastAsiaTheme="minorEastAsia" w:cstheme="minorEastAsia"/>
          <w:kern w:val="2"/>
          <w:sz w:val="24"/>
          <w:szCs w:val="24"/>
          <w:lang w:val="en-US" w:eastAsia="zh-CN" w:bidi="ar-SA"/>
        </w:rPr>
      </w:pPr>
      <w:bookmarkStart w:id="585" w:name="_Toc23594"/>
      <w:r>
        <w:rPr>
          <w:rFonts w:hint="eastAsia" w:asciiTheme="minorEastAsia" w:hAnsiTheme="minorEastAsia" w:eastAsiaTheme="minorEastAsia" w:cstheme="minorEastAsia"/>
          <w:kern w:val="2"/>
          <w:sz w:val="24"/>
          <w:szCs w:val="24"/>
          <w:lang w:val="en-US" w:eastAsia="zh-CN" w:bidi="ar-SA"/>
        </w:rPr>
        <w:t>一、投标人提交投标文件须知：</w:t>
      </w:r>
      <w:bookmarkEnd w:id="585"/>
    </w:p>
    <w:p w14:paraId="18F1D571">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1、投标人应严格按照以下顺序填写和提交下述规定的全部格式文件以及其他有关资料，混乱的编排导致投标文件被误读或评标小组查找不到有效文件是投标人的风险。</w:t>
      </w:r>
    </w:p>
    <w:p w14:paraId="57C3A2B6">
      <w:pPr>
        <w:spacing w:line="560" w:lineRule="exact"/>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586" w:name="_Toc23205"/>
      <w:r>
        <w:rPr>
          <w:rFonts w:hint="eastAsia" w:asciiTheme="minorEastAsia" w:hAnsiTheme="minorEastAsia" w:eastAsiaTheme="minorEastAsia" w:cstheme="minorEastAsia"/>
          <w:kern w:val="2"/>
          <w:sz w:val="24"/>
          <w:szCs w:val="24"/>
          <w:lang w:val="en-US" w:eastAsia="zh-CN" w:bidi="ar-SA"/>
        </w:rPr>
        <w:t>2、所附表格中要求回答的全部问题和/或信息都必须正面回答。</w:t>
      </w:r>
      <w:bookmarkEnd w:id="586"/>
    </w:p>
    <w:p w14:paraId="7B679774">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3、本声明书的签字人应保证全部声明和问题的回答是真实的和准确的。</w:t>
      </w:r>
    </w:p>
    <w:p w14:paraId="3858C004">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4、评标委员会将应用投标人提交的资料根据自己的判断和考虑决定投标人履行合同的合格性及能力。</w:t>
      </w:r>
    </w:p>
    <w:p w14:paraId="3069BDA9">
      <w:pPr>
        <w:spacing w:line="560" w:lineRule="exact"/>
        <w:ind w:firstLine="480" w:firstLineChars="200"/>
        <w:outlineLvl w:val="2"/>
        <w:rPr>
          <w:rFonts w:hint="eastAsia" w:asciiTheme="minorEastAsia" w:hAnsiTheme="minorEastAsia" w:eastAsiaTheme="minorEastAsia" w:cstheme="minorEastAsia"/>
          <w:kern w:val="2"/>
          <w:sz w:val="24"/>
          <w:szCs w:val="24"/>
          <w:lang w:val="en-US" w:eastAsia="zh-CN" w:bidi="ar-SA"/>
        </w:rPr>
      </w:pPr>
      <w:bookmarkStart w:id="587" w:name="_Toc8067"/>
      <w:r>
        <w:rPr>
          <w:rFonts w:hint="eastAsia" w:asciiTheme="minorEastAsia" w:hAnsiTheme="minorEastAsia" w:eastAsiaTheme="minorEastAsia" w:cstheme="minorEastAsia"/>
          <w:kern w:val="2"/>
          <w:sz w:val="24"/>
          <w:szCs w:val="24"/>
          <w:lang w:val="en-US" w:eastAsia="zh-CN" w:bidi="ar-SA"/>
        </w:rPr>
        <w:t>5、投标人提交的材料将在一定期限内被保密保存，但不退还。</w:t>
      </w:r>
      <w:bookmarkEnd w:id="587"/>
    </w:p>
    <w:p w14:paraId="0D50DBAF">
      <w:pPr>
        <w:spacing w:line="560" w:lineRule="exact"/>
        <w:ind w:firstLine="480" w:firstLineChars="2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4"/>
          <w:szCs w:val="24"/>
          <w:lang w:val="en-US" w:eastAsia="zh-CN" w:bidi="ar-SA"/>
        </w:rPr>
        <w:t>6、全部文件应按投标人须知中规定的语言和份数提交。投标文件组成漏项或未按规定的格式编制，内容不全或内容字迹模糊辨认不清的情况，将有可能被评标小组认定为投标无效。</w:t>
      </w:r>
    </w:p>
    <w:p w14:paraId="435EF769">
      <w:pPr>
        <w:spacing w:line="360" w:lineRule="auto"/>
        <w:jc w:val="center"/>
        <w:outlineLvl w:val="1"/>
        <w:rPr>
          <w:rFonts w:hint="eastAsia" w:asciiTheme="minorEastAsia" w:hAnsiTheme="minorEastAsia" w:eastAsiaTheme="minorEastAsia" w:cstheme="minorEastAsia"/>
          <w:sz w:val="48"/>
          <w:szCs w:val="48"/>
        </w:rPr>
      </w:pPr>
      <w:bookmarkStart w:id="588" w:name="_Toc17130"/>
      <w:bookmarkStart w:id="589" w:name="_Toc23960"/>
    </w:p>
    <w:p w14:paraId="27876CED">
      <w:pPr>
        <w:spacing w:line="360" w:lineRule="auto"/>
        <w:jc w:val="center"/>
        <w:outlineLvl w:val="1"/>
        <w:rPr>
          <w:rFonts w:hint="eastAsia" w:asciiTheme="minorEastAsia" w:hAnsiTheme="minorEastAsia" w:eastAsiaTheme="minorEastAsia" w:cstheme="minorEastAsia"/>
          <w:sz w:val="48"/>
          <w:szCs w:val="48"/>
        </w:rPr>
      </w:pPr>
    </w:p>
    <w:p w14:paraId="250B886F">
      <w:pPr>
        <w:spacing w:line="360" w:lineRule="auto"/>
        <w:jc w:val="center"/>
        <w:outlineLvl w:val="1"/>
        <w:rPr>
          <w:rFonts w:hint="eastAsia" w:asciiTheme="minorEastAsia" w:hAnsiTheme="minorEastAsia" w:eastAsiaTheme="minorEastAsia" w:cstheme="minorEastAsia"/>
          <w:sz w:val="48"/>
          <w:szCs w:val="48"/>
        </w:rPr>
      </w:pPr>
    </w:p>
    <w:p w14:paraId="11509B69">
      <w:pPr>
        <w:spacing w:line="360" w:lineRule="auto"/>
        <w:jc w:val="center"/>
        <w:outlineLvl w:val="1"/>
        <w:rPr>
          <w:rFonts w:hint="eastAsia" w:asciiTheme="minorEastAsia" w:hAnsiTheme="minorEastAsia" w:eastAsiaTheme="minorEastAsia" w:cstheme="minorEastAsia"/>
          <w:sz w:val="48"/>
          <w:szCs w:val="48"/>
        </w:rPr>
      </w:pPr>
    </w:p>
    <w:p w14:paraId="55D945EB">
      <w:pPr>
        <w:spacing w:line="360" w:lineRule="auto"/>
        <w:jc w:val="center"/>
        <w:outlineLvl w:val="1"/>
        <w:rPr>
          <w:rFonts w:hint="eastAsia" w:asciiTheme="minorEastAsia" w:hAnsiTheme="minorEastAsia" w:eastAsiaTheme="minorEastAsia" w:cstheme="minorEastAsia"/>
          <w:sz w:val="48"/>
          <w:szCs w:val="48"/>
        </w:rPr>
      </w:pPr>
    </w:p>
    <w:p w14:paraId="7ABCB6BA">
      <w:pPr>
        <w:spacing w:line="360" w:lineRule="auto"/>
        <w:jc w:val="center"/>
        <w:outlineLvl w:val="1"/>
        <w:rPr>
          <w:rFonts w:hint="eastAsia" w:asciiTheme="minorEastAsia" w:hAnsiTheme="minorEastAsia" w:eastAsiaTheme="minorEastAsia" w:cstheme="minorEastAsia"/>
          <w:sz w:val="48"/>
          <w:szCs w:val="48"/>
        </w:rPr>
      </w:pPr>
    </w:p>
    <w:p w14:paraId="5472B34C">
      <w:pPr>
        <w:spacing w:line="360" w:lineRule="auto"/>
        <w:jc w:val="center"/>
        <w:outlineLvl w:val="1"/>
        <w:rPr>
          <w:rFonts w:hint="eastAsia" w:asciiTheme="minorEastAsia" w:hAnsiTheme="minorEastAsia" w:eastAsiaTheme="minorEastAsia" w:cstheme="minorEastAsia"/>
          <w:sz w:val="48"/>
          <w:szCs w:val="48"/>
        </w:rPr>
      </w:pPr>
    </w:p>
    <w:p w14:paraId="488FB18D">
      <w:pPr>
        <w:spacing w:line="360" w:lineRule="auto"/>
        <w:jc w:val="center"/>
        <w:outlineLvl w:val="1"/>
        <w:rPr>
          <w:rFonts w:hint="eastAsia" w:asciiTheme="minorEastAsia" w:hAnsiTheme="minorEastAsia" w:eastAsiaTheme="minorEastAsia" w:cstheme="minorEastAsia"/>
          <w:sz w:val="48"/>
          <w:szCs w:val="48"/>
        </w:rPr>
      </w:pPr>
    </w:p>
    <w:p w14:paraId="709C49A7">
      <w:pPr>
        <w:spacing w:line="360" w:lineRule="auto"/>
        <w:jc w:val="center"/>
        <w:outlineLvl w:val="1"/>
        <w:rPr>
          <w:rFonts w:hint="eastAsia" w:asciiTheme="minorEastAsia" w:hAnsiTheme="minorEastAsia" w:eastAsiaTheme="minorEastAsia" w:cstheme="minorEastAsia"/>
          <w:sz w:val="48"/>
          <w:szCs w:val="48"/>
        </w:rPr>
      </w:pPr>
    </w:p>
    <w:p w14:paraId="0077548C">
      <w:pPr>
        <w:spacing w:line="360" w:lineRule="auto"/>
        <w:jc w:val="center"/>
        <w:outlineLvl w:val="1"/>
        <w:rPr>
          <w:rFonts w:hint="eastAsia" w:asciiTheme="minorEastAsia" w:hAnsiTheme="minorEastAsia" w:eastAsiaTheme="minorEastAsia" w:cstheme="minorEastAsia"/>
          <w:sz w:val="48"/>
          <w:szCs w:val="48"/>
        </w:rPr>
      </w:pPr>
    </w:p>
    <w:p w14:paraId="0B0C4BCE">
      <w:pPr>
        <w:spacing w:line="360" w:lineRule="auto"/>
        <w:jc w:val="center"/>
        <w:outlineLvl w:val="1"/>
        <w:rPr>
          <w:rFonts w:hint="eastAsia" w:asciiTheme="minorEastAsia" w:hAnsiTheme="minorEastAsia" w:eastAsiaTheme="minorEastAsia" w:cstheme="minorEastAsia"/>
          <w:sz w:val="48"/>
          <w:szCs w:val="48"/>
        </w:rPr>
      </w:pPr>
    </w:p>
    <w:p w14:paraId="28149E51">
      <w:pPr>
        <w:spacing w:line="360" w:lineRule="auto"/>
        <w:jc w:val="center"/>
        <w:outlineLvl w:val="1"/>
        <w:rPr>
          <w:rFonts w:hint="eastAsia" w:asciiTheme="minorEastAsia" w:hAnsiTheme="minorEastAsia" w:eastAsiaTheme="minorEastAsia" w:cstheme="minorEastAsia"/>
          <w:sz w:val="48"/>
          <w:szCs w:val="48"/>
        </w:rPr>
      </w:pPr>
    </w:p>
    <w:p w14:paraId="5AE685B5">
      <w:pPr>
        <w:spacing w:line="360" w:lineRule="auto"/>
        <w:jc w:val="center"/>
        <w:outlineLvl w:val="1"/>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(项目</w:t>
      </w:r>
      <w:r>
        <w:rPr>
          <w:rFonts w:hint="eastAsia" w:asciiTheme="minorEastAsia" w:hAnsiTheme="minorEastAsia" w:eastAsiaTheme="minorEastAsia" w:cstheme="minorEastAsia"/>
          <w:sz w:val="48"/>
          <w:szCs w:val="48"/>
          <w:lang w:eastAsia="zh-CN"/>
        </w:rPr>
        <w:t>、标段</w:t>
      </w:r>
      <w:r>
        <w:rPr>
          <w:rFonts w:hint="eastAsia" w:asciiTheme="minorEastAsia" w:hAnsiTheme="minorEastAsia" w:eastAsiaTheme="minorEastAsia" w:cstheme="minorEastAsia"/>
          <w:sz w:val="48"/>
          <w:szCs w:val="48"/>
        </w:rPr>
        <w:t>名称)项目</w:t>
      </w:r>
      <w:bookmarkEnd w:id="588"/>
      <w:bookmarkEnd w:id="589"/>
    </w:p>
    <w:p w14:paraId="20F5135A">
      <w:pPr>
        <w:spacing w:line="360" w:lineRule="auto"/>
        <w:jc w:val="center"/>
        <w:outlineLvl w:val="9"/>
        <w:rPr>
          <w:rFonts w:hint="eastAsia" w:asciiTheme="minorEastAsia" w:hAnsiTheme="minorEastAsia" w:eastAsiaTheme="minorEastAsia" w:cstheme="minorEastAsia"/>
          <w:sz w:val="32"/>
        </w:rPr>
      </w:pPr>
    </w:p>
    <w:p w14:paraId="58D7674E">
      <w:pPr>
        <w:spacing w:line="360" w:lineRule="auto"/>
        <w:jc w:val="center"/>
        <w:outlineLvl w:val="9"/>
        <w:rPr>
          <w:rFonts w:hint="eastAsia" w:asciiTheme="minorEastAsia" w:hAnsiTheme="minorEastAsia" w:eastAsiaTheme="minorEastAsia" w:cstheme="minorEastAsia"/>
          <w:sz w:val="32"/>
        </w:rPr>
      </w:pPr>
      <w:bookmarkStart w:id="590" w:name="_Toc24951"/>
      <w:r>
        <w:rPr>
          <w:rFonts w:hint="eastAsia" w:asciiTheme="minorEastAsia" w:hAnsiTheme="minorEastAsia" w:eastAsiaTheme="minorEastAsia" w:cstheme="minorEastAsia"/>
          <w:sz w:val="32"/>
        </w:rPr>
        <w:t>项目编号：</w:t>
      </w:r>
      <w:bookmarkEnd w:id="590"/>
    </w:p>
    <w:p w14:paraId="49AD6F62">
      <w:pPr>
        <w:spacing w:line="560" w:lineRule="exact"/>
        <w:ind w:firstLine="883" w:firstLineChars="200"/>
        <w:jc w:val="center"/>
        <w:rPr>
          <w:rFonts w:hint="eastAsia" w:asciiTheme="minorEastAsia" w:hAnsiTheme="minorEastAsia" w:eastAsiaTheme="minorEastAsia" w:cstheme="minorEastAsia"/>
          <w:b/>
          <w:bCs/>
          <w:kern w:val="2"/>
          <w:sz w:val="44"/>
          <w:szCs w:val="52"/>
          <w:lang w:val="en-US" w:eastAsia="zh-CN" w:bidi="ar-SA"/>
        </w:rPr>
      </w:pPr>
    </w:p>
    <w:p w14:paraId="69B30E16">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投</w:t>
      </w:r>
    </w:p>
    <w:p w14:paraId="0B62346F">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标</w:t>
      </w:r>
    </w:p>
    <w:p w14:paraId="65A8BDC6">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文</w:t>
      </w:r>
    </w:p>
    <w:p w14:paraId="6308463D">
      <w:pPr>
        <w:spacing w:line="360" w:lineRule="auto"/>
        <w:jc w:val="center"/>
        <w:outlineLvl w:val="9"/>
        <w:rPr>
          <w:rFonts w:hint="eastAsia" w:asciiTheme="minorEastAsia" w:hAnsiTheme="minorEastAsia" w:eastAsiaTheme="minorEastAsia" w:cstheme="minorEastAsia"/>
          <w:sz w:val="96"/>
          <w:szCs w:val="96"/>
          <w:lang w:val="en-US" w:eastAsia="zh-CN"/>
        </w:rPr>
      </w:pPr>
      <w:r>
        <w:rPr>
          <w:rFonts w:hint="eastAsia" w:asciiTheme="minorEastAsia" w:hAnsiTheme="minorEastAsia" w:eastAsiaTheme="minorEastAsia" w:cstheme="minorEastAsia"/>
          <w:sz w:val="96"/>
          <w:szCs w:val="96"/>
          <w:lang w:val="en-US" w:eastAsia="zh-CN"/>
        </w:rPr>
        <w:t>件</w:t>
      </w:r>
    </w:p>
    <w:p w14:paraId="598842C5">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p>
    <w:p w14:paraId="2ED84682">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p>
    <w:p w14:paraId="2F5F798E">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投标单位名称：</w:t>
      </w: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（加盖单位公章）</w:t>
      </w:r>
    </w:p>
    <w:p w14:paraId="7A83DA6E">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投标单位地址：</w:t>
      </w:r>
      <w:r>
        <w:rPr>
          <w:rFonts w:hint="eastAsia" w:asciiTheme="minorEastAsia" w:hAnsiTheme="minorEastAsia" w:eastAsiaTheme="minorEastAsia" w:cstheme="minorEastAsia"/>
          <w:kern w:val="2"/>
          <w:sz w:val="28"/>
          <w:szCs w:val="36"/>
          <w:u w:val="single"/>
          <w:lang w:val="en-US" w:eastAsia="zh-CN" w:bidi="ar-SA"/>
        </w:rPr>
        <w:t xml:space="preserve">                                  </w:t>
      </w:r>
    </w:p>
    <w:p w14:paraId="451A4BF3">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法人或法人授权代表（签字或盖章）：</w:t>
      </w:r>
      <w:r>
        <w:rPr>
          <w:rFonts w:hint="eastAsia" w:asciiTheme="minorEastAsia" w:hAnsiTheme="minorEastAsia" w:eastAsiaTheme="minorEastAsia" w:cstheme="minorEastAsia"/>
          <w:kern w:val="2"/>
          <w:sz w:val="28"/>
          <w:szCs w:val="36"/>
          <w:u w:val="single"/>
          <w:lang w:val="en-US" w:eastAsia="zh-CN" w:bidi="ar-SA"/>
        </w:rPr>
        <w:t xml:space="preserve">                        </w:t>
      </w:r>
    </w:p>
    <w:p w14:paraId="185491A3">
      <w:pPr>
        <w:spacing w:line="560" w:lineRule="exact"/>
        <w:ind w:firstLine="560" w:firstLineChars="200"/>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投标单位联系电话：</w:t>
      </w:r>
      <w:r>
        <w:rPr>
          <w:rFonts w:hint="eastAsia" w:asciiTheme="minorEastAsia" w:hAnsiTheme="minorEastAsia" w:eastAsiaTheme="minorEastAsia" w:cstheme="minorEastAsia"/>
          <w:kern w:val="2"/>
          <w:sz w:val="28"/>
          <w:szCs w:val="36"/>
          <w:u w:val="single"/>
          <w:lang w:val="en-US" w:eastAsia="zh-CN" w:bidi="ar-SA"/>
        </w:rPr>
        <w:t xml:space="preserve">                              </w:t>
      </w:r>
    </w:p>
    <w:p w14:paraId="440EFD04">
      <w:pPr>
        <w:spacing w:line="560" w:lineRule="exact"/>
        <w:ind w:firstLine="420" w:firstLineChars="200"/>
        <w:rPr>
          <w:rFonts w:hint="eastAsia" w:asciiTheme="minorEastAsia" w:hAnsiTheme="minorEastAsia" w:eastAsiaTheme="minorEastAsia" w:cstheme="minorEastAsia"/>
          <w:kern w:val="2"/>
          <w:sz w:val="21"/>
          <w:szCs w:val="24"/>
          <w:lang w:val="en-US" w:eastAsia="zh-CN" w:bidi="ar-SA"/>
        </w:rPr>
      </w:pPr>
    </w:p>
    <w:p w14:paraId="5BB9C29C">
      <w:pPr>
        <w:spacing w:line="560" w:lineRule="exact"/>
        <w:ind w:firstLine="560" w:firstLineChars="200"/>
        <w:jc w:val="center"/>
        <w:rPr>
          <w:rFonts w:hint="eastAsia" w:asciiTheme="minorEastAsia" w:hAnsiTheme="minorEastAsia" w:eastAsiaTheme="minorEastAsia" w:cstheme="minorEastAsia"/>
          <w:kern w:val="2"/>
          <w:sz w:val="28"/>
          <w:szCs w:val="36"/>
          <w:lang w:val="en-US" w:eastAsia="zh-CN" w:bidi="ar-SA"/>
        </w:rPr>
      </w:pPr>
      <w:bookmarkStart w:id="591" w:name="_Toc1683"/>
    </w:p>
    <w:p w14:paraId="48DBD0E0">
      <w:pPr>
        <w:spacing w:line="560" w:lineRule="exact"/>
        <w:ind w:firstLine="560" w:firstLineChars="200"/>
        <w:jc w:val="center"/>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年</w:t>
      </w: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月</w:t>
      </w:r>
      <w:r>
        <w:rPr>
          <w:rFonts w:hint="eastAsia" w:asciiTheme="minorEastAsia" w:hAnsiTheme="minorEastAsia" w:eastAsiaTheme="minorEastAsia" w:cstheme="minorEastAsia"/>
          <w:kern w:val="2"/>
          <w:sz w:val="28"/>
          <w:szCs w:val="36"/>
          <w:u w:val="single"/>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t>日</w:t>
      </w:r>
      <w:bookmarkEnd w:id="591"/>
    </w:p>
    <w:p w14:paraId="3075B56B">
      <w:pPr>
        <w:jc w:val="center"/>
        <w:rPr>
          <w:rFonts w:hint="eastAsia" w:asciiTheme="minorEastAsia" w:hAnsiTheme="minorEastAsia" w:eastAsiaTheme="minorEastAsia" w:cstheme="minorEastAsia"/>
          <w:b/>
          <w:bCs/>
          <w:color w:val="000000"/>
          <w:sz w:val="32"/>
          <w:szCs w:val="44"/>
          <w:lang w:val="en-US" w:eastAsia="zh-CN"/>
        </w:rPr>
      </w:pPr>
    </w:p>
    <w:p w14:paraId="7FBBB50E">
      <w:pPr>
        <w:jc w:val="center"/>
        <w:rPr>
          <w:rFonts w:hint="eastAsia" w:asciiTheme="minorEastAsia" w:hAnsiTheme="minorEastAsia" w:eastAsiaTheme="minorEastAsia" w:cstheme="minorEastAsia"/>
          <w:b/>
          <w:bCs/>
          <w:color w:val="000000"/>
          <w:sz w:val="32"/>
          <w:szCs w:val="44"/>
          <w:lang w:val="en-US" w:eastAsia="zh-CN"/>
        </w:rPr>
      </w:pPr>
    </w:p>
    <w:p w14:paraId="3CCC7536">
      <w:pPr>
        <w:jc w:val="center"/>
        <w:rPr>
          <w:rFonts w:hint="eastAsia" w:asciiTheme="minorEastAsia" w:hAnsiTheme="minorEastAsia" w:eastAsiaTheme="minorEastAsia" w:cstheme="minorEastAsia"/>
          <w:b/>
          <w:bCs/>
          <w:color w:val="000000"/>
          <w:sz w:val="32"/>
          <w:szCs w:val="44"/>
          <w:lang w:val="en-US" w:eastAsia="zh-CN"/>
        </w:rPr>
      </w:pPr>
    </w:p>
    <w:p w14:paraId="21D38C69">
      <w:pPr>
        <w:jc w:val="center"/>
        <w:rPr>
          <w:rFonts w:hint="eastAsia" w:asciiTheme="minorEastAsia" w:hAnsiTheme="minorEastAsia" w:eastAsiaTheme="minorEastAsia" w:cstheme="minorEastAsia"/>
          <w:b/>
          <w:bCs/>
          <w:color w:val="000000"/>
          <w:sz w:val="32"/>
          <w:szCs w:val="44"/>
          <w:lang w:val="en-US" w:eastAsia="zh-CN"/>
        </w:rPr>
      </w:pPr>
      <w:r>
        <w:rPr>
          <w:rFonts w:hint="eastAsia" w:asciiTheme="minorEastAsia" w:hAnsiTheme="minorEastAsia" w:eastAsiaTheme="minorEastAsia" w:cstheme="minorEastAsia"/>
          <w:b/>
          <w:bCs/>
          <w:color w:val="000000"/>
          <w:sz w:val="32"/>
          <w:szCs w:val="44"/>
          <w:lang w:val="en-US" w:eastAsia="zh-CN"/>
        </w:rPr>
        <w:t>目录</w:t>
      </w:r>
    </w:p>
    <w:p w14:paraId="125B9260">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报价部分：</w:t>
      </w:r>
    </w:p>
    <w:p w14:paraId="63C0CD9F">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1、投标函；</w:t>
      </w:r>
    </w:p>
    <w:p w14:paraId="1BFA6C0C">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2、开标一览表；</w:t>
      </w:r>
    </w:p>
    <w:p w14:paraId="3B547506">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3、投标报价明细表</w:t>
      </w:r>
    </w:p>
    <w:p w14:paraId="164DEE12">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商务部分：</w:t>
      </w:r>
    </w:p>
    <w:p w14:paraId="73C98B93">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投标单位简介，并附投标人资质证件等；</w:t>
      </w:r>
    </w:p>
    <w:p w14:paraId="524C8DE8">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出具法人营业执照函（格式见附件）；</w:t>
      </w:r>
    </w:p>
    <w:p w14:paraId="57A7C5E1">
      <w:pPr>
        <w:spacing w:line="300" w:lineRule="auto"/>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6、联合体协议书（如是）</w:t>
      </w:r>
    </w:p>
    <w:p w14:paraId="2CC8EF81">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法定代表人证明书及身份证</w:t>
      </w:r>
      <w:r>
        <w:rPr>
          <w:rFonts w:hint="eastAsia" w:asciiTheme="minorEastAsia" w:hAnsiTheme="minorEastAsia" w:eastAsiaTheme="minorEastAsia" w:cstheme="minorEastAsia"/>
          <w:sz w:val="24"/>
          <w:szCs w:val="24"/>
          <w:lang w:val="en-US" w:eastAsia="zh-CN"/>
        </w:rPr>
        <w:t>复印</w:t>
      </w:r>
      <w:r>
        <w:rPr>
          <w:rFonts w:hint="eastAsia" w:asciiTheme="minorEastAsia" w:hAnsiTheme="minorEastAsia" w:eastAsiaTheme="minorEastAsia" w:cstheme="minorEastAsia"/>
          <w:sz w:val="24"/>
          <w:szCs w:val="24"/>
        </w:rPr>
        <w:t>件；</w:t>
      </w:r>
    </w:p>
    <w:p w14:paraId="3A07043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法人代表授权委托书及身份证</w:t>
      </w:r>
      <w:r>
        <w:rPr>
          <w:rFonts w:hint="eastAsia" w:asciiTheme="minorEastAsia" w:hAnsiTheme="minorEastAsia" w:eastAsiaTheme="minorEastAsia" w:cstheme="minorEastAsia"/>
          <w:sz w:val="24"/>
          <w:szCs w:val="24"/>
          <w:lang w:val="en-US" w:eastAsia="zh-CN"/>
        </w:rPr>
        <w:t>复印件</w:t>
      </w:r>
      <w:r>
        <w:rPr>
          <w:rFonts w:hint="eastAsia" w:asciiTheme="minorEastAsia" w:hAnsiTheme="minorEastAsia" w:eastAsiaTheme="minorEastAsia" w:cstheme="minorEastAsia"/>
          <w:sz w:val="24"/>
          <w:szCs w:val="24"/>
        </w:rPr>
        <w:t>；</w:t>
      </w:r>
    </w:p>
    <w:p w14:paraId="4C9F8EDE">
      <w:pPr>
        <w:spacing w:line="3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9、委托代理人身份证复印件； </w:t>
      </w:r>
    </w:p>
    <w:p w14:paraId="3EFC8045">
      <w:pPr>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10、凡拟参加本次招标项目的投标人在“信用中国（www.creditchina.gov.cn）”被列入失信被执行人、企业经营异常名录、重大税收违法案件当事人名单、政府采购严重违法失信名单（尚在处罚期内的）；在“中国政府采购网（www.ccgp.gov.cn）”被列入失信被执行人、重大税收违法案件当事人名单、政府采购严重违法失信行为记录名单的(尚在处罚期内的)、经营异</w:t>
      </w:r>
      <w:r>
        <w:rPr>
          <w:rFonts w:hint="eastAsia" w:asciiTheme="minorEastAsia" w:hAnsiTheme="minorEastAsia" w:eastAsiaTheme="minorEastAsia" w:cstheme="minorEastAsia"/>
          <w:sz w:val="24"/>
          <w:szCs w:val="24"/>
          <w:highlight w:val="none"/>
          <w:lang w:val="en-US" w:eastAsia="zh-CN"/>
        </w:rPr>
        <w:t>常名录的，将拒绝其参与本次政府釆购活动。</w:t>
      </w:r>
    </w:p>
    <w:p w14:paraId="49A86676">
      <w:pPr>
        <w:spacing w:line="30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11、具有良好的商业信誉和健全的财务会计制度：提供2023年由第三方审计机构出具及备案赋码的审计报告（2024年新成立的公司按实际发生的情况提供银行出具的资信证明）和健全的财务会计制度；</w:t>
      </w:r>
    </w:p>
    <w:p w14:paraId="4D9657E7">
      <w:pPr>
        <w:spacing w:line="300" w:lineRule="auto"/>
        <w:outlineLvl w:val="2"/>
        <w:rPr>
          <w:rFonts w:hint="eastAsia" w:asciiTheme="minorEastAsia" w:hAnsiTheme="minorEastAsia" w:eastAsiaTheme="minorEastAsia" w:cstheme="minorEastAsia"/>
          <w:sz w:val="24"/>
          <w:szCs w:val="24"/>
          <w:lang w:val="en-US" w:eastAsia="zh-CN"/>
        </w:rPr>
      </w:pPr>
      <w:bookmarkStart w:id="592" w:name="_Toc16907"/>
      <w:r>
        <w:rPr>
          <w:rFonts w:hint="eastAsia" w:asciiTheme="minorEastAsia" w:hAnsiTheme="minorEastAsia" w:eastAsiaTheme="minorEastAsia" w:cstheme="minorEastAsia"/>
          <w:sz w:val="24"/>
          <w:szCs w:val="24"/>
          <w:lang w:val="en-US" w:eastAsia="zh-CN"/>
        </w:rPr>
        <w:t>12、投标保证金打款凭证；</w:t>
      </w:r>
      <w:bookmarkEnd w:id="592"/>
    </w:p>
    <w:p w14:paraId="1F947164">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 xml:space="preserve">商务偏离表（格式见附件）；  </w:t>
      </w:r>
    </w:p>
    <w:p w14:paraId="41B32069">
      <w:pPr>
        <w:spacing w:line="3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反商业贿赂承诺书（格式见附件）；</w:t>
      </w:r>
    </w:p>
    <w:p w14:paraId="0B2EE39F">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15、无围标、串标等违法违规行为承诺书</w:t>
      </w:r>
      <w:r>
        <w:rPr>
          <w:rFonts w:hint="eastAsia" w:asciiTheme="minorEastAsia" w:hAnsiTheme="minorEastAsia" w:eastAsiaTheme="minorEastAsia" w:cstheme="minorEastAsia"/>
          <w:sz w:val="24"/>
          <w:szCs w:val="24"/>
        </w:rPr>
        <w:t>（格式见附件）；</w:t>
      </w:r>
    </w:p>
    <w:p w14:paraId="44CE7E1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16、中小企业声明函</w:t>
      </w:r>
      <w:r>
        <w:rPr>
          <w:rFonts w:hint="eastAsia" w:asciiTheme="minorEastAsia" w:hAnsiTheme="minorEastAsia" w:eastAsiaTheme="minorEastAsia" w:cstheme="minorEastAsia"/>
          <w:sz w:val="24"/>
          <w:szCs w:val="24"/>
        </w:rPr>
        <w:t>；</w:t>
      </w:r>
    </w:p>
    <w:p w14:paraId="19C3A05B">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投标人认为有必要提供的声明及文件资料。</w:t>
      </w:r>
    </w:p>
    <w:p w14:paraId="07C3A6E6">
      <w:pPr>
        <w:spacing w:line="30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技术部分：</w:t>
      </w:r>
    </w:p>
    <w:p w14:paraId="4FE32950">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18、对本次投标项目的技术方案(投标人视需要自行编写)；</w:t>
      </w:r>
    </w:p>
    <w:p w14:paraId="55864015">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19、技术偏离表（格式见附件）</w:t>
      </w:r>
    </w:p>
    <w:p w14:paraId="35F59D01">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20、服务承诺书</w:t>
      </w:r>
    </w:p>
    <w:p w14:paraId="64925A49">
      <w:pPr>
        <w:spacing w:line="300" w:lineRule="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21、分包协议书（本项目不适用）</w:t>
      </w:r>
    </w:p>
    <w:p w14:paraId="26FA9123">
      <w:pPr>
        <w:spacing w:line="30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22、其他有利于投标人的资料（如有）</w:t>
      </w:r>
    </w:p>
    <w:p w14:paraId="337F4EAA">
      <w:pPr>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注：1、投标文件必须制作有目录和页码</w:t>
      </w:r>
    </w:p>
    <w:p w14:paraId="746DC31D">
      <w:pPr>
        <w:spacing w:line="300" w:lineRule="auto"/>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bookmarkStart w:id="593" w:name="_Toc26933"/>
      <w:r>
        <w:rPr>
          <w:rFonts w:hint="eastAsia" w:asciiTheme="minorEastAsia" w:hAnsiTheme="minorEastAsia" w:eastAsiaTheme="minorEastAsia" w:cstheme="minorEastAsia"/>
          <w:sz w:val="24"/>
          <w:szCs w:val="24"/>
          <w:lang w:val="en-US" w:eastAsia="zh-CN"/>
        </w:rPr>
        <w:t>2、只接受A4纸张大小的投标文件</w:t>
      </w:r>
      <w:bookmarkEnd w:id="593"/>
    </w:p>
    <w:p w14:paraId="567BAEE1">
      <w:pPr>
        <w:spacing w:line="360" w:lineRule="auto"/>
        <w:jc w:val="center"/>
        <w:outlineLvl w:val="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投标文件严格按要求制作</w:t>
      </w:r>
    </w:p>
    <w:p w14:paraId="0DBD19B7">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F07EA1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附件一</w:t>
      </w:r>
    </w:p>
    <w:p w14:paraId="211C63A2">
      <w:pPr>
        <w:numPr>
          <w:ilvl w:val="0"/>
          <w:numId w:val="0"/>
        </w:numPr>
        <w:spacing w:line="440" w:lineRule="exact"/>
        <w:jc w:val="center"/>
        <w:rPr>
          <w:rFonts w:hint="eastAsia" w:asciiTheme="minorEastAsia" w:hAnsiTheme="minorEastAsia" w:eastAsiaTheme="minorEastAsia" w:cstheme="minorEastAsia"/>
          <w:b/>
          <w:color w:val="000000"/>
          <w:sz w:val="32"/>
          <w:szCs w:val="28"/>
          <w:lang w:eastAsia="zh-CN"/>
        </w:rPr>
      </w:pPr>
      <w:r>
        <w:rPr>
          <w:rFonts w:hint="eastAsia" w:asciiTheme="minorEastAsia" w:hAnsiTheme="minorEastAsia" w:eastAsiaTheme="minorEastAsia" w:cstheme="minorEastAsia"/>
          <w:b/>
          <w:color w:val="000000"/>
          <w:sz w:val="32"/>
          <w:szCs w:val="28"/>
        </w:rPr>
        <w:t>投标</w:t>
      </w:r>
      <w:r>
        <w:rPr>
          <w:rFonts w:hint="eastAsia" w:asciiTheme="minorEastAsia" w:hAnsiTheme="minorEastAsia" w:eastAsiaTheme="minorEastAsia" w:cstheme="minorEastAsia"/>
          <w:b/>
          <w:color w:val="000000"/>
          <w:sz w:val="32"/>
          <w:szCs w:val="28"/>
          <w:lang w:eastAsia="zh-CN"/>
        </w:rPr>
        <w:t>函</w:t>
      </w:r>
    </w:p>
    <w:p w14:paraId="13544125">
      <w:pPr>
        <w:pStyle w:val="50"/>
        <w:numPr>
          <w:ilvl w:val="0"/>
          <w:numId w:val="0"/>
        </w:numPr>
        <w:rPr>
          <w:rFonts w:hint="eastAsia" w:asciiTheme="minorEastAsia" w:hAnsiTheme="minorEastAsia" w:eastAsiaTheme="minorEastAsia" w:cstheme="minorEastAsia"/>
        </w:rPr>
      </w:pPr>
    </w:p>
    <w:p w14:paraId="5C4A1466">
      <w:pPr>
        <w:adjustRightInd w:val="0"/>
        <w:snapToGrid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E2554EC">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我们收到你们的</w:t>
      </w:r>
      <w:r>
        <w:rPr>
          <w:rFonts w:hint="eastAsia" w:asciiTheme="minorEastAsia" w:hAnsiTheme="minorEastAsia" w:eastAsiaTheme="minorEastAsia" w:cstheme="minorEastAsia"/>
          <w:color w:val="000000"/>
          <w:sz w:val="24"/>
          <w:szCs w:val="24"/>
          <w:u w:val="single"/>
        </w:rPr>
        <w:t xml:space="preserve">     （项目名称）     （项目编号：  号）</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文件，经认真研究，我们决定参加本次</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活动。</w:t>
      </w:r>
    </w:p>
    <w:p w14:paraId="2EB39622">
      <w:pPr>
        <w:numPr>
          <w:ilvl w:val="0"/>
          <w:numId w:val="10"/>
        </w:num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4" w:name="_Toc15514"/>
      <w:r>
        <w:rPr>
          <w:rFonts w:hint="eastAsia" w:asciiTheme="minorEastAsia" w:hAnsiTheme="minorEastAsia" w:eastAsiaTheme="minorEastAsia" w:cstheme="minorEastAsia"/>
          <w:color w:val="000000"/>
          <w:sz w:val="24"/>
          <w:szCs w:val="24"/>
        </w:rPr>
        <w:t>按照</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中的一切要求，提供招标的相关服务。</w:t>
      </w:r>
      <w:bookmarkEnd w:id="594"/>
    </w:p>
    <w:p w14:paraId="608544FB">
      <w:pPr>
        <w:numPr>
          <w:ilvl w:val="0"/>
          <w:numId w:val="0"/>
        </w:num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lang w:val="en-US" w:eastAsia="zh-CN"/>
        </w:rPr>
        <w:t>小写：</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rPr>
        <w:t>元</w:t>
      </w:r>
    </w:p>
    <w:p w14:paraId="0E450104">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大写：</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rPr>
        <w:t xml:space="preserve"> 。</w:t>
      </w:r>
    </w:p>
    <w:p w14:paraId="6404178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2、如果我们的投标文件被接受，我们将履行</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中规定的每一项义务和要求，按期、按质、按量完成</w:t>
      </w:r>
      <w:r>
        <w:rPr>
          <w:rFonts w:hint="eastAsia" w:asciiTheme="minorEastAsia" w:hAnsiTheme="minorEastAsia" w:eastAsiaTheme="minorEastAsia" w:cstheme="minorEastAsia"/>
          <w:color w:val="000000"/>
          <w:sz w:val="24"/>
          <w:szCs w:val="24"/>
          <w:lang w:val="en-US" w:eastAsia="zh-CN"/>
        </w:rPr>
        <w:t>本次服务</w:t>
      </w:r>
      <w:r>
        <w:rPr>
          <w:rFonts w:hint="eastAsia" w:asciiTheme="minorEastAsia" w:hAnsiTheme="minorEastAsia" w:eastAsiaTheme="minorEastAsia" w:cstheme="minorEastAsia"/>
          <w:color w:val="000000"/>
          <w:sz w:val="24"/>
          <w:szCs w:val="24"/>
        </w:rPr>
        <w:t>。</w:t>
      </w:r>
    </w:p>
    <w:p w14:paraId="79AF2BD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3、我们同意按</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文件的规定，本投标文件的有效期为开标后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天。</w:t>
      </w:r>
    </w:p>
    <w:p w14:paraId="13420073">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5" w:name="_Toc29996"/>
      <w:r>
        <w:rPr>
          <w:rFonts w:hint="eastAsia" w:asciiTheme="minorEastAsia" w:hAnsiTheme="minorEastAsia" w:eastAsiaTheme="minorEastAsia" w:cstheme="minorEastAsia"/>
          <w:color w:val="000000"/>
          <w:sz w:val="24"/>
          <w:szCs w:val="24"/>
        </w:rPr>
        <w:t>4、我们愿意提供招标人在</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文件中要求的所有资料。</w:t>
      </w:r>
      <w:bookmarkEnd w:id="595"/>
    </w:p>
    <w:p w14:paraId="77A12D56">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5、我们认为你们有选择或拒绝任何投标者中标的权力。我们理解，最低报价不是中标的唯一条件。</w:t>
      </w:r>
    </w:p>
    <w:p w14:paraId="468997BF">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6" w:name="_Toc19169"/>
      <w:r>
        <w:rPr>
          <w:rFonts w:hint="eastAsia" w:asciiTheme="minorEastAsia" w:hAnsiTheme="minorEastAsia" w:eastAsiaTheme="minorEastAsia" w:cstheme="minorEastAsia"/>
          <w:color w:val="000000"/>
          <w:sz w:val="24"/>
          <w:szCs w:val="24"/>
        </w:rPr>
        <w:t>6、我们愿按合同法履行自己的全部责任。</w:t>
      </w:r>
      <w:bookmarkEnd w:id="596"/>
    </w:p>
    <w:p w14:paraId="513EC52D">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7、我们愿意遵守国家有关规定和</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文件中规定的收费标准，承付中标服务费。</w:t>
      </w:r>
    </w:p>
    <w:p w14:paraId="1C0D84AD">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597" w:name="_Toc17525"/>
      <w:r>
        <w:rPr>
          <w:rFonts w:hint="eastAsia" w:asciiTheme="minorEastAsia" w:hAnsiTheme="minorEastAsia" w:eastAsiaTheme="minorEastAsia" w:cstheme="minorEastAsia"/>
          <w:color w:val="000000"/>
          <w:sz w:val="24"/>
          <w:szCs w:val="24"/>
        </w:rPr>
        <w:t>8、该项投标在开标后的全过程中保持有效，不作任何更改和变动。</w:t>
      </w:r>
      <w:bookmarkEnd w:id="597"/>
    </w:p>
    <w:p w14:paraId="291C9E1A">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9、我们同意按</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文件规定，交纳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元的投标保证金。</w:t>
      </w:r>
    </w:p>
    <w:p w14:paraId="04416A9E">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10、其它说明。</w:t>
      </w:r>
    </w:p>
    <w:p w14:paraId="30AB972A">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11、所有有关本标书的函电，请按下列地址联系：</w:t>
      </w:r>
    </w:p>
    <w:p w14:paraId="6C5602C4">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none"/>
          <w:lang w:eastAsia="zh-CN"/>
        </w:rPr>
        <w:t>盖章</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711ECF6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法定代表人（签字</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lang w:val="en-US" w:eastAsia="zh-CN"/>
        </w:rPr>
        <w:t xml:space="preserve">                                 </w:t>
      </w:r>
    </w:p>
    <w:p w14:paraId="7E4DCEC1">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28DB4953">
      <w:pPr>
        <w:adjustRightInd w:val="0"/>
        <w:snapToGrid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6CA60E88">
      <w:pPr>
        <w:adjustRightInd w:val="0"/>
        <w:snapToGrid w:val="0"/>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0327CF73">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传真：</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4D0D0432">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5D0989E7">
      <w:pPr>
        <w:adjustRightInd w:val="0"/>
        <w:snapToGrid w:val="0"/>
        <w:spacing w:line="360" w:lineRule="auto"/>
        <w:jc w:val="right"/>
        <w:rPr>
          <w:rFonts w:hint="eastAsia" w:asciiTheme="minorEastAsia" w:hAnsiTheme="minorEastAsia" w:eastAsiaTheme="minorEastAsia" w:cstheme="minorEastAsia"/>
          <w:color w:val="000000"/>
          <w:sz w:val="21"/>
          <w:szCs w:val="22"/>
        </w:rPr>
      </w:pPr>
      <w:r>
        <w:rPr>
          <w:rFonts w:hint="eastAsia" w:asciiTheme="minorEastAsia" w:hAnsiTheme="minorEastAsia" w:eastAsiaTheme="minorEastAsia" w:cstheme="minorEastAsia"/>
          <w:color w:val="000000"/>
          <w:sz w:val="21"/>
          <w:szCs w:val="22"/>
          <w:lang w:val="en-US" w:eastAsia="zh-CN"/>
        </w:rPr>
        <w:t>日期：</w:t>
      </w:r>
      <w:r>
        <w:rPr>
          <w:rFonts w:hint="eastAsia" w:asciiTheme="minorEastAsia" w:hAnsiTheme="minorEastAsia" w:eastAsiaTheme="minorEastAsia" w:cstheme="minorEastAsia"/>
          <w:color w:val="000000"/>
          <w:sz w:val="21"/>
          <w:szCs w:val="22"/>
        </w:rPr>
        <w:t xml:space="preserve"> </w:t>
      </w:r>
      <w:r>
        <w:rPr>
          <w:rFonts w:hint="eastAsia" w:asciiTheme="minorEastAsia" w:hAnsiTheme="minorEastAsia" w:eastAsiaTheme="minorEastAsia" w:cstheme="minorEastAsia"/>
          <w:color w:val="000000"/>
          <w:sz w:val="21"/>
          <w:szCs w:val="22"/>
          <w:u w:val="single"/>
        </w:rPr>
        <w:t xml:space="preserve">  </w:t>
      </w:r>
      <w:r>
        <w:rPr>
          <w:rFonts w:hint="eastAsia" w:asciiTheme="minorEastAsia" w:hAnsiTheme="minorEastAsia" w:eastAsiaTheme="minorEastAsia" w:cstheme="minorEastAsia"/>
          <w:color w:val="000000"/>
          <w:sz w:val="21"/>
          <w:szCs w:val="22"/>
          <w:u w:val="single"/>
          <w:lang w:val="en-US" w:eastAsia="zh-CN"/>
        </w:rPr>
        <w:t xml:space="preserve">   </w:t>
      </w:r>
      <w:r>
        <w:rPr>
          <w:rFonts w:hint="eastAsia" w:asciiTheme="minorEastAsia" w:hAnsiTheme="minorEastAsia" w:eastAsiaTheme="minorEastAsia" w:cstheme="minorEastAsia"/>
          <w:color w:val="000000"/>
          <w:sz w:val="21"/>
          <w:szCs w:val="22"/>
        </w:rPr>
        <w:t>年</w:t>
      </w:r>
      <w:r>
        <w:rPr>
          <w:rFonts w:hint="eastAsia" w:asciiTheme="minorEastAsia" w:hAnsiTheme="minorEastAsia" w:eastAsiaTheme="minorEastAsia" w:cstheme="minorEastAsia"/>
          <w:color w:val="000000"/>
          <w:sz w:val="21"/>
          <w:szCs w:val="22"/>
          <w:u w:val="single"/>
        </w:rPr>
        <w:t xml:space="preserve">  </w:t>
      </w:r>
      <w:r>
        <w:rPr>
          <w:rFonts w:hint="eastAsia" w:asciiTheme="minorEastAsia" w:hAnsiTheme="minorEastAsia" w:eastAsiaTheme="minorEastAsia" w:cstheme="minorEastAsia"/>
          <w:color w:val="000000"/>
          <w:sz w:val="21"/>
          <w:szCs w:val="22"/>
          <w:u w:val="single"/>
          <w:lang w:val="en-US" w:eastAsia="zh-CN"/>
        </w:rPr>
        <w:t xml:space="preserve">   </w:t>
      </w:r>
      <w:r>
        <w:rPr>
          <w:rFonts w:hint="eastAsia" w:asciiTheme="minorEastAsia" w:hAnsiTheme="minorEastAsia" w:eastAsiaTheme="minorEastAsia" w:cstheme="minorEastAsia"/>
          <w:color w:val="000000"/>
          <w:sz w:val="21"/>
          <w:szCs w:val="22"/>
        </w:rPr>
        <w:t>月</w:t>
      </w:r>
      <w:r>
        <w:rPr>
          <w:rFonts w:hint="eastAsia" w:asciiTheme="minorEastAsia" w:hAnsiTheme="minorEastAsia" w:eastAsiaTheme="minorEastAsia" w:cstheme="minorEastAsia"/>
          <w:color w:val="000000"/>
          <w:sz w:val="21"/>
          <w:szCs w:val="22"/>
          <w:u w:val="single"/>
        </w:rPr>
        <w:t xml:space="preserve">  </w:t>
      </w:r>
      <w:r>
        <w:rPr>
          <w:rFonts w:hint="eastAsia" w:asciiTheme="minorEastAsia" w:hAnsiTheme="minorEastAsia" w:eastAsiaTheme="minorEastAsia" w:cstheme="minorEastAsia"/>
          <w:color w:val="000000"/>
          <w:sz w:val="21"/>
          <w:szCs w:val="22"/>
          <w:u w:val="single"/>
          <w:lang w:val="en-US" w:eastAsia="zh-CN"/>
        </w:rPr>
        <w:t xml:space="preserve">   </w:t>
      </w:r>
      <w:r>
        <w:rPr>
          <w:rFonts w:hint="eastAsia" w:asciiTheme="minorEastAsia" w:hAnsiTheme="minorEastAsia" w:eastAsiaTheme="minorEastAsia" w:cstheme="minorEastAsia"/>
          <w:color w:val="000000"/>
          <w:sz w:val="21"/>
          <w:szCs w:val="22"/>
        </w:rPr>
        <w:t>日</w:t>
      </w:r>
    </w:p>
    <w:p w14:paraId="08D1E241">
      <w:pPr>
        <w:pStyle w:val="12"/>
        <w:rPr>
          <w:rFonts w:hint="eastAsia"/>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731F402A">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5DB4A542">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2F21EE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附件二</w:t>
      </w:r>
    </w:p>
    <w:p w14:paraId="56FF4D36">
      <w:pPr>
        <w:numPr>
          <w:ilvl w:val="0"/>
          <w:numId w:val="0"/>
        </w:numPr>
        <w:spacing w:line="440" w:lineRule="exact"/>
        <w:jc w:val="center"/>
        <w:rPr>
          <w:rFonts w:hint="eastAsia" w:asciiTheme="minorEastAsia" w:hAnsiTheme="minorEastAsia" w:eastAsiaTheme="minorEastAsia" w:cstheme="minorEastAsia"/>
          <w:b/>
          <w:color w:val="000000"/>
          <w:sz w:val="32"/>
          <w:szCs w:val="28"/>
        </w:rPr>
      </w:pPr>
      <w:r>
        <w:rPr>
          <w:rFonts w:hint="eastAsia" w:asciiTheme="minorEastAsia" w:hAnsiTheme="minorEastAsia" w:eastAsiaTheme="minorEastAsia" w:cstheme="minorEastAsia"/>
          <w:b/>
          <w:color w:val="000000"/>
          <w:sz w:val="32"/>
          <w:szCs w:val="28"/>
        </w:rPr>
        <w:t>开标一览表</w:t>
      </w:r>
    </w:p>
    <w:p w14:paraId="5C21A9CD">
      <w:pPr>
        <w:pStyle w:val="35"/>
        <w:rPr>
          <w:rFonts w:hint="eastAsia" w:asciiTheme="minorEastAsia" w:hAnsiTheme="minorEastAsia" w:eastAsiaTheme="minorEastAsia" w:cstheme="minorEastAsia"/>
        </w:rPr>
      </w:pPr>
    </w:p>
    <w:p w14:paraId="6CE45A95">
      <w:pPr>
        <w:pStyle w:val="35"/>
        <w:rPr>
          <w:rFonts w:hint="eastAsia" w:asciiTheme="minorEastAsia" w:hAnsiTheme="minorEastAsia" w:eastAsiaTheme="minorEastAsia" w:cstheme="minorEastAsia"/>
        </w:rPr>
      </w:pPr>
    </w:p>
    <w:p w14:paraId="1706ECB6">
      <w:pPr>
        <w:spacing w:line="370" w:lineRule="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u w:val="single"/>
          <w:lang w:val="en-US" w:eastAsia="zh-CN"/>
        </w:rPr>
        <w:t xml:space="preserve">                                               </w:t>
      </w:r>
    </w:p>
    <w:p w14:paraId="6823BD75">
      <w:pPr>
        <w:spacing w:before="227" w:line="185" w:lineRule="auto"/>
        <w:ind w:firstLine="617"/>
        <w:rPr>
          <w:rFonts w:hint="eastAsia" w:asciiTheme="minorEastAsia" w:hAnsiTheme="minorEastAsia" w:eastAsiaTheme="minorEastAsia" w:cstheme="minorEastAsia"/>
          <w:spacing w:val="1"/>
          <w:sz w:val="24"/>
          <w:szCs w:val="24"/>
          <w:u w:val="single" w:color="auto"/>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spacing w:val="1"/>
          <w:sz w:val="24"/>
          <w:szCs w:val="24"/>
          <w:u w:val="single" w:color="auto"/>
        </w:rPr>
        <w:t xml:space="preserve">                                          </w:t>
      </w:r>
    </w:p>
    <w:p w14:paraId="51AC9310">
      <w:pPr>
        <w:spacing w:line="100" w:lineRule="exact"/>
        <w:rPr>
          <w:rFonts w:hint="eastAsia" w:asciiTheme="minorEastAsia" w:hAnsiTheme="minorEastAsia" w:eastAsiaTheme="minorEastAsia" w:cstheme="minorEastAsia"/>
          <w:sz w:val="24"/>
          <w:szCs w:val="24"/>
        </w:rPr>
      </w:pPr>
    </w:p>
    <w:tbl>
      <w:tblPr>
        <w:tblStyle w:val="30"/>
        <w:tblW w:w="103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7"/>
        <w:gridCol w:w="888"/>
        <w:gridCol w:w="1553"/>
        <w:gridCol w:w="1750"/>
        <w:gridCol w:w="1118"/>
        <w:gridCol w:w="1146"/>
        <w:gridCol w:w="1700"/>
        <w:gridCol w:w="914"/>
        <w:gridCol w:w="687"/>
      </w:tblGrid>
      <w:tr w14:paraId="7BC17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97" w:type="dxa"/>
            <w:tcBorders>
              <w:top w:val="single" w:color="auto" w:sz="4" w:space="0"/>
              <w:left w:val="single" w:color="auto" w:sz="4" w:space="0"/>
              <w:right w:val="single" w:color="auto" w:sz="4" w:space="0"/>
            </w:tcBorders>
            <w:noWrap w:val="0"/>
            <w:vAlign w:val="center"/>
          </w:tcPr>
          <w:p w14:paraId="79F9AE04">
            <w:pPr>
              <w:keepNext w:val="0"/>
              <w:keepLines w:val="0"/>
              <w:widowControl/>
              <w:suppressLineNumbers w:val="0"/>
              <w:jc w:val="righ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88" w:type="dxa"/>
            <w:tcBorders>
              <w:top w:val="single" w:color="auto" w:sz="4" w:space="0"/>
              <w:left w:val="single" w:color="auto" w:sz="4" w:space="0"/>
              <w:right w:val="single" w:color="auto" w:sz="4" w:space="0"/>
            </w:tcBorders>
            <w:noWrap w:val="0"/>
            <w:vAlign w:val="center"/>
          </w:tcPr>
          <w:p w14:paraId="46B1F541">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1553" w:type="dxa"/>
            <w:tcBorders>
              <w:top w:val="single" w:color="auto" w:sz="4" w:space="0"/>
              <w:left w:val="single" w:color="auto" w:sz="4" w:space="0"/>
              <w:right w:val="single" w:color="auto" w:sz="4" w:space="0"/>
            </w:tcBorders>
            <w:noWrap w:val="0"/>
            <w:vAlign w:val="center"/>
          </w:tcPr>
          <w:p w14:paraId="3D3242EA">
            <w:pPr>
              <w:snapToGrid w:val="0"/>
              <w:spacing w:line="400" w:lineRule="exact"/>
              <w:ind w:firstLine="240" w:firstLineChars="10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品牌、品类</w:t>
            </w:r>
          </w:p>
        </w:tc>
        <w:tc>
          <w:tcPr>
            <w:tcW w:w="1750" w:type="dxa"/>
            <w:tcBorders>
              <w:top w:val="single" w:color="auto" w:sz="4" w:space="0"/>
              <w:left w:val="single" w:color="auto" w:sz="4" w:space="0"/>
              <w:right w:val="single" w:color="auto" w:sz="4" w:space="0"/>
            </w:tcBorders>
            <w:noWrap w:val="0"/>
            <w:vAlign w:val="center"/>
          </w:tcPr>
          <w:p w14:paraId="14ECEEFB">
            <w:pPr>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单价（元）</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2D7DEE3">
            <w:pPr>
              <w:snapToGri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41AAC51">
            <w:pPr>
              <w:snapToGri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911CBF3">
            <w:pPr>
              <w:snapToGrid w:val="0"/>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总价（元）</w:t>
            </w:r>
          </w:p>
        </w:tc>
        <w:tc>
          <w:tcPr>
            <w:tcW w:w="914" w:type="dxa"/>
            <w:tcBorders>
              <w:top w:val="single" w:color="auto" w:sz="4" w:space="0"/>
              <w:left w:val="single" w:color="auto" w:sz="4" w:space="0"/>
              <w:right w:val="single" w:color="auto" w:sz="4" w:space="0"/>
            </w:tcBorders>
            <w:noWrap w:val="0"/>
            <w:vAlign w:val="center"/>
          </w:tcPr>
          <w:p w14:paraId="3AF59389">
            <w:pPr>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供货期</w:t>
            </w:r>
          </w:p>
        </w:tc>
        <w:tc>
          <w:tcPr>
            <w:tcW w:w="687" w:type="dxa"/>
            <w:tcBorders>
              <w:top w:val="single" w:color="auto" w:sz="4" w:space="0"/>
              <w:left w:val="single" w:color="auto" w:sz="4" w:space="0"/>
              <w:right w:val="single" w:color="auto" w:sz="4" w:space="0"/>
            </w:tcBorders>
            <w:noWrap w:val="0"/>
            <w:vAlign w:val="center"/>
          </w:tcPr>
          <w:p w14:paraId="01FB8D93">
            <w:pPr>
              <w:snapToGri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405AF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97" w:type="dxa"/>
            <w:tcBorders>
              <w:top w:val="single" w:color="auto" w:sz="4" w:space="0"/>
              <w:left w:val="single" w:color="auto" w:sz="4" w:space="0"/>
              <w:right w:val="single" w:color="auto" w:sz="4" w:space="0"/>
            </w:tcBorders>
            <w:noWrap w:val="0"/>
            <w:vAlign w:val="center"/>
          </w:tcPr>
          <w:p w14:paraId="4AB4855E">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8" w:type="dxa"/>
            <w:vMerge w:val="restart"/>
            <w:tcBorders>
              <w:top w:val="single" w:color="auto" w:sz="4" w:space="0"/>
              <w:left w:val="single" w:color="auto" w:sz="4" w:space="0"/>
              <w:right w:val="single" w:color="auto" w:sz="4" w:space="0"/>
            </w:tcBorders>
            <w:noWrap w:val="0"/>
            <w:vAlign w:val="center"/>
          </w:tcPr>
          <w:p w14:paraId="558911BF">
            <w:pPr>
              <w:snapToGrid w:val="0"/>
              <w:spacing w:line="400" w:lineRule="exact"/>
              <w:ind w:firstLine="240" w:firstLineChars="100"/>
              <w:jc w:val="center"/>
              <w:rPr>
                <w:rFonts w:hint="eastAsia" w:asciiTheme="minorEastAsia" w:hAnsiTheme="minorEastAsia" w:eastAsiaTheme="minorEastAsia" w:cstheme="minorEastAsia"/>
                <w:color w:val="auto"/>
                <w:sz w:val="24"/>
                <w:szCs w:val="24"/>
                <w:highlight w:val="none"/>
                <w:lang w:val="en-US" w:eastAsia="zh-CN"/>
              </w:rPr>
            </w:pPr>
          </w:p>
        </w:tc>
        <w:tc>
          <w:tcPr>
            <w:tcW w:w="1553" w:type="dxa"/>
            <w:tcBorders>
              <w:top w:val="single" w:color="auto" w:sz="4" w:space="0"/>
              <w:left w:val="single" w:color="auto" w:sz="4" w:space="0"/>
              <w:right w:val="single" w:color="auto" w:sz="4" w:space="0"/>
            </w:tcBorders>
            <w:noWrap w:val="0"/>
            <w:vAlign w:val="center"/>
          </w:tcPr>
          <w:p w14:paraId="3B9E9D0C">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right w:val="single" w:color="auto" w:sz="4" w:space="0"/>
            </w:tcBorders>
            <w:noWrap w:val="0"/>
            <w:vAlign w:val="center"/>
          </w:tcPr>
          <w:p w14:paraId="110B8EFA">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731D088">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9F074E6">
            <w:pPr>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89D40AE">
            <w:pPr>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914" w:type="dxa"/>
            <w:vMerge w:val="restart"/>
            <w:tcBorders>
              <w:top w:val="single" w:color="auto" w:sz="4" w:space="0"/>
              <w:left w:val="single" w:color="auto" w:sz="4" w:space="0"/>
              <w:right w:val="single" w:color="auto" w:sz="4" w:space="0"/>
            </w:tcBorders>
            <w:noWrap w:val="0"/>
            <w:vAlign w:val="center"/>
          </w:tcPr>
          <w:p w14:paraId="316CC212">
            <w:pPr>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right w:val="single" w:color="auto" w:sz="4" w:space="0"/>
            </w:tcBorders>
            <w:noWrap w:val="0"/>
            <w:vAlign w:val="center"/>
          </w:tcPr>
          <w:p w14:paraId="7444729E">
            <w:pPr>
              <w:snapToGrid w:val="0"/>
              <w:spacing w:line="400" w:lineRule="exact"/>
              <w:jc w:val="center"/>
              <w:rPr>
                <w:rFonts w:hint="eastAsia" w:asciiTheme="minorEastAsia" w:hAnsiTheme="minorEastAsia" w:eastAsiaTheme="minorEastAsia" w:cstheme="minorEastAsia"/>
                <w:color w:val="auto"/>
                <w:sz w:val="24"/>
                <w:szCs w:val="24"/>
                <w:highlight w:val="none"/>
              </w:rPr>
            </w:pPr>
          </w:p>
        </w:tc>
      </w:tr>
      <w:tr w14:paraId="4C8E0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97" w:type="dxa"/>
            <w:tcBorders>
              <w:top w:val="single" w:color="auto" w:sz="4" w:space="0"/>
              <w:left w:val="single" w:color="auto" w:sz="4" w:space="0"/>
              <w:right w:val="single" w:color="auto" w:sz="4" w:space="0"/>
            </w:tcBorders>
            <w:noWrap w:val="0"/>
            <w:vAlign w:val="center"/>
          </w:tcPr>
          <w:p w14:paraId="4D897D4E">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88" w:type="dxa"/>
            <w:vMerge w:val="continue"/>
            <w:tcBorders>
              <w:left w:val="single" w:color="auto" w:sz="4" w:space="0"/>
              <w:right w:val="single" w:color="auto" w:sz="4" w:space="0"/>
            </w:tcBorders>
            <w:noWrap w:val="0"/>
            <w:vAlign w:val="center"/>
          </w:tcPr>
          <w:p w14:paraId="14774DD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111155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u w:val="singl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397571B8">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AB87F53">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63816D3">
            <w:pPr>
              <w:snapToGrid w:val="0"/>
              <w:spacing w:line="400" w:lineRule="exact"/>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B6669F2">
            <w:pPr>
              <w:snapToGrid w:val="0"/>
              <w:spacing w:line="400" w:lineRule="exact"/>
              <w:rPr>
                <w:rFonts w:hint="eastAsia" w:asciiTheme="minorEastAsia" w:hAnsiTheme="minorEastAsia" w:eastAsiaTheme="minorEastAsia" w:cstheme="minorEastAsia"/>
                <w:color w:val="auto"/>
                <w:sz w:val="24"/>
                <w:szCs w:val="24"/>
                <w:highlight w:val="none"/>
              </w:rPr>
            </w:pPr>
          </w:p>
        </w:tc>
        <w:tc>
          <w:tcPr>
            <w:tcW w:w="914" w:type="dxa"/>
            <w:vMerge w:val="continue"/>
            <w:tcBorders>
              <w:left w:val="single" w:color="auto" w:sz="4" w:space="0"/>
              <w:right w:val="single" w:color="auto" w:sz="4" w:space="0"/>
            </w:tcBorders>
            <w:noWrap w:val="0"/>
            <w:vAlign w:val="center"/>
          </w:tcPr>
          <w:p w14:paraId="6AFC848B">
            <w:pPr>
              <w:snapToGrid w:val="0"/>
              <w:spacing w:line="400" w:lineRule="exact"/>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5B08ABFB">
            <w:pPr>
              <w:snapToGrid w:val="0"/>
              <w:spacing w:line="400" w:lineRule="exact"/>
              <w:rPr>
                <w:rFonts w:hint="eastAsia" w:asciiTheme="minorEastAsia" w:hAnsiTheme="minorEastAsia" w:eastAsiaTheme="minorEastAsia" w:cstheme="minorEastAsia"/>
                <w:color w:val="auto"/>
                <w:sz w:val="24"/>
                <w:szCs w:val="24"/>
                <w:highlight w:val="none"/>
              </w:rPr>
            </w:pPr>
          </w:p>
        </w:tc>
      </w:tr>
      <w:tr w14:paraId="00BF9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48181D44">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88" w:type="dxa"/>
            <w:vMerge w:val="continue"/>
            <w:tcBorders>
              <w:left w:val="single" w:color="auto" w:sz="4" w:space="0"/>
              <w:right w:val="single" w:color="auto" w:sz="4" w:space="0"/>
            </w:tcBorders>
            <w:noWrap w:val="0"/>
            <w:vAlign w:val="center"/>
          </w:tcPr>
          <w:p w14:paraId="6C85514A">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u w:val="singl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1CFD439">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090F7E3B">
            <w:pPr>
              <w:snapToGrid w:val="0"/>
              <w:spacing w:line="400" w:lineRule="exact"/>
              <w:ind w:left="2559"/>
              <w:rPr>
                <w:rFonts w:hint="eastAsia" w:asciiTheme="minorEastAsia" w:hAnsiTheme="minorEastAsia" w:eastAsiaTheme="minorEastAsia" w:cstheme="minorEastAsia"/>
                <w:color w:val="auto"/>
                <w:sz w:val="24"/>
                <w:szCs w:val="24"/>
                <w:highlight w:val="none"/>
                <w:u w:val="singl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818CB0B">
            <w:pPr>
              <w:snapToGrid w:val="0"/>
              <w:spacing w:line="400" w:lineRule="exact"/>
              <w:ind w:left="2559"/>
              <w:rPr>
                <w:rFonts w:hint="eastAsia" w:asciiTheme="minorEastAsia" w:hAnsiTheme="minorEastAsia" w:eastAsiaTheme="minorEastAsia" w:cstheme="minorEastAsia"/>
                <w:color w:val="auto"/>
                <w:sz w:val="24"/>
                <w:szCs w:val="24"/>
                <w:highlight w:val="none"/>
                <w:u w:val="singl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B125B48">
            <w:pPr>
              <w:snapToGrid w:val="0"/>
              <w:spacing w:line="400" w:lineRule="exact"/>
              <w:rPr>
                <w:rFonts w:hint="eastAsia" w:asciiTheme="minorEastAsia" w:hAnsiTheme="minorEastAsia" w:eastAsiaTheme="minorEastAsia" w:cstheme="minorEastAsia"/>
                <w:color w:val="auto"/>
                <w:sz w:val="24"/>
                <w:szCs w:val="24"/>
                <w:highlight w:val="none"/>
                <w:u w:val="singl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B2F97FE">
            <w:pPr>
              <w:snapToGrid w:val="0"/>
              <w:spacing w:line="400" w:lineRule="exact"/>
              <w:rPr>
                <w:rFonts w:hint="eastAsia" w:asciiTheme="minorEastAsia" w:hAnsiTheme="minorEastAsia" w:eastAsiaTheme="minorEastAsia" w:cstheme="minorEastAsia"/>
                <w:color w:val="auto"/>
                <w:sz w:val="24"/>
                <w:szCs w:val="24"/>
                <w:highlight w:val="none"/>
                <w:u w:val="single"/>
              </w:rPr>
            </w:pPr>
          </w:p>
        </w:tc>
        <w:tc>
          <w:tcPr>
            <w:tcW w:w="914" w:type="dxa"/>
            <w:vMerge w:val="continue"/>
            <w:tcBorders>
              <w:left w:val="single" w:color="auto" w:sz="4" w:space="0"/>
              <w:right w:val="single" w:color="auto" w:sz="4" w:space="0"/>
            </w:tcBorders>
            <w:noWrap w:val="0"/>
            <w:vAlign w:val="center"/>
          </w:tcPr>
          <w:p w14:paraId="53426903">
            <w:pPr>
              <w:snapToGrid w:val="0"/>
              <w:spacing w:line="400" w:lineRule="exact"/>
              <w:rPr>
                <w:rFonts w:hint="eastAsia" w:asciiTheme="minorEastAsia" w:hAnsiTheme="minorEastAsia" w:eastAsiaTheme="minorEastAsia" w:cstheme="minorEastAsia"/>
                <w:color w:val="auto"/>
                <w:sz w:val="24"/>
                <w:szCs w:val="24"/>
                <w:highlight w:val="none"/>
                <w:u w:val="single"/>
              </w:rPr>
            </w:pPr>
          </w:p>
        </w:tc>
        <w:tc>
          <w:tcPr>
            <w:tcW w:w="687" w:type="dxa"/>
            <w:tcBorders>
              <w:top w:val="single" w:color="auto" w:sz="4" w:space="0"/>
              <w:left w:val="single" w:color="auto" w:sz="4" w:space="0"/>
              <w:bottom w:val="single" w:color="auto" w:sz="4" w:space="0"/>
              <w:right w:val="single" w:color="auto" w:sz="4" w:space="0"/>
            </w:tcBorders>
            <w:noWrap w:val="0"/>
            <w:vAlign w:val="center"/>
          </w:tcPr>
          <w:p w14:paraId="25C5C444">
            <w:pPr>
              <w:snapToGrid w:val="0"/>
              <w:spacing w:line="400" w:lineRule="exact"/>
              <w:rPr>
                <w:rFonts w:hint="eastAsia" w:asciiTheme="minorEastAsia" w:hAnsiTheme="minorEastAsia" w:eastAsiaTheme="minorEastAsia" w:cstheme="minorEastAsia"/>
                <w:color w:val="auto"/>
                <w:sz w:val="24"/>
                <w:szCs w:val="24"/>
                <w:highlight w:val="none"/>
                <w:u w:val="single"/>
              </w:rPr>
            </w:pPr>
          </w:p>
        </w:tc>
      </w:tr>
      <w:tr w14:paraId="552B4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2"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72C3D3C">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88" w:type="dxa"/>
            <w:vMerge w:val="continue"/>
            <w:tcBorders>
              <w:left w:val="single" w:color="auto" w:sz="4" w:space="0"/>
              <w:right w:val="single" w:color="auto" w:sz="4" w:space="0"/>
            </w:tcBorders>
            <w:noWrap w:val="0"/>
            <w:vAlign w:val="center"/>
          </w:tcPr>
          <w:p w14:paraId="10968AA9">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EA5B4A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0BDD47E">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3421FF44">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233947BF">
            <w:pPr>
              <w:snapToGrid w:val="0"/>
              <w:spacing w:line="400" w:lineRule="exact"/>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965238E">
            <w:pPr>
              <w:snapToGrid w:val="0"/>
              <w:spacing w:line="400" w:lineRule="exact"/>
              <w:rPr>
                <w:rFonts w:hint="eastAsia" w:asciiTheme="minorEastAsia" w:hAnsiTheme="minorEastAsia" w:eastAsiaTheme="minorEastAsia" w:cstheme="minorEastAsia"/>
                <w:color w:val="auto"/>
                <w:sz w:val="24"/>
                <w:szCs w:val="24"/>
                <w:highlight w:val="none"/>
              </w:rPr>
            </w:pPr>
          </w:p>
        </w:tc>
        <w:tc>
          <w:tcPr>
            <w:tcW w:w="914" w:type="dxa"/>
            <w:vMerge w:val="continue"/>
            <w:tcBorders>
              <w:left w:val="single" w:color="auto" w:sz="4" w:space="0"/>
              <w:right w:val="single" w:color="auto" w:sz="4" w:space="0"/>
            </w:tcBorders>
            <w:noWrap w:val="0"/>
            <w:vAlign w:val="top"/>
          </w:tcPr>
          <w:p w14:paraId="29C6C71B">
            <w:pPr>
              <w:snapToGrid w:val="0"/>
              <w:spacing w:line="400" w:lineRule="exact"/>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14:paraId="5FD0D12F">
            <w:pPr>
              <w:snapToGrid w:val="0"/>
              <w:spacing w:line="400" w:lineRule="exact"/>
              <w:rPr>
                <w:rFonts w:hint="eastAsia" w:asciiTheme="minorEastAsia" w:hAnsiTheme="minorEastAsia" w:eastAsiaTheme="minorEastAsia" w:cstheme="minorEastAsia"/>
                <w:color w:val="auto"/>
                <w:sz w:val="24"/>
                <w:szCs w:val="24"/>
                <w:highlight w:val="none"/>
              </w:rPr>
            </w:pPr>
          </w:p>
        </w:tc>
      </w:tr>
      <w:tr w14:paraId="5E8A5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4B9697B1">
            <w:pPr>
              <w:keepNext w:val="0"/>
              <w:keepLines w:val="0"/>
              <w:widowControl/>
              <w:suppressLineNumbers w:val="0"/>
              <w:ind w:left="120" w:leftChars="0" w:right="62" w:rightChars="0" w:hanging="120" w:hangingChars="5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88" w:type="dxa"/>
            <w:vMerge w:val="continue"/>
            <w:tcBorders>
              <w:left w:val="single" w:color="auto" w:sz="4" w:space="0"/>
              <w:right w:val="single" w:color="auto" w:sz="4" w:space="0"/>
            </w:tcBorders>
            <w:noWrap w:val="0"/>
            <w:vAlign w:val="center"/>
          </w:tcPr>
          <w:p w14:paraId="20FC1E8E">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E28A395">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4EAF5187">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top"/>
          </w:tcPr>
          <w:p w14:paraId="5B512572">
            <w:pPr>
              <w:snapToGrid w:val="0"/>
              <w:spacing w:line="400" w:lineRule="exact"/>
              <w:rPr>
                <w:rFonts w:hint="eastAsia" w:asciiTheme="minorEastAsia" w:hAnsiTheme="minorEastAsia" w:eastAsiaTheme="minorEastAsia" w:cstheme="minorEastAsia"/>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3315BE9B">
            <w:pPr>
              <w:snapToGrid w:val="0"/>
              <w:spacing w:line="400" w:lineRule="exact"/>
              <w:rPr>
                <w:rFonts w:hint="eastAsia" w:asciiTheme="minorEastAsia" w:hAnsiTheme="minorEastAsia" w:eastAsiaTheme="minorEastAsia" w:cstheme="minorEastAsia"/>
                <w:color w:val="auto"/>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7F3CE04D">
            <w:pPr>
              <w:snapToGrid w:val="0"/>
              <w:spacing w:line="400" w:lineRule="exact"/>
              <w:rPr>
                <w:rFonts w:hint="eastAsia" w:asciiTheme="minorEastAsia" w:hAnsiTheme="minorEastAsia" w:eastAsiaTheme="minorEastAsia" w:cstheme="minorEastAsia"/>
                <w:color w:val="auto"/>
                <w:sz w:val="24"/>
                <w:szCs w:val="24"/>
                <w:highlight w:val="none"/>
              </w:rPr>
            </w:pPr>
          </w:p>
        </w:tc>
        <w:tc>
          <w:tcPr>
            <w:tcW w:w="914" w:type="dxa"/>
            <w:vMerge w:val="continue"/>
            <w:tcBorders>
              <w:left w:val="single" w:color="auto" w:sz="4" w:space="0"/>
              <w:right w:val="single" w:color="auto" w:sz="4" w:space="0"/>
            </w:tcBorders>
            <w:noWrap w:val="0"/>
            <w:vAlign w:val="top"/>
          </w:tcPr>
          <w:p w14:paraId="43C694C6">
            <w:pPr>
              <w:snapToGrid w:val="0"/>
              <w:spacing w:line="400" w:lineRule="exact"/>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14:paraId="34D1F8D0">
            <w:pPr>
              <w:snapToGrid w:val="0"/>
              <w:spacing w:line="400" w:lineRule="exact"/>
              <w:rPr>
                <w:rFonts w:hint="eastAsia" w:asciiTheme="minorEastAsia" w:hAnsiTheme="minorEastAsia" w:eastAsiaTheme="minorEastAsia" w:cstheme="minorEastAsia"/>
                <w:color w:val="auto"/>
                <w:sz w:val="24"/>
                <w:szCs w:val="24"/>
                <w:highlight w:val="none"/>
              </w:rPr>
            </w:pPr>
          </w:p>
        </w:tc>
      </w:tr>
      <w:tr w14:paraId="3BA53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11"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5B9E65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2441" w:type="dxa"/>
            <w:gridSpan w:val="2"/>
            <w:tcBorders>
              <w:top w:val="single" w:color="auto" w:sz="4" w:space="0"/>
              <w:left w:val="single" w:color="auto" w:sz="4" w:space="0"/>
              <w:bottom w:val="single" w:color="auto" w:sz="4" w:space="0"/>
              <w:right w:val="single" w:color="auto" w:sz="4" w:space="0"/>
            </w:tcBorders>
            <w:noWrap w:val="0"/>
            <w:vAlign w:val="center"/>
          </w:tcPr>
          <w:p w14:paraId="57169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投标总价</w:t>
            </w:r>
          </w:p>
        </w:tc>
        <w:tc>
          <w:tcPr>
            <w:tcW w:w="7315" w:type="dxa"/>
            <w:gridSpan w:val="6"/>
            <w:tcBorders>
              <w:top w:val="single" w:color="auto" w:sz="4" w:space="0"/>
              <w:left w:val="single" w:color="auto" w:sz="4" w:space="0"/>
              <w:bottom w:val="single" w:color="auto" w:sz="4" w:space="0"/>
              <w:right w:val="single" w:color="auto" w:sz="4" w:space="0"/>
            </w:tcBorders>
            <w:noWrap w:val="0"/>
            <w:vAlign w:val="center"/>
          </w:tcPr>
          <w:p w14:paraId="5EB77C37">
            <w:pPr>
              <w:snapToGrid w:val="0"/>
              <w:spacing w:line="40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大写：</w:t>
            </w:r>
          </w:p>
          <w:p w14:paraId="108850CD">
            <w:pPr>
              <w:pStyle w:val="35"/>
              <w:rPr>
                <w:rFonts w:hint="eastAsia" w:asciiTheme="minorEastAsia" w:hAnsiTheme="minorEastAsia" w:eastAsiaTheme="minorEastAsia" w:cstheme="minorEastAsia"/>
                <w:color w:val="auto"/>
                <w:sz w:val="24"/>
                <w:szCs w:val="24"/>
                <w:lang w:val="en-US" w:eastAsia="zh-CN"/>
              </w:rPr>
            </w:pPr>
          </w:p>
          <w:p w14:paraId="5343AB9A">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小写：         （元）</w:t>
            </w:r>
          </w:p>
        </w:tc>
      </w:tr>
    </w:tbl>
    <w:p w14:paraId="29192FB0">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26ADFFFF">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6772C0A3">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w:t>
      </w:r>
      <w:r>
        <w:rPr>
          <w:rFonts w:hint="eastAsia" w:asciiTheme="minorEastAsia" w:hAnsiTheme="minorEastAsia" w:eastAsiaTheme="minorEastAsia" w:cstheme="minorEastAsia"/>
          <w:color w:val="000000"/>
          <w:sz w:val="24"/>
          <w:szCs w:val="24"/>
          <w:lang w:eastAsia="zh-CN"/>
        </w:rPr>
        <w:t>盖章</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0C541972">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签字或盖章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 xml:space="preserve">                    </w:t>
      </w:r>
    </w:p>
    <w:p w14:paraId="3F5B5979">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w:t>
      </w:r>
    </w:p>
    <w:p w14:paraId="11571699">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0AD69C04">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p>
    <w:p w14:paraId="007F209B">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注： </w:t>
      </w:r>
      <w:r>
        <w:rPr>
          <w:rFonts w:hint="eastAsia" w:asciiTheme="minorEastAsia" w:hAnsiTheme="minorEastAsia" w:eastAsiaTheme="minorEastAsia" w:cstheme="minorEastAsia"/>
          <w:color w:val="000000"/>
          <w:sz w:val="24"/>
          <w:szCs w:val="24"/>
          <w:lang w:val="en-US" w:eastAsia="zh-CN"/>
        </w:rPr>
        <w:t>1、总价不得超过本项目最高限价，否则做无效报价处理。</w:t>
      </w:r>
    </w:p>
    <w:p w14:paraId="545ED17C">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、任何有选择或有条件的投标总价或表中某一包填写多个报价，均将导致投标被拒绝；</w:t>
      </w:r>
    </w:p>
    <w:p w14:paraId="3C40AE5D">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、投标报价包含完成服务成果的一切费用、售后维护费用、税费等</w:t>
      </w:r>
    </w:p>
    <w:p w14:paraId="2C3013EC">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、报价为含税金额，税票为增值税专用发票。</w:t>
      </w:r>
    </w:p>
    <w:p w14:paraId="118AFF54">
      <w:pPr>
        <w:spacing w:line="360" w:lineRule="auto"/>
        <w:ind w:left="210" w:leftChars="100"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、大写标注：壹、贰、叁、肆、伍、陆、柒、捌、玖、拾、佰、仟、万、亿。</w:t>
      </w:r>
    </w:p>
    <w:p w14:paraId="61D4CD1B">
      <w:pPr>
        <w:pStyle w:val="35"/>
        <w:rPr>
          <w:rFonts w:hint="eastAsia" w:asciiTheme="minorEastAsia" w:hAnsiTheme="minorEastAsia" w:eastAsiaTheme="minorEastAsia" w:cstheme="minorEastAsia"/>
          <w:sz w:val="24"/>
          <w:szCs w:val="24"/>
          <w:lang w:eastAsia="zh-CN"/>
        </w:rPr>
        <w:sectPr>
          <w:footerReference r:id="rId7" w:type="default"/>
          <w:type w:val="continuous"/>
          <w:pgSz w:w="11905" w:h="16838"/>
          <w:pgMar w:top="1304" w:right="964" w:bottom="1020" w:left="1191" w:header="567" w:footer="454" w:gutter="0"/>
          <w:pgNumType w:fmt="decimal"/>
          <w:cols w:space="720" w:num="1"/>
          <w:rtlGutter w:val="0"/>
          <w:docGrid w:type="lines" w:linePitch="317" w:charSpace="0"/>
        </w:sectPr>
      </w:pPr>
    </w:p>
    <w:p w14:paraId="5A688792">
      <w:pPr>
        <w:numPr>
          <w:ilvl w:val="0"/>
          <w:numId w:val="0"/>
        </w:numPr>
        <w:spacing w:line="440" w:lineRule="exact"/>
        <w:jc w:val="left"/>
        <w:rPr>
          <w:rFonts w:hint="eastAsia" w:asciiTheme="minorEastAsia" w:hAnsiTheme="minorEastAsia" w:eastAsiaTheme="minorEastAsia" w:cstheme="minorEastAsia"/>
          <w:b/>
          <w:color w:val="000000"/>
          <w:sz w:val="28"/>
          <w:szCs w:val="24"/>
          <w:lang w:val="en-US" w:eastAsia="zh-CN"/>
        </w:rPr>
      </w:pPr>
    </w:p>
    <w:p w14:paraId="6900FC26">
      <w:pPr>
        <w:numPr>
          <w:ilvl w:val="0"/>
          <w:numId w:val="0"/>
        </w:numPr>
        <w:spacing w:line="440" w:lineRule="exact"/>
        <w:jc w:val="left"/>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附件三</w:t>
      </w:r>
    </w:p>
    <w:p w14:paraId="09FAD4A4">
      <w:pPr>
        <w:numPr>
          <w:ilvl w:val="0"/>
          <w:numId w:val="0"/>
        </w:numPr>
        <w:spacing w:line="440" w:lineRule="exact"/>
        <w:jc w:val="center"/>
        <w:rPr>
          <w:rFonts w:hint="eastAsia" w:asciiTheme="minorEastAsia" w:hAnsiTheme="minorEastAsia" w:eastAsiaTheme="minorEastAsia" w:cstheme="minorEastAsia"/>
          <w:b/>
          <w:color w:val="000000"/>
          <w:sz w:val="32"/>
          <w:szCs w:val="28"/>
          <w:lang w:val="en-US" w:eastAsia="zh-CN"/>
        </w:rPr>
      </w:pPr>
      <w:r>
        <w:rPr>
          <w:rFonts w:hint="eastAsia" w:asciiTheme="minorEastAsia" w:hAnsiTheme="minorEastAsia" w:eastAsiaTheme="minorEastAsia" w:cstheme="minorEastAsia"/>
          <w:b/>
          <w:color w:val="000000"/>
          <w:sz w:val="32"/>
          <w:szCs w:val="28"/>
          <w:lang w:val="en-US" w:eastAsia="zh-CN"/>
        </w:rPr>
        <w:t>投标报价明细表</w:t>
      </w:r>
    </w:p>
    <w:p w14:paraId="26F894BC">
      <w:pPr>
        <w:spacing w:line="370" w:lineRule="auto"/>
        <w:jc w:val="center"/>
        <w:rPr>
          <w:rFonts w:hint="eastAsia" w:asciiTheme="minorEastAsia" w:hAnsiTheme="minorEastAsia" w:eastAsiaTheme="minorEastAsia" w:cstheme="minorEastAsia"/>
          <w:sz w:val="21"/>
          <w:lang w:val="en-US" w:eastAsia="zh-CN"/>
        </w:rPr>
      </w:pPr>
    </w:p>
    <w:p w14:paraId="63A68647">
      <w:pPr>
        <w:spacing w:line="370" w:lineRule="auto"/>
        <w:jc w:val="left"/>
        <w:rPr>
          <w:rFonts w:hint="eastAsia" w:asciiTheme="minorEastAsia" w:hAnsiTheme="minorEastAsia" w:eastAsiaTheme="minorEastAsia" w:cstheme="minorEastAsia"/>
          <w:spacing w:val="-2"/>
          <w:sz w:val="24"/>
          <w:szCs w:val="24"/>
          <w:u w:val="single"/>
          <w:lang w:val="en-US"/>
        </w:rPr>
      </w:pPr>
      <w:r>
        <w:rPr>
          <w:rFonts w:hint="eastAsia" w:asciiTheme="minorEastAsia" w:hAnsiTheme="minorEastAsia" w:eastAsiaTheme="minorEastAsia" w:cstheme="minorEastAsia"/>
          <w:sz w:val="21"/>
          <w:lang w:val="en-US" w:eastAsia="zh-CN"/>
        </w:rPr>
        <w:t>项目</w:t>
      </w:r>
      <w:r>
        <w:rPr>
          <w:rFonts w:hint="eastAsia" w:asciiTheme="minorEastAsia" w:hAnsiTheme="minorEastAsia" w:eastAsiaTheme="minorEastAsia" w:cstheme="minorEastAsia"/>
          <w:sz w:val="24"/>
          <w:szCs w:val="24"/>
          <w:lang w:val="en-US" w:eastAsia="zh-CN"/>
        </w:rPr>
        <w:t>名称：</w:t>
      </w:r>
      <w:r>
        <w:rPr>
          <w:rFonts w:hint="eastAsia" w:asciiTheme="minorEastAsia" w:hAnsiTheme="minorEastAsia" w:eastAsiaTheme="minorEastAsia" w:cstheme="minorEastAsia"/>
          <w:sz w:val="24"/>
          <w:szCs w:val="24"/>
          <w:u w:val="single"/>
          <w:lang w:val="en-US" w:eastAsia="zh-CN"/>
        </w:rPr>
        <w:t xml:space="preserve">                          </w:t>
      </w:r>
    </w:p>
    <w:p w14:paraId="7EDE4321">
      <w:pPr>
        <w:spacing w:before="150" w:line="185" w:lineRule="auto"/>
        <w:ind w:firstLine="605"/>
        <w:jc w:val="left"/>
        <w:rPr>
          <w:rFonts w:hint="eastAsia" w:asciiTheme="minorEastAsia" w:hAnsiTheme="minorEastAsia" w:eastAsiaTheme="minorEastAsia" w:cstheme="minorEastAsia"/>
          <w:spacing w:val="2"/>
          <w:sz w:val="24"/>
          <w:szCs w:val="24"/>
          <w:u w:val="single" w:color="auto"/>
        </w:rPr>
      </w:pPr>
      <w:r>
        <w:rPr>
          <w:rFonts w:hint="eastAsia" w:asciiTheme="minorEastAsia" w:hAnsiTheme="minorEastAsia" w:eastAsiaTheme="minorEastAsia" w:cstheme="minorEastAsia"/>
          <w:spacing w:val="-2"/>
          <w:sz w:val="24"/>
          <w:szCs w:val="24"/>
        </w:rPr>
        <w:t>项目编号：</w:t>
      </w:r>
      <w:r>
        <w:rPr>
          <w:rFonts w:hint="eastAsia" w:asciiTheme="minorEastAsia" w:hAnsiTheme="minorEastAsia" w:eastAsiaTheme="minorEastAsia" w:cstheme="minorEastAsia"/>
          <w:sz w:val="24"/>
          <w:szCs w:val="24"/>
          <w:u w:val="single"/>
          <w:lang w:val="en-US" w:eastAsia="zh-CN"/>
        </w:rPr>
        <w:t xml:space="preserve">                          </w:t>
      </w:r>
    </w:p>
    <w:p w14:paraId="29105203">
      <w:pPr>
        <w:spacing w:line="234" w:lineRule="exact"/>
        <w:jc w:val="left"/>
        <w:rPr>
          <w:rFonts w:hint="eastAsia" w:asciiTheme="minorEastAsia" w:hAnsiTheme="minorEastAsia" w:eastAsiaTheme="minorEastAsia" w:cstheme="minorEastAsia"/>
          <w:sz w:val="24"/>
          <w:szCs w:val="24"/>
        </w:rPr>
      </w:pPr>
    </w:p>
    <w:tbl>
      <w:tblPr>
        <w:tblStyle w:val="60"/>
        <w:tblW w:w="93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972"/>
        <w:gridCol w:w="1755"/>
        <w:gridCol w:w="886"/>
        <w:gridCol w:w="886"/>
        <w:gridCol w:w="928"/>
        <w:gridCol w:w="1051"/>
        <w:gridCol w:w="1069"/>
        <w:gridCol w:w="1069"/>
      </w:tblGrid>
      <w:tr w14:paraId="55B88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770" w:type="dxa"/>
            <w:noWrap w:val="0"/>
            <w:vAlign w:val="center"/>
          </w:tcPr>
          <w:p w14:paraId="3EBC8E9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972" w:type="dxa"/>
            <w:noWrap w:val="0"/>
            <w:vAlign w:val="center"/>
          </w:tcPr>
          <w:p w14:paraId="13569CC5">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品类</w:t>
            </w:r>
          </w:p>
        </w:tc>
        <w:tc>
          <w:tcPr>
            <w:tcW w:w="1755" w:type="dxa"/>
            <w:noWrap w:val="0"/>
            <w:vAlign w:val="center"/>
          </w:tcPr>
          <w:p w14:paraId="033C931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品牌、规格要求</w:t>
            </w:r>
          </w:p>
        </w:tc>
        <w:tc>
          <w:tcPr>
            <w:tcW w:w="886" w:type="dxa"/>
            <w:noWrap w:val="0"/>
            <w:vAlign w:val="center"/>
          </w:tcPr>
          <w:p w14:paraId="2B3E0B9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数量</w:t>
            </w:r>
          </w:p>
        </w:tc>
        <w:tc>
          <w:tcPr>
            <w:tcW w:w="886" w:type="dxa"/>
            <w:noWrap w:val="0"/>
            <w:vAlign w:val="center"/>
          </w:tcPr>
          <w:p w14:paraId="70371BB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单位</w:t>
            </w:r>
          </w:p>
        </w:tc>
        <w:tc>
          <w:tcPr>
            <w:tcW w:w="928" w:type="dxa"/>
            <w:noWrap w:val="0"/>
            <w:vAlign w:val="center"/>
          </w:tcPr>
          <w:p w14:paraId="5C9BDEA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单价（元）</w:t>
            </w:r>
          </w:p>
        </w:tc>
        <w:tc>
          <w:tcPr>
            <w:tcW w:w="1051" w:type="dxa"/>
            <w:noWrap w:val="0"/>
            <w:vAlign w:val="center"/>
          </w:tcPr>
          <w:p w14:paraId="0BB012C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总价（元）</w:t>
            </w:r>
          </w:p>
        </w:tc>
        <w:tc>
          <w:tcPr>
            <w:tcW w:w="1069" w:type="dxa"/>
            <w:noWrap w:val="0"/>
            <w:vAlign w:val="center"/>
          </w:tcPr>
          <w:p w14:paraId="0DAFBBCF">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生产厂家</w:t>
            </w:r>
          </w:p>
        </w:tc>
        <w:tc>
          <w:tcPr>
            <w:tcW w:w="1069" w:type="dxa"/>
            <w:noWrap w:val="0"/>
            <w:vAlign w:val="center"/>
          </w:tcPr>
          <w:p w14:paraId="26E4D26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r w14:paraId="06564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2197B53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11F2CC4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68F811C9">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6C80057A">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092FED2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10A8ED2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75B4971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6E12B75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5028C77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390F5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14D7E69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6DF4796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61B8686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6C1A3D9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13ADB51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7C081A8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020DD8D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0B79CCC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518BA2B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6C3B3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770" w:type="dxa"/>
            <w:noWrap w:val="0"/>
            <w:vAlign w:val="top"/>
          </w:tcPr>
          <w:p w14:paraId="76C287D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7A70F6E4">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24D9226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678272BA">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79551A47">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227140D7">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52180851">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621623C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19C2A64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704E5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012F4784">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49652BC4">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053F9FF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0B3F5EBF">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4133230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473A3E02">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315B33FA">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421BDA19">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064950C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219B4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0594A546">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72" w:type="dxa"/>
            <w:noWrap w:val="0"/>
            <w:vAlign w:val="top"/>
          </w:tcPr>
          <w:p w14:paraId="0736051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755" w:type="dxa"/>
            <w:noWrap w:val="0"/>
            <w:vAlign w:val="top"/>
          </w:tcPr>
          <w:p w14:paraId="4986FA1E">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15D838D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886" w:type="dxa"/>
            <w:noWrap w:val="0"/>
            <w:vAlign w:val="top"/>
          </w:tcPr>
          <w:p w14:paraId="7EFE904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928" w:type="dxa"/>
            <w:noWrap w:val="0"/>
            <w:vAlign w:val="top"/>
          </w:tcPr>
          <w:p w14:paraId="3F374C0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51" w:type="dxa"/>
            <w:noWrap w:val="0"/>
            <w:vAlign w:val="top"/>
          </w:tcPr>
          <w:p w14:paraId="01924E8D">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72DE9E20">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c>
          <w:tcPr>
            <w:tcW w:w="1069" w:type="dxa"/>
            <w:noWrap w:val="0"/>
            <w:vAlign w:val="top"/>
          </w:tcPr>
          <w:p w14:paraId="53584398">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tc>
      </w:tr>
      <w:tr w14:paraId="2222D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1742" w:type="dxa"/>
            <w:gridSpan w:val="2"/>
            <w:noWrap w:val="0"/>
            <w:vAlign w:val="top"/>
          </w:tcPr>
          <w:p w14:paraId="16851FD3">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23C5815F">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43DDE1AC">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091304F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4E0A6CC1">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投标总价</w:t>
            </w:r>
          </w:p>
        </w:tc>
        <w:tc>
          <w:tcPr>
            <w:tcW w:w="7644" w:type="dxa"/>
            <w:gridSpan w:val="7"/>
            <w:noWrap w:val="0"/>
            <w:vAlign w:val="top"/>
          </w:tcPr>
          <w:p w14:paraId="0E56BE1B">
            <w:pPr>
              <w:snapToGrid w:val="0"/>
              <w:spacing w:line="400" w:lineRule="exact"/>
              <w:ind w:left="120" w:leftChars="0" w:right="62" w:rightChars="0" w:hanging="120" w:hangingChars="50"/>
              <w:jc w:val="center"/>
              <w:rPr>
                <w:rFonts w:hint="eastAsia" w:asciiTheme="minorEastAsia" w:hAnsiTheme="minorEastAsia" w:eastAsiaTheme="minorEastAsia" w:cstheme="minorEastAsia"/>
                <w:color w:val="auto"/>
                <w:sz w:val="24"/>
                <w:szCs w:val="24"/>
                <w:highlight w:val="none"/>
                <w:lang w:val="en-US" w:eastAsia="zh-CN"/>
              </w:rPr>
            </w:pPr>
          </w:p>
          <w:p w14:paraId="471BE4F3">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60EDBDC8">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p>
          <w:p w14:paraId="5AF5961F">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p>
          <w:p w14:paraId="4BF891A7">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元</w:t>
            </w:r>
          </w:p>
          <w:p w14:paraId="292E4B38">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p>
          <w:p w14:paraId="3D1F1321">
            <w:pPr>
              <w:snapToGrid w:val="0"/>
              <w:spacing w:line="400" w:lineRule="exact"/>
              <w:ind w:left="120" w:leftChars="0" w:right="62" w:rightChars="0" w:hanging="120" w:hangingChars="5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年     月     日</w:t>
            </w:r>
          </w:p>
        </w:tc>
      </w:tr>
      <w:tr w14:paraId="06BA5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386" w:type="dxa"/>
            <w:gridSpan w:val="9"/>
            <w:noWrap w:val="0"/>
            <w:vAlign w:val="top"/>
          </w:tcPr>
          <w:p w14:paraId="36C18757">
            <w:pPr>
              <w:snapToGrid w:val="0"/>
              <w:spacing w:line="400" w:lineRule="exact"/>
              <w:ind w:left="120" w:leftChars="0" w:right="62" w:rightChars="0" w:hanging="120" w:hangingChars="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bl>
    <w:p w14:paraId="29D5D255">
      <w:pPr>
        <w:spacing w:line="245" w:lineRule="auto"/>
        <w:jc w:val="left"/>
        <w:rPr>
          <w:rFonts w:hint="eastAsia" w:asciiTheme="minorEastAsia" w:hAnsiTheme="minorEastAsia" w:eastAsiaTheme="minorEastAsia" w:cstheme="minorEastAsia"/>
          <w:sz w:val="24"/>
          <w:szCs w:val="24"/>
        </w:rPr>
      </w:pPr>
    </w:p>
    <w:p w14:paraId="5AF60FE3">
      <w:pPr>
        <w:spacing w:line="245" w:lineRule="auto"/>
        <w:jc w:val="left"/>
        <w:rPr>
          <w:rFonts w:hint="eastAsia" w:asciiTheme="minorEastAsia" w:hAnsiTheme="minorEastAsia" w:eastAsiaTheme="minorEastAsia" w:cstheme="minorEastAsia"/>
          <w:sz w:val="24"/>
          <w:szCs w:val="24"/>
        </w:rPr>
      </w:pPr>
    </w:p>
    <w:p w14:paraId="05C659F9">
      <w:pPr>
        <w:spacing w:before="78" w:line="468" w:lineRule="exact"/>
        <w:ind w:left="195" w:leftChars="93" w:firstLine="321"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16"/>
          <w:sz w:val="24"/>
          <w:szCs w:val="24"/>
        </w:rPr>
        <w:t>投标人名称（</w:t>
      </w:r>
      <w:r>
        <w:rPr>
          <w:rFonts w:hint="eastAsia" w:asciiTheme="minorEastAsia" w:hAnsiTheme="minorEastAsia" w:eastAsiaTheme="minorEastAsia" w:cstheme="minorEastAsia"/>
          <w:spacing w:val="-13"/>
          <w:position w:val="16"/>
          <w:sz w:val="24"/>
          <w:szCs w:val="24"/>
          <w:lang w:eastAsia="zh-CN"/>
        </w:rPr>
        <w:t>盖章</w:t>
      </w:r>
      <w:r>
        <w:rPr>
          <w:rFonts w:hint="eastAsia" w:asciiTheme="minorEastAsia" w:hAnsiTheme="minorEastAsia" w:eastAsiaTheme="minorEastAsia" w:cstheme="minorEastAsia"/>
          <w:spacing w:val="-84"/>
          <w:position w:val="16"/>
          <w:sz w:val="24"/>
          <w:szCs w:val="24"/>
        </w:rPr>
        <w:t>）：</w:t>
      </w:r>
    </w:p>
    <w:p w14:paraId="48D2B284">
      <w:pPr>
        <w:spacing w:before="1" w:line="204" w:lineRule="auto"/>
        <w:ind w:left="195" w:leftChars="93" w:firstLine="321"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法定代表人（</w:t>
      </w:r>
      <w:r>
        <w:rPr>
          <w:rFonts w:hint="eastAsia" w:asciiTheme="minorEastAsia" w:hAnsiTheme="minorEastAsia" w:eastAsiaTheme="minorEastAsia" w:cstheme="minorEastAsia"/>
          <w:spacing w:val="-13"/>
          <w:sz w:val="24"/>
          <w:szCs w:val="24"/>
          <w:lang w:eastAsia="zh-CN"/>
        </w:rPr>
        <w:t>签字或盖章</w:t>
      </w:r>
      <w:r>
        <w:rPr>
          <w:rFonts w:hint="eastAsia" w:asciiTheme="minorEastAsia" w:hAnsiTheme="minorEastAsia" w:eastAsiaTheme="minorEastAsia" w:cstheme="minorEastAsia"/>
          <w:spacing w:val="-84"/>
          <w:sz w:val="24"/>
          <w:szCs w:val="24"/>
        </w:rPr>
        <w:t>）：</w:t>
      </w:r>
    </w:p>
    <w:p w14:paraId="540246F9">
      <w:pPr>
        <w:adjustRightInd w:val="0"/>
        <w:snapToGrid w:val="0"/>
        <w:spacing w:line="360" w:lineRule="auto"/>
        <w:ind w:left="210" w:leftChars="100" w:firstLine="360" w:firstLineChars="15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w:t>
      </w:r>
    </w:p>
    <w:p w14:paraId="11B3D226">
      <w:pPr>
        <w:spacing w:before="79" w:line="185" w:lineRule="auto"/>
        <w:ind w:left="1207" w:leftChars="114" w:hanging="968" w:hangingChars="4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注：</w:t>
      </w:r>
      <w:r>
        <w:rPr>
          <w:rFonts w:hint="eastAsia" w:asciiTheme="minorEastAsia" w:hAnsiTheme="minorEastAsia" w:eastAsiaTheme="minorEastAsia" w:cstheme="minorEastAsia"/>
          <w:spacing w:val="-10"/>
          <w:sz w:val="24"/>
          <w:szCs w:val="24"/>
          <w:lang w:val="en-US" w:eastAsia="zh-CN"/>
        </w:rPr>
        <w:t xml:space="preserve"> </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0"/>
          <w:sz w:val="24"/>
          <w:szCs w:val="24"/>
        </w:rPr>
        <w:t>、投标人必须填写报价明细表</w:t>
      </w:r>
      <w:r>
        <w:rPr>
          <w:rFonts w:hint="eastAsia" w:asciiTheme="minorEastAsia" w:hAnsiTheme="minorEastAsia" w:eastAsiaTheme="minorEastAsia" w:cstheme="minorEastAsia"/>
          <w:spacing w:val="-10"/>
          <w:sz w:val="24"/>
          <w:szCs w:val="24"/>
          <w:lang w:eastAsia="zh-CN"/>
        </w:rPr>
        <w:t>且</w:t>
      </w:r>
      <w:r>
        <w:rPr>
          <w:rFonts w:hint="eastAsia" w:asciiTheme="minorEastAsia" w:hAnsiTheme="minorEastAsia" w:eastAsiaTheme="minorEastAsia" w:cstheme="minorEastAsia"/>
          <w:spacing w:val="-10"/>
          <w:sz w:val="24"/>
          <w:szCs w:val="24"/>
          <w:lang w:val="en-US" w:eastAsia="zh-CN"/>
        </w:rPr>
        <w:t>明细表中需包含服务需求表中所有内容，</w:t>
      </w:r>
      <w:r>
        <w:rPr>
          <w:rFonts w:hint="eastAsia" w:asciiTheme="minorEastAsia" w:hAnsiTheme="minorEastAsia" w:eastAsiaTheme="minorEastAsia" w:cstheme="minorEastAsia"/>
          <w:spacing w:val="-10"/>
          <w:sz w:val="24"/>
          <w:szCs w:val="24"/>
        </w:rPr>
        <w:t>否则将导致投标被拒绝。</w:t>
      </w:r>
    </w:p>
    <w:p w14:paraId="61B6F486">
      <w:pPr>
        <w:spacing w:before="228" w:line="185" w:lineRule="auto"/>
        <w:ind w:firstLine="654"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2、报价分析表中的“投标总价”应等于“开标一览表”中的“投标总价”。</w:t>
      </w:r>
    </w:p>
    <w:p w14:paraId="0A93B016">
      <w:pPr>
        <w:spacing w:before="227" w:line="185" w:lineRule="auto"/>
        <w:ind w:firstLine="702" w:firstLineChars="300"/>
        <w:jc w:val="left"/>
        <w:outlineLvl w:val="2"/>
        <w:rPr>
          <w:rFonts w:hint="eastAsia" w:asciiTheme="minorEastAsia" w:hAnsiTheme="minorEastAsia" w:eastAsiaTheme="minorEastAsia" w:cstheme="minorEastAsia"/>
          <w:sz w:val="24"/>
          <w:szCs w:val="24"/>
          <w:lang w:eastAsia="zh-CN"/>
        </w:rPr>
        <w:sectPr>
          <w:footerReference r:id="rId8" w:type="default"/>
          <w:type w:val="continuous"/>
          <w:pgSz w:w="11905" w:h="16838"/>
          <w:pgMar w:top="1304" w:right="964" w:bottom="1020" w:left="1191" w:header="567" w:footer="454" w:gutter="0"/>
          <w:pgNumType w:fmt="decimal"/>
          <w:cols w:space="720" w:num="1"/>
          <w:rtlGutter w:val="0"/>
          <w:docGrid w:type="lines" w:linePitch="317" w:charSpace="0"/>
        </w:sectPr>
      </w:pPr>
      <w:bookmarkStart w:id="598" w:name="_Toc15566"/>
      <w:r>
        <w:rPr>
          <w:rFonts w:hint="eastAsia" w:asciiTheme="minorEastAsia" w:hAnsiTheme="minorEastAsia" w:eastAsiaTheme="minorEastAsia" w:cstheme="minorEastAsia"/>
          <w:spacing w:val="-3"/>
          <w:sz w:val="24"/>
          <w:szCs w:val="24"/>
        </w:rPr>
        <w:t>3、报价项目填报不下的，可自行扩</w:t>
      </w:r>
      <w:r>
        <w:rPr>
          <w:rFonts w:hint="eastAsia" w:asciiTheme="minorEastAsia" w:hAnsiTheme="minorEastAsia" w:eastAsiaTheme="minorEastAsia" w:cstheme="minorEastAsia"/>
          <w:spacing w:val="-3"/>
          <w:sz w:val="24"/>
          <w:szCs w:val="24"/>
          <w:lang w:val="en-US" w:eastAsia="zh-CN"/>
        </w:rPr>
        <w:t>展</w:t>
      </w:r>
      <w:bookmarkEnd w:id="598"/>
    </w:p>
    <w:p w14:paraId="1B3EDD3D">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bookmarkStart w:id="599" w:name="_Toc23314"/>
      <w:bookmarkStart w:id="600" w:name="_Toc8739"/>
    </w:p>
    <w:p w14:paraId="106C353B">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p>
    <w:p w14:paraId="216740D9">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p>
    <w:p w14:paraId="2FA0CA5D">
      <w:pPr>
        <w:numPr>
          <w:ilvl w:val="0"/>
          <w:numId w:val="0"/>
        </w:numPr>
        <w:spacing w:line="440" w:lineRule="exact"/>
        <w:jc w:val="both"/>
        <w:outlineLvl w:val="1"/>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w:t>
      </w:r>
      <w:bookmarkEnd w:id="599"/>
      <w:bookmarkEnd w:id="600"/>
      <w:r>
        <w:rPr>
          <w:rFonts w:hint="eastAsia" w:asciiTheme="minorEastAsia" w:hAnsiTheme="minorEastAsia" w:eastAsiaTheme="minorEastAsia" w:cstheme="minorEastAsia"/>
          <w:b/>
          <w:color w:val="000000"/>
          <w:sz w:val="28"/>
          <w:szCs w:val="24"/>
          <w:lang w:val="en-US" w:eastAsia="zh-CN"/>
        </w:rPr>
        <w:t>四</w:t>
      </w:r>
    </w:p>
    <w:p w14:paraId="1C5FA0B6">
      <w:pPr>
        <w:jc w:val="center"/>
        <w:rPr>
          <w:rFonts w:hint="eastAsia" w:asciiTheme="minorEastAsia" w:hAnsiTheme="minorEastAsia" w:eastAsiaTheme="minorEastAsia" w:cstheme="minorEastAsia"/>
          <w:b/>
          <w:color w:val="000000"/>
          <w:sz w:val="32"/>
          <w:szCs w:val="28"/>
        </w:rPr>
      </w:pPr>
      <w:r>
        <w:rPr>
          <w:rFonts w:hint="eastAsia" w:asciiTheme="minorEastAsia" w:hAnsiTheme="minorEastAsia" w:eastAsiaTheme="minorEastAsia" w:cstheme="minorEastAsia"/>
          <w:b/>
          <w:color w:val="000000"/>
          <w:sz w:val="32"/>
          <w:szCs w:val="28"/>
        </w:rPr>
        <w:t>投标单位简介</w:t>
      </w:r>
    </w:p>
    <w:p w14:paraId="211804DF">
      <w:pP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8"/>
          <w:szCs w:val="28"/>
        </w:rPr>
        <w:t xml:space="preserve">    </w:t>
      </w:r>
    </w:p>
    <w:p w14:paraId="3705B0CB">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投标人自行编制</w:t>
      </w:r>
    </w:p>
    <w:p w14:paraId="21B9FFAB">
      <w:pPr>
        <w:ind w:firstLine="482" w:firstLineChars="200"/>
        <w:rPr>
          <w:rFonts w:hint="eastAsia" w:asciiTheme="minorEastAsia" w:hAnsiTheme="minorEastAsia" w:eastAsiaTheme="minorEastAsia" w:cstheme="minorEastAsia"/>
          <w:b/>
          <w:color w:val="000000"/>
          <w:sz w:val="24"/>
          <w:szCs w:val="24"/>
        </w:rPr>
      </w:pPr>
    </w:p>
    <w:p w14:paraId="09CFA980">
      <w:pPr>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后附：投标人单位相关资质证件</w:t>
      </w:r>
    </w:p>
    <w:p w14:paraId="2D819720">
      <w:pPr>
        <w:numPr>
          <w:ilvl w:val="0"/>
          <w:numId w:val="0"/>
        </w:numPr>
        <w:spacing w:line="440" w:lineRule="exact"/>
        <w:jc w:val="both"/>
        <w:rPr>
          <w:rFonts w:hint="eastAsia" w:asciiTheme="minorEastAsia" w:hAnsiTheme="minorEastAsia" w:eastAsiaTheme="minorEastAsia" w:cstheme="minorEastAsia"/>
          <w:b/>
          <w:color w:val="000000"/>
          <w:sz w:val="24"/>
          <w:szCs w:val="24"/>
          <w:lang w:val="en-US" w:eastAsia="zh-CN"/>
        </w:rPr>
      </w:pPr>
    </w:p>
    <w:p w14:paraId="669298B3">
      <w:pPr>
        <w:numPr>
          <w:ilvl w:val="0"/>
          <w:numId w:val="0"/>
        </w:numPr>
        <w:spacing w:line="440" w:lineRule="exact"/>
        <w:jc w:val="both"/>
        <w:rPr>
          <w:rFonts w:hint="eastAsia" w:asciiTheme="minorEastAsia" w:hAnsiTheme="minorEastAsia" w:eastAsiaTheme="minorEastAsia" w:cstheme="minorEastAsia"/>
          <w:b/>
          <w:color w:val="000000"/>
          <w:sz w:val="24"/>
          <w:szCs w:val="24"/>
          <w:lang w:val="en-US" w:eastAsia="zh-CN"/>
        </w:rPr>
      </w:pPr>
    </w:p>
    <w:p w14:paraId="167E5B97">
      <w:pPr>
        <w:numPr>
          <w:ilvl w:val="0"/>
          <w:numId w:val="0"/>
        </w:numPr>
        <w:spacing w:line="440" w:lineRule="exact"/>
        <w:jc w:val="both"/>
        <w:rPr>
          <w:rFonts w:hint="eastAsia" w:asciiTheme="minorEastAsia" w:hAnsiTheme="minorEastAsia" w:eastAsiaTheme="minorEastAsia" w:cstheme="minorEastAsia"/>
          <w:b/>
          <w:color w:val="000000"/>
          <w:sz w:val="24"/>
          <w:szCs w:val="24"/>
          <w:lang w:val="en-US" w:eastAsia="zh-CN"/>
        </w:rPr>
      </w:pPr>
    </w:p>
    <w:p w14:paraId="07221B07">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411CC42E">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0674EA82">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1EC181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5A485BF">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1D23139">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61C60CE8">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ADB3FA8">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0521B0B">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0D90DAA7">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35D509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252EC8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585D1E99">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B17CFA6">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21C55FDE">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FF4A8A1">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421567B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13F21A4E">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0C261A5">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E057DC2">
      <w:pPr>
        <w:pStyle w:val="12"/>
        <w:rPr>
          <w:rFonts w:hint="eastAsia" w:asciiTheme="minorEastAsia" w:hAnsiTheme="minorEastAsia" w:eastAsiaTheme="minorEastAsia" w:cstheme="minorEastAsia"/>
          <w:b/>
          <w:color w:val="000000"/>
          <w:sz w:val="28"/>
          <w:szCs w:val="24"/>
          <w:lang w:val="en-US" w:eastAsia="zh-CN"/>
        </w:rPr>
      </w:pPr>
    </w:p>
    <w:p w14:paraId="22D97E99">
      <w:pPr>
        <w:rPr>
          <w:rFonts w:hint="eastAsia"/>
          <w:lang w:val="en-US" w:eastAsia="zh-CN"/>
        </w:rPr>
      </w:pPr>
    </w:p>
    <w:p w14:paraId="5DC1FB6C">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671818CA">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636E39D7">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51C0BB2A">
      <w:pPr>
        <w:pStyle w:val="14"/>
        <w:spacing w:line="240" w:lineRule="auto"/>
        <w:ind w:left="0" w:leftChars="0" w:firstLine="0" w:firstLineChars="0"/>
        <w:jc w:val="both"/>
        <w:rPr>
          <w:rFonts w:hint="eastAsia" w:asciiTheme="minorEastAsia" w:hAnsiTheme="minorEastAsia" w:eastAsiaTheme="minorEastAsia" w:cstheme="minorEastAsia"/>
          <w:b/>
          <w:color w:val="000000"/>
          <w:sz w:val="32"/>
          <w:szCs w:val="28"/>
          <w:lang w:val="en-US" w:eastAsia="zh-CN"/>
        </w:rPr>
      </w:pPr>
      <w:r>
        <w:rPr>
          <w:rFonts w:hint="eastAsia" w:asciiTheme="minorEastAsia" w:hAnsiTheme="minorEastAsia" w:eastAsiaTheme="minorEastAsia" w:cstheme="minorEastAsia"/>
          <w:b/>
          <w:color w:val="000000"/>
          <w:sz w:val="28"/>
          <w:szCs w:val="24"/>
          <w:lang w:val="en-US" w:eastAsia="zh-CN"/>
        </w:rPr>
        <w:t>附件五</w:t>
      </w:r>
    </w:p>
    <w:p w14:paraId="16215893">
      <w:pPr>
        <w:pStyle w:val="14"/>
        <w:spacing w:line="240" w:lineRule="auto"/>
        <w:ind w:left="0" w:leftChars="0" w:firstLine="0" w:firstLineChars="0"/>
        <w:jc w:val="center"/>
        <w:rPr>
          <w:rFonts w:hint="eastAsia" w:asciiTheme="minorEastAsia" w:hAnsiTheme="minorEastAsia" w:eastAsiaTheme="minorEastAsia" w:cstheme="minorEastAsia"/>
          <w:b/>
          <w:color w:val="000000"/>
          <w:sz w:val="32"/>
          <w:szCs w:val="28"/>
          <w:lang w:eastAsia="zh-CN"/>
        </w:rPr>
      </w:pPr>
      <w:r>
        <w:rPr>
          <w:rFonts w:hint="eastAsia" w:asciiTheme="minorEastAsia" w:hAnsiTheme="minorEastAsia" w:eastAsiaTheme="minorEastAsia" w:cstheme="minorEastAsia"/>
          <w:b/>
          <w:color w:val="000000"/>
          <w:sz w:val="32"/>
          <w:szCs w:val="28"/>
        </w:rPr>
        <w:t>出具法人营业执照函</w:t>
      </w:r>
    </w:p>
    <w:p w14:paraId="55D3760B">
      <w:pPr>
        <w:rPr>
          <w:rFonts w:hint="eastAsia" w:asciiTheme="minorEastAsia" w:hAnsiTheme="minorEastAsia" w:eastAsiaTheme="minorEastAsia" w:cstheme="minorEastAsia"/>
          <w:color w:val="000000"/>
          <w:sz w:val="24"/>
          <w:szCs w:val="24"/>
        </w:rPr>
      </w:pPr>
    </w:p>
    <w:p w14:paraId="3EEBDCBE">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DCD472E">
      <w:pPr>
        <w:rPr>
          <w:rFonts w:hint="eastAsia" w:asciiTheme="minorEastAsia" w:hAnsiTheme="minorEastAsia" w:eastAsiaTheme="minorEastAsia" w:cstheme="minorEastAsia"/>
          <w:color w:val="000000"/>
          <w:sz w:val="24"/>
          <w:szCs w:val="24"/>
        </w:rPr>
      </w:pPr>
    </w:p>
    <w:p w14:paraId="3C39713D">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现附上由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（签发机关名称）签发的我方法人营业执照复印件，该执照已经年检，真实有效。</w:t>
      </w:r>
    </w:p>
    <w:p w14:paraId="30BD2031">
      <w:pPr>
        <w:ind w:firstLine="852"/>
        <w:rPr>
          <w:rFonts w:hint="eastAsia" w:asciiTheme="minorEastAsia" w:hAnsiTheme="minorEastAsia" w:eastAsiaTheme="minorEastAsia" w:cstheme="minorEastAsia"/>
          <w:color w:val="000000"/>
          <w:sz w:val="24"/>
          <w:szCs w:val="24"/>
        </w:rPr>
      </w:pPr>
    </w:p>
    <w:p w14:paraId="671CF7E9">
      <w:pPr>
        <w:ind w:firstLine="852"/>
        <w:rPr>
          <w:rFonts w:hint="eastAsia" w:asciiTheme="minorEastAsia" w:hAnsiTheme="minorEastAsia" w:eastAsiaTheme="minorEastAsia" w:cstheme="minorEastAsia"/>
          <w:color w:val="000000"/>
          <w:sz w:val="24"/>
          <w:szCs w:val="24"/>
        </w:rPr>
      </w:pPr>
    </w:p>
    <w:p w14:paraId="027D7030">
      <w:pPr>
        <w:ind w:firstLine="852"/>
        <w:rPr>
          <w:rFonts w:hint="eastAsia" w:asciiTheme="minorEastAsia" w:hAnsiTheme="minorEastAsia" w:eastAsiaTheme="minorEastAsia" w:cstheme="minorEastAsia"/>
          <w:color w:val="000000"/>
          <w:sz w:val="24"/>
          <w:szCs w:val="24"/>
        </w:rPr>
      </w:pPr>
    </w:p>
    <w:p w14:paraId="468370F0">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投标单位名称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6027FF79">
      <w:pPr>
        <w:rPr>
          <w:rFonts w:hint="eastAsia" w:asciiTheme="minorEastAsia" w:hAnsiTheme="minorEastAsia" w:eastAsiaTheme="minorEastAsia" w:cstheme="minorEastAsia"/>
          <w:color w:val="000000"/>
          <w:sz w:val="24"/>
          <w:szCs w:val="24"/>
        </w:rPr>
      </w:pPr>
    </w:p>
    <w:p w14:paraId="0915617B">
      <w:pPr>
        <w:rPr>
          <w:rFonts w:hint="eastAsia" w:asciiTheme="minorEastAsia" w:hAnsiTheme="minorEastAsia" w:eastAsiaTheme="minorEastAsia" w:cstheme="minorEastAsia"/>
          <w:color w:val="000000"/>
          <w:sz w:val="24"/>
          <w:szCs w:val="24"/>
        </w:rPr>
      </w:pPr>
    </w:p>
    <w:p w14:paraId="423AB927">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签字或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rPr>
        <w:t xml:space="preserve">                </w:t>
      </w:r>
    </w:p>
    <w:p w14:paraId="41666CA7">
      <w:pPr>
        <w:rPr>
          <w:rFonts w:hint="eastAsia" w:asciiTheme="minorEastAsia" w:hAnsiTheme="minorEastAsia" w:eastAsiaTheme="minorEastAsia" w:cstheme="minorEastAsia"/>
          <w:color w:val="000000"/>
          <w:sz w:val="24"/>
          <w:szCs w:val="24"/>
        </w:rPr>
      </w:pPr>
    </w:p>
    <w:p w14:paraId="337FBF22">
      <w:pPr>
        <w:rPr>
          <w:rFonts w:hint="eastAsia" w:asciiTheme="minorEastAsia" w:hAnsiTheme="minorEastAsia" w:eastAsiaTheme="minorEastAsia" w:cstheme="minorEastAsia"/>
          <w:color w:val="000000"/>
          <w:sz w:val="24"/>
          <w:szCs w:val="24"/>
        </w:rPr>
      </w:pPr>
    </w:p>
    <w:p w14:paraId="3EBB243F">
      <w:pPr>
        <w:ind w:firstLine="3290" w:firstLineChars="1371"/>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45F65DC">
      <w:pPr>
        <w:jc w:val="right"/>
        <w:rPr>
          <w:rFonts w:hint="eastAsia" w:asciiTheme="minorEastAsia" w:hAnsiTheme="minorEastAsia" w:eastAsiaTheme="minorEastAsia" w:cstheme="minorEastAsia"/>
          <w:color w:val="000000"/>
          <w:sz w:val="24"/>
          <w:szCs w:val="24"/>
        </w:rPr>
      </w:pPr>
    </w:p>
    <w:p w14:paraId="75EE7ECB">
      <w:pPr>
        <w:rPr>
          <w:rFonts w:hint="eastAsia" w:asciiTheme="minorEastAsia" w:hAnsiTheme="minorEastAsia" w:eastAsiaTheme="minorEastAsia" w:cstheme="minorEastAsia"/>
          <w:color w:val="000000"/>
          <w:sz w:val="24"/>
          <w:szCs w:val="24"/>
        </w:rPr>
      </w:pPr>
    </w:p>
    <w:p w14:paraId="7C23355C">
      <w:pPr>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后附：投标单位三合一营业执照复印件</w:t>
      </w:r>
    </w:p>
    <w:p w14:paraId="42DD48B1">
      <w:pPr>
        <w:pStyle w:val="9"/>
        <w:overflowPunct w:val="0"/>
        <w:snapToGrid w:val="0"/>
        <w:spacing w:line="360" w:lineRule="auto"/>
        <w:ind w:firstLine="0"/>
        <w:rPr>
          <w:rFonts w:hint="eastAsia" w:asciiTheme="minorEastAsia" w:hAnsiTheme="minorEastAsia" w:eastAsiaTheme="minorEastAsia" w:cstheme="minorEastAsia"/>
          <w:color w:val="000000"/>
          <w:sz w:val="24"/>
          <w:szCs w:val="24"/>
          <w:lang w:eastAsia="zh-CN"/>
        </w:rPr>
      </w:pPr>
    </w:p>
    <w:p w14:paraId="2CF58FC1">
      <w:pPr>
        <w:rPr>
          <w:rFonts w:hint="eastAsia" w:asciiTheme="minorEastAsia" w:hAnsiTheme="minorEastAsia" w:eastAsiaTheme="minorEastAsia" w:cstheme="minorEastAsia"/>
          <w:color w:val="000000"/>
          <w:sz w:val="24"/>
          <w:szCs w:val="24"/>
          <w:lang w:eastAsia="zh-CN"/>
        </w:rPr>
      </w:pPr>
    </w:p>
    <w:p w14:paraId="7DC7E0AC">
      <w:pPr>
        <w:pStyle w:val="6"/>
        <w:outlineLvl w:val="9"/>
        <w:rPr>
          <w:rFonts w:hint="eastAsia" w:asciiTheme="minorEastAsia" w:hAnsiTheme="minorEastAsia" w:eastAsiaTheme="minorEastAsia" w:cstheme="minorEastAsia"/>
          <w:color w:val="000000"/>
          <w:sz w:val="24"/>
          <w:szCs w:val="24"/>
          <w:lang w:eastAsia="zh-CN"/>
        </w:rPr>
      </w:pPr>
    </w:p>
    <w:p w14:paraId="05D9BE99">
      <w:pPr>
        <w:rPr>
          <w:rFonts w:hint="eastAsia" w:asciiTheme="minorEastAsia" w:hAnsiTheme="minorEastAsia" w:eastAsiaTheme="minorEastAsia" w:cstheme="minorEastAsia"/>
          <w:color w:val="000000"/>
          <w:sz w:val="24"/>
          <w:szCs w:val="24"/>
          <w:lang w:eastAsia="zh-CN"/>
        </w:rPr>
      </w:pPr>
    </w:p>
    <w:p w14:paraId="302671DE">
      <w:pPr>
        <w:pStyle w:val="12"/>
        <w:rPr>
          <w:rFonts w:hint="eastAsia" w:asciiTheme="minorEastAsia" w:hAnsiTheme="minorEastAsia" w:eastAsiaTheme="minorEastAsia" w:cstheme="minorEastAsia"/>
          <w:color w:val="000000"/>
          <w:sz w:val="24"/>
          <w:szCs w:val="24"/>
          <w:lang w:eastAsia="zh-CN"/>
        </w:rPr>
      </w:pPr>
    </w:p>
    <w:p w14:paraId="1523DC20">
      <w:pPr>
        <w:rPr>
          <w:rFonts w:hint="eastAsia" w:asciiTheme="minorEastAsia" w:hAnsiTheme="minorEastAsia" w:eastAsiaTheme="minorEastAsia" w:cstheme="minorEastAsia"/>
          <w:color w:val="000000"/>
          <w:sz w:val="24"/>
          <w:szCs w:val="24"/>
          <w:lang w:eastAsia="zh-CN"/>
        </w:rPr>
      </w:pPr>
    </w:p>
    <w:p w14:paraId="619EB735">
      <w:pPr>
        <w:pStyle w:val="12"/>
        <w:rPr>
          <w:rFonts w:hint="eastAsia" w:asciiTheme="minorEastAsia" w:hAnsiTheme="minorEastAsia" w:eastAsiaTheme="minorEastAsia" w:cstheme="minorEastAsia"/>
          <w:color w:val="000000"/>
          <w:sz w:val="24"/>
          <w:szCs w:val="24"/>
          <w:lang w:eastAsia="zh-CN"/>
        </w:rPr>
      </w:pPr>
    </w:p>
    <w:p w14:paraId="3CE4E4DF">
      <w:pPr>
        <w:rPr>
          <w:rFonts w:hint="eastAsia" w:asciiTheme="minorEastAsia" w:hAnsiTheme="minorEastAsia" w:eastAsiaTheme="minorEastAsia" w:cstheme="minorEastAsia"/>
          <w:color w:val="000000"/>
          <w:sz w:val="24"/>
          <w:szCs w:val="24"/>
          <w:lang w:eastAsia="zh-CN"/>
        </w:rPr>
      </w:pPr>
    </w:p>
    <w:p w14:paraId="4960D873">
      <w:pPr>
        <w:pStyle w:val="12"/>
        <w:rPr>
          <w:rFonts w:hint="eastAsia" w:asciiTheme="minorEastAsia" w:hAnsiTheme="minorEastAsia" w:eastAsiaTheme="minorEastAsia" w:cstheme="minorEastAsia"/>
          <w:color w:val="000000"/>
          <w:sz w:val="24"/>
          <w:szCs w:val="24"/>
          <w:lang w:eastAsia="zh-CN"/>
        </w:rPr>
      </w:pPr>
    </w:p>
    <w:p w14:paraId="18F64A0D">
      <w:pPr>
        <w:rPr>
          <w:rFonts w:hint="eastAsia" w:asciiTheme="minorEastAsia" w:hAnsiTheme="minorEastAsia" w:eastAsiaTheme="minorEastAsia" w:cstheme="minorEastAsia"/>
          <w:color w:val="000000"/>
          <w:sz w:val="24"/>
          <w:szCs w:val="24"/>
          <w:lang w:eastAsia="zh-CN"/>
        </w:rPr>
      </w:pPr>
    </w:p>
    <w:p w14:paraId="2C62D293">
      <w:pPr>
        <w:pStyle w:val="12"/>
        <w:rPr>
          <w:rFonts w:hint="eastAsia" w:asciiTheme="minorEastAsia" w:hAnsiTheme="minorEastAsia" w:eastAsiaTheme="minorEastAsia" w:cstheme="minorEastAsia"/>
          <w:color w:val="000000"/>
          <w:sz w:val="24"/>
          <w:szCs w:val="24"/>
          <w:lang w:eastAsia="zh-CN"/>
        </w:rPr>
      </w:pPr>
    </w:p>
    <w:p w14:paraId="241E37E9">
      <w:pPr>
        <w:rPr>
          <w:rFonts w:hint="eastAsia" w:asciiTheme="minorEastAsia" w:hAnsiTheme="minorEastAsia" w:eastAsiaTheme="minorEastAsia" w:cstheme="minorEastAsia"/>
          <w:color w:val="000000"/>
          <w:sz w:val="24"/>
          <w:szCs w:val="24"/>
          <w:lang w:eastAsia="zh-CN"/>
        </w:rPr>
      </w:pPr>
    </w:p>
    <w:p w14:paraId="579DB900">
      <w:pPr>
        <w:pStyle w:val="12"/>
        <w:rPr>
          <w:rFonts w:hint="eastAsia"/>
          <w:lang w:eastAsia="zh-CN"/>
        </w:rPr>
      </w:pPr>
    </w:p>
    <w:p w14:paraId="1A8F26E2">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069A92D0">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5079D089">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27DEC2DF">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3F2172C4">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p>
    <w:p w14:paraId="79DD0A7D">
      <w:pPr>
        <w:numPr>
          <w:ilvl w:val="0"/>
          <w:numId w:val="0"/>
        </w:numPr>
        <w:spacing w:line="440" w:lineRule="exact"/>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附件六</w:t>
      </w:r>
    </w:p>
    <w:p w14:paraId="38628C62">
      <w:pPr>
        <w:jc w:val="center"/>
        <w:rPr>
          <w:rFonts w:hint="eastAsia" w:asciiTheme="minorEastAsia" w:hAnsiTheme="minorEastAsia" w:eastAsiaTheme="minorEastAsia" w:cstheme="minorEastAsia"/>
          <w:sz w:val="28"/>
        </w:rPr>
      </w:pPr>
    </w:p>
    <w:p w14:paraId="6B2F2976">
      <w:pPr>
        <w:jc w:val="center"/>
        <w:outlineLvl w:val="2"/>
        <w:rPr>
          <w:rFonts w:hint="eastAsia" w:asciiTheme="minorEastAsia" w:hAnsiTheme="minorEastAsia" w:eastAsiaTheme="minorEastAsia" w:cstheme="minorEastAsia"/>
          <w:sz w:val="30"/>
          <w:szCs w:val="30"/>
        </w:rPr>
      </w:pPr>
      <w:bookmarkStart w:id="601" w:name="_Toc25844"/>
      <w:bookmarkStart w:id="602" w:name="_Toc1239"/>
      <w:r>
        <w:rPr>
          <w:rFonts w:hint="eastAsia" w:asciiTheme="minorEastAsia" w:hAnsiTheme="minorEastAsia" w:eastAsiaTheme="minorEastAsia" w:cstheme="minorEastAsia"/>
          <w:b/>
          <w:sz w:val="32"/>
          <w:szCs w:val="32"/>
        </w:rPr>
        <w:t>联合体协议书</w:t>
      </w:r>
      <w:bookmarkEnd w:id="601"/>
      <w:bookmarkEnd w:id="602"/>
      <w:r>
        <w:rPr>
          <w:rFonts w:hint="eastAsia" w:asciiTheme="minorEastAsia" w:hAnsiTheme="minorEastAsia" w:eastAsiaTheme="minorEastAsia" w:cstheme="minorEastAsia"/>
          <w:b/>
          <w:sz w:val="32"/>
          <w:szCs w:val="32"/>
          <w:lang w:eastAsia="zh-CN"/>
        </w:rPr>
        <w:t>（</w:t>
      </w:r>
      <w:r>
        <w:rPr>
          <w:rFonts w:hint="eastAsia" w:asciiTheme="minorEastAsia" w:hAnsiTheme="minorEastAsia" w:eastAsiaTheme="minorEastAsia" w:cstheme="minorEastAsia"/>
          <w:b/>
          <w:sz w:val="32"/>
          <w:szCs w:val="32"/>
          <w:lang w:val="en-US" w:eastAsia="zh-CN"/>
        </w:rPr>
        <w:t>如是</w:t>
      </w:r>
      <w:r>
        <w:rPr>
          <w:rFonts w:hint="eastAsia" w:asciiTheme="minorEastAsia" w:hAnsiTheme="minorEastAsia" w:eastAsiaTheme="minorEastAsia" w:cstheme="minorEastAsia"/>
          <w:b/>
          <w:sz w:val="32"/>
          <w:szCs w:val="32"/>
          <w:lang w:eastAsia="zh-CN"/>
        </w:rPr>
        <w:t>）</w:t>
      </w:r>
    </w:p>
    <w:p w14:paraId="343A950F">
      <w:pPr>
        <w:topLinePunct/>
        <w:spacing w:line="440" w:lineRule="exact"/>
        <w:ind w:left="210" w:leftChars="1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（所有成员单位名称）自愿组成联合体，共同参加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（项目名称）投标。现就联合体投标事宜订立如下协议。</w:t>
      </w:r>
    </w:p>
    <w:p w14:paraId="6985FCBE">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（某成员单位名称）为牵头人。</w:t>
      </w:r>
    </w:p>
    <w:p w14:paraId="27EBD107">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A7FEB0A">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3、联合体将严格按照招标文件的各项要求，递交投标文件，履行合同，并对外承担连带责任。</w:t>
      </w:r>
    </w:p>
    <w:p w14:paraId="21AFC434">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4、联合体各成员单位内部的职责分工如下：</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8212A20">
      <w:pPr>
        <w:topLinePunct/>
        <w:spacing w:line="440" w:lineRule="exact"/>
        <w:ind w:firstLine="480" w:firstLineChars="200"/>
        <w:outlineLvl w:val="2"/>
        <w:rPr>
          <w:rFonts w:hint="eastAsia" w:asciiTheme="minorEastAsia" w:hAnsiTheme="minorEastAsia" w:eastAsiaTheme="minorEastAsia" w:cstheme="minorEastAsia"/>
          <w:sz w:val="24"/>
          <w:szCs w:val="24"/>
        </w:rPr>
      </w:pPr>
      <w:bookmarkStart w:id="603" w:name="_Toc14243"/>
      <w:r>
        <w:rPr>
          <w:rFonts w:hint="eastAsia" w:asciiTheme="minorEastAsia" w:hAnsiTheme="minorEastAsia" w:eastAsiaTheme="minorEastAsia" w:cstheme="minorEastAsia"/>
          <w:sz w:val="24"/>
          <w:szCs w:val="24"/>
        </w:rPr>
        <w:t>5、本协议书自签署之日起生效，合同履行完毕后自动失效。</w:t>
      </w:r>
      <w:bookmarkEnd w:id="603"/>
      <w:r>
        <w:rPr>
          <w:rFonts w:hint="eastAsia" w:asciiTheme="minorEastAsia" w:hAnsiTheme="minorEastAsia" w:eastAsiaTheme="minorEastAsia" w:cstheme="minorEastAsia"/>
          <w:sz w:val="24"/>
          <w:szCs w:val="24"/>
        </w:rPr>
        <w:t xml:space="preserve"> </w:t>
      </w:r>
    </w:p>
    <w:p w14:paraId="594159D9">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6、本协议书一式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份，联合体成员和招标人各执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14:paraId="3F509785">
      <w:pPr>
        <w:topLinePunct/>
        <w:spacing w:line="440" w:lineRule="exact"/>
        <w:rPr>
          <w:rFonts w:hint="eastAsia" w:asciiTheme="minorEastAsia" w:hAnsiTheme="minorEastAsia" w:eastAsiaTheme="minorEastAsia" w:cstheme="minorEastAsia"/>
          <w:sz w:val="24"/>
          <w:szCs w:val="24"/>
        </w:rPr>
      </w:pPr>
    </w:p>
    <w:p w14:paraId="158794B5">
      <w:pPr>
        <w:topLinePunct/>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注：本协议书由委托代理人签字的，应附法定代表人签字的授权委托书。</w:t>
      </w:r>
    </w:p>
    <w:p w14:paraId="68133B20">
      <w:pPr>
        <w:topLinePunct/>
        <w:spacing w:line="440" w:lineRule="exact"/>
        <w:rPr>
          <w:rFonts w:hint="eastAsia" w:asciiTheme="minorEastAsia" w:hAnsiTheme="minorEastAsia" w:eastAsiaTheme="minorEastAsia" w:cstheme="minorEastAsia"/>
          <w:sz w:val="24"/>
          <w:szCs w:val="24"/>
        </w:rPr>
      </w:pPr>
    </w:p>
    <w:p w14:paraId="7C3EE054">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牵头人名称：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6E2F0508">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01F9E900">
      <w:pPr>
        <w:topLinePunct/>
        <w:spacing w:line="440" w:lineRule="exact"/>
        <w:rPr>
          <w:rFonts w:hint="eastAsia" w:asciiTheme="minorEastAsia" w:hAnsiTheme="minorEastAsia" w:eastAsiaTheme="minorEastAsia" w:cstheme="minorEastAsia"/>
          <w:sz w:val="24"/>
          <w:szCs w:val="24"/>
        </w:rPr>
      </w:pPr>
    </w:p>
    <w:p w14:paraId="74EC1127">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成员一名称：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4EEDC51B">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081CFFB0">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5429585">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成员二名称：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（盖章）</w:t>
      </w:r>
    </w:p>
    <w:p w14:paraId="10770A0F">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rPr>
        <w:t>）</w:t>
      </w:r>
    </w:p>
    <w:p w14:paraId="5629F8C7">
      <w:pPr>
        <w:topLinePunct/>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7FB5702">
      <w:pPr>
        <w:topLinePunct/>
        <w:spacing w:line="440" w:lineRule="exact"/>
        <w:rPr>
          <w:rFonts w:hint="eastAsia" w:asciiTheme="minorEastAsia" w:hAnsiTheme="minorEastAsia" w:eastAsiaTheme="minorEastAsia" w:cstheme="minorEastAsia"/>
          <w:sz w:val="24"/>
          <w:szCs w:val="24"/>
        </w:rPr>
      </w:pPr>
    </w:p>
    <w:p w14:paraId="74D13032">
      <w:pPr>
        <w:ind w:firstLine="3290" w:firstLineChars="1371"/>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992BF69">
      <w:pPr>
        <w:jc w:val="left"/>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sz w:val="24"/>
          <w:szCs w:val="18"/>
        </w:rPr>
        <w:br w:type="page"/>
      </w:r>
    </w:p>
    <w:p w14:paraId="545D543F">
      <w:pPr>
        <w:rPr>
          <w:rFonts w:hint="eastAsia" w:asciiTheme="minorEastAsia" w:hAnsiTheme="minorEastAsia" w:eastAsiaTheme="minorEastAsia" w:cstheme="minorEastAsia"/>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0E3C1D21">
      <w:pPr>
        <w:pStyle w:val="14"/>
        <w:spacing w:line="240" w:lineRule="auto"/>
        <w:ind w:left="0" w:leftChars="0" w:firstLine="0" w:firstLineChars="0"/>
        <w:jc w:val="both"/>
        <w:outlineLvl w:val="2"/>
        <w:rPr>
          <w:rFonts w:hint="eastAsia" w:asciiTheme="minorEastAsia" w:hAnsiTheme="minorEastAsia" w:eastAsiaTheme="minorEastAsia" w:cstheme="minorEastAsia"/>
          <w:b/>
          <w:color w:val="000000"/>
          <w:sz w:val="28"/>
          <w:szCs w:val="24"/>
          <w:lang w:val="en-US" w:eastAsia="zh-CN"/>
        </w:rPr>
      </w:pPr>
      <w:bookmarkStart w:id="604" w:name="_Toc1542"/>
      <w:r>
        <w:rPr>
          <w:rFonts w:hint="eastAsia" w:asciiTheme="minorEastAsia" w:hAnsiTheme="minorEastAsia" w:eastAsiaTheme="minorEastAsia" w:cstheme="minorEastAsia"/>
          <w:b/>
          <w:color w:val="000000"/>
          <w:sz w:val="28"/>
          <w:szCs w:val="24"/>
          <w:lang w:val="en-US" w:eastAsia="zh-CN"/>
        </w:rPr>
        <w:t>附件</w:t>
      </w:r>
      <w:bookmarkEnd w:id="604"/>
      <w:r>
        <w:rPr>
          <w:rFonts w:hint="eastAsia" w:asciiTheme="minorEastAsia" w:hAnsiTheme="minorEastAsia" w:eastAsiaTheme="minorEastAsia" w:cstheme="minorEastAsia"/>
          <w:b/>
          <w:color w:val="000000"/>
          <w:sz w:val="28"/>
          <w:szCs w:val="24"/>
          <w:lang w:val="en-US" w:eastAsia="zh-CN"/>
        </w:rPr>
        <w:t>七</w:t>
      </w:r>
    </w:p>
    <w:p w14:paraId="6A3520CA">
      <w:pPr>
        <w:pStyle w:val="14"/>
        <w:spacing w:line="240" w:lineRule="auto"/>
        <w:ind w:left="0" w:leftChars="0" w:firstLine="0" w:firstLineChars="0"/>
        <w:jc w:val="center"/>
        <w:rPr>
          <w:rFonts w:hint="eastAsia" w:asciiTheme="minorEastAsia" w:hAnsiTheme="minorEastAsia" w:eastAsiaTheme="minorEastAsia" w:cstheme="minorEastAsia"/>
          <w:b/>
          <w:color w:val="000000"/>
          <w:szCs w:val="28"/>
          <w:lang w:val="en-US" w:eastAsia="zh-CN"/>
        </w:rPr>
      </w:pPr>
      <w:r>
        <w:rPr>
          <w:rFonts w:hint="eastAsia" w:asciiTheme="minorEastAsia" w:hAnsiTheme="minorEastAsia" w:eastAsiaTheme="minorEastAsia" w:cstheme="minorEastAsia"/>
          <w:b/>
          <w:color w:val="000000"/>
          <w:sz w:val="32"/>
          <w:szCs w:val="28"/>
        </w:rPr>
        <w:t>法定代表人身份证</w:t>
      </w:r>
      <w:r>
        <w:rPr>
          <w:rFonts w:hint="eastAsia" w:asciiTheme="minorEastAsia" w:hAnsiTheme="minorEastAsia" w:eastAsiaTheme="minorEastAsia" w:cstheme="minorEastAsia"/>
          <w:b/>
          <w:color w:val="000000"/>
          <w:sz w:val="32"/>
          <w:szCs w:val="28"/>
          <w:lang w:val="en-US" w:eastAsia="zh-CN"/>
        </w:rPr>
        <w:t>明</w:t>
      </w:r>
    </w:p>
    <w:p w14:paraId="2C129480">
      <w:pPr>
        <w:autoSpaceDE w:val="0"/>
        <w:autoSpaceDN w:val="0"/>
        <w:adjustRightInd w:val="0"/>
        <w:ind w:left="120" w:hanging="120"/>
        <w:rPr>
          <w:rFonts w:hint="eastAsia" w:asciiTheme="minorEastAsia" w:hAnsiTheme="minorEastAsia" w:eastAsiaTheme="minorEastAsia" w:cstheme="minorEastAsia"/>
          <w:sz w:val="24"/>
          <w:lang w:val="zh-CN"/>
        </w:rPr>
      </w:pPr>
    </w:p>
    <w:p w14:paraId="68133D03">
      <w:pPr>
        <w:spacing w:line="460" w:lineRule="exact"/>
        <w:ind w:left="120" w:hanging="12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14:paraId="770FACFE">
      <w:pPr>
        <w:spacing w:line="460" w:lineRule="exact"/>
        <w:ind w:left="120"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0B7866F">
      <w:pPr>
        <w:spacing w:line="460" w:lineRule="exact"/>
        <w:ind w:left="120"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14:paraId="708729E6">
      <w:pPr>
        <w:spacing w:line="460" w:lineRule="exact"/>
        <w:ind w:left="120"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系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的法定代表人。</w:t>
      </w:r>
    </w:p>
    <w:p w14:paraId="01C0BD92">
      <w:pPr>
        <w:spacing w:line="460" w:lineRule="exact"/>
        <w:ind w:left="120" w:hanging="120"/>
        <w:rPr>
          <w:rFonts w:hint="eastAsia" w:asciiTheme="minorEastAsia" w:hAnsiTheme="minorEastAsia" w:eastAsiaTheme="minorEastAsia" w:cstheme="minorEastAsia"/>
          <w:sz w:val="24"/>
          <w:szCs w:val="24"/>
        </w:rPr>
      </w:pPr>
    </w:p>
    <w:p w14:paraId="0EE7DC6D">
      <w:pPr>
        <w:autoSpaceDE w:val="0"/>
        <w:autoSpaceDN w:val="0"/>
        <w:adjustRightInd w:val="0"/>
        <w:spacing w:line="320" w:lineRule="exact"/>
        <w:ind w:left="0" w:leftChars="0" w:firstLine="0" w:firstLineChars="0"/>
        <w:rPr>
          <w:rFonts w:hint="eastAsia" w:asciiTheme="minorEastAsia" w:hAnsiTheme="minorEastAsia" w:eastAsiaTheme="minorEastAsia" w:cstheme="minorEastAsia"/>
          <w:sz w:val="24"/>
          <w:szCs w:val="24"/>
          <w:lang w:val="zh-CN"/>
        </w:rPr>
      </w:pPr>
    </w:p>
    <w:p w14:paraId="3AA63102">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1D00BF86">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3DAB3A4F">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5408" behindDoc="0" locked="0" layoutInCell="1" allowOverlap="1">
                <wp:simplePos x="0" y="0"/>
                <wp:positionH relativeFrom="column">
                  <wp:posOffset>2790825</wp:posOffset>
                </wp:positionH>
                <wp:positionV relativeFrom="paragraph">
                  <wp:posOffset>145415</wp:posOffset>
                </wp:positionV>
                <wp:extent cx="2472690" cy="1263650"/>
                <wp:effectExtent l="4445" t="4445" r="18415" b="8255"/>
                <wp:wrapNone/>
                <wp:docPr id="18" name="文本框 18"/>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B289B69">
                            <w:pPr>
                              <w:ind w:left="140" w:hanging="140"/>
                              <w:jc w:val="center"/>
                              <w:rPr>
                                <w:sz w:val="28"/>
                                <w:szCs w:val="28"/>
                              </w:rPr>
                            </w:pPr>
                            <w:r>
                              <w:rPr>
                                <w:rFonts w:hint="eastAsia"/>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9.75pt;margin-top:11.45pt;height:99.5pt;width:194.7pt;z-index:251665408;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HKuaNkAAAAKAQAADwAA&#10;AAAAAAABACAAAAAiAAAAZHJzL2Rvd25yZXYueG1sUEsBAhQAFAAAAAgAh07iQPlqxbgVAgAARwQA&#10;AA4AAAAAAAAAAQAgAAAAKAEAAGRycy9lMm9Eb2MueG1sUEsFBgAAAAAGAAYAWQEAAK8FAAAAAA==&#10;">
                <v:fill on="t" focussize="0,0"/>
                <v:stroke color="#000000" joinstyle="miter" dashstyle="1 1" endcap="round"/>
                <v:imagedata o:title=""/>
                <o:lock v:ext="edit" aspectratio="f"/>
                <v:textbox>
                  <w:txbxContent>
                    <w:p w14:paraId="7B289B69">
                      <w:pPr>
                        <w:ind w:left="140" w:hanging="140"/>
                        <w:jc w:val="center"/>
                        <w:rPr>
                          <w:sz w:val="28"/>
                          <w:szCs w:val="28"/>
                        </w:rPr>
                      </w:pPr>
                      <w:r>
                        <w:rPr>
                          <w:rFonts w:hint="eastAsia"/>
                          <w:sz w:val="28"/>
                          <w:szCs w:val="28"/>
                        </w:rPr>
                        <w:t>法人身份证复印件背面</w:t>
                      </w:r>
                    </w:p>
                  </w:txbxContent>
                </v:textbox>
              </v:shape>
            </w:pict>
          </mc:Fallback>
        </mc:AlternateContent>
      </w: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156210</wp:posOffset>
                </wp:positionV>
                <wp:extent cx="2472690" cy="1263650"/>
                <wp:effectExtent l="4445" t="4445" r="18415" b="8255"/>
                <wp:wrapNone/>
                <wp:docPr id="19" name="文本框 19"/>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19C23C86">
                            <w:pPr>
                              <w:ind w:left="140" w:hanging="140"/>
                              <w:jc w:val="center"/>
                              <w:rPr>
                                <w:sz w:val="28"/>
                                <w:szCs w:val="28"/>
                              </w:rPr>
                            </w:pPr>
                            <w:r>
                              <w:rPr>
                                <w:rFonts w:hint="eastAsia"/>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3.75pt;margin-top:12.3pt;height:99.5pt;width:194.7pt;z-index:251664384;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KkecXaAAAACQEAAA8A&#10;AAAAAAAAAQAgAAAAIgAAAGRycy9kb3ducmV2LnhtbFBLAQIUABQAAAAIAIdO4kBO58qVFQIAAEcE&#10;AAAOAAAAAAAAAAEAIAAAACkBAABkcnMvZTJvRG9jLnhtbFBLBQYAAAAABgAGAFkBAACwBQAAAAA=&#10;">
                <v:fill on="t" focussize="0,0"/>
                <v:stroke color="#000000" joinstyle="miter" dashstyle="1 1" endcap="round"/>
                <v:imagedata o:title=""/>
                <o:lock v:ext="edit" aspectratio="f"/>
                <v:textbox>
                  <w:txbxContent>
                    <w:p w14:paraId="19C23C86">
                      <w:pPr>
                        <w:ind w:left="140" w:hanging="140"/>
                        <w:jc w:val="center"/>
                        <w:rPr>
                          <w:sz w:val="28"/>
                          <w:szCs w:val="28"/>
                        </w:rPr>
                      </w:pPr>
                      <w:r>
                        <w:rPr>
                          <w:rFonts w:hint="eastAsia"/>
                          <w:sz w:val="28"/>
                          <w:szCs w:val="28"/>
                        </w:rPr>
                        <w:t>法人身份证复印件正面</w:t>
                      </w:r>
                    </w:p>
                  </w:txbxContent>
                </v:textbox>
              </v:shape>
            </w:pict>
          </mc:Fallback>
        </mc:AlternateContent>
      </w:r>
    </w:p>
    <w:p w14:paraId="06CA3816">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530EA8A7">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45B85CB5">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362A3964">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0F2E9364">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04FD5508">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5C76A8E0">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43A6A2FD">
      <w:pPr>
        <w:autoSpaceDE w:val="0"/>
        <w:autoSpaceDN w:val="0"/>
        <w:adjustRightInd w:val="0"/>
        <w:spacing w:line="320" w:lineRule="exact"/>
        <w:ind w:left="0" w:leftChars="0" w:firstLine="0" w:firstLineChars="0"/>
        <w:rPr>
          <w:rFonts w:hint="eastAsia" w:asciiTheme="minorEastAsia" w:hAnsiTheme="minorEastAsia" w:eastAsiaTheme="minorEastAsia" w:cstheme="minorEastAsia"/>
          <w:sz w:val="24"/>
          <w:szCs w:val="24"/>
          <w:lang w:val="zh-CN"/>
        </w:rPr>
      </w:pPr>
    </w:p>
    <w:p w14:paraId="0D855017">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7B8CDD82">
      <w:pPr>
        <w:autoSpaceDE w:val="0"/>
        <w:autoSpaceDN w:val="0"/>
        <w:adjustRightInd w:val="0"/>
        <w:spacing w:line="320" w:lineRule="exact"/>
        <w:ind w:left="120" w:hanging="120"/>
        <w:rPr>
          <w:rFonts w:hint="eastAsia" w:asciiTheme="minorEastAsia" w:hAnsiTheme="minorEastAsia" w:eastAsiaTheme="minorEastAsia" w:cstheme="minorEastAsia"/>
          <w:sz w:val="24"/>
          <w:szCs w:val="24"/>
          <w:lang w:val="zh-CN"/>
        </w:rPr>
      </w:pPr>
    </w:p>
    <w:p w14:paraId="019B164C">
      <w:pPr>
        <w:pStyle w:val="5"/>
        <w:outlineLvl w:val="9"/>
        <w:rPr>
          <w:rFonts w:hint="eastAsia" w:asciiTheme="minorEastAsia" w:hAnsiTheme="minorEastAsia" w:eastAsiaTheme="minorEastAsia" w:cstheme="minorEastAsia"/>
          <w:sz w:val="24"/>
          <w:szCs w:val="24"/>
          <w:lang w:val="zh-CN"/>
        </w:rPr>
      </w:pPr>
    </w:p>
    <w:p w14:paraId="38BF4E47">
      <w:pPr>
        <w:rPr>
          <w:rFonts w:hint="eastAsia" w:asciiTheme="minorEastAsia" w:hAnsiTheme="minorEastAsia" w:eastAsiaTheme="minorEastAsia" w:cstheme="minorEastAsia"/>
          <w:sz w:val="24"/>
          <w:szCs w:val="24"/>
          <w:lang w:val="zh-CN"/>
        </w:rPr>
      </w:pPr>
    </w:p>
    <w:p w14:paraId="065FD3A9">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投标单位名称：公章）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48DD1C6C">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签字或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rPr>
        <w:t xml:space="preserve">                </w:t>
      </w:r>
    </w:p>
    <w:p w14:paraId="5DFA4568">
      <w:pPr>
        <w:pStyle w:val="35"/>
        <w:rPr>
          <w:rFonts w:hint="eastAsia" w:asciiTheme="minorEastAsia" w:hAnsiTheme="minorEastAsia" w:eastAsiaTheme="minorEastAsia" w:cstheme="minorEastAsia"/>
          <w:sz w:val="24"/>
          <w:szCs w:val="24"/>
        </w:rPr>
      </w:pPr>
    </w:p>
    <w:p w14:paraId="15DABB32">
      <w:pPr>
        <w:autoSpaceDE w:val="0"/>
        <w:autoSpaceDN w:val="0"/>
        <w:adjustRightInd w:val="0"/>
        <w:spacing w:line="320" w:lineRule="exact"/>
        <w:ind w:left="120" w:hanging="120"/>
        <w:rPr>
          <w:rFonts w:hint="eastAsia" w:asciiTheme="minorEastAsia" w:hAnsiTheme="minorEastAsia" w:eastAsiaTheme="minorEastAsia" w:cstheme="minorEastAsia"/>
          <w:b/>
          <w:bCs/>
          <w:sz w:val="24"/>
          <w:szCs w:val="24"/>
          <w:lang w:val="zh-CN"/>
        </w:rPr>
      </w:pPr>
    </w:p>
    <w:p w14:paraId="2F2CB58F">
      <w:pPr>
        <w:autoSpaceDE w:val="0"/>
        <w:autoSpaceDN w:val="0"/>
        <w:adjustRightInd w:val="0"/>
        <w:spacing w:line="320" w:lineRule="exact"/>
        <w:ind w:left="120" w:hanging="120"/>
        <w:jc w:val="center"/>
        <w:outlineLvl w:val="9"/>
        <w:rPr>
          <w:rFonts w:hint="eastAsia" w:asciiTheme="minorEastAsia" w:hAnsiTheme="minorEastAsia" w:eastAsiaTheme="minorEastAsia" w:cstheme="minorEastAsia"/>
          <w:sz w:val="24"/>
          <w:szCs w:val="24"/>
          <w:lang w:val="zh-CN"/>
        </w:rPr>
      </w:pPr>
    </w:p>
    <w:p w14:paraId="448E2BD4">
      <w:pPr>
        <w:autoSpaceDE w:val="0"/>
        <w:autoSpaceDN w:val="0"/>
        <w:adjustRightInd w:val="0"/>
        <w:spacing w:line="320" w:lineRule="exact"/>
        <w:ind w:left="120" w:hanging="120"/>
        <w:jc w:val="center"/>
        <w:outlineLvl w:val="9"/>
        <w:rPr>
          <w:rFonts w:hint="eastAsia" w:asciiTheme="minorEastAsia" w:hAnsiTheme="minorEastAsia" w:eastAsiaTheme="minorEastAsia" w:cstheme="minorEastAsia"/>
          <w:sz w:val="24"/>
          <w:szCs w:val="24"/>
          <w:lang w:val="zh-CN"/>
        </w:rPr>
      </w:pPr>
    </w:p>
    <w:p w14:paraId="7EDC46CC">
      <w:pPr>
        <w:autoSpaceDE w:val="0"/>
        <w:autoSpaceDN w:val="0"/>
        <w:adjustRightInd w:val="0"/>
        <w:spacing w:line="320" w:lineRule="exact"/>
        <w:ind w:left="120" w:hanging="120"/>
        <w:jc w:val="center"/>
        <w:outlineLvl w:val="9"/>
        <w:rPr>
          <w:rFonts w:hint="eastAsia" w:asciiTheme="minorEastAsia" w:hAnsiTheme="minorEastAsia" w:eastAsiaTheme="minorEastAsia" w:cstheme="minorEastAsia"/>
          <w:sz w:val="24"/>
          <w:szCs w:val="24"/>
          <w:lang w:val="zh-CN"/>
        </w:rPr>
      </w:pPr>
    </w:p>
    <w:p w14:paraId="424CA8D6">
      <w:pPr>
        <w:autoSpaceDE w:val="0"/>
        <w:autoSpaceDN w:val="0"/>
        <w:adjustRightInd w:val="0"/>
        <w:spacing w:line="320" w:lineRule="exact"/>
        <w:ind w:left="120" w:hanging="120"/>
        <w:jc w:val="right"/>
        <w:outlineLvl w:val="0"/>
        <w:rPr>
          <w:rFonts w:hint="eastAsia" w:asciiTheme="minorEastAsia" w:hAnsiTheme="minorEastAsia" w:eastAsiaTheme="minorEastAsia" w:cstheme="minorEastAsia"/>
          <w:sz w:val="24"/>
          <w:szCs w:val="24"/>
          <w:lang w:val="zh-CN"/>
        </w:rPr>
      </w:pPr>
      <w:bookmarkStart w:id="605" w:name="_Toc9354"/>
      <w:bookmarkStart w:id="606" w:name="_Toc18606"/>
      <w:bookmarkStart w:id="607" w:name="_Toc7513"/>
      <w:r>
        <w:rPr>
          <w:rFonts w:hint="eastAsia" w:asciiTheme="minorEastAsia" w:hAnsiTheme="minorEastAsia" w:eastAsiaTheme="minorEastAsia" w:cstheme="minorEastAsia"/>
          <w:sz w:val="24"/>
          <w:szCs w:val="24"/>
          <w:lang w:val="zh-CN"/>
        </w:rPr>
        <w:t>日期：</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日</w:t>
      </w:r>
      <w:bookmarkEnd w:id="605"/>
      <w:bookmarkEnd w:id="606"/>
      <w:bookmarkEnd w:id="607"/>
    </w:p>
    <w:p w14:paraId="05BABCC7">
      <w:pPr>
        <w:pStyle w:val="9"/>
        <w:overflowPunct w:val="0"/>
        <w:snapToGrid w:val="0"/>
        <w:spacing w:line="360" w:lineRule="auto"/>
        <w:ind w:firstLine="0"/>
        <w:rPr>
          <w:rFonts w:hint="eastAsia" w:asciiTheme="minorEastAsia" w:hAnsiTheme="minorEastAsia" w:eastAsiaTheme="minorEastAsia" w:cstheme="minorEastAsia"/>
          <w:color w:val="000000"/>
          <w:sz w:val="24"/>
          <w:szCs w:val="24"/>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293A3DE2">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55A69BB0">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322F2159">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1606A5C5">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附件八</w:t>
      </w:r>
    </w:p>
    <w:p w14:paraId="3263DC7C">
      <w:pPr>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32"/>
          <w:szCs w:val="28"/>
        </w:rPr>
        <w:t>法定代表人授权委托书</w:t>
      </w:r>
    </w:p>
    <w:p w14:paraId="3184C620">
      <w:pPr>
        <w:pStyle w:val="15"/>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本授权委托书声明：注册于</w:t>
      </w:r>
      <w:r>
        <w:rPr>
          <w:rFonts w:hint="eastAsia" w:asciiTheme="minorEastAsia" w:hAnsiTheme="minorEastAsia" w:eastAsiaTheme="minorEastAsia" w:cstheme="minorEastAsia"/>
          <w:color w:val="000000"/>
          <w:sz w:val="24"/>
          <w:szCs w:val="24"/>
          <w:u w:val="single"/>
        </w:rPr>
        <w:t xml:space="preserve"> （投标人地址）  </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 xml:space="preserve">  （单位名称）    </w:t>
      </w:r>
      <w:r>
        <w:rPr>
          <w:rFonts w:hint="eastAsia" w:asciiTheme="minorEastAsia" w:hAnsiTheme="minorEastAsia" w:eastAsiaTheme="minorEastAsia" w:cstheme="minorEastAsia"/>
          <w:color w:val="000000"/>
          <w:sz w:val="24"/>
          <w:szCs w:val="24"/>
        </w:rPr>
        <w:t>在下面签名的</w:t>
      </w:r>
      <w:r>
        <w:rPr>
          <w:rFonts w:hint="eastAsia" w:asciiTheme="minorEastAsia" w:hAnsiTheme="minorEastAsia" w:eastAsiaTheme="minorEastAsia" w:cstheme="minorEastAsia"/>
          <w:color w:val="000000"/>
          <w:sz w:val="24"/>
          <w:szCs w:val="24"/>
          <w:u w:val="single"/>
        </w:rPr>
        <w:t>（法定代表人姓名、职务）</w:t>
      </w:r>
      <w:r>
        <w:rPr>
          <w:rFonts w:hint="eastAsia" w:asciiTheme="minorEastAsia" w:hAnsiTheme="minorEastAsia" w:eastAsiaTheme="minorEastAsia" w:cstheme="minorEastAsia"/>
          <w:color w:val="000000"/>
          <w:sz w:val="24"/>
          <w:szCs w:val="24"/>
        </w:rPr>
        <w:t>在此授权</w:t>
      </w:r>
      <w:r>
        <w:rPr>
          <w:rFonts w:hint="eastAsia" w:asciiTheme="minorEastAsia" w:hAnsiTheme="minorEastAsia" w:eastAsiaTheme="minorEastAsia" w:cstheme="minorEastAsia"/>
          <w:color w:val="000000"/>
          <w:sz w:val="24"/>
          <w:szCs w:val="24"/>
          <w:u w:val="single"/>
        </w:rPr>
        <w:t>（被授权人姓名、职务）</w:t>
      </w:r>
      <w:r>
        <w:rPr>
          <w:rFonts w:hint="eastAsia" w:asciiTheme="minorEastAsia" w:hAnsiTheme="minorEastAsia" w:eastAsiaTheme="minorEastAsia" w:cstheme="minorEastAsia"/>
          <w:color w:val="000000"/>
          <w:sz w:val="24"/>
          <w:szCs w:val="24"/>
        </w:rPr>
        <w:t>作为我公司的合法代理人，就</w:t>
      </w:r>
      <w:r>
        <w:rPr>
          <w:rFonts w:hint="eastAsia" w:asciiTheme="minorEastAsia" w:hAnsiTheme="minorEastAsia" w:eastAsiaTheme="minorEastAsia" w:cstheme="minorEastAsia"/>
          <w:color w:val="000000"/>
          <w:sz w:val="24"/>
          <w:szCs w:val="24"/>
          <w:u w:val="single"/>
        </w:rPr>
        <w:t>（项目名称、项目编号</w:t>
      </w:r>
      <w:r>
        <w:rPr>
          <w:rFonts w:hint="eastAsia" w:asciiTheme="minorEastAsia" w:hAnsiTheme="minorEastAsia" w:eastAsiaTheme="minorEastAsia" w:cstheme="minorEastAsia"/>
          <w:color w:val="000000"/>
          <w:sz w:val="24"/>
          <w:szCs w:val="24"/>
        </w:rPr>
        <w:t>）的招投标活动，</w:t>
      </w:r>
      <w:r>
        <w:rPr>
          <w:rFonts w:hint="eastAsia" w:asciiTheme="minorEastAsia" w:hAnsiTheme="minorEastAsia" w:eastAsiaTheme="minorEastAsia" w:cstheme="minorEastAsia"/>
          <w:color w:val="000000"/>
          <w:sz w:val="24"/>
          <w:szCs w:val="24"/>
          <w:lang w:eastAsia="zh-CN"/>
        </w:rPr>
        <w:t>设计</w:t>
      </w:r>
      <w:r>
        <w:rPr>
          <w:rFonts w:hint="eastAsia" w:asciiTheme="minorEastAsia" w:hAnsiTheme="minorEastAsia" w:eastAsiaTheme="minorEastAsia" w:cstheme="minorEastAsia"/>
          <w:color w:val="000000"/>
          <w:sz w:val="24"/>
          <w:szCs w:val="24"/>
        </w:rPr>
        <w:t>合同的签订、执行、完成和售后服务，作为投标人代表以我方的名义处理一切与之有关的事务。</w:t>
      </w:r>
    </w:p>
    <w:p w14:paraId="48BC577E">
      <w:pPr>
        <w:pStyle w:val="15"/>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被授权人（投标人授权代表）无转委托权限。</w:t>
      </w:r>
    </w:p>
    <w:p w14:paraId="3119DEE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sz w:val="24"/>
          <w:szCs w:val="24"/>
        </w:rPr>
        <w:t>本授权书自法定代表人签字（盖个人名章）之日起生效，特此声明。</w:t>
      </w:r>
    </w:p>
    <w:p w14:paraId="1BB70172">
      <w:pPr>
        <w:rPr>
          <w:rFonts w:hint="eastAsia" w:asciiTheme="minorEastAsia" w:hAnsiTheme="minorEastAsia" w:eastAsiaTheme="minorEastAsia" w:cstheme="minorEastAsia"/>
          <w:color w:val="auto"/>
          <w:sz w:val="24"/>
          <w:szCs w:val="24"/>
        </w:rPr>
      </w:pPr>
    </w:p>
    <w:p w14:paraId="4537433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需附：法定代表人、被授权人身份证复印件。</w:t>
      </w:r>
    </w:p>
    <w:p w14:paraId="0E449442">
      <w:p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2816225</wp:posOffset>
                </wp:positionH>
                <wp:positionV relativeFrom="paragraph">
                  <wp:posOffset>62230</wp:posOffset>
                </wp:positionV>
                <wp:extent cx="1991360" cy="1219835"/>
                <wp:effectExtent l="7620" t="7620" r="20320" b="10795"/>
                <wp:wrapNone/>
                <wp:docPr id="3" name="文本框 3"/>
                <wp:cNvGraphicFramePr/>
                <a:graphic xmlns:a="http://schemas.openxmlformats.org/drawingml/2006/main">
                  <a:graphicData uri="http://schemas.microsoft.com/office/word/2010/wordprocessingShape">
                    <wps:wsp>
                      <wps:cNvSpPr txBox="1"/>
                      <wps:spPr>
                        <a:xfrm>
                          <a:off x="0" y="0"/>
                          <a:ext cx="1991360" cy="1219835"/>
                        </a:xfrm>
                        <a:prstGeom prst="rect">
                          <a:avLst/>
                        </a:prstGeom>
                        <a:noFill/>
                        <a:ln w="15875" cap="flat" cmpd="sng">
                          <a:solidFill>
                            <a:srgbClr val="000000"/>
                          </a:solidFill>
                          <a:prstDash val="solid"/>
                          <a:miter/>
                          <a:headEnd type="none" w="med" len="med"/>
                          <a:tailEnd type="none" w="med" len="med"/>
                        </a:ln>
                        <a:effectLst/>
                      </wps:spPr>
                      <wps:txbx>
                        <w:txbxContent>
                          <w:p w14:paraId="7F277778">
                            <w:pPr>
                              <w:rPr>
                                <w:rFonts w:hint="eastAsia"/>
                              </w:rPr>
                            </w:pPr>
                            <w:r>
                              <w:rPr>
                                <w:rFonts w:hint="eastAsia"/>
                              </w:rPr>
                              <w:t>被授权人身份证复印件正面</w:t>
                            </w:r>
                          </w:p>
                        </w:txbxContent>
                      </wps:txbx>
                      <wps:bodyPr wrap="square" upright="1"/>
                    </wps:wsp>
                  </a:graphicData>
                </a:graphic>
              </wp:anchor>
            </w:drawing>
          </mc:Choice>
          <mc:Fallback>
            <w:pict>
              <v:shape id="_x0000_s1026" o:spid="_x0000_s1026" o:spt="202" type="#_x0000_t202" style="position:absolute;left:0pt;margin-left:221.75pt;margin-top:4.9pt;height:96.05pt;width:156.8pt;z-index:251661312;mso-width-relative:page;mso-height-relative:page;" filled="f" stroked="t" coordsize="21600,21600" o:gfxdata="UEsDBAoAAAAAAIdO4kAAAAAAAAAAAAAAAAAEAAAAZHJzL1BLAwQUAAAACACHTuJAzSkcHd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KRwd1gAAAAkBAAAPAAAAAAAA&#10;AAEAIAAAACIAAABkcnMvZG93bnJldi54bWxQSwECFAAUAAAACACHTuJAaQKMyRQCAAArBAAADgAA&#10;AAAAAAABACAAAAAlAQAAZHJzL2Uyb0RvYy54bWxQSwUGAAAAAAYABgBZAQAAqwUAAAAA&#10;">
                <v:fill on="f" focussize="0,0"/>
                <v:stroke weight="1.25pt" color="#000000" joinstyle="miter"/>
                <v:imagedata o:title=""/>
                <o:lock v:ext="edit" aspectratio="f"/>
                <v:textbox>
                  <w:txbxContent>
                    <w:p w14:paraId="7F277778">
                      <w:pPr>
                        <w:rPr>
                          <w:rFonts w:hint="eastAsia"/>
                        </w:rPr>
                      </w:pPr>
                      <w:r>
                        <w:rPr>
                          <w:rFonts w:hint="eastAsia"/>
                        </w:rPr>
                        <w:t>被授权人身份证复印件正面</w:t>
                      </w:r>
                    </w:p>
                  </w:txbxContent>
                </v:textbox>
              </v:shape>
            </w:pict>
          </mc:Fallback>
        </mc:AlternateContent>
      </w: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62230</wp:posOffset>
                </wp:positionV>
                <wp:extent cx="2023745" cy="1219835"/>
                <wp:effectExtent l="7620" t="7620" r="26035" b="10795"/>
                <wp:wrapNone/>
                <wp:docPr id="22" name="文本框 22"/>
                <wp:cNvGraphicFramePr/>
                <a:graphic xmlns:a="http://schemas.openxmlformats.org/drawingml/2006/main">
                  <a:graphicData uri="http://schemas.microsoft.com/office/word/2010/wordprocessingShape">
                    <wps:wsp>
                      <wps:cNvSpPr txBox="1"/>
                      <wps:spPr>
                        <a:xfrm>
                          <a:off x="0" y="0"/>
                          <a:ext cx="2023745" cy="1219835"/>
                        </a:xfrm>
                        <a:prstGeom prst="rect">
                          <a:avLst/>
                        </a:prstGeom>
                        <a:noFill/>
                        <a:ln w="15875" cap="flat" cmpd="sng">
                          <a:solidFill>
                            <a:srgbClr val="000000"/>
                          </a:solidFill>
                          <a:prstDash val="solid"/>
                          <a:miter/>
                          <a:headEnd type="none" w="med" len="med"/>
                          <a:tailEnd type="none" w="med" len="med"/>
                        </a:ln>
                        <a:effectLst/>
                      </wps:spPr>
                      <wps:txbx>
                        <w:txbxContent>
                          <w:p w14:paraId="6BAEE47C">
                            <w:pPr>
                              <w:rPr>
                                <w:rFonts w:hint="eastAsia"/>
                              </w:rPr>
                            </w:pPr>
                            <w:r>
                              <w:rPr>
                                <w:rFonts w:hint="eastAsia"/>
                              </w:rPr>
                              <w:t>法定代表人身份证复印件正面</w:t>
                            </w:r>
                          </w:p>
                        </w:txbxContent>
                      </wps:txbx>
                      <wps:bodyPr wrap="square" upright="1"/>
                    </wps:wsp>
                  </a:graphicData>
                </a:graphic>
              </wp:anchor>
            </w:drawing>
          </mc:Choice>
          <mc:Fallback>
            <w:pict>
              <v:shape id="_x0000_s1026" o:spid="_x0000_s1026" o:spt="202" type="#_x0000_t202" style="position:absolute;left:0pt;margin-left:7.55pt;margin-top:4.9pt;height:96.05pt;width:159.35pt;z-index:251660288;mso-width-relative:page;mso-height-relative:page;" filled="f" stroked="t" coordsize="21600,21600" o:gfxdata="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U36i1AAAAAgBAAAPAAAAAAAA&#10;AAEAIAAAACIAAABkcnMvZG93bnJldi54bWxQSwECFAAUAAAACACHTuJAdolRtRYCAAAtBAAADgAA&#10;AAAAAAABACAAAAAjAQAAZHJzL2Uyb0RvYy54bWxQSwUGAAAAAAYABgBZAQAAqwUAAAAA&#10;">
                <v:fill on="f" focussize="0,0"/>
                <v:stroke weight="1.25pt" color="#000000" joinstyle="miter"/>
                <v:imagedata o:title=""/>
                <o:lock v:ext="edit" aspectratio="f"/>
                <v:textbox>
                  <w:txbxContent>
                    <w:p w14:paraId="6BAEE47C">
                      <w:pPr>
                        <w:rPr>
                          <w:rFonts w:hint="eastAsia"/>
                        </w:rPr>
                      </w:pPr>
                      <w:r>
                        <w:rPr>
                          <w:rFonts w:hint="eastAsia"/>
                        </w:rPr>
                        <w:t>法定代表人身份证复印件正面</w:t>
                      </w:r>
                    </w:p>
                  </w:txbxContent>
                </v:textbox>
              </v:shape>
            </w:pict>
          </mc:Fallback>
        </mc:AlternateContent>
      </w:r>
    </w:p>
    <w:p w14:paraId="4B7E1E9F">
      <w:pPr>
        <w:rPr>
          <w:rFonts w:hint="eastAsia" w:asciiTheme="minorEastAsia" w:hAnsiTheme="minorEastAsia" w:eastAsiaTheme="minorEastAsia" w:cstheme="minorEastAsia"/>
          <w:color w:val="FF0000"/>
          <w:sz w:val="24"/>
          <w:szCs w:val="24"/>
        </w:rPr>
      </w:pPr>
    </w:p>
    <w:p w14:paraId="7E442B44">
      <w:pPr>
        <w:rPr>
          <w:rFonts w:hint="eastAsia" w:asciiTheme="minorEastAsia" w:hAnsiTheme="minorEastAsia" w:eastAsiaTheme="minorEastAsia" w:cstheme="minorEastAsia"/>
          <w:color w:val="FF0000"/>
          <w:sz w:val="24"/>
          <w:szCs w:val="24"/>
        </w:rPr>
      </w:pPr>
    </w:p>
    <w:p w14:paraId="73B1BD05">
      <w:pPr>
        <w:rPr>
          <w:rFonts w:hint="eastAsia" w:asciiTheme="minorEastAsia" w:hAnsiTheme="minorEastAsia" w:eastAsiaTheme="minorEastAsia" w:cstheme="minorEastAsia"/>
          <w:color w:val="FF0000"/>
          <w:sz w:val="24"/>
          <w:szCs w:val="24"/>
        </w:rPr>
      </w:pPr>
    </w:p>
    <w:p w14:paraId="47F275DE">
      <w:pPr>
        <w:rPr>
          <w:rFonts w:hint="eastAsia" w:asciiTheme="minorEastAsia" w:hAnsiTheme="minorEastAsia" w:eastAsiaTheme="minorEastAsia" w:cstheme="minorEastAsia"/>
          <w:color w:val="FF0000"/>
          <w:sz w:val="24"/>
          <w:szCs w:val="24"/>
        </w:rPr>
      </w:pPr>
    </w:p>
    <w:p w14:paraId="4A490AAE">
      <w:pPr>
        <w:rPr>
          <w:rFonts w:hint="eastAsia" w:asciiTheme="minorEastAsia" w:hAnsiTheme="minorEastAsia" w:eastAsiaTheme="minorEastAsia" w:cstheme="minorEastAsia"/>
          <w:color w:val="FF0000"/>
          <w:sz w:val="24"/>
          <w:szCs w:val="24"/>
        </w:rPr>
      </w:pPr>
    </w:p>
    <w:p w14:paraId="28F758B0">
      <w:pPr>
        <w:rPr>
          <w:rFonts w:hint="eastAsia" w:asciiTheme="minorEastAsia" w:hAnsiTheme="minorEastAsia" w:eastAsiaTheme="minorEastAsia" w:cstheme="minorEastAsia"/>
          <w:color w:val="FF0000"/>
          <w:sz w:val="24"/>
          <w:szCs w:val="24"/>
        </w:rPr>
      </w:pPr>
    </w:p>
    <w:p w14:paraId="61772F34">
      <w:p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2816225</wp:posOffset>
                </wp:positionH>
                <wp:positionV relativeFrom="paragraph">
                  <wp:posOffset>154940</wp:posOffset>
                </wp:positionV>
                <wp:extent cx="1990725" cy="1219835"/>
                <wp:effectExtent l="7620" t="7620" r="20955" b="10795"/>
                <wp:wrapNone/>
                <wp:docPr id="20" name="文本框 2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42ABAA8A">
                            <w:pPr>
                              <w:rPr>
                                <w:rFonts w:hint="eastAsia"/>
                              </w:rPr>
                            </w:pPr>
                            <w:r>
                              <w:rPr>
                                <w:rFonts w:hint="eastAsia"/>
                              </w:rPr>
                              <w:t>被授权人身份证复印件背面</w:t>
                            </w:r>
                          </w:p>
                        </w:txbxContent>
                      </wps:txbx>
                      <wps:bodyPr wrap="square" upright="1"/>
                    </wps:wsp>
                  </a:graphicData>
                </a:graphic>
              </wp:anchor>
            </w:drawing>
          </mc:Choice>
          <mc:Fallback>
            <w:pict>
              <v:shape id="_x0000_s1026" o:spid="_x0000_s1026" o:spt="202" type="#_x0000_t202" style="position:absolute;left:0pt;margin-left:221.75pt;margin-top:12.2pt;height:96.05pt;width:156.75pt;z-index:251663360;mso-width-relative:page;mso-height-relative:page;" filled="f" stroked="t" coordsize="21600,21600" o:gfxdata="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ldyPdYAAAAKAQAADwAAAAAA&#10;AAABACAAAAAiAAAAZHJzL2Rvd25yZXYueG1sUEsBAhQAFAAAAAgAh07iQP2/SpsVAgAALQQAAA4A&#10;AAAAAAAAAQAgAAAAJQEAAGRycy9lMm9Eb2MueG1sUEsFBgAAAAAGAAYAWQEAAKwFAAAAAA==&#10;">
                <v:fill on="f" focussize="0,0"/>
                <v:stroke weight="1.25pt" color="#000000" joinstyle="miter"/>
                <v:imagedata o:title=""/>
                <o:lock v:ext="edit" aspectratio="f"/>
                <v:textbox>
                  <w:txbxContent>
                    <w:p w14:paraId="42ABAA8A">
                      <w:pPr>
                        <w:rPr>
                          <w:rFonts w:hint="eastAsia"/>
                        </w:rPr>
                      </w:pPr>
                      <w:r>
                        <w:rPr>
                          <w:rFonts w:hint="eastAsia"/>
                        </w:rPr>
                        <w:t>被授权人身份证复印件背面</w:t>
                      </w:r>
                    </w:p>
                  </w:txbxContent>
                </v:textbox>
              </v:shape>
            </w:pict>
          </mc:Fallback>
        </mc:AlternateContent>
      </w:r>
      <w:r>
        <w:rPr>
          <w:rFonts w:hint="eastAsia" w:asciiTheme="minorEastAsia" w:hAnsiTheme="minorEastAsia" w:eastAsiaTheme="minorEastAsia" w:cstheme="minorEastAsia"/>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154940</wp:posOffset>
                </wp:positionV>
                <wp:extent cx="1990725" cy="1219835"/>
                <wp:effectExtent l="7620" t="7620" r="20955" b="10795"/>
                <wp:wrapNone/>
                <wp:docPr id="21" name="文本框 21"/>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72F3052A">
                            <w:pPr>
                              <w:rPr>
                                <w:rFonts w:hint="eastAsia"/>
                              </w:rPr>
                            </w:pPr>
                            <w:r>
                              <w:rPr>
                                <w:rFonts w:hint="eastAsia"/>
                              </w:rPr>
                              <w:t>法定代表人身份证复印件背面</w:t>
                            </w:r>
                          </w:p>
                        </w:txbxContent>
                      </wps:txbx>
                      <wps:bodyPr wrap="square" upright="1"/>
                    </wps:wsp>
                  </a:graphicData>
                </a:graphic>
              </wp:anchor>
            </w:drawing>
          </mc:Choice>
          <mc:Fallback>
            <w:pict>
              <v:shape id="_x0000_s1026" o:spid="_x0000_s1026" o:spt="202" type="#_x0000_t202" style="position:absolute;left:0pt;margin-left:7.55pt;margin-top:12.2pt;height:96.05pt;width:156.75pt;z-index:251662336;mso-width-relative:page;mso-height-relative:page;" filled="f" stroked="t" coordsize="21600,21600" o:gfxdata="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ewhYdUAAAAJAQAADwAAAAAA&#10;AAABACAAAAAiAAAAZHJzL2Rvd25yZXYueG1sUEsBAhQAFAAAAAgAh07iQEt/840WAgAALQQAAA4A&#10;AAAAAAAAAQAgAAAAJAEAAGRycy9lMm9Eb2MueG1sUEsFBgAAAAAGAAYAWQEAAKwFAAAAAA==&#10;">
                <v:fill on="f" focussize="0,0"/>
                <v:stroke weight="1.25pt" color="#000000" joinstyle="miter"/>
                <v:imagedata o:title=""/>
                <o:lock v:ext="edit" aspectratio="f"/>
                <v:textbox>
                  <w:txbxContent>
                    <w:p w14:paraId="72F3052A">
                      <w:pPr>
                        <w:rPr>
                          <w:rFonts w:hint="eastAsia"/>
                        </w:rPr>
                      </w:pPr>
                      <w:r>
                        <w:rPr>
                          <w:rFonts w:hint="eastAsia"/>
                        </w:rPr>
                        <w:t>法定代表人身份证复印件背面</w:t>
                      </w:r>
                    </w:p>
                  </w:txbxContent>
                </v:textbox>
              </v:shape>
            </w:pict>
          </mc:Fallback>
        </mc:AlternateContent>
      </w:r>
    </w:p>
    <w:p w14:paraId="376D8971">
      <w:pPr>
        <w:rPr>
          <w:rFonts w:hint="eastAsia" w:asciiTheme="minorEastAsia" w:hAnsiTheme="minorEastAsia" w:eastAsiaTheme="minorEastAsia" w:cstheme="minorEastAsia"/>
          <w:color w:val="FF0000"/>
          <w:sz w:val="24"/>
          <w:szCs w:val="24"/>
        </w:rPr>
      </w:pPr>
    </w:p>
    <w:p w14:paraId="3BC85FA8">
      <w:pPr>
        <w:jc w:val="center"/>
        <w:rPr>
          <w:rFonts w:hint="eastAsia" w:asciiTheme="minorEastAsia" w:hAnsiTheme="minorEastAsia" w:eastAsiaTheme="minorEastAsia" w:cstheme="minorEastAsia"/>
          <w:b/>
          <w:color w:val="FF0000"/>
          <w:sz w:val="24"/>
          <w:szCs w:val="24"/>
        </w:rPr>
      </w:pPr>
    </w:p>
    <w:p w14:paraId="0F71D141">
      <w:pPr>
        <w:jc w:val="center"/>
        <w:rPr>
          <w:rFonts w:hint="eastAsia" w:asciiTheme="minorEastAsia" w:hAnsiTheme="minorEastAsia" w:eastAsiaTheme="minorEastAsia" w:cstheme="minorEastAsia"/>
          <w:b/>
          <w:color w:val="FF0000"/>
          <w:sz w:val="24"/>
          <w:szCs w:val="24"/>
        </w:rPr>
      </w:pPr>
    </w:p>
    <w:p w14:paraId="4F469C90">
      <w:pPr>
        <w:spacing w:line="360" w:lineRule="auto"/>
        <w:rPr>
          <w:rFonts w:hint="eastAsia" w:asciiTheme="minorEastAsia" w:hAnsiTheme="minorEastAsia" w:eastAsiaTheme="minorEastAsia" w:cstheme="minorEastAsia"/>
          <w:color w:val="auto"/>
          <w:sz w:val="24"/>
          <w:szCs w:val="24"/>
        </w:rPr>
      </w:pPr>
    </w:p>
    <w:p w14:paraId="14AB4E13">
      <w:pPr>
        <w:spacing w:line="360" w:lineRule="auto"/>
        <w:rPr>
          <w:rFonts w:hint="eastAsia" w:asciiTheme="minorEastAsia" w:hAnsiTheme="minorEastAsia" w:eastAsiaTheme="minorEastAsia" w:cstheme="minorEastAsia"/>
          <w:color w:val="auto"/>
          <w:sz w:val="24"/>
          <w:szCs w:val="24"/>
        </w:rPr>
      </w:pPr>
    </w:p>
    <w:p w14:paraId="49B3559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投标单位名称：（</w:t>
      </w:r>
      <w:r>
        <w:rPr>
          <w:rFonts w:hint="eastAsia" w:asciiTheme="minorEastAsia" w:hAnsiTheme="minorEastAsia" w:eastAsiaTheme="minorEastAsia" w:cstheme="minorEastAsia"/>
          <w:color w:val="auto"/>
          <w:sz w:val="24"/>
          <w:szCs w:val="24"/>
          <w:lang w:eastAsia="zh-CN"/>
        </w:rPr>
        <w:t>盖章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17B9E2C4">
      <w:pPr>
        <w:spacing w:line="360" w:lineRule="auto"/>
        <w:rPr>
          <w:rFonts w:hint="eastAsia" w:asciiTheme="minorEastAsia" w:hAnsiTheme="minorEastAsia" w:eastAsiaTheme="minorEastAsia" w:cstheme="minorEastAsia"/>
          <w:color w:val="auto"/>
          <w:sz w:val="24"/>
          <w:szCs w:val="24"/>
        </w:rPr>
      </w:pPr>
    </w:p>
    <w:p w14:paraId="27F30F8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（签字</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盖章）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7741EDB4">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4157C8FE">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8F712FB">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法定代表人参加的需提供法定代表人证明书，委托代理人参加的需提供法定代表人授权委托书，在公司（委托公司）所缴纳近3个月的社保证明扫描件</w:t>
      </w:r>
    </w:p>
    <w:p w14:paraId="7DA34E61">
      <w:pPr>
        <w:rPr>
          <w:rFonts w:hint="eastAsia" w:asciiTheme="minorEastAsia" w:hAnsiTheme="minorEastAsia" w:eastAsiaTheme="minorEastAsia" w:cstheme="minorEastAsia"/>
          <w:sz w:val="24"/>
          <w:szCs w:val="24"/>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313C8FCC">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02F8BAC0">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p>
    <w:p w14:paraId="51B228FA">
      <w:pPr>
        <w:pStyle w:val="17"/>
        <w:rPr>
          <w:rFonts w:hint="eastAsia"/>
          <w:lang w:val="en-US" w:eastAsia="zh-CN"/>
        </w:rPr>
      </w:pPr>
    </w:p>
    <w:p w14:paraId="05FC4060">
      <w:pPr>
        <w:pStyle w:val="14"/>
        <w:spacing w:line="240" w:lineRule="auto"/>
        <w:ind w:left="0" w:leftChars="0" w:firstLine="0" w:firstLineChars="0"/>
        <w:jc w:val="both"/>
        <w:rPr>
          <w:rFonts w:hint="eastAsia" w:asciiTheme="minorEastAsia" w:hAnsiTheme="minorEastAsia" w:eastAsiaTheme="minorEastAsia" w:cstheme="minorEastAsia"/>
          <w:b/>
          <w:color w:val="000000"/>
          <w:sz w:val="28"/>
          <w:szCs w:val="24"/>
          <w:lang w:val="en-US" w:eastAsia="zh-CN"/>
        </w:rPr>
      </w:pPr>
      <w:r>
        <w:rPr>
          <w:rFonts w:hint="eastAsia" w:asciiTheme="minorEastAsia" w:hAnsiTheme="minorEastAsia" w:eastAsiaTheme="minorEastAsia" w:cstheme="minorEastAsia"/>
          <w:b/>
          <w:color w:val="000000"/>
          <w:sz w:val="28"/>
          <w:szCs w:val="24"/>
          <w:lang w:val="en-US" w:eastAsia="zh-CN"/>
        </w:rPr>
        <w:t>附件九</w:t>
      </w:r>
    </w:p>
    <w:p w14:paraId="5BBFA997">
      <w:pPr>
        <w:pStyle w:val="14"/>
        <w:spacing w:line="240" w:lineRule="auto"/>
        <w:ind w:left="0" w:leftChars="0" w:firstLine="0" w:firstLineChars="0"/>
        <w:jc w:val="center"/>
        <w:rPr>
          <w:rFonts w:hint="eastAsia" w:asciiTheme="minorEastAsia" w:hAnsiTheme="minorEastAsia" w:eastAsiaTheme="minorEastAsia" w:cstheme="minorEastAsia"/>
          <w:b/>
          <w:bCs w:val="0"/>
          <w:color w:val="000000"/>
          <w:sz w:val="28"/>
          <w:szCs w:val="24"/>
          <w:lang w:val="en-US" w:eastAsia="zh-CN"/>
        </w:rPr>
      </w:pPr>
      <w:r>
        <w:rPr>
          <w:rFonts w:hint="eastAsia" w:asciiTheme="minorEastAsia" w:hAnsiTheme="minorEastAsia" w:eastAsiaTheme="minorEastAsia" w:cstheme="minorEastAsia"/>
          <w:b/>
          <w:bCs w:val="0"/>
          <w:color w:val="000000"/>
          <w:sz w:val="28"/>
          <w:szCs w:val="24"/>
          <w:lang w:val="en-US" w:eastAsia="zh-CN"/>
        </w:rPr>
        <w:t>投标人资格声明函（格式自拟）</w:t>
      </w:r>
    </w:p>
    <w:p w14:paraId="003384A1">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我公司</w:t>
      </w:r>
      <w:r>
        <w:rPr>
          <w:rFonts w:hint="eastAsia" w:asciiTheme="minorEastAsia" w:hAnsiTheme="minorEastAsia" w:eastAsiaTheme="minorEastAsia" w:cstheme="minorEastAsia"/>
          <w:b w:val="0"/>
          <w:bCs/>
          <w:color w:val="000000"/>
          <w:sz w:val="24"/>
          <w:szCs w:val="24"/>
          <w:u w:val="single"/>
          <w:lang w:val="en-US" w:eastAsia="zh-CN"/>
        </w:rPr>
        <w:t xml:space="preserve"> （供应商全称） </w:t>
      </w:r>
      <w:r>
        <w:rPr>
          <w:rFonts w:hint="eastAsia" w:asciiTheme="minorEastAsia" w:hAnsiTheme="minorEastAsia" w:eastAsiaTheme="minorEastAsia" w:cstheme="minorEastAsia"/>
          <w:b w:val="0"/>
          <w:bCs/>
          <w:color w:val="000000"/>
          <w:sz w:val="24"/>
          <w:szCs w:val="24"/>
          <w:lang w:val="en-US" w:eastAsia="zh-CN"/>
        </w:rPr>
        <w:t>收到</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项目（项目编号：</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、标段号：</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、标段名称：</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 xml:space="preserve"> ）的招标文件后，在完全理解该项目采购技术要求和商务条款的基础上，决定参加此次投标活动。我方保证具备履行合同所必需的服务和专业技术能力，并承诺如下：</w:t>
      </w:r>
    </w:p>
    <w:p w14:paraId="2671879F">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w:t>
      </w:r>
    </w:p>
    <w:p w14:paraId="16993933">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2、具有良好的商业信誉和健全的财务会计制度；</w:t>
      </w:r>
    </w:p>
    <w:p w14:paraId="65F453A6">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3、具有履行合同所必需的货物和专业技术能力；</w:t>
      </w:r>
    </w:p>
    <w:p w14:paraId="6DB4AC2C">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4、有依法缴纳税收和社会保障资金的良好记录；</w:t>
      </w:r>
    </w:p>
    <w:p w14:paraId="53AB2A1C">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5、参加政府采购活动前三年内，在经营活动中没有重大违法记录；</w:t>
      </w:r>
    </w:p>
    <w:p w14:paraId="0B1D9C5C">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6、法律、行政法规规定的其他条件；</w:t>
      </w:r>
    </w:p>
    <w:p w14:paraId="1BF83F56">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7、具备承担和实施本次采购内容相关的经营许可或相关代理授权。</w:t>
      </w:r>
    </w:p>
    <w:p w14:paraId="6064556F">
      <w:pPr>
        <w:topLinePunct/>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3FE0CC21">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供应商名称（电子公章）：</w:t>
      </w:r>
    </w:p>
    <w:p w14:paraId="6B037468">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法定代表人或其授权代表（签字）：</w:t>
      </w:r>
    </w:p>
    <w:p w14:paraId="4D3C14DD">
      <w:pPr>
        <w:pStyle w:val="14"/>
        <w:spacing w:line="240" w:lineRule="auto"/>
        <w:ind w:left="0" w:leftChars="0" w:firstLine="480" w:firstLineChars="200"/>
        <w:jc w:val="both"/>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日期：   年   月    日</w:t>
      </w:r>
    </w:p>
    <w:p w14:paraId="4F463F55">
      <w:pPr>
        <w:pStyle w:val="9"/>
        <w:numPr>
          <w:ilvl w:val="0"/>
          <w:numId w:val="0"/>
        </w:numPr>
        <w:overflowPunct w:val="0"/>
        <w:snapToGrid w:val="0"/>
        <w:spacing w:line="360" w:lineRule="auto"/>
        <w:jc w:val="both"/>
        <w:rPr>
          <w:rFonts w:hint="eastAsia" w:asciiTheme="minorEastAsia" w:hAnsiTheme="minorEastAsia" w:eastAsiaTheme="minorEastAsia" w:cstheme="minorEastAsia"/>
          <w:b w:val="0"/>
          <w:bCs/>
          <w:color w:val="auto"/>
          <w:kern w:val="2"/>
          <w:sz w:val="24"/>
          <w:szCs w:val="24"/>
          <w:lang w:val="en-US" w:eastAsia="zh-CN" w:bidi="ar-SA"/>
        </w:rPr>
      </w:pPr>
    </w:p>
    <w:p w14:paraId="5DE2C065">
      <w:pPr>
        <w:rPr>
          <w:rFonts w:hint="eastAsia" w:asciiTheme="minorEastAsia" w:hAnsiTheme="minorEastAsia" w:eastAsiaTheme="minorEastAsia" w:cstheme="minorEastAsia"/>
          <w:b w:val="0"/>
          <w:bCs/>
          <w:color w:val="auto"/>
          <w:kern w:val="2"/>
          <w:sz w:val="24"/>
          <w:szCs w:val="24"/>
          <w:lang w:val="en-US" w:eastAsia="zh-CN" w:bidi="ar-SA"/>
        </w:rPr>
      </w:pPr>
    </w:p>
    <w:p w14:paraId="05BD13E5">
      <w:pPr>
        <w:pStyle w:val="8"/>
        <w:rPr>
          <w:rFonts w:hint="eastAsia" w:asciiTheme="minorEastAsia" w:hAnsiTheme="minorEastAsia" w:eastAsiaTheme="minorEastAsia" w:cstheme="minorEastAsia"/>
          <w:b w:val="0"/>
          <w:bCs/>
          <w:color w:val="auto"/>
          <w:kern w:val="2"/>
          <w:sz w:val="21"/>
          <w:szCs w:val="20"/>
          <w:lang w:val="en-US" w:eastAsia="zh-CN" w:bidi="ar-SA"/>
        </w:rPr>
      </w:pPr>
    </w:p>
    <w:p w14:paraId="3A2B477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5F70D9A5">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3B3CEF67">
      <w:pPr>
        <w:rPr>
          <w:rFonts w:hint="eastAsia" w:asciiTheme="minorEastAsia" w:hAnsiTheme="minorEastAsia" w:eastAsiaTheme="minorEastAsia" w:cstheme="minorEastAsia"/>
          <w:b/>
          <w:bCs w:val="0"/>
          <w:color w:val="auto"/>
          <w:kern w:val="2"/>
          <w:sz w:val="32"/>
          <w:szCs w:val="28"/>
          <w:lang w:val="en-US" w:eastAsia="zh-CN" w:bidi="ar-SA"/>
        </w:rPr>
      </w:pPr>
    </w:p>
    <w:p w14:paraId="629F0427">
      <w:pPr>
        <w:pStyle w:val="12"/>
        <w:rPr>
          <w:rFonts w:hint="eastAsia" w:asciiTheme="minorEastAsia" w:hAnsiTheme="minorEastAsia" w:eastAsiaTheme="minorEastAsia" w:cstheme="minorEastAsia"/>
          <w:b/>
          <w:bCs w:val="0"/>
          <w:color w:val="auto"/>
          <w:kern w:val="2"/>
          <w:sz w:val="32"/>
          <w:szCs w:val="28"/>
          <w:lang w:val="en-US" w:eastAsia="zh-CN" w:bidi="ar-SA"/>
        </w:rPr>
      </w:pPr>
    </w:p>
    <w:p w14:paraId="31AB8F97">
      <w:pPr>
        <w:rPr>
          <w:rFonts w:hint="eastAsia" w:asciiTheme="minorEastAsia" w:hAnsiTheme="minorEastAsia" w:eastAsiaTheme="minorEastAsia" w:cstheme="minorEastAsia"/>
          <w:b/>
          <w:bCs w:val="0"/>
          <w:color w:val="auto"/>
          <w:kern w:val="2"/>
          <w:sz w:val="32"/>
          <w:szCs w:val="28"/>
          <w:lang w:val="en-US" w:eastAsia="zh-CN" w:bidi="ar-SA"/>
        </w:rPr>
      </w:pPr>
    </w:p>
    <w:p w14:paraId="0DBABA8A">
      <w:pPr>
        <w:pStyle w:val="12"/>
        <w:rPr>
          <w:rFonts w:hint="eastAsia" w:asciiTheme="minorEastAsia" w:hAnsiTheme="minorEastAsia" w:eastAsiaTheme="minorEastAsia" w:cstheme="minorEastAsia"/>
          <w:b/>
          <w:bCs w:val="0"/>
          <w:color w:val="auto"/>
          <w:kern w:val="2"/>
          <w:sz w:val="32"/>
          <w:szCs w:val="28"/>
          <w:lang w:val="en-US" w:eastAsia="zh-CN" w:bidi="ar-SA"/>
        </w:rPr>
      </w:pPr>
    </w:p>
    <w:p w14:paraId="56D349BE">
      <w:pPr>
        <w:rPr>
          <w:rFonts w:hint="eastAsia" w:asciiTheme="minorEastAsia" w:hAnsiTheme="minorEastAsia" w:eastAsiaTheme="minorEastAsia" w:cstheme="minorEastAsia"/>
          <w:b/>
          <w:bCs w:val="0"/>
          <w:color w:val="auto"/>
          <w:kern w:val="2"/>
          <w:sz w:val="32"/>
          <w:szCs w:val="28"/>
          <w:lang w:val="en-US" w:eastAsia="zh-CN" w:bidi="ar-SA"/>
        </w:rPr>
      </w:pPr>
    </w:p>
    <w:p w14:paraId="6BF0CDBB">
      <w:pPr>
        <w:pStyle w:val="12"/>
        <w:rPr>
          <w:rFonts w:hint="eastAsia"/>
          <w:lang w:val="en-US" w:eastAsia="zh-CN"/>
        </w:rPr>
      </w:pPr>
    </w:p>
    <w:p w14:paraId="15BA1DEB">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490494A0">
      <w:pPr>
        <w:rPr>
          <w:rFonts w:hint="eastAsia" w:asciiTheme="minorEastAsia" w:hAnsiTheme="minorEastAsia" w:eastAsiaTheme="minorEastAsia" w:cstheme="minorEastAsia"/>
          <w:lang w:val="en-US" w:eastAsia="zh-CN"/>
        </w:rPr>
      </w:pPr>
    </w:p>
    <w:p w14:paraId="2A8BA87F">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color w:val="000000"/>
          <w:kern w:val="2"/>
          <w:sz w:val="28"/>
          <w:szCs w:val="24"/>
          <w:lang w:val="en-US" w:eastAsia="zh-CN" w:bidi="ar-SA"/>
        </w:rPr>
        <w:t>附件十</w:t>
      </w:r>
    </w:p>
    <w:p w14:paraId="77029CD0">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70C97186">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31B4E984">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0CB8DBFF">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32F815DD">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信用中国（www.creditchina.gov.cn）查询结果</w:t>
      </w:r>
    </w:p>
    <w:p w14:paraId="13A2EFC1">
      <w:pPr>
        <w:jc w:val="center"/>
        <w:rPr>
          <w:rFonts w:hint="eastAsia" w:asciiTheme="minorEastAsia" w:hAnsiTheme="minorEastAsia" w:eastAsiaTheme="minorEastAsia" w:cstheme="minorEastAsia"/>
          <w:b w:val="0"/>
          <w:bCs/>
          <w:color w:val="auto"/>
          <w:kern w:val="2"/>
          <w:sz w:val="24"/>
          <w:szCs w:val="24"/>
          <w:lang w:val="en-US" w:eastAsia="zh-CN" w:bidi="ar-SA"/>
        </w:rPr>
      </w:pPr>
    </w:p>
    <w:p w14:paraId="48001637">
      <w:pPr>
        <w:pStyle w:val="5"/>
        <w:jc w:val="center"/>
        <w:outlineLvl w:val="9"/>
        <w:rPr>
          <w:rFonts w:hint="eastAsia" w:asciiTheme="minorEastAsia" w:hAnsiTheme="minorEastAsia" w:eastAsiaTheme="minorEastAsia" w:cstheme="minorEastAsia"/>
          <w:b w:val="0"/>
          <w:bCs/>
          <w:color w:val="auto"/>
          <w:kern w:val="2"/>
          <w:sz w:val="24"/>
          <w:szCs w:val="24"/>
          <w:lang w:val="en-US" w:eastAsia="zh-CN" w:bidi="ar-SA"/>
        </w:rPr>
      </w:pPr>
    </w:p>
    <w:p w14:paraId="2E4CAE31">
      <w:pPr>
        <w:jc w:val="center"/>
        <w:rPr>
          <w:rFonts w:hint="eastAsia" w:asciiTheme="minorEastAsia" w:hAnsiTheme="minorEastAsia" w:eastAsiaTheme="minorEastAsia" w:cstheme="minorEastAsia"/>
          <w:b w:val="0"/>
          <w:bCs/>
          <w:color w:val="auto"/>
          <w:kern w:val="2"/>
          <w:sz w:val="24"/>
          <w:szCs w:val="24"/>
          <w:lang w:val="en-US" w:eastAsia="zh-CN" w:bidi="ar-SA"/>
        </w:rPr>
      </w:pPr>
    </w:p>
    <w:p w14:paraId="7A4273B1">
      <w:pPr>
        <w:pStyle w:val="9"/>
        <w:numPr>
          <w:ilvl w:val="0"/>
          <w:numId w:val="0"/>
        </w:numPr>
        <w:overflowPunct w:val="0"/>
        <w:snapToGrid w:val="0"/>
        <w:spacing w:line="360" w:lineRule="auto"/>
        <w:ind w:firstLine="2880" w:firstLineChars="1200"/>
        <w:jc w:val="both"/>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b w:val="0"/>
          <w:bCs/>
          <w:color w:val="auto"/>
          <w:kern w:val="2"/>
          <w:sz w:val="24"/>
          <w:szCs w:val="24"/>
          <w:lang w:val="en-US" w:eastAsia="zh-CN" w:bidi="ar-SA"/>
        </w:rPr>
        <w:t>中国政府采购网（www.ccgp.gov.cn）查询结果；</w:t>
      </w:r>
    </w:p>
    <w:p w14:paraId="53373BE0">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79591B14">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00AE60C5">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4FCB2DA1">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58D3911A">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19000980">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6BC9DEC8">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08199D32">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5BF696B4">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1B3771D1">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7383C7BD">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2CA7B2A5">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43F0C465">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712E3346">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7AA88459">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3009AED3">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5A014B9D">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6560C477">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r>
        <w:rPr>
          <w:rFonts w:hint="eastAsia" w:asciiTheme="minorEastAsia" w:hAnsiTheme="minorEastAsia" w:eastAsiaTheme="minorEastAsia" w:cstheme="minorEastAsia"/>
          <w:b/>
          <w:color w:val="000000"/>
          <w:kern w:val="2"/>
          <w:sz w:val="28"/>
          <w:szCs w:val="24"/>
          <w:lang w:val="en-US" w:eastAsia="zh-CN" w:bidi="ar-SA"/>
        </w:rPr>
        <w:t>附件十一</w:t>
      </w:r>
    </w:p>
    <w:p w14:paraId="2428EB0B">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p>
    <w:p w14:paraId="0C5ACABC">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4"/>
          <w:szCs w:val="24"/>
          <w:highlight w:val="none"/>
          <w:lang w:val="en-US" w:eastAsia="zh-CN" w:bidi="ar-SA"/>
        </w:rPr>
      </w:pPr>
    </w:p>
    <w:p w14:paraId="53BFFE83">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具有良好的商业信誉和健全的财务会计制度：提供2023年由第三方审计机构出具及备案赋码的审计报告（2024年新成立的公司按实际发生的情况提供银行出具的资信证明）和健全的财务会计制度；</w:t>
      </w:r>
    </w:p>
    <w:p w14:paraId="6F946C6E">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07CADA77">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1A848AED">
      <w:pPr>
        <w:rPr>
          <w:rFonts w:hint="eastAsia" w:asciiTheme="minorEastAsia" w:hAnsiTheme="minorEastAsia" w:eastAsiaTheme="minorEastAsia" w:cstheme="minorEastAsia"/>
          <w:b/>
          <w:bCs w:val="0"/>
          <w:color w:val="auto"/>
          <w:kern w:val="2"/>
          <w:sz w:val="32"/>
          <w:szCs w:val="28"/>
          <w:lang w:val="en-US" w:eastAsia="zh-CN" w:bidi="ar-SA"/>
        </w:rPr>
      </w:pPr>
    </w:p>
    <w:p w14:paraId="78862D82">
      <w:pPr>
        <w:pStyle w:val="12"/>
        <w:rPr>
          <w:rFonts w:hint="eastAsia" w:asciiTheme="minorEastAsia" w:hAnsiTheme="minorEastAsia" w:eastAsiaTheme="minorEastAsia" w:cstheme="minorEastAsia"/>
          <w:b/>
          <w:bCs w:val="0"/>
          <w:color w:val="auto"/>
          <w:kern w:val="2"/>
          <w:sz w:val="32"/>
          <w:szCs w:val="28"/>
          <w:lang w:val="en-US" w:eastAsia="zh-CN" w:bidi="ar-SA"/>
        </w:rPr>
      </w:pPr>
    </w:p>
    <w:p w14:paraId="3C6E1305">
      <w:pPr>
        <w:rPr>
          <w:rFonts w:hint="eastAsia" w:asciiTheme="minorEastAsia" w:hAnsiTheme="minorEastAsia" w:eastAsiaTheme="minorEastAsia" w:cstheme="minorEastAsia"/>
          <w:b/>
          <w:bCs w:val="0"/>
          <w:color w:val="auto"/>
          <w:kern w:val="2"/>
          <w:sz w:val="32"/>
          <w:szCs w:val="28"/>
          <w:lang w:val="en-US" w:eastAsia="zh-CN" w:bidi="ar-SA"/>
        </w:rPr>
      </w:pPr>
    </w:p>
    <w:p w14:paraId="093CE27D">
      <w:pPr>
        <w:pStyle w:val="12"/>
        <w:rPr>
          <w:rFonts w:hint="eastAsia" w:asciiTheme="minorEastAsia" w:hAnsiTheme="minorEastAsia" w:eastAsiaTheme="minorEastAsia" w:cstheme="minorEastAsia"/>
          <w:b/>
          <w:bCs w:val="0"/>
          <w:color w:val="auto"/>
          <w:kern w:val="2"/>
          <w:sz w:val="32"/>
          <w:szCs w:val="28"/>
          <w:lang w:val="en-US" w:eastAsia="zh-CN" w:bidi="ar-SA"/>
        </w:rPr>
      </w:pPr>
    </w:p>
    <w:p w14:paraId="3FD9703F">
      <w:pPr>
        <w:rPr>
          <w:rFonts w:hint="eastAsia" w:asciiTheme="minorEastAsia" w:hAnsiTheme="minorEastAsia" w:eastAsiaTheme="minorEastAsia" w:cstheme="minorEastAsia"/>
          <w:b/>
          <w:bCs w:val="0"/>
          <w:color w:val="auto"/>
          <w:kern w:val="2"/>
          <w:sz w:val="32"/>
          <w:szCs w:val="28"/>
          <w:lang w:val="en-US" w:eastAsia="zh-CN" w:bidi="ar-SA"/>
        </w:rPr>
      </w:pPr>
    </w:p>
    <w:p w14:paraId="28FCE906">
      <w:pPr>
        <w:pStyle w:val="12"/>
        <w:rPr>
          <w:rFonts w:hint="eastAsia" w:asciiTheme="minorEastAsia" w:hAnsiTheme="minorEastAsia" w:eastAsiaTheme="minorEastAsia" w:cstheme="minorEastAsia"/>
          <w:b/>
          <w:bCs w:val="0"/>
          <w:color w:val="auto"/>
          <w:kern w:val="2"/>
          <w:sz w:val="32"/>
          <w:szCs w:val="28"/>
          <w:lang w:val="en-US" w:eastAsia="zh-CN" w:bidi="ar-SA"/>
        </w:rPr>
      </w:pPr>
    </w:p>
    <w:p w14:paraId="4A6FB1FD">
      <w:pPr>
        <w:rPr>
          <w:rFonts w:hint="eastAsia" w:asciiTheme="minorEastAsia" w:hAnsiTheme="minorEastAsia" w:eastAsiaTheme="minorEastAsia" w:cstheme="minorEastAsia"/>
          <w:b/>
          <w:bCs w:val="0"/>
          <w:color w:val="auto"/>
          <w:kern w:val="2"/>
          <w:sz w:val="32"/>
          <w:szCs w:val="28"/>
          <w:lang w:val="en-US" w:eastAsia="zh-CN" w:bidi="ar-SA"/>
        </w:rPr>
      </w:pPr>
    </w:p>
    <w:p w14:paraId="762E436F">
      <w:pPr>
        <w:pStyle w:val="12"/>
        <w:rPr>
          <w:rFonts w:hint="eastAsia" w:asciiTheme="minorEastAsia" w:hAnsiTheme="minorEastAsia" w:eastAsiaTheme="minorEastAsia" w:cstheme="minorEastAsia"/>
          <w:b/>
          <w:bCs w:val="0"/>
          <w:color w:val="auto"/>
          <w:kern w:val="2"/>
          <w:sz w:val="32"/>
          <w:szCs w:val="28"/>
          <w:lang w:val="en-US" w:eastAsia="zh-CN" w:bidi="ar-SA"/>
        </w:rPr>
      </w:pPr>
    </w:p>
    <w:p w14:paraId="2E9DD070">
      <w:pPr>
        <w:rPr>
          <w:rFonts w:hint="eastAsia" w:asciiTheme="minorEastAsia" w:hAnsiTheme="minorEastAsia" w:eastAsiaTheme="minorEastAsia" w:cstheme="minorEastAsia"/>
          <w:b/>
          <w:bCs w:val="0"/>
          <w:color w:val="auto"/>
          <w:kern w:val="2"/>
          <w:sz w:val="32"/>
          <w:szCs w:val="28"/>
          <w:lang w:val="en-US" w:eastAsia="zh-CN" w:bidi="ar-SA"/>
        </w:rPr>
      </w:pPr>
    </w:p>
    <w:p w14:paraId="2BFCBE7C">
      <w:pPr>
        <w:pStyle w:val="12"/>
        <w:rPr>
          <w:rFonts w:hint="eastAsia"/>
          <w:lang w:val="en-US" w:eastAsia="zh-CN"/>
        </w:rPr>
      </w:pPr>
    </w:p>
    <w:p w14:paraId="0BE5933D">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2DF1B6D4">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71C1E0AE">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2CBEB3D0">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6E440AF0">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1DE5FD3A">
      <w:pPr>
        <w:rPr>
          <w:rFonts w:hint="eastAsia"/>
          <w:lang w:val="en-US" w:eastAsia="zh-CN"/>
        </w:rPr>
      </w:pPr>
    </w:p>
    <w:p w14:paraId="0E402798">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153042DD">
      <w:pPr>
        <w:pStyle w:val="9"/>
        <w:numPr>
          <w:ilvl w:val="0"/>
          <w:numId w:val="0"/>
        </w:numPr>
        <w:overflowPunct w:val="0"/>
        <w:snapToGrid w:val="0"/>
        <w:spacing w:line="360" w:lineRule="auto"/>
        <w:ind w:leftChars="0"/>
        <w:jc w:val="both"/>
        <w:rPr>
          <w:rFonts w:hint="eastAsia" w:asciiTheme="minorEastAsia" w:hAnsiTheme="minorEastAsia" w:eastAsiaTheme="minorEastAsia" w:cstheme="minorEastAsia"/>
          <w:b/>
          <w:bCs w:val="0"/>
          <w:color w:val="auto"/>
          <w:kern w:val="2"/>
          <w:sz w:val="32"/>
          <w:szCs w:val="28"/>
          <w:lang w:val="en-US" w:eastAsia="zh-CN" w:bidi="ar-SA"/>
        </w:rPr>
      </w:pPr>
    </w:p>
    <w:p w14:paraId="4E006541">
      <w:pPr>
        <w:pStyle w:val="9"/>
        <w:numPr>
          <w:ilvl w:val="0"/>
          <w:numId w:val="0"/>
        </w:numPr>
        <w:overflowPunct w:val="0"/>
        <w:snapToGrid w:val="0"/>
        <w:spacing w:line="360" w:lineRule="auto"/>
        <w:jc w:val="both"/>
        <w:rPr>
          <w:rFonts w:hint="eastAsia" w:asciiTheme="minorEastAsia" w:hAnsiTheme="minorEastAsia" w:eastAsiaTheme="minorEastAsia" w:cstheme="minorEastAsia"/>
          <w:b/>
          <w:color w:val="000000"/>
          <w:kern w:val="2"/>
          <w:sz w:val="28"/>
          <w:szCs w:val="24"/>
          <w:lang w:val="en-US" w:eastAsia="zh-CN" w:bidi="ar-SA"/>
        </w:rPr>
      </w:pPr>
      <w:r>
        <w:rPr>
          <w:rFonts w:hint="eastAsia" w:asciiTheme="minorEastAsia" w:hAnsiTheme="minorEastAsia" w:eastAsiaTheme="minorEastAsia" w:cstheme="minorEastAsia"/>
          <w:b/>
          <w:color w:val="000000"/>
          <w:kern w:val="2"/>
          <w:sz w:val="28"/>
          <w:szCs w:val="24"/>
          <w:lang w:val="en-US" w:eastAsia="zh-CN" w:bidi="ar-SA"/>
        </w:rPr>
        <w:t>附件十二</w:t>
      </w:r>
    </w:p>
    <w:p w14:paraId="52E46497">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7E1A29E3">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68E4951B">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1"/>
          <w:szCs w:val="20"/>
          <w:lang w:val="en-US" w:eastAsia="zh-CN" w:bidi="ar-SA"/>
        </w:rPr>
      </w:pPr>
    </w:p>
    <w:p w14:paraId="3F65DCA9">
      <w:pPr>
        <w:pStyle w:val="9"/>
        <w:numPr>
          <w:ilvl w:val="0"/>
          <w:numId w:val="0"/>
        </w:numPr>
        <w:overflowPunct w:val="0"/>
        <w:snapToGrid w:val="0"/>
        <w:spacing w:line="360" w:lineRule="auto"/>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投标保证金回单（以银行到账推送名单情况为</w:t>
      </w:r>
    </w:p>
    <w:p w14:paraId="7B05189B">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b w:val="0"/>
          <w:bCs/>
          <w:color w:val="auto"/>
          <w:kern w:val="2"/>
          <w:sz w:val="24"/>
          <w:szCs w:val="24"/>
          <w:lang w:val="en-US" w:eastAsia="zh-CN" w:bidi="ar-SA"/>
        </w:rPr>
        <w:t>准）、或电子保函凭证</w:t>
      </w:r>
    </w:p>
    <w:p w14:paraId="576C8C94">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470B680">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5F8C1FB2">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6F19C51D">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0372BA0">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0C8878AC">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535DBC10">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7BE53E1D">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74007EA9">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76B9298">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638267AF">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791F3FBF">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2847DC98">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4CA60DA6">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0AC9B81E">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3DA4A418">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54154751">
      <w:pPr>
        <w:pStyle w:val="6"/>
        <w:rPr>
          <w:rFonts w:hint="eastAsia"/>
          <w:lang w:val="en-US" w:eastAsia="zh-CN"/>
        </w:rPr>
      </w:pPr>
    </w:p>
    <w:p w14:paraId="6CF3108E">
      <w:pPr>
        <w:ind w:left="0" w:leftChars="0" w:firstLine="0" w:firstLineChars="0"/>
        <w:rPr>
          <w:rFonts w:hint="eastAsia" w:asciiTheme="minorEastAsia" w:hAnsiTheme="minorEastAsia" w:eastAsiaTheme="minorEastAsia" w:cstheme="minorEastAsia"/>
          <w:b/>
          <w:bCs w:val="0"/>
          <w:color w:val="auto"/>
          <w:kern w:val="2"/>
          <w:sz w:val="28"/>
          <w:szCs w:val="24"/>
          <w:lang w:val="en-US" w:eastAsia="zh-CN" w:bidi="ar-SA"/>
        </w:rPr>
      </w:pPr>
    </w:p>
    <w:p w14:paraId="30A5D989">
      <w:pPr>
        <w:ind w:left="0" w:leftChars="0" w:firstLine="0" w:firstLineChars="0"/>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附件十三</w:t>
      </w:r>
    </w:p>
    <w:p w14:paraId="2A25DC7F">
      <w:pPr>
        <w:pStyle w:val="9"/>
        <w:numPr>
          <w:ilvl w:val="0"/>
          <w:numId w:val="0"/>
        </w:numPr>
        <w:tabs>
          <w:tab w:val="left" w:pos="2160"/>
        </w:tabs>
        <w:overflowPunct w:val="0"/>
        <w:snapToGrid w:val="0"/>
        <w:spacing w:line="360" w:lineRule="auto"/>
        <w:ind w:leftChars="0"/>
        <w:jc w:val="center"/>
        <w:rPr>
          <w:rFonts w:hint="eastAsia" w:asciiTheme="minorEastAsia" w:hAnsiTheme="minorEastAsia" w:eastAsiaTheme="minorEastAsia" w:cstheme="minorEastAsia"/>
          <w:color w:val="000000"/>
          <w:sz w:val="24"/>
          <w:szCs w:val="28"/>
        </w:rPr>
      </w:pPr>
      <w:r>
        <w:rPr>
          <w:rFonts w:hint="eastAsia" w:asciiTheme="minorEastAsia" w:hAnsiTheme="minorEastAsia" w:eastAsiaTheme="minorEastAsia" w:cstheme="minorEastAsia"/>
          <w:b/>
          <w:bCs w:val="0"/>
          <w:color w:val="auto"/>
          <w:kern w:val="2"/>
          <w:sz w:val="32"/>
          <w:szCs w:val="28"/>
          <w:lang w:val="en-US" w:eastAsia="zh-CN" w:bidi="ar-SA"/>
        </w:rPr>
        <w:t>商务偏离表</w:t>
      </w:r>
    </w:p>
    <w:p w14:paraId="6EEFC7A5">
      <w:pPr>
        <w:adjustRightInd w:val="0"/>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1"/>
          <w:szCs w:val="22"/>
        </w:rPr>
        <w:t>项</w:t>
      </w:r>
      <w:r>
        <w:rPr>
          <w:rFonts w:hint="eastAsia" w:asciiTheme="minorEastAsia" w:hAnsiTheme="minorEastAsia" w:eastAsiaTheme="minorEastAsia" w:cstheme="minorEastAsia"/>
          <w:color w:val="000000"/>
          <w:sz w:val="24"/>
          <w:szCs w:val="24"/>
        </w:rPr>
        <w:t>目名称：</w:t>
      </w:r>
    </w:p>
    <w:p w14:paraId="4FF5F5D1">
      <w:pPr>
        <w:adjustRightInd w:val="0"/>
        <w:snapToGrid w:val="0"/>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7D77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67C67308">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81" w:type="dxa"/>
            <w:noWrap w:val="0"/>
            <w:vAlign w:val="center"/>
          </w:tcPr>
          <w:p w14:paraId="41FAF2E5">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招标文件条目号</w:t>
            </w:r>
          </w:p>
        </w:tc>
        <w:tc>
          <w:tcPr>
            <w:tcW w:w="2552" w:type="dxa"/>
            <w:noWrap w:val="0"/>
            <w:vAlign w:val="center"/>
          </w:tcPr>
          <w:p w14:paraId="2D013DD5">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招标文件的商务条款</w:t>
            </w:r>
          </w:p>
        </w:tc>
        <w:tc>
          <w:tcPr>
            <w:tcW w:w="2551" w:type="dxa"/>
            <w:noWrap w:val="0"/>
            <w:vAlign w:val="center"/>
          </w:tcPr>
          <w:p w14:paraId="28CBBC8C">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招标响应文件的商务条款</w:t>
            </w:r>
          </w:p>
        </w:tc>
        <w:tc>
          <w:tcPr>
            <w:tcW w:w="1210" w:type="dxa"/>
            <w:noWrap w:val="0"/>
            <w:vAlign w:val="center"/>
          </w:tcPr>
          <w:p w14:paraId="6683EB91">
            <w:pPr>
              <w:spacing w:line="400" w:lineRule="atLeas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说明</w:t>
            </w:r>
          </w:p>
        </w:tc>
      </w:tr>
      <w:tr w14:paraId="5D11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96" w:type="dxa"/>
            <w:noWrap w:val="0"/>
            <w:vAlign w:val="center"/>
          </w:tcPr>
          <w:p w14:paraId="064BA7B0">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181" w:type="dxa"/>
            <w:noWrap w:val="0"/>
            <w:vAlign w:val="top"/>
          </w:tcPr>
          <w:p w14:paraId="5CA86D0E">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（示例）</w:t>
            </w:r>
          </w:p>
        </w:tc>
        <w:tc>
          <w:tcPr>
            <w:tcW w:w="2552" w:type="dxa"/>
            <w:noWrap w:val="0"/>
            <w:vAlign w:val="top"/>
          </w:tcPr>
          <w:p w14:paraId="3C14C26D">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招标人的资格声明</w:t>
            </w:r>
          </w:p>
        </w:tc>
        <w:tc>
          <w:tcPr>
            <w:tcW w:w="2551" w:type="dxa"/>
            <w:noWrap w:val="0"/>
            <w:vAlign w:val="top"/>
          </w:tcPr>
          <w:p w14:paraId="0D0B5488">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投标人的资格声明</w:t>
            </w:r>
          </w:p>
        </w:tc>
        <w:tc>
          <w:tcPr>
            <w:tcW w:w="1210" w:type="dxa"/>
            <w:noWrap w:val="0"/>
            <w:vAlign w:val="top"/>
          </w:tcPr>
          <w:p w14:paraId="3B9E7740">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无偏离</w:t>
            </w:r>
          </w:p>
        </w:tc>
      </w:tr>
      <w:tr w14:paraId="22F2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43345E7E">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181" w:type="dxa"/>
            <w:noWrap w:val="0"/>
            <w:vAlign w:val="center"/>
          </w:tcPr>
          <w:p w14:paraId="6D212FEF">
            <w:pPr>
              <w:adjustRightInd w:val="0"/>
              <w:snapToGrid w:val="0"/>
              <w:jc w:val="center"/>
              <w:rPr>
                <w:rFonts w:hint="eastAsia" w:asciiTheme="minorEastAsia" w:hAnsiTheme="minorEastAsia" w:eastAsiaTheme="minorEastAsia" w:cstheme="minorEastAsia"/>
                <w:color w:val="000000"/>
                <w:sz w:val="24"/>
                <w:szCs w:val="24"/>
              </w:rPr>
            </w:pPr>
          </w:p>
        </w:tc>
        <w:tc>
          <w:tcPr>
            <w:tcW w:w="2552" w:type="dxa"/>
            <w:noWrap w:val="0"/>
            <w:vAlign w:val="center"/>
          </w:tcPr>
          <w:p w14:paraId="0427A135">
            <w:pPr>
              <w:adjustRightInd w:val="0"/>
              <w:snapToGrid w:val="0"/>
              <w:jc w:val="center"/>
              <w:rPr>
                <w:rFonts w:hint="eastAsia" w:asciiTheme="minorEastAsia" w:hAnsiTheme="minorEastAsia" w:eastAsiaTheme="minorEastAsia" w:cstheme="minorEastAsia"/>
                <w:color w:val="000000"/>
                <w:sz w:val="24"/>
                <w:szCs w:val="24"/>
              </w:rPr>
            </w:pPr>
          </w:p>
        </w:tc>
        <w:tc>
          <w:tcPr>
            <w:tcW w:w="2551" w:type="dxa"/>
            <w:noWrap w:val="0"/>
            <w:vAlign w:val="center"/>
          </w:tcPr>
          <w:p w14:paraId="6B5587CF">
            <w:pPr>
              <w:adjustRightInd w:val="0"/>
              <w:snapToGrid w:val="0"/>
              <w:jc w:val="center"/>
              <w:rPr>
                <w:rFonts w:hint="eastAsia" w:asciiTheme="minorEastAsia" w:hAnsiTheme="minorEastAsia" w:eastAsiaTheme="minorEastAsia" w:cstheme="minorEastAsia"/>
                <w:color w:val="000000"/>
                <w:sz w:val="24"/>
                <w:szCs w:val="24"/>
              </w:rPr>
            </w:pPr>
          </w:p>
        </w:tc>
        <w:tc>
          <w:tcPr>
            <w:tcW w:w="1210" w:type="dxa"/>
            <w:noWrap w:val="0"/>
            <w:vAlign w:val="center"/>
          </w:tcPr>
          <w:p w14:paraId="634344E7">
            <w:pPr>
              <w:adjustRightInd w:val="0"/>
              <w:snapToGrid w:val="0"/>
              <w:jc w:val="center"/>
              <w:rPr>
                <w:rFonts w:hint="eastAsia" w:asciiTheme="minorEastAsia" w:hAnsiTheme="minorEastAsia" w:eastAsiaTheme="minorEastAsia" w:cstheme="minorEastAsia"/>
                <w:color w:val="000000"/>
                <w:sz w:val="24"/>
                <w:szCs w:val="24"/>
              </w:rPr>
            </w:pPr>
          </w:p>
        </w:tc>
      </w:tr>
      <w:tr w14:paraId="5C82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7517F8A1">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2181" w:type="dxa"/>
            <w:noWrap w:val="0"/>
            <w:vAlign w:val="center"/>
          </w:tcPr>
          <w:p w14:paraId="71EFB460">
            <w:pPr>
              <w:adjustRightInd w:val="0"/>
              <w:snapToGrid w:val="0"/>
              <w:jc w:val="center"/>
              <w:rPr>
                <w:rFonts w:hint="eastAsia" w:asciiTheme="minorEastAsia" w:hAnsiTheme="minorEastAsia" w:eastAsiaTheme="minorEastAsia" w:cstheme="minorEastAsia"/>
                <w:color w:val="000000"/>
                <w:sz w:val="24"/>
                <w:szCs w:val="24"/>
              </w:rPr>
            </w:pPr>
          </w:p>
        </w:tc>
        <w:tc>
          <w:tcPr>
            <w:tcW w:w="2552" w:type="dxa"/>
            <w:noWrap w:val="0"/>
            <w:vAlign w:val="center"/>
          </w:tcPr>
          <w:p w14:paraId="04BDCA92">
            <w:pPr>
              <w:adjustRightInd w:val="0"/>
              <w:snapToGrid w:val="0"/>
              <w:jc w:val="center"/>
              <w:rPr>
                <w:rFonts w:hint="eastAsia" w:asciiTheme="minorEastAsia" w:hAnsiTheme="minorEastAsia" w:eastAsiaTheme="minorEastAsia" w:cstheme="minorEastAsia"/>
                <w:color w:val="000000"/>
                <w:sz w:val="24"/>
                <w:szCs w:val="24"/>
              </w:rPr>
            </w:pPr>
          </w:p>
        </w:tc>
        <w:tc>
          <w:tcPr>
            <w:tcW w:w="2551" w:type="dxa"/>
            <w:noWrap w:val="0"/>
            <w:vAlign w:val="center"/>
          </w:tcPr>
          <w:p w14:paraId="383E562C">
            <w:pPr>
              <w:adjustRightInd w:val="0"/>
              <w:snapToGrid w:val="0"/>
              <w:jc w:val="center"/>
              <w:rPr>
                <w:rFonts w:hint="eastAsia" w:asciiTheme="minorEastAsia" w:hAnsiTheme="minorEastAsia" w:eastAsiaTheme="minorEastAsia" w:cstheme="minorEastAsia"/>
                <w:color w:val="000000"/>
                <w:sz w:val="24"/>
                <w:szCs w:val="24"/>
              </w:rPr>
            </w:pPr>
          </w:p>
        </w:tc>
        <w:tc>
          <w:tcPr>
            <w:tcW w:w="1210" w:type="dxa"/>
            <w:noWrap w:val="0"/>
            <w:vAlign w:val="center"/>
          </w:tcPr>
          <w:p w14:paraId="28146A7A">
            <w:pPr>
              <w:adjustRightInd w:val="0"/>
              <w:snapToGrid w:val="0"/>
              <w:jc w:val="center"/>
              <w:rPr>
                <w:rFonts w:hint="eastAsia" w:asciiTheme="minorEastAsia" w:hAnsiTheme="minorEastAsia" w:eastAsiaTheme="minorEastAsia" w:cstheme="minorEastAsia"/>
                <w:color w:val="000000"/>
                <w:sz w:val="24"/>
                <w:szCs w:val="24"/>
              </w:rPr>
            </w:pPr>
          </w:p>
        </w:tc>
      </w:tr>
    </w:tbl>
    <w:p w14:paraId="1E1ED9A3">
      <w:pPr>
        <w:adjustRightInd w:val="0"/>
        <w:snapToGrid w:val="0"/>
        <w:spacing w:line="360" w:lineRule="auto"/>
        <w:rPr>
          <w:rFonts w:hint="eastAsia" w:asciiTheme="minorEastAsia" w:hAnsiTheme="minorEastAsia" w:eastAsiaTheme="minorEastAsia" w:cstheme="minorEastAsia"/>
          <w:color w:val="000000"/>
          <w:sz w:val="24"/>
          <w:szCs w:val="24"/>
        </w:rPr>
      </w:pPr>
    </w:p>
    <w:p w14:paraId="29327554">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462F2B7F">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1、本项目商务条款至少包括：</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期、采购内容、投标保证金响应、投标文件有效期、履约保证金等，投标人必须按</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给定的条款填写，否则视为不响应招标。</w:t>
      </w:r>
    </w:p>
    <w:p w14:paraId="0A53735F">
      <w:pPr>
        <w:adjustRightInd w:val="0"/>
        <w:snapToGrid w:val="0"/>
        <w:spacing w:line="360" w:lineRule="auto"/>
        <w:ind w:firstLine="480" w:firstLineChars="200"/>
        <w:outlineLvl w:val="2"/>
        <w:rPr>
          <w:rFonts w:hint="eastAsia" w:asciiTheme="minorEastAsia" w:hAnsiTheme="minorEastAsia" w:eastAsiaTheme="minorEastAsia" w:cstheme="minorEastAsia"/>
          <w:color w:val="000000"/>
          <w:sz w:val="24"/>
          <w:szCs w:val="24"/>
        </w:rPr>
      </w:pPr>
      <w:bookmarkStart w:id="608" w:name="_Toc632"/>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条目号指投标须知所对应项目名称。</w:t>
      </w:r>
      <w:bookmarkEnd w:id="608"/>
    </w:p>
    <w:p w14:paraId="3CB1D47E">
      <w:pPr>
        <w:adjustRightInd w:val="0"/>
        <w:snapToGrid w:val="0"/>
        <w:spacing w:before="100" w:beforeAutospacing="1" w:after="100" w:afterAutospacing="1"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投标单位：</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none"/>
          <w:lang w:eastAsia="zh-CN"/>
        </w:rPr>
        <w:t>盖章</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1F4706DE">
      <w:pPr>
        <w:adjustRightInd w:val="0"/>
        <w:snapToGrid w:val="0"/>
        <w:spacing w:line="360" w:lineRule="auto"/>
        <w:outlineLvl w:val="1"/>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bookmarkStart w:id="609" w:name="_Toc5383"/>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盖章）</w:t>
      </w:r>
      <w:bookmarkEnd w:id="609"/>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317B008C">
      <w:pPr>
        <w:adjustRightInd w:val="0"/>
        <w:snapToGrid w:val="0"/>
        <w:spacing w:line="360" w:lineRule="auto"/>
        <w:rPr>
          <w:rFonts w:hint="eastAsia" w:asciiTheme="minorEastAsia" w:hAnsiTheme="minorEastAsia" w:eastAsiaTheme="minorEastAsia" w:cstheme="minorEastAsia"/>
          <w:color w:val="000000"/>
          <w:sz w:val="24"/>
          <w:szCs w:val="24"/>
        </w:rPr>
      </w:pPr>
    </w:p>
    <w:p w14:paraId="2BC41776">
      <w:pPr>
        <w:adjustRightInd w:val="0"/>
        <w:snapToGrid w:val="0"/>
        <w:spacing w:line="360" w:lineRule="auto"/>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5E2E045">
      <w:pPr>
        <w:pStyle w:val="9"/>
        <w:numPr>
          <w:ilvl w:val="0"/>
          <w:numId w:val="11"/>
        </w:numPr>
        <w:overflowPunct w:val="0"/>
        <w:snapToGrid w:val="0"/>
        <w:spacing w:line="360" w:lineRule="auto"/>
        <w:ind w:left="0" w:leftChars="0" w:firstLine="0" w:firstLineChars="0"/>
        <w:jc w:val="center"/>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2CFD4DC6">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2A2794EA">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7651896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3D3FF594">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067D089E">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77357286">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5E08FAA0">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677187F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770CEBCB">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p>
    <w:p w14:paraId="563F73E9">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附件十四</w:t>
      </w:r>
    </w:p>
    <w:p w14:paraId="21FBC886">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投标人反商业贿赂承诺书</w:t>
      </w:r>
    </w:p>
    <w:p w14:paraId="7F8AF1AA">
      <w:pPr>
        <w:autoSpaceDE w:val="0"/>
        <w:autoSpaceDN w:val="0"/>
        <w:adjustRightInd w:val="0"/>
        <w:spacing w:line="480" w:lineRule="auto"/>
        <w:ind w:firstLine="600" w:firstLineChars="2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我公司承诺在</w:t>
      </w:r>
      <w:r>
        <w:rPr>
          <w:rFonts w:hint="eastAsia" w:asciiTheme="minorEastAsia" w:hAnsiTheme="minorEastAsia" w:eastAsiaTheme="minorEastAsia" w:cstheme="minorEastAsia"/>
          <w:bCs/>
          <w:color w:val="00000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14:paraId="4897E67C">
      <w:pPr>
        <w:autoSpaceDE w:val="0"/>
        <w:autoSpaceDN w:val="0"/>
        <w:adjustRightInd w:val="0"/>
        <w:spacing w:line="360" w:lineRule="auto"/>
        <w:ind w:firstLine="600" w:firstLineChars="250"/>
        <w:rPr>
          <w:rFonts w:hint="eastAsia" w:asciiTheme="minorEastAsia" w:hAnsiTheme="minorEastAsia" w:eastAsiaTheme="minorEastAsia" w:cstheme="minorEastAsia"/>
          <w:bCs/>
          <w:color w:val="000000"/>
          <w:sz w:val="24"/>
          <w:szCs w:val="24"/>
          <w:lang w:val="zh-CN"/>
        </w:rPr>
      </w:pPr>
      <w:r>
        <w:rPr>
          <w:rFonts w:hint="eastAsia" w:asciiTheme="minorEastAsia" w:hAnsiTheme="minorEastAsia" w:eastAsiaTheme="minorEastAsia" w:cstheme="minorEastAsia"/>
          <w:color w:val="000000"/>
          <w:kern w:val="0"/>
          <w:sz w:val="24"/>
          <w:szCs w:val="24"/>
          <w:lang w:val="zh-CN"/>
        </w:rPr>
        <w:t xml:space="preserve"> </w:t>
      </w:r>
    </w:p>
    <w:p w14:paraId="059865BC">
      <w:pPr>
        <w:spacing w:before="100" w:beforeAutospacing="1" w:after="100" w:afterAutospacing="1"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none"/>
          <w:lang w:eastAsia="zh-CN"/>
        </w:rPr>
        <w:t>盖章</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54A87440">
      <w:pPr>
        <w:spacing w:before="100" w:beforeAutospacing="1" w:after="100" w:afterAutospacing="1" w:line="360" w:lineRule="auto"/>
        <w:ind w:firstLine="480" w:firstLineChars="200"/>
        <w:rPr>
          <w:rFonts w:hint="eastAsia" w:asciiTheme="minorEastAsia" w:hAnsiTheme="minorEastAsia" w:eastAsiaTheme="minorEastAsia" w:cstheme="minorEastAsia"/>
          <w:color w:val="000000"/>
          <w:sz w:val="24"/>
          <w:szCs w:val="24"/>
          <w:u w:val="single"/>
        </w:rPr>
      </w:pPr>
    </w:p>
    <w:p w14:paraId="38FBFAFE">
      <w:pPr>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法定代表人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29A9BBCB">
      <w:pPr>
        <w:spacing w:line="360" w:lineRule="auto"/>
        <w:ind w:firstLine="240" w:firstLineChars="100"/>
        <w:rPr>
          <w:rFonts w:hint="eastAsia" w:asciiTheme="minorEastAsia" w:hAnsiTheme="minorEastAsia" w:eastAsiaTheme="minorEastAsia" w:cstheme="minorEastAsia"/>
          <w:color w:val="000000"/>
          <w:sz w:val="24"/>
          <w:szCs w:val="24"/>
          <w:lang w:val="zh-CN"/>
        </w:rPr>
      </w:pPr>
    </w:p>
    <w:p w14:paraId="0A1019EE">
      <w:pPr>
        <w:spacing w:before="100" w:beforeAutospacing="1" w:after="100" w:afterAutospacing="1" w:line="360" w:lineRule="auto"/>
        <w:ind w:firstLine="465"/>
        <w:rPr>
          <w:rFonts w:hint="eastAsia" w:asciiTheme="minorEastAsia" w:hAnsiTheme="minorEastAsia" w:eastAsiaTheme="minorEastAsia" w:cstheme="minorEastAsia"/>
          <w:color w:val="000000"/>
          <w:sz w:val="24"/>
          <w:szCs w:val="24"/>
          <w:lang w:val="zh-CN"/>
        </w:rPr>
      </w:pPr>
    </w:p>
    <w:p w14:paraId="06AAA284">
      <w:pPr>
        <w:spacing w:before="100" w:beforeAutospacing="1" w:after="100" w:afterAutospacing="1" w:line="360" w:lineRule="auto"/>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 xml:space="preserve"> </w:t>
      </w:r>
      <w:r>
        <w:rPr>
          <w:rFonts w:hint="eastAsia" w:asciiTheme="minorEastAsia" w:hAnsiTheme="minorEastAsia" w:eastAsiaTheme="minorEastAsia" w:cstheme="minorEastAsia"/>
          <w:color w:val="000000"/>
          <w:sz w:val="24"/>
          <w:szCs w:val="24"/>
        </w:rPr>
        <w:t xml:space="preserve">     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A2833F0">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02363577">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F84B4BF">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0B058536">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7CA6AB8C">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17259A4F">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7BC6AE85">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0D9E23A">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D13AC64">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0D0D043E">
      <w:pPr>
        <w:spacing w:line="640" w:lineRule="exact"/>
        <w:jc w:val="both"/>
        <w:rPr>
          <w:rFonts w:hint="eastAsia" w:asciiTheme="minorEastAsia" w:hAnsiTheme="minorEastAsia" w:eastAsiaTheme="minorEastAsia" w:cstheme="minorEastAsia"/>
          <w:b/>
          <w:bCs w:val="0"/>
          <w:color w:val="auto"/>
          <w:kern w:val="2"/>
          <w:sz w:val="28"/>
          <w:szCs w:val="24"/>
          <w:highlight w:val="none"/>
          <w:lang w:val="en-US" w:eastAsia="zh-CN" w:bidi="ar-SA"/>
        </w:rPr>
      </w:pPr>
      <w:r>
        <w:rPr>
          <w:rFonts w:hint="eastAsia" w:asciiTheme="minorEastAsia" w:hAnsiTheme="minorEastAsia" w:eastAsiaTheme="minorEastAsia" w:cstheme="minorEastAsia"/>
          <w:b/>
          <w:bCs w:val="0"/>
          <w:color w:val="auto"/>
          <w:kern w:val="2"/>
          <w:sz w:val="28"/>
          <w:szCs w:val="24"/>
          <w:highlight w:val="none"/>
          <w:lang w:val="en-US" w:eastAsia="zh-CN" w:bidi="ar-SA"/>
        </w:rPr>
        <w:t>附件十五</w:t>
      </w:r>
    </w:p>
    <w:p w14:paraId="0775031D">
      <w:pPr>
        <w:spacing w:line="640" w:lineRule="exact"/>
        <w:ind w:firstLine="569" w:firstLineChars="177"/>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val="0"/>
          <w:color w:val="auto"/>
          <w:kern w:val="2"/>
          <w:sz w:val="32"/>
          <w:szCs w:val="28"/>
          <w:highlight w:val="none"/>
          <w:lang w:val="en-US" w:eastAsia="zh-CN" w:bidi="ar-SA"/>
        </w:rPr>
        <w:t>无围标、串标等违法违规行为承诺书</w:t>
      </w:r>
    </w:p>
    <w:p w14:paraId="19A22687">
      <w:pPr>
        <w:spacing w:line="640" w:lineRule="exact"/>
        <w:jc w:val="left"/>
        <w:rPr>
          <w:rFonts w:hint="eastAsia" w:asciiTheme="minorEastAsia" w:hAnsiTheme="minorEastAsia" w:eastAsiaTheme="minorEastAsia" w:cstheme="minorEastAsia"/>
          <w:sz w:val="24"/>
          <w:szCs w:val="24"/>
        </w:rPr>
      </w:pPr>
    </w:p>
    <w:p w14:paraId="60F5A2DF">
      <w:pPr>
        <w:spacing w:line="6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本人作为</w:t>
      </w:r>
      <w:r>
        <w:rPr>
          <w:rFonts w:hint="eastAsia" w:asciiTheme="minorEastAsia" w:hAnsiTheme="minorEastAsia" w:eastAsiaTheme="minorEastAsia" w:cstheme="minorEastAsia"/>
          <w:sz w:val="24"/>
          <w:szCs w:val="24"/>
          <w:u w:val="single"/>
        </w:rPr>
        <w:t xml:space="preserve">（单位名称）                    </w:t>
      </w:r>
      <w:r>
        <w:rPr>
          <w:rFonts w:hint="eastAsia" w:asciiTheme="minorEastAsia" w:hAnsiTheme="minorEastAsia" w:eastAsiaTheme="minorEastAsia" w:cstheme="minorEastAsia"/>
          <w:sz w:val="24"/>
          <w:szCs w:val="24"/>
        </w:rPr>
        <w:t>的法人，清楚知晓我公司本项目投标活动，对以下事项作出承诺：</w:t>
      </w:r>
    </w:p>
    <w:p w14:paraId="73312AE0">
      <w:pPr>
        <w:spacing w:line="6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一、我单位遵循公开、公平、公正、诚实守信的原则，依法依规参与本项目竞标。</w:t>
      </w:r>
    </w:p>
    <w:p w14:paraId="25FD7959">
      <w:pPr>
        <w:spacing w:line="640" w:lineRule="exact"/>
        <w:ind w:firstLine="480" w:firstLineChars="200"/>
        <w:outlineLvl w:val="1"/>
        <w:rPr>
          <w:rFonts w:hint="eastAsia" w:asciiTheme="minorEastAsia" w:hAnsiTheme="minorEastAsia" w:eastAsiaTheme="minorEastAsia" w:cstheme="minorEastAsia"/>
          <w:sz w:val="24"/>
          <w:szCs w:val="24"/>
        </w:rPr>
      </w:pPr>
      <w:bookmarkStart w:id="610" w:name="_Toc3592"/>
      <w:r>
        <w:rPr>
          <w:rFonts w:hint="eastAsia" w:asciiTheme="minorEastAsia" w:hAnsiTheme="minorEastAsia" w:eastAsiaTheme="minorEastAsia" w:cstheme="minorEastAsia"/>
          <w:sz w:val="24"/>
          <w:szCs w:val="24"/>
        </w:rPr>
        <w:t>二、我单位在本项目招标投标活动中，未参与围标串标。</w:t>
      </w:r>
      <w:bookmarkEnd w:id="610"/>
    </w:p>
    <w:p w14:paraId="7494412A">
      <w:pPr>
        <w:spacing w:line="64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三、我单位如被查实在本项目招标投标活动中存在围标串标的，递交投标文件行为作为实施串通投标违法行为的关键环节，本人承担直接责任人员法律责任，接受相应行政处罚和失信惩戒。</w:t>
      </w:r>
    </w:p>
    <w:p w14:paraId="33276293">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14:paraId="58E83778">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14:paraId="60928E33">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3CC52DCA">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投标人</w:t>
      </w:r>
      <w:r>
        <w:rPr>
          <w:rFonts w:hint="eastAsia" w:asciiTheme="minorEastAsia" w:hAnsiTheme="minorEastAsia" w:eastAsiaTheme="minorEastAsia" w:cstheme="minorEastAsia"/>
          <w:sz w:val="24"/>
          <w:szCs w:val="24"/>
        </w:rPr>
        <w:t>法</w:t>
      </w:r>
      <w:r>
        <w:rPr>
          <w:rFonts w:hint="eastAsia" w:asciiTheme="minorEastAsia" w:hAnsiTheme="minorEastAsia" w:eastAsiaTheme="minorEastAsia" w:cstheme="minorEastAsia"/>
          <w:sz w:val="24"/>
          <w:szCs w:val="24"/>
          <w:lang w:eastAsia="zh-CN"/>
        </w:rPr>
        <w:t>定代表</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签字或盖章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p>
    <w:p w14:paraId="22D42E79">
      <w:pPr>
        <w:spacing w:line="6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6E12C22">
      <w:pPr>
        <w:spacing w:line="640" w:lineRule="exact"/>
        <w:jc w:val="left"/>
        <w:rPr>
          <w:rFonts w:hint="eastAsia" w:asciiTheme="minorEastAsia" w:hAnsiTheme="minorEastAsia" w:eastAsiaTheme="minorEastAsia" w:cstheme="minorEastAsia"/>
          <w:sz w:val="24"/>
          <w:szCs w:val="24"/>
        </w:rPr>
      </w:pPr>
    </w:p>
    <w:p w14:paraId="629DE57E">
      <w:pPr>
        <w:spacing w:line="640" w:lineRule="exact"/>
        <w:ind w:firstLine="4080" w:firstLineChars="17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1D3C564">
      <w:pPr>
        <w:pStyle w:val="9"/>
        <w:numPr>
          <w:ilvl w:val="0"/>
          <w:numId w:val="0"/>
        </w:numPr>
        <w:overflowPunct w:val="0"/>
        <w:snapToGrid w:val="0"/>
        <w:spacing w:line="360" w:lineRule="auto"/>
        <w:ind w:leftChars="0"/>
        <w:jc w:val="right"/>
        <w:rPr>
          <w:rFonts w:hint="eastAsia" w:asciiTheme="minorEastAsia" w:hAnsiTheme="minorEastAsia" w:eastAsiaTheme="minorEastAsia" w:cstheme="minorEastAsia"/>
          <w:b/>
          <w:bCs w:val="0"/>
          <w:color w:val="auto"/>
          <w:kern w:val="2"/>
          <w:sz w:val="24"/>
          <w:szCs w:val="24"/>
          <w:highlight w:val="yellow"/>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color w:val="000000"/>
          <w:sz w:val="24"/>
          <w:szCs w:val="24"/>
        </w:rPr>
        <w:t>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698D640F">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43608964">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bookmarkStart w:id="611" w:name="_Toc28072"/>
    </w:p>
    <w:p w14:paraId="5474FA60">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50F7777E">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691C6853">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p>
    <w:p w14:paraId="19CC265B">
      <w:pPr>
        <w:pStyle w:val="22"/>
        <w:numPr>
          <w:ilvl w:val="0"/>
          <w:numId w:val="0"/>
        </w:numPr>
        <w:spacing w:before="120" w:line="360" w:lineRule="auto"/>
        <w:jc w:val="both"/>
        <w:rPr>
          <w:rFonts w:hint="eastAsia" w:asciiTheme="minorEastAsia" w:hAnsiTheme="minorEastAsia" w:eastAsiaTheme="minorEastAsia" w:cstheme="minorEastAsia"/>
          <w:b/>
          <w:bCs w:val="0"/>
          <w:color w:val="auto"/>
          <w:kern w:val="2"/>
          <w:sz w:val="28"/>
          <w:szCs w:val="24"/>
          <w:highlight w:val="none"/>
          <w:lang w:val="en-US" w:eastAsia="zh-CN" w:bidi="ar-SA"/>
        </w:rPr>
      </w:pPr>
      <w:r>
        <w:rPr>
          <w:rFonts w:hint="eastAsia" w:asciiTheme="minorEastAsia" w:hAnsiTheme="minorEastAsia" w:eastAsiaTheme="minorEastAsia" w:cstheme="minorEastAsia"/>
          <w:b/>
          <w:bCs w:val="0"/>
          <w:color w:val="auto"/>
          <w:kern w:val="2"/>
          <w:sz w:val="28"/>
          <w:szCs w:val="24"/>
          <w:highlight w:val="none"/>
          <w:lang w:val="en-US" w:eastAsia="zh-CN" w:bidi="ar-SA"/>
        </w:rPr>
        <w:t>附件十</w:t>
      </w:r>
      <w:bookmarkEnd w:id="611"/>
      <w:r>
        <w:rPr>
          <w:rFonts w:hint="eastAsia" w:asciiTheme="minorEastAsia" w:hAnsiTheme="minorEastAsia" w:eastAsiaTheme="minorEastAsia" w:cstheme="minorEastAsia"/>
          <w:b/>
          <w:bCs w:val="0"/>
          <w:color w:val="auto"/>
          <w:kern w:val="2"/>
          <w:sz w:val="28"/>
          <w:szCs w:val="24"/>
          <w:highlight w:val="none"/>
          <w:lang w:val="en-US" w:eastAsia="zh-CN" w:bidi="ar-SA"/>
        </w:rPr>
        <w:t>六</w:t>
      </w:r>
    </w:p>
    <w:p w14:paraId="07ADD5A9">
      <w:pPr>
        <w:pStyle w:val="22"/>
        <w:numPr>
          <w:ilvl w:val="0"/>
          <w:numId w:val="0"/>
        </w:numPr>
        <w:spacing w:before="120" w:line="360" w:lineRule="auto"/>
        <w:jc w:val="center"/>
        <w:rPr>
          <w:rFonts w:hint="eastAsia" w:asciiTheme="minorEastAsia" w:hAnsiTheme="minorEastAsia" w:eastAsiaTheme="minorEastAsia" w:cstheme="minorEastAsia"/>
          <w:b/>
          <w:bCs w:val="0"/>
          <w:color w:val="auto"/>
          <w:kern w:val="2"/>
          <w:sz w:val="32"/>
          <w:szCs w:val="28"/>
          <w:highlight w:val="none"/>
          <w:lang w:val="en-US" w:eastAsia="zh-CN" w:bidi="ar-SA"/>
        </w:rPr>
      </w:pPr>
      <w:r>
        <w:rPr>
          <w:rFonts w:hint="eastAsia" w:asciiTheme="minorEastAsia" w:hAnsiTheme="minorEastAsia" w:eastAsiaTheme="minorEastAsia" w:cstheme="minorEastAsia"/>
          <w:b/>
          <w:bCs w:val="0"/>
          <w:color w:val="auto"/>
          <w:kern w:val="2"/>
          <w:sz w:val="32"/>
          <w:szCs w:val="28"/>
          <w:highlight w:val="none"/>
          <w:lang w:val="en-US" w:eastAsia="zh-CN" w:bidi="ar-SA"/>
        </w:rPr>
        <w:t>中小企业声明函、监狱企业、残疾人福利性单位及其他相关的充分的证明材料</w:t>
      </w:r>
    </w:p>
    <w:p w14:paraId="762C852E">
      <w:pPr>
        <w:spacing w:before="240" w:beforeLines="100" w:after="240" w:afterLines="100"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bCs/>
          <w:color w:val="000000"/>
          <w:sz w:val="36"/>
          <w:szCs w:val="36"/>
        </w:rPr>
        <w:t>中小企业声明函（货物）格式</w:t>
      </w:r>
    </w:p>
    <w:p w14:paraId="09111E33">
      <w:pPr>
        <w:spacing w:line="360" w:lineRule="auto"/>
        <w:ind w:left="244" w:leftChars="116" w:firstLine="630" w:firstLineChars="2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EBA33A6">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行业；制造商为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w:t>
      </w:r>
      <w:r>
        <w:rPr>
          <w:rFonts w:hint="eastAsia" w:asciiTheme="minorEastAsia" w:hAnsiTheme="minorEastAsia" w:eastAsiaTheme="minorEastAsia" w:cstheme="minorEastAsia"/>
          <w:spacing w:val="6"/>
          <w:sz w:val="24"/>
          <w:szCs w:val="24"/>
          <w:vertAlign w:val="superscript"/>
        </w:rPr>
        <w:t>1</w:t>
      </w:r>
      <w:r>
        <w:rPr>
          <w:rFonts w:hint="eastAsia" w:asciiTheme="minorEastAsia" w:hAnsiTheme="minorEastAsia" w:eastAsiaTheme="minorEastAsia" w:cstheme="minorEastAsia"/>
          <w:spacing w:val="6"/>
          <w:sz w:val="24"/>
          <w:szCs w:val="24"/>
        </w:rPr>
        <w:t>，属于（中型企业、小型企业、微型企业）；</w:t>
      </w:r>
    </w:p>
    <w:p w14:paraId="1CCC172B">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行业；制造商为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，从业人员______人，营业收入为______万元，资产总额为______万元，属于</w:t>
      </w:r>
      <w:r>
        <w:rPr>
          <w:rFonts w:hint="eastAsia" w:asciiTheme="minorEastAsia" w:hAnsiTheme="minorEastAsia" w:eastAsiaTheme="minorEastAsia" w:cstheme="minorEastAsia"/>
          <w:spacing w:val="6"/>
          <w:sz w:val="24"/>
          <w:szCs w:val="24"/>
          <w:u w:val="single"/>
        </w:rPr>
        <w:t>（中型企业、小型企业、微型企业）</w:t>
      </w:r>
      <w:r>
        <w:rPr>
          <w:rFonts w:hint="eastAsia" w:asciiTheme="minorEastAsia" w:hAnsiTheme="minorEastAsia" w:eastAsiaTheme="minorEastAsia" w:cstheme="minorEastAsia"/>
          <w:spacing w:val="6"/>
          <w:sz w:val="24"/>
          <w:szCs w:val="24"/>
        </w:rPr>
        <w:t>；</w:t>
      </w:r>
    </w:p>
    <w:p w14:paraId="4B934EDF">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w:t>
      </w:r>
    </w:p>
    <w:p w14:paraId="04F3DED7">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以上企业，不属于大企业的分支机构，不存在控股股东为大企业的情形，也不存在与大企业的负责人为同一人的情形。</w:t>
      </w:r>
    </w:p>
    <w:p w14:paraId="49A13142">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本企业对上述声明内容的真实性负责。如有虚假，将依法承担相应责任。</w:t>
      </w:r>
    </w:p>
    <w:p w14:paraId="3E2F2AC4">
      <w:pPr>
        <w:spacing w:line="360" w:lineRule="auto"/>
        <w:ind w:firstLine="504"/>
        <w:rPr>
          <w:rFonts w:hint="eastAsia" w:asciiTheme="minorEastAsia" w:hAnsiTheme="minorEastAsia" w:eastAsiaTheme="minorEastAsia" w:cstheme="minorEastAsia"/>
          <w:spacing w:val="6"/>
          <w:sz w:val="24"/>
          <w:szCs w:val="24"/>
        </w:rPr>
      </w:pPr>
    </w:p>
    <w:p w14:paraId="4A7989D0">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企业名称（盖章）：________</w:t>
      </w:r>
    </w:p>
    <w:p w14:paraId="31E88F5C">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期：________</w:t>
      </w:r>
    </w:p>
    <w:p w14:paraId="52DB8AC4">
      <w:pPr>
        <w:spacing w:line="360" w:lineRule="auto"/>
        <w:ind w:right="360" w:firstLine="480"/>
        <w:jc w:val="right"/>
        <w:rPr>
          <w:rFonts w:hint="eastAsia" w:asciiTheme="minorEastAsia" w:hAnsiTheme="minorEastAsia" w:eastAsiaTheme="minorEastAsia" w:cstheme="minorEastAsia"/>
          <w:color w:val="000000"/>
          <w:sz w:val="24"/>
          <w:szCs w:val="24"/>
        </w:rPr>
      </w:pPr>
    </w:p>
    <w:p w14:paraId="0E8954A3">
      <w:pPr>
        <w:spacing w:line="360" w:lineRule="auto"/>
        <w:ind w:right="360" w:firstLine="480"/>
        <w:jc w:val="right"/>
        <w:rPr>
          <w:rFonts w:hint="eastAsia" w:asciiTheme="minorEastAsia" w:hAnsiTheme="minorEastAsia" w:eastAsiaTheme="minorEastAsia" w:cstheme="minorEastAsia"/>
          <w:color w:val="000000"/>
          <w:sz w:val="24"/>
          <w:szCs w:val="24"/>
        </w:rPr>
      </w:pPr>
    </w:p>
    <w:tbl>
      <w:tblPr>
        <w:tblStyle w:val="3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F5261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63616B3F">
            <w:pPr>
              <w:adjustRightInd w:val="0"/>
              <w:snapToGri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vertAlign w:val="superscript"/>
              </w:rPr>
              <w:t>1</w:t>
            </w:r>
            <w:r>
              <w:rPr>
                <w:rFonts w:hint="eastAsia" w:asciiTheme="minorEastAsia" w:hAnsiTheme="minorEastAsia" w:eastAsiaTheme="minorEastAsia" w:cstheme="minorEastAsia"/>
                <w:color w:val="000000"/>
                <w:sz w:val="24"/>
                <w:szCs w:val="24"/>
              </w:rPr>
              <w:t>从业人员、营业收入、资产总额填报上一年度数据，无上一年度数据的新成立企业可不填报。</w:t>
            </w:r>
          </w:p>
        </w:tc>
      </w:tr>
    </w:tbl>
    <w:p w14:paraId="5227243A">
      <w:pPr>
        <w:autoSpaceDE w:val="0"/>
        <w:autoSpaceDN w:val="0"/>
        <w:adjustRightInd w:val="0"/>
        <w:ind w:firstLine="420"/>
        <w:jc w:val="left"/>
        <w:rPr>
          <w:rFonts w:hint="eastAsia" w:asciiTheme="minorEastAsia" w:hAnsiTheme="minorEastAsia" w:eastAsiaTheme="minorEastAsia" w:cstheme="minorEastAsia"/>
          <w:sz w:val="24"/>
        </w:rPr>
      </w:pPr>
    </w:p>
    <w:p w14:paraId="007CC76B">
      <w:pPr>
        <w:pStyle w:val="8"/>
        <w:rPr>
          <w:rFonts w:hint="eastAsia" w:asciiTheme="minorEastAsia" w:hAnsiTheme="minorEastAsia" w:eastAsiaTheme="minorEastAsia" w:cstheme="minorEastAsia"/>
        </w:rPr>
      </w:pPr>
    </w:p>
    <w:p w14:paraId="01825EA0">
      <w:pPr>
        <w:spacing w:before="240" w:beforeLines="100" w:after="240" w:afterLines="100"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中小企业声明函（工程、服务）格式</w:t>
      </w:r>
    </w:p>
    <w:p w14:paraId="7DFC11BB">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FF9E0DF">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行业；承建（承接）企业为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w:t>
      </w:r>
      <w:r>
        <w:rPr>
          <w:rFonts w:hint="eastAsia" w:asciiTheme="minorEastAsia" w:hAnsiTheme="minorEastAsia" w:eastAsiaTheme="minorEastAsia" w:cstheme="minorEastAsia"/>
          <w:spacing w:val="6"/>
          <w:sz w:val="24"/>
          <w:szCs w:val="24"/>
          <w:vertAlign w:val="superscript"/>
        </w:rPr>
        <w:t>1</w:t>
      </w:r>
      <w:r>
        <w:rPr>
          <w:rFonts w:hint="eastAsia" w:asciiTheme="minorEastAsia" w:hAnsiTheme="minorEastAsia" w:eastAsiaTheme="minorEastAsia" w:cstheme="minorEastAsia"/>
          <w:spacing w:val="6"/>
          <w:sz w:val="24"/>
          <w:szCs w:val="24"/>
        </w:rPr>
        <w:t>，属于（中型企业、小型企业、微型企业）；</w:t>
      </w:r>
    </w:p>
    <w:p w14:paraId="685CDB82">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spacing w:val="6"/>
          <w:sz w:val="24"/>
          <w:szCs w:val="24"/>
          <w:u w:val="single"/>
        </w:rPr>
        <w:t>（标的名称）</w:t>
      </w:r>
      <w:r>
        <w:rPr>
          <w:rFonts w:hint="eastAsia" w:asciiTheme="minorEastAsia" w:hAnsiTheme="minorEastAsia" w:eastAsiaTheme="minorEastAsia" w:cstheme="minorEastAsia"/>
          <w:spacing w:val="6"/>
          <w:sz w:val="24"/>
          <w:szCs w:val="24"/>
        </w:rPr>
        <w:t>，属于</w:t>
      </w:r>
      <w:r>
        <w:rPr>
          <w:rFonts w:hint="eastAsia" w:asciiTheme="minorEastAsia" w:hAnsiTheme="minorEastAsia" w:eastAsiaTheme="minorEastAsia" w:cstheme="minorEastAsia"/>
          <w:spacing w:val="6"/>
          <w:sz w:val="24"/>
          <w:szCs w:val="24"/>
          <w:u w:val="single"/>
        </w:rPr>
        <w:t>（采购文件中明确的所属行业）</w:t>
      </w:r>
      <w:r>
        <w:rPr>
          <w:rFonts w:hint="eastAsia" w:asciiTheme="minorEastAsia" w:hAnsiTheme="minorEastAsia" w:eastAsiaTheme="minorEastAsia" w:cstheme="minorEastAsia"/>
          <w:spacing w:val="6"/>
          <w:sz w:val="24"/>
          <w:szCs w:val="24"/>
        </w:rPr>
        <w:t>行业；承建（承接）企业为</w:t>
      </w:r>
      <w:r>
        <w:rPr>
          <w:rFonts w:hint="eastAsia" w:asciiTheme="minorEastAsia" w:hAnsiTheme="minorEastAsia" w:eastAsiaTheme="minorEastAsia" w:cstheme="minorEastAsia"/>
          <w:spacing w:val="6"/>
          <w:sz w:val="24"/>
          <w:szCs w:val="24"/>
          <w:u w:val="single"/>
        </w:rPr>
        <w:t>（企业名称）</w:t>
      </w:r>
      <w:r>
        <w:rPr>
          <w:rFonts w:hint="eastAsia" w:asciiTheme="minorEastAsia" w:hAnsiTheme="minorEastAsia" w:eastAsiaTheme="minorEastAsia" w:cstheme="minorEastAsia"/>
          <w:spacing w:val="6"/>
          <w:sz w:val="24"/>
          <w:szCs w:val="24"/>
        </w:rPr>
        <w:t>，从业人员______人，营业收入为______万元，资产总额为______万元，属于</w:t>
      </w:r>
      <w:r>
        <w:rPr>
          <w:rFonts w:hint="eastAsia" w:asciiTheme="minorEastAsia" w:hAnsiTheme="minorEastAsia" w:eastAsiaTheme="minorEastAsia" w:cstheme="minorEastAsia"/>
          <w:spacing w:val="6"/>
          <w:sz w:val="24"/>
          <w:szCs w:val="24"/>
          <w:u w:val="single"/>
        </w:rPr>
        <w:t>（中型企业、小型企业、微型企业）</w:t>
      </w:r>
      <w:r>
        <w:rPr>
          <w:rFonts w:hint="eastAsia" w:asciiTheme="minorEastAsia" w:hAnsiTheme="minorEastAsia" w:eastAsiaTheme="minorEastAsia" w:cstheme="minorEastAsia"/>
          <w:spacing w:val="6"/>
          <w:sz w:val="24"/>
          <w:szCs w:val="24"/>
        </w:rPr>
        <w:t>；</w:t>
      </w:r>
    </w:p>
    <w:p w14:paraId="1EE50E58">
      <w:pPr>
        <w:spacing w:line="360" w:lineRule="auto"/>
        <w:ind w:firstLine="504"/>
        <w:rPr>
          <w:rFonts w:hint="eastAsia" w:asciiTheme="minorEastAsia" w:hAnsiTheme="minorEastAsia" w:eastAsiaTheme="minorEastAsia" w:cstheme="minorEastAsia"/>
          <w:spacing w:val="6"/>
          <w:sz w:val="24"/>
          <w:szCs w:val="24"/>
        </w:rPr>
      </w:pPr>
    </w:p>
    <w:p w14:paraId="3A416591">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w:t>
      </w:r>
    </w:p>
    <w:p w14:paraId="5E8BAF9F">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以上企业，不属于大企业的分支机构，不存在控股股东为大企业的情形，也不存在与大企业的负责人为同一人的情形。</w:t>
      </w:r>
    </w:p>
    <w:p w14:paraId="47C1DCEE">
      <w:pPr>
        <w:spacing w:line="360" w:lineRule="auto"/>
        <w:ind w:firstLine="504"/>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本企业对上述声明内容的真实性负责。如有虚假，将依法承担相应责任。</w:t>
      </w:r>
    </w:p>
    <w:p w14:paraId="76439411">
      <w:pPr>
        <w:spacing w:line="360" w:lineRule="auto"/>
        <w:ind w:right="360" w:firstLine="480"/>
        <w:jc w:val="right"/>
        <w:rPr>
          <w:rFonts w:hint="eastAsia" w:asciiTheme="minorEastAsia" w:hAnsiTheme="minorEastAsia" w:eastAsiaTheme="minorEastAsia" w:cstheme="minorEastAsia"/>
          <w:color w:val="000000"/>
          <w:sz w:val="24"/>
          <w:szCs w:val="24"/>
        </w:rPr>
      </w:pPr>
    </w:p>
    <w:p w14:paraId="330203E9">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企业名称（盖章）：________</w:t>
      </w:r>
    </w:p>
    <w:p w14:paraId="2D6253A1">
      <w:pPr>
        <w:spacing w:line="360" w:lineRule="auto"/>
        <w:ind w:right="360" w:firstLine="48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期：________</w:t>
      </w:r>
    </w:p>
    <w:p w14:paraId="140FCE93">
      <w:pPr>
        <w:adjustRightInd w:val="0"/>
        <w:snapToGrid w:val="0"/>
        <w:jc w:val="left"/>
        <w:rPr>
          <w:rFonts w:hint="eastAsia" w:asciiTheme="minorEastAsia" w:hAnsiTheme="minorEastAsia" w:eastAsiaTheme="minorEastAsia" w:cstheme="minorEastAsia"/>
          <w:color w:val="000000"/>
          <w:sz w:val="24"/>
          <w:szCs w:val="24"/>
        </w:rPr>
      </w:pPr>
    </w:p>
    <w:p w14:paraId="3504233E">
      <w:pPr>
        <w:adjustRightInd w:val="0"/>
        <w:snapToGrid w:val="0"/>
        <w:jc w:val="left"/>
        <w:rPr>
          <w:rFonts w:hint="eastAsia" w:asciiTheme="minorEastAsia" w:hAnsiTheme="minorEastAsia" w:eastAsiaTheme="minorEastAsia" w:cstheme="minorEastAsia"/>
          <w:color w:val="000000"/>
          <w:sz w:val="24"/>
          <w:szCs w:val="24"/>
        </w:rPr>
      </w:pPr>
    </w:p>
    <w:tbl>
      <w:tblPr>
        <w:tblStyle w:val="3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8AA2C8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87A356A">
            <w:pPr>
              <w:adjustRightInd w:val="0"/>
              <w:snapToGri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vertAlign w:val="superscript"/>
              </w:rPr>
              <w:t>1</w:t>
            </w:r>
            <w:r>
              <w:rPr>
                <w:rFonts w:hint="eastAsia" w:asciiTheme="minorEastAsia" w:hAnsiTheme="minorEastAsia" w:eastAsiaTheme="minorEastAsia" w:cstheme="minorEastAsia"/>
                <w:color w:val="000000"/>
                <w:sz w:val="24"/>
                <w:szCs w:val="24"/>
              </w:rPr>
              <w:t>从业人员、营业收入、资产总额填报上一年度数据，无上一年度数据的新成立企业可不填报。</w:t>
            </w:r>
          </w:p>
        </w:tc>
      </w:tr>
    </w:tbl>
    <w:p w14:paraId="35E78526">
      <w:pPr>
        <w:spacing w:line="360" w:lineRule="auto"/>
        <w:rPr>
          <w:rFonts w:hint="eastAsia" w:asciiTheme="minorEastAsia" w:hAnsiTheme="minorEastAsia" w:eastAsiaTheme="minorEastAsia" w:cstheme="minorEastAsia"/>
          <w:color w:val="000000"/>
          <w:sz w:val="24"/>
          <w:szCs w:val="24"/>
        </w:rPr>
      </w:pPr>
    </w:p>
    <w:p w14:paraId="3B7D285A">
      <w:pPr>
        <w:pStyle w:val="28"/>
        <w:tabs>
          <w:tab w:val="left" w:pos="9214"/>
        </w:tabs>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 w:val="24"/>
        </w:rPr>
        <w:br w:type="page"/>
      </w:r>
    </w:p>
    <w:p w14:paraId="480B598F">
      <w:pPr>
        <w:snapToGrid w:val="0"/>
        <w:spacing w:line="360" w:lineRule="auto"/>
        <w:ind w:left="0" w:leftChars="0" w:firstLine="0" w:firstLineChars="0"/>
        <w:jc w:val="center"/>
        <w:rPr>
          <w:rStyle w:val="61"/>
          <w:rFonts w:hint="eastAsia" w:asciiTheme="minorEastAsia" w:hAnsiTheme="minorEastAsia" w:eastAsiaTheme="minorEastAsia" w:cstheme="minorEastAsia"/>
          <w:bCs w:val="0"/>
          <w:color w:val="auto"/>
          <w:kern w:val="2"/>
          <w:sz w:val="28"/>
          <w:szCs w:val="28"/>
          <w:lang w:val="en-US" w:eastAsia="zh-CN" w:bidi="ar-SA"/>
        </w:rPr>
      </w:pPr>
      <w:r>
        <w:rPr>
          <w:rStyle w:val="61"/>
          <w:rFonts w:hint="eastAsia" w:asciiTheme="minorEastAsia" w:hAnsiTheme="minorEastAsia" w:eastAsiaTheme="minorEastAsia" w:cstheme="minorEastAsia"/>
          <w:bCs w:val="0"/>
          <w:color w:val="auto"/>
          <w:kern w:val="2"/>
          <w:sz w:val="28"/>
          <w:szCs w:val="28"/>
          <w:lang w:val="en-US" w:eastAsia="zh-CN" w:bidi="ar-SA"/>
        </w:rPr>
        <w:t>监狱企业声明函</w:t>
      </w:r>
    </w:p>
    <w:p w14:paraId="2CD4EC09">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【不属于监狱企业的无需填写、递交】</w:t>
      </w:r>
    </w:p>
    <w:p w14:paraId="08AD780F">
      <w:pPr>
        <w:widowControl/>
        <w:shd w:val="clear" w:color="auto" w:fill="auto"/>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本单位郑重声明，本单位在参加</w:t>
      </w:r>
      <w:r>
        <w:rPr>
          <w:rFonts w:hint="eastAsia" w:asciiTheme="minorEastAsia" w:hAnsiTheme="minorEastAsia" w:eastAsiaTheme="minorEastAsia" w:cstheme="minorEastAsia"/>
          <w:color w:val="auto"/>
          <w:kern w:val="0"/>
          <w:sz w:val="24"/>
          <w:szCs w:val="24"/>
          <w:highlight w:val="none"/>
          <w:u w:val="single"/>
        </w:rPr>
        <w:t>（采购人名称）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kern w:val="0"/>
          <w:sz w:val="24"/>
          <w:szCs w:val="24"/>
          <w:highlight w:val="none"/>
          <w:u w:val="single"/>
        </w:rPr>
        <w:t>（招标项目名称）</w:t>
      </w:r>
      <w:r>
        <w:rPr>
          <w:rFonts w:hint="eastAsia" w:asciiTheme="minorEastAsia" w:hAnsiTheme="minorEastAsia" w:eastAsiaTheme="minorEastAsia" w:cstheme="minorEastAsia"/>
          <w:color w:val="auto"/>
          <w:kern w:val="0"/>
          <w:sz w:val="24"/>
          <w:szCs w:val="24"/>
          <w:highlight w:val="none"/>
        </w:rPr>
        <w:t>项目采购活动提供以下监狱企业制造的货物（或监狱企业承担的工程、或监狱企业承接的服务），具体情况如下：（按照实际情况勾选或填空）</w:t>
      </w:r>
    </w:p>
    <w:p w14:paraId="17612926">
      <w:pPr>
        <w:widowControl/>
        <w:shd w:val="clear" w:color="auto" w:fill="auto"/>
        <w:adjustRightInd w:val="0"/>
        <w:snapToGri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（制造商名称）</w:t>
      </w:r>
      <w:r>
        <w:rPr>
          <w:rFonts w:hint="eastAsia" w:asciiTheme="minorEastAsia" w:hAnsiTheme="minorEastAsia" w:eastAsiaTheme="minorEastAsia" w:cstheme="minorEastAsia"/>
          <w:color w:val="auto"/>
          <w:kern w:val="0"/>
          <w:sz w:val="24"/>
          <w:szCs w:val="24"/>
          <w:highlight w:val="none"/>
        </w:rPr>
        <w:t>属于监狱企业，后附省级以上监狱管理局、戒毒管理局（含新疆生产建设兵团）出具的属于监狱企业的证明文件。</w:t>
      </w:r>
    </w:p>
    <w:p w14:paraId="2D657AC4">
      <w:pPr>
        <w:widowControl/>
        <w:shd w:val="clear" w:color="auto" w:fill="auto"/>
        <w:adjustRightInd w:val="0"/>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（制造商名称）</w:t>
      </w:r>
      <w:r>
        <w:rPr>
          <w:rFonts w:hint="eastAsia" w:asciiTheme="minorEastAsia" w:hAnsiTheme="minorEastAsia" w:eastAsiaTheme="minorEastAsia" w:cstheme="minorEastAsia"/>
          <w:color w:val="auto"/>
          <w:kern w:val="0"/>
          <w:sz w:val="24"/>
          <w:szCs w:val="24"/>
          <w:highlight w:val="none"/>
        </w:rPr>
        <w:t>属于监狱企业并作为联合体一方，其提供协议合同金额占到共同投标协议合同总金额的比例为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。后附省级以上监狱管理局、戒毒管理局（含新疆生产建设兵团）出具的属于监狱企业的证明文件。</w:t>
      </w:r>
    </w:p>
    <w:p w14:paraId="6B66069B">
      <w:pPr>
        <w:widowControl/>
        <w:shd w:val="clear" w:color="auto" w:fill="auto"/>
        <w:adjustRightInd w:val="0"/>
        <w:snapToGrid w:val="0"/>
        <w:spacing w:line="360" w:lineRule="auto"/>
        <w:ind w:firstLine="42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（制造商名称）</w:t>
      </w:r>
      <w:r>
        <w:rPr>
          <w:rFonts w:hint="eastAsia" w:asciiTheme="minorEastAsia" w:hAnsiTheme="minorEastAsia" w:eastAsiaTheme="minorEastAsia" w:cstheme="minorEastAsia"/>
          <w:color w:val="auto"/>
          <w:kern w:val="0"/>
          <w:sz w:val="24"/>
          <w:szCs w:val="24"/>
          <w:highlight w:val="none"/>
        </w:rPr>
        <w:t>属于监狱企业并作为分包方，其提供协议合同金额占到分包意向协议合同总金额的比例为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。后附省级以上监狱管理局、戒毒管理局（含新疆生产建设兵团）出具的属于监狱企业的证明文件。</w:t>
      </w:r>
    </w:p>
    <w:p w14:paraId="55315FC4">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本单位对上述声明的真实性负责。如有虚假，将依法承担相应责任。</w:t>
      </w:r>
    </w:p>
    <w:p w14:paraId="73188D17">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p>
    <w:p w14:paraId="2CE945A7">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p>
    <w:p w14:paraId="38413199">
      <w:pPr>
        <w:widowControl/>
        <w:shd w:val="clear" w:color="auto" w:fill="auto"/>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p>
    <w:p w14:paraId="34916559">
      <w:pPr>
        <w:shd w:val="clear" w:color="auto" w:fill="auto"/>
        <w:adjustRightInd w:val="0"/>
        <w:snapToGrid w:val="0"/>
        <w:spacing w:line="360" w:lineRule="auto"/>
        <w:ind w:hanging="54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　</w:t>
      </w:r>
    </w:p>
    <w:p w14:paraId="32A8EE01">
      <w:pPr>
        <w:shd w:val="clear" w:color="auto" w:fill="auto"/>
        <w:adjustRightInd w:val="0"/>
        <w:snapToGrid w:val="0"/>
        <w:spacing w:line="360" w:lineRule="auto"/>
        <w:ind w:firstLine="5280" w:firstLineChars="2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单位名称（盖章）：</w:t>
      </w:r>
    </w:p>
    <w:p w14:paraId="7404A18B">
      <w:pPr>
        <w:widowControl/>
        <w:shd w:val="clear" w:color="auto" w:fill="auto"/>
        <w:adjustRightInd w:val="0"/>
        <w:snapToGrid w:val="0"/>
        <w:spacing w:line="360" w:lineRule="auto"/>
        <w:ind w:firstLine="5280" w:firstLineChars="2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  期：</w:t>
      </w:r>
    </w:p>
    <w:p w14:paraId="08ABAA79">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083DED4E">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13A29714">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3C3DD0FC">
      <w:pPr>
        <w:snapToGrid w:val="0"/>
        <w:spacing w:line="360" w:lineRule="auto"/>
        <w:ind w:firstLine="480" w:firstLineChars="200"/>
        <w:rPr>
          <w:rFonts w:hint="eastAsia" w:asciiTheme="minorEastAsia" w:hAnsiTheme="minorEastAsia" w:eastAsiaTheme="minorEastAsia" w:cstheme="minorEastAsia"/>
          <w:color w:val="auto"/>
          <w:kern w:val="0"/>
          <w:sz w:val="24"/>
          <w:szCs w:val="20"/>
          <w:lang w:val="en-US" w:eastAsia="zh-CN" w:bidi="ar-SA"/>
        </w:rPr>
      </w:pPr>
    </w:p>
    <w:p w14:paraId="46850AFB">
      <w:pPr>
        <w:pStyle w:val="29"/>
        <w:rPr>
          <w:rFonts w:hint="eastAsia" w:asciiTheme="minorEastAsia" w:hAnsiTheme="minorEastAsia" w:eastAsiaTheme="minorEastAsia" w:cstheme="minorEastAsia"/>
          <w:color w:val="auto"/>
          <w:kern w:val="0"/>
          <w:sz w:val="24"/>
          <w:szCs w:val="20"/>
          <w:lang w:val="en-US" w:eastAsia="zh-CN" w:bidi="ar-SA"/>
        </w:rPr>
      </w:pPr>
    </w:p>
    <w:p w14:paraId="3F19CC6E">
      <w:pPr>
        <w:rPr>
          <w:rFonts w:hint="eastAsia" w:asciiTheme="minorEastAsia" w:hAnsiTheme="minorEastAsia" w:eastAsiaTheme="minorEastAsia" w:cstheme="minorEastAsia"/>
          <w:color w:val="auto"/>
          <w:kern w:val="0"/>
          <w:sz w:val="24"/>
          <w:szCs w:val="20"/>
          <w:lang w:val="en-US" w:eastAsia="zh-CN" w:bidi="ar-SA"/>
        </w:rPr>
      </w:pPr>
    </w:p>
    <w:p w14:paraId="09D855C1">
      <w:pPr>
        <w:pStyle w:val="29"/>
        <w:rPr>
          <w:rFonts w:hint="eastAsia" w:asciiTheme="minorEastAsia" w:hAnsiTheme="minorEastAsia" w:eastAsiaTheme="minorEastAsia" w:cstheme="minorEastAsia"/>
          <w:color w:val="auto"/>
          <w:kern w:val="0"/>
          <w:sz w:val="24"/>
          <w:szCs w:val="20"/>
          <w:lang w:val="en-US" w:eastAsia="zh-CN" w:bidi="ar-SA"/>
        </w:rPr>
      </w:pPr>
    </w:p>
    <w:p w14:paraId="4C3CD695">
      <w:pPr>
        <w:rPr>
          <w:rFonts w:hint="eastAsia" w:asciiTheme="minorEastAsia" w:hAnsiTheme="minorEastAsia" w:eastAsiaTheme="minorEastAsia" w:cstheme="minorEastAsia"/>
          <w:color w:val="auto"/>
          <w:kern w:val="0"/>
          <w:sz w:val="24"/>
          <w:szCs w:val="20"/>
          <w:lang w:val="en-US" w:eastAsia="zh-CN" w:bidi="ar-SA"/>
        </w:rPr>
      </w:pPr>
    </w:p>
    <w:p w14:paraId="0B47CD1D">
      <w:pPr>
        <w:pStyle w:val="29"/>
        <w:rPr>
          <w:rFonts w:hint="eastAsia" w:asciiTheme="minorEastAsia" w:hAnsiTheme="minorEastAsia" w:eastAsiaTheme="minorEastAsia" w:cstheme="minorEastAsia"/>
          <w:color w:val="auto"/>
          <w:kern w:val="0"/>
          <w:sz w:val="24"/>
          <w:szCs w:val="20"/>
          <w:lang w:val="en-US" w:eastAsia="zh-CN" w:bidi="ar-SA"/>
        </w:rPr>
      </w:pPr>
    </w:p>
    <w:p w14:paraId="5C101E05">
      <w:pPr>
        <w:rPr>
          <w:rFonts w:hint="eastAsia"/>
          <w:lang w:val="en-US" w:eastAsia="zh-CN"/>
        </w:rPr>
      </w:pPr>
    </w:p>
    <w:p w14:paraId="19040CD2">
      <w:pPr>
        <w:snapToGrid w:val="0"/>
        <w:spacing w:line="360" w:lineRule="auto"/>
        <w:ind w:left="0" w:leftChars="0" w:firstLine="0" w:firstLineChars="0"/>
        <w:jc w:val="both"/>
        <w:rPr>
          <w:rFonts w:hint="eastAsia" w:asciiTheme="minorEastAsia" w:hAnsiTheme="minorEastAsia" w:eastAsiaTheme="minorEastAsia" w:cstheme="minorEastAsia"/>
          <w:b/>
          <w:color w:val="auto"/>
          <w:spacing w:val="6"/>
          <w:highlight w:val="none"/>
        </w:rPr>
      </w:pPr>
    </w:p>
    <w:p w14:paraId="1E14329E">
      <w:pPr>
        <w:snapToGrid w:val="0"/>
        <w:spacing w:line="360" w:lineRule="auto"/>
        <w:jc w:val="center"/>
        <w:rPr>
          <w:rStyle w:val="61"/>
          <w:rFonts w:hint="eastAsia" w:asciiTheme="minorEastAsia" w:hAnsiTheme="minorEastAsia" w:eastAsiaTheme="minorEastAsia" w:cstheme="minorEastAsia"/>
          <w:bCs w:val="0"/>
          <w:color w:val="auto"/>
          <w:kern w:val="2"/>
          <w:sz w:val="28"/>
          <w:szCs w:val="28"/>
          <w:lang w:val="en-US" w:eastAsia="zh-CN" w:bidi="ar-SA"/>
        </w:rPr>
      </w:pPr>
      <w:r>
        <w:rPr>
          <w:rStyle w:val="61"/>
          <w:rFonts w:hint="eastAsia" w:asciiTheme="minorEastAsia" w:hAnsiTheme="minorEastAsia" w:eastAsiaTheme="minorEastAsia" w:cstheme="minorEastAsia"/>
          <w:bCs w:val="0"/>
          <w:color w:val="auto"/>
          <w:kern w:val="2"/>
          <w:sz w:val="28"/>
          <w:szCs w:val="28"/>
          <w:lang w:val="en-US" w:eastAsia="zh-CN" w:bidi="ar-SA"/>
        </w:rPr>
        <w:t>残疾人福利性单位声明函</w:t>
      </w:r>
    </w:p>
    <w:p w14:paraId="349A3113">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7D9784">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本单位对上述声明的真实性负责。如有虚假，将依法承担相应责任。</w:t>
      </w:r>
    </w:p>
    <w:p w14:paraId="41C1BCF5">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p>
    <w:p w14:paraId="062533C9">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p>
    <w:p w14:paraId="590A0919">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单位名称（盖章）：</w:t>
      </w:r>
    </w:p>
    <w:p w14:paraId="77DFC48B">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日  期：</w:t>
      </w:r>
    </w:p>
    <w:p w14:paraId="0F838BE1">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p>
    <w:p w14:paraId="6BEA5653">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扶持政策说明：</w:t>
      </w:r>
    </w:p>
    <w:p w14:paraId="50A3AB3F">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4B167D7B">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2、监狱企业视同小微企业，参加本项目投标的，享受小微企业同等的价格扣除。【注：提供《监狱企业声明函》及其相关的充分的证明材料】。</w:t>
      </w:r>
    </w:p>
    <w:p w14:paraId="40FE8279">
      <w:pPr>
        <w:spacing w:line="480" w:lineRule="auto"/>
        <w:ind w:firstLine="480" w:firstLineChars="200"/>
        <w:outlineLvl w:val="1"/>
        <w:rPr>
          <w:rFonts w:hint="eastAsia" w:asciiTheme="minorEastAsia" w:hAnsiTheme="minorEastAsia" w:eastAsiaTheme="minorEastAsia" w:cstheme="minorEastAsia"/>
          <w:sz w:val="24"/>
          <w:szCs w:val="24"/>
          <w:lang w:val="en-US" w:eastAsia="zh-CN"/>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sz w:val="24"/>
          <w:szCs w:val="24"/>
          <w:lang w:val="en-US" w:eastAsia="zh-CN"/>
        </w:rPr>
        <w:t>3、残疾人福利性单位参加投标【提供《残疾人福利性单位声明函》】，视为小型、微型企业，享受小微企业政策扶持。</w:t>
      </w:r>
    </w:p>
    <w:p w14:paraId="4F6BCB6C">
      <w:pPr>
        <w:numPr>
          <w:ilvl w:val="0"/>
          <w:numId w:val="0"/>
        </w:numPr>
        <w:spacing w:line="588" w:lineRule="exact"/>
        <w:jc w:val="center"/>
        <w:rPr>
          <w:rFonts w:hint="eastAsia" w:asciiTheme="minorEastAsia" w:hAnsiTheme="minorEastAsia" w:eastAsiaTheme="minorEastAsia" w:cstheme="minorEastAsia"/>
          <w:b/>
          <w:color w:val="auto"/>
          <w:spacing w:val="6"/>
          <w:kern w:val="2"/>
          <w:sz w:val="24"/>
          <w:szCs w:val="24"/>
          <w:lang w:val="en-US" w:eastAsia="zh-CN" w:bidi="ar-SA"/>
        </w:rPr>
      </w:pPr>
    </w:p>
    <w:p w14:paraId="5790D9FC">
      <w:pPr>
        <w:numPr>
          <w:ilvl w:val="0"/>
          <w:numId w:val="0"/>
        </w:numPr>
        <w:spacing w:line="588" w:lineRule="exact"/>
        <w:jc w:val="center"/>
        <w:rPr>
          <w:rFonts w:hint="eastAsia" w:asciiTheme="minorEastAsia" w:hAnsiTheme="minorEastAsia" w:eastAsiaTheme="minorEastAsia" w:cstheme="minorEastAsia"/>
          <w:b/>
          <w:color w:val="auto"/>
          <w:spacing w:val="6"/>
          <w:kern w:val="2"/>
          <w:sz w:val="24"/>
          <w:szCs w:val="24"/>
          <w:lang w:val="en-US" w:eastAsia="zh-CN" w:bidi="ar-SA"/>
        </w:rPr>
      </w:pPr>
    </w:p>
    <w:p w14:paraId="39C61C38">
      <w:pPr>
        <w:numPr>
          <w:ilvl w:val="0"/>
          <w:numId w:val="0"/>
        </w:numPr>
        <w:spacing w:line="588" w:lineRule="exact"/>
        <w:jc w:val="center"/>
        <w:rPr>
          <w:rFonts w:hint="eastAsia" w:asciiTheme="minorEastAsia" w:hAnsiTheme="minorEastAsia" w:eastAsiaTheme="minorEastAsia" w:cstheme="minorEastAsia"/>
          <w:b/>
          <w:color w:val="auto"/>
          <w:spacing w:val="6"/>
          <w:kern w:val="2"/>
          <w:sz w:val="28"/>
          <w:szCs w:val="28"/>
          <w:lang w:val="en-US" w:eastAsia="zh-CN" w:bidi="ar-SA"/>
        </w:rPr>
      </w:pPr>
    </w:p>
    <w:p w14:paraId="701A5EDB">
      <w:pPr>
        <w:numPr>
          <w:ilvl w:val="0"/>
          <w:numId w:val="0"/>
        </w:numPr>
        <w:spacing w:line="588" w:lineRule="exact"/>
        <w:jc w:val="center"/>
        <w:rPr>
          <w:rFonts w:hint="eastAsia" w:asciiTheme="minorEastAsia" w:hAnsiTheme="minorEastAsia" w:eastAsiaTheme="minorEastAsia" w:cstheme="minorEastAsia"/>
          <w:b/>
          <w:color w:val="auto"/>
          <w:spacing w:val="6"/>
          <w:kern w:val="2"/>
          <w:sz w:val="28"/>
          <w:szCs w:val="28"/>
          <w:lang w:val="en-US" w:eastAsia="zh-CN" w:bidi="ar-SA"/>
        </w:rPr>
      </w:pPr>
    </w:p>
    <w:p w14:paraId="162E380D">
      <w:pPr>
        <w:numPr>
          <w:ilvl w:val="0"/>
          <w:numId w:val="0"/>
        </w:numPr>
        <w:spacing w:line="588"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color w:val="auto"/>
          <w:spacing w:val="6"/>
          <w:kern w:val="2"/>
          <w:sz w:val="28"/>
          <w:szCs w:val="28"/>
          <w:lang w:val="en-US" w:eastAsia="zh-CN" w:bidi="ar-SA"/>
        </w:rPr>
        <w:t>节能、环保产品证明（如有）</w:t>
      </w:r>
    </w:p>
    <w:p w14:paraId="6DA7535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采购人名称 </w:t>
      </w:r>
      <w:r>
        <w:rPr>
          <w:rFonts w:hint="eastAsia" w:asciiTheme="minorEastAsia" w:hAnsiTheme="minorEastAsia" w:eastAsiaTheme="minorEastAsia" w:cstheme="minorEastAsia"/>
          <w:color w:val="auto"/>
          <w:sz w:val="24"/>
          <w:szCs w:val="24"/>
          <w:highlight w:val="none"/>
        </w:rPr>
        <w:t>：</w:t>
      </w:r>
    </w:p>
    <w:p w14:paraId="3E01A1D4">
      <w:pPr>
        <w:pStyle w:val="13"/>
        <w:rPr>
          <w:rFonts w:hint="eastAsia" w:asciiTheme="minorEastAsia" w:hAnsiTheme="minorEastAsia" w:eastAsiaTheme="minorEastAsia" w:cstheme="minorEastAsia"/>
          <w:sz w:val="24"/>
          <w:szCs w:val="24"/>
          <w:lang w:eastAsia="zh-CN"/>
        </w:rPr>
      </w:pPr>
    </w:p>
    <w:p w14:paraId="25B509A1">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现附上</w:t>
      </w:r>
      <w:r>
        <w:rPr>
          <w:rFonts w:hint="eastAsia" w:asciiTheme="minorEastAsia" w:hAnsiTheme="minorEastAsia" w:eastAsiaTheme="minorEastAsia" w:cstheme="minorEastAsia"/>
          <w:color w:val="auto"/>
          <w:sz w:val="24"/>
          <w:szCs w:val="24"/>
          <w:highlight w:val="none"/>
          <w:u w:val="single"/>
        </w:rPr>
        <w:t>  （节能、环保产品产品目录）    </w:t>
      </w:r>
      <w:r>
        <w:rPr>
          <w:rFonts w:hint="eastAsia" w:asciiTheme="minorEastAsia" w:hAnsiTheme="minorEastAsia" w:eastAsiaTheme="minorEastAsia" w:cstheme="minorEastAsia"/>
          <w:color w:val="auto"/>
          <w:sz w:val="24"/>
          <w:szCs w:val="24"/>
          <w:highlight w:val="none"/>
        </w:rPr>
        <w:t> 证明文件（可在 网站名称 网站进行查询）复印件，该证件真实有效。</w:t>
      </w:r>
    </w:p>
    <w:p w14:paraId="4160C619">
      <w:pPr>
        <w:pStyle w:val="13"/>
        <w:rPr>
          <w:rFonts w:hint="eastAsia" w:asciiTheme="minorEastAsia" w:hAnsiTheme="minorEastAsia" w:eastAsiaTheme="minorEastAsia" w:cstheme="minorEastAsia"/>
          <w:sz w:val="24"/>
          <w:szCs w:val="24"/>
          <w:lang w:eastAsia="zh-CN"/>
        </w:rPr>
      </w:pPr>
    </w:p>
    <w:p w14:paraId="1471B6DE">
      <w:pPr>
        <w:pStyle w:val="13"/>
        <w:rPr>
          <w:rFonts w:hint="eastAsia" w:asciiTheme="minorEastAsia" w:hAnsiTheme="minorEastAsia" w:eastAsiaTheme="minorEastAsia" w:cstheme="minorEastAsia"/>
          <w:sz w:val="24"/>
          <w:szCs w:val="24"/>
          <w:lang w:eastAsia="zh-CN"/>
        </w:rPr>
      </w:pPr>
    </w:p>
    <w:p w14:paraId="664B64C0">
      <w:pPr>
        <w:pStyle w:val="13"/>
        <w:rPr>
          <w:rFonts w:hint="eastAsia" w:asciiTheme="minorEastAsia" w:hAnsiTheme="minorEastAsia" w:eastAsiaTheme="minorEastAsia" w:cstheme="minorEastAsia"/>
          <w:sz w:val="24"/>
          <w:szCs w:val="24"/>
          <w:lang w:eastAsia="zh-CN"/>
        </w:rPr>
      </w:pPr>
    </w:p>
    <w:p w14:paraId="20AC02B7">
      <w:pPr>
        <w:pStyle w:val="13"/>
        <w:rPr>
          <w:rFonts w:hint="eastAsia" w:asciiTheme="minorEastAsia" w:hAnsiTheme="minorEastAsia" w:eastAsiaTheme="minorEastAsia" w:cstheme="minorEastAsia"/>
          <w:sz w:val="24"/>
          <w:szCs w:val="24"/>
          <w:lang w:eastAsia="zh-CN"/>
        </w:rPr>
      </w:pPr>
    </w:p>
    <w:p w14:paraId="1D2CD5D1">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5892C8B6">
      <w:pPr>
        <w:pStyle w:val="13"/>
        <w:rPr>
          <w:rFonts w:hint="eastAsia" w:asciiTheme="minorEastAsia" w:hAnsiTheme="minorEastAsia" w:eastAsiaTheme="minorEastAsia" w:cstheme="minorEastAsia"/>
          <w:sz w:val="24"/>
          <w:szCs w:val="24"/>
          <w:lang w:eastAsia="zh-CN"/>
        </w:rPr>
      </w:pPr>
    </w:p>
    <w:p w14:paraId="7050302F">
      <w:pPr>
        <w:pStyle w:val="13"/>
        <w:rPr>
          <w:rFonts w:hint="eastAsia" w:asciiTheme="minorEastAsia" w:hAnsiTheme="minorEastAsia" w:eastAsiaTheme="minorEastAsia" w:cstheme="minorEastAsia"/>
          <w:sz w:val="24"/>
          <w:szCs w:val="24"/>
          <w:lang w:eastAsia="zh-CN"/>
        </w:rPr>
      </w:pPr>
    </w:p>
    <w:p w14:paraId="568674DC">
      <w:pPr>
        <w:pStyle w:val="13"/>
        <w:rPr>
          <w:rFonts w:hint="eastAsia" w:asciiTheme="minorEastAsia" w:hAnsiTheme="minorEastAsia" w:eastAsiaTheme="minorEastAsia" w:cstheme="minorEastAsia"/>
          <w:sz w:val="24"/>
          <w:szCs w:val="24"/>
          <w:lang w:eastAsia="zh-CN"/>
        </w:rPr>
      </w:pPr>
    </w:p>
    <w:p w14:paraId="6ECA7FC8">
      <w:pPr>
        <w:pStyle w:val="13"/>
        <w:rPr>
          <w:rFonts w:hint="eastAsia" w:asciiTheme="minorEastAsia" w:hAnsiTheme="minorEastAsia" w:eastAsiaTheme="minorEastAsia" w:cstheme="minorEastAsia"/>
          <w:sz w:val="24"/>
          <w:szCs w:val="24"/>
          <w:lang w:eastAsia="zh-CN"/>
        </w:rPr>
      </w:pPr>
    </w:p>
    <w:p w14:paraId="0A197793">
      <w:pPr>
        <w:pStyle w:val="13"/>
        <w:rPr>
          <w:rFonts w:hint="eastAsia" w:asciiTheme="minorEastAsia" w:hAnsiTheme="minorEastAsia" w:eastAsiaTheme="minorEastAsia" w:cstheme="minorEastAsia"/>
          <w:sz w:val="24"/>
          <w:szCs w:val="24"/>
          <w:lang w:eastAsia="zh-CN"/>
        </w:rPr>
      </w:pPr>
    </w:p>
    <w:p w14:paraId="159FB522">
      <w:pPr>
        <w:pStyle w:val="13"/>
        <w:rPr>
          <w:rFonts w:hint="eastAsia" w:asciiTheme="minorEastAsia" w:hAnsiTheme="minorEastAsia" w:eastAsiaTheme="minorEastAsia" w:cstheme="minorEastAsia"/>
          <w:sz w:val="24"/>
          <w:szCs w:val="24"/>
          <w:lang w:eastAsia="zh-CN"/>
        </w:rPr>
      </w:pPr>
    </w:p>
    <w:p w14:paraId="1F59C52E">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投标人（加盖公章）：                         </w:t>
      </w:r>
    </w:p>
    <w:p w14:paraId="77D8FFE7">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w:t>
      </w:r>
    </w:p>
    <w:p w14:paraId="427F6A09">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投标人代表（签字）：                         </w:t>
      </w:r>
    </w:p>
    <w:p w14:paraId="1FE4FF27">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w:t>
      </w:r>
    </w:p>
    <w:p w14:paraId="380BB87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日          期：    年   月  日</w:t>
      </w:r>
    </w:p>
    <w:p w14:paraId="2C8B471D">
      <w:pPr>
        <w:pStyle w:val="9"/>
        <w:numPr>
          <w:ilvl w:val="0"/>
          <w:numId w:val="0"/>
        </w:numPr>
        <w:overflowPunct w:val="0"/>
        <w:snapToGrid w:val="0"/>
        <w:spacing w:line="360" w:lineRule="auto"/>
        <w:jc w:val="right"/>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21D45EB8">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545DCF76">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7CC35CD5">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2AB52FE4">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641EA8ED">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2620C495">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3321E5E2">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p>
    <w:p w14:paraId="747B99FC">
      <w:pPr>
        <w:pStyle w:val="62"/>
        <w:shd w:val="clear" w:color="auto" w:fill="auto"/>
        <w:spacing w:line="360" w:lineRule="auto"/>
        <w:jc w:val="both"/>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 虚假应标承担责任声明（统一格式）</w:t>
      </w:r>
    </w:p>
    <w:p w14:paraId="6AC12768">
      <w:pPr>
        <w:pStyle w:val="13"/>
        <w:shd w:val="clear" w:color="auto" w:fill="auto"/>
        <w:tabs>
          <w:tab w:val="left" w:pos="9214"/>
        </w:tabs>
        <w:spacing w:before="2"/>
        <w:ind w:left="0" w:leftChars="0" w:right="-92" w:rightChars="-44" w:firstLine="0" w:firstLineChars="0"/>
        <w:rPr>
          <w:rFonts w:hint="eastAsia" w:asciiTheme="minorEastAsia" w:hAnsiTheme="minorEastAsia" w:eastAsiaTheme="minorEastAsia" w:cstheme="minorEastAsia"/>
          <w:b/>
          <w:color w:val="auto"/>
          <w:sz w:val="21"/>
          <w:szCs w:val="21"/>
          <w:highlight w:val="none"/>
        </w:rPr>
      </w:pPr>
    </w:p>
    <w:p w14:paraId="5D84D09F">
      <w:pPr>
        <w:shd w:val="clear" w:color="auto" w:fill="auto"/>
        <w:ind w:right="-92" w:rightChars="-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采购人/采购代理机构</w:t>
      </w:r>
    </w:p>
    <w:p w14:paraId="6717BCD2">
      <w:pPr>
        <w:pStyle w:val="13"/>
        <w:shd w:val="clear" w:color="auto" w:fill="auto"/>
        <w:tabs>
          <w:tab w:val="left" w:pos="9214"/>
        </w:tabs>
        <w:spacing w:before="9"/>
        <w:ind w:right="-92" w:rightChars="-44"/>
        <w:rPr>
          <w:rFonts w:hint="eastAsia" w:asciiTheme="minorEastAsia" w:hAnsiTheme="minorEastAsia" w:eastAsiaTheme="minorEastAsia" w:cstheme="minorEastAsia"/>
          <w:b/>
          <w:color w:val="auto"/>
          <w:sz w:val="24"/>
          <w:szCs w:val="24"/>
          <w:highlight w:val="none"/>
        </w:rPr>
      </w:pPr>
    </w:p>
    <w:p w14:paraId="2D86AEDD">
      <w:pPr>
        <w:pStyle w:val="13"/>
        <w:shd w:val="clear" w:color="auto" w:fill="auto"/>
        <w:tabs>
          <w:tab w:val="left" w:pos="9214"/>
        </w:tabs>
        <w:spacing w:before="67" w:line="360" w:lineRule="auto"/>
        <w:ind w:right="-92" w:rightChars="-4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w:t>
      </w:r>
      <w:r>
        <w:rPr>
          <w:rFonts w:hint="eastAsia" w:asciiTheme="minorEastAsia" w:hAnsiTheme="minorEastAsia" w:eastAsiaTheme="minorEastAsia" w:cstheme="minorEastAsia"/>
          <w:color w:val="auto"/>
          <w:spacing w:val="-7"/>
          <w:sz w:val="24"/>
          <w:szCs w:val="24"/>
          <w:highlight w:val="none"/>
        </w:rPr>
        <w:t>承诺：</w:t>
      </w:r>
      <w:r>
        <w:rPr>
          <w:rFonts w:hint="eastAsia" w:asciiTheme="minorEastAsia" w:hAnsiTheme="minorEastAsia" w:eastAsiaTheme="minorEastAsia" w:cstheme="minorEastAsia"/>
          <w:color w:val="auto"/>
          <w:spacing w:val="-3"/>
          <w:sz w:val="24"/>
          <w:szCs w:val="24"/>
          <w:highlight w:val="none"/>
        </w:rPr>
        <w:t>所提供的投标文件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5"/>
          <w:sz w:val="24"/>
          <w:szCs w:val="24"/>
          <w:highlight w:val="none"/>
        </w:rPr>
        <w:t>包括一切技术资料、技术承诺、商务承诺等</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12"/>
          <w:sz w:val="24"/>
          <w:szCs w:val="24"/>
          <w:highlight w:val="none"/>
        </w:rPr>
        <w:t>均</w:t>
      </w:r>
      <w:r>
        <w:rPr>
          <w:rFonts w:hint="eastAsia" w:asciiTheme="minorEastAsia" w:hAnsiTheme="minorEastAsia" w:eastAsiaTheme="minorEastAsia" w:cstheme="minorEastAsia"/>
          <w:color w:val="auto"/>
          <w:spacing w:val="-6"/>
          <w:sz w:val="24"/>
          <w:szCs w:val="24"/>
          <w:highlight w:val="none"/>
        </w:rPr>
        <w:t>真实有效，若在项目招标过程中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6"/>
          <w:sz w:val="24"/>
          <w:szCs w:val="24"/>
          <w:highlight w:val="none"/>
        </w:rPr>
        <w:t>包括开评审、中标公示过程</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
          <w:sz w:val="24"/>
          <w:szCs w:val="24"/>
          <w:highlight w:val="none"/>
        </w:rPr>
        <w:t>及履行合同期间</w:t>
      </w:r>
      <w:r>
        <w:rPr>
          <w:rFonts w:hint="eastAsia" w:asciiTheme="minorEastAsia" w:hAnsiTheme="minorEastAsia" w:eastAsiaTheme="minorEastAsia" w:cstheme="minorEastAsia"/>
          <w:color w:val="auto"/>
          <w:sz w:val="24"/>
          <w:szCs w:val="24"/>
          <w:highlight w:val="none"/>
        </w:rPr>
        <w:t>（包括验收过程</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pacing w:val="-2"/>
          <w:sz w:val="24"/>
          <w:szCs w:val="24"/>
          <w:highlight w:val="none"/>
        </w:rPr>
        <w:t>发现我公司提供的货物</w:t>
      </w:r>
      <w:r>
        <w:rPr>
          <w:rFonts w:hint="eastAsia" w:asciiTheme="minorEastAsia" w:hAnsiTheme="minorEastAsia" w:eastAsiaTheme="minorEastAsia" w:cstheme="minorEastAsia"/>
          <w:color w:val="auto"/>
          <w:sz w:val="24"/>
          <w:szCs w:val="24"/>
          <w:highlight w:val="none"/>
        </w:rPr>
        <w:t>（或产品</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pacing w:val="-5"/>
          <w:sz w:val="24"/>
          <w:szCs w:val="24"/>
          <w:highlight w:val="none"/>
        </w:rPr>
        <w:t>与投标</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pacing w:val="-6"/>
          <w:sz w:val="24"/>
          <w:szCs w:val="24"/>
          <w:highlight w:val="none"/>
        </w:rPr>
        <w:t>不一致，或发现我</w:t>
      </w:r>
      <w:r>
        <w:rPr>
          <w:rFonts w:hint="eastAsia" w:asciiTheme="minorEastAsia" w:hAnsiTheme="minorEastAsia" w:eastAsiaTheme="minorEastAsia" w:cstheme="minorEastAsia"/>
          <w:color w:val="auto"/>
          <w:sz w:val="24"/>
          <w:szCs w:val="24"/>
          <w:highlight w:val="none"/>
        </w:rPr>
        <w:t>公司提供了不真实的投标文件（虚假材料</w:t>
      </w:r>
      <w:r>
        <w:rPr>
          <w:rFonts w:hint="eastAsia" w:asciiTheme="minorEastAsia" w:hAnsiTheme="minorEastAsia" w:eastAsiaTheme="minorEastAsia" w:cstheme="minorEastAsia"/>
          <w:color w:val="auto"/>
          <w:spacing w:val="-120"/>
          <w:sz w:val="24"/>
          <w:szCs w:val="24"/>
          <w:highlight w:val="none"/>
        </w:rPr>
        <w:t>）   ）</w:t>
      </w:r>
      <w:r>
        <w:rPr>
          <w:rFonts w:hint="eastAsia" w:asciiTheme="minorEastAsia" w:hAnsiTheme="minorEastAsia" w:eastAsiaTheme="minorEastAsia" w:cstheme="minorEastAsia"/>
          <w:color w:val="auto"/>
          <w:sz w:val="24"/>
          <w:szCs w:val="24"/>
          <w:highlight w:val="none"/>
        </w:rPr>
        <w:t>），我公司愿意承担一切法律责任并认可采购人或采购代理机构作出的取消中标资格、罚没保证金等决定。</w:t>
      </w:r>
    </w:p>
    <w:p w14:paraId="285590E1">
      <w:pPr>
        <w:pStyle w:val="13"/>
        <w:shd w:val="clear" w:color="auto" w:fill="auto"/>
        <w:tabs>
          <w:tab w:val="left" w:pos="9214"/>
        </w:tabs>
        <w:spacing w:line="360" w:lineRule="auto"/>
        <w:ind w:right="-92" w:rightChars="-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440CCEF4">
      <w:pPr>
        <w:pStyle w:val="13"/>
        <w:shd w:val="clear" w:color="auto" w:fill="auto"/>
        <w:tabs>
          <w:tab w:val="left" w:pos="9214"/>
        </w:tabs>
        <w:spacing w:line="360" w:lineRule="auto"/>
        <w:ind w:right="-92" w:rightChars="-44"/>
        <w:rPr>
          <w:rFonts w:hint="eastAsia" w:asciiTheme="minorEastAsia" w:hAnsiTheme="minorEastAsia" w:eastAsiaTheme="minorEastAsia" w:cstheme="minorEastAsia"/>
          <w:color w:val="auto"/>
          <w:sz w:val="24"/>
          <w:szCs w:val="24"/>
          <w:highlight w:val="none"/>
        </w:rPr>
      </w:pPr>
    </w:p>
    <w:p w14:paraId="18BAC95D">
      <w:pPr>
        <w:pStyle w:val="13"/>
        <w:shd w:val="clear" w:color="auto" w:fill="auto"/>
        <w:tabs>
          <w:tab w:val="left" w:pos="9214"/>
        </w:tabs>
        <w:ind w:right="-92" w:rightChars="-44"/>
        <w:rPr>
          <w:rFonts w:hint="eastAsia" w:asciiTheme="minorEastAsia" w:hAnsiTheme="minorEastAsia" w:eastAsiaTheme="minorEastAsia" w:cstheme="minorEastAsia"/>
          <w:color w:val="auto"/>
          <w:sz w:val="24"/>
          <w:szCs w:val="24"/>
          <w:highlight w:val="none"/>
        </w:rPr>
      </w:pPr>
    </w:p>
    <w:p w14:paraId="440C6BE9">
      <w:pPr>
        <w:pStyle w:val="13"/>
        <w:shd w:val="clear" w:color="auto" w:fill="auto"/>
        <w:tabs>
          <w:tab w:val="left" w:pos="9214"/>
        </w:tabs>
        <w:ind w:right="-92" w:rightChars="-44"/>
        <w:rPr>
          <w:rFonts w:hint="eastAsia" w:asciiTheme="minorEastAsia" w:hAnsiTheme="minorEastAsia" w:eastAsiaTheme="minorEastAsia" w:cstheme="minorEastAsia"/>
          <w:color w:val="auto"/>
          <w:sz w:val="24"/>
          <w:szCs w:val="24"/>
          <w:highlight w:val="none"/>
        </w:rPr>
      </w:pPr>
    </w:p>
    <w:p w14:paraId="5C652A1F">
      <w:pPr>
        <w:pStyle w:val="13"/>
        <w:shd w:val="clear" w:color="auto" w:fill="auto"/>
        <w:tabs>
          <w:tab w:val="left" w:pos="4736"/>
          <w:tab w:val="left" w:pos="9214"/>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14:paraId="62F27240">
      <w:pPr>
        <w:pStyle w:val="13"/>
        <w:shd w:val="clear" w:color="auto" w:fill="auto"/>
        <w:tabs>
          <w:tab w:val="left" w:pos="5521"/>
          <w:tab w:val="left" w:pos="6366"/>
          <w:tab w:val="left" w:pos="9062"/>
          <w:tab w:val="left" w:pos="9214"/>
        </w:tabs>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投标人授权代表(签字或签章)：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14:paraId="6DB0C9DD">
      <w:pPr>
        <w:pStyle w:val="13"/>
        <w:shd w:val="clear" w:color="auto" w:fill="auto"/>
        <w:tabs>
          <w:tab w:val="left" w:pos="5521"/>
          <w:tab w:val="left" w:pos="6366"/>
          <w:tab w:val="left" w:pos="9062"/>
          <w:tab w:val="left" w:pos="9214"/>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ab/>
      </w:r>
    </w:p>
    <w:p w14:paraId="5B845905">
      <w:pPr>
        <w:pStyle w:val="13"/>
        <w:shd w:val="clear" w:color="auto" w:fill="auto"/>
        <w:tabs>
          <w:tab w:val="left" w:pos="9214"/>
        </w:tabs>
        <w:spacing w:line="360" w:lineRule="auto"/>
        <w:rPr>
          <w:rFonts w:hint="eastAsia" w:asciiTheme="minorEastAsia" w:hAnsiTheme="minorEastAsia" w:eastAsiaTheme="minorEastAsia" w:cstheme="minorEastAsia"/>
          <w:color w:val="auto"/>
          <w:highlight w:val="none"/>
        </w:rPr>
      </w:pPr>
    </w:p>
    <w:p w14:paraId="37D02E4F">
      <w:pPr>
        <w:pStyle w:val="13"/>
        <w:shd w:val="clear" w:color="auto" w:fill="auto"/>
        <w:tabs>
          <w:tab w:val="left" w:pos="9214"/>
        </w:tabs>
        <w:spacing w:line="360" w:lineRule="auto"/>
        <w:rPr>
          <w:rFonts w:hint="eastAsia" w:asciiTheme="minorEastAsia" w:hAnsiTheme="minorEastAsia" w:eastAsiaTheme="minorEastAsia" w:cstheme="minorEastAsia"/>
          <w:color w:val="auto"/>
          <w:highlight w:val="none"/>
        </w:rPr>
      </w:pPr>
    </w:p>
    <w:p w14:paraId="13F1B791">
      <w:pPr>
        <w:pStyle w:val="13"/>
        <w:shd w:val="clear" w:color="auto" w:fill="auto"/>
        <w:tabs>
          <w:tab w:val="left" w:pos="1560"/>
          <w:tab w:val="left" w:pos="2040"/>
          <w:tab w:val="left" w:pos="9214"/>
        </w:tabs>
        <w:spacing w:before="66"/>
        <w:ind w:right="-92" w:rightChars="-44"/>
        <w:rPr>
          <w:rFonts w:hint="eastAsia" w:asciiTheme="minorEastAsia" w:hAnsiTheme="minorEastAsia" w:eastAsiaTheme="minorEastAsia" w:cstheme="minorEastAsia"/>
          <w:color w:val="auto"/>
          <w:sz w:val="21"/>
          <w:szCs w:val="21"/>
          <w:highlight w:val="none"/>
        </w:rPr>
      </w:pPr>
    </w:p>
    <w:p w14:paraId="108A0901">
      <w:pPr>
        <w:pStyle w:val="62"/>
        <w:shd w:val="clear" w:color="auto" w:fill="auto"/>
        <w:spacing w:line="360" w:lineRule="auto"/>
        <w:ind w:right="-92" w:rightChars="-44"/>
        <w:jc w:val="both"/>
        <w:rPr>
          <w:rFonts w:hint="eastAsia" w:asciiTheme="minorEastAsia" w:hAnsiTheme="minorEastAsia" w:eastAsiaTheme="minorEastAsia" w:cstheme="minorEastAsia"/>
          <w:b/>
          <w:color w:val="auto"/>
          <w:sz w:val="24"/>
          <w:szCs w:val="24"/>
          <w:highlight w:val="none"/>
        </w:rPr>
        <w:sectPr>
          <w:type w:val="continuous"/>
          <w:pgSz w:w="11905" w:h="16838"/>
          <w:pgMar w:top="1304" w:right="964" w:bottom="1020" w:left="1191" w:header="567" w:footer="454" w:gutter="0"/>
          <w:pgNumType w:fmt="decimal"/>
          <w:cols w:space="720" w:num="1"/>
          <w:rtlGutter w:val="0"/>
          <w:docGrid w:type="lines" w:linePitch="317" w:charSpace="0"/>
        </w:sectPr>
      </w:pPr>
    </w:p>
    <w:p w14:paraId="089658E2">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bookmarkStart w:id="612" w:name="_Toc520356224"/>
      <w:bookmarkStart w:id="613" w:name="_Toc480942355"/>
      <w:bookmarkStart w:id="614" w:name="_Toc216582819"/>
      <w:bookmarkStart w:id="615" w:name="_Ref467988543"/>
      <w:bookmarkStart w:id="616" w:name="_Toc115436133"/>
      <w:bookmarkStart w:id="617" w:name="_Toc9592"/>
      <w:bookmarkStart w:id="618" w:name="_Toc507399535"/>
      <w:bookmarkStart w:id="619" w:name="_Toc20238"/>
      <w:bookmarkStart w:id="620" w:name="_Toc114589541"/>
      <w:bookmarkStart w:id="621" w:name="_Toc32489"/>
    </w:p>
    <w:p w14:paraId="48C4AF2E">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0A1B7DD0">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6B65A4D9">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28978570">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3DA42308">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131B6B65">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74E6D992">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08C8BE61">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p>
    <w:p w14:paraId="413492FB">
      <w:pPr>
        <w:pStyle w:val="62"/>
        <w:shd w:val="clear" w:color="auto" w:fill="auto"/>
        <w:spacing w:line="360" w:lineRule="auto"/>
        <w:jc w:val="both"/>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附件9  关于对本投标文件中资料真实性的承诺</w:t>
      </w:r>
      <w:bookmarkEnd w:id="612"/>
      <w:bookmarkEnd w:id="613"/>
      <w:bookmarkEnd w:id="614"/>
      <w:bookmarkEnd w:id="615"/>
      <w:bookmarkStart w:id="622" w:name="_Hlt520271212"/>
      <w:bookmarkEnd w:id="622"/>
      <w:bookmarkStart w:id="623" w:name="_Hlt520343000"/>
      <w:bookmarkEnd w:id="623"/>
      <w:bookmarkStart w:id="624" w:name="_Hlt520274407"/>
      <w:bookmarkEnd w:id="624"/>
      <w:bookmarkStart w:id="625" w:name="_Hlt520274065"/>
      <w:bookmarkEnd w:id="625"/>
      <w:bookmarkStart w:id="626" w:name="_Hlt520274911"/>
      <w:bookmarkEnd w:id="626"/>
      <w:bookmarkStart w:id="627" w:name="_Hlt520350957"/>
      <w:bookmarkEnd w:id="627"/>
      <w:bookmarkStart w:id="628" w:name="_Hlt520273973"/>
      <w:bookmarkEnd w:id="628"/>
      <w:bookmarkStart w:id="629" w:name="_Hlt520274393"/>
      <w:bookmarkEnd w:id="629"/>
      <w:bookmarkStart w:id="630" w:name="_Hlt520343392"/>
      <w:bookmarkEnd w:id="630"/>
      <w:bookmarkStart w:id="631" w:name="_Hlt520350918"/>
      <w:bookmarkEnd w:id="631"/>
      <w:bookmarkStart w:id="632" w:name="_Hlt520273711"/>
      <w:bookmarkEnd w:id="632"/>
      <w:bookmarkStart w:id="633" w:name="_Toc216582821"/>
      <w:bookmarkStart w:id="634" w:name="_Toc216513801"/>
      <w:r>
        <w:rPr>
          <w:rFonts w:hint="eastAsia" w:asciiTheme="minorEastAsia" w:hAnsiTheme="minorEastAsia" w:eastAsiaTheme="minorEastAsia" w:cstheme="minorEastAsia"/>
          <w:b/>
          <w:color w:val="auto"/>
          <w:sz w:val="24"/>
          <w:szCs w:val="24"/>
          <w:highlight w:val="none"/>
        </w:rPr>
        <w:t>书</w:t>
      </w:r>
      <w:bookmarkEnd w:id="616"/>
      <w:bookmarkEnd w:id="617"/>
      <w:bookmarkEnd w:id="618"/>
      <w:bookmarkEnd w:id="619"/>
      <w:bookmarkEnd w:id="620"/>
      <w:bookmarkEnd w:id="621"/>
    </w:p>
    <w:p w14:paraId="5FD88463">
      <w:pPr>
        <w:shd w:val="clear" w:color="auto" w:fill="auto"/>
        <w:spacing w:line="240" w:lineRule="atLeast"/>
        <w:ind w:left="1080" w:leftChars="257" w:hanging="540"/>
        <w:rPr>
          <w:rFonts w:hint="eastAsia" w:asciiTheme="minorEastAsia" w:hAnsiTheme="minorEastAsia" w:eastAsiaTheme="minorEastAsia" w:cstheme="minorEastAsia"/>
          <w:b/>
          <w:color w:val="auto"/>
          <w:sz w:val="24"/>
          <w:szCs w:val="24"/>
          <w:highlight w:val="none"/>
        </w:rPr>
      </w:pPr>
    </w:p>
    <w:bookmarkEnd w:id="633"/>
    <w:bookmarkEnd w:id="634"/>
    <w:p w14:paraId="52429B97">
      <w:pPr>
        <w:shd w:val="clear" w:color="auto" w:fill="auto"/>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关于对本投标文件中资料真实性的承诺</w:t>
      </w:r>
    </w:p>
    <w:p w14:paraId="442E9159">
      <w:pPr>
        <w:shd w:val="clear" w:color="auto" w:fill="auto"/>
        <w:rPr>
          <w:rFonts w:hint="eastAsia" w:asciiTheme="minorEastAsia" w:hAnsiTheme="minorEastAsia" w:eastAsiaTheme="minorEastAsia" w:cstheme="minorEastAsia"/>
          <w:b/>
          <w:color w:val="auto"/>
          <w:kern w:val="0"/>
          <w:sz w:val="24"/>
          <w:szCs w:val="24"/>
          <w:highlight w:val="none"/>
        </w:rPr>
      </w:pPr>
    </w:p>
    <w:p w14:paraId="61F51FE7">
      <w:pPr>
        <w:shd w:val="clear" w:color="auto" w:fill="auto"/>
        <w:spacing w:line="360" w:lineRule="auto"/>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至：</w:t>
      </w:r>
      <w:r>
        <w:rPr>
          <w:rFonts w:hint="eastAsia" w:asciiTheme="minorEastAsia" w:hAnsiTheme="minorEastAsia" w:eastAsiaTheme="minorEastAsia" w:cstheme="minorEastAsia"/>
          <w:b/>
          <w:color w:val="auto"/>
          <w:kern w:val="0"/>
          <w:sz w:val="24"/>
          <w:szCs w:val="24"/>
          <w:highlight w:val="none"/>
          <w:u w:val="single"/>
        </w:rPr>
        <w:t xml:space="preserve"> （项目、包段名称）评标委员会  </w:t>
      </w:r>
    </w:p>
    <w:p w14:paraId="26B18160">
      <w:pPr>
        <w:shd w:val="clear" w:color="auto" w:fill="auto"/>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根据《中华人民共和国政府采购法》、《中华人民共和国政府采购法实施条例》等有关法律、法规的规定和</w:t>
      </w:r>
      <w:r>
        <w:rPr>
          <w:rFonts w:hint="eastAsia" w:asciiTheme="minorEastAsia" w:hAnsiTheme="minorEastAsia" w:eastAsiaTheme="minorEastAsia" w:cstheme="minorEastAsia"/>
          <w:color w:val="auto"/>
          <w:kern w:val="0"/>
          <w:sz w:val="24"/>
          <w:szCs w:val="24"/>
          <w:highlight w:val="none"/>
          <w:u w:val="single"/>
        </w:rPr>
        <w:t>        （项目、包段名称）         </w:t>
      </w:r>
      <w:r>
        <w:rPr>
          <w:rFonts w:hint="eastAsia" w:asciiTheme="minorEastAsia" w:hAnsiTheme="minorEastAsia" w:eastAsiaTheme="minorEastAsia" w:cstheme="minorEastAsia"/>
          <w:color w:val="auto"/>
          <w:kern w:val="0"/>
          <w:sz w:val="24"/>
          <w:szCs w:val="24"/>
          <w:highlight w:val="none"/>
        </w:rPr>
        <w:t>的招标文件的要求，我公司在</w:t>
      </w:r>
      <w:r>
        <w:rPr>
          <w:rFonts w:hint="eastAsia" w:asciiTheme="minorEastAsia" w:hAnsiTheme="minorEastAsia" w:eastAsiaTheme="minorEastAsia" w:cstheme="minorEastAsia"/>
          <w:color w:val="auto"/>
          <w:kern w:val="0"/>
          <w:sz w:val="24"/>
          <w:szCs w:val="24"/>
          <w:highlight w:val="none"/>
          <w:u w:val="single"/>
        </w:rPr>
        <w:t>   （项目、包段名称）   </w:t>
      </w:r>
      <w:r>
        <w:rPr>
          <w:rFonts w:hint="eastAsia" w:asciiTheme="minorEastAsia" w:hAnsiTheme="minorEastAsia" w:eastAsiaTheme="minorEastAsia" w:cstheme="minorEastAsia"/>
          <w:color w:val="auto"/>
          <w:kern w:val="0"/>
          <w:sz w:val="24"/>
          <w:szCs w:val="24"/>
          <w:highlight w:val="none"/>
        </w:rPr>
        <w:t>投标文件中所提供资料真实性作如下承诺：</w:t>
      </w:r>
    </w:p>
    <w:p w14:paraId="64E0C40B">
      <w:pPr>
        <w:shd w:val="clear" w:color="auto" w:fill="auto"/>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我公司将严格按招标文件要求，在编制本投标文件时，对投标文件中所提供的资料全部真实和正确，并对提供的所有资料（资格、业绩、其他材料等）的真实性负责！ </w:t>
      </w:r>
    </w:p>
    <w:p w14:paraId="2A2F0578">
      <w:pPr>
        <w:shd w:val="clear" w:color="auto" w:fill="auto"/>
        <w:spacing w:line="360" w:lineRule="auto"/>
        <w:ind w:firstLine="720" w:firstLineChars="3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对提供的全部资料中有存在不真实（伪造或租借等虚假资料）情形，将无条件接受任何处罚，自行承担由此引起的一切责任！</w:t>
      </w:r>
    </w:p>
    <w:p w14:paraId="03D5AE2B">
      <w:pPr>
        <w:shd w:val="clear" w:color="auto" w:fill="auto"/>
        <w:spacing w:line="360" w:lineRule="auto"/>
        <w:ind w:firstLine="723" w:firstLineChars="300"/>
        <w:rPr>
          <w:rFonts w:hint="eastAsia" w:asciiTheme="minorEastAsia" w:hAnsiTheme="minorEastAsia" w:eastAsiaTheme="minorEastAsia" w:cstheme="minorEastAsia"/>
          <w:b/>
          <w:color w:val="auto"/>
          <w:kern w:val="0"/>
          <w:sz w:val="24"/>
          <w:szCs w:val="24"/>
          <w:highlight w:val="none"/>
        </w:rPr>
      </w:pPr>
    </w:p>
    <w:p w14:paraId="684E91E5">
      <w:pPr>
        <w:shd w:val="clear" w:color="auto" w:fill="auto"/>
        <w:spacing w:line="360" w:lineRule="auto"/>
        <w:ind w:firstLine="723" w:firstLineChars="3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特此承诺</w:t>
      </w:r>
    </w:p>
    <w:p w14:paraId="3F2A1BBD">
      <w:pPr>
        <w:shd w:val="clear" w:color="auto" w:fill="auto"/>
        <w:spacing w:line="360" w:lineRule="auto"/>
        <w:ind w:firstLine="723" w:firstLineChars="300"/>
        <w:rPr>
          <w:rFonts w:hint="eastAsia" w:asciiTheme="minorEastAsia" w:hAnsiTheme="minorEastAsia" w:eastAsiaTheme="minorEastAsia" w:cstheme="minorEastAsia"/>
          <w:b/>
          <w:color w:val="auto"/>
          <w:kern w:val="0"/>
          <w:sz w:val="24"/>
          <w:szCs w:val="24"/>
          <w:highlight w:val="none"/>
        </w:rPr>
      </w:pPr>
    </w:p>
    <w:p w14:paraId="3EC9D491">
      <w:pPr>
        <w:shd w:val="clear" w:color="auto" w:fill="auto"/>
        <w:spacing w:line="360" w:lineRule="auto"/>
        <w:ind w:firstLine="3855" w:firstLineChars="16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供应商（全称）：</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rPr>
        <w:t>（盖单位章）</w:t>
      </w:r>
    </w:p>
    <w:p w14:paraId="45FD0CFE">
      <w:pPr>
        <w:shd w:val="clear" w:color="auto" w:fill="auto"/>
        <w:spacing w:line="360" w:lineRule="auto"/>
        <w:ind w:firstLine="3855" w:firstLineChars="16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法定代表人：</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rPr>
        <w:t>（签字）</w:t>
      </w:r>
    </w:p>
    <w:p w14:paraId="03F91291">
      <w:pPr>
        <w:shd w:val="clear" w:color="auto" w:fill="auto"/>
        <w:spacing w:line="360" w:lineRule="auto"/>
        <w:ind w:firstLine="3855" w:firstLineChars="16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有效的联系方式：</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rPr>
        <w:t>（手机号）</w:t>
      </w:r>
    </w:p>
    <w:p w14:paraId="750875A5">
      <w:pPr>
        <w:shd w:val="clear" w:color="auto" w:fill="auto"/>
        <w:spacing w:line="360" w:lineRule="auto"/>
        <w:ind w:firstLine="4337" w:firstLineChars="1800"/>
        <w:rPr>
          <w:rFonts w:hint="eastAsia" w:asciiTheme="minorEastAsia" w:hAnsiTheme="minorEastAsia" w:eastAsiaTheme="minorEastAsia" w:cstheme="minorEastAsia"/>
          <w:b/>
          <w:color w:val="auto"/>
          <w:kern w:val="0"/>
          <w:sz w:val="24"/>
          <w:szCs w:val="24"/>
          <w:highlight w:val="none"/>
        </w:rPr>
      </w:pPr>
    </w:p>
    <w:p w14:paraId="4A5791A9">
      <w:pPr>
        <w:shd w:val="clear" w:color="auto" w:fill="auto"/>
        <w:spacing w:line="360" w:lineRule="auto"/>
        <w:ind w:firstLine="6023" w:firstLineChars="25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年      月       日</w:t>
      </w:r>
    </w:p>
    <w:p w14:paraId="2E9E8A98">
      <w:pPr>
        <w:shd w:val="clear" w:color="auto" w:fill="auto"/>
        <w:spacing w:line="360" w:lineRule="auto"/>
        <w:rPr>
          <w:rFonts w:hint="eastAsia" w:asciiTheme="minorEastAsia" w:hAnsiTheme="minorEastAsia" w:eastAsiaTheme="minorEastAsia" w:cstheme="minorEastAsia"/>
          <w:b/>
          <w:color w:val="auto"/>
          <w:kern w:val="0"/>
          <w:sz w:val="24"/>
          <w:szCs w:val="24"/>
          <w:highlight w:val="none"/>
        </w:rPr>
      </w:pPr>
    </w:p>
    <w:p w14:paraId="12B2BB06">
      <w:pPr>
        <w:shd w:val="clear" w:color="auto" w:fill="auto"/>
        <w:spacing w:line="360" w:lineRule="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说明：投标供应商应按上述要求将内容填写完整，未提供此承诺的其投标将被拒绝！</w:t>
      </w:r>
    </w:p>
    <w:p w14:paraId="1853A91D">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highlight w:val="none"/>
        </w:rPr>
        <w:br w:type="page"/>
      </w:r>
    </w:p>
    <w:p w14:paraId="55A60DA8">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附件十七</w:t>
      </w:r>
    </w:p>
    <w:p w14:paraId="745C17B0">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p>
    <w:p w14:paraId="1F695A09">
      <w:pPr>
        <w:pStyle w:val="9"/>
        <w:numPr>
          <w:ilvl w:val="0"/>
          <w:numId w:val="0"/>
        </w:numPr>
        <w:overflowPunct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投标人认为有必要提供的声明及文件资料</w:t>
      </w:r>
    </w:p>
    <w:p w14:paraId="76F568BC">
      <w:pPr>
        <w:rPr>
          <w:rFonts w:hint="eastAsia" w:asciiTheme="minorEastAsia" w:hAnsiTheme="minorEastAsia" w:eastAsiaTheme="minorEastAsia" w:cstheme="minorEastAsia"/>
          <w:lang w:val="en-US"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4E5431B1">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32"/>
          <w:szCs w:val="28"/>
          <w:lang w:val="en-US" w:eastAsia="zh-CN" w:bidi="ar-SA"/>
        </w:rPr>
      </w:pPr>
    </w:p>
    <w:p w14:paraId="79804CB3">
      <w:pPr>
        <w:rPr>
          <w:rFonts w:hint="eastAsia" w:asciiTheme="minorEastAsia" w:hAnsiTheme="minorEastAsia" w:eastAsiaTheme="minorEastAsia" w:cstheme="minorEastAsia"/>
          <w:lang w:val="en-US" w:eastAsia="zh-CN"/>
        </w:rPr>
      </w:pPr>
    </w:p>
    <w:p w14:paraId="2EEAB9C8">
      <w:pPr>
        <w:pStyle w:val="9"/>
        <w:numPr>
          <w:ilvl w:val="0"/>
          <w:numId w:val="0"/>
        </w:numPr>
        <w:overflowPunct w:val="0"/>
        <w:snapToGrid w:val="0"/>
        <w:spacing w:line="360" w:lineRule="auto"/>
        <w:jc w:val="both"/>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附件十八</w:t>
      </w:r>
    </w:p>
    <w:p w14:paraId="04447EFF">
      <w:pPr>
        <w:widowControl/>
        <w:adjustRightInd w:val="0"/>
        <w:snapToGrid w:val="0"/>
        <w:spacing w:line="360" w:lineRule="auto"/>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技术方案</w:t>
      </w:r>
    </w:p>
    <w:p w14:paraId="724F5649">
      <w:pPr>
        <w:spacing w:line="440" w:lineRule="exact"/>
        <w:jc w:val="center"/>
        <w:rPr>
          <w:rFonts w:hint="eastAsia" w:asciiTheme="minorEastAsia" w:hAnsiTheme="minorEastAsia" w:eastAsiaTheme="minorEastAsia" w:cstheme="minorEastAsia"/>
          <w:b/>
          <w:bCs/>
          <w:color w:val="auto"/>
          <w:sz w:val="32"/>
          <w:szCs w:val="22"/>
          <w:highlight w:val="none"/>
        </w:rPr>
      </w:pPr>
      <w:r>
        <w:rPr>
          <w:rFonts w:hint="eastAsia" w:asciiTheme="minorEastAsia" w:hAnsiTheme="minorEastAsia" w:eastAsiaTheme="minorEastAsia" w:cstheme="minorEastAsia"/>
          <w:b/>
          <w:bCs/>
          <w:color w:val="auto"/>
          <w:sz w:val="32"/>
          <w:szCs w:val="22"/>
          <w:highlight w:val="none"/>
        </w:rPr>
        <w:t>（根据需要编写，格式自制）</w:t>
      </w:r>
    </w:p>
    <w:p w14:paraId="40AFE915">
      <w:pPr>
        <w:spacing w:line="440" w:lineRule="exact"/>
        <w:ind w:firstLine="480" w:firstLineChars="200"/>
        <w:rPr>
          <w:rFonts w:hint="eastAsia" w:asciiTheme="minorEastAsia" w:hAnsiTheme="minorEastAsia" w:eastAsiaTheme="minorEastAsia" w:cstheme="minorEastAsia"/>
          <w:color w:val="auto"/>
          <w:sz w:val="24"/>
          <w:highlight w:val="none"/>
        </w:rPr>
      </w:pPr>
    </w:p>
    <w:p w14:paraId="6AF411DB">
      <w:pPr>
        <w:spacing w:line="440" w:lineRule="exact"/>
        <w:ind w:firstLine="480" w:firstLineChars="200"/>
        <w:outlineLvl w:val="2"/>
        <w:rPr>
          <w:rFonts w:hint="eastAsia" w:asciiTheme="minorEastAsia" w:hAnsiTheme="minorEastAsia" w:eastAsiaTheme="minorEastAsia" w:cstheme="minorEastAsia"/>
          <w:color w:val="auto"/>
          <w:sz w:val="24"/>
          <w:szCs w:val="24"/>
          <w:highlight w:val="none"/>
        </w:rPr>
      </w:pPr>
      <w:bookmarkStart w:id="635" w:name="_Toc6353"/>
      <w:r>
        <w:rPr>
          <w:rFonts w:hint="eastAsia" w:asciiTheme="minorEastAsia" w:hAnsiTheme="minorEastAsia" w:eastAsiaTheme="minorEastAsia" w:cstheme="minorEastAsia"/>
          <w:color w:val="auto"/>
          <w:sz w:val="24"/>
          <w:szCs w:val="24"/>
          <w:highlight w:val="none"/>
        </w:rPr>
        <w:t>1、 项目</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方案；</w:t>
      </w:r>
      <w:bookmarkEnd w:id="635"/>
    </w:p>
    <w:p w14:paraId="2D94BFC1">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5550DCA9">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068C460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）对本项目背景和工作内容的理解和分析（格式自拟）</w:t>
      </w:r>
    </w:p>
    <w:p w14:paraId="38F34E06">
      <w:pPr>
        <w:spacing w:line="440" w:lineRule="exact"/>
        <w:ind w:left="0" w:leftChars="0" w:firstLine="0" w:firstLineChars="0"/>
        <w:rPr>
          <w:rFonts w:hint="eastAsia" w:asciiTheme="minorEastAsia" w:hAnsiTheme="minorEastAsia" w:eastAsiaTheme="minorEastAsia" w:cstheme="minorEastAsia"/>
          <w:color w:val="auto"/>
          <w:sz w:val="24"/>
          <w:szCs w:val="24"/>
          <w:highlight w:val="none"/>
        </w:rPr>
      </w:pPr>
    </w:p>
    <w:p w14:paraId="6B3FF30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）项目实施和安排计划（格式自拟）</w:t>
      </w:r>
    </w:p>
    <w:p w14:paraId="1B4E1E67">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6B8F870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）拟投入的人员及主要人员的简历，可附表说明；</w:t>
      </w:r>
    </w:p>
    <w:p w14:paraId="6DBF162A">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44137C5B">
      <w:pPr>
        <w:numPr>
          <w:ilvl w:val="0"/>
          <w:numId w:val="0"/>
        </w:numPr>
        <w:spacing w:line="440" w:lineRule="exact"/>
        <w:ind w:leftChars="200" w:right="62"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）其他证明文件复印件。</w:t>
      </w:r>
    </w:p>
    <w:p w14:paraId="312945F5">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2660D08D">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7BE33F0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上述内容仅供参考，如有不足，请自行补充提供。</w:t>
      </w:r>
    </w:p>
    <w:p w14:paraId="70A2D347">
      <w:pPr>
        <w:pStyle w:val="29"/>
        <w:rPr>
          <w:rFonts w:hint="eastAsia" w:asciiTheme="minorEastAsia" w:hAnsiTheme="minorEastAsia" w:eastAsiaTheme="minorEastAsia" w:cstheme="minorEastAsia"/>
          <w:b/>
          <w:bCs w:val="0"/>
          <w:color w:val="auto"/>
          <w:kern w:val="2"/>
          <w:sz w:val="24"/>
          <w:szCs w:val="24"/>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10E945DF">
      <w:pPr>
        <w:jc w:val="both"/>
        <w:rPr>
          <w:rFonts w:hint="eastAsia" w:asciiTheme="minorEastAsia" w:hAnsiTheme="minorEastAsia" w:eastAsiaTheme="minorEastAsia" w:cstheme="minorEastAsia"/>
          <w:b/>
          <w:bCs w:val="0"/>
          <w:color w:val="auto"/>
          <w:kern w:val="2"/>
          <w:sz w:val="24"/>
          <w:szCs w:val="24"/>
          <w:lang w:val="en-US" w:eastAsia="zh-CN" w:bidi="ar-SA"/>
        </w:rPr>
      </w:pPr>
    </w:p>
    <w:p w14:paraId="1D245A4F">
      <w:pPr>
        <w:jc w:val="both"/>
        <w:outlineLvl w:val="1"/>
        <w:rPr>
          <w:rFonts w:hint="eastAsia" w:asciiTheme="minorEastAsia" w:hAnsiTheme="minorEastAsia" w:eastAsiaTheme="minorEastAsia" w:cstheme="minorEastAsia"/>
          <w:b/>
          <w:bCs w:val="0"/>
          <w:color w:val="auto"/>
          <w:kern w:val="2"/>
          <w:sz w:val="24"/>
          <w:szCs w:val="24"/>
          <w:lang w:val="en-US" w:eastAsia="zh-CN" w:bidi="ar-SA"/>
        </w:rPr>
      </w:pPr>
      <w:bookmarkStart w:id="636" w:name="_Toc31589"/>
    </w:p>
    <w:p w14:paraId="3531F62E">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6F328205">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584D39E5">
      <w:pPr>
        <w:pStyle w:val="12"/>
        <w:rPr>
          <w:rFonts w:hint="eastAsia" w:asciiTheme="minorEastAsia" w:hAnsiTheme="minorEastAsia" w:eastAsiaTheme="minorEastAsia" w:cstheme="minorEastAsia"/>
          <w:b/>
          <w:bCs w:val="0"/>
          <w:color w:val="auto"/>
          <w:kern w:val="2"/>
          <w:sz w:val="28"/>
          <w:szCs w:val="24"/>
          <w:lang w:val="en-US" w:eastAsia="zh-CN" w:bidi="ar-SA"/>
        </w:rPr>
      </w:pPr>
    </w:p>
    <w:p w14:paraId="1D60EA44">
      <w:pPr>
        <w:rPr>
          <w:rFonts w:hint="eastAsia" w:asciiTheme="minorEastAsia" w:hAnsiTheme="minorEastAsia" w:eastAsiaTheme="minorEastAsia" w:cstheme="minorEastAsia"/>
          <w:b/>
          <w:bCs w:val="0"/>
          <w:color w:val="auto"/>
          <w:kern w:val="2"/>
          <w:sz w:val="28"/>
          <w:szCs w:val="24"/>
          <w:lang w:val="en-US" w:eastAsia="zh-CN" w:bidi="ar-SA"/>
        </w:rPr>
      </w:pPr>
    </w:p>
    <w:p w14:paraId="3D14A470">
      <w:pPr>
        <w:pStyle w:val="12"/>
        <w:rPr>
          <w:rFonts w:hint="eastAsia"/>
          <w:lang w:val="en-US" w:eastAsia="zh-CN"/>
        </w:rPr>
      </w:pPr>
    </w:p>
    <w:p w14:paraId="107107C2">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7531F4E4">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 xml:space="preserve">附件十九    </w:t>
      </w:r>
    </w:p>
    <w:p w14:paraId="369E54F0">
      <w:pPr>
        <w:jc w:val="center"/>
        <w:outlineLvl w:val="1"/>
        <w:rPr>
          <w:rStyle w:val="69"/>
          <w:rFonts w:hint="eastAsia" w:ascii="宋体" w:hAnsi="宋体" w:eastAsia="宋体" w:cs="宋体"/>
          <w:b/>
          <w:bCs/>
          <w:sz w:val="24"/>
          <w:szCs w:val="24"/>
        </w:rPr>
      </w:pPr>
      <w:r>
        <w:rPr>
          <w:rStyle w:val="69"/>
          <w:rFonts w:hint="eastAsia" w:ascii="宋体" w:hAnsi="宋体" w:eastAsia="宋体" w:cs="宋体"/>
          <w:b/>
          <w:bCs/>
          <w:sz w:val="24"/>
          <w:szCs w:val="24"/>
        </w:rPr>
        <w:t>技术规范偏离表</w:t>
      </w:r>
    </w:p>
    <w:p w14:paraId="64A38CBC">
      <w:pPr>
        <w:pStyle w:val="39"/>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 xml:space="preserve">：                     </w:t>
      </w:r>
    </w:p>
    <w:tbl>
      <w:tblPr>
        <w:tblStyle w:val="30"/>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66"/>
        <w:gridCol w:w="840"/>
        <w:gridCol w:w="840"/>
        <w:gridCol w:w="1891"/>
        <w:gridCol w:w="1337"/>
        <w:gridCol w:w="1337"/>
        <w:gridCol w:w="977"/>
      </w:tblGrid>
      <w:tr w14:paraId="06FF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7" w:type="dxa"/>
            <w:tcBorders>
              <w:top w:val="single" w:color="auto" w:sz="12" w:space="0"/>
              <w:left w:val="single" w:color="auto" w:sz="12" w:space="0"/>
              <w:bottom w:val="single" w:color="auto" w:sz="4" w:space="0"/>
              <w:right w:val="single" w:color="auto" w:sz="4" w:space="0"/>
            </w:tcBorders>
            <w:noWrap w:val="0"/>
            <w:vAlign w:val="center"/>
          </w:tcPr>
          <w:p w14:paraId="138E1D5B">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序号</w:t>
            </w:r>
          </w:p>
        </w:tc>
        <w:tc>
          <w:tcPr>
            <w:tcW w:w="2266" w:type="dxa"/>
            <w:tcBorders>
              <w:top w:val="single" w:color="auto" w:sz="12" w:space="0"/>
              <w:left w:val="single" w:color="auto" w:sz="4" w:space="0"/>
              <w:bottom w:val="single" w:color="auto" w:sz="4" w:space="0"/>
              <w:right w:val="single" w:color="auto" w:sz="4" w:space="0"/>
            </w:tcBorders>
            <w:noWrap w:val="0"/>
            <w:vAlign w:val="center"/>
          </w:tcPr>
          <w:p w14:paraId="2F11E305">
            <w:pPr>
              <w:pStyle w:val="39"/>
              <w:spacing w:line="24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货物名称</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078A64A8">
            <w:pPr>
              <w:pStyle w:val="39"/>
              <w:spacing w:line="24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单位</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5D5E0440">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数量</w:t>
            </w:r>
          </w:p>
        </w:tc>
        <w:tc>
          <w:tcPr>
            <w:tcW w:w="1891" w:type="dxa"/>
            <w:tcBorders>
              <w:top w:val="single" w:color="auto" w:sz="12" w:space="0"/>
              <w:left w:val="single" w:color="auto" w:sz="4" w:space="0"/>
              <w:bottom w:val="single" w:color="auto" w:sz="4" w:space="0"/>
              <w:right w:val="single" w:color="auto" w:sz="4" w:space="0"/>
            </w:tcBorders>
            <w:noWrap w:val="0"/>
            <w:vAlign w:val="center"/>
          </w:tcPr>
          <w:p w14:paraId="72A9C5B8">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招标文件技术规范、要求</w:t>
            </w:r>
          </w:p>
        </w:tc>
        <w:tc>
          <w:tcPr>
            <w:tcW w:w="1337" w:type="dxa"/>
            <w:tcBorders>
              <w:top w:val="single" w:color="auto" w:sz="12" w:space="0"/>
              <w:left w:val="single" w:color="auto" w:sz="4" w:space="0"/>
              <w:bottom w:val="single" w:color="auto" w:sz="4" w:space="0"/>
              <w:right w:val="single" w:color="auto" w:sz="4" w:space="0"/>
            </w:tcBorders>
            <w:noWrap w:val="0"/>
            <w:vAlign w:val="center"/>
          </w:tcPr>
          <w:p w14:paraId="51AA7637">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投标文件对应规范</w:t>
            </w:r>
          </w:p>
        </w:tc>
        <w:tc>
          <w:tcPr>
            <w:tcW w:w="1337" w:type="dxa"/>
            <w:tcBorders>
              <w:top w:val="single" w:color="auto" w:sz="12" w:space="0"/>
              <w:left w:val="single" w:color="auto" w:sz="4" w:space="0"/>
              <w:bottom w:val="single" w:color="auto" w:sz="4" w:space="0"/>
              <w:right w:val="single" w:color="auto" w:sz="4" w:space="0"/>
            </w:tcBorders>
            <w:noWrap w:val="0"/>
            <w:vAlign w:val="center"/>
          </w:tcPr>
          <w:p w14:paraId="3D479874">
            <w:pPr>
              <w:pStyle w:val="39"/>
              <w:spacing w:line="240" w:lineRule="auto"/>
              <w:ind w:firstLine="240" w:firstLineChars="1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偏离</w:t>
            </w:r>
          </w:p>
        </w:tc>
        <w:tc>
          <w:tcPr>
            <w:tcW w:w="977" w:type="dxa"/>
            <w:tcBorders>
              <w:top w:val="single" w:color="auto" w:sz="12" w:space="0"/>
              <w:left w:val="single" w:color="auto" w:sz="4" w:space="0"/>
              <w:bottom w:val="single" w:color="auto" w:sz="4" w:space="0"/>
              <w:right w:val="single" w:color="auto" w:sz="12" w:space="0"/>
            </w:tcBorders>
            <w:noWrap w:val="0"/>
            <w:vAlign w:val="center"/>
          </w:tcPr>
          <w:p w14:paraId="32688BC0">
            <w:pPr>
              <w:pStyle w:val="39"/>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r>
      <w:tr w14:paraId="462E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32D4DC71">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454DD4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8A3348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7A5AA3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6135FEE7">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8A754A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300D354">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2A3E60E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6D21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557FD5E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C7F381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934AFB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0344E6C">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282605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67C453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BD75D2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2615BF8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7A22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5AC6BD3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D09E4D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55706E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ADD5DE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5FA856B">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15D7A7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40930B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4A3BA0A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579E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7FDDE289">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25F73C6">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6CD215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C0C715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22E7F65B">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4E23F7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50A0BF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2B27D43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6A11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7309BAA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582F0956">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4C2CD2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FB8921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88E0C5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0B5E23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1B8BB944">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5A4BDD7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6955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668988C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7BCDEB5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21CEDD62">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4B7FD0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11C5D2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39E08F93">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3B3F277">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4E87EFA1">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4B13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4" w:space="0"/>
              <w:right w:val="single" w:color="auto" w:sz="4" w:space="0"/>
            </w:tcBorders>
            <w:noWrap w:val="0"/>
            <w:vAlign w:val="center"/>
          </w:tcPr>
          <w:p w14:paraId="465AD89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F12CD5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03302FA">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C45320C">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51C888D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75FC23C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8076B38">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4" w:space="0"/>
              <w:right w:val="single" w:color="auto" w:sz="12" w:space="0"/>
            </w:tcBorders>
            <w:noWrap w:val="0"/>
            <w:vAlign w:val="center"/>
          </w:tcPr>
          <w:p w14:paraId="3B4E83D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r w14:paraId="3A43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7" w:type="dxa"/>
            <w:tcBorders>
              <w:top w:val="single" w:color="auto" w:sz="4" w:space="0"/>
              <w:left w:val="single" w:color="auto" w:sz="12" w:space="0"/>
              <w:bottom w:val="single" w:color="auto" w:sz="12" w:space="0"/>
              <w:right w:val="single" w:color="auto" w:sz="4" w:space="0"/>
            </w:tcBorders>
            <w:noWrap w:val="0"/>
            <w:vAlign w:val="center"/>
          </w:tcPr>
          <w:p w14:paraId="3C64367E">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2266" w:type="dxa"/>
            <w:tcBorders>
              <w:top w:val="single" w:color="auto" w:sz="4" w:space="0"/>
              <w:left w:val="single" w:color="auto" w:sz="4" w:space="0"/>
              <w:bottom w:val="single" w:color="auto" w:sz="12" w:space="0"/>
              <w:right w:val="single" w:color="auto" w:sz="4" w:space="0"/>
            </w:tcBorders>
            <w:noWrap w:val="0"/>
            <w:vAlign w:val="center"/>
          </w:tcPr>
          <w:p w14:paraId="6B2CA65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12" w:space="0"/>
              <w:right w:val="single" w:color="auto" w:sz="4" w:space="0"/>
            </w:tcBorders>
            <w:noWrap w:val="0"/>
            <w:vAlign w:val="center"/>
          </w:tcPr>
          <w:p w14:paraId="77391275">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840" w:type="dxa"/>
            <w:tcBorders>
              <w:top w:val="single" w:color="auto" w:sz="4" w:space="0"/>
              <w:left w:val="single" w:color="auto" w:sz="4" w:space="0"/>
              <w:bottom w:val="single" w:color="auto" w:sz="12" w:space="0"/>
              <w:right w:val="single" w:color="auto" w:sz="4" w:space="0"/>
            </w:tcBorders>
            <w:noWrap w:val="0"/>
            <w:vAlign w:val="center"/>
          </w:tcPr>
          <w:p w14:paraId="1C5CA24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891" w:type="dxa"/>
            <w:tcBorders>
              <w:top w:val="single" w:color="auto" w:sz="4" w:space="0"/>
              <w:left w:val="single" w:color="auto" w:sz="4" w:space="0"/>
              <w:bottom w:val="single" w:color="auto" w:sz="12" w:space="0"/>
              <w:right w:val="single" w:color="auto" w:sz="4" w:space="0"/>
            </w:tcBorders>
            <w:noWrap w:val="0"/>
            <w:vAlign w:val="center"/>
          </w:tcPr>
          <w:p w14:paraId="49D844C0">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12" w:space="0"/>
              <w:right w:val="single" w:color="auto" w:sz="4" w:space="0"/>
            </w:tcBorders>
            <w:noWrap w:val="0"/>
            <w:vAlign w:val="center"/>
          </w:tcPr>
          <w:p w14:paraId="45B1C10D">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1337" w:type="dxa"/>
            <w:tcBorders>
              <w:top w:val="single" w:color="auto" w:sz="4" w:space="0"/>
              <w:left w:val="single" w:color="auto" w:sz="4" w:space="0"/>
              <w:bottom w:val="single" w:color="auto" w:sz="12" w:space="0"/>
              <w:right w:val="single" w:color="auto" w:sz="4" w:space="0"/>
            </w:tcBorders>
            <w:noWrap w:val="0"/>
            <w:vAlign w:val="center"/>
          </w:tcPr>
          <w:p w14:paraId="76578FF4">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c>
          <w:tcPr>
            <w:tcW w:w="977" w:type="dxa"/>
            <w:tcBorders>
              <w:top w:val="single" w:color="auto" w:sz="4" w:space="0"/>
              <w:left w:val="single" w:color="auto" w:sz="4" w:space="0"/>
              <w:bottom w:val="single" w:color="auto" w:sz="12" w:space="0"/>
              <w:right w:val="single" w:color="auto" w:sz="12" w:space="0"/>
            </w:tcBorders>
            <w:noWrap w:val="0"/>
            <w:vAlign w:val="center"/>
          </w:tcPr>
          <w:p w14:paraId="75DAB26F">
            <w:pPr>
              <w:pStyle w:val="39"/>
              <w:spacing w:line="240" w:lineRule="auto"/>
              <w:ind w:firstLine="480" w:firstLineChars="200"/>
              <w:rPr>
                <w:rFonts w:hint="eastAsia" w:ascii="宋体" w:hAnsi="宋体" w:eastAsia="宋体" w:cs="宋体"/>
                <w:color w:val="000000"/>
                <w:sz w:val="24"/>
                <w:szCs w:val="24"/>
                <w:highlight w:val="none"/>
                <w:lang w:val="en-US" w:eastAsia="zh-CN"/>
              </w:rPr>
            </w:pPr>
          </w:p>
        </w:tc>
      </w:tr>
    </w:tbl>
    <w:p w14:paraId="77E4A547">
      <w:pPr>
        <w:pStyle w:val="39"/>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如投标人提交的服务技术规范与招标文件的要求存在偏离，需逐项填写《技术规范偏离表》。</w:t>
      </w:r>
    </w:p>
    <w:p w14:paraId="29859920">
      <w:pPr>
        <w:pStyle w:val="39"/>
        <w:spacing w:line="24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2、如果投标人在投标文件中未对文件中的技术条款提出偏离意见的视同投标人完全响应招标文件的全部采购要求。</w:t>
      </w:r>
    </w:p>
    <w:p w14:paraId="078C50DB">
      <w:pPr>
        <w:pStyle w:val="39"/>
        <w:spacing w:line="240" w:lineRule="auto"/>
        <w:ind w:firstLine="480" w:firstLineChars="200"/>
        <w:rPr>
          <w:rFonts w:hint="eastAsia" w:ascii="宋体" w:hAnsi="宋体" w:eastAsia="宋体" w:cs="宋体"/>
          <w:color w:val="000000"/>
          <w:sz w:val="24"/>
          <w:szCs w:val="24"/>
          <w:highlight w:val="none"/>
        </w:rPr>
      </w:pPr>
    </w:p>
    <w:p w14:paraId="52C18016">
      <w:pPr>
        <w:spacing w:line="440" w:lineRule="exact"/>
        <w:ind w:firstLine="3840" w:firstLineChars="1600"/>
        <w:rPr>
          <w:rFonts w:hint="eastAsia" w:ascii="宋体" w:hAnsi="宋体" w:eastAsia="宋体" w:cs="宋体"/>
          <w:sz w:val="24"/>
          <w:szCs w:val="24"/>
        </w:rPr>
      </w:pPr>
    </w:p>
    <w:p w14:paraId="7656CA91">
      <w:pPr>
        <w:spacing w:line="440" w:lineRule="exact"/>
        <w:ind w:firstLine="3840" w:firstLineChars="1600"/>
        <w:rPr>
          <w:rFonts w:hint="eastAsia" w:ascii="宋体" w:hAnsi="宋体" w:eastAsia="宋体" w:cs="宋体"/>
          <w:sz w:val="24"/>
          <w:szCs w:val="24"/>
        </w:rPr>
      </w:pPr>
    </w:p>
    <w:p w14:paraId="143E7030">
      <w:pPr>
        <w:spacing w:line="440" w:lineRule="exact"/>
        <w:ind w:firstLine="3840" w:firstLineChars="1600"/>
        <w:rPr>
          <w:rFonts w:hint="eastAsia" w:ascii="宋体" w:hAnsi="宋体" w:eastAsia="宋体" w:cs="宋体"/>
          <w:sz w:val="24"/>
          <w:szCs w:val="24"/>
        </w:rPr>
      </w:pPr>
    </w:p>
    <w:p w14:paraId="1C08AFDA">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lang w:eastAsia="zh-CN"/>
        </w:rPr>
        <w:t>盖章</w:t>
      </w:r>
      <w:r>
        <w:rPr>
          <w:rFonts w:hint="eastAsia" w:ascii="宋体" w:hAnsi="宋体" w:eastAsia="宋体" w:cs="宋体"/>
          <w:sz w:val="24"/>
          <w:szCs w:val="24"/>
        </w:rPr>
        <w:t>）：</w:t>
      </w:r>
    </w:p>
    <w:p w14:paraId="1C8ABCE5">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签字或盖章</w:t>
      </w:r>
      <w:r>
        <w:rPr>
          <w:rFonts w:hint="eastAsia" w:ascii="宋体" w:hAnsi="宋体" w:eastAsia="宋体" w:cs="宋体"/>
          <w:sz w:val="24"/>
          <w:szCs w:val="24"/>
        </w:rPr>
        <w:t>）：</w:t>
      </w:r>
    </w:p>
    <w:p w14:paraId="56438036">
      <w:pPr>
        <w:pStyle w:val="29"/>
        <w:ind w:firstLine="4320" w:firstLineChars="1600"/>
        <w:rPr>
          <w:rFonts w:hint="eastAsia" w:ascii="宋体" w:hAnsi="宋体" w:eastAsia="宋体" w:cs="宋体"/>
          <w:color w:val="000000"/>
          <w:sz w:val="24"/>
          <w:szCs w:val="24"/>
          <w:highlight w:val="none"/>
        </w:rPr>
      </w:pPr>
      <w:r>
        <w:rPr>
          <w:rFonts w:hint="eastAsia" w:ascii="宋体" w:hAnsi="宋体" w:eastAsia="宋体" w:cs="宋体"/>
          <w:sz w:val="24"/>
          <w:szCs w:val="24"/>
          <w:lang w:eastAsia="zh-CN"/>
        </w:rPr>
        <w:t>日期</w:t>
      </w:r>
      <w:r>
        <w:rPr>
          <w:rFonts w:hint="eastAsia" w:ascii="宋体" w:hAnsi="宋体" w:eastAsia="宋体" w:cs="宋体"/>
          <w:sz w:val="24"/>
          <w:szCs w:val="24"/>
          <w:lang w:val="en-US" w:eastAsia="zh-CN"/>
        </w:rPr>
        <w:t>:     年  月  日</w:t>
      </w:r>
    </w:p>
    <w:p w14:paraId="52166075">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3414DBE6">
      <w:pPr>
        <w:jc w:val="both"/>
        <w:outlineLvl w:val="1"/>
        <w:rPr>
          <w:rFonts w:hint="eastAsia" w:asciiTheme="minorEastAsia" w:hAnsiTheme="minorEastAsia" w:eastAsiaTheme="minorEastAsia" w:cstheme="minorEastAsia"/>
          <w:b/>
          <w:bCs w:val="0"/>
          <w:color w:val="auto"/>
          <w:kern w:val="2"/>
          <w:sz w:val="28"/>
          <w:szCs w:val="24"/>
          <w:lang w:val="en-US" w:eastAsia="zh-CN" w:bidi="ar-SA"/>
        </w:rPr>
      </w:pPr>
    </w:p>
    <w:p w14:paraId="65D17171">
      <w:pPr>
        <w:jc w:val="both"/>
        <w:outlineLvl w:val="1"/>
        <w:rPr>
          <w:rFonts w:hint="default" w:asciiTheme="minorEastAsia" w:hAnsiTheme="minorEastAsia" w:eastAsiaTheme="minorEastAsia" w:cstheme="minorEastAsia"/>
          <w:b/>
          <w:bCs w:val="0"/>
          <w:color w:val="auto"/>
          <w:kern w:val="2"/>
          <w:sz w:val="28"/>
          <w:szCs w:val="24"/>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w:t>
      </w:r>
      <w:bookmarkEnd w:id="636"/>
      <w:r>
        <w:rPr>
          <w:rFonts w:hint="eastAsia" w:asciiTheme="minorEastAsia" w:hAnsiTheme="minorEastAsia" w:eastAsiaTheme="minorEastAsia" w:cstheme="minorEastAsia"/>
          <w:b/>
          <w:bCs w:val="0"/>
          <w:color w:val="auto"/>
          <w:kern w:val="2"/>
          <w:sz w:val="28"/>
          <w:szCs w:val="24"/>
          <w:lang w:val="en-US" w:eastAsia="zh-CN" w:bidi="ar-SA"/>
        </w:rPr>
        <w:t>二十</w:t>
      </w:r>
    </w:p>
    <w:p w14:paraId="1974B44C">
      <w:pPr>
        <w:jc w:val="center"/>
        <w:rPr>
          <w:rFonts w:hint="eastAsia" w:asciiTheme="minorEastAsia" w:hAnsiTheme="minorEastAsia" w:eastAsiaTheme="minorEastAsia" w:cstheme="minorEastAsia"/>
          <w:b/>
          <w:bCs w:val="0"/>
          <w:color w:val="auto"/>
          <w:kern w:val="2"/>
          <w:sz w:val="32"/>
          <w:szCs w:val="28"/>
          <w:lang w:val="en-US" w:eastAsia="zh-CN" w:bidi="ar-SA"/>
        </w:rPr>
      </w:pPr>
    </w:p>
    <w:p w14:paraId="01531631">
      <w:pPr>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服务承诺书</w:t>
      </w:r>
    </w:p>
    <w:p w14:paraId="4020425F">
      <w:pPr>
        <w:jc w:val="center"/>
        <w:rPr>
          <w:rFonts w:hint="eastAsia" w:asciiTheme="minorEastAsia" w:hAnsiTheme="minorEastAsia" w:eastAsiaTheme="minorEastAsia" w:cstheme="minorEastAsia"/>
          <w:b/>
          <w:bCs w:val="0"/>
          <w:color w:val="auto"/>
          <w:kern w:val="2"/>
          <w:sz w:val="32"/>
          <w:szCs w:val="28"/>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Theme="minorEastAsia" w:hAnsiTheme="minorEastAsia" w:eastAsiaTheme="minorEastAsia" w:cstheme="minorEastAsia"/>
          <w:b/>
          <w:bCs w:val="0"/>
          <w:color w:val="auto"/>
          <w:kern w:val="2"/>
          <w:sz w:val="32"/>
          <w:szCs w:val="28"/>
          <w:lang w:val="en-US" w:eastAsia="zh-CN" w:bidi="ar-SA"/>
        </w:rPr>
        <w:t>根据本项目的情况，给出服务承诺；格式自拟。</w:t>
      </w:r>
    </w:p>
    <w:p w14:paraId="024DD47D">
      <w:pPr>
        <w:jc w:val="both"/>
        <w:outlineLvl w:val="1"/>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28"/>
          <w:szCs w:val="24"/>
          <w:lang w:val="en-US" w:eastAsia="zh-CN" w:bidi="ar-SA"/>
        </w:rPr>
        <w:t>附件二十一</w:t>
      </w:r>
    </w:p>
    <w:p w14:paraId="4CA96B72">
      <w:pPr>
        <w:jc w:val="center"/>
        <w:rPr>
          <w:rFonts w:hint="eastAsia" w:asciiTheme="minorEastAsia" w:hAnsiTheme="minorEastAsia" w:eastAsiaTheme="minorEastAsia" w:cstheme="minorEastAsia"/>
          <w:b/>
          <w:bCs w:val="0"/>
          <w:color w:val="auto"/>
          <w:kern w:val="2"/>
          <w:sz w:val="32"/>
          <w:szCs w:val="28"/>
          <w:lang w:val="en-US" w:eastAsia="zh-CN" w:bidi="ar-SA"/>
        </w:rPr>
      </w:pPr>
      <w:r>
        <w:rPr>
          <w:rFonts w:hint="eastAsia" w:asciiTheme="minorEastAsia" w:hAnsiTheme="minorEastAsia" w:eastAsiaTheme="minorEastAsia" w:cstheme="minorEastAsia"/>
          <w:b/>
          <w:bCs w:val="0"/>
          <w:color w:val="auto"/>
          <w:kern w:val="2"/>
          <w:sz w:val="32"/>
          <w:szCs w:val="28"/>
          <w:lang w:val="en-US" w:eastAsia="zh-CN" w:bidi="ar-SA"/>
        </w:rPr>
        <w:t>分包协议书</w:t>
      </w:r>
    </w:p>
    <w:p w14:paraId="467A5978">
      <w:pPr>
        <w:spacing w:line="360" w:lineRule="auto"/>
        <w:rPr>
          <w:rFonts w:ascii="宋体" w:hAnsi="宋体"/>
          <w:kern w:val="10"/>
          <w:szCs w:val="21"/>
        </w:rPr>
      </w:pPr>
    </w:p>
    <w:p w14:paraId="148BA8ED">
      <w:pPr>
        <w:spacing w:line="360" w:lineRule="auto"/>
        <w:rPr>
          <w:rFonts w:hint="eastAsia" w:ascii="宋体" w:hAnsi="宋体" w:eastAsia="宋体" w:cs="宋体"/>
          <w:sz w:val="24"/>
          <w:szCs w:val="24"/>
          <w:u w:val="single"/>
        </w:rPr>
      </w:pPr>
      <w:r>
        <w:rPr>
          <w:rFonts w:hint="eastAsia" w:ascii="宋体" w:hAnsi="宋体" w:eastAsia="宋体" w:cs="宋体"/>
          <w:kern w:val="10"/>
          <w:sz w:val="24"/>
          <w:szCs w:val="24"/>
        </w:rPr>
        <w:t>立约方：</w:t>
      </w:r>
      <w:r>
        <w:rPr>
          <w:rFonts w:hint="eastAsia" w:ascii="宋体" w:hAnsi="宋体" w:eastAsia="宋体" w:cs="宋体"/>
          <w:sz w:val="24"/>
          <w:szCs w:val="24"/>
          <w:u w:val="single"/>
        </w:rPr>
        <w:t>（甲公司全称）</w:t>
      </w:r>
    </w:p>
    <w:p w14:paraId="6F13798B">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u w:val="single"/>
        </w:rPr>
        <w:t>（乙公司全称）</w:t>
      </w:r>
    </w:p>
    <w:p w14:paraId="48CB22B2">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u w:val="single"/>
        </w:rPr>
        <w:t>（……公司全称）</w:t>
      </w:r>
    </w:p>
    <w:p w14:paraId="4ACBDBC7">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u w:val="single"/>
        </w:rPr>
        <w:t>（甲公司全称）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（乙公司全称）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（……公司全称）</w:t>
      </w:r>
      <w:r>
        <w:rPr>
          <w:rFonts w:hint="eastAsia" w:ascii="宋体" w:hAnsi="宋体" w:eastAsia="宋体" w:cs="宋体"/>
          <w:kern w:val="0"/>
          <w:sz w:val="24"/>
          <w:szCs w:val="24"/>
        </w:rPr>
        <w:t>自愿达成分包意向，参加</w:t>
      </w:r>
      <w:r>
        <w:rPr>
          <w:rFonts w:hint="eastAsia" w:ascii="宋体" w:hAnsi="宋体" w:eastAsia="宋体" w:cs="宋体"/>
          <w:kern w:val="0"/>
          <w:sz w:val="24"/>
          <w:szCs w:val="24"/>
          <w:u w:val="single"/>
        </w:rPr>
        <w:t>（采购项目名称）</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（采购项目编号）</w:t>
      </w:r>
      <w:r>
        <w:rPr>
          <w:rFonts w:hint="eastAsia" w:ascii="宋体" w:hAnsi="宋体" w:eastAsia="宋体" w:cs="宋体"/>
          <w:kern w:val="0"/>
          <w:sz w:val="24"/>
          <w:szCs w:val="24"/>
        </w:rPr>
        <w:t>的响应活动。</w:t>
      </w:r>
      <w:r>
        <w:rPr>
          <w:rFonts w:hint="eastAsia" w:ascii="宋体" w:hAnsi="宋体" w:eastAsia="宋体" w:cs="宋体"/>
          <w:sz w:val="24"/>
          <w:szCs w:val="24"/>
        </w:rPr>
        <w:t>经各方充分协商一致，就</w:t>
      </w:r>
      <w:r>
        <w:rPr>
          <w:rFonts w:hint="eastAsia" w:ascii="宋体" w:hAnsi="宋体" w:eastAsia="宋体" w:cs="宋体"/>
          <w:kern w:val="10"/>
          <w:sz w:val="24"/>
          <w:szCs w:val="24"/>
        </w:rPr>
        <w:t>项目的响应和合同实施阶段的有关事务协商一致</w:t>
      </w:r>
      <w:r>
        <w:rPr>
          <w:rFonts w:hint="eastAsia" w:ascii="宋体" w:hAnsi="宋体" w:eastAsia="宋体" w:cs="宋体"/>
          <w:kern w:val="0"/>
          <w:sz w:val="24"/>
          <w:szCs w:val="24"/>
        </w:rPr>
        <w:t>订立意向如下</w:t>
      </w:r>
      <w:r>
        <w:rPr>
          <w:rFonts w:hint="eastAsia" w:ascii="宋体" w:hAnsi="宋体" w:eastAsia="宋体" w:cs="宋体"/>
          <w:sz w:val="24"/>
          <w:szCs w:val="24"/>
        </w:rPr>
        <w:t>：</w:t>
      </w:r>
    </w:p>
    <w:p w14:paraId="278D02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一、分包意向各方关系</w:t>
      </w:r>
    </w:p>
    <w:p w14:paraId="7A828141">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u w:val="single"/>
        </w:rPr>
        <w:t>（甲公司全称）为投标方</w:t>
      </w:r>
      <w:r>
        <w:rPr>
          <w:rFonts w:hint="eastAsia" w:ascii="宋体" w:hAnsi="宋体" w:eastAsia="宋体" w:cs="宋体"/>
          <w:kern w:val="0"/>
          <w:sz w:val="24"/>
          <w:szCs w:val="24"/>
        </w:rPr>
        <w:t>、</w:t>
      </w:r>
      <w:r>
        <w:rPr>
          <w:rFonts w:hint="eastAsia" w:ascii="宋体" w:hAnsi="宋体" w:eastAsia="宋体" w:cs="宋体"/>
          <w:kern w:val="0"/>
          <w:sz w:val="24"/>
          <w:szCs w:val="24"/>
          <w:u w:val="single"/>
        </w:rPr>
        <w:t>（乙公司全称）</w:t>
      </w:r>
      <w:r>
        <w:rPr>
          <w:rFonts w:hint="eastAsia" w:ascii="宋体" w:hAnsi="宋体" w:eastAsia="宋体" w:cs="宋体"/>
          <w:kern w:val="0"/>
          <w:sz w:val="24"/>
          <w:szCs w:val="24"/>
        </w:rPr>
        <w:t>、</w:t>
      </w:r>
      <w:r>
        <w:rPr>
          <w:rFonts w:hint="eastAsia" w:ascii="宋体" w:hAnsi="宋体" w:eastAsia="宋体" w:cs="宋体"/>
          <w:kern w:val="0"/>
          <w:sz w:val="24"/>
          <w:szCs w:val="24"/>
          <w:u w:val="single"/>
        </w:rPr>
        <w:t>（……公司全称）</w:t>
      </w:r>
      <w:r>
        <w:rPr>
          <w:rFonts w:hint="eastAsia" w:ascii="宋体" w:hAnsi="宋体" w:eastAsia="宋体" w:cs="宋体"/>
          <w:sz w:val="24"/>
          <w:szCs w:val="24"/>
        </w:rPr>
        <w:t>为分包意向供应商，</w:t>
      </w:r>
      <w:r>
        <w:rPr>
          <w:rFonts w:hint="eastAsia" w:ascii="宋体" w:hAnsi="宋体" w:eastAsia="宋体" w:cs="宋体"/>
          <w:kern w:val="0"/>
          <w:sz w:val="24"/>
          <w:szCs w:val="24"/>
          <w:u w:val="single"/>
        </w:rPr>
        <w:t>（甲公司全称）</w:t>
      </w:r>
      <w:r>
        <w:rPr>
          <w:rFonts w:hint="eastAsia" w:ascii="宋体" w:hAnsi="宋体" w:eastAsia="宋体" w:cs="宋体"/>
          <w:sz w:val="24"/>
          <w:szCs w:val="24"/>
        </w:rPr>
        <w:t>以投标供应商的身份参加本项目的</w:t>
      </w:r>
      <w:r>
        <w:rPr>
          <w:rFonts w:hint="eastAsia" w:ascii="宋体" w:hAnsi="宋体" w:eastAsia="宋体" w:cs="宋体"/>
          <w:kern w:val="0"/>
          <w:sz w:val="24"/>
          <w:szCs w:val="24"/>
        </w:rPr>
        <w:t>响应</w:t>
      </w:r>
      <w:r>
        <w:rPr>
          <w:rFonts w:hint="eastAsia" w:ascii="宋体" w:hAnsi="宋体" w:eastAsia="宋体" w:cs="宋体"/>
          <w:sz w:val="24"/>
          <w:szCs w:val="24"/>
        </w:rPr>
        <w:t>。若中标，</w:t>
      </w:r>
      <w:r>
        <w:rPr>
          <w:rFonts w:hint="eastAsia" w:ascii="宋体" w:hAnsi="宋体" w:eastAsia="宋体" w:cs="宋体"/>
          <w:kern w:val="0"/>
          <w:sz w:val="24"/>
          <w:szCs w:val="24"/>
          <w:u w:val="single"/>
        </w:rPr>
        <w:t>（甲公司全称）与</w:t>
      </w:r>
      <w:r>
        <w:rPr>
          <w:rFonts w:hint="eastAsia" w:ascii="宋体" w:hAnsi="宋体" w:eastAsia="宋体" w:cs="宋体"/>
          <w:sz w:val="24"/>
          <w:szCs w:val="24"/>
          <w:u w:val="single"/>
        </w:rPr>
        <w:t>采购人</w:t>
      </w:r>
      <w:r>
        <w:rPr>
          <w:rFonts w:hint="eastAsia" w:ascii="宋体" w:hAnsi="宋体" w:eastAsia="宋体" w:cs="宋体"/>
          <w:sz w:val="24"/>
          <w:szCs w:val="24"/>
        </w:rPr>
        <w:t>签订政府采购合同。承接分包意向的各供应商与</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sz w:val="24"/>
          <w:szCs w:val="24"/>
        </w:rPr>
        <w:t>签订分包合同。</w:t>
      </w:r>
      <w:r>
        <w:rPr>
          <w:rFonts w:hint="eastAsia" w:ascii="宋体" w:hAnsi="宋体" w:eastAsia="宋体" w:cs="宋体"/>
          <w:kern w:val="0"/>
          <w:sz w:val="24"/>
          <w:szCs w:val="24"/>
          <w:u w:val="single"/>
        </w:rPr>
        <w:t>（甲公司全称）</w:t>
      </w:r>
      <w:r>
        <w:rPr>
          <w:rFonts w:hint="eastAsia" w:ascii="宋体" w:hAnsi="宋体" w:eastAsia="宋体" w:cs="宋体"/>
          <w:sz w:val="24"/>
          <w:szCs w:val="24"/>
        </w:rPr>
        <w:t>就采购项目和分包项目向采购人负责，分包供应商就分包项目承担责任。</w:t>
      </w:r>
    </w:p>
    <w:p w14:paraId="38C95D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二、有关事项约定如下：</w:t>
      </w:r>
    </w:p>
    <w:p w14:paraId="1F5D43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1.如中标，分包供应商分别与</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sz w:val="24"/>
          <w:szCs w:val="24"/>
        </w:rPr>
        <w:t>签订合同书，并就中标项目分包部分向采购人负责有连带的和各自的法律责任；</w:t>
      </w:r>
    </w:p>
    <w:p w14:paraId="315F9F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2.分包意向供应商1</w:t>
      </w:r>
      <w:r>
        <w:rPr>
          <w:rFonts w:hint="eastAsia" w:ascii="宋体" w:hAnsi="宋体" w:eastAsia="宋体" w:cs="宋体"/>
          <w:sz w:val="24"/>
          <w:szCs w:val="24"/>
          <w:u w:val="single"/>
        </w:rPr>
        <w:t>　（公司全称）　</w:t>
      </w:r>
      <w:r>
        <w:rPr>
          <w:rFonts w:hint="eastAsia" w:ascii="宋体" w:hAnsi="宋体" w:eastAsia="宋体" w:cs="宋体"/>
          <w:sz w:val="24"/>
          <w:szCs w:val="24"/>
        </w:rPr>
        <w:t>为</w:t>
      </w:r>
      <w:r>
        <w:rPr>
          <w:rFonts w:hint="eastAsia" w:ascii="宋体" w:hAnsi="宋体" w:eastAsia="宋体" w:cs="宋体"/>
          <w:sz w:val="24"/>
          <w:szCs w:val="24"/>
          <w:u w:val="single"/>
        </w:rPr>
        <w:t>（请填写：大型、中型、小型、微型）</w:t>
      </w:r>
      <w:r>
        <w:rPr>
          <w:rFonts w:hint="eastAsia" w:ascii="宋体" w:hAnsi="宋体" w:eastAsia="宋体" w:cs="宋体"/>
          <w:sz w:val="24"/>
          <w:szCs w:val="24"/>
        </w:rPr>
        <w:t>企业，将承担适宜分包部分</w:t>
      </w:r>
      <w:r>
        <w:rPr>
          <w:rFonts w:hint="eastAsia" w:ascii="宋体" w:hAnsi="宋体" w:eastAsia="宋体" w:cs="宋体"/>
          <w:sz w:val="24"/>
          <w:szCs w:val="24"/>
          <w:u w:val="single"/>
        </w:rPr>
        <w:t xml:space="preserve"> （具体分包内容）</w:t>
      </w:r>
      <w:r>
        <w:rPr>
          <w:rFonts w:hint="eastAsia" w:ascii="宋体" w:hAnsi="宋体" w:eastAsia="宋体" w:cs="宋体"/>
          <w:sz w:val="24"/>
          <w:szCs w:val="24"/>
        </w:rPr>
        <w:t>占合同总金额</w:t>
      </w:r>
      <w:r>
        <w:rPr>
          <w:rFonts w:hint="eastAsia" w:ascii="宋体" w:hAnsi="宋体" w:eastAsia="宋体" w:cs="宋体"/>
          <w:sz w:val="24"/>
          <w:szCs w:val="24"/>
          <w:u w:val="single"/>
        </w:rPr>
        <w:t>　　</w:t>
      </w:r>
      <w:r>
        <w:rPr>
          <w:rFonts w:hint="eastAsia" w:ascii="宋体" w:hAnsi="宋体" w:eastAsia="宋体" w:cs="宋体"/>
          <w:sz w:val="24"/>
          <w:szCs w:val="24"/>
        </w:rPr>
        <w:t>%的工作内容。</w:t>
      </w:r>
    </w:p>
    <w:p w14:paraId="4D79BD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3.分包意向供应商2</w:t>
      </w:r>
      <w:r>
        <w:rPr>
          <w:rFonts w:hint="eastAsia" w:ascii="宋体" w:hAnsi="宋体" w:eastAsia="宋体" w:cs="宋体"/>
          <w:sz w:val="24"/>
          <w:szCs w:val="24"/>
          <w:u w:val="single"/>
        </w:rPr>
        <w:t>　（公司全称）　</w:t>
      </w:r>
      <w:r>
        <w:rPr>
          <w:rFonts w:hint="eastAsia" w:ascii="宋体" w:hAnsi="宋体" w:eastAsia="宋体" w:cs="宋体"/>
          <w:sz w:val="24"/>
          <w:szCs w:val="24"/>
        </w:rPr>
        <w:t>为</w:t>
      </w:r>
      <w:r>
        <w:rPr>
          <w:rFonts w:hint="eastAsia" w:ascii="宋体" w:hAnsi="宋体" w:eastAsia="宋体" w:cs="宋体"/>
          <w:sz w:val="24"/>
          <w:szCs w:val="24"/>
          <w:u w:val="single"/>
        </w:rPr>
        <w:t>（请填写：大型、中型、小型、微型）</w:t>
      </w:r>
      <w:r>
        <w:rPr>
          <w:rFonts w:hint="eastAsia" w:ascii="宋体" w:hAnsi="宋体" w:eastAsia="宋体" w:cs="宋体"/>
          <w:sz w:val="24"/>
          <w:szCs w:val="24"/>
        </w:rPr>
        <w:t>企业，将承担适宜分包部分</w:t>
      </w:r>
      <w:r>
        <w:rPr>
          <w:rFonts w:hint="eastAsia" w:ascii="宋体" w:hAnsi="宋体" w:eastAsia="宋体" w:cs="宋体"/>
          <w:sz w:val="24"/>
          <w:szCs w:val="24"/>
          <w:u w:val="single"/>
        </w:rPr>
        <w:t>（具体分包内容）占</w:t>
      </w:r>
      <w:r>
        <w:rPr>
          <w:rFonts w:hint="eastAsia" w:ascii="宋体" w:hAnsi="宋体" w:eastAsia="宋体" w:cs="宋体"/>
          <w:sz w:val="24"/>
          <w:szCs w:val="24"/>
        </w:rPr>
        <w:t>合同总金额</w:t>
      </w:r>
      <w:r>
        <w:rPr>
          <w:rFonts w:hint="eastAsia" w:ascii="宋体" w:hAnsi="宋体" w:eastAsia="宋体" w:cs="宋体"/>
          <w:sz w:val="24"/>
          <w:szCs w:val="24"/>
          <w:u w:val="single"/>
        </w:rPr>
        <w:t>　　</w:t>
      </w:r>
      <w:r>
        <w:rPr>
          <w:rFonts w:hint="eastAsia" w:ascii="宋体" w:hAnsi="宋体" w:eastAsia="宋体" w:cs="宋体"/>
          <w:sz w:val="24"/>
          <w:szCs w:val="24"/>
        </w:rPr>
        <w:t>%的工作内容。</w:t>
      </w:r>
    </w:p>
    <w:p w14:paraId="0CEB3D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6B9954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三、接受分包的企业与分包企业之间的关系：（接受分包的企业为中小企业时适用）</w:t>
      </w:r>
    </w:p>
    <w:p w14:paraId="4C64D5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1.分包意向供应商1</w:t>
      </w:r>
      <w:r>
        <w:rPr>
          <w:rFonts w:hint="eastAsia" w:ascii="宋体" w:hAnsi="宋体" w:eastAsia="宋体" w:cs="宋体"/>
          <w:sz w:val="24"/>
          <w:szCs w:val="24"/>
          <w:u w:val="single"/>
        </w:rPr>
        <w:t>　（公司全称）</w:t>
      </w:r>
      <w:r>
        <w:rPr>
          <w:rFonts w:hint="eastAsia" w:ascii="宋体" w:hAnsi="宋体" w:eastAsia="宋体" w:cs="宋体"/>
          <w:sz w:val="24"/>
          <w:szCs w:val="24"/>
        </w:rPr>
        <w:t>与分包企业之间</w:t>
      </w:r>
      <w:r>
        <w:rPr>
          <w:rFonts w:hint="eastAsia" w:ascii="宋体" w:hAnsi="宋体" w:eastAsia="宋体" w:cs="宋体"/>
          <w:sz w:val="24"/>
          <w:szCs w:val="24"/>
          <w:u w:val="single"/>
        </w:rPr>
        <w:t>（请填写：是否存在）</w:t>
      </w:r>
      <w:r>
        <w:rPr>
          <w:rFonts w:hint="eastAsia" w:ascii="宋体" w:hAnsi="宋体" w:eastAsia="宋体" w:cs="宋体"/>
          <w:sz w:val="24"/>
          <w:szCs w:val="24"/>
        </w:rPr>
        <w:t>直接控股、管理关系的情形。</w:t>
      </w:r>
    </w:p>
    <w:p w14:paraId="5BE2A5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2.分包意向供应商2</w:t>
      </w:r>
      <w:r>
        <w:rPr>
          <w:rFonts w:hint="eastAsia" w:ascii="宋体" w:hAnsi="宋体" w:eastAsia="宋体" w:cs="宋体"/>
          <w:sz w:val="24"/>
          <w:szCs w:val="24"/>
          <w:u w:val="single"/>
        </w:rPr>
        <w:t>　（公司全称）</w:t>
      </w:r>
      <w:r>
        <w:rPr>
          <w:rFonts w:hint="eastAsia" w:ascii="宋体" w:hAnsi="宋体" w:eastAsia="宋体" w:cs="宋体"/>
          <w:sz w:val="24"/>
          <w:szCs w:val="24"/>
        </w:rPr>
        <w:t>与分包企业之间</w:t>
      </w:r>
      <w:r>
        <w:rPr>
          <w:rFonts w:hint="eastAsia" w:ascii="宋体" w:hAnsi="宋体" w:eastAsia="宋体" w:cs="宋体"/>
          <w:sz w:val="24"/>
          <w:szCs w:val="24"/>
          <w:u w:val="single"/>
        </w:rPr>
        <w:t>（请填写：是否存在）</w:t>
      </w:r>
      <w:r>
        <w:rPr>
          <w:rFonts w:hint="eastAsia" w:ascii="宋体" w:hAnsi="宋体" w:eastAsia="宋体" w:cs="宋体"/>
          <w:sz w:val="24"/>
          <w:szCs w:val="24"/>
        </w:rPr>
        <w:t>直接控股、管理关系的情形。</w:t>
      </w:r>
    </w:p>
    <w:p w14:paraId="475853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6864466D">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四、如因违约过失责任而导致采购人经济损失或被索赔时，</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kern w:val="0"/>
          <w:sz w:val="24"/>
          <w:szCs w:val="24"/>
        </w:rPr>
        <w:t>同意无条件优先清偿采购人的一切债务和经济赔偿。</w:t>
      </w:r>
    </w:p>
    <w:p w14:paraId="4269BE0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五、如中标，分包意向供应商不得以任何理由提出终止本意向协议。</w:t>
      </w:r>
    </w:p>
    <w:p w14:paraId="19D53ECF">
      <w:pPr>
        <w:spacing w:line="360" w:lineRule="auto"/>
        <w:ind w:left="23" w:leftChars="11" w:firstLine="480" w:firstLineChars="200"/>
        <w:rPr>
          <w:rFonts w:hint="eastAsia" w:ascii="宋体" w:hAnsi="宋体" w:eastAsia="宋体" w:cs="宋体"/>
          <w:sz w:val="24"/>
          <w:szCs w:val="24"/>
        </w:rPr>
      </w:pPr>
      <w:r>
        <w:rPr>
          <w:rFonts w:hint="eastAsia" w:ascii="宋体" w:hAnsi="宋体" w:eastAsia="宋体" w:cs="宋体"/>
          <w:kern w:val="0"/>
          <w:sz w:val="24"/>
          <w:szCs w:val="24"/>
        </w:rPr>
        <w:t>六、</w:t>
      </w:r>
      <w:r>
        <w:rPr>
          <w:rFonts w:hint="eastAsia" w:ascii="宋体" w:hAnsi="宋体" w:eastAsia="宋体" w:cs="宋体"/>
          <w:sz w:val="24"/>
          <w:szCs w:val="24"/>
        </w:rPr>
        <w:t>本意向书在</w:t>
      </w:r>
      <w:r>
        <w:rPr>
          <w:rFonts w:hint="eastAsia" w:ascii="宋体" w:hAnsi="宋体" w:eastAsia="宋体" w:cs="宋体"/>
          <w:kern w:val="0"/>
          <w:sz w:val="24"/>
          <w:szCs w:val="24"/>
        </w:rPr>
        <w:t>自签署之日起生效，</w:t>
      </w:r>
      <w:r>
        <w:rPr>
          <w:rFonts w:hint="eastAsia" w:ascii="宋体" w:hAnsi="宋体" w:eastAsia="宋体" w:cs="宋体"/>
          <w:sz w:val="24"/>
          <w:szCs w:val="24"/>
        </w:rPr>
        <w:t>有效期内有效，如获中标资格，有效期延续至合同履行完毕之日。</w:t>
      </w:r>
    </w:p>
    <w:p w14:paraId="64D11C57">
      <w:pPr>
        <w:spacing w:line="360" w:lineRule="auto"/>
        <w:ind w:left="23" w:leftChars="1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七、本意向书正本一式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份，随投标文件装订</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w:t>
      </w:r>
      <w:r>
        <w:rPr>
          <w:rFonts w:hint="eastAsia" w:ascii="宋体" w:hAnsi="宋体" w:eastAsia="宋体" w:cs="宋体"/>
          <w:sz w:val="24"/>
          <w:szCs w:val="24"/>
          <w:u w:val="single"/>
        </w:rPr>
        <w:t>（</w:t>
      </w:r>
      <w:r>
        <w:rPr>
          <w:rFonts w:hint="eastAsia" w:ascii="宋体" w:hAnsi="宋体" w:eastAsia="宋体" w:cs="宋体"/>
          <w:kern w:val="0"/>
          <w:sz w:val="24"/>
          <w:szCs w:val="24"/>
          <w:u w:val="single"/>
        </w:rPr>
        <w:t>甲公司全称</w:t>
      </w:r>
      <w:r>
        <w:rPr>
          <w:rFonts w:hint="eastAsia" w:ascii="宋体" w:hAnsi="宋体" w:eastAsia="宋体" w:cs="宋体"/>
          <w:sz w:val="24"/>
          <w:szCs w:val="24"/>
          <w:u w:val="single"/>
        </w:rPr>
        <w:t>）</w:t>
      </w:r>
      <w:r>
        <w:rPr>
          <w:rFonts w:hint="eastAsia" w:ascii="宋体" w:hAnsi="宋体" w:eastAsia="宋体" w:cs="宋体"/>
          <w:kern w:val="0"/>
          <w:sz w:val="24"/>
          <w:szCs w:val="24"/>
        </w:rPr>
        <w:t>及各</w:t>
      </w:r>
      <w:r>
        <w:rPr>
          <w:rFonts w:hint="eastAsia" w:ascii="宋体" w:hAnsi="宋体" w:eastAsia="宋体" w:cs="宋体"/>
          <w:sz w:val="24"/>
          <w:szCs w:val="24"/>
        </w:rPr>
        <w:t>分包意向供应商</w:t>
      </w:r>
      <w:r>
        <w:rPr>
          <w:rFonts w:hint="eastAsia" w:ascii="宋体" w:hAnsi="宋体" w:eastAsia="宋体" w:cs="宋体"/>
          <w:kern w:val="0"/>
          <w:sz w:val="24"/>
          <w:szCs w:val="24"/>
        </w:rPr>
        <w:t>各一份。</w:t>
      </w:r>
    </w:p>
    <w:p w14:paraId="7A114FC0">
      <w:pPr>
        <w:widowControl/>
        <w:tabs>
          <w:tab w:val="left" w:pos="2977"/>
          <w:tab w:val="left" w:pos="5954"/>
        </w:tabs>
        <w:spacing w:line="360" w:lineRule="auto"/>
        <w:jc w:val="left"/>
        <w:rPr>
          <w:rFonts w:hint="eastAsia" w:ascii="宋体" w:hAnsi="宋体" w:eastAsia="宋体" w:cs="宋体"/>
          <w:kern w:val="0"/>
          <w:sz w:val="24"/>
          <w:szCs w:val="24"/>
        </w:rPr>
      </w:pPr>
    </w:p>
    <w:p w14:paraId="0075C514">
      <w:pPr>
        <w:widowControl/>
        <w:tabs>
          <w:tab w:val="left" w:pos="2977"/>
          <w:tab w:val="left" w:pos="5954"/>
        </w:tabs>
        <w:spacing w:line="360" w:lineRule="auto"/>
        <w:jc w:val="left"/>
        <w:rPr>
          <w:rFonts w:hint="eastAsia" w:ascii="宋体" w:hAnsi="宋体" w:eastAsia="宋体" w:cs="宋体"/>
          <w:kern w:val="0"/>
          <w:sz w:val="24"/>
          <w:szCs w:val="24"/>
        </w:rPr>
      </w:pPr>
    </w:p>
    <w:p w14:paraId="15A53E89">
      <w:pPr>
        <w:widowControl/>
        <w:tabs>
          <w:tab w:val="left" w:pos="2977"/>
          <w:tab w:val="left" w:pos="5954"/>
        </w:tabs>
        <w:spacing w:line="360" w:lineRule="auto"/>
        <w:jc w:val="left"/>
        <w:rPr>
          <w:rFonts w:hint="eastAsia" w:ascii="宋体" w:hAnsi="宋体" w:eastAsia="宋体" w:cs="宋体"/>
          <w:kern w:val="0"/>
          <w:sz w:val="24"/>
          <w:szCs w:val="24"/>
        </w:rPr>
      </w:pPr>
    </w:p>
    <w:p w14:paraId="31CE5166">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甲公司全称：（盖章） </w:t>
      </w:r>
      <w:r>
        <w:rPr>
          <w:rFonts w:hint="eastAsia" w:ascii="宋体" w:hAnsi="宋体" w:eastAsia="宋体" w:cs="宋体"/>
          <w:kern w:val="0"/>
          <w:sz w:val="24"/>
          <w:szCs w:val="24"/>
        </w:rPr>
        <w:tab/>
      </w:r>
    </w:p>
    <w:p w14:paraId="621CB392">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法定代表人（签字或</w:t>
      </w:r>
      <w:r>
        <w:rPr>
          <w:rFonts w:hint="eastAsia" w:ascii="宋体" w:hAnsi="宋体" w:eastAsia="宋体" w:cs="宋体"/>
          <w:sz w:val="24"/>
          <w:szCs w:val="24"/>
        </w:rPr>
        <w:t>盖章</w:t>
      </w:r>
      <w:r>
        <w:rPr>
          <w:rFonts w:hint="eastAsia" w:ascii="宋体" w:hAnsi="宋体" w:eastAsia="宋体" w:cs="宋体"/>
          <w:kern w:val="0"/>
          <w:sz w:val="24"/>
          <w:szCs w:val="24"/>
        </w:rPr>
        <w:t>）</w:t>
      </w:r>
    </w:p>
    <w:p w14:paraId="38FC5EE3">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年　　月　　日</w:t>
      </w:r>
      <w:r>
        <w:rPr>
          <w:rFonts w:hint="eastAsia" w:ascii="宋体" w:hAnsi="宋体" w:eastAsia="宋体" w:cs="宋体"/>
          <w:kern w:val="0"/>
          <w:sz w:val="24"/>
          <w:szCs w:val="24"/>
        </w:rPr>
        <w:tab/>
      </w:r>
    </w:p>
    <w:p w14:paraId="19869EAA">
      <w:pPr>
        <w:widowControl/>
        <w:tabs>
          <w:tab w:val="left" w:pos="2977"/>
          <w:tab w:val="left" w:pos="5954"/>
        </w:tabs>
        <w:spacing w:line="360" w:lineRule="auto"/>
        <w:jc w:val="left"/>
        <w:rPr>
          <w:rFonts w:hint="eastAsia" w:ascii="宋体" w:hAnsi="宋体" w:eastAsia="宋体" w:cs="宋体"/>
          <w:kern w:val="0"/>
          <w:sz w:val="24"/>
          <w:szCs w:val="24"/>
        </w:rPr>
      </w:pPr>
    </w:p>
    <w:p w14:paraId="62A000A4">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乙公司全称：（盖章）</w:t>
      </w:r>
      <w:r>
        <w:rPr>
          <w:rFonts w:hint="eastAsia" w:ascii="宋体" w:hAnsi="宋体" w:eastAsia="宋体" w:cs="宋体"/>
          <w:kern w:val="0"/>
          <w:sz w:val="24"/>
          <w:szCs w:val="24"/>
        </w:rPr>
        <w:tab/>
      </w:r>
    </w:p>
    <w:p w14:paraId="5FC34DE6">
      <w:pPr>
        <w:spacing w:line="360" w:lineRule="auto"/>
        <w:ind w:left="617" w:hanging="705" w:hangingChars="294"/>
        <w:rPr>
          <w:rFonts w:hint="eastAsia" w:ascii="宋体" w:hAnsi="宋体" w:eastAsia="宋体" w:cs="宋体"/>
          <w:b/>
          <w:sz w:val="24"/>
          <w:szCs w:val="24"/>
        </w:rPr>
      </w:pPr>
      <w:r>
        <w:rPr>
          <w:rFonts w:hint="eastAsia" w:ascii="宋体" w:hAnsi="宋体" w:eastAsia="宋体" w:cs="宋体"/>
          <w:kern w:val="0"/>
          <w:sz w:val="24"/>
          <w:szCs w:val="24"/>
        </w:rPr>
        <w:t>法定代表人（签字或</w:t>
      </w:r>
      <w:r>
        <w:rPr>
          <w:rFonts w:hint="eastAsia" w:ascii="宋体" w:hAnsi="宋体" w:eastAsia="宋体" w:cs="宋体"/>
          <w:sz w:val="24"/>
          <w:szCs w:val="24"/>
        </w:rPr>
        <w:t>盖章</w:t>
      </w:r>
      <w:r>
        <w:rPr>
          <w:rFonts w:hint="eastAsia" w:ascii="宋体" w:hAnsi="宋体" w:eastAsia="宋体" w:cs="宋体"/>
          <w:kern w:val="0"/>
          <w:sz w:val="24"/>
          <w:szCs w:val="24"/>
        </w:rPr>
        <w:t>）</w:t>
      </w:r>
      <w:r>
        <w:rPr>
          <w:rFonts w:hint="eastAsia" w:ascii="宋体" w:hAnsi="宋体" w:eastAsia="宋体" w:cs="宋体"/>
          <w:kern w:val="0"/>
          <w:sz w:val="24"/>
          <w:szCs w:val="24"/>
        </w:rPr>
        <w:tab/>
      </w:r>
    </w:p>
    <w:p w14:paraId="60F4743D">
      <w:pPr>
        <w:widowControl/>
        <w:tabs>
          <w:tab w:val="left" w:pos="2977"/>
          <w:tab w:val="left" w:pos="5954"/>
        </w:tabs>
        <w:spacing w:line="360" w:lineRule="auto"/>
        <w:ind w:firstLine="405"/>
        <w:jc w:val="left"/>
        <w:rPr>
          <w:rFonts w:hint="eastAsia" w:ascii="宋体" w:hAnsi="宋体" w:eastAsia="宋体" w:cs="宋体"/>
          <w:kern w:val="0"/>
          <w:sz w:val="24"/>
          <w:szCs w:val="24"/>
        </w:rPr>
      </w:pPr>
      <w:r>
        <w:rPr>
          <w:rFonts w:hint="eastAsia" w:ascii="宋体" w:hAnsi="宋体" w:eastAsia="宋体" w:cs="宋体"/>
          <w:kern w:val="0"/>
          <w:sz w:val="24"/>
          <w:szCs w:val="24"/>
        </w:rPr>
        <w:t>年　　月　　日</w:t>
      </w:r>
      <w:r>
        <w:rPr>
          <w:rFonts w:hint="eastAsia" w:ascii="宋体" w:hAnsi="宋体" w:eastAsia="宋体" w:cs="宋体"/>
          <w:kern w:val="0"/>
          <w:sz w:val="24"/>
          <w:szCs w:val="24"/>
        </w:rPr>
        <w:tab/>
      </w:r>
    </w:p>
    <w:p w14:paraId="3E73B48B">
      <w:pPr>
        <w:widowControl/>
        <w:tabs>
          <w:tab w:val="left" w:pos="2977"/>
          <w:tab w:val="left" w:pos="5954"/>
        </w:tabs>
        <w:spacing w:line="360" w:lineRule="auto"/>
        <w:jc w:val="left"/>
        <w:rPr>
          <w:rFonts w:hint="eastAsia" w:ascii="宋体" w:hAnsi="宋体" w:eastAsia="宋体" w:cs="宋体"/>
          <w:kern w:val="0"/>
          <w:sz w:val="24"/>
          <w:szCs w:val="24"/>
        </w:rPr>
      </w:pPr>
    </w:p>
    <w:p w14:paraId="741B7B2B">
      <w:pPr>
        <w:widowControl/>
        <w:tabs>
          <w:tab w:val="left" w:pos="2977"/>
          <w:tab w:val="left" w:pos="5954"/>
        </w:tabs>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……公司全称（盖章）</w:t>
      </w:r>
    </w:p>
    <w:p w14:paraId="0F22D1E7">
      <w:pPr>
        <w:spacing w:line="360" w:lineRule="auto"/>
        <w:ind w:left="617" w:hanging="705" w:hangingChars="294"/>
        <w:rPr>
          <w:rFonts w:hint="eastAsia" w:ascii="宋体" w:hAnsi="宋体" w:eastAsia="宋体" w:cs="宋体"/>
          <w:kern w:val="0"/>
          <w:sz w:val="24"/>
          <w:szCs w:val="24"/>
        </w:rPr>
      </w:pPr>
      <w:r>
        <w:rPr>
          <w:rFonts w:hint="eastAsia" w:ascii="宋体" w:hAnsi="宋体" w:eastAsia="宋体" w:cs="宋体"/>
          <w:kern w:val="0"/>
          <w:sz w:val="24"/>
          <w:szCs w:val="24"/>
        </w:rPr>
        <w:t>法定代表人：（签字或</w:t>
      </w:r>
      <w:r>
        <w:rPr>
          <w:rFonts w:hint="eastAsia" w:ascii="宋体" w:hAnsi="宋体" w:eastAsia="宋体" w:cs="宋体"/>
          <w:sz w:val="24"/>
          <w:szCs w:val="24"/>
        </w:rPr>
        <w:t>盖章</w:t>
      </w:r>
      <w:r>
        <w:rPr>
          <w:rFonts w:hint="eastAsia" w:ascii="宋体" w:hAnsi="宋体" w:eastAsia="宋体" w:cs="宋体"/>
          <w:kern w:val="0"/>
          <w:sz w:val="24"/>
          <w:szCs w:val="24"/>
        </w:rPr>
        <w:t>）</w:t>
      </w:r>
    </w:p>
    <w:p w14:paraId="50C96A14">
      <w:pPr>
        <w:spacing w:line="360" w:lineRule="auto"/>
        <w:ind w:left="617" w:hanging="705" w:hangingChars="294"/>
        <w:rPr>
          <w:rFonts w:hint="eastAsia" w:ascii="宋体" w:hAnsi="宋体" w:eastAsia="宋体" w:cs="宋体"/>
          <w:b/>
          <w:sz w:val="24"/>
          <w:szCs w:val="24"/>
        </w:rPr>
      </w:pPr>
      <w:r>
        <w:rPr>
          <w:rFonts w:hint="eastAsia" w:ascii="宋体" w:hAnsi="宋体" w:eastAsia="宋体" w:cs="宋体"/>
          <w:kern w:val="0"/>
          <w:sz w:val="24"/>
          <w:szCs w:val="24"/>
        </w:rPr>
        <w:t>　　年　　月　　日</w:t>
      </w:r>
    </w:p>
    <w:p w14:paraId="79BA28D8">
      <w:pPr>
        <w:spacing w:line="360" w:lineRule="auto"/>
        <w:ind w:left="620" w:hanging="708" w:hangingChars="294"/>
        <w:rPr>
          <w:rFonts w:hint="eastAsia" w:ascii="宋体" w:hAnsi="宋体" w:eastAsia="宋体" w:cs="宋体"/>
          <w:b/>
          <w:sz w:val="24"/>
          <w:szCs w:val="24"/>
        </w:rPr>
      </w:pPr>
    </w:p>
    <w:p w14:paraId="3D0454F8">
      <w:pPr>
        <w:spacing w:line="360" w:lineRule="auto"/>
        <w:ind w:left="620" w:hanging="708" w:hangingChars="294"/>
        <w:rPr>
          <w:rFonts w:hint="eastAsia" w:ascii="宋体" w:hAnsi="宋体" w:eastAsia="宋体" w:cs="宋体"/>
          <w:b/>
          <w:sz w:val="24"/>
          <w:szCs w:val="24"/>
        </w:rPr>
      </w:pPr>
      <w:r>
        <w:rPr>
          <w:rFonts w:hint="eastAsia" w:ascii="宋体" w:hAnsi="宋体" w:eastAsia="宋体" w:cs="宋体"/>
          <w:b/>
          <w:sz w:val="24"/>
          <w:szCs w:val="24"/>
        </w:rPr>
        <w:t>注：1．各方成员应在本意向书上共同盖章确认。</w:t>
      </w:r>
    </w:p>
    <w:p w14:paraId="76372A5A">
      <w:pPr>
        <w:spacing w:line="360" w:lineRule="auto"/>
        <w:ind w:firstLine="470" w:firstLineChars="196"/>
        <w:rPr>
          <w:rFonts w:hint="eastAsia" w:asciiTheme="minorEastAsia" w:hAnsiTheme="minorEastAsia" w:eastAsiaTheme="minorEastAsia" w:cstheme="minorEastAsia"/>
          <w:b/>
          <w:bCs w:val="0"/>
          <w:color w:val="auto"/>
          <w:kern w:val="2"/>
          <w:sz w:val="32"/>
          <w:szCs w:val="28"/>
          <w:lang w:val="en-US" w:eastAsia="zh-CN" w:bidi="ar-SA"/>
        </w:rPr>
      </w:pPr>
      <w:r>
        <w:rPr>
          <w:rFonts w:hint="eastAsia" w:ascii="宋体" w:hAnsi="宋体" w:eastAsia="宋体" w:cs="宋体"/>
          <w:sz w:val="24"/>
          <w:szCs w:val="24"/>
        </w:rPr>
        <w:t>2．本意向书内容将作为签订合同的附件之一。</w:t>
      </w:r>
    </w:p>
    <w:p w14:paraId="3FD33ED5">
      <w:pPr>
        <w:jc w:val="both"/>
        <w:rPr>
          <w:rFonts w:hint="eastAsia" w:asciiTheme="minorEastAsia" w:hAnsiTheme="minorEastAsia" w:eastAsiaTheme="minorEastAsia" w:cstheme="minorEastAsia"/>
          <w:b/>
          <w:bCs w:val="0"/>
          <w:color w:val="auto"/>
          <w:kern w:val="2"/>
          <w:sz w:val="28"/>
          <w:szCs w:val="24"/>
          <w:lang w:val="en-US" w:eastAsia="zh-CN" w:bidi="ar-SA"/>
        </w:rPr>
      </w:pPr>
    </w:p>
    <w:p w14:paraId="19B7B9CA">
      <w:pPr>
        <w:jc w:val="both"/>
        <w:rPr>
          <w:rFonts w:hint="eastAsia" w:asciiTheme="minorEastAsia" w:hAnsiTheme="minorEastAsia" w:eastAsiaTheme="minorEastAsia" w:cstheme="minorEastAsia"/>
          <w:b/>
          <w:bCs w:val="0"/>
          <w:color w:val="auto"/>
          <w:kern w:val="2"/>
          <w:sz w:val="28"/>
          <w:szCs w:val="24"/>
          <w:lang w:val="en-US" w:eastAsia="zh-CN" w:bidi="ar-SA"/>
        </w:rPr>
      </w:pPr>
    </w:p>
    <w:p w14:paraId="23D2523B">
      <w:pPr>
        <w:jc w:val="both"/>
        <w:outlineLvl w:val="0"/>
        <w:rPr>
          <w:rFonts w:hint="default" w:asciiTheme="minorEastAsia" w:hAnsiTheme="minorEastAsia" w:eastAsiaTheme="minorEastAsia" w:cstheme="minorEastAsia"/>
          <w:b/>
          <w:bCs w:val="0"/>
          <w:color w:val="auto"/>
          <w:kern w:val="2"/>
          <w:sz w:val="28"/>
          <w:szCs w:val="24"/>
          <w:lang w:val="en-US" w:eastAsia="zh-CN" w:bidi="ar-SA"/>
        </w:rPr>
      </w:pPr>
      <w:bookmarkStart w:id="637" w:name="_Toc1675"/>
      <w:bookmarkStart w:id="638" w:name="_Toc18677"/>
      <w:bookmarkStart w:id="639" w:name="_Toc5601"/>
      <w:r>
        <w:rPr>
          <w:rFonts w:hint="eastAsia" w:asciiTheme="minorEastAsia" w:hAnsiTheme="minorEastAsia" w:eastAsiaTheme="minorEastAsia" w:cstheme="minorEastAsia"/>
          <w:b/>
          <w:bCs w:val="0"/>
          <w:color w:val="auto"/>
          <w:kern w:val="2"/>
          <w:sz w:val="28"/>
          <w:szCs w:val="24"/>
          <w:lang w:val="en-US" w:eastAsia="zh-CN" w:bidi="ar-SA"/>
        </w:rPr>
        <w:t>附件</w:t>
      </w:r>
      <w:bookmarkEnd w:id="637"/>
      <w:bookmarkEnd w:id="638"/>
      <w:bookmarkEnd w:id="639"/>
      <w:r>
        <w:rPr>
          <w:rFonts w:hint="eastAsia" w:asciiTheme="minorEastAsia" w:hAnsiTheme="minorEastAsia" w:eastAsiaTheme="minorEastAsia" w:cstheme="minorEastAsia"/>
          <w:b/>
          <w:bCs w:val="0"/>
          <w:color w:val="auto"/>
          <w:kern w:val="2"/>
          <w:sz w:val="28"/>
          <w:szCs w:val="24"/>
          <w:lang w:val="en-US" w:eastAsia="zh-CN" w:bidi="ar-SA"/>
        </w:rPr>
        <w:t>二十二</w:t>
      </w:r>
    </w:p>
    <w:p w14:paraId="5F02C3E4">
      <w:pPr>
        <w:jc w:val="center"/>
        <w:outlineLvl w:val="9"/>
        <w:rPr>
          <w:rFonts w:hint="eastAsia" w:asciiTheme="minorEastAsia" w:hAnsiTheme="minorEastAsia" w:eastAsiaTheme="minorEastAsia" w:cstheme="minorEastAsia"/>
          <w:b/>
          <w:sz w:val="30"/>
          <w:szCs w:val="30"/>
        </w:rPr>
      </w:pPr>
    </w:p>
    <w:p w14:paraId="4D2D933A">
      <w:pPr>
        <w:jc w:val="center"/>
        <w:outlineLvl w:val="0"/>
        <w:rPr>
          <w:rFonts w:hint="eastAsia" w:asciiTheme="minorEastAsia" w:hAnsiTheme="minorEastAsia" w:eastAsiaTheme="minorEastAsia" w:cstheme="minorEastAsia"/>
          <w:b/>
          <w:sz w:val="30"/>
          <w:szCs w:val="30"/>
        </w:rPr>
      </w:pPr>
      <w:bookmarkStart w:id="640" w:name="_Toc29985"/>
      <w:bookmarkStart w:id="641" w:name="_Toc2648"/>
      <w:bookmarkStart w:id="642" w:name="_Toc29685"/>
      <w:r>
        <w:rPr>
          <w:rFonts w:hint="eastAsia" w:asciiTheme="minorEastAsia" w:hAnsiTheme="minorEastAsia" w:eastAsiaTheme="minorEastAsia" w:cstheme="minorEastAsia"/>
          <w:b/>
          <w:sz w:val="30"/>
          <w:szCs w:val="30"/>
        </w:rPr>
        <w:t>其他有利于投标人的资料（如有）</w:t>
      </w:r>
      <w:bookmarkEnd w:id="640"/>
      <w:bookmarkEnd w:id="641"/>
      <w:bookmarkEnd w:id="642"/>
    </w:p>
    <w:p w14:paraId="5C31089D">
      <w:pPr>
        <w:pStyle w:val="8"/>
        <w:rPr>
          <w:rFonts w:hint="eastAsia" w:asciiTheme="minorEastAsia" w:hAnsiTheme="minorEastAsia" w:eastAsiaTheme="minorEastAsia" w:cstheme="minorEastAsia"/>
          <w:lang w:val="en-US"/>
        </w:rPr>
      </w:pPr>
    </w:p>
    <w:p w14:paraId="087F656F">
      <w:pPr>
        <w:spacing w:line="360" w:lineRule="auto"/>
        <w:jc w:val="center"/>
        <w:outlineLvl w:val="1"/>
        <w:rPr>
          <w:rFonts w:hint="eastAsia" w:asciiTheme="minorEastAsia" w:hAnsiTheme="minorEastAsia" w:eastAsiaTheme="minorEastAsia" w:cstheme="minorEastAsia"/>
          <w:b/>
          <w:sz w:val="32"/>
          <w:szCs w:val="28"/>
        </w:rPr>
      </w:pPr>
    </w:p>
    <w:p w14:paraId="6AD804E5">
      <w:pPr>
        <w:spacing w:line="360" w:lineRule="auto"/>
        <w:jc w:val="center"/>
        <w:outlineLvl w:val="1"/>
        <w:rPr>
          <w:rFonts w:hint="eastAsia" w:asciiTheme="minorEastAsia" w:hAnsiTheme="minorEastAsia" w:eastAsiaTheme="minorEastAsia" w:cstheme="minorEastAsia"/>
          <w:b/>
          <w:sz w:val="32"/>
          <w:szCs w:val="28"/>
        </w:rPr>
      </w:pPr>
    </w:p>
    <w:p w14:paraId="01DA0E76">
      <w:pPr>
        <w:spacing w:line="360" w:lineRule="auto"/>
        <w:jc w:val="center"/>
        <w:outlineLvl w:val="1"/>
        <w:rPr>
          <w:rFonts w:hint="eastAsia" w:asciiTheme="minorEastAsia" w:hAnsiTheme="minorEastAsia" w:eastAsiaTheme="minorEastAsia" w:cstheme="minorEastAsia"/>
          <w:b/>
          <w:sz w:val="32"/>
          <w:szCs w:val="28"/>
        </w:rPr>
      </w:pPr>
    </w:p>
    <w:p w14:paraId="23BCD1C2">
      <w:pPr>
        <w:spacing w:line="360" w:lineRule="auto"/>
        <w:jc w:val="center"/>
        <w:outlineLvl w:val="1"/>
        <w:rPr>
          <w:rFonts w:hint="eastAsia" w:asciiTheme="minorEastAsia" w:hAnsiTheme="minorEastAsia" w:eastAsiaTheme="minorEastAsia" w:cstheme="minorEastAsia"/>
          <w:b/>
          <w:sz w:val="32"/>
          <w:szCs w:val="28"/>
        </w:rPr>
      </w:pPr>
    </w:p>
    <w:p w14:paraId="08419E60">
      <w:pPr>
        <w:spacing w:line="360" w:lineRule="auto"/>
        <w:jc w:val="center"/>
        <w:outlineLvl w:val="1"/>
        <w:rPr>
          <w:rFonts w:hint="eastAsia" w:asciiTheme="minorEastAsia" w:hAnsiTheme="minorEastAsia" w:eastAsiaTheme="minorEastAsia" w:cstheme="minorEastAsia"/>
          <w:b/>
          <w:sz w:val="32"/>
          <w:szCs w:val="28"/>
        </w:rPr>
      </w:pPr>
    </w:p>
    <w:p w14:paraId="3EF34C4A">
      <w:pPr>
        <w:spacing w:line="360" w:lineRule="auto"/>
        <w:jc w:val="center"/>
        <w:outlineLvl w:val="1"/>
        <w:rPr>
          <w:rFonts w:hint="eastAsia" w:asciiTheme="minorEastAsia" w:hAnsiTheme="minorEastAsia" w:eastAsiaTheme="minorEastAsia" w:cstheme="minorEastAsia"/>
          <w:b/>
          <w:sz w:val="32"/>
          <w:szCs w:val="28"/>
        </w:rPr>
      </w:pPr>
    </w:p>
    <w:p w14:paraId="26F4C6E6">
      <w:pPr>
        <w:spacing w:line="360" w:lineRule="auto"/>
        <w:jc w:val="center"/>
        <w:outlineLvl w:val="1"/>
        <w:rPr>
          <w:rFonts w:hint="eastAsia" w:asciiTheme="minorEastAsia" w:hAnsiTheme="minorEastAsia" w:eastAsiaTheme="minorEastAsia" w:cstheme="minorEastAsia"/>
          <w:b/>
          <w:sz w:val="32"/>
          <w:szCs w:val="28"/>
        </w:rPr>
      </w:pPr>
    </w:p>
    <w:p w14:paraId="5E98534C">
      <w:pPr>
        <w:spacing w:line="360" w:lineRule="auto"/>
        <w:jc w:val="center"/>
        <w:outlineLvl w:val="1"/>
        <w:rPr>
          <w:rFonts w:hint="eastAsia" w:asciiTheme="minorEastAsia" w:hAnsiTheme="minorEastAsia" w:eastAsiaTheme="minorEastAsia" w:cstheme="minorEastAsia"/>
          <w:b/>
          <w:sz w:val="32"/>
          <w:szCs w:val="28"/>
        </w:rPr>
      </w:pPr>
    </w:p>
    <w:p w14:paraId="06CB69AB">
      <w:pPr>
        <w:spacing w:line="360" w:lineRule="auto"/>
        <w:jc w:val="center"/>
        <w:outlineLvl w:val="1"/>
        <w:rPr>
          <w:rFonts w:hint="eastAsia" w:asciiTheme="minorEastAsia" w:hAnsiTheme="minorEastAsia" w:eastAsiaTheme="minorEastAsia" w:cstheme="minorEastAsia"/>
          <w:b/>
          <w:sz w:val="32"/>
          <w:szCs w:val="28"/>
        </w:rPr>
      </w:pPr>
    </w:p>
    <w:p w14:paraId="4F3094CA">
      <w:pPr>
        <w:spacing w:line="360" w:lineRule="auto"/>
        <w:jc w:val="center"/>
        <w:outlineLvl w:val="1"/>
        <w:rPr>
          <w:rFonts w:hint="eastAsia" w:asciiTheme="minorEastAsia" w:hAnsiTheme="minorEastAsia" w:eastAsiaTheme="minorEastAsia" w:cstheme="minorEastAsia"/>
          <w:b/>
          <w:sz w:val="32"/>
          <w:szCs w:val="28"/>
        </w:rPr>
      </w:pPr>
    </w:p>
    <w:p w14:paraId="2B05A414">
      <w:pPr>
        <w:spacing w:line="360" w:lineRule="auto"/>
        <w:jc w:val="center"/>
        <w:outlineLvl w:val="1"/>
        <w:rPr>
          <w:rFonts w:hint="eastAsia" w:asciiTheme="minorEastAsia" w:hAnsiTheme="minorEastAsia" w:eastAsiaTheme="minorEastAsia" w:cstheme="minorEastAsia"/>
          <w:b/>
          <w:sz w:val="32"/>
          <w:szCs w:val="28"/>
        </w:rPr>
      </w:pPr>
    </w:p>
    <w:p w14:paraId="18847A44">
      <w:pPr>
        <w:spacing w:line="360" w:lineRule="auto"/>
        <w:jc w:val="center"/>
        <w:outlineLvl w:val="1"/>
        <w:rPr>
          <w:rFonts w:hint="eastAsia" w:asciiTheme="minorEastAsia" w:hAnsiTheme="minorEastAsia" w:eastAsiaTheme="minorEastAsia" w:cstheme="minorEastAsia"/>
          <w:b/>
          <w:sz w:val="32"/>
          <w:szCs w:val="28"/>
        </w:rPr>
      </w:pPr>
    </w:p>
    <w:p w14:paraId="1588537B">
      <w:pPr>
        <w:spacing w:line="360" w:lineRule="auto"/>
        <w:jc w:val="center"/>
        <w:outlineLvl w:val="1"/>
        <w:rPr>
          <w:rFonts w:hint="eastAsia" w:asciiTheme="minorEastAsia" w:hAnsiTheme="minorEastAsia" w:eastAsiaTheme="minorEastAsia" w:cstheme="minorEastAsia"/>
          <w:b/>
          <w:sz w:val="32"/>
          <w:szCs w:val="28"/>
        </w:rPr>
      </w:pPr>
    </w:p>
    <w:p w14:paraId="7D135921">
      <w:pPr>
        <w:spacing w:line="360" w:lineRule="auto"/>
        <w:jc w:val="center"/>
        <w:outlineLvl w:val="1"/>
        <w:rPr>
          <w:rFonts w:hint="eastAsia" w:asciiTheme="minorEastAsia" w:hAnsiTheme="minorEastAsia" w:eastAsiaTheme="minorEastAsia" w:cstheme="minorEastAsia"/>
          <w:b/>
          <w:sz w:val="32"/>
          <w:szCs w:val="28"/>
        </w:rPr>
      </w:pPr>
    </w:p>
    <w:p w14:paraId="3474F4D6">
      <w:pPr>
        <w:spacing w:line="360" w:lineRule="auto"/>
        <w:jc w:val="center"/>
        <w:outlineLvl w:val="1"/>
        <w:rPr>
          <w:rFonts w:hint="eastAsia" w:asciiTheme="minorEastAsia" w:hAnsiTheme="minorEastAsia" w:eastAsiaTheme="minorEastAsia" w:cstheme="minorEastAsia"/>
          <w:b/>
          <w:sz w:val="32"/>
          <w:szCs w:val="28"/>
        </w:rPr>
      </w:pPr>
    </w:p>
    <w:p w14:paraId="377E7000">
      <w:pPr>
        <w:spacing w:line="360" w:lineRule="auto"/>
        <w:jc w:val="center"/>
        <w:outlineLvl w:val="1"/>
        <w:rPr>
          <w:rFonts w:hint="eastAsia" w:asciiTheme="minorEastAsia" w:hAnsiTheme="minorEastAsia" w:eastAsiaTheme="minorEastAsia" w:cstheme="minorEastAsia"/>
          <w:b/>
          <w:sz w:val="32"/>
          <w:szCs w:val="28"/>
        </w:rPr>
      </w:pPr>
    </w:p>
    <w:p w14:paraId="377B2A7D">
      <w:pPr>
        <w:rPr>
          <w:rFonts w:hint="eastAsia" w:asciiTheme="minorEastAsia" w:hAnsiTheme="minorEastAsia" w:eastAsiaTheme="minorEastAsia" w:cstheme="minorEastAsia"/>
          <w:sz w:val="24"/>
          <w:szCs w:val="24"/>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CDB8">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888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D8888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57F6">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E3034">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AE3034">
                    <w:pPr>
                      <w:pStyle w:val="18"/>
                    </w:pPr>
                    <w:r>
                      <w:fldChar w:fldCharType="begin"/>
                    </w:r>
                    <w:r>
                      <w:instrText xml:space="preserve"> PAGE  \* MERGEFORMAT </w:instrText>
                    </w:r>
                    <w:r>
                      <w:fldChar w:fldCharType="separate"/>
                    </w:r>
                    <w:r>
                      <w:t>5</w:t>
                    </w:r>
                    <w:r>
                      <w:fldChar w:fldCharType="end"/>
                    </w:r>
                  </w:p>
                </w:txbxContent>
              </v:textbox>
            </v:shape>
          </w:pict>
        </mc:Fallback>
      </mc:AlternateContent>
    </w:r>
  </w:p>
  <w:p w14:paraId="10231052">
    <w:pPr>
      <w:spacing w:line="188" w:lineRule="auto"/>
      <w:ind w:left="4084"/>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4625">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6648E">
                          <w:pPr>
                            <w:pStyle w:val="1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96648E">
                    <w:pPr>
                      <w:pStyle w:val="1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C711F">
    <w:pPr>
      <w:pStyle w:val="13"/>
      <w:spacing w:line="193" w:lineRule="auto"/>
      <w:ind w:left="4753"/>
      <w:rPr>
        <w:sz w:val="17"/>
        <w:szCs w:val="17"/>
      </w:rPr>
    </w:pPr>
    <w:r>
      <w:rPr>
        <w:sz w:val="17"/>
        <w:szCs w:val="17"/>
      </w:rPr>
      <w:t>34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F444">
    <w:pPr>
      <w:spacing w:line="124" w:lineRule="exact"/>
      <w:ind w:firstLine="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F083E">
                          <w:pPr>
                            <w:pStyle w:val="1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2CF083E">
                    <w:pPr>
                      <w:pStyle w:val="18"/>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734E0">
    <w:pPr>
      <w:spacing w:line="123"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FEAEE">
                          <w:pPr>
                            <w:pStyle w:val="1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80FEAEE">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3A4F">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9AADC">
                          <w:pPr>
                            <w:pStyle w:val="18"/>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A9AADC">
                    <w:pPr>
                      <w:pStyle w:val="18"/>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8D0C">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B74F1"/>
    <w:multiLevelType w:val="singleLevel"/>
    <w:tmpl w:val="9BEB74F1"/>
    <w:lvl w:ilvl="0" w:tentative="0">
      <w:start w:val="1"/>
      <w:numFmt w:val="decimal"/>
      <w:lvlText w:val="%1."/>
      <w:lvlJc w:val="left"/>
      <w:pPr>
        <w:tabs>
          <w:tab w:val="left" w:pos="312"/>
        </w:tabs>
      </w:pPr>
    </w:lvl>
  </w:abstractNum>
  <w:abstractNum w:abstractNumId="1">
    <w:nsid w:val="AC4A815A"/>
    <w:multiLevelType w:val="singleLevel"/>
    <w:tmpl w:val="AC4A815A"/>
    <w:lvl w:ilvl="0" w:tentative="0">
      <w:start w:val="6"/>
      <w:numFmt w:val="decimal"/>
      <w:suff w:val="nothing"/>
      <w:lvlText w:val="%1、"/>
      <w:lvlJc w:val="left"/>
    </w:lvl>
  </w:abstractNum>
  <w:abstractNum w:abstractNumId="2">
    <w:nsid w:val="AE83B5D4"/>
    <w:multiLevelType w:val="singleLevel"/>
    <w:tmpl w:val="AE83B5D4"/>
    <w:lvl w:ilvl="0" w:tentative="0">
      <w:start w:val="1"/>
      <w:numFmt w:val="decimal"/>
      <w:suff w:val="nothing"/>
      <w:lvlText w:val="%1、"/>
      <w:lvlJc w:val="left"/>
    </w:lvl>
  </w:abstractNum>
  <w:abstractNum w:abstractNumId="3">
    <w:nsid w:val="FD756BF6"/>
    <w:multiLevelType w:val="singleLevel"/>
    <w:tmpl w:val="FD756BF6"/>
    <w:lvl w:ilvl="0" w:tentative="0">
      <w:start w:val="2"/>
      <w:numFmt w:val="chineseCounting"/>
      <w:suff w:val="nothing"/>
      <w:lvlText w:val="（%1）"/>
      <w:lvlJc w:val="left"/>
      <w:rPr>
        <w:rFonts w:hint="eastAsia"/>
      </w:rPr>
    </w:lvl>
  </w:abstractNum>
  <w:abstractNum w:abstractNumId="4">
    <w:nsid w:val="0000000C"/>
    <w:multiLevelType w:val="multilevel"/>
    <w:tmpl w:val="0000000C"/>
    <w:lvl w:ilvl="0" w:tentative="0">
      <w:start w:val="2"/>
      <w:numFmt w:val="decimal"/>
      <w:pStyle w:val="36"/>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7"/>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027581F4"/>
    <w:multiLevelType w:val="singleLevel"/>
    <w:tmpl w:val="027581F4"/>
    <w:lvl w:ilvl="0" w:tentative="0">
      <w:start w:val="1"/>
      <w:numFmt w:val="chineseCounting"/>
      <w:suff w:val="space"/>
      <w:lvlText w:val="第%1章"/>
      <w:lvlJc w:val="left"/>
      <w:rPr>
        <w:rFonts w:hint="eastAsia"/>
      </w:rPr>
    </w:lvl>
  </w:abstractNum>
  <w:abstractNum w:abstractNumId="6">
    <w:nsid w:val="043221C8"/>
    <w:multiLevelType w:val="singleLevel"/>
    <w:tmpl w:val="043221C8"/>
    <w:lvl w:ilvl="0" w:tentative="0">
      <w:start w:val="1"/>
      <w:numFmt w:val="decimal"/>
      <w:suff w:val="nothing"/>
      <w:lvlText w:val="%1、"/>
      <w:lvlJc w:val="left"/>
    </w:lvl>
  </w:abstractNum>
  <w:abstractNum w:abstractNumId="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1BCB84A8"/>
    <w:multiLevelType w:val="singleLevel"/>
    <w:tmpl w:val="1BCB84A8"/>
    <w:lvl w:ilvl="0" w:tentative="0">
      <w:start w:val="6"/>
      <w:numFmt w:val="chineseCounting"/>
      <w:suff w:val="nothing"/>
      <w:lvlText w:val="%1、"/>
      <w:lvlJc w:val="left"/>
      <w:rPr>
        <w:rFonts w:hint="eastAsia"/>
      </w:rPr>
    </w:lvl>
  </w:abstractNum>
  <w:abstractNum w:abstractNumId="9">
    <w:nsid w:val="2494AF98"/>
    <w:multiLevelType w:val="singleLevel"/>
    <w:tmpl w:val="2494AF98"/>
    <w:lvl w:ilvl="0" w:tentative="0">
      <w:start w:val="2"/>
      <w:numFmt w:val="chineseCounting"/>
      <w:suff w:val="nothing"/>
      <w:lvlText w:val="%1、"/>
      <w:lvlJc w:val="left"/>
      <w:rPr>
        <w:rFonts w:hint="eastAsia"/>
      </w:rPr>
    </w:lvl>
  </w:abstractNum>
  <w:abstractNum w:abstractNumId="10">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5"/>
  </w:num>
  <w:num w:numId="3">
    <w:abstractNumId w:val="9"/>
  </w:num>
  <w:num w:numId="4">
    <w:abstractNumId w:val="6"/>
  </w:num>
  <w:num w:numId="5">
    <w:abstractNumId w:val="8"/>
  </w:num>
  <w:num w:numId="6">
    <w:abstractNumId w:val="3"/>
  </w:num>
  <w:num w:numId="7">
    <w:abstractNumId w:val="10"/>
  </w:num>
  <w:num w:numId="8">
    <w:abstractNumId w:val="7"/>
  </w:num>
  <w:num w:numId="9">
    <w:abstractNumId w:val="0"/>
  </w:num>
  <w:num w:numId="10">
    <w:abstractNumId w:val="2"/>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以忘言">
    <w15:presenceInfo w15:providerId="None" w15:userId="何以忘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ODU4MTM3NWQ4NDBlYjlhNGI5YzE1NjlhOTQxNmUifQ=="/>
  </w:docVars>
  <w:rsids>
    <w:rsidRoot w:val="2A8C1147"/>
    <w:rsid w:val="00011A95"/>
    <w:rsid w:val="00035262"/>
    <w:rsid w:val="0003687C"/>
    <w:rsid w:val="000969AD"/>
    <w:rsid w:val="000E0209"/>
    <w:rsid w:val="00100858"/>
    <w:rsid w:val="0012334A"/>
    <w:rsid w:val="001A4716"/>
    <w:rsid w:val="00264E69"/>
    <w:rsid w:val="00270BE1"/>
    <w:rsid w:val="002F67BC"/>
    <w:rsid w:val="003577A2"/>
    <w:rsid w:val="00372649"/>
    <w:rsid w:val="003A6B66"/>
    <w:rsid w:val="003B4796"/>
    <w:rsid w:val="003C28DE"/>
    <w:rsid w:val="003F417C"/>
    <w:rsid w:val="004805E6"/>
    <w:rsid w:val="004B48CF"/>
    <w:rsid w:val="004E2FC5"/>
    <w:rsid w:val="00500138"/>
    <w:rsid w:val="005270DD"/>
    <w:rsid w:val="005B3556"/>
    <w:rsid w:val="00610597"/>
    <w:rsid w:val="006E4DB9"/>
    <w:rsid w:val="00714AF2"/>
    <w:rsid w:val="007408D7"/>
    <w:rsid w:val="007470E0"/>
    <w:rsid w:val="007623C0"/>
    <w:rsid w:val="007A26D1"/>
    <w:rsid w:val="007C2CDB"/>
    <w:rsid w:val="007D0D26"/>
    <w:rsid w:val="007E5662"/>
    <w:rsid w:val="007F27CB"/>
    <w:rsid w:val="007F6C6F"/>
    <w:rsid w:val="00847DE1"/>
    <w:rsid w:val="00885B23"/>
    <w:rsid w:val="008A142D"/>
    <w:rsid w:val="008D313A"/>
    <w:rsid w:val="008F6349"/>
    <w:rsid w:val="00AB1812"/>
    <w:rsid w:val="00AE61A0"/>
    <w:rsid w:val="00B04027"/>
    <w:rsid w:val="00B22BA0"/>
    <w:rsid w:val="00B5158F"/>
    <w:rsid w:val="00BD3459"/>
    <w:rsid w:val="00C06188"/>
    <w:rsid w:val="00C242B3"/>
    <w:rsid w:val="00C6664C"/>
    <w:rsid w:val="00CB1EB4"/>
    <w:rsid w:val="00CE72AE"/>
    <w:rsid w:val="00D30A05"/>
    <w:rsid w:val="00D31079"/>
    <w:rsid w:val="00D348C5"/>
    <w:rsid w:val="00DD5EA9"/>
    <w:rsid w:val="00E371FE"/>
    <w:rsid w:val="00E54D24"/>
    <w:rsid w:val="00E80777"/>
    <w:rsid w:val="00ED25BA"/>
    <w:rsid w:val="00ED4F91"/>
    <w:rsid w:val="00F035B6"/>
    <w:rsid w:val="00F10820"/>
    <w:rsid w:val="00F66F31"/>
    <w:rsid w:val="00FA3D1D"/>
    <w:rsid w:val="00FB62F5"/>
    <w:rsid w:val="00FB73BF"/>
    <w:rsid w:val="00FC02BF"/>
    <w:rsid w:val="00FD3FC3"/>
    <w:rsid w:val="01192C1F"/>
    <w:rsid w:val="0121651A"/>
    <w:rsid w:val="012A2737"/>
    <w:rsid w:val="012B64AF"/>
    <w:rsid w:val="012F08E9"/>
    <w:rsid w:val="014001AC"/>
    <w:rsid w:val="01446102"/>
    <w:rsid w:val="014557C2"/>
    <w:rsid w:val="014D0B1B"/>
    <w:rsid w:val="014F03EF"/>
    <w:rsid w:val="0156177E"/>
    <w:rsid w:val="015B3238"/>
    <w:rsid w:val="015E4AD6"/>
    <w:rsid w:val="01710365"/>
    <w:rsid w:val="01877B89"/>
    <w:rsid w:val="018A3E38"/>
    <w:rsid w:val="018F6A3E"/>
    <w:rsid w:val="019C656C"/>
    <w:rsid w:val="019F1377"/>
    <w:rsid w:val="01AC3A93"/>
    <w:rsid w:val="01AC75F0"/>
    <w:rsid w:val="01BF5575"/>
    <w:rsid w:val="01C20BC1"/>
    <w:rsid w:val="01C761D7"/>
    <w:rsid w:val="01C901A1"/>
    <w:rsid w:val="01D1397B"/>
    <w:rsid w:val="01E943A0"/>
    <w:rsid w:val="01EF3980"/>
    <w:rsid w:val="01FB0577"/>
    <w:rsid w:val="020531A4"/>
    <w:rsid w:val="0216715F"/>
    <w:rsid w:val="02186A33"/>
    <w:rsid w:val="02214D2D"/>
    <w:rsid w:val="02317AF5"/>
    <w:rsid w:val="02337D11"/>
    <w:rsid w:val="02353A89"/>
    <w:rsid w:val="02380E83"/>
    <w:rsid w:val="023B2A26"/>
    <w:rsid w:val="024141DC"/>
    <w:rsid w:val="025008C3"/>
    <w:rsid w:val="02535CBD"/>
    <w:rsid w:val="026E6F9B"/>
    <w:rsid w:val="027520D7"/>
    <w:rsid w:val="0283153E"/>
    <w:rsid w:val="02866093"/>
    <w:rsid w:val="028E4F47"/>
    <w:rsid w:val="02B0310F"/>
    <w:rsid w:val="02B20C36"/>
    <w:rsid w:val="02B40E52"/>
    <w:rsid w:val="02B563FB"/>
    <w:rsid w:val="02BC7B5E"/>
    <w:rsid w:val="02BC7D06"/>
    <w:rsid w:val="02BE3A7E"/>
    <w:rsid w:val="02C1531D"/>
    <w:rsid w:val="02CE17E8"/>
    <w:rsid w:val="02D23172"/>
    <w:rsid w:val="02DB7B66"/>
    <w:rsid w:val="02EE59E6"/>
    <w:rsid w:val="02F1741B"/>
    <w:rsid w:val="02F327FE"/>
    <w:rsid w:val="02F70D3E"/>
    <w:rsid w:val="02FA082F"/>
    <w:rsid w:val="02FF7BF3"/>
    <w:rsid w:val="030516AD"/>
    <w:rsid w:val="030742B1"/>
    <w:rsid w:val="03082F4B"/>
    <w:rsid w:val="030B6598"/>
    <w:rsid w:val="031730D8"/>
    <w:rsid w:val="03312AB1"/>
    <w:rsid w:val="0334789D"/>
    <w:rsid w:val="033D6A23"/>
    <w:rsid w:val="03433F84"/>
    <w:rsid w:val="03667C72"/>
    <w:rsid w:val="03695879"/>
    <w:rsid w:val="036C34DA"/>
    <w:rsid w:val="03710AF1"/>
    <w:rsid w:val="03716D43"/>
    <w:rsid w:val="0374238F"/>
    <w:rsid w:val="03912F41"/>
    <w:rsid w:val="03936CB9"/>
    <w:rsid w:val="039D18E6"/>
    <w:rsid w:val="03AF6D28"/>
    <w:rsid w:val="03B22EB7"/>
    <w:rsid w:val="03BE360A"/>
    <w:rsid w:val="03C230FA"/>
    <w:rsid w:val="03C74BB5"/>
    <w:rsid w:val="03CB3AAB"/>
    <w:rsid w:val="03E05C76"/>
    <w:rsid w:val="03E219EE"/>
    <w:rsid w:val="03E5503B"/>
    <w:rsid w:val="03FD05D6"/>
    <w:rsid w:val="03FF434E"/>
    <w:rsid w:val="041118BF"/>
    <w:rsid w:val="042A0CA0"/>
    <w:rsid w:val="042C0EBC"/>
    <w:rsid w:val="04332B6F"/>
    <w:rsid w:val="044A30F0"/>
    <w:rsid w:val="044F0974"/>
    <w:rsid w:val="045B6E63"/>
    <w:rsid w:val="04691907"/>
    <w:rsid w:val="04754611"/>
    <w:rsid w:val="04770389"/>
    <w:rsid w:val="04866E38"/>
    <w:rsid w:val="04904FA7"/>
    <w:rsid w:val="049D5915"/>
    <w:rsid w:val="04A503F1"/>
    <w:rsid w:val="04AE367F"/>
    <w:rsid w:val="04C42EA2"/>
    <w:rsid w:val="04C7797C"/>
    <w:rsid w:val="04E23328"/>
    <w:rsid w:val="04EB48D3"/>
    <w:rsid w:val="04F75026"/>
    <w:rsid w:val="04F76DD4"/>
    <w:rsid w:val="04F77579"/>
    <w:rsid w:val="04FC43EA"/>
    <w:rsid w:val="04FF3EDA"/>
    <w:rsid w:val="050140F6"/>
    <w:rsid w:val="05065269"/>
    <w:rsid w:val="050B287F"/>
    <w:rsid w:val="050F05C1"/>
    <w:rsid w:val="051408AA"/>
    <w:rsid w:val="051A51B8"/>
    <w:rsid w:val="0528547F"/>
    <w:rsid w:val="05410997"/>
    <w:rsid w:val="05412745"/>
    <w:rsid w:val="05452235"/>
    <w:rsid w:val="05483AD3"/>
    <w:rsid w:val="054A7305"/>
    <w:rsid w:val="054D733B"/>
    <w:rsid w:val="055B3806"/>
    <w:rsid w:val="05634469"/>
    <w:rsid w:val="056621AB"/>
    <w:rsid w:val="056703FD"/>
    <w:rsid w:val="05681A7F"/>
    <w:rsid w:val="056D353A"/>
    <w:rsid w:val="056E4DC6"/>
    <w:rsid w:val="05701C17"/>
    <w:rsid w:val="05760640"/>
    <w:rsid w:val="057B0E7B"/>
    <w:rsid w:val="05840A7B"/>
    <w:rsid w:val="05880374"/>
    <w:rsid w:val="058F525E"/>
    <w:rsid w:val="059C5BCD"/>
    <w:rsid w:val="059E418C"/>
    <w:rsid w:val="05A3087A"/>
    <w:rsid w:val="05A827C4"/>
    <w:rsid w:val="05B20F4D"/>
    <w:rsid w:val="05B747B5"/>
    <w:rsid w:val="05BF1780"/>
    <w:rsid w:val="05D15877"/>
    <w:rsid w:val="05D435B9"/>
    <w:rsid w:val="05D43C2C"/>
    <w:rsid w:val="05E337FC"/>
    <w:rsid w:val="05ED01D7"/>
    <w:rsid w:val="05EF3F4F"/>
    <w:rsid w:val="05F5136D"/>
    <w:rsid w:val="05F652DD"/>
    <w:rsid w:val="05FD666C"/>
    <w:rsid w:val="06085010"/>
    <w:rsid w:val="062C0CFF"/>
    <w:rsid w:val="062C51A3"/>
    <w:rsid w:val="063127B9"/>
    <w:rsid w:val="06314567"/>
    <w:rsid w:val="06317676"/>
    <w:rsid w:val="063876A4"/>
    <w:rsid w:val="06426774"/>
    <w:rsid w:val="0643576B"/>
    <w:rsid w:val="06471FDD"/>
    <w:rsid w:val="06472967"/>
    <w:rsid w:val="06516A5C"/>
    <w:rsid w:val="0661309E"/>
    <w:rsid w:val="06693D01"/>
    <w:rsid w:val="067A7CBC"/>
    <w:rsid w:val="06825418"/>
    <w:rsid w:val="06840B3B"/>
    <w:rsid w:val="068F128E"/>
    <w:rsid w:val="069C46B2"/>
    <w:rsid w:val="069F1AC2"/>
    <w:rsid w:val="06AC1E40"/>
    <w:rsid w:val="06C158EB"/>
    <w:rsid w:val="06CC603E"/>
    <w:rsid w:val="06D01FD2"/>
    <w:rsid w:val="06D25D4A"/>
    <w:rsid w:val="06D27AF8"/>
    <w:rsid w:val="06D373CC"/>
    <w:rsid w:val="06E67100"/>
    <w:rsid w:val="06F061D0"/>
    <w:rsid w:val="06F757B1"/>
    <w:rsid w:val="06FE6B3F"/>
    <w:rsid w:val="070103DE"/>
    <w:rsid w:val="070E48A8"/>
    <w:rsid w:val="07106873"/>
    <w:rsid w:val="071E0F8F"/>
    <w:rsid w:val="07230354"/>
    <w:rsid w:val="072440CC"/>
    <w:rsid w:val="073360BD"/>
    <w:rsid w:val="07373DFF"/>
    <w:rsid w:val="07397B77"/>
    <w:rsid w:val="073A744C"/>
    <w:rsid w:val="073E518E"/>
    <w:rsid w:val="074D3623"/>
    <w:rsid w:val="0758473E"/>
    <w:rsid w:val="07585B24"/>
    <w:rsid w:val="075C5D77"/>
    <w:rsid w:val="076A5F83"/>
    <w:rsid w:val="076B5857"/>
    <w:rsid w:val="077B0DE4"/>
    <w:rsid w:val="077C1812"/>
    <w:rsid w:val="07846919"/>
    <w:rsid w:val="078801B7"/>
    <w:rsid w:val="078F37D7"/>
    <w:rsid w:val="07950B26"/>
    <w:rsid w:val="079B25E0"/>
    <w:rsid w:val="079D5546"/>
    <w:rsid w:val="07A64DE9"/>
    <w:rsid w:val="07A86AAB"/>
    <w:rsid w:val="07AC57C1"/>
    <w:rsid w:val="07BB058C"/>
    <w:rsid w:val="07BC4304"/>
    <w:rsid w:val="07BC5DA1"/>
    <w:rsid w:val="07BE007D"/>
    <w:rsid w:val="07C5765D"/>
    <w:rsid w:val="07D77390"/>
    <w:rsid w:val="0802440D"/>
    <w:rsid w:val="080C703A"/>
    <w:rsid w:val="080D2DB2"/>
    <w:rsid w:val="08123F24"/>
    <w:rsid w:val="08163A15"/>
    <w:rsid w:val="0822060B"/>
    <w:rsid w:val="08283748"/>
    <w:rsid w:val="082F4AD6"/>
    <w:rsid w:val="084E09A2"/>
    <w:rsid w:val="084F6F27"/>
    <w:rsid w:val="08534C69"/>
    <w:rsid w:val="085B3B1D"/>
    <w:rsid w:val="08646E76"/>
    <w:rsid w:val="0874698D"/>
    <w:rsid w:val="087B7D1C"/>
    <w:rsid w:val="087D1CE6"/>
    <w:rsid w:val="087D5842"/>
    <w:rsid w:val="088A4403"/>
    <w:rsid w:val="089B03BE"/>
    <w:rsid w:val="08A41020"/>
    <w:rsid w:val="08D13DE0"/>
    <w:rsid w:val="08D37B58"/>
    <w:rsid w:val="08E21B49"/>
    <w:rsid w:val="08E458C1"/>
    <w:rsid w:val="08E6788B"/>
    <w:rsid w:val="08E753B1"/>
    <w:rsid w:val="08EB074A"/>
    <w:rsid w:val="08EC29C7"/>
    <w:rsid w:val="08F42048"/>
    <w:rsid w:val="08FA0E71"/>
    <w:rsid w:val="090221EB"/>
    <w:rsid w:val="09023F99"/>
    <w:rsid w:val="09061CDB"/>
    <w:rsid w:val="09077801"/>
    <w:rsid w:val="090D306A"/>
    <w:rsid w:val="09127345"/>
    <w:rsid w:val="09175C96"/>
    <w:rsid w:val="09181A0E"/>
    <w:rsid w:val="091C14FF"/>
    <w:rsid w:val="091C32AD"/>
    <w:rsid w:val="0926237D"/>
    <w:rsid w:val="092C7268"/>
    <w:rsid w:val="093002C5"/>
    <w:rsid w:val="09376339"/>
    <w:rsid w:val="093920B1"/>
    <w:rsid w:val="093A1985"/>
    <w:rsid w:val="093C394F"/>
    <w:rsid w:val="09490FA0"/>
    <w:rsid w:val="094B1DE4"/>
    <w:rsid w:val="09581E0B"/>
    <w:rsid w:val="095962AF"/>
    <w:rsid w:val="0963712E"/>
    <w:rsid w:val="098340CC"/>
    <w:rsid w:val="09867D58"/>
    <w:rsid w:val="09880942"/>
    <w:rsid w:val="09954E0D"/>
    <w:rsid w:val="09976DD7"/>
    <w:rsid w:val="09A514F4"/>
    <w:rsid w:val="09AF4121"/>
    <w:rsid w:val="09B5434C"/>
    <w:rsid w:val="09B95C1B"/>
    <w:rsid w:val="09C000DC"/>
    <w:rsid w:val="09C6146A"/>
    <w:rsid w:val="09CA0F5B"/>
    <w:rsid w:val="09CF031F"/>
    <w:rsid w:val="09D122E9"/>
    <w:rsid w:val="09D21BBD"/>
    <w:rsid w:val="09D43B87"/>
    <w:rsid w:val="09D45935"/>
    <w:rsid w:val="09DC47EA"/>
    <w:rsid w:val="09DE0562"/>
    <w:rsid w:val="09E162A4"/>
    <w:rsid w:val="09E33DCA"/>
    <w:rsid w:val="09E518F1"/>
    <w:rsid w:val="09F2225F"/>
    <w:rsid w:val="09F935EE"/>
    <w:rsid w:val="09FB55B8"/>
    <w:rsid w:val="0A0C3321"/>
    <w:rsid w:val="0A110938"/>
    <w:rsid w:val="0A122902"/>
    <w:rsid w:val="0A1641A0"/>
    <w:rsid w:val="0A2F62B9"/>
    <w:rsid w:val="0A352E5C"/>
    <w:rsid w:val="0A3E54A5"/>
    <w:rsid w:val="0A4C1970"/>
    <w:rsid w:val="0A590531"/>
    <w:rsid w:val="0A5D3B7D"/>
    <w:rsid w:val="0A60541B"/>
    <w:rsid w:val="0A6F38B0"/>
    <w:rsid w:val="0A7315F2"/>
    <w:rsid w:val="0A762E91"/>
    <w:rsid w:val="0A782765"/>
    <w:rsid w:val="0A7B04A7"/>
    <w:rsid w:val="0A805DC8"/>
    <w:rsid w:val="0A80786B"/>
    <w:rsid w:val="0A825391"/>
    <w:rsid w:val="0A84735B"/>
    <w:rsid w:val="0A8C7FBE"/>
    <w:rsid w:val="0A8F5D00"/>
    <w:rsid w:val="0A9B46A5"/>
    <w:rsid w:val="0A9F4195"/>
    <w:rsid w:val="0A9F5995"/>
    <w:rsid w:val="0AA2244C"/>
    <w:rsid w:val="0AA239F4"/>
    <w:rsid w:val="0AA51080"/>
    <w:rsid w:val="0AB13EC9"/>
    <w:rsid w:val="0AB15CA1"/>
    <w:rsid w:val="0AB3379D"/>
    <w:rsid w:val="0AB87005"/>
    <w:rsid w:val="0AC37758"/>
    <w:rsid w:val="0AC459AA"/>
    <w:rsid w:val="0AE71698"/>
    <w:rsid w:val="0AEC4F01"/>
    <w:rsid w:val="0AF838A6"/>
    <w:rsid w:val="0B1266AC"/>
    <w:rsid w:val="0B1F7084"/>
    <w:rsid w:val="0B297F03"/>
    <w:rsid w:val="0B30059D"/>
    <w:rsid w:val="0B301291"/>
    <w:rsid w:val="0B32572E"/>
    <w:rsid w:val="0B3D39AE"/>
    <w:rsid w:val="0B3F3282"/>
    <w:rsid w:val="0B4B1C27"/>
    <w:rsid w:val="0B50723E"/>
    <w:rsid w:val="0B6D609B"/>
    <w:rsid w:val="0B766793"/>
    <w:rsid w:val="0B8654C7"/>
    <w:rsid w:val="0B9051E2"/>
    <w:rsid w:val="0B9623F0"/>
    <w:rsid w:val="0B986D64"/>
    <w:rsid w:val="0B9F3D21"/>
    <w:rsid w:val="0BA24760"/>
    <w:rsid w:val="0BA27697"/>
    <w:rsid w:val="0BA8707A"/>
    <w:rsid w:val="0BAA1044"/>
    <w:rsid w:val="0BB21CA6"/>
    <w:rsid w:val="0BC55E7E"/>
    <w:rsid w:val="0BC8771C"/>
    <w:rsid w:val="0BDC4F75"/>
    <w:rsid w:val="0BE04A65"/>
    <w:rsid w:val="0BE46C14"/>
    <w:rsid w:val="0BF202F5"/>
    <w:rsid w:val="0BF422BF"/>
    <w:rsid w:val="0BFC5617"/>
    <w:rsid w:val="0BFE4EEC"/>
    <w:rsid w:val="0BFF0B93"/>
    <w:rsid w:val="0C012C2E"/>
    <w:rsid w:val="0C061FF2"/>
    <w:rsid w:val="0C112E71"/>
    <w:rsid w:val="0C1E558E"/>
    <w:rsid w:val="0C3923C8"/>
    <w:rsid w:val="0C3B1C9C"/>
    <w:rsid w:val="0C3C5A14"/>
    <w:rsid w:val="0C523489"/>
    <w:rsid w:val="0C526FE5"/>
    <w:rsid w:val="0C542D5E"/>
    <w:rsid w:val="0C6C454B"/>
    <w:rsid w:val="0C6D5C48"/>
    <w:rsid w:val="0C796C68"/>
    <w:rsid w:val="0C807FF6"/>
    <w:rsid w:val="0C8278CB"/>
    <w:rsid w:val="0C8D626F"/>
    <w:rsid w:val="0C9E047D"/>
    <w:rsid w:val="0CAA0BCF"/>
    <w:rsid w:val="0CAA5073"/>
    <w:rsid w:val="0CAE6912"/>
    <w:rsid w:val="0CB33F28"/>
    <w:rsid w:val="0CB63A18"/>
    <w:rsid w:val="0CC53C5B"/>
    <w:rsid w:val="0CC61477"/>
    <w:rsid w:val="0CC7692F"/>
    <w:rsid w:val="0CCF1B18"/>
    <w:rsid w:val="0CD10852"/>
    <w:rsid w:val="0CDF4D1D"/>
    <w:rsid w:val="0D026C5D"/>
    <w:rsid w:val="0D0D2949"/>
    <w:rsid w:val="0D2546FA"/>
    <w:rsid w:val="0D2766C4"/>
    <w:rsid w:val="0D2B1312"/>
    <w:rsid w:val="0D2C3CDA"/>
    <w:rsid w:val="0D2C5A88"/>
    <w:rsid w:val="0D307327"/>
    <w:rsid w:val="0D470B14"/>
    <w:rsid w:val="0D4869EC"/>
    <w:rsid w:val="0D4A5F0F"/>
    <w:rsid w:val="0D505C1B"/>
    <w:rsid w:val="0D58687D"/>
    <w:rsid w:val="0D613984"/>
    <w:rsid w:val="0D645222"/>
    <w:rsid w:val="0D690A8B"/>
    <w:rsid w:val="0D6B4803"/>
    <w:rsid w:val="0D703BC7"/>
    <w:rsid w:val="0D737D07"/>
    <w:rsid w:val="0D9231E6"/>
    <w:rsid w:val="0DAD4E1B"/>
    <w:rsid w:val="0DB461AA"/>
    <w:rsid w:val="0DCE4AEA"/>
    <w:rsid w:val="0DCE6B40"/>
    <w:rsid w:val="0DD423A8"/>
    <w:rsid w:val="0DD73C46"/>
    <w:rsid w:val="0DDA3736"/>
    <w:rsid w:val="0DDA54E4"/>
    <w:rsid w:val="0DE40111"/>
    <w:rsid w:val="0DE64201"/>
    <w:rsid w:val="0DEB14A0"/>
    <w:rsid w:val="0DF5231E"/>
    <w:rsid w:val="0DF93BBD"/>
    <w:rsid w:val="0E0B7D94"/>
    <w:rsid w:val="0E0E518E"/>
    <w:rsid w:val="0E1704E7"/>
    <w:rsid w:val="0E1F65D3"/>
    <w:rsid w:val="0E214EC1"/>
    <w:rsid w:val="0E2449B2"/>
    <w:rsid w:val="0E2826F4"/>
    <w:rsid w:val="0E2965CE"/>
    <w:rsid w:val="0E2C21E4"/>
    <w:rsid w:val="0E370B89"/>
    <w:rsid w:val="0E370ED7"/>
    <w:rsid w:val="0E427C91"/>
    <w:rsid w:val="0E43752E"/>
    <w:rsid w:val="0E4B63E2"/>
    <w:rsid w:val="0E5B6625"/>
    <w:rsid w:val="0E83792A"/>
    <w:rsid w:val="0E9E4764"/>
    <w:rsid w:val="0EAA7E23"/>
    <w:rsid w:val="0EAE7EF9"/>
    <w:rsid w:val="0EB83A78"/>
    <w:rsid w:val="0EBC4BEA"/>
    <w:rsid w:val="0EC51CF1"/>
    <w:rsid w:val="0EC56195"/>
    <w:rsid w:val="0EC817E1"/>
    <w:rsid w:val="0ED63EFE"/>
    <w:rsid w:val="0ED71A24"/>
    <w:rsid w:val="0EDB39C9"/>
    <w:rsid w:val="0EEF6D6E"/>
    <w:rsid w:val="0EF645A0"/>
    <w:rsid w:val="0F022F45"/>
    <w:rsid w:val="0F0767AD"/>
    <w:rsid w:val="0F0F11BE"/>
    <w:rsid w:val="0F114F36"/>
    <w:rsid w:val="0F152C78"/>
    <w:rsid w:val="0F16254C"/>
    <w:rsid w:val="0F242EBB"/>
    <w:rsid w:val="0F362BEE"/>
    <w:rsid w:val="0F3F7CF5"/>
    <w:rsid w:val="0F451083"/>
    <w:rsid w:val="0F4A0448"/>
    <w:rsid w:val="0F5337A0"/>
    <w:rsid w:val="0F5372FC"/>
    <w:rsid w:val="0F543075"/>
    <w:rsid w:val="0F6459AD"/>
    <w:rsid w:val="0F6634D4"/>
    <w:rsid w:val="0F6E2388"/>
    <w:rsid w:val="0F73174D"/>
    <w:rsid w:val="0F76123D"/>
    <w:rsid w:val="0F7F0965"/>
    <w:rsid w:val="0F827BE2"/>
    <w:rsid w:val="0F895414"/>
    <w:rsid w:val="0F8C6CB2"/>
    <w:rsid w:val="0F9811B3"/>
    <w:rsid w:val="0F9D094B"/>
    <w:rsid w:val="0FA04CB8"/>
    <w:rsid w:val="0FA11C4F"/>
    <w:rsid w:val="0FA83B17"/>
    <w:rsid w:val="0FA933C0"/>
    <w:rsid w:val="0FAE4E7B"/>
    <w:rsid w:val="0FC300EF"/>
    <w:rsid w:val="0FD348E1"/>
    <w:rsid w:val="0FD52407"/>
    <w:rsid w:val="0FDC19E8"/>
    <w:rsid w:val="0FEF171B"/>
    <w:rsid w:val="0FFA3C1C"/>
    <w:rsid w:val="0FFF1232"/>
    <w:rsid w:val="10044A9B"/>
    <w:rsid w:val="100A3754"/>
    <w:rsid w:val="10101691"/>
    <w:rsid w:val="10280639"/>
    <w:rsid w:val="102F58A8"/>
    <w:rsid w:val="105A290D"/>
    <w:rsid w:val="10645539"/>
    <w:rsid w:val="106D2640"/>
    <w:rsid w:val="10806817"/>
    <w:rsid w:val="108F3EB7"/>
    <w:rsid w:val="10914580"/>
    <w:rsid w:val="10961B97"/>
    <w:rsid w:val="10B464C1"/>
    <w:rsid w:val="10B75C87"/>
    <w:rsid w:val="10D91A83"/>
    <w:rsid w:val="10DE709A"/>
    <w:rsid w:val="10E5667A"/>
    <w:rsid w:val="10F13271"/>
    <w:rsid w:val="10F66AD9"/>
    <w:rsid w:val="10F945B7"/>
    <w:rsid w:val="110034B4"/>
    <w:rsid w:val="11034D52"/>
    <w:rsid w:val="11036B00"/>
    <w:rsid w:val="11056D1C"/>
    <w:rsid w:val="110F36F7"/>
    <w:rsid w:val="110F7B9B"/>
    <w:rsid w:val="11145FBB"/>
    <w:rsid w:val="111807FE"/>
    <w:rsid w:val="11186A50"/>
    <w:rsid w:val="111948CF"/>
    <w:rsid w:val="111B209C"/>
    <w:rsid w:val="111D7BC2"/>
    <w:rsid w:val="112E6273"/>
    <w:rsid w:val="113413B0"/>
    <w:rsid w:val="11380EA0"/>
    <w:rsid w:val="1142587A"/>
    <w:rsid w:val="114535BD"/>
    <w:rsid w:val="114710E3"/>
    <w:rsid w:val="114E2471"/>
    <w:rsid w:val="114F61E9"/>
    <w:rsid w:val="115F642C"/>
    <w:rsid w:val="116457F1"/>
    <w:rsid w:val="116577BB"/>
    <w:rsid w:val="11692E07"/>
    <w:rsid w:val="116C28F7"/>
    <w:rsid w:val="11785740"/>
    <w:rsid w:val="11943BFC"/>
    <w:rsid w:val="119B31DD"/>
    <w:rsid w:val="11A93B4C"/>
    <w:rsid w:val="11B12A00"/>
    <w:rsid w:val="11B81FE1"/>
    <w:rsid w:val="11CC3396"/>
    <w:rsid w:val="11CC783A"/>
    <w:rsid w:val="11CE710E"/>
    <w:rsid w:val="11D02E86"/>
    <w:rsid w:val="11D95B37"/>
    <w:rsid w:val="11DB3977"/>
    <w:rsid w:val="11DD1A47"/>
    <w:rsid w:val="11E2701D"/>
    <w:rsid w:val="11E3705D"/>
    <w:rsid w:val="11E372EB"/>
    <w:rsid w:val="11F052D6"/>
    <w:rsid w:val="12045226"/>
    <w:rsid w:val="12047FC4"/>
    <w:rsid w:val="12097BB6"/>
    <w:rsid w:val="1212349F"/>
    <w:rsid w:val="121420F8"/>
    <w:rsid w:val="121D1E44"/>
    <w:rsid w:val="12296A3A"/>
    <w:rsid w:val="1230601B"/>
    <w:rsid w:val="12490E8B"/>
    <w:rsid w:val="12531755"/>
    <w:rsid w:val="125A6BF4"/>
    <w:rsid w:val="12677DCE"/>
    <w:rsid w:val="12704669"/>
    <w:rsid w:val="12745F08"/>
    <w:rsid w:val="12751C80"/>
    <w:rsid w:val="128A6C43"/>
    <w:rsid w:val="128B14A3"/>
    <w:rsid w:val="128B3251"/>
    <w:rsid w:val="128D6FC9"/>
    <w:rsid w:val="12902616"/>
    <w:rsid w:val="1297339E"/>
    <w:rsid w:val="129974AA"/>
    <w:rsid w:val="129C0FBA"/>
    <w:rsid w:val="12A14823"/>
    <w:rsid w:val="12A61E39"/>
    <w:rsid w:val="12B11C20"/>
    <w:rsid w:val="12BA604F"/>
    <w:rsid w:val="12CA08F2"/>
    <w:rsid w:val="12CD386A"/>
    <w:rsid w:val="12CF313E"/>
    <w:rsid w:val="12DE7825"/>
    <w:rsid w:val="12E070F9"/>
    <w:rsid w:val="12E666D9"/>
    <w:rsid w:val="12EF778D"/>
    <w:rsid w:val="12F708E7"/>
    <w:rsid w:val="130F3E82"/>
    <w:rsid w:val="13141499"/>
    <w:rsid w:val="13280AA0"/>
    <w:rsid w:val="132C4AE6"/>
    <w:rsid w:val="13392CAD"/>
    <w:rsid w:val="134578A4"/>
    <w:rsid w:val="134F427F"/>
    <w:rsid w:val="13516249"/>
    <w:rsid w:val="13541895"/>
    <w:rsid w:val="135D699C"/>
    <w:rsid w:val="135E2714"/>
    <w:rsid w:val="13750189"/>
    <w:rsid w:val="13765CAF"/>
    <w:rsid w:val="13877EBC"/>
    <w:rsid w:val="139A199E"/>
    <w:rsid w:val="139F5206"/>
    <w:rsid w:val="13BB36C2"/>
    <w:rsid w:val="13C06F2A"/>
    <w:rsid w:val="13C24A51"/>
    <w:rsid w:val="13C46A1B"/>
    <w:rsid w:val="13C609E5"/>
    <w:rsid w:val="13CC58CF"/>
    <w:rsid w:val="13D628C0"/>
    <w:rsid w:val="13E62E35"/>
    <w:rsid w:val="13E7683E"/>
    <w:rsid w:val="13E76BAD"/>
    <w:rsid w:val="13EE1CEA"/>
    <w:rsid w:val="13EE3752"/>
    <w:rsid w:val="13FD1F2D"/>
    <w:rsid w:val="14096B23"/>
    <w:rsid w:val="140E5EE8"/>
    <w:rsid w:val="14123C2A"/>
    <w:rsid w:val="141A488D"/>
    <w:rsid w:val="141D25CF"/>
    <w:rsid w:val="14221993"/>
    <w:rsid w:val="142C45C0"/>
    <w:rsid w:val="14397409"/>
    <w:rsid w:val="1448764C"/>
    <w:rsid w:val="144E2788"/>
    <w:rsid w:val="145C4EA5"/>
    <w:rsid w:val="14787805"/>
    <w:rsid w:val="148B307B"/>
    <w:rsid w:val="1493260E"/>
    <w:rsid w:val="1497412F"/>
    <w:rsid w:val="14975EDD"/>
    <w:rsid w:val="14977A74"/>
    <w:rsid w:val="149A3C1F"/>
    <w:rsid w:val="149E726C"/>
    <w:rsid w:val="14A405FA"/>
    <w:rsid w:val="14AC1432"/>
    <w:rsid w:val="14B051F1"/>
    <w:rsid w:val="14B06F9F"/>
    <w:rsid w:val="14B974C3"/>
    <w:rsid w:val="14C447F8"/>
    <w:rsid w:val="14C52A4A"/>
    <w:rsid w:val="14CA62B3"/>
    <w:rsid w:val="14D30834"/>
    <w:rsid w:val="14E135FC"/>
    <w:rsid w:val="14E54E9B"/>
    <w:rsid w:val="14E61306"/>
    <w:rsid w:val="14EA0703"/>
    <w:rsid w:val="14FE7D0A"/>
    <w:rsid w:val="15007F26"/>
    <w:rsid w:val="15015A4D"/>
    <w:rsid w:val="151C63E2"/>
    <w:rsid w:val="15316332"/>
    <w:rsid w:val="15393438"/>
    <w:rsid w:val="1551198D"/>
    <w:rsid w:val="15541CD3"/>
    <w:rsid w:val="155D0ED5"/>
    <w:rsid w:val="15632263"/>
    <w:rsid w:val="156A1844"/>
    <w:rsid w:val="15784C83"/>
    <w:rsid w:val="15791A87"/>
    <w:rsid w:val="15973CBB"/>
    <w:rsid w:val="15A22D8C"/>
    <w:rsid w:val="15B12FCF"/>
    <w:rsid w:val="15B605E5"/>
    <w:rsid w:val="15BA4A5C"/>
    <w:rsid w:val="15BB209F"/>
    <w:rsid w:val="15BB3E4D"/>
    <w:rsid w:val="15C03212"/>
    <w:rsid w:val="15C05BFB"/>
    <w:rsid w:val="15C34A07"/>
    <w:rsid w:val="15C727F2"/>
    <w:rsid w:val="15C745A0"/>
    <w:rsid w:val="15D148D2"/>
    <w:rsid w:val="15E45152"/>
    <w:rsid w:val="15F35395"/>
    <w:rsid w:val="15FF1F8C"/>
    <w:rsid w:val="160F7CF5"/>
    <w:rsid w:val="16111CBF"/>
    <w:rsid w:val="16112F8C"/>
    <w:rsid w:val="16117F11"/>
    <w:rsid w:val="161517B0"/>
    <w:rsid w:val="161F618A"/>
    <w:rsid w:val="162419F3"/>
    <w:rsid w:val="162E2871"/>
    <w:rsid w:val="163A1216"/>
    <w:rsid w:val="164B6F7F"/>
    <w:rsid w:val="165C73DE"/>
    <w:rsid w:val="165F0C7D"/>
    <w:rsid w:val="165F6ECF"/>
    <w:rsid w:val="166149F5"/>
    <w:rsid w:val="16677B31"/>
    <w:rsid w:val="16695657"/>
    <w:rsid w:val="166B13D0"/>
    <w:rsid w:val="166B7621"/>
    <w:rsid w:val="166E7112"/>
    <w:rsid w:val="16730284"/>
    <w:rsid w:val="16781D3E"/>
    <w:rsid w:val="167C538B"/>
    <w:rsid w:val="168129A1"/>
    <w:rsid w:val="16832BBD"/>
    <w:rsid w:val="169052DA"/>
    <w:rsid w:val="169F72CB"/>
    <w:rsid w:val="16A14DF1"/>
    <w:rsid w:val="16A668AC"/>
    <w:rsid w:val="16A6744E"/>
    <w:rsid w:val="16AB5C70"/>
    <w:rsid w:val="16BC7E7D"/>
    <w:rsid w:val="16BE3BF5"/>
    <w:rsid w:val="16C60CFC"/>
    <w:rsid w:val="16CB00C0"/>
    <w:rsid w:val="16D231FD"/>
    <w:rsid w:val="16DC6DF7"/>
    <w:rsid w:val="16E573D4"/>
    <w:rsid w:val="16F615E1"/>
    <w:rsid w:val="16F77107"/>
    <w:rsid w:val="16FE3FF2"/>
    <w:rsid w:val="17011D34"/>
    <w:rsid w:val="172C5003"/>
    <w:rsid w:val="173C2D6C"/>
    <w:rsid w:val="1740460A"/>
    <w:rsid w:val="174165D4"/>
    <w:rsid w:val="17424826"/>
    <w:rsid w:val="174D4F79"/>
    <w:rsid w:val="175400B6"/>
    <w:rsid w:val="17555BDC"/>
    <w:rsid w:val="1759391E"/>
    <w:rsid w:val="175C51BC"/>
    <w:rsid w:val="175D340E"/>
    <w:rsid w:val="176D73C9"/>
    <w:rsid w:val="177469AA"/>
    <w:rsid w:val="17771FF6"/>
    <w:rsid w:val="17792D0D"/>
    <w:rsid w:val="1783099B"/>
    <w:rsid w:val="17944956"/>
    <w:rsid w:val="17A032FB"/>
    <w:rsid w:val="17A42169"/>
    <w:rsid w:val="17A56B63"/>
    <w:rsid w:val="17AD77C6"/>
    <w:rsid w:val="17B1375A"/>
    <w:rsid w:val="17CC2342"/>
    <w:rsid w:val="17CF598E"/>
    <w:rsid w:val="17D9680D"/>
    <w:rsid w:val="17DA3589"/>
    <w:rsid w:val="17DD454F"/>
    <w:rsid w:val="17DE6207"/>
    <w:rsid w:val="17E22656"/>
    <w:rsid w:val="17F51899"/>
    <w:rsid w:val="18000A51"/>
    <w:rsid w:val="18025D64"/>
    <w:rsid w:val="180B10BC"/>
    <w:rsid w:val="180E295A"/>
    <w:rsid w:val="18141FD9"/>
    <w:rsid w:val="18172C46"/>
    <w:rsid w:val="18187335"/>
    <w:rsid w:val="181A12FF"/>
    <w:rsid w:val="181B6E25"/>
    <w:rsid w:val="181F6915"/>
    <w:rsid w:val="18267CA4"/>
    <w:rsid w:val="182A7068"/>
    <w:rsid w:val="18422604"/>
    <w:rsid w:val="184E2D57"/>
    <w:rsid w:val="18510A99"/>
    <w:rsid w:val="18561D8C"/>
    <w:rsid w:val="18566873"/>
    <w:rsid w:val="18567E5D"/>
    <w:rsid w:val="18697B91"/>
    <w:rsid w:val="186B56B7"/>
    <w:rsid w:val="186D58D3"/>
    <w:rsid w:val="186E164B"/>
    <w:rsid w:val="18711C44"/>
    <w:rsid w:val="1878315A"/>
    <w:rsid w:val="187A1D9E"/>
    <w:rsid w:val="188D1AD1"/>
    <w:rsid w:val="18915A15"/>
    <w:rsid w:val="189664AC"/>
    <w:rsid w:val="189C1D14"/>
    <w:rsid w:val="18A62129"/>
    <w:rsid w:val="18A706B9"/>
    <w:rsid w:val="18A94431"/>
    <w:rsid w:val="18B90B18"/>
    <w:rsid w:val="18C1177B"/>
    <w:rsid w:val="18D53221"/>
    <w:rsid w:val="18DD23DD"/>
    <w:rsid w:val="18E15979"/>
    <w:rsid w:val="18E216F1"/>
    <w:rsid w:val="18E35B95"/>
    <w:rsid w:val="18ED6A14"/>
    <w:rsid w:val="190B6E9A"/>
    <w:rsid w:val="191044B0"/>
    <w:rsid w:val="1917583F"/>
    <w:rsid w:val="191B532F"/>
    <w:rsid w:val="191D7DDA"/>
    <w:rsid w:val="1921046B"/>
    <w:rsid w:val="19216677"/>
    <w:rsid w:val="192A5572"/>
    <w:rsid w:val="192F4936"/>
    <w:rsid w:val="19341F4D"/>
    <w:rsid w:val="193A152D"/>
    <w:rsid w:val="19404D95"/>
    <w:rsid w:val="19566367"/>
    <w:rsid w:val="19573E8D"/>
    <w:rsid w:val="195A6784"/>
    <w:rsid w:val="195C76F5"/>
    <w:rsid w:val="195E16BF"/>
    <w:rsid w:val="19650358"/>
    <w:rsid w:val="19670574"/>
    <w:rsid w:val="1977008B"/>
    <w:rsid w:val="198527A8"/>
    <w:rsid w:val="19960E59"/>
    <w:rsid w:val="19AD7F51"/>
    <w:rsid w:val="19AE61A3"/>
    <w:rsid w:val="19AF5A77"/>
    <w:rsid w:val="19BB50AC"/>
    <w:rsid w:val="19C05ED6"/>
    <w:rsid w:val="19C07C84"/>
    <w:rsid w:val="19C5529B"/>
    <w:rsid w:val="19C808E7"/>
    <w:rsid w:val="19C9685F"/>
    <w:rsid w:val="19D76D7C"/>
    <w:rsid w:val="19DB2B9E"/>
    <w:rsid w:val="19E219A9"/>
    <w:rsid w:val="19E35721"/>
    <w:rsid w:val="19EC6CCB"/>
    <w:rsid w:val="1A07140F"/>
    <w:rsid w:val="1A0933D9"/>
    <w:rsid w:val="1A09478B"/>
    <w:rsid w:val="1A0C2EC9"/>
    <w:rsid w:val="1A0C4C78"/>
    <w:rsid w:val="1A0F29BA"/>
    <w:rsid w:val="1A1104E0"/>
    <w:rsid w:val="1A141D7E"/>
    <w:rsid w:val="1A1A2CB5"/>
    <w:rsid w:val="1A1B4EBB"/>
    <w:rsid w:val="1A3348FA"/>
    <w:rsid w:val="1A3379F8"/>
    <w:rsid w:val="1A400DC5"/>
    <w:rsid w:val="1A441FF9"/>
    <w:rsid w:val="1A457223"/>
    <w:rsid w:val="1A4B1C44"/>
    <w:rsid w:val="1A5B79AD"/>
    <w:rsid w:val="1A5F56EF"/>
    <w:rsid w:val="1A6525DA"/>
    <w:rsid w:val="1A732F49"/>
    <w:rsid w:val="1A734E8B"/>
    <w:rsid w:val="1A78230D"/>
    <w:rsid w:val="1A7F5449"/>
    <w:rsid w:val="1A8A3DEE"/>
    <w:rsid w:val="1AA11EB5"/>
    <w:rsid w:val="1AA44EB0"/>
    <w:rsid w:val="1AAE21D3"/>
    <w:rsid w:val="1AB8095B"/>
    <w:rsid w:val="1ABC044C"/>
    <w:rsid w:val="1AC34156"/>
    <w:rsid w:val="1AC94917"/>
    <w:rsid w:val="1ACE017F"/>
    <w:rsid w:val="1AE6196C"/>
    <w:rsid w:val="1AE654C9"/>
    <w:rsid w:val="1AEB6F83"/>
    <w:rsid w:val="1AEC6857"/>
    <w:rsid w:val="1AEF468E"/>
    <w:rsid w:val="1AF37BE5"/>
    <w:rsid w:val="1AF9174A"/>
    <w:rsid w:val="1AFC4CEC"/>
    <w:rsid w:val="1B005AA3"/>
    <w:rsid w:val="1B0E2C71"/>
    <w:rsid w:val="1B177D78"/>
    <w:rsid w:val="1B2129A5"/>
    <w:rsid w:val="1B2A153B"/>
    <w:rsid w:val="1B2F0E01"/>
    <w:rsid w:val="1B3A3A66"/>
    <w:rsid w:val="1B3A75C2"/>
    <w:rsid w:val="1B3C158C"/>
    <w:rsid w:val="1B561DD6"/>
    <w:rsid w:val="1B5C39DD"/>
    <w:rsid w:val="1B5E7755"/>
    <w:rsid w:val="1B617245"/>
    <w:rsid w:val="1B6478FB"/>
    <w:rsid w:val="1B697EA8"/>
    <w:rsid w:val="1B6B3C20"/>
    <w:rsid w:val="1B770817"/>
    <w:rsid w:val="1B7C5E2D"/>
    <w:rsid w:val="1B8F5B60"/>
    <w:rsid w:val="1B9051DB"/>
    <w:rsid w:val="1B9969DF"/>
    <w:rsid w:val="1BA03226"/>
    <w:rsid w:val="1BA55384"/>
    <w:rsid w:val="1BB27C53"/>
    <w:rsid w:val="1BB90E2F"/>
    <w:rsid w:val="1BBD091F"/>
    <w:rsid w:val="1BDC3A6D"/>
    <w:rsid w:val="1BE834C2"/>
    <w:rsid w:val="1BEA2D97"/>
    <w:rsid w:val="1BEC4D61"/>
    <w:rsid w:val="1BF105C9"/>
    <w:rsid w:val="1BF260EF"/>
    <w:rsid w:val="1C0227D6"/>
    <w:rsid w:val="1C057BD0"/>
    <w:rsid w:val="1C077DEC"/>
    <w:rsid w:val="1C277060"/>
    <w:rsid w:val="1C2E35CB"/>
    <w:rsid w:val="1C2F2E9F"/>
    <w:rsid w:val="1C3503ED"/>
    <w:rsid w:val="1C381D54"/>
    <w:rsid w:val="1C44694B"/>
    <w:rsid w:val="1C4526C3"/>
    <w:rsid w:val="1C5B07CA"/>
    <w:rsid w:val="1C5B3C94"/>
    <w:rsid w:val="1C5E5533"/>
    <w:rsid w:val="1C5E7E41"/>
    <w:rsid w:val="1C67088B"/>
    <w:rsid w:val="1C705992"/>
    <w:rsid w:val="1C766D20"/>
    <w:rsid w:val="1C844F99"/>
    <w:rsid w:val="1C870A91"/>
    <w:rsid w:val="1C890801"/>
    <w:rsid w:val="1C8E7BC6"/>
    <w:rsid w:val="1C907DE2"/>
    <w:rsid w:val="1C9A2A0F"/>
    <w:rsid w:val="1C9D24FF"/>
    <w:rsid w:val="1CA23671"/>
    <w:rsid w:val="1CAB4C1C"/>
    <w:rsid w:val="1CD06430"/>
    <w:rsid w:val="1CED6FE2"/>
    <w:rsid w:val="1CF00880"/>
    <w:rsid w:val="1D047715"/>
    <w:rsid w:val="1D126A49"/>
    <w:rsid w:val="1D1A3B4F"/>
    <w:rsid w:val="1D2B18B9"/>
    <w:rsid w:val="1D344C11"/>
    <w:rsid w:val="1D352737"/>
    <w:rsid w:val="1D3A4C2A"/>
    <w:rsid w:val="1D42724D"/>
    <w:rsid w:val="1D491D3F"/>
    <w:rsid w:val="1D4E37F9"/>
    <w:rsid w:val="1D507571"/>
    <w:rsid w:val="1D526E45"/>
    <w:rsid w:val="1D540E0F"/>
    <w:rsid w:val="1D596426"/>
    <w:rsid w:val="1D7414B2"/>
    <w:rsid w:val="1D77045C"/>
    <w:rsid w:val="1D8343B6"/>
    <w:rsid w:val="1D880AB9"/>
    <w:rsid w:val="1D896CCA"/>
    <w:rsid w:val="1D8D2573"/>
    <w:rsid w:val="1D905BC0"/>
    <w:rsid w:val="1D9C1DCD"/>
    <w:rsid w:val="1D9F24E2"/>
    <w:rsid w:val="1DA5166B"/>
    <w:rsid w:val="1DA63635"/>
    <w:rsid w:val="1DAC0C4B"/>
    <w:rsid w:val="1DAF647B"/>
    <w:rsid w:val="1DB25B36"/>
    <w:rsid w:val="1DB6149E"/>
    <w:rsid w:val="1DCD471E"/>
    <w:rsid w:val="1DD71A40"/>
    <w:rsid w:val="1DDE4B7D"/>
    <w:rsid w:val="1DDF4451"/>
    <w:rsid w:val="1DE026A3"/>
    <w:rsid w:val="1DE657E0"/>
    <w:rsid w:val="1DE859FC"/>
    <w:rsid w:val="1DF148B0"/>
    <w:rsid w:val="1DFD14A7"/>
    <w:rsid w:val="1DFE521F"/>
    <w:rsid w:val="1E010371"/>
    <w:rsid w:val="1E081BFA"/>
    <w:rsid w:val="1E0F2F88"/>
    <w:rsid w:val="1E1B7B7F"/>
    <w:rsid w:val="1E37428D"/>
    <w:rsid w:val="1E42510C"/>
    <w:rsid w:val="1E682698"/>
    <w:rsid w:val="1E702911"/>
    <w:rsid w:val="1E793B0D"/>
    <w:rsid w:val="1E7948A6"/>
    <w:rsid w:val="1E7B061E"/>
    <w:rsid w:val="1E85324A"/>
    <w:rsid w:val="1E876FC3"/>
    <w:rsid w:val="1E8A0861"/>
    <w:rsid w:val="1E9048DA"/>
    <w:rsid w:val="1E960FB4"/>
    <w:rsid w:val="1E96319D"/>
    <w:rsid w:val="1E990AA4"/>
    <w:rsid w:val="1E9D2342"/>
    <w:rsid w:val="1EA01E32"/>
    <w:rsid w:val="1EB623F9"/>
    <w:rsid w:val="1EBA7398"/>
    <w:rsid w:val="1ED41ADC"/>
    <w:rsid w:val="1ED815CC"/>
    <w:rsid w:val="1EE6018D"/>
    <w:rsid w:val="1EEB57A3"/>
    <w:rsid w:val="1EF81C6E"/>
    <w:rsid w:val="1F0625DD"/>
    <w:rsid w:val="1F073C5F"/>
    <w:rsid w:val="1F0B19A2"/>
    <w:rsid w:val="1F100D66"/>
    <w:rsid w:val="1F176598"/>
    <w:rsid w:val="1F185E6D"/>
    <w:rsid w:val="1F1B770B"/>
    <w:rsid w:val="1F240CB5"/>
    <w:rsid w:val="1F244811"/>
    <w:rsid w:val="1F443106"/>
    <w:rsid w:val="1F46080D"/>
    <w:rsid w:val="1F5275D0"/>
    <w:rsid w:val="1F6317DE"/>
    <w:rsid w:val="1F69491A"/>
    <w:rsid w:val="1F7312F5"/>
    <w:rsid w:val="1F745799"/>
    <w:rsid w:val="1F882FF2"/>
    <w:rsid w:val="1F884DA0"/>
    <w:rsid w:val="1F903C55"/>
    <w:rsid w:val="1F9262CB"/>
    <w:rsid w:val="1FA77DFF"/>
    <w:rsid w:val="1FAB0A8F"/>
    <w:rsid w:val="1FAD2A59"/>
    <w:rsid w:val="1FB21E1D"/>
    <w:rsid w:val="1FC16504"/>
    <w:rsid w:val="1FC21ED8"/>
    <w:rsid w:val="1FC658C9"/>
    <w:rsid w:val="1FC81641"/>
    <w:rsid w:val="1FCA53B9"/>
    <w:rsid w:val="1FED72F9"/>
    <w:rsid w:val="2006261A"/>
    <w:rsid w:val="200B4F01"/>
    <w:rsid w:val="200F7270"/>
    <w:rsid w:val="20196340"/>
    <w:rsid w:val="20232D1B"/>
    <w:rsid w:val="20234AC9"/>
    <w:rsid w:val="20250841"/>
    <w:rsid w:val="202F16C0"/>
    <w:rsid w:val="2031368A"/>
    <w:rsid w:val="203B1E13"/>
    <w:rsid w:val="20450EE3"/>
    <w:rsid w:val="2059498F"/>
    <w:rsid w:val="20607ACB"/>
    <w:rsid w:val="206550E2"/>
    <w:rsid w:val="20665FED"/>
    <w:rsid w:val="207F2647"/>
    <w:rsid w:val="20956B1A"/>
    <w:rsid w:val="209D487B"/>
    <w:rsid w:val="20A53730"/>
    <w:rsid w:val="20A756FA"/>
    <w:rsid w:val="20AC0F62"/>
    <w:rsid w:val="20B71B63"/>
    <w:rsid w:val="20B816B5"/>
    <w:rsid w:val="20D61B3B"/>
    <w:rsid w:val="20DD736E"/>
    <w:rsid w:val="20E406FC"/>
    <w:rsid w:val="20E6661F"/>
    <w:rsid w:val="20EA3839"/>
    <w:rsid w:val="20EB1A8B"/>
    <w:rsid w:val="20EC49FE"/>
    <w:rsid w:val="20F070A1"/>
    <w:rsid w:val="20F52909"/>
    <w:rsid w:val="20FD356C"/>
    <w:rsid w:val="20FF72E4"/>
    <w:rsid w:val="21020B82"/>
    <w:rsid w:val="210D392C"/>
    <w:rsid w:val="210E5779"/>
    <w:rsid w:val="21132D8F"/>
    <w:rsid w:val="21277532"/>
    <w:rsid w:val="212A1E87"/>
    <w:rsid w:val="21423675"/>
    <w:rsid w:val="21476795"/>
    <w:rsid w:val="21486EDD"/>
    <w:rsid w:val="21594C05"/>
    <w:rsid w:val="21680866"/>
    <w:rsid w:val="216B497A"/>
    <w:rsid w:val="217750CC"/>
    <w:rsid w:val="217E28FF"/>
    <w:rsid w:val="218477E9"/>
    <w:rsid w:val="218E0668"/>
    <w:rsid w:val="2197576F"/>
    <w:rsid w:val="219914E7"/>
    <w:rsid w:val="219C0FD7"/>
    <w:rsid w:val="219E6AFD"/>
    <w:rsid w:val="21AB121A"/>
    <w:rsid w:val="21B93937"/>
    <w:rsid w:val="21BC3427"/>
    <w:rsid w:val="21BE2CFB"/>
    <w:rsid w:val="21C347B6"/>
    <w:rsid w:val="21CB366A"/>
    <w:rsid w:val="21DA38AD"/>
    <w:rsid w:val="21DC7625"/>
    <w:rsid w:val="21F77FBB"/>
    <w:rsid w:val="21F901D7"/>
    <w:rsid w:val="22196E21"/>
    <w:rsid w:val="2228687C"/>
    <w:rsid w:val="22364F87"/>
    <w:rsid w:val="22460F43"/>
    <w:rsid w:val="22482F0D"/>
    <w:rsid w:val="224F429B"/>
    <w:rsid w:val="22501E8E"/>
    <w:rsid w:val="22521696"/>
    <w:rsid w:val="22573150"/>
    <w:rsid w:val="226D707F"/>
    <w:rsid w:val="22714212"/>
    <w:rsid w:val="22745AB0"/>
    <w:rsid w:val="22765384"/>
    <w:rsid w:val="227B299A"/>
    <w:rsid w:val="227D2BB6"/>
    <w:rsid w:val="228A7081"/>
    <w:rsid w:val="229879F0"/>
    <w:rsid w:val="229B303C"/>
    <w:rsid w:val="229D5007"/>
    <w:rsid w:val="22A068A5"/>
    <w:rsid w:val="22A2261D"/>
    <w:rsid w:val="22A5210D"/>
    <w:rsid w:val="22A75E85"/>
    <w:rsid w:val="22A939AB"/>
    <w:rsid w:val="22AB6A02"/>
    <w:rsid w:val="22AE56B2"/>
    <w:rsid w:val="22AF6AE8"/>
    <w:rsid w:val="22B67E76"/>
    <w:rsid w:val="22B8599C"/>
    <w:rsid w:val="22C00CF5"/>
    <w:rsid w:val="22D36C7A"/>
    <w:rsid w:val="22D4654E"/>
    <w:rsid w:val="22D60519"/>
    <w:rsid w:val="22E42C35"/>
    <w:rsid w:val="22E95FB8"/>
    <w:rsid w:val="22EE13BE"/>
    <w:rsid w:val="22F40FDC"/>
    <w:rsid w:val="22F866E1"/>
    <w:rsid w:val="22FB1D2D"/>
    <w:rsid w:val="22FF7A6F"/>
    <w:rsid w:val="230112AA"/>
    <w:rsid w:val="2309444A"/>
    <w:rsid w:val="23203542"/>
    <w:rsid w:val="23286AB2"/>
    <w:rsid w:val="2329689A"/>
    <w:rsid w:val="233174FD"/>
    <w:rsid w:val="233D40F4"/>
    <w:rsid w:val="23496F3C"/>
    <w:rsid w:val="23645B24"/>
    <w:rsid w:val="23662661"/>
    <w:rsid w:val="237044C9"/>
    <w:rsid w:val="2385335F"/>
    <w:rsid w:val="23887A65"/>
    <w:rsid w:val="2389558B"/>
    <w:rsid w:val="238D0766"/>
    <w:rsid w:val="23922691"/>
    <w:rsid w:val="23953F30"/>
    <w:rsid w:val="23957A8C"/>
    <w:rsid w:val="23971A56"/>
    <w:rsid w:val="239C0AC9"/>
    <w:rsid w:val="239D2DE4"/>
    <w:rsid w:val="23A777BF"/>
    <w:rsid w:val="23A83C63"/>
    <w:rsid w:val="23A979DB"/>
    <w:rsid w:val="23B343B6"/>
    <w:rsid w:val="23BF2D5B"/>
    <w:rsid w:val="23CB7951"/>
    <w:rsid w:val="23CE2F9E"/>
    <w:rsid w:val="23DB3D90"/>
    <w:rsid w:val="23DE7685"/>
    <w:rsid w:val="23E10F23"/>
    <w:rsid w:val="23E629DD"/>
    <w:rsid w:val="23E97DD8"/>
    <w:rsid w:val="23ED5B1A"/>
    <w:rsid w:val="23F32A04"/>
    <w:rsid w:val="23F65E0E"/>
    <w:rsid w:val="2403533D"/>
    <w:rsid w:val="241E5CD3"/>
    <w:rsid w:val="24262DDA"/>
    <w:rsid w:val="24392B0D"/>
    <w:rsid w:val="243E24AD"/>
    <w:rsid w:val="24466FD8"/>
    <w:rsid w:val="24496798"/>
    <w:rsid w:val="245711E5"/>
    <w:rsid w:val="24590F3F"/>
    <w:rsid w:val="245C2C9F"/>
    <w:rsid w:val="245C67FB"/>
    <w:rsid w:val="245E2574"/>
    <w:rsid w:val="24612064"/>
    <w:rsid w:val="246A3BEC"/>
    <w:rsid w:val="247753E3"/>
    <w:rsid w:val="248875F1"/>
    <w:rsid w:val="249B37C8"/>
    <w:rsid w:val="24A65CC9"/>
    <w:rsid w:val="24BE74B6"/>
    <w:rsid w:val="24C3687B"/>
    <w:rsid w:val="24C83E91"/>
    <w:rsid w:val="24CA19B7"/>
    <w:rsid w:val="24D1781A"/>
    <w:rsid w:val="24E24F53"/>
    <w:rsid w:val="24E871BA"/>
    <w:rsid w:val="24FC618E"/>
    <w:rsid w:val="250550E5"/>
    <w:rsid w:val="252B4B4C"/>
    <w:rsid w:val="252D4FBC"/>
    <w:rsid w:val="25331C52"/>
    <w:rsid w:val="2535691E"/>
    <w:rsid w:val="254774AC"/>
    <w:rsid w:val="254B6F9C"/>
    <w:rsid w:val="255E0351"/>
    <w:rsid w:val="255F2A47"/>
    <w:rsid w:val="25697422"/>
    <w:rsid w:val="25723AA6"/>
    <w:rsid w:val="257D2ECD"/>
    <w:rsid w:val="25822292"/>
    <w:rsid w:val="258778A8"/>
    <w:rsid w:val="25910727"/>
    <w:rsid w:val="25940FBC"/>
    <w:rsid w:val="25950217"/>
    <w:rsid w:val="25981AB5"/>
    <w:rsid w:val="2598449D"/>
    <w:rsid w:val="25A4045A"/>
    <w:rsid w:val="25B05051"/>
    <w:rsid w:val="25B12B77"/>
    <w:rsid w:val="25BC39F6"/>
    <w:rsid w:val="25BC3C42"/>
    <w:rsid w:val="25CD79B1"/>
    <w:rsid w:val="25CE54D7"/>
    <w:rsid w:val="25D1584C"/>
    <w:rsid w:val="25D86356"/>
    <w:rsid w:val="25DA20CE"/>
    <w:rsid w:val="25E116AE"/>
    <w:rsid w:val="261016EC"/>
    <w:rsid w:val="26121868"/>
    <w:rsid w:val="2624159B"/>
    <w:rsid w:val="262D044F"/>
    <w:rsid w:val="26307F40"/>
    <w:rsid w:val="263C7BEF"/>
    <w:rsid w:val="2650413E"/>
    <w:rsid w:val="265B5FD7"/>
    <w:rsid w:val="266320C3"/>
    <w:rsid w:val="26667E05"/>
    <w:rsid w:val="26720558"/>
    <w:rsid w:val="267A740D"/>
    <w:rsid w:val="267C3185"/>
    <w:rsid w:val="267E0CAB"/>
    <w:rsid w:val="26906C30"/>
    <w:rsid w:val="269C7383"/>
    <w:rsid w:val="26A1499A"/>
    <w:rsid w:val="26A30712"/>
    <w:rsid w:val="26AE5FBD"/>
    <w:rsid w:val="26B06F68"/>
    <w:rsid w:val="26BE554B"/>
    <w:rsid w:val="26CD1C32"/>
    <w:rsid w:val="26CF1507"/>
    <w:rsid w:val="26DE5BEE"/>
    <w:rsid w:val="26E33204"/>
    <w:rsid w:val="26E36D60"/>
    <w:rsid w:val="26E56F7C"/>
    <w:rsid w:val="26ED7BDF"/>
    <w:rsid w:val="26F31699"/>
    <w:rsid w:val="27054F28"/>
    <w:rsid w:val="27206206"/>
    <w:rsid w:val="27221F7E"/>
    <w:rsid w:val="27271343"/>
    <w:rsid w:val="27315D1D"/>
    <w:rsid w:val="274243CE"/>
    <w:rsid w:val="274517C9"/>
    <w:rsid w:val="27457A1B"/>
    <w:rsid w:val="274E04C5"/>
    <w:rsid w:val="275859A0"/>
    <w:rsid w:val="275A34C6"/>
    <w:rsid w:val="275D3E3F"/>
    <w:rsid w:val="276763A6"/>
    <w:rsid w:val="276E6F72"/>
    <w:rsid w:val="277125BE"/>
    <w:rsid w:val="27724D82"/>
    <w:rsid w:val="277D6568"/>
    <w:rsid w:val="27810C45"/>
    <w:rsid w:val="27895B59"/>
    <w:rsid w:val="27897907"/>
    <w:rsid w:val="278C389C"/>
    <w:rsid w:val="279664C8"/>
    <w:rsid w:val="27A50A15"/>
    <w:rsid w:val="27A74A76"/>
    <w:rsid w:val="27AF30E6"/>
    <w:rsid w:val="27BA3F65"/>
    <w:rsid w:val="27CC3C98"/>
    <w:rsid w:val="27D06CEF"/>
    <w:rsid w:val="27D35027"/>
    <w:rsid w:val="27E234BC"/>
    <w:rsid w:val="27E56B08"/>
    <w:rsid w:val="27E72880"/>
    <w:rsid w:val="27EB76A3"/>
    <w:rsid w:val="27EC60E8"/>
    <w:rsid w:val="27F31225"/>
    <w:rsid w:val="27FC632B"/>
    <w:rsid w:val="280653FC"/>
    <w:rsid w:val="28090A48"/>
    <w:rsid w:val="28213FE4"/>
    <w:rsid w:val="28221B0A"/>
    <w:rsid w:val="282835C4"/>
    <w:rsid w:val="283261F1"/>
    <w:rsid w:val="28397580"/>
    <w:rsid w:val="284877C3"/>
    <w:rsid w:val="28520641"/>
    <w:rsid w:val="2858552C"/>
    <w:rsid w:val="28773C04"/>
    <w:rsid w:val="28864D7A"/>
    <w:rsid w:val="28A075FF"/>
    <w:rsid w:val="28AB1AFF"/>
    <w:rsid w:val="28B430AA"/>
    <w:rsid w:val="28B60BD0"/>
    <w:rsid w:val="28BC5ABB"/>
    <w:rsid w:val="28C0181B"/>
    <w:rsid w:val="28C3509B"/>
    <w:rsid w:val="28C64B8B"/>
    <w:rsid w:val="28CD1A76"/>
    <w:rsid w:val="28CF1C92"/>
    <w:rsid w:val="28D5667D"/>
    <w:rsid w:val="28D56B7C"/>
    <w:rsid w:val="28DE3C83"/>
    <w:rsid w:val="28E31299"/>
    <w:rsid w:val="29001E4B"/>
    <w:rsid w:val="29115E06"/>
    <w:rsid w:val="291162F4"/>
    <w:rsid w:val="29183639"/>
    <w:rsid w:val="292024ED"/>
    <w:rsid w:val="29220014"/>
    <w:rsid w:val="29233D8C"/>
    <w:rsid w:val="29253660"/>
    <w:rsid w:val="292813A2"/>
    <w:rsid w:val="29347D47"/>
    <w:rsid w:val="29363ABF"/>
    <w:rsid w:val="29437F8A"/>
    <w:rsid w:val="29455AB0"/>
    <w:rsid w:val="29491A44"/>
    <w:rsid w:val="29504368"/>
    <w:rsid w:val="295201CD"/>
    <w:rsid w:val="29534671"/>
    <w:rsid w:val="29542197"/>
    <w:rsid w:val="29626313"/>
    <w:rsid w:val="296F5223"/>
    <w:rsid w:val="2976035F"/>
    <w:rsid w:val="29802F8C"/>
    <w:rsid w:val="298F4F7D"/>
    <w:rsid w:val="299407E6"/>
    <w:rsid w:val="29946A38"/>
    <w:rsid w:val="29986528"/>
    <w:rsid w:val="29A37AE5"/>
    <w:rsid w:val="29A42E03"/>
    <w:rsid w:val="29A7676B"/>
    <w:rsid w:val="29B33362"/>
    <w:rsid w:val="29B61260"/>
    <w:rsid w:val="29B8220F"/>
    <w:rsid w:val="29BA46F0"/>
    <w:rsid w:val="29BF1D06"/>
    <w:rsid w:val="29CE1F49"/>
    <w:rsid w:val="29CF181E"/>
    <w:rsid w:val="29DB6414"/>
    <w:rsid w:val="29DF5F05"/>
    <w:rsid w:val="29DF7CB3"/>
    <w:rsid w:val="29E259F5"/>
    <w:rsid w:val="29EB5041"/>
    <w:rsid w:val="29EF3C6E"/>
    <w:rsid w:val="29F60EA3"/>
    <w:rsid w:val="2A0E4098"/>
    <w:rsid w:val="2A1262DA"/>
    <w:rsid w:val="2A27165A"/>
    <w:rsid w:val="2A2B114A"/>
    <w:rsid w:val="2A2B2EF8"/>
    <w:rsid w:val="2A353D77"/>
    <w:rsid w:val="2A41786C"/>
    <w:rsid w:val="2A467BD6"/>
    <w:rsid w:val="2A500BB0"/>
    <w:rsid w:val="2A56212F"/>
    <w:rsid w:val="2A5D682E"/>
    <w:rsid w:val="2A77438F"/>
    <w:rsid w:val="2A7B7EE0"/>
    <w:rsid w:val="2A846AAC"/>
    <w:rsid w:val="2A8C1147"/>
    <w:rsid w:val="2A9036A3"/>
    <w:rsid w:val="2AA1140C"/>
    <w:rsid w:val="2AA84549"/>
    <w:rsid w:val="2AB47391"/>
    <w:rsid w:val="2ABC6246"/>
    <w:rsid w:val="2AD43590"/>
    <w:rsid w:val="2ADC0696"/>
    <w:rsid w:val="2AE17A5A"/>
    <w:rsid w:val="2AEC6B2B"/>
    <w:rsid w:val="2AF05EF0"/>
    <w:rsid w:val="2AF21C68"/>
    <w:rsid w:val="2B1240B8"/>
    <w:rsid w:val="2B165956"/>
    <w:rsid w:val="2B263FEF"/>
    <w:rsid w:val="2B2D2CA0"/>
    <w:rsid w:val="2B3C1135"/>
    <w:rsid w:val="2B3E6C5B"/>
    <w:rsid w:val="2B40111A"/>
    <w:rsid w:val="2B47137D"/>
    <w:rsid w:val="2B595843"/>
    <w:rsid w:val="2B65243A"/>
    <w:rsid w:val="2B7335D1"/>
    <w:rsid w:val="2B7E174D"/>
    <w:rsid w:val="2B886128"/>
    <w:rsid w:val="2B966A97"/>
    <w:rsid w:val="2B97636B"/>
    <w:rsid w:val="2BA967CA"/>
    <w:rsid w:val="2BAA0794"/>
    <w:rsid w:val="2BAC06A7"/>
    <w:rsid w:val="2BB4516F"/>
    <w:rsid w:val="2BB62C95"/>
    <w:rsid w:val="2BBB64FD"/>
    <w:rsid w:val="2BD30FEC"/>
    <w:rsid w:val="2BD575BF"/>
    <w:rsid w:val="2BD66E93"/>
    <w:rsid w:val="2BD870AF"/>
    <w:rsid w:val="2BDF21EC"/>
    <w:rsid w:val="2BE94E19"/>
    <w:rsid w:val="2BEF7F55"/>
    <w:rsid w:val="2BF33EE9"/>
    <w:rsid w:val="2BFB2D9E"/>
    <w:rsid w:val="2BFF463C"/>
    <w:rsid w:val="2C0C6D59"/>
    <w:rsid w:val="2C163734"/>
    <w:rsid w:val="2C167BD8"/>
    <w:rsid w:val="2C1837DA"/>
    <w:rsid w:val="2C210A56"/>
    <w:rsid w:val="2C267E1B"/>
    <w:rsid w:val="2C2E0A7D"/>
    <w:rsid w:val="2C372028"/>
    <w:rsid w:val="2C3B319A"/>
    <w:rsid w:val="2C3D6F12"/>
    <w:rsid w:val="2C4958B7"/>
    <w:rsid w:val="2C4B5AD3"/>
    <w:rsid w:val="2C506C46"/>
    <w:rsid w:val="2C5C1A8E"/>
    <w:rsid w:val="2C602C01"/>
    <w:rsid w:val="2C6C77F8"/>
    <w:rsid w:val="2C6E17C2"/>
    <w:rsid w:val="2C70558B"/>
    <w:rsid w:val="2C7548FE"/>
    <w:rsid w:val="2C7F1990"/>
    <w:rsid w:val="2C83526D"/>
    <w:rsid w:val="2C8B7B25"/>
    <w:rsid w:val="2C9634C3"/>
    <w:rsid w:val="2C9E63DF"/>
    <w:rsid w:val="2CA82853"/>
    <w:rsid w:val="2CAD22EA"/>
    <w:rsid w:val="2CB216AE"/>
    <w:rsid w:val="2CB74F17"/>
    <w:rsid w:val="2CD535EF"/>
    <w:rsid w:val="2CDF621C"/>
    <w:rsid w:val="2CE675AA"/>
    <w:rsid w:val="2CED0939"/>
    <w:rsid w:val="2CF11C01"/>
    <w:rsid w:val="2CF73565"/>
    <w:rsid w:val="2CFE66A2"/>
    <w:rsid w:val="2D047A30"/>
    <w:rsid w:val="2D0E56C9"/>
    <w:rsid w:val="2D145EC5"/>
    <w:rsid w:val="2D151C3D"/>
    <w:rsid w:val="2D1C121E"/>
    <w:rsid w:val="2D2B1461"/>
    <w:rsid w:val="2D2D6F87"/>
    <w:rsid w:val="2D404F0C"/>
    <w:rsid w:val="2D482013"/>
    <w:rsid w:val="2D4F15F3"/>
    <w:rsid w:val="2D564730"/>
    <w:rsid w:val="2D5B1D46"/>
    <w:rsid w:val="2D6055AE"/>
    <w:rsid w:val="2D630BFB"/>
    <w:rsid w:val="2D6C5D01"/>
    <w:rsid w:val="2D742E08"/>
    <w:rsid w:val="2D744BB6"/>
    <w:rsid w:val="2D8172D3"/>
    <w:rsid w:val="2D8A262B"/>
    <w:rsid w:val="2D8A6187"/>
    <w:rsid w:val="2D8D3ECA"/>
    <w:rsid w:val="2D964B2C"/>
    <w:rsid w:val="2DB476A8"/>
    <w:rsid w:val="2DB63420"/>
    <w:rsid w:val="2DB96A6D"/>
    <w:rsid w:val="2DC01BA9"/>
    <w:rsid w:val="2DCF44E2"/>
    <w:rsid w:val="2DE27D71"/>
    <w:rsid w:val="2DEE2BBA"/>
    <w:rsid w:val="2DFC404C"/>
    <w:rsid w:val="2E0705CD"/>
    <w:rsid w:val="2E0777D8"/>
    <w:rsid w:val="2E08119A"/>
    <w:rsid w:val="2E093550"/>
    <w:rsid w:val="2E0F48DF"/>
    <w:rsid w:val="2E132621"/>
    <w:rsid w:val="2E2C3740"/>
    <w:rsid w:val="2E352597"/>
    <w:rsid w:val="2E372A60"/>
    <w:rsid w:val="2E3D31FA"/>
    <w:rsid w:val="2E3D769E"/>
    <w:rsid w:val="2E4A5917"/>
    <w:rsid w:val="2E4C5B33"/>
    <w:rsid w:val="2E5174BC"/>
    <w:rsid w:val="2E552C39"/>
    <w:rsid w:val="2E5549E7"/>
    <w:rsid w:val="2E56075F"/>
    <w:rsid w:val="2E5D4E0D"/>
    <w:rsid w:val="2E6609A2"/>
    <w:rsid w:val="2E690493"/>
    <w:rsid w:val="2E81758A"/>
    <w:rsid w:val="2E8C4181"/>
    <w:rsid w:val="2E8C5F2F"/>
    <w:rsid w:val="2E94169C"/>
    <w:rsid w:val="2EB85D49"/>
    <w:rsid w:val="2EB931C8"/>
    <w:rsid w:val="2EBC05C2"/>
    <w:rsid w:val="2EBE11F2"/>
    <w:rsid w:val="2EBF79BA"/>
    <w:rsid w:val="2EC15BD9"/>
    <w:rsid w:val="2EC4391B"/>
    <w:rsid w:val="2EC456C9"/>
    <w:rsid w:val="2ED51A00"/>
    <w:rsid w:val="2EDD678B"/>
    <w:rsid w:val="2EE67D35"/>
    <w:rsid w:val="2EF02962"/>
    <w:rsid w:val="2F194722"/>
    <w:rsid w:val="2F324D29"/>
    <w:rsid w:val="2F3355C0"/>
    <w:rsid w:val="2F48176B"/>
    <w:rsid w:val="2F560A17"/>
    <w:rsid w:val="2F6241E2"/>
    <w:rsid w:val="2F633CC3"/>
    <w:rsid w:val="2F646CC8"/>
    <w:rsid w:val="2F6E1E8D"/>
    <w:rsid w:val="2F6F7D2B"/>
    <w:rsid w:val="2F794705"/>
    <w:rsid w:val="2F7964B4"/>
    <w:rsid w:val="2F7C41F6"/>
    <w:rsid w:val="2F92147C"/>
    <w:rsid w:val="2F994DA8"/>
    <w:rsid w:val="2FA3158A"/>
    <w:rsid w:val="2FA572A9"/>
    <w:rsid w:val="2FA63021"/>
    <w:rsid w:val="2FBB23E2"/>
    <w:rsid w:val="2FC17E5A"/>
    <w:rsid w:val="2FE853E7"/>
    <w:rsid w:val="2FED0C50"/>
    <w:rsid w:val="2FF76D7C"/>
    <w:rsid w:val="30006BD5"/>
    <w:rsid w:val="30182170"/>
    <w:rsid w:val="30405223"/>
    <w:rsid w:val="305303D5"/>
    <w:rsid w:val="305F1B4D"/>
    <w:rsid w:val="306E1FE7"/>
    <w:rsid w:val="307750E9"/>
    <w:rsid w:val="307A24E3"/>
    <w:rsid w:val="307A6987"/>
    <w:rsid w:val="3083077D"/>
    <w:rsid w:val="308E41E1"/>
    <w:rsid w:val="30A47560"/>
    <w:rsid w:val="30B04157"/>
    <w:rsid w:val="30B85734"/>
    <w:rsid w:val="30C23E8A"/>
    <w:rsid w:val="30CC4D09"/>
    <w:rsid w:val="30CE282F"/>
    <w:rsid w:val="30D81900"/>
    <w:rsid w:val="30D8545C"/>
    <w:rsid w:val="30D97FE5"/>
    <w:rsid w:val="30DA11D4"/>
    <w:rsid w:val="30DA5678"/>
    <w:rsid w:val="30DD2A72"/>
    <w:rsid w:val="30E34C9C"/>
    <w:rsid w:val="30F524B2"/>
    <w:rsid w:val="30FE1366"/>
    <w:rsid w:val="31033252"/>
    <w:rsid w:val="311634FD"/>
    <w:rsid w:val="31172428"/>
    <w:rsid w:val="31210BB1"/>
    <w:rsid w:val="313F372D"/>
    <w:rsid w:val="314B5736"/>
    <w:rsid w:val="314D2A01"/>
    <w:rsid w:val="3163566D"/>
    <w:rsid w:val="31671525"/>
    <w:rsid w:val="316D029A"/>
    <w:rsid w:val="317909ED"/>
    <w:rsid w:val="317E4255"/>
    <w:rsid w:val="317F1D7B"/>
    <w:rsid w:val="31815AF3"/>
    <w:rsid w:val="318507FB"/>
    <w:rsid w:val="318D6246"/>
    <w:rsid w:val="31903F88"/>
    <w:rsid w:val="31931B05"/>
    <w:rsid w:val="31950990"/>
    <w:rsid w:val="31A17801"/>
    <w:rsid w:val="31AA504A"/>
    <w:rsid w:val="31AD0696"/>
    <w:rsid w:val="31B61C41"/>
    <w:rsid w:val="31B71515"/>
    <w:rsid w:val="31C3435E"/>
    <w:rsid w:val="31D43E75"/>
    <w:rsid w:val="31D64091"/>
    <w:rsid w:val="31DB16A7"/>
    <w:rsid w:val="31E542D4"/>
    <w:rsid w:val="31E57E30"/>
    <w:rsid w:val="31F167D5"/>
    <w:rsid w:val="31FB5BB4"/>
    <w:rsid w:val="32087FC3"/>
    <w:rsid w:val="320F75A3"/>
    <w:rsid w:val="32163D42"/>
    <w:rsid w:val="321B1AA4"/>
    <w:rsid w:val="321D581C"/>
    <w:rsid w:val="322104B7"/>
    <w:rsid w:val="32244DFC"/>
    <w:rsid w:val="323D1A1A"/>
    <w:rsid w:val="323D7C6C"/>
    <w:rsid w:val="32470AEB"/>
    <w:rsid w:val="32475A6D"/>
    <w:rsid w:val="324C0F72"/>
    <w:rsid w:val="324E3C27"/>
    <w:rsid w:val="32513718"/>
    <w:rsid w:val="32544FB6"/>
    <w:rsid w:val="326C67A3"/>
    <w:rsid w:val="326E42CA"/>
    <w:rsid w:val="326F08EC"/>
    <w:rsid w:val="326F71AB"/>
    <w:rsid w:val="32A9407C"/>
    <w:rsid w:val="32AB682C"/>
    <w:rsid w:val="32AF043E"/>
    <w:rsid w:val="32B83797"/>
    <w:rsid w:val="32BB6DE3"/>
    <w:rsid w:val="32BF2D77"/>
    <w:rsid w:val="32C57C62"/>
    <w:rsid w:val="32D83E39"/>
    <w:rsid w:val="32DF6F75"/>
    <w:rsid w:val="32E26A66"/>
    <w:rsid w:val="32E4458C"/>
    <w:rsid w:val="32EB76C8"/>
    <w:rsid w:val="32F04CDF"/>
    <w:rsid w:val="32F10A57"/>
    <w:rsid w:val="32FB3683"/>
    <w:rsid w:val="33030EB6"/>
    <w:rsid w:val="330466C2"/>
    <w:rsid w:val="330662B0"/>
    <w:rsid w:val="330864CC"/>
    <w:rsid w:val="330A3B0F"/>
    <w:rsid w:val="330E785B"/>
    <w:rsid w:val="33136C1F"/>
    <w:rsid w:val="33150BE9"/>
    <w:rsid w:val="33174961"/>
    <w:rsid w:val="3321133C"/>
    <w:rsid w:val="33260700"/>
    <w:rsid w:val="332901F1"/>
    <w:rsid w:val="33291F9F"/>
    <w:rsid w:val="33353039"/>
    <w:rsid w:val="333A0650"/>
    <w:rsid w:val="333B1F07"/>
    <w:rsid w:val="333B4BDD"/>
    <w:rsid w:val="333F6A58"/>
    <w:rsid w:val="33490893"/>
    <w:rsid w:val="33590AD6"/>
    <w:rsid w:val="337771AE"/>
    <w:rsid w:val="337A6C9E"/>
    <w:rsid w:val="337C2A16"/>
    <w:rsid w:val="33802506"/>
    <w:rsid w:val="33811DDB"/>
    <w:rsid w:val="33843679"/>
    <w:rsid w:val="33867984"/>
    <w:rsid w:val="33885707"/>
    <w:rsid w:val="338B2C59"/>
    <w:rsid w:val="33923FE8"/>
    <w:rsid w:val="33930F89"/>
    <w:rsid w:val="33977850"/>
    <w:rsid w:val="339935C8"/>
    <w:rsid w:val="339A2E9C"/>
    <w:rsid w:val="33A13F2D"/>
    <w:rsid w:val="33A930DF"/>
    <w:rsid w:val="33AA1331"/>
    <w:rsid w:val="33B0446E"/>
    <w:rsid w:val="33C323F3"/>
    <w:rsid w:val="33D04B10"/>
    <w:rsid w:val="33D463AE"/>
    <w:rsid w:val="33DD2548"/>
    <w:rsid w:val="33E10ACB"/>
    <w:rsid w:val="33E222C5"/>
    <w:rsid w:val="33E94978"/>
    <w:rsid w:val="33EB4795"/>
    <w:rsid w:val="33F3569D"/>
    <w:rsid w:val="33F94067"/>
    <w:rsid w:val="33FE167D"/>
    <w:rsid w:val="33FE78CF"/>
    <w:rsid w:val="340C3D9A"/>
    <w:rsid w:val="34153013"/>
    <w:rsid w:val="341715C0"/>
    <w:rsid w:val="341B3FDD"/>
    <w:rsid w:val="341F5214"/>
    <w:rsid w:val="342C7F98"/>
    <w:rsid w:val="342F7A89"/>
    <w:rsid w:val="344C063B"/>
    <w:rsid w:val="345179FF"/>
    <w:rsid w:val="345D63A4"/>
    <w:rsid w:val="34684D49"/>
    <w:rsid w:val="34692F9B"/>
    <w:rsid w:val="347D07F4"/>
    <w:rsid w:val="3485255C"/>
    <w:rsid w:val="34871673"/>
    <w:rsid w:val="348E2A01"/>
    <w:rsid w:val="34943D90"/>
    <w:rsid w:val="349A13A6"/>
    <w:rsid w:val="349C5A8D"/>
    <w:rsid w:val="34A264AC"/>
    <w:rsid w:val="34A915E9"/>
    <w:rsid w:val="34AE54EF"/>
    <w:rsid w:val="34B00BC9"/>
    <w:rsid w:val="34C04B85"/>
    <w:rsid w:val="34C208FD"/>
    <w:rsid w:val="34C24459"/>
    <w:rsid w:val="34C74165"/>
    <w:rsid w:val="34CA155F"/>
    <w:rsid w:val="34D16D92"/>
    <w:rsid w:val="34EA50C0"/>
    <w:rsid w:val="34F14D3E"/>
    <w:rsid w:val="34FB5BBD"/>
    <w:rsid w:val="35041EEB"/>
    <w:rsid w:val="350727B3"/>
    <w:rsid w:val="3518676F"/>
    <w:rsid w:val="351F3659"/>
    <w:rsid w:val="352B64A2"/>
    <w:rsid w:val="35494B7A"/>
    <w:rsid w:val="35496928"/>
    <w:rsid w:val="354E2190"/>
    <w:rsid w:val="355157DD"/>
    <w:rsid w:val="35520800"/>
    <w:rsid w:val="356351C5"/>
    <w:rsid w:val="357240D1"/>
    <w:rsid w:val="35725E7F"/>
    <w:rsid w:val="357A11D7"/>
    <w:rsid w:val="358E4C71"/>
    <w:rsid w:val="35A26B4B"/>
    <w:rsid w:val="35A65B28"/>
    <w:rsid w:val="35B4127A"/>
    <w:rsid w:val="35C9101D"/>
    <w:rsid w:val="35C97A69"/>
    <w:rsid w:val="35D408E8"/>
    <w:rsid w:val="35D703D8"/>
    <w:rsid w:val="35E75CC0"/>
    <w:rsid w:val="35E93C67"/>
    <w:rsid w:val="35EF74CF"/>
    <w:rsid w:val="36050AA1"/>
    <w:rsid w:val="36055C36"/>
    <w:rsid w:val="360B073D"/>
    <w:rsid w:val="360C3088"/>
    <w:rsid w:val="36146F36"/>
    <w:rsid w:val="36160F00"/>
    <w:rsid w:val="361909F0"/>
    <w:rsid w:val="361C228F"/>
    <w:rsid w:val="36251143"/>
    <w:rsid w:val="36317325"/>
    <w:rsid w:val="36346DCA"/>
    <w:rsid w:val="36356EAC"/>
    <w:rsid w:val="363B0967"/>
    <w:rsid w:val="363C023B"/>
    <w:rsid w:val="363E0457"/>
    <w:rsid w:val="36401AD9"/>
    <w:rsid w:val="36455341"/>
    <w:rsid w:val="36486BE0"/>
    <w:rsid w:val="364A6DFC"/>
    <w:rsid w:val="364B2782"/>
    <w:rsid w:val="364C2B74"/>
    <w:rsid w:val="36513CE6"/>
    <w:rsid w:val="3652180C"/>
    <w:rsid w:val="36530955"/>
    <w:rsid w:val="3656754F"/>
    <w:rsid w:val="365E28A7"/>
    <w:rsid w:val="365F3EF3"/>
    <w:rsid w:val="36637EBD"/>
    <w:rsid w:val="3667350A"/>
    <w:rsid w:val="36716136"/>
    <w:rsid w:val="3676199F"/>
    <w:rsid w:val="367D2D2D"/>
    <w:rsid w:val="369462C9"/>
    <w:rsid w:val="36AF3103"/>
    <w:rsid w:val="36CE3589"/>
    <w:rsid w:val="36D371E0"/>
    <w:rsid w:val="36D466C5"/>
    <w:rsid w:val="36E0150E"/>
    <w:rsid w:val="36E42408"/>
    <w:rsid w:val="36F31241"/>
    <w:rsid w:val="370E607B"/>
    <w:rsid w:val="37103BA1"/>
    <w:rsid w:val="3710594F"/>
    <w:rsid w:val="371E0791"/>
    <w:rsid w:val="37270EEB"/>
    <w:rsid w:val="372907BF"/>
    <w:rsid w:val="372C02AF"/>
    <w:rsid w:val="37307DA0"/>
    <w:rsid w:val="3738689D"/>
    <w:rsid w:val="373C4996"/>
    <w:rsid w:val="373D426B"/>
    <w:rsid w:val="37401C7A"/>
    <w:rsid w:val="37503F9E"/>
    <w:rsid w:val="375A12C0"/>
    <w:rsid w:val="375D2B5F"/>
    <w:rsid w:val="375E0881"/>
    <w:rsid w:val="37607F59"/>
    <w:rsid w:val="376D0FF4"/>
    <w:rsid w:val="37753A04"/>
    <w:rsid w:val="378400EB"/>
    <w:rsid w:val="37886E61"/>
    <w:rsid w:val="378E0F6A"/>
    <w:rsid w:val="37971BCD"/>
    <w:rsid w:val="379950AD"/>
    <w:rsid w:val="379B19B7"/>
    <w:rsid w:val="379C5435"/>
    <w:rsid w:val="379E73FF"/>
    <w:rsid w:val="37A6256B"/>
    <w:rsid w:val="37B00EE0"/>
    <w:rsid w:val="37B704C1"/>
    <w:rsid w:val="37D01583"/>
    <w:rsid w:val="37DA41AF"/>
    <w:rsid w:val="37DE77FC"/>
    <w:rsid w:val="37E172EC"/>
    <w:rsid w:val="37E905FB"/>
    <w:rsid w:val="37E944C3"/>
    <w:rsid w:val="37FB65FF"/>
    <w:rsid w:val="37FE1C4C"/>
    <w:rsid w:val="38020CF1"/>
    <w:rsid w:val="380A6843"/>
    <w:rsid w:val="381274A5"/>
    <w:rsid w:val="38163439"/>
    <w:rsid w:val="38184980"/>
    <w:rsid w:val="38260235"/>
    <w:rsid w:val="38392C84"/>
    <w:rsid w:val="383A69FC"/>
    <w:rsid w:val="383B4C4E"/>
    <w:rsid w:val="38507FCD"/>
    <w:rsid w:val="38523D46"/>
    <w:rsid w:val="38635F53"/>
    <w:rsid w:val="38646CD2"/>
    <w:rsid w:val="38657F1D"/>
    <w:rsid w:val="386D0B7F"/>
    <w:rsid w:val="38743CBC"/>
    <w:rsid w:val="38767A34"/>
    <w:rsid w:val="387939C8"/>
    <w:rsid w:val="387B14EE"/>
    <w:rsid w:val="38804D57"/>
    <w:rsid w:val="38855EC9"/>
    <w:rsid w:val="38871C41"/>
    <w:rsid w:val="388C36FB"/>
    <w:rsid w:val="38A5656B"/>
    <w:rsid w:val="38AF3929"/>
    <w:rsid w:val="38B8381F"/>
    <w:rsid w:val="38BB4C9B"/>
    <w:rsid w:val="38BE13DB"/>
    <w:rsid w:val="38CE5AC2"/>
    <w:rsid w:val="38D1110E"/>
    <w:rsid w:val="38D40BFF"/>
    <w:rsid w:val="38D502C8"/>
    <w:rsid w:val="38E726E0"/>
    <w:rsid w:val="38EF77E6"/>
    <w:rsid w:val="38FF3ECD"/>
    <w:rsid w:val="39094D4C"/>
    <w:rsid w:val="39131727"/>
    <w:rsid w:val="39167469"/>
    <w:rsid w:val="39203E44"/>
    <w:rsid w:val="39225E0E"/>
    <w:rsid w:val="392576AC"/>
    <w:rsid w:val="392751D2"/>
    <w:rsid w:val="392C2CC2"/>
    <w:rsid w:val="393F251C"/>
    <w:rsid w:val="39477622"/>
    <w:rsid w:val="394F370F"/>
    <w:rsid w:val="39535FC7"/>
    <w:rsid w:val="395A1104"/>
    <w:rsid w:val="39616936"/>
    <w:rsid w:val="39700927"/>
    <w:rsid w:val="397321C6"/>
    <w:rsid w:val="39736669"/>
    <w:rsid w:val="39873EC3"/>
    <w:rsid w:val="39896372"/>
    <w:rsid w:val="398E5251"/>
    <w:rsid w:val="3992044F"/>
    <w:rsid w:val="39943202"/>
    <w:rsid w:val="399B110F"/>
    <w:rsid w:val="399D1DFB"/>
    <w:rsid w:val="39A01C75"/>
    <w:rsid w:val="39A14A8C"/>
    <w:rsid w:val="39A6259B"/>
    <w:rsid w:val="39A951F5"/>
    <w:rsid w:val="39AB5E03"/>
    <w:rsid w:val="39B20F40"/>
    <w:rsid w:val="39B4157B"/>
    <w:rsid w:val="39B527DE"/>
    <w:rsid w:val="39D16FC3"/>
    <w:rsid w:val="39D23390"/>
    <w:rsid w:val="39E44E71"/>
    <w:rsid w:val="39E4728E"/>
    <w:rsid w:val="39E62997"/>
    <w:rsid w:val="39F03816"/>
    <w:rsid w:val="39F257E0"/>
    <w:rsid w:val="39F5243C"/>
    <w:rsid w:val="3A083AD2"/>
    <w:rsid w:val="3A103EB8"/>
    <w:rsid w:val="3A1A0893"/>
    <w:rsid w:val="3A217E73"/>
    <w:rsid w:val="3A233BEC"/>
    <w:rsid w:val="3A2D05C6"/>
    <w:rsid w:val="3A2D4A6A"/>
    <w:rsid w:val="3A2F07E2"/>
    <w:rsid w:val="3A30294F"/>
    <w:rsid w:val="3A316EDF"/>
    <w:rsid w:val="3A3A2CE3"/>
    <w:rsid w:val="3A40479E"/>
    <w:rsid w:val="3A443B62"/>
    <w:rsid w:val="3A692ADF"/>
    <w:rsid w:val="3A6E5C2F"/>
    <w:rsid w:val="3A712BA9"/>
    <w:rsid w:val="3A72247D"/>
    <w:rsid w:val="3A725059"/>
    <w:rsid w:val="3A824DC7"/>
    <w:rsid w:val="3A8D72B7"/>
    <w:rsid w:val="3AA52853"/>
    <w:rsid w:val="3AAA1C17"/>
    <w:rsid w:val="3AAE7D83"/>
    <w:rsid w:val="3AAF1923"/>
    <w:rsid w:val="3AB24F6F"/>
    <w:rsid w:val="3AB46F81"/>
    <w:rsid w:val="3AB72586"/>
    <w:rsid w:val="3ABE3914"/>
    <w:rsid w:val="3AC32CD9"/>
    <w:rsid w:val="3ACC6031"/>
    <w:rsid w:val="3ACF690F"/>
    <w:rsid w:val="3AF31810"/>
    <w:rsid w:val="3AF47336"/>
    <w:rsid w:val="3AF70BD4"/>
    <w:rsid w:val="3AFD443D"/>
    <w:rsid w:val="3B043A1D"/>
    <w:rsid w:val="3B082DE1"/>
    <w:rsid w:val="3B0F23C2"/>
    <w:rsid w:val="3B1B038C"/>
    <w:rsid w:val="3B1D063B"/>
    <w:rsid w:val="3B27770B"/>
    <w:rsid w:val="3B2A71FC"/>
    <w:rsid w:val="3B2B35E7"/>
    <w:rsid w:val="3B2C6AD0"/>
    <w:rsid w:val="3B337E5E"/>
    <w:rsid w:val="3B343BD6"/>
    <w:rsid w:val="3B351E28"/>
    <w:rsid w:val="3B385475"/>
    <w:rsid w:val="3B4756B8"/>
    <w:rsid w:val="3B497682"/>
    <w:rsid w:val="3B4C0F20"/>
    <w:rsid w:val="3B4F45B3"/>
    <w:rsid w:val="3B5737A5"/>
    <w:rsid w:val="3B787F67"/>
    <w:rsid w:val="3B806625"/>
    <w:rsid w:val="3B866111"/>
    <w:rsid w:val="3B8B7C9A"/>
    <w:rsid w:val="3B912DD7"/>
    <w:rsid w:val="3B936B4F"/>
    <w:rsid w:val="3B985F13"/>
    <w:rsid w:val="3B9B5A04"/>
    <w:rsid w:val="3B9F3746"/>
    <w:rsid w:val="3BA7084C"/>
    <w:rsid w:val="3BAA5C47"/>
    <w:rsid w:val="3BB70A8F"/>
    <w:rsid w:val="3BB865B6"/>
    <w:rsid w:val="3BBB47F0"/>
    <w:rsid w:val="3BBF16F2"/>
    <w:rsid w:val="3BC92571"/>
    <w:rsid w:val="3BD17677"/>
    <w:rsid w:val="3BD31641"/>
    <w:rsid w:val="3BE178BA"/>
    <w:rsid w:val="3BE41159"/>
    <w:rsid w:val="3BE9676F"/>
    <w:rsid w:val="3BED44B1"/>
    <w:rsid w:val="3BF16211"/>
    <w:rsid w:val="3BF35840"/>
    <w:rsid w:val="3BF82E56"/>
    <w:rsid w:val="3BF910A8"/>
    <w:rsid w:val="3BFC2946"/>
    <w:rsid w:val="3C095063"/>
    <w:rsid w:val="3C0A5BCA"/>
    <w:rsid w:val="3C110A75"/>
    <w:rsid w:val="3C2D6FA3"/>
    <w:rsid w:val="3C2E6878"/>
    <w:rsid w:val="3C333E8E"/>
    <w:rsid w:val="3C357C06"/>
    <w:rsid w:val="3C3814A4"/>
    <w:rsid w:val="3C396270"/>
    <w:rsid w:val="3C447E49"/>
    <w:rsid w:val="3C461E13"/>
    <w:rsid w:val="3C4E7B92"/>
    <w:rsid w:val="3C4F02CC"/>
    <w:rsid w:val="3C5E715D"/>
    <w:rsid w:val="3C6127A9"/>
    <w:rsid w:val="3C6A5B02"/>
    <w:rsid w:val="3C776471"/>
    <w:rsid w:val="3C7856AD"/>
    <w:rsid w:val="3C7F70D3"/>
    <w:rsid w:val="3C872058"/>
    <w:rsid w:val="3C991F43"/>
    <w:rsid w:val="3CA31014"/>
    <w:rsid w:val="3CA65F73"/>
    <w:rsid w:val="3CAC2714"/>
    <w:rsid w:val="3CAF5C0A"/>
    <w:rsid w:val="3CB43221"/>
    <w:rsid w:val="3CB66F99"/>
    <w:rsid w:val="3CC1149A"/>
    <w:rsid w:val="3CC2443F"/>
    <w:rsid w:val="3CE05DC4"/>
    <w:rsid w:val="3CE31410"/>
    <w:rsid w:val="3CE33B06"/>
    <w:rsid w:val="3CE37662"/>
    <w:rsid w:val="3CEC2283"/>
    <w:rsid w:val="3CF03B2D"/>
    <w:rsid w:val="3CF63839"/>
    <w:rsid w:val="3CF7310E"/>
    <w:rsid w:val="3CF828CE"/>
    <w:rsid w:val="3D141F11"/>
    <w:rsid w:val="3D163594"/>
    <w:rsid w:val="3D1F518D"/>
    <w:rsid w:val="3D22462E"/>
    <w:rsid w:val="3D271C45"/>
    <w:rsid w:val="3D3A1978"/>
    <w:rsid w:val="3D475E43"/>
    <w:rsid w:val="3D4A5933"/>
    <w:rsid w:val="3D5642D8"/>
    <w:rsid w:val="3D5B241B"/>
    <w:rsid w:val="3D6B3F8F"/>
    <w:rsid w:val="3D74475E"/>
    <w:rsid w:val="3D801355"/>
    <w:rsid w:val="3D8726E3"/>
    <w:rsid w:val="3D89650A"/>
    <w:rsid w:val="3D8C7CFA"/>
    <w:rsid w:val="3D93631E"/>
    <w:rsid w:val="3D94095C"/>
    <w:rsid w:val="3D954E00"/>
    <w:rsid w:val="3D9848F1"/>
    <w:rsid w:val="3DA30C11"/>
    <w:rsid w:val="3DA45043"/>
    <w:rsid w:val="3DA54918"/>
    <w:rsid w:val="3DB57251"/>
    <w:rsid w:val="3DBC05DF"/>
    <w:rsid w:val="3DC843EA"/>
    <w:rsid w:val="3DD11BB1"/>
    <w:rsid w:val="3DD23448"/>
    <w:rsid w:val="3DDC65E6"/>
    <w:rsid w:val="3DFA4C63"/>
    <w:rsid w:val="3DFC6C2D"/>
    <w:rsid w:val="3E047890"/>
    <w:rsid w:val="3E06185A"/>
    <w:rsid w:val="3E083824"/>
    <w:rsid w:val="3E0B6E71"/>
    <w:rsid w:val="3E0C0916"/>
    <w:rsid w:val="3E1321C9"/>
    <w:rsid w:val="3E155F41"/>
    <w:rsid w:val="3E1C72D0"/>
    <w:rsid w:val="3E1F291C"/>
    <w:rsid w:val="3E29379B"/>
    <w:rsid w:val="3E3004A5"/>
    <w:rsid w:val="3E3208A1"/>
    <w:rsid w:val="3E3361A8"/>
    <w:rsid w:val="3E377C66"/>
    <w:rsid w:val="3E3B1F7B"/>
    <w:rsid w:val="3E4B1963"/>
    <w:rsid w:val="3E4C0EA7"/>
    <w:rsid w:val="3E4E3201"/>
    <w:rsid w:val="3E52684D"/>
    <w:rsid w:val="3E5D51F2"/>
    <w:rsid w:val="3E6447D3"/>
    <w:rsid w:val="3E666431"/>
    <w:rsid w:val="3E66679D"/>
    <w:rsid w:val="3E7013C9"/>
    <w:rsid w:val="3E73728E"/>
    <w:rsid w:val="3E774506"/>
    <w:rsid w:val="3E80293B"/>
    <w:rsid w:val="3E9377A8"/>
    <w:rsid w:val="3E9A6446"/>
    <w:rsid w:val="3E9D4299"/>
    <w:rsid w:val="3EA352FB"/>
    <w:rsid w:val="3EB412B6"/>
    <w:rsid w:val="3EC76033"/>
    <w:rsid w:val="3EDB4A95"/>
    <w:rsid w:val="3EEC4EF4"/>
    <w:rsid w:val="3EEF0540"/>
    <w:rsid w:val="3EF21DDE"/>
    <w:rsid w:val="3EF26282"/>
    <w:rsid w:val="3EF67B21"/>
    <w:rsid w:val="3F057D64"/>
    <w:rsid w:val="3F141D55"/>
    <w:rsid w:val="3F1E2160"/>
    <w:rsid w:val="3F312907"/>
    <w:rsid w:val="3F395C5F"/>
    <w:rsid w:val="3F43088C"/>
    <w:rsid w:val="3F494A0E"/>
    <w:rsid w:val="3F5278A8"/>
    <w:rsid w:val="3F566811"/>
    <w:rsid w:val="3F57351D"/>
    <w:rsid w:val="3F5D194E"/>
    <w:rsid w:val="3F6902F3"/>
    <w:rsid w:val="3F874C1D"/>
    <w:rsid w:val="3F8844F1"/>
    <w:rsid w:val="3F8C2233"/>
    <w:rsid w:val="3F8C3FE1"/>
    <w:rsid w:val="3F9335C1"/>
    <w:rsid w:val="3FCA5ADE"/>
    <w:rsid w:val="3FCC0881"/>
    <w:rsid w:val="3FD00372"/>
    <w:rsid w:val="3FD17C46"/>
    <w:rsid w:val="3FD42A05"/>
    <w:rsid w:val="3FDE4AA4"/>
    <w:rsid w:val="3FFD0A3B"/>
    <w:rsid w:val="4009749B"/>
    <w:rsid w:val="400C0C7E"/>
    <w:rsid w:val="400C5122"/>
    <w:rsid w:val="400C5EB9"/>
    <w:rsid w:val="40175FA1"/>
    <w:rsid w:val="40224945"/>
    <w:rsid w:val="4024421A"/>
    <w:rsid w:val="40252AB8"/>
    <w:rsid w:val="402E32EA"/>
    <w:rsid w:val="40522598"/>
    <w:rsid w:val="40581F42"/>
    <w:rsid w:val="40582115"/>
    <w:rsid w:val="406311E6"/>
    <w:rsid w:val="40750F19"/>
    <w:rsid w:val="407707ED"/>
    <w:rsid w:val="407A379D"/>
    <w:rsid w:val="407E7B46"/>
    <w:rsid w:val="407F58F4"/>
    <w:rsid w:val="407F76A2"/>
    <w:rsid w:val="40842F0A"/>
    <w:rsid w:val="40896772"/>
    <w:rsid w:val="40A62E81"/>
    <w:rsid w:val="40AA0BC3"/>
    <w:rsid w:val="40AB0497"/>
    <w:rsid w:val="40AF442B"/>
    <w:rsid w:val="40B57568"/>
    <w:rsid w:val="40CF23D7"/>
    <w:rsid w:val="40D43E92"/>
    <w:rsid w:val="40DB5220"/>
    <w:rsid w:val="40ED4F53"/>
    <w:rsid w:val="40FC0CF2"/>
    <w:rsid w:val="40FE0F0E"/>
    <w:rsid w:val="410127AD"/>
    <w:rsid w:val="41061B71"/>
    <w:rsid w:val="410C362B"/>
    <w:rsid w:val="41166258"/>
    <w:rsid w:val="41173D7E"/>
    <w:rsid w:val="411A73CB"/>
    <w:rsid w:val="412A64FE"/>
    <w:rsid w:val="412F541A"/>
    <w:rsid w:val="413D0609"/>
    <w:rsid w:val="414032D5"/>
    <w:rsid w:val="41410DFB"/>
    <w:rsid w:val="415D3E87"/>
    <w:rsid w:val="41650F8E"/>
    <w:rsid w:val="416C5E78"/>
    <w:rsid w:val="417411D1"/>
    <w:rsid w:val="417B7CD2"/>
    <w:rsid w:val="41935C1E"/>
    <w:rsid w:val="41943621"/>
    <w:rsid w:val="41972FC6"/>
    <w:rsid w:val="41A01FC6"/>
    <w:rsid w:val="41A53138"/>
    <w:rsid w:val="41A575DC"/>
    <w:rsid w:val="41AE46E3"/>
    <w:rsid w:val="41B077F8"/>
    <w:rsid w:val="41B85EFF"/>
    <w:rsid w:val="41BD0482"/>
    <w:rsid w:val="41D13F2D"/>
    <w:rsid w:val="41D81760"/>
    <w:rsid w:val="41DA5F45"/>
    <w:rsid w:val="41DF2AEE"/>
    <w:rsid w:val="41E2438C"/>
    <w:rsid w:val="41E95522"/>
    <w:rsid w:val="41F36599"/>
    <w:rsid w:val="42042555"/>
    <w:rsid w:val="42116EB0"/>
    <w:rsid w:val="42162288"/>
    <w:rsid w:val="422A157A"/>
    <w:rsid w:val="422B3542"/>
    <w:rsid w:val="42334BE8"/>
    <w:rsid w:val="42446DF5"/>
    <w:rsid w:val="424961B9"/>
    <w:rsid w:val="425A1209"/>
    <w:rsid w:val="425A2175"/>
    <w:rsid w:val="425F59DD"/>
    <w:rsid w:val="426254CD"/>
    <w:rsid w:val="4268353C"/>
    <w:rsid w:val="427B3D8A"/>
    <w:rsid w:val="427D5E63"/>
    <w:rsid w:val="4283791D"/>
    <w:rsid w:val="428471F1"/>
    <w:rsid w:val="428B67D2"/>
    <w:rsid w:val="428D254A"/>
    <w:rsid w:val="42AE0F7C"/>
    <w:rsid w:val="42AE426E"/>
    <w:rsid w:val="42C337AA"/>
    <w:rsid w:val="42CB4E20"/>
    <w:rsid w:val="42CD0B98"/>
    <w:rsid w:val="42D00689"/>
    <w:rsid w:val="42D068DB"/>
    <w:rsid w:val="42D31F27"/>
    <w:rsid w:val="42DA32B5"/>
    <w:rsid w:val="42E303BC"/>
    <w:rsid w:val="42F425C9"/>
    <w:rsid w:val="42FC76D0"/>
    <w:rsid w:val="43144A19"/>
    <w:rsid w:val="43193DDE"/>
    <w:rsid w:val="433B586E"/>
    <w:rsid w:val="433C41A2"/>
    <w:rsid w:val="433E55F2"/>
    <w:rsid w:val="434A043B"/>
    <w:rsid w:val="436037BB"/>
    <w:rsid w:val="43700AD9"/>
    <w:rsid w:val="43721740"/>
    <w:rsid w:val="4375649F"/>
    <w:rsid w:val="4392593E"/>
    <w:rsid w:val="439B6B07"/>
    <w:rsid w:val="439D37F0"/>
    <w:rsid w:val="439D4A0F"/>
    <w:rsid w:val="439E42E3"/>
    <w:rsid w:val="43A82406"/>
    <w:rsid w:val="43AC4C52"/>
    <w:rsid w:val="43B9736F"/>
    <w:rsid w:val="43C006FD"/>
    <w:rsid w:val="43CD4BC8"/>
    <w:rsid w:val="43D1290A"/>
    <w:rsid w:val="43D146B8"/>
    <w:rsid w:val="43D45F57"/>
    <w:rsid w:val="43DE0B83"/>
    <w:rsid w:val="43EC14F2"/>
    <w:rsid w:val="43EE7B22"/>
    <w:rsid w:val="43F263DD"/>
    <w:rsid w:val="43FB33AD"/>
    <w:rsid w:val="43FB72E4"/>
    <w:rsid w:val="43FE2FD4"/>
    <w:rsid w:val="44000AFA"/>
    <w:rsid w:val="44004F9E"/>
    <w:rsid w:val="44022AC4"/>
    <w:rsid w:val="440E76BA"/>
    <w:rsid w:val="44206D94"/>
    <w:rsid w:val="442073EE"/>
    <w:rsid w:val="442924B7"/>
    <w:rsid w:val="4436451B"/>
    <w:rsid w:val="443B0600"/>
    <w:rsid w:val="443C4228"/>
    <w:rsid w:val="444035EC"/>
    <w:rsid w:val="444E3F5B"/>
    <w:rsid w:val="445552E9"/>
    <w:rsid w:val="44557097"/>
    <w:rsid w:val="44564BBE"/>
    <w:rsid w:val="445B21D4"/>
    <w:rsid w:val="445F1CC4"/>
    <w:rsid w:val="44663053"/>
    <w:rsid w:val="446E0159"/>
    <w:rsid w:val="44727C49"/>
    <w:rsid w:val="447A4D50"/>
    <w:rsid w:val="447E1729"/>
    <w:rsid w:val="448654A3"/>
    <w:rsid w:val="448C05DF"/>
    <w:rsid w:val="44953938"/>
    <w:rsid w:val="4497145E"/>
    <w:rsid w:val="449A7EB1"/>
    <w:rsid w:val="449C4CC6"/>
    <w:rsid w:val="449D0A3E"/>
    <w:rsid w:val="449F0313"/>
    <w:rsid w:val="44A678F3"/>
    <w:rsid w:val="44AB315B"/>
    <w:rsid w:val="44B042CE"/>
    <w:rsid w:val="44C94B85"/>
    <w:rsid w:val="44CE0BF8"/>
    <w:rsid w:val="44D57AAE"/>
    <w:rsid w:val="44E81CBA"/>
    <w:rsid w:val="44E93C84"/>
    <w:rsid w:val="44EA6267"/>
    <w:rsid w:val="44EA7076"/>
    <w:rsid w:val="44EB79FC"/>
    <w:rsid w:val="44FD328B"/>
    <w:rsid w:val="450008B7"/>
    <w:rsid w:val="4508410A"/>
    <w:rsid w:val="45085EB8"/>
    <w:rsid w:val="4514252F"/>
    <w:rsid w:val="451B2245"/>
    <w:rsid w:val="451B69DA"/>
    <w:rsid w:val="45252F0E"/>
    <w:rsid w:val="452627E2"/>
    <w:rsid w:val="45343151"/>
    <w:rsid w:val="45372C41"/>
    <w:rsid w:val="45390767"/>
    <w:rsid w:val="453E5D7D"/>
    <w:rsid w:val="45401AF6"/>
    <w:rsid w:val="454B3FF6"/>
    <w:rsid w:val="454F1D39"/>
    <w:rsid w:val="455C4456"/>
    <w:rsid w:val="45603F46"/>
    <w:rsid w:val="45615A34"/>
    <w:rsid w:val="4585575A"/>
    <w:rsid w:val="458D0AB3"/>
    <w:rsid w:val="459260C9"/>
    <w:rsid w:val="45992FB4"/>
    <w:rsid w:val="45A656D1"/>
    <w:rsid w:val="45A73923"/>
    <w:rsid w:val="45A858ED"/>
    <w:rsid w:val="45AA51C1"/>
    <w:rsid w:val="45B20519"/>
    <w:rsid w:val="45B61DB8"/>
    <w:rsid w:val="45C02C36"/>
    <w:rsid w:val="45C049E4"/>
    <w:rsid w:val="45C142B9"/>
    <w:rsid w:val="45CA13BF"/>
    <w:rsid w:val="45D1274E"/>
    <w:rsid w:val="45D24718"/>
    <w:rsid w:val="45DA6B58"/>
    <w:rsid w:val="45DD5596"/>
    <w:rsid w:val="45E05087"/>
    <w:rsid w:val="45E53379"/>
    <w:rsid w:val="45E85CE9"/>
    <w:rsid w:val="45F06817"/>
    <w:rsid w:val="45F547E4"/>
    <w:rsid w:val="45F66658"/>
    <w:rsid w:val="45F91CA4"/>
    <w:rsid w:val="460074D7"/>
    <w:rsid w:val="46032B23"/>
    <w:rsid w:val="46040D75"/>
    <w:rsid w:val="460923B1"/>
    <w:rsid w:val="460A3EB2"/>
    <w:rsid w:val="46205483"/>
    <w:rsid w:val="46326F64"/>
    <w:rsid w:val="46470C62"/>
    <w:rsid w:val="46511AE0"/>
    <w:rsid w:val="4654512D"/>
    <w:rsid w:val="46623B75"/>
    <w:rsid w:val="46753A21"/>
    <w:rsid w:val="467B090B"/>
    <w:rsid w:val="467D0B27"/>
    <w:rsid w:val="467F03FC"/>
    <w:rsid w:val="468974CC"/>
    <w:rsid w:val="4698770F"/>
    <w:rsid w:val="469B2D5C"/>
    <w:rsid w:val="469F284C"/>
    <w:rsid w:val="46AB11F1"/>
    <w:rsid w:val="46B93339"/>
    <w:rsid w:val="46BF2EEE"/>
    <w:rsid w:val="46CB1893"/>
    <w:rsid w:val="46CC1167"/>
    <w:rsid w:val="46D02A05"/>
    <w:rsid w:val="46DF533E"/>
    <w:rsid w:val="46E071FF"/>
    <w:rsid w:val="46EC35B7"/>
    <w:rsid w:val="46ED1F38"/>
    <w:rsid w:val="46EE0123"/>
    <w:rsid w:val="46F04E55"/>
    <w:rsid w:val="46F54B62"/>
    <w:rsid w:val="46F87FDF"/>
    <w:rsid w:val="46FC1A4C"/>
    <w:rsid w:val="470628CB"/>
    <w:rsid w:val="470B1C8F"/>
    <w:rsid w:val="470D5A07"/>
    <w:rsid w:val="47134FE8"/>
    <w:rsid w:val="47174AD8"/>
    <w:rsid w:val="472114B3"/>
    <w:rsid w:val="47240FA3"/>
    <w:rsid w:val="47264693"/>
    <w:rsid w:val="47374ADB"/>
    <w:rsid w:val="474224CC"/>
    <w:rsid w:val="4749050A"/>
    <w:rsid w:val="474A6C5C"/>
    <w:rsid w:val="474F4272"/>
    <w:rsid w:val="47502091"/>
    <w:rsid w:val="47507FEA"/>
    <w:rsid w:val="475950F1"/>
    <w:rsid w:val="475F022D"/>
    <w:rsid w:val="4765613A"/>
    <w:rsid w:val="47723ABC"/>
    <w:rsid w:val="47786A0C"/>
    <w:rsid w:val="477A6E15"/>
    <w:rsid w:val="478F28C0"/>
    <w:rsid w:val="47941C85"/>
    <w:rsid w:val="47953C4F"/>
    <w:rsid w:val="479C322F"/>
    <w:rsid w:val="47A04ACD"/>
    <w:rsid w:val="47BE6D02"/>
    <w:rsid w:val="47CB141F"/>
    <w:rsid w:val="47DC187E"/>
    <w:rsid w:val="47E15D9A"/>
    <w:rsid w:val="47E726FC"/>
    <w:rsid w:val="47EF15B1"/>
    <w:rsid w:val="47F22E4F"/>
    <w:rsid w:val="47F46BC7"/>
    <w:rsid w:val="47F866B8"/>
    <w:rsid w:val="4812704D"/>
    <w:rsid w:val="481D611E"/>
    <w:rsid w:val="482374AD"/>
    <w:rsid w:val="48270D4B"/>
    <w:rsid w:val="48272AF9"/>
    <w:rsid w:val="48396CD0"/>
    <w:rsid w:val="484713ED"/>
    <w:rsid w:val="484A4A39"/>
    <w:rsid w:val="485458B8"/>
    <w:rsid w:val="48627FD5"/>
    <w:rsid w:val="486C2C02"/>
    <w:rsid w:val="487F0B87"/>
    <w:rsid w:val="488B41AA"/>
    <w:rsid w:val="488E0DCA"/>
    <w:rsid w:val="489177E2"/>
    <w:rsid w:val="489831CA"/>
    <w:rsid w:val="489A151D"/>
    <w:rsid w:val="489F4D85"/>
    <w:rsid w:val="48A44149"/>
    <w:rsid w:val="48AE4FC8"/>
    <w:rsid w:val="48B84099"/>
    <w:rsid w:val="48BF5427"/>
    <w:rsid w:val="48C20A74"/>
    <w:rsid w:val="48EA3B26"/>
    <w:rsid w:val="48F350D1"/>
    <w:rsid w:val="48F826E7"/>
    <w:rsid w:val="4910358D"/>
    <w:rsid w:val="491312CF"/>
    <w:rsid w:val="491F1A22"/>
    <w:rsid w:val="49262DB0"/>
    <w:rsid w:val="49290AF3"/>
    <w:rsid w:val="492B486B"/>
    <w:rsid w:val="49316F70"/>
    <w:rsid w:val="494D47E1"/>
    <w:rsid w:val="49594CEC"/>
    <w:rsid w:val="495A0CAC"/>
    <w:rsid w:val="495A1454"/>
    <w:rsid w:val="4961203A"/>
    <w:rsid w:val="496B110B"/>
    <w:rsid w:val="49724248"/>
    <w:rsid w:val="49746212"/>
    <w:rsid w:val="49783F82"/>
    <w:rsid w:val="49850274"/>
    <w:rsid w:val="498F4DFA"/>
    <w:rsid w:val="49935F6C"/>
    <w:rsid w:val="49937592"/>
    <w:rsid w:val="49995C78"/>
    <w:rsid w:val="49A07007"/>
    <w:rsid w:val="49AD1724"/>
    <w:rsid w:val="49B04D70"/>
    <w:rsid w:val="49C33FF5"/>
    <w:rsid w:val="49C34AA3"/>
    <w:rsid w:val="49C8030C"/>
    <w:rsid w:val="49CD76D0"/>
    <w:rsid w:val="49D40A5E"/>
    <w:rsid w:val="49D547D7"/>
    <w:rsid w:val="49D7054F"/>
    <w:rsid w:val="49E07403"/>
    <w:rsid w:val="49E16015"/>
    <w:rsid w:val="49F17862"/>
    <w:rsid w:val="49F25388"/>
    <w:rsid w:val="49FB423D"/>
    <w:rsid w:val="4A0A430E"/>
    <w:rsid w:val="4A1903D0"/>
    <w:rsid w:val="4A242C5E"/>
    <w:rsid w:val="4A301A0D"/>
    <w:rsid w:val="4A34774F"/>
    <w:rsid w:val="4A3634C7"/>
    <w:rsid w:val="4A413C1A"/>
    <w:rsid w:val="4A461F80"/>
    <w:rsid w:val="4A4756D4"/>
    <w:rsid w:val="4A4A0D21"/>
    <w:rsid w:val="4A595408"/>
    <w:rsid w:val="4A606796"/>
    <w:rsid w:val="4A6534B0"/>
    <w:rsid w:val="4A6B39D8"/>
    <w:rsid w:val="4A715440"/>
    <w:rsid w:val="4A7364C9"/>
    <w:rsid w:val="4A743FEF"/>
    <w:rsid w:val="4A761B16"/>
    <w:rsid w:val="4A7E6C1C"/>
    <w:rsid w:val="4A8E0B76"/>
    <w:rsid w:val="4A9E2E1A"/>
    <w:rsid w:val="4AA743C5"/>
    <w:rsid w:val="4AAE7501"/>
    <w:rsid w:val="4AB12B4E"/>
    <w:rsid w:val="4AB16FF2"/>
    <w:rsid w:val="4ABC2764"/>
    <w:rsid w:val="4AC8224B"/>
    <w:rsid w:val="4AC9433B"/>
    <w:rsid w:val="4AC960E9"/>
    <w:rsid w:val="4ACB00B3"/>
    <w:rsid w:val="4ACC7988"/>
    <w:rsid w:val="4ACF1226"/>
    <w:rsid w:val="4ADB5E1D"/>
    <w:rsid w:val="4ADB7BCB"/>
    <w:rsid w:val="4AE50A49"/>
    <w:rsid w:val="4AEE78FE"/>
    <w:rsid w:val="4AF64A04"/>
    <w:rsid w:val="4AFE1B37"/>
    <w:rsid w:val="4B052E99"/>
    <w:rsid w:val="4B0B204A"/>
    <w:rsid w:val="4B0B6702"/>
    <w:rsid w:val="4B0C5FD6"/>
    <w:rsid w:val="4B1B446B"/>
    <w:rsid w:val="4B1E6BAC"/>
    <w:rsid w:val="4B337A07"/>
    <w:rsid w:val="4B38326F"/>
    <w:rsid w:val="4B385A72"/>
    <w:rsid w:val="4B4614E8"/>
    <w:rsid w:val="4B4B2FA2"/>
    <w:rsid w:val="4B693428"/>
    <w:rsid w:val="4B6C4CC7"/>
    <w:rsid w:val="4B6E4EE3"/>
    <w:rsid w:val="4B780B78"/>
    <w:rsid w:val="4B7E5126"/>
    <w:rsid w:val="4B8169C4"/>
    <w:rsid w:val="4B8464B4"/>
    <w:rsid w:val="4B887D52"/>
    <w:rsid w:val="4B8E2E8F"/>
    <w:rsid w:val="4B906C07"/>
    <w:rsid w:val="4B9304A5"/>
    <w:rsid w:val="4B977F95"/>
    <w:rsid w:val="4B995EC1"/>
    <w:rsid w:val="4B9F4176"/>
    <w:rsid w:val="4BB943B0"/>
    <w:rsid w:val="4BCB40E3"/>
    <w:rsid w:val="4BDB2578"/>
    <w:rsid w:val="4BDE5BC4"/>
    <w:rsid w:val="4BDF193C"/>
    <w:rsid w:val="4BF54CBC"/>
    <w:rsid w:val="4C03387D"/>
    <w:rsid w:val="4C343A36"/>
    <w:rsid w:val="4C357FF3"/>
    <w:rsid w:val="4C7327B1"/>
    <w:rsid w:val="4C8F5111"/>
    <w:rsid w:val="4CA26BF2"/>
    <w:rsid w:val="4CC72AFC"/>
    <w:rsid w:val="4CC823D1"/>
    <w:rsid w:val="4CCC1EC1"/>
    <w:rsid w:val="4CCC72AE"/>
    <w:rsid w:val="4CCF375F"/>
    <w:rsid w:val="4CD07C03"/>
    <w:rsid w:val="4CE54D31"/>
    <w:rsid w:val="4CEE0089"/>
    <w:rsid w:val="4CEF4BDD"/>
    <w:rsid w:val="4CF03E01"/>
    <w:rsid w:val="4CF17B79"/>
    <w:rsid w:val="4CF82CB6"/>
    <w:rsid w:val="4CFD207A"/>
    <w:rsid w:val="4D185106"/>
    <w:rsid w:val="4D27359B"/>
    <w:rsid w:val="4D333CEE"/>
    <w:rsid w:val="4D3637DE"/>
    <w:rsid w:val="4D371A30"/>
    <w:rsid w:val="4D3B2BA3"/>
    <w:rsid w:val="4D493511"/>
    <w:rsid w:val="4D4C3002"/>
    <w:rsid w:val="4D565C2E"/>
    <w:rsid w:val="4D5A127B"/>
    <w:rsid w:val="4D616AAD"/>
    <w:rsid w:val="4D6D3151"/>
    <w:rsid w:val="4D6D3557"/>
    <w:rsid w:val="4D6D5452"/>
    <w:rsid w:val="4D7B7443"/>
    <w:rsid w:val="4D866514"/>
    <w:rsid w:val="4D8B58D8"/>
    <w:rsid w:val="4D8E7176"/>
    <w:rsid w:val="4D914FCD"/>
    <w:rsid w:val="4D9B55DE"/>
    <w:rsid w:val="4D9E1AAF"/>
    <w:rsid w:val="4DA150FB"/>
    <w:rsid w:val="4DAD1CF2"/>
    <w:rsid w:val="4DB34E2F"/>
    <w:rsid w:val="4DB56DF9"/>
    <w:rsid w:val="4DBB5FA5"/>
    <w:rsid w:val="4DC1754C"/>
    <w:rsid w:val="4DC332C4"/>
    <w:rsid w:val="4DC96400"/>
    <w:rsid w:val="4DD86643"/>
    <w:rsid w:val="4DE119E4"/>
    <w:rsid w:val="4DE35714"/>
    <w:rsid w:val="4DE90850"/>
    <w:rsid w:val="4DE95C88"/>
    <w:rsid w:val="4DFE60AA"/>
    <w:rsid w:val="4E067654"/>
    <w:rsid w:val="4E092CA1"/>
    <w:rsid w:val="4E140DE4"/>
    <w:rsid w:val="4E173610"/>
    <w:rsid w:val="4E1A4EAE"/>
    <w:rsid w:val="4E1C29D4"/>
    <w:rsid w:val="4E3C3076"/>
    <w:rsid w:val="4E4B32B9"/>
    <w:rsid w:val="4E596E89"/>
    <w:rsid w:val="4E604FB7"/>
    <w:rsid w:val="4E6600F3"/>
    <w:rsid w:val="4E683E6B"/>
    <w:rsid w:val="4E6879C7"/>
    <w:rsid w:val="4E6A7BE3"/>
    <w:rsid w:val="4E6F51FA"/>
    <w:rsid w:val="4E7C753D"/>
    <w:rsid w:val="4E7D7917"/>
    <w:rsid w:val="4E824F2D"/>
    <w:rsid w:val="4E83244E"/>
    <w:rsid w:val="4E872543"/>
    <w:rsid w:val="4EA06334"/>
    <w:rsid w:val="4EAA4484"/>
    <w:rsid w:val="4EBA2D91"/>
    <w:rsid w:val="4EBD5F65"/>
    <w:rsid w:val="4EC07FC0"/>
    <w:rsid w:val="4EC372F3"/>
    <w:rsid w:val="4EC56BC8"/>
    <w:rsid w:val="4EC76DE4"/>
    <w:rsid w:val="4EC9454B"/>
    <w:rsid w:val="4ED35788"/>
    <w:rsid w:val="4EDE1462"/>
    <w:rsid w:val="4EDE7C89"/>
    <w:rsid w:val="4EE47996"/>
    <w:rsid w:val="4EF851EF"/>
    <w:rsid w:val="4EF95218"/>
    <w:rsid w:val="4F02606E"/>
    <w:rsid w:val="4F041DE6"/>
    <w:rsid w:val="4F0516BA"/>
    <w:rsid w:val="4F073684"/>
    <w:rsid w:val="4F0911AA"/>
    <w:rsid w:val="4F0A0A7E"/>
    <w:rsid w:val="4F0C47F7"/>
    <w:rsid w:val="4F102DC0"/>
    <w:rsid w:val="4F1D4C56"/>
    <w:rsid w:val="4F2204BE"/>
    <w:rsid w:val="4F283151"/>
    <w:rsid w:val="4F3E697A"/>
    <w:rsid w:val="4F4451E9"/>
    <w:rsid w:val="4F49251D"/>
    <w:rsid w:val="4F587A3C"/>
    <w:rsid w:val="4F5A37B4"/>
    <w:rsid w:val="4F610FE6"/>
    <w:rsid w:val="4F672375"/>
    <w:rsid w:val="4F7D3946"/>
    <w:rsid w:val="4F840831"/>
    <w:rsid w:val="4F882E2D"/>
    <w:rsid w:val="4F912F4E"/>
    <w:rsid w:val="4FA233AD"/>
    <w:rsid w:val="4FB201FD"/>
    <w:rsid w:val="4FBA06F6"/>
    <w:rsid w:val="4FBF7ABB"/>
    <w:rsid w:val="4FC4328E"/>
    <w:rsid w:val="4FCB46B2"/>
    <w:rsid w:val="4FD317B8"/>
    <w:rsid w:val="4FE87012"/>
    <w:rsid w:val="4FED4628"/>
    <w:rsid w:val="4FF77255"/>
    <w:rsid w:val="4FFE4A87"/>
    <w:rsid w:val="500A268A"/>
    <w:rsid w:val="500F6F8C"/>
    <w:rsid w:val="501047BA"/>
    <w:rsid w:val="50153B7F"/>
    <w:rsid w:val="5017082F"/>
    <w:rsid w:val="501C6CBB"/>
    <w:rsid w:val="50265D8C"/>
    <w:rsid w:val="50282188"/>
    <w:rsid w:val="502C64D3"/>
    <w:rsid w:val="50342257"/>
    <w:rsid w:val="503E4E84"/>
    <w:rsid w:val="50412BC6"/>
    <w:rsid w:val="50577CF3"/>
    <w:rsid w:val="50681F00"/>
    <w:rsid w:val="50697A27"/>
    <w:rsid w:val="506A211C"/>
    <w:rsid w:val="506D39BB"/>
    <w:rsid w:val="506D5769"/>
    <w:rsid w:val="50744D49"/>
    <w:rsid w:val="50770396"/>
    <w:rsid w:val="50964CC0"/>
    <w:rsid w:val="50982C04"/>
    <w:rsid w:val="50A373DC"/>
    <w:rsid w:val="50A8054F"/>
    <w:rsid w:val="50B45146"/>
    <w:rsid w:val="50B85C5D"/>
    <w:rsid w:val="50C72815"/>
    <w:rsid w:val="50C730CB"/>
    <w:rsid w:val="50DD28EE"/>
    <w:rsid w:val="50E50F9C"/>
    <w:rsid w:val="50EF331B"/>
    <w:rsid w:val="50F11EF6"/>
    <w:rsid w:val="50F766C1"/>
    <w:rsid w:val="50FB2D75"/>
    <w:rsid w:val="51034386"/>
    <w:rsid w:val="510559A1"/>
    <w:rsid w:val="51087240"/>
    <w:rsid w:val="5116195C"/>
    <w:rsid w:val="512247A5"/>
    <w:rsid w:val="5125610B"/>
    <w:rsid w:val="512A5408"/>
    <w:rsid w:val="512F2A1E"/>
    <w:rsid w:val="513A0ECC"/>
    <w:rsid w:val="51422751"/>
    <w:rsid w:val="51677CF4"/>
    <w:rsid w:val="516923D4"/>
    <w:rsid w:val="516C3C72"/>
    <w:rsid w:val="516E3547"/>
    <w:rsid w:val="51A60F32"/>
    <w:rsid w:val="51B579BE"/>
    <w:rsid w:val="51BF3DA2"/>
    <w:rsid w:val="51C07B1A"/>
    <w:rsid w:val="51C13FBE"/>
    <w:rsid w:val="51CB2747"/>
    <w:rsid w:val="51D05FAF"/>
    <w:rsid w:val="51D35A9F"/>
    <w:rsid w:val="51E101BC"/>
    <w:rsid w:val="51FA74D0"/>
    <w:rsid w:val="52020133"/>
    <w:rsid w:val="52067C23"/>
    <w:rsid w:val="520774F7"/>
    <w:rsid w:val="520B348B"/>
    <w:rsid w:val="52195BA8"/>
    <w:rsid w:val="52287B99"/>
    <w:rsid w:val="522D1654"/>
    <w:rsid w:val="52350508"/>
    <w:rsid w:val="523E560F"/>
    <w:rsid w:val="524644C3"/>
    <w:rsid w:val="52497B10"/>
    <w:rsid w:val="52522E68"/>
    <w:rsid w:val="52524C16"/>
    <w:rsid w:val="5253098E"/>
    <w:rsid w:val="525766D1"/>
    <w:rsid w:val="52691F60"/>
    <w:rsid w:val="52734B8D"/>
    <w:rsid w:val="5277467D"/>
    <w:rsid w:val="527B23BF"/>
    <w:rsid w:val="52815D1C"/>
    <w:rsid w:val="528B0128"/>
    <w:rsid w:val="528B637A"/>
    <w:rsid w:val="529C0587"/>
    <w:rsid w:val="529C2335"/>
    <w:rsid w:val="52A511EA"/>
    <w:rsid w:val="52AF2069"/>
    <w:rsid w:val="52B0193D"/>
    <w:rsid w:val="52B256B5"/>
    <w:rsid w:val="52B70F1D"/>
    <w:rsid w:val="52B92EE7"/>
    <w:rsid w:val="52C8137C"/>
    <w:rsid w:val="52D25D57"/>
    <w:rsid w:val="52D95337"/>
    <w:rsid w:val="52DC0984"/>
    <w:rsid w:val="52E141EC"/>
    <w:rsid w:val="52E15F9A"/>
    <w:rsid w:val="52F61A46"/>
    <w:rsid w:val="52FE18DA"/>
    <w:rsid w:val="53051C89"/>
    <w:rsid w:val="531243A6"/>
    <w:rsid w:val="532760A3"/>
    <w:rsid w:val="5334256E"/>
    <w:rsid w:val="533B5C10"/>
    <w:rsid w:val="533E519B"/>
    <w:rsid w:val="5345477B"/>
    <w:rsid w:val="534D3630"/>
    <w:rsid w:val="53582700"/>
    <w:rsid w:val="53591FD4"/>
    <w:rsid w:val="535A6478"/>
    <w:rsid w:val="536410A5"/>
    <w:rsid w:val="53656BCB"/>
    <w:rsid w:val="536863BA"/>
    <w:rsid w:val="536D782E"/>
    <w:rsid w:val="536E566D"/>
    <w:rsid w:val="537137C2"/>
    <w:rsid w:val="538E7ED0"/>
    <w:rsid w:val="53982AFD"/>
    <w:rsid w:val="53987EBC"/>
    <w:rsid w:val="53A92F5C"/>
    <w:rsid w:val="53BA6F17"/>
    <w:rsid w:val="53CC27A6"/>
    <w:rsid w:val="53E21FCA"/>
    <w:rsid w:val="53E2646E"/>
    <w:rsid w:val="53E45D42"/>
    <w:rsid w:val="53E67D0C"/>
    <w:rsid w:val="53EA02D9"/>
    <w:rsid w:val="53EA29C7"/>
    <w:rsid w:val="53EC2E48"/>
    <w:rsid w:val="53F1045F"/>
    <w:rsid w:val="53FA209C"/>
    <w:rsid w:val="53FD0BB2"/>
    <w:rsid w:val="54014B46"/>
    <w:rsid w:val="540208BE"/>
    <w:rsid w:val="540508E6"/>
    <w:rsid w:val="540E2DBF"/>
    <w:rsid w:val="541128AF"/>
    <w:rsid w:val="5429409D"/>
    <w:rsid w:val="542E0595"/>
    <w:rsid w:val="542E520F"/>
    <w:rsid w:val="54345897"/>
    <w:rsid w:val="54375959"/>
    <w:rsid w:val="54384C6F"/>
    <w:rsid w:val="543C3DD0"/>
    <w:rsid w:val="54400266"/>
    <w:rsid w:val="54413194"/>
    <w:rsid w:val="5452714F"/>
    <w:rsid w:val="54624EB9"/>
    <w:rsid w:val="546724CF"/>
    <w:rsid w:val="548518F2"/>
    <w:rsid w:val="54882B71"/>
    <w:rsid w:val="548F2152"/>
    <w:rsid w:val="54992FD0"/>
    <w:rsid w:val="54996B2C"/>
    <w:rsid w:val="54A13C33"/>
    <w:rsid w:val="54A656ED"/>
    <w:rsid w:val="54B25E40"/>
    <w:rsid w:val="54B41BB8"/>
    <w:rsid w:val="54C0055D"/>
    <w:rsid w:val="54D20290"/>
    <w:rsid w:val="54D45DB6"/>
    <w:rsid w:val="54D933CD"/>
    <w:rsid w:val="54DC2EBD"/>
    <w:rsid w:val="54E35FFA"/>
    <w:rsid w:val="54E51D72"/>
    <w:rsid w:val="54E66686"/>
    <w:rsid w:val="54E87266"/>
    <w:rsid w:val="54ED50CA"/>
    <w:rsid w:val="54F8584D"/>
    <w:rsid w:val="54FC355F"/>
    <w:rsid w:val="55006BAB"/>
    <w:rsid w:val="5505332A"/>
    <w:rsid w:val="550F5041"/>
    <w:rsid w:val="5511700B"/>
    <w:rsid w:val="55164621"/>
    <w:rsid w:val="551B1C37"/>
    <w:rsid w:val="55286102"/>
    <w:rsid w:val="55287EB0"/>
    <w:rsid w:val="55314FB7"/>
    <w:rsid w:val="5539030F"/>
    <w:rsid w:val="553D11E6"/>
    <w:rsid w:val="553E7562"/>
    <w:rsid w:val="5543358C"/>
    <w:rsid w:val="55466588"/>
    <w:rsid w:val="55524F2D"/>
    <w:rsid w:val="55562C6F"/>
    <w:rsid w:val="5559450E"/>
    <w:rsid w:val="556259CE"/>
    <w:rsid w:val="556C0519"/>
    <w:rsid w:val="556F788D"/>
    <w:rsid w:val="55711857"/>
    <w:rsid w:val="5583158B"/>
    <w:rsid w:val="558772CD"/>
    <w:rsid w:val="55983288"/>
    <w:rsid w:val="55986DE4"/>
    <w:rsid w:val="55AD3FE6"/>
    <w:rsid w:val="55AF3898"/>
    <w:rsid w:val="55B45DAC"/>
    <w:rsid w:val="55BB6F76"/>
    <w:rsid w:val="55C37BD9"/>
    <w:rsid w:val="55C91693"/>
    <w:rsid w:val="55CB540B"/>
    <w:rsid w:val="55E55DA1"/>
    <w:rsid w:val="55EB573A"/>
    <w:rsid w:val="55EC03E1"/>
    <w:rsid w:val="55F34962"/>
    <w:rsid w:val="55F61036"/>
    <w:rsid w:val="55F81F79"/>
    <w:rsid w:val="56095F34"/>
    <w:rsid w:val="56187F25"/>
    <w:rsid w:val="561A1EEF"/>
    <w:rsid w:val="56292132"/>
    <w:rsid w:val="56384123"/>
    <w:rsid w:val="56413B72"/>
    <w:rsid w:val="565E627F"/>
    <w:rsid w:val="566118CC"/>
    <w:rsid w:val="566969D2"/>
    <w:rsid w:val="56844798"/>
    <w:rsid w:val="56875550"/>
    <w:rsid w:val="56883636"/>
    <w:rsid w:val="5695585E"/>
    <w:rsid w:val="56984D21"/>
    <w:rsid w:val="56A96DCF"/>
    <w:rsid w:val="56B45E9F"/>
    <w:rsid w:val="56C500AD"/>
    <w:rsid w:val="56C65BD3"/>
    <w:rsid w:val="56C9121F"/>
    <w:rsid w:val="56D239C4"/>
    <w:rsid w:val="56DC71A4"/>
    <w:rsid w:val="56EF512A"/>
    <w:rsid w:val="56F3629C"/>
    <w:rsid w:val="56F40992"/>
    <w:rsid w:val="56F42740"/>
    <w:rsid w:val="56F52014"/>
    <w:rsid w:val="5714693E"/>
    <w:rsid w:val="572172AD"/>
    <w:rsid w:val="57256D9D"/>
    <w:rsid w:val="57291904"/>
    <w:rsid w:val="572B1EDA"/>
    <w:rsid w:val="5730129E"/>
    <w:rsid w:val="573174F0"/>
    <w:rsid w:val="573C5E95"/>
    <w:rsid w:val="574014E1"/>
    <w:rsid w:val="57403ADD"/>
    <w:rsid w:val="57452F9B"/>
    <w:rsid w:val="57541431"/>
    <w:rsid w:val="575651A9"/>
    <w:rsid w:val="575B631B"/>
    <w:rsid w:val="575D6537"/>
    <w:rsid w:val="5765363E"/>
    <w:rsid w:val="57684EDC"/>
    <w:rsid w:val="576A47B0"/>
    <w:rsid w:val="577B6E62"/>
    <w:rsid w:val="57812F2D"/>
    <w:rsid w:val="57911D3D"/>
    <w:rsid w:val="579F6D27"/>
    <w:rsid w:val="57A31A70"/>
    <w:rsid w:val="57A557E8"/>
    <w:rsid w:val="57A9177C"/>
    <w:rsid w:val="57AF2B0B"/>
    <w:rsid w:val="57B10631"/>
    <w:rsid w:val="57B41ECF"/>
    <w:rsid w:val="57B604E5"/>
    <w:rsid w:val="57B819BF"/>
    <w:rsid w:val="57BA642E"/>
    <w:rsid w:val="57D34AA0"/>
    <w:rsid w:val="57DB56AE"/>
    <w:rsid w:val="57DF5F9C"/>
    <w:rsid w:val="57E427B4"/>
    <w:rsid w:val="57E502DB"/>
    <w:rsid w:val="57E642F4"/>
    <w:rsid w:val="57E76F1A"/>
    <w:rsid w:val="57EC1669"/>
    <w:rsid w:val="57EF4CB5"/>
    <w:rsid w:val="57F251BD"/>
    <w:rsid w:val="580249E9"/>
    <w:rsid w:val="580544D9"/>
    <w:rsid w:val="58095D77"/>
    <w:rsid w:val="580A1AEF"/>
    <w:rsid w:val="582726A1"/>
    <w:rsid w:val="582F4266"/>
    <w:rsid w:val="58326CBD"/>
    <w:rsid w:val="58331046"/>
    <w:rsid w:val="583A0626"/>
    <w:rsid w:val="58490869"/>
    <w:rsid w:val="585316E8"/>
    <w:rsid w:val="58535244"/>
    <w:rsid w:val="586236D9"/>
    <w:rsid w:val="586475A6"/>
    <w:rsid w:val="58705DF6"/>
    <w:rsid w:val="58711B6E"/>
    <w:rsid w:val="587C0C3F"/>
    <w:rsid w:val="587F428B"/>
    <w:rsid w:val="5889335C"/>
    <w:rsid w:val="588C0756"/>
    <w:rsid w:val="58951D01"/>
    <w:rsid w:val="58972E47"/>
    <w:rsid w:val="58B71C77"/>
    <w:rsid w:val="58BC54DF"/>
    <w:rsid w:val="58C47EF0"/>
    <w:rsid w:val="58C93758"/>
    <w:rsid w:val="58D2085F"/>
    <w:rsid w:val="58DC7930"/>
    <w:rsid w:val="58DE5456"/>
    <w:rsid w:val="58E95BA9"/>
    <w:rsid w:val="58EB36CF"/>
    <w:rsid w:val="58F85DEC"/>
    <w:rsid w:val="59017396"/>
    <w:rsid w:val="59060509"/>
    <w:rsid w:val="592A069B"/>
    <w:rsid w:val="592D018B"/>
    <w:rsid w:val="5932754F"/>
    <w:rsid w:val="59350DEE"/>
    <w:rsid w:val="59374B66"/>
    <w:rsid w:val="59396B30"/>
    <w:rsid w:val="593A6404"/>
    <w:rsid w:val="593E7CA2"/>
    <w:rsid w:val="594D4389"/>
    <w:rsid w:val="594F1EAF"/>
    <w:rsid w:val="59611BE3"/>
    <w:rsid w:val="59633BAD"/>
    <w:rsid w:val="59637709"/>
    <w:rsid w:val="59745DBA"/>
    <w:rsid w:val="59875AED"/>
    <w:rsid w:val="598F4BC6"/>
    <w:rsid w:val="59A10693"/>
    <w:rsid w:val="59AB6B3D"/>
    <w:rsid w:val="59AC10B0"/>
    <w:rsid w:val="59B77A55"/>
    <w:rsid w:val="59C81C62"/>
    <w:rsid w:val="59C85DDD"/>
    <w:rsid w:val="59CD7278"/>
    <w:rsid w:val="59D22E56"/>
    <w:rsid w:val="59D269FF"/>
    <w:rsid w:val="59D6437F"/>
    <w:rsid w:val="59D93E6F"/>
    <w:rsid w:val="59DF24AE"/>
    <w:rsid w:val="59E00D5A"/>
    <w:rsid w:val="59E22D24"/>
    <w:rsid w:val="59E36A9C"/>
    <w:rsid w:val="59F9006D"/>
    <w:rsid w:val="59F91E1B"/>
    <w:rsid w:val="59FA62BF"/>
    <w:rsid w:val="5A032C9A"/>
    <w:rsid w:val="5A054C64"/>
    <w:rsid w:val="5A113609"/>
    <w:rsid w:val="5A144EA7"/>
    <w:rsid w:val="5A1E1882"/>
    <w:rsid w:val="5A1F7AD4"/>
    <w:rsid w:val="5A245D23"/>
    <w:rsid w:val="5A321AAD"/>
    <w:rsid w:val="5A3B28EC"/>
    <w:rsid w:val="5A3D43FE"/>
    <w:rsid w:val="5A4C4641"/>
    <w:rsid w:val="5A515A59"/>
    <w:rsid w:val="5A533C21"/>
    <w:rsid w:val="5A581238"/>
    <w:rsid w:val="5A5A0B0C"/>
    <w:rsid w:val="5A7122F9"/>
    <w:rsid w:val="5A715E56"/>
    <w:rsid w:val="5A737E20"/>
    <w:rsid w:val="5AA601F5"/>
    <w:rsid w:val="5AB26B9A"/>
    <w:rsid w:val="5ACC12DE"/>
    <w:rsid w:val="5ADD173D"/>
    <w:rsid w:val="5ADF3707"/>
    <w:rsid w:val="5ADF54B5"/>
    <w:rsid w:val="5AE605F2"/>
    <w:rsid w:val="5B174C4F"/>
    <w:rsid w:val="5B1E7D8B"/>
    <w:rsid w:val="5B2275C2"/>
    <w:rsid w:val="5B241A3E"/>
    <w:rsid w:val="5B2A2BD4"/>
    <w:rsid w:val="5B2F1F99"/>
    <w:rsid w:val="5B3B29C6"/>
    <w:rsid w:val="5B3F37FD"/>
    <w:rsid w:val="5B405E58"/>
    <w:rsid w:val="5B4D241F"/>
    <w:rsid w:val="5B500161"/>
    <w:rsid w:val="5B5D3606"/>
    <w:rsid w:val="5B694D7F"/>
    <w:rsid w:val="5B6B0AF7"/>
    <w:rsid w:val="5B6C4632"/>
    <w:rsid w:val="5B7420A1"/>
    <w:rsid w:val="5B8A71CF"/>
    <w:rsid w:val="5BA30291"/>
    <w:rsid w:val="5BA74225"/>
    <w:rsid w:val="5BA83AF9"/>
    <w:rsid w:val="5BAA45A0"/>
    <w:rsid w:val="5BB46942"/>
    <w:rsid w:val="5BC00E43"/>
    <w:rsid w:val="5BC56459"/>
    <w:rsid w:val="5BCF72D8"/>
    <w:rsid w:val="5BD112A2"/>
    <w:rsid w:val="5BD34827"/>
    <w:rsid w:val="5BD900AF"/>
    <w:rsid w:val="5BEA4111"/>
    <w:rsid w:val="5BF44F90"/>
    <w:rsid w:val="5C072B21"/>
    <w:rsid w:val="5C0C052C"/>
    <w:rsid w:val="5C125416"/>
    <w:rsid w:val="5C1C61F2"/>
    <w:rsid w:val="5C2313D1"/>
    <w:rsid w:val="5C294C3A"/>
    <w:rsid w:val="5C2F421A"/>
    <w:rsid w:val="5C312AAE"/>
    <w:rsid w:val="5C3402DC"/>
    <w:rsid w:val="5C471564"/>
    <w:rsid w:val="5C4E46A0"/>
    <w:rsid w:val="5C4F0418"/>
    <w:rsid w:val="5C514191"/>
    <w:rsid w:val="5C545A2F"/>
    <w:rsid w:val="5C5D2B35"/>
    <w:rsid w:val="5C5F065B"/>
    <w:rsid w:val="5C6B34A4"/>
    <w:rsid w:val="5C71038F"/>
    <w:rsid w:val="5C735EB5"/>
    <w:rsid w:val="5C78796F"/>
    <w:rsid w:val="5C7A5495"/>
    <w:rsid w:val="5C7F2933"/>
    <w:rsid w:val="5C853E3A"/>
    <w:rsid w:val="5C8C6F77"/>
    <w:rsid w:val="5C904CB9"/>
    <w:rsid w:val="5C9127DF"/>
    <w:rsid w:val="5C981DBF"/>
    <w:rsid w:val="5C9B540C"/>
    <w:rsid w:val="5C9D2F32"/>
    <w:rsid w:val="5CA70254"/>
    <w:rsid w:val="5CAE513F"/>
    <w:rsid w:val="5CBA1D36"/>
    <w:rsid w:val="5CC22998"/>
    <w:rsid w:val="5CD03307"/>
    <w:rsid w:val="5CD56B70"/>
    <w:rsid w:val="5CD8040E"/>
    <w:rsid w:val="5CE9261B"/>
    <w:rsid w:val="5CF8641C"/>
    <w:rsid w:val="5CFE60C6"/>
    <w:rsid w:val="5D0D6309"/>
    <w:rsid w:val="5D107BA8"/>
    <w:rsid w:val="5D137698"/>
    <w:rsid w:val="5D192F00"/>
    <w:rsid w:val="5D1A0A26"/>
    <w:rsid w:val="5D333896"/>
    <w:rsid w:val="5D3A4C25"/>
    <w:rsid w:val="5D414205"/>
    <w:rsid w:val="5D443CF5"/>
    <w:rsid w:val="5D445C4B"/>
    <w:rsid w:val="5D543F38"/>
    <w:rsid w:val="5D5F6439"/>
    <w:rsid w:val="5D653BF8"/>
    <w:rsid w:val="5D722610"/>
    <w:rsid w:val="5D752101"/>
    <w:rsid w:val="5D995DEF"/>
    <w:rsid w:val="5D9E3405"/>
    <w:rsid w:val="5DA30A1C"/>
    <w:rsid w:val="5DA56542"/>
    <w:rsid w:val="5DA64068"/>
    <w:rsid w:val="5DAA3B58"/>
    <w:rsid w:val="5DB1084D"/>
    <w:rsid w:val="5DBA1B92"/>
    <w:rsid w:val="5DD13078"/>
    <w:rsid w:val="5DD961EC"/>
    <w:rsid w:val="5DE54B90"/>
    <w:rsid w:val="5DFB2606"/>
    <w:rsid w:val="5E16137A"/>
    <w:rsid w:val="5E211941"/>
    <w:rsid w:val="5E251431"/>
    <w:rsid w:val="5E2742A0"/>
    <w:rsid w:val="5E307265"/>
    <w:rsid w:val="5E316028"/>
    <w:rsid w:val="5E3478C6"/>
    <w:rsid w:val="5E443D28"/>
    <w:rsid w:val="5E451AD3"/>
    <w:rsid w:val="5E59732C"/>
    <w:rsid w:val="5E5E4943"/>
    <w:rsid w:val="5E624433"/>
    <w:rsid w:val="5E653F23"/>
    <w:rsid w:val="5E693A13"/>
    <w:rsid w:val="5E6C7060"/>
    <w:rsid w:val="5E794778"/>
    <w:rsid w:val="5E7A79CF"/>
    <w:rsid w:val="5E7D44EB"/>
    <w:rsid w:val="5E7D74BF"/>
    <w:rsid w:val="5E987E55"/>
    <w:rsid w:val="5EA44A4C"/>
    <w:rsid w:val="5EA52572"/>
    <w:rsid w:val="5EA762EA"/>
    <w:rsid w:val="5EAA7B89"/>
    <w:rsid w:val="5EAC1B52"/>
    <w:rsid w:val="5EB427B5"/>
    <w:rsid w:val="5EB822A5"/>
    <w:rsid w:val="5EBA426F"/>
    <w:rsid w:val="5EBB3B43"/>
    <w:rsid w:val="5EBF1885"/>
    <w:rsid w:val="5EC073AC"/>
    <w:rsid w:val="5EC40C4A"/>
    <w:rsid w:val="5ED05841"/>
    <w:rsid w:val="5ED2780B"/>
    <w:rsid w:val="5EDD1D0C"/>
    <w:rsid w:val="5EF3523C"/>
    <w:rsid w:val="5F013C4C"/>
    <w:rsid w:val="5F074FDA"/>
    <w:rsid w:val="5F125E59"/>
    <w:rsid w:val="5F13572D"/>
    <w:rsid w:val="5F1871E8"/>
    <w:rsid w:val="5F261904"/>
    <w:rsid w:val="5F4E49B7"/>
    <w:rsid w:val="5F557AF4"/>
    <w:rsid w:val="5F577D10"/>
    <w:rsid w:val="5F5D4BFA"/>
    <w:rsid w:val="5F610B8F"/>
    <w:rsid w:val="5F6E5059"/>
    <w:rsid w:val="5F816B3B"/>
    <w:rsid w:val="5F8F74AA"/>
    <w:rsid w:val="5F97010C"/>
    <w:rsid w:val="5FBC4017"/>
    <w:rsid w:val="5FC829BC"/>
    <w:rsid w:val="5FD404E7"/>
    <w:rsid w:val="5FD57B17"/>
    <w:rsid w:val="5FEF619A"/>
    <w:rsid w:val="5FF11F12"/>
    <w:rsid w:val="600734E4"/>
    <w:rsid w:val="600B28A8"/>
    <w:rsid w:val="600D03CE"/>
    <w:rsid w:val="600D6E87"/>
    <w:rsid w:val="601274E9"/>
    <w:rsid w:val="60172FFB"/>
    <w:rsid w:val="60275934"/>
    <w:rsid w:val="603B13E0"/>
    <w:rsid w:val="603B1A8B"/>
    <w:rsid w:val="603B4F3C"/>
    <w:rsid w:val="603C0CB4"/>
    <w:rsid w:val="60402552"/>
    <w:rsid w:val="60477A0A"/>
    <w:rsid w:val="60477D84"/>
    <w:rsid w:val="60487659"/>
    <w:rsid w:val="604C539B"/>
    <w:rsid w:val="604D2681"/>
    <w:rsid w:val="605B3830"/>
    <w:rsid w:val="605E50CE"/>
    <w:rsid w:val="60697BA0"/>
    <w:rsid w:val="606A3A73"/>
    <w:rsid w:val="60703B2B"/>
    <w:rsid w:val="607B7A2E"/>
    <w:rsid w:val="607C7302"/>
    <w:rsid w:val="60820DBC"/>
    <w:rsid w:val="608250F0"/>
    <w:rsid w:val="6089214B"/>
    <w:rsid w:val="608E59B3"/>
    <w:rsid w:val="60910B83"/>
    <w:rsid w:val="6094289E"/>
    <w:rsid w:val="609F196E"/>
    <w:rsid w:val="60AC5E39"/>
    <w:rsid w:val="60AE3960"/>
    <w:rsid w:val="60B44CEE"/>
    <w:rsid w:val="60C05441"/>
    <w:rsid w:val="60C34F31"/>
    <w:rsid w:val="60CF1FB5"/>
    <w:rsid w:val="60E70C20"/>
    <w:rsid w:val="60EC2C1E"/>
    <w:rsid w:val="60EC6236"/>
    <w:rsid w:val="60F021CA"/>
    <w:rsid w:val="60F0510C"/>
    <w:rsid w:val="60F90953"/>
    <w:rsid w:val="610572F8"/>
    <w:rsid w:val="61112140"/>
    <w:rsid w:val="61115278"/>
    <w:rsid w:val="61137C66"/>
    <w:rsid w:val="611759A9"/>
    <w:rsid w:val="611A7247"/>
    <w:rsid w:val="611F2AAF"/>
    <w:rsid w:val="6126799A"/>
    <w:rsid w:val="612C6F7A"/>
    <w:rsid w:val="61317B79"/>
    <w:rsid w:val="613320B7"/>
    <w:rsid w:val="61354081"/>
    <w:rsid w:val="613C7BA6"/>
    <w:rsid w:val="613F280A"/>
    <w:rsid w:val="61486B1D"/>
    <w:rsid w:val="61573FF7"/>
    <w:rsid w:val="615A7643"/>
    <w:rsid w:val="6162299C"/>
    <w:rsid w:val="61646714"/>
    <w:rsid w:val="616B1851"/>
    <w:rsid w:val="616C480D"/>
    <w:rsid w:val="617A5F38"/>
    <w:rsid w:val="61840B64"/>
    <w:rsid w:val="61856078"/>
    <w:rsid w:val="6189617B"/>
    <w:rsid w:val="61926DDD"/>
    <w:rsid w:val="619332C0"/>
    <w:rsid w:val="619856F0"/>
    <w:rsid w:val="61A13A37"/>
    <w:rsid w:val="61A15272"/>
    <w:rsid w:val="61A42FB4"/>
    <w:rsid w:val="61AD00BB"/>
    <w:rsid w:val="61C6117D"/>
    <w:rsid w:val="61C84EE5"/>
    <w:rsid w:val="61D27B22"/>
    <w:rsid w:val="61D54F1C"/>
    <w:rsid w:val="61E6537B"/>
    <w:rsid w:val="61EB0BE3"/>
    <w:rsid w:val="61F25ACE"/>
    <w:rsid w:val="61F93216"/>
    <w:rsid w:val="62040504"/>
    <w:rsid w:val="620B4DE2"/>
    <w:rsid w:val="620D2908"/>
    <w:rsid w:val="6220088D"/>
    <w:rsid w:val="62214605"/>
    <w:rsid w:val="622D4D58"/>
    <w:rsid w:val="623936FD"/>
    <w:rsid w:val="623A1223"/>
    <w:rsid w:val="62436329"/>
    <w:rsid w:val="624A76B8"/>
    <w:rsid w:val="624F2F20"/>
    <w:rsid w:val="62514EEA"/>
    <w:rsid w:val="62536C64"/>
    <w:rsid w:val="62546789"/>
    <w:rsid w:val="625C73EB"/>
    <w:rsid w:val="625E13B5"/>
    <w:rsid w:val="62652744"/>
    <w:rsid w:val="62775FD3"/>
    <w:rsid w:val="62816E52"/>
    <w:rsid w:val="629372B1"/>
    <w:rsid w:val="62966DA1"/>
    <w:rsid w:val="62976675"/>
    <w:rsid w:val="629D3C8C"/>
    <w:rsid w:val="62AA0157"/>
    <w:rsid w:val="62AC0373"/>
    <w:rsid w:val="62AC2121"/>
    <w:rsid w:val="62B02E6E"/>
    <w:rsid w:val="62B114E5"/>
    <w:rsid w:val="62B611F1"/>
    <w:rsid w:val="62C05BCC"/>
    <w:rsid w:val="62C21944"/>
    <w:rsid w:val="62C3746A"/>
    <w:rsid w:val="62C47D66"/>
    <w:rsid w:val="62CA07F9"/>
    <w:rsid w:val="62CC631F"/>
    <w:rsid w:val="62DA4EE0"/>
    <w:rsid w:val="62E47B0C"/>
    <w:rsid w:val="62F37D50"/>
    <w:rsid w:val="62F83658"/>
    <w:rsid w:val="62F92E8C"/>
    <w:rsid w:val="62FD297C"/>
    <w:rsid w:val="62FF7219"/>
    <w:rsid w:val="63027F93"/>
    <w:rsid w:val="63097573"/>
    <w:rsid w:val="630C2BBF"/>
    <w:rsid w:val="63100901"/>
    <w:rsid w:val="63161C90"/>
    <w:rsid w:val="632223E3"/>
    <w:rsid w:val="632E2B36"/>
    <w:rsid w:val="633640E0"/>
    <w:rsid w:val="63365E8E"/>
    <w:rsid w:val="633A597E"/>
    <w:rsid w:val="634C3904"/>
    <w:rsid w:val="6350123E"/>
    <w:rsid w:val="63584057"/>
    <w:rsid w:val="63622617"/>
    <w:rsid w:val="636318A0"/>
    <w:rsid w:val="636D5D54"/>
    <w:rsid w:val="63730E90"/>
    <w:rsid w:val="637328AD"/>
    <w:rsid w:val="637349EC"/>
    <w:rsid w:val="638A0392"/>
    <w:rsid w:val="638B61DA"/>
    <w:rsid w:val="638E7A78"/>
    <w:rsid w:val="639037F0"/>
    <w:rsid w:val="63984453"/>
    <w:rsid w:val="639F7B81"/>
    <w:rsid w:val="63A4729C"/>
    <w:rsid w:val="63AE1EC8"/>
    <w:rsid w:val="63B05C41"/>
    <w:rsid w:val="63B70D7D"/>
    <w:rsid w:val="63BB71C0"/>
    <w:rsid w:val="63BD3EBA"/>
    <w:rsid w:val="63C33BC6"/>
    <w:rsid w:val="63C82F8A"/>
    <w:rsid w:val="63DA4A6C"/>
    <w:rsid w:val="63E15DFA"/>
    <w:rsid w:val="63E36016"/>
    <w:rsid w:val="63E37DC4"/>
    <w:rsid w:val="63E678B4"/>
    <w:rsid w:val="63EE6769"/>
    <w:rsid w:val="63F55D49"/>
    <w:rsid w:val="63F7386F"/>
    <w:rsid w:val="63F85CD2"/>
    <w:rsid w:val="6402724C"/>
    <w:rsid w:val="6408539C"/>
    <w:rsid w:val="640B731B"/>
    <w:rsid w:val="64175CC0"/>
    <w:rsid w:val="64303292"/>
    <w:rsid w:val="64356146"/>
    <w:rsid w:val="643A375C"/>
    <w:rsid w:val="64410F8F"/>
    <w:rsid w:val="64430863"/>
    <w:rsid w:val="64462101"/>
    <w:rsid w:val="64542A70"/>
    <w:rsid w:val="645C1924"/>
    <w:rsid w:val="645E569D"/>
    <w:rsid w:val="6461518D"/>
    <w:rsid w:val="646A2293"/>
    <w:rsid w:val="646B7DB9"/>
    <w:rsid w:val="64746C6E"/>
    <w:rsid w:val="647E7AED"/>
    <w:rsid w:val="64917820"/>
    <w:rsid w:val="64A066E8"/>
    <w:rsid w:val="64A62BA0"/>
    <w:rsid w:val="64BE0D4F"/>
    <w:rsid w:val="64CA0F84"/>
    <w:rsid w:val="64D227E6"/>
    <w:rsid w:val="64D911C7"/>
    <w:rsid w:val="64DD0CB7"/>
    <w:rsid w:val="64DF4A2F"/>
    <w:rsid w:val="64E262CE"/>
    <w:rsid w:val="64E8140A"/>
    <w:rsid w:val="64E831B8"/>
    <w:rsid w:val="64EF09EB"/>
    <w:rsid w:val="64EF2799"/>
    <w:rsid w:val="64F24911"/>
    <w:rsid w:val="64F41B5D"/>
    <w:rsid w:val="64F56864"/>
    <w:rsid w:val="64F75440"/>
    <w:rsid w:val="64FE478A"/>
    <w:rsid w:val="65077AE2"/>
    <w:rsid w:val="65084C23"/>
    <w:rsid w:val="65153FD8"/>
    <w:rsid w:val="651D5558"/>
    <w:rsid w:val="65295CAB"/>
    <w:rsid w:val="652F7039"/>
    <w:rsid w:val="65393A14"/>
    <w:rsid w:val="65402FF4"/>
    <w:rsid w:val="65404DA2"/>
    <w:rsid w:val="6546685C"/>
    <w:rsid w:val="65474383"/>
    <w:rsid w:val="6549634D"/>
    <w:rsid w:val="655645C6"/>
    <w:rsid w:val="6559788E"/>
    <w:rsid w:val="655A40B6"/>
    <w:rsid w:val="65670581"/>
    <w:rsid w:val="656D24BE"/>
    <w:rsid w:val="656E190F"/>
    <w:rsid w:val="657349E7"/>
    <w:rsid w:val="65735178"/>
    <w:rsid w:val="657B5DDA"/>
    <w:rsid w:val="657E36D4"/>
    <w:rsid w:val="6582360D"/>
    <w:rsid w:val="659F41BF"/>
    <w:rsid w:val="65A17F37"/>
    <w:rsid w:val="65AD18B1"/>
    <w:rsid w:val="65C9123C"/>
    <w:rsid w:val="65CC6636"/>
    <w:rsid w:val="65D11EEC"/>
    <w:rsid w:val="65D774B5"/>
    <w:rsid w:val="65E2648E"/>
    <w:rsid w:val="65F55B8D"/>
    <w:rsid w:val="65FC516D"/>
    <w:rsid w:val="660202AA"/>
    <w:rsid w:val="6609788A"/>
    <w:rsid w:val="66171FA7"/>
    <w:rsid w:val="661C17CA"/>
    <w:rsid w:val="66240220"/>
    <w:rsid w:val="662A7F2C"/>
    <w:rsid w:val="662D17CA"/>
    <w:rsid w:val="66303069"/>
    <w:rsid w:val="6631067D"/>
    <w:rsid w:val="663D12E2"/>
    <w:rsid w:val="663E7534"/>
    <w:rsid w:val="66495ED8"/>
    <w:rsid w:val="664B1C51"/>
    <w:rsid w:val="664F7993"/>
    <w:rsid w:val="66552ACF"/>
    <w:rsid w:val="66664CDC"/>
    <w:rsid w:val="66687C94"/>
    <w:rsid w:val="66751741"/>
    <w:rsid w:val="66990C0E"/>
    <w:rsid w:val="669E4476"/>
    <w:rsid w:val="669E6224"/>
    <w:rsid w:val="66A032C4"/>
    <w:rsid w:val="66AA62F3"/>
    <w:rsid w:val="66AF0431"/>
    <w:rsid w:val="66B141AA"/>
    <w:rsid w:val="66BB6DD6"/>
    <w:rsid w:val="66CA0DC7"/>
    <w:rsid w:val="66CC2D91"/>
    <w:rsid w:val="66CE3C80"/>
    <w:rsid w:val="66CF2882"/>
    <w:rsid w:val="66D165FA"/>
    <w:rsid w:val="66D70726"/>
    <w:rsid w:val="66DD0F4D"/>
    <w:rsid w:val="66E04A8F"/>
    <w:rsid w:val="66E164E0"/>
    <w:rsid w:val="66E82CEE"/>
    <w:rsid w:val="66E8749F"/>
    <w:rsid w:val="66FC6544"/>
    <w:rsid w:val="670342D9"/>
    <w:rsid w:val="670562A3"/>
    <w:rsid w:val="67177D85"/>
    <w:rsid w:val="67185FD7"/>
    <w:rsid w:val="671F55B7"/>
    <w:rsid w:val="672030DD"/>
    <w:rsid w:val="672A3F5C"/>
    <w:rsid w:val="672A5D0A"/>
    <w:rsid w:val="672D371D"/>
    <w:rsid w:val="673858DF"/>
    <w:rsid w:val="67486190"/>
    <w:rsid w:val="67535261"/>
    <w:rsid w:val="67564D51"/>
    <w:rsid w:val="6759770C"/>
    <w:rsid w:val="678E50A3"/>
    <w:rsid w:val="67955879"/>
    <w:rsid w:val="67987117"/>
    <w:rsid w:val="679A4C3E"/>
    <w:rsid w:val="679B09B6"/>
    <w:rsid w:val="679D028A"/>
    <w:rsid w:val="679D472E"/>
    <w:rsid w:val="67A73102"/>
    <w:rsid w:val="67A930D3"/>
    <w:rsid w:val="67B37BBA"/>
    <w:rsid w:val="67B83316"/>
    <w:rsid w:val="67BB7C20"/>
    <w:rsid w:val="67BF46A4"/>
    <w:rsid w:val="67C577E1"/>
    <w:rsid w:val="67C639EF"/>
    <w:rsid w:val="67C9107F"/>
    <w:rsid w:val="67CA4DF7"/>
    <w:rsid w:val="67D30150"/>
    <w:rsid w:val="67D55C76"/>
    <w:rsid w:val="67EC1211"/>
    <w:rsid w:val="67F02AB0"/>
    <w:rsid w:val="67F72090"/>
    <w:rsid w:val="67F87BB6"/>
    <w:rsid w:val="67FA392E"/>
    <w:rsid w:val="67FD341E"/>
    <w:rsid w:val="680B78E9"/>
    <w:rsid w:val="680E2F36"/>
    <w:rsid w:val="680E73DA"/>
    <w:rsid w:val="681744E0"/>
    <w:rsid w:val="68285285"/>
    <w:rsid w:val="6831184C"/>
    <w:rsid w:val="6832131A"/>
    <w:rsid w:val="68430781"/>
    <w:rsid w:val="684E5A28"/>
    <w:rsid w:val="68555008"/>
    <w:rsid w:val="685F3791"/>
    <w:rsid w:val="685F4204"/>
    <w:rsid w:val="6864524C"/>
    <w:rsid w:val="68715352"/>
    <w:rsid w:val="68751207"/>
    <w:rsid w:val="687D122A"/>
    <w:rsid w:val="68817BAC"/>
    <w:rsid w:val="6885769C"/>
    <w:rsid w:val="688A2F04"/>
    <w:rsid w:val="688B4586"/>
    <w:rsid w:val="688C4126"/>
    <w:rsid w:val="689B6EBF"/>
    <w:rsid w:val="68A35D74"/>
    <w:rsid w:val="68A51AEC"/>
    <w:rsid w:val="68AA0EB0"/>
    <w:rsid w:val="68B2292A"/>
    <w:rsid w:val="68B43ADD"/>
    <w:rsid w:val="68B57855"/>
    <w:rsid w:val="68BB130F"/>
    <w:rsid w:val="68BC4F6B"/>
    <w:rsid w:val="68BF2482"/>
    <w:rsid w:val="68C06926"/>
    <w:rsid w:val="68DB550E"/>
    <w:rsid w:val="68DE6DAC"/>
    <w:rsid w:val="68E85E7D"/>
    <w:rsid w:val="68ED3493"/>
    <w:rsid w:val="68F4037D"/>
    <w:rsid w:val="68F465CF"/>
    <w:rsid w:val="68F91E38"/>
    <w:rsid w:val="69076303"/>
    <w:rsid w:val="69086D1C"/>
    <w:rsid w:val="69142D50"/>
    <w:rsid w:val="691B590A"/>
    <w:rsid w:val="692073C4"/>
    <w:rsid w:val="692364F5"/>
    <w:rsid w:val="69280027"/>
    <w:rsid w:val="692E5CD3"/>
    <w:rsid w:val="69382960"/>
    <w:rsid w:val="69390486"/>
    <w:rsid w:val="693F3403"/>
    <w:rsid w:val="694A4441"/>
    <w:rsid w:val="694C01BA"/>
    <w:rsid w:val="694C640B"/>
    <w:rsid w:val="694F7AA6"/>
    <w:rsid w:val="6958090C"/>
    <w:rsid w:val="6959151C"/>
    <w:rsid w:val="695928D6"/>
    <w:rsid w:val="69670B4F"/>
    <w:rsid w:val="696977F9"/>
    <w:rsid w:val="696E6382"/>
    <w:rsid w:val="69711B97"/>
    <w:rsid w:val="697414BE"/>
    <w:rsid w:val="697E41D9"/>
    <w:rsid w:val="69870583"/>
    <w:rsid w:val="69981651"/>
    <w:rsid w:val="69BD4C13"/>
    <w:rsid w:val="69C42446"/>
    <w:rsid w:val="69C67F6C"/>
    <w:rsid w:val="69C77840"/>
    <w:rsid w:val="69CE6E20"/>
    <w:rsid w:val="69D106BF"/>
    <w:rsid w:val="69D501AF"/>
    <w:rsid w:val="69D54873"/>
    <w:rsid w:val="69D56401"/>
    <w:rsid w:val="69DB32EB"/>
    <w:rsid w:val="69E76134"/>
    <w:rsid w:val="69EB79D2"/>
    <w:rsid w:val="69F543AD"/>
    <w:rsid w:val="69F61B52"/>
    <w:rsid w:val="6A1A3E14"/>
    <w:rsid w:val="6A294057"/>
    <w:rsid w:val="6A2A744A"/>
    <w:rsid w:val="6A2E78BF"/>
    <w:rsid w:val="6A366774"/>
    <w:rsid w:val="6A4E7F61"/>
    <w:rsid w:val="6A5F216E"/>
    <w:rsid w:val="6A61649F"/>
    <w:rsid w:val="6A617C95"/>
    <w:rsid w:val="6A667059"/>
    <w:rsid w:val="6A687275"/>
    <w:rsid w:val="6A771266"/>
    <w:rsid w:val="6A7D264C"/>
    <w:rsid w:val="6A8A71EB"/>
    <w:rsid w:val="6A9A4F55"/>
    <w:rsid w:val="6AB204F0"/>
    <w:rsid w:val="6AB26742"/>
    <w:rsid w:val="6AB72D9B"/>
    <w:rsid w:val="6AB75B07"/>
    <w:rsid w:val="6ABA55F7"/>
    <w:rsid w:val="6ACE4BFE"/>
    <w:rsid w:val="6AD05083"/>
    <w:rsid w:val="6AD20971"/>
    <w:rsid w:val="6AE30927"/>
    <w:rsid w:val="6AED777A"/>
    <w:rsid w:val="6AF91C7B"/>
    <w:rsid w:val="6AFC7AEF"/>
    <w:rsid w:val="6AFF300A"/>
    <w:rsid w:val="6B0A3E88"/>
    <w:rsid w:val="6B0B19AE"/>
    <w:rsid w:val="6B2A0087"/>
    <w:rsid w:val="6B39476E"/>
    <w:rsid w:val="6B3C55F4"/>
    <w:rsid w:val="6B4A24D7"/>
    <w:rsid w:val="6B6002C6"/>
    <w:rsid w:val="6B673089"/>
    <w:rsid w:val="6B6D4417"/>
    <w:rsid w:val="6B7E5284"/>
    <w:rsid w:val="6B87372B"/>
    <w:rsid w:val="6B93010D"/>
    <w:rsid w:val="6B947BF6"/>
    <w:rsid w:val="6BA02A3F"/>
    <w:rsid w:val="6BAA11C7"/>
    <w:rsid w:val="6BC73B27"/>
    <w:rsid w:val="6BCA186A"/>
    <w:rsid w:val="6BD149A6"/>
    <w:rsid w:val="6BD72473"/>
    <w:rsid w:val="6BDE05C0"/>
    <w:rsid w:val="6BE02E3B"/>
    <w:rsid w:val="6BE26BB3"/>
    <w:rsid w:val="6BF6265F"/>
    <w:rsid w:val="6C007039"/>
    <w:rsid w:val="6C2076DB"/>
    <w:rsid w:val="6C276CBC"/>
    <w:rsid w:val="6C2E004A"/>
    <w:rsid w:val="6C3D203B"/>
    <w:rsid w:val="6C3D64DF"/>
    <w:rsid w:val="6C4038DA"/>
    <w:rsid w:val="6C417D7E"/>
    <w:rsid w:val="6C423AF6"/>
    <w:rsid w:val="6C5F1FB2"/>
    <w:rsid w:val="6C6153F8"/>
    <w:rsid w:val="6C6D2921"/>
    <w:rsid w:val="6C7002BD"/>
    <w:rsid w:val="6C702411"/>
    <w:rsid w:val="6C726189"/>
    <w:rsid w:val="6C783074"/>
    <w:rsid w:val="6C7A3290"/>
    <w:rsid w:val="6C830396"/>
    <w:rsid w:val="6CA976D1"/>
    <w:rsid w:val="6CAB169B"/>
    <w:rsid w:val="6CAF2C5C"/>
    <w:rsid w:val="6CB57E24"/>
    <w:rsid w:val="6CB801B2"/>
    <w:rsid w:val="6CB95B66"/>
    <w:rsid w:val="6CBC11B2"/>
    <w:rsid w:val="6CC85DA9"/>
    <w:rsid w:val="6CCD1611"/>
    <w:rsid w:val="6CD97FB6"/>
    <w:rsid w:val="6CE54BAD"/>
    <w:rsid w:val="6CE566C7"/>
    <w:rsid w:val="6CEB1A97"/>
    <w:rsid w:val="6CF90658"/>
    <w:rsid w:val="6CFC1EF7"/>
    <w:rsid w:val="6D064B23"/>
    <w:rsid w:val="6D0E294A"/>
    <w:rsid w:val="6D170ADE"/>
    <w:rsid w:val="6D176D30"/>
    <w:rsid w:val="6D1F7993"/>
    <w:rsid w:val="6D21195D"/>
    <w:rsid w:val="6D2217FC"/>
    <w:rsid w:val="6D2D3E5E"/>
    <w:rsid w:val="6D367A6D"/>
    <w:rsid w:val="6D45564C"/>
    <w:rsid w:val="6D54588F"/>
    <w:rsid w:val="6D5533B5"/>
    <w:rsid w:val="6D6718A0"/>
    <w:rsid w:val="6D673814"/>
    <w:rsid w:val="6D68758C"/>
    <w:rsid w:val="6D7221B9"/>
    <w:rsid w:val="6D761CA9"/>
    <w:rsid w:val="6D7E0B5E"/>
    <w:rsid w:val="6D8223FC"/>
    <w:rsid w:val="6D833984"/>
    <w:rsid w:val="6D9051F9"/>
    <w:rsid w:val="6D910891"/>
    <w:rsid w:val="6D91263F"/>
    <w:rsid w:val="6DA26046"/>
    <w:rsid w:val="6DA85BDA"/>
    <w:rsid w:val="6DB427D1"/>
    <w:rsid w:val="6DB8406F"/>
    <w:rsid w:val="6DB9274A"/>
    <w:rsid w:val="6DBD1686"/>
    <w:rsid w:val="6DC522E8"/>
    <w:rsid w:val="6DC81DD9"/>
    <w:rsid w:val="6DCA5B51"/>
    <w:rsid w:val="6DCC6E0C"/>
    <w:rsid w:val="6DD10C8D"/>
    <w:rsid w:val="6DE2733E"/>
    <w:rsid w:val="6DEC498F"/>
    <w:rsid w:val="6DEE3E4B"/>
    <w:rsid w:val="6DEE7A91"/>
    <w:rsid w:val="6DF130DE"/>
    <w:rsid w:val="6DFA4688"/>
    <w:rsid w:val="6DFA6436"/>
    <w:rsid w:val="6DFB5D0A"/>
    <w:rsid w:val="6E0C7F17"/>
    <w:rsid w:val="6E11018D"/>
    <w:rsid w:val="6E153270"/>
    <w:rsid w:val="6E162B44"/>
    <w:rsid w:val="6E1A6AD8"/>
    <w:rsid w:val="6E1D0376"/>
    <w:rsid w:val="6E34121C"/>
    <w:rsid w:val="6E3631E6"/>
    <w:rsid w:val="6E46167B"/>
    <w:rsid w:val="6E4951F3"/>
    <w:rsid w:val="6E4A5427"/>
    <w:rsid w:val="6E62222D"/>
    <w:rsid w:val="6E66587A"/>
    <w:rsid w:val="6E755ABD"/>
    <w:rsid w:val="6E7D2BC3"/>
    <w:rsid w:val="6E7E6B7C"/>
    <w:rsid w:val="6E8759A4"/>
    <w:rsid w:val="6E9543B1"/>
    <w:rsid w:val="6E9879FD"/>
    <w:rsid w:val="6EB1286D"/>
    <w:rsid w:val="6EB32A89"/>
    <w:rsid w:val="6EB365E5"/>
    <w:rsid w:val="6EB94846"/>
    <w:rsid w:val="6EBF142E"/>
    <w:rsid w:val="6EC10D02"/>
    <w:rsid w:val="6EC922AC"/>
    <w:rsid w:val="6EC95E08"/>
    <w:rsid w:val="6ECB1B80"/>
    <w:rsid w:val="6ECB4D35"/>
    <w:rsid w:val="6ED1156E"/>
    <w:rsid w:val="6ED529FF"/>
    <w:rsid w:val="6EE3336E"/>
    <w:rsid w:val="6EE60768"/>
    <w:rsid w:val="6F032EB9"/>
    <w:rsid w:val="6F1057E5"/>
    <w:rsid w:val="6F1A48B6"/>
    <w:rsid w:val="6F224EAF"/>
    <w:rsid w:val="6F2835AC"/>
    <w:rsid w:val="6F2D6397"/>
    <w:rsid w:val="6F3239AE"/>
    <w:rsid w:val="6F3C482C"/>
    <w:rsid w:val="6F3C6B26"/>
    <w:rsid w:val="6F3F60CB"/>
    <w:rsid w:val="6F4E1016"/>
    <w:rsid w:val="6F5222A2"/>
    <w:rsid w:val="6F547DC8"/>
    <w:rsid w:val="6F563B40"/>
    <w:rsid w:val="6F651FD5"/>
    <w:rsid w:val="6F657A59"/>
    <w:rsid w:val="6F6A3147"/>
    <w:rsid w:val="6F6F4C02"/>
    <w:rsid w:val="6F806CD8"/>
    <w:rsid w:val="6F884CD6"/>
    <w:rsid w:val="6F8C495C"/>
    <w:rsid w:val="6F906926"/>
    <w:rsid w:val="6F9208F0"/>
    <w:rsid w:val="6F995F1F"/>
    <w:rsid w:val="6FA32AFD"/>
    <w:rsid w:val="6FB72105"/>
    <w:rsid w:val="6FBE7937"/>
    <w:rsid w:val="6FC565D0"/>
    <w:rsid w:val="6FCB36E7"/>
    <w:rsid w:val="6FCD1928"/>
    <w:rsid w:val="6FD809F9"/>
    <w:rsid w:val="6FDD7DBD"/>
    <w:rsid w:val="6FE27182"/>
    <w:rsid w:val="6FEF4AEB"/>
    <w:rsid w:val="6FF13869"/>
    <w:rsid w:val="6FF869A5"/>
    <w:rsid w:val="6FF9096F"/>
    <w:rsid w:val="70025A76"/>
    <w:rsid w:val="70333E81"/>
    <w:rsid w:val="70351C14"/>
    <w:rsid w:val="703A6FBE"/>
    <w:rsid w:val="703B6CD7"/>
    <w:rsid w:val="70422316"/>
    <w:rsid w:val="70483BF2"/>
    <w:rsid w:val="704A4D27"/>
    <w:rsid w:val="705D0EFE"/>
    <w:rsid w:val="706202C3"/>
    <w:rsid w:val="70621E82"/>
    <w:rsid w:val="7071700B"/>
    <w:rsid w:val="707B619A"/>
    <w:rsid w:val="707F0E75"/>
    <w:rsid w:val="70814BED"/>
    <w:rsid w:val="709B4EA0"/>
    <w:rsid w:val="70A64653"/>
    <w:rsid w:val="70AB7EBB"/>
    <w:rsid w:val="70B0102E"/>
    <w:rsid w:val="70B7060E"/>
    <w:rsid w:val="70BA1EAD"/>
    <w:rsid w:val="70C251BD"/>
    <w:rsid w:val="70C920F0"/>
    <w:rsid w:val="70E37655"/>
    <w:rsid w:val="70E92792"/>
    <w:rsid w:val="70EB475C"/>
    <w:rsid w:val="70EB650A"/>
    <w:rsid w:val="70F73101"/>
    <w:rsid w:val="70FA674D"/>
    <w:rsid w:val="70FE680B"/>
    <w:rsid w:val="71022CF2"/>
    <w:rsid w:val="71145A61"/>
    <w:rsid w:val="711C4915"/>
    <w:rsid w:val="712437CA"/>
    <w:rsid w:val="71245578"/>
    <w:rsid w:val="71265794"/>
    <w:rsid w:val="712832BA"/>
    <w:rsid w:val="712D267F"/>
    <w:rsid w:val="71453E6C"/>
    <w:rsid w:val="714874B8"/>
    <w:rsid w:val="714F4CEB"/>
    <w:rsid w:val="71594AD9"/>
    <w:rsid w:val="716065F6"/>
    <w:rsid w:val="7169742F"/>
    <w:rsid w:val="716C263A"/>
    <w:rsid w:val="717300E1"/>
    <w:rsid w:val="717B5AE0"/>
    <w:rsid w:val="71867FE1"/>
    <w:rsid w:val="718F3339"/>
    <w:rsid w:val="71926986"/>
    <w:rsid w:val="71997D14"/>
    <w:rsid w:val="719A3A8C"/>
    <w:rsid w:val="719C5A56"/>
    <w:rsid w:val="719C7804"/>
    <w:rsid w:val="71A010A2"/>
    <w:rsid w:val="71A36DE5"/>
    <w:rsid w:val="71AC11B9"/>
    <w:rsid w:val="71CB1E97"/>
    <w:rsid w:val="71CC00E9"/>
    <w:rsid w:val="71D13952"/>
    <w:rsid w:val="71D41BE8"/>
    <w:rsid w:val="71E573FD"/>
    <w:rsid w:val="71E60A7F"/>
    <w:rsid w:val="71E73175"/>
    <w:rsid w:val="71FA11CC"/>
    <w:rsid w:val="7205184D"/>
    <w:rsid w:val="72127E8E"/>
    <w:rsid w:val="721B2E1F"/>
    <w:rsid w:val="721B697B"/>
    <w:rsid w:val="722515A8"/>
    <w:rsid w:val="722A4F92"/>
    <w:rsid w:val="7238761B"/>
    <w:rsid w:val="723914F7"/>
    <w:rsid w:val="72477770"/>
    <w:rsid w:val="72513250"/>
    <w:rsid w:val="72536115"/>
    <w:rsid w:val="725400DF"/>
    <w:rsid w:val="72552771"/>
    <w:rsid w:val="725B0596"/>
    <w:rsid w:val="725D6F93"/>
    <w:rsid w:val="725D7774"/>
    <w:rsid w:val="72620A4E"/>
    <w:rsid w:val="7265409A"/>
    <w:rsid w:val="72693B8A"/>
    <w:rsid w:val="727013BD"/>
    <w:rsid w:val="72732551"/>
    <w:rsid w:val="72760055"/>
    <w:rsid w:val="728409C4"/>
    <w:rsid w:val="728C7879"/>
    <w:rsid w:val="728E1843"/>
    <w:rsid w:val="72964253"/>
    <w:rsid w:val="72987FCC"/>
    <w:rsid w:val="72A42E14"/>
    <w:rsid w:val="72A5093A"/>
    <w:rsid w:val="72B0513A"/>
    <w:rsid w:val="72BE3C1A"/>
    <w:rsid w:val="72C01C21"/>
    <w:rsid w:val="72C963D7"/>
    <w:rsid w:val="72D045AE"/>
    <w:rsid w:val="72E651DB"/>
    <w:rsid w:val="72F9189F"/>
    <w:rsid w:val="72FA0C86"/>
    <w:rsid w:val="72FA6ED8"/>
    <w:rsid w:val="72FF629D"/>
    <w:rsid w:val="73025D8D"/>
    <w:rsid w:val="730438B3"/>
    <w:rsid w:val="7315161C"/>
    <w:rsid w:val="731C6E4F"/>
    <w:rsid w:val="732B0E40"/>
    <w:rsid w:val="73375A36"/>
    <w:rsid w:val="73395F5A"/>
    <w:rsid w:val="733C304D"/>
    <w:rsid w:val="734739AE"/>
    <w:rsid w:val="73487C44"/>
    <w:rsid w:val="734D7008"/>
    <w:rsid w:val="734D708D"/>
    <w:rsid w:val="735008A6"/>
    <w:rsid w:val="73504D4A"/>
    <w:rsid w:val="73506AF8"/>
    <w:rsid w:val="7352461E"/>
    <w:rsid w:val="7354438F"/>
    <w:rsid w:val="73571C35"/>
    <w:rsid w:val="735C724B"/>
    <w:rsid w:val="73683E42"/>
    <w:rsid w:val="73704C85"/>
    <w:rsid w:val="73724CC1"/>
    <w:rsid w:val="738844E4"/>
    <w:rsid w:val="739015EB"/>
    <w:rsid w:val="739E5AB6"/>
    <w:rsid w:val="73AF7CC3"/>
    <w:rsid w:val="73B01345"/>
    <w:rsid w:val="73B057E9"/>
    <w:rsid w:val="73BE1CB4"/>
    <w:rsid w:val="73C31078"/>
    <w:rsid w:val="73C848E1"/>
    <w:rsid w:val="73C90572"/>
    <w:rsid w:val="73CC399B"/>
    <w:rsid w:val="73CD0149"/>
    <w:rsid w:val="73CD784F"/>
    <w:rsid w:val="73D17C39"/>
    <w:rsid w:val="73D70FC8"/>
    <w:rsid w:val="73E01C2A"/>
    <w:rsid w:val="73E060CE"/>
    <w:rsid w:val="73E93AB5"/>
    <w:rsid w:val="73F12089"/>
    <w:rsid w:val="73F27BAF"/>
    <w:rsid w:val="73F75017"/>
    <w:rsid w:val="73F92CEC"/>
    <w:rsid w:val="74071135"/>
    <w:rsid w:val="74072B3C"/>
    <w:rsid w:val="74123DAE"/>
    <w:rsid w:val="741E2752"/>
    <w:rsid w:val="74367A9C"/>
    <w:rsid w:val="74441AE5"/>
    <w:rsid w:val="7447614D"/>
    <w:rsid w:val="744D4DE6"/>
    <w:rsid w:val="744F6DB0"/>
    <w:rsid w:val="745D771F"/>
    <w:rsid w:val="7467234B"/>
    <w:rsid w:val="746A5998"/>
    <w:rsid w:val="74732A9E"/>
    <w:rsid w:val="74736F42"/>
    <w:rsid w:val="747B32BE"/>
    <w:rsid w:val="747F7695"/>
    <w:rsid w:val="748E12E6"/>
    <w:rsid w:val="7499002B"/>
    <w:rsid w:val="74A0760B"/>
    <w:rsid w:val="74AE1D28"/>
    <w:rsid w:val="74B80DF9"/>
    <w:rsid w:val="74BB159E"/>
    <w:rsid w:val="74BB2197"/>
    <w:rsid w:val="74D1046A"/>
    <w:rsid w:val="74D379E1"/>
    <w:rsid w:val="74DF1EE2"/>
    <w:rsid w:val="74E474F8"/>
    <w:rsid w:val="74F33BDF"/>
    <w:rsid w:val="74FB16B9"/>
    <w:rsid w:val="74FC780E"/>
    <w:rsid w:val="75045DEC"/>
    <w:rsid w:val="750B0F29"/>
    <w:rsid w:val="751122B7"/>
    <w:rsid w:val="75306BE1"/>
    <w:rsid w:val="75412B9C"/>
    <w:rsid w:val="7541494A"/>
    <w:rsid w:val="7553201F"/>
    <w:rsid w:val="756845CD"/>
    <w:rsid w:val="757E794D"/>
    <w:rsid w:val="75812F99"/>
    <w:rsid w:val="75947170"/>
    <w:rsid w:val="75970A0E"/>
    <w:rsid w:val="759C6025"/>
    <w:rsid w:val="75AB44BA"/>
    <w:rsid w:val="75BC66C7"/>
    <w:rsid w:val="75D457BF"/>
    <w:rsid w:val="75FA2D4B"/>
    <w:rsid w:val="76043A63"/>
    <w:rsid w:val="760C31AA"/>
    <w:rsid w:val="76226EB3"/>
    <w:rsid w:val="762657D1"/>
    <w:rsid w:val="76283D5C"/>
    <w:rsid w:val="762A3631"/>
    <w:rsid w:val="762B4241"/>
    <w:rsid w:val="762B73A9"/>
    <w:rsid w:val="76326989"/>
    <w:rsid w:val="76327C2C"/>
    <w:rsid w:val="76366479"/>
    <w:rsid w:val="76391AC6"/>
    <w:rsid w:val="765E777E"/>
    <w:rsid w:val="768947FB"/>
    <w:rsid w:val="76912E29"/>
    <w:rsid w:val="769B452E"/>
    <w:rsid w:val="76A71125"/>
    <w:rsid w:val="76A823F7"/>
    <w:rsid w:val="76AC673B"/>
    <w:rsid w:val="76AE4F3E"/>
    <w:rsid w:val="76B075E9"/>
    <w:rsid w:val="76B4114C"/>
    <w:rsid w:val="76BF646F"/>
    <w:rsid w:val="76C26D16"/>
    <w:rsid w:val="76C577FD"/>
    <w:rsid w:val="76D90BB3"/>
    <w:rsid w:val="76DF1581"/>
    <w:rsid w:val="76DF266D"/>
    <w:rsid w:val="76E0276E"/>
    <w:rsid w:val="76F36118"/>
    <w:rsid w:val="76F61765"/>
    <w:rsid w:val="76FB6D7B"/>
    <w:rsid w:val="76FE0619"/>
    <w:rsid w:val="77075720"/>
    <w:rsid w:val="7709593C"/>
    <w:rsid w:val="771147F0"/>
    <w:rsid w:val="771B11CB"/>
    <w:rsid w:val="771F2A69"/>
    <w:rsid w:val="77204A34"/>
    <w:rsid w:val="772617CE"/>
    <w:rsid w:val="772A0A1A"/>
    <w:rsid w:val="773A78A3"/>
    <w:rsid w:val="773C186D"/>
    <w:rsid w:val="7741201E"/>
    <w:rsid w:val="77470212"/>
    <w:rsid w:val="774C75D7"/>
    <w:rsid w:val="77731007"/>
    <w:rsid w:val="777D3C34"/>
    <w:rsid w:val="77850C07"/>
    <w:rsid w:val="77884AB3"/>
    <w:rsid w:val="77903967"/>
    <w:rsid w:val="7797601C"/>
    <w:rsid w:val="77A411C1"/>
    <w:rsid w:val="77A613DD"/>
    <w:rsid w:val="77AF3E74"/>
    <w:rsid w:val="77B533CE"/>
    <w:rsid w:val="77B92EBE"/>
    <w:rsid w:val="77C35AEB"/>
    <w:rsid w:val="77C654D0"/>
    <w:rsid w:val="77C83101"/>
    <w:rsid w:val="77D01FB6"/>
    <w:rsid w:val="77DA4BE2"/>
    <w:rsid w:val="77E85551"/>
    <w:rsid w:val="77E94939"/>
    <w:rsid w:val="77FF289B"/>
    <w:rsid w:val="78014865"/>
    <w:rsid w:val="78034139"/>
    <w:rsid w:val="7804209D"/>
    <w:rsid w:val="780659D7"/>
    <w:rsid w:val="780B1240"/>
    <w:rsid w:val="78174088"/>
    <w:rsid w:val="78175E36"/>
    <w:rsid w:val="7819216F"/>
    <w:rsid w:val="78230E37"/>
    <w:rsid w:val="782718C7"/>
    <w:rsid w:val="78281DF2"/>
    <w:rsid w:val="78397B5B"/>
    <w:rsid w:val="78484242"/>
    <w:rsid w:val="784B788E"/>
    <w:rsid w:val="7851759A"/>
    <w:rsid w:val="785B5D23"/>
    <w:rsid w:val="7860333A"/>
    <w:rsid w:val="78762B5D"/>
    <w:rsid w:val="78770683"/>
    <w:rsid w:val="788240B7"/>
    <w:rsid w:val="788334CC"/>
    <w:rsid w:val="788F3C1F"/>
    <w:rsid w:val="78911745"/>
    <w:rsid w:val="78915BE9"/>
    <w:rsid w:val="789254BD"/>
    <w:rsid w:val="78A91184"/>
    <w:rsid w:val="78CC4E73"/>
    <w:rsid w:val="78CF226D"/>
    <w:rsid w:val="78D12489"/>
    <w:rsid w:val="78D36201"/>
    <w:rsid w:val="78D9133E"/>
    <w:rsid w:val="78D9175B"/>
    <w:rsid w:val="78E0091E"/>
    <w:rsid w:val="78E421BD"/>
    <w:rsid w:val="78F20C53"/>
    <w:rsid w:val="78F27782"/>
    <w:rsid w:val="78FF6FF6"/>
    <w:rsid w:val="790463BB"/>
    <w:rsid w:val="790740FD"/>
    <w:rsid w:val="79091C23"/>
    <w:rsid w:val="79094DAE"/>
    <w:rsid w:val="790E7239"/>
    <w:rsid w:val="79127A05"/>
    <w:rsid w:val="79133C5D"/>
    <w:rsid w:val="79183C14"/>
    <w:rsid w:val="791A5BDE"/>
    <w:rsid w:val="791B3704"/>
    <w:rsid w:val="79224A93"/>
    <w:rsid w:val="7927654D"/>
    <w:rsid w:val="792A1B99"/>
    <w:rsid w:val="79312F28"/>
    <w:rsid w:val="79352A18"/>
    <w:rsid w:val="79394A97"/>
    <w:rsid w:val="793B5B55"/>
    <w:rsid w:val="79404F19"/>
    <w:rsid w:val="79404FE8"/>
    <w:rsid w:val="79444A09"/>
    <w:rsid w:val="795135CA"/>
    <w:rsid w:val="7956298E"/>
    <w:rsid w:val="795A247F"/>
    <w:rsid w:val="795F1843"/>
    <w:rsid w:val="796432FD"/>
    <w:rsid w:val="79667075"/>
    <w:rsid w:val="79752E15"/>
    <w:rsid w:val="798B088A"/>
    <w:rsid w:val="798E037A"/>
    <w:rsid w:val="799534B7"/>
    <w:rsid w:val="7997722F"/>
    <w:rsid w:val="799D236B"/>
    <w:rsid w:val="79A436FA"/>
    <w:rsid w:val="79A74F98"/>
    <w:rsid w:val="79BE0C60"/>
    <w:rsid w:val="79C618C2"/>
    <w:rsid w:val="79DF4732"/>
    <w:rsid w:val="79E461EC"/>
    <w:rsid w:val="79E63D12"/>
    <w:rsid w:val="79EB757B"/>
    <w:rsid w:val="79EE2BC7"/>
    <w:rsid w:val="79F226B7"/>
    <w:rsid w:val="79F8477F"/>
    <w:rsid w:val="7A2111EE"/>
    <w:rsid w:val="7A37456E"/>
    <w:rsid w:val="7A3C1B84"/>
    <w:rsid w:val="7A41363F"/>
    <w:rsid w:val="7A421A85"/>
    <w:rsid w:val="7A560E98"/>
    <w:rsid w:val="7A5C0A2A"/>
    <w:rsid w:val="7A6A66F1"/>
    <w:rsid w:val="7A707A80"/>
    <w:rsid w:val="7A721A4A"/>
    <w:rsid w:val="7A796935"/>
    <w:rsid w:val="7A7C01D3"/>
    <w:rsid w:val="7A813A3B"/>
    <w:rsid w:val="7A831561"/>
    <w:rsid w:val="7A850636"/>
    <w:rsid w:val="7A85177D"/>
    <w:rsid w:val="7A85352B"/>
    <w:rsid w:val="7A965738"/>
    <w:rsid w:val="7AA5772A"/>
    <w:rsid w:val="7AAD65DE"/>
    <w:rsid w:val="7ABC0981"/>
    <w:rsid w:val="7ACD6C80"/>
    <w:rsid w:val="7AD24297"/>
    <w:rsid w:val="7AD9749D"/>
    <w:rsid w:val="7ADB314B"/>
    <w:rsid w:val="7ADB75EF"/>
    <w:rsid w:val="7AE83ABA"/>
    <w:rsid w:val="7AF1296F"/>
    <w:rsid w:val="7AF366E7"/>
    <w:rsid w:val="7AF67F85"/>
    <w:rsid w:val="7AF75AAB"/>
    <w:rsid w:val="7AFC1A65"/>
    <w:rsid w:val="7AFD57B8"/>
    <w:rsid w:val="7AFE32DE"/>
    <w:rsid w:val="7B000E04"/>
    <w:rsid w:val="7B1B5C3E"/>
    <w:rsid w:val="7B1D7C08"/>
    <w:rsid w:val="7B256ABC"/>
    <w:rsid w:val="7B292109"/>
    <w:rsid w:val="7B2C3357"/>
    <w:rsid w:val="7B300C8E"/>
    <w:rsid w:val="7B315461"/>
    <w:rsid w:val="7B3867F0"/>
    <w:rsid w:val="7B3D5BB4"/>
    <w:rsid w:val="7B4038F6"/>
    <w:rsid w:val="7B486307"/>
    <w:rsid w:val="7B551150"/>
    <w:rsid w:val="7B641393"/>
    <w:rsid w:val="7B6F1AE6"/>
    <w:rsid w:val="7B786BEC"/>
    <w:rsid w:val="7B791563"/>
    <w:rsid w:val="7B845591"/>
    <w:rsid w:val="7B935BC6"/>
    <w:rsid w:val="7B9B28DB"/>
    <w:rsid w:val="7B9C62A6"/>
    <w:rsid w:val="7BA14395"/>
    <w:rsid w:val="7BAF6B06"/>
    <w:rsid w:val="7BB816DF"/>
    <w:rsid w:val="7BB8348D"/>
    <w:rsid w:val="7BD36518"/>
    <w:rsid w:val="7BD76009"/>
    <w:rsid w:val="7BD83B2F"/>
    <w:rsid w:val="7BDB06D8"/>
    <w:rsid w:val="7BDF6C6B"/>
    <w:rsid w:val="7BE129E3"/>
    <w:rsid w:val="7BE3755C"/>
    <w:rsid w:val="7BE622D0"/>
    <w:rsid w:val="7BEB1B11"/>
    <w:rsid w:val="7BEE6EAE"/>
    <w:rsid w:val="7BFC781D"/>
    <w:rsid w:val="7BFF10BB"/>
    <w:rsid w:val="7C0641F8"/>
    <w:rsid w:val="7C0972AC"/>
    <w:rsid w:val="7C0B5CB2"/>
    <w:rsid w:val="7C0E6502"/>
    <w:rsid w:val="7C10151B"/>
    <w:rsid w:val="7C105077"/>
    <w:rsid w:val="7C1A5EF5"/>
    <w:rsid w:val="7C2154D6"/>
    <w:rsid w:val="7C25298A"/>
    <w:rsid w:val="7C374240"/>
    <w:rsid w:val="7C3C2310"/>
    <w:rsid w:val="7C4100C4"/>
    <w:rsid w:val="7C5E0443"/>
    <w:rsid w:val="7C5E4034"/>
    <w:rsid w:val="7C790E6E"/>
    <w:rsid w:val="7C7D2B0E"/>
    <w:rsid w:val="7C833A9B"/>
    <w:rsid w:val="7C8617DD"/>
    <w:rsid w:val="7C863D26"/>
    <w:rsid w:val="7C8B25A0"/>
    <w:rsid w:val="7C8D2B6B"/>
    <w:rsid w:val="7C8D66C7"/>
    <w:rsid w:val="7CAA5868"/>
    <w:rsid w:val="7CB9294D"/>
    <w:rsid w:val="7CC266CE"/>
    <w:rsid w:val="7CC85510"/>
    <w:rsid w:val="7CD42548"/>
    <w:rsid w:val="7CD9704D"/>
    <w:rsid w:val="7CDC31AB"/>
    <w:rsid w:val="7CDE33C7"/>
    <w:rsid w:val="7CE502B1"/>
    <w:rsid w:val="7CE81B50"/>
    <w:rsid w:val="7CF27D4C"/>
    <w:rsid w:val="7CF53D2F"/>
    <w:rsid w:val="7CF624BE"/>
    <w:rsid w:val="7D1110A6"/>
    <w:rsid w:val="7D2C5EE0"/>
    <w:rsid w:val="7D3354C1"/>
    <w:rsid w:val="7D6733BC"/>
    <w:rsid w:val="7D733B0F"/>
    <w:rsid w:val="7D7635FF"/>
    <w:rsid w:val="7D7804ED"/>
    <w:rsid w:val="7D99109C"/>
    <w:rsid w:val="7D9F4904"/>
    <w:rsid w:val="7DAE30E4"/>
    <w:rsid w:val="7DB859C6"/>
    <w:rsid w:val="7DBD2FDC"/>
    <w:rsid w:val="7DC10D1E"/>
    <w:rsid w:val="7DC75C09"/>
    <w:rsid w:val="7DD50326"/>
    <w:rsid w:val="7DD547CA"/>
    <w:rsid w:val="7DE14F1D"/>
    <w:rsid w:val="7DEB5D9B"/>
    <w:rsid w:val="7DED1B13"/>
    <w:rsid w:val="7DEE3196"/>
    <w:rsid w:val="7DF2712A"/>
    <w:rsid w:val="7DF82266"/>
    <w:rsid w:val="7E024E93"/>
    <w:rsid w:val="7E0B5A63"/>
    <w:rsid w:val="7E0D3F64"/>
    <w:rsid w:val="7E1F3C97"/>
    <w:rsid w:val="7E327526"/>
    <w:rsid w:val="7E3314F0"/>
    <w:rsid w:val="7E3F39F1"/>
    <w:rsid w:val="7E3F60E7"/>
    <w:rsid w:val="7E490D14"/>
    <w:rsid w:val="7E6E7AAC"/>
    <w:rsid w:val="7E70004F"/>
    <w:rsid w:val="7E722019"/>
    <w:rsid w:val="7E891110"/>
    <w:rsid w:val="7E971A7F"/>
    <w:rsid w:val="7EAA17B2"/>
    <w:rsid w:val="7EB268B9"/>
    <w:rsid w:val="7EC52231"/>
    <w:rsid w:val="7EC97295"/>
    <w:rsid w:val="7ECF2FC7"/>
    <w:rsid w:val="7ED24865"/>
    <w:rsid w:val="7ED311A8"/>
    <w:rsid w:val="7ED54355"/>
    <w:rsid w:val="7EE03426"/>
    <w:rsid w:val="7EE2719E"/>
    <w:rsid w:val="7EEA4A9D"/>
    <w:rsid w:val="7EEA6053"/>
    <w:rsid w:val="7EEF71C5"/>
    <w:rsid w:val="7EF173E1"/>
    <w:rsid w:val="7EF415E7"/>
    <w:rsid w:val="7F0C5FC9"/>
    <w:rsid w:val="7F3472CE"/>
    <w:rsid w:val="7F3737B9"/>
    <w:rsid w:val="7F3B19BF"/>
    <w:rsid w:val="7F435763"/>
    <w:rsid w:val="7F4514DB"/>
    <w:rsid w:val="7F4F246F"/>
    <w:rsid w:val="7F511C2E"/>
    <w:rsid w:val="7F736048"/>
    <w:rsid w:val="7F737DF6"/>
    <w:rsid w:val="7F800765"/>
    <w:rsid w:val="7F89761A"/>
    <w:rsid w:val="7F945FBF"/>
    <w:rsid w:val="7FA206DC"/>
    <w:rsid w:val="7FA800A8"/>
    <w:rsid w:val="7FA97DA1"/>
    <w:rsid w:val="7FB83A5B"/>
    <w:rsid w:val="7FBA3C77"/>
    <w:rsid w:val="7FBB179D"/>
    <w:rsid w:val="7FC65FA0"/>
    <w:rsid w:val="7FD60385"/>
    <w:rsid w:val="7FD840FD"/>
    <w:rsid w:val="7FE115B6"/>
    <w:rsid w:val="7FE64A6C"/>
    <w:rsid w:val="7FF0195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link w:val="69"/>
    <w:autoRedefine/>
    <w:qFormat/>
    <w:uiPriority w:val="99"/>
    <w:pPr>
      <w:keepNext/>
      <w:keepLines/>
      <w:spacing w:before="260" w:after="260" w:line="415" w:lineRule="auto"/>
      <w:outlineLvl w:val="2"/>
    </w:pPr>
    <w:rPr>
      <w:sz w:val="32"/>
      <w:szCs w:val="32"/>
    </w:rPr>
  </w:style>
  <w:style w:type="paragraph" w:styleId="7">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表1"/>
    <w:basedOn w:val="1"/>
    <w:qFormat/>
    <w:uiPriority w:val="0"/>
    <w:pPr>
      <w:ind w:left="420" w:hanging="420"/>
    </w:pPr>
  </w:style>
  <w:style w:type="paragraph" w:customStyle="1" w:styleId="4">
    <w:name w:val="文本正文"/>
    <w:basedOn w:val="1"/>
    <w:autoRedefine/>
    <w:qFormat/>
    <w:uiPriority w:val="0"/>
    <w:pPr>
      <w:spacing w:afterLines="50"/>
      <w:ind w:firstLine="200" w:firstLineChars="200"/>
      <w:jc w:val="left"/>
    </w:pPr>
    <w:rPr>
      <w:rFonts w:ascii="Calibri" w:hAnsi="Calibri"/>
      <w:szCs w:val="22"/>
      <w:lang w:bidi="en-US"/>
    </w:rPr>
  </w:style>
  <w:style w:type="paragraph" w:styleId="8">
    <w:name w:val="table of authorities"/>
    <w:basedOn w:val="1"/>
    <w:next w:val="1"/>
    <w:autoRedefine/>
    <w:unhideWhenUsed/>
    <w:qFormat/>
    <w:uiPriority w:val="99"/>
    <w:pPr>
      <w:ind w:left="420" w:leftChars="200"/>
    </w:pPr>
  </w:style>
  <w:style w:type="paragraph" w:styleId="9">
    <w:name w:val="Normal Indent"/>
    <w:basedOn w:val="1"/>
    <w:next w:val="1"/>
    <w:autoRedefine/>
    <w:qFormat/>
    <w:uiPriority w:val="0"/>
    <w:pPr>
      <w:adjustRightInd w:val="0"/>
      <w:ind w:firstLine="420"/>
    </w:pPr>
    <w:rPr>
      <w:rFonts w:eastAsia="楷体_GB2312"/>
      <w:sz w:val="24"/>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47"/>
    <w:autoRedefine/>
    <w:qFormat/>
    <w:uiPriority w:val="0"/>
    <w:pPr>
      <w:jc w:val="left"/>
    </w:pPr>
  </w:style>
  <w:style w:type="paragraph" w:styleId="12">
    <w:name w:val="index 6"/>
    <w:basedOn w:val="1"/>
    <w:next w:val="1"/>
    <w:autoRedefine/>
    <w:qFormat/>
    <w:uiPriority w:val="99"/>
    <w:pPr>
      <w:ind w:left="2100"/>
    </w:pPr>
  </w:style>
  <w:style w:type="paragraph" w:styleId="13">
    <w:name w:val="Body Text"/>
    <w:basedOn w:val="1"/>
    <w:next w:val="1"/>
    <w:autoRedefine/>
    <w:qFormat/>
    <w:uiPriority w:val="0"/>
    <w:pPr>
      <w:spacing w:after="120"/>
    </w:pPr>
    <w:rPr>
      <w:szCs w:val="24"/>
    </w:rPr>
  </w:style>
  <w:style w:type="paragraph" w:styleId="14">
    <w:name w:val="Body Text Indent"/>
    <w:basedOn w:val="1"/>
    <w:next w:val="7"/>
    <w:autoRedefine/>
    <w:qFormat/>
    <w:uiPriority w:val="0"/>
    <w:pPr>
      <w:spacing w:line="360" w:lineRule="auto"/>
      <w:ind w:firstLine="560" w:firstLineChars="200"/>
    </w:pPr>
    <w:rPr>
      <w:sz w:val="28"/>
    </w:rPr>
  </w:style>
  <w:style w:type="paragraph" w:styleId="15">
    <w:name w:val="Plain Text"/>
    <w:basedOn w:val="1"/>
    <w:autoRedefine/>
    <w:qFormat/>
    <w:uiPriority w:val="0"/>
    <w:rPr>
      <w:rFonts w:ascii="宋体" w:hAnsi="Courier New"/>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rPr>
  </w:style>
  <w:style w:type="paragraph" w:styleId="20">
    <w:name w:val="toc 1"/>
    <w:basedOn w:val="1"/>
    <w:next w:val="1"/>
    <w:autoRedefine/>
    <w:qFormat/>
    <w:uiPriority w:val="39"/>
    <w:rPr>
      <w:szCs w:val="24"/>
    </w:rPr>
  </w:style>
  <w:style w:type="paragraph" w:styleId="21">
    <w:name w:val="List"/>
    <w:basedOn w:val="1"/>
    <w:autoRedefine/>
    <w:qFormat/>
    <w:uiPriority w:val="0"/>
    <w:pPr>
      <w:spacing w:before="312" w:beforeLines="100" w:line="360" w:lineRule="auto"/>
      <w:jc w:val="center"/>
    </w:pPr>
    <w:rPr>
      <w:rFonts w:ascii="宋体" w:hAnsi="宋体"/>
      <w:b/>
      <w:sz w:val="28"/>
      <w:szCs w:val="24"/>
    </w:rPr>
  </w:style>
  <w:style w:type="paragraph" w:styleId="22">
    <w:name w:val="footnote text"/>
    <w:basedOn w:val="1"/>
    <w:autoRedefine/>
    <w:qFormat/>
    <w:uiPriority w:val="99"/>
    <w:pPr>
      <w:adjustRightInd w:val="0"/>
      <w:spacing w:line="312" w:lineRule="atLeast"/>
      <w:jc w:val="left"/>
      <w:textAlignment w:val="baseline"/>
    </w:pPr>
    <w:rPr>
      <w:kern w:val="0"/>
      <w:sz w:val="18"/>
      <w:szCs w:val="20"/>
    </w:rPr>
  </w:style>
  <w:style w:type="paragraph" w:styleId="23">
    <w:name w:val="toc 6"/>
    <w:basedOn w:val="1"/>
    <w:next w:val="1"/>
    <w:autoRedefine/>
    <w:qFormat/>
    <w:uiPriority w:val="0"/>
    <w:pPr>
      <w:ind w:left="1400"/>
    </w:pPr>
    <w:rPr>
      <w:rFonts w:ascii="Calibri"/>
      <w:sz w:val="18"/>
      <w:szCs w:val="18"/>
    </w:rPr>
  </w:style>
  <w:style w:type="paragraph" w:styleId="24">
    <w:name w:val="toc 2"/>
    <w:basedOn w:val="1"/>
    <w:next w:val="1"/>
    <w:autoRedefine/>
    <w:qFormat/>
    <w:uiPriority w:val="39"/>
    <w:pPr>
      <w:ind w:left="420" w:leftChars="200"/>
    </w:pPr>
    <w:rPr>
      <w:szCs w:val="24"/>
    </w:rPr>
  </w:style>
  <w:style w:type="paragraph" w:styleId="2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26">
    <w:name w:val="Normal (Web)"/>
    <w:basedOn w:val="1"/>
    <w:autoRedefine/>
    <w:qFormat/>
    <w:uiPriority w:val="99"/>
    <w:pPr>
      <w:spacing w:before="100" w:beforeAutospacing="1" w:after="100" w:afterAutospacing="1"/>
      <w:jc w:val="left"/>
    </w:pPr>
    <w:rPr>
      <w:rFonts w:ascii="Calibri" w:hAnsi="Calibri"/>
      <w:kern w:val="0"/>
      <w:sz w:val="24"/>
      <w:szCs w:val="24"/>
    </w:rPr>
  </w:style>
  <w:style w:type="paragraph" w:styleId="27">
    <w:name w:val="annotation subject"/>
    <w:basedOn w:val="11"/>
    <w:next w:val="11"/>
    <w:link w:val="48"/>
    <w:autoRedefine/>
    <w:qFormat/>
    <w:uiPriority w:val="0"/>
    <w:rPr>
      <w:b/>
      <w:bCs/>
    </w:rPr>
  </w:style>
  <w:style w:type="paragraph" w:styleId="28">
    <w:name w:val="Body Text First Indent"/>
    <w:basedOn w:val="13"/>
    <w:next w:val="23"/>
    <w:autoRedefine/>
    <w:qFormat/>
    <w:uiPriority w:val="0"/>
    <w:pPr>
      <w:adjustRightInd/>
      <w:spacing w:line="240" w:lineRule="auto"/>
      <w:ind w:firstLine="420" w:firstLineChars="100"/>
    </w:pPr>
    <w:rPr>
      <w:kern w:val="2"/>
      <w:sz w:val="21"/>
      <w:szCs w:val="24"/>
    </w:rPr>
  </w:style>
  <w:style w:type="paragraph" w:styleId="29">
    <w:name w:val="Body Text First Indent 2"/>
    <w:basedOn w:val="14"/>
    <w:next w:val="1"/>
    <w:autoRedefine/>
    <w:qFormat/>
    <w:uiPriority w:val="0"/>
    <w:pPr>
      <w:ind w:left="1588" w:leftChars="832" w:firstLine="433"/>
    </w:pPr>
    <w:rPr>
      <w:rFonts w:eastAsia="仿宋_GB2312"/>
      <w:spacing w:val="15"/>
      <w:kern w:val="10"/>
      <w:sz w:val="24"/>
      <w:szCs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basedOn w:val="32"/>
    <w:autoRedefine/>
    <w:qFormat/>
    <w:uiPriority w:val="99"/>
    <w:rPr>
      <w:color w:val="0000FF"/>
      <w:u w:val="single"/>
    </w:rPr>
  </w:style>
  <w:style w:type="character" w:styleId="34">
    <w:name w:val="annotation reference"/>
    <w:basedOn w:val="32"/>
    <w:autoRedefine/>
    <w:qFormat/>
    <w:uiPriority w:val="0"/>
    <w:rPr>
      <w:sz w:val="21"/>
      <w:szCs w:val="21"/>
    </w:rPr>
  </w:style>
  <w:style w:type="paragraph" w:customStyle="1" w:styleId="35">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样式1"/>
    <w:basedOn w:val="1"/>
    <w:next w:val="7"/>
    <w:autoRedefine/>
    <w:qFormat/>
    <w:uiPriority w:val="0"/>
    <w:pPr>
      <w:numPr>
        <w:ilvl w:val="0"/>
        <w:numId w:val="1"/>
      </w:numPr>
      <w:tabs>
        <w:tab w:val="left" w:pos="1110"/>
      </w:tabs>
      <w:adjustRightInd w:val="0"/>
      <w:textAlignment w:val="baseline"/>
    </w:pPr>
    <w:rPr>
      <w:rFonts w:ascii="宋体" w:hAnsi="宋体"/>
      <w:kern w:val="0"/>
      <w:szCs w:val="21"/>
    </w:rPr>
  </w:style>
  <w:style w:type="character" w:customStyle="1" w:styleId="37">
    <w:name w:val="NormalCharacter"/>
    <w:autoRedefine/>
    <w:semiHidden/>
    <w:qFormat/>
    <w:uiPriority w:val="0"/>
  </w:style>
  <w:style w:type="paragraph" w:customStyle="1" w:styleId="3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p0"/>
    <w:basedOn w:val="1"/>
    <w:autoRedefine/>
    <w:qFormat/>
    <w:uiPriority w:val="0"/>
    <w:pPr>
      <w:widowControl/>
      <w:jc w:val="left"/>
    </w:pPr>
    <w:rPr>
      <w:kern w:val="0"/>
      <w:szCs w:val="21"/>
    </w:rPr>
  </w:style>
  <w:style w:type="paragraph" w:customStyle="1" w:styleId="40">
    <w:name w:val="样式3"/>
    <w:basedOn w:val="15"/>
    <w:autoRedefine/>
    <w:qFormat/>
    <w:uiPriority w:val="0"/>
    <w:pPr>
      <w:spacing w:line="0" w:lineRule="atLeast"/>
      <w:outlineLvl w:val="0"/>
    </w:pPr>
    <w:rPr>
      <w:sz w:val="28"/>
    </w:rPr>
  </w:style>
  <w:style w:type="paragraph" w:customStyle="1" w:styleId="41">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Default Tex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5">
    <w:name w:val="正文文字 Char1"/>
    <w:basedOn w:val="32"/>
    <w:link w:val="46"/>
    <w:autoRedefine/>
    <w:qFormat/>
    <w:uiPriority w:val="0"/>
    <w:rPr>
      <w:rFonts w:ascii="宋体"/>
      <w:color w:val="000000"/>
      <w:kern w:val="0"/>
      <w:sz w:val="28"/>
      <w:u w:color="000000"/>
    </w:rPr>
  </w:style>
  <w:style w:type="paragraph" w:customStyle="1" w:styleId="46">
    <w:name w:val="正文文字"/>
    <w:basedOn w:val="1"/>
    <w:link w:val="45"/>
    <w:autoRedefine/>
    <w:qFormat/>
    <w:uiPriority w:val="0"/>
    <w:pPr>
      <w:widowControl/>
      <w:spacing w:line="2375" w:lineRule="atLeast"/>
      <w:ind w:firstLine="419"/>
      <w:textAlignment w:val="baseline"/>
    </w:pPr>
    <w:rPr>
      <w:rFonts w:ascii="宋体"/>
      <w:color w:val="000000"/>
      <w:kern w:val="0"/>
      <w:sz w:val="28"/>
      <w:u w:color="000000"/>
    </w:rPr>
  </w:style>
  <w:style w:type="character" w:customStyle="1" w:styleId="47">
    <w:name w:val="批注文字 字符"/>
    <w:basedOn w:val="32"/>
    <w:link w:val="11"/>
    <w:autoRedefine/>
    <w:qFormat/>
    <w:uiPriority w:val="0"/>
    <w:rPr>
      <w:rFonts w:ascii="Times New Roman" w:hAnsi="Times New Roman" w:eastAsia="宋体" w:cs="Times New Roman"/>
      <w:kern w:val="2"/>
      <w:sz w:val="21"/>
    </w:rPr>
  </w:style>
  <w:style w:type="character" w:customStyle="1" w:styleId="48">
    <w:name w:val="批注主题 字符"/>
    <w:basedOn w:val="47"/>
    <w:link w:val="27"/>
    <w:autoRedefine/>
    <w:qFormat/>
    <w:uiPriority w:val="0"/>
    <w:rPr>
      <w:rFonts w:ascii="Times New Roman" w:hAnsi="Times New Roman" w:eastAsia="宋体" w:cs="Times New Roman"/>
      <w:b/>
      <w:bCs/>
      <w:kern w:val="2"/>
      <w:sz w:val="21"/>
    </w:rPr>
  </w:style>
  <w:style w:type="paragraph" w:customStyle="1" w:styleId="49">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sz w:val="28"/>
      <w:szCs w:val="20"/>
    </w:rPr>
  </w:style>
  <w:style w:type="paragraph" w:customStyle="1" w:styleId="52">
    <w:name w:val="正文1"/>
    <w:basedOn w:val="53"/>
    <w:next w:val="55"/>
    <w:autoRedefine/>
    <w:qFormat/>
    <w:uiPriority w:val="0"/>
    <w:pPr>
      <w:spacing w:line="480" w:lineRule="exact"/>
      <w:ind w:firstLine="480" w:firstLineChars="200"/>
      <w:jc w:val="left"/>
    </w:pPr>
    <w:rPr>
      <w:rFonts w:ascii="宋体" w:hAnsi="宋体" w:cs="宋体"/>
      <w:kern w:val="0"/>
      <w:sz w:val="24"/>
      <w:szCs w:val="24"/>
    </w:rPr>
  </w:style>
  <w:style w:type="paragraph" w:customStyle="1" w:styleId="53">
    <w:name w:val="正文_1_0"/>
    <w:basedOn w:val="54"/>
    <w:autoRedefine/>
    <w:qFormat/>
    <w:uiPriority w:val="0"/>
    <w:rPr>
      <w:szCs w:val="21"/>
    </w:rPr>
  </w:style>
  <w:style w:type="paragraph" w:customStyle="1" w:styleId="54">
    <w:name w:val="正文_1"/>
    <w:autoRedefine/>
    <w:qFormat/>
    <w:uiPriority w:val="0"/>
    <w:pPr>
      <w:widowControl w:val="0"/>
      <w:jc w:val="both"/>
    </w:pPr>
    <w:rPr>
      <w:rFonts w:ascii="Calibri" w:hAnsi="Calibri" w:eastAsia="宋体" w:cs="Times New Roman"/>
      <w:kern w:val="2"/>
      <w:sz w:val="21"/>
      <w:szCs w:val="22"/>
      <w:lang w:eastAsia="en-US"/>
    </w:rPr>
  </w:style>
  <w:style w:type="paragraph" w:customStyle="1" w:styleId="55">
    <w:name w:val="样式 样式 正文缩进正文（首行缩进两字）正文2 + 首行缩进:  2 字符 + 首行缩进:  2 字符"/>
    <w:basedOn w:val="1"/>
    <w:autoRedefine/>
    <w:qFormat/>
    <w:uiPriority w:val="39"/>
    <w:pPr>
      <w:spacing w:line="324" w:lineRule="auto"/>
      <w:ind w:firstLine="600"/>
    </w:pPr>
    <w:rPr>
      <w:rFonts w:ascii="Times New Roman" w:hAnsi="宋体" w:cs="宋体"/>
      <w:sz w:val="28"/>
      <w:szCs w:val="20"/>
    </w:rPr>
  </w:style>
  <w:style w:type="paragraph" w:customStyle="1" w:styleId="56">
    <w:name w:val="图例"/>
    <w:basedOn w:val="1"/>
    <w:autoRedefine/>
    <w:qFormat/>
    <w:uiPriority w:val="0"/>
    <w:pPr>
      <w:spacing w:before="120" w:after="120" w:line="360" w:lineRule="auto"/>
      <w:jc w:val="center"/>
    </w:pPr>
    <w:rPr>
      <w:rFonts w:eastAsia="仿宋_GB2312"/>
      <w:b/>
      <w:sz w:val="24"/>
      <w:szCs w:val="20"/>
    </w:rPr>
  </w:style>
  <w:style w:type="paragraph" w:styleId="57">
    <w:name w:val="List Paragraph"/>
    <w:basedOn w:val="1"/>
    <w:autoRedefine/>
    <w:unhideWhenUsed/>
    <w:qFormat/>
    <w:uiPriority w:val="99"/>
    <w:pPr>
      <w:ind w:firstLine="420" w:firstLineChars="200"/>
    </w:pPr>
  </w:style>
  <w:style w:type="paragraph" w:customStyle="1" w:styleId="58">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59">
    <w:name w:val="正文缩进1"/>
    <w:basedOn w:val="1"/>
    <w:autoRedefine/>
    <w:qFormat/>
    <w:uiPriority w:val="0"/>
    <w:pPr>
      <w:autoSpaceDE w:val="0"/>
      <w:autoSpaceDN w:val="0"/>
      <w:adjustRightInd w:val="0"/>
      <w:ind w:firstLine="420"/>
      <w:jc w:val="left"/>
    </w:pPr>
    <w:rPr>
      <w:rFonts w:ascii="宋体" w:hAnsi="Calibri" w:eastAsia="宋体" w:cs="Times New Roman"/>
      <w:sz w:val="24"/>
      <w:szCs w:val="22"/>
    </w:rPr>
  </w:style>
  <w:style w:type="table" w:customStyle="1" w:styleId="60">
    <w:name w:val="Table Normal"/>
    <w:autoRedefine/>
    <w:unhideWhenUsed/>
    <w:qFormat/>
    <w:uiPriority w:val="0"/>
    <w:tblPr>
      <w:tblCellMar>
        <w:top w:w="0" w:type="dxa"/>
        <w:left w:w="0" w:type="dxa"/>
        <w:bottom w:w="0" w:type="dxa"/>
        <w:right w:w="0" w:type="dxa"/>
      </w:tblCellMar>
    </w:tblPr>
  </w:style>
  <w:style w:type="character" w:customStyle="1" w:styleId="61">
    <w:name w:val="标题 3 字符"/>
    <w:basedOn w:val="32"/>
    <w:link w:val="6"/>
    <w:autoRedefine/>
    <w:qFormat/>
    <w:uiPriority w:val="0"/>
    <w:rPr>
      <w:sz w:val="32"/>
      <w:szCs w:val="32"/>
    </w:rPr>
  </w:style>
  <w:style w:type="paragraph" w:customStyle="1" w:styleId="62">
    <w:name w:val="表格文字2"/>
    <w:basedOn w:val="52"/>
    <w:autoRedefine/>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63">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character" w:customStyle="1" w:styleId="64">
    <w:name w:val="font61"/>
    <w:basedOn w:val="32"/>
    <w:autoRedefine/>
    <w:qFormat/>
    <w:uiPriority w:val="0"/>
    <w:rPr>
      <w:rFonts w:hint="eastAsia" w:ascii="宋体" w:hAnsi="宋体" w:eastAsia="宋体" w:cs="宋体"/>
      <w:color w:val="000000"/>
      <w:sz w:val="36"/>
      <w:szCs w:val="36"/>
      <w:u w:val="none"/>
    </w:rPr>
  </w:style>
  <w:style w:type="character" w:customStyle="1" w:styleId="65">
    <w:name w:val="font51"/>
    <w:basedOn w:val="32"/>
    <w:autoRedefine/>
    <w:qFormat/>
    <w:uiPriority w:val="0"/>
    <w:rPr>
      <w:rFonts w:hint="eastAsia" w:ascii="宋体" w:hAnsi="宋体" w:eastAsia="宋体" w:cs="宋体"/>
      <w:color w:val="000000"/>
      <w:sz w:val="36"/>
      <w:szCs w:val="36"/>
      <w:u w:val="none"/>
    </w:rPr>
  </w:style>
  <w:style w:type="character" w:customStyle="1" w:styleId="66">
    <w:name w:val="font41"/>
    <w:basedOn w:val="32"/>
    <w:autoRedefine/>
    <w:qFormat/>
    <w:uiPriority w:val="0"/>
    <w:rPr>
      <w:rFonts w:ascii="Calibri" w:hAnsi="Calibri" w:cs="Calibri"/>
      <w:color w:val="000000"/>
      <w:sz w:val="36"/>
      <w:szCs w:val="36"/>
      <w:u w:val="none"/>
    </w:rPr>
  </w:style>
  <w:style w:type="character" w:customStyle="1" w:styleId="67">
    <w:name w:val="font11"/>
    <w:basedOn w:val="32"/>
    <w:autoRedefine/>
    <w:qFormat/>
    <w:uiPriority w:val="0"/>
    <w:rPr>
      <w:rFonts w:hint="eastAsia" w:ascii="宋体" w:hAnsi="宋体" w:eastAsia="宋体" w:cs="宋体"/>
      <w:color w:val="000000"/>
      <w:sz w:val="36"/>
      <w:szCs w:val="36"/>
      <w:u w:val="none"/>
    </w:rPr>
  </w:style>
  <w:style w:type="character" w:customStyle="1" w:styleId="68">
    <w:name w:val="font01"/>
    <w:basedOn w:val="32"/>
    <w:autoRedefine/>
    <w:qFormat/>
    <w:uiPriority w:val="0"/>
    <w:rPr>
      <w:rFonts w:ascii="Calibri" w:hAnsi="Calibri" w:cs="Calibri"/>
      <w:color w:val="000000"/>
      <w:sz w:val="36"/>
      <w:szCs w:val="36"/>
      <w:u w:val="none"/>
    </w:rPr>
  </w:style>
  <w:style w:type="character" w:customStyle="1" w:styleId="69">
    <w:name w:val="标题 3 Char"/>
    <w:link w:val="6"/>
    <w:autoRedefine/>
    <w:qFormat/>
    <w:uiPriority w:val="0"/>
    <w:rPr>
      <w:rFonts w:ascii="宋体" w:hAnsi="宋体"/>
      <w:sz w:val="28"/>
      <w:szCs w:val="32"/>
    </w:rPr>
  </w:style>
  <w:style w:type="paragraph" w:customStyle="1" w:styleId="70">
    <w:name w:val="样式 样式 样式 左侧:  2 字符1 + 首行缩进:  2 字符1 + 首行缩进:  2 字符"/>
    <w:basedOn w:val="1"/>
    <w:autoRedefine/>
    <w:qFormat/>
    <w:uiPriority w:val="99"/>
    <w:pPr>
      <w:widowControl/>
      <w:adjustRightInd w:val="0"/>
      <w:spacing w:before="60" w:after="120" w:line="440" w:lineRule="atLeast"/>
      <w:ind w:firstLine="480"/>
      <w:textAlignment w:val="baseline"/>
    </w:pPr>
    <w:rPr>
      <w:sz w:val="24"/>
      <w:szCs w:val="20"/>
    </w:rPr>
  </w:style>
  <w:style w:type="character" w:customStyle="1" w:styleId="71">
    <w:name w:val="font112"/>
    <w:basedOn w:val="32"/>
    <w:autoRedefine/>
    <w:qFormat/>
    <w:uiPriority w:val="0"/>
    <w:rPr>
      <w:rFonts w:hint="eastAsia" w:ascii="宋体" w:hAnsi="宋体" w:eastAsia="宋体" w:cs="宋体"/>
      <w:color w:val="000000"/>
      <w:sz w:val="18"/>
      <w:szCs w:val="18"/>
      <w:u w:val="none"/>
    </w:rPr>
  </w:style>
  <w:style w:type="character" w:customStyle="1" w:styleId="72">
    <w:name w:val="font121"/>
    <w:basedOn w:val="32"/>
    <w:autoRedefine/>
    <w:qFormat/>
    <w:uiPriority w:val="0"/>
    <w:rPr>
      <w:rFonts w:ascii="微软雅黑" w:hAnsi="微软雅黑" w:eastAsia="微软雅黑" w:cs="微软雅黑"/>
      <w:color w:val="000000"/>
      <w:sz w:val="18"/>
      <w:szCs w:val="18"/>
      <w:u w:val="none"/>
    </w:rPr>
  </w:style>
  <w:style w:type="paragraph" w:customStyle="1" w:styleId="73">
    <w:name w:val="表"/>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1890</Words>
  <Characters>2118</Characters>
  <Lines>241</Lines>
  <Paragraphs>68</Paragraphs>
  <TotalTime>28</TotalTime>
  <ScaleCrop>false</ScaleCrop>
  <LinksUpToDate>false</LinksUpToDate>
  <CharactersWithSpaces>2165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2021-03-14T16:22:00Z</dcterms:created>
  <dc:creator>Administrator</dc:creator>
  <cp:lastModifiedBy>傲娇菇凉ꫛꫀꪝ</cp:lastModifiedBy>
  <cp:lastPrinted>2025-02-05T08:08:00Z</cp:lastPrinted>
  <dcterms:modified xsi:type="dcterms:W3CDTF">2025-02-17T12:53:59Z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C58A96B035084A3D871EFBF5312D64CC</vt:lpwstr>
  </property>
  <property fmtid="{D5CDD505-2E9C-101B-9397-08002B2CF9AE}" pid="4" name="KSOTemplateDocerSaveRecord">
    <vt:lpwstr>eyJoZGlkIjoiNTlhNWJlMzg4MjA2ZjRmMjY1Zjc5OGViNDFkMmIyZjEiLCJ1c2VySWQiOiIxMDUwMjA1NjA1In0=</vt:lpwstr>
  </property>
</Properties>
</file>