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CD8517">
      <w:pPr>
        <w:pageBreakBefore w:val="0"/>
        <w:widowControl w:val="0"/>
        <w:kinsoku/>
        <w:wordWrap/>
        <w:overflowPunct/>
        <w:topLinePunct w:val="0"/>
        <w:bidi w:val="0"/>
        <w:snapToGrid/>
        <w:spacing w:line="600" w:lineRule="exact"/>
        <w:ind w:left="241" w:hanging="241"/>
        <w:jc w:val="center"/>
        <w:textAlignment w:val="auto"/>
        <w:rPr>
          <w:rFonts w:hint="eastAsia" w:ascii="宋体" w:hAnsi="宋体" w:eastAsia="宋体" w:cs="宋体"/>
          <w:b/>
          <w:bCs w:val="0"/>
          <w:i w:val="0"/>
          <w:iCs w:val="0"/>
          <w:color w:val="000000" w:themeColor="text1"/>
          <w:kern w:val="0"/>
          <w:sz w:val="36"/>
          <w:szCs w:val="36"/>
          <w:highlight w:val="none"/>
          <w:lang w:val="en-US" w:eastAsia="zh-CN" w:bidi="ar-SA"/>
          <w14:textFill>
            <w14:solidFill>
              <w14:schemeClr w14:val="tx1"/>
            </w14:solidFill>
          </w14:textFill>
        </w:rPr>
      </w:pPr>
      <w:bookmarkStart w:id="0" w:name="_Toc18711"/>
      <w:bookmarkStart w:id="1" w:name="_Toc2815"/>
      <w:bookmarkStart w:id="2" w:name="_Toc18227"/>
      <w:bookmarkStart w:id="3" w:name="_Toc21786"/>
      <w:bookmarkStart w:id="4" w:name="_Toc989"/>
      <w:bookmarkStart w:id="5" w:name="_Toc7"/>
      <w:bookmarkStart w:id="6" w:name="_Toc25592"/>
      <w:bookmarkStart w:id="7" w:name="_Toc32103"/>
      <w:bookmarkStart w:id="8" w:name="_Toc29512"/>
      <w:r>
        <w:rPr>
          <w:rFonts w:hint="eastAsia" w:ascii="宋体" w:hAnsi="宋体" w:cs="宋体"/>
          <w:b/>
          <w:bCs w:val="0"/>
          <w:i w:val="0"/>
          <w:iCs w:val="0"/>
          <w:color w:val="000000" w:themeColor="text1"/>
          <w:kern w:val="0"/>
          <w:sz w:val="44"/>
          <w:szCs w:val="44"/>
          <w:highlight w:val="none"/>
          <w:lang w:val="en-US" w:eastAsia="zh-CN" w:bidi="ar-SA"/>
          <w14:textFill>
            <w14:solidFill>
              <w14:schemeClr w14:val="tx1"/>
            </w14:solidFill>
          </w14:textFill>
        </w:rPr>
        <w:t>民丰县叶亦克乡生态环境整治中央财政以工代赈项目</w:t>
      </w:r>
    </w:p>
    <w:p w14:paraId="14D258CC">
      <w:pPr>
        <w:pageBreakBefore w:val="0"/>
        <w:widowControl w:val="0"/>
        <w:kinsoku/>
        <w:wordWrap/>
        <w:overflowPunct/>
        <w:topLinePunct w:val="0"/>
        <w:bidi w:val="0"/>
        <w:snapToGrid/>
        <w:spacing w:line="600" w:lineRule="exact"/>
        <w:ind w:left="241" w:hanging="241"/>
        <w:jc w:val="center"/>
        <w:textAlignment w:val="auto"/>
        <w:rPr>
          <w:rFonts w:hint="eastAsia" w:ascii="宋体" w:hAnsi="宋体" w:eastAsia="宋体" w:cs="宋体"/>
          <w:b/>
          <w:bCs w:val="0"/>
          <w:i w:val="0"/>
          <w:iCs w:val="0"/>
          <w:color w:val="000000" w:themeColor="text1"/>
          <w:kern w:val="0"/>
          <w:sz w:val="40"/>
          <w:szCs w:val="40"/>
          <w:highlight w:val="none"/>
          <w:lang w:val="en-US" w:eastAsia="zh-CN" w:bidi="ar-SA"/>
          <w14:textFill>
            <w14:solidFill>
              <w14:schemeClr w14:val="tx1"/>
            </w14:solidFill>
          </w14:textFill>
        </w:rPr>
      </w:pPr>
    </w:p>
    <w:p w14:paraId="27F61DB9">
      <w:pPr>
        <w:pageBreakBefore w:val="0"/>
        <w:widowControl w:val="0"/>
        <w:kinsoku/>
        <w:wordWrap/>
        <w:overflowPunct/>
        <w:topLinePunct w:val="0"/>
        <w:bidi w:val="0"/>
        <w:snapToGrid/>
        <w:spacing w:line="600" w:lineRule="exact"/>
        <w:ind w:left="241" w:hanging="241"/>
        <w:jc w:val="center"/>
        <w:textAlignment w:val="auto"/>
        <w:outlineLvl w:val="0"/>
        <w:rPr>
          <w:rFonts w:hint="eastAsia" w:ascii="宋体" w:hAnsi="宋体" w:eastAsia="宋体" w:cs="宋体"/>
          <w:b/>
          <w:bCs w:val="0"/>
          <w:i w:val="0"/>
          <w:iCs w:val="0"/>
          <w:color w:val="000000" w:themeColor="text1"/>
          <w:kern w:val="0"/>
          <w:sz w:val="40"/>
          <w:szCs w:val="40"/>
          <w:highlight w:val="none"/>
          <w:lang w:val="en-US" w:eastAsia="zh-CN" w:bidi="ar-SA"/>
          <w14:textFill>
            <w14:solidFill>
              <w14:schemeClr w14:val="tx1"/>
            </w14:solidFill>
          </w14:textFill>
        </w:rPr>
      </w:pPr>
      <w:bookmarkStart w:id="9" w:name="_Toc24226"/>
    </w:p>
    <w:p w14:paraId="2A58962C">
      <w:pPr>
        <w:pageBreakBefore w:val="0"/>
        <w:widowControl w:val="0"/>
        <w:kinsoku/>
        <w:wordWrap/>
        <w:overflowPunct/>
        <w:topLinePunct w:val="0"/>
        <w:bidi w:val="0"/>
        <w:snapToGrid/>
        <w:spacing w:line="600" w:lineRule="exact"/>
        <w:ind w:left="241" w:hanging="241"/>
        <w:jc w:val="center"/>
        <w:textAlignment w:val="auto"/>
        <w:outlineLvl w:val="0"/>
        <w:rPr>
          <w:rFonts w:hint="default" w:ascii="宋体" w:hAnsi="宋体" w:eastAsia="宋体" w:cs="宋体"/>
          <w:b/>
          <w:bCs w:val="0"/>
          <w:i w:val="0"/>
          <w:iCs w:val="0"/>
          <w:color w:val="FF0000"/>
          <w:kern w:val="0"/>
          <w:sz w:val="52"/>
          <w:szCs w:val="52"/>
          <w:highlight w:val="none"/>
          <w:lang w:val="en-US" w:eastAsia="zh-CN" w:bidi="ar-SA"/>
        </w:rPr>
      </w:pPr>
      <w:r>
        <w:rPr>
          <w:rFonts w:hint="eastAsia" w:ascii="宋体" w:hAnsi="宋体" w:eastAsia="宋体" w:cs="宋体"/>
          <w:b/>
          <w:bCs w:val="0"/>
          <w:i w:val="0"/>
          <w:iCs w:val="0"/>
          <w:color w:val="000000" w:themeColor="text1"/>
          <w:kern w:val="0"/>
          <w:sz w:val="36"/>
          <w:szCs w:val="36"/>
          <w:highlight w:val="none"/>
          <w:lang w:val="en-US" w:eastAsia="zh-CN" w:bidi="ar-SA"/>
          <w14:textFill>
            <w14:solidFill>
              <w14:schemeClr w14:val="tx1"/>
            </w14:solidFill>
          </w14:textFill>
        </w:rPr>
        <w:t>项 目 编 号：</w:t>
      </w:r>
      <w:bookmarkEnd w:id="9"/>
      <w:r>
        <w:rPr>
          <w:rFonts w:hint="eastAsia" w:ascii="宋体" w:hAnsi="宋体" w:eastAsia="宋体" w:cs="宋体"/>
          <w:b/>
          <w:bCs w:val="0"/>
          <w:i w:val="0"/>
          <w:iCs w:val="0"/>
          <w:color w:val="000000" w:themeColor="text1"/>
          <w:kern w:val="0"/>
          <w:sz w:val="36"/>
          <w:szCs w:val="36"/>
          <w:highlight w:val="none"/>
          <w:lang w:val="en-US" w:eastAsia="zh-CN" w:bidi="ar-SA"/>
          <w14:textFill>
            <w14:solidFill>
              <w14:schemeClr w14:val="tx1"/>
            </w14:solidFill>
          </w14:textFill>
        </w:rPr>
        <w:t>HTJR-MFX-2025-0</w:t>
      </w:r>
      <w:r>
        <w:rPr>
          <w:rFonts w:hint="eastAsia" w:ascii="宋体" w:hAnsi="宋体" w:cs="宋体"/>
          <w:b/>
          <w:bCs w:val="0"/>
          <w:i w:val="0"/>
          <w:iCs w:val="0"/>
          <w:color w:val="000000" w:themeColor="text1"/>
          <w:kern w:val="0"/>
          <w:sz w:val="36"/>
          <w:szCs w:val="36"/>
          <w:highlight w:val="none"/>
          <w:lang w:val="en-US" w:eastAsia="zh-CN" w:bidi="ar-SA"/>
          <w14:textFill>
            <w14:solidFill>
              <w14:schemeClr w14:val="tx1"/>
            </w14:solidFill>
          </w14:textFill>
        </w:rPr>
        <w:t>2</w:t>
      </w:r>
      <w:r>
        <w:rPr>
          <w:rFonts w:hint="eastAsia" w:ascii="宋体" w:hAnsi="宋体" w:eastAsia="宋体" w:cs="宋体"/>
          <w:b/>
          <w:bCs w:val="0"/>
          <w:i w:val="0"/>
          <w:iCs w:val="0"/>
          <w:color w:val="000000" w:themeColor="text1"/>
          <w:kern w:val="0"/>
          <w:sz w:val="36"/>
          <w:szCs w:val="36"/>
          <w:highlight w:val="none"/>
          <w:lang w:val="en-US" w:eastAsia="zh-CN" w:bidi="ar-SA"/>
          <w14:textFill>
            <w14:solidFill>
              <w14:schemeClr w14:val="tx1"/>
            </w14:solidFill>
          </w14:textFill>
        </w:rPr>
        <w:t>号</w:t>
      </w:r>
    </w:p>
    <w:p w14:paraId="0B4BEC12">
      <w:pPr>
        <w:keepNext w:val="0"/>
        <w:keepLines w:val="0"/>
        <w:pageBreakBefore w:val="0"/>
        <w:widowControl w:val="0"/>
        <w:kinsoku/>
        <w:wordWrap/>
        <w:overflowPunct/>
        <w:topLinePunct w:val="0"/>
        <w:autoSpaceDE/>
        <w:autoSpaceDN/>
        <w:bidi w:val="0"/>
        <w:adjustRightInd/>
        <w:snapToGrid/>
        <w:spacing w:line="900" w:lineRule="exact"/>
        <w:ind w:right="62"/>
        <w:jc w:val="both"/>
        <w:textAlignment w:val="auto"/>
        <w:outlineLvl w:val="0"/>
        <w:rPr>
          <w:rFonts w:hint="eastAsia" w:ascii="宋体" w:hAnsi="宋体" w:eastAsia="宋体" w:cs="宋体"/>
          <w:b/>
          <w:i w:val="0"/>
          <w:iCs w:val="0"/>
          <w:color w:val="000000" w:themeColor="text1"/>
          <w:sz w:val="48"/>
          <w:szCs w:val="48"/>
          <w:highlight w:val="none"/>
          <w:lang w:val="en-US" w:eastAsia="zh-CN"/>
          <w14:textFill>
            <w14:solidFill>
              <w14:schemeClr w14:val="tx1"/>
            </w14:solidFill>
          </w14:textFill>
        </w:rPr>
      </w:pPr>
      <w:bookmarkStart w:id="10" w:name="_Toc751"/>
    </w:p>
    <w:p w14:paraId="552974AC">
      <w:pPr>
        <w:keepNext w:val="0"/>
        <w:keepLines w:val="0"/>
        <w:pageBreakBefore w:val="0"/>
        <w:widowControl w:val="0"/>
        <w:kinsoku/>
        <w:wordWrap/>
        <w:overflowPunct/>
        <w:topLinePunct w:val="0"/>
        <w:autoSpaceDE/>
        <w:autoSpaceDN/>
        <w:bidi w:val="0"/>
        <w:adjustRightInd/>
        <w:snapToGrid/>
        <w:spacing w:line="900" w:lineRule="exact"/>
        <w:ind w:right="62"/>
        <w:jc w:val="center"/>
        <w:textAlignment w:val="auto"/>
        <w:outlineLvl w:val="0"/>
        <w:rPr>
          <w:rFonts w:hint="eastAsia" w:ascii="宋体" w:hAnsi="宋体" w:eastAsia="宋体" w:cs="宋体"/>
          <w:b/>
          <w:i w:val="0"/>
          <w:iCs w:val="0"/>
          <w:color w:val="000000" w:themeColor="text1"/>
          <w:sz w:val="48"/>
          <w:szCs w:val="48"/>
          <w:highlight w:val="none"/>
          <w:lang w:val="en-US" w:eastAsia="zh-CN"/>
          <w14:textFill>
            <w14:solidFill>
              <w14:schemeClr w14:val="tx1"/>
            </w14:solidFill>
          </w14:textFill>
        </w:rPr>
      </w:pPr>
      <w:r>
        <w:rPr>
          <w:rFonts w:hint="eastAsia" w:ascii="宋体" w:hAnsi="宋体" w:eastAsia="宋体" w:cs="宋体"/>
          <w:b/>
          <w:i w:val="0"/>
          <w:iCs w:val="0"/>
          <w:color w:val="000000" w:themeColor="text1"/>
          <w:sz w:val="48"/>
          <w:szCs w:val="48"/>
          <w:highlight w:val="none"/>
          <w:lang w:val="en-US" w:eastAsia="zh-CN"/>
          <w14:textFill>
            <w14:solidFill>
              <w14:schemeClr w14:val="tx1"/>
            </w14:solidFill>
          </w14:textFill>
        </w:rPr>
        <w:t>竞争性谈判</w:t>
      </w:r>
      <w:bookmarkEnd w:id="10"/>
    </w:p>
    <w:p w14:paraId="2D00BE42">
      <w:pPr>
        <w:keepNext w:val="0"/>
        <w:keepLines w:val="0"/>
        <w:pageBreakBefore w:val="0"/>
        <w:widowControl w:val="0"/>
        <w:kinsoku/>
        <w:wordWrap/>
        <w:overflowPunct/>
        <w:topLinePunct w:val="0"/>
        <w:autoSpaceDE/>
        <w:autoSpaceDN/>
        <w:bidi w:val="0"/>
        <w:adjustRightInd/>
        <w:snapToGrid/>
        <w:spacing w:line="900" w:lineRule="exact"/>
        <w:ind w:left="0" w:leftChars="0" w:right="62" w:firstLine="602" w:firstLineChars="200"/>
        <w:textAlignment w:val="auto"/>
        <w:rPr>
          <w:rFonts w:hint="eastAsia" w:ascii="宋体" w:hAnsi="宋体" w:eastAsia="宋体" w:cs="宋体"/>
          <w:b/>
          <w:i w:val="0"/>
          <w:iCs w:val="0"/>
          <w:color w:val="000000" w:themeColor="text1"/>
          <w:sz w:val="30"/>
          <w:szCs w:val="30"/>
          <w:highlight w:val="none"/>
          <w:lang w:val="en-US" w:eastAsia="zh-CN"/>
          <w14:textFill>
            <w14:solidFill>
              <w14:schemeClr w14:val="tx1"/>
            </w14:solidFill>
          </w14:textFill>
        </w:rPr>
      </w:pPr>
    </w:p>
    <w:p w14:paraId="49EFCE84">
      <w:pPr>
        <w:keepNext w:val="0"/>
        <w:keepLines w:val="0"/>
        <w:pageBreakBefore w:val="0"/>
        <w:widowControl w:val="0"/>
        <w:kinsoku/>
        <w:wordWrap/>
        <w:overflowPunct/>
        <w:topLinePunct w:val="0"/>
        <w:autoSpaceDE/>
        <w:autoSpaceDN/>
        <w:bidi w:val="0"/>
        <w:adjustRightInd/>
        <w:snapToGrid/>
        <w:spacing w:line="900" w:lineRule="exact"/>
        <w:ind w:left="0" w:leftChars="0" w:right="62" w:firstLine="602" w:firstLineChars="200"/>
        <w:textAlignment w:val="auto"/>
        <w:outlineLvl w:val="0"/>
        <w:rPr>
          <w:rFonts w:hint="default" w:ascii="宋体" w:hAnsi="宋体" w:eastAsia="宋体" w:cs="宋体"/>
          <w:b/>
          <w:i w:val="0"/>
          <w:iCs w:val="0"/>
          <w:color w:val="000000" w:themeColor="text1"/>
          <w:sz w:val="30"/>
          <w:szCs w:val="30"/>
          <w:highlight w:val="none"/>
          <w:lang w:val="en-US" w:eastAsia="zh-CN"/>
          <w14:textFill>
            <w14:solidFill>
              <w14:schemeClr w14:val="tx1"/>
            </w14:solidFill>
          </w14:textFill>
        </w:rPr>
      </w:pPr>
      <w:bookmarkStart w:id="11" w:name="_Toc21803"/>
      <w:r>
        <w:rPr>
          <w:rFonts w:hint="eastAsia" w:ascii="宋体" w:hAnsi="宋体" w:eastAsia="宋体" w:cs="宋体"/>
          <w:b/>
          <w:i w:val="0"/>
          <w:iCs w:val="0"/>
          <w:color w:val="000000" w:themeColor="text1"/>
          <w:sz w:val="30"/>
          <w:szCs w:val="30"/>
          <w:highlight w:val="none"/>
          <w:lang w:val="en-US" w:eastAsia="zh-CN"/>
          <w14:textFill>
            <w14:solidFill>
              <w14:schemeClr w14:val="tx1"/>
            </w14:solidFill>
          </w14:textFill>
        </w:rPr>
        <w:t>采 购 人：</w:t>
      </w:r>
      <w:bookmarkEnd w:id="11"/>
      <w:r>
        <w:rPr>
          <w:rFonts w:hint="eastAsia" w:ascii="宋体" w:hAnsi="宋体" w:cs="宋体"/>
          <w:b/>
          <w:i w:val="0"/>
          <w:iCs w:val="0"/>
          <w:color w:val="000000" w:themeColor="text1"/>
          <w:sz w:val="30"/>
          <w:szCs w:val="30"/>
          <w:highlight w:val="none"/>
          <w:lang w:val="en-US" w:eastAsia="zh-CN"/>
          <w14:textFill>
            <w14:solidFill>
              <w14:schemeClr w14:val="tx1"/>
            </w14:solidFill>
          </w14:textFill>
        </w:rPr>
        <w:t>民丰县叶亦克乡人民政府</w:t>
      </w:r>
    </w:p>
    <w:p w14:paraId="36B187A4">
      <w:pPr>
        <w:keepNext w:val="0"/>
        <w:keepLines w:val="0"/>
        <w:pageBreakBefore w:val="0"/>
        <w:widowControl w:val="0"/>
        <w:kinsoku/>
        <w:wordWrap/>
        <w:overflowPunct/>
        <w:topLinePunct w:val="0"/>
        <w:autoSpaceDE/>
        <w:autoSpaceDN/>
        <w:bidi w:val="0"/>
        <w:adjustRightInd/>
        <w:snapToGrid/>
        <w:spacing w:line="900" w:lineRule="exact"/>
        <w:ind w:left="0" w:leftChars="0" w:right="62" w:firstLine="602" w:firstLineChars="200"/>
        <w:textAlignment w:val="auto"/>
        <w:rPr>
          <w:rFonts w:hint="eastAsia" w:ascii="宋体" w:hAnsi="宋体" w:eastAsia="宋体" w:cs="宋体"/>
          <w:b/>
          <w:i w:val="0"/>
          <w:iCs w:val="0"/>
          <w:color w:val="000000" w:themeColor="text1"/>
          <w:sz w:val="30"/>
          <w:szCs w:val="30"/>
          <w:highlight w:val="none"/>
          <w:lang w:val="en-US" w:eastAsia="zh-CN"/>
          <w14:textFill>
            <w14:solidFill>
              <w14:schemeClr w14:val="tx1"/>
            </w14:solidFill>
          </w14:textFill>
        </w:rPr>
      </w:pPr>
      <w:r>
        <w:rPr>
          <w:rFonts w:hint="eastAsia" w:ascii="宋体" w:hAnsi="宋体" w:eastAsia="宋体" w:cs="宋体"/>
          <w:b/>
          <w:i w:val="0"/>
          <w:iCs w:val="0"/>
          <w:color w:val="000000" w:themeColor="text1"/>
          <w:sz w:val="30"/>
          <w:szCs w:val="30"/>
          <w:highlight w:val="none"/>
          <w:lang w:val="en-US" w:eastAsia="zh-CN"/>
          <w14:textFill>
            <w14:solidFill>
              <w14:schemeClr w14:val="tx1"/>
            </w14:solidFill>
          </w14:textFill>
        </w:rPr>
        <w:t>联 系 人：</w:t>
      </w:r>
      <w:r>
        <w:rPr>
          <w:rFonts w:hint="eastAsia" w:ascii="宋体" w:hAnsi="宋体" w:cs="宋体"/>
          <w:b/>
          <w:i w:val="0"/>
          <w:iCs w:val="0"/>
          <w:color w:val="000000" w:themeColor="text1"/>
          <w:sz w:val="30"/>
          <w:szCs w:val="30"/>
          <w:highlight w:val="none"/>
          <w:lang w:val="en-US" w:eastAsia="zh-CN"/>
          <w14:textFill>
            <w14:solidFill>
              <w14:schemeClr w14:val="tx1"/>
            </w14:solidFill>
          </w14:textFill>
        </w:rPr>
        <w:t>尹勇</w:t>
      </w:r>
      <w:r>
        <w:rPr>
          <w:rFonts w:hint="eastAsia" w:ascii="宋体" w:hAnsi="宋体" w:eastAsia="宋体" w:cs="宋体"/>
          <w:b/>
          <w:i w:val="0"/>
          <w:iCs w:val="0"/>
          <w:color w:val="000000" w:themeColor="text1"/>
          <w:sz w:val="30"/>
          <w:szCs w:val="30"/>
          <w:highlight w:val="none"/>
          <w:lang w:val="en-US" w:eastAsia="zh-CN"/>
          <w14:textFill>
            <w14:solidFill>
              <w14:schemeClr w14:val="tx1"/>
            </w14:solidFill>
          </w14:textFill>
        </w:rPr>
        <w:t xml:space="preserve">            </w:t>
      </w:r>
    </w:p>
    <w:p w14:paraId="72E00895">
      <w:pPr>
        <w:keepNext w:val="0"/>
        <w:keepLines w:val="0"/>
        <w:pageBreakBefore w:val="0"/>
        <w:widowControl w:val="0"/>
        <w:kinsoku/>
        <w:wordWrap/>
        <w:overflowPunct/>
        <w:topLinePunct w:val="0"/>
        <w:autoSpaceDE/>
        <w:autoSpaceDN/>
        <w:bidi w:val="0"/>
        <w:adjustRightInd/>
        <w:snapToGrid/>
        <w:spacing w:line="900" w:lineRule="exact"/>
        <w:ind w:left="0" w:leftChars="0" w:right="62" w:firstLine="602" w:firstLineChars="200"/>
        <w:textAlignment w:val="auto"/>
        <w:rPr>
          <w:rFonts w:hint="eastAsia" w:ascii="宋体" w:hAnsi="宋体" w:eastAsia="宋体" w:cs="宋体"/>
          <w:b/>
          <w:i w:val="0"/>
          <w:iCs w:val="0"/>
          <w:color w:val="000000" w:themeColor="text1"/>
          <w:sz w:val="30"/>
          <w:szCs w:val="30"/>
          <w:highlight w:val="none"/>
          <w:lang w:val="en-US" w:eastAsia="zh-CN"/>
          <w14:textFill>
            <w14:solidFill>
              <w14:schemeClr w14:val="tx1"/>
            </w14:solidFill>
          </w14:textFill>
        </w:rPr>
      </w:pPr>
      <w:r>
        <w:rPr>
          <w:rFonts w:hint="eastAsia" w:ascii="宋体" w:hAnsi="宋体" w:eastAsia="宋体" w:cs="宋体"/>
          <w:b/>
          <w:i w:val="0"/>
          <w:iCs w:val="0"/>
          <w:color w:val="000000" w:themeColor="text1"/>
          <w:sz w:val="30"/>
          <w:szCs w:val="30"/>
          <w:highlight w:val="none"/>
          <w:lang w:val="en-US" w:eastAsia="zh-CN"/>
          <w14:textFill>
            <w14:solidFill>
              <w14:schemeClr w14:val="tx1"/>
            </w14:solidFill>
          </w14:textFill>
        </w:rPr>
        <w:t>联系电话：</w:t>
      </w:r>
      <w:r>
        <w:rPr>
          <w:rFonts w:hint="eastAsia" w:ascii="宋体" w:hAnsi="宋体" w:cs="宋体"/>
          <w:b/>
          <w:i w:val="0"/>
          <w:iCs w:val="0"/>
          <w:color w:val="000000" w:themeColor="text1"/>
          <w:sz w:val="30"/>
          <w:szCs w:val="30"/>
          <w:highlight w:val="none"/>
          <w:lang w:val="en-US" w:eastAsia="zh-CN"/>
          <w14:textFill>
            <w14:solidFill>
              <w14:schemeClr w14:val="tx1"/>
            </w14:solidFill>
          </w14:textFill>
        </w:rPr>
        <w:t>0903-2968331</w:t>
      </w:r>
    </w:p>
    <w:p w14:paraId="5B6BAAC4">
      <w:pPr>
        <w:keepNext w:val="0"/>
        <w:keepLines w:val="0"/>
        <w:pageBreakBefore w:val="0"/>
        <w:widowControl w:val="0"/>
        <w:kinsoku/>
        <w:wordWrap/>
        <w:overflowPunct/>
        <w:topLinePunct w:val="0"/>
        <w:autoSpaceDE/>
        <w:autoSpaceDN/>
        <w:bidi w:val="0"/>
        <w:adjustRightInd/>
        <w:snapToGrid/>
        <w:spacing w:line="900" w:lineRule="exact"/>
        <w:ind w:left="0" w:leftChars="0" w:right="62" w:firstLine="602" w:firstLineChars="200"/>
        <w:textAlignment w:val="auto"/>
        <w:rPr>
          <w:rFonts w:hint="eastAsia" w:ascii="宋体" w:hAnsi="宋体" w:eastAsia="宋体" w:cs="宋体"/>
          <w:b/>
          <w:i w:val="0"/>
          <w:iCs w:val="0"/>
          <w:color w:val="000000" w:themeColor="text1"/>
          <w:sz w:val="30"/>
          <w:szCs w:val="30"/>
          <w:highlight w:val="none"/>
          <w:lang w:val="en-US" w:eastAsia="zh-CN"/>
          <w14:textFill>
            <w14:solidFill>
              <w14:schemeClr w14:val="tx1"/>
            </w14:solidFill>
          </w14:textFill>
        </w:rPr>
      </w:pPr>
    </w:p>
    <w:p w14:paraId="6D05ABEA">
      <w:pPr>
        <w:keepNext w:val="0"/>
        <w:keepLines w:val="0"/>
        <w:pageBreakBefore w:val="0"/>
        <w:widowControl w:val="0"/>
        <w:kinsoku/>
        <w:wordWrap/>
        <w:overflowPunct/>
        <w:topLinePunct w:val="0"/>
        <w:autoSpaceDE/>
        <w:autoSpaceDN/>
        <w:bidi w:val="0"/>
        <w:adjustRightInd/>
        <w:snapToGrid/>
        <w:spacing w:line="900" w:lineRule="exact"/>
        <w:ind w:left="0" w:leftChars="0" w:right="62" w:firstLine="602" w:firstLineChars="200"/>
        <w:textAlignment w:val="auto"/>
        <w:rPr>
          <w:rFonts w:hint="eastAsia" w:ascii="宋体" w:hAnsi="宋体" w:eastAsia="宋体" w:cs="宋体"/>
          <w:b/>
          <w:i w:val="0"/>
          <w:iCs w:val="0"/>
          <w:color w:val="000000" w:themeColor="text1"/>
          <w:sz w:val="30"/>
          <w:szCs w:val="30"/>
          <w:highlight w:val="none"/>
          <w:lang w:val="en-US" w:eastAsia="zh-CN"/>
          <w14:textFill>
            <w14:solidFill>
              <w14:schemeClr w14:val="tx1"/>
            </w14:solidFill>
          </w14:textFill>
        </w:rPr>
      </w:pPr>
      <w:r>
        <w:rPr>
          <w:rFonts w:hint="eastAsia" w:ascii="宋体" w:hAnsi="宋体" w:eastAsia="宋体" w:cs="宋体"/>
          <w:b/>
          <w:i w:val="0"/>
          <w:iCs w:val="0"/>
          <w:color w:val="000000" w:themeColor="text1"/>
          <w:sz w:val="30"/>
          <w:szCs w:val="30"/>
          <w:highlight w:val="none"/>
          <w:lang w:val="en-US" w:eastAsia="zh-CN"/>
          <w14:textFill>
            <w14:solidFill>
              <w14:schemeClr w14:val="tx1"/>
            </w14:solidFill>
          </w14:textFill>
        </w:rPr>
        <w:t>招标代理机构：</w:t>
      </w:r>
      <w:r>
        <w:rPr>
          <w:rFonts w:hint="eastAsia" w:ascii="宋体" w:hAnsi="宋体" w:cs="宋体"/>
          <w:b/>
          <w:i w:val="0"/>
          <w:iCs w:val="0"/>
          <w:color w:val="000000" w:themeColor="text1"/>
          <w:sz w:val="30"/>
          <w:szCs w:val="30"/>
          <w:highlight w:val="none"/>
          <w:lang w:val="en-US" w:eastAsia="zh-CN"/>
          <w14:textFill>
            <w14:solidFill>
              <w14:schemeClr w14:val="tx1"/>
            </w14:solidFill>
          </w14:textFill>
        </w:rPr>
        <w:t>和田锦荣工程项目管理有限公司</w:t>
      </w:r>
    </w:p>
    <w:p w14:paraId="20E9AEFE">
      <w:pPr>
        <w:keepNext w:val="0"/>
        <w:keepLines w:val="0"/>
        <w:pageBreakBefore w:val="0"/>
        <w:widowControl w:val="0"/>
        <w:kinsoku/>
        <w:wordWrap/>
        <w:overflowPunct/>
        <w:topLinePunct w:val="0"/>
        <w:autoSpaceDE/>
        <w:autoSpaceDN/>
        <w:bidi w:val="0"/>
        <w:adjustRightInd/>
        <w:snapToGrid/>
        <w:spacing w:line="900" w:lineRule="exact"/>
        <w:ind w:left="0" w:leftChars="0" w:right="62" w:firstLine="602" w:firstLineChars="200"/>
        <w:textAlignment w:val="auto"/>
        <w:rPr>
          <w:rFonts w:hint="eastAsia" w:ascii="宋体" w:hAnsi="宋体" w:eastAsia="宋体" w:cs="宋体"/>
          <w:b/>
          <w:i w:val="0"/>
          <w:iCs w:val="0"/>
          <w:color w:val="000000" w:themeColor="text1"/>
          <w:sz w:val="30"/>
          <w:szCs w:val="30"/>
          <w:highlight w:val="none"/>
          <w:lang w:val="en-US" w:eastAsia="zh-CN"/>
          <w14:textFill>
            <w14:solidFill>
              <w14:schemeClr w14:val="tx1"/>
            </w14:solidFill>
          </w14:textFill>
        </w:rPr>
      </w:pPr>
      <w:r>
        <w:rPr>
          <w:rFonts w:hint="eastAsia" w:ascii="宋体" w:hAnsi="宋体" w:eastAsia="宋体" w:cs="宋体"/>
          <w:b/>
          <w:i w:val="0"/>
          <w:iCs w:val="0"/>
          <w:color w:val="000000" w:themeColor="text1"/>
          <w:sz w:val="30"/>
          <w:szCs w:val="30"/>
          <w:highlight w:val="none"/>
          <w:lang w:val="en-US" w:eastAsia="zh-CN"/>
          <w14:textFill>
            <w14:solidFill>
              <w14:schemeClr w14:val="tx1"/>
            </w14:solidFill>
          </w14:textFill>
        </w:rPr>
        <w:t>联 系 人：</w:t>
      </w:r>
      <w:r>
        <w:rPr>
          <w:rFonts w:hint="eastAsia" w:ascii="宋体" w:hAnsi="宋体" w:cs="宋体"/>
          <w:b/>
          <w:i w:val="0"/>
          <w:iCs w:val="0"/>
          <w:color w:val="000000" w:themeColor="text1"/>
          <w:sz w:val="30"/>
          <w:szCs w:val="30"/>
          <w:highlight w:val="none"/>
          <w:lang w:val="en-US" w:eastAsia="zh-CN"/>
          <w14:textFill>
            <w14:solidFill>
              <w14:schemeClr w14:val="tx1"/>
            </w14:solidFill>
          </w14:textFill>
        </w:rPr>
        <w:t>朱莎</w:t>
      </w:r>
      <w:r>
        <w:rPr>
          <w:rFonts w:hint="eastAsia" w:ascii="宋体" w:hAnsi="宋体" w:eastAsia="宋体" w:cs="宋体"/>
          <w:b/>
          <w:i w:val="0"/>
          <w:iCs w:val="0"/>
          <w:color w:val="000000" w:themeColor="text1"/>
          <w:sz w:val="30"/>
          <w:szCs w:val="30"/>
          <w:highlight w:val="none"/>
          <w:lang w:val="en-US" w:eastAsia="zh-CN"/>
          <w14:textFill>
            <w14:solidFill>
              <w14:schemeClr w14:val="tx1"/>
            </w14:solidFill>
          </w14:textFill>
        </w:rPr>
        <w:t xml:space="preserve">        </w:t>
      </w:r>
    </w:p>
    <w:p w14:paraId="78918418">
      <w:pPr>
        <w:keepNext w:val="0"/>
        <w:keepLines w:val="0"/>
        <w:pageBreakBefore w:val="0"/>
        <w:widowControl w:val="0"/>
        <w:kinsoku/>
        <w:wordWrap/>
        <w:overflowPunct/>
        <w:topLinePunct w:val="0"/>
        <w:autoSpaceDE/>
        <w:autoSpaceDN/>
        <w:bidi w:val="0"/>
        <w:adjustRightInd/>
        <w:snapToGrid/>
        <w:spacing w:line="900" w:lineRule="exact"/>
        <w:ind w:left="0" w:leftChars="0" w:right="62" w:firstLine="602" w:firstLineChars="200"/>
        <w:textAlignment w:val="auto"/>
        <w:rPr>
          <w:rFonts w:hint="default" w:ascii="宋体" w:hAnsi="宋体" w:eastAsia="宋体" w:cs="宋体"/>
          <w:b/>
          <w:i w:val="0"/>
          <w:iCs w:val="0"/>
          <w:color w:val="000000" w:themeColor="text1"/>
          <w:sz w:val="28"/>
          <w:szCs w:val="28"/>
          <w:highlight w:val="none"/>
          <w:lang w:val="en-US"/>
          <w14:textFill>
            <w14:solidFill>
              <w14:schemeClr w14:val="tx1"/>
            </w14:solidFill>
          </w14:textFill>
        </w:rPr>
      </w:pPr>
      <w:r>
        <w:rPr>
          <w:rFonts w:hint="eastAsia" w:ascii="宋体" w:hAnsi="宋体" w:eastAsia="宋体" w:cs="宋体"/>
          <w:b/>
          <w:i w:val="0"/>
          <w:iCs w:val="0"/>
          <w:color w:val="000000" w:themeColor="text1"/>
          <w:sz w:val="30"/>
          <w:szCs w:val="30"/>
          <w:highlight w:val="none"/>
          <w:lang w:val="en-US" w:eastAsia="zh-CN"/>
          <w14:textFill>
            <w14:solidFill>
              <w14:schemeClr w14:val="tx1"/>
            </w14:solidFill>
          </w14:textFill>
        </w:rPr>
        <w:t>联系电话：</w:t>
      </w:r>
      <w:r>
        <w:rPr>
          <w:rFonts w:hint="eastAsia" w:ascii="宋体" w:hAnsi="宋体" w:cs="宋体"/>
          <w:b/>
          <w:i w:val="0"/>
          <w:iCs w:val="0"/>
          <w:color w:val="000000" w:themeColor="text1"/>
          <w:sz w:val="30"/>
          <w:szCs w:val="30"/>
          <w:highlight w:val="none"/>
          <w:lang w:val="en-US" w:eastAsia="zh-CN"/>
          <w14:textFill>
            <w14:solidFill>
              <w14:schemeClr w14:val="tx1"/>
            </w14:solidFill>
          </w14:textFill>
        </w:rPr>
        <w:t>0903-2515565</w:t>
      </w:r>
    </w:p>
    <w:p w14:paraId="37893024">
      <w:pPr>
        <w:keepNext w:val="0"/>
        <w:keepLines w:val="0"/>
        <w:pageBreakBefore w:val="0"/>
        <w:widowControl w:val="0"/>
        <w:kinsoku/>
        <w:wordWrap/>
        <w:overflowPunct/>
        <w:topLinePunct w:val="0"/>
        <w:autoSpaceDE/>
        <w:autoSpaceDN/>
        <w:bidi w:val="0"/>
        <w:adjustRightInd/>
        <w:snapToGrid/>
        <w:spacing w:line="900" w:lineRule="exact"/>
        <w:ind w:right="62"/>
        <w:jc w:val="center"/>
        <w:textAlignment w:val="auto"/>
        <w:rPr>
          <w:rFonts w:hint="eastAsia" w:ascii="宋体" w:hAnsi="宋体" w:eastAsia="宋体" w:cs="宋体"/>
          <w:b/>
          <w:i w:val="0"/>
          <w:iCs w:val="0"/>
          <w:color w:val="000000" w:themeColor="text1"/>
          <w:sz w:val="36"/>
          <w:szCs w:val="36"/>
          <w:highlight w:val="none"/>
          <w14:textFill>
            <w14:solidFill>
              <w14:schemeClr w14:val="tx1"/>
            </w14:solidFill>
          </w14:textFill>
        </w:rPr>
      </w:pPr>
    </w:p>
    <w:p w14:paraId="1CCD86FF">
      <w:pPr>
        <w:keepNext w:val="0"/>
        <w:keepLines w:val="0"/>
        <w:pageBreakBefore w:val="0"/>
        <w:widowControl w:val="0"/>
        <w:kinsoku/>
        <w:wordWrap/>
        <w:overflowPunct/>
        <w:topLinePunct w:val="0"/>
        <w:autoSpaceDE/>
        <w:autoSpaceDN/>
        <w:bidi w:val="0"/>
        <w:adjustRightInd/>
        <w:snapToGrid/>
        <w:spacing w:line="900" w:lineRule="exact"/>
        <w:ind w:right="62"/>
        <w:jc w:val="center"/>
        <w:textAlignment w:val="auto"/>
        <w:rPr>
          <w:rFonts w:hint="eastAsia" w:ascii="宋体" w:hAnsi="宋体" w:eastAsia="宋体" w:cs="宋体"/>
          <w:b/>
          <w:i w:val="0"/>
          <w:iCs w:val="0"/>
          <w:color w:val="000000" w:themeColor="text1"/>
          <w:sz w:val="36"/>
          <w:szCs w:val="36"/>
          <w:highlight w:val="none"/>
          <w:lang w:val="en-US" w:eastAsia="zh-CN"/>
          <w14:textFill>
            <w14:solidFill>
              <w14:schemeClr w14:val="tx1"/>
            </w14:solidFill>
          </w14:textFill>
        </w:rPr>
      </w:pPr>
      <w:r>
        <w:rPr>
          <w:rFonts w:hint="eastAsia" w:ascii="宋体" w:hAnsi="宋体" w:eastAsia="宋体" w:cs="宋体"/>
          <w:b/>
          <w:i w:val="0"/>
          <w:iCs w:val="0"/>
          <w:color w:val="000000" w:themeColor="text1"/>
          <w:sz w:val="36"/>
          <w:szCs w:val="36"/>
          <w:highlight w:val="none"/>
          <w14:textFill>
            <w14:solidFill>
              <w14:schemeClr w14:val="tx1"/>
            </w14:solidFill>
          </w14:textFill>
        </w:rPr>
        <w:t>202</w:t>
      </w:r>
      <w:r>
        <w:rPr>
          <w:rFonts w:hint="eastAsia" w:ascii="宋体" w:hAnsi="宋体" w:cs="宋体"/>
          <w:b/>
          <w:i w:val="0"/>
          <w:iCs w:val="0"/>
          <w:color w:val="000000" w:themeColor="text1"/>
          <w:sz w:val="36"/>
          <w:szCs w:val="36"/>
          <w:highlight w:val="none"/>
          <w:lang w:val="en-US" w:eastAsia="zh-CN"/>
          <w14:textFill>
            <w14:solidFill>
              <w14:schemeClr w14:val="tx1"/>
            </w14:solidFill>
          </w14:textFill>
        </w:rPr>
        <w:t>5</w:t>
      </w:r>
      <w:r>
        <w:rPr>
          <w:rFonts w:hint="eastAsia" w:ascii="宋体" w:hAnsi="宋体" w:eastAsia="宋体" w:cs="宋体"/>
          <w:b/>
          <w:i w:val="0"/>
          <w:iCs w:val="0"/>
          <w:color w:val="000000" w:themeColor="text1"/>
          <w:sz w:val="36"/>
          <w:szCs w:val="36"/>
          <w:highlight w:val="none"/>
          <w14:textFill>
            <w14:solidFill>
              <w14:schemeClr w14:val="tx1"/>
            </w14:solidFill>
          </w14:textFill>
        </w:rPr>
        <w:t>年</w:t>
      </w:r>
      <w:r>
        <w:rPr>
          <w:rFonts w:hint="eastAsia" w:ascii="宋体" w:hAnsi="宋体" w:cs="宋体"/>
          <w:b/>
          <w:i w:val="0"/>
          <w:iCs w:val="0"/>
          <w:color w:val="000000" w:themeColor="text1"/>
          <w:sz w:val="36"/>
          <w:szCs w:val="36"/>
          <w:highlight w:val="none"/>
          <w:lang w:val="en-US" w:eastAsia="zh-CN"/>
          <w14:textFill>
            <w14:solidFill>
              <w14:schemeClr w14:val="tx1"/>
            </w14:solidFill>
          </w14:textFill>
        </w:rPr>
        <w:t>02</w:t>
      </w:r>
      <w:r>
        <w:rPr>
          <w:rFonts w:hint="eastAsia" w:ascii="宋体" w:hAnsi="宋体" w:eastAsia="宋体" w:cs="宋体"/>
          <w:b/>
          <w:i w:val="0"/>
          <w:iCs w:val="0"/>
          <w:color w:val="000000" w:themeColor="text1"/>
          <w:sz w:val="36"/>
          <w:szCs w:val="36"/>
          <w:highlight w:val="none"/>
          <w14:textFill>
            <w14:solidFill>
              <w14:schemeClr w14:val="tx1"/>
            </w14:solidFill>
          </w14:textFill>
        </w:rPr>
        <w:t>月</w:t>
      </w:r>
    </w:p>
    <w:bookmarkEnd w:id="0"/>
    <w:bookmarkEnd w:id="1"/>
    <w:bookmarkEnd w:id="2"/>
    <w:bookmarkEnd w:id="3"/>
    <w:bookmarkEnd w:id="4"/>
    <w:bookmarkEnd w:id="5"/>
    <w:bookmarkEnd w:id="6"/>
    <w:bookmarkEnd w:id="7"/>
    <w:p w14:paraId="64082CE5">
      <w:pPr>
        <w:rPr>
          <w:rFonts w:hint="eastAsia" w:ascii="宋体" w:hAnsi="宋体" w:eastAsia="宋体" w:cs="宋体"/>
          <w:color w:val="000000" w:themeColor="text1"/>
          <w:sz w:val="28"/>
          <w:szCs w:val="28"/>
          <w:highlight w:val="none"/>
          <w14:textFill>
            <w14:solidFill>
              <w14:schemeClr w14:val="tx1"/>
            </w14:solidFill>
          </w14:textFill>
        </w:rPr>
      </w:pPr>
      <w:bookmarkStart w:id="12" w:name="bookmark1"/>
      <w:bookmarkEnd w:id="12"/>
      <w:r>
        <w:rPr>
          <w:rFonts w:hint="eastAsia" w:ascii="宋体" w:hAnsi="宋体" w:eastAsia="宋体" w:cs="宋体"/>
          <w:color w:val="000000" w:themeColor="text1"/>
          <w:sz w:val="28"/>
          <w:szCs w:val="28"/>
          <w:highlight w:val="none"/>
          <w14:textFill>
            <w14:solidFill>
              <w14:schemeClr w14:val="tx1"/>
            </w14:solidFill>
          </w14:textFill>
        </w:rPr>
        <w:br w:type="page"/>
      </w:r>
    </w:p>
    <w:sdt>
      <w:sdtPr>
        <w:rPr>
          <w:rFonts w:ascii="宋体" w:hAnsi="宋体" w:eastAsia="宋体" w:cs="Times New Roman"/>
          <w:kern w:val="2"/>
          <w:sz w:val="21"/>
          <w:szCs w:val="22"/>
          <w:lang w:val="en-US" w:eastAsia="zh-CN" w:bidi="ar-SA"/>
        </w:rPr>
        <w:id w:val="147465681"/>
        <w15:color w:val="DBDBDB"/>
        <w:docPartObj>
          <w:docPartGallery w:val="Table of Contents"/>
          <w:docPartUnique/>
        </w:docPartObj>
      </w:sdtPr>
      <w:sdtEndPr>
        <w:rPr>
          <w:rFonts w:hint="default" w:ascii="宋体" w:hAnsi="宋体" w:eastAsia="宋体" w:cs="宋体"/>
          <w:color w:val="000000" w:themeColor="text1"/>
          <w:kern w:val="2"/>
          <w:sz w:val="21"/>
          <w:szCs w:val="28"/>
          <w:highlight w:val="none"/>
          <w:lang w:val="en-US" w:eastAsia="zh-CN" w:bidi="ar-SA"/>
          <w14:textFill>
            <w14:solidFill>
              <w14:schemeClr w14:val="tx1"/>
            </w14:solidFill>
          </w14:textFill>
        </w:rPr>
      </w:sdtEndPr>
      <w:sdtContent>
        <w:p w14:paraId="09E8A7DB">
          <w:pPr>
            <w:spacing w:before="0" w:beforeLines="0" w:after="0" w:afterLines="0" w:line="480" w:lineRule="auto"/>
            <w:ind w:left="0" w:leftChars="0" w:right="0" w:rightChars="0" w:firstLine="0" w:firstLineChars="0"/>
            <w:jc w:val="center"/>
            <w:rPr>
              <w:b/>
              <w:bCs/>
              <w:sz w:val="28"/>
              <w:szCs w:val="32"/>
            </w:rPr>
          </w:pPr>
          <w:r>
            <w:rPr>
              <w:rFonts w:ascii="宋体" w:hAnsi="宋体" w:eastAsia="宋体"/>
              <w:b/>
              <w:bCs/>
              <w:sz w:val="28"/>
              <w:szCs w:val="32"/>
            </w:rPr>
            <w:t>目录</w:t>
          </w:r>
        </w:p>
        <w:p w14:paraId="2B6A5703">
          <w:pPr>
            <w:pStyle w:val="32"/>
            <w:tabs>
              <w:tab w:val="right" w:leader="dot" w:pos="8306"/>
            </w:tabs>
            <w:spacing w:line="480" w:lineRule="auto"/>
            <w:rPr>
              <w:sz w:val="22"/>
              <w:szCs w:val="22"/>
            </w:rPr>
          </w:pPr>
          <w:r>
            <w:rPr>
              <w:rFonts w:hint="default" w:ascii="宋体" w:hAnsi="宋体" w:eastAsia="宋体" w:cs="宋体"/>
              <w:color w:val="000000" w:themeColor="text1"/>
              <w:sz w:val="36"/>
              <w:szCs w:val="36"/>
              <w:highlight w:val="none"/>
              <w:lang w:val="en-US" w:eastAsia="zh-CN"/>
              <w14:textFill>
                <w14:solidFill>
                  <w14:schemeClr w14:val="tx1"/>
                </w14:solidFill>
              </w14:textFill>
            </w:rPr>
            <w:fldChar w:fldCharType="begin"/>
          </w:r>
          <w:r>
            <w:rPr>
              <w:rFonts w:hint="default" w:ascii="宋体" w:hAnsi="宋体" w:eastAsia="宋体" w:cs="宋体"/>
              <w:color w:val="000000" w:themeColor="text1"/>
              <w:sz w:val="36"/>
              <w:szCs w:val="36"/>
              <w:highlight w:val="none"/>
              <w:lang w:val="en-US" w:eastAsia="zh-CN"/>
              <w14:textFill>
                <w14:solidFill>
                  <w14:schemeClr w14:val="tx1"/>
                </w14:solidFill>
              </w14:textFill>
            </w:rPr>
            <w:instrText xml:space="preserve">TOC \o "1-1" \h \u </w:instrText>
          </w:r>
          <w:r>
            <w:rPr>
              <w:rFonts w:hint="default" w:ascii="宋体" w:hAnsi="宋体" w:eastAsia="宋体" w:cs="宋体"/>
              <w:color w:val="000000" w:themeColor="text1"/>
              <w:sz w:val="36"/>
              <w:szCs w:val="36"/>
              <w:highlight w:val="none"/>
              <w:lang w:val="en-US" w:eastAsia="zh-CN"/>
              <w14:textFill>
                <w14:solidFill>
                  <w14:schemeClr w14:val="tx1"/>
                </w14:solidFill>
              </w14:textFill>
            </w:rPr>
            <w:fldChar w:fldCharType="separate"/>
          </w:r>
        </w:p>
        <w:p w14:paraId="69901DD1">
          <w:pPr>
            <w:pStyle w:val="32"/>
            <w:tabs>
              <w:tab w:val="right" w:leader="dot" w:pos="8306"/>
            </w:tabs>
            <w:spacing w:line="480" w:lineRule="auto"/>
            <w:rPr>
              <w:sz w:val="32"/>
              <w:szCs w:val="32"/>
            </w:rPr>
          </w:pPr>
          <w:r>
            <w:rPr>
              <w:rFonts w:hint="default" w:ascii="宋体" w:hAnsi="宋体" w:eastAsia="宋体" w:cs="宋体"/>
              <w:color w:val="000000" w:themeColor="text1"/>
              <w:sz w:val="32"/>
              <w:szCs w:val="48"/>
              <w:highlight w:val="none"/>
              <w:lang w:val="en-US" w:eastAsia="zh-CN"/>
              <w14:textFill>
                <w14:solidFill>
                  <w14:schemeClr w14:val="tx1"/>
                </w14:solidFill>
              </w14:textFill>
            </w:rPr>
            <w:fldChar w:fldCharType="begin"/>
          </w:r>
          <w:r>
            <w:rPr>
              <w:rFonts w:hint="default" w:ascii="宋体" w:hAnsi="宋体" w:eastAsia="宋体" w:cs="宋体"/>
              <w:sz w:val="32"/>
              <w:szCs w:val="48"/>
              <w:highlight w:val="none"/>
              <w:lang w:val="en-US" w:eastAsia="zh-CN"/>
            </w:rPr>
            <w:instrText xml:space="preserve"> HYPERLINK \l _Toc21046 </w:instrText>
          </w:r>
          <w:r>
            <w:rPr>
              <w:rFonts w:hint="default" w:ascii="宋体" w:hAnsi="宋体" w:eastAsia="宋体" w:cs="宋体"/>
              <w:sz w:val="32"/>
              <w:szCs w:val="48"/>
              <w:highlight w:val="none"/>
              <w:lang w:val="en-US" w:eastAsia="zh-CN"/>
            </w:rPr>
            <w:fldChar w:fldCharType="separate"/>
          </w:r>
          <w:r>
            <w:rPr>
              <w:rFonts w:hint="eastAsia" w:ascii="宋体" w:hAnsi="宋体" w:eastAsia="宋体" w:cs="宋体"/>
              <w:bCs/>
              <w:kern w:val="2"/>
              <w:sz w:val="32"/>
              <w:szCs w:val="56"/>
              <w:lang w:val="en-US" w:eastAsia="zh-CN" w:bidi="ar-SA"/>
            </w:rPr>
            <w:t xml:space="preserve">第一章 </w:t>
          </w:r>
          <w:r>
            <w:rPr>
              <w:rFonts w:hint="eastAsia" w:ascii="宋体" w:hAnsi="宋体" w:eastAsia="宋体" w:cs="宋体"/>
              <w:bCs/>
              <w:kern w:val="2"/>
              <w:sz w:val="32"/>
              <w:szCs w:val="56"/>
              <w:highlight w:val="none"/>
              <w:lang w:val="en-US" w:eastAsia="zh-CN" w:bidi="ar-SA"/>
            </w:rPr>
            <w:t>竞争性谈判公告</w:t>
          </w:r>
          <w:r>
            <w:rPr>
              <w:sz w:val="32"/>
              <w:szCs w:val="32"/>
            </w:rPr>
            <w:tab/>
          </w:r>
          <w:r>
            <w:rPr>
              <w:sz w:val="32"/>
              <w:szCs w:val="32"/>
            </w:rPr>
            <w:fldChar w:fldCharType="begin"/>
          </w:r>
          <w:r>
            <w:rPr>
              <w:sz w:val="32"/>
              <w:szCs w:val="32"/>
            </w:rPr>
            <w:instrText xml:space="preserve"> PAGEREF _Toc21046 \h </w:instrText>
          </w:r>
          <w:r>
            <w:rPr>
              <w:sz w:val="32"/>
              <w:szCs w:val="32"/>
            </w:rPr>
            <w:fldChar w:fldCharType="separate"/>
          </w:r>
          <w:r>
            <w:rPr>
              <w:sz w:val="32"/>
              <w:szCs w:val="32"/>
            </w:rPr>
            <w:t>1</w:t>
          </w:r>
          <w:r>
            <w:rPr>
              <w:sz w:val="32"/>
              <w:szCs w:val="32"/>
            </w:rPr>
            <w:fldChar w:fldCharType="end"/>
          </w:r>
          <w:r>
            <w:rPr>
              <w:rFonts w:hint="default" w:ascii="宋体" w:hAnsi="宋体" w:eastAsia="宋体" w:cs="宋体"/>
              <w:color w:val="000000" w:themeColor="text1"/>
              <w:sz w:val="32"/>
              <w:szCs w:val="48"/>
              <w:highlight w:val="none"/>
              <w:lang w:val="en-US" w:eastAsia="zh-CN"/>
              <w14:textFill>
                <w14:solidFill>
                  <w14:schemeClr w14:val="tx1"/>
                </w14:solidFill>
              </w14:textFill>
            </w:rPr>
            <w:fldChar w:fldCharType="end"/>
          </w:r>
        </w:p>
        <w:p w14:paraId="00D8BA21">
          <w:pPr>
            <w:pStyle w:val="32"/>
            <w:tabs>
              <w:tab w:val="right" w:leader="dot" w:pos="8306"/>
            </w:tabs>
            <w:spacing w:line="480" w:lineRule="auto"/>
            <w:rPr>
              <w:rFonts w:hint="default"/>
              <w:sz w:val="32"/>
              <w:szCs w:val="32"/>
              <w:lang w:val="en-US"/>
            </w:rPr>
          </w:pPr>
          <w:r>
            <w:rPr>
              <w:rFonts w:hint="default" w:ascii="宋体" w:hAnsi="宋体" w:eastAsia="宋体" w:cs="宋体"/>
              <w:color w:val="000000" w:themeColor="text1"/>
              <w:sz w:val="32"/>
              <w:szCs w:val="48"/>
              <w:highlight w:val="none"/>
              <w:lang w:val="en-US" w:eastAsia="zh-CN"/>
              <w14:textFill>
                <w14:solidFill>
                  <w14:schemeClr w14:val="tx1"/>
                </w14:solidFill>
              </w14:textFill>
            </w:rPr>
            <w:fldChar w:fldCharType="begin"/>
          </w:r>
          <w:r>
            <w:rPr>
              <w:rFonts w:hint="default" w:ascii="宋体" w:hAnsi="宋体" w:eastAsia="宋体" w:cs="宋体"/>
              <w:sz w:val="32"/>
              <w:szCs w:val="48"/>
              <w:highlight w:val="none"/>
              <w:lang w:val="en-US" w:eastAsia="zh-CN"/>
            </w:rPr>
            <w:instrText xml:space="preserve"> HYPERLINK \l _Toc27388 </w:instrText>
          </w:r>
          <w:r>
            <w:rPr>
              <w:rFonts w:hint="default" w:ascii="宋体" w:hAnsi="宋体" w:eastAsia="宋体" w:cs="宋体"/>
              <w:sz w:val="32"/>
              <w:szCs w:val="48"/>
              <w:highlight w:val="none"/>
              <w:lang w:val="en-US" w:eastAsia="zh-CN"/>
            </w:rPr>
            <w:fldChar w:fldCharType="separate"/>
          </w:r>
          <w:r>
            <w:rPr>
              <w:rFonts w:hint="eastAsia" w:ascii="宋体" w:hAnsi="宋体" w:eastAsia="宋体" w:cs="宋体"/>
              <w:bCs/>
              <w:sz w:val="32"/>
              <w:szCs w:val="56"/>
              <w:highlight w:val="none"/>
            </w:rPr>
            <w:t>第二章  供应商须知</w:t>
          </w:r>
          <w:r>
            <w:rPr>
              <w:sz w:val="32"/>
              <w:szCs w:val="32"/>
            </w:rPr>
            <w:tab/>
          </w:r>
          <w:r>
            <w:rPr>
              <w:rFonts w:hint="default" w:ascii="宋体" w:hAnsi="宋体" w:eastAsia="宋体" w:cs="宋体"/>
              <w:color w:val="000000" w:themeColor="text1"/>
              <w:sz w:val="32"/>
              <w:szCs w:val="48"/>
              <w:highlight w:val="none"/>
              <w:lang w:val="en-US" w:eastAsia="zh-CN"/>
              <w14:textFill>
                <w14:solidFill>
                  <w14:schemeClr w14:val="tx1"/>
                </w14:solidFill>
              </w14:textFill>
            </w:rPr>
            <w:fldChar w:fldCharType="end"/>
          </w:r>
          <w:r>
            <w:rPr>
              <w:rFonts w:hint="eastAsia" w:ascii="宋体" w:hAnsi="宋体" w:cs="宋体"/>
              <w:color w:val="000000" w:themeColor="text1"/>
              <w:sz w:val="32"/>
              <w:szCs w:val="48"/>
              <w:highlight w:val="none"/>
              <w:lang w:val="en-US" w:eastAsia="zh-CN"/>
              <w14:textFill>
                <w14:solidFill>
                  <w14:schemeClr w14:val="tx1"/>
                </w14:solidFill>
              </w14:textFill>
            </w:rPr>
            <w:t>4</w:t>
          </w:r>
        </w:p>
        <w:p w14:paraId="39446FE8">
          <w:pPr>
            <w:pStyle w:val="32"/>
            <w:tabs>
              <w:tab w:val="right" w:leader="dot" w:pos="8306"/>
            </w:tabs>
            <w:spacing w:line="480" w:lineRule="auto"/>
            <w:rPr>
              <w:sz w:val="32"/>
              <w:szCs w:val="32"/>
            </w:rPr>
          </w:pPr>
          <w:r>
            <w:rPr>
              <w:rFonts w:hint="default" w:ascii="宋体" w:hAnsi="宋体" w:eastAsia="宋体" w:cs="宋体"/>
              <w:color w:val="000000" w:themeColor="text1"/>
              <w:sz w:val="32"/>
              <w:szCs w:val="48"/>
              <w:highlight w:val="none"/>
              <w:lang w:val="en-US" w:eastAsia="zh-CN"/>
              <w14:textFill>
                <w14:solidFill>
                  <w14:schemeClr w14:val="tx1"/>
                </w14:solidFill>
              </w14:textFill>
            </w:rPr>
            <w:fldChar w:fldCharType="begin"/>
          </w:r>
          <w:r>
            <w:rPr>
              <w:rFonts w:hint="default" w:ascii="宋体" w:hAnsi="宋体" w:eastAsia="宋体" w:cs="宋体"/>
              <w:sz w:val="32"/>
              <w:szCs w:val="48"/>
              <w:highlight w:val="none"/>
              <w:lang w:val="en-US" w:eastAsia="zh-CN"/>
            </w:rPr>
            <w:instrText xml:space="preserve"> HYPERLINK \l _Toc7146 </w:instrText>
          </w:r>
          <w:r>
            <w:rPr>
              <w:rFonts w:hint="default" w:ascii="宋体" w:hAnsi="宋体" w:eastAsia="宋体" w:cs="宋体"/>
              <w:sz w:val="32"/>
              <w:szCs w:val="48"/>
              <w:highlight w:val="none"/>
              <w:lang w:val="en-US" w:eastAsia="zh-CN"/>
            </w:rPr>
            <w:fldChar w:fldCharType="separate"/>
          </w:r>
          <w:r>
            <w:rPr>
              <w:rFonts w:hint="eastAsia" w:ascii="宋体" w:hAnsi="宋体" w:cs="宋体"/>
              <w:bCs/>
              <w:sz w:val="32"/>
              <w:szCs w:val="160"/>
              <w:highlight w:val="none"/>
              <w:lang w:val="en-US" w:eastAsia="zh-CN"/>
            </w:rPr>
            <w:t xml:space="preserve">第三章 </w:t>
          </w:r>
          <w:r>
            <w:rPr>
              <w:rFonts w:hint="eastAsia" w:ascii="宋体" w:hAnsi="宋体" w:eastAsia="宋体" w:cs="宋体"/>
              <w:bCs/>
              <w:sz w:val="32"/>
              <w:szCs w:val="160"/>
              <w:highlight w:val="none"/>
              <w:lang w:val="en-US" w:eastAsia="zh-CN"/>
            </w:rPr>
            <w:t>工程量清单</w:t>
          </w:r>
          <w:r>
            <w:rPr>
              <w:sz w:val="32"/>
              <w:szCs w:val="32"/>
            </w:rPr>
            <w:tab/>
          </w:r>
          <w:r>
            <w:rPr>
              <w:sz w:val="32"/>
              <w:szCs w:val="32"/>
            </w:rPr>
            <w:fldChar w:fldCharType="begin"/>
          </w:r>
          <w:r>
            <w:rPr>
              <w:sz w:val="32"/>
              <w:szCs w:val="32"/>
            </w:rPr>
            <w:instrText xml:space="preserve"> PAGEREF _Toc7146 \h </w:instrText>
          </w:r>
          <w:r>
            <w:rPr>
              <w:sz w:val="32"/>
              <w:szCs w:val="32"/>
            </w:rPr>
            <w:fldChar w:fldCharType="separate"/>
          </w:r>
          <w:r>
            <w:rPr>
              <w:sz w:val="32"/>
              <w:szCs w:val="32"/>
            </w:rPr>
            <w:t>33</w:t>
          </w:r>
          <w:r>
            <w:rPr>
              <w:sz w:val="32"/>
              <w:szCs w:val="32"/>
            </w:rPr>
            <w:fldChar w:fldCharType="end"/>
          </w:r>
          <w:r>
            <w:rPr>
              <w:rFonts w:hint="default" w:ascii="宋体" w:hAnsi="宋体" w:eastAsia="宋体" w:cs="宋体"/>
              <w:color w:val="000000" w:themeColor="text1"/>
              <w:sz w:val="32"/>
              <w:szCs w:val="48"/>
              <w:highlight w:val="none"/>
              <w:lang w:val="en-US" w:eastAsia="zh-CN"/>
              <w14:textFill>
                <w14:solidFill>
                  <w14:schemeClr w14:val="tx1"/>
                </w14:solidFill>
              </w14:textFill>
            </w:rPr>
            <w:fldChar w:fldCharType="end"/>
          </w:r>
        </w:p>
        <w:p w14:paraId="2BC22407">
          <w:pPr>
            <w:pStyle w:val="32"/>
            <w:tabs>
              <w:tab w:val="right" w:leader="dot" w:pos="8306"/>
            </w:tabs>
            <w:spacing w:line="480" w:lineRule="auto"/>
            <w:rPr>
              <w:rFonts w:hint="default"/>
              <w:sz w:val="32"/>
              <w:szCs w:val="32"/>
              <w:lang w:val="en-US"/>
            </w:rPr>
          </w:pPr>
          <w:r>
            <w:rPr>
              <w:rFonts w:hint="default" w:ascii="宋体" w:hAnsi="宋体" w:eastAsia="宋体" w:cs="宋体"/>
              <w:color w:val="000000" w:themeColor="text1"/>
              <w:sz w:val="32"/>
              <w:szCs w:val="48"/>
              <w:highlight w:val="none"/>
              <w:lang w:val="en-US" w:eastAsia="zh-CN"/>
              <w14:textFill>
                <w14:solidFill>
                  <w14:schemeClr w14:val="tx1"/>
                </w14:solidFill>
              </w14:textFill>
            </w:rPr>
            <w:fldChar w:fldCharType="begin"/>
          </w:r>
          <w:r>
            <w:rPr>
              <w:rFonts w:hint="default" w:ascii="宋体" w:hAnsi="宋体" w:eastAsia="宋体" w:cs="宋体"/>
              <w:sz w:val="32"/>
              <w:szCs w:val="48"/>
              <w:highlight w:val="none"/>
              <w:lang w:val="en-US" w:eastAsia="zh-CN"/>
            </w:rPr>
            <w:instrText xml:space="preserve"> HYPERLINK \l _Toc14028 </w:instrText>
          </w:r>
          <w:r>
            <w:rPr>
              <w:rFonts w:hint="default" w:ascii="宋体" w:hAnsi="宋体" w:eastAsia="宋体" w:cs="宋体"/>
              <w:sz w:val="32"/>
              <w:szCs w:val="48"/>
              <w:highlight w:val="none"/>
              <w:lang w:val="en-US" w:eastAsia="zh-CN"/>
            </w:rPr>
            <w:fldChar w:fldCharType="separate"/>
          </w:r>
          <w:r>
            <w:rPr>
              <w:rFonts w:hint="eastAsia" w:ascii="宋体" w:hAnsi="宋体" w:eastAsia="宋体" w:cs="宋体"/>
              <w:bCs/>
              <w:sz w:val="32"/>
              <w:szCs w:val="56"/>
              <w:highlight w:val="none"/>
            </w:rPr>
            <w:t>第</w:t>
          </w:r>
          <w:r>
            <w:rPr>
              <w:rFonts w:hint="eastAsia" w:ascii="宋体" w:hAnsi="宋体" w:eastAsia="宋体" w:cs="宋体"/>
              <w:bCs/>
              <w:sz w:val="32"/>
              <w:szCs w:val="56"/>
              <w:highlight w:val="none"/>
              <w:lang w:eastAsia="zh-CN"/>
            </w:rPr>
            <w:t>四</w:t>
          </w:r>
          <w:r>
            <w:rPr>
              <w:rFonts w:hint="eastAsia" w:ascii="宋体" w:hAnsi="宋体" w:eastAsia="宋体" w:cs="宋体"/>
              <w:bCs/>
              <w:sz w:val="32"/>
              <w:szCs w:val="56"/>
              <w:highlight w:val="none"/>
            </w:rPr>
            <w:t>章  评</w:t>
          </w:r>
          <w:r>
            <w:rPr>
              <w:rFonts w:hint="eastAsia" w:ascii="宋体" w:hAnsi="宋体" w:eastAsia="宋体" w:cs="宋体"/>
              <w:bCs/>
              <w:sz w:val="32"/>
              <w:szCs w:val="56"/>
              <w:highlight w:val="none"/>
              <w:lang w:eastAsia="zh-CN"/>
            </w:rPr>
            <w:t>审</w:t>
          </w:r>
          <w:r>
            <w:rPr>
              <w:rFonts w:hint="eastAsia" w:ascii="宋体" w:hAnsi="宋体" w:eastAsia="宋体" w:cs="宋体"/>
              <w:bCs/>
              <w:sz w:val="32"/>
              <w:szCs w:val="56"/>
              <w:highlight w:val="none"/>
            </w:rPr>
            <w:t>办法</w:t>
          </w:r>
          <w:r>
            <w:rPr>
              <w:sz w:val="32"/>
              <w:szCs w:val="32"/>
            </w:rPr>
            <w:tab/>
          </w:r>
          <w:r>
            <w:rPr>
              <w:rFonts w:hint="eastAsia"/>
              <w:sz w:val="32"/>
              <w:szCs w:val="32"/>
              <w:lang w:val="en-US" w:eastAsia="zh-CN"/>
            </w:rPr>
            <w:t>6</w:t>
          </w:r>
          <w:r>
            <w:rPr>
              <w:rFonts w:hint="default" w:ascii="宋体" w:hAnsi="宋体" w:eastAsia="宋体" w:cs="宋体"/>
              <w:color w:val="000000" w:themeColor="text1"/>
              <w:sz w:val="32"/>
              <w:szCs w:val="48"/>
              <w:highlight w:val="none"/>
              <w:lang w:val="en-US" w:eastAsia="zh-CN"/>
              <w14:textFill>
                <w14:solidFill>
                  <w14:schemeClr w14:val="tx1"/>
                </w14:solidFill>
              </w14:textFill>
            </w:rPr>
            <w:fldChar w:fldCharType="end"/>
          </w:r>
          <w:r>
            <w:rPr>
              <w:rFonts w:hint="eastAsia" w:ascii="宋体" w:hAnsi="宋体" w:cs="宋体"/>
              <w:color w:val="000000" w:themeColor="text1"/>
              <w:sz w:val="32"/>
              <w:szCs w:val="48"/>
              <w:highlight w:val="none"/>
              <w:lang w:val="en-US" w:eastAsia="zh-CN"/>
              <w14:textFill>
                <w14:solidFill>
                  <w14:schemeClr w14:val="tx1"/>
                </w14:solidFill>
              </w14:textFill>
            </w:rPr>
            <w:t>2</w:t>
          </w:r>
        </w:p>
        <w:p w14:paraId="4A62E6B4">
          <w:pPr>
            <w:pStyle w:val="32"/>
            <w:tabs>
              <w:tab w:val="right" w:leader="dot" w:pos="8306"/>
            </w:tabs>
            <w:spacing w:line="480" w:lineRule="auto"/>
            <w:rPr>
              <w:sz w:val="32"/>
              <w:szCs w:val="32"/>
            </w:rPr>
          </w:pPr>
          <w:r>
            <w:rPr>
              <w:rFonts w:hint="default" w:ascii="宋体" w:hAnsi="宋体" w:eastAsia="宋体" w:cs="宋体"/>
              <w:color w:val="000000" w:themeColor="text1"/>
              <w:sz w:val="32"/>
              <w:szCs w:val="48"/>
              <w:highlight w:val="none"/>
              <w:lang w:val="en-US" w:eastAsia="zh-CN"/>
              <w14:textFill>
                <w14:solidFill>
                  <w14:schemeClr w14:val="tx1"/>
                </w14:solidFill>
              </w14:textFill>
            </w:rPr>
            <w:fldChar w:fldCharType="begin"/>
          </w:r>
          <w:r>
            <w:rPr>
              <w:rFonts w:hint="default" w:ascii="宋体" w:hAnsi="宋体" w:eastAsia="宋体" w:cs="宋体"/>
              <w:sz w:val="32"/>
              <w:szCs w:val="48"/>
              <w:highlight w:val="none"/>
              <w:lang w:val="en-US" w:eastAsia="zh-CN"/>
            </w:rPr>
            <w:instrText xml:space="preserve"> HYPERLINK \l _Toc14261 </w:instrText>
          </w:r>
          <w:r>
            <w:rPr>
              <w:rFonts w:hint="default" w:ascii="宋体" w:hAnsi="宋体" w:eastAsia="宋体" w:cs="宋体"/>
              <w:sz w:val="32"/>
              <w:szCs w:val="48"/>
              <w:highlight w:val="none"/>
              <w:lang w:val="en-US" w:eastAsia="zh-CN"/>
            </w:rPr>
            <w:fldChar w:fldCharType="separate"/>
          </w:r>
          <w:r>
            <w:rPr>
              <w:rFonts w:hint="eastAsia" w:ascii="宋体" w:hAnsi="宋体" w:eastAsia="宋体" w:cs="宋体"/>
              <w:bCs/>
              <w:sz w:val="32"/>
              <w:szCs w:val="56"/>
            </w:rPr>
            <w:t xml:space="preserve">第五章 </w:t>
          </w:r>
          <w:r>
            <w:rPr>
              <w:rFonts w:hint="eastAsia" w:ascii="宋体" w:hAnsi="宋体" w:eastAsia="宋体" w:cs="宋体"/>
              <w:bCs/>
              <w:sz w:val="32"/>
              <w:szCs w:val="56"/>
              <w:highlight w:val="none"/>
            </w:rPr>
            <w:t>签订合同、合同主要条款</w:t>
          </w:r>
          <w:r>
            <w:rPr>
              <w:sz w:val="32"/>
              <w:szCs w:val="32"/>
            </w:rPr>
            <w:tab/>
          </w:r>
          <w:r>
            <w:rPr>
              <w:sz w:val="32"/>
              <w:szCs w:val="32"/>
            </w:rPr>
            <w:fldChar w:fldCharType="begin"/>
          </w:r>
          <w:r>
            <w:rPr>
              <w:sz w:val="32"/>
              <w:szCs w:val="32"/>
            </w:rPr>
            <w:instrText xml:space="preserve"> PAGEREF _Toc14261 \h </w:instrText>
          </w:r>
          <w:r>
            <w:rPr>
              <w:sz w:val="32"/>
              <w:szCs w:val="32"/>
            </w:rPr>
            <w:fldChar w:fldCharType="separate"/>
          </w:r>
          <w:r>
            <w:rPr>
              <w:sz w:val="32"/>
              <w:szCs w:val="32"/>
            </w:rPr>
            <w:t>44</w:t>
          </w:r>
          <w:r>
            <w:rPr>
              <w:sz w:val="32"/>
              <w:szCs w:val="32"/>
            </w:rPr>
            <w:fldChar w:fldCharType="end"/>
          </w:r>
          <w:r>
            <w:rPr>
              <w:rFonts w:hint="default" w:ascii="宋体" w:hAnsi="宋体" w:eastAsia="宋体" w:cs="宋体"/>
              <w:color w:val="000000" w:themeColor="text1"/>
              <w:sz w:val="32"/>
              <w:szCs w:val="48"/>
              <w:highlight w:val="none"/>
              <w:lang w:val="en-US" w:eastAsia="zh-CN"/>
              <w14:textFill>
                <w14:solidFill>
                  <w14:schemeClr w14:val="tx1"/>
                </w14:solidFill>
              </w14:textFill>
            </w:rPr>
            <w:fldChar w:fldCharType="end"/>
          </w:r>
        </w:p>
        <w:p w14:paraId="165D52B1">
          <w:pPr>
            <w:pStyle w:val="32"/>
            <w:tabs>
              <w:tab w:val="right" w:leader="dot" w:pos="8306"/>
            </w:tabs>
            <w:spacing w:line="480" w:lineRule="auto"/>
            <w:rPr>
              <w:rFonts w:hint="default"/>
              <w:sz w:val="32"/>
              <w:szCs w:val="32"/>
              <w:lang w:val="en-US"/>
            </w:rPr>
          </w:pPr>
          <w:r>
            <w:rPr>
              <w:rFonts w:hint="default" w:ascii="宋体" w:hAnsi="宋体" w:eastAsia="宋体" w:cs="宋体"/>
              <w:color w:val="000000" w:themeColor="text1"/>
              <w:sz w:val="32"/>
              <w:szCs w:val="48"/>
              <w:highlight w:val="none"/>
              <w:lang w:val="en-US" w:eastAsia="zh-CN"/>
              <w14:textFill>
                <w14:solidFill>
                  <w14:schemeClr w14:val="tx1"/>
                </w14:solidFill>
              </w14:textFill>
            </w:rPr>
            <w:fldChar w:fldCharType="begin"/>
          </w:r>
          <w:r>
            <w:rPr>
              <w:rFonts w:hint="default" w:ascii="宋体" w:hAnsi="宋体" w:eastAsia="宋体" w:cs="宋体"/>
              <w:sz w:val="32"/>
              <w:szCs w:val="48"/>
              <w:highlight w:val="none"/>
              <w:lang w:val="en-US" w:eastAsia="zh-CN"/>
            </w:rPr>
            <w:instrText xml:space="preserve"> HYPERLINK \l _Toc2402 </w:instrText>
          </w:r>
          <w:r>
            <w:rPr>
              <w:rFonts w:hint="default" w:ascii="宋体" w:hAnsi="宋体" w:eastAsia="宋体" w:cs="宋体"/>
              <w:sz w:val="32"/>
              <w:szCs w:val="48"/>
              <w:highlight w:val="none"/>
              <w:lang w:val="en-US" w:eastAsia="zh-CN"/>
            </w:rPr>
            <w:fldChar w:fldCharType="separate"/>
          </w:r>
          <w:r>
            <w:rPr>
              <w:rFonts w:hint="eastAsia" w:ascii="宋体" w:hAnsi="宋体" w:eastAsia="宋体" w:cs="宋体"/>
              <w:bCs/>
              <w:sz w:val="32"/>
              <w:szCs w:val="56"/>
              <w:highlight w:val="none"/>
            </w:rPr>
            <w:t>第</w:t>
          </w:r>
          <w:r>
            <w:rPr>
              <w:rFonts w:hint="eastAsia" w:ascii="宋体" w:hAnsi="宋体" w:eastAsia="宋体" w:cs="宋体"/>
              <w:bCs/>
              <w:sz w:val="32"/>
              <w:szCs w:val="56"/>
              <w:highlight w:val="none"/>
              <w:lang w:eastAsia="zh-CN"/>
            </w:rPr>
            <w:t>六</w:t>
          </w:r>
          <w:r>
            <w:rPr>
              <w:rFonts w:hint="eastAsia" w:ascii="宋体" w:hAnsi="宋体" w:eastAsia="宋体" w:cs="宋体"/>
              <w:bCs/>
              <w:sz w:val="32"/>
              <w:szCs w:val="56"/>
              <w:highlight w:val="none"/>
            </w:rPr>
            <w:t>章  响应文件格式</w:t>
          </w:r>
          <w:r>
            <w:rPr>
              <w:sz w:val="32"/>
              <w:szCs w:val="32"/>
            </w:rPr>
            <w:tab/>
          </w:r>
          <w:r>
            <w:rPr>
              <w:rFonts w:hint="eastAsia"/>
              <w:sz w:val="32"/>
              <w:szCs w:val="32"/>
              <w:lang w:val="en-US" w:eastAsia="zh-CN"/>
            </w:rPr>
            <w:t>8</w:t>
          </w:r>
          <w:r>
            <w:rPr>
              <w:rFonts w:hint="default" w:ascii="宋体" w:hAnsi="宋体" w:eastAsia="宋体" w:cs="宋体"/>
              <w:color w:val="000000" w:themeColor="text1"/>
              <w:sz w:val="32"/>
              <w:szCs w:val="48"/>
              <w:highlight w:val="none"/>
              <w:lang w:val="en-US" w:eastAsia="zh-CN"/>
              <w14:textFill>
                <w14:solidFill>
                  <w14:schemeClr w14:val="tx1"/>
                </w14:solidFill>
              </w14:textFill>
            </w:rPr>
            <w:fldChar w:fldCharType="end"/>
          </w:r>
          <w:r>
            <w:rPr>
              <w:rFonts w:hint="eastAsia" w:ascii="宋体" w:hAnsi="宋体" w:cs="宋体"/>
              <w:color w:val="000000" w:themeColor="text1"/>
              <w:sz w:val="32"/>
              <w:szCs w:val="48"/>
              <w:highlight w:val="none"/>
              <w:lang w:val="en-US" w:eastAsia="zh-CN"/>
              <w14:textFill>
                <w14:solidFill>
                  <w14:schemeClr w14:val="tx1"/>
                </w14:solidFill>
              </w14:textFill>
            </w:rPr>
            <w:t>2</w:t>
          </w:r>
        </w:p>
        <w:p w14:paraId="49216999">
          <w:pPr>
            <w:tabs>
              <w:tab w:val="right" w:leader="dot" w:pos="8320"/>
            </w:tabs>
            <w:spacing w:before="91" w:line="480" w:lineRule="auto"/>
            <w:ind w:left="25"/>
            <w:rPr>
              <w:rFonts w:hint="default" w:ascii="宋体" w:hAnsi="宋体" w:eastAsia="宋体" w:cs="宋体"/>
              <w:color w:val="000000" w:themeColor="text1"/>
              <w:sz w:val="28"/>
              <w:szCs w:val="28"/>
              <w:highlight w:val="none"/>
              <w:lang w:val="en-US" w:eastAsia="zh-CN"/>
              <w14:textFill>
                <w14:solidFill>
                  <w14:schemeClr w14:val="tx1"/>
                </w14:solidFill>
              </w14:textFill>
            </w:rPr>
            <w:sectPr>
              <w:pgSz w:w="11906" w:h="16839"/>
              <w:pgMar w:top="1440" w:right="1800" w:bottom="1440" w:left="1800" w:header="0" w:footer="0" w:gutter="0"/>
              <w:cols w:space="720" w:num="1"/>
            </w:sectPr>
          </w:pPr>
          <w:r>
            <w:rPr>
              <w:rFonts w:hint="default" w:ascii="宋体" w:hAnsi="宋体" w:eastAsia="宋体" w:cs="宋体"/>
              <w:color w:val="000000" w:themeColor="text1"/>
              <w:sz w:val="24"/>
              <w:szCs w:val="36"/>
              <w:highlight w:val="none"/>
              <w:lang w:val="en-US" w:eastAsia="zh-CN"/>
              <w14:textFill>
                <w14:solidFill>
                  <w14:schemeClr w14:val="tx1"/>
                </w14:solidFill>
              </w14:textFill>
            </w:rPr>
            <w:fldChar w:fldCharType="end"/>
          </w:r>
        </w:p>
      </w:sdtContent>
    </w:sdt>
    <w:p w14:paraId="7A9D721C">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outlineLvl w:val="0"/>
        <w:rPr>
          <w:rFonts w:hint="eastAsia" w:ascii="宋体" w:hAnsi="宋体" w:eastAsia="宋体" w:cs="宋体"/>
          <w:b/>
          <w:bCs/>
          <w:color w:val="000000" w:themeColor="text1"/>
          <w:kern w:val="2"/>
          <w:sz w:val="36"/>
          <w:szCs w:val="36"/>
          <w:highlight w:val="none"/>
          <w:lang w:val="en-US" w:eastAsia="zh-CN" w:bidi="ar-SA"/>
          <w14:textFill>
            <w14:solidFill>
              <w14:schemeClr w14:val="tx1"/>
            </w14:solidFill>
          </w14:textFill>
        </w:rPr>
        <w:sectPr>
          <w:headerReference r:id="rId3" w:type="default"/>
          <w:footerReference r:id="rId4" w:type="default"/>
          <w:pgSz w:w="11906" w:h="16838"/>
          <w:pgMar w:top="1440" w:right="1800" w:bottom="1440" w:left="1800" w:header="851" w:footer="992" w:gutter="0"/>
          <w:pgNumType w:fmt="decimal" w:start="1"/>
          <w:cols w:space="720" w:num="1"/>
          <w:docGrid w:type="lines" w:linePitch="312" w:charSpace="0"/>
        </w:sectPr>
      </w:pPr>
      <w:bookmarkStart w:id="13" w:name="_Toc21046"/>
    </w:p>
    <w:p w14:paraId="1A2959C6">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outlineLvl w:val="0"/>
        <w:rPr>
          <w:rFonts w:hint="eastAsia" w:ascii="宋体" w:hAnsi="宋体" w:eastAsia="宋体" w:cs="宋体"/>
          <w:b/>
          <w:bCs/>
          <w:color w:val="000000" w:themeColor="text1"/>
          <w:kern w:val="2"/>
          <w:sz w:val="36"/>
          <w:szCs w:val="36"/>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6"/>
          <w:szCs w:val="36"/>
          <w:lang w:val="en-US" w:eastAsia="zh-CN" w:bidi="ar-SA"/>
          <w14:textFill>
            <w14:solidFill>
              <w14:schemeClr w14:val="tx1"/>
            </w14:solidFill>
          </w14:textFill>
        </w:rPr>
        <w:t>第一章</w:t>
      </w:r>
      <w:r>
        <w:rPr>
          <w:rFonts w:hint="eastAsia" w:ascii="宋体" w:hAnsi="宋体" w:eastAsia="宋体" w:cs="宋体"/>
          <w:b/>
          <w:bCs/>
          <w:color w:val="000000" w:themeColor="text1"/>
          <w:kern w:val="2"/>
          <w:sz w:val="36"/>
          <w:szCs w:val="36"/>
          <w:highlight w:val="none"/>
          <w:lang w:val="en-US" w:eastAsia="zh-CN" w:bidi="ar-SA"/>
          <w14:textFill>
            <w14:solidFill>
              <w14:schemeClr w14:val="tx1"/>
            </w14:solidFill>
          </w14:textFill>
        </w:rPr>
        <w:t>竞争性谈判公告</w:t>
      </w:r>
      <w:bookmarkEnd w:id="13"/>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8381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9286" w:type="dxa"/>
            <w:noWrap w:val="0"/>
            <w:vAlign w:val="top"/>
          </w:tcPr>
          <w:p w14:paraId="74C43CEA">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项目概况：</w:t>
            </w:r>
          </w:p>
          <w:p w14:paraId="377EFA36">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firstLineChars="2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民丰县叶亦克乡生态环境整治中央财政以工代赈项目</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的潜在投标人应在政采云平台线上http://www.ccgp-xinjiang.gov.cn/获取招标文件，并于202</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年</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 xml:space="preserve">02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月</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27</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日上午</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11</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点</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0</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0分（北京时间）前提交投标文件。</w:t>
            </w:r>
          </w:p>
        </w:tc>
      </w:tr>
    </w:tbl>
    <w:p w14:paraId="43D5F5E6">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14:paraId="297252AC">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14" w:name="_Toc16884_WPSOffice_Level2"/>
      <w:bookmarkStart w:id="15" w:name="_Toc17164_WPSOffice_Level2"/>
      <w:bookmarkStart w:id="16" w:name="_Toc27403_WPSOffice_Level2"/>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一、项目基本情况</w:t>
      </w:r>
      <w:bookmarkEnd w:id="14"/>
      <w:bookmarkEnd w:id="15"/>
      <w:bookmarkEnd w:id="16"/>
    </w:p>
    <w:p w14:paraId="04B0C682">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项目编号：HTJR-MFX-2025-0</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号</w:t>
      </w:r>
    </w:p>
    <w:p w14:paraId="217CE79D">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项目名称：</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民丰县叶亦克乡生态环境整治中央财政以工代赈项目</w:t>
      </w:r>
    </w:p>
    <w:p w14:paraId="1822F89D">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采购方式：竞争性谈判</w:t>
      </w:r>
    </w:p>
    <w:p w14:paraId="79B1F684">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预算金额（元）：</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3233700.00</w:t>
      </w:r>
    </w:p>
    <w:p w14:paraId="6443153E">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default" w:ascii="宋体" w:hAnsi="宋体" w:cs="宋体"/>
          <w:color w:val="FF0000"/>
          <w:kern w:val="2"/>
          <w:sz w:val="24"/>
          <w:szCs w:val="24"/>
          <w:highlight w:val="none"/>
          <w:lang w:val="en-US" w:eastAsia="zh-CN" w:bidi="ar-SA"/>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最高限价（元）：</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3233700.00</w:t>
      </w:r>
    </w:p>
    <w:p w14:paraId="6909413F">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采购需求：</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人工平整土地约3.96亩，人工挖沟换填种植土约26400立方米，新建防渗渠1.78公里，及配套分水闸等渠系构筑物。</w:t>
      </w:r>
    </w:p>
    <w:p w14:paraId="7C06ECDE">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yellow"/>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合同履约期限：</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自合同签订之日起240</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天</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内完成（实际以约定合同为准）。</w:t>
      </w:r>
    </w:p>
    <w:p w14:paraId="2D99394F">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本项目（是/否）接受联合体投标：否</w:t>
      </w:r>
    </w:p>
    <w:p w14:paraId="77AF216E">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17" w:name="_Toc612_WPSOffice_Level2"/>
      <w:bookmarkStart w:id="18" w:name="_Toc19743_WPSOffice_Level2"/>
      <w:bookmarkStart w:id="19" w:name="_Toc4282_WPSOffice_Level2"/>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二、申请人的资格要求：</w:t>
      </w:r>
      <w:bookmarkEnd w:id="17"/>
      <w:bookmarkEnd w:id="18"/>
      <w:bookmarkEnd w:id="19"/>
    </w:p>
    <w:p w14:paraId="0B8D5E4D">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1.满足《中华人民共和国政府采购法》第二十二条规定；</w:t>
      </w:r>
    </w:p>
    <w:p w14:paraId="2EB2171F">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2.落实政府采购政策需满足的资格要求：本项目专门面向中小企业。</w:t>
      </w:r>
    </w:p>
    <w:p w14:paraId="5D6877C9">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3.本项目的资格要求：</w:t>
      </w:r>
    </w:p>
    <w:p w14:paraId="0D213C2E">
      <w:pPr>
        <w:keepNext w:val="0"/>
        <w:keepLines w:val="0"/>
        <w:widowControl/>
        <w:suppressLineNumbers w:val="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color w:val="000000"/>
          <w:kern w:val="0"/>
          <w:sz w:val="24"/>
          <w:szCs w:val="24"/>
          <w:lang w:val="en-US" w:eastAsia="zh-CN" w:bidi="ar"/>
        </w:rPr>
        <w:t>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4E8BC530">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（2）法定代表人的需提供法定代表人证明书（须附法人身份证复印件正反面）或委托代理人需提供法定代表人授权委托书（授权书需附法人身份证复印件及委托人身份证复印件正反面）；</w:t>
      </w:r>
    </w:p>
    <w:p w14:paraId="71B1F3B8">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有依法缴纳税收和社会保障资金的良好记录：提供近段时间内（连续三个月、新成立的公司按实际发生提供）的缴纳税收的完税证明或税务部门出具的纳税证明；如依法免税的，应提供相应文件证明；提供近段时间内（法人连续三个月、新成立的公司按实际发生提供）的缴纳社保证明材料加盖公章。如依法不需要缴纳社会保障资金的，应提供相应文件证明；</w:t>
      </w:r>
    </w:p>
    <w:p w14:paraId="0F59AC8A">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（4））具有良好的商业信誉和健全的财务会计制度：提供2023年由第三方审计机构出具的审计报告（2024年新成立的公司按实际发生的情况提供银行出具的资信证明）和健全的财务会计制度；</w:t>
      </w:r>
    </w:p>
    <w:p w14:paraId="48DCD13E">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（5）履行合同所必需的设备和专业技术能力：提供《投标人资格声明函》；</w:t>
      </w:r>
    </w:p>
    <w:p w14:paraId="2CE5AED2">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p>
    <w:p w14:paraId="7E7F6C5E">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7）近三年拟参加本次招标项目的投标人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经营异常名录的取消投标资格。</w:t>
      </w:r>
    </w:p>
    <w:p w14:paraId="253E2C60">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（8）企业负责人为同一人或者存在直接控股、管理关系的不同投标人，不得参加同一合同项下的政府采购活动。否则，皆取消投标资格；</w:t>
      </w:r>
    </w:p>
    <w:p w14:paraId="5E782B5A">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（9）投标人须具有类似工程施工业绩的水利水电工程施工总承包</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叁</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级及以上资质，以及相关证照齐备的独立法人企业。并在人员、设备、资金等方面具有承担本项目的施工能力，无不良业绩</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拟派出的项目经理应具有有效的水利水电工程专业贰级及以上注册建造师执业资格和安全生产考核合格证书（B类），水利水电相关专业中级及以上职称并具有担任项目经理的经历，不得同时在两个及以上在建工程中担任项目经理，或在另一在建项目中担任技术负责人（需提供无在建承诺书，格式自拟）。</w:t>
      </w:r>
    </w:p>
    <w:p w14:paraId="1CF559FE">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三、获取采购文件</w:t>
      </w:r>
    </w:p>
    <w:p w14:paraId="39540863">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时间：202</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年</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02</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月</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20</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日至202</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年</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02</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月</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26</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日，每天上午00:00至12:00，下午12:00至23:59（北京时间，法定节假日除外）</w:t>
      </w:r>
    </w:p>
    <w:p w14:paraId="5CB262A8">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地点：政采云平台线上获取  </w:t>
      </w:r>
    </w:p>
    <w:p w14:paraId="7F23C859">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方式：供应商登录政采云平台https://www.zcygov.cn/在线申请获取采购文件（进入“项目采购”应用，在获取采购文件菜单中选择项目，申请获取采购文件）  </w:t>
      </w:r>
    </w:p>
    <w:p w14:paraId="1A287A8B">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售价（元）：0 </w:t>
      </w:r>
    </w:p>
    <w:p w14:paraId="18392B86">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四、响应文件提交</w:t>
      </w:r>
    </w:p>
    <w:p w14:paraId="584C3E5E">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截止时间：202</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年</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02</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月</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27</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日 1</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0</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0（北京时间）</w:t>
      </w:r>
    </w:p>
    <w:p w14:paraId="7FF493D8">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地点：请登录政采云投标客户端投标 </w:t>
      </w:r>
    </w:p>
    <w:p w14:paraId="0C2D32A2">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五、响应文件开启</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w:t>
      </w:r>
    </w:p>
    <w:p w14:paraId="502BC981">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开启时间：202</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年</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02</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月</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27日</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 1</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0</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0（北京时间）</w:t>
      </w:r>
    </w:p>
    <w:p w14:paraId="76BF141C">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地点：政采云不见面开评标系统 </w:t>
      </w:r>
    </w:p>
    <w:p w14:paraId="540FD99F">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六、公告期限</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w:t>
      </w:r>
    </w:p>
    <w:p w14:paraId="43CE7515">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自本公告发布之日起3个工作日。</w:t>
      </w:r>
    </w:p>
    <w:p w14:paraId="04C2EDF4">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七、其他补充事宜 </w:t>
      </w:r>
    </w:p>
    <w:p w14:paraId="1C4D20C5">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1、本公告在新疆政府采购网上发布。</w:t>
      </w:r>
    </w:p>
    <w:p w14:paraId="45DB912C">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240" w:firstLineChars="1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2、请各供应商随时关注本项目的变更、答疑、澄清文件。</w:t>
      </w:r>
    </w:p>
    <w:p w14:paraId="65BD84E8">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240" w:firstLineChars="1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3、本项目实行电子招投标，供应商须登录政采云平台申请获取谈判文件，并通过政采云电子投标客户端制作响应文件，同时自行承担与投标有关的一切费用。　</w:t>
      </w:r>
    </w:p>
    <w:p w14:paraId="2D9CC4B5">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240" w:firstLineChars="1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4、各供应商应在开标前确保成为新疆维吾尔自治区政府采购网正式注册入库供应商，并完成CA数字证书申领。因未注册入库、未办理CA数字证书等原因造成无法投标或投标失败等后果由供应商自行承担。　</w:t>
      </w:r>
    </w:p>
    <w:p w14:paraId="2F750025">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240" w:firstLineChars="1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供应商可前往新疆政府采购网上（http://www.ccgp-xinjiang.gov.cn/）下载专区，下载政采云电子投标客户端，安装完成后，可通过账号密码或CA登录客户端进行响应文件制作。在使用政采云电子投标客户端时，建议使用WIN7及以上操作系统。如有问题可拨打政采云客户服务热线进行咨询。</w:t>
      </w:r>
    </w:p>
    <w:p w14:paraId="25625EC1">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240" w:firstLineChars="1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6、本项目采用不见面开标，供应商须在投标截止时间前通过CA在政采云平台上传加密的电子响应文件。</w:t>
      </w:r>
    </w:p>
    <w:p w14:paraId="14391AFE">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240" w:firstLineChars="1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7、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p>
    <w:p w14:paraId="092878D8">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特别提示：</w:t>
      </w:r>
    </w:p>
    <w:p w14:paraId="37E04456">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rFonts w:hint="eastAsia" w:ascii="宋体" w:hAnsi="宋体" w:eastAsia="宋体" w:cs="宋体"/>
          <w:b/>
          <w:bCs/>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2"/>
          <w:szCs w:val="22"/>
          <w:highlight w:val="none"/>
          <w:lang w:val="en-US" w:eastAsia="zh-CN" w:bidi="ar-SA"/>
          <w14:textFill>
            <w14:solidFill>
              <w14:schemeClr w14:val="tx1"/>
            </w14:solidFill>
          </w14:textFill>
        </w:rPr>
        <w:t>1、采购限额标准以上，200万元以下的货物和服务采购项目、400万元以下的工程采购项目，适宜由中小企业提供的，采购人应当专门面向中小企业采购。</w:t>
      </w:r>
    </w:p>
    <w:p w14:paraId="7149A96B">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rFonts w:hint="eastAsia" w:ascii="宋体" w:hAnsi="宋体" w:eastAsia="宋体" w:cs="宋体"/>
          <w:b/>
          <w:bCs/>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2"/>
          <w:szCs w:val="22"/>
          <w:highlight w:val="none"/>
          <w:lang w:val="en-US" w:eastAsia="zh-CN" w:bidi="ar-SA"/>
          <w14:textFill>
            <w14:solidFill>
              <w14:schemeClr w14:val="tx1"/>
            </w14:solidFill>
          </w14:textFill>
        </w:rPr>
        <w:t>2、超过200万元的货物和服务采购项目，预留该部分采购项目预算总额的40%以上专门面向中小企业采购，其中预留给小微企业的比例不低于60%。</w:t>
      </w:r>
    </w:p>
    <w:p w14:paraId="2F178A68">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rFonts w:hint="eastAsia" w:ascii="宋体" w:hAnsi="宋体" w:eastAsia="宋体" w:cs="宋体"/>
          <w:b/>
          <w:bCs/>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2"/>
          <w:szCs w:val="22"/>
          <w:highlight w:val="none"/>
          <w:lang w:val="en-US" w:eastAsia="zh-CN" w:bidi="ar-SA"/>
          <w14:textFill>
            <w14:solidFill>
              <w14:schemeClr w14:val="tx1"/>
            </w14:solidFill>
          </w14:textFill>
        </w:rPr>
        <w:t>3、超过400万元的工程采购项目中适宜由中小企业提供的，预留该部分采购项目预算总额的40%以上专门面向中小企业采购，其中预留给小微企业的比例不低于60%。</w:t>
      </w:r>
    </w:p>
    <w:p w14:paraId="4452AAC7">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rFonts w:hint="eastAsia" w:ascii="宋体" w:hAnsi="宋体" w:eastAsia="宋体" w:cs="宋体"/>
          <w:b/>
          <w:bCs/>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2"/>
          <w:szCs w:val="22"/>
          <w:highlight w:val="none"/>
          <w:lang w:val="en-US" w:eastAsia="zh-CN" w:bidi="ar-SA"/>
          <w14:textFill>
            <w14:solidFill>
              <w14:schemeClr w14:val="tx1"/>
            </w14:solidFill>
          </w14:textFill>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C318657">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rFonts w:hint="eastAsia" w:ascii="宋体" w:hAnsi="宋体" w:eastAsia="宋体" w:cs="宋体"/>
          <w:b/>
          <w:bCs/>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2"/>
          <w:szCs w:val="22"/>
          <w:highlight w:val="none"/>
          <w:lang w:val="en-US" w:eastAsia="zh-CN" w:bidi="ar-SA"/>
          <w14:textFill>
            <w14:solidFill>
              <w14:schemeClr w14:val="tx1"/>
            </w14:solidFill>
          </w14:textFill>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25EAA8DD">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480" w:lineRule="atLeast"/>
        <w:ind w:left="0" w:right="0"/>
        <w:jc w:val="both"/>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八、凡对本次招标提出询问，请按以下方式联系</w:t>
      </w:r>
    </w:p>
    <w:p w14:paraId="4878B1DC">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1.采购人信息</w:t>
      </w:r>
    </w:p>
    <w:p w14:paraId="10F43796">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名 称：</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民丰县叶亦克乡人民政府</w:t>
      </w:r>
    </w:p>
    <w:p w14:paraId="2C33400D">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地 址：</w:t>
      </w:r>
      <w:r>
        <w:rPr>
          <w:rFonts w:hint="eastAsia" w:ascii="宋体" w:hAnsi="宋体" w:cs="宋体"/>
          <w:color w:val="000000" w:themeColor="text1"/>
          <w:sz w:val="24"/>
          <w:szCs w:val="24"/>
          <w:highlight w:val="none"/>
          <w:lang w:val="en-US" w:eastAsia="zh-CN"/>
          <w14:textFill>
            <w14:solidFill>
              <w14:schemeClr w14:val="tx1"/>
            </w14:solidFill>
          </w14:textFill>
        </w:rPr>
        <w:t>民丰县叶亦克乡阿克塔什村富民路5号</w:t>
      </w:r>
    </w:p>
    <w:p w14:paraId="7248F1E9">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联系方式：</w:t>
      </w:r>
      <w:r>
        <w:rPr>
          <w:rFonts w:hint="eastAsia" w:ascii="宋体" w:hAnsi="宋体" w:cs="宋体"/>
          <w:color w:val="000000" w:themeColor="text1"/>
          <w:sz w:val="24"/>
          <w:szCs w:val="24"/>
          <w:highlight w:val="none"/>
          <w:lang w:val="en-US" w:eastAsia="zh-CN"/>
          <w14:textFill>
            <w14:solidFill>
              <w14:schemeClr w14:val="tx1"/>
            </w14:solidFill>
          </w14:textFill>
        </w:rPr>
        <w:t>0903-2968331</w:t>
      </w:r>
    </w:p>
    <w:p w14:paraId="08CC5BCC">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2.采购代理机构信息</w:t>
      </w:r>
    </w:p>
    <w:p w14:paraId="2132AA4E">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名 称：</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和田锦荣工程项目管理有限公司</w:t>
      </w:r>
    </w:p>
    <w:p w14:paraId="186FA5BC">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地 址：新疆和田地区和田市古勒巴格街道凯旋路57号川亿凯旋公馆B区19栋</w:t>
      </w:r>
    </w:p>
    <w:p w14:paraId="602B8A53">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联系方式：</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09023-2515565</w:t>
      </w:r>
    </w:p>
    <w:p w14:paraId="21CB729D">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3.项目联系方式</w:t>
      </w:r>
    </w:p>
    <w:p w14:paraId="3EB6E8EA">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项目联系人：</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朱莎</w:t>
      </w:r>
    </w:p>
    <w:p w14:paraId="6D4999FD">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电 话：</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0903-2515565</w:t>
      </w:r>
    </w:p>
    <w:p w14:paraId="65C2355C">
      <w:pPr>
        <w:pStyle w:val="2"/>
        <w:spacing w:before="0" w:after="0" w:line="240" w:lineRule="auto"/>
        <w:jc w:val="both"/>
        <w:outlineLvl w:val="9"/>
        <w:rPr>
          <w:rFonts w:hint="eastAsia" w:ascii="宋体" w:hAnsi="宋体" w:eastAsia="宋体" w:cs="宋体"/>
          <w:color w:val="000000" w:themeColor="text1"/>
          <w:highlight w:val="none"/>
          <w:lang w:eastAsia="zh-CN"/>
          <w14:textFill>
            <w14:solidFill>
              <w14:schemeClr w14:val="tx1"/>
            </w14:solidFill>
          </w14:textFill>
        </w:rPr>
      </w:pPr>
    </w:p>
    <w:p w14:paraId="00D6DCE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highlight w:val="none"/>
          <w14:textFill>
            <w14:solidFill>
              <w14:schemeClr w14:val="tx1"/>
            </w14:solidFill>
          </w14:textFill>
        </w:rPr>
      </w:pPr>
    </w:p>
    <w:p w14:paraId="650517E6">
      <w:pPr>
        <w:spacing w:after="156" w:afterLines="50" w:line="360" w:lineRule="auto"/>
        <w:jc w:val="center"/>
        <w:outlineLvl w:val="0"/>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br w:type="page"/>
      </w:r>
      <w:bookmarkStart w:id="20" w:name="_Toc23817"/>
      <w:bookmarkStart w:id="21" w:name="_Toc27388"/>
      <w:bookmarkStart w:id="22" w:name="_Toc19008"/>
      <w:bookmarkStart w:id="23" w:name="_Toc15962"/>
      <w:bookmarkStart w:id="24" w:name="_Toc22941"/>
      <w:bookmarkStart w:id="25" w:name="_Toc32236"/>
      <w:bookmarkStart w:id="26" w:name="_Toc90"/>
      <w:bookmarkStart w:id="27" w:name="_Toc8236"/>
      <w:r>
        <w:rPr>
          <w:rFonts w:hint="eastAsia" w:ascii="宋体" w:hAnsi="宋体" w:eastAsia="宋体" w:cs="宋体"/>
          <w:b/>
          <w:bCs/>
          <w:color w:val="000000" w:themeColor="text1"/>
          <w:sz w:val="36"/>
          <w:szCs w:val="36"/>
          <w:highlight w:val="none"/>
          <w14:textFill>
            <w14:solidFill>
              <w14:schemeClr w14:val="tx1"/>
            </w14:solidFill>
          </w14:textFill>
        </w:rPr>
        <w:t>第二章  供应商须知</w:t>
      </w:r>
      <w:bookmarkEnd w:id="8"/>
      <w:bookmarkEnd w:id="20"/>
      <w:bookmarkEnd w:id="21"/>
      <w:bookmarkEnd w:id="22"/>
      <w:bookmarkEnd w:id="23"/>
      <w:bookmarkEnd w:id="24"/>
      <w:bookmarkEnd w:id="25"/>
      <w:bookmarkEnd w:id="26"/>
      <w:bookmarkEnd w:id="27"/>
    </w:p>
    <w:tbl>
      <w:tblPr>
        <w:tblStyle w:val="17"/>
        <w:tblW w:w="9612" w:type="dxa"/>
        <w:tblInd w:w="-453" w:type="dxa"/>
        <w:tblLayout w:type="fixed"/>
        <w:tblCellMar>
          <w:top w:w="0" w:type="dxa"/>
          <w:left w:w="108" w:type="dxa"/>
          <w:bottom w:w="0" w:type="dxa"/>
          <w:right w:w="108" w:type="dxa"/>
        </w:tblCellMar>
      </w:tblPr>
      <w:tblGrid>
        <w:gridCol w:w="967"/>
        <w:gridCol w:w="1327"/>
        <w:gridCol w:w="7318"/>
      </w:tblGrid>
      <w:tr w14:paraId="5E58581A">
        <w:tblPrEx>
          <w:tblCellMar>
            <w:top w:w="0" w:type="dxa"/>
            <w:left w:w="108" w:type="dxa"/>
            <w:bottom w:w="0" w:type="dxa"/>
            <w:right w:w="108" w:type="dxa"/>
          </w:tblCellMar>
        </w:tblPrEx>
        <w:trPr>
          <w:trHeight w:val="0" w:hRule="atLeast"/>
        </w:trPr>
        <w:tc>
          <w:tcPr>
            <w:tcW w:w="967" w:type="dxa"/>
            <w:tcBorders>
              <w:top w:val="single" w:color="auto" w:sz="4" w:space="0"/>
              <w:left w:val="single" w:color="auto" w:sz="4" w:space="0"/>
              <w:bottom w:val="single" w:color="auto" w:sz="4" w:space="0"/>
              <w:right w:val="single" w:color="auto" w:sz="4" w:space="0"/>
            </w:tcBorders>
            <w:noWrap w:val="0"/>
            <w:vAlign w:val="center"/>
          </w:tcPr>
          <w:p w14:paraId="7B46251C">
            <w:pPr>
              <w:keepNext w:val="0"/>
              <w:keepLines w:val="0"/>
              <w:pageBreakBefore w:val="0"/>
              <w:widowControl w:val="0"/>
              <w:tabs>
                <w:tab w:val="left" w:pos="7665"/>
              </w:tabs>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序号</w:t>
            </w:r>
          </w:p>
        </w:tc>
        <w:tc>
          <w:tcPr>
            <w:tcW w:w="1327" w:type="dxa"/>
            <w:tcBorders>
              <w:top w:val="single" w:color="auto" w:sz="4" w:space="0"/>
              <w:left w:val="single" w:color="auto" w:sz="4" w:space="0"/>
              <w:bottom w:val="single" w:color="auto" w:sz="4" w:space="0"/>
              <w:right w:val="single" w:color="auto" w:sz="4" w:space="0"/>
            </w:tcBorders>
            <w:noWrap w:val="0"/>
            <w:vAlign w:val="center"/>
          </w:tcPr>
          <w:p w14:paraId="1C5BACE6">
            <w:pPr>
              <w:keepNext w:val="0"/>
              <w:keepLines w:val="0"/>
              <w:pageBreakBefore w:val="0"/>
              <w:widowControl w:val="0"/>
              <w:tabs>
                <w:tab w:val="left" w:pos="7665"/>
              </w:tabs>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条款名称</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9C6255B">
            <w:pPr>
              <w:keepNext w:val="0"/>
              <w:keepLines w:val="0"/>
              <w:pageBreakBefore w:val="0"/>
              <w:widowControl w:val="0"/>
              <w:tabs>
                <w:tab w:val="left" w:pos="7665"/>
              </w:tabs>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编列内容</w:t>
            </w:r>
          </w:p>
        </w:tc>
      </w:tr>
      <w:tr w14:paraId="47218A55">
        <w:tblPrEx>
          <w:tblCellMar>
            <w:top w:w="0" w:type="dxa"/>
            <w:left w:w="108" w:type="dxa"/>
            <w:bottom w:w="0" w:type="dxa"/>
            <w:right w:w="108" w:type="dxa"/>
          </w:tblCellMar>
        </w:tblPrEx>
        <w:trPr>
          <w:trHeight w:val="0" w:hRule="atLeast"/>
        </w:trPr>
        <w:tc>
          <w:tcPr>
            <w:tcW w:w="967" w:type="dxa"/>
            <w:tcBorders>
              <w:top w:val="single" w:color="auto" w:sz="4" w:space="0"/>
              <w:left w:val="single" w:color="auto" w:sz="4" w:space="0"/>
              <w:bottom w:val="single" w:color="auto" w:sz="4" w:space="0"/>
              <w:right w:val="single" w:color="auto" w:sz="4" w:space="0"/>
            </w:tcBorders>
            <w:noWrap w:val="0"/>
            <w:vAlign w:val="center"/>
          </w:tcPr>
          <w:p w14:paraId="2FF90445">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w:t>
            </w:r>
          </w:p>
        </w:tc>
        <w:tc>
          <w:tcPr>
            <w:tcW w:w="1327" w:type="dxa"/>
            <w:tcBorders>
              <w:top w:val="single" w:color="auto" w:sz="4" w:space="0"/>
              <w:left w:val="single" w:color="auto" w:sz="4" w:space="0"/>
              <w:bottom w:val="single" w:color="auto" w:sz="4" w:space="0"/>
              <w:right w:val="single" w:color="auto" w:sz="4" w:space="0"/>
            </w:tcBorders>
            <w:noWrap w:val="0"/>
            <w:vAlign w:val="center"/>
          </w:tcPr>
          <w:p w14:paraId="4CB857DE">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采购人</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3B196282">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名称：</w:t>
            </w:r>
            <w:r>
              <w:rPr>
                <w:rFonts w:hint="eastAsia" w:ascii="宋体" w:hAnsi="宋体" w:cs="宋体"/>
                <w:color w:val="000000" w:themeColor="text1"/>
                <w:sz w:val="24"/>
                <w:szCs w:val="24"/>
                <w:highlight w:val="none"/>
                <w:lang w:val="zh-CN" w:eastAsia="zh-CN"/>
                <w14:textFill>
                  <w14:solidFill>
                    <w14:schemeClr w14:val="tx1"/>
                  </w14:solidFill>
                </w14:textFill>
              </w:rPr>
              <w:t>民丰县叶亦克乡人民政府</w:t>
            </w:r>
          </w:p>
          <w:p w14:paraId="377174CF">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地址：</w:t>
            </w:r>
            <w:r>
              <w:rPr>
                <w:rFonts w:hint="eastAsia" w:ascii="宋体" w:hAnsi="宋体" w:cs="宋体"/>
                <w:color w:val="000000" w:themeColor="text1"/>
                <w:sz w:val="24"/>
                <w:szCs w:val="24"/>
                <w:highlight w:val="none"/>
                <w:lang w:val="en-US" w:eastAsia="zh-CN"/>
                <w14:textFill>
                  <w14:solidFill>
                    <w14:schemeClr w14:val="tx1"/>
                  </w14:solidFill>
                </w14:textFill>
              </w:rPr>
              <w:t>民丰县叶亦克乡阿克塔什村富民路5号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09151DC0">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电  话：</w:t>
            </w:r>
            <w:r>
              <w:rPr>
                <w:rFonts w:hint="eastAsia" w:ascii="宋体" w:hAnsi="宋体" w:cs="宋体"/>
                <w:color w:val="000000" w:themeColor="text1"/>
                <w:sz w:val="24"/>
                <w:szCs w:val="24"/>
                <w:highlight w:val="none"/>
                <w:lang w:val="en-US" w:eastAsia="zh-CN"/>
                <w14:textFill>
                  <w14:solidFill>
                    <w14:schemeClr w14:val="tx1"/>
                  </w14:solidFill>
                </w14:textFill>
              </w:rPr>
              <w:t>0903-2968331</w:t>
            </w:r>
            <w:r>
              <w:rPr>
                <w:rFonts w:hint="eastAsia" w:ascii="宋体" w:hAnsi="宋体" w:eastAsia="宋体" w:cs="宋体"/>
                <w:color w:val="000000" w:themeColor="text1"/>
                <w:sz w:val="24"/>
                <w:szCs w:val="24"/>
                <w:highlight w:val="none"/>
                <w:lang w:val="en-US" w:eastAsia="zh-CN"/>
                <w14:textFill>
                  <w14:solidFill>
                    <w14:schemeClr w14:val="tx1"/>
                  </w14:solidFill>
                </w14:textFill>
              </w:rPr>
              <w:t> </w:t>
            </w:r>
            <w:r>
              <w:rPr>
                <w:rFonts w:hint="eastAsia" w:ascii="宋体" w:hAnsi="宋体" w:eastAsia="宋体" w:cs="宋体"/>
                <w:color w:val="000000" w:themeColor="text1"/>
                <w:sz w:val="24"/>
                <w:szCs w:val="24"/>
                <w:highlight w:val="none"/>
                <w:lang w:val="en-US"/>
                <w14:textFill>
                  <w14:solidFill>
                    <w14:schemeClr w14:val="tx1"/>
                  </w14:solidFill>
                </w14:textFill>
              </w:rPr>
              <w:t> </w:t>
            </w:r>
          </w:p>
          <w:p w14:paraId="45CC02FB">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联系人：</w:t>
            </w:r>
            <w:r>
              <w:rPr>
                <w:rFonts w:hint="eastAsia" w:ascii="宋体" w:hAnsi="宋体" w:cs="宋体"/>
                <w:color w:val="000000" w:themeColor="text1"/>
                <w:sz w:val="24"/>
                <w:szCs w:val="24"/>
                <w:highlight w:val="none"/>
                <w:lang w:val="en-US" w:eastAsia="zh-CN"/>
                <w14:textFill>
                  <w14:solidFill>
                    <w14:schemeClr w14:val="tx1"/>
                  </w14:solidFill>
                </w14:textFill>
              </w:rPr>
              <w:t>尹勇</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tc>
      </w:tr>
      <w:tr w14:paraId="5009CA01">
        <w:tblPrEx>
          <w:tblCellMar>
            <w:top w:w="0" w:type="dxa"/>
            <w:left w:w="108" w:type="dxa"/>
            <w:bottom w:w="0" w:type="dxa"/>
            <w:right w:w="108" w:type="dxa"/>
          </w:tblCellMar>
        </w:tblPrEx>
        <w:trPr>
          <w:trHeight w:val="0" w:hRule="atLeast"/>
        </w:trPr>
        <w:tc>
          <w:tcPr>
            <w:tcW w:w="967" w:type="dxa"/>
            <w:tcBorders>
              <w:top w:val="single" w:color="auto" w:sz="4" w:space="0"/>
              <w:left w:val="single" w:color="auto" w:sz="4" w:space="0"/>
              <w:bottom w:val="single" w:color="auto" w:sz="4" w:space="0"/>
              <w:right w:val="single" w:color="auto" w:sz="4" w:space="0"/>
            </w:tcBorders>
            <w:noWrap w:val="0"/>
            <w:vAlign w:val="center"/>
          </w:tcPr>
          <w:p w14:paraId="018586CA">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w:t>
            </w:r>
          </w:p>
        </w:tc>
        <w:tc>
          <w:tcPr>
            <w:tcW w:w="1327" w:type="dxa"/>
            <w:tcBorders>
              <w:top w:val="single" w:color="auto" w:sz="4" w:space="0"/>
              <w:left w:val="single" w:color="auto" w:sz="4" w:space="0"/>
              <w:bottom w:val="single" w:color="auto" w:sz="4" w:space="0"/>
              <w:right w:val="single" w:color="auto" w:sz="4" w:space="0"/>
            </w:tcBorders>
            <w:noWrap w:val="0"/>
            <w:vAlign w:val="center"/>
          </w:tcPr>
          <w:p w14:paraId="6294C414">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采购代理机构</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25B4CDE2">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名  称：</w:t>
            </w:r>
            <w:r>
              <w:rPr>
                <w:rFonts w:hint="eastAsia" w:ascii="宋体" w:hAnsi="宋体" w:cs="宋体"/>
                <w:color w:val="000000" w:themeColor="text1"/>
                <w:sz w:val="24"/>
                <w:szCs w:val="24"/>
                <w:highlight w:val="none"/>
                <w:lang w:val="en-US" w:eastAsia="zh-CN"/>
                <w14:textFill>
                  <w14:solidFill>
                    <w14:schemeClr w14:val="tx1"/>
                  </w14:solidFill>
                </w14:textFill>
              </w:rPr>
              <w:t>和田锦荣工程项目管理有限公司</w:t>
            </w:r>
          </w:p>
          <w:p w14:paraId="6FDF9429">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地  址：</w:t>
            </w:r>
            <w:r>
              <w:rPr>
                <w:rFonts w:hint="eastAsia" w:ascii="宋体" w:hAnsi="宋体" w:cs="宋体"/>
                <w:color w:val="000000" w:themeColor="text1"/>
                <w:sz w:val="24"/>
                <w:szCs w:val="24"/>
                <w:highlight w:val="none"/>
                <w:lang w:val="en-US" w:eastAsia="zh-CN"/>
                <w14:textFill>
                  <w14:solidFill>
                    <w14:schemeClr w14:val="tx1"/>
                  </w14:solidFill>
                </w14:textFill>
              </w:rPr>
              <w:t>新疆和田地区和田市古勒巴格街道凯旋路57号川亿凯旋公馆B区19栋</w:t>
            </w:r>
          </w:p>
          <w:p w14:paraId="1C55D4A1">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电  话：</w:t>
            </w:r>
            <w:r>
              <w:rPr>
                <w:rFonts w:hint="eastAsia" w:ascii="宋体" w:hAnsi="宋体" w:cs="宋体"/>
                <w:color w:val="000000" w:themeColor="text1"/>
                <w:sz w:val="24"/>
                <w:szCs w:val="24"/>
                <w:highlight w:val="none"/>
                <w:lang w:val="en-US" w:eastAsia="zh-CN"/>
                <w14:textFill>
                  <w14:solidFill>
                    <w14:schemeClr w14:val="tx1"/>
                  </w14:solidFill>
                </w14:textFill>
              </w:rPr>
              <w:t>0999-2515565、15292976556</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14:textFill>
                  <w14:solidFill>
                    <w14:schemeClr w14:val="tx1"/>
                  </w14:solidFill>
                </w14:textFill>
              </w:rPr>
              <w:t xml:space="preserve"> </w:t>
            </w:r>
          </w:p>
          <w:p w14:paraId="46EBF24B">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联系人：</w:t>
            </w:r>
            <w:r>
              <w:rPr>
                <w:rFonts w:hint="eastAsia" w:ascii="宋体" w:hAnsi="宋体" w:cs="宋体"/>
                <w:color w:val="000000" w:themeColor="text1"/>
                <w:sz w:val="24"/>
                <w:szCs w:val="24"/>
                <w:highlight w:val="none"/>
                <w:lang w:val="en-US" w:eastAsia="zh-CN"/>
                <w14:textFill>
                  <w14:solidFill>
                    <w14:schemeClr w14:val="tx1"/>
                  </w14:solidFill>
                </w14:textFill>
              </w:rPr>
              <w:t>朱莎</w:t>
            </w:r>
          </w:p>
        </w:tc>
      </w:tr>
      <w:tr w14:paraId="38EC1718">
        <w:tblPrEx>
          <w:tblCellMar>
            <w:top w:w="0" w:type="dxa"/>
            <w:left w:w="108" w:type="dxa"/>
            <w:bottom w:w="0" w:type="dxa"/>
            <w:right w:w="108" w:type="dxa"/>
          </w:tblCellMar>
        </w:tblPrEx>
        <w:trPr>
          <w:trHeight w:val="0" w:hRule="atLeast"/>
        </w:trPr>
        <w:tc>
          <w:tcPr>
            <w:tcW w:w="967" w:type="dxa"/>
            <w:tcBorders>
              <w:top w:val="single" w:color="auto" w:sz="4" w:space="0"/>
              <w:left w:val="single" w:color="auto" w:sz="4" w:space="0"/>
              <w:bottom w:val="single" w:color="auto" w:sz="4" w:space="0"/>
              <w:right w:val="single" w:color="auto" w:sz="4" w:space="0"/>
            </w:tcBorders>
            <w:noWrap w:val="0"/>
            <w:vAlign w:val="center"/>
          </w:tcPr>
          <w:p w14:paraId="5E0A0624">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w:t>
            </w:r>
          </w:p>
        </w:tc>
        <w:tc>
          <w:tcPr>
            <w:tcW w:w="1327" w:type="dxa"/>
            <w:tcBorders>
              <w:top w:val="single" w:color="auto" w:sz="4" w:space="0"/>
              <w:left w:val="single" w:color="auto" w:sz="4" w:space="0"/>
              <w:bottom w:val="single" w:color="auto" w:sz="4" w:space="0"/>
              <w:right w:val="single" w:color="auto" w:sz="4" w:space="0"/>
            </w:tcBorders>
            <w:noWrap w:val="0"/>
            <w:vAlign w:val="center"/>
          </w:tcPr>
          <w:p w14:paraId="4024A3D8">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项目名称</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3208CC49">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cs="宋体"/>
                <w:color w:val="000000" w:themeColor="text1"/>
                <w:sz w:val="24"/>
                <w:szCs w:val="24"/>
                <w:highlight w:val="none"/>
                <w:lang w:val="zh-CN" w:eastAsia="zh-CN"/>
                <w14:textFill>
                  <w14:solidFill>
                    <w14:schemeClr w14:val="tx1"/>
                  </w14:solidFill>
                </w14:textFill>
              </w:rPr>
              <w:t>民丰县叶亦克乡生态环境整治中央财政以工代赈项目</w:t>
            </w:r>
          </w:p>
        </w:tc>
      </w:tr>
      <w:tr w14:paraId="18CEA663">
        <w:tblPrEx>
          <w:tblCellMar>
            <w:top w:w="0" w:type="dxa"/>
            <w:left w:w="108" w:type="dxa"/>
            <w:bottom w:w="0" w:type="dxa"/>
            <w:right w:w="108" w:type="dxa"/>
          </w:tblCellMar>
        </w:tblPrEx>
        <w:trPr>
          <w:trHeight w:val="0" w:hRule="atLeast"/>
        </w:trPr>
        <w:tc>
          <w:tcPr>
            <w:tcW w:w="967" w:type="dxa"/>
            <w:tcBorders>
              <w:top w:val="single" w:color="auto" w:sz="4" w:space="0"/>
              <w:left w:val="single" w:color="auto" w:sz="4" w:space="0"/>
              <w:bottom w:val="single" w:color="auto" w:sz="4" w:space="0"/>
              <w:right w:val="single" w:color="auto" w:sz="4" w:space="0"/>
            </w:tcBorders>
            <w:noWrap w:val="0"/>
            <w:vAlign w:val="center"/>
          </w:tcPr>
          <w:p w14:paraId="1AD04A76">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4</w:t>
            </w:r>
          </w:p>
        </w:tc>
        <w:tc>
          <w:tcPr>
            <w:tcW w:w="1327" w:type="dxa"/>
            <w:tcBorders>
              <w:top w:val="single" w:color="auto" w:sz="4" w:space="0"/>
              <w:left w:val="single" w:color="auto" w:sz="4" w:space="0"/>
              <w:bottom w:val="single" w:color="auto" w:sz="4" w:space="0"/>
              <w:right w:val="single" w:color="auto" w:sz="4" w:space="0"/>
            </w:tcBorders>
            <w:noWrap w:val="0"/>
            <w:vAlign w:val="center"/>
          </w:tcPr>
          <w:p w14:paraId="32C5E91B">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项目编号</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37DC42A8">
            <w:pPr>
              <w:keepNext w:val="0"/>
              <w:keepLines w:val="0"/>
              <w:pageBreakBefore w:val="0"/>
              <w:widowControl w:val="0"/>
              <w:kinsoku/>
              <w:overflowPunct/>
              <w:topLinePunct w:val="0"/>
              <w:bidi w:val="0"/>
              <w:snapToGrid/>
              <w:spacing w:before="63" w:beforeLines="20" w:line="288" w:lineRule="auto"/>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HTJR-MFX-2025-0</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号</w:t>
            </w:r>
          </w:p>
        </w:tc>
      </w:tr>
      <w:tr w14:paraId="2323B173">
        <w:tblPrEx>
          <w:tblCellMar>
            <w:top w:w="0" w:type="dxa"/>
            <w:left w:w="108" w:type="dxa"/>
            <w:bottom w:w="0" w:type="dxa"/>
            <w:right w:w="108" w:type="dxa"/>
          </w:tblCellMar>
        </w:tblPrEx>
        <w:trPr>
          <w:trHeight w:val="0" w:hRule="atLeast"/>
        </w:trPr>
        <w:tc>
          <w:tcPr>
            <w:tcW w:w="967" w:type="dxa"/>
            <w:tcBorders>
              <w:top w:val="single" w:color="auto" w:sz="4" w:space="0"/>
              <w:left w:val="single" w:color="auto" w:sz="4" w:space="0"/>
              <w:bottom w:val="single" w:color="auto" w:sz="4" w:space="0"/>
              <w:right w:val="single" w:color="auto" w:sz="4" w:space="0"/>
            </w:tcBorders>
            <w:noWrap w:val="0"/>
            <w:vAlign w:val="center"/>
          </w:tcPr>
          <w:p w14:paraId="099348A7">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5</w:t>
            </w:r>
          </w:p>
        </w:tc>
        <w:tc>
          <w:tcPr>
            <w:tcW w:w="1327" w:type="dxa"/>
            <w:tcBorders>
              <w:top w:val="single" w:color="auto" w:sz="4" w:space="0"/>
              <w:left w:val="single" w:color="auto" w:sz="4" w:space="0"/>
              <w:bottom w:val="single" w:color="auto" w:sz="4" w:space="0"/>
              <w:right w:val="single" w:color="auto" w:sz="4" w:space="0"/>
            </w:tcBorders>
            <w:noWrap w:val="0"/>
            <w:vAlign w:val="center"/>
          </w:tcPr>
          <w:p w14:paraId="290AD19A">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资金来源</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38B97C5D">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中央财政以工代赈资金</w:t>
            </w:r>
          </w:p>
        </w:tc>
      </w:tr>
      <w:tr w14:paraId="55F14D1D">
        <w:tblPrEx>
          <w:tblCellMar>
            <w:top w:w="0" w:type="dxa"/>
            <w:left w:w="108" w:type="dxa"/>
            <w:bottom w:w="0" w:type="dxa"/>
            <w:right w:w="108" w:type="dxa"/>
          </w:tblCellMar>
        </w:tblPrEx>
        <w:trPr>
          <w:trHeight w:val="0" w:hRule="atLeast"/>
        </w:trPr>
        <w:tc>
          <w:tcPr>
            <w:tcW w:w="967" w:type="dxa"/>
            <w:tcBorders>
              <w:top w:val="single" w:color="auto" w:sz="4" w:space="0"/>
              <w:left w:val="single" w:color="auto" w:sz="4" w:space="0"/>
              <w:bottom w:val="single" w:color="auto" w:sz="4" w:space="0"/>
              <w:right w:val="single" w:color="auto" w:sz="4" w:space="0"/>
            </w:tcBorders>
            <w:noWrap w:val="0"/>
            <w:vAlign w:val="center"/>
          </w:tcPr>
          <w:p w14:paraId="7DF217EA">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1327" w:type="dxa"/>
            <w:tcBorders>
              <w:top w:val="single" w:color="auto" w:sz="4" w:space="0"/>
              <w:left w:val="single" w:color="auto" w:sz="4" w:space="0"/>
              <w:bottom w:val="single" w:color="auto" w:sz="4" w:space="0"/>
              <w:right w:val="single" w:color="auto" w:sz="4" w:space="0"/>
            </w:tcBorders>
            <w:noWrap w:val="0"/>
            <w:vAlign w:val="center"/>
          </w:tcPr>
          <w:p w14:paraId="015D71B5">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采购内容</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BAD88D3">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人工平整土地约3.96亩，人工挖沟换填种植土约26400立方米，新建防渗渠1.78公里，及配套分水闸等渠系构筑物。</w:t>
            </w:r>
          </w:p>
        </w:tc>
      </w:tr>
      <w:tr w14:paraId="30F2153B">
        <w:tblPrEx>
          <w:tblCellMar>
            <w:top w:w="0" w:type="dxa"/>
            <w:left w:w="108" w:type="dxa"/>
            <w:bottom w:w="0" w:type="dxa"/>
            <w:right w:w="108" w:type="dxa"/>
          </w:tblCellMar>
        </w:tblPrEx>
        <w:trPr>
          <w:trHeight w:val="0" w:hRule="atLeast"/>
        </w:trPr>
        <w:tc>
          <w:tcPr>
            <w:tcW w:w="967" w:type="dxa"/>
            <w:tcBorders>
              <w:top w:val="single" w:color="auto" w:sz="4" w:space="0"/>
              <w:left w:val="single" w:color="auto" w:sz="4" w:space="0"/>
              <w:bottom w:val="single" w:color="auto" w:sz="4" w:space="0"/>
              <w:right w:val="single" w:color="auto" w:sz="4" w:space="0"/>
            </w:tcBorders>
            <w:noWrap w:val="0"/>
            <w:vAlign w:val="center"/>
          </w:tcPr>
          <w:p w14:paraId="282F3E67">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p>
        </w:tc>
        <w:tc>
          <w:tcPr>
            <w:tcW w:w="1327" w:type="dxa"/>
            <w:tcBorders>
              <w:top w:val="single" w:color="auto" w:sz="4" w:space="0"/>
              <w:left w:val="single" w:color="auto" w:sz="4" w:space="0"/>
              <w:bottom w:val="single" w:color="auto" w:sz="4" w:space="0"/>
              <w:right w:val="single" w:color="auto" w:sz="4" w:space="0"/>
            </w:tcBorders>
            <w:noWrap w:val="0"/>
            <w:vAlign w:val="center"/>
          </w:tcPr>
          <w:p w14:paraId="4EF61F9C">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最高限价</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34589A7C">
            <w:pPr>
              <w:keepNext w:val="0"/>
              <w:keepLines w:val="0"/>
              <w:pageBreakBefore w:val="0"/>
              <w:widowControl w:val="0"/>
              <w:kinsoku/>
              <w:overflowPunct/>
              <w:topLinePunct w:val="0"/>
              <w:bidi w:val="0"/>
              <w:snapToGrid/>
              <w:spacing w:before="63" w:beforeLines="20" w:line="288" w:lineRule="auto"/>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3233700.00</w:t>
            </w:r>
            <w:r>
              <w:rPr>
                <w:rFonts w:hint="eastAsia" w:ascii="宋体" w:hAnsi="宋体" w:eastAsia="宋体" w:cs="宋体"/>
                <w:color w:val="000000" w:themeColor="text1"/>
                <w:kern w:val="0"/>
                <w:sz w:val="24"/>
                <w:szCs w:val="24"/>
                <w:highlight w:val="none"/>
                <w:shd w:val="clear" w:color="auto" w:fill="FFFFFF"/>
                <w:lang w:val="en-US" w:eastAsia="zh-CN"/>
                <w14:textFill>
                  <w14:solidFill>
                    <w14:schemeClr w14:val="tx1"/>
                  </w14:solidFill>
                </w14:textFill>
              </w:rPr>
              <w:t>元</w:t>
            </w:r>
            <w:r>
              <w:rPr>
                <w:rFonts w:hint="eastAsia" w:ascii="宋体" w:hAnsi="宋体" w:cs="宋体"/>
                <w:color w:val="000000" w:themeColor="text1"/>
                <w:kern w:val="0"/>
                <w:sz w:val="24"/>
                <w:szCs w:val="24"/>
                <w:highlight w:val="none"/>
                <w:shd w:val="clear" w:color="auto" w:fill="FFFFFF"/>
                <w:lang w:val="en-US" w:eastAsia="zh-CN"/>
                <w14:textFill>
                  <w14:solidFill>
                    <w14:schemeClr w14:val="tx1"/>
                  </w14:solidFill>
                </w14:textFill>
              </w:rPr>
              <w:t>（此采购金额为最高限价，如超过预算价的报价为无效报价）</w:t>
            </w:r>
          </w:p>
        </w:tc>
      </w:tr>
      <w:tr w14:paraId="4A4862C7">
        <w:tblPrEx>
          <w:tblCellMar>
            <w:top w:w="0" w:type="dxa"/>
            <w:left w:w="108" w:type="dxa"/>
            <w:bottom w:w="0" w:type="dxa"/>
            <w:right w:w="108" w:type="dxa"/>
          </w:tblCellMar>
        </w:tblPrEx>
        <w:trPr>
          <w:trHeight w:val="0" w:hRule="atLeast"/>
        </w:trPr>
        <w:tc>
          <w:tcPr>
            <w:tcW w:w="967" w:type="dxa"/>
            <w:tcBorders>
              <w:top w:val="single" w:color="auto" w:sz="4" w:space="0"/>
              <w:left w:val="single" w:color="auto" w:sz="4" w:space="0"/>
              <w:bottom w:val="single" w:color="auto" w:sz="4" w:space="0"/>
              <w:right w:val="single" w:color="auto" w:sz="4" w:space="0"/>
            </w:tcBorders>
            <w:noWrap w:val="0"/>
            <w:vAlign w:val="center"/>
          </w:tcPr>
          <w:p w14:paraId="5E9EB53D">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c>
          <w:tcPr>
            <w:tcW w:w="1327" w:type="dxa"/>
            <w:tcBorders>
              <w:top w:val="single" w:color="auto" w:sz="4" w:space="0"/>
              <w:left w:val="single" w:color="auto" w:sz="4" w:space="0"/>
              <w:bottom w:val="single" w:color="auto" w:sz="4" w:space="0"/>
              <w:right w:val="single" w:color="auto" w:sz="4" w:space="0"/>
            </w:tcBorders>
            <w:noWrap w:val="0"/>
            <w:vAlign w:val="center"/>
          </w:tcPr>
          <w:p w14:paraId="1F303C14">
            <w:pPr>
              <w:keepNext w:val="0"/>
              <w:keepLines w:val="0"/>
              <w:pageBreakBefore w:val="0"/>
              <w:widowControl w:val="0"/>
              <w:kinsoku/>
              <w:overflowPunct/>
              <w:topLinePunct w:val="0"/>
              <w:bidi w:val="0"/>
              <w:snapToGrid/>
              <w:spacing w:before="63" w:beforeLines="20" w:line="288" w:lineRule="auto"/>
              <w:textAlignment w:val="auto"/>
              <w:rPr>
                <w:rFonts w:hint="default" w:ascii="宋体" w:hAnsi="宋体" w:cs="宋体"/>
                <w:i w:val="0"/>
                <w:iCs w:val="0"/>
                <w:caps w:val="0"/>
                <w:color w:val="000000" w:themeColor="text1"/>
                <w:spacing w:val="0"/>
                <w:sz w:val="24"/>
                <w:szCs w:val="24"/>
                <w:highlight w:val="none"/>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计划工期</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52CA5891">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计划工期：240日历天（实际以约定合同为准）</w:t>
            </w:r>
          </w:p>
        </w:tc>
      </w:tr>
      <w:tr w14:paraId="698B5F00">
        <w:tblPrEx>
          <w:tblCellMar>
            <w:top w:w="0" w:type="dxa"/>
            <w:left w:w="108" w:type="dxa"/>
            <w:bottom w:w="0" w:type="dxa"/>
            <w:right w:w="108" w:type="dxa"/>
          </w:tblCellMar>
        </w:tblPrEx>
        <w:trPr>
          <w:trHeight w:val="0" w:hRule="atLeast"/>
        </w:trPr>
        <w:tc>
          <w:tcPr>
            <w:tcW w:w="967" w:type="dxa"/>
            <w:tcBorders>
              <w:top w:val="single" w:color="auto" w:sz="4" w:space="0"/>
              <w:left w:val="single" w:color="auto" w:sz="4" w:space="0"/>
              <w:bottom w:val="single" w:color="auto" w:sz="4" w:space="0"/>
              <w:right w:val="single" w:color="auto" w:sz="4" w:space="0"/>
            </w:tcBorders>
            <w:noWrap w:val="0"/>
            <w:vAlign w:val="center"/>
          </w:tcPr>
          <w:p w14:paraId="6565A7A0">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t>9</w:t>
            </w:r>
          </w:p>
        </w:tc>
        <w:tc>
          <w:tcPr>
            <w:tcW w:w="1327" w:type="dxa"/>
            <w:tcBorders>
              <w:top w:val="single" w:color="auto" w:sz="4" w:space="0"/>
              <w:left w:val="single" w:color="auto" w:sz="4" w:space="0"/>
              <w:bottom w:val="single" w:color="auto" w:sz="4" w:space="0"/>
              <w:right w:val="single" w:color="auto" w:sz="4" w:space="0"/>
            </w:tcBorders>
            <w:noWrap w:val="0"/>
            <w:vAlign w:val="center"/>
          </w:tcPr>
          <w:p w14:paraId="370DBB60">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t>质量要求</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2E572598">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合格</w:t>
            </w:r>
          </w:p>
        </w:tc>
      </w:tr>
      <w:tr w14:paraId="7C3BE195">
        <w:tblPrEx>
          <w:tblCellMar>
            <w:top w:w="0" w:type="dxa"/>
            <w:left w:w="108" w:type="dxa"/>
            <w:bottom w:w="0" w:type="dxa"/>
            <w:right w:w="108" w:type="dxa"/>
          </w:tblCellMar>
        </w:tblPrEx>
        <w:trPr>
          <w:trHeight w:val="0" w:hRule="atLeast"/>
        </w:trPr>
        <w:tc>
          <w:tcPr>
            <w:tcW w:w="967" w:type="dxa"/>
            <w:tcBorders>
              <w:top w:val="single" w:color="auto" w:sz="4" w:space="0"/>
              <w:left w:val="single" w:color="auto" w:sz="4" w:space="0"/>
              <w:bottom w:val="single" w:color="auto" w:sz="4" w:space="0"/>
              <w:right w:val="single" w:color="auto" w:sz="4" w:space="0"/>
            </w:tcBorders>
            <w:noWrap w:val="0"/>
            <w:vAlign w:val="center"/>
          </w:tcPr>
          <w:p w14:paraId="06323E66">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p>
        </w:tc>
        <w:tc>
          <w:tcPr>
            <w:tcW w:w="1327" w:type="dxa"/>
            <w:tcBorders>
              <w:top w:val="single" w:color="auto" w:sz="4" w:space="0"/>
              <w:left w:val="single" w:color="auto" w:sz="4" w:space="0"/>
              <w:bottom w:val="single" w:color="auto" w:sz="4" w:space="0"/>
              <w:right w:val="single" w:color="auto" w:sz="4" w:space="0"/>
            </w:tcBorders>
            <w:noWrap w:val="0"/>
            <w:vAlign w:val="center"/>
          </w:tcPr>
          <w:p w14:paraId="67BE0083">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是否专门面向中小企业</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07045F09">
            <w:pPr>
              <w:spacing w:line="400" w:lineRule="exact"/>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是</w:t>
            </w:r>
          </w:p>
          <w:p w14:paraId="7405FE44">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否</w:t>
            </w:r>
          </w:p>
        </w:tc>
      </w:tr>
      <w:tr w14:paraId="48FA9CF4">
        <w:tblPrEx>
          <w:tblCellMar>
            <w:top w:w="0" w:type="dxa"/>
            <w:left w:w="108" w:type="dxa"/>
            <w:bottom w:w="0" w:type="dxa"/>
            <w:right w:w="108" w:type="dxa"/>
          </w:tblCellMar>
        </w:tblPrEx>
        <w:trPr>
          <w:trHeight w:val="0" w:hRule="atLeast"/>
        </w:trPr>
        <w:tc>
          <w:tcPr>
            <w:tcW w:w="967" w:type="dxa"/>
            <w:tcBorders>
              <w:top w:val="single" w:color="auto" w:sz="4" w:space="0"/>
              <w:left w:val="single" w:color="auto" w:sz="4" w:space="0"/>
              <w:bottom w:val="single" w:color="auto" w:sz="4" w:space="0"/>
              <w:right w:val="single" w:color="auto" w:sz="4" w:space="0"/>
            </w:tcBorders>
            <w:noWrap w:val="0"/>
            <w:vAlign w:val="center"/>
          </w:tcPr>
          <w:p w14:paraId="1DF1D4FC">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w:t>
            </w:r>
          </w:p>
        </w:tc>
        <w:tc>
          <w:tcPr>
            <w:tcW w:w="1327" w:type="dxa"/>
            <w:tcBorders>
              <w:top w:val="single" w:color="auto" w:sz="4" w:space="0"/>
              <w:left w:val="single" w:color="auto" w:sz="4" w:space="0"/>
              <w:bottom w:val="single" w:color="auto" w:sz="4" w:space="0"/>
              <w:right w:val="single" w:color="auto" w:sz="4" w:space="0"/>
            </w:tcBorders>
            <w:noWrap w:val="0"/>
            <w:vAlign w:val="center"/>
          </w:tcPr>
          <w:p w14:paraId="48EC7A94">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是否接受联合体报价</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0BE1307D">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不接受</w:t>
            </w:r>
          </w:p>
          <w:p w14:paraId="32F092D2">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接受，应满足下列要求：</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tc>
      </w:tr>
      <w:tr w14:paraId="1AD3FD0A">
        <w:tblPrEx>
          <w:tblCellMar>
            <w:top w:w="0" w:type="dxa"/>
            <w:left w:w="108" w:type="dxa"/>
            <w:bottom w:w="0" w:type="dxa"/>
            <w:right w:w="108" w:type="dxa"/>
          </w:tblCellMar>
        </w:tblPrEx>
        <w:trPr>
          <w:trHeight w:val="0" w:hRule="atLeast"/>
        </w:trPr>
        <w:tc>
          <w:tcPr>
            <w:tcW w:w="967" w:type="dxa"/>
            <w:tcBorders>
              <w:top w:val="single" w:color="auto" w:sz="4" w:space="0"/>
              <w:left w:val="single" w:color="auto" w:sz="4" w:space="0"/>
              <w:bottom w:val="single" w:color="auto" w:sz="4" w:space="0"/>
              <w:right w:val="single" w:color="auto" w:sz="4" w:space="0"/>
            </w:tcBorders>
            <w:noWrap w:val="0"/>
            <w:vAlign w:val="center"/>
          </w:tcPr>
          <w:p w14:paraId="0A68FDCE">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p>
        </w:tc>
        <w:tc>
          <w:tcPr>
            <w:tcW w:w="1327" w:type="dxa"/>
            <w:tcBorders>
              <w:top w:val="single" w:color="auto" w:sz="4" w:space="0"/>
              <w:left w:val="single" w:color="auto" w:sz="4" w:space="0"/>
              <w:bottom w:val="single" w:color="auto" w:sz="4" w:space="0"/>
              <w:right w:val="single" w:color="auto" w:sz="4" w:space="0"/>
            </w:tcBorders>
            <w:noWrap w:val="0"/>
            <w:vAlign w:val="center"/>
          </w:tcPr>
          <w:p w14:paraId="784CA871">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报价有效期</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5276FA89">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自报价截止之日起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90</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个日历天。</w:t>
            </w:r>
          </w:p>
        </w:tc>
      </w:tr>
      <w:tr w14:paraId="2CF383CB">
        <w:tblPrEx>
          <w:tblCellMar>
            <w:top w:w="0" w:type="dxa"/>
            <w:left w:w="108" w:type="dxa"/>
            <w:bottom w:w="0" w:type="dxa"/>
            <w:right w:w="108" w:type="dxa"/>
          </w:tblCellMar>
        </w:tblPrEx>
        <w:trPr>
          <w:trHeight w:val="0" w:hRule="atLeast"/>
        </w:trPr>
        <w:tc>
          <w:tcPr>
            <w:tcW w:w="967" w:type="dxa"/>
            <w:tcBorders>
              <w:top w:val="single" w:color="auto" w:sz="4" w:space="0"/>
              <w:left w:val="single" w:color="auto" w:sz="4" w:space="0"/>
              <w:bottom w:val="single" w:color="auto" w:sz="4" w:space="0"/>
              <w:right w:val="single" w:color="auto" w:sz="4" w:space="0"/>
            </w:tcBorders>
            <w:noWrap w:val="0"/>
            <w:vAlign w:val="center"/>
          </w:tcPr>
          <w:p w14:paraId="1311EC7C">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w:t>
            </w:r>
          </w:p>
        </w:tc>
        <w:tc>
          <w:tcPr>
            <w:tcW w:w="1327" w:type="dxa"/>
            <w:tcBorders>
              <w:top w:val="single" w:color="auto" w:sz="4" w:space="0"/>
              <w:left w:val="single" w:color="auto" w:sz="4" w:space="0"/>
              <w:bottom w:val="single" w:color="auto" w:sz="4" w:space="0"/>
              <w:right w:val="single" w:color="auto" w:sz="4" w:space="0"/>
            </w:tcBorders>
            <w:noWrap w:val="0"/>
            <w:vAlign w:val="center"/>
          </w:tcPr>
          <w:p w14:paraId="13208A3E">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踏勘现场</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0D87D6A0">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 不组织，自行踏勘</w:t>
            </w:r>
          </w:p>
          <w:p w14:paraId="4416A5B3">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 组织，踏勘时间：</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p>
          <w:p w14:paraId="47EB8135">
            <w:pPr>
              <w:keepNext w:val="0"/>
              <w:keepLines w:val="0"/>
              <w:pageBreakBefore w:val="0"/>
              <w:widowControl w:val="0"/>
              <w:tabs>
                <w:tab w:val="left" w:pos="7665"/>
              </w:tabs>
              <w:kinsoku/>
              <w:overflowPunct/>
              <w:topLinePunct w:val="0"/>
              <w:bidi w:val="0"/>
              <w:snapToGrid/>
              <w:spacing w:before="63" w:beforeLines="20" w:line="288" w:lineRule="auto"/>
              <w:ind w:firstLine="1080" w:firstLineChars="45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踏勘地点：</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p>
        </w:tc>
      </w:tr>
      <w:tr w14:paraId="4BE4C584">
        <w:tblPrEx>
          <w:tblCellMar>
            <w:top w:w="0" w:type="dxa"/>
            <w:left w:w="108" w:type="dxa"/>
            <w:bottom w:w="0" w:type="dxa"/>
            <w:right w:w="108" w:type="dxa"/>
          </w:tblCellMar>
        </w:tblPrEx>
        <w:trPr>
          <w:trHeight w:val="0" w:hRule="atLeast"/>
        </w:trPr>
        <w:tc>
          <w:tcPr>
            <w:tcW w:w="967" w:type="dxa"/>
            <w:tcBorders>
              <w:top w:val="single" w:color="auto" w:sz="4" w:space="0"/>
              <w:left w:val="single" w:color="auto" w:sz="4" w:space="0"/>
              <w:bottom w:val="single" w:color="auto" w:sz="4" w:space="0"/>
              <w:right w:val="single" w:color="auto" w:sz="4" w:space="0"/>
            </w:tcBorders>
            <w:noWrap w:val="0"/>
            <w:vAlign w:val="center"/>
          </w:tcPr>
          <w:p w14:paraId="0344479B">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14</w:t>
            </w:r>
          </w:p>
        </w:tc>
        <w:tc>
          <w:tcPr>
            <w:tcW w:w="1327" w:type="dxa"/>
            <w:tcBorders>
              <w:top w:val="single" w:color="auto" w:sz="4" w:space="0"/>
              <w:left w:val="single" w:color="auto" w:sz="4" w:space="0"/>
              <w:bottom w:val="single" w:color="auto" w:sz="4" w:space="0"/>
              <w:right w:val="single" w:color="auto" w:sz="4" w:space="0"/>
            </w:tcBorders>
            <w:noWrap w:val="0"/>
            <w:vAlign w:val="center"/>
          </w:tcPr>
          <w:p w14:paraId="71546B83">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履约担保</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648F155">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不需要</w:t>
            </w:r>
          </w:p>
          <w:p w14:paraId="7E13F730">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需要，履约保证金的金额：成交合同金额的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%（履约保证金须以支票、汇票、本票或者金融机构、担保机构出具的保函等非现金形式提交）</w:t>
            </w:r>
          </w:p>
        </w:tc>
      </w:tr>
      <w:tr w14:paraId="57E02982">
        <w:tblPrEx>
          <w:tblCellMar>
            <w:top w:w="0" w:type="dxa"/>
            <w:left w:w="108" w:type="dxa"/>
            <w:bottom w:w="0" w:type="dxa"/>
            <w:right w:w="108" w:type="dxa"/>
          </w:tblCellMar>
        </w:tblPrEx>
        <w:trPr>
          <w:trHeight w:val="0" w:hRule="atLeast"/>
        </w:trPr>
        <w:tc>
          <w:tcPr>
            <w:tcW w:w="967" w:type="dxa"/>
            <w:tcBorders>
              <w:top w:val="single" w:color="auto" w:sz="4" w:space="0"/>
              <w:left w:val="single" w:color="auto" w:sz="4" w:space="0"/>
              <w:bottom w:val="single" w:color="auto" w:sz="4" w:space="0"/>
              <w:right w:val="single" w:color="auto" w:sz="4" w:space="0"/>
            </w:tcBorders>
            <w:noWrap w:val="0"/>
            <w:vAlign w:val="center"/>
          </w:tcPr>
          <w:p w14:paraId="67985C16">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1327" w:type="dxa"/>
            <w:tcBorders>
              <w:top w:val="single" w:color="auto" w:sz="4" w:space="0"/>
              <w:left w:val="single" w:color="auto" w:sz="4" w:space="0"/>
              <w:bottom w:val="single" w:color="auto" w:sz="4" w:space="0"/>
              <w:right w:val="single" w:color="auto" w:sz="4" w:space="0"/>
            </w:tcBorders>
            <w:noWrap w:val="0"/>
            <w:vAlign w:val="center"/>
          </w:tcPr>
          <w:p w14:paraId="2536E53D">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构成采购文件的其他材料</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24E6936E">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补充文件</w:t>
            </w:r>
          </w:p>
        </w:tc>
      </w:tr>
      <w:tr w14:paraId="64CCEE5F">
        <w:tblPrEx>
          <w:tblCellMar>
            <w:top w:w="0" w:type="dxa"/>
            <w:left w:w="108" w:type="dxa"/>
            <w:bottom w:w="0" w:type="dxa"/>
            <w:right w:w="108" w:type="dxa"/>
          </w:tblCellMar>
        </w:tblPrEx>
        <w:trPr>
          <w:trHeight w:val="0" w:hRule="atLeast"/>
        </w:trPr>
        <w:tc>
          <w:tcPr>
            <w:tcW w:w="967" w:type="dxa"/>
            <w:tcBorders>
              <w:top w:val="single" w:color="auto" w:sz="4" w:space="0"/>
              <w:left w:val="single" w:color="auto" w:sz="4" w:space="0"/>
              <w:right w:val="single" w:color="auto" w:sz="4" w:space="0"/>
            </w:tcBorders>
            <w:noWrap w:val="0"/>
            <w:vAlign w:val="center"/>
          </w:tcPr>
          <w:p w14:paraId="4E69C011">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1327" w:type="dxa"/>
            <w:tcBorders>
              <w:top w:val="single" w:color="auto" w:sz="4" w:space="0"/>
              <w:left w:val="single" w:color="auto" w:sz="4" w:space="0"/>
              <w:bottom w:val="single" w:color="auto" w:sz="4" w:space="0"/>
              <w:right w:val="single" w:color="auto" w:sz="4" w:space="0"/>
            </w:tcBorders>
            <w:noWrap w:val="0"/>
            <w:vAlign w:val="center"/>
          </w:tcPr>
          <w:p w14:paraId="0BC6CBCB">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供应商要求澄清采购文件的截止时间</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B5AC802">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采购文件发售截止</w:t>
            </w:r>
            <w:r>
              <w:rPr>
                <w:rFonts w:hint="eastAsia" w:ascii="宋体" w:hAnsi="宋体" w:eastAsia="宋体" w:cs="宋体"/>
                <w:color w:val="000000" w:themeColor="text1"/>
                <w:sz w:val="24"/>
                <w:szCs w:val="24"/>
                <w:highlight w:val="none"/>
                <w:lang w:val="en-US" w:eastAsia="zh-CN"/>
                <w14:textFill>
                  <w14:solidFill>
                    <w14:schemeClr w14:val="tx1"/>
                  </w14:solidFill>
                </w14:textFill>
              </w:rPr>
              <w:t>之</w:t>
            </w:r>
            <w:r>
              <w:rPr>
                <w:rFonts w:hint="eastAsia" w:ascii="宋体" w:hAnsi="宋体" w:eastAsia="宋体" w:cs="宋体"/>
                <w:color w:val="000000" w:themeColor="text1"/>
                <w:sz w:val="24"/>
                <w:szCs w:val="24"/>
                <w:highlight w:val="none"/>
                <w:lang w:val="zh-CN"/>
                <w14:textFill>
                  <w14:solidFill>
                    <w14:schemeClr w14:val="tx1"/>
                  </w14:solidFill>
                </w14:textFill>
              </w:rPr>
              <w:t>日1</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lang w:val="zh-CN"/>
                <w14:textFill>
                  <w14:solidFill>
                    <w14:schemeClr w14:val="tx1"/>
                  </w14:solidFill>
                </w14:textFill>
              </w:rPr>
              <w:t>点前</w:t>
            </w:r>
          </w:p>
        </w:tc>
      </w:tr>
      <w:tr w14:paraId="7C7C17F0">
        <w:tblPrEx>
          <w:tblCellMar>
            <w:top w:w="0" w:type="dxa"/>
            <w:left w:w="108" w:type="dxa"/>
            <w:bottom w:w="0" w:type="dxa"/>
            <w:right w:w="108" w:type="dxa"/>
          </w:tblCellMar>
        </w:tblPrEx>
        <w:trPr>
          <w:trHeight w:val="0" w:hRule="atLeast"/>
        </w:trPr>
        <w:tc>
          <w:tcPr>
            <w:tcW w:w="967" w:type="dxa"/>
            <w:tcBorders>
              <w:top w:val="single" w:color="auto" w:sz="4" w:space="0"/>
              <w:left w:val="single" w:color="auto" w:sz="4" w:space="0"/>
              <w:bottom w:val="single" w:color="auto" w:sz="4" w:space="0"/>
              <w:right w:val="single" w:color="auto" w:sz="4" w:space="0"/>
            </w:tcBorders>
            <w:noWrap w:val="0"/>
            <w:vAlign w:val="center"/>
          </w:tcPr>
          <w:p w14:paraId="338C81C2">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p>
        </w:tc>
        <w:tc>
          <w:tcPr>
            <w:tcW w:w="1327" w:type="dxa"/>
            <w:tcBorders>
              <w:top w:val="single" w:color="auto" w:sz="4" w:space="0"/>
              <w:left w:val="single" w:color="auto" w:sz="4" w:space="0"/>
              <w:bottom w:val="single" w:color="auto" w:sz="4" w:space="0"/>
              <w:right w:val="single" w:color="auto" w:sz="4" w:space="0"/>
            </w:tcBorders>
            <w:noWrap w:val="0"/>
            <w:vAlign w:val="center"/>
          </w:tcPr>
          <w:p w14:paraId="1BB129DC">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供应商确认收到采购文件澄清或修改的时间</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C2B22BA">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u w:val="singl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从补充文件发布时间开始48小时内</w:t>
            </w:r>
          </w:p>
        </w:tc>
      </w:tr>
      <w:tr w14:paraId="76FBC8AC">
        <w:tblPrEx>
          <w:tblCellMar>
            <w:top w:w="0" w:type="dxa"/>
            <w:left w:w="108" w:type="dxa"/>
            <w:bottom w:w="0" w:type="dxa"/>
            <w:right w:w="108" w:type="dxa"/>
          </w:tblCellMar>
        </w:tblPrEx>
        <w:trPr>
          <w:trHeight w:val="0" w:hRule="atLeast"/>
        </w:trPr>
        <w:tc>
          <w:tcPr>
            <w:tcW w:w="967" w:type="dxa"/>
            <w:tcBorders>
              <w:top w:val="single" w:color="auto" w:sz="4" w:space="0"/>
              <w:left w:val="single" w:color="auto" w:sz="4" w:space="0"/>
              <w:bottom w:val="single" w:color="auto" w:sz="4" w:space="0"/>
              <w:right w:val="single" w:color="auto" w:sz="4" w:space="0"/>
            </w:tcBorders>
            <w:noWrap w:val="0"/>
            <w:vAlign w:val="center"/>
          </w:tcPr>
          <w:p w14:paraId="420C6266">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c>
          <w:tcPr>
            <w:tcW w:w="1327" w:type="dxa"/>
            <w:tcBorders>
              <w:top w:val="single" w:color="auto" w:sz="4" w:space="0"/>
              <w:left w:val="single" w:color="auto" w:sz="4" w:space="0"/>
              <w:bottom w:val="single" w:color="auto" w:sz="4" w:space="0"/>
              <w:right w:val="single" w:color="auto" w:sz="4" w:space="0"/>
            </w:tcBorders>
            <w:noWrap w:val="0"/>
            <w:vAlign w:val="center"/>
          </w:tcPr>
          <w:p w14:paraId="3D4940DA">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供应商资格条件、</w:t>
            </w:r>
            <w:r>
              <w:rPr>
                <w:rFonts w:hint="eastAsia" w:ascii="宋体" w:hAnsi="宋体" w:eastAsia="宋体" w:cs="宋体"/>
                <w:color w:val="000000" w:themeColor="text1"/>
                <w:sz w:val="24"/>
                <w:szCs w:val="24"/>
                <w:highlight w:val="none"/>
                <w:lang w:val="en-US" w:eastAsia="zh-CN"/>
                <w14:textFill>
                  <w14:solidFill>
                    <w14:schemeClr w14:val="tx1"/>
                  </w14:solidFill>
                </w14:textFill>
              </w:rPr>
              <w:t>能力和信誉</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EF16D72">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7CF5FC84">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（2）法定代表人的需提供法定代表人证明书（须附法人身份证复印件正反面）或委托代理人需提供法定代表人授权委托书（授权书需附法人身份证复印件及委托人身份证复印件正反面）；</w:t>
            </w:r>
          </w:p>
          <w:p w14:paraId="03B0CC6F">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有依法缴纳税收和社会保障资金的良好记录：提供近段时间内（连续三个月、新成立的公司按实际发生提供）的缴纳税收的完税证明或税务部门出具的纳税证明；如依法免税的，应提供相应文件证明；提供近段时间内（法人连续三个月、新成立的公司按实际发生提供）的缴纳社保证明材料加盖公章。如依法不需要缴纳社会保障资金的，应提供相应文件证明；</w:t>
            </w:r>
          </w:p>
          <w:p w14:paraId="79487F91">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（4））具有良好的商业信誉和健全的财务会计制度：提供2023年由第三方审计机构出具的审计报告（2024年新成立的公司按实际发生的情况提供银行出具的资信证明）和健全的财务会计制度；</w:t>
            </w:r>
          </w:p>
          <w:p w14:paraId="6DD5E184">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（5）履行合同所必需的设备和专业技术能力：提供《投标人资格声明函》；</w:t>
            </w:r>
          </w:p>
          <w:p w14:paraId="13BED942">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6C430DC4">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7）近三年拟参加本次招标项目的投标人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经营异常名录的取消投标资格。</w:t>
            </w:r>
          </w:p>
          <w:p w14:paraId="1A4955BF">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（8）企业负责人为同一人或者存在直接控股、管理关系的不同投标人，不得参加同一合同项下的政府采购活动。否则，皆取消投标资格；</w:t>
            </w:r>
          </w:p>
          <w:p w14:paraId="22C0F887">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（9）投标人须具有类似工程施工业绩的水利水电工程施工总承包</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叁</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级及以上资质，以及相关证照齐备的独立法人企业。并在人员、设备、资金等方面具有承担本项目的施工能力，无不良业绩；拟派出的项目经理应具有有效的水利水电工程专业贰级及以上注册建造师执业资格和安全生产考核合格证书（B类），水利水电相关专业中级及以上职称并具有担任项目经理的经历，不得同时在两个及以上在建工程中担任项目经理，或在另一在建项目中担任技术负责人（需提供无在建承诺书，格式自拟）。</w:t>
            </w:r>
          </w:p>
        </w:tc>
      </w:tr>
      <w:tr w14:paraId="2E781ABA">
        <w:tblPrEx>
          <w:tblCellMar>
            <w:top w:w="0" w:type="dxa"/>
            <w:left w:w="108" w:type="dxa"/>
            <w:bottom w:w="0" w:type="dxa"/>
            <w:right w:w="108" w:type="dxa"/>
          </w:tblCellMar>
        </w:tblPrEx>
        <w:trPr>
          <w:trHeight w:val="0" w:hRule="atLeast"/>
        </w:trPr>
        <w:tc>
          <w:tcPr>
            <w:tcW w:w="967" w:type="dxa"/>
            <w:tcBorders>
              <w:top w:val="single" w:color="auto" w:sz="4" w:space="0"/>
              <w:left w:val="single" w:color="auto" w:sz="4" w:space="0"/>
              <w:bottom w:val="single" w:color="auto" w:sz="4" w:space="0"/>
              <w:right w:val="single" w:color="auto" w:sz="4" w:space="0"/>
            </w:tcBorders>
            <w:noWrap w:val="0"/>
            <w:vAlign w:val="center"/>
          </w:tcPr>
          <w:p w14:paraId="509062A2">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19</w:t>
            </w:r>
          </w:p>
        </w:tc>
        <w:tc>
          <w:tcPr>
            <w:tcW w:w="1327" w:type="dxa"/>
            <w:tcBorders>
              <w:top w:val="single" w:color="auto" w:sz="4" w:space="0"/>
              <w:left w:val="single" w:color="auto" w:sz="4" w:space="0"/>
              <w:bottom w:val="single" w:color="auto" w:sz="4" w:space="0"/>
              <w:right w:val="single" w:color="auto" w:sz="4" w:space="0"/>
            </w:tcBorders>
            <w:noWrap w:val="0"/>
            <w:vAlign w:val="center"/>
          </w:tcPr>
          <w:p w14:paraId="7609E117">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是否允许递交备选报价方案</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069DD0FE">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 不允许</w:t>
            </w:r>
          </w:p>
          <w:p w14:paraId="69D65D70">
            <w:pPr>
              <w:keepNext w:val="0"/>
              <w:keepLines w:val="0"/>
              <w:pageBreakBefore w:val="0"/>
              <w:widowControl w:val="0"/>
              <w:kinsoku/>
              <w:overflowPunct/>
              <w:topLinePunct w:val="0"/>
              <w:bidi w:val="0"/>
              <w:snapToGrid/>
              <w:spacing w:before="63" w:beforeLines="20" w:line="288" w:lineRule="auto"/>
              <w:ind w:left="360" w:hanging="360" w:hangingChars="150"/>
              <w:textAlignment w:val="auto"/>
              <w:rPr>
                <w:rFonts w:hint="eastAsia" w:ascii="宋体" w:hAnsi="宋体" w:eastAsia="宋体" w:cs="宋体"/>
                <w:color w:val="000000" w:themeColor="text1"/>
                <w:sz w:val="24"/>
                <w:szCs w:val="24"/>
                <w:highlight w:val="none"/>
                <w:u w:val="singl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 允许。要求：只有成交供应商所递交的备选报价方案方可予以考虑。谈判小组认为成交供应商的备选报价方案优于其按照采购文件要求的报价方案，采购人可以接受该备选报价方案。</w:t>
            </w:r>
          </w:p>
        </w:tc>
      </w:tr>
      <w:tr w14:paraId="0A799F5B">
        <w:tblPrEx>
          <w:tblCellMar>
            <w:top w:w="0" w:type="dxa"/>
            <w:left w:w="108" w:type="dxa"/>
            <w:bottom w:w="0" w:type="dxa"/>
            <w:right w:w="108" w:type="dxa"/>
          </w:tblCellMar>
        </w:tblPrEx>
        <w:trPr>
          <w:trHeight w:val="0" w:hRule="atLeast"/>
        </w:trPr>
        <w:tc>
          <w:tcPr>
            <w:tcW w:w="967" w:type="dxa"/>
            <w:tcBorders>
              <w:top w:val="single" w:color="auto" w:sz="4" w:space="0"/>
              <w:left w:val="single" w:color="auto" w:sz="4" w:space="0"/>
              <w:bottom w:val="single" w:color="auto" w:sz="4" w:space="0"/>
              <w:right w:val="single" w:color="auto" w:sz="4" w:space="0"/>
            </w:tcBorders>
            <w:noWrap w:val="0"/>
            <w:vAlign w:val="center"/>
          </w:tcPr>
          <w:p w14:paraId="05C89A3C">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20</w:t>
            </w:r>
          </w:p>
        </w:tc>
        <w:tc>
          <w:tcPr>
            <w:tcW w:w="1327" w:type="dxa"/>
            <w:tcBorders>
              <w:top w:val="single" w:color="auto" w:sz="4" w:space="0"/>
              <w:left w:val="single" w:color="auto" w:sz="4" w:space="0"/>
              <w:bottom w:val="single" w:color="auto" w:sz="4" w:space="0"/>
              <w:right w:val="single" w:color="auto" w:sz="4" w:space="0"/>
            </w:tcBorders>
            <w:noWrap w:val="0"/>
            <w:vAlign w:val="center"/>
          </w:tcPr>
          <w:p w14:paraId="001F29AA">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响应报价的范围</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0C5B3AD5">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含税全包价，包括产品的设计、制作、包装、保险、运输、装卸、</w:t>
            </w:r>
            <w:r>
              <w:rPr>
                <w:rFonts w:hint="eastAsia" w:ascii="宋体" w:hAnsi="宋体" w:eastAsia="宋体" w:cs="宋体"/>
                <w:color w:val="000000" w:themeColor="text1"/>
                <w:sz w:val="24"/>
                <w:szCs w:val="24"/>
                <w:highlight w:val="none"/>
                <w:u w:val="single"/>
                <w:lang w:val="zh-CN"/>
                <w14:textFill>
                  <w14:solidFill>
                    <w14:schemeClr w14:val="tx1"/>
                  </w14:solidFill>
                </w14:textFill>
              </w:rPr>
              <w:t>安装、调试</w:t>
            </w:r>
            <w:r>
              <w:rPr>
                <w:rFonts w:hint="eastAsia" w:ascii="宋体" w:hAnsi="宋体" w:eastAsia="宋体" w:cs="宋体"/>
                <w:color w:val="000000" w:themeColor="text1"/>
                <w:sz w:val="24"/>
                <w:szCs w:val="24"/>
                <w:highlight w:val="none"/>
                <w:lang w:val="zh-CN"/>
                <w14:textFill>
                  <w14:solidFill>
                    <w14:schemeClr w14:val="tx1"/>
                  </w14:solidFill>
                </w14:textFill>
              </w:rPr>
              <w:t>、培训、验收、保修等一切费用。</w:t>
            </w:r>
          </w:p>
        </w:tc>
      </w:tr>
      <w:tr w14:paraId="4B83DC37">
        <w:tblPrEx>
          <w:tblCellMar>
            <w:top w:w="0" w:type="dxa"/>
            <w:left w:w="108" w:type="dxa"/>
            <w:bottom w:w="0" w:type="dxa"/>
            <w:right w:w="108" w:type="dxa"/>
          </w:tblCellMar>
        </w:tblPrEx>
        <w:trPr>
          <w:trHeight w:val="0" w:hRule="atLeast"/>
        </w:trPr>
        <w:tc>
          <w:tcPr>
            <w:tcW w:w="967" w:type="dxa"/>
            <w:tcBorders>
              <w:top w:val="single" w:color="auto" w:sz="4" w:space="0"/>
              <w:left w:val="single" w:color="auto" w:sz="4" w:space="0"/>
              <w:bottom w:val="single" w:color="auto" w:sz="4" w:space="0"/>
              <w:right w:val="single" w:color="auto" w:sz="4" w:space="0"/>
            </w:tcBorders>
            <w:noWrap w:val="0"/>
            <w:vAlign w:val="center"/>
          </w:tcPr>
          <w:p w14:paraId="1F648DFE">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21</w:t>
            </w:r>
          </w:p>
        </w:tc>
        <w:tc>
          <w:tcPr>
            <w:tcW w:w="1327" w:type="dxa"/>
            <w:tcBorders>
              <w:top w:val="single" w:color="auto" w:sz="4" w:space="0"/>
              <w:left w:val="single" w:color="auto" w:sz="4" w:space="0"/>
              <w:bottom w:val="single" w:color="auto" w:sz="4" w:space="0"/>
              <w:right w:val="single" w:color="auto" w:sz="4" w:space="0"/>
            </w:tcBorders>
            <w:noWrap w:val="0"/>
            <w:vAlign w:val="center"/>
          </w:tcPr>
          <w:p w14:paraId="67EACA92">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响应报价的次数</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087A9A66">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完成本项目采购需求的包干总价；本项目为竞争性谈判，最终报价</w:t>
            </w:r>
            <w:r>
              <w:rPr>
                <w:rFonts w:hint="eastAsia" w:ascii="宋体" w:hAnsi="宋体" w:cs="宋体"/>
                <w:color w:val="000000" w:themeColor="text1"/>
                <w:sz w:val="24"/>
                <w:szCs w:val="24"/>
                <w:highlight w:val="none"/>
                <w:lang w:val="en-US" w:eastAsia="zh-CN"/>
                <w14:textFill>
                  <w14:solidFill>
                    <w14:schemeClr w14:val="tx1"/>
                  </w14:solidFill>
                </w14:textFill>
              </w:rPr>
              <w:t>两</w:t>
            </w:r>
            <w:r>
              <w:rPr>
                <w:rFonts w:hint="eastAsia" w:ascii="宋体" w:hAnsi="宋体" w:eastAsia="宋体" w:cs="宋体"/>
                <w:color w:val="000000" w:themeColor="text1"/>
                <w:sz w:val="24"/>
                <w:szCs w:val="24"/>
                <w:highlight w:val="none"/>
                <w14:textFill>
                  <w14:solidFill>
                    <w14:schemeClr w14:val="tx1"/>
                  </w14:solidFill>
                </w14:textFill>
              </w:rPr>
              <w:t xml:space="preserve"> 轮或两轮以上。</w:t>
            </w:r>
          </w:p>
        </w:tc>
      </w:tr>
      <w:tr w14:paraId="2BD95170">
        <w:tblPrEx>
          <w:tblCellMar>
            <w:top w:w="0" w:type="dxa"/>
            <w:left w:w="108" w:type="dxa"/>
            <w:bottom w:w="0" w:type="dxa"/>
            <w:right w:w="108" w:type="dxa"/>
          </w:tblCellMar>
        </w:tblPrEx>
        <w:trPr>
          <w:trHeight w:val="0" w:hRule="atLeast"/>
        </w:trPr>
        <w:tc>
          <w:tcPr>
            <w:tcW w:w="967" w:type="dxa"/>
            <w:tcBorders>
              <w:top w:val="single" w:color="auto" w:sz="4" w:space="0"/>
              <w:left w:val="single" w:color="auto" w:sz="4" w:space="0"/>
              <w:bottom w:val="single" w:color="auto" w:sz="4" w:space="0"/>
              <w:right w:val="single" w:color="auto" w:sz="4" w:space="0"/>
            </w:tcBorders>
            <w:noWrap w:val="0"/>
            <w:vAlign w:val="center"/>
          </w:tcPr>
          <w:p w14:paraId="502F52CE">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22</w:t>
            </w:r>
          </w:p>
        </w:tc>
        <w:tc>
          <w:tcPr>
            <w:tcW w:w="1327" w:type="dxa"/>
            <w:tcBorders>
              <w:top w:val="single" w:color="auto" w:sz="4" w:space="0"/>
              <w:left w:val="single" w:color="auto" w:sz="4" w:space="0"/>
              <w:bottom w:val="single" w:color="auto" w:sz="4" w:space="0"/>
              <w:right w:val="single" w:color="auto" w:sz="4" w:space="0"/>
            </w:tcBorders>
            <w:noWrap w:val="0"/>
            <w:vAlign w:val="center"/>
          </w:tcPr>
          <w:p w14:paraId="6E19925D">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进口产品投标</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59E490CF">
            <w:pPr>
              <w:keepNext w:val="0"/>
              <w:keepLines w:val="0"/>
              <w:pageBreakBefore w:val="0"/>
              <w:widowControl w:val="0"/>
              <w:kinsoku/>
              <w:overflowPunct/>
              <w:topLinePunct w:val="0"/>
              <w:bidi w:val="0"/>
              <w:snapToGrid/>
              <w:spacing w:before="63" w:beforeLines="20" w:line="288" w:lineRule="auto"/>
              <w:ind w:left="360" w:hanging="360" w:hangingChars="15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不允许</w:t>
            </w:r>
          </w:p>
          <w:p w14:paraId="2283C600">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允许，</w:t>
            </w:r>
            <w:r>
              <w:rPr>
                <w:rFonts w:hint="eastAsia" w:ascii="宋体" w:hAnsi="宋体" w:eastAsia="宋体" w:cs="宋体"/>
                <w:color w:val="000000" w:themeColor="text1"/>
                <w:sz w:val="24"/>
                <w:szCs w:val="24"/>
                <w:highlight w:val="none"/>
                <w:lang w:val="zh-CN"/>
                <w14:textFill>
                  <w14:solidFill>
                    <w14:schemeClr w14:val="tx1"/>
                  </w14:solidFill>
                </w14:textFill>
              </w:rPr>
              <w:t>产品名目清单：</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p>
        </w:tc>
      </w:tr>
      <w:tr w14:paraId="4BE4488C">
        <w:tblPrEx>
          <w:tblCellMar>
            <w:top w:w="0" w:type="dxa"/>
            <w:left w:w="108" w:type="dxa"/>
            <w:bottom w:w="0" w:type="dxa"/>
            <w:right w:w="108" w:type="dxa"/>
          </w:tblCellMar>
        </w:tblPrEx>
        <w:trPr>
          <w:trHeight w:val="0" w:hRule="atLeast"/>
        </w:trPr>
        <w:tc>
          <w:tcPr>
            <w:tcW w:w="967" w:type="dxa"/>
            <w:tcBorders>
              <w:top w:val="single" w:color="auto" w:sz="4" w:space="0"/>
              <w:left w:val="single" w:color="auto" w:sz="4" w:space="0"/>
              <w:bottom w:val="single" w:color="auto" w:sz="4" w:space="0"/>
              <w:right w:val="single" w:color="auto" w:sz="4" w:space="0"/>
            </w:tcBorders>
            <w:noWrap w:val="0"/>
            <w:vAlign w:val="center"/>
          </w:tcPr>
          <w:p w14:paraId="16CA1542">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23</w:t>
            </w:r>
          </w:p>
        </w:tc>
        <w:tc>
          <w:tcPr>
            <w:tcW w:w="1327" w:type="dxa"/>
            <w:tcBorders>
              <w:top w:val="single" w:color="auto" w:sz="4" w:space="0"/>
              <w:left w:val="single" w:color="auto" w:sz="4" w:space="0"/>
              <w:bottom w:val="single" w:color="auto" w:sz="4" w:space="0"/>
              <w:right w:val="single" w:color="auto" w:sz="4" w:space="0"/>
            </w:tcBorders>
            <w:noWrap w:val="0"/>
            <w:vAlign w:val="center"/>
          </w:tcPr>
          <w:p w14:paraId="3FD7ADB3">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样品</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2E54E982">
            <w:pPr>
              <w:keepNext w:val="0"/>
              <w:keepLines w:val="0"/>
              <w:pageBreakBefore w:val="0"/>
              <w:widowControl w:val="0"/>
              <w:kinsoku/>
              <w:overflowPunct/>
              <w:topLinePunct w:val="0"/>
              <w:bidi w:val="0"/>
              <w:snapToGrid/>
              <w:spacing w:before="63" w:beforeLines="20" w:line="288" w:lineRule="auto"/>
              <w:ind w:left="360" w:hanging="36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 不需要</w:t>
            </w:r>
          </w:p>
          <w:p w14:paraId="7E1867E0">
            <w:pPr>
              <w:keepNext w:val="0"/>
              <w:keepLines w:val="0"/>
              <w:pageBreakBefore w:val="0"/>
              <w:widowControl w:val="0"/>
              <w:kinsoku/>
              <w:overflowPunct/>
              <w:topLinePunct w:val="0"/>
              <w:bidi w:val="0"/>
              <w:snapToGrid/>
              <w:spacing w:before="63" w:beforeLines="20" w:line="288" w:lineRule="auto"/>
              <w:ind w:left="360" w:hanging="36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 需要，样品要求如下：</w:t>
            </w:r>
          </w:p>
          <w:p w14:paraId="6645B533">
            <w:pPr>
              <w:keepNext w:val="0"/>
              <w:keepLines w:val="0"/>
              <w:pageBreakBefore w:val="0"/>
              <w:widowControl w:val="0"/>
              <w:kinsoku/>
              <w:overflowPunct/>
              <w:topLinePunct w:val="0"/>
              <w:bidi w:val="0"/>
              <w:snapToGrid/>
              <w:spacing w:before="63" w:beforeLines="20" w:line="288" w:lineRule="auto"/>
              <w:ind w:firstLine="360" w:firstLineChars="15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1.样品：采购文件中带“※”标注的货物为供应商开标时应提供的样品。</w:t>
            </w:r>
          </w:p>
          <w:p w14:paraId="4F687046">
            <w:pPr>
              <w:keepNext w:val="0"/>
              <w:keepLines w:val="0"/>
              <w:pageBreakBefore w:val="0"/>
              <w:widowControl w:val="0"/>
              <w:kinsoku/>
              <w:overflowPunct/>
              <w:topLinePunct w:val="0"/>
              <w:bidi w:val="0"/>
              <w:snapToGrid/>
              <w:spacing w:before="63" w:beforeLines="20" w:line="288" w:lineRule="auto"/>
              <w:ind w:firstLine="360" w:firstLineChars="15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2.样品的生产、安装、运输费、保全费等一切费用由供应商自理。</w:t>
            </w:r>
          </w:p>
          <w:p w14:paraId="39BDF9BB">
            <w:pPr>
              <w:keepNext w:val="0"/>
              <w:keepLines w:val="0"/>
              <w:pageBreakBefore w:val="0"/>
              <w:widowControl w:val="0"/>
              <w:kinsoku/>
              <w:overflowPunct/>
              <w:topLinePunct w:val="0"/>
              <w:bidi w:val="0"/>
              <w:snapToGrid/>
              <w:spacing w:before="63" w:beforeLines="20" w:line="288" w:lineRule="auto"/>
              <w:ind w:firstLine="360" w:firstLineChars="15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3.送样截止时间：20</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年</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月</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日</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时</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分</w:t>
            </w:r>
            <w:r>
              <w:rPr>
                <w:rFonts w:hint="eastAsia" w:ascii="宋体" w:hAnsi="宋体" w:eastAsia="宋体" w:cs="宋体"/>
                <w:color w:val="000000" w:themeColor="text1"/>
                <w:sz w:val="24"/>
                <w:szCs w:val="24"/>
                <w:highlight w:val="none"/>
                <w14:textFill>
                  <w14:solidFill>
                    <w14:schemeClr w14:val="tx1"/>
                  </w14:solidFill>
                </w14:textFill>
              </w:rPr>
              <w:t>，</w:t>
            </w:r>
          </w:p>
          <w:p w14:paraId="1DD00E71">
            <w:pPr>
              <w:keepNext w:val="0"/>
              <w:keepLines w:val="0"/>
              <w:pageBreakBefore w:val="0"/>
              <w:widowControl w:val="0"/>
              <w:kinsoku/>
              <w:overflowPunct/>
              <w:topLinePunct w:val="0"/>
              <w:bidi w:val="0"/>
              <w:snapToGrid/>
              <w:spacing w:before="63" w:beforeLines="20" w:line="288" w:lineRule="auto"/>
              <w:ind w:firstLine="360" w:firstLineChars="15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4.送样送达地点：</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逾期送达或未送达到指定地点的拒绝接收</w:t>
            </w:r>
            <w:r>
              <w:rPr>
                <w:rFonts w:hint="eastAsia" w:ascii="宋体" w:hAnsi="宋体" w:eastAsia="宋体" w:cs="宋体"/>
                <w:color w:val="000000" w:themeColor="text1"/>
                <w:sz w:val="24"/>
                <w:szCs w:val="24"/>
                <w:highlight w:val="none"/>
                <w:lang w:val="zh-CN"/>
                <w14:textFill>
                  <w14:solidFill>
                    <w14:schemeClr w14:val="tx1"/>
                  </w14:solidFill>
                </w14:textFill>
              </w:rPr>
              <w:t>。</w:t>
            </w:r>
          </w:p>
          <w:p w14:paraId="57070312">
            <w:pPr>
              <w:keepNext w:val="0"/>
              <w:keepLines w:val="0"/>
              <w:pageBreakBefore w:val="0"/>
              <w:widowControl w:val="0"/>
              <w:kinsoku/>
              <w:overflowPunct/>
              <w:topLinePunct w:val="0"/>
              <w:bidi w:val="0"/>
              <w:snapToGrid/>
              <w:spacing w:before="63" w:beforeLines="20" w:line="288" w:lineRule="auto"/>
              <w:ind w:firstLine="360" w:firstLineChars="15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5.供应商应按照采购代理机构的要求摆放样品并做好展示，样品不能有供应商的标识及品牌，样品将进行统一编号。</w:t>
            </w:r>
          </w:p>
          <w:p w14:paraId="056D34E7">
            <w:pPr>
              <w:keepNext w:val="0"/>
              <w:keepLines w:val="0"/>
              <w:pageBreakBefore w:val="0"/>
              <w:widowControl w:val="0"/>
              <w:kinsoku/>
              <w:overflowPunct/>
              <w:topLinePunct w:val="0"/>
              <w:bidi w:val="0"/>
              <w:snapToGrid/>
              <w:spacing w:before="63" w:beforeLines="20" w:line="288" w:lineRule="auto"/>
              <w:ind w:firstLine="360" w:firstLineChars="15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6.若需要现场演示的，供应商应提前做好演示准备（包括电源线等），届时未能演示的，后果自负。</w:t>
            </w:r>
          </w:p>
          <w:p w14:paraId="69BF5E91">
            <w:pPr>
              <w:keepNext w:val="0"/>
              <w:keepLines w:val="0"/>
              <w:pageBreakBefore w:val="0"/>
              <w:widowControl w:val="0"/>
              <w:kinsoku/>
              <w:overflowPunct/>
              <w:topLinePunct w:val="0"/>
              <w:bidi w:val="0"/>
              <w:snapToGrid/>
              <w:spacing w:before="63" w:beforeLines="20" w:line="288" w:lineRule="auto"/>
              <w:ind w:firstLine="360" w:firstLineChars="15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宣布评审结果前，供应商不得将样品整理、装箱或者撤离展示区；遇到特殊情况需要对样品进行整理、装箱或者移动样品的，供应商必须书面提出申请，采购代理机构同意后方可移动样品。谈判小组已经确定供应商响应无效或者废标的，供应商签字确认后可以进行样品整理、装箱或者撤离展示区，但不得影响或者损害其他供应商的样品，否则将承担相应的法律责任。</w:t>
            </w:r>
          </w:p>
          <w:p w14:paraId="3D4FC690">
            <w:pPr>
              <w:keepNext w:val="0"/>
              <w:keepLines w:val="0"/>
              <w:pageBreakBefore w:val="0"/>
              <w:widowControl w:val="0"/>
              <w:kinsoku/>
              <w:overflowPunct/>
              <w:topLinePunct w:val="0"/>
              <w:bidi w:val="0"/>
              <w:snapToGrid/>
              <w:spacing w:before="63" w:beforeLines="20" w:line="288" w:lineRule="auto"/>
              <w:ind w:firstLine="360" w:firstLineChars="15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8.宣布评审结果后，成交供应商与采购人、采购代理机构共同清点、检查和密封样品，由成交供应商送至采购人指定地点封存。</w:t>
            </w:r>
          </w:p>
        </w:tc>
      </w:tr>
      <w:tr w14:paraId="44609471">
        <w:tblPrEx>
          <w:tblCellMar>
            <w:top w:w="0" w:type="dxa"/>
            <w:left w:w="108" w:type="dxa"/>
            <w:bottom w:w="0" w:type="dxa"/>
            <w:right w:w="108" w:type="dxa"/>
          </w:tblCellMar>
        </w:tblPrEx>
        <w:trPr>
          <w:trHeight w:val="0" w:hRule="atLeast"/>
        </w:trPr>
        <w:tc>
          <w:tcPr>
            <w:tcW w:w="967" w:type="dxa"/>
            <w:tcBorders>
              <w:top w:val="single" w:color="auto" w:sz="4" w:space="0"/>
              <w:left w:val="single" w:color="auto" w:sz="4" w:space="0"/>
              <w:bottom w:val="single" w:color="auto" w:sz="4" w:space="0"/>
              <w:right w:val="single" w:color="auto" w:sz="4" w:space="0"/>
            </w:tcBorders>
            <w:noWrap w:val="0"/>
            <w:vAlign w:val="center"/>
          </w:tcPr>
          <w:p w14:paraId="1108AE1C">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24</w:t>
            </w:r>
          </w:p>
        </w:tc>
        <w:tc>
          <w:tcPr>
            <w:tcW w:w="1327" w:type="dxa"/>
            <w:tcBorders>
              <w:top w:val="single" w:color="auto" w:sz="4" w:space="0"/>
              <w:left w:val="single" w:color="auto" w:sz="4" w:space="0"/>
              <w:bottom w:val="single" w:color="auto" w:sz="4" w:space="0"/>
              <w:right w:val="single" w:color="auto" w:sz="4" w:space="0"/>
            </w:tcBorders>
            <w:noWrap w:val="0"/>
            <w:vAlign w:val="center"/>
          </w:tcPr>
          <w:p w14:paraId="7AB2599E">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投标保证金的交纳</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58D1A610">
            <w:pPr>
              <w:spacing w:line="40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投标保证金的形式：现金（电汇、网银）或金融机构、担保机构出具的保函等非现金形式交纳。</w:t>
            </w:r>
          </w:p>
          <w:p w14:paraId="6B8289C4">
            <w:pPr>
              <w:spacing w:line="40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投标保证金的形式：转账、电汇，逾期到账或未备注，造成的后果由供应商自行承担！</w:t>
            </w:r>
          </w:p>
          <w:p w14:paraId="01E5351F">
            <w:pPr>
              <w:spacing w:line="40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谈判保证金：</w:t>
            </w:r>
            <w:r>
              <w:rPr>
                <w:rFonts w:hint="eastAsia" w:ascii="宋体" w:hAnsi="宋体" w:cs="宋体"/>
                <w:color w:val="000000" w:themeColor="text1"/>
                <w:sz w:val="24"/>
                <w:szCs w:val="24"/>
                <w:highlight w:val="none"/>
                <w:lang w:val="en-US" w:eastAsia="zh-CN"/>
                <w14:textFill>
                  <w14:solidFill>
                    <w14:schemeClr w14:val="tx1"/>
                  </w14:solidFill>
                </w14:textFill>
              </w:rPr>
              <w:t>30000</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元（大写：</w:t>
            </w:r>
            <w:r>
              <w:rPr>
                <w:rFonts w:hint="eastAsia" w:ascii="宋体" w:hAnsi="宋体" w:cs="宋体"/>
                <w:color w:val="000000" w:themeColor="text1"/>
                <w:sz w:val="24"/>
                <w:szCs w:val="24"/>
                <w:highlight w:val="none"/>
                <w:lang w:val="en-US" w:eastAsia="zh-CN"/>
                <w14:textFill>
                  <w14:solidFill>
                    <w14:schemeClr w14:val="tx1"/>
                  </w14:solidFill>
                </w14:textFill>
              </w:rPr>
              <w:t>叁万元整</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64DDD0C3">
            <w:pPr>
              <w:spacing w:line="40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投标保证金缴纳账户：</w:t>
            </w:r>
          </w:p>
          <w:p w14:paraId="2549FF10">
            <w:pPr>
              <w:spacing w:line="40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开户名称：民丰县行政服务和公共资源交易中心 </w:t>
            </w:r>
          </w:p>
          <w:p w14:paraId="62C00F89">
            <w:pPr>
              <w:spacing w:line="40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开户银行：中国农业银行股份有限公司民丰县支行 </w:t>
            </w:r>
          </w:p>
          <w:p w14:paraId="798EE69D">
            <w:pPr>
              <w:spacing w:line="40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账号：30582301040020842</w:t>
            </w:r>
          </w:p>
          <w:p w14:paraId="7A9432AF">
            <w:pPr>
              <w:spacing w:line="40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【谈判保证金缴纳的截止时间为202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02</w:t>
            </w:r>
            <w:r>
              <w:rPr>
                <w:rFonts w:hint="eastAsia" w:ascii="宋体" w:hAnsi="宋体" w:eastAsia="宋体" w:cs="宋体"/>
                <w:color w:val="000000" w:themeColor="text1"/>
                <w:sz w:val="24"/>
                <w:szCs w:val="24"/>
                <w:highlight w:val="none"/>
                <w:lang w:val="en-US" w:eastAsia="zh-CN"/>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26</w:t>
            </w:r>
            <w:r>
              <w:rPr>
                <w:rFonts w:hint="eastAsia" w:ascii="宋体" w:hAnsi="宋体" w:eastAsia="宋体" w:cs="宋体"/>
                <w:color w:val="000000" w:themeColor="text1"/>
                <w:sz w:val="24"/>
                <w:szCs w:val="24"/>
                <w:highlight w:val="none"/>
                <w:lang w:val="en-US" w:eastAsia="zh-CN"/>
                <w14:textFill>
                  <w14:solidFill>
                    <w14:schemeClr w14:val="tx1"/>
                  </w14:solidFill>
                </w14:textFill>
              </w:rPr>
              <w:t>日</w:t>
            </w:r>
            <w:r>
              <w:rPr>
                <w:rFonts w:hint="eastAsia" w:ascii="宋体" w:hAnsi="宋体" w:cs="宋体"/>
                <w:color w:val="000000" w:themeColor="text1"/>
                <w:sz w:val="24"/>
                <w:szCs w:val="24"/>
                <w:highlight w:val="none"/>
                <w:lang w:val="en-US" w:eastAsia="zh-CN"/>
                <w14:textFill>
                  <w14:solidFill>
                    <w14:schemeClr w14:val="tx1"/>
                  </w14:solidFill>
                </w14:textFill>
              </w:rPr>
              <w:t>19</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0（北京时间），缴纳谈判保证金时应在付款用途里标明项目名称、编号及用途。谈判保证金以进账时间为准，投标保证金或保函所支付的费用须从投标人企业基本账户转出，同时将电子投标保单或电子回单作为投标文件组成部分在投标时一并提交。银行转账或电子保函凭证的扫描件上须手签写明“响应招标文件要求”字样，并放入投标文件中加盖公章。谈判保证金以其进账时间确定其有效性，在规定时间内未进如到指定账户，否则按废标处理。开标前投标单位不需至民丰县行政服务和公共资源交易中心换取保证金收据原件,开标时需携带谈判保证金缴纳凭证】</w:t>
            </w:r>
            <w:r>
              <w:rPr>
                <w:rFonts w:hint="eastAsia" w:ascii="宋体" w:hAnsi="宋体" w:cs="宋体"/>
                <w:color w:val="000000" w:themeColor="text1"/>
                <w:sz w:val="24"/>
                <w:szCs w:val="24"/>
                <w:highlight w:val="none"/>
                <w:lang w:val="en-US" w:eastAsia="zh-CN"/>
                <w14:textFill>
                  <w14:solidFill>
                    <w14:schemeClr w14:val="tx1"/>
                  </w14:solidFill>
                </w14:textFill>
              </w:rPr>
              <w:t>；投标单位须在投标文件中完全响应招标文件要求，投标人投标文件中须对：“投标保证金缴纳要求及违反相关法律规定的被没收投标保证金的情形”进行响应性承诺，将其作为附件放在投标文件“投标保证金银行汇款或转账凭证复印件或电子保函”缴纳凭证下一页投标单位务必严格按照“投标保证金”规定的要求办理缴纳、退款等事宜；</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开标结束后未中标企业现场将授权委托书或法人身份证复印件、开户许可证、收据（必须加盖公司公章/财务章）、银行回单递交至民丰县行政服务和公共资源交易中心 。</w:t>
            </w:r>
          </w:p>
        </w:tc>
      </w:tr>
      <w:tr w14:paraId="61D462F0">
        <w:tblPrEx>
          <w:tblCellMar>
            <w:top w:w="0" w:type="dxa"/>
            <w:left w:w="108" w:type="dxa"/>
            <w:bottom w:w="0" w:type="dxa"/>
            <w:right w:w="108" w:type="dxa"/>
          </w:tblCellMar>
        </w:tblPrEx>
        <w:trPr>
          <w:trHeight w:val="0" w:hRule="atLeast"/>
        </w:trPr>
        <w:tc>
          <w:tcPr>
            <w:tcW w:w="967" w:type="dxa"/>
            <w:tcBorders>
              <w:top w:val="single" w:color="auto" w:sz="4" w:space="0"/>
              <w:left w:val="single" w:color="auto" w:sz="4" w:space="0"/>
              <w:bottom w:val="single" w:color="auto" w:sz="4" w:space="0"/>
              <w:right w:val="single" w:color="auto" w:sz="4" w:space="0"/>
            </w:tcBorders>
            <w:noWrap w:val="0"/>
            <w:vAlign w:val="center"/>
          </w:tcPr>
          <w:p w14:paraId="2F84158E">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1327" w:type="dxa"/>
            <w:tcBorders>
              <w:top w:val="single" w:color="auto" w:sz="4" w:space="0"/>
              <w:left w:val="single" w:color="auto" w:sz="4" w:space="0"/>
              <w:bottom w:val="single" w:color="auto" w:sz="4" w:space="0"/>
              <w:right w:val="single" w:color="auto" w:sz="4" w:space="0"/>
            </w:tcBorders>
            <w:noWrap w:val="0"/>
            <w:vAlign w:val="center"/>
          </w:tcPr>
          <w:p w14:paraId="79B71E6C">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响应文件编制</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D55ECC4">
            <w:pPr>
              <w:spacing w:line="400" w:lineRule="exac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本项目采用电子交易方式，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p>
          <w:p w14:paraId="1F42848B">
            <w:pPr>
              <w:spacing w:line="400" w:lineRule="exac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zh-CN"/>
                <w14:textFill>
                  <w14:solidFill>
                    <w14:schemeClr w14:val="tx1"/>
                  </w14:solidFill>
                </w14:textFill>
              </w:rPr>
              <w:t>响应文件分技术文件、商务文件。</w:t>
            </w:r>
          </w:p>
          <w:p w14:paraId="73AE760A">
            <w:pPr>
              <w:spacing w:line="400" w:lineRule="exac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内容。</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应按照</w:t>
            </w:r>
            <w:r>
              <w:rPr>
                <w:rFonts w:hint="eastAsia" w:ascii="宋体" w:hAnsi="宋体" w:eastAsia="宋体" w:cs="宋体"/>
                <w:color w:val="000000" w:themeColor="text1"/>
                <w:sz w:val="24"/>
                <w:szCs w:val="24"/>
                <w:highlight w:val="none"/>
                <w:lang w:eastAsia="zh-CN"/>
                <w14:textFill>
                  <w14:solidFill>
                    <w14:schemeClr w14:val="tx1"/>
                  </w14:solidFill>
                </w14:textFill>
              </w:rPr>
              <w:t>竞争性谈判文件</w:t>
            </w:r>
            <w:r>
              <w:rPr>
                <w:rFonts w:hint="eastAsia" w:ascii="宋体" w:hAnsi="宋体" w:eastAsia="宋体" w:cs="宋体"/>
                <w:color w:val="000000" w:themeColor="text1"/>
                <w:sz w:val="24"/>
                <w:szCs w:val="24"/>
                <w:highlight w:val="none"/>
                <w14:textFill>
                  <w14:solidFill>
                    <w14:schemeClr w14:val="tx1"/>
                  </w14:solidFill>
                </w14:textFill>
              </w:rPr>
              <w:t>的要求编写</w:t>
            </w:r>
            <w:r>
              <w:rPr>
                <w:rFonts w:hint="eastAsia" w:ascii="宋体" w:hAnsi="宋体" w:eastAsia="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；对</w:t>
            </w:r>
            <w:r>
              <w:rPr>
                <w:rFonts w:hint="eastAsia" w:ascii="宋体" w:hAnsi="宋体" w:eastAsia="宋体" w:cs="宋体"/>
                <w:color w:val="000000" w:themeColor="text1"/>
                <w:sz w:val="24"/>
                <w:szCs w:val="24"/>
                <w:highlight w:val="none"/>
                <w:lang w:eastAsia="zh-CN"/>
                <w14:textFill>
                  <w14:solidFill>
                    <w14:schemeClr w14:val="tx1"/>
                  </w14:solidFill>
                </w14:textFill>
              </w:rPr>
              <w:t>竞争性谈判文件</w:t>
            </w:r>
            <w:r>
              <w:rPr>
                <w:rFonts w:hint="eastAsia" w:ascii="宋体" w:hAnsi="宋体" w:eastAsia="宋体" w:cs="宋体"/>
                <w:color w:val="000000" w:themeColor="text1"/>
                <w:sz w:val="24"/>
                <w:szCs w:val="24"/>
                <w:highlight w:val="none"/>
                <w14:textFill>
                  <w14:solidFill>
                    <w14:schemeClr w14:val="tx1"/>
                  </w14:solidFill>
                </w14:textFill>
              </w:rPr>
              <w:t>要求填写的表格或者资料不得缺少或者留空，</w:t>
            </w:r>
            <w:r>
              <w:rPr>
                <w:rFonts w:hint="eastAsia" w:ascii="宋体" w:hAnsi="宋体" w:eastAsia="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不得加行。</w:t>
            </w:r>
          </w:p>
          <w:p w14:paraId="061F187D">
            <w:pPr>
              <w:spacing w:line="400" w:lineRule="exact"/>
              <w:rPr>
                <w:rFonts w:hint="eastAsia" w:ascii="宋体" w:hAnsi="宋体" w:eastAsia="宋体" w:cs="宋体"/>
                <w:color w:val="000000" w:themeColor="text1"/>
                <w:kern w:val="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kern w:val="1"/>
                <w:sz w:val="24"/>
                <w:szCs w:val="24"/>
                <w:highlight w:val="none"/>
                <w:lang w:val="en-US" w:eastAsia="zh-CN"/>
                <w14:textFill>
                  <w14:solidFill>
                    <w14:schemeClr w14:val="tx1"/>
                  </w14:solidFill>
                </w14:textFill>
              </w:rPr>
              <w:t>应</w:t>
            </w:r>
            <w:r>
              <w:rPr>
                <w:rFonts w:hint="eastAsia" w:ascii="宋体" w:hAnsi="宋体" w:eastAsia="宋体" w:cs="宋体"/>
                <w:color w:val="000000" w:themeColor="text1"/>
                <w:kern w:val="1"/>
                <w:sz w:val="24"/>
                <w:szCs w:val="24"/>
                <w:highlight w:val="none"/>
                <w14:textFill>
                  <w14:solidFill>
                    <w14:schemeClr w14:val="tx1"/>
                  </w14:solidFill>
                </w14:textFill>
              </w:rPr>
              <w:t>编制目录，目录、内容标注连续页码，页码从目录编起，标注于页面底部居中位置</w:t>
            </w:r>
            <w:r>
              <w:rPr>
                <w:rFonts w:hint="eastAsia" w:ascii="宋体" w:hAnsi="宋体" w:eastAsia="宋体" w:cs="宋体"/>
                <w:color w:val="000000" w:themeColor="text1"/>
                <w:kern w:val="1"/>
                <w:sz w:val="24"/>
                <w:szCs w:val="24"/>
                <w:highlight w:val="none"/>
                <w:lang w:eastAsia="zh-CN"/>
                <w14:textFill>
                  <w14:solidFill>
                    <w14:schemeClr w14:val="tx1"/>
                  </w14:solidFill>
                </w14:textFill>
              </w:rPr>
              <w:t>。</w:t>
            </w:r>
          </w:p>
          <w:p w14:paraId="5A02445C">
            <w:pPr>
              <w:spacing w:line="400" w:lineRule="exac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供应商中标后应按要求提供纸质响应文件</w:t>
            </w:r>
            <w:r>
              <w:rPr>
                <w:rFonts w:hint="eastAsia" w:ascii="宋体" w:hAnsi="宋体" w:eastAsia="宋体" w:cs="宋体"/>
                <w:color w:val="000000" w:themeColor="text1"/>
                <w:sz w:val="24"/>
                <w:szCs w:val="24"/>
                <w:highlight w:val="none"/>
                <w:lang w:val="zh-CN"/>
                <w14:textFill>
                  <w14:solidFill>
                    <w14:schemeClr w14:val="tx1"/>
                  </w14:solidFill>
                </w14:textFill>
              </w:rPr>
              <w:t>。</w:t>
            </w:r>
          </w:p>
        </w:tc>
      </w:tr>
      <w:tr w14:paraId="248CCFA6">
        <w:tblPrEx>
          <w:tblCellMar>
            <w:top w:w="0" w:type="dxa"/>
            <w:left w:w="108" w:type="dxa"/>
            <w:bottom w:w="0" w:type="dxa"/>
            <w:right w:w="108" w:type="dxa"/>
          </w:tblCellMar>
        </w:tblPrEx>
        <w:trPr>
          <w:trHeight w:val="0" w:hRule="atLeast"/>
        </w:trPr>
        <w:tc>
          <w:tcPr>
            <w:tcW w:w="967" w:type="dxa"/>
            <w:tcBorders>
              <w:top w:val="single" w:color="auto" w:sz="4" w:space="0"/>
              <w:left w:val="single" w:color="auto" w:sz="4" w:space="0"/>
              <w:right w:val="single" w:color="auto" w:sz="4" w:space="0"/>
            </w:tcBorders>
            <w:noWrap w:val="0"/>
            <w:vAlign w:val="center"/>
          </w:tcPr>
          <w:p w14:paraId="359B4038">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1327" w:type="dxa"/>
            <w:tcBorders>
              <w:top w:val="single" w:color="auto" w:sz="4" w:space="0"/>
              <w:left w:val="single" w:color="auto" w:sz="4" w:space="0"/>
              <w:bottom w:val="single" w:color="auto" w:sz="4" w:space="0"/>
              <w:right w:val="single" w:color="auto" w:sz="4" w:space="0"/>
            </w:tcBorders>
            <w:noWrap w:val="0"/>
            <w:vAlign w:val="center"/>
          </w:tcPr>
          <w:p w14:paraId="01B13578">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响应文件签署和盖章</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6EFBBFA9">
            <w:pPr>
              <w:spacing w:line="400" w:lineRule="exac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1.竞争性谈判文件要求供应商法定代表人或者被授权代表签字处，均须</w:t>
            </w:r>
            <w:r>
              <w:rPr>
                <w:rFonts w:hint="eastAsia" w:ascii="宋体" w:hAnsi="宋体" w:eastAsia="宋体" w:cs="宋体"/>
                <w:color w:val="000000" w:themeColor="text1"/>
                <w:sz w:val="24"/>
                <w:szCs w:val="24"/>
                <w:highlight w:val="none"/>
                <w:lang w:val="en-US" w:eastAsia="zh-CN"/>
                <w14:textFill>
                  <w14:solidFill>
                    <w14:schemeClr w14:val="tx1"/>
                  </w14:solidFill>
                </w14:textFill>
              </w:rPr>
              <w:t>加盖其个人电子印章</w:t>
            </w:r>
            <w:r>
              <w:rPr>
                <w:rFonts w:hint="eastAsia" w:ascii="宋体" w:hAnsi="宋体" w:eastAsia="宋体" w:cs="宋体"/>
                <w:color w:val="000000" w:themeColor="text1"/>
                <w:sz w:val="24"/>
                <w:szCs w:val="24"/>
                <w:highlight w:val="none"/>
                <w:lang w:val="zh-CN"/>
                <w14:textFill>
                  <w14:solidFill>
                    <w14:schemeClr w14:val="tx1"/>
                  </w14:solidFill>
                </w14:textFill>
              </w:rPr>
              <w:t>，并</w:t>
            </w:r>
            <w:r>
              <w:rPr>
                <w:rFonts w:hint="eastAsia" w:ascii="宋体" w:hAnsi="宋体" w:eastAsia="宋体" w:cs="宋体"/>
                <w:color w:val="000000" w:themeColor="text1"/>
                <w:sz w:val="24"/>
                <w:szCs w:val="24"/>
                <w:highlight w:val="none"/>
                <w:lang w:val="en-US" w:eastAsia="zh-CN"/>
                <w14:textFill>
                  <w14:solidFill>
                    <w14:schemeClr w14:val="tx1"/>
                  </w14:solidFill>
                </w14:textFill>
              </w:rPr>
              <w:t>逐页</w:t>
            </w:r>
            <w:r>
              <w:rPr>
                <w:rFonts w:hint="eastAsia" w:ascii="宋体" w:hAnsi="宋体" w:eastAsia="宋体" w:cs="宋体"/>
                <w:color w:val="000000" w:themeColor="text1"/>
                <w:sz w:val="24"/>
                <w:szCs w:val="24"/>
                <w:highlight w:val="none"/>
                <w:lang w:val="zh-CN"/>
                <w14:textFill>
                  <w14:solidFill>
                    <w14:schemeClr w14:val="tx1"/>
                  </w14:solidFill>
                </w14:textFill>
              </w:rPr>
              <w:t>加盖单位公章</w:t>
            </w:r>
            <w:r>
              <w:rPr>
                <w:rFonts w:hint="eastAsia" w:ascii="宋体" w:hAnsi="宋体" w:eastAsia="宋体" w:cs="宋体"/>
                <w:color w:val="000000" w:themeColor="text1"/>
                <w:sz w:val="24"/>
                <w:szCs w:val="24"/>
                <w:highlight w:val="none"/>
                <w:lang w:val="en-US" w:eastAsia="zh-CN"/>
                <w14:textFill>
                  <w14:solidFill>
                    <w14:schemeClr w14:val="tx1"/>
                  </w14:solidFill>
                </w14:textFill>
              </w:rPr>
              <w:t>的电子印章</w:t>
            </w:r>
            <w:r>
              <w:rPr>
                <w:rFonts w:hint="eastAsia" w:ascii="宋体" w:hAnsi="宋体" w:eastAsia="宋体" w:cs="宋体"/>
                <w:color w:val="000000" w:themeColor="text1"/>
                <w:sz w:val="24"/>
                <w:szCs w:val="24"/>
                <w:highlight w:val="none"/>
                <w:lang w:val="zh-CN"/>
                <w14:textFill>
                  <w14:solidFill>
                    <w14:schemeClr w14:val="tx1"/>
                  </w14:solidFill>
                </w14:textFill>
              </w:rPr>
              <w:t>。</w:t>
            </w:r>
          </w:p>
          <w:p w14:paraId="1791D6C0">
            <w:pPr>
              <w:spacing w:line="400" w:lineRule="exac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2.被授权代表人</w:t>
            </w:r>
            <w:r>
              <w:rPr>
                <w:rFonts w:hint="eastAsia" w:ascii="宋体" w:hAnsi="宋体" w:eastAsia="宋体" w:cs="宋体"/>
                <w:color w:val="000000" w:themeColor="text1"/>
                <w:sz w:val="24"/>
                <w:szCs w:val="24"/>
                <w:highlight w:val="none"/>
                <w:lang w:val="en-US" w:eastAsia="zh-CN"/>
                <w14:textFill>
                  <w14:solidFill>
                    <w14:schemeClr w14:val="tx1"/>
                  </w14:solidFill>
                </w14:textFill>
              </w:rPr>
              <w:t>签章的</w:t>
            </w:r>
            <w:r>
              <w:rPr>
                <w:rFonts w:hint="eastAsia" w:ascii="宋体" w:hAnsi="宋体" w:eastAsia="宋体" w:cs="宋体"/>
                <w:color w:val="000000" w:themeColor="text1"/>
                <w:sz w:val="24"/>
                <w:szCs w:val="24"/>
                <w:highlight w:val="none"/>
                <w:lang w:val="zh-CN"/>
                <w14:textFill>
                  <w14:solidFill>
                    <w14:schemeClr w14:val="tx1"/>
                  </w14:solidFill>
                </w14:textFill>
              </w:rPr>
              <w:t>，响应文件应附法人授权委托书。</w:t>
            </w:r>
          </w:p>
          <w:p w14:paraId="02CFBAB9">
            <w:pPr>
              <w:spacing w:line="400" w:lineRule="exac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zh-CN"/>
                <w14:textFill>
                  <w14:solidFill>
                    <w14:schemeClr w14:val="tx1"/>
                  </w14:solidFill>
                </w14:textFill>
              </w:rPr>
              <w:t>.供应商在响应文件以及相关书面文件中的单位盖章（包括印章、公章等）均指与供应商名称全称相一致的标准公章，不得使用其他形式（如带有“专用章”、“合同章”、“财务章”、“业务章”等）的印章。</w:t>
            </w:r>
          </w:p>
        </w:tc>
      </w:tr>
      <w:tr w14:paraId="21632AA7">
        <w:tblPrEx>
          <w:tblCellMar>
            <w:top w:w="0" w:type="dxa"/>
            <w:left w:w="108" w:type="dxa"/>
            <w:bottom w:w="0" w:type="dxa"/>
            <w:right w:w="108" w:type="dxa"/>
          </w:tblCellMar>
        </w:tblPrEx>
        <w:trPr>
          <w:trHeight w:val="0" w:hRule="atLeast"/>
        </w:trPr>
        <w:tc>
          <w:tcPr>
            <w:tcW w:w="967" w:type="dxa"/>
            <w:tcBorders>
              <w:top w:val="single" w:color="auto" w:sz="4" w:space="0"/>
              <w:left w:val="single" w:color="auto" w:sz="4" w:space="0"/>
              <w:bottom w:val="single" w:color="auto" w:sz="4" w:space="0"/>
              <w:right w:val="single" w:color="auto" w:sz="4" w:space="0"/>
            </w:tcBorders>
            <w:noWrap w:val="0"/>
            <w:vAlign w:val="center"/>
          </w:tcPr>
          <w:p w14:paraId="757F3360">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p>
        </w:tc>
        <w:tc>
          <w:tcPr>
            <w:tcW w:w="1327" w:type="dxa"/>
            <w:tcBorders>
              <w:top w:val="single" w:color="auto" w:sz="4" w:space="0"/>
              <w:left w:val="single" w:color="auto" w:sz="4" w:space="0"/>
              <w:bottom w:val="single" w:color="auto" w:sz="4" w:space="0"/>
              <w:right w:val="single" w:color="auto" w:sz="4" w:space="0"/>
            </w:tcBorders>
            <w:noWrap w:val="0"/>
            <w:vAlign w:val="center"/>
          </w:tcPr>
          <w:p w14:paraId="0C0DAA64">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响应文件加密、上传</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57590164">
            <w:pPr>
              <w:spacing w:line="400" w:lineRule="exact"/>
              <w:ind w:firstLine="480" w:firstLineChars="2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本项目采用不见面开标，供应商须在投标截止时间前，将生成的“电子加密响应文件”上传递交至“政府采购云平台”，投标截止时间以后上传递交的响应文件将被“政府采购 云平台”拒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tc>
      </w:tr>
      <w:tr w14:paraId="359EFE6E">
        <w:tblPrEx>
          <w:tblCellMar>
            <w:top w:w="0" w:type="dxa"/>
            <w:left w:w="108" w:type="dxa"/>
            <w:bottom w:w="0" w:type="dxa"/>
            <w:right w:w="108" w:type="dxa"/>
          </w:tblCellMar>
        </w:tblPrEx>
        <w:trPr>
          <w:trHeight w:val="0" w:hRule="atLeast"/>
        </w:trPr>
        <w:tc>
          <w:tcPr>
            <w:tcW w:w="967" w:type="dxa"/>
            <w:tcBorders>
              <w:top w:val="single" w:color="auto" w:sz="4" w:space="0"/>
              <w:left w:val="single" w:color="auto" w:sz="4" w:space="0"/>
              <w:bottom w:val="single" w:color="auto" w:sz="4" w:space="0"/>
              <w:right w:val="single" w:color="auto" w:sz="4" w:space="0"/>
            </w:tcBorders>
            <w:noWrap w:val="0"/>
            <w:vAlign w:val="center"/>
          </w:tcPr>
          <w:p w14:paraId="7D5A7109">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c>
          <w:tcPr>
            <w:tcW w:w="1327" w:type="dxa"/>
            <w:tcBorders>
              <w:top w:val="single" w:color="auto" w:sz="4" w:space="0"/>
              <w:left w:val="single" w:color="auto" w:sz="4" w:space="0"/>
              <w:bottom w:val="single" w:color="auto" w:sz="4" w:space="0"/>
              <w:right w:val="single" w:color="auto" w:sz="4" w:space="0"/>
            </w:tcBorders>
            <w:noWrap w:val="0"/>
            <w:vAlign w:val="center"/>
          </w:tcPr>
          <w:p w14:paraId="374B93DB">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zh-CN"/>
                <w14:textFill>
                  <w14:solidFill>
                    <w14:schemeClr w14:val="tx1"/>
                  </w14:solidFill>
                </w14:textFill>
              </w:rPr>
              <w:t>签到及电子响应文件解密</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1E077D06">
            <w:pPr>
              <w:spacing w:line="380" w:lineRule="exact"/>
              <w:ind w:firstLine="480" w:firstLineChars="200"/>
              <w:rPr>
                <w:rFonts w:hint="eastAsia" w:ascii="宋体" w:hAnsi="宋体" w:eastAsia="宋体" w:cs="宋体"/>
                <w:b/>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供应商登录政采云平台，在投标截止时间前必须完成签到，（本项目解密时长为：30分钟，签名时长为：10 分钟）开标时间后 30 分钟内（用“项目采购- 开标评标”功能进行解密响应文件。若供应商在规定时间内未按时签到或解密的，视为无效投标。解密与加密响应文件须为同一个CA。</w:t>
            </w:r>
          </w:p>
        </w:tc>
      </w:tr>
      <w:tr w14:paraId="529E4203">
        <w:tblPrEx>
          <w:tblCellMar>
            <w:top w:w="0" w:type="dxa"/>
            <w:left w:w="108" w:type="dxa"/>
            <w:bottom w:w="0" w:type="dxa"/>
            <w:right w:w="108" w:type="dxa"/>
          </w:tblCellMar>
        </w:tblPrEx>
        <w:trPr>
          <w:trHeight w:val="0" w:hRule="atLeast"/>
        </w:trPr>
        <w:tc>
          <w:tcPr>
            <w:tcW w:w="967" w:type="dxa"/>
            <w:tcBorders>
              <w:top w:val="single" w:color="auto" w:sz="4" w:space="0"/>
              <w:left w:val="single" w:color="auto" w:sz="4" w:space="0"/>
              <w:bottom w:val="single" w:color="auto" w:sz="4" w:space="0"/>
              <w:right w:val="single" w:color="auto" w:sz="4" w:space="0"/>
            </w:tcBorders>
            <w:noWrap w:val="0"/>
            <w:vAlign w:val="center"/>
          </w:tcPr>
          <w:p w14:paraId="44F3D4B5">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29</w:t>
            </w:r>
          </w:p>
        </w:tc>
        <w:tc>
          <w:tcPr>
            <w:tcW w:w="1327" w:type="dxa"/>
            <w:tcBorders>
              <w:top w:val="single" w:color="auto" w:sz="4" w:space="0"/>
              <w:left w:val="single" w:color="auto" w:sz="4" w:space="0"/>
              <w:bottom w:val="single" w:color="auto" w:sz="4" w:space="0"/>
              <w:right w:val="single" w:color="auto" w:sz="4" w:space="0"/>
            </w:tcBorders>
            <w:noWrap w:val="0"/>
            <w:vAlign w:val="center"/>
          </w:tcPr>
          <w:p w14:paraId="1EB0B640">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递交响应文件截止时间</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0801A54A">
            <w:pPr>
              <w:keepNext w:val="0"/>
              <w:keepLines w:val="0"/>
              <w:pageBreakBefore w:val="0"/>
              <w:widowControl w:val="0"/>
              <w:kinsoku/>
              <w:wordWrap/>
              <w:overflowPunct/>
              <w:topLinePunct w:val="0"/>
              <w:bidi w:val="0"/>
              <w:adjustRightInd/>
              <w:snapToGrid/>
              <w:spacing w:before="63" w:beforeLines="20" w:line="288" w:lineRule="auto"/>
              <w:textAlignment w:val="auto"/>
              <w:rPr>
                <w:rFonts w:hint="eastAsia" w:ascii="宋体" w:hAnsi="宋体" w:eastAsia="宋体" w:cs="宋体"/>
                <w:b/>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时间：</w:t>
            </w:r>
            <w:r>
              <w:rPr>
                <w:rFonts w:hint="eastAsia" w:ascii="宋体" w:hAnsi="宋体" w:eastAsia="宋体" w:cs="宋体"/>
                <w:color w:val="000000" w:themeColor="text1"/>
                <w:sz w:val="24"/>
                <w:szCs w:val="24"/>
                <w:highlight w:val="none"/>
                <w:u w:val="single"/>
                <w:lang w:val="zh-CN"/>
                <w14:textFill>
                  <w14:solidFill>
                    <w14:schemeClr w14:val="tx1"/>
                  </w14:solidFill>
                </w14:textFill>
              </w:rPr>
              <w:t>202</w:t>
            </w:r>
            <w:r>
              <w:rPr>
                <w:rFonts w:hint="eastAsia" w:ascii="宋体" w:hAnsi="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single"/>
                <w:lang w:val="zh-CN"/>
                <w14:textFill>
                  <w14:solidFill>
                    <w14:schemeClr w14:val="tx1"/>
                  </w14:solidFill>
                </w14:textFill>
              </w:rPr>
              <w:t>年</w:t>
            </w:r>
            <w:r>
              <w:rPr>
                <w:rFonts w:hint="eastAsia" w:ascii="宋体" w:hAnsi="宋体" w:cs="宋体"/>
                <w:color w:val="000000" w:themeColor="text1"/>
                <w:sz w:val="24"/>
                <w:szCs w:val="24"/>
                <w:highlight w:val="none"/>
                <w:u w:val="single"/>
                <w:lang w:val="en-US" w:eastAsia="zh-CN"/>
                <w14:textFill>
                  <w14:solidFill>
                    <w14:schemeClr w14:val="tx1"/>
                  </w14:solidFill>
                </w14:textFill>
              </w:rPr>
              <w:t>02</w:t>
            </w:r>
            <w:r>
              <w:rPr>
                <w:rFonts w:hint="eastAsia" w:ascii="宋体" w:hAnsi="宋体" w:eastAsia="宋体" w:cs="宋体"/>
                <w:color w:val="000000" w:themeColor="text1"/>
                <w:sz w:val="24"/>
                <w:szCs w:val="24"/>
                <w:highlight w:val="none"/>
                <w:u w:val="single"/>
                <w:lang w:val="zh-CN"/>
                <w14:textFill>
                  <w14:solidFill>
                    <w14:schemeClr w14:val="tx1"/>
                  </w14:solidFill>
                </w14:textFill>
              </w:rPr>
              <w:t>月</w:t>
            </w:r>
            <w:r>
              <w:rPr>
                <w:rFonts w:hint="eastAsia" w:ascii="宋体" w:hAnsi="宋体" w:cs="宋体"/>
                <w:color w:val="000000" w:themeColor="text1"/>
                <w:sz w:val="24"/>
                <w:szCs w:val="24"/>
                <w:highlight w:val="none"/>
                <w:u w:val="single"/>
                <w:lang w:val="en-US" w:eastAsia="zh-CN"/>
                <w14:textFill>
                  <w14:solidFill>
                    <w14:schemeClr w14:val="tx1"/>
                  </w14:solidFill>
                </w14:textFill>
              </w:rPr>
              <w:t>27</w:t>
            </w:r>
            <w:r>
              <w:rPr>
                <w:rFonts w:hint="eastAsia" w:ascii="宋体" w:hAnsi="宋体" w:eastAsia="宋体" w:cs="宋体"/>
                <w:color w:val="000000" w:themeColor="text1"/>
                <w:sz w:val="24"/>
                <w:szCs w:val="24"/>
                <w:highlight w:val="none"/>
                <w:u w:val="single"/>
                <w:lang w:val="zh-CN"/>
                <w14:textFill>
                  <w14:solidFill>
                    <w14:schemeClr w14:val="tx1"/>
                  </w14:solidFill>
                </w14:textFill>
              </w:rPr>
              <w:t>日</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u w:val="single"/>
                <w:lang w:val="zh-CN"/>
                <w14:textFill>
                  <w14:solidFill>
                    <w14:schemeClr w14:val="tx1"/>
                  </w14:solidFill>
                </w14:textFill>
              </w:rPr>
              <w:t>时</w:t>
            </w:r>
            <w:r>
              <w:rPr>
                <w:rFonts w:hint="eastAsia" w:ascii="宋体" w:hAnsi="宋体" w:cs="宋体"/>
                <w:color w:val="000000" w:themeColor="text1"/>
                <w:sz w:val="24"/>
                <w:szCs w:val="24"/>
                <w:highlight w:val="none"/>
                <w:u w:val="singl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u w:val="single"/>
                <w:lang w:val="zh-CN"/>
                <w14:textFill>
                  <w14:solidFill>
                    <w14:schemeClr w14:val="tx1"/>
                  </w14:solidFill>
                </w14:textFill>
              </w:rPr>
              <w:t>分</w:t>
            </w:r>
            <w:r>
              <w:rPr>
                <w:rFonts w:hint="eastAsia" w:ascii="宋体" w:hAnsi="宋体" w:eastAsia="宋体" w:cs="宋体"/>
                <w:color w:val="000000" w:themeColor="text1"/>
                <w:sz w:val="24"/>
                <w:szCs w:val="24"/>
                <w:highlight w:val="none"/>
                <w:lang w:val="zh-CN"/>
                <w14:textFill>
                  <w14:solidFill>
                    <w14:schemeClr w14:val="tx1"/>
                  </w14:solidFill>
                </w14:textFill>
              </w:rPr>
              <w:t>。</w:t>
            </w:r>
          </w:p>
        </w:tc>
      </w:tr>
      <w:tr w14:paraId="6A34B99A">
        <w:tblPrEx>
          <w:tblCellMar>
            <w:top w:w="0" w:type="dxa"/>
            <w:left w:w="108" w:type="dxa"/>
            <w:bottom w:w="0" w:type="dxa"/>
            <w:right w:w="108" w:type="dxa"/>
          </w:tblCellMar>
        </w:tblPrEx>
        <w:trPr>
          <w:trHeight w:val="0" w:hRule="atLeast"/>
        </w:trPr>
        <w:tc>
          <w:tcPr>
            <w:tcW w:w="967" w:type="dxa"/>
            <w:tcBorders>
              <w:top w:val="single" w:color="auto" w:sz="4" w:space="0"/>
              <w:left w:val="single" w:color="auto" w:sz="4" w:space="0"/>
              <w:bottom w:val="single" w:color="auto" w:sz="4" w:space="0"/>
              <w:right w:val="single" w:color="auto" w:sz="4" w:space="0"/>
            </w:tcBorders>
            <w:noWrap w:val="0"/>
            <w:vAlign w:val="center"/>
          </w:tcPr>
          <w:p w14:paraId="1923C5C3">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30</w:t>
            </w:r>
          </w:p>
        </w:tc>
        <w:tc>
          <w:tcPr>
            <w:tcW w:w="1327" w:type="dxa"/>
            <w:tcBorders>
              <w:top w:val="single" w:color="auto" w:sz="4" w:space="0"/>
              <w:left w:val="single" w:color="auto" w:sz="4" w:space="0"/>
              <w:bottom w:val="single" w:color="auto" w:sz="4" w:space="0"/>
              <w:right w:val="single" w:color="auto" w:sz="4" w:space="0"/>
            </w:tcBorders>
            <w:noWrap w:val="0"/>
            <w:vAlign w:val="center"/>
          </w:tcPr>
          <w:p w14:paraId="0446CACD">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开标时间及地点</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5E7B7D76">
            <w:pPr>
              <w:keepNext w:val="0"/>
              <w:keepLines w:val="0"/>
              <w:pageBreakBefore w:val="0"/>
              <w:widowControl w:val="0"/>
              <w:kinsoku/>
              <w:wordWrap/>
              <w:overflowPunct/>
              <w:topLinePunct w:val="0"/>
              <w:bidi w:val="0"/>
              <w:adjustRightInd/>
              <w:snapToGrid/>
              <w:spacing w:before="63" w:beforeLines="20" w:line="288"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时间：</w:t>
            </w:r>
            <w:r>
              <w:rPr>
                <w:rFonts w:hint="eastAsia" w:ascii="宋体" w:hAnsi="宋体" w:eastAsia="宋体" w:cs="宋体"/>
                <w:color w:val="000000" w:themeColor="text1"/>
                <w:sz w:val="24"/>
                <w:szCs w:val="24"/>
                <w:highlight w:val="none"/>
                <w:u w:val="single"/>
                <w:lang w:val="zh-CN"/>
                <w14:textFill>
                  <w14:solidFill>
                    <w14:schemeClr w14:val="tx1"/>
                  </w14:solidFill>
                </w14:textFill>
              </w:rPr>
              <w:t>202</w:t>
            </w:r>
            <w:r>
              <w:rPr>
                <w:rFonts w:hint="eastAsia" w:ascii="宋体" w:hAnsi="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single"/>
                <w:lang w:val="zh-CN"/>
                <w14:textFill>
                  <w14:solidFill>
                    <w14:schemeClr w14:val="tx1"/>
                  </w14:solidFill>
                </w14:textFill>
              </w:rPr>
              <w:t>年</w:t>
            </w:r>
            <w:r>
              <w:rPr>
                <w:rFonts w:hint="eastAsia" w:ascii="宋体" w:hAnsi="宋体" w:cs="宋体"/>
                <w:color w:val="000000" w:themeColor="text1"/>
                <w:sz w:val="24"/>
                <w:szCs w:val="24"/>
                <w:highlight w:val="none"/>
                <w:u w:val="single"/>
                <w:lang w:val="en-US" w:eastAsia="zh-CN"/>
                <w14:textFill>
                  <w14:solidFill>
                    <w14:schemeClr w14:val="tx1"/>
                  </w14:solidFill>
                </w14:textFill>
              </w:rPr>
              <w:t>02</w:t>
            </w:r>
            <w:r>
              <w:rPr>
                <w:rFonts w:hint="eastAsia" w:ascii="宋体" w:hAnsi="宋体" w:eastAsia="宋体" w:cs="宋体"/>
                <w:color w:val="000000" w:themeColor="text1"/>
                <w:sz w:val="24"/>
                <w:szCs w:val="24"/>
                <w:highlight w:val="none"/>
                <w:u w:val="single"/>
                <w:lang w:val="zh-CN"/>
                <w14:textFill>
                  <w14:solidFill>
                    <w14:schemeClr w14:val="tx1"/>
                  </w14:solidFill>
                </w14:textFill>
              </w:rPr>
              <w:t>月</w:t>
            </w:r>
            <w:r>
              <w:rPr>
                <w:rFonts w:hint="eastAsia" w:ascii="宋体" w:hAnsi="宋体" w:cs="宋体"/>
                <w:color w:val="000000" w:themeColor="text1"/>
                <w:sz w:val="24"/>
                <w:szCs w:val="24"/>
                <w:highlight w:val="none"/>
                <w:u w:val="single"/>
                <w:lang w:val="en-US" w:eastAsia="zh-CN"/>
                <w14:textFill>
                  <w14:solidFill>
                    <w14:schemeClr w14:val="tx1"/>
                  </w14:solidFill>
                </w14:textFill>
              </w:rPr>
              <w:t>27</w:t>
            </w:r>
            <w:r>
              <w:rPr>
                <w:rFonts w:hint="eastAsia" w:ascii="宋体" w:hAnsi="宋体" w:eastAsia="宋体" w:cs="宋体"/>
                <w:color w:val="000000" w:themeColor="text1"/>
                <w:sz w:val="24"/>
                <w:szCs w:val="24"/>
                <w:highlight w:val="none"/>
                <w:u w:val="single"/>
                <w:lang w:val="zh-CN"/>
                <w14:textFill>
                  <w14:solidFill>
                    <w14:schemeClr w14:val="tx1"/>
                  </w14:solidFill>
                </w14:textFill>
              </w:rPr>
              <w:t>日</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u w:val="single"/>
                <w:lang w:val="zh-CN"/>
                <w14:textFill>
                  <w14:solidFill>
                    <w14:schemeClr w14:val="tx1"/>
                  </w14:solidFill>
                </w14:textFill>
              </w:rPr>
              <w:t>时</w:t>
            </w:r>
            <w:r>
              <w:rPr>
                <w:rFonts w:hint="eastAsia" w:ascii="宋体" w:hAnsi="宋体" w:cs="宋体"/>
                <w:color w:val="000000" w:themeColor="text1"/>
                <w:sz w:val="24"/>
                <w:szCs w:val="24"/>
                <w:highlight w:val="none"/>
                <w:u w:val="singl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u w:val="single"/>
                <w:lang w:val="zh-CN"/>
                <w14:textFill>
                  <w14:solidFill>
                    <w14:schemeClr w14:val="tx1"/>
                  </w14:solidFill>
                </w14:textFill>
              </w:rPr>
              <w:t>分</w:t>
            </w:r>
            <w:r>
              <w:rPr>
                <w:rFonts w:hint="eastAsia" w:ascii="宋体" w:hAnsi="宋体" w:eastAsia="宋体" w:cs="宋体"/>
                <w:color w:val="000000" w:themeColor="text1"/>
                <w:sz w:val="24"/>
                <w:szCs w:val="24"/>
                <w:highlight w:val="none"/>
                <w:lang w:val="zh-CN"/>
                <w14:textFill>
                  <w14:solidFill>
                    <w14:schemeClr w14:val="tx1"/>
                  </w14:solidFill>
                </w14:textFill>
              </w:rPr>
              <w:t>。</w:t>
            </w:r>
          </w:p>
          <w:p w14:paraId="4DB29A04">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地点：</w:t>
            </w:r>
            <w:r>
              <w:rPr>
                <w:rFonts w:hint="eastAsia" w:ascii="宋体" w:hAnsi="宋体" w:eastAsia="宋体" w:cs="宋体"/>
                <w:color w:val="000000" w:themeColor="text1"/>
                <w:sz w:val="24"/>
                <w:szCs w:val="24"/>
                <w:highlight w:val="none"/>
                <w:lang w:val="zh-CN" w:eastAsia="zh-CN"/>
                <w14:textFill>
                  <w14:solidFill>
                    <w14:schemeClr w14:val="tx1"/>
                  </w14:solidFill>
                </w14:textFill>
              </w:rPr>
              <w:t>政采云一站式政府采购云平台</w:t>
            </w:r>
          </w:p>
        </w:tc>
      </w:tr>
      <w:tr w14:paraId="6FBC1B7B">
        <w:tblPrEx>
          <w:tblCellMar>
            <w:top w:w="0" w:type="dxa"/>
            <w:left w:w="108" w:type="dxa"/>
            <w:bottom w:w="0" w:type="dxa"/>
            <w:right w:w="108" w:type="dxa"/>
          </w:tblCellMar>
        </w:tblPrEx>
        <w:trPr>
          <w:trHeight w:val="0" w:hRule="atLeast"/>
        </w:trPr>
        <w:tc>
          <w:tcPr>
            <w:tcW w:w="967" w:type="dxa"/>
            <w:tcBorders>
              <w:top w:val="single" w:color="auto" w:sz="4" w:space="0"/>
              <w:left w:val="single" w:color="auto" w:sz="4" w:space="0"/>
              <w:bottom w:val="single" w:color="auto" w:sz="4" w:space="0"/>
              <w:right w:val="single" w:color="auto" w:sz="4" w:space="0"/>
            </w:tcBorders>
            <w:noWrap w:val="0"/>
            <w:vAlign w:val="center"/>
          </w:tcPr>
          <w:p w14:paraId="2D519148">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w:t>
            </w:r>
          </w:p>
        </w:tc>
        <w:tc>
          <w:tcPr>
            <w:tcW w:w="1327" w:type="dxa"/>
            <w:tcBorders>
              <w:top w:val="single" w:color="auto" w:sz="4" w:space="0"/>
              <w:left w:val="single" w:color="auto" w:sz="4" w:space="0"/>
              <w:bottom w:val="single" w:color="auto" w:sz="4" w:space="0"/>
              <w:right w:val="single" w:color="auto" w:sz="4" w:space="0"/>
            </w:tcBorders>
            <w:noWrap w:val="0"/>
            <w:vAlign w:val="center"/>
          </w:tcPr>
          <w:p w14:paraId="4268CBA8">
            <w:pPr>
              <w:keepNext w:val="0"/>
              <w:keepLines w:val="0"/>
              <w:pageBreakBefore w:val="0"/>
              <w:widowControl w:val="0"/>
              <w:kinsoku/>
              <w:overflowPunct/>
              <w:topLinePunct w:val="0"/>
              <w:autoSpaceDE w:val="0"/>
              <w:autoSpaceDN w:val="0"/>
              <w:bidi w:val="0"/>
              <w:adjustRightInd w:val="0"/>
              <w:snapToGrid/>
              <w:spacing w:before="63" w:beforeLines="20" w:line="288"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谈判小组</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35A98816">
            <w:pPr>
              <w:keepNext w:val="0"/>
              <w:keepLines w:val="0"/>
              <w:pageBreakBefore w:val="0"/>
              <w:widowControl w:val="0"/>
              <w:kinsoku/>
              <w:overflowPunct/>
              <w:topLinePunct w:val="0"/>
              <w:autoSpaceDE w:val="0"/>
              <w:autoSpaceDN w:val="0"/>
              <w:bidi w:val="0"/>
              <w:adjustRightInd/>
              <w:snapToGrid/>
              <w:spacing w:before="63" w:beforeLines="20" w:line="288" w:lineRule="auto"/>
              <w:ind w:left="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谈判小组共</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人，其中：采购人代表</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1</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人，评审专家</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zh-CN"/>
                <w14:textFill>
                  <w14:solidFill>
                    <w14:schemeClr w14:val="tx1"/>
                  </w14:solidFill>
                </w14:textFill>
              </w:rPr>
              <w:t>人。</w:t>
            </w:r>
          </w:p>
          <w:p w14:paraId="0884CC20">
            <w:pPr>
              <w:pStyle w:val="9"/>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谈判小组</w:t>
            </w:r>
            <w:r>
              <w:rPr>
                <w:rFonts w:hint="eastAsia" w:ascii="宋体" w:hAnsi="宋体" w:eastAsia="宋体" w:cs="宋体"/>
                <w:color w:val="000000" w:themeColor="text1"/>
                <w:sz w:val="24"/>
                <w:szCs w:val="24"/>
                <w:highlight w:val="none"/>
                <w:lang w:val="zh-CN"/>
                <w14:textFill>
                  <w14:solidFill>
                    <w14:schemeClr w14:val="tx1"/>
                  </w14:solidFill>
                </w14:textFill>
              </w:rPr>
              <w:t>采用随机抽取方式从政府采购监管部门依法设立的专家库中确定谈判小组成员。</w:t>
            </w:r>
          </w:p>
        </w:tc>
      </w:tr>
      <w:tr w14:paraId="20DF6737">
        <w:tblPrEx>
          <w:tblCellMar>
            <w:top w:w="0" w:type="dxa"/>
            <w:left w:w="108" w:type="dxa"/>
            <w:bottom w:w="0" w:type="dxa"/>
            <w:right w:w="108" w:type="dxa"/>
          </w:tblCellMar>
        </w:tblPrEx>
        <w:trPr>
          <w:trHeight w:val="0" w:hRule="atLeast"/>
        </w:trPr>
        <w:tc>
          <w:tcPr>
            <w:tcW w:w="967" w:type="dxa"/>
            <w:tcBorders>
              <w:top w:val="single" w:color="auto" w:sz="4" w:space="0"/>
              <w:left w:val="single" w:color="auto" w:sz="4" w:space="0"/>
              <w:bottom w:val="single" w:color="auto" w:sz="4" w:space="0"/>
              <w:right w:val="single" w:color="auto" w:sz="4" w:space="0"/>
            </w:tcBorders>
            <w:noWrap w:val="0"/>
            <w:vAlign w:val="center"/>
          </w:tcPr>
          <w:p w14:paraId="06F08C94">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w:t>
            </w:r>
          </w:p>
        </w:tc>
        <w:tc>
          <w:tcPr>
            <w:tcW w:w="1327" w:type="dxa"/>
            <w:tcBorders>
              <w:top w:val="single" w:color="auto" w:sz="4" w:space="0"/>
              <w:left w:val="single" w:color="auto" w:sz="4" w:space="0"/>
              <w:bottom w:val="single" w:color="auto" w:sz="4" w:space="0"/>
              <w:right w:val="single" w:color="auto" w:sz="4" w:space="0"/>
            </w:tcBorders>
            <w:noWrap w:val="0"/>
            <w:vAlign w:val="center"/>
          </w:tcPr>
          <w:p w14:paraId="52F4095C">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评审办法</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0F8DEFC2">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竞争性谈判采用最低评标价法：第一轮根据投标文件能够详细列明全部技术、工程质量且技术、商务均能全部满足采购文件实质性响应要求者且可进行下一轮，投标人的报价明显低于其他通过符合性检查投标人的报价，有可能影响履约的，投标人能在规定时间内提出证明其报价合理性，否则视为不能履约做否决投标处理。第二轮报价</w:t>
            </w:r>
            <w:r>
              <w:rPr>
                <w:rFonts w:hint="eastAsia" w:ascii="宋体" w:hAnsi="宋体" w:cs="宋体"/>
                <w:color w:val="000000" w:themeColor="text1"/>
                <w:sz w:val="24"/>
                <w:szCs w:val="24"/>
                <w:highlight w:val="none"/>
                <w:lang w:val="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或两轮以上）</w:t>
            </w:r>
            <w:r>
              <w:rPr>
                <w:rFonts w:hint="eastAsia" w:ascii="宋体" w:hAnsi="宋体" w:eastAsia="宋体" w:cs="宋体"/>
                <w:color w:val="000000" w:themeColor="text1"/>
                <w:sz w:val="24"/>
                <w:szCs w:val="24"/>
                <w:highlight w:val="none"/>
                <w:lang w:val="zh-CN"/>
                <w14:textFill>
                  <w14:solidFill>
                    <w14:schemeClr w14:val="tx1"/>
                  </w14:solidFill>
                </w14:textFill>
              </w:rPr>
              <w:t>报总价，谈判结束后，谈判小组应当从全部技术、工程质量等均能全部满足采购文件实质性响应要求的供应商中，按照最后报价最低报价的报价人作为成交供应商，并编写评审报告。</w:t>
            </w:r>
          </w:p>
        </w:tc>
      </w:tr>
      <w:tr w14:paraId="36D8F66E">
        <w:tblPrEx>
          <w:tblCellMar>
            <w:top w:w="0" w:type="dxa"/>
            <w:left w:w="108" w:type="dxa"/>
            <w:bottom w:w="0" w:type="dxa"/>
            <w:right w:w="108" w:type="dxa"/>
          </w:tblCellMar>
        </w:tblPrEx>
        <w:trPr>
          <w:trHeight w:val="0" w:hRule="atLeast"/>
        </w:trPr>
        <w:tc>
          <w:tcPr>
            <w:tcW w:w="967" w:type="dxa"/>
            <w:tcBorders>
              <w:top w:val="single" w:color="auto" w:sz="4" w:space="0"/>
              <w:left w:val="single" w:color="auto" w:sz="4" w:space="0"/>
              <w:bottom w:val="single" w:color="auto" w:sz="4" w:space="0"/>
              <w:right w:val="single" w:color="auto" w:sz="4" w:space="0"/>
            </w:tcBorders>
            <w:noWrap w:val="0"/>
            <w:vAlign w:val="center"/>
          </w:tcPr>
          <w:p w14:paraId="2158E871">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w:t>
            </w:r>
          </w:p>
        </w:tc>
        <w:tc>
          <w:tcPr>
            <w:tcW w:w="1327" w:type="dxa"/>
            <w:tcBorders>
              <w:top w:val="single" w:color="auto" w:sz="4" w:space="0"/>
              <w:left w:val="single" w:color="auto" w:sz="4" w:space="0"/>
              <w:bottom w:val="single" w:color="auto" w:sz="4" w:space="0"/>
              <w:right w:val="single" w:color="auto" w:sz="4" w:space="0"/>
            </w:tcBorders>
            <w:noWrap w:val="0"/>
            <w:vAlign w:val="center"/>
          </w:tcPr>
          <w:p w14:paraId="1C376D2B">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是否授权谈判小组确定成交供应商</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34C2B35D">
            <w:pPr>
              <w:keepNext w:val="0"/>
              <w:keepLines w:val="0"/>
              <w:pageBreakBefore w:val="0"/>
              <w:widowControl w:val="0"/>
              <w:kinsoku/>
              <w:overflowPunct/>
              <w:topLinePunct w:val="0"/>
              <w:bidi w:val="0"/>
              <w:snapToGrid/>
              <w:spacing w:before="63" w:beforeLines="20" w:line="288" w:lineRule="auto"/>
              <w:ind w:left="360" w:hanging="360" w:hangingChars="150"/>
              <w:jc w:val="lef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eq \o\ac(</w:instrText>
            </w:r>
            <w:r>
              <w:rPr>
                <w:rFonts w:hint="eastAsia" w:ascii="宋体" w:hAnsi="宋体" w:eastAsia="宋体" w:cs="宋体"/>
                <w:color w:val="000000" w:themeColor="text1"/>
                <w:position w:val="-4"/>
                <w:sz w:val="36"/>
                <w:szCs w:val="24"/>
                <w:highlight w:val="none"/>
                <w14:textFill>
                  <w14:solidFill>
                    <w14:schemeClr w14:val="tx1"/>
                  </w14:solidFill>
                </w14:textFill>
              </w:rPr>
              <w:instrText xml:space="preserve">□</w:instrText>
            </w:r>
            <w:r>
              <w:rPr>
                <w:rFonts w:hint="eastAsia" w:ascii="宋体" w:hAnsi="宋体" w:eastAsia="宋体" w:cs="宋体"/>
                <w:color w:val="000000" w:themeColor="text1"/>
                <w:position w:val="0"/>
                <w:sz w:val="24"/>
                <w:szCs w:val="24"/>
                <w:highlight w:val="none"/>
                <w:lang w:eastAsia="zh-CN"/>
                <w14:textFill>
                  <w14:solidFill>
                    <w14:schemeClr w14:val="tx1"/>
                  </w14:solidFill>
                </w14:textFill>
              </w:rPr>
              <w:instrText xml:space="preserve">,√</w:instrText>
            </w:r>
            <w:r>
              <w:rPr>
                <w:rFonts w:hint="eastAsia" w:ascii="宋体" w:hAnsi="宋体" w:eastAsia="宋体" w:cs="宋体"/>
                <w:color w:val="000000" w:themeColor="text1"/>
                <w:position w:val="0"/>
                <w:sz w:val="24"/>
                <w:szCs w:val="24"/>
                <w:highlight w:val="none"/>
                <w14:textFill>
                  <w14:solidFill>
                    <w14:schemeClr w14:val="tx1"/>
                  </w14:solidFill>
                </w14:textFill>
              </w:rPr>
              <w:instrText xml:space="preserve">)</w:instrTex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 xml:space="preserve"> 是，</w:t>
            </w:r>
            <w:r>
              <w:rPr>
                <w:rFonts w:hint="eastAsia" w:ascii="宋体" w:hAnsi="宋体" w:eastAsia="宋体" w:cs="宋体"/>
                <w:color w:val="000000" w:themeColor="text1"/>
                <w:sz w:val="24"/>
                <w:szCs w:val="24"/>
                <w:highlight w:val="none"/>
                <w:lang w:val="zh-CN"/>
                <w14:textFill>
                  <w14:solidFill>
                    <w14:schemeClr w14:val="tx1"/>
                  </w14:solidFill>
                </w14:textFill>
              </w:rPr>
              <w:t>确定一个成交供应商，成交结果在新疆政府采购网发布，公告期限为1个工作日。</w:t>
            </w:r>
          </w:p>
          <w:p w14:paraId="36897910">
            <w:pPr>
              <w:keepNext w:val="0"/>
              <w:keepLines w:val="0"/>
              <w:pageBreakBefore w:val="0"/>
              <w:widowControl w:val="0"/>
              <w:kinsoku/>
              <w:overflowPunct/>
              <w:topLinePunct w:val="0"/>
              <w:bidi w:val="0"/>
              <w:snapToGrid/>
              <w:spacing w:before="63" w:beforeLines="20" w:line="288" w:lineRule="auto"/>
              <w:ind w:left="360" w:hanging="360" w:hangingChars="15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否，推荐的成交候选供应商个数：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tc>
      </w:tr>
      <w:tr w14:paraId="77286DCF">
        <w:tblPrEx>
          <w:tblCellMar>
            <w:top w:w="0" w:type="dxa"/>
            <w:left w:w="108" w:type="dxa"/>
            <w:bottom w:w="0" w:type="dxa"/>
            <w:right w:w="108" w:type="dxa"/>
          </w:tblCellMar>
        </w:tblPrEx>
        <w:trPr>
          <w:trHeight w:val="0" w:hRule="atLeast"/>
        </w:trPr>
        <w:tc>
          <w:tcPr>
            <w:tcW w:w="967" w:type="dxa"/>
            <w:tcBorders>
              <w:top w:val="single" w:color="auto" w:sz="4" w:space="0"/>
              <w:left w:val="single" w:color="auto" w:sz="4" w:space="0"/>
              <w:bottom w:val="single" w:color="auto" w:sz="4" w:space="0"/>
              <w:right w:val="single" w:color="auto" w:sz="4" w:space="0"/>
            </w:tcBorders>
            <w:noWrap w:val="0"/>
            <w:vAlign w:val="center"/>
          </w:tcPr>
          <w:p w14:paraId="57661D48">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34</w:t>
            </w:r>
          </w:p>
        </w:tc>
        <w:tc>
          <w:tcPr>
            <w:tcW w:w="1327" w:type="dxa"/>
            <w:tcBorders>
              <w:top w:val="single" w:color="auto" w:sz="4" w:space="0"/>
              <w:left w:val="single" w:color="auto" w:sz="4" w:space="0"/>
              <w:bottom w:val="single" w:color="auto" w:sz="4" w:space="0"/>
              <w:right w:val="single" w:color="auto" w:sz="4" w:space="0"/>
            </w:tcBorders>
            <w:noWrap w:val="0"/>
            <w:vAlign w:val="center"/>
          </w:tcPr>
          <w:p w14:paraId="09FCEEAA">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是否退还响应文件</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28286460">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除供应商需收回的资格、资信等证明文件中的证明材料原件（如营业执照、合同、相关资质证书等）外，其他文件概不退还。</w:t>
            </w:r>
          </w:p>
        </w:tc>
      </w:tr>
      <w:tr w14:paraId="461DC4E1">
        <w:tblPrEx>
          <w:tblCellMar>
            <w:top w:w="0" w:type="dxa"/>
            <w:left w:w="108" w:type="dxa"/>
            <w:bottom w:w="0" w:type="dxa"/>
            <w:right w:w="108" w:type="dxa"/>
          </w:tblCellMar>
        </w:tblPrEx>
        <w:trPr>
          <w:trHeight w:val="0" w:hRule="atLeast"/>
        </w:trPr>
        <w:tc>
          <w:tcPr>
            <w:tcW w:w="967" w:type="dxa"/>
            <w:tcBorders>
              <w:top w:val="single" w:color="auto" w:sz="4" w:space="0"/>
              <w:left w:val="single" w:color="auto" w:sz="4" w:space="0"/>
              <w:bottom w:val="single" w:color="auto" w:sz="4" w:space="0"/>
              <w:right w:val="single" w:color="auto" w:sz="4" w:space="0"/>
            </w:tcBorders>
            <w:noWrap w:val="0"/>
            <w:vAlign w:val="center"/>
          </w:tcPr>
          <w:p w14:paraId="1C461823">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35</w:t>
            </w:r>
          </w:p>
        </w:tc>
        <w:tc>
          <w:tcPr>
            <w:tcW w:w="1327" w:type="dxa"/>
            <w:tcBorders>
              <w:top w:val="single" w:color="auto" w:sz="4" w:space="0"/>
              <w:left w:val="single" w:color="auto" w:sz="4" w:space="0"/>
              <w:bottom w:val="single" w:color="auto" w:sz="4" w:space="0"/>
              <w:right w:val="single" w:color="auto" w:sz="4" w:space="0"/>
            </w:tcBorders>
            <w:noWrap w:val="0"/>
            <w:vAlign w:val="center"/>
          </w:tcPr>
          <w:p w14:paraId="34D9ADDA">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本项目所属行业</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7508FE5">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其他未列明行业</w:t>
            </w:r>
          </w:p>
        </w:tc>
      </w:tr>
      <w:tr w14:paraId="4D7AB956">
        <w:tblPrEx>
          <w:tblCellMar>
            <w:top w:w="0" w:type="dxa"/>
            <w:left w:w="108" w:type="dxa"/>
            <w:bottom w:w="0" w:type="dxa"/>
            <w:right w:w="108" w:type="dxa"/>
          </w:tblCellMar>
        </w:tblPrEx>
        <w:trPr>
          <w:trHeight w:val="0" w:hRule="atLeast"/>
        </w:trPr>
        <w:tc>
          <w:tcPr>
            <w:tcW w:w="967" w:type="dxa"/>
            <w:tcBorders>
              <w:top w:val="single" w:color="auto" w:sz="4" w:space="0"/>
              <w:left w:val="single" w:color="auto" w:sz="4" w:space="0"/>
              <w:bottom w:val="single" w:color="auto" w:sz="4" w:space="0"/>
              <w:right w:val="single" w:color="auto" w:sz="4" w:space="0"/>
            </w:tcBorders>
            <w:noWrap w:val="0"/>
            <w:vAlign w:val="center"/>
          </w:tcPr>
          <w:p w14:paraId="52759656">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8645" w:type="dxa"/>
            <w:gridSpan w:val="2"/>
            <w:tcBorders>
              <w:top w:val="single" w:color="auto" w:sz="4" w:space="0"/>
              <w:left w:val="single" w:color="auto" w:sz="4" w:space="0"/>
              <w:bottom w:val="single" w:color="auto" w:sz="4" w:space="0"/>
              <w:right w:val="single" w:color="auto" w:sz="4" w:space="0"/>
            </w:tcBorders>
            <w:noWrap w:val="0"/>
            <w:vAlign w:val="center"/>
          </w:tcPr>
          <w:p w14:paraId="31954E9A">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其他需补充的内容</w:t>
            </w:r>
          </w:p>
        </w:tc>
      </w:tr>
      <w:tr w14:paraId="79087D0B">
        <w:tblPrEx>
          <w:tblCellMar>
            <w:top w:w="0" w:type="dxa"/>
            <w:left w:w="108" w:type="dxa"/>
            <w:bottom w:w="0" w:type="dxa"/>
            <w:right w:w="108" w:type="dxa"/>
          </w:tblCellMar>
        </w:tblPrEx>
        <w:trPr>
          <w:trHeight w:val="0" w:hRule="atLeast"/>
        </w:trPr>
        <w:tc>
          <w:tcPr>
            <w:tcW w:w="967" w:type="dxa"/>
            <w:tcBorders>
              <w:top w:val="single" w:color="auto" w:sz="4" w:space="0"/>
              <w:left w:val="single" w:color="auto" w:sz="4" w:space="0"/>
              <w:right w:val="single" w:color="auto" w:sz="4" w:space="0"/>
            </w:tcBorders>
            <w:noWrap w:val="0"/>
            <w:vAlign w:val="center"/>
          </w:tcPr>
          <w:p w14:paraId="7EA1FCC9">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36.1</w:t>
            </w:r>
          </w:p>
        </w:tc>
        <w:tc>
          <w:tcPr>
            <w:tcW w:w="1327" w:type="dxa"/>
            <w:tcBorders>
              <w:top w:val="single" w:color="auto" w:sz="4" w:space="0"/>
              <w:left w:val="single" w:color="auto" w:sz="4" w:space="0"/>
              <w:right w:val="single" w:color="auto" w:sz="4" w:space="0"/>
            </w:tcBorders>
            <w:noWrap w:val="0"/>
            <w:vAlign w:val="center"/>
          </w:tcPr>
          <w:p w14:paraId="0130AF5C">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供应商电子不见面开标注意事项</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58F90D97">
            <w:pPr>
              <w:spacing w:line="380" w:lineRule="exact"/>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1、本项目实行电子招投标，供应商须登录政府采购云平台申请获取采购文件，并需要使用CA 锁，在新疆政府采购网--下载专区下载--供应商客户端制作投标文件，并生成 JMBS 格式加密文件，在投标截止前上传至政府采购云平台。若供应商参与投标, 自行承担与投标有关的一切费用。</w:t>
            </w:r>
          </w:p>
          <w:p w14:paraId="14DF445B">
            <w:pPr>
              <w:spacing w:line="380" w:lineRule="exact"/>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2、各供应商应在开标前确保是新疆维吾尔自治区政府采购网正式注册入库的供应商，并完成 CA 数字证书申领。因未注册入库、未办理 CA 数字证书等原因造成无法投标或投 标失败等后果的由供应商自行承担。</w:t>
            </w:r>
          </w:p>
          <w:p w14:paraId="15F9C275">
            <w:pPr>
              <w:spacing w:line="380" w:lineRule="exact"/>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3、供应商可前往新疆政府采购网 (http://www.ccgp-xinjiang.gov.cn/) 下载专区， 下载政府采购云平台电子投标客户端，安装完成后，可通过账号密码或 CA 登录客户端 进行响应文件制作。在使用政府采购云平台电子投标客户端时，建议使用 WIN7 及以上 操作系统。如有问题可拨打政府采购云平台客户服务热线 400-881-7190 进行咨询。</w:t>
            </w:r>
          </w:p>
          <w:p w14:paraId="7DB2F5BF">
            <w:pPr>
              <w:spacing w:line="380" w:lineRule="exact"/>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4、供应商在开标时须携带制作加密电子响应文件所使用的CA 锁，电脑须提前配置好浏 览器 (建议使用 360 浏览器或谷歌浏览器) ， 以便开标时在线解密。</w:t>
            </w:r>
          </w:p>
          <w:p w14:paraId="0B7DBF99">
            <w:pPr>
              <w:spacing w:line="380" w:lineRule="exact"/>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5、投标供应商应当在投标截止时间前，将生成的“JMBS 格式电子加密响应文件”上传 递交至“政府采购云平台”，投标截止时间以后上传递交的响应文件将被“政府采购云 平台”拒收。</w:t>
            </w:r>
          </w:p>
          <w:p w14:paraId="54FA1278">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6、供应商应按当地交易中心要求递交场地费，在进入评标环节前完成缴费，若不缴纳场地费，则不予进入评标环节</w:t>
            </w:r>
            <w:r>
              <w:rPr>
                <w:rFonts w:hint="eastAsia" w:ascii="宋体" w:hAnsi="宋体" w:eastAsia="宋体" w:cs="宋体"/>
                <w:color w:val="000000" w:themeColor="text1"/>
                <w:sz w:val="24"/>
                <w:szCs w:val="24"/>
                <w:highlight w:val="none"/>
                <w14:textFill>
                  <w14:solidFill>
                    <w14:schemeClr w14:val="tx1"/>
                  </w14:solidFill>
                </w14:textFill>
              </w:rPr>
              <w:t>。</w:t>
            </w:r>
          </w:p>
        </w:tc>
      </w:tr>
      <w:tr w14:paraId="6A83EA1C">
        <w:tblPrEx>
          <w:tblCellMar>
            <w:top w:w="0" w:type="dxa"/>
            <w:left w:w="108" w:type="dxa"/>
            <w:bottom w:w="0" w:type="dxa"/>
            <w:right w:w="108" w:type="dxa"/>
          </w:tblCellMar>
        </w:tblPrEx>
        <w:trPr>
          <w:trHeight w:val="0" w:hRule="atLeast"/>
        </w:trPr>
        <w:tc>
          <w:tcPr>
            <w:tcW w:w="967" w:type="dxa"/>
            <w:vMerge w:val="restart"/>
            <w:tcBorders>
              <w:top w:val="single" w:color="auto" w:sz="4" w:space="0"/>
              <w:left w:val="single" w:color="auto" w:sz="4" w:space="0"/>
              <w:right w:val="single" w:color="auto" w:sz="4" w:space="0"/>
            </w:tcBorders>
            <w:noWrap w:val="0"/>
            <w:vAlign w:val="center"/>
          </w:tcPr>
          <w:p w14:paraId="3D3BE6BF">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1327" w:type="dxa"/>
            <w:vMerge w:val="restart"/>
            <w:tcBorders>
              <w:top w:val="single" w:color="auto" w:sz="4" w:space="0"/>
              <w:left w:val="single" w:color="auto" w:sz="4" w:space="0"/>
              <w:right w:val="single" w:color="auto" w:sz="4" w:space="0"/>
            </w:tcBorders>
            <w:noWrap w:val="0"/>
            <w:vAlign w:val="center"/>
          </w:tcPr>
          <w:p w14:paraId="1A27DCDB">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定义</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317D1A93">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原件：</w:t>
            </w:r>
            <w:r>
              <w:rPr>
                <w:rFonts w:hint="eastAsia" w:ascii="宋体" w:hAnsi="宋体" w:eastAsia="宋体" w:cs="宋体"/>
                <w:color w:val="000000" w:themeColor="text1"/>
                <w:sz w:val="24"/>
                <w:szCs w:val="24"/>
                <w:highlight w:val="none"/>
                <w14:textFill>
                  <w14:solidFill>
                    <w14:schemeClr w14:val="tx1"/>
                  </w14:solidFill>
                </w14:textFill>
              </w:rPr>
              <w:t>最初产生的区别于复制件的原始文件或文件的原本或公证处出具的文件复制件公证书。</w:t>
            </w:r>
          </w:p>
        </w:tc>
      </w:tr>
      <w:tr w14:paraId="41DCE6DE">
        <w:tblPrEx>
          <w:tblCellMar>
            <w:top w:w="0" w:type="dxa"/>
            <w:left w:w="108" w:type="dxa"/>
            <w:bottom w:w="0" w:type="dxa"/>
            <w:right w:w="108" w:type="dxa"/>
          </w:tblCellMar>
        </w:tblPrEx>
        <w:trPr>
          <w:trHeight w:val="0" w:hRule="atLeast"/>
        </w:trPr>
        <w:tc>
          <w:tcPr>
            <w:tcW w:w="967" w:type="dxa"/>
            <w:vMerge w:val="continue"/>
            <w:tcBorders>
              <w:left w:val="single" w:color="auto" w:sz="4" w:space="0"/>
              <w:bottom w:val="single" w:color="auto" w:sz="4" w:space="0"/>
              <w:right w:val="single" w:color="auto" w:sz="4" w:space="0"/>
            </w:tcBorders>
            <w:noWrap w:val="0"/>
            <w:vAlign w:val="center"/>
          </w:tcPr>
          <w:p w14:paraId="0CB10F55">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327" w:type="dxa"/>
            <w:vMerge w:val="continue"/>
            <w:tcBorders>
              <w:left w:val="single" w:color="auto" w:sz="4" w:space="0"/>
              <w:bottom w:val="single" w:color="auto" w:sz="4" w:space="0"/>
              <w:right w:val="single" w:color="auto" w:sz="4" w:space="0"/>
            </w:tcBorders>
            <w:noWrap w:val="0"/>
            <w:vAlign w:val="center"/>
          </w:tcPr>
          <w:p w14:paraId="483F4781">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6C21A69">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书面形式：包括文字的打印或复印件、传真、信函、电传、电报、</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电子邮件、</w:t>
            </w:r>
            <w:r>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t>相关网站</w:t>
            </w:r>
            <w:r>
              <w:rPr>
                <w:rFonts w:hint="eastAsia" w:ascii="宋体" w:hAnsi="宋体" w:eastAsia="宋体" w:cs="宋体"/>
                <w:color w:val="000000" w:themeColor="text1"/>
                <w:sz w:val="24"/>
                <w:szCs w:val="24"/>
                <w:highlight w:val="none"/>
                <w14:textFill>
                  <w14:solidFill>
                    <w14:schemeClr w14:val="tx1"/>
                  </w14:solidFill>
                </w14:textFill>
              </w:rPr>
              <w:t>发布的公告</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等可以有形地表现所载内容的形式。</w:t>
            </w:r>
          </w:p>
        </w:tc>
      </w:tr>
      <w:tr w14:paraId="26366041">
        <w:tblPrEx>
          <w:tblCellMar>
            <w:top w:w="0" w:type="dxa"/>
            <w:left w:w="108" w:type="dxa"/>
            <w:bottom w:w="0" w:type="dxa"/>
            <w:right w:w="108" w:type="dxa"/>
          </w:tblCellMar>
        </w:tblPrEx>
        <w:trPr>
          <w:trHeight w:val="0" w:hRule="atLeast"/>
        </w:trPr>
        <w:tc>
          <w:tcPr>
            <w:tcW w:w="967" w:type="dxa"/>
            <w:tcBorders>
              <w:top w:val="single" w:color="auto" w:sz="4" w:space="0"/>
              <w:left w:val="single" w:color="auto" w:sz="4" w:space="0"/>
              <w:bottom w:val="single" w:color="auto" w:sz="4" w:space="0"/>
              <w:right w:val="single" w:color="auto" w:sz="4" w:space="0"/>
            </w:tcBorders>
            <w:noWrap w:val="0"/>
            <w:vAlign w:val="center"/>
          </w:tcPr>
          <w:p w14:paraId="232D64FB">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36.3</w:t>
            </w:r>
          </w:p>
        </w:tc>
        <w:tc>
          <w:tcPr>
            <w:tcW w:w="1327" w:type="dxa"/>
            <w:tcBorders>
              <w:top w:val="single" w:color="auto" w:sz="4" w:space="0"/>
              <w:left w:val="single" w:color="auto" w:sz="4" w:space="0"/>
              <w:bottom w:val="single" w:color="auto" w:sz="4" w:space="0"/>
              <w:right w:val="single" w:color="auto" w:sz="4" w:space="0"/>
            </w:tcBorders>
            <w:noWrap w:val="0"/>
            <w:vAlign w:val="center"/>
          </w:tcPr>
          <w:p w14:paraId="7746E0E3">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分包和非主体、非关键性工作</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1AB63B95">
            <w:pPr>
              <w:keepNext w:val="0"/>
              <w:keepLines w:val="0"/>
              <w:pageBreakBefore w:val="0"/>
              <w:widowControl w:val="0"/>
              <w:kinsoku/>
              <w:overflowPunct/>
              <w:topLinePunct w:val="0"/>
              <w:bidi w:val="0"/>
              <w:snapToGrid/>
              <w:spacing w:before="63" w:beforeLines="20" w:line="288" w:lineRule="auto"/>
              <w:ind w:left="360" w:hanging="360" w:hangingChars="15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不允许</w:t>
            </w:r>
          </w:p>
          <w:p w14:paraId="6C6A8A80">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允许，供应商根据采购文件载明的标的采购项目实际情况，拟在成交后将成交项目的非主体、非关键性工作交由他人完成的，应当在响应文件中载明。</w:t>
            </w:r>
          </w:p>
        </w:tc>
      </w:tr>
      <w:tr w14:paraId="58B0D280">
        <w:tblPrEx>
          <w:tblCellMar>
            <w:top w:w="0" w:type="dxa"/>
            <w:left w:w="108" w:type="dxa"/>
            <w:bottom w:w="0" w:type="dxa"/>
            <w:right w:w="108" w:type="dxa"/>
          </w:tblCellMar>
        </w:tblPrEx>
        <w:trPr>
          <w:trHeight w:val="0" w:hRule="atLeast"/>
        </w:trPr>
        <w:tc>
          <w:tcPr>
            <w:tcW w:w="967" w:type="dxa"/>
            <w:tcBorders>
              <w:top w:val="single" w:color="auto" w:sz="4" w:space="0"/>
              <w:left w:val="single" w:color="auto" w:sz="4" w:space="0"/>
              <w:bottom w:val="single" w:color="auto" w:sz="4" w:space="0"/>
              <w:right w:val="single" w:color="auto" w:sz="4" w:space="0"/>
            </w:tcBorders>
            <w:noWrap w:val="0"/>
            <w:vAlign w:val="center"/>
          </w:tcPr>
          <w:p w14:paraId="0946C7C1">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36.4</w:t>
            </w:r>
          </w:p>
        </w:tc>
        <w:tc>
          <w:tcPr>
            <w:tcW w:w="1327" w:type="dxa"/>
            <w:tcBorders>
              <w:top w:val="single" w:color="auto" w:sz="4" w:space="0"/>
              <w:left w:val="single" w:color="auto" w:sz="4" w:space="0"/>
              <w:bottom w:val="single" w:color="auto" w:sz="4" w:space="0"/>
              <w:right w:val="single" w:color="auto" w:sz="4" w:space="0"/>
            </w:tcBorders>
            <w:noWrap w:val="0"/>
            <w:vAlign w:val="center"/>
          </w:tcPr>
          <w:p w14:paraId="218F4919">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多包成交规则</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526C09BD">
            <w:pPr>
              <w:keepNext w:val="0"/>
              <w:keepLines w:val="0"/>
              <w:pageBreakBefore w:val="0"/>
              <w:widowControl w:val="0"/>
              <w:kinsoku/>
              <w:overflowPunct/>
              <w:topLinePunct w:val="0"/>
              <w:bidi w:val="0"/>
              <w:snapToGrid/>
              <w:spacing w:before="63" w:beforeLines="20" w:line="288" w:lineRule="auto"/>
              <w:ind w:left="1"/>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分包采购的项目，供应商可以选择</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个包报价，但只能成交</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个包。</w:t>
            </w:r>
          </w:p>
          <w:p w14:paraId="580A2D66">
            <w:pPr>
              <w:keepNext w:val="0"/>
              <w:keepLines w:val="0"/>
              <w:pageBreakBefore w:val="0"/>
              <w:widowControl w:val="0"/>
              <w:kinsoku/>
              <w:overflowPunct/>
              <w:topLinePunct w:val="0"/>
              <w:bidi w:val="0"/>
              <w:snapToGrid/>
              <w:spacing w:before="63" w:beforeLines="20" w:line="288" w:lineRule="auto"/>
              <w:ind w:left="1"/>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供应商可依照采购文件要求进行多个包报价。若所投多个包的报价排位均第一，由供应商自行选择其中</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个包成交；其他包参与报价排序，排序第一也不成交，成交顺延排序第二的供应商，以此类推。</w:t>
            </w:r>
          </w:p>
        </w:tc>
      </w:tr>
      <w:tr w14:paraId="119E05BE">
        <w:tblPrEx>
          <w:tblCellMar>
            <w:top w:w="0" w:type="dxa"/>
            <w:left w:w="108" w:type="dxa"/>
            <w:bottom w:w="0" w:type="dxa"/>
            <w:right w:w="108" w:type="dxa"/>
          </w:tblCellMar>
        </w:tblPrEx>
        <w:trPr>
          <w:trHeight w:val="0" w:hRule="atLeast"/>
        </w:trPr>
        <w:tc>
          <w:tcPr>
            <w:tcW w:w="967" w:type="dxa"/>
            <w:tcBorders>
              <w:top w:val="single" w:color="auto" w:sz="4" w:space="0"/>
              <w:left w:val="single" w:color="auto" w:sz="4" w:space="0"/>
              <w:bottom w:val="single" w:color="auto" w:sz="4" w:space="0"/>
              <w:right w:val="single" w:color="auto" w:sz="4" w:space="0"/>
            </w:tcBorders>
            <w:noWrap w:val="0"/>
            <w:vAlign w:val="center"/>
          </w:tcPr>
          <w:p w14:paraId="05919F2E">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36.5</w:t>
            </w:r>
          </w:p>
        </w:tc>
        <w:tc>
          <w:tcPr>
            <w:tcW w:w="1327" w:type="dxa"/>
            <w:tcBorders>
              <w:top w:val="single" w:color="auto" w:sz="4" w:space="0"/>
              <w:left w:val="single" w:color="auto" w:sz="4" w:space="0"/>
              <w:bottom w:val="single" w:color="auto" w:sz="4" w:space="0"/>
              <w:right w:val="single" w:color="auto" w:sz="4" w:space="0"/>
            </w:tcBorders>
            <w:noWrap w:val="0"/>
            <w:vAlign w:val="center"/>
          </w:tcPr>
          <w:p w14:paraId="3BD1D54B">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监督</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5AA394E7">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采购人代表</w:t>
            </w:r>
            <w:r>
              <w:rPr>
                <w:rFonts w:hint="eastAsia" w:ascii="宋体" w:hAnsi="宋体" w:eastAsia="宋体" w:cs="宋体"/>
                <w:color w:val="000000" w:themeColor="text1"/>
                <w:sz w:val="24"/>
                <w:szCs w:val="24"/>
                <w:highlight w:val="none"/>
                <w:lang w:val="zh-CN"/>
                <w14:textFill>
                  <w14:solidFill>
                    <w14:schemeClr w14:val="tx1"/>
                  </w14:solidFill>
                </w14:textFill>
              </w:rPr>
              <w:t>。</w:t>
            </w:r>
          </w:p>
        </w:tc>
      </w:tr>
      <w:tr w14:paraId="4FB9F240">
        <w:tblPrEx>
          <w:tblCellMar>
            <w:top w:w="0" w:type="dxa"/>
            <w:left w:w="108" w:type="dxa"/>
            <w:bottom w:w="0" w:type="dxa"/>
            <w:right w:w="108" w:type="dxa"/>
          </w:tblCellMar>
        </w:tblPrEx>
        <w:trPr>
          <w:trHeight w:val="0" w:hRule="atLeast"/>
        </w:trPr>
        <w:tc>
          <w:tcPr>
            <w:tcW w:w="967" w:type="dxa"/>
            <w:tcBorders>
              <w:top w:val="single" w:color="auto" w:sz="4" w:space="0"/>
              <w:left w:val="single" w:color="auto" w:sz="4" w:space="0"/>
              <w:bottom w:val="single" w:color="auto" w:sz="4" w:space="0"/>
              <w:right w:val="single" w:color="auto" w:sz="4" w:space="0"/>
            </w:tcBorders>
            <w:noWrap w:val="0"/>
            <w:vAlign w:val="center"/>
          </w:tcPr>
          <w:p w14:paraId="3F22B45F">
            <w:pPr>
              <w:numPr>
                <w:ilvl w:val="0"/>
                <w:numId w:val="0"/>
              </w:numPr>
              <w:ind w:left="0" w:leftChars="0" w:firstLine="0" w:firstLine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36.6</w:t>
            </w:r>
          </w:p>
        </w:tc>
        <w:tc>
          <w:tcPr>
            <w:tcW w:w="1327" w:type="dxa"/>
            <w:tcBorders>
              <w:top w:val="single" w:color="auto" w:sz="4" w:space="0"/>
              <w:left w:val="single" w:color="auto" w:sz="4" w:space="0"/>
              <w:bottom w:val="single" w:color="auto" w:sz="4" w:space="0"/>
              <w:right w:val="single" w:color="auto" w:sz="4" w:space="0"/>
            </w:tcBorders>
            <w:noWrap w:val="0"/>
            <w:vAlign w:val="center"/>
          </w:tcPr>
          <w:p w14:paraId="332CCE7E">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相关费用</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C054738">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代理费用收取方式及标准，采用以下方式：</w:t>
            </w:r>
          </w:p>
          <w:p w14:paraId="46A0594F">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标准：按发改价格[2015]299号计取。</w:t>
            </w:r>
          </w:p>
          <w:p w14:paraId="07F13965">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本项目招标代理服务费：由中标供应商支付。</w:t>
            </w:r>
          </w:p>
        </w:tc>
      </w:tr>
      <w:tr w14:paraId="409A4AEF">
        <w:tblPrEx>
          <w:tblCellMar>
            <w:top w:w="0" w:type="dxa"/>
            <w:left w:w="108" w:type="dxa"/>
            <w:bottom w:w="0" w:type="dxa"/>
            <w:right w:w="108" w:type="dxa"/>
          </w:tblCellMar>
        </w:tblPrEx>
        <w:trPr>
          <w:trHeight w:val="0" w:hRule="atLeast"/>
        </w:trPr>
        <w:tc>
          <w:tcPr>
            <w:tcW w:w="967" w:type="dxa"/>
            <w:tcBorders>
              <w:top w:val="single" w:color="auto" w:sz="4" w:space="0"/>
              <w:left w:val="single" w:color="auto" w:sz="4" w:space="0"/>
              <w:bottom w:val="single" w:color="auto" w:sz="4" w:space="0"/>
              <w:right w:val="single" w:color="auto" w:sz="4" w:space="0"/>
            </w:tcBorders>
            <w:noWrap w:val="0"/>
            <w:vAlign w:val="center"/>
          </w:tcPr>
          <w:p w14:paraId="36291030">
            <w:pPr>
              <w:numPr>
                <w:ilvl w:val="0"/>
                <w:numId w:val="0"/>
              </w:numPr>
              <w:ind w:left="0" w:leftChars="0" w:firstLine="0" w:firstLine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36.7</w:t>
            </w:r>
          </w:p>
        </w:tc>
        <w:tc>
          <w:tcPr>
            <w:tcW w:w="1327" w:type="dxa"/>
            <w:tcBorders>
              <w:top w:val="single" w:color="auto" w:sz="4" w:space="0"/>
              <w:left w:val="single" w:color="auto" w:sz="4" w:space="0"/>
              <w:bottom w:val="single" w:color="auto" w:sz="4" w:space="0"/>
              <w:right w:val="single" w:color="auto" w:sz="4" w:space="0"/>
            </w:tcBorders>
            <w:noWrap w:val="0"/>
            <w:vAlign w:val="center"/>
          </w:tcPr>
          <w:p w14:paraId="46320A07">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竞争性谈判文件费</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3CA4D7C">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0元</w:t>
            </w:r>
          </w:p>
        </w:tc>
      </w:tr>
      <w:tr w14:paraId="52E3D62A">
        <w:tblPrEx>
          <w:tblCellMar>
            <w:top w:w="0" w:type="dxa"/>
            <w:left w:w="108" w:type="dxa"/>
            <w:bottom w:w="0" w:type="dxa"/>
            <w:right w:w="108" w:type="dxa"/>
          </w:tblCellMar>
        </w:tblPrEx>
        <w:trPr>
          <w:trHeight w:val="0" w:hRule="atLeast"/>
        </w:trPr>
        <w:tc>
          <w:tcPr>
            <w:tcW w:w="967" w:type="dxa"/>
            <w:tcBorders>
              <w:top w:val="single" w:color="auto" w:sz="4" w:space="0"/>
              <w:left w:val="single" w:color="auto" w:sz="4" w:space="0"/>
              <w:bottom w:val="single" w:color="auto" w:sz="4" w:space="0"/>
              <w:right w:val="single" w:color="auto" w:sz="4" w:space="0"/>
            </w:tcBorders>
            <w:noWrap w:val="0"/>
            <w:vAlign w:val="center"/>
          </w:tcPr>
          <w:p w14:paraId="55208600">
            <w:pPr>
              <w:numPr>
                <w:ilvl w:val="0"/>
                <w:numId w:val="0"/>
              </w:numPr>
              <w:ind w:left="0" w:leftChars="0" w:firstLine="0" w:firstLine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36.8</w:t>
            </w:r>
          </w:p>
        </w:tc>
        <w:tc>
          <w:tcPr>
            <w:tcW w:w="1327" w:type="dxa"/>
            <w:tcBorders>
              <w:top w:val="single" w:color="auto" w:sz="4" w:space="0"/>
              <w:left w:val="single" w:color="auto" w:sz="4" w:space="0"/>
              <w:bottom w:val="single" w:color="auto" w:sz="4" w:space="0"/>
              <w:right w:val="single" w:color="auto" w:sz="4" w:space="0"/>
            </w:tcBorders>
            <w:noWrap w:val="0"/>
            <w:vAlign w:val="center"/>
          </w:tcPr>
          <w:p w14:paraId="1BD8205F">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低于成本价不正当竞争预防措施</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53483EED">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根据“财政部 87 号令《政府采购货物服务招标投标管理办法》 ”第六十条之规定：评标委员会认为供应商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4E0A8297">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评标委员会应当要求其在评标现场合理的时间内提供成本构成书面说明，并提交相关证明材料。供应商书面说明应当按照国家财务会计制度的规定要求，逐项就供应商提供的 货物、工程和服务的主营业务成本 (应根据供应商企业类型予以区别) 、税金及附加、 销售费用、管理费用、财务费用等成本构成事项详细陈述。</w:t>
            </w:r>
          </w:p>
          <w:p w14:paraId="2FD29BA9">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2FD07C6E">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响应文件作为无效处理。</w:t>
            </w:r>
          </w:p>
        </w:tc>
      </w:tr>
      <w:tr w14:paraId="6A371CE1">
        <w:tblPrEx>
          <w:tblCellMar>
            <w:top w:w="0" w:type="dxa"/>
            <w:left w:w="108" w:type="dxa"/>
            <w:bottom w:w="0" w:type="dxa"/>
            <w:right w:w="108" w:type="dxa"/>
          </w:tblCellMar>
        </w:tblPrEx>
        <w:trPr>
          <w:trHeight w:val="0" w:hRule="atLeast"/>
        </w:trPr>
        <w:tc>
          <w:tcPr>
            <w:tcW w:w="967" w:type="dxa"/>
            <w:tcBorders>
              <w:top w:val="single" w:color="auto" w:sz="4" w:space="0"/>
              <w:left w:val="single" w:color="auto" w:sz="4" w:space="0"/>
              <w:bottom w:val="single" w:color="auto" w:sz="4" w:space="0"/>
              <w:right w:val="single" w:color="auto" w:sz="4" w:space="0"/>
            </w:tcBorders>
            <w:noWrap w:val="0"/>
            <w:vAlign w:val="center"/>
          </w:tcPr>
          <w:p w14:paraId="1827A66E">
            <w:pPr>
              <w:numPr>
                <w:ilvl w:val="0"/>
                <w:numId w:val="0"/>
              </w:numPr>
              <w:ind w:left="0" w:leftChars="0" w:firstLine="0" w:firstLine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36.9</w:t>
            </w:r>
          </w:p>
        </w:tc>
        <w:tc>
          <w:tcPr>
            <w:tcW w:w="1327" w:type="dxa"/>
            <w:tcBorders>
              <w:top w:val="single" w:color="auto" w:sz="4" w:space="0"/>
              <w:left w:val="single" w:color="auto" w:sz="4" w:space="0"/>
              <w:bottom w:val="single" w:color="auto" w:sz="4" w:space="0"/>
              <w:right w:val="single" w:color="auto" w:sz="4" w:space="0"/>
            </w:tcBorders>
            <w:noWrap w:val="0"/>
            <w:vAlign w:val="center"/>
          </w:tcPr>
          <w:p w14:paraId="6EFBA8AF">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纸质版投标文件</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3366091A">
            <w:pPr>
              <w:pStyle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评标结束后，</w:t>
            </w:r>
            <w:r>
              <w:rPr>
                <w:rFonts w:hint="eastAsia" w:hAnsi="宋体" w:cs="宋体"/>
                <w:color w:val="000000" w:themeColor="text1"/>
                <w:sz w:val="24"/>
                <w:szCs w:val="24"/>
                <w:highlight w:val="none"/>
                <w:lang w:val="en-US" w:eastAsia="zh-CN"/>
                <w14:textFill>
                  <w14:solidFill>
                    <w14:schemeClr w14:val="tx1"/>
                  </w14:solidFill>
                </w14:textFill>
              </w:rPr>
              <w:t>中标</w:t>
            </w:r>
            <w:r>
              <w:rPr>
                <w:rFonts w:hint="eastAsia" w:ascii="宋体" w:hAnsi="宋体" w:eastAsia="宋体" w:cs="宋体"/>
                <w:color w:val="000000" w:themeColor="text1"/>
                <w:sz w:val="24"/>
                <w:szCs w:val="24"/>
                <w:highlight w:val="none"/>
                <w:lang w:val="zh-CN"/>
                <w14:textFill>
                  <w14:solidFill>
                    <w14:schemeClr w14:val="tx1"/>
                  </w14:solidFill>
                </w14:textFill>
              </w:rPr>
              <w:t>单位须在一周内按</w:t>
            </w:r>
            <w:r>
              <w:rPr>
                <w:rFonts w:hint="eastAsia" w:ascii="宋体" w:hAnsi="宋体" w:eastAsia="宋体" w:cs="宋体"/>
                <w:color w:val="000000" w:themeColor="text1"/>
                <w:sz w:val="24"/>
                <w:szCs w:val="24"/>
                <w:highlight w:val="none"/>
                <w:lang w:val="en-US" w:eastAsia="zh-CN"/>
                <w14:textFill>
                  <w14:solidFill>
                    <w14:schemeClr w14:val="tx1"/>
                  </w14:solidFill>
                </w14:textFill>
              </w:rPr>
              <w:t>谈判</w:t>
            </w:r>
            <w:r>
              <w:rPr>
                <w:rFonts w:hint="eastAsia" w:ascii="宋体" w:hAnsi="宋体" w:eastAsia="宋体" w:cs="宋体"/>
                <w:color w:val="000000" w:themeColor="text1"/>
                <w:sz w:val="24"/>
                <w:szCs w:val="24"/>
                <w:highlight w:val="none"/>
                <w:lang w:val="zh-CN"/>
                <w14:textFill>
                  <w14:solidFill>
                    <w14:schemeClr w14:val="tx1"/>
                  </w14:solidFill>
                </w14:textFill>
              </w:rPr>
              <w:t>文件要求将纸质版投标文件递交至招标代理处 （</w:t>
            </w:r>
            <w:r>
              <w:rPr>
                <w:rFonts w:hint="eastAsia" w:hAnsi="宋体" w:cs="宋体"/>
                <w:color w:val="000000" w:themeColor="text1"/>
                <w:sz w:val="24"/>
                <w:szCs w:val="24"/>
                <w:highlight w:val="none"/>
                <w:lang w:val="en-US" w:eastAsia="zh-CN"/>
                <w14:textFill>
                  <w14:solidFill>
                    <w14:schemeClr w14:val="tx1"/>
                  </w14:solidFill>
                </w14:textFill>
              </w:rPr>
              <w:t>新疆和田地区和田市古勒巴格街道凯旋路57号川亿凯旋公馆B区19栋</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所产生的的费用投标单位自理) 。纸质版投标文件可通过加密电子版投标文件打印生成，应当与电子版投标文件一致。</w:t>
            </w:r>
            <w:r>
              <w:rPr>
                <w:rFonts w:hint="eastAsia" w:hAnsi="宋体" w:cs="宋体"/>
                <w:color w:val="000000" w:themeColor="text1"/>
                <w:sz w:val="24"/>
                <w:szCs w:val="24"/>
                <w:highlight w:val="none"/>
                <w:lang w:val="zh-CN"/>
                <w14:textFill>
                  <w14:solidFill>
                    <w14:schemeClr w14:val="tx1"/>
                  </w14:solidFill>
                </w14:textFill>
              </w:rPr>
              <w:t>涉及二轮</w:t>
            </w:r>
            <w:r>
              <w:rPr>
                <w:rFonts w:hint="eastAsia" w:hAnsi="宋体" w:cs="宋体"/>
                <w:color w:val="000000" w:themeColor="text1"/>
                <w:sz w:val="24"/>
                <w:szCs w:val="24"/>
                <w:highlight w:val="none"/>
                <w:lang w:val="en-US" w:eastAsia="zh-CN"/>
                <w14:textFill>
                  <w14:solidFill>
                    <w14:schemeClr w14:val="tx1"/>
                  </w14:solidFill>
                </w14:textFill>
              </w:rPr>
              <w:t>及以上</w:t>
            </w:r>
            <w:r>
              <w:rPr>
                <w:rFonts w:hint="eastAsia" w:hAnsi="宋体" w:cs="宋体"/>
                <w:color w:val="000000" w:themeColor="text1"/>
                <w:sz w:val="24"/>
                <w:szCs w:val="24"/>
                <w:highlight w:val="none"/>
                <w:lang w:val="zh-CN"/>
                <w14:textFill>
                  <w14:solidFill>
                    <w14:schemeClr w14:val="tx1"/>
                  </w14:solidFill>
                </w14:textFill>
              </w:rPr>
              <w:t>报价，投标企业需提供二轮</w:t>
            </w:r>
            <w:r>
              <w:rPr>
                <w:rFonts w:hint="eastAsia" w:hAnsi="宋体" w:cs="宋体"/>
                <w:color w:val="000000" w:themeColor="text1"/>
                <w:sz w:val="24"/>
                <w:szCs w:val="24"/>
                <w:highlight w:val="none"/>
                <w:lang w:val="en-US" w:eastAsia="zh-CN"/>
                <w14:textFill>
                  <w14:solidFill>
                    <w14:schemeClr w14:val="tx1"/>
                  </w14:solidFill>
                </w14:textFill>
              </w:rPr>
              <w:t>及以上</w:t>
            </w:r>
            <w:r>
              <w:rPr>
                <w:rFonts w:hint="eastAsia" w:hAnsi="宋体" w:cs="宋体"/>
                <w:color w:val="000000" w:themeColor="text1"/>
                <w:sz w:val="24"/>
                <w:szCs w:val="24"/>
                <w:highlight w:val="none"/>
                <w:lang w:val="zh-CN"/>
                <w14:textFill>
                  <w14:solidFill>
                    <w14:schemeClr w14:val="tx1"/>
                  </w14:solidFill>
                </w14:textFill>
              </w:rPr>
              <w:t>报价的清单纸质版加盖公章</w:t>
            </w:r>
            <w:r>
              <w:rPr>
                <w:rFonts w:hint="eastAsia" w:ascii="宋体" w:hAnsi="宋体" w:eastAsia="宋体" w:cs="宋体"/>
                <w:color w:val="000000" w:themeColor="text1"/>
                <w:sz w:val="24"/>
                <w:szCs w:val="24"/>
                <w:highlight w:val="none"/>
                <w:lang w:val="zh-CN"/>
                <w14:textFill>
                  <w14:solidFill>
                    <w14:schemeClr w14:val="tx1"/>
                  </w14:solidFill>
                </w14:textFill>
              </w:rPr>
              <w:t>【1、份数要求：正本</w:t>
            </w:r>
            <w:r>
              <w:rPr>
                <w:rFonts w:hint="eastAsia" w:hAnsi="宋体" w:cs="宋体"/>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color w:val="000000" w:themeColor="text1"/>
                <w:sz w:val="24"/>
                <w:szCs w:val="24"/>
                <w:highlight w:val="none"/>
                <w:lang w:val="zh-CN"/>
                <w14:textFill>
                  <w14:solidFill>
                    <w14:schemeClr w14:val="tx1"/>
                  </w14:solidFill>
                </w14:textFill>
              </w:rPr>
              <w:t>份、副本</w:t>
            </w:r>
            <w:r>
              <w:rPr>
                <w:rFonts w:hint="eastAsia" w:hAnsi="宋体" w:cs="宋体"/>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color w:val="000000" w:themeColor="text1"/>
                <w:sz w:val="24"/>
                <w:szCs w:val="24"/>
                <w:highlight w:val="none"/>
                <w:lang w:val="zh-CN"/>
                <w14:textFill>
                  <w14:solidFill>
                    <w14:schemeClr w14:val="tx1"/>
                  </w14:solidFill>
                </w14:textFill>
              </w:rPr>
              <w:t>份。2、装订要求：响应文件商务技术部分装订成一册，响应文件的装订必须采用死页胶粘本。】</w:t>
            </w:r>
          </w:p>
        </w:tc>
      </w:tr>
      <w:tr w14:paraId="25C5B274">
        <w:tblPrEx>
          <w:tblCellMar>
            <w:top w:w="0" w:type="dxa"/>
            <w:left w:w="108" w:type="dxa"/>
            <w:bottom w:w="0" w:type="dxa"/>
            <w:right w:w="108" w:type="dxa"/>
          </w:tblCellMar>
        </w:tblPrEx>
        <w:trPr>
          <w:trHeight w:val="0" w:hRule="atLeast"/>
        </w:trPr>
        <w:tc>
          <w:tcPr>
            <w:tcW w:w="967" w:type="dxa"/>
            <w:tcBorders>
              <w:top w:val="single" w:color="auto" w:sz="4" w:space="0"/>
              <w:left w:val="single" w:color="auto" w:sz="4" w:space="0"/>
              <w:bottom w:val="single" w:color="auto" w:sz="4" w:space="0"/>
              <w:right w:val="single" w:color="auto" w:sz="4" w:space="0"/>
            </w:tcBorders>
            <w:noWrap w:val="0"/>
            <w:vAlign w:val="center"/>
          </w:tcPr>
          <w:p w14:paraId="3AFDF645">
            <w:pPr>
              <w:numPr>
                <w:ilvl w:val="0"/>
                <w:numId w:val="0"/>
              </w:numPr>
              <w:ind w:left="0" w:leftChars="0" w:firstLine="0" w:firstLine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28" w:name="_Toc464831128"/>
            <w:bookmarkStart w:id="29" w:name="_Toc7285"/>
            <w:r>
              <w:rPr>
                <w:rFonts w:hint="eastAsia" w:ascii="宋体" w:hAnsi="宋体" w:eastAsia="宋体" w:cs="宋体"/>
                <w:color w:val="000000" w:themeColor="text1"/>
                <w:sz w:val="24"/>
                <w:szCs w:val="24"/>
                <w:highlight w:val="none"/>
                <w:lang w:val="en-US" w:eastAsia="zh-CN"/>
                <w14:textFill>
                  <w14:solidFill>
                    <w14:schemeClr w14:val="tx1"/>
                  </w14:solidFill>
                </w14:textFill>
              </w:rPr>
              <w:t>36.10</w:t>
            </w:r>
          </w:p>
        </w:tc>
        <w:tc>
          <w:tcPr>
            <w:tcW w:w="1327" w:type="dxa"/>
            <w:tcBorders>
              <w:top w:val="single" w:color="auto" w:sz="4" w:space="0"/>
              <w:left w:val="single" w:color="auto" w:sz="4" w:space="0"/>
              <w:bottom w:val="single" w:color="auto" w:sz="4" w:space="0"/>
              <w:right w:val="single" w:color="auto" w:sz="4" w:space="0"/>
            </w:tcBorders>
            <w:noWrap w:val="0"/>
            <w:vAlign w:val="center"/>
          </w:tcPr>
          <w:p w14:paraId="019B031F">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成交公示及签订合同</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396D875E">
            <w:pPr>
              <w:pStyle w:val="9"/>
              <w:numPr>
                <w:ilvl w:val="0"/>
                <w:numId w:val="0"/>
              </w:numP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kern w:val="2"/>
                <w:sz w:val="24"/>
                <w:szCs w:val="24"/>
                <w:lang w:val="zh-CN" w:eastAsia="zh-CN" w:bidi="ar-SA"/>
                <w14:textFill>
                  <w14:solidFill>
                    <w14:schemeClr w14:val="tx1"/>
                  </w14:solidFill>
                </w14:textFill>
              </w:rPr>
              <w:t>1、</w:t>
            </w:r>
            <w:r>
              <w:rPr>
                <w:rFonts w:hint="eastAsia" w:ascii="宋体" w:hAnsi="宋体" w:eastAsia="宋体" w:cs="宋体"/>
                <w:color w:val="000000" w:themeColor="text1"/>
                <w:sz w:val="24"/>
                <w:szCs w:val="24"/>
                <w:highlight w:val="none"/>
                <w:lang w:val="zh-CN"/>
                <w14:textFill>
                  <w14:solidFill>
                    <w14:schemeClr w14:val="tx1"/>
                  </w14:solidFill>
                </w14:textFill>
              </w:rPr>
              <w:t>采购结果在</w:t>
            </w:r>
            <w:r>
              <w:rPr>
                <w:rFonts w:hint="eastAsia" w:ascii="宋体" w:hAnsi="宋体" w:eastAsia="宋体" w:cs="宋体"/>
                <w:color w:val="000000" w:themeColor="text1"/>
                <w:sz w:val="24"/>
                <w:szCs w:val="24"/>
                <w:highlight w:val="none"/>
                <w:lang w:val="zh-CN" w:eastAsia="zh-CN"/>
                <w14:textFill>
                  <w14:solidFill>
                    <w14:schemeClr w14:val="tx1"/>
                  </w14:solidFill>
                </w14:textFill>
              </w:rPr>
              <w:t>新疆政府采购网</w:t>
            </w:r>
            <w:r>
              <w:rPr>
                <w:rFonts w:hint="eastAsia" w:ascii="宋体" w:hAnsi="宋体" w:eastAsia="宋体" w:cs="宋体"/>
                <w:color w:val="000000" w:themeColor="text1"/>
                <w:sz w:val="24"/>
                <w:szCs w:val="24"/>
                <w:highlight w:val="none"/>
                <w:lang w:val="zh-CN"/>
                <w14:textFill>
                  <w14:solidFill>
                    <w14:schemeClr w14:val="tx1"/>
                  </w14:solidFill>
                </w14:textFill>
              </w:rPr>
              <w:t>发布成交公示。</w:t>
            </w:r>
          </w:p>
          <w:p w14:paraId="2D43E367">
            <w:pPr>
              <w:pStyle w:val="9"/>
              <w:numPr>
                <w:ilvl w:val="0"/>
                <w:numId w:val="0"/>
              </w:numP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kern w:val="2"/>
                <w:sz w:val="24"/>
                <w:szCs w:val="24"/>
                <w:lang w:val="zh-CN" w:eastAsia="zh-CN" w:bidi="ar-SA"/>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成交供应商</w:t>
            </w:r>
            <w:r>
              <w:rPr>
                <w:rFonts w:hint="eastAsia" w:ascii="宋体" w:hAnsi="宋体" w:eastAsia="宋体" w:cs="宋体"/>
                <w:color w:val="000000" w:themeColor="text1"/>
                <w:sz w:val="24"/>
                <w:szCs w:val="24"/>
                <w:highlight w:val="none"/>
                <w:lang w:val="zh-CN"/>
                <w14:textFill>
                  <w14:solidFill>
                    <w14:schemeClr w14:val="tx1"/>
                  </w14:solidFill>
                </w14:textFill>
              </w:rPr>
              <w:t>应自</w:t>
            </w:r>
            <w:r>
              <w:rPr>
                <w:rFonts w:hint="eastAsia" w:ascii="宋体" w:hAnsi="宋体" w:eastAsia="宋体" w:cs="宋体"/>
                <w:color w:val="000000" w:themeColor="text1"/>
                <w:sz w:val="24"/>
                <w:szCs w:val="24"/>
                <w:highlight w:val="none"/>
                <w:lang w:val="en-US" w:eastAsia="zh-CN"/>
                <w14:textFill>
                  <w14:solidFill>
                    <w14:schemeClr w14:val="tx1"/>
                  </w14:solidFill>
                </w14:textFill>
              </w:rPr>
              <w:t>成交</w:t>
            </w:r>
            <w:r>
              <w:rPr>
                <w:rFonts w:hint="eastAsia" w:ascii="宋体" w:hAnsi="宋体" w:eastAsia="宋体" w:cs="宋体"/>
                <w:color w:val="000000" w:themeColor="text1"/>
                <w:sz w:val="24"/>
                <w:szCs w:val="24"/>
                <w:highlight w:val="none"/>
                <w:lang w:val="zh-CN"/>
                <w14:textFill>
                  <w14:solidFill>
                    <w14:schemeClr w14:val="tx1"/>
                  </w14:solidFill>
                </w14:textFill>
              </w:rPr>
              <w:t>通知书发出后</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zh-CN"/>
                <w14:textFill>
                  <w14:solidFill>
                    <w14:schemeClr w14:val="tx1"/>
                  </w14:solidFill>
                </w14:textFill>
              </w:rPr>
              <w:t>日内与采购人签订合同。</w:t>
            </w:r>
          </w:p>
        </w:tc>
      </w:tr>
      <w:tr w14:paraId="176885D9">
        <w:tblPrEx>
          <w:tblCellMar>
            <w:top w:w="0" w:type="dxa"/>
            <w:left w:w="108" w:type="dxa"/>
            <w:bottom w:w="0" w:type="dxa"/>
            <w:right w:w="108" w:type="dxa"/>
          </w:tblCellMar>
        </w:tblPrEx>
        <w:trPr>
          <w:trHeight w:val="0" w:hRule="atLeast"/>
        </w:trPr>
        <w:tc>
          <w:tcPr>
            <w:tcW w:w="967" w:type="dxa"/>
            <w:vMerge w:val="restart"/>
            <w:tcBorders>
              <w:top w:val="single" w:color="auto" w:sz="4" w:space="0"/>
              <w:left w:val="single" w:color="auto" w:sz="4" w:space="0"/>
              <w:right w:val="single" w:color="auto" w:sz="4" w:space="0"/>
            </w:tcBorders>
            <w:noWrap w:val="0"/>
            <w:vAlign w:val="center"/>
          </w:tcPr>
          <w:p w14:paraId="4C5481D1">
            <w:pPr>
              <w:numPr>
                <w:ilvl w:val="0"/>
                <w:numId w:val="0"/>
              </w:numPr>
              <w:ind w:left="0" w:leftChars="0" w:firstLine="0" w:firstLineChars="0"/>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36.11</w:t>
            </w:r>
          </w:p>
        </w:tc>
        <w:tc>
          <w:tcPr>
            <w:tcW w:w="1327" w:type="dxa"/>
            <w:vMerge w:val="restart"/>
            <w:tcBorders>
              <w:top w:val="single" w:color="auto" w:sz="4" w:space="0"/>
              <w:left w:val="single" w:color="auto" w:sz="4" w:space="0"/>
              <w:right w:val="single" w:color="auto" w:sz="4" w:space="0"/>
            </w:tcBorders>
            <w:noWrap w:val="0"/>
            <w:vAlign w:val="center"/>
          </w:tcPr>
          <w:p w14:paraId="27549328">
            <w:pPr>
              <w:keepNext w:val="0"/>
              <w:keepLines w:val="0"/>
              <w:pageBreakBefore w:val="0"/>
              <w:widowControl w:val="0"/>
              <w:kinsoku/>
              <w:wordWrap/>
              <w:overflowPunct/>
              <w:topLinePunct w:val="0"/>
              <w:bidi w:val="0"/>
              <w:adjustRightInd/>
              <w:snapToGrid/>
              <w:spacing w:before="32" w:beforeLines="10" w:line="264" w:lineRule="auto"/>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其他</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22C76D2E">
            <w:pPr>
              <w:pStyle w:val="9"/>
              <w:numPr>
                <w:ilvl w:val="0"/>
                <w:numId w:val="0"/>
              </w:numP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1、业绩要求： 近三年内至少承担过类似三个工程施工业绩（近三年指 2022 年 02 月至今，时间以完工证明时间为准），业绩金额大于等于本标段招标控制价，需提供中标通知书（发包通知书或其他资料）、施工合同（信息必须完整、齐全）及以单位工程鉴定书或者建设单位（或县、县级以上水利主管部门）出具的完工证明，业绩证明材料必须清晰，没有修改痕迹，否则本次招标不予认可。</w:t>
            </w:r>
          </w:p>
        </w:tc>
      </w:tr>
      <w:tr w14:paraId="22D2F382">
        <w:tblPrEx>
          <w:tblCellMar>
            <w:top w:w="0" w:type="dxa"/>
            <w:left w:w="108" w:type="dxa"/>
            <w:bottom w:w="0" w:type="dxa"/>
            <w:right w:w="108" w:type="dxa"/>
          </w:tblCellMar>
        </w:tblPrEx>
        <w:trPr>
          <w:trHeight w:val="0" w:hRule="atLeast"/>
        </w:trPr>
        <w:tc>
          <w:tcPr>
            <w:tcW w:w="967" w:type="dxa"/>
            <w:vMerge w:val="continue"/>
            <w:tcBorders>
              <w:left w:val="single" w:color="auto" w:sz="4" w:space="0"/>
              <w:bottom w:val="single" w:color="auto" w:sz="4" w:space="0"/>
              <w:right w:val="single" w:color="auto" w:sz="4" w:space="0"/>
            </w:tcBorders>
            <w:noWrap w:val="0"/>
            <w:vAlign w:val="center"/>
          </w:tcPr>
          <w:p w14:paraId="0D6C0B7B">
            <w:pPr>
              <w:numPr>
                <w:ilvl w:val="0"/>
                <w:numId w:val="0"/>
              </w:numPr>
              <w:ind w:left="0" w:leftChars="0" w:firstLine="0" w:firstLineChars="0"/>
              <w:jc w:val="center"/>
              <w:rPr>
                <w:rFonts w:hint="eastAsia" w:ascii="宋体" w:hAnsi="宋体" w:cs="宋体"/>
                <w:color w:val="000000" w:themeColor="text1"/>
                <w:sz w:val="24"/>
                <w:szCs w:val="24"/>
                <w:highlight w:val="none"/>
                <w:lang w:val="en-US" w:eastAsia="zh-CN"/>
                <w14:textFill>
                  <w14:solidFill>
                    <w14:schemeClr w14:val="tx1"/>
                  </w14:solidFill>
                </w14:textFill>
              </w:rPr>
            </w:pPr>
          </w:p>
        </w:tc>
        <w:tc>
          <w:tcPr>
            <w:tcW w:w="1327" w:type="dxa"/>
            <w:vMerge w:val="continue"/>
            <w:tcBorders>
              <w:left w:val="single" w:color="auto" w:sz="4" w:space="0"/>
              <w:bottom w:val="single" w:color="auto" w:sz="4" w:space="0"/>
              <w:right w:val="single" w:color="auto" w:sz="4" w:space="0"/>
            </w:tcBorders>
            <w:noWrap w:val="0"/>
            <w:vAlign w:val="center"/>
          </w:tcPr>
          <w:p w14:paraId="4C9AD259">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p>
        </w:tc>
        <w:tc>
          <w:tcPr>
            <w:tcW w:w="7318" w:type="dxa"/>
            <w:tcBorders>
              <w:top w:val="single" w:color="auto" w:sz="4" w:space="0"/>
              <w:left w:val="single" w:color="auto" w:sz="4" w:space="0"/>
              <w:bottom w:val="single" w:color="auto" w:sz="4" w:space="0"/>
              <w:right w:val="single" w:color="auto" w:sz="4" w:space="0"/>
            </w:tcBorders>
            <w:noWrap w:val="0"/>
            <w:vAlign w:val="center"/>
          </w:tcPr>
          <w:p w14:paraId="3083C1CE">
            <w:pPr>
              <w:pStyle w:val="9"/>
              <w:numPr>
                <w:ilvl w:val="0"/>
                <w:numId w:val="0"/>
              </w:numPr>
              <w:rPr>
                <w:rFonts w:hint="eastAsia" w:hAnsi="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2、人员要求：1、项目经理资格：拟派出的项目经理具有水利水电工程二级建造师及以上注册证书和安全生产考核证书B证，具有水利工程专业或相关专业中级及以上技术职称并具有担任项目经理的经历，不得同时在两个及以上在建工程中担任项目经理，或在另一在建项目中担任技术负责人，在评标过程中经核查，如投标人本标段拟派项目经理存在上述情形之一的，其投标将被否决，并没收其投标保证金，敬请投标人注意！技术负责人应具有水利工程专业中级及以上技术职称并附评审资格证明红头文件，具有与本项目技术要求相应的技术水平，至少两年相关项目管理经验（需出具相关工作经验证明文件）且不得同时在两个在建项目担任技术负责人，或在另一在建项目中担任项目经理。在评标过程中经核查，如投标人本标段拟派技术负责人存在上述情形之一的，其投标将被否决，敬请投标人注意！质量管理人员应具有相关专业助理工程师及以上职称，质检员应取得水利工程质检员岗位（培训合格）证书；施工员应取得水利工程施工员岗位（培训合格）证书；安全管理人员或专职安全员应取得安全生产考核合格证书（C类）；水利工程造价执业人员应具有（水利工程造价工程师）的执（从）业资格。以上人员及委托代理人必须是该投标企业的在职人员。</w:t>
            </w:r>
          </w:p>
          <w:p w14:paraId="7DF3C07D">
            <w:pPr>
              <w:pStyle w:val="9"/>
              <w:numPr>
                <w:ilvl w:val="0"/>
                <w:numId w:val="0"/>
              </w:numPr>
              <w:rPr>
                <w:rFonts w:hint="eastAsia" w:hAnsi="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3、其它要求（1）：拟投入本工程的主要项目管理人员（项目经理、项目副经理、技术负责人或项目总工程师、安全管理人员、质量管理人员、水利工程造价执业人员、委托代理人）等上述人员应是本单位的人员，提供近期连续三个月社保证明，投标文件需要提供项目人员的身份证、职称证、岗位证、学历证、业绩证明材料、社保证明复印件。如未按要求提供以上材料，其投标将被否决，敬请投标人注意！</w:t>
            </w:r>
          </w:p>
          <w:p w14:paraId="1075B3CA">
            <w:pPr>
              <w:pStyle w:val="9"/>
              <w:numPr>
                <w:ilvl w:val="0"/>
                <w:numId w:val="0"/>
              </w:numPr>
              <w:rPr>
                <w:rFonts w:hint="eastAsia" w:hAnsi="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4、施工企业安全生产费用：安全生产费用按照办水总函[2023]38号文规定，按投标人所投标段建安工程费用的2.5%计取，安全文明施工费包含在单价中。</w:t>
            </w:r>
          </w:p>
          <w:p w14:paraId="25BCAB7E">
            <w:pPr>
              <w:pStyle w:val="9"/>
              <w:numPr>
                <w:ilvl w:val="0"/>
                <w:numId w:val="0"/>
              </w:numPr>
              <w:rPr>
                <w:rFonts w:hint="eastAsia" w:hAnsi="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5、其他要求（2）：1、投标以本工程量清单计价表为准，具体的技术指标及结构形式应以施工设计图纸为准。投标人应认真仔细与设计图纸进行校核，如本工程量清单中的工程量、技术指标或质量标准与设计施工图不符之处，以设计施工图为准。发包人不会因招标文件中的技术指标或质量标准与设计施工图不符而给予单价或合价调整，也不在另行支付。本项目中各子项在工程施工过程中可能存在未明确的工程量或工程量清单中的工程量与设计施工图不符之处，视同以包含在其他单项费用里面，中标后施工中以此工程单价进行结算。本项目工程保险费已包含在项目总价中。2、本项目不接受有不良行为记录的投标人;不良行为记录指:指潜在的投标人或其拟担任本项目经理最近三年内在水利工程项目建设过程中因违反工程建设的法律、法规、规章或强制性标准和执业行为规范等及在国家企业信用信息公示系统(http://www.gsxt.gov.cn)有经营异常名录的或者其他不良行为,经有关主管部门或执法监督机构查实对其进行行政处罚且仍在处罚期内的。 3、根据新疆维吾尔自治区水利厅办公室（新水办[2023]389号文）的有关规定，投标人应依法依规在“全国水利建设市场监管平台”填报基本信息和良好行为记录信息，以投标人在“全国水利建设市场监管平台”填报的单位资质、人员资格、业绩、信用评价等信息作为我区招标投标工作的依据。4、信用等级以水利部查询为准；拟投入项目班组的人员证件均在有效期之内，否则作废标处理。</w:t>
            </w:r>
          </w:p>
          <w:p w14:paraId="1C00C5E2">
            <w:pPr>
              <w:pStyle w:val="9"/>
              <w:numPr>
                <w:ilvl w:val="0"/>
                <w:numId w:val="0"/>
              </w:numPr>
              <w:rPr>
                <w:rFonts w:hint="eastAsia" w:hAnsi="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6、类似工程：投标人的类似工程业绩是指其过去承担的水利工程项目中所取得的成绩和经验，是招标人（评标委员会）评估投标人是否具有承担本项目的施工能力和可靠性的重要因素之一。</w:t>
            </w:r>
          </w:p>
          <w:p w14:paraId="43D41391">
            <w:pPr>
              <w:pStyle w:val="9"/>
              <w:numPr>
                <w:ilvl w:val="0"/>
                <w:numId w:val="0"/>
              </w:numPr>
              <w:rPr>
                <w:rFonts w:hint="eastAsia" w:hAnsi="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7、安全生产责任保险：由投标人根据有关文件规定计取(其中安全生产责任保险由中标单位与保险机构协商约定,中标单位必须在开工之前完成投保，安全责任险足额到位，保险期限覆盖整个施工期)</w:t>
            </w:r>
          </w:p>
          <w:p w14:paraId="43A299ED">
            <w:pPr>
              <w:pStyle w:val="9"/>
              <w:numPr>
                <w:ilvl w:val="0"/>
                <w:numId w:val="0"/>
              </w:numPr>
              <w:rPr>
                <w:rFonts w:hint="default" w:hAnsi="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8、其他要求：严格按照《国家以工代赈管理办法》《自治区以工代赈管理实施细则》 等相关规定，按照“能用人工尽量不使用机械， 能用当地群众尽量不使用专业施工队伍的要求，加强当地群众务工组织，及时足额发放劳务报酬。本项目采用“公益性基础设施建设+劳务报酬发放+就业技能培训”模式实施， 要切实发挥本项目赈济作用， 促进当地群众就地就近就业增收。</w:t>
            </w:r>
          </w:p>
        </w:tc>
      </w:tr>
    </w:tbl>
    <w:p w14:paraId="044B67AB">
      <w:pPr>
        <w:spacing w:after="156" w:afterLines="50"/>
        <w:jc w:val="center"/>
        <w:outlineLvl w:val="1"/>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br w:type="page"/>
      </w:r>
      <w:bookmarkStart w:id="30" w:name="_Toc12585"/>
      <w:bookmarkStart w:id="31" w:name="_Toc4196"/>
      <w:bookmarkStart w:id="32" w:name="_Toc21160"/>
      <w:bookmarkStart w:id="33" w:name="_Toc29517"/>
      <w:bookmarkStart w:id="34" w:name="_Toc16527"/>
      <w:bookmarkStart w:id="35" w:name="_Toc26216"/>
      <w:bookmarkStart w:id="36" w:name="_Toc6355"/>
      <w:r>
        <w:rPr>
          <w:rFonts w:hint="eastAsia" w:ascii="宋体" w:hAnsi="宋体" w:eastAsia="宋体" w:cs="宋体"/>
          <w:color w:val="000000" w:themeColor="text1"/>
          <w:sz w:val="28"/>
          <w:szCs w:val="28"/>
          <w:highlight w:val="none"/>
          <w14:textFill>
            <w14:solidFill>
              <w14:schemeClr w14:val="tx1"/>
            </w14:solidFill>
          </w14:textFill>
        </w:rPr>
        <w:t>供应商须知</w:t>
      </w:r>
      <w:bookmarkEnd w:id="28"/>
      <w:bookmarkEnd w:id="29"/>
      <w:bookmarkEnd w:id="30"/>
      <w:bookmarkEnd w:id="31"/>
      <w:bookmarkEnd w:id="32"/>
      <w:bookmarkEnd w:id="33"/>
      <w:bookmarkEnd w:id="34"/>
      <w:bookmarkEnd w:id="35"/>
      <w:bookmarkEnd w:id="36"/>
    </w:p>
    <w:p w14:paraId="38B4A320">
      <w:pPr>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bookmarkStart w:id="37" w:name="_Toc26123"/>
      <w:bookmarkStart w:id="38" w:name="_Toc464831129"/>
      <w:bookmarkStart w:id="39" w:name="_Toc29915"/>
      <w:bookmarkStart w:id="40" w:name="_Toc1160"/>
      <w:bookmarkStart w:id="41" w:name="_Toc25840"/>
      <w:bookmarkStart w:id="42" w:name="_Toc20033"/>
      <w:bookmarkStart w:id="43" w:name="_Toc13851"/>
      <w:bookmarkStart w:id="44" w:name="_Toc16423"/>
      <w:r>
        <w:rPr>
          <w:rFonts w:hint="eastAsia" w:ascii="宋体" w:hAnsi="宋体" w:eastAsia="宋体" w:cs="宋体"/>
          <w:color w:val="000000" w:themeColor="text1"/>
          <w:sz w:val="24"/>
          <w:szCs w:val="24"/>
          <w:highlight w:val="none"/>
          <w14:textFill>
            <w14:solidFill>
              <w14:schemeClr w14:val="tx1"/>
            </w14:solidFill>
          </w14:textFill>
        </w:rPr>
        <w:t>1.采购依据以及原则</w:t>
      </w:r>
      <w:bookmarkEnd w:id="37"/>
      <w:bookmarkEnd w:id="38"/>
      <w:bookmarkEnd w:id="39"/>
      <w:bookmarkEnd w:id="40"/>
      <w:bookmarkEnd w:id="41"/>
      <w:bookmarkEnd w:id="42"/>
      <w:bookmarkEnd w:id="43"/>
      <w:bookmarkEnd w:id="44"/>
    </w:p>
    <w:p w14:paraId="396EDC0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1.1《中华人民共和国政府采购法》；</w:t>
      </w:r>
    </w:p>
    <w:p w14:paraId="047FF5C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1.2《中华人民共和国合同法》；</w:t>
      </w:r>
    </w:p>
    <w:p w14:paraId="52CB6D0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1.3《中华人民共和国政府采购法实施条例》；</w:t>
      </w:r>
    </w:p>
    <w:p w14:paraId="46EF86E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1.4《政府采购非招标采购方式管理办法》；</w:t>
      </w:r>
    </w:p>
    <w:p w14:paraId="7158857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1.5《政府采购供应商投诉处理办法》；</w:t>
      </w:r>
    </w:p>
    <w:p w14:paraId="1F67B20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其他有关法律、行政法规以及省市规范性文件规定。</w:t>
      </w:r>
    </w:p>
    <w:p w14:paraId="650A522F">
      <w:pPr>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bookmarkStart w:id="45" w:name="_Toc19794"/>
      <w:bookmarkStart w:id="46" w:name="_Toc15374"/>
      <w:bookmarkStart w:id="47" w:name="_Toc464831130"/>
      <w:bookmarkStart w:id="48" w:name="_Toc14213"/>
      <w:bookmarkStart w:id="49" w:name="_Toc4256"/>
      <w:bookmarkStart w:id="50" w:name="_Toc6751"/>
      <w:bookmarkStart w:id="51" w:name="_Toc11642"/>
      <w:bookmarkStart w:id="52" w:name="_Toc25545"/>
      <w:bookmarkStart w:id="53" w:name="_Toc464831131"/>
      <w:r>
        <w:rPr>
          <w:rFonts w:hint="eastAsia" w:ascii="宋体" w:hAnsi="宋体" w:eastAsia="宋体" w:cs="宋体"/>
          <w:color w:val="000000" w:themeColor="text1"/>
          <w:sz w:val="24"/>
          <w:szCs w:val="24"/>
          <w:highlight w:val="none"/>
          <w14:textFill>
            <w14:solidFill>
              <w14:schemeClr w14:val="tx1"/>
            </w14:solidFill>
          </w14:textFill>
        </w:rPr>
        <w:t>2.合格的供应商</w:t>
      </w:r>
      <w:bookmarkEnd w:id="45"/>
      <w:bookmarkEnd w:id="46"/>
      <w:bookmarkEnd w:id="47"/>
      <w:bookmarkEnd w:id="48"/>
      <w:bookmarkEnd w:id="49"/>
      <w:bookmarkEnd w:id="50"/>
      <w:bookmarkEnd w:id="51"/>
      <w:bookmarkEnd w:id="52"/>
    </w:p>
    <w:p w14:paraId="126E5E7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2.1符合《中华人民共和国政府采购法》第二十二条第一款规定的条件；</w:t>
      </w:r>
    </w:p>
    <w:p w14:paraId="37AFA37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2.2符合本采购文件规定的资格要求，且按照要求提供相关证明材料；</w:t>
      </w:r>
    </w:p>
    <w:p w14:paraId="37DFC37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2.3单位负责人为同一人或者存在直接控股、管理关系的不同供应商，不得参加同一合同项下的政府采购活动。</w:t>
      </w:r>
    </w:p>
    <w:p w14:paraId="4EF7BE1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2.4供应商资格要求中，代理商须提供产品制造商针对本项目的唯一授权的，同一品牌的同品目产品，只允许一个供应商参加报价；</w:t>
      </w:r>
    </w:p>
    <w:p w14:paraId="5DCAAFA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2.5供应商须知前附表规定接受联合体报价的，应符合以下规定：</w:t>
      </w:r>
    </w:p>
    <w:p w14:paraId="675E83C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2.5.1联合体各方应按照采购文件提供的格式签订联合体协议书，明确联合体牵头人和各方权利义务；</w:t>
      </w:r>
    </w:p>
    <w:p w14:paraId="68F65C8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2.5.2联合体各方均应当符合《政府采购法》第二十二条第一款规定的条件；</w:t>
      </w:r>
    </w:p>
    <w:p w14:paraId="342BC9F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2.5.3联合体中有同类资质的供应商按照联合体分工承担相同工作的，应当按照资质等级较低的供应商确定资质等级。</w:t>
      </w:r>
    </w:p>
    <w:p w14:paraId="1B79BE0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2.5.4以联合体形式参加政府采购活动的，联合体各方不得再单独参加或者与其他供应商另外组成联合体参加同一合同项下的政府采购活动。</w:t>
      </w:r>
    </w:p>
    <w:p w14:paraId="5F5C824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2.5.5联合体各方应当共同与采购人签订采购合同，就合同约定的事项对采购人承担连带责任。</w:t>
      </w:r>
    </w:p>
    <w:p w14:paraId="07CCE47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2.5.6鼓励大中型企业和其他自然人、法人或者其他组织与小型、微型企业组成联合体报价，但联合体各方均应符合上述规定。</w:t>
      </w:r>
    </w:p>
    <w:p w14:paraId="3D63A7E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2.6除采购人拟采购进口产品通过财政部门审核外，供应商不得提供直接进口或者委托进口产品（包括已进入中国境内的进口产品）。</w:t>
      </w:r>
    </w:p>
    <w:p w14:paraId="10BE8FC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2.7为采购项目提供整体设计、规范编制或者项目管理、监理、检测等服务的供应商，不得再参加该采购项目的其他采购活动。</w:t>
      </w:r>
    </w:p>
    <w:p w14:paraId="76F989B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2.8供应商提供的证明材料内容必须真实可靠。</w:t>
      </w:r>
    </w:p>
    <w:p w14:paraId="79F6C3D4">
      <w:pPr>
        <w:spacing w:line="360" w:lineRule="auto"/>
        <w:ind w:firstLine="480" w:firstLineChars="200"/>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符合上述条件的供应商即为合格供应商，具有参与竞争性谈判的资格。</w:t>
      </w:r>
    </w:p>
    <w:bookmarkEnd w:id="53"/>
    <w:p w14:paraId="18E29BE8">
      <w:pPr>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bookmarkStart w:id="54" w:name="_Toc28586"/>
      <w:bookmarkStart w:id="55" w:name="_Toc28858"/>
      <w:bookmarkStart w:id="56" w:name="_Toc24539"/>
      <w:bookmarkStart w:id="57" w:name="_Toc509"/>
      <w:bookmarkStart w:id="58" w:name="_Toc20271"/>
      <w:bookmarkStart w:id="59" w:name="_Toc15717"/>
      <w:bookmarkStart w:id="60" w:name="_Toc29608"/>
      <w:bookmarkStart w:id="61" w:name="_Toc464831132"/>
      <w:r>
        <w:rPr>
          <w:rFonts w:hint="eastAsia" w:ascii="宋体" w:hAnsi="宋体" w:eastAsia="宋体" w:cs="宋体"/>
          <w:color w:val="000000" w:themeColor="text1"/>
          <w:sz w:val="24"/>
          <w:szCs w:val="24"/>
          <w:highlight w:val="none"/>
          <w14:textFill>
            <w14:solidFill>
              <w14:schemeClr w14:val="tx1"/>
            </w14:solidFill>
          </w14:textFill>
        </w:rPr>
        <w:t>3.保密</w:t>
      </w:r>
      <w:bookmarkEnd w:id="54"/>
      <w:bookmarkEnd w:id="55"/>
      <w:bookmarkEnd w:id="56"/>
      <w:bookmarkEnd w:id="57"/>
      <w:bookmarkEnd w:id="58"/>
      <w:bookmarkEnd w:id="59"/>
      <w:bookmarkEnd w:id="60"/>
    </w:p>
    <w:p w14:paraId="39EFDFC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参与竞争性谈判活动的当事人应对采购文件和响应文件中的商业和技术等秘密保密，违者应对由此造成的后果承担法律责任。</w:t>
      </w:r>
    </w:p>
    <w:p w14:paraId="0A683C98">
      <w:pPr>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bookmarkStart w:id="62" w:name="_Toc1274"/>
      <w:bookmarkStart w:id="63" w:name="_Toc12609"/>
      <w:bookmarkStart w:id="64" w:name="_Toc28125"/>
      <w:bookmarkStart w:id="65" w:name="_Toc6962"/>
      <w:bookmarkStart w:id="66" w:name="_Toc26963"/>
      <w:bookmarkStart w:id="67" w:name="_Toc31513"/>
      <w:bookmarkStart w:id="68" w:name="_Toc12085"/>
      <w:r>
        <w:rPr>
          <w:rFonts w:hint="eastAsia" w:ascii="宋体" w:hAnsi="宋体" w:eastAsia="宋体" w:cs="宋体"/>
          <w:color w:val="000000" w:themeColor="text1"/>
          <w:sz w:val="24"/>
          <w:szCs w:val="24"/>
          <w:highlight w:val="none"/>
          <w14:textFill>
            <w14:solidFill>
              <w14:schemeClr w14:val="tx1"/>
            </w14:solidFill>
          </w14:textFill>
        </w:rPr>
        <w:t>4.语言文字、计量单位、时间单位、报价有效期以及参与采购活动费用</w:t>
      </w:r>
      <w:bookmarkEnd w:id="61"/>
      <w:bookmarkEnd w:id="62"/>
      <w:bookmarkEnd w:id="63"/>
      <w:bookmarkEnd w:id="64"/>
      <w:bookmarkEnd w:id="65"/>
      <w:bookmarkEnd w:id="66"/>
      <w:bookmarkEnd w:id="67"/>
      <w:bookmarkEnd w:id="68"/>
    </w:p>
    <w:p w14:paraId="10E6798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4.1语言文字</w:t>
      </w:r>
    </w:p>
    <w:p w14:paraId="351BD4B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除专用术语外，与竞争性谈判活动有关的语言均使用简体中文。必要时专用术语应附有中文注释。如供应商提交的支持文件和印刷的文献使用另一种语言，应附有相应内容的中文翻译本，在解释响应文件时以中文翻译本为准。</w:t>
      </w:r>
    </w:p>
    <w:p w14:paraId="7CE5326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4.2计量单位</w:t>
      </w:r>
    </w:p>
    <w:p w14:paraId="039C642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除采购文件另有规定外，计量均应采用中华人民共和国法定计量单位；所有报价一律使用人民币，货币单位为“元”。</w:t>
      </w:r>
    </w:p>
    <w:p w14:paraId="31F4FEB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4.3时间单位</w:t>
      </w:r>
    </w:p>
    <w:p w14:paraId="3F15F1C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除采购文件中另有规定外，采购文件所使用的时间单位“天”、“日”均指日历天，时、分均为北京时间。</w:t>
      </w:r>
    </w:p>
    <w:p w14:paraId="6A7AF28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4.4报价有效期</w:t>
      </w:r>
    </w:p>
    <w:p w14:paraId="0D7889A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4.4.1在供应商须知前附表规定的报价有效期内，响应文件以及其补充、承诺等部分均保持有效。</w:t>
      </w:r>
    </w:p>
    <w:p w14:paraId="1F67B6F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4.4.2在采购文件规定的响应文件有效期满之前，如果出现特殊情况，采购人或者采购代理机构可在报价有效期内要求供应商延长有效期，要求与答复均以书面通知为准并作为采购文件和响应文件的组成部分；供应商可以拒绝上述要求而其保证金不被没收，拒绝延长响应文件有效期的，其响应失效；同意上述要求的，既不能要求也不允许其修改响应文件，有关退还和没收保证金的规定在报价有效期的延长期内继续有效。</w:t>
      </w:r>
    </w:p>
    <w:p w14:paraId="7D6FAF9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4.5参与采购活动费用</w:t>
      </w:r>
    </w:p>
    <w:p w14:paraId="402E3A3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供应商应自行承担其准备和参加采购活动发生的所有费用。</w:t>
      </w:r>
    </w:p>
    <w:p w14:paraId="40553FF2">
      <w:pPr>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bookmarkStart w:id="69" w:name="_Toc464831133"/>
      <w:bookmarkStart w:id="70" w:name="_Toc5772"/>
      <w:bookmarkStart w:id="71" w:name="_Toc24480"/>
      <w:bookmarkStart w:id="72" w:name="_Toc13533"/>
      <w:bookmarkStart w:id="73" w:name="_Toc18894"/>
      <w:bookmarkStart w:id="74" w:name="_Toc14681"/>
      <w:bookmarkStart w:id="75" w:name="_Toc20355"/>
      <w:bookmarkStart w:id="76" w:name="_Toc28223"/>
      <w:r>
        <w:rPr>
          <w:rFonts w:hint="eastAsia" w:ascii="宋体" w:hAnsi="宋体" w:eastAsia="宋体" w:cs="宋体"/>
          <w:color w:val="000000" w:themeColor="text1"/>
          <w:sz w:val="24"/>
          <w:szCs w:val="24"/>
          <w:highlight w:val="none"/>
          <w14:textFill>
            <w14:solidFill>
              <w14:schemeClr w14:val="tx1"/>
            </w14:solidFill>
          </w14:textFill>
        </w:rPr>
        <w:t>5.踏勘现场</w:t>
      </w:r>
      <w:bookmarkEnd w:id="69"/>
      <w:bookmarkEnd w:id="70"/>
      <w:bookmarkEnd w:id="71"/>
      <w:bookmarkEnd w:id="72"/>
      <w:bookmarkEnd w:id="73"/>
      <w:bookmarkEnd w:id="74"/>
      <w:bookmarkEnd w:id="75"/>
      <w:bookmarkEnd w:id="76"/>
    </w:p>
    <w:p w14:paraId="2BE56EF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5.1供应商须知前附表规定组织踏勘现场的，采购人必须按照规定时间、地点组织供应商踏勘项目现场，以便供应商获取有关编制响应文件和签署合同所涉及现场的资料。供应商承担踏勘现场所发生的自身费用。</w:t>
      </w:r>
    </w:p>
    <w:p w14:paraId="1C6AF1B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5.2采购人向供应商提供的有关现场的资料和数据，是采购人现有的能使供应商利用的资料，采购人对供应商由此而做出的推论、理解和结论不负责任。</w:t>
      </w:r>
    </w:p>
    <w:p w14:paraId="42D641F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5.3供应商经过采购人允许，可以进入项目现场踏勘，但不得因此使采购人承担有关责任和蒙受损失。除采购人原因外，供应商应对踏勘现场而造成的死亡、人身伤害、财产损失、损害以及其它任何损失、损害和引起的费用和开支承担责任。</w:t>
      </w:r>
    </w:p>
    <w:p w14:paraId="5A26BC53">
      <w:pPr>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bookmarkStart w:id="77" w:name="_Toc14997"/>
      <w:bookmarkStart w:id="78" w:name="_Toc27145"/>
      <w:bookmarkStart w:id="79" w:name="_Toc10002"/>
      <w:bookmarkStart w:id="80" w:name="_Toc21541"/>
      <w:bookmarkStart w:id="81" w:name="_Toc8820"/>
      <w:bookmarkStart w:id="82" w:name="_Toc7191"/>
      <w:bookmarkStart w:id="83" w:name="_Toc24753"/>
      <w:bookmarkStart w:id="84" w:name="_Toc464831134"/>
      <w:r>
        <w:rPr>
          <w:rFonts w:hint="eastAsia" w:ascii="宋体" w:hAnsi="宋体" w:eastAsia="宋体" w:cs="宋体"/>
          <w:color w:val="000000" w:themeColor="text1"/>
          <w:sz w:val="24"/>
          <w:szCs w:val="24"/>
          <w:highlight w:val="none"/>
          <w14:textFill>
            <w14:solidFill>
              <w14:schemeClr w14:val="tx1"/>
            </w14:solidFill>
          </w14:textFill>
        </w:rPr>
        <w:t>6.询问</w:t>
      </w:r>
      <w:bookmarkEnd w:id="77"/>
      <w:bookmarkEnd w:id="78"/>
      <w:bookmarkEnd w:id="79"/>
      <w:bookmarkEnd w:id="80"/>
      <w:bookmarkEnd w:id="81"/>
      <w:bookmarkEnd w:id="82"/>
      <w:bookmarkEnd w:id="83"/>
      <w:bookmarkEnd w:id="84"/>
    </w:p>
    <w:p w14:paraId="5576E74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6.1供应商对竞争性谈判活动事项有疑问的，可以向采购代理机构提出询问；采购代理机构应当及时作出答复，但答复的内容不得涉及商业秘密。</w:t>
      </w:r>
    </w:p>
    <w:p w14:paraId="46206A2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6.2询问及答复既可以采取书面形式，也可以采取电话、面谈等口头方式。</w:t>
      </w:r>
    </w:p>
    <w:p w14:paraId="4A66B56D">
      <w:pPr>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bookmarkStart w:id="85" w:name="_Toc464831135"/>
      <w:bookmarkStart w:id="86" w:name="_Toc15538"/>
      <w:bookmarkStart w:id="87" w:name="_Toc12981"/>
      <w:bookmarkStart w:id="88" w:name="_Toc3969"/>
      <w:bookmarkStart w:id="89" w:name="_Toc11639"/>
      <w:bookmarkStart w:id="90" w:name="_Toc652"/>
      <w:bookmarkStart w:id="91" w:name="_Toc5404"/>
      <w:bookmarkStart w:id="92" w:name="_Toc28453"/>
      <w:r>
        <w:rPr>
          <w:rFonts w:hint="eastAsia" w:ascii="宋体" w:hAnsi="宋体" w:eastAsia="宋体" w:cs="宋体"/>
          <w:color w:val="000000" w:themeColor="text1"/>
          <w:sz w:val="24"/>
          <w:szCs w:val="24"/>
          <w:highlight w:val="none"/>
          <w14:textFill>
            <w14:solidFill>
              <w14:schemeClr w14:val="tx1"/>
            </w14:solidFill>
          </w14:textFill>
        </w:rPr>
        <w:t>7.偏离</w:t>
      </w:r>
      <w:bookmarkEnd w:id="85"/>
      <w:bookmarkEnd w:id="86"/>
      <w:bookmarkEnd w:id="87"/>
      <w:bookmarkEnd w:id="88"/>
      <w:bookmarkEnd w:id="89"/>
      <w:bookmarkEnd w:id="90"/>
      <w:bookmarkEnd w:id="91"/>
      <w:bookmarkEnd w:id="92"/>
    </w:p>
    <w:p w14:paraId="536A1C2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采购人允许响应文件偏离采购文件某些非实质性要求的，偏离应当</w:t>
      </w:r>
      <w:r>
        <w:rPr>
          <w:rFonts w:hint="eastAsia" w:ascii="宋体" w:hAnsi="宋体" w:eastAsia="宋体" w:cs="宋体"/>
          <w:color w:val="000000" w:themeColor="text1"/>
          <w:sz w:val="24"/>
          <w:szCs w:val="24"/>
          <w:highlight w:val="none"/>
          <w:lang w:eastAsia="zh-CN"/>
          <w14:textFill>
            <w14:solidFill>
              <w14:schemeClr w14:val="tx1"/>
            </w14:solidFill>
          </w14:textFill>
        </w:rPr>
        <w:t>超过采购参数的正向偏离</w:t>
      </w:r>
      <w:r>
        <w:rPr>
          <w:rFonts w:hint="eastAsia" w:ascii="宋体" w:hAnsi="宋体" w:eastAsia="宋体" w:cs="宋体"/>
          <w:color w:val="000000" w:themeColor="text1"/>
          <w:sz w:val="24"/>
          <w:szCs w:val="24"/>
          <w:highlight w:val="none"/>
          <w14:textFill>
            <w14:solidFill>
              <w14:schemeClr w14:val="tx1"/>
            </w14:solidFill>
          </w14:textFill>
        </w:rPr>
        <w:t>。</w:t>
      </w:r>
    </w:p>
    <w:p w14:paraId="10D8215D">
      <w:pPr>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bookmarkStart w:id="93" w:name="_Toc14439"/>
      <w:bookmarkStart w:id="94" w:name="_Toc19490"/>
      <w:bookmarkStart w:id="95" w:name="_Toc29083"/>
      <w:bookmarkStart w:id="96" w:name="_Toc19195"/>
      <w:bookmarkStart w:id="97" w:name="_Toc464831136"/>
      <w:bookmarkStart w:id="98" w:name="_Toc14579"/>
      <w:bookmarkStart w:id="99" w:name="_Toc29577"/>
      <w:bookmarkStart w:id="100" w:name="_Toc2215"/>
      <w:r>
        <w:rPr>
          <w:rFonts w:hint="eastAsia" w:ascii="宋体" w:hAnsi="宋体" w:eastAsia="宋体" w:cs="宋体"/>
          <w:color w:val="000000" w:themeColor="text1"/>
          <w:sz w:val="24"/>
          <w:szCs w:val="24"/>
          <w:highlight w:val="none"/>
          <w14:textFill>
            <w14:solidFill>
              <w14:schemeClr w14:val="tx1"/>
            </w14:solidFill>
          </w14:textFill>
        </w:rPr>
        <w:t>8.履约担保</w:t>
      </w:r>
      <w:bookmarkEnd w:id="93"/>
      <w:bookmarkEnd w:id="94"/>
      <w:bookmarkEnd w:id="95"/>
      <w:bookmarkEnd w:id="96"/>
      <w:bookmarkEnd w:id="97"/>
      <w:bookmarkEnd w:id="98"/>
      <w:bookmarkEnd w:id="99"/>
      <w:bookmarkEnd w:id="100"/>
    </w:p>
    <w:p w14:paraId="3284FC6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8.1履约担保的形式： 对公转账、银行保函等（按招标人同意的方式缴纳）  </w:t>
      </w:r>
    </w:p>
    <w:p w14:paraId="77BABAF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履约担保的金额： 合同总价的10%。</w:t>
      </w:r>
    </w:p>
    <w:p w14:paraId="543C3508">
      <w:pPr>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bookmarkStart w:id="101" w:name="_Toc11991"/>
      <w:bookmarkStart w:id="102" w:name="_Toc28565"/>
      <w:bookmarkStart w:id="103" w:name="_Toc2714"/>
      <w:bookmarkStart w:id="104" w:name="_Toc464831137"/>
      <w:bookmarkStart w:id="105" w:name="_Toc12759"/>
      <w:bookmarkStart w:id="106" w:name="_Toc16349"/>
      <w:bookmarkStart w:id="107" w:name="_Toc15763"/>
      <w:bookmarkStart w:id="108" w:name="_Toc32525"/>
      <w:r>
        <w:rPr>
          <w:rFonts w:hint="eastAsia" w:ascii="宋体" w:hAnsi="宋体" w:eastAsia="宋体" w:cs="宋体"/>
          <w:color w:val="000000" w:themeColor="text1"/>
          <w:sz w:val="24"/>
          <w:szCs w:val="24"/>
          <w:highlight w:val="none"/>
          <w14:textFill>
            <w14:solidFill>
              <w14:schemeClr w14:val="tx1"/>
            </w14:solidFill>
          </w14:textFill>
        </w:rPr>
        <w:t>9.采购代理服务费</w:t>
      </w:r>
      <w:bookmarkEnd w:id="101"/>
      <w:bookmarkEnd w:id="102"/>
      <w:bookmarkEnd w:id="103"/>
      <w:bookmarkEnd w:id="104"/>
      <w:bookmarkEnd w:id="105"/>
      <w:bookmarkEnd w:id="106"/>
      <w:bookmarkEnd w:id="107"/>
      <w:bookmarkEnd w:id="108"/>
    </w:p>
    <w:p w14:paraId="2144E9F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9.1投标人为准备和参加投标活动所发生的一切费用均由投标人自行承担;一旦中标还应承担按发改价格[2015]299号计取和按中协价（2013）35号文计取的招标代理服务费、工程量清单及招标控制价编制费。</w:t>
      </w:r>
    </w:p>
    <w:p w14:paraId="50A41447">
      <w:pPr>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bookmarkStart w:id="109" w:name="_Toc17015"/>
      <w:bookmarkStart w:id="110" w:name="_Toc24186"/>
      <w:bookmarkStart w:id="111" w:name="_Toc5225"/>
      <w:bookmarkStart w:id="112" w:name="_Toc21174"/>
      <w:bookmarkStart w:id="113" w:name="_Toc3172"/>
      <w:bookmarkStart w:id="114" w:name="_Toc11342"/>
      <w:bookmarkStart w:id="115" w:name="_Toc6811"/>
      <w:bookmarkStart w:id="116" w:name="_Toc464831138"/>
      <w:r>
        <w:rPr>
          <w:rFonts w:hint="eastAsia" w:ascii="宋体" w:hAnsi="宋体" w:eastAsia="宋体" w:cs="宋体"/>
          <w:color w:val="000000" w:themeColor="text1"/>
          <w:sz w:val="24"/>
          <w:szCs w:val="24"/>
          <w:highlight w:val="none"/>
          <w14:textFill>
            <w14:solidFill>
              <w14:schemeClr w14:val="tx1"/>
            </w14:solidFill>
          </w14:textFill>
        </w:rPr>
        <w:t>10.采购文件</w:t>
      </w:r>
      <w:bookmarkEnd w:id="109"/>
      <w:bookmarkEnd w:id="110"/>
      <w:bookmarkEnd w:id="111"/>
      <w:bookmarkEnd w:id="112"/>
      <w:bookmarkEnd w:id="113"/>
      <w:bookmarkEnd w:id="114"/>
      <w:bookmarkEnd w:id="115"/>
      <w:bookmarkEnd w:id="116"/>
    </w:p>
    <w:p w14:paraId="70C5CA5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10.1采购文件的组成</w:t>
      </w:r>
    </w:p>
    <w:p w14:paraId="10D1C07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10.1.1采购文件是用以阐明所需货物以及服务、谈判程序和合同格式的规范性文件。采购文件主要由以下部分组成：</w:t>
      </w:r>
    </w:p>
    <w:p w14:paraId="664C71A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（1）采购公告；</w:t>
      </w:r>
    </w:p>
    <w:p w14:paraId="2051FC9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（2）供应商须知前附表；</w:t>
      </w:r>
    </w:p>
    <w:p w14:paraId="49A12B1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（3）供应商应当提交的资格、资信等证明文件；</w:t>
      </w:r>
    </w:p>
    <w:p w14:paraId="1F4C20E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（4）采购需求；</w:t>
      </w:r>
    </w:p>
    <w:p w14:paraId="13B85DF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（5）供应商须知；</w:t>
      </w:r>
    </w:p>
    <w:p w14:paraId="18E0BD9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（6）开标、谈判、成交；</w:t>
      </w:r>
    </w:p>
    <w:p w14:paraId="74B82F6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（7）纪律要求；</w:t>
      </w:r>
    </w:p>
    <w:p w14:paraId="5E470F7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（8）签订合同、合同主要条款；</w:t>
      </w:r>
    </w:p>
    <w:p w14:paraId="1B4081D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（9）响应文件格式；</w:t>
      </w:r>
    </w:p>
    <w:p w14:paraId="6D01651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（10）供应商须知前附表规定的其他材料。</w:t>
      </w:r>
    </w:p>
    <w:p w14:paraId="657A635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10.1.2根据本章第10.2款对采购文件所作的澄清和修改，构成采购文件的组成部分。</w:t>
      </w:r>
    </w:p>
    <w:p w14:paraId="4D249D8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10.1.3除非有特殊要求，采购文件不单独提供项目所在地的自然环境、气候条件、公用设施等情况，供应商被视为熟悉上述与履行合同有关的一切情况。</w:t>
      </w:r>
    </w:p>
    <w:p w14:paraId="743F6E2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10.2采购文件的澄清和修改</w:t>
      </w:r>
    </w:p>
    <w:p w14:paraId="4E94387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10.2.1采购人对已发出的采购文件进行必要澄清或者修改的，</w:t>
      </w:r>
      <w:r>
        <w:rPr>
          <w:rFonts w:hint="eastAsia" w:ascii="宋体" w:hAnsi="宋体" w:eastAsia="宋体" w:cs="宋体"/>
          <w:color w:val="000000" w:themeColor="text1"/>
          <w:sz w:val="24"/>
          <w:szCs w:val="24"/>
          <w:highlight w:val="none"/>
          <w:lang w:val="zh-CN"/>
          <w14:textFill>
            <w14:solidFill>
              <w14:schemeClr w14:val="tx1"/>
            </w14:solidFill>
          </w14:textFill>
        </w:rPr>
        <w:t>应当在采购文件要求提交首次响应文件截止之日3个工作日前，</w:t>
      </w:r>
      <w:r>
        <w:rPr>
          <w:rFonts w:hint="eastAsia" w:ascii="宋体" w:hAnsi="宋体" w:eastAsia="宋体" w:cs="宋体"/>
          <w:color w:val="000000" w:themeColor="text1"/>
          <w:sz w:val="24"/>
          <w:szCs w:val="24"/>
          <w:highlight w:val="none"/>
          <w14:textFill>
            <w14:solidFill>
              <w14:schemeClr w14:val="tx1"/>
            </w14:solidFill>
          </w14:textFill>
        </w:rPr>
        <w:t>报监管部门批准并在</w:t>
      </w:r>
      <w:r>
        <w:rPr>
          <w:rFonts w:hint="eastAsia" w:ascii="宋体" w:hAnsi="宋体" w:eastAsia="宋体" w:cs="宋体"/>
          <w:color w:val="000000" w:themeColor="text1"/>
          <w:sz w:val="24"/>
          <w:szCs w:val="24"/>
          <w:highlight w:val="none"/>
          <w:lang w:eastAsia="zh-CN"/>
          <w14:textFill>
            <w14:solidFill>
              <w14:schemeClr w14:val="tx1"/>
            </w14:solidFill>
          </w14:textFill>
        </w:rPr>
        <w:t>当地</w:t>
      </w:r>
      <w:r>
        <w:rPr>
          <w:rFonts w:hint="eastAsia" w:ascii="宋体" w:hAnsi="宋体" w:eastAsia="宋体" w:cs="宋体"/>
          <w:color w:val="000000" w:themeColor="text1"/>
          <w:sz w:val="24"/>
          <w:szCs w:val="24"/>
          <w:highlight w:val="none"/>
          <w14:textFill>
            <w14:solidFill>
              <w14:schemeClr w14:val="tx1"/>
            </w14:solidFill>
          </w14:textFill>
        </w:rPr>
        <w:t>政府采购网上发布更正公告，通知所有采购文件收受人，但不指明澄清问题的来源。不足3个工作</w:t>
      </w:r>
      <w:r>
        <w:rPr>
          <w:rFonts w:hint="eastAsia" w:ascii="宋体" w:hAnsi="宋体" w:eastAsia="宋体" w:cs="宋体"/>
          <w:color w:val="000000" w:themeColor="text1"/>
          <w:sz w:val="24"/>
          <w:szCs w:val="24"/>
          <w:highlight w:val="none"/>
          <w:lang w:val="zh-CN"/>
          <w14:textFill>
            <w14:solidFill>
              <w14:schemeClr w14:val="tx1"/>
            </w14:solidFill>
          </w14:textFill>
        </w:rPr>
        <w:t>日的，采购人应当顺延提交首次响应文件截止之日，具体时间将在更正公告中予以明确。</w:t>
      </w:r>
    </w:p>
    <w:p w14:paraId="788A270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10.2.2供应商应仔细检查采购文件是否齐全。如有残缺、遗漏或者不清楚的，应在供应商须知前附表规定的时间前，以加盖供应商单位公章的书面文件提出，采用信函、传真或者直接送达的形式通知采购代理机构，同时将电子版文件以电子邮件的形式发送至采购代理机构的电子信箱，否则，由此引起的损失由供应商自负。同时，供应商有义务对采购文件的准确性进行复核，如发现有任何错误（打印的错误、逻辑的错误）或者前后矛盾的，应在规定提交答疑的时间内提交给采购人或采购代理机构，否则，供应商应无条件接受采购文件所有条款。</w:t>
      </w:r>
    </w:p>
    <w:p w14:paraId="1638B07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10.2.3采购文件的澄清或者修改文件在</w:t>
      </w:r>
      <w:r>
        <w:rPr>
          <w:rFonts w:hint="eastAsia" w:ascii="宋体" w:hAnsi="宋体" w:eastAsia="宋体" w:cs="宋体"/>
          <w:color w:val="000000" w:themeColor="text1"/>
          <w:sz w:val="24"/>
          <w:szCs w:val="24"/>
          <w:highlight w:val="none"/>
          <w:lang w:eastAsia="zh-CN"/>
          <w14:textFill>
            <w14:solidFill>
              <w14:schemeClr w14:val="tx1"/>
            </w14:solidFill>
          </w14:textFill>
        </w:rPr>
        <w:t>当地</w:t>
      </w:r>
      <w:r>
        <w:rPr>
          <w:rFonts w:hint="eastAsia" w:ascii="宋体" w:hAnsi="宋体" w:eastAsia="宋体" w:cs="宋体"/>
          <w:color w:val="000000" w:themeColor="text1"/>
          <w:sz w:val="24"/>
          <w:szCs w:val="24"/>
          <w:highlight w:val="none"/>
          <w14:textFill>
            <w14:solidFill>
              <w14:schemeClr w14:val="tx1"/>
            </w14:solidFill>
          </w14:textFill>
        </w:rPr>
        <w:t>政府采购网上发布公告，方可作为采购文件组成部分并具有法律效力，任何口头答复、通知无效。采购文件的澄清或者修改在同一内容的表述上不一致时，以最后发出的公告为准。</w:t>
      </w:r>
    </w:p>
    <w:p w14:paraId="2F0E3B8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10.2.4供应商认为采购文件存在歧视性条款或者不合理要求等需要澄清的，应在规定时间内一次性全部提出。在规定时间未一次性提出或者对已澄清的条款再提异议者，即视为同意和接受相关条款。</w:t>
      </w:r>
    </w:p>
    <w:p w14:paraId="5AF2ED6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10.2.5从更正公告发布时间开始，供应商应在供应商须知前附表规定的时间内从</w:t>
      </w:r>
      <w:r>
        <w:rPr>
          <w:rFonts w:hint="eastAsia" w:ascii="宋体" w:hAnsi="宋体" w:eastAsia="宋体" w:cs="宋体"/>
          <w:color w:val="000000" w:themeColor="text1"/>
          <w:sz w:val="24"/>
          <w:szCs w:val="24"/>
          <w:highlight w:val="none"/>
          <w:lang w:eastAsia="zh-CN"/>
          <w14:textFill>
            <w14:solidFill>
              <w14:schemeClr w14:val="tx1"/>
            </w14:solidFill>
          </w14:textFill>
        </w:rPr>
        <w:t>当地</w:t>
      </w:r>
      <w:r>
        <w:rPr>
          <w:rFonts w:hint="eastAsia" w:ascii="宋体" w:hAnsi="宋体" w:eastAsia="宋体" w:cs="宋体"/>
          <w:color w:val="000000" w:themeColor="text1"/>
          <w:sz w:val="24"/>
          <w:szCs w:val="24"/>
          <w:highlight w:val="none"/>
          <w14:textFill>
            <w14:solidFill>
              <w14:schemeClr w14:val="tx1"/>
            </w14:solidFill>
          </w14:textFill>
        </w:rPr>
        <w:t>政府采购网上下载或者从网上直接打印公告，加盖供应商单位公章以及确认日期，采用信函、传真或者直接送达的形式通知采购代理机构。否则，即视为同意和接受该公告内容。</w:t>
      </w:r>
    </w:p>
    <w:p w14:paraId="61B6076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10.3延长报价截止时间和开标时间</w:t>
      </w:r>
    </w:p>
    <w:p w14:paraId="256984C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采购人可以视采购具体情况，延长报价截止时间和开标时间，但至少应当在采购文件要求提交首次响应文件的截止时间3个工作日前，在</w:t>
      </w:r>
      <w:r>
        <w:rPr>
          <w:rFonts w:hint="eastAsia" w:ascii="宋体" w:hAnsi="宋体" w:eastAsia="宋体" w:cs="宋体"/>
          <w:color w:val="000000" w:themeColor="text1"/>
          <w:sz w:val="24"/>
          <w:szCs w:val="24"/>
          <w:highlight w:val="none"/>
          <w:lang w:eastAsia="zh-CN"/>
          <w14:textFill>
            <w14:solidFill>
              <w14:schemeClr w14:val="tx1"/>
            </w14:solidFill>
          </w14:textFill>
        </w:rPr>
        <w:t>当地</w:t>
      </w:r>
      <w:r>
        <w:rPr>
          <w:rFonts w:hint="eastAsia" w:ascii="宋体" w:hAnsi="宋体" w:eastAsia="宋体" w:cs="宋体"/>
          <w:color w:val="000000" w:themeColor="text1"/>
          <w:sz w:val="24"/>
          <w:szCs w:val="24"/>
          <w:highlight w:val="none"/>
          <w14:textFill>
            <w14:solidFill>
              <w14:schemeClr w14:val="tx1"/>
            </w14:solidFill>
          </w14:textFill>
        </w:rPr>
        <w:t>政府采购网上发布更正公告，通知所有采购文件收受人。</w:t>
      </w:r>
    </w:p>
    <w:p w14:paraId="41E8AA1C">
      <w:pPr>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bookmarkStart w:id="117" w:name="_Toc27322"/>
      <w:bookmarkStart w:id="118" w:name="_Toc6266"/>
      <w:bookmarkStart w:id="119" w:name="_Toc4086"/>
      <w:bookmarkStart w:id="120" w:name="_Toc3258"/>
      <w:bookmarkStart w:id="121" w:name="_Toc17412"/>
      <w:bookmarkStart w:id="122" w:name="_Toc464831139"/>
      <w:bookmarkStart w:id="123" w:name="_Toc22265"/>
      <w:bookmarkStart w:id="124" w:name="_Toc27541"/>
      <w:r>
        <w:rPr>
          <w:rFonts w:hint="eastAsia" w:ascii="宋体" w:hAnsi="宋体" w:eastAsia="宋体" w:cs="宋体"/>
          <w:color w:val="000000" w:themeColor="text1"/>
          <w:sz w:val="24"/>
          <w:szCs w:val="24"/>
          <w:highlight w:val="none"/>
          <w14:textFill>
            <w14:solidFill>
              <w14:schemeClr w14:val="tx1"/>
            </w14:solidFill>
          </w14:textFill>
        </w:rPr>
        <w:t>11.响应文件的组成</w:t>
      </w:r>
      <w:bookmarkEnd w:id="117"/>
      <w:bookmarkEnd w:id="118"/>
      <w:bookmarkEnd w:id="119"/>
      <w:bookmarkEnd w:id="120"/>
      <w:bookmarkEnd w:id="121"/>
      <w:bookmarkEnd w:id="122"/>
      <w:bookmarkEnd w:id="123"/>
      <w:bookmarkEnd w:id="124"/>
    </w:p>
    <w:p w14:paraId="7F3C248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11.1供应商应按照采购文件的要求以及格式编制响应文件，并保证其真实性、准确性以及完整性，并按照采购文件要求提交全部资料并做出实质性响应。</w:t>
      </w:r>
    </w:p>
    <w:p w14:paraId="035D99E6">
      <w:pPr>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11.2响应文件组成：</w:t>
      </w:r>
      <w:r>
        <w:rPr>
          <w:rFonts w:hint="eastAsia" w:ascii="宋体" w:hAnsi="宋体" w:eastAsia="宋体" w:cs="宋体"/>
          <w:color w:val="000000" w:themeColor="text1"/>
          <w:sz w:val="24"/>
          <w:szCs w:val="24"/>
          <w:highlight w:val="none"/>
          <w:lang w:val="en-US" w:eastAsia="zh-CN"/>
          <w14:textFill>
            <w14:solidFill>
              <w14:schemeClr w14:val="tx1"/>
            </w14:solidFill>
          </w14:textFill>
        </w:rPr>
        <w:t>详见“第六章 响应文件格式”。</w:t>
      </w:r>
    </w:p>
    <w:p w14:paraId="6DF81F2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采购文件要求和供应商认为应介绍或者提交的资料和文件。</w:t>
      </w:r>
    </w:p>
    <w:p w14:paraId="200F2E11">
      <w:pPr>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bookmarkStart w:id="125" w:name="_Toc17067"/>
      <w:bookmarkStart w:id="126" w:name="_Toc25541"/>
      <w:bookmarkStart w:id="127" w:name="_Toc7918"/>
      <w:bookmarkStart w:id="128" w:name="_Toc464831140"/>
      <w:bookmarkStart w:id="129" w:name="_Toc25823"/>
      <w:bookmarkStart w:id="130" w:name="_Toc10964"/>
      <w:bookmarkStart w:id="131" w:name="_Toc606"/>
      <w:bookmarkStart w:id="132" w:name="_Toc16684"/>
      <w:r>
        <w:rPr>
          <w:rFonts w:hint="eastAsia" w:ascii="宋体" w:hAnsi="宋体" w:eastAsia="宋体" w:cs="宋体"/>
          <w:color w:val="000000" w:themeColor="text1"/>
          <w:sz w:val="24"/>
          <w:szCs w:val="24"/>
          <w:highlight w:val="none"/>
          <w14:textFill>
            <w14:solidFill>
              <w14:schemeClr w14:val="tx1"/>
            </w14:solidFill>
          </w14:textFill>
        </w:rPr>
        <w:t>12.响应报价</w:t>
      </w:r>
      <w:bookmarkEnd w:id="125"/>
      <w:bookmarkEnd w:id="126"/>
      <w:bookmarkEnd w:id="127"/>
      <w:bookmarkEnd w:id="128"/>
      <w:bookmarkEnd w:id="129"/>
      <w:bookmarkEnd w:id="130"/>
      <w:bookmarkEnd w:id="131"/>
      <w:bookmarkEnd w:id="132"/>
    </w:p>
    <w:p w14:paraId="29526D3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12.1响应报价的范围：见供应商须知前附表。</w:t>
      </w:r>
    </w:p>
    <w:p w14:paraId="09910E7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12.2供应商应对所投包中的货物进行报价，对</w:t>
      </w:r>
      <w:r>
        <w:rPr>
          <w:rFonts w:hint="eastAsia" w:ascii="宋体" w:hAnsi="宋体" w:eastAsia="宋体" w:cs="宋体"/>
          <w:color w:val="000000" w:themeColor="text1"/>
          <w:sz w:val="24"/>
          <w:szCs w:val="24"/>
          <w:highlight w:val="none"/>
          <w:lang w:eastAsia="zh-CN"/>
          <w14:textFill>
            <w14:solidFill>
              <w14:schemeClr w14:val="tx1"/>
            </w14:solidFill>
          </w14:textFill>
        </w:rPr>
        <w:t>每一项</w:t>
      </w:r>
      <w:r>
        <w:rPr>
          <w:rFonts w:hint="eastAsia" w:ascii="宋体" w:hAnsi="宋体" w:eastAsia="宋体" w:cs="宋体"/>
          <w:color w:val="000000" w:themeColor="text1"/>
          <w:sz w:val="24"/>
          <w:szCs w:val="24"/>
          <w:highlight w:val="none"/>
          <w14:textFill>
            <w14:solidFill>
              <w14:schemeClr w14:val="tx1"/>
            </w14:solidFill>
          </w14:textFill>
        </w:rPr>
        <w:t>货物的报价必须全部报齐。</w:t>
      </w:r>
    </w:p>
    <w:p w14:paraId="5AEEA4A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12.3响应报价的次数：见供应商须知前附表。</w:t>
      </w:r>
    </w:p>
    <w:p w14:paraId="1B5D682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12.4供应商不得以任何方式或者方法提供报价以外的任何附赠条款。</w:t>
      </w:r>
    </w:p>
    <w:p w14:paraId="08CE2B5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12.5供应商应按照采购文件中要求的内容填写报价，并由法定代表人或者被授权代表签署。</w:t>
      </w:r>
    </w:p>
    <w:p w14:paraId="4E03E84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12.6供应商须按照附件格式表中的各单项明细逐项填写，以方便谈判小组对各响应文件进行比较。</w:t>
      </w:r>
    </w:p>
    <w:p w14:paraId="069D82A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12.7开标时，响应文件中《</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开标</w:t>
      </w:r>
      <w:r>
        <w:rPr>
          <w:rFonts w:hint="eastAsia" w:ascii="宋体" w:hAnsi="宋体" w:eastAsia="宋体" w:cs="宋体"/>
          <w:color w:val="000000" w:themeColor="text1"/>
          <w:sz w:val="24"/>
          <w:szCs w:val="24"/>
          <w:highlight w:val="none"/>
          <w14:textFill>
            <w14:solidFill>
              <w14:schemeClr w14:val="tx1"/>
            </w14:solidFill>
          </w14:textFill>
        </w:rPr>
        <w:t>一览表》内容与《报价明细表》内容不一致的，以《</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开标</w:t>
      </w:r>
      <w:r>
        <w:rPr>
          <w:rFonts w:hint="eastAsia" w:ascii="宋体" w:hAnsi="宋体" w:eastAsia="宋体" w:cs="宋体"/>
          <w:color w:val="000000" w:themeColor="text1"/>
          <w:sz w:val="24"/>
          <w:szCs w:val="24"/>
          <w:highlight w:val="none"/>
          <w14:textFill>
            <w14:solidFill>
              <w14:schemeClr w14:val="tx1"/>
            </w14:solidFill>
          </w14:textFill>
        </w:rPr>
        <w:t>一览表》为准。大写金额和小写金额不一致的，以大写金额为准；总价金额与按照单价汇总金额不一致的，以单价金额计算结果为准；单价金额小数点有明显错位的，应以总价为准，并修改单价；对不同文字文本响应文件的解释发生异议的，以中文文本为准。按照以上原则对错误报价的修正，供应商应签字确认。</w:t>
      </w:r>
    </w:p>
    <w:p w14:paraId="58F4CCA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12.8唱标时，采购代理机构只对按照采购文件要求编制的响应报价进行唱标。</w:t>
      </w:r>
    </w:p>
    <w:p w14:paraId="04BB704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12.9供应商的成交价格在合同执行中是固定不变的，不得以任何理由予以变更，不得出现任何包含价格调整的要求。</w:t>
      </w:r>
    </w:p>
    <w:p w14:paraId="62CD9C9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12.10采购人不接受未经中国海关报验放进入中国境内且产自关境外的货物报价。</w:t>
      </w:r>
    </w:p>
    <w:p w14:paraId="543595B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12.11</w:t>
      </w:r>
      <w:r>
        <w:rPr>
          <w:rFonts w:hint="eastAsia" w:ascii="宋体" w:hAnsi="宋体" w:eastAsia="宋体" w:cs="宋体"/>
          <w:color w:val="000000" w:themeColor="text1"/>
          <w:sz w:val="24"/>
          <w:szCs w:val="24"/>
          <w:highlight w:val="none"/>
          <w:lang w:val="en-GB"/>
          <w14:textFill>
            <w14:solidFill>
              <w14:schemeClr w14:val="tx1"/>
            </w14:solidFill>
          </w14:textFill>
        </w:rPr>
        <w:t>供应商须知前附表未规定可以采购进口产品的，不允许进口产品参加报价。</w:t>
      </w:r>
    </w:p>
    <w:p w14:paraId="53248EFE">
      <w:pPr>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bookmarkStart w:id="133" w:name="_Toc5842"/>
      <w:bookmarkStart w:id="134" w:name="_Toc10185"/>
      <w:bookmarkStart w:id="135" w:name="_Toc14102"/>
      <w:bookmarkStart w:id="136" w:name="_Toc26715"/>
      <w:bookmarkStart w:id="137" w:name="_Toc14050"/>
      <w:bookmarkStart w:id="138" w:name="_Toc464831141"/>
      <w:bookmarkStart w:id="139" w:name="_Toc32345"/>
      <w:bookmarkStart w:id="140" w:name="_Toc27173"/>
      <w:r>
        <w:rPr>
          <w:rFonts w:hint="eastAsia" w:ascii="宋体" w:hAnsi="宋体" w:eastAsia="宋体" w:cs="宋体"/>
          <w:color w:val="000000" w:themeColor="text1"/>
          <w:sz w:val="24"/>
          <w:szCs w:val="24"/>
          <w:highlight w:val="none"/>
          <w14:textFill>
            <w14:solidFill>
              <w14:schemeClr w14:val="tx1"/>
            </w14:solidFill>
          </w14:textFill>
        </w:rPr>
        <w:t>13.响应文件格式以及编制要求</w:t>
      </w:r>
      <w:bookmarkEnd w:id="133"/>
      <w:bookmarkEnd w:id="134"/>
      <w:bookmarkEnd w:id="135"/>
      <w:bookmarkEnd w:id="136"/>
      <w:bookmarkEnd w:id="137"/>
      <w:bookmarkEnd w:id="138"/>
      <w:bookmarkEnd w:id="139"/>
      <w:bookmarkEnd w:id="140"/>
    </w:p>
    <w:p w14:paraId="5892BB5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13.1响应文件应按所投包分别进行编制。</w:t>
      </w:r>
    </w:p>
    <w:p w14:paraId="567D432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13.2响应文件编制装订：见供应商须知前附表。</w:t>
      </w:r>
    </w:p>
    <w:p w14:paraId="0027CD1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13.3响应文件签署和盖章：见供应商须知前附表。</w:t>
      </w:r>
    </w:p>
    <w:p w14:paraId="7F13EF5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13.4供应商可对供货现场以及其范围环境进行考察，以获取有关编制响应文件和签署实施合同所需的各项资料，供应商应承担现场考察的费用、责任和风险。</w:t>
      </w:r>
    </w:p>
    <w:p w14:paraId="1664D3E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13.5供应商编制响应文件时，应当如实在技术响应表和资信以及商务响应表中填写响应情况。</w:t>
      </w:r>
    </w:p>
    <w:p w14:paraId="44DA950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13.6响应文件份数及要求：见供应商须知前附表。</w:t>
      </w:r>
    </w:p>
    <w:p w14:paraId="0A611C9C">
      <w:pPr>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bookmarkStart w:id="141" w:name="_Toc3617"/>
      <w:bookmarkStart w:id="142" w:name="_Toc14967"/>
      <w:bookmarkStart w:id="143" w:name="_Toc31127"/>
      <w:bookmarkStart w:id="144" w:name="_Toc464831142"/>
      <w:bookmarkStart w:id="145" w:name="_Toc8335"/>
      <w:bookmarkStart w:id="146" w:name="_Toc6065"/>
      <w:bookmarkStart w:id="147" w:name="_Toc23435"/>
      <w:bookmarkStart w:id="148" w:name="_Toc26253"/>
      <w:r>
        <w:rPr>
          <w:rFonts w:hint="eastAsia" w:ascii="宋体" w:hAnsi="宋体" w:eastAsia="宋体" w:cs="宋体"/>
          <w:color w:val="000000" w:themeColor="text1"/>
          <w:sz w:val="24"/>
          <w:szCs w:val="24"/>
          <w:highlight w:val="none"/>
          <w14:textFill>
            <w14:solidFill>
              <w14:schemeClr w14:val="tx1"/>
            </w14:solidFill>
          </w14:textFill>
        </w:rPr>
        <w:t>14.响应文件的密封和标记</w:t>
      </w:r>
      <w:bookmarkEnd w:id="141"/>
      <w:bookmarkEnd w:id="142"/>
      <w:bookmarkEnd w:id="143"/>
      <w:bookmarkEnd w:id="144"/>
      <w:bookmarkEnd w:id="145"/>
      <w:bookmarkEnd w:id="146"/>
      <w:bookmarkEnd w:id="147"/>
      <w:bookmarkEnd w:id="148"/>
    </w:p>
    <w:p w14:paraId="6305F18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见供应商须知前附表。</w:t>
      </w:r>
    </w:p>
    <w:p w14:paraId="78D3CF4D">
      <w:pPr>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bookmarkStart w:id="149" w:name="_Toc8670"/>
      <w:bookmarkStart w:id="150" w:name="_Toc12754"/>
      <w:bookmarkStart w:id="151" w:name="_Toc7313"/>
      <w:bookmarkStart w:id="152" w:name="_Toc31098"/>
      <w:bookmarkStart w:id="153" w:name="_Toc22656"/>
      <w:bookmarkStart w:id="154" w:name="_Toc30687"/>
      <w:bookmarkStart w:id="155" w:name="_Toc24185"/>
      <w:bookmarkStart w:id="156" w:name="_Toc464831143"/>
      <w:r>
        <w:rPr>
          <w:rFonts w:hint="eastAsia" w:ascii="宋体" w:hAnsi="宋体" w:eastAsia="宋体" w:cs="宋体"/>
          <w:color w:val="000000" w:themeColor="text1"/>
          <w:sz w:val="24"/>
          <w:szCs w:val="24"/>
          <w:highlight w:val="none"/>
          <w14:textFill>
            <w14:solidFill>
              <w14:schemeClr w14:val="tx1"/>
            </w14:solidFill>
          </w14:textFill>
        </w:rPr>
        <w:t>15.响应文件的递交</w:t>
      </w:r>
      <w:bookmarkEnd w:id="149"/>
      <w:bookmarkEnd w:id="150"/>
      <w:bookmarkEnd w:id="151"/>
      <w:bookmarkEnd w:id="152"/>
      <w:bookmarkEnd w:id="153"/>
      <w:bookmarkEnd w:id="154"/>
      <w:bookmarkEnd w:id="155"/>
      <w:bookmarkEnd w:id="156"/>
    </w:p>
    <w:p w14:paraId="1D19357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15.1供应商应在报价截止时间前递交响应文件。</w:t>
      </w:r>
    </w:p>
    <w:p w14:paraId="337449E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15.2供应商递交响应文件的时间、地点和要求：见供应商须知前附表。</w:t>
      </w:r>
    </w:p>
    <w:p w14:paraId="0451E30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15.3供应商有下列情况之一，采购人或者采购代理机构应当拒绝接收供应商的响应文件：</w:t>
      </w:r>
    </w:p>
    <w:p w14:paraId="2A2F2E9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15.3.1逾期送达的或者未送达指定地点的。</w:t>
      </w:r>
    </w:p>
    <w:p w14:paraId="1693E1F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15.3.2响应文件未按采购文件要求密封的。</w:t>
      </w:r>
    </w:p>
    <w:p w14:paraId="5348F44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15.3.3递交响应文件时法定代表人未出示法定代表人身份证明；被授权代表未出示授权委托书。</w:t>
      </w:r>
    </w:p>
    <w:p w14:paraId="40E5A7D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15.4除供应商须知前附表另有规定外，不论采购过程和结果如何，供应商的响应文件均不退还。</w:t>
      </w:r>
    </w:p>
    <w:p w14:paraId="6B606AF8">
      <w:pPr>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bookmarkStart w:id="157" w:name="_Toc29616"/>
      <w:bookmarkStart w:id="158" w:name="_Toc30276"/>
      <w:bookmarkStart w:id="159" w:name="_Toc6408"/>
      <w:bookmarkStart w:id="160" w:name="_Toc27020"/>
      <w:bookmarkStart w:id="161" w:name="_Toc32637"/>
      <w:bookmarkStart w:id="162" w:name="_Toc464831144"/>
      <w:bookmarkStart w:id="163" w:name="_Toc2503"/>
      <w:bookmarkStart w:id="164" w:name="_Toc23650"/>
      <w:r>
        <w:rPr>
          <w:rFonts w:hint="eastAsia" w:ascii="宋体" w:hAnsi="宋体" w:eastAsia="宋体" w:cs="宋体"/>
          <w:color w:val="000000" w:themeColor="text1"/>
          <w:sz w:val="24"/>
          <w:szCs w:val="24"/>
          <w:highlight w:val="none"/>
          <w14:textFill>
            <w14:solidFill>
              <w14:schemeClr w14:val="tx1"/>
            </w14:solidFill>
          </w14:textFill>
        </w:rPr>
        <w:t>16.响应文件的修改与撤回</w:t>
      </w:r>
      <w:bookmarkEnd w:id="157"/>
      <w:bookmarkEnd w:id="158"/>
      <w:bookmarkEnd w:id="159"/>
      <w:bookmarkEnd w:id="160"/>
      <w:bookmarkEnd w:id="161"/>
      <w:bookmarkEnd w:id="162"/>
      <w:bookmarkEnd w:id="163"/>
      <w:bookmarkEnd w:id="164"/>
    </w:p>
    <w:p w14:paraId="3F39891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16.1供应商在采购文件要求提交响应文件截止时间前，可以补充、修改、替代或者撤回已提交的响应文件，并书面形式通知采购人或者采购代理机构。补充、修改的内容为响应文件的组成部分。</w:t>
      </w:r>
    </w:p>
    <w:p w14:paraId="110806E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16.2供应商对响应文件的补充、修改，应按照本采购文件有关规定进行编制、密封、标记、盖章和递交，并在响应文件密封袋上，清楚标明“修改响应文件”或者“撤回报价”字样。</w:t>
      </w:r>
    </w:p>
    <w:p w14:paraId="16814A1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16.3在提交响应文件截止时间后到采购文件规定的报价有效期终止之前，在采购文件没有变动的情况下，供应商不得补充、修改、替代或者撤回其响应文件。供应商撤回全部或者部分响应文件的，其保证金将被没收。</w:t>
      </w:r>
    </w:p>
    <w:p w14:paraId="34E83D53">
      <w:pPr>
        <w:spacing w:line="360" w:lineRule="auto"/>
        <w:ind w:firstLine="480" w:firstLineChars="200"/>
        <w:outlineLvl w:val="2"/>
        <w:rPr>
          <w:rFonts w:hint="eastAsia" w:ascii="宋体" w:hAnsi="宋体" w:eastAsia="宋体" w:cs="宋体"/>
          <w:color w:val="000000" w:themeColor="text1"/>
          <w:sz w:val="24"/>
          <w:szCs w:val="24"/>
          <w:highlight w:val="none"/>
          <w:lang w:eastAsia="zh-CN"/>
          <w14:textFill>
            <w14:solidFill>
              <w14:schemeClr w14:val="tx1"/>
            </w14:solidFill>
          </w14:textFill>
        </w:rPr>
      </w:pPr>
      <w:bookmarkStart w:id="165" w:name="_Toc2541"/>
      <w:bookmarkStart w:id="166" w:name="_Toc27188"/>
      <w:bookmarkStart w:id="167" w:name="_Toc18459"/>
      <w:bookmarkStart w:id="168" w:name="_Toc464831145"/>
      <w:bookmarkStart w:id="169" w:name="_Toc16208"/>
      <w:bookmarkStart w:id="170" w:name="_Toc20326"/>
      <w:bookmarkStart w:id="171" w:name="_Toc17060"/>
      <w:bookmarkStart w:id="172" w:name="_Toc8485"/>
      <w:r>
        <w:rPr>
          <w:rFonts w:hint="eastAsia" w:ascii="宋体" w:hAnsi="宋体" w:eastAsia="宋体" w:cs="宋体"/>
          <w:color w:val="000000" w:themeColor="text1"/>
          <w:sz w:val="24"/>
          <w:szCs w:val="24"/>
          <w:highlight w:val="none"/>
          <w14:textFill>
            <w14:solidFill>
              <w14:schemeClr w14:val="tx1"/>
            </w14:solidFill>
          </w14:textFill>
        </w:rPr>
        <w:t>17.保证金</w:t>
      </w:r>
      <w:bookmarkEnd w:id="165"/>
      <w:bookmarkEnd w:id="166"/>
      <w:bookmarkEnd w:id="167"/>
      <w:bookmarkEnd w:id="168"/>
      <w:bookmarkEnd w:id="169"/>
      <w:bookmarkEnd w:id="170"/>
      <w:bookmarkEnd w:id="171"/>
      <w:bookmarkEnd w:id="172"/>
    </w:p>
    <w:p w14:paraId="3D99638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17.1保证金的交纳</w:t>
      </w:r>
    </w:p>
    <w:p w14:paraId="74EEEE2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17.1.1保证金的交纳金额和形式：见供应商须知前附表。</w:t>
      </w:r>
    </w:p>
    <w:p w14:paraId="3D1EFEE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17.1.2保证金以到账时间为准。</w:t>
      </w:r>
    </w:p>
    <w:p w14:paraId="7A266A5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17.1.3供应商为联合体的，联合体牵头人交纳的保证金对联合体各方均具有约束力。</w:t>
      </w:r>
    </w:p>
    <w:p w14:paraId="04EE445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17.2保证金的退还</w:t>
      </w:r>
    </w:p>
    <w:p w14:paraId="03DB0DF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17.2.1</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开标结束后未中标企业将授权委托书或法人身份证复印件、开户许可证、收据（必须加盖公司公章/财务章）、银行回单递交至民丰县行政服务和公共资源交易中心。</w:t>
      </w:r>
    </w:p>
    <w:p w14:paraId="19EFFD9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17.2.2</w:t>
      </w:r>
      <w:r>
        <w:rPr>
          <w:rFonts w:hint="eastAsia" w:ascii="宋体" w:hAnsi="宋体" w:eastAsia="宋体" w:cs="宋体"/>
          <w:color w:val="000000" w:themeColor="text1"/>
          <w:sz w:val="24"/>
          <w:szCs w:val="24"/>
          <w:highlight w:val="none"/>
          <w:lang w:val="en-US" w:eastAsia="zh-CN"/>
          <w14:textFill>
            <w14:solidFill>
              <w14:schemeClr w14:val="tx1"/>
            </w14:solidFill>
          </w14:textFill>
        </w:rPr>
        <w:t>公共资源交易中心</w:t>
      </w:r>
      <w:r>
        <w:rPr>
          <w:rFonts w:hint="eastAsia" w:ascii="宋体" w:hAnsi="宋体" w:eastAsia="宋体" w:cs="宋体"/>
          <w:color w:val="000000" w:themeColor="text1"/>
          <w:sz w:val="24"/>
          <w:szCs w:val="24"/>
          <w:highlight w:val="none"/>
          <w14:textFill>
            <w14:solidFill>
              <w14:schemeClr w14:val="tx1"/>
            </w14:solidFill>
          </w14:textFill>
        </w:rPr>
        <w:t>在成交通知发出后5个工作日内退还未成交供应商的保证金，在采购合同签订并备案后5个工作日内退还成交供应商的保证金。</w:t>
      </w:r>
    </w:p>
    <w:p w14:paraId="726E700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17.3保证金的不予退还</w:t>
      </w:r>
    </w:p>
    <w:p w14:paraId="118985C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17.3.1供应商有下列情形之一的，保证金将不予退还：</w:t>
      </w:r>
    </w:p>
    <w:p w14:paraId="2AF162D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（1）提供的有关资料不真实或者提供虚假材料的；</w:t>
      </w:r>
    </w:p>
    <w:p w14:paraId="69FC77D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（2）报价截止时间后供应商撤回全部或者部分响应文件的；</w:t>
      </w:r>
    </w:p>
    <w:p w14:paraId="7E37502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（3）损害采购人或者采购代理机构合法权益的；</w:t>
      </w:r>
    </w:p>
    <w:p w14:paraId="7711B20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（4）供应商向采购代理机构、采购人、专家提供不正当利益的；</w:t>
      </w:r>
    </w:p>
    <w:p w14:paraId="3E893E4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（5）经谈判小组认定有故意哄抬报价、串标或者其它违法行为的;</w:t>
      </w:r>
    </w:p>
    <w:p w14:paraId="016A702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（6）成交供应商未按照采购文件规定签订合同或者未按照采购文件规定提供履约保证金的；</w:t>
      </w:r>
    </w:p>
    <w:p w14:paraId="79C9B6D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（7）法律、行政法规以及有关规定的其它情形。</w:t>
      </w:r>
    </w:p>
    <w:p w14:paraId="30C8EC6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17.3.2不予退还的保证金应在规定时间内上缴国库。</w:t>
      </w:r>
    </w:p>
    <w:p w14:paraId="39F037B1">
      <w:pPr>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bookmarkStart w:id="173" w:name="_Toc26396"/>
      <w:bookmarkStart w:id="174" w:name="_Toc11179"/>
      <w:bookmarkStart w:id="175" w:name="_Toc464831149"/>
      <w:bookmarkStart w:id="176" w:name="_Toc29622"/>
      <w:bookmarkStart w:id="177" w:name="_Toc21937"/>
      <w:bookmarkStart w:id="178" w:name="_Toc4865"/>
      <w:bookmarkStart w:id="179" w:name="_Toc998"/>
      <w:bookmarkStart w:id="180" w:name="_Toc29237"/>
      <w:bookmarkStart w:id="181" w:name="_Toc464831146"/>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开标、谈判、成交</w:t>
      </w:r>
      <w:bookmarkEnd w:id="173"/>
      <w:bookmarkEnd w:id="174"/>
      <w:bookmarkEnd w:id="175"/>
      <w:bookmarkEnd w:id="176"/>
      <w:bookmarkEnd w:id="177"/>
      <w:bookmarkEnd w:id="178"/>
      <w:bookmarkEnd w:id="179"/>
      <w:bookmarkEnd w:id="180"/>
    </w:p>
    <w:p w14:paraId="6FCD665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bookmarkStart w:id="182" w:name="_Toc464831150"/>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1.开标程序</w:t>
      </w:r>
      <w:bookmarkEnd w:id="182"/>
    </w:p>
    <w:p w14:paraId="7430DB0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1.1宣布开标纪律；</w:t>
      </w:r>
    </w:p>
    <w:p w14:paraId="0993781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1.2宣布主持人、唱价人、记录人等有关人员姓名；</w:t>
      </w:r>
    </w:p>
    <w:p w14:paraId="1EDB0EE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1.3公布在报价截止时间前递交响应文件的供应商名称及签到顺序；</w:t>
      </w:r>
    </w:p>
    <w:p w14:paraId="260DB58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1.4供应商相互检查响应文件密封情况，并签字确认；</w:t>
      </w:r>
    </w:p>
    <w:p w14:paraId="45D0111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1.5开启响应文件，按照签到顺序公布供应商名称、报价等内容，并记录在案；</w:t>
      </w:r>
    </w:p>
    <w:p w14:paraId="246CD72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1.6供应商法定代表人（或者被授权代表）、采购人代表、记录人等有关人员在开标记录上签字确认；</w:t>
      </w:r>
    </w:p>
    <w:p w14:paraId="38CFC99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1.7开标结束。</w:t>
      </w:r>
    </w:p>
    <w:p w14:paraId="5D3670B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bookmarkStart w:id="183" w:name="_Toc464831151"/>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2.开标</w:t>
      </w:r>
      <w:bookmarkEnd w:id="183"/>
    </w:p>
    <w:p w14:paraId="2F0FBDCD">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18.2.1开标应当在</w:t>
      </w:r>
      <w:r>
        <w:rPr>
          <w:rFonts w:hint="eastAsia" w:ascii="宋体" w:hAnsi="宋体" w:eastAsia="宋体" w:cs="宋体"/>
          <w:color w:val="000000" w:themeColor="text1"/>
          <w:sz w:val="24"/>
          <w:szCs w:val="24"/>
          <w:highlight w:val="none"/>
          <w:lang w:eastAsia="zh-CN"/>
          <w14:textFill>
            <w14:solidFill>
              <w14:schemeClr w14:val="tx1"/>
            </w14:solidFill>
          </w14:textFill>
        </w:rPr>
        <w:t>竞争性谈判文件</w:t>
      </w:r>
      <w:r>
        <w:rPr>
          <w:rFonts w:hint="eastAsia" w:ascii="宋体" w:hAnsi="宋体" w:eastAsia="宋体" w:cs="宋体"/>
          <w:color w:val="000000" w:themeColor="text1"/>
          <w:sz w:val="24"/>
          <w:szCs w:val="24"/>
          <w:highlight w:val="none"/>
          <w14:textFill>
            <w14:solidFill>
              <w14:schemeClr w14:val="tx1"/>
            </w14:solidFill>
          </w14:textFill>
        </w:rPr>
        <w:t>确定的提交</w:t>
      </w:r>
      <w:r>
        <w:rPr>
          <w:rFonts w:hint="eastAsia" w:ascii="宋体" w:hAnsi="宋体" w:eastAsia="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截止时间的同一时间公开进行。开标地点应当为</w:t>
      </w:r>
      <w:r>
        <w:rPr>
          <w:rFonts w:hint="eastAsia" w:ascii="宋体" w:hAnsi="宋体" w:eastAsia="宋体" w:cs="宋体"/>
          <w:color w:val="000000" w:themeColor="text1"/>
          <w:sz w:val="24"/>
          <w:szCs w:val="24"/>
          <w:highlight w:val="none"/>
          <w:lang w:eastAsia="zh-CN"/>
          <w14:textFill>
            <w14:solidFill>
              <w14:schemeClr w14:val="tx1"/>
            </w14:solidFill>
          </w14:textFill>
        </w:rPr>
        <w:t>竞争性谈判文件</w:t>
      </w:r>
      <w:r>
        <w:rPr>
          <w:rFonts w:hint="eastAsia" w:ascii="宋体" w:hAnsi="宋体" w:eastAsia="宋体" w:cs="宋体"/>
          <w:color w:val="000000" w:themeColor="text1"/>
          <w:sz w:val="24"/>
          <w:szCs w:val="24"/>
          <w:highlight w:val="none"/>
          <w14:textFill>
            <w14:solidFill>
              <w14:schemeClr w14:val="tx1"/>
            </w14:solidFill>
          </w14:textFill>
        </w:rPr>
        <w:t>中预先确定的地点。</w:t>
      </w:r>
    </w:p>
    <w:p w14:paraId="19BF1439">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18.2.2</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供应商应在供应商须知规定的时间内完成解密</w:t>
      </w:r>
      <w:r>
        <w:rPr>
          <w:rFonts w:hint="eastAsia" w:ascii="宋体" w:hAnsi="宋体" w:eastAsia="宋体" w:cs="宋体"/>
          <w:color w:val="000000" w:themeColor="text1"/>
          <w:sz w:val="24"/>
          <w:szCs w:val="24"/>
          <w:highlight w:val="none"/>
          <w14:textFill>
            <w14:solidFill>
              <w14:schemeClr w14:val="tx1"/>
            </w14:solidFill>
          </w14:textFill>
        </w:rPr>
        <w:t>。</w:t>
      </w:r>
    </w:p>
    <w:p w14:paraId="15A7458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2.3由采购代理机构工作人员唱标。</w:t>
      </w:r>
    </w:p>
    <w:p w14:paraId="64B6C46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唱标人当众宣读供应商名称、响应报价、采购文件允许提供的备选报价方案和响应文件的其他主要内容，并不得拒绝任何符合要求的响应报价。供应商若有报价和优惠未被唱出，应在开标时及时声明或者提出，否则采购代理机构对此不承担任何责任。</w:t>
      </w:r>
    </w:p>
    <w:p w14:paraId="64F229E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2.4开标和唱标由采购代理机构指定专人负责，开标记录由供应商法定代表人或者被授权代表、采购人代表、记录人等有关人员签字确认，采购代理机构负责存档备查。</w:t>
      </w:r>
    </w:p>
    <w:p w14:paraId="31FB24B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2.5供应商对开标有异议的，应当在开标现场以书面形式提出，采购人或者采购代理机构应当场给予答复，并制作记录，供应商法定代表人或者被授权代表、采购人代表、采购代理机构（包括公证机构人员）签字确认。</w:t>
      </w:r>
    </w:p>
    <w:p w14:paraId="41F4F65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bookmarkStart w:id="184" w:name="_Toc464831152"/>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3谈判小组</w:t>
      </w:r>
      <w:bookmarkEnd w:id="184"/>
    </w:p>
    <w:p w14:paraId="3D0FE59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3.1谈判小组的组成</w:t>
      </w:r>
    </w:p>
    <w:p w14:paraId="7FD6943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按照《中华人民共和国政府采购法》以及有关规定组建谈判小组。谈判由依法组建的谈判小组负责。谈判小组由采购人代表和评审专家共同组成，成员人数为三人以及以上单数，其中采购人代表只限一人，技术、经济等方面的评审专家不得少于成员总数的三分之二。</w:t>
      </w:r>
    </w:p>
    <w:p w14:paraId="08CAA28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3.2评审专家的抽取</w:t>
      </w:r>
    </w:p>
    <w:p w14:paraId="5B13788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3.2.1采用随机抽取方式从政府采购监管部门依法设立的专家库中确定谈判小组成员。任何单位和个人都不得指定评审专家或干预评审专家的抽取工作。</w:t>
      </w:r>
    </w:p>
    <w:p w14:paraId="095AF14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3.2.2参加评审专家抽取的有关人员对被抽取的专家的姓名、单位和联系方式等内容负有保密的义务。谈判小组成员的名单在评审结果确定前必须严格保密。</w:t>
      </w:r>
    </w:p>
    <w:p w14:paraId="18205A9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3.3谈判小组成员不得参加与自己有利害关系的评审活动，与自己有利害关系的应当回避，已经进入的必须更换。</w:t>
      </w:r>
    </w:p>
    <w:p w14:paraId="78B8995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3.4谈判小组负责对各响应文件进行评审、比较、评定，并按本采购文件的规定确定成交供应商或者推荐中标候选人。</w:t>
      </w:r>
    </w:p>
    <w:p w14:paraId="5C06C3A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3.5谈判小组具有依据采购文件进行独立评审的权力，且不受外界任何因素的干扰。谈判小组成员必须独立、负责地提出评审意见，并对自己的评审意见承担责任。对评审结果有不同意见的谈判小组成员应当以书面形式说明其不同意见和理由，评审报告应当注明不同意见。评审委员会成员拒绝评审或者拒绝在评审报告上签字并且又不书面说明其不同意见和理由的，视为同意评审结果。</w:t>
      </w:r>
    </w:p>
    <w:p w14:paraId="4F9F23D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3.6谈判小组的职责：</w:t>
      </w:r>
    </w:p>
    <w:p w14:paraId="2D1D145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3.6.1审查响应文件是否符合采购文件要求，进行资格性审查和符合性审查，并做出评价；</w:t>
      </w:r>
    </w:p>
    <w:p w14:paraId="42991D7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3.6.2要求供应商对响应文件有关事项做出解释或者澄清；</w:t>
      </w:r>
    </w:p>
    <w:p w14:paraId="714C640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3.6.3推荐中标候选人名单，或者受采购人委托按照事先确定的办法直接确定成交供应商；</w:t>
      </w:r>
    </w:p>
    <w:p w14:paraId="02DD69E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3.6.4向采购人、采购代理机构或者有关部门报告非法干预评审工作的行为。</w:t>
      </w:r>
    </w:p>
    <w:p w14:paraId="7B803E6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3.6.5对围、串标等违法违规行为作出认定。</w:t>
      </w:r>
    </w:p>
    <w:p w14:paraId="5067737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3.7谈判小组的义务：</w:t>
      </w:r>
    </w:p>
    <w:p w14:paraId="398C4F3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3.7.1遵纪守法，客观、公正、廉洁地履行职责；</w:t>
      </w:r>
    </w:p>
    <w:p w14:paraId="5350E62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3.7.2提出真实、可靠的评审意见；</w:t>
      </w:r>
    </w:p>
    <w:p w14:paraId="40CA0E1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3.7.3严格遵守评审纪律，不得向外界泄露评审情况；</w:t>
      </w:r>
    </w:p>
    <w:p w14:paraId="2F25C9D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3.7.4发现供应商在招报价活动中有不正当竞争或者恶意串通等违规行为，应及时向监督部门报告并加以制止；</w:t>
      </w:r>
    </w:p>
    <w:p w14:paraId="58E9172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3.7.5按照采购文件规定的评审方法和评审标准进行评审，对评审意见承担个人责任；</w:t>
      </w:r>
    </w:p>
    <w:p w14:paraId="0A4DBA4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3.7.6编写评审报告；</w:t>
      </w:r>
    </w:p>
    <w:p w14:paraId="4D23E42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3.7.7配合采购人或者采购代理机构答复供应商提出的质疑；</w:t>
      </w:r>
    </w:p>
    <w:p w14:paraId="446AA9B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3.7.8对评审过程和结果，以及采购人、供应商的商业秘密保密；</w:t>
      </w:r>
    </w:p>
    <w:p w14:paraId="76986DA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3.7.9配合监管部门处理投诉；</w:t>
      </w:r>
    </w:p>
    <w:p w14:paraId="7C57DBD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3.8谈判小组成员有下列情形之一的，应当回避：</w:t>
      </w:r>
    </w:p>
    <w:p w14:paraId="09F276F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3.8.1供应商或者供应商主要负责人的近亲属；</w:t>
      </w:r>
    </w:p>
    <w:p w14:paraId="7987AE2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3.8.2项目主管部门或者行政监督部门的人员；</w:t>
      </w:r>
    </w:p>
    <w:p w14:paraId="4F4517A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3.8.3与供应商有经济利益关系；</w:t>
      </w:r>
    </w:p>
    <w:p w14:paraId="6F28452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3.8.4曾因在采购、评审以及其他与政府采购有关系活动中从事违法行为而受到行政处罚或者刑事处罚的；</w:t>
      </w:r>
    </w:p>
    <w:p w14:paraId="60813AD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3.8.5与供应商有其他利害关系。</w:t>
      </w:r>
    </w:p>
    <w:p w14:paraId="31C24DF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bookmarkStart w:id="185" w:name="_Toc464831153"/>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4评审程序</w:t>
      </w:r>
      <w:bookmarkEnd w:id="185"/>
    </w:p>
    <w:p w14:paraId="2BB3505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4.1宣布评审纪律以及回避提示；</w:t>
      </w:r>
    </w:p>
    <w:p w14:paraId="79C8728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4.2组织推荐谈判小组组长；</w:t>
      </w:r>
    </w:p>
    <w:p w14:paraId="38E8603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4.3资格性审查；</w:t>
      </w:r>
    </w:p>
    <w:p w14:paraId="184294F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4.4符合性审查；</w:t>
      </w:r>
    </w:p>
    <w:p w14:paraId="34D0B5E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4.5技术评审；</w:t>
      </w:r>
    </w:p>
    <w:p w14:paraId="13F6960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4.6澄清有关问题；</w:t>
      </w:r>
    </w:p>
    <w:p w14:paraId="3B1F7A7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4.7谈判</w:t>
      </w:r>
    </w:p>
    <w:p w14:paraId="1FE8CC6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4.8确定成交供应商或者推荐成交候选人名单；</w:t>
      </w:r>
    </w:p>
    <w:p w14:paraId="09A46C7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4.9编写评审报告；</w:t>
      </w:r>
    </w:p>
    <w:p w14:paraId="41098CD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4.10宣布评审。</w:t>
      </w:r>
    </w:p>
    <w:p w14:paraId="679778CD">
      <w:pPr>
        <w:spacing w:line="360" w:lineRule="auto"/>
        <w:ind w:firstLine="480" w:firstLineChars="200"/>
        <w:outlineLvl w:val="9"/>
        <w:rPr>
          <w:rFonts w:hint="eastAsia" w:ascii="宋体" w:hAnsi="宋体" w:eastAsia="宋体" w:cs="宋体"/>
          <w:color w:val="000000" w:themeColor="text1"/>
          <w:sz w:val="24"/>
          <w:szCs w:val="24"/>
          <w:highlight w:val="none"/>
          <w14:textFill>
            <w14:solidFill>
              <w14:schemeClr w14:val="tx1"/>
            </w14:solidFill>
          </w14:textFill>
        </w:rPr>
      </w:pPr>
      <w:bookmarkStart w:id="186" w:name="_Toc464831154"/>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5评审</w:t>
      </w:r>
      <w:bookmarkEnd w:id="186"/>
    </w:p>
    <w:p w14:paraId="6177B0C0">
      <w:pPr>
        <w:spacing w:line="360" w:lineRule="auto"/>
        <w:ind w:firstLine="480" w:firstLineChars="200"/>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5.1资格性审查</w:t>
      </w:r>
    </w:p>
    <w:p w14:paraId="577085A4">
      <w:pPr>
        <w:spacing w:line="360" w:lineRule="auto"/>
        <w:ind w:firstLine="480" w:firstLineChars="200"/>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5.1.1谈判小组依据法律法规和采购文件的规定，对响应文件中的资格证明、保证金等进行审查，以确定供应商是否具备报价资格。</w:t>
      </w:r>
    </w:p>
    <w:p w14:paraId="44207818">
      <w:pPr>
        <w:spacing w:line="360" w:lineRule="auto"/>
        <w:ind w:firstLine="480" w:firstLineChars="200"/>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5.1.2采购人、采购代理机构通过</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凡拟参加本次招标项目的投标人，如在“信用中国”网站（WWW.creditchina.gov.cn）、中国政府采购网（www.ccgp.gov.cn）、国家企业信用信息公示系统（http://www.gsxt.gov.cn）被列入失信被执行人、重大税收违法案件当事人名单、政府采购严重违法失信行为记录名单的（尚在处罚期内的）， 将拒绝其参加本次政府采购活动，并提供投标单位中国裁判文书网（http://wenshu.court.gov.cn/）的查询记录,如三年内有不良记录的，将拒绝其参加本次政府采购活动。</w:t>
      </w:r>
      <w:r>
        <w:rPr>
          <w:rFonts w:hint="eastAsia" w:ascii="宋体" w:hAnsi="宋体" w:eastAsia="宋体" w:cs="宋体"/>
          <w:color w:val="000000" w:themeColor="text1"/>
          <w:sz w:val="24"/>
          <w:szCs w:val="24"/>
          <w:highlight w:val="none"/>
          <w14:textFill>
            <w14:solidFill>
              <w14:schemeClr w14:val="tx1"/>
            </w14:solidFill>
          </w14:textFill>
        </w:rPr>
        <w:t>从事违法行为《中华人民共和国政府采购法》第二十二条规定条件的供应商，应当拒绝其参加政府采购活动，其响应无效；两个以上的自然人、法人或者其他组织组成一个联合体，以一个供应商的身份共同参加政府采购活动的，应当对所有联合体成员进行信用记录查询，联合体成员存在不良信用记录的，视同联合体存在不良信用记录，其响应无效。</w:t>
      </w:r>
    </w:p>
    <w:p w14:paraId="0E67DFE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信用信息查询记录及相关证据应当与其他采购文件一并保存。</w:t>
      </w:r>
    </w:p>
    <w:p w14:paraId="2C87F0E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5.1.3供应商资格要求中，代理商须提供产品制造商针对本项目的唯一授权的，同一品牌同品目产品只允许一个供应商参加报价，产品制造商和代理商同时报价的，制造商响应有效，代理商响应无效；不同代理商代理同一品牌同品目产品报价的，按照各代理商提供《产品授权书》的时间先后顺序认定，先获得《产品授权书》的响应有效，后获得《产品授权书》的响应无效，时间相同时由谈判小组现场抽签决定。</w:t>
      </w:r>
    </w:p>
    <w:p w14:paraId="698C713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5.2符合性审查</w:t>
      </w:r>
    </w:p>
    <w:p w14:paraId="3B78494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谈判小组依据采购文件的规定，从响应文件的有效性、完整性和对采购文件的响应程度进行审查，以确定是否对采购文件的实质性要求作出响应。</w:t>
      </w:r>
    </w:p>
    <w:p w14:paraId="31F743E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5.3在资格性和符合性审查同时，对属于不合格供应商或者</w:t>
      </w:r>
      <w:r>
        <w:rPr>
          <w:rFonts w:hint="eastAsia" w:ascii="宋体" w:hAnsi="宋体" w:eastAsia="宋体" w:cs="宋体"/>
          <w:color w:val="000000" w:themeColor="text1"/>
          <w:sz w:val="24"/>
          <w:szCs w:val="24"/>
          <w:highlight w:val="none"/>
          <w:lang w:val="zh-CN"/>
          <w14:textFill>
            <w14:solidFill>
              <w14:schemeClr w14:val="tx1"/>
            </w14:solidFill>
          </w14:textFill>
        </w:rPr>
        <w:t>采购人或者其委托公证人员依据法律法规和采购文件的规定，分别与供应商共同对其商务部分响应文件中的资格证明、保证金等进行审查，以确定供应商是否具备报价资格，填写资格审查表并签字确认后，提交谈判小组审核</w:t>
      </w:r>
      <w:r>
        <w:rPr>
          <w:rFonts w:hint="eastAsia" w:ascii="宋体" w:hAnsi="宋体" w:eastAsia="宋体" w:cs="宋体"/>
          <w:color w:val="000000" w:themeColor="text1"/>
          <w:sz w:val="24"/>
          <w:szCs w:val="24"/>
          <w:highlight w:val="none"/>
          <w14:textFill>
            <w14:solidFill>
              <w14:schemeClr w14:val="tx1"/>
            </w14:solidFill>
          </w14:textFill>
        </w:rPr>
        <w:t>的供应商，谈判小组必须提出不合格或者响应无效的事实依据，并出具不合格或者响应无效说明，供应商签字确认。供应商签字确认后谈判小组全体成员签字。供应商拒绝签字确认的不影响谈判小组做出的不合格或无效裁定。</w:t>
      </w:r>
    </w:p>
    <w:p w14:paraId="6F4653A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5.4技术评审</w:t>
      </w:r>
    </w:p>
    <w:p w14:paraId="7715E4B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5.4.1</w:t>
      </w:r>
      <w:r>
        <w:rPr>
          <w:rFonts w:hint="eastAsia" w:ascii="宋体" w:hAnsi="宋体" w:eastAsia="宋体" w:cs="宋体"/>
          <w:color w:val="000000" w:themeColor="text1"/>
          <w:sz w:val="24"/>
          <w:szCs w:val="24"/>
          <w:highlight w:val="none"/>
          <w:lang w:val="en-GB"/>
          <w14:textFill>
            <w14:solidFill>
              <w14:schemeClr w14:val="tx1"/>
            </w14:solidFill>
          </w14:textFill>
        </w:rPr>
        <w:t>按照采购文件要求，审查报价供应商所投货物和服务的规格、质量、数量及服务要求等技术要求和参数，并记录实质性响应、技术偏离等事项，进行技术部分的符合性审查。</w:t>
      </w:r>
    </w:p>
    <w:p w14:paraId="22EB56B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5.4.2</w:t>
      </w:r>
      <w:r>
        <w:rPr>
          <w:rFonts w:hint="eastAsia" w:ascii="宋体" w:hAnsi="宋体" w:eastAsia="宋体" w:cs="宋体"/>
          <w:color w:val="000000" w:themeColor="text1"/>
          <w:sz w:val="24"/>
          <w:szCs w:val="24"/>
          <w:highlight w:val="none"/>
          <w:lang w:val="en-GB"/>
          <w14:textFill>
            <w14:solidFill>
              <w14:schemeClr w14:val="tx1"/>
            </w14:solidFill>
          </w14:textFill>
        </w:rPr>
        <w:t>对技术复杂或性质特殊、响应文件技术或指标不一致的，谈判小组应根据采购文件以及各响应文件情况，在确保采购需求、质量和服务相等的前提下，按同等或者略高于采购文件标准确定统一谈判技术指标（包括强制性标准和行业标准），谈判现场形成书面技术要求并经谈判小组全体成员签字确认，该标准是评审报告的组成部分，谈判技术指标经所有参与谈判供应商书面承诺后方可进行谈判。</w:t>
      </w:r>
    </w:p>
    <w:p w14:paraId="56B22242">
      <w:pPr>
        <w:spacing w:line="360" w:lineRule="auto"/>
        <w:ind w:firstLine="480" w:firstLineChars="200"/>
        <w:rPr>
          <w:rFonts w:hint="eastAsia" w:ascii="宋体" w:hAnsi="宋体" w:eastAsia="宋体" w:cs="宋体"/>
          <w:color w:val="000000" w:themeColor="text1"/>
          <w:sz w:val="24"/>
          <w:szCs w:val="24"/>
          <w:highlight w:val="none"/>
          <w:lang w:val="en-GB"/>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5.4.3</w:t>
      </w:r>
      <w:r>
        <w:rPr>
          <w:rFonts w:hint="eastAsia" w:ascii="宋体" w:hAnsi="宋体" w:eastAsia="宋体" w:cs="宋体"/>
          <w:color w:val="000000" w:themeColor="text1"/>
          <w:sz w:val="24"/>
          <w:szCs w:val="24"/>
          <w:highlight w:val="none"/>
          <w:lang w:val="en-GB"/>
          <w14:textFill>
            <w14:solidFill>
              <w14:schemeClr w14:val="tx1"/>
            </w14:solidFill>
          </w14:textFill>
        </w:rPr>
        <w:t>对不能事先计算出价格总额、响应报价（含单项报价）超出市场价格但总价不高于本次采购预算金额，以及市场价格波动较大的，谈判小组应根据本次采购预算金额、市场价格以及供应商响应报价，在确保采购需求、质量和服务相等的前提下，谈判小组必须集体讨论确定谈判标底和报价轮次，该标底必须低于本次开标报价的最低报价并低于市场价格。</w:t>
      </w:r>
      <w:bookmarkStart w:id="187" w:name="_Toc464831155"/>
    </w:p>
    <w:p w14:paraId="666CA82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6澄清有关问题</w:t>
      </w:r>
      <w:bookmarkEnd w:id="187"/>
    </w:p>
    <w:p w14:paraId="7226C9B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6.1对响应文件中含义不明确、同类问题表述不一致或者有明显文字和计算错误的内容，谈判小组应以书面形式要求供应商做出必要的澄清、承诺、说明或者纠正。供应商的澄清、承诺、说明或者纠正应采取书面形式，由法定代表人或者被授权代表签字，并不得超出响应文件的范围或者改变响应文件的实质性内容。</w:t>
      </w:r>
    </w:p>
    <w:p w14:paraId="3FF60EC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6.2谈判小组判断响应文件的响应性仅基于响应文件本身而不靠外部因素。未响应实质性条款的，谈判小组有权确定其响应无效，供应商不能通过修正、撤销或者澄清不符之处而使其报价成为实质性响应的报价。</w:t>
      </w:r>
    </w:p>
    <w:p w14:paraId="46FB221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6.3谈判小组可以允许供应商修改或者澄清其响应文件中不构成实质偏离的、微小的、非正规的不一致或者不规则的地方。</w:t>
      </w:r>
    </w:p>
    <w:p w14:paraId="682DEA94">
      <w:pPr>
        <w:spacing w:line="360" w:lineRule="auto"/>
        <w:ind w:firstLine="480" w:firstLineChars="200"/>
        <w:rPr>
          <w:rFonts w:hint="eastAsia" w:ascii="宋体" w:hAnsi="宋体" w:eastAsia="宋体" w:cs="宋体"/>
          <w:color w:val="000000" w:themeColor="text1"/>
          <w:sz w:val="24"/>
          <w:szCs w:val="24"/>
          <w:highlight w:val="none"/>
          <w:lang w:val="en-GB"/>
          <w14:textFill>
            <w14:solidFill>
              <w14:schemeClr w14:val="tx1"/>
            </w14:solidFill>
          </w14:textFill>
        </w:rPr>
      </w:pPr>
      <w:bookmarkStart w:id="188" w:name="_Toc464831156"/>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lang w:val="en-GB"/>
          <w14:textFill>
            <w14:solidFill>
              <w14:schemeClr w14:val="tx1"/>
            </w14:solidFill>
          </w14:textFill>
        </w:rPr>
        <w:t>7谈判</w:t>
      </w:r>
      <w:bookmarkEnd w:id="188"/>
    </w:p>
    <w:p w14:paraId="12CBC851">
      <w:pPr>
        <w:spacing w:line="360" w:lineRule="auto"/>
        <w:ind w:firstLine="480" w:firstLineChars="200"/>
        <w:rPr>
          <w:rFonts w:hint="eastAsia" w:ascii="宋体" w:hAnsi="宋体" w:eastAsia="宋体" w:cs="宋体"/>
          <w:color w:val="000000" w:themeColor="text1"/>
          <w:sz w:val="24"/>
          <w:szCs w:val="24"/>
          <w:highlight w:val="none"/>
          <w:lang w:val="en-GB"/>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7.1</w:t>
      </w:r>
      <w:r>
        <w:rPr>
          <w:rFonts w:hint="eastAsia" w:ascii="宋体" w:hAnsi="宋体" w:eastAsia="宋体" w:cs="宋体"/>
          <w:color w:val="000000" w:themeColor="text1"/>
          <w:sz w:val="24"/>
          <w:szCs w:val="24"/>
          <w:highlight w:val="none"/>
          <w:lang w:val="en-GB"/>
          <w14:textFill>
            <w14:solidFill>
              <w14:schemeClr w14:val="tx1"/>
            </w14:solidFill>
          </w14:textFill>
        </w:rPr>
        <w:t>谈判前，谈判小组应核实供应商对统一谈判技术标准（包括强制性标准和行业标准）等是否全部承诺或者确认。</w:t>
      </w:r>
    </w:p>
    <w:p w14:paraId="63AB555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lang w:val="en-GB"/>
          <w14:textFill>
            <w14:solidFill>
              <w14:schemeClr w14:val="tx1"/>
            </w14:solidFill>
          </w14:textFill>
        </w:rPr>
        <w:t>7.2谈判小组所有成员集中与单一供应商进行谈判。在谈判中，谈判的任何一方不得透露与谈判有关的其他供应商的技术资料、价格和其他信息。</w:t>
      </w:r>
    </w:p>
    <w:p w14:paraId="3F7E892D">
      <w:pPr>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7.3</w:t>
      </w:r>
      <w:r>
        <w:rPr>
          <w:rFonts w:hint="eastAsia" w:ascii="宋体" w:hAnsi="宋体" w:eastAsia="宋体" w:cs="宋体"/>
          <w:color w:val="000000" w:themeColor="text1"/>
          <w:sz w:val="24"/>
          <w:szCs w:val="24"/>
          <w:highlight w:val="none"/>
          <w:lang w:val="en-GB"/>
          <w14:textFill>
            <w14:solidFill>
              <w14:schemeClr w14:val="tx1"/>
            </w14:solidFill>
          </w14:textFill>
        </w:rPr>
        <w:t>谈判</w:t>
      </w:r>
      <w:r>
        <w:rPr>
          <w:rFonts w:hint="eastAsia" w:ascii="宋体" w:hAnsi="宋体" w:eastAsia="宋体" w:cs="宋体"/>
          <w:color w:val="000000" w:themeColor="text1"/>
          <w:sz w:val="24"/>
          <w:szCs w:val="24"/>
          <w:highlight w:val="none"/>
          <w14:textFill>
            <w14:solidFill>
              <w14:schemeClr w14:val="tx1"/>
            </w14:solidFill>
          </w14:textFill>
        </w:rPr>
        <w:t>实行多轮报价，原则上第</w:t>
      </w:r>
      <w:r>
        <w:rPr>
          <w:rFonts w:hint="eastAsia" w:ascii="宋体" w:hAnsi="宋体" w:eastAsia="宋体" w:cs="宋体"/>
          <w:color w:val="000000" w:themeColor="text1"/>
          <w:sz w:val="24"/>
          <w:szCs w:val="24"/>
          <w:highlight w:val="none"/>
          <w:lang w:eastAsia="zh-CN"/>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轮报价为最终报价</w:t>
      </w:r>
      <w:r>
        <w:rPr>
          <w:rFonts w:hint="eastAsia" w:ascii="宋体" w:hAnsi="宋体" w:eastAsia="宋体" w:cs="宋体"/>
          <w:color w:val="000000" w:themeColor="text1"/>
          <w:sz w:val="24"/>
          <w:szCs w:val="24"/>
          <w:highlight w:val="none"/>
          <w:lang w:val="en-GB"/>
          <w14:textFill>
            <w14:solidFill>
              <w14:schemeClr w14:val="tx1"/>
            </w14:solidFill>
          </w14:textFill>
        </w:rPr>
        <w:t>。超过</w:t>
      </w:r>
      <w:r>
        <w:rPr>
          <w:rFonts w:hint="eastAsia" w:ascii="宋体" w:hAnsi="宋体" w:eastAsia="宋体" w:cs="宋体"/>
          <w:color w:val="000000" w:themeColor="text1"/>
          <w:sz w:val="24"/>
          <w:szCs w:val="24"/>
          <w:highlight w:val="none"/>
          <w:lang w:eastAsia="zh-CN"/>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轮报价的</w:t>
      </w:r>
      <w:r>
        <w:rPr>
          <w:rFonts w:hint="eastAsia" w:ascii="宋体" w:hAnsi="宋体" w:eastAsia="宋体" w:cs="宋体"/>
          <w:color w:val="000000" w:themeColor="text1"/>
          <w:sz w:val="24"/>
          <w:szCs w:val="24"/>
          <w:highlight w:val="none"/>
          <w:lang w:val="en-GB"/>
          <w14:textFill>
            <w14:solidFill>
              <w14:schemeClr w14:val="tx1"/>
            </w14:solidFill>
          </w14:textFill>
        </w:rPr>
        <w:t>由谈判小组现场集体决定，但最后一轮报价前必须告知所有参加谈判的供应商，并以最后一轮报价为最终报价</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GB"/>
          <w14:textFill>
            <w14:solidFill>
              <w14:schemeClr w14:val="tx1"/>
            </w14:solidFill>
          </w14:textFill>
        </w:rPr>
        <w:t>供应商后一轮报价不得高于其前一轮报价；</w:t>
      </w:r>
      <w:r>
        <w:rPr>
          <w:rFonts w:hint="eastAsia" w:ascii="宋体" w:hAnsi="宋体" w:eastAsia="宋体" w:cs="宋体"/>
          <w:color w:val="000000" w:themeColor="text1"/>
          <w:sz w:val="24"/>
          <w:szCs w:val="24"/>
          <w:highlight w:val="none"/>
          <w14:textFill>
            <w14:solidFill>
              <w14:schemeClr w14:val="tx1"/>
            </w14:solidFill>
          </w14:textFill>
        </w:rPr>
        <w:t>否则谈判小组有权据此确定为无效报价，参与谈判的供应商少于三家的予以废标。</w:t>
      </w:r>
      <w:r>
        <w:rPr>
          <w:rFonts w:hint="eastAsia" w:ascii="宋体" w:hAnsi="宋体" w:eastAsia="宋体" w:cs="宋体"/>
          <w:color w:val="000000" w:themeColor="text1"/>
          <w:sz w:val="24"/>
          <w:szCs w:val="24"/>
          <w:highlight w:val="none"/>
          <w:lang w:val="en-US" w:eastAsia="zh-CN"/>
          <w14:textFill>
            <w14:solidFill>
              <w14:schemeClr w14:val="tx1"/>
            </w14:solidFill>
          </w14:textFill>
        </w:rPr>
        <w:t>中标供应商需提供二次报价清单。</w:t>
      </w:r>
    </w:p>
    <w:p w14:paraId="22A200A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特殊情况及处置：（1）采购范围变化且总价不超过</w:t>
      </w:r>
      <w:r>
        <w:rPr>
          <w:rFonts w:hint="eastAsia" w:ascii="宋体" w:hAnsi="宋体" w:eastAsia="宋体" w:cs="宋体"/>
          <w:color w:val="000000" w:themeColor="text1"/>
          <w:sz w:val="24"/>
          <w:szCs w:val="24"/>
          <w:highlight w:val="none"/>
          <w:lang w:eastAsia="zh-CN"/>
          <w14:textFill>
            <w14:solidFill>
              <w14:schemeClr w14:val="tx1"/>
            </w14:solidFill>
          </w14:textFill>
        </w:rPr>
        <w:t>最高限价</w:t>
      </w:r>
      <w:r>
        <w:rPr>
          <w:rFonts w:hint="eastAsia" w:ascii="宋体" w:hAnsi="宋体" w:eastAsia="宋体" w:cs="宋体"/>
          <w:color w:val="000000" w:themeColor="text1"/>
          <w:sz w:val="24"/>
          <w:szCs w:val="24"/>
          <w:highlight w:val="none"/>
          <w14:textFill>
            <w14:solidFill>
              <w14:schemeClr w14:val="tx1"/>
            </w14:solidFill>
          </w14:textFill>
        </w:rPr>
        <w:t>的；（2）采购货物的市场价格明显降价的；（3）报价明细中个别报价明显高于市场价且无明确报价依据的；（4）最后一轮报价中最低报价相同的。发生上述情形之一的，谈判小组有权予以废标或者与供应商进行谈判后继续报价。</w:t>
      </w:r>
    </w:p>
    <w:p w14:paraId="4D7CBA3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bookmarkStart w:id="189" w:name="_Toc464831157"/>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8成交</w:t>
      </w:r>
      <w:bookmarkEnd w:id="189"/>
    </w:p>
    <w:p w14:paraId="4A7ABA6D">
      <w:pPr>
        <w:spacing w:line="360" w:lineRule="auto"/>
        <w:ind w:firstLine="480" w:firstLineChars="200"/>
        <w:rPr>
          <w:rFonts w:hint="eastAsia" w:ascii="宋体" w:hAnsi="宋体" w:eastAsia="宋体" w:cs="宋体"/>
          <w:color w:val="000000" w:themeColor="text1"/>
          <w:sz w:val="24"/>
          <w:szCs w:val="24"/>
          <w:highlight w:val="none"/>
          <w:lang w:val="en-GB"/>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8.1本次采购采用</w:t>
      </w:r>
      <w:r>
        <w:rPr>
          <w:rFonts w:hint="eastAsia" w:ascii="宋体" w:hAnsi="宋体" w:eastAsia="宋体" w:cs="宋体"/>
          <w:color w:val="000000" w:themeColor="text1"/>
          <w:sz w:val="24"/>
          <w:szCs w:val="24"/>
          <w:highlight w:val="none"/>
          <w:lang w:val="en-GB"/>
          <w14:textFill>
            <w14:solidFill>
              <w14:schemeClr w14:val="tx1"/>
            </w14:solidFill>
          </w14:textFill>
        </w:rPr>
        <w:t>最低评标价法，是指以价格为主要因素确定成交供应商的评审方法。即在全部满足采购文件实质性要求，且采购</w:t>
      </w:r>
      <w:r>
        <w:rPr>
          <w:rFonts w:hint="eastAsia" w:ascii="宋体" w:hAnsi="宋体" w:eastAsia="宋体" w:cs="宋体"/>
          <w:color w:val="000000" w:themeColor="text1"/>
          <w:sz w:val="24"/>
          <w:szCs w:val="24"/>
          <w:highlight w:val="none"/>
          <w14:textFill>
            <w14:solidFill>
              <w14:schemeClr w14:val="tx1"/>
            </w14:solidFill>
          </w14:textFill>
        </w:rPr>
        <w:t>需求、质量和服务相等的</w:t>
      </w:r>
      <w:r>
        <w:rPr>
          <w:rFonts w:hint="eastAsia" w:ascii="宋体" w:hAnsi="宋体" w:eastAsia="宋体" w:cs="宋体"/>
          <w:color w:val="000000" w:themeColor="text1"/>
          <w:sz w:val="24"/>
          <w:szCs w:val="24"/>
          <w:highlight w:val="none"/>
          <w:lang w:val="en-GB"/>
          <w14:textFill>
            <w14:solidFill>
              <w14:schemeClr w14:val="tx1"/>
            </w14:solidFill>
          </w14:textFill>
        </w:rPr>
        <w:t>前提下，依据统一的价格要素评定最低报价，按最终报价由低到高的顺序排序，确定成交供应商或推荐成交候选供应商的评审方法。</w:t>
      </w:r>
    </w:p>
    <w:p w14:paraId="77B1D88B">
      <w:pPr>
        <w:spacing w:line="360" w:lineRule="auto"/>
        <w:ind w:firstLine="480" w:firstLineChars="200"/>
        <w:rPr>
          <w:rFonts w:hint="eastAsia" w:ascii="宋体" w:hAnsi="宋体" w:eastAsia="宋体" w:cs="宋体"/>
          <w:color w:val="000000" w:themeColor="text1"/>
          <w:sz w:val="24"/>
          <w:szCs w:val="24"/>
          <w:highlight w:val="none"/>
          <w:lang w:val="en-GB"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8.2</w:t>
      </w:r>
      <w:r>
        <w:rPr>
          <w:rFonts w:hint="eastAsia" w:ascii="宋体" w:hAnsi="宋体" w:eastAsia="宋体" w:cs="宋体"/>
          <w:color w:val="000000" w:themeColor="text1"/>
          <w:sz w:val="24"/>
          <w:szCs w:val="24"/>
          <w:highlight w:val="none"/>
          <w:lang w:val="en-GB"/>
          <w14:textFill>
            <w14:solidFill>
              <w14:schemeClr w14:val="tx1"/>
            </w14:solidFill>
          </w14:textFill>
        </w:rPr>
        <w:t>采购人授权谈判小组确定成交供应商的，最终报价结束后，谈判小组按照上述的规定，对供应商进行排序并确定排序第一的为成交供应商</w:t>
      </w:r>
      <w:r>
        <w:rPr>
          <w:rFonts w:hint="eastAsia" w:ascii="宋体" w:hAnsi="宋体" w:eastAsia="宋体" w:cs="宋体"/>
          <w:color w:val="000000" w:themeColor="text1"/>
          <w:sz w:val="24"/>
          <w:szCs w:val="24"/>
          <w:highlight w:val="none"/>
          <w:lang w:val="en-GB" w:eastAsia="zh-CN"/>
          <w14:textFill>
            <w14:solidFill>
              <w14:schemeClr w14:val="tx1"/>
            </w14:solidFill>
          </w14:textFill>
        </w:rPr>
        <w:t>。</w:t>
      </w:r>
    </w:p>
    <w:p w14:paraId="6D56F423">
      <w:pPr>
        <w:spacing w:line="360" w:lineRule="auto"/>
        <w:ind w:firstLine="480" w:firstLineChars="200"/>
        <w:rPr>
          <w:rFonts w:hint="eastAsia" w:ascii="宋体" w:hAnsi="宋体" w:eastAsia="宋体" w:cs="宋体"/>
          <w:color w:val="000000" w:themeColor="text1"/>
          <w:sz w:val="24"/>
          <w:szCs w:val="24"/>
          <w:highlight w:val="none"/>
          <w:lang w:val="en-GB"/>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lang w:val="en-GB"/>
          <w14:textFill>
            <w14:solidFill>
              <w14:schemeClr w14:val="tx1"/>
            </w14:solidFill>
          </w14:textFill>
        </w:rPr>
        <w:t>8.3</w:t>
      </w:r>
      <w:r>
        <w:rPr>
          <w:rFonts w:hint="eastAsia" w:ascii="宋体" w:hAnsi="宋体" w:eastAsia="宋体" w:cs="宋体"/>
          <w:color w:val="000000" w:themeColor="text1"/>
          <w:kern w:val="0"/>
          <w:sz w:val="24"/>
          <w:szCs w:val="24"/>
          <w:highlight w:val="none"/>
          <w:lang w:val="zh-CN"/>
          <w14:textFill>
            <w14:solidFill>
              <w14:schemeClr w14:val="tx1"/>
            </w14:solidFill>
          </w14:textFill>
        </w:rPr>
        <w:t>采购文件规定推荐成交候选供应商的，成交候选供应商数量应当根据采购需要并在采购活动开始前确定，由谈判小组按照上述规定的评审办法确定各供应商排列顺序，依照顺序推荐成交候选供应商，并出具评审报告，采购人应当在收到评审报告后5个工作日内，从评审报告提出的成交候选人中，根据质量和服务均能满足采购文件实质性响应要求且最后报价最低的原则确定成交供应商。</w:t>
      </w:r>
    </w:p>
    <w:p w14:paraId="341938D2">
      <w:pPr>
        <w:spacing w:line="360" w:lineRule="auto"/>
        <w:ind w:firstLine="482"/>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lang w:val="zh-CN"/>
          <w14:textFill>
            <w14:solidFill>
              <w14:schemeClr w14:val="tx1"/>
            </w14:solidFill>
          </w14:textFill>
        </w:rPr>
        <w:t>8.4按照有关规定成交供应商因不可抗力或者自身原因不能履行政府采购合同的须顺延排序第二的供应商成交的，或者采购人推荐排序第二的供应商成交的，其原响应报价不得超过原成交供应商响应报价与保证金之和，报经监督部门核准后可以确定排序第二的供应商成交。否则应予废标，由采购人依法重新组织采购。</w:t>
      </w:r>
    </w:p>
    <w:p w14:paraId="6586042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lang w:val="en-GB"/>
          <w14:textFill>
            <w14:solidFill>
              <w14:schemeClr w14:val="tx1"/>
            </w14:solidFill>
          </w14:textFill>
        </w:rPr>
        <w:t>8.5谈判结果应通知所有参加谈判的供应商。</w:t>
      </w:r>
    </w:p>
    <w:p w14:paraId="4C0F6D57">
      <w:pPr>
        <w:spacing w:line="360" w:lineRule="auto"/>
        <w:ind w:firstLine="480" w:firstLineChars="200"/>
        <w:rPr>
          <w:rFonts w:hint="eastAsia" w:ascii="宋体" w:hAnsi="宋体" w:eastAsia="宋体" w:cs="宋体"/>
          <w:color w:val="000000" w:themeColor="text1"/>
          <w:sz w:val="24"/>
          <w:szCs w:val="24"/>
          <w:highlight w:val="none"/>
          <w:lang w:val="en-GB"/>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lang w:val="en-GB"/>
          <w14:textFill>
            <w14:solidFill>
              <w14:schemeClr w14:val="tx1"/>
            </w14:solidFill>
          </w14:textFill>
        </w:rPr>
        <w:t>8.6优先成交</w:t>
      </w:r>
    </w:p>
    <w:p w14:paraId="199265A7">
      <w:pPr>
        <w:spacing w:line="360" w:lineRule="auto"/>
        <w:ind w:firstLine="480" w:firstLineChars="200"/>
        <w:rPr>
          <w:rFonts w:hint="eastAsia" w:ascii="宋体" w:hAnsi="宋体" w:eastAsia="宋体" w:cs="宋体"/>
          <w:color w:val="000000" w:themeColor="text1"/>
          <w:sz w:val="24"/>
          <w:szCs w:val="24"/>
          <w:highlight w:val="none"/>
          <w:lang w:val="en-GB"/>
          <w14:textFill>
            <w14:solidFill>
              <w14:schemeClr w14:val="tx1"/>
            </w14:solidFill>
          </w14:textFill>
        </w:rPr>
      </w:pPr>
      <w:r>
        <w:rPr>
          <w:rFonts w:hint="eastAsia" w:ascii="宋体" w:hAnsi="宋体" w:eastAsia="宋体" w:cs="宋体"/>
          <w:color w:val="000000" w:themeColor="text1"/>
          <w:sz w:val="24"/>
          <w:szCs w:val="24"/>
          <w:highlight w:val="none"/>
          <w:lang w:val="en-GB"/>
          <w14:textFill>
            <w14:solidFill>
              <w14:schemeClr w14:val="tx1"/>
            </w14:solidFill>
          </w14:textFill>
        </w:rPr>
        <w:t>有下列情况之一的，谈判小组必须给予优先成交：</w:t>
      </w:r>
    </w:p>
    <w:p w14:paraId="2389D48B">
      <w:pPr>
        <w:spacing w:line="360" w:lineRule="auto"/>
        <w:ind w:firstLine="480" w:firstLineChars="200"/>
        <w:rPr>
          <w:rFonts w:hint="eastAsia" w:ascii="宋体" w:hAnsi="宋体" w:eastAsia="宋体" w:cs="宋体"/>
          <w:color w:val="000000" w:themeColor="text1"/>
          <w:sz w:val="24"/>
          <w:szCs w:val="24"/>
          <w:highlight w:val="none"/>
          <w:lang w:val="en-GB"/>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lang w:val="en-GB"/>
          <w14:textFill>
            <w14:solidFill>
              <w14:schemeClr w14:val="tx1"/>
            </w14:solidFill>
          </w14:textFill>
        </w:rPr>
        <w:t>8.6.1根据财政部、工业和信息化部（财库〔2011〕181号）文件规定，供应商属小型或微型企业并以其自身产品和服务报价，或者提供其他小微企业制造的货物，</w:t>
      </w:r>
      <w:r>
        <w:rPr>
          <w:rFonts w:hint="eastAsia" w:ascii="宋体" w:hAnsi="宋体" w:eastAsia="宋体" w:cs="宋体"/>
          <w:color w:val="000000" w:themeColor="text1"/>
          <w:kern w:val="0"/>
          <w:sz w:val="24"/>
          <w:szCs w:val="24"/>
          <w:highlight w:val="none"/>
          <w14:textFill>
            <w14:solidFill>
              <w14:schemeClr w14:val="tx1"/>
            </w14:solidFill>
          </w14:textFill>
        </w:rPr>
        <w:t>在满足采购需求且质量和服务相等的情况下，其</w:t>
      </w:r>
      <w:r>
        <w:rPr>
          <w:rFonts w:hint="eastAsia" w:ascii="宋体" w:hAnsi="宋体" w:eastAsia="宋体" w:cs="宋体"/>
          <w:color w:val="000000" w:themeColor="text1"/>
          <w:sz w:val="24"/>
          <w:szCs w:val="24"/>
          <w:highlight w:val="none"/>
          <w:lang w:val="en-GB"/>
          <w14:textFill>
            <w14:solidFill>
              <w14:schemeClr w14:val="tx1"/>
            </w14:solidFill>
          </w14:textFill>
        </w:rPr>
        <w:t>最终报价再给予</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lang w:val="en-GB"/>
          <w14:textFill>
            <w14:solidFill>
              <w14:schemeClr w14:val="tx1"/>
            </w14:solidFill>
          </w14:textFill>
        </w:rPr>
        <w:t>%的价格扣除后价格最低或与最低价相同的，须提供《中小企业声明函》并对声明函的真实性负责，否则不予价格扣除。</w:t>
      </w:r>
    </w:p>
    <w:p w14:paraId="0764679D">
      <w:pPr>
        <w:spacing w:line="36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bookmarkStart w:id="190" w:name="_Toc464831158"/>
      <w:r>
        <w:rPr>
          <w:rFonts w:hint="eastAsia" w:ascii="宋体" w:hAnsi="宋体" w:eastAsia="宋体" w:cs="宋体"/>
          <w:color w:val="000000" w:themeColor="text1"/>
          <w:kern w:val="0"/>
          <w:sz w:val="24"/>
          <w:szCs w:val="24"/>
          <w:highlight w:val="none"/>
          <w:lang w:eastAsia="zh-CN"/>
          <w14:textFill>
            <w14:solidFill>
              <w14:schemeClr w14:val="tx1"/>
            </w14:solidFill>
          </w14:textFill>
        </w:rPr>
        <w:t>18.9</w:t>
      </w:r>
      <w:r>
        <w:rPr>
          <w:rFonts w:hint="eastAsia" w:ascii="宋体" w:hAnsi="宋体" w:eastAsia="宋体" w:cs="宋体"/>
          <w:color w:val="000000" w:themeColor="text1"/>
          <w:kern w:val="0"/>
          <w:sz w:val="24"/>
          <w:szCs w:val="24"/>
          <w:highlight w:val="none"/>
          <w14:textFill>
            <w14:solidFill>
              <w14:schemeClr w14:val="tx1"/>
            </w14:solidFill>
          </w14:textFill>
        </w:rPr>
        <w:t>成交结果公告以及成交通知书</w:t>
      </w:r>
      <w:bookmarkEnd w:id="190"/>
    </w:p>
    <w:p w14:paraId="37EBD962">
      <w:pPr>
        <w:spacing w:line="36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18.9.</w:t>
      </w:r>
      <w:r>
        <w:rPr>
          <w:rFonts w:hint="eastAsia" w:ascii="宋体" w:hAnsi="宋体" w:eastAsia="宋体" w:cs="宋体"/>
          <w:color w:val="000000" w:themeColor="text1"/>
          <w:kern w:val="0"/>
          <w:sz w:val="24"/>
          <w:szCs w:val="24"/>
          <w:highlight w:val="none"/>
          <w14:textFill>
            <w14:solidFill>
              <w14:schemeClr w14:val="tx1"/>
            </w14:solidFill>
          </w14:textFill>
        </w:rPr>
        <w:t>1采购人或者采购代理机构应当自成交供应商确定之日起2个工作日内，发出成交通知书，并在</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相关媒介</w:t>
      </w:r>
      <w:r>
        <w:rPr>
          <w:rFonts w:hint="eastAsia" w:ascii="宋体" w:hAnsi="宋体" w:eastAsia="宋体" w:cs="宋体"/>
          <w:color w:val="000000" w:themeColor="text1"/>
          <w:kern w:val="0"/>
          <w:sz w:val="24"/>
          <w:szCs w:val="24"/>
          <w:highlight w:val="none"/>
          <w14:textFill>
            <w14:solidFill>
              <w14:schemeClr w14:val="tx1"/>
            </w14:solidFill>
          </w14:textFill>
        </w:rPr>
        <w:t>公告成交结果（公告期限为1个工作日），采购文件随成交结果同时公告。</w:t>
      </w:r>
    </w:p>
    <w:p w14:paraId="45165142">
      <w:pPr>
        <w:spacing w:line="36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18.9.</w:t>
      </w:r>
      <w:r>
        <w:rPr>
          <w:rFonts w:hint="eastAsia" w:ascii="宋体" w:hAnsi="宋体" w:eastAsia="宋体" w:cs="宋体"/>
          <w:color w:val="000000" w:themeColor="text1"/>
          <w:kern w:val="0"/>
          <w:sz w:val="24"/>
          <w:szCs w:val="24"/>
          <w:highlight w:val="none"/>
          <w14:textFill>
            <w14:solidFill>
              <w14:schemeClr w14:val="tx1"/>
            </w14:solidFill>
          </w14:textFill>
        </w:rPr>
        <w:t>2采购人或采购代理机构不按照规定发布成交结果公告或者发布成交结果公告后不签发成交通知书的，应当承担法律责任，给成交供应商造成经济损失的应承担赔偿责任。</w:t>
      </w:r>
    </w:p>
    <w:p w14:paraId="1C219908">
      <w:pPr>
        <w:spacing w:line="360" w:lineRule="auto"/>
        <w:ind w:firstLine="480" w:firstLineChars="200"/>
        <w:rPr>
          <w:rStyle w:val="22"/>
          <w:rFonts w:hint="eastAsia" w:ascii="宋体" w:hAnsi="宋体" w:eastAsia="宋体" w:cs="宋体"/>
          <w:color w:val="000000" w:themeColor="text1"/>
          <w:sz w:val="24"/>
          <w:szCs w:val="24"/>
          <w:highlight w:val="none"/>
          <w14:textFill>
            <w14:solidFill>
              <w14:schemeClr w14:val="tx1"/>
            </w14:solidFill>
          </w14:textFill>
        </w:rPr>
      </w:pPr>
      <w:r>
        <w:rPr>
          <w:rStyle w:val="22"/>
          <w:rFonts w:hint="eastAsia" w:ascii="宋体" w:hAnsi="宋体" w:eastAsia="宋体" w:cs="宋体"/>
          <w:color w:val="000000" w:themeColor="text1"/>
          <w:sz w:val="24"/>
          <w:szCs w:val="24"/>
          <w:highlight w:val="none"/>
          <w:lang w:eastAsia="zh-CN"/>
          <w14:textFill>
            <w14:solidFill>
              <w14:schemeClr w14:val="tx1"/>
            </w14:solidFill>
          </w14:textFill>
        </w:rPr>
        <w:t>18.9.</w:t>
      </w:r>
      <w:r>
        <w:rPr>
          <w:rStyle w:val="22"/>
          <w:rFonts w:hint="eastAsia" w:ascii="宋体" w:hAnsi="宋体" w:eastAsia="宋体" w:cs="宋体"/>
          <w:color w:val="000000" w:themeColor="text1"/>
          <w:sz w:val="24"/>
          <w:szCs w:val="24"/>
          <w:highlight w:val="none"/>
          <w14:textFill>
            <w14:solidFill>
              <w14:schemeClr w14:val="tx1"/>
            </w14:solidFill>
          </w14:textFill>
        </w:rPr>
        <w:t>3成交通知书对采购人和成交供应商都具有法律效力。成交通知书发出后，采购人改变成交结果的，或者成交供应商放弃成交，应当依法承担法律责任。</w:t>
      </w:r>
    </w:p>
    <w:p w14:paraId="6ADC2946">
      <w:pPr>
        <w:spacing w:line="360" w:lineRule="auto"/>
        <w:ind w:firstLine="480" w:firstLineChars="200"/>
        <w:rPr>
          <w:rStyle w:val="22"/>
          <w:rFonts w:hint="eastAsia" w:ascii="宋体" w:hAnsi="宋体" w:eastAsia="宋体" w:cs="宋体"/>
          <w:color w:val="000000" w:themeColor="text1"/>
          <w:sz w:val="24"/>
          <w:szCs w:val="24"/>
          <w:highlight w:val="none"/>
          <w14:textFill>
            <w14:solidFill>
              <w14:schemeClr w14:val="tx1"/>
            </w14:solidFill>
          </w14:textFill>
        </w:rPr>
      </w:pPr>
      <w:bookmarkStart w:id="191" w:name="_Toc464831159"/>
      <w:r>
        <w:rPr>
          <w:rStyle w:val="22"/>
          <w:rFonts w:hint="eastAsia" w:ascii="宋体" w:hAnsi="宋体" w:eastAsia="宋体" w:cs="宋体"/>
          <w:color w:val="000000" w:themeColor="text1"/>
          <w:sz w:val="24"/>
          <w:szCs w:val="24"/>
          <w:highlight w:val="none"/>
          <w:lang w:eastAsia="zh-CN"/>
          <w14:textFill>
            <w14:solidFill>
              <w14:schemeClr w14:val="tx1"/>
            </w14:solidFill>
          </w14:textFill>
        </w:rPr>
        <w:t>18.10</w:t>
      </w:r>
      <w:r>
        <w:rPr>
          <w:rStyle w:val="22"/>
          <w:rFonts w:hint="eastAsia" w:ascii="宋体" w:hAnsi="宋体" w:eastAsia="宋体" w:cs="宋体"/>
          <w:color w:val="000000" w:themeColor="text1"/>
          <w:sz w:val="24"/>
          <w:szCs w:val="24"/>
          <w:highlight w:val="none"/>
          <w14:textFill>
            <w14:solidFill>
              <w14:schemeClr w14:val="tx1"/>
            </w14:solidFill>
          </w14:textFill>
        </w:rPr>
        <w:t>响应无效</w:t>
      </w:r>
      <w:bookmarkEnd w:id="191"/>
    </w:p>
    <w:p w14:paraId="609E3AE8">
      <w:pPr>
        <w:spacing w:line="360" w:lineRule="auto"/>
        <w:ind w:firstLine="480" w:firstLineChars="200"/>
        <w:rPr>
          <w:rStyle w:val="22"/>
          <w:rFonts w:hint="eastAsia" w:ascii="宋体" w:hAnsi="宋体" w:eastAsia="宋体" w:cs="宋体"/>
          <w:color w:val="000000" w:themeColor="text1"/>
          <w:sz w:val="24"/>
          <w:szCs w:val="24"/>
          <w:highlight w:val="none"/>
          <w14:textFill>
            <w14:solidFill>
              <w14:schemeClr w14:val="tx1"/>
            </w14:solidFill>
          </w14:textFill>
        </w:rPr>
      </w:pPr>
      <w:r>
        <w:rPr>
          <w:rStyle w:val="22"/>
          <w:rFonts w:hint="eastAsia" w:ascii="宋体" w:hAnsi="宋体" w:eastAsia="宋体" w:cs="宋体"/>
          <w:color w:val="000000" w:themeColor="text1"/>
          <w:sz w:val="24"/>
          <w:szCs w:val="24"/>
          <w:highlight w:val="none"/>
          <w14:textFill>
            <w14:solidFill>
              <w14:schemeClr w14:val="tx1"/>
            </w14:solidFill>
          </w14:textFill>
        </w:rPr>
        <w:t>出现下列情形之一的，响应无效：</w:t>
      </w:r>
    </w:p>
    <w:p w14:paraId="77D7651D">
      <w:pPr>
        <w:spacing w:line="360" w:lineRule="auto"/>
        <w:ind w:firstLine="480" w:firstLineChars="200"/>
        <w:rPr>
          <w:rStyle w:val="22"/>
          <w:rFonts w:hint="eastAsia" w:ascii="宋体" w:hAnsi="宋体" w:eastAsia="宋体" w:cs="宋体"/>
          <w:color w:val="000000" w:themeColor="text1"/>
          <w:sz w:val="24"/>
          <w:szCs w:val="24"/>
          <w:highlight w:val="none"/>
          <w14:textFill>
            <w14:solidFill>
              <w14:schemeClr w14:val="tx1"/>
            </w14:solidFill>
          </w14:textFill>
        </w:rPr>
      </w:pPr>
      <w:r>
        <w:rPr>
          <w:rStyle w:val="22"/>
          <w:rFonts w:hint="eastAsia" w:ascii="宋体" w:hAnsi="宋体" w:eastAsia="宋体" w:cs="宋体"/>
          <w:color w:val="000000" w:themeColor="text1"/>
          <w:sz w:val="24"/>
          <w:szCs w:val="24"/>
          <w:highlight w:val="none"/>
          <w:lang w:eastAsia="zh-CN"/>
          <w14:textFill>
            <w14:solidFill>
              <w14:schemeClr w14:val="tx1"/>
            </w14:solidFill>
          </w14:textFill>
        </w:rPr>
        <w:t>18.10.</w:t>
      </w:r>
      <w:r>
        <w:rPr>
          <w:rStyle w:val="22"/>
          <w:rFonts w:hint="eastAsia" w:ascii="宋体" w:hAnsi="宋体" w:eastAsia="宋体" w:cs="宋体"/>
          <w:color w:val="000000" w:themeColor="text1"/>
          <w:sz w:val="24"/>
          <w:szCs w:val="24"/>
          <w:highlight w:val="none"/>
          <w14:textFill>
            <w14:solidFill>
              <w14:schemeClr w14:val="tx1"/>
            </w14:solidFill>
          </w14:textFill>
        </w:rPr>
        <w:t>1响应报价高于采购</w:t>
      </w:r>
      <w:r>
        <w:rPr>
          <w:rStyle w:val="22"/>
          <w:rFonts w:hint="eastAsia" w:ascii="宋体" w:hAnsi="宋体" w:eastAsia="宋体" w:cs="宋体"/>
          <w:color w:val="000000" w:themeColor="text1"/>
          <w:sz w:val="24"/>
          <w:szCs w:val="24"/>
          <w:highlight w:val="none"/>
          <w:lang w:eastAsia="zh-CN"/>
          <w14:textFill>
            <w14:solidFill>
              <w14:schemeClr w14:val="tx1"/>
            </w14:solidFill>
          </w14:textFill>
        </w:rPr>
        <w:t>最高限价</w:t>
      </w:r>
      <w:r>
        <w:rPr>
          <w:rStyle w:val="22"/>
          <w:rFonts w:hint="eastAsia" w:ascii="宋体" w:hAnsi="宋体" w:eastAsia="宋体" w:cs="宋体"/>
          <w:color w:val="000000" w:themeColor="text1"/>
          <w:sz w:val="24"/>
          <w:szCs w:val="24"/>
          <w:highlight w:val="none"/>
          <w14:textFill>
            <w14:solidFill>
              <w14:schemeClr w14:val="tx1"/>
            </w14:solidFill>
          </w14:textFill>
        </w:rPr>
        <w:t>的；</w:t>
      </w:r>
    </w:p>
    <w:p w14:paraId="1B41A564">
      <w:pPr>
        <w:spacing w:line="360" w:lineRule="auto"/>
        <w:ind w:firstLine="480" w:firstLineChars="200"/>
        <w:rPr>
          <w:rStyle w:val="22"/>
          <w:rFonts w:hint="eastAsia" w:ascii="宋体" w:hAnsi="宋体" w:eastAsia="宋体" w:cs="宋体"/>
          <w:color w:val="000000" w:themeColor="text1"/>
          <w:sz w:val="24"/>
          <w:szCs w:val="24"/>
          <w:highlight w:val="none"/>
          <w14:textFill>
            <w14:solidFill>
              <w14:schemeClr w14:val="tx1"/>
            </w14:solidFill>
          </w14:textFill>
        </w:rPr>
      </w:pPr>
      <w:r>
        <w:rPr>
          <w:rStyle w:val="22"/>
          <w:rFonts w:hint="eastAsia" w:ascii="宋体" w:hAnsi="宋体" w:eastAsia="宋体" w:cs="宋体"/>
          <w:color w:val="000000" w:themeColor="text1"/>
          <w:sz w:val="24"/>
          <w:szCs w:val="24"/>
          <w:highlight w:val="none"/>
          <w:lang w:eastAsia="zh-CN"/>
          <w14:textFill>
            <w14:solidFill>
              <w14:schemeClr w14:val="tx1"/>
            </w14:solidFill>
          </w14:textFill>
        </w:rPr>
        <w:t>18.10.</w:t>
      </w:r>
      <w:r>
        <w:rPr>
          <w:rStyle w:val="22"/>
          <w:rFonts w:hint="eastAsia" w:ascii="宋体" w:hAnsi="宋体" w:eastAsia="宋体" w:cs="宋体"/>
          <w:color w:val="000000" w:themeColor="text1"/>
          <w:sz w:val="24"/>
          <w:szCs w:val="24"/>
          <w:highlight w:val="none"/>
          <w14:textFill>
            <w14:solidFill>
              <w14:schemeClr w14:val="tx1"/>
            </w14:solidFill>
          </w14:textFill>
        </w:rPr>
        <w:t>2对“★”条款未做出实质性响应或者发生负偏离的；</w:t>
      </w:r>
    </w:p>
    <w:p w14:paraId="28269AC8">
      <w:pPr>
        <w:spacing w:line="360" w:lineRule="auto"/>
        <w:ind w:firstLine="480" w:firstLineChars="200"/>
        <w:rPr>
          <w:rStyle w:val="22"/>
          <w:rFonts w:hint="eastAsia" w:ascii="宋体" w:hAnsi="宋体" w:eastAsia="宋体" w:cs="宋体"/>
          <w:color w:val="000000" w:themeColor="text1"/>
          <w:sz w:val="24"/>
          <w:szCs w:val="24"/>
          <w:highlight w:val="none"/>
          <w14:textFill>
            <w14:solidFill>
              <w14:schemeClr w14:val="tx1"/>
            </w14:solidFill>
          </w14:textFill>
        </w:rPr>
      </w:pPr>
      <w:r>
        <w:rPr>
          <w:rStyle w:val="22"/>
          <w:rFonts w:hint="eastAsia" w:ascii="宋体" w:hAnsi="宋体" w:eastAsia="宋体" w:cs="宋体"/>
          <w:color w:val="000000" w:themeColor="text1"/>
          <w:sz w:val="24"/>
          <w:szCs w:val="24"/>
          <w:highlight w:val="none"/>
          <w:lang w:eastAsia="zh-CN"/>
          <w14:textFill>
            <w14:solidFill>
              <w14:schemeClr w14:val="tx1"/>
            </w14:solidFill>
          </w14:textFill>
        </w:rPr>
        <w:t>18.10.</w:t>
      </w:r>
      <w:r>
        <w:rPr>
          <w:rStyle w:val="22"/>
          <w:rFonts w:hint="eastAsia" w:ascii="宋体" w:hAnsi="宋体" w:eastAsia="宋体" w:cs="宋体"/>
          <w:color w:val="000000" w:themeColor="text1"/>
          <w:sz w:val="24"/>
          <w:szCs w:val="24"/>
          <w:highlight w:val="none"/>
          <w14:textFill>
            <w14:solidFill>
              <w14:schemeClr w14:val="tx1"/>
            </w14:solidFill>
          </w14:textFill>
        </w:rPr>
        <w:t>3应提供而未提供带“▲”标注的政府强制采购节能产品的；</w:t>
      </w:r>
    </w:p>
    <w:p w14:paraId="7CAFDE78">
      <w:pPr>
        <w:spacing w:line="360" w:lineRule="auto"/>
        <w:ind w:firstLine="480" w:firstLineChars="200"/>
        <w:rPr>
          <w:rStyle w:val="22"/>
          <w:rFonts w:hint="eastAsia" w:ascii="宋体" w:hAnsi="宋体" w:eastAsia="宋体" w:cs="宋体"/>
          <w:color w:val="000000" w:themeColor="text1"/>
          <w:sz w:val="24"/>
          <w:szCs w:val="24"/>
          <w:highlight w:val="none"/>
          <w14:textFill>
            <w14:solidFill>
              <w14:schemeClr w14:val="tx1"/>
            </w14:solidFill>
          </w14:textFill>
        </w:rPr>
      </w:pPr>
      <w:r>
        <w:rPr>
          <w:rStyle w:val="22"/>
          <w:rFonts w:hint="eastAsia" w:ascii="宋体" w:hAnsi="宋体" w:eastAsia="宋体" w:cs="宋体"/>
          <w:color w:val="000000" w:themeColor="text1"/>
          <w:sz w:val="24"/>
          <w:szCs w:val="24"/>
          <w:highlight w:val="none"/>
          <w:lang w:eastAsia="zh-CN"/>
          <w14:textFill>
            <w14:solidFill>
              <w14:schemeClr w14:val="tx1"/>
            </w14:solidFill>
          </w14:textFill>
        </w:rPr>
        <w:t>18.10.</w:t>
      </w:r>
      <w:r>
        <w:rPr>
          <w:rStyle w:val="22"/>
          <w:rFonts w:hint="eastAsia" w:ascii="宋体" w:hAnsi="宋体" w:eastAsia="宋体" w:cs="宋体"/>
          <w:color w:val="000000" w:themeColor="text1"/>
          <w:sz w:val="24"/>
          <w:szCs w:val="24"/>
          <w:highlight w:val="none"/>
          <w14:textFill>
            <w14:solidFill>
              <w14:schemeClr w14:val="tx1"/>
            </w14:solidFill>
          </w14:textFill>
        </w:rPr>
        <w:t>4对允许偏离的非实质性条款，偏离采购文件规定的偏离范围和幅度的；</w:t>
      </w:r>
    </w:p>
    <w:p w14:paraId="00A42A38">
      <w:pPr>
        <w:spacing w:line="360" w:lineRule="auto"/>
        <w:ind w:firstLine="480" w:firstLineChars="200"/>
        <w:rPr>
          <w:rStyle w:val="22"/>
          <w:rFonts w:hint="eastAsia" w:ascii="宋体" w:hAnsi="宋体" w:eastAsia="宋体" w:cs="宋体"/>
          <w:color w:val="000000" w:themeColor="text1"/>
          <w:sz w:val="24"/>
          <w:szCs w:val="24"/>
          <w:highlight w:val="none"/>
          <w14:textFill>
            <w14:solidFill>
              <w14:schemeClr w14:val="tx1"/>
            </w14:solidFill>
          </w14:textFill>
        </w:rPr>
      </w:pPr>
      <w:r>
        <w:rPr>
          <w:rStyle w:val="22"/>
          <w:rFonts w:hint="eastAsia" w:ascii="宋体" w:hAnsi="宋体" w:eastAsia="宋体" w:cs="宋体"/>
          <w:color w:val="000000" w:themeColor="text1"/>
          <w:sz w:val="24"/>
          <w:szCs w:val="24"/>
          <w:highlight w:val="none"/>
          <w:lang w:eastAsia="zh-CN"/>
          <w14:textFill>
            <w14:solidFill>
              <w14:schemeClr w14:val="tx1"/>
            </w14:solidFill>
          </w14:textFill>
        </w:rPr>
        <w:t>18.10.</w:t>
      </w:r>
      <w:r>
        <w:rPr>
          <w:rStyle w:val="22"/>
          <w:rFonts w:hint="eastAsia" w:ascii="宋体" w:hAnsi="宋体" w:eastAsia="宋体" w:cs="宋体"/>
          <w:color w:val="000000" w:themeColor="text1"/>
          <w:sz w:val="24"/>
          <w:szCs w:val="24"/>
          <w:highlight w:val="none"/>
          <w14:textFill>
            <w14:solidFill>
              <w14:schemeClr w14:val="tx1"/>
            </w14:solidFill>
          </w14:textFill>
        </w:rPr>
        <w:t>5不按照采购文件规定报价、没有分项报价、拒绝报价、有多个报价（采购文件另有规定的除外）、有选择性报价、附有条件的报价或者拒绝修正报价的；</w:t>
      </w:r>
    </w:p>
    <w:p w14:paraId="4883AA94">
      <w:pPr>
        <w:spacing w:line="360" w:lineRule="auto"/>
        <w:ind w:firstLine="480" w:firstLineChars="200"/>
        <w:rPr>
          <w:rStyle w:val="22"/>
          <w:rFonts w:hint="eastAsia" w:ascii="宋体" w:hAnsi="宋体" w:eastAsia="宋体" w:cs="宋体"/>
          <w:color w:val="000000" w:themeColor="text1"/>
          <w:sz w:val="24"/>
          <w:szCs w:val="24"/>
          <w:highlight w:val="none"/>
          <w14:textFill>
            <w14:solidFill>
              <w14:schemeClr w14:val="tx1"/>
            </w14:solidFill>
          </w14:textFill>
        </w:rPr>
      </w:pPr>
      <w:r>
        <w:rPr>
          <w:rStyle w:val="22"/>
          <w:rFonts w:hint="eastAsia" w:ascii="宋体" w:hAnsi="宋体" w:eastAsia="宋体" w:cs="宋体"/>
          <w:color w:val="000000" w:themeColor="text1"/>
          <w:sz w:val="24"/>
          <w:szCs w:val="24"/>
          <w:highlight w:val="none"/>
          <w:lang w:eastAsia="zh-CN"/>
          <w14:textFill>
            <w14:solidFill>
              <w14:schemeClr w14:val="tx1"/>
            </w14:solidFill>
          </w14:textFill>
        </w:rPr>
        <w:t>18.10.</w:t>
      </w:r>
      <w:r>
        <w:rPr>
          <w:rStyle w:val="22"/>
          <w:rFonts w:hint="eastAsia" w:ascii="宋体" w:hAnsi="宋体" w:eastAsia="宋体" w:cs="宋体"/>
          <w:color w:val="000000" w:themeColor="text1"/>
          <w:sz w:val="24"/>
          <w:szCs w:val="24"/>
          <w:highlight w:val="none"/>
          <w14:textFill>
            <w14:solidFill>
              <w14:schemeClr w14:val="tx1"/>
            </w14:solidFill>
          </w14:textFill>
        </w:rPr>
        <w:t>6响应文件正副本未区分或者内容严重不一致的；</w:t>
      </w:r>
    </w:p>
    <w:p w14:paraId="5E435C19">
      <w:pPr>
        <w:spacing w:line="360" w:lineRule="auto"/>
        <w:ind w:firstLine="480" w:firstLineChars="200"/>
        <w:rPr>
          <w:rStyle w:val="22"/>
          <w:rFonts w:hint="eastAsia" w:ascii="宋体" w:hAnsi="宋体" w:eastAsia="宋体" w:cs="宋体"/>
          <w:color w:val="000000" w:themeColor="text1"/>
          <w:sz w:val="24"/>
          <w:szCs w:val="24"/>
          <w:highlight w:val="none"/>
          <w14:textFill>
            <w14:solidFill>
              <w14:schemeClr w14:val="tx1"/>
            </w14:solidFill>
          </w14:textFill>
        </w:rPr>
      </w:pPr>
      <w:r>
        <w:rPr>
          <w:rStyle w:val="22"/>
          <w:rFonts w:hint="eastAsia" w:ascii="宋体" w:hAnsi="宋体" w:eastAsia="宋体" w:cs="宋体"/>
          <w:color w:val="000000" w:themeColor="text1"/>
          <w:sz w:val="24"/>
          <w:szCs w:val="24"/>
          <w:highlight w:val="none"/>
          <w:lang w:eastAsia="zh-CN"/>
          <w14:textFill>
            <w14:solidFill>
              <w14:schemeClr w14:val="tx1"/>
            </w14:solidFill>
          </w14:textFill>
        </w:rPr>
        <w:t>18.10.</w:t>
      </w:r>
      <w:r>
        <w:rPr>
          <w:rStyle w:val="22"/>
          <w:rFonts w:hint="eastAsia" w:ascii="宋体" w:hAnsi="宋体" w:eastAsia="宋体" w:cs="宋体"/>
          <w:color w:val="000000" w:themeColor="text1"/>
          <w:sz w:val="24"/>
          <w:szCs w:val="24"/>
          <w:highlight w:val="none"/>
          <w14:textFill>
            <w14:solidFill>
              <w14:schemeClr w14:val="tx1"/>
            </w14:solidFill>
          </w14:textFill>
        </w:rPr>
        <w:t>7供应商未按采购文件要求交纳保证金的；</w:t>
      </w:r>
    </w:p>
    <w:p w14:paraId="3D404C90">
      <w:pPr>
        <w:spacing w:line="360" w:lineRule="auto"/>
        <w:ind w:firstLine="480" w:firstLineChars="200"/>
        <w:rPr>
          <w:rStyle w:val="22"/>
          <w:rFonts w:hint="eastAsia" w:ascii="宋体" w:hAnsi="宋体" w:eastAsia="宋体" w:cs="宋体"/>
          <w:color w:val="000000" w:themeColor="text1"/>
          <w:sz w:val="24"/>
          <w:szCs w:val="24"/>
          <w:highlight w:val="none"/>
          <w14:textFill>
            <w14:solidFill>
              <w14:schemeClr w14:val="tx1"/>
            </w14:solidFill>
          </w14:textFill>
        </w:rPr>
      </w:pPr>
      <w:r>
        <w:rPr>
          <w:rStyle w:val="22"/>
          <w:rFonts w:hint="eastAsia" w:ascii="宋体" w:hAnsi="宋体" w:eastAsia="宋体" w:cs="宋体"/>
          <w:color w:val="000000" w:themeColor="text1"/>
          <w:sz w:val="24"/>
          <w:szCs w:val="24"/>
          <w:highlight w:val="none"/>
          <w:lang w:eastAsia="zh-CN"/>
          <w14:textFill>
            <w14:solidFill>
              <w14:schemeClr w14:val="tx1"/>
            </w14:solidFill>
          </w14:textFill>
        </w:rPr>
        <w:t>18.10.</w:t>
      </w:r>
      <w:r>
        <w:rPr>
          <w:rStyle w:val="22"/>
          <w:rFonts w:hint="eastAsia" w:ascii="宋体" w:hAnsi="宋体" w:eastAsia="宋体" w:cs="宋体"/>
          <w:color w:val="000000" w:themeColor="text1"/>
          <w:sz w:val="24"/>
          <w:szCs w:val="24"/>
          <w:highlight w:val="none"/>
          <w14:textFill>
            <w14:solidFill>
              <w14:schemeClr w14:val="tx1"/>
            </w14:solidFill>
          </w14:textFill>
        </w:rPr>
        <w:t>8报价有效期不满足采购文件要求的；</w:t>
      </w:r>
    </w:p>
    <w:p w14:paraId="32D74432">
      <w:pPr>
        <w:spacing w:line="360" w:lineRule="auto"/>
        <w:ind w:firstLine="480" w:firstLineChars="200"/>
        <w:rPr>
          <w:rStyle w:val="22"/>
          <w:rFonts w:hint="eastAsia" w:ascii="宋体" w:hAnsi="宋体" w:eastAsia="宋体" w:cs="宋体"/>
          <w:color w:val="000000" w:themeColor="text1"/>
          <w:sz w:val="24"/>
          <w:szCs w:val="24"/>
          <w:highlight w:val="none"/>
          <w14:textFill>
            <w14:solidFill>
              <w14:schemeClr w14:val="tx1"/>
            </w14:solidFill>
          </w14:textFill>
        </w:rPr>
      </w:pPr>
      <w:r>
        <w:rPr>
          <w:rStyle w:val="22"/>
          <w:rFonts w:hint="eastAsia" w:ascii="宋体" w:hAnsi="宋体" w:eastAsia="宋体" w:cs="宋体"/>
          <w:color w:val="000000" w:themeColor="text1"/>
          <w:sz w:val="24"/>
          <w:szCs w:val="24"/>
          <w:highlight w:val="none"/>
          <w:lang w:eastAsia="zh-CN"/>
          <w14:textFill>
            <w14:solidFill>
              <w14:schemeClr w14:val="tx1"/>
            </w14:solidFill>
          </w14:textFill>
        </w:rPr>
        <w:t>18.10.</w:t>
      </w:r>
      <w:r>
        <w:rPr>
          <w:rStyle w:val="22"/>
          <w:rFonts w:hint="eastAsia" w:ascii="宋体" w:hAnsi="宋体" w:eastAsia="宋体" w:cs="宋体"/>
          <w:color w:val="000000" w:themeColor="text1"/>
          <w:sz w:val="24"/>
          <w:szCs w:val="24"/>
          <w:highlight w:val="none"/>
          <w14:textFill>
            <w14:solidFill>
              <w14:schemeClr w14:val="tx1"/>
            </w14:solidFill>
          </w14:textFill>
        </w:rPr>
        <w:t>9报价超出营业执照经营范围的；</w:t>
      </w:r>
    </w:p>
    <w:p w14:paraId="0813C4CB">
      <w:pPr>
        <w:spacing w:line="360" w:lineRule="auto"/>
        <w:ind w:firstLine="480" w:firstLineChars="200"/>
        <w:rPr>
          <w:rStyle w:val="22"/>
          <w:rFonts w:hint="eastAsia" w:ascii="宋体" w:hAnsi="宋体" w:eastAsia="宋体" w:cs="宋体"/>
          <w:color w:val="000000" w:themeColor="text1"/>
          <w:sz w:val="24"/>
          <w:szCs w:val="24"/>
          <w:highlight w:val="none"/>
          <w14:textFill>
            <w14:solidFill>
              <w14:schemeClr w14:val="tx1"/>
            </w14:solidFill>
          </w14:textFill>
        </w:rPr>
      </w:pPr>
      <w:r>
        <w:rPr>
          <w:rStyle w:val="22"/>
          <w:rFonts w:hint="eastAsia" w:ascii="宋体" w:hAnsi="宋体" w:eastAsia="宋体" w:cs="宋体"/>
          <w:color w:val="000000" w:themeColor="text1"/>
          <w:sz w:val="24"/>
          <w:szCs w:val="24"/>
          <w:highlight w:val="none"/>
          <w:lang w:eastAsia="zh-CN"/>
          <w14:textFill>
            <w14:solidFill>
              <w14:schemeClr w14:val="tx1"/>
            </w14:solidFill>
          </w14:textFill>
        </w:rPr>
        <w:t>18.10.</w:t>
      </w:r>
      <w:r>
        <w:rPr>
          <w:rStyle w:val="22"/>
          <w:rFonts w:hint="eastAsia" w:ascii="宋体" w:hAnsi="宋体" w:eastAsia="宋体" w:cs="宋体"/>
          <w:color w:val="000000" w:themeColor="text1"/>
          <w:sz w:val="24"/>
          <w:szCs w:val="24"/>
          <w:highlight w:val="none"/>
          <w14:textFill>
            <w14:solidFill>
              <w14:schemeClr w14:val="tx1"/>
            </w14:solidFill>
          </w14:textFill>
        </w:rPr>
        <w:t>10谈判小组2/3及以上成员认定报价方案技术含量低、偏离范围超出允许幅度、不符合采购文件要求的；</w:t>
      </w:r>
    </w:p>
    <w:p w14:paraId="1FE62ECE">
      <w:pPr>
        <w:spacing w:line="360" w:lineRule="auto"/>
        <w:ind w:firstLine="480" w:firstLineChars="200"/>
        <w:rPr>
          <w:rStyle w:val="22"/>
          <w:rFonts w:hint="eastAsia" w:ascii="宋体" w:hAnsi="宋体" w:eastAsia="宋体" w:cs="宋体"/>
          <w:color w:val="000000" w:themeColor="text1"/>
          <w:sz w:val="24"/>
          <w:szCs w:val="24"/>
          <w:highlight w:val="none"/>
          <w14:textFill>
            <w14:solidFill>
              <w14:schemeClr w14:val="tx1"/>
            </w14:solidFill>
          </w14:textFill>
        </w:rPr>
      </w:pPr>
      <w:r>
        <w:rPr>
          <w:rStyle w:val="22"/>
          <w:rFonts w:hint="eastAsia" w:ascii="宋体" w:hAnsi="宋体" w:eastAsia="宋体" w:cs="宋体"/>
          <w:color w:val="000000" w:themeColor="text1"/>
          <w:sz w:val="24"/>
          <w:szCs w:val="24"/>
          <w:highlight w:val="none"/>
          <w:lang w:eastAsia="zh-CN"/>
          <w14:textFill>
            <w14:solidFill>
              <w14:schemeClr w14:val="tx1"/>
            </w14:solidFill>
          </w14:textFill>
        </w:rPr>
        <w:t>18.10.</w:t>
      </w:r>
      <w:r>
        <w:rPr>
          <w:rStyle w:val="22"/>
          <w:rFonts w:hint="eastAsia" w:ascii="宋体" w:hAnsi="宋体" w:eastAsia="宋体" w:cs="宋体"/>
          <w:color w:val="000000" w:themeColor="text1"/>
          <w:sz w:val="24"/>
          <w:szCs w:val="24"/>
          <w:highlight w:val="none"/>
          <w14:textFill>
            <w14:solidFill>
              <w14:schemeClr w14:val="tx1"/>
            </w14:solidFill>
          </w14:textFill>
        </w:rPr>
        <w:t>11谈判小组判定供应商涂改证明材料或者提供虚假材料和承诺的；</w:t>
      </w:r>
    </w:p>
    <w:p w14:paraId="48E42CCE">
      <w:pPr>
        <w:spacing w:line="360" w:lineRule="auto"/>
        <w:ind w:firstLine="480" w:firstLineChars="200"/>
        <w:rPr>
          <w:rStyle w:val="22"/>
          <w:rFonts w:hint="eastAsia" w:ascii="宋体" w:hAnsi="宋体" w:eastAsia="宋体" w:cs="宋体"/>
          <w:color w:val="000000" w:themeColor="text1"/>
          <w:sz w:val="24"/>
          <w:szCs w:val="24"/>
          <w:highlight w:val="none"/>
          <w14:textFill>
            <w14:solidFill>
              <w14:schemeClr w14:val="tx1"/>
            </w14:solidFill>
          </w14:textFill>
        </w:rPr>
      </w:pPr>
      <w:r>
        <w:rPr>
          <w:rStyle w:val="22"/>
          <w:rFonts w:hint="eastAsia" w:ascii="宋体" w:hAnsi="宋体" w:eastAsia="宋体" w:cs="宋体"/>
          <w:color w:val="000000" w:themeColor="text1"/>
          <w:sz w:val="24"/>
          <w:szCs w:val="24"/>
          <w:highlight w:val="none"/>
          <w:lang w:eastAsia="zh-CN"/>
          <w14:textFill>
            <w14:solidFill>
              <w14:schemeClr w14:val="tx1"/>
            </w14:solidFill>
          </w14:textFill>
        </w:rPr>
        <w:t>18.10.</w:t>
      </w:r>
      <w:r>
        <w:rPr>
          <w:rStyle w:val="22"/>
          <w:rFonts w:hint="eastAsia" w:ascii="宋体" w:hAnsi="宋体" w:eastAsia="宋体" w:cs="宋体"/>
          <w:color w:val="000000" w:themeColor="text1"/>
          <w:sz w:val="24"/>
          <w:szCs w:val="24"/>
          <w:highlight w:val="none"/>
          <w14:textFill>
            <w14:solidFill>
              <w14:schemeClr w14:val="tx1"/>
            </w14:solidFill>
          </w14:textFill>
        </w:rPr>
        <w:t>12未按采购文件规定编制、签署、盖章、装订和密封响应文件的；</w:t>
      </w:r>
    </w:p>
    <w:p w14:paraId="1DB54BB0">
      <w:pPr>
        <w:spacing w:line="360" w:lineRule="auto"/>
        <w:ind w:firstLine="480" w:firstLineChars="200"/>
        <w:rPr>
          <w:rStyle w:val="22"/>
          <w:rFonts w:hint="eastAsia" w:ascii="宋体" w:hAnsi="宋体" w:eastAsia="宋体" w:cs="宋体"/>
          <w:color w:val="000000" w:themeColor="text1"/>
          <w:sz w:val="24"/>
          <w:szCs w:val="24"/>
          <w:highlight w:val="none"/>
          <w14:textFill>
            <w14:solidFill>
              <w14:schemeClr w14:val="tx1"/>
            </w14:solidFill>
          </w14:textFill>
        </w:rPr>
      </w:pPr>
      <w:r>
        <w:rPr>
          <w:rStyle w:val="22"/>
          <w:rFonts w:hint="eastAsia" w:ascii="宋体" w:hAnsi="宋体" w:eastAsia="宋体" w:cs="宋体"/>
          <w:color w:val="000000" w:themeColor="text1"/>
          <w:sz w:val="24"/>
          <w:szCs w:val="24"/>
          <w:highlight w:val="none"/>
          <w:lang w:eastAsia="zh-CN"/>
          <w14:textFill>
            <w14:solidFill>
              <w14:schemeClr w14:val="tx1"/>
            </w14:solidFill>
          </w14:textFill>
        </w:rPr>
        <w:t>18.10.</w:t>
      </w:r>
      <w:r>
        <w:rPr>
          <w:rStyle w:val="22"/>
          <w:rFonts w:hint="eastAsia" w:ascii="宋体" w:hAnsi="宋体" w:eastAsia="宋体" w:cs="宋体"/>
          <w:color w:val="000000" w:themeColor="text1"/>
          <w:sz w:val="24"/>
          <w:szCs w:val="24"/>
          <w:highlight w:val="none"/>
          <w14:textFill>
            <w14:solidFill>
              <w14:schemeClr w14:val="tx1"/>
            </w14:solidFill>
          </w14:textFill>
        </w:rPr>
        <w:t>13代理商未按采购文件要求提供产品制造商针对本项目的唯一授权的；</w:t>
      </w:r>
    </w:p>
    <w:p w14:paraId="4D875DCD">
      <w:pPr>
        <w:spacing w:line="360" w:lineRule="auto"/>
        <w:ind w:firstLine="480" w:firstLineChars="200"/>
        <w:rPr>
          <w:rStyle w:val="22"/>
          <w:rFonts w:hint="eastAsia" w:ascii="宋体" w:hAnsi="宋体" w:eastAsia="宋体" w:cs="宋体"/>
          <w:color w:val="000000" w:themeColor="text1"/>
          <w:sz w:val="24"/>
          <w:szCs w:val="24"/>
          <w:highlight w:val="none"/>
          <w14:textFill>
            <w14:solidFill>
              <w14:schemeClr w14:val="tx1"/>
            </w14:solidFill>
          </w14:textFill>
        </w:rPr>
      </w:pPr>
      <w:r>
        <w:rPr>
          <w:rStyle w:val="22"/>
          <w:rFonts w:hint="eastAsia" w:ascii="宋体" w:hAnsi="宋体" w:eastAsia="宋体" w:cs="宋体"/>
          <w:color w:val="000000" w:themeColor="text1"/>
          <w:sz w:val="24"/>
          <w:szCs w:val="24"/>
          <w:highlight w:val="none"/>
          <w:lang w:eastAsia="zh-CN"/>
          <w14:textFill>
            <w14:solidFill>
              <w14:schemeClr w14:val="tx1"/>
            </w14:solidFill>
          </w14:textFill>
        </w:rPr>
        <w:t>18.10.</w:t>
      </w:r>
      <w:r>
        <w:rPr>
          <w:rStyle w:val="22"/>
          <w:rFonts w:hint="eastAsia" w:ascii="宋体" w:hAnsi="宋体" w:eastAsia="宋体" w:cs="宋体"/>
          <w:color w:val="000000" w:themeColor="text1"/>
          <w:sz w:val="24"/>
          <w:szCs w:val="24"/>
          <w:highlight w:val="none"/>
          <w14:textFill>
            <w14:solidFill>
              <w14:schemeClr w14:val="tx1"/>
            </w14:solidFill>
          </w14:textFill>
        </w:rPr>
        <w:t>14采购文件第三章第1条规定供应商应当提交的资格、资信等证明文件未提供、提供不齐全或者复印件未装订于响应文件中的；</w:t>
      </w:r>
    </w:p>
    <w:p w14:paraId="716A7256">
      <w:pPr>
        <w:spacing w:line="360" w:lineRule="auto"/>
        <w:ind w:firstLine="480" w:firstLineChars="200"/>
        <w:rPr>
          <w:rStyle w:val="22"/>
          <w:rFonts w:hint="eastAsia" w:ascii="宋体" w:hAnsi="宋体" w:eastAsia="宋体" w:cs="宋体"/>
          <w:color w:val="000000" w:themeColor="text1"/>
          <w:sz w:val="24"/>
          <w:szCs w:val="24"/>
          <w:highlight w:val="none"/>
          <w14:textFill>
            <w14:solidFill>
              <w14:schemeClr w14:val="tx1"/>
            </w14:solidFill>
          </w14:textFill>
        </w:rPr>
      </w:pPr>
      <w:r>
        <w:rPr>
          <w:rStyle w:val="22"/>
          <w:rFonts w:hint="eastAsia" w:ascii="宋体" w:hAnsi="宋体" w:eastAsia="宋体" w:cs="宋体"/>
          <w:color w:val="000000" w:themeColor="text1"/>
          <w:sz w:val="24"/>
          <w:szCs w:val="24"/>
          <w:highlight w:val="none"/>
          <w:lang w:eastAsia="zh-CN"/>
          <w14:textFill>
            <w14:solidFill>
              <w14:schemeClr w14:val="tx1"/>
            </w14:solidFill>
          </w14:textFill>
        </w:rPr>
        <w:t>18.10.</w:t>
      </w:r>
      <w:r>
        <w:rPr>
          <w:rStyle w:val="22"/>
          <w:rFonts w:hint="eastAsia" w:ascii="宋体" w:hAnsi="宋体" w:eastAsia="宋体" w:cs="宋体"/>
          <w:color w:val="000000" w:themeColor="text1"/>
          <w:sz w:val="24"/>
          <w:szCs w:val="24"/>
          <w:highlight w:val="none"/>
          <w14:textFill>
            <w14:solidFill>
              <w14:schemeClr w14:val="tx1"/>
            </w14:solidFill>
          </w14:textFill>
        </w:rPr>
        <w:t>15资格、资信等证明文件可以为复印件的，复印件未加盖单位公章的；</w:t>
      </w:r>
    </w:p>
    <w:p w14:paraId="4524541B">
      <w:pPr>
        <w:spacing w:line="360" w:lineRule="auto"/>
        <w:ind w:firstLine="480" w:firstLineChars="200"/>
        <w:rPr>
          <w:rStyle w:val="22"/>
          <w:rFonts w:hint="eastAsia" w:ascii="宋体" w:hAnsi="宋体" w:eastAsia="宋体" w:cs="宋体"/>
          <w:color w:val="000000" w:themeColor="text1"/>
          <w:sz w:val="24"/>
          <w:szCs w:val="24"/>
          <w:highlight w:val="none"/>
          <w14:textFill>
            <w14:solidFill>
              <w14:schemeClr w14:val="tx1"/>
            </w14:solidFill>
          </w14:textFill>
        </w:rPr>
      </w:pPr>
      <w:r>
        <w:rPr>
          <w:rStyle w:val="22"/>
          <w:rFonts w:hint="eastAsia" w:ascii="宋体" w:hAnsi="宋体" w:eastAsia="宋体" w:cs="宋体"/>
          <w:color w:val="000000" w:themeColor="text1"/>
          <w:sz w:val="24"/>
          <w:szCs w:val="24"/>
          <w:highlight w:val="none"/>
          <w:lang w:eastAsia="zh-CN"/>
          <w14:textFill>
            <w14:solidFill>
              <w14:schemeClr w14:val="tx1"/>
            </w14:solidFill>
          </w14:textFill>
        </w:rPr>
        <w:t>18.10.</w:t>
      </w:r>
      <w:r>
        <w:rPr>
          <w:rStyle w:val="22"/>
          <w:rFonts w:hint="eastAsia" w:ascii="宋体" w:hAnsi="宋体" w:eastAsia="宋体" w:cs="宋体"/>
          <w:color w:val="000000" w:themeColor="text1"/>
          <w:sz w:val="24"/>
          <w:szCs w:val="24"/>
          <w:highlight w:val="none"/>
          <w14:textFill>
            <w14:solidFill>
              <w14:schemeClr w14:val="tx1"/>
            </w14:solidFill>
          </w14:textFill>
        </w:rPr>
        <w:t>16不符合法律、法规和采购文件中规定的其他要求的。</w:t>
      </w:r>
    </w:p>
    <w:p w14:paraId="0F4F4373">
      <w:pPr>
        <w:spacing w:line="360" w:lineRule="auto"/>
        <w:ind w:firstLine="480" w:firstLineChars="200"/>
        <w:rPr>
          <w:rStyle w:val="22"/>
          <w:rFonts w:hint="eastAsia" w:ascii="宋体" w:hAnsi="宋体" w:eastAsia="宋体" w:cs="宋体"/>
          <w:color w:val="000000" w:themeColor="text1"/>
          <w:sz w:val="24"/>
          <w:szCs w:val="24"/>
          <w:highlight w:val="none"/>
          <w14:textFill>
            <w14:solidFill>
              <w14:schemeClr w14:val="tx1"/>
            </w14:solidFill>
          </w14:textFill>
        </w:rPr>
      </w:pPr>
      <w:r>
        <w:rPr>
          <w:rStyle w:val="22"/>
          <w:rFonts w:hint="eastAsia" w:ascii="宋体" w:hAnsi="宋体" w:eastAsia="宋体" w:cs="宋体"/>
          <w:color w:val="000000" w:themeColor="text1"/>
          <w:sz w:val="24"/>
          <w:szCs w:val="24"/>
          <w:highlight w:val="none"/>
          <w14:textFill>
            <w14:solidFill>
              <w14:schemeClr w14:val="tx1"/>
            </w14:solidFill>
          </w14:textFill>
        </w:rPr>
        <w:t>对响应无效的认定，必须经谈判小组集体做出决定并出具响应无效的事实依据，由供应商法定代表人或者被授权代表签字确认，拒绝签字的，不影响谈判小组做出的决定。</w:t>
      </w:r>
    </w:p>
    <w:p w14:paraId="6640F683">
      <w:pPr>
        <w:spacing w:line="360" w:lineRule="auto"/>
        <w:ind w:firstLine="480" w:firstLineChars="200"/>
        <w:rPr>
          <w:rStyle w:val="22"/>
          <w:rFonts w:hint="eastAsia" w:ascii="宋体" w:hAnsi="宋体" w:eastAsia="宋体" w:cs="宋体"/>
          <w:color w:val="000000" w:themeColor="text1"/>
          <w:sz w:val="24"/>
          <w:szCs w:val="24"/>
          <w:highlight w:val="none"/>
          <w14:textFill>
            <w14:solidFill>
              <w14:schemeClr w14:val="tx1"/>
            </w14:solidFill>
          </w14:textFill>
        </w:rPr>
      </w:pPr>
      <w:bookmarkStart w:id="192" w:name="_Toc464831160"/>
      <w:r>
        <w:rPr>
          <w:rStyle w:val="22"/>
          <w:rFonts w:hint="eastAsia" w:ascii="宋体" w:hAnsi="宋体" w:eastAsia="宋体" w:cs="宋体"/>
          <w:color w:val="000000" w:themeColor="text1"/>
          <w:sz w:val="24"/>
          <w:szCs w:val="24"/>
          <w:highlight w:val="none"/>
          <w:lang w:eastAsia="zh-CN"/>
          <w14:textFill>
            <w14:solidFill>
              <w14:schemeClr w14:val="tx1"/>
            </w14:solidFill>
          </w14:textFill>
        </w:rPr>
        <w:t>18.11</w:t>
      </w:r>
      <w:r>
        <w:rPr>
          <w:rStyle w:val="22"/>
          <w:rFonts w:hint="eastAsia" w:ascii="宋体" w:hAnsi="宋体" w:eastAsia="宋体" w:cs="宋体"/>
          <w:color w:val="000000" w:themeColor="text1"/>
          <w:sz w:val="24"/>
          <w:szCs w:val="24"/>
          <w:highlight w:val="none"/>
          <w14:textFill>
            <w14:solidFill>
              <w14:schemeClr w14:val="tx1"/>
            </w14:solidFill>
          </w14:textFill>
        </w:rPr>
        <w:t>废标</w:t>
      </w:r>
      <w:bookmarkEnd w:id="192"/>
    </w:p>
    <w:p w14:paraId="4F4727E2">
      <w:pPr>
        <w:spacing w:line="360" w:lineRule="auto"/>
        <w:ind w:firstLine="480" w:firstLineChars="200"/>
        <w:rPr>
          <w:rStyle w:val="22"/>
          <w:rFonts w:hint="eastAsia" w:ascii="宋体" w:hAnsi="宋体" w:eastAsia="宋体" w:cs="宋体"/>
          <w:color w:val="000000" w:themeColor="text1"/>
          <w:sz w:val="24"/>
          <w:szCs w:val="24"/>
          <w:highlight w:val="none"/>
          <w14:textFill>
            <w14:solidFill>
              <w14:schemeClr w14:val="tx1"/>
            </w14:solidFill>
          </w14:textFill>
        </w:rPr>
      </w:pPr>
      <w:r>
        <w:rPr>
          <w:rStyle w:val="22"/>
          <w:rFonts w:hint="eastAsia" w:ascii="宋体" w:hAnsi="宋体" w:eastAsia="宋体" w:cs="宋体"/>
          <w:color w:val="000000" w:themeColor="text1"/>
          <w:sz w:val="24"/>
          <w:szCs w:val="24"/>
          <w:highlight w:val="none"/>
          <w:lang w:eastAsia="zh-CN"/>
          <w14:textFill>
            <w14:solidFill>
              <w14:schemeClr w14:val="tx1"/>
            </w14:solidFill>
          </w14:textFill>
        </w:rPr>
        <w:t>18.11.</w:t>
      </w:r>
      <w:r>
        <w:rPr>
          <w:rStyle w:val="22"/>
          <w:rFonts w:hint="eastAsia" w:ascii="宋体" w:hAnsi="宋体" w:eastAsia="宋体" w:cs="宋体"/>
          <w:color w:val="000000" w:themeColor="text1"/>
          <w:sz w:val="24"/>
          <w:szCs w:val="24"/>
          <w:highlight w:val="none"/>
          <w14:textFill>
            <w14:solidFill>
              <w14:schemeClr w14:val="tx1"/>
            </w14:solidFill>
          </w14:textFill>
        </w:rPr>
        <w:t>1出现下列情形之一的，应予废标：</w:t>
      </w:r>
    </w:p>
    <w:p w14:paraId="22934F1A">
      <w:pPr>
        <w:spacing w:line="360" w:lineRule="auto"/>
        <w:ind w:firstLine="480" w:firstLineChars="200"/>
        <w:rPr>
          <w:rStyle w:val="22"/>
          <w:rFonts w:hint="eastAsia" w:ascii="宋体" w:hAnsi="宋体" w:eastAsia="宋体" w:cs="宋体"/>
          <w:color w:val="000000" w:themeColor="text1"/>
          <w:sz w:val="24"/>
          <w:szCs w:val="24"/>
          <w:highlight w:val="none"/>
          <w14:textFill>
            <w14:solidFill>
              <w14:schemeClr w14:val="tx1"/>
            </w14:solidFill>
          </w14:textFill>
        </w:rPr>
      </w:pPr>
      <w:r>
        <w:rPr>
          <w:rStyle w:val="22"/>
          <w:rFonts w:hint="eastAsia" w:ascii="宋体" w:hAnsi="宋体" w:eastAsia="宋体" w:cs="宋体"/>
          <w:color w:val="000000" w:themeColor="text1"/>
          <w:sz w:val="24"/>
          <w:szCs w:val="24"/>
          <w:highlight w:val="none"/>
          <w:lang w:eastAsia="zh-CN"/>
          <w14:textFill>
            <w14:solidFill>
              <w14:schemeClr w14:val="tx1"/>
            </w14:solidFill>
          </w14:textFill>
        </w:rPr>
        <w:t>18.11.</w:t>
      </w:r>
      <w:r>
        <w:rPr>
          <w:rStyle w:val="22"/>
          <w:rFonts w:hint="eastAsia" w:ascii="宋体" w:hAnsi="宋体" w:eastAsia="宋体" w:cs="宋体"/>
          <w:color w:val="000000" w:themeColor="text1"/>
          <w:sz w:val="24"/>
          <w:szCs w:val="24"/>
          <w:highlight w:val="none"/>
          <w14:textFill>
            <w14:solidFill>
              <w14:schemeClr w14:val="tx1"/>
            </w14:solidFill>
          </w14:textFill>
        </w:rPr>
        <w:t>1.1在报价截止时间结束后参加报价的供应商不足3家，符合采购文件规定条件的供应商不足3家或者对采购文件作实质性响应的供应商不足3家的；</w:t>
      </w:r>
    </w:p>
    <w:p w14:paraId="1743AA21">
      <w:pPr>
        <w:spacing w:line="360" w:lineRule="auto"/>
        <w:ind w:firstLine="480" w:firstLineChars="200"/>
        <w:rPr>
          <w:rStyle w:val="22"/>
          <w:rFonts w:hint="eastAsia" w:ascii="宋体" w:hAnsi="宋体" w:eastAsia="宋体" w:cs="宋体"/>
          <w:color w:val="000000" w:themeColor="text1"/>
          <w:sz w:val="24"/>
          <w:szCs w:val="24"/>
          <w:highlight w:val="none"/>
          <w14:textFill>
            <w14:solidFill>
              <w14:schemeClr w14:val="tx1"/>
            </w14:solidFill>
          </w14:textFill>
        </w:rPr>
      </w:pPr>
      <w:r>
        <w:rPr>
          <w:rStyle w:val="22"/>
          <w:rFonts w:hint="eastAsia" w:ascii="宋体" w:hAnsi="宋体" w:eastAsia="宋体" w:cs="宋体"/>
          <w:color w:val="000000" w:themeColor="text1"/>
          <w:sz w:val="24"/>
          <w:szCs w:val="24"/>
          <w:highlight w:val="none"/>
          <w:lang w:eastAsia="zh-CN"/>
          <w14:textFill>
            <w14:solidFill>
              <w14:schemeClr w14:val="tx1"/>
            </w14:solidFill>
          </w14:textFill>
        </w:rPr>
        <w:t>18.11.</w:t>
      </w:r>
      <w:r>
        <w:rPr>
          <w:rStyle w:val="22"/>
          <w:rFonts w:hint="eastAsia" w:ascii="宋体" w:hAnsi="宋体" w:eastAsia="宋体" w:cs="宋体"/>
          <w:color w:val="000000" w:themeColor="text1"/>
          <w:sz w:val="24"/>
          <w:szCs w:val="24"/>
          <w:highlight w:val="none"/>
          <w14:textFill>
            <w14:solidFill>
              <w14:schemeClr w14:val="tx1"/>
            </w14:solidFill>
          </w14:textFill>
        </w:rPr>
        <w:t>1.2出现影响采购公正的违法违规行为的；</w:t>
      </w:r>
    </w:p>
    <w:p w14:paraId="6A587D03">
      <w:pPr>
        <w:spacing w:line="360" w:lineRule="auto"/>
        <w:ind w:firstLine="480" w:firstLineChars="200"/>
        <w:rPr>
          <w:rStyle w:val="22"/>
          <w:rFonts w:hint="eastAsia" w:ascii="宋体" w:hAnsi="宋体" w:eastAsia="宋体" w:cs="宋体"/>
          <w:color w:val="000000" w:themeColor="text1"/>
          <w:sz w:val="24"/>
          <w:szCs w:val="24"/>
          <w:highlight w:val="none"/>
          <w14:textFill>
            <w14:solidFill>
              <w14:schemeClr w14:val="tx1"/>
            </w14:solidFill>
          </w14:textFill>
        </w:rPr>
      </w:pPr>
      <w:r>
        <w:rPr>
          <w:rStyle w:val="22"/>
          <w:rFonts w:hint="eastAsia" w:ascii="宋体" w:hAnsi="宋体" w:eastAsia="宋体" w:cs="宋体"/>
          <w:color w:val="000000" w:themeColor="text1"/>
          <w:sz w:val="24"/>
          <w:szCs w:val="24"/>
          <w:highlight w:val="none"/>
          <w:lang w:eastAsia="zh-CN"/>
          <w14:textFill>
            <w14:solidFill>
              <w14:schemeClr w14:val="tx1"/>
            </w14:solidFill>
          </w14:textFill>
        </w:rPr>
        <w:t>18.11.</w:t>
      </w:r>
      <w:r>
        <w:rPr>
          <w:rStyle w:val="22"/>
          <w:rFonts w:hint="eastAsia" w:ascii="宋体" w:hAnsi="宋体" w:eastAsia="宋体" w:cs="宋体"/>
          <w:color w:val="000000" w:themeColor="text1"/>
          <w:sz w:val="24"/>
          <w:szCs w:val="24"/>
          <w:highlight w:val="none"/>
          <w14:textFill>
            <w14:solidFill>
              <w14:schemeClr w14:val="tx1"/>
            </w14:solidFill>
          </w14:textFill>
        </w:rPr>
        <w:t>1.3供应商的报价均超过采购预算的；</w:t>
      </w:r>
    </w:p>
    <w:p w14:paraId="2BDFBC40">
      <w:pPr>
        <w:spacing w:line="360" w:lineRule="auto"/>
        <w:ind w:firstLine="480" w:firstLineChars="200"/>
        <w:rPr>
          <w:rStyle w:val="22"/>
          <w:rFonts w:hint="eastAsia" w:ascii="宋体" w:hAnsi="宋体" w:eastAsia="宋体" w:cs="宋体"/>
          <w:color w:val="000000" w:themeColor="text1"/>
          <w:sz w:val="24"/>
          <w:szCs w:val="24"/>
          <w:highlight w:val="none"/>
          <w14:textFill>
            <w14:solidFill>
              <w14:schemeClr w14:val="tx1"/>
            </w14:solidFill>
          </w14:textFill>
        </w:rPr>
      </w:pPr>
      <w:r>
        <w:rPr>
          <w:rStyle w:val="22"/>
          <w:rFonts w:hint="eastAsia" w:ascii="宋体" w:hAnsi="宋体" w:eastAsia="宋体" w:cs="宋体"/>
          <w:color w:val="000000" w:themeColor="text1"/>
          <w:sz w:val="24"/>
          <w:szCs w:val="24"/>
          <w:highlight w:val="none"/>
          <w:lang w:eastAsia="zh-CN"/>
          <w14:textFill>
            <w14:solidFill>
              <w14:schemeClr w14:val="tx1"/>
            </w14:solidFill>
          </w14:textFill>
        </w:rPr>
        <w:t>18.11.</w:t>
      </w:r>
      <w:r>
        <w:rPr>
          <w:rStyle w:val="22"/>
          <w:rFonts w:hint="eastAsia" w:ascii="宋体" w:hAnsi="宋体" w:eastAsia="宋体" w:cs="宋体"/>
          <w:color w:val="000000" w:themeColor="text1"/>
          <w:sz w:val="24"/>
          <w:szCs w:val="24"/>
          <w:highlight w:val="none"/>
          <w14:textFill>
            <w14:solidFill>
              <w14:schemeClr w14:val="tx1"/>
            </w14:solidFill>
          </w14:textFill>
        </w:rPr>
        <w:t>1.4因重大变故，采购任务取消的；</w:t>
      </w:r>
    </w:p>
    <w:p w14:paraId="4517B13D">
      <w:pPr>
        <w:spacing w:line="360" w:lineRule="auto"/>
        <w:ind w:firstLine="480" w:firstLineChars="200"/>
        <w:rPr>
          <w:rStyle w:val="22"/>
          <w:rFonts w:hint="eastAsia" w:ascii="宋体" w:hAnsi="宋体" w:eastAsia="宋体" w:cs="宋体"/>
          <w:color w:val="000000" w:themeColor="text1"/>
          <w:sz w:val="24"/>
          <w:szCs w:val="24"/>
          <w:highlight w:val="none"/>
          <w14:textFill>
            <w14:solidFill>
              <w14:schemeClr w14:val="tx1"/>
            </w14:solidFill>
          </w14:textFill>
        </w:rPr>
      </w:pPr>
      <w:r>
        <w:rPr>
          <w:rStyle w:val="22"/>
          <w:rFonts w:hint="eastAsia" w:ascii="宋体" w:hAnsi="宋体" w:eastAsia="宋体" w:cs="宋体"/>
          <w:color w:val="000000" w:themeColor="text1"/>
          <w:sz w:val="24"/>
          <w:szCs w:val="24"/>
          <w:highlight w:val="none"/>
          <w:lang w:eastAsia="zh-CN"/>
          <w14:textFill>
            <w14:solidFill>
              <w14:schemeClr w14:val="tx1"/>
            </w14:solidFill>
          </w14:textFill>
        </w:rPr>
        <w:t>18.11.</w:t>
      </w:r>
      <w:r>
        <w:rPr>
          <w:rStyle w:val="22"/>
          <w:rFonts w:hint="eastAsia" w:ascii="宋体" w:hAnsi="宋体" w:eastAsia="宋体" w:cs="宋体"/>
          <w:color w:val="000000" w:themeColor="text1"/>
          <w:sz w:val="24"/>
          <w:szCs w:val="24"/>
          <w:highlight w:val="none"/>
          <w14:textFill>
            <w14:solidFill>
              <w14:schemeClr w14:val="tx1"/>
            </w14:solidFill>
          </w14:textFill>
        </w:rPr>
        <w:t>1.5法律、法规以及采购文件规定的其他废标情形。</w:t>
      </w:r>
    </w:p>
    <w:p w14:paraId="241F527B">
      <w:pPr>
        <w:spacing w:line="360" w:lineRule="auto"/>
        <w:ind w:firstLine="480" w:firstLineChars="200"/>
        <w:rPr>
          <w:rStyle w:val="22"/>
          <w:rFonts w:hint="eastAsia" w:ascii="宋体" w:hAnsi="宋体" w:eastAsia="宋体" w:cs="宋体"/>
          <w:color w:val="000000" w:themeColor="text1"/>
          <w:sz w:val="24"/>
          <w:szCs w:val="24"/>
          <w:highlight w:val="none"/>
          <w14:textFill>
            <w14:solidFill>
              <w14:schemeClr w14:val="tx1"/>
            </w14:solidFill>
          </w14:textFill>
        </w:rPr>
      </w:pPr>
      <w:r>
        <w:rPr>
          <w:rStyle w:val="22"/>
          <w:rFonts w:hint="eastAsia" w:ascii="宋体" w:hAnsi="宋体" w:eastAsia="宋体" w:cs="宋体"/>
          <w:color w:val="000000" w:themeColor="text1"/>
          <w:sz w:val="24"/>
          <w:szCs w:val="24"/>
          <w:highlight w:val="none"/>
          <w:lang w:eastAsia="zh-CN"/>
          <w14:textFill>
            <w14:solidFill>
              <w14:schemeClr w14:val="tx1"/>
            </w14:solidFill>
          </w14:textFill>
        </w:rPr>
        <w:t>18.11.</w:t>
      </w:r>
      <w:r>
        <w:rPr>
          <w:rStyle w:val="22"/>
          <w:rFonts w:hint="eastAsia" w:ascii="宋体" w:hAnsi="宋体" w:eastAsia="宋体" w:cs="宋体"/>
          <w:color w:val="000000" w:themeColor="text1"/>
          <w:sz w:val="24"/>
          <w:szCs w:val="24"/>
          <w:highlight w:val="none"/>
          <w14:textFill>
            <w14:solidFill>
              <w14:schemeClr w14:val="tx1"/>
            </w14:solidFill>
          </w14:textFill>
        </w:rPr>
        <w:t>2废标后，采购人或者采购代理机构应当将废标理由通知所有供应商。</w:t>
      </w:r>
    </w:p>
    <w:p w14:paraId="6D05598D">
      <w:pPr>
        <w:spacing w:line="360" w:lineRule="auto"/>
        <w:ind w:firstLine="480" w:firstLineChars="200"/>
        <w:rPr>
          <w:rStyle w:val="22"/>
          <w:rFonts w:hint="eastAsia" w:ascii="宋体" w:hAnsi="宋体" w:eastAsia="宋体" w:cs="宋体"/>
          <w:color w:val="000000" w:themeColor="text1"/>
          <w:sz w:val="24"/>
          <w:szCs w:val="24"/>
          <w:highlight w:val="none"/>
          <w14:textFill>
            <w14:solidFill>
              <w14:schemeClr w14:val="tx1"/>
            </w14:solidFill>
          </w14:textFill>
        </w:rPr>
      </w:pPr>
      <w:bookmarkStart w:id="193" w:name="_Toc464831161"/>
      <w:r>
        <w:rPr>
          <w:rStyle w:val="22"/>
          <w:rFonts w:hint="eastAsia" w:ascii="宋体" w:hAnsi="宋体" w:eastAsia="宋体" w:cs="宋体"/>
          <w:color w:val="000000" w:themeColor="text1"/>
          <w:sz w:val="24"/>
          <w:szCs w:val="24"/>
          <w:highlight w:val="none"/>
          <w:lang w:eastAsia="zh-CN"/>
          <w14:textFill>
            <w14:solidFill>
              <w14:schemeClr w14:val="tx1"/>
            </w14:solidFill>
          </w14:textFill>
        </w:rPr>
        <w:t>18.12</w:t>
      </w:r>
      <w:r>
        <w:rPr>
          <w:rStyle w:val="22"/>
          <w:rFonts w:hint="eastAsia" w:ascii="宋体" w:hAnsi="宋体" w:eastAsia="宋体" w:cs="宋体"/>
          <w:color w:val="000000" w:themeColor="text1"/>
          <w:sz w:val="24"/>
          <w:szCs w:val="24"/>
          <w:highlight w:val="none"/>
          <w14:textFill>
            <w14:solidFill>
              <w14:schemeClr w14:val="tx1"/>
            </w14:solidFill>
          </w14:textFill>
        </w:rPr>
        <w:t>特殊情况处置程序</w:t>
      </w:r>
      <w:bookmarkEnd w:id="193"/>
    </w:p>
    <w:p w14:paraId="1A98F3FB">
      <w:pPr>
        <w:spacing w:line="360" w:lineRule="auto"/>
        <w:ind w:firstLine="480" w:firstLineChars="200"/>
        <w:rPr>
          <w:rStyle w:val="22"/>
          <w:rFonts w:hint="eastAsia" w:ascii="宋体" w:hAnsi="宋体" w:eastAsia="宋体" w:cs="宋体"/>
          <w:color w:val="000000" w:themeColor="text1"/>
          <w:sz w:val="24"/>
          <w:szCs w:val="24"/>
          <w:highlight w:val="none"/>
          <w14:textFill>
            <w14:solidFill>
              <w14:schemeClr w14:val="tx1"/>
            </w14:solidFill>
          </w14:textFill>
        </w:rPr>
      </w:pPr>
      <w:r>
        <w:rPr>
          <w:rStyle w:val="22"/>
          <w:rFonts w:hint="eastAsia" w:ascii="宋体" w:hAnsi="宋体" w:eastAsia="宋体" w:cs="宋体"/>
          <w:color w:val="000000" w:themeColor="text1"/>
          <w:sz w:val="24"/>
          <w:szCs w:val="24"/>
          <w:highlight w:val="none"/>
          <w:lang w:eastAsia="zh-CN"/>
          <w14:textFill>
            <w14:solidFill>
              <w14:schemeClr w14:val="tx1"/>
            </w14:solidFill>
          </w14:textFill>
        </w:rPr>
        <w:t>18.12.</w:t>
      </w:r>
      <w:r>
        <w:rPr>
          <w:rStyle w:val="22"/>
          <w:rFonts w:hint="eastAsia" w:ascii="宋体" w:hAnsi="宋体" w:eastAsia="宋体" w:cs="宋体"/>
          <w:color w:val="000000" w:themeColor="text1"/>
          <w:sz w:val="24"/>
          <w:szCs w:val="24"/>
          <w:highlight w:val="none"/>
          <w14:textFill>
            <w14:solidFill>
              <w14:schemeClr w14:val="tx1"/>
            </w14:solidFill>
          </w14:textFill>
        </w:rPr>
        <w:t>1谈判小组成员的更换</w:t>
      </w:r>
    </w:p>
    <w:p w14:paraId="123A6BE7">
      <w:pPr>
        <w:spacing w:line="360" w:lineRule="auto"/>
        <w:ind w:firstLine="480" w:firstLineChars="200"/>
        <w:rPr>
          <w:rStyle w:val="22"/>
          <w:rFonts w:hint="eastAsia" w:ascii="宋体" w:hAnsi="宋体" w:eastAsia="宋体" w:cs="宋体"/>
          <w:color w:val="000000" w:themeColor="text1"/>
          <w:sz w:val="24"/>
          <w:szCs w:val="24"/>
          <w:highlight w:val="none"/>
          <w14:textFill>
            <w14:solidFill>
              <w14:schemeClr w14:val="tx1"/>
            </w14:solidFill>
          </w14:textFill>
        </w:rPr>
      </w:pPr>
      <w:r>
        <w:rPr>
          <w:rStyle w:val="22"/>
          <w:rFonts w:hint="eastAsia" w:ascii="宋体" w:hAnsi="宋体" w:eastAsia="宋体" w:cs="宋体"/>
          <w:color w:val="000000" w:themeColor="text1"/>
          <w:sz w:val="24"/>
          <w:szCs w:val="24"/>
          <w:highlight w:val="none"/>
          <w:lang w:eastAsia="zh-CN"/>
          <w14:textFill>
            <w14:solidFill>
              <w14:schemeClr w14:val="tx1"/>
            </w14:solidFill>
          </w14:textFill>
        </w:rPr>
        <w:t>18.12.</w:t>
      </w:r>
      <w:r>
        <w:rPr>
          <w:rStyle w:val="22"/>
          <w:rFonts w:hint="eastAsia" w:ascii="宋体" w:hAnsi="宋体" w:eastAsia="宋体" w:cs="宋体"/>
          <w:color w:val="000000" w:themeColor="text1"/>
          <w:sz w:val="24"/>
          <w:szCs w:val="24"/>
          <w:highlight w:val="none"/>
          <w14:textFill>
            <w14:solidFill>
              <w14:schemeClr w14:val="tx1"/>
            </w14:solidFill>
          </w14:textFill>
        </w:rPr>
        <w:t>1.1谈判小组应当执行连续评审的原则，按照采购文件规定的程序、内容、方法、标准完成全部评审工作。出现评审专家临时缺席、回避等情形导致评审现场专家数量不符合法定标准的，采购人或者采购代理机构要按照有关程序及时补抽专家，继续组织评审。如无法及时补齐专家，则要立即停止评审工作，封存采购文件和所有响应文件，择期重新组建谈判小组进行评审。</w:t>
      </w:r>
    </w:p>
    <w:p w14:paraId="623E6955">
      <w:pPr>
        <w:spacing w:line="360" w:lineRule="auto"/>
        <w:ind w:firstLine="480" w:firstLineChars="200"/>
        <w:rPr>
          <w:rStyle w:val="22"/>
          <w:rFonts w:hint="eastAsia" w:ascii="宋体" w:hAnsi="宋体" w:eastAsia="宋体" w:cs="宋体"/>
          <w:color w:val="000000" w:themeColor="text1"/>
          <w:sz w:val="24"/>
          <w:szCs w:val="24"/>
          <w:highlight w:val="none"/>
          <w14:textFill>
            <w14:solidFill>
              <w14:schemeClr w14:val="tx1"/>
            </w14:solidFill>
          </w14:textFill>
        </w:rPr>
      </w:pPr>
      <w:r>
        <w:rPr>
          <w:rStyle w:val="22"/>
          <w:rFonts w:hint="eastAsia" w:ascii="宋体" w:hAnsi="宋体" w:eastAsia="宋体" w:cs="宋体"/>
          <w:color w:val="000000" w:themeColor="text1"/>
          <w:sz w:val="24"/>
          <w:szCs w:val="24"/>
          <w:highlight w:val="none"/>
          <w:lang w:eastAsia="zh-CN"/>
          <w14:textFill>
            <w14:solidFill>
              <w14:schemeClr w14:val="tx1"/>
            </w14:solidFill>
          </w14:textFill>
        </w:rPr>
        <w:t>18.12.</w:t>
      </w:r>
      <w:r>
        <w:rPr>
          <w:rStyle w:val="22"/>
          <w:rFonts w:hint="eastAsia" w:ascii="宋体" w:hAnsi="宋体" w:eastAsia="宋体" w:cs="宋体"/>
          <w:color w:val="000000" w:themeColor="text1"/>
          <w:sz w:val="24"/>
          <w:szCs w:val="24"/>
          <w:highlight w:val="none"/>
          <w14:textFill>
            <w14:solidFill>
              <w14:schemeClr w14:val="tx1"/>
            </w14:solidFill>
          </w14:textFill>
        </w:rPr>
        <w:t>1.2退出谈判小组的成员，其已完成的评审行为无效。由采购人向监督人员提出更换谈判小组成员意见并获准后，根据本采购文件规定的谈判小组成员产生方式另行确定替代者进行评审。</w:t>
      </w:r>
    </w:p>
    <w:p w14:paraId="3B186982">
      <w:pPr>
        <w:spacing w:line="360" w:lineRule="auto"/>
        <w:ind w:firstLine="480" w:firstLineChars="200"/>
        <w:rPr>
          <w:rStyle w:val="22"/>
          <w:rFonts w:hint="eastAsia" w:ascii="宋体" w:hAnsi="宋体" w:eastAsia="宋体" w:cs="宋体"/>
          <w:color w:val="000000" w:themeColor="text1"/>
          <w:sz w:val="24"/>
          <w:szCs w:val="24"/>
          <w:highlight w:val="none"/>
          <w14:textFill>
            <w14:solidFill>
              <w14:schemeClr w14:val="tx1"/>
            </w14:solidFill>
          </w14:textFill>
        </w:rPr>
      </w:pPr>
      <w:r>
        <w:rPr>
          <w:rStyle w:val="22"/>
          <w:rFonts w:hint="eastAsia" w:ascii="宋体" w:hAnsi="宋体" w:eastAsia="宋体" w:cs="宋体"/>
          <w:color w:val="000000" w:themeColor="text1"/>
          <w:sz w:val="24"/>
          <w:szCs w:val="24"/>
          <w:highlight w:val="none"/>
          <w:lang w:eastAsia="zh-CN"/>
          <w14:textFill>
            <w14:solidFill>
              <w14:schemeClr w14:val="tx1"/>
            </w14:solidFill>
          </w14:textFill>
        </w:rPr>
        <w:t>18.12.</w:t>
      </w:r>
      <w:r>
        <w:rPr>
          <w:rStyle w:val="22"/>
          <w:rFonts w:hint="eastAsia" w:ascii="宋体" w:hAnsi="宋体" w:eastAsia="宋体" w:cs="宋体"/>
          <w:color w:val="000000" w:themeColor="text1"/>
          <w:sz w:val="24"/>
          <w:szCs w:val="24"/>
          <w:highlight w:val="none"/>
          <w14:textFill>
            <w14:solidFill>
              <w14:schemeClr w14:val="tx1"/>
            </w14:solidFill>
          </w14:textFill>
        </w:rPr>
        <w:t>2记名投票</w:t>
      </w:r>
    </w:p>
    <w:p w14:paraId="4A5BD9FD">
      <w:pPr>
        <w:spacing w:line="360" w:lineRule="auto"/>
        <w:ind w:firstLine="480" w:firstLineChars="200"/>
        <w:rPr>
          <w:rStyle w:val="22"/>
          <w:rFonts w:hint="eastAsia" w:ascii="宋体" w:hAnsi="宋体" w:eastAsia="宋体" w:cs="宋体"/>
          <w:color w:val="000000" w:themeColor="text1"/>
          <w:sz w:val="24"/>
          <w:szCs w:val="24"/>
          <w:highlight w:val="none"/>
          <w14:textFill>
            <w14:solidFill>
              <w14:schemeClr w14:val="tx1"/>
            </w14:solidFill>
          </w14:textFill>
        </w:rPr>
      </w:pPr>
      <w:r>
        <w:rPr>
          <w:rStyle w:val="22"/>
          <w:rFonts w:hint="eastAsia" w:ascii="宋体" w:hAnsi="宋体" w:eastAsia="宋体" w:cs="宋体"/>
          <w:color w:val="000000" w:themeColor="text1"/>
          <w:sz w:val="24"/>
          <w:szCs w:val="24"/>
          <w:highlight w:val="none"/>
          <w14:textFill>
            <w14:solidFill>
              <w14:schemeClr w14:val="tx1"/>
            </w14:solidFill>
          </w14:textFill>
        </w:rPr>
        <w:t>在评审过程中，谈判小组发生分歧或者评审结论有异议需表决的，按照少数服从多数的原则，由谈判小组全体成员以记名投票方式表决。</w:t>
      </w:r>
    </w:p>
    <w:p w14:paraId="51AEE93D">
      <w:pPr>
        <w:spacing w:line="360" w:lineRule="auto"/>
        <w:ind w:firstLine="480" w:firstLineChars="200"/>
        <w:rPr>
          <w:rStyle w:val="22"/>
          <w:rFonts w:hint="eastAsia" w:ascii="宋体" w:hAnsi="宋体" w:eastAsia="宋体" w:cs="宋体"/>
          <w:color w:val="000000" w:themeColor="text1"/>
          <w:sz w:val="24"/>
          <w:szCs w:val="24"/>
          <w:highlight w:val="none"/>
          <w14:textFill>
            <w14:solidFill>
              <w14:schemeClr w14:val="tx1"/>
            </w14:solidFill>
          </w14:textFill>
        </w:rPr>
      </w:pPr>
      <w:r>
        <w:rPr>
          <w:rStyle w:val="22"/>
          <w:rFonts w:hint="eastAsia" w:ascii="宋体" w:hAnsi="宋体" w:eastAsia="宋体" w:cs="宋体"/>
          <w:color w:val="000000" w:themeColor="text1"/>
          <w:sz w:val="24"/>
          <w:szCs w:val="24"/>
          <w:highlight w:val="none"/>
          <w:lang w:eastAsia="zh-CN"/>
          <w14:textFill>
            <w14:solidFill>
              <w14:schemeClr w14:val="tx1"/>
            </w14:solidFill>
          </w14:textFill>
        </w:rPr>
        <w:t>18.12.</w:t>
      </w:r>
      <w:r>
        <w:rPr>
          <w:rStyle w:val="22"/>
          <w:rFonts w:hint="eastAsia" w:ascii="宋体" w:hAnsi="宋体" w:eastAsia="宋体" w:cs="宋体"/>
          <w:color w:val="000000" w:themeColor="text1"/>
          <w:sz w:val="24"/>
          <w:szCs w:val="24"/>
          <w:highlight w:val="none"/>
          <w14:textFill>
            <w14:solidFill>
              <w14:schemeClr w14:val="tx1"/>
            </w14:solidFill>
          </w14:textFill>
        </w:rPr>
        <w:t>3延期开标</w:t>
      </w:r>
    </w:p>
    <w:p w14:paraId="63EF05D8">
      <w:pPr>
        <w:spacing w:line="360" w:lineRule="auto"/>
        <w:ind w:firstLine="480" w:firstLineChars="200"/>
        <w:rPr>
          <w:rStyle w:val="22"/>
          <w:rFonts w:hint="eastAsia" w:ascii="宋体" w:hAnsi="宋体" w:eastAsia="宋体" w:cs="宋体"/>
          <w:color w:val="000000" w:themeColor="text1"/>
          <w:sz w:val="24"/>
          <w:szCs w:val="24"/>
          <w:highlight w:val="none"/>
          <w14:textFill>
            <w14:solidFill>
              <w14:schemeClr w14:val="tx1"/>
            </w14:solidFill>
          </w14:textFill>
        </w:rPr>
      </w:pPr>
      <w:r>
        <w:rPr>
          <w:rStyle w:val="22"/>
          <w:rFonts w:hint="eastAsia" w:ascii="宋体" w:hAnsi="宋体" w:eastAsia="宋体" w:cs="宋体"/>
          <w:color w:val="000000" w:themeColor="text1"/>
          <w:sz w:val="24"/>
          <w:szCs w:val="24"/>
          <w:highlight w:val="none"/>
          <w14:textFill>
            <w14:solidFill>
              <w14:schemeClr w14:val="tx1"/>
            </w14:solidFill>
          </w14:textFill>
        </w:rPr>
        <w:t>因特殊情况需要推迟开标时间的，采购人或者采购代理机构必须提前报监督部门审批，经批准后按规定提前告知所有参加报价的供应商，否则必须按时开标。</w:t>
      </w:r>
    </w:p>
    <w:p w14:paraId="3799264E">
      <w:pPr>
        <w:spacing w:line="360" w:lineRule="auto"/>
        <w:ind w:firstLine="480" w:firstLineChars="200"/>
        <w:rPr>
          <w:rStyle w:val="22"/>
          <w:rFonts w:hint="eastAsia" w:ascii="宋体" w:hAnsi="宋体" w:eastAsia="宋体" w:cs="宋体"/>
          <w:color w:val="000000" w:themeColor="text1"/>
          <w:sz w:val="24"/>
          <w:szCs w:val="24"/>
          <w:highlight w:val="none"/>
          <w14:textFill>
            <w14:solidFill>
              <w14:schemeClr w14:val="tx1"/>
            </w14:solidFill>
          </w14:textFill>
        </w:rPr>
      </w:pPr>
      <w:bookmarkStart w:id="194" w:name="_Toc464831162"/>
      <w:r>
        <w:rPr>
          <w:rStyle w:val="22"/>
          <w:rFonts w:hint="eastAsia" w:ascii="宋体" w:hAnsi="宋体" w:eastAsia="宋体" w:cs="宋体"/>
          <w:color w:val="000000" w:themeColor="text1"/>
          <w:sz w:val="24"/>
          <w:szCs w:val="24"/>
          <w:highlight w:val="none"/>
          <w:lang w:eastAsia="zh-CN"/>
          <w14:textFill>
            <w14:solidFill>
              <w14:schemeClr w14:val="tx1"/>
            </w14:solidFill>
          </w14:textFill>
        </w:rPr>
        <w:t>18.13</w:t>
      </w:r>
      <w:r>
        <w:rPr>
          <w:rStyle w:val="22"/>
          <w:rFonts w:hint="eastAsia" w:ascii="宋体" w:hAnsi="宋体" w:eastAsia="宋体" w:cs="宋体"/>
          <w:color w:val="000000" w:themeColor="text1"/>
          <w:sz w:val="24"/>
          <w:szCs w:val="24"/>
          <w:highlight w:val="none"/>
          <w14:textFill>
            <w14:solidFill>
              <w14:schemeClr w14:val="tx1"/>
            </w14:solidFill>
          </w14:textFill>
        </w:rPr>
        <w:t>违法违规情形</w:t>
      </w:r>
      <w:bookmarkEnd w:id="194"/>
    </w:p>
    <w:p w14:paraId="09FEECB0">
      <w:pPr>
        <w:spacing w:line="360" w:lineRule="auto"/>
        <w:ind w:firstLine="480" w:firstLineChars="200"/>
        <w:rPr>
          <w:rStyle w:val="22"/>
          <w:rFonts w:hint="eastAsia" w:ascii="宋体" w:hAnsi="宋体" w:eastAsia="宋体" w:cs="宋体"/>
          <w:color w:val="000000" w:themeColor="text1"/>
          <w:sz w:val="24"/>
          <w:szCs w:val="24"/>
          <w:highlight w:val="none"/>
          <w14:textFill>
            <w14:solidFill>
              <w14:schemeClr w14:val="tx1"/>
            </w14:solidFill>
          </w14:textFill>
        </w:rPr>
      </w:pPr>
      <w:r>
        <w:rPr>
          <w:rStyle w:val="22"/>
          <w:rFonts w:hint="eastAsia" w:ascii="宋体" w:hAnsi="宋体" w:eastAsia="宋体" w:cs="宋体"/>
          <w:color w:val="000000" w:themeColor="text1"/>
          <w:sz w:val="24"/>
          <w:szCs w:val="24"/>
          <w:highlight w:val="none"/>
          <w:lang w:eastAsia="zh-CN"/>
          <w14:textFill>
            <w14:solidFill>
              <w14:schemeClr w14:val="tx1"/>
            </w14:solidFill>
          </w14:textFill>
        </w:rPr>
        <w:t>18.13.</w:t>
      </w:r>
      <w:r>
        <w:rPr>
          <w:rStyle w:val="22"/>
          <w:rFonts w:hint="eastAsia" w:ascii="宋体" w:hAnsi="宋体" w:eastAsia="宋体" w:cs="宋体"/>
          <w:color w:val="000000" w:themeColor="text1"/>
          <w:sz w:val="24"/>
          <w:szCs w:val="24"/>
          <w:highlight w:val="none"/>
          <w14:textFill>
            <w14:solidFill>
              <w14:schemeClr w14:val="tx1"/>
            </w14:solidFill>
          </w14:textFill>
        </w:rPr>
        <w:t>1有下列情形之一的，属于供应商相互串通报价：</w:t>
      </w:r>
    </w:p>
    <w:p w14:paraId="350072ED">
      <w:pPr>
        <w:spacing w:line="360" w:lineRule="auto"/>
        <w:ind w:firstLine="480" w:firstLineChars="200"/>
        <w:rPr>
          <w:rStyle w:val="22"/>
          <w:rFonts w:hint="eastAsia" w:ascii="宋体" w:hAnsi="宋体" w:eastAsia="宋体" w:cs="宋体"/>
          <w:color w:val="000000" w:themeColor="text1"/>
          <w:sz w:val="24"/>
          <w:szCs w:val="24"/>
          <w:highlight w:val="none"/>
          <w14:textFill>
            <w14:solidFill>
              <w14:schemeClr w14:val="tx1"/>
            </w14:solidFill>
          </w14:textFill>
        </w:rPr>
      </w:pPr>
      <w:r>
        <w:rPr>
          <w:rStyle w:val="22"/>
          <w:rFonts w:hint="eastAsia" w:ascii="宋体" w:hAnsi="宋体" w:eastAsia="宋体" w:cs="宋体"/>
          <w:color w:val="000000" w:themeColor="text1"/>
          <w:sz w:val="24"/>
          <w:szCs w:val="24"/>
          <w:highlight w:val="none"/>
          <w:lang w:eastAsia="zh-CN"/>
          <w14:textFill>
            <w14:solidFill>
              <w14:schemeClr w14:val="tx1"/>
            </w14:solidFill>
          </w14:textFill>
        </w:rPr>
        <w:t>18.13.</w:t>
      </w:r>
      <w:r>
        <w:rPr>
          <w:rStyle w:val="22"/>
          <w:rFonts w:hint="eastAsia" w:ascii="宋体" w:hAnsi="宋体" w:eastAsia="宋体" w:cs="宋体"/>
          <w:color w:val="000000" w:themeColor="text1"/>
          <w:sz w:val="24"/>
          <w:szCs w:val="24"/>
          <w:highlight w:val="none"/>
          <w14:textFill>
            <w14:solidFill>
              <w14:schemeClr w14:val="tx1"/>
            </w14:solidFill>
          </w14:textFill>
        </w:rPr>
        <w:t>1.1供应商之间协商响应报价等响应文件的实质性内容；</w:t>
      </w:r>
    </w:p>
    <w:p w14:paraId="377D2F2D">
      <w:pPr>
        <w:spacing w:line="360" w:lineRule="auto"/>
        <w:ind w:firstLine="480" w:firstLineChars="200"/>
        <w:rPr>
          <w:rStyle w:val="22"/>
          <w:rFonts w:hint="eastAsia" w:ascii="宋体" w:hAnsi="宋体" w:eastAsia="宋体" w:cs="宋体"/>
          <w:color w:val="000000" w:themeColor="text1"/>
          <w:sz w:val="24"/>
          <w:szCs w:val="24"/>
          <w:highlight w:val="none"/>
          <w14:textFill>
            <w14:solidFill>
              <w14:schemeClr w14:val="tx1"/>
            </w14:solidFill>
          </w14:textFill>
        </w:rPr>
      </w:pPr>
      <w:r>
        <w:rPr>
          <w:rStyle w:val="22"/>
          <w:rFonts w:hint="eastAsia" w:ascii="宋体" w:hAnsi="宋体" w:eastAsia="宋体" w:cs="宋体"/>
          <w:color w:val="000000" w:themeColor="text1"/>
          <w:sz w:val="24"/>
          <w:szCs w:val="24"/>
          <w:highlight w:val="none"/>
          <w:lang w:eastAsia="zh-CN"/>
          <w14:textFill>
            <w14:solidFill>
              <w14:schemeClr w14:val="tx1"/>
            </w14:solidFill>
          </w14:textFill>
        </w:rPr>
        <w:t>18.13.</w:t>
      </w:r>
      <w:r>
        <w:rPr>
          <w:rStyle w:val="22"/>
          <w:rFonts w:hint="eastAsia" w:ascii="宋体" w:hAnsi="宋体" w:eastAsia="宋体" w:cs="宋体"/>
          <w:color w:val="000000" w:themeColor="text1"/>
          <w:sz w:val="24"/>
          <w:szCs w:val="24"/>
          <w:highlight w:val="none"/>
          <w14:textFill>
            <w14:solidFill>
              <w14:schemeClr w14:val="tx1"/>
            </w14:solidFill>
          </w14:textFill>
        </w:rPr>
        <w:t>1.2供应商之间约定成交供应商；</w:t>
      </w:r>
    </w:p>
    <w:p w14:paraId="08396FEE">
      <w:pPr>
        <w:spacing w:line="360" w:lineRule="auto"/>
        <w:ind w:firstLine="480" w:firstLineChars="200"/>
        <w:rPr>
          <w:rStyle w:val="22"/>
          <w:rFonts w:hint="eastAsia" w:ascii="宋体" w:hAnsi="宋体" w:eastAsia="宋体" w:cs="宋体"/>
          <w:color w:val="000000" w:themeColor="text1"/>
          <w:sz w:val="24"/>
          <w:szCs w:val="24"/>
          <w:highlight w:val="none"/>
          <w14:textFill>
            <w14:solidFill>
              <w14:schemeClr w14:val="tx1"/>
            </w14:solidFill>
          </w14:textFill>
        </w:rPr>
      </w:pPr>
      <w:r>
        <w:rPr>
          <w:rStyle w:val="22"/>
          <w:rFonts w:hint="eastAsia" w:ascii="宋体" w:hAnsi="宋体" w:eastAsia="宋体" w:cs="宋体"/>
          <w:color w:val="000000" w:themeColor="text1"/>
          <w:sz w:val="24"/>
          <w:szCs w:val="24"/>
          <w:highlight w:val="none"/>
          <w:lang w:eastAsia="zh-CN"/>
          <w14:textFill>
            <w14:solidFill>
              <w14:schemeClr w14:val="tx1"/>
            </w14:solidFill>
          </w14:textFill>
        </w:rPr>
        <w:t>18.13.</w:t>
      </w:r>
      <w:r>
        <w:rPr>
          <w:rStyle w:val="22"/>
          <w:rFonts w:hint="eastAsia" w:ascii="宋体" w:hAnsi="宋体" w:eastAsia="宋体" w:cs="宋体"/>
          <w:color w:val="000000" w:themeColor="text1"/>
          <w:sz w:val="24"/>
          <w:szCs w:val="24"/>
          <w:highlight w:val="none"/>
          <w14:textFill>
            <w14:solidFill>
              <w14:schemeClr w14:val="tx1"/>
            </w14:solidFill>
          </w14:textFill>
        </w:rPr>
        <w:t>1.3供应商之间约定部分供应商放弃报价或者成交；</w:t>
      </w:r>
    </w:p>
    <w:p w14:paraId="533B050D">
      <w:pPr>
        <w:spacing w:line="360" w:lineRule="auto"/>
        <w:ind w:firstLine="480" w:firstLineChars="200"/>
        <w:rPr>
          <w:rStyle w:val="22"/>
          <w:rFonts w:hint="eastAsia" w:ascii="宋体" w:hAnsi="宋体" w:eastAsia="宋体" w:cs="宋体"/>
          <w:color w:val="000000" w:themeColor="text1"/>
          <w:sz w:val="24"/>
          <w:szCs w:val="24"/>
          <w:highlight w:val="none"/>
          <w14:textFill>
            <w14:solidFill>
              <w14:schemeClr w14:val="tx1"/>
            </w14:solidFill>
          </w14:textFill>
        </w:rPr>
      </w:pPr>
      <w:r>
        <w:rPr>
          <w:rStyle w:val="22"/>
          <w:rFonts w:hint="eastAsia" w:ascii="宋体" w:hAnsi="宋体" w:eastAsia="宋体" w:cs="宋体"/>
          <w:color w:val="000000" w:themeColor="text1"/>
          <w:sz w:val="24"/>
          <w:szCs w:val="24"/>
          <w:highlight w:val="none"/>
          <w:lang w:eastAsia="zh-CN"/>
          <w14:textFill>
            <w14:solidFill>
              <w14:schemeClr w14:val="tx1"/>
            </w14:solidFill>
          </w14:textFill>
        </w:rPr>
        <w:t>18.13.</w:t>
      </w:r>
      <w:r>
        <w:rPr>
          <w:rStyle w:val="22"/>
          <w:rFonts w:hint="eastAsia" w:ascii="宋体" w:hAnsi="宋体" w:eastAsia="宋体" w:cs="宋体"/>
          <w:color w:val="000000" w:themeColor="text1"/>
          <w:sz w:val="24"/>
          <w:szCs w:val="24"/>
          <w:highlight w:val="none"/>
          <w14:textFill>
            <w14:solidFill>
              <w14:schemeClr w14:val="tx1"/>
            </w14:solidFill>
          </w14:textFill>
        </w:rPr>
        <w:t>1.4属于同一集团、协会、商会等组织成员的供应商按照该组织要求协同报价；</w:t>
      </w:r>
    </w:p>
    <w:p w14:paraId="4D2FFFD9">
      <w:pPr>
        <w:spacing w:line="360" w:lineRule="auto"/>
        <w:ind w:firstLine="480" w:firstLineChars="200"/>
        <w:rPr>
          <w:rStyle w:val="22"/>
          <w:rFonts w:hint="eastAsia" w:ascii="宋体" w:hAnsi="宋体" w:eastAsia="宋体" w:cs="宋体"/>
          <w:color w:val="000000" w:themeColor="text1"/>
          <w:sz w:val="24"/>
          <w:szCs w:val="24"/>
          <w:highlight w:val="none"/>
          <w14:textFill>
            <w14:solidFill>
              <w14:schemeClr w14:val="tx1"/>
            </w14:solidFill>
          </w14:textFill>
        </w:rPr>
      </w:pPr>
      <w:r>
        <w:rPr>
          <w:rStyle w:val="22"/>
          <w:rFonts w:hint="eastAsia" w:ascii="宋体" w:hAnsi="宋体" w:eastAsia="宋体" w:cs="宋体"/>
          <w:color w:val="000000" w:themeColor="text1"/>
          <w:sz w:val="24"/>
          <w:szCs w:val="24"/>
          <w:highlight w:val="none"/>
          <w:lang w:eastAsia="zh-CN"/>
          <w14:textFill>
            <w14:solidFill>
              <w14:schemeClr w14:val="tx1"/>
            </w14:solidFill>
          </w14:textFill>
        </w:rPr>
        <w:t>18.13.</w:t>
      </w:r>
      <w:r>
        <w:rPr>
          <w:rStyle w:val="22"/>
          <w:rFonts w:hint="eastAsia" w:ascii="宋体" w:hAnsi="宋体" w:eastAsia="宋体" w:cs="宋体"/>
          <w:color w:val="000000" w:themeColor="text1"/>
          <w:sz w:val="24"/>
          <w:szCs w:val="24"/>
          <w:highlight w:val="none"/>
          <w14:textFill>
            <w14:solidFill>
              <w14:schemeClr w14:val="tx1"/>
            </w14:solidFill>
          </w14:textFill>
        </w:rPr>
        <w:t>1.5供应商之间为谋取中标或者排斥特定供应商而采取的其他联合行动。</w:t>
      </w:r>
    </w:p>
    <w:p w14:paraId="65221F2B">
      <w:pPr>
        <w:spacing w:line="360" w:lineRule="auto"/>
        <w:ind w:firstLine="480" w:firstLineChars="200"/>
        <w:rPr>
          <w:rStyle w:val="22"/>
          <w:rFonts w:hint="eastAsia" w:ascii="宋体" w:hAnsi="宋体" w:eastAsia="宋体" w:cs="宋体"/>
          <w:color w:val="000000" w:themeColor="text1"/>
          <w:sz w:val="24"/>
          <w:szCs w:val="24"/>
          <w:highlight w:val="none"/>
          <w14:textFill>
            <w14:solidFill>
              <w14:schemeClr w14:val="tx1"/>
            </w14:solidFill>
          </w14:textFill>
        </w:rPr>
      </w:pPr>
      <w:r>
        <w:rPr>
          <w:rStyle w:val="22"/>
          <w:rFonts w:hint="eastAsia" w:ascii="宋体" w:hAnsi="宋体" w:eastAsia="宋体" w:cs="宋体"/>
          <w:color w:val="000000" w:themeColor="text1"/>
          <w:sz w:val="24"/>
          <w:szCs w:val="24"/>
          <w:highlight w:val="none"/>
          <w:lang w:eastAsia="zh-CN"/>
          <w14:textFill>
            <w14:solidFill>
              <w14:schemeClr w14:val="tx1"/>
            </w14:solidFill>
          </w14:textFill>
        </w:rPr>
        <w:t>18.13.</w:t>
      </w:r>
      <w:r>
        <w:rPr>
          <w:rStyle w:val="22"/>
          <w:rFonts w:hint="eastAsia" w:ascii="宋体" w:hAnsi="宋体" w:eastAsia="宋体" w:cs="宋体"/>
          <w:color w:val="000000" w:themeColor="text1"/>
          <w:sz w:val="24"/>
          <w:szCs w:val="24"/>
          <w:highlight w:val="none"/>
          <w14:textFill>
            <w14:solidFill>
              <w14:schemeClr w14:val="tx1"/>
            </w14:solidFill>
          </w14:textFill>
        </w:rPr>
        <w:t>2有下列情形之一的，视为供应商相互串通报价，谈判小组应当出具违法违规认定意见并作响应无效处理：</w:t>
      </w:r>
    </w:p>
    <w:p w14:paraId="4121E4AE">
      <w:pPr>
        <w:spacing w:line="360" w:lineRule="auto"/>
        <w:ind w:firstLine="480" w:firstLineChars="200"/>
        <w:rPr>
          <w:rStyle w:val="22"/>
          <w:rFonts w:hint="eastAsia" w:ascii="宋体" w:hAnsi="宋体" w:eastAsia="宋体" w:cs="宋体"/>
          <w:color w:val="000000" w:themeColor="text1"/>
          <w:sz w:val="24"/>
          <w:szCs w:val="24"/>
          <w:highlight w:val="none"/>
          <w14:textFill>
            <w14:solidFill>
              <w14:schemeClr w14:val="tx1"/>
            </w14:solidFill>
          </w14:textFill>
        </w:rPr>
      </w:pPr>
      <w:r>
        <w:rPr>
          <w:rStyle w:val="22"/>
          <w:rFonts w:hint="eastAsia" w:ascii="宋体" w:hAnsi="宋体" w:eastAsia="宋体" w:cs="宋体"/>
          <w:color w:val="000000" w:themeColor="text1"/>
          <w:sz w:val="24"/>
          <w:szCs w:val="24"/>
          <w:highlight w:val="none"/>
          <w:lang w:eastAsia="zh-CN"/>
          <w14:textFill>
            <w14:solidFill>
              <w14:schemeClr w14:val="tx1"/>
            </w14:solidFill>
          </w14:textFill>
        </w:rPr>
        <w:t>18.13.</w:t>
      </w:r>
      <w:r>
        <w:rPr>
          <w:rStyle w:val="22"/>
          <w:rFonts w:hint="eastAsia" w:ascii="宋体" w:hAnsi="宋体" w:eastAsia="宋体" w:cs="宋体"/>
          <w:color w:val="000000" w:themeColor="text1"/>
          <w:sz w:val="24"/>
          <w:szCs w:val="24"/>
          <w:highlight w:val="none"/>
          <w14:textFill>
            <w14:solidFill>
              <w14:schemeClr w14:val="tx1"/>
            </w14:solidFill>
          </w14:textFill>
        </w:rPr>
        <w:t>2.1不同供应商的响应文件由同一单位或者个人编制；</w:t>
      </w:r>
    </w:p>
    <w:p w14:paraId="718110CB">
      <w:pPr>
        <w:spacing w:line="360" w:lineRule="auto"/>
        <w:ind w:firstLine="480" w:firstLineChars="200"/>
        <w:rPr>
          <w:rStyle w:val="22"/>
          <w:rFonts w:hint="eastAsia" w:ascii="宋体" w:hAnsi="宋体" w:eastAsia="宋体" w:cs="宋体"/>
          <w:color w:val="000000" w:themeColor="text1"/>
          <w:sz w:val="24"/>
          <w:szCs w:val="24"/>
          <w:highlight w:val="none"/>
          <w14:textFill>
            <w14:solidFill>
              <w14:schemeClr w14:val="tx1"/>
            </w14:solidFill>
          </w14:textFill>
        </w:rPr>
      </w:pPr>
      <w:r>
        <w:rPr>
          <w:rStyle w:val="22"/>
          <w:rFonts w:hint="eastAsia" w:ascii="宋体" w:hAnsi="宋体" w:eastAsia="宋体" w:cs="宋体"/>
          <w:color w:val="000000" w:themeColor="text1"/>
          <w:sz w:val="24"/>
          <w:szCs w:val="24"/>
          <w:highlight w:val="none"/>
          <w:lang w:eastAsia="zh-CN"/>
          <w14:textFill>
            <w14:solidFill>
              <w14:schemeClr w14:val="tx1"/>
            </w14:solidFill>
          </w14:textFill>
        </w:rPr>
        <w:t>18.13.</w:t>
      </w:r>
      <w:r>
        <w:rPr>
          <w:rStyle w:val="22"/>
          <w:rFonts w:hint="eastAsia" w:ascii="宋体" w:hAnsi="宋体" w:eastAsia="宋体" w:cs="宋体"/>
          <w:color w:val="000000" w:themeColor="text1"/>
          <w:sz w:val="24"/>
          <w:szCs w:val="24"/>
          <w:highlight w:val="none"/>
          <w14:textFill>
            <w14:solidFill>
              <w14:schemeClr w14:val="tx1"/>
            </w14:solidFill>
          </w14:textFill>
        </w:rPr>
        <w:t>2.2不同供应商委托同一单位或者个人办理报价事宜；</w:t>
      </w:r>
    </w:p>
    <w:p w14:paraId="2C2B6672">
      <w:pPr>
        <w:spacing w:line="360" w:lineRule="auto"/>
        <w:ind w:firstLine="480" w:firstLineChars="200"/>
        <w:rPr>
          <w:rStyle w:val="22"/>
          <w:rFonts w:hint="eastAsia" w:ascii="宋体" w:hAnsi="宋体" w:eastAsia="宋体" w:cs="宋体"/>
          <w:color w:val="000000" w:themeColor="text1"/>
          <w:sz w:val="24"/>
          <w:szCs w:val="24"/>
          <w:highlight w:val="none"/>
          <w14:textFill>
            <w14:solidFill>
              <w14:schemeClr w14:val="tx1"/>
            </w14:solidFill>
          </w14:textFill>
        </w:rPr>
      </w:pPr>
      <w:r>
        <w:rPr>
          <w:rStyle w:val="22"/>
          <w:rFonts w:hint="eastAsia" w:ascii="宋体" w:hAnsi="宋体" w:eastAsia="宋体" w:cs="宋体"/>
          <w:color w:val="000000" w:themeColor="text1"/>
          <w:sz w:val="24"/>
          <w:szCs w:val="24"/>
          <w:highlight w:val="none"/>
          <w:lang w:eastAsia="zh-CN"/>
          <w14:textFill>
            <w14:solidFill>
              <w14:schemeClr w14:val="tx1"/>
            </w14:solidFill>
          </w14:textFill>
        </w:rPr>
        <w:t>18.13.</w:t>
      </w:r>
      <w:r>
        <w:rPr>
          <w:rStyle w:val="22"/>
          <w:rFonts w:hint="eastAsia" w:ascii="宋体" w:hAnsi="宋体" w:eastAsia="宋体" w:cs="宋体"/>
          <w:color w:val="000000" w:themeColor="text1"/>
          <w:sz w:val="24"/>
          <w:szCs w:val="24"/>
          <w:highlight w:val="none"/>
          <w14:textFill>
            <w14:solidFill>
              <w14:schemeClr w14:val="tx1"/>
            </w14:solidFill>
          </w14:textFill>
        </w:rPr>
        <w:t>2.3不同供应商的响应文件载明的项目管理成员为同一人；</w:t>
      </w:r>
    </w:p>
    <w:p w14:paraId="74D4F151">
      <w:pPr>
        <w:spacing w:line="360" w:lineRule="auto"/>
        <w:ind w:firstLine="480" w:firstLineChars="200"/>
        <w:rPr>
          <w:rStyle w:val="22"/>
          <w:rFonts w:hint="eastAsia" w:ascii="宋体" w:hAnsi="宋体" w:eastAsia="宋体" w:cs="宋体"/>
          <w:color w:val="000000" w:themeColor="text1"/>
          <w:sz w:val="24"/>
          <w:szCs w:val="24"/>
          <w:highlight w:val="none"/>
          <w14:textFill>
            <w14:solidFill>
              <w14:schemeClr w14:val="tx1"/>
            </w14:solidFill>
          </w14:textFill>
        </w:rPr>
      </w:pPr>
      <w:r>
        <w:rPr>
          <w:rStyle w:val="22"/>
          <w:rFonts w:hint="eastAsia" w:ascii="宋体" w:hAnsi="宋体" w:eastAsia="宋体" w:cs="宋体"/>
          <w:color w:val="000000" w:themeColor="text1"/>
          <w:sz w:val="24"/>
          <w:szCs w:val="24"/>
          <w:highlight w:val="none"/>
          <w:lang w:eastAsia="zh-CN"/>
          <w14:textFill>
            <w14:solidFill>
              <w14:schemeClr w14:val="tx1"/>
            </w14:solidFill>
          </w14:textFill>
        </w:rPr>
        <w:t>18.13.</w:t>
      </w:r>
      <w:r>
        <w:rPr>
          <w:rStyle w:val="22"/>
          <w:rFonts w:hint="eastAsia" w:ascii="宋体" w:hAnsi="宋体" w:eastAsia="宋体" w:cs="宋体"/>
          <w:color w:val="000000" w:themeColor="text1"/>
          <w:sz w:val="24"/>
          <w:szCs w:val="24"/>
          <w:highlight w:val="none"/>
          <w14:textFill>
            <w14:solidFill>
              <w14:schemeClr w14:val="tx1"/>
            </w14:solidFill>
          </w14:textFill>
        </w:rPr>
        <w:t>2.4不同供应商的响应文件异常一致或者响应报价呈规律性差异；</w:t>
      </w:r>
    </w:p>
    <w:p w14:paraId="3A3FD905">
      <w:pPr>
        <w:spacing w:line="360" w:lineRule="auto"/>
        <w:ind w:firstLine="480" w:firstLineChars="200"/>
        <w:rPr>
          <w:rStyle w:val="22"/>
          <w:rFonts w:hint="eastAsia" w:ascii="宋体" w:hAnsi="宋体" w:eastAsia="宋体" w:cs="宋体"/>
          <w:color w:val="000000" w:themeColor="text1"/>
          <w:sz w:val="24"/>
          <w:szCs w:val="24"/>
          <w:highlight w:val="none"/>
          <w14:textFill>
            <w14:solidFill>
              <w14:schemeClr w14:val="tx1"/>
            </w14:solidFill>
          </w14:textFill>
        </w:rPr>
      </w:pPr>
      <w:r>
        <w:rPr>
          <w:rStyle w:val="22"/>
          <w:rFonts w:hint="eastAsia" w:ascii="宋体" w:hAnsi="宋体" w:eastAsia="宋体" w:cs="宋体"/>
          <w:color w:val="000000" w:themeColor="text1"/>
          <w:sz w:val="24"/>
          <w:szCs w:val="24"/>
          <w:highlight w:val="none"/>
          <w:lang w:eastAsia="zh-CN"/>
          <w14:textFill>
            <w14:solidFill>
              <w14:schemeClr w14:val="tx1"/>
            </w14:solidFill>
          </w14:textFill>
        </w:rPr>
        <w:t>18.13.</w:t>
      </w:r>
      <w:r>
        <w:rPr>
          <w:rStyle w:val="22"/>
          <w:rFonts w:hint="eastAsia" w:ascii="宋体" w:hAnsi="宋体" w:eastAsia="宋体" w:cs="宋体"/>
          <w:color w:val="000000" w:themeColor="text1"/>
          <w:sz w:val="24"/>
          <w:szCs w:val="24"/>
          <w:highlight w:val="none"/>
          <w14:textFill>
            <w14:solidFill>
              <w14:schemeClr w14:val="tx1"/>
            </w14:solidFill>
          </w14:textFill>
        </w:rPr>
        <w:t>2.5不同供应商的响应文件相互混装；</w:t>
      </w:r>
    </w:p>
    <w:p w14:paraId="372A1487">
      <w:pPr>
        <w:spacing w:line="360" w:lineRule="auto"/>
        <w:ind w:firstLine="480" w:firstLineChars="200"/>
        <w:rPr>
          <w:rStyle w:val="22"/>
          <w:rFonts w:hint="eastAsia" w:ascii="宋体" w:hAnsi="宋体" w:eastAsia="宋体" w:cs="宋体"/>
          <w:color w:val="000000" w:themeColor="text1"/>
          <w:sz w:val="24"/>
          <w:szCs w:val="24"/>
          <w:highlight w:val="none"/>
          <w14:textFill>
            <w14:solidFill>
              <w14:schemeClr w14:val="tx1"/>
            </w14:solidFill>
          </w14:textFill>
        </w:rPr>
      </w:pPr>
      <w:r>
        <w:rPr>
          <w:rStyle w:val="22"/>
          <w:rFonts w:hint="eastAsia" w:ascii="宋体" w:hAnsi="宋体" w:eastAsia="宋体" w:cs="宋体"/>
          <w:color w:val="000000" w:themeColor="text1"/>
          <w:sz w:val="24"/>
          <w:szCs w:val="24"/>
          <w:highlight w:val="none"/>
          <w:lang w:eastAsia="zh-CN"/>
          <w14:textFill>
            <w14:solidFill>
              <w14:schemeClr w14:val="tx1"/>
            </w14:solidFill>
          </w14:textFill>
        </w:rPr>
        <w:t>18.13.</w:t>
      </w:r>
      <w:r>
        <w:rPr>
          <w:rStyle w:val="22"/>
          <w:rFonts w:hint="eastAsia" w:ascii="宋体" w:hAnsi="宋体" w:eastAsia="宋体" w:cs="宋体"/>
          <w:color w:val="000000" w:themeColor="text1"/>
          <w:sz w:val="24"/>
          <w:szCs w:val="24"/>
          <w:highlight w:val="none"/>
          <w14:textFill>
            <w14:solidFill>
              <w14:schemeClr w14:val="tx1"/>
            </w14:solidFill>
          </w14:textFill>
        </w:rPr>
        <w:t>2.6不同供应商的保证金从同一单位或者个人的账户转出。</w:t>
      </w:r>
    </w:p>
    <w:p w14:paraId="282265E3">
      <w:pPr>
        <w:spacing w:line="360" w:lineRule="auto"/>
        <w:ind w:firstLine="480" w:firstLineChars="200"/>
        <w:rPr>
          <w:rStyle w:val="22"/>
          <w:rFonts w:hint="eastAsia" w:ascii="宋体" w:hAnsi="宋体" w:eastAsia="宋体" w:cs="宋体"/>
          <w:color w:val="000000" w:themeColor="text1"/>
          <w:sz w:val="24"/>
          <w:szCs w:val="24"/>
          <w:highlight w:val="none"/>
          <w14:textFill>
            <w14:solidFill>
              <w14:schemeClr w14:val="tx1"/>
            </w14:solidFill>
          </w14:textFill>
        </w:rPr>
      </w:pPr>
      <w:r>
        <w:rPr>
          <w:rStyle w:val="22"/>
          <w:rFonts w:hint="eastAsia" w:ascii="宋体" w:hAnsi="宋体" w:eastAsia="宋体" w:cs="宋体"/>
          <w:color w:val="000000" w:themeColor="text1"/>
          <w:sz w:val="24"/>
          <w:szCs w:val="24"/>
          <w:highlight w:val="none"/>
          <w:lang w:eastAsia="zh-CN"/>
          <w14:textFill>
            <w14:solidFill>
              <w14:schemeClr w14:val="tx1"/>
            </w14:solidFill>
          </w14:textFill>
        </w:rPr>
        <w:t>18.13.</w:t>
      </w:r>
      <w:r>
        <w:rPr>
          <w:rStyle w:val="22"/>
          <w:rFonts w:hint="eastAsia" w:ascii="宋体" w:hAnsi="宋体" w:eastAsia="宋体" w:cs="宋体"/>
          <w:color w:val="000000" w:themeColor="text1"/>
          <w:sz w:val="24"/>
          <w:szCs w:val="24"/>
          <w:highlight w:val="none"/>
          <w14:textFill>
            <w14:solidFill>
              <w14:schemeClr w14:val="tx1"/>
            </w14:solidFill>
          </w14:textFill>
        </w:rPr>
        <w:t>3有下列情形之一的，属于采购人与供应商串通报价：</w:t>
      </w:r>
    </w:p>
    <w:p w14:paraId="23C01656">
      <w:pPr>
        <w:spacing w:line="360" w:lineRule="auto"/>
        <w:ind w:firstLine="480" w:firstLineChars="200"/>
        <w:rPr>
          <w:rStyle w:val="22"/>
          <w:rFonts w:hint="eastAsia" w:ascii="宋体" w:hAnsi="宋体" w:eastAsia="宋体" w:cs="宋体"/>
          <w:color w:val="000000" w:themeColor="text1"/>
          <w:sz w:val="24"/>
          <w:szCs w:val="24"/>
          <w:highlight w:val="none"/>
          <w14:textFill>
            <w14:solidFill>
              <w14:schemeClr w14:val="tx1"/>
            </w14:solidFill>
          </w14:textFill>
        </w:rPr>
      </w:pPr>
      <w:r>
        <w:rPr>
          <w:rStyle w:val="22"/>
          <w:rFonts w:hint="eastAsia" w:ascii="宋体" w:hAnsi="宋体" w:eastAsia="宋体" w:cs="宋体"/>
          <w:color w:val="000000" w:themeColor="text1"/>
          <w:sz w:val="24"/>
          <w:szCs w:val="24"/>
          <w:highlight w:val="none"/>
          <w:lang w:eastAsia="zh-CN"/>
          <w14:textFill>
            <w14:solidFill>
              <w14:schemeClr w14:val="tx1"/>
            </w14:solidFill>
          </w14:textFill>
        </w:rPr>
        <w:t>18.13.</w:t>
      </w:r>
      <w:r>
        <w:rPr>
          <w:rStyle w:val="22"/>
          <w:rFonts w:hint="eastAsia" w:ascii="宋体" w:hAnsi="宋体" w:eastAsia="宋体" w:cs="宋体"/>
          <w:color w:val="000000" w:themeColor="text1"/>
          <w:sz w:val="24"/>
          <w:szCs w:val="24"/>
          <w:highlight w:val="none"/>
          <w14:textFill>
            <w14:solidFill>
              <w14:schemeClr w14:val="tx1"/>
            </w14:solidFill>
          </w14:textFill>
        </w:rPr>
        <w:t>3.1采购人在开标前开启响应文件并将有关信息泄露给其他供应商；</w:t>
      </w:r>
    </w:p>
    <w:p w14:paraId="311B2EAA">
      <w:pPr>
        <w:spacing w:line="360" w:lineRule="auto"/>
        <w:ind w:firstLine="480" w:firstLineChars="200"/>
        <w:rPr>
          <w:rStyle w:val="22"/>
          <w:rFonts w:hint="eastAsia" w:ascii="宋体" w:hAnsi="宋体" w:eastAsia="宋体" w:cs="宋体"/>
          <w:color w:val="000000" w:themeColor="text1"/>
          <w:sz w:val="24"/>
          <w:szCs w:val="24"/>
          <w:highlight w:val="none"/>
          <w14:textFill>
            <w14:solidFill>
              <w14:schemeClr w14:val="tx1"/>
            </w14:solidFill>
          </w14:textFill>
        </w:rPr>
      </w:pPr>
      <w:r>
        <w:rPr>
          <w:rStyle w:val="22"/>
          <w:rFonts w:hint="eastAsia" w:ascii="宋体" w:hAnsi="宋体" w:eastAsia="宋体" w:cs="宋体"/>
          <w:color w:val="000000" w:themeColor="text1"/>
          <w:sz w:val="24"/>
          <w:szCs w:val="24"/>
          <w:highlight w:val="none"/>
          <w:lang w:eastAsia="zh-CN"/>
          <w14:textFill>
            <w14:solidFill>
              <w14:schemeClr w14:val="tx1"/>
            </w14:solidFill>
          </w14:textFill>
        </w:rPr>
        <w:t>18.13.</w:t>
      </w:r>
      <w:r>
        <w:rPr>
          <w:rStyle w:val="22"/>
          <w:rFonts w:hint="eastAsia" w:ascii="宋体" w:hAnsi="宋体" w:eastAsia="宋体" w:cs="宋体"/>
          <w:color w:val="000000" w:themeColor="text1"/>
          <w:sz w:val="24"/>
          <w:szCs w:val="24"/>
          <w:highlight w:val="none"/>
          <w14:textFill>
            <w14:solidFill>
              <w14:schemeClr w14:val="tx1"/>
            </w14:solidFill>
          </w14:textFill>
        </w:rPr>
        <w:t>3.2采购人直接或者间接向供应商泄露标底、谈判小组成员等信息；</w:t>
      </w:r>
    </w:p>
    <w:p w14:paraId="742F22A8">
      <w:pPr>
        <w:spacing w:line="360" w:lineRule="auto"/>
        <w:ind w:firstLine="480" w:firstLineChars="200"/>
        <w:rPr>
          <w:rStyle w:val="22"/>
          <w:rFonts w:hint="eastAsia" w:ascii="宋体" w:hAnsi="宋体" w:eastAsia="宋体" w:cs="宋体"/>
          <w:color w:val="000000" w:themeColor="text1"/>
          <w:sz w:val="24"/>
          <w:szCs w:val="24"/>
          <w:highlight w:val="none"/>
          <w14:textFill>
            <w14:solidFill>
              <w14:schemeClr w14:val="tx1"/>
            </w14:solidFill>
          </w14:textFill>
        </w:rPr>
      </w:pPr>
      <w:r>
        <w:rPr>
          <w:rStyle w:val="22"/>
          <w:rFonts w:hint="eastAsia" w:ascii="宋体" w:hAnsi="宋体" w:eastAsia="宋体" w:cs="宋体"/>
          <w:color w:val="000000" w:themeColor="text1"/>
          <w:sz w:val="24"/>
          <w:szCs w:val="24"/>
          <w:highlight w:val="none"/>
          <w:lang w:eastAsia="zh-CN"/>
          <w14:textFill>
            <w14:solidFill>
              <w14:schemeClr w14:val="tx1"/>
            </w14:solidFill>
          </w14:textFill>
        </w:rPr>
        <w:t>18.13.</w:t>
      </w:r>
      <w:r>
        <w:rPr>
          <w:rStyle w:val="22"/>
          <w:rFonts w:hint="eastAsia" w:ascii="宋体" w:hAnsi="宋体" w:eastAsia="宋体" w:cs="宋体"/>
          <w:color w:val="000000" w:themeColor="text1"/>
          <w:sz w:val="24"/>
          <w:szCs w:val="24"/>
          <w:highlight w:val="none"/>
          <w14:textFill>
            <w14:solidFill>
              <w14:schemeClr w14:val="tx1"/>
            </w14:solidFill>
          </w14:textFill>
        </w:rPr>
        <w:t>3.3采购人明示或者暗示供应商压低或者抬高响应报价；</w:t>
      </w:r>
    </w:p>
    <w:p w14:paraId="12107C5B">
      <w:pPr>
        <w:spacing w:line="360" w:lineRule="auto"/>
        <w:ind w:firstLine="480" w:firstLineChars="200"/>
        <w:rPr>
          <w:rStyle w:val="22"/>
          <w:rFonts w:hint="eastAsia" w:ascii="宋体" w:hAnsi="宋体" w:eastAsia="宋体" w:cs="宋体"/>
          <w:color w:val="000000" w:themeColor="text1"/>
          <w:sz w:val="24"/>
          <w:szCs w:val="24"/>
          <w:highlight w:val="none"/>
          <w14:textFill>
            <w14:solidFill>
              <w14:schemeClr w14:val="tx1"/>
            </w14:solidFill>
          </w14:textFill>
        </w:rPr>
      </w:pPr>
      <w:r>
        <w:rPr>
          <w:rStyle w:val="22"/>
          <w:rFonts w:hint="eastAsia" w:ascii="宋体" w:hAnsi="宋体" w:eastAsia="宋体" w:cs="宋体"/>
          <w:color w:val="000000" w:themeColor="text1"/>
          <w:sz w:val="24"/>
          <w:szCs w:val="24"/>
          <w:highlight w:val="none"/>
          <w:lang w:eastAsia="zh-CN"/>
          <w14:textFill>
            <w14:solidFill>
              <w14:schemeClr w14:val="tx1"/>
            </w14:solidFill>
          </w14:textFill>
        </w:rPr>
        <w:t>18.13.</w:t>
      </w:r>
      <w:r>
        <w:rPr>
          <w:rStyle w:val="22"/>
          <w:rFonts w:hint="eastAsia" w:ascii="宋体" w:hAnsi="宋体" w:eastAsia="宋体" w:cs="宋体"/>
          <w:color w:val="000000" w:themeColor="text1"/>
          <w:sz w:val="24"/>
          <w:szCs w:val="24"/>
          <w:highlight w:val="none"/>
          <w14:textFill>
            <w14:solidFill>
              <w14:schemeClr w14:val="tx1"/>
            </w14:solidFill>
          </w14:textFill>
        </w:rPr>
        <w:t>3.4采购人授意供应商撤换、修改响应文件；</w:t>
      </w:r>
    </w:p>
    <w:p w14:paraId="05FA8CD9">
      <w:pPr>
        <w:spacing w:line="360" w:lineRule="auto"/>
        <w:ind w:firstLine="480" w:firstLineChars="200"/>
        <w:rPr>
          <w:rStyle w:val="22"/>
          <w:rFonts w:hint="eastAsia" w:ascii="宋体" w:hAnsi="宋体" w:eastAsia="宋体" w:cs="宋体"/>
          <w:color w:val="000000" w:themeColor="text1"/>
          <w:sz w:val="24"/>
          <w:szCs w:val="24"/>
          <w:highlight w:val="none"/>
          <w14:textFill>
            <w14:solidFill>
              <w14:schemeClr w14:val="tx1"/>
            </w14:solidFill>
          </w14:textFill>
        </w:rPr>
      </w:pPr>
      <w:r>
        <w:rPr>
          <w:rStyle w:val="22"/>
          <w:rFonts w:hint="eastAsia" w:ascii="宋体" w:hAnsi="宋体" w:eastAsia="宋体" w:cs="宋体"/>
          <w:color w:val="000000" w:themeColor="text1"/>
          <w:sz w:val="24"/>
          <w:szCs w:val="24"/>
          <w:highlight w:val="none"/>
          <w:lang w:eastAsia="zh-CN"/>
          <w14:textFill>
            <w14:solidFill>
              <w14:schemeClr w14:val="tx1"/>
            </w14:solidFill>
          </w14:textFill>
        </w:rPr>
        <w:t>18.13.</w:t>
      </w:r>
      <w:r>
        <w:rPr>
          <w:rStyle w:val="22"/>
          <w:rFonts w:hint="eastAsia" w:ascii="宋体" w:hAnsi="宋体" w:eastAsia="宋体" w:cs="宋体"/>
          <w:color w:val="000000" w:themeColor="text1"/>
          <w:sz w:val="24"/>
          <w:szCs w:val="24"/>
          <w:highlight w:val="none"/>
          <w14:textFill>
            <w14:solidFill>
              <w14:schemeClr w14:val="tx1"/>
            </w14:solidFill>
          </w14:textFill>
        </w:rPr>
        <w:t>3.5采购人明示或者暗示供应商为特定供应商中标提供方便；</w:t>
      </w:r>
    </w:p>
    <w:p w14:paraId="3BD9B6AF">
      <w:pPr>
        <w:spacing w:line="360" w:lineRule="auto"/>
        <w:ind w:firstLine="480" w:firstLineChars="200"/>
        <w:rPr>
          <w:rStyle w:val="22"/>
          <w:rFonts w:hint="eastAsia" w:ascii="宋体" w:hAnsi="宋体" w:eastAsia="宋体" w:cs="宋体"/>
          <w:color w:val="000000" w:themeColor="text1"/>
          <w:sz w:val="24"/>
          <w:szCs w:val="24"/>
          <w:highlight w:val="none"/>
          <w14:textFill>
            <w14:solidFill>
              <w14:schemeClr w14:val="tx1"/>
            </w14:solidFill>
          </w14:textFill>
        </w:rPr>
      </w:pPr>
      <w:r>
        <w:rPr>
          <w:rStyle w:val="22"/>
          <w:rFonts w:hint="eastAsia" w:ascii="宋体" w:hAnsi="宋体" w:eastAsia="宋体" w:cs="宋体"/>
          <w:color w:val="000000" w:themeColor="text1"/>
          <w:sz w:val="24"/>
          <w:szCs w:val="24"/>
          <w:highlight w:val="none"/>
          <w:lang w:eastAsia="zh-CN"/>
          <w14:textFill>
            <w14:solidFill>
              <w14:schemeClr w14:val="tx1"/>
            </w14:solidFill>
          </w14:textFill>
        </w:rPr>
        <w:t>18.13.</w:t>
      </w:r>
      <w:r>
        <w:rPr>
          <w:rStyle w:val="22"/>
          <w:rFonts w:hint="eastAsia" w:ascii="宋体" w:hAnsi="宋体" w:eastAsia="宋体" w:cs="宋体"/>
          <w:color w:val="000000" w:themeColor="text1"/>
          <w:sz w:val="24"/>
          <w:szCs w:val="24"/>
          <w:highlight w:val="none"/>
          <w14:textFill>
            <w14:solidFill>
              <w14:schemeClr w14:val="tx1"/>
            </w14:solidFill>
          </w14:textFill>
        </w:rPr>
        <w:t>3.6采购人与供应商为谋求特定供应商中标而采取的其他串通行为。</w:t>
      </w:r>
    </w:p>
    <w:p w14:paraId="5E121C37">
      <w:pPr>
        <w:spacing w:line="360" w:lineRule="auto"/>
        <w:ind w:firstLine="480" w:firstLineChars="200"/>
        <w:rPr>
          <w:rStyle w:val="22"/>
          <w:rFonts w:hint="eastAsia" w:ascii="宋体" w:hAnsi="宋体" w:eastAsia="宋体" w:cs="宋体"/>
          <w:color w:val="000000" w:themeColor="text1"/>
          <w:sz w:val="24"/>
          <w:szCs w:val="24"/>
          <w:highlight w:val="none"/>
          <w14:textFill>
            <w14:solidFill>
              <w14:schemeClr w14:val="tx1"/>
            </w14:solidFill>
          </w14:textFill>
        </w:rPr>
      </w:pPr>
      <w:r>
        <w:rPr>
          <w:rStyle w:val="22"/>
          <w:rFonts w:hint="eastAsia" w:ascii="宋体" w:hAnsi="宋体" w:eastAsia="宋体" w:cs="宋体"/>
          <w:color w:val="000000" w:themeColor="text1"/>
          <w:sz w:val="24"/>
          <w:szCs w:val="24"/>
          <w:highlight w:val="none"/>
          <w14:textFill>
            <w14:solidFill>
              <w14:schemeClr w14:val="tx1"/>
            </w14:solidFill>
          </w14:textFill>
        </w:rPr>
        <w:t>在开标、评审过程中发现以上违法违规情形的，首先由谈判小组作出认定，对认定确有以上违法违规情形的供应商，按无效报价处理，再进入正常评审程序。</w:t>
      </w:r>
    </w:p>
    <w:p w14:paraId="65CA4CD4">
      <w:pPr>
        <w:spacing w:line="360" w:lineRule="auto"/>
        <w:ind w:firstLine="480" w:firstLineChars="200"/>
        <w:rPr>
          <w:rStyle w:val="22"/>
          <w:rFonts w:hint="eastAsia" w:ascii="宋体" w:hAnsi="宋体" w:eastAsia="宋体" w:cs="宋体"/>
          <w:color w:val="000000" w:themeColor="text1"/>
          <w:sz w:val="24"/>
          <w:szCs w:val="24"/>
          <w:highlight w:val="none"/>
          <w14:textFill>
            <w14:solidFill>
              <w14:schemeClr w14:val="tx1"/>
            </w14:solidFill>
          </w14:textFill>
        </w:rPr>
      </w:pPr>
      <w:bookmarkStart w:id="195" w:name="_Toc464831163"/>
      <w:r>
        <w:rPr>
          <w:rStyle w:val="22"/>
          <w:rFonts w:hint="eastAsia" w:ascii="宋体" w:hAnsi="宋体" w:eastAsia="宋体" w:cs="宋体"/>
          <w:color w:val="000000" w:themeColor="text1"/>
          <w:sz w:val="24"/>
          <w:szCs w:val="24"/>
          <w:highlight w:val="none"/>
          <w:lang w:eastAsia="zh-CN"/>
          <w14:textFill>
            <w14:solidFill>
              <w14:schemeClr w14:val="tx1"/>
            </w14:solidFill>
          </w14:textFill>
        </w:rPr>
        <w:t>18.14</w:t>
      </w:r>
      <w:r>
        <w:rPr>
          <w:rStyle w:val="22"/>
          <w:rFonts w:hint="eastAsia" w:ascii="宋体" w:hAnsi="宋体" w:eastAsia="宋体" w:cs="宋体"/>
          <w:color w:val="000000" w:themeColor="text1"/>
          <w:sz w:val="24"/>
          <w:szCs w:val="24"/>
          <w:highlight w:val="none"/>
          <w14:textFill>
            <w14:solidFill>
              <w14:schemeClr w14:val="tx1"/>
            </w14:solidFill>
          </w14:textFill>
        </w:rPr>
        <w:t>违规处理</w:t>
      </w:r>
      <w:bookmarkEnd w:id="195"/>
    </w:p>
    <w:p w14:paraId="1A484E94">
      <w:pPr>
        <w:spacing w:line="360" w:lineRule="auto"/>
        <w:ind w:firstLine="480" w:firstLineChars="200"/>
        <w:rPr>
          <w:rStyle w:val="22"/>
          <w:rFonts w:hint="eastAsia" w:ascii="宋体" w:hAnsi="宋体" w:eastAsia="宋体" w:cs="宋体"/>
          <w:color w:val="000000" w:themeColor="text1"/>
          <w:sz w:val="24"/>
          <w:szCs w:val="24"/>
          <w:highlight w:val="none"/>
          <w14:textFill>
            <w14:solidFill>
              <w14:schemeClr w14:val="tx1"/>
            </w14:solidFill>
          </w14:textFill>
        </w:rPr>
      </w:pPr>
      <w:r>
        <w:rPr>
          <w:rStyle w:val="22"/>
          <w:rFonts w:hint="eastAsia" w:ascii="宋体" w:hAnsi="宋体" w:eastAsia="宋体" w:cs="宋体"/>
          <w:color w:val="000000" w:themeColor="text1"/>
          <w:sz w:val="24"/>
          <w:szCs w:val="24"/>
          <w:highlight w:val="none"/>
          <w14:textFill>
            <w14:solidFill>
              <w14:schemeClr w14:val="tx1"/>
            </w14:solidFill>
          </w14:textFill>
        </w:rPr>
        <w:t>供应商有下列情形之一的，列入不良行为记录名单，在一至三年内禁止参加政府采购活动：</w:t>
      </w:r>
    </w:p>
    <w:p w14:paraId="4CDE94DC">
      <w:pPr>
        <w:spacing w:line="360" w:lineRule="auto"/>
        <w:ind w:firstLine="480" w:firstLineChars="200"/>
        <w:rPr>
          <w:rStyle w:val="22"/>
          <w:rFonts w:hint="eastAsia" w:ascii="宋体" w:hAnsi="宋体" w:eastAsia="宋体" w:cs="宋体"/>
          <w:color w:val="000000" w:themeColor="text1"/>
          <w:sz w:val="24"/>
          <w:szCs w:val="24"/>
          <w:highlight w:val="none"/>
          <w14:textFill>
            <w14:solidFill>
              <w14:schemeClr w14:val="tx1"/>
            </w14:solidFill>
          </w14:textFill>
        </w:rPr>
      </w:pPr>
      <w:r>
        <w:rPr>
          <w:rStyle w:val="22"/>
          <w:rFonts w:hint="eastAsia" w:ascii="宋体" w:hAnsi="宋体" w:eastAsia="宋体" w:cs="宋体"/>
          <w:color w:val="000000" w:themeColor="text1"/>
          <w:sz w:val="24"/>
          <w:szCs w:val="24"/>
          <w:highlight w:val="none"/>
          <w:lang w:eastAsia="zh-CN"/>
          <w14:textFill>
            <w14:solidFill>
              <w14:schemeClr w14:val="tx1"/>
            </w14:solidFill>
          </w14:textFill>
        </w:rPr>
        <w:t>18.14.</w:t>
      </w:r>
      <w:r>
        <w:rPr>
          <w:rStyle w:val="22"/>
          <w:rFonts w:hint="eastAsia" w:ascii="宋体" w:hAnsi="宋体" w:eastAsia="宋体" w:cs="宋体"/>
          <w:color w:val="000000" w:themeColor="text1"/>
          <w:sz w:val="24"/>
          <w:szCs w:val="24"/>
          <w:highlight w:val="none"/>
          <w14:textFill>
            <w14:solidFill>
              <w14:schemeClr w14:val="tx1"/>
            </w14:solidFill>
          </w14:textFill>
        </w:rPr>
        <w:t>1提供虚假报价材料谋取中标、成交的；</w:t>
      </w:r>
    </w:p>
    <w:p w14:paraId="3C4D3EAF">
      <w:pPr>
        <w:spacing w:line="360" w:lineRule="auto"/>
        <w:ind w:firstLine="480" w:firstLineChars="200"/>
        <w:rPr>
          <w:rStyle w:val="22"/>
          <w:rFonts w:hint="eastAsia" w:ascii="宋体" w:hAnsi="宋体" w:eastAsia="宋体" w:cs="宋体"/>
          <w:color w:val="000000" w:themeColor="text1"/>
          <w:sz w:val="24"/>
          <w:szCs w:val="24"/>
          <w:highlight w:val="none"/>
          <w14:textFill>
            <w14:solidFill>
              <w14:schemeClr w14:val="tx1"/>
            </w14:solidFill>
          </w14:textFill>
        </w:rPr>
      </w:pPr>
      <w:r>
        <w:rPr>
          <w:rStyle w:val="22"/>
          <w:rFonts w:hint="eastAsia" w:ascii="宋体" w:hAnsi="宋体" w:eastAsia="宋体" w:cs="宋体"/>
          <w:color w:val="000000" w:themeColor="text1"/>
          <w:sz w:val="24"/>
          <w:szCs w:val="24"/>
          <w:highlight w:val="none"/>
          <w:lang w:eastAsia="zh-CN"/>
          <w14:textFill>
            <w14:solidFill>
              <w14:schemeClr w14:val="tx1"/>
            </w14:solidFill>
          </w14:textFill>
        </w:rPr>
        <w:t>18.14.</w:t>
      </w:r>
      <w:r>
        <w:rPr>
          <w:rStyle w:val="22"/>
          <w:rFonts w:hint="eastAsia" w:ascii="宋体" w:hAnsi="宋体" w:eastAsia="宋体" w:cs="宋体"/>
          <w:color w:val="000000" w:themeColor="text1"/>
          <w:sz w:val="24"/>
          <w:szCs w:val="24"/>
          <w:highlight w:val="none"/>
          <w14:textFill>
            <w14:solidFill>
              <w14:schemeClr w14:val="tx1"/>
            </w14:solidFill>
          </w14:textFill>
        </w:rPr>
        <w:t>2采取不正当手段诋毁、排挤其他供应商的；</w:t>
      </w:r>
    </w:p>
    <w:p w14:paraId="5252FA89">
      <w:pPr>
        <w:ind w:firstLine="480" w:firstLineChars="200"/>
        <w:rPr>
          <w:rStyle w:val="22"/>
          <w:rFonts w:hint="eastAsia" w:ascii="宋体" w:hAnsi="宋体" w:eastAsia="宋体" w:cs="宋体"/>
          <w:color w:val="000000" w:themeColor="text1"/>
          <w:sz w:val="24"/>
          <w:szCs w:val="24"/>
          <w:highlight w:val="none"/>
          <w14:textFill>
            <w14:solidFill>
              <w14:schemeClr w14:val="tx1"/>
            </w14:solidFill>
          </w14:textFill>
        </w:rPr>
      </w:pPr>
      <w:r>
        <w:rPr>
          <w:rStyle w:val="22"/>
          <w:rFonts w:hint="eastAsia" w:ascii="宋体" w:hAnsi="宋体" w:eastAsia="宋体" w:cs="宋体"/>
          <w:color w:val="000000" w:themeColor="text1"/>
          <w:sz w:val="24"/>
          <w:szCs w:val="24"/>
          <w:highlight w:val="none"/>
          <w:lang w:eastAsia="zh-CN"/>
          <w14:textFill>
            <w14:solidFill>
              <w14:schemeClr w14:val="tx1"/>
            </w14:solidFill>
          </w14:textFill>
        </w:rPr>
        <w:t>18.14.</w:t>
      </w:r>
      <w:r>
        <w:rPr>
          <w:rStyle w:val="22"/>
          <w:rFonts w:hint="eastAsia" w:ascii="宋体" w:hAnsi="宋体" w:eastAsia="宋体" w:cs="宋体"/>
          <w:color w:val="000000" w:themeColor="text1"/>
          <w:sz w:val="24"/>
          <w:szCs w:val="24"/>
          <w:highlight w:val="none"/>
          <w14:textFill>
            <w14:solidFill>
              <w14:schemeClr w14:val="tx1"/>
            </w14:solidFill>
          </w14:textFill>
        </w:rPr>
        <w:t>3与采购人、其他供应商或者采购代理机构恶意串通的；</w:t>
      </w:r>
    </w:p>
    <w:bookmarkEnd w:id="181"/>
    <w:p w14:paraId="683642DE">
      <w:pPr>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bookmarkStart w:id="196" w:name="_Toc23416"/>
      <w:bookmarkStart w:id="197" w:name="_Toc11763"/>
      <w:bookmarkStart w:id="198" w:name="_Toc18982"/>
      <w:bookmarkStart w:id="199" w:name="_Toc13664"/>
      <w:bookmarkStart w:id="200" w:name="_Toc22433"/>
      <w:bookmarkStart w:id="201" w:name="_Toc31709"/>
      <w:bookmarkStart w:id="202" w:name="_Toc1945"/>
      <w:r>
        <w:rPr>
          <w:rFonts w:hint="eastAsia" w:ascii="宋体" w:hAnsi="宋体" w:eastAsia="宋体" w:cs="宋体"/>
          <w:color w:val="000000" w:themeColor="text1"/>
          <w:sz w:val="24"/>
          <w:szCs w:val="24"/>
          <w:highlight w:val="none"/>
          <w:lang w:eastAsia="zh-CN"/>
          <w14:textFill>
            <w14:solidFill>
              <w14:schemeClr w14:val="tx1"/>
            </w14:solidFill>
          </w14:textFill>
        </w:rPr>
        <w:t>19.</w:t>
      </w:r>
      <w:r>
        <w:rPr>
          <w:rFonts w:hint="eastAsia" w:ascii="宋体" w:hAnsi="宋体" w:eastAsia="宋体" w:cs="宋体"/>
          <w:color w:val="000000" w:themeColor="text1"/>
          <w:sz w:val="24"/>
          <w:szCs w:val="24"/>
          <w:highlight w:val="none"/>
          <w14:textFill>
            <w14:solidFill>
              <w14:schemeClr w14:val="tx1"/>
            </w14:solidFill>
          </w14:textFill>
        </w:rPr>
        <w:t>质疑</w:t>
      </w:r>
      <w:bookmarkEnd w:id="196"/>
      <w:bookmarkEnd w:id="197"/>
      <w:bookmarkEnd w:id="198"/>
      <w:bookmarkEnd w:id="199"/>
      <w:bookmarkEnd w:id="200"/>
      <w:bookmarkEnd w:id="201"/>
      <w:bookmarkEnd w:id="202"/>
    </w:p>
    <w:p w14:paraId="4D5E668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19.</w:t>
      </w:r>
      <w:r>
        <w:rPr>
          <w:rFonts w:hint="eastAsia" w:ascii="宋体" w:hAnsi="宋体" w:eastAsia="宋体" w:cs="宋体"/>
          <w:color w:val="000000" w:themeColor="text1"/>
          <w:sz w:val="24"/>
          <w:szCs w:val="24"/>
          <w:highlight w:val="none"/>
          <w14:textFill>
            <w14:solidFill>
              <w14:schemeClr w14:val="tx1"/>
            </w14:solidFill>
          </w14:textFill>
        </w:rPr>
        <w:t>1参加本次政府采购活动的供应商认为采购文件、采购过程和成交结果使自己的权益受到损害的，可以在知道或者应知道其权益受到损害之日起7个工作日内，以书面形式向采购人或者采购代理机构提出质疑。</w:t>
      </w:r>
    </w:p>
    <w:p w14:paraId="7175BE5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19.</w:t>
      </w:r>
      <w:r>
        <w:rPr>
          <w:rFonts w:hint="eastAsia" w:ascii="宋体" w:hAnsi="宋体" w:eastAsia="宋体" w:cs="宋体"/>
          <w:color w:val="000000" w:themeColor="text1"/>
          <w:sz w:val="24"/>
          <w:szCs w:val="24"/>
          <w:highlight w:val="none"/>
          <w14:textFill>
            <w14:solidFill>
              <w14:schemeClr w14:val="tx1"/>
            </w14:solidFill>
          </w14:textFill>
        </w:rPr>
        <w:t>2质疑书内容应包括以下主要内容：</w:t>
      </w:r>
    </w:p>
    <w:p w14:paraId="2CBB312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19.</w:t>
      </w:r>
      <w:r>
        <w:rPr>
          <w:rFonts w:hint="eastAsia" w:ascii="宋体" w:hAnsi="宋体" w:eastAsia="宋体" w:cs="宋体"/>
          <w:color w:val="000000" w:themeColor="text1"/>
          <w:sz w:val="24"/>
          <w:szCs w:val="24"/>
          <w:highlight w:val="none"/>
          <w14:textFill>
            <w14:solidFill>
              <w14:schemeClr w14:val="tx1"/>
            </w14:solidFill>
          </w14:textFill>
        </w:rPr>
        <w:t>2.1质疑人的名称、地址、电话等；</w:t>
      </w:r>
    </w:p>
    <w:p w14:paraId="5928180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19.</w:t>
      </w:r>
      <w:r>
        <w:rPr>
          <w:rFonts w:hint="eastAsia" w:ascii="宋体" w:hAnsi="宋体" w:eastAsia="宋体" w:cs="宋体"/>
          <w:color w:val="000000" w:themeColor="text1"/>
          <w:sz w:val="24"/>
          <w:szCs w:val="24"/>
          <w:highlight w:val="none"/>
          <w14:textFill>
            <w14:solidFill>
              <w14:schemeClr w14:val="tx1"/>
            </w14:solidFill>
          </w14:textFill>
        </w:rPr>
        <w:t>2.2具体的质疑事项、证据以及法律、法规依据；</w:t>
      </w:r>
    </w:p>
    <w:p w14:paraId="565851B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19.</w:t>
      </w:r>
      <w:r>
        <w:rPr>
          <w:rFonts w:hint="eastAsia" w:ascii="宋体" w:hAnsi="宋体" w:eastAsia="宋体" w:cs="宋体"/>
          <w:color w:val="000000" w:themeColor="text1"/>
          <w:sz w:val="24"/>
          <w:szCs w:val="24"/>
          <w:highlight w:val="none"/>
          <w14:textFill>
            <w14:solidFill>
              <w14:schemeClr w14:val="tx1"/>
            </w14:solidFill>
          </w14:textFill>
        </w:rPr>
        <w:t>2.3提出质疑的日期。</w:t>
      </w:r>
    </w:p>
    <w:p w14:paraId="51F3FA2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19.</w:t>
      </w:r>
      <w:r>
        <w:rPr>
          <w:rFonts w:hint="eastAsia" w:ascii="宋体" w:hAnsi="宋体" w:eastAsia="宋体" w:cs="宋体"/>
          <w:color w:val="000000" w:themeColor="text1"/>
          <w:sz w:val="24"/>
          <w:szCs w:val="24"/>
          <w:highlight w:val="none"/>
          <w14:textFill>
            <w14:solidFill>
              <w14:schemeClr w14:val="tx1"/>
            </w14:solidFill>
          </w14:textFill>
        </w:rPr>
        <w:t>3质疑书应当署名，一式叁份。由法定代表人或者主要负责人签字并加盖公章后生效。代理人办理质疑事务时，还应当提交授权委托书，授权委托书应当载明代理的具体权限和事项。否则采购人或者采购代理机构不予受理。</w:t>
      </w:r>
    </w:p>
    <w:p w14:paraId="726972C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19.</w:t>
      </w:r>
      <w:r>
        <w:rPr>
          <w:rFonts w:hint="eastAsia" w:ascii="宋体" w:hAnsi="宋体" w:eastAsia="宋体" w:cs="宋体"/>
          <w:color w:val="000000" w:themeColor="text1"/>
          <w:sz w:val="24"/>
          <w:szCs w:val="24"/>
          <w:highlight w:val="none"/>
          <w14:textFill>
            <w14:solidFill>
              <w14:schemeClr w14:val="tx1"/>
            </w14:solidFill>
          </w14:textFill>
        </w:rPr>
        <w:t>4除书面形式外，其他任何方式的质疑，采购人或者采购代理机构均不予接受和回复。</w:t>
      </w:r>
    </w:p>
    <w:p w14:paraId="2EE0E6A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19.</w:t>
      </w:r>
      <w:r>
        <w:rPr>
          <w:rFonts w:hint="eastAsia" w:ascii="宋体" w:hAnsi="宋体" w:eastAsia="宋体" w:cs="宋体"/>
          <w:color w:val="000000" w:themeColor="text1"/>
          <w:sz w:val="24"/>
          <w:szCs w:val="24"/>
          <w:highlight w:val="none"/>
          <w14:textFill>
            <w14:solidFill>
              <w14:schemeClr w14:val="tx1"/>
            </w14:solidFill>
          </w14:textFill>
        </w:rPr>
        <w:t>5采购人或者采购代理机构在收到质疑书后7个工作日内做出书面答复，并以书面形式通知质疑人和其他有关供应商，但答复不得涉及商业秘密。</w:t>
      </w:r>
    </w:p>
    <w:p w14:paraId="545DF1F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19.</w:t>
      </w:r>
      <w:r>
        <w:rPr>
          <w:rFonts w:hint="eastAsia" w:ascii="宋体" w:hAnsi="宋体" w:eastAsia="宋体" w:cs="宋体"/>
          <w:color w:val="000000" w:themeColor="text1"/>
          <w:sz w:val="24"/>
          <w:szCs w:val="24"/>
          <w:highlight w:val="none"/>
          <w14:textFill>
            <w14:solidFill>
              <w14:schemeClr w14:val="tx1"/>
            </w14:solidFill>
          </w14:textFill>
        </w:rPr>
        <w:t>6质疑人对采购人、采购代理机构的答复不满意或者采购人、采购代理机构未在规定的时间内做出答复的，可以在答复期满后15个工作日内向同级监管部门投诉。</w:t>
      </w:r>
    </w:p>
    <w:p w14:paraId="1871709E">
      <w:pPr>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bookmarkStart w:id="203" w:name="_Toc464831147"/>
      <w:bookmarkStart w:id="204" w:name="_Toc26387"/>
      <w:bookmarkStart w:id="205" w:name="_Toc2813"/>
      <w:bookmarkStart w:id="206" w:name="_Toc12107"/>
      <w:bookmarkStart w:id="207" w:name="_Toc21136"/>
      <w:bookmarkStart w:id="208" w:name="_Toc24865"/>
      <w:bookmarkStart w:id="209" w:name="_Toc9727"/>
      <w:bookmarkStart w:id="210" w:name="_Toc12366"/>
      <w:r>
        <w:rPr>
          <w:rFonts w:hint="eastAsia" w:ascii="宋体" w:hAnsi="宋体" w:eastAsia="宋体" w:cs="宋体"/>
          <w:color w:val="000000" w:themeColor="text1"/>
          <w:sz w:val="24"/>
          <w:szCs w:val="24"/>
          <w:highlight w:val="none"/>
          <w:lang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投诉</w:t>
      </w:r>
      <w:bookmarkEnd w:id="203"/>
      <w:bookmarkEnd w:id="204"/>
      <w:bookmarkEnd w:id="205"/>
      <w:bookmarkEnd w:id="206"/>
      <w:bookmarkEnd w:id="207"/>
      <w:bookmarkEnd w:id="208"/>
      <w:bookmarkEnd w:id="209"/>
      <w:bookmarkEnd w:id="210"/>
    </w:p>
    <w:p w14:paraId="2B66429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1按照《中华人民共和国政府采购法》、财政部</w:t>
      </w:r>
      <w:r>
        <w:rPr>
          <w:rFonts w:hint="eastAsia" w:ascii="宋体" w:hAnsi="宋体" w:eastAsia="宋体" w:cs="宋体"/>
          <w:color w:val="000000" w:themeColor="text1"/>
          <w:sz w:val="24"/>
          <w:szCs w:val="24"/>
          <w:highlight w:val="none"/>
          <w:lang w:eastAsia="zh-CN"/>
          <w14:textFill>
            <w14:solidFill>
              <w14:schemeClr w14:val="tx1"/>
            </w14:solidFill>
          </w14:textFill>
        </w:rPr>
        <w:t>《政府采购质疑和投诉办法》（财政部令第94号）</w:t>
      </w:r>
      <w:r>
        <w:rPr>
          <w:rFonts w:hint="eastAsia" w:ascii="宋体" w:hAnsi="宋体" w:eastAsia="宋体" w:cs="宋体"/>
          <w:color w:val="000000" w:themeColor="text1"/>
          <w:sz w:val="24"/>
          <w:szCs w:val="24"/>
          <w:highlight w:val="none"/>
          <w14:textFill>
            <w14:solidFill>
              <w14:schemeClr w14:val="tx1"/>
            </w14:solidFill>
          </w14:textFill>
        </w:rPr>
        <w:t>文件以及相关的法律、法规及规定，质疑人对采购人、采购代理机构的答复不满意或者采购人、采购代理机构未在规定的时间内做出答复的，可以在答复期满后15个工作日内向同级监管部门投诉。</w:t>
      </w:r>
    </w:p>
    <w:p w14:paraId="1703B13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2投诉人提起投诉应符合下列条件：</w:t>
      </w:r>
    </w:p>
    <w:p w14:paraId="625F277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2.1投诉人是参与所投诉政府采购活动的供应商；</w:t>
      </w:r>
    </w:p>
    <w:p w14:paraId="24C0134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2.2提起投诉前已依法进行质疑；</w:t>
      </w:r>
    </w:p>
    <w:p w14:paraId="727E7F5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2.3投诉书内容符合财政部</w:t>
      </w:r>
      <w:r>
        <w:rPr>
          <w:rFonts w:hint="eastAsia" w:ascii="宋体" w:hAnsi="宋体" w:eastAsia="宋体" w:cs="宋体"/>
          <w:color w:val="000000" w:themeColor="text1"/>
          <w:sz w:val="24"/>
          <w:szCs w:val="24"/>
          <w:highlight w:val="none"/>
          <w:lang w:eastAsia="zh-CN"/>
          <w14:textFill>
            <w14:solidFill>
              <w14:schemeClr w14:val="tx1"/>
            </w14:solidFill>
          </w14:textFill>
        </w:rPr>
        <w:t>《政府采购质疑和投诉办法》（财政部令第94号</w:t>
      </w:r>
      <w:r>
        <w:rPr>
          <w:rFonts w:hint="eastAsia" w:ascii="宋体" w:hAnsi="宋体" w:eastAsia="宋体" w:cs="宋体"/>
          <w:color w:val="000000" w:themeColor="text1"/>
          <w:sz w:val="24"/>
          <w:szCs w:val="24"/>
          <w:highlight w:val="none"/>
          <w14:textFill>
            <w14:solidFill>
              <w14:schemeClr w14:val="tx1"/>
            </w14:solidFill>
          </w14:textFill>
        </w:rPr>
        <w:t>规定；</w:t>
      </w:r>
    </w:p>
    <w:p w14:paraId="7ED284E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2.4在投诉有效期限内提起投诉；</w:t>
      </w:r>
    </w:p>
    <w:p w14:paraId="0673DCB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2.5属于本财政部门管辖；</w:t>
      </w:r>
    </w:p>
    <w:p w14:paraId="5B377B6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2.6同一投诉事项未经财政部门投诉处理；</w:t>
      </w:r>
    </w:p>
    <w:p w14:paraId="2F4BB19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2.7法律法规规定的其他条件。</w:t>
      </w:r>
    </w:p>
    <w:p w14:paraId="0C65D6A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3投诉人投诉时，应当提交投诉书，并按照被投诉采购人、采购代理机构和与投诉事项有关的供应商数量提供投诉书的副本。</w:t>
      </w:r>
    </w:p>
    <w:p w14:paraId="448BCAC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4投诉书应当包括以下主要内容：</w:t>
      </w:r>
    </w:p>
    <w:p w14:paraId="6A8D411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4.1投诉人和被投诉人的名称、地址、电话等；</w:t>
      </w:r>
    </w:p>
    <w:p w14:paraId="4A8779C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4.2具体的投诉事宜以及事实依据；</w:t>
      </w:r>
    </w:p>
    <w:p w14:paraId="1FAA38C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4.3质疑书和质疑答复情况以及相关证明材料；</w:t>
      </w:r>
    </w:p>
    <w:p w14:paraId="0FAD3AB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4.4提起投诉的日期。</w:t>
      </w:r>
    </w:p>
    <w:p w14:paraId="5674E83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5投诉书应当署名。投诉人为自然人的，应当由本人签字；投诉人为法人或者其他组织的，应当由法定代表人或者主要负责人签字盖章并加盖公章。</w:t>
      </w:r>
    </w:p>
    <w:p w14:paraId="4ACEC1E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6投诉人可以委托代理人办理投诉事务。代理人办理投诉事务时，除提交投诉书外，还应当向同级监管部门提交投诉人的授权委托书，授权委托书应当载明委托代理的具体权限和事项。</w:t>
      </w:r>
    </w:p>
    <w:p w14:paraId="3BE3B67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7投诉人不符合上述规定提起的投诉，监管部门不予受理。</w:t>
      </w:r>
    </w:p>
    <w:p w14:paraId="69F5957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7D64F2E2">
      <w:pPr>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bookmarkStart w:id="211" w:name="_Toc9061"/>
      <w:bookmarkStart w:id="212" w:name="_Toc12370"/>
      <w:bookmarkStart w:id="213" w:name="_Toc464831148"/>
      <w:bookmarkStart w:id="214" w:name="_Toc9117"/>
      <w:bookmarkStart w:id="215" w:name="_Toc6531"/>
      <w:bookmarkStart w:id="216" w:name="_Toc12119"/>
      <w:bookmarkStart w:id="217" w:name="_Toc2240"/>
      <w:bookmarkStart w:id="218" w:name="_Toc357"/>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.其他需补充的内容</w:t>
      </w:r>
      <w:bookmarkEnd w:id="211"/>
      <w:bookmarkEnd w:id="212"/>
      <w:bookmarkEnd w:id="213"/>
      <w:bookmarkEnd w:id="214"/>
      <w:bookmarkEnd w:id="215"/>
      <w:bookmarkEnd w:id="216"/>
      <w:bookmarkEnd w:id="217"/>
      <w:bookmarkEnd w:id="218"/>
    </w:p>
    <w:p w14:paraId="5941D160">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其他需补充的内容：见供应商须知前附表。</w:t>
      </w:r>
    </w:p>
    <w:p w14:paraId="69438000">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14:paraId="0F8E49B4">
      <w:pP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14:paraId="74C572E6">
      <w:pPr>
        <w:rPr>
          <w:rFonts w:hint="eastAsia" w:ascii="宋体" w:hAnsi="宋体" w:eastAsia="宋体" w:cs="宋体"/>
          <w:color w:val="000000" w:themeColor="text1"/>
          <w:sz w:val="28"/>
          <w:szCs w:val="28"/>
          <w:highlight w:val="none"/>
          <w14:textFill>
            <w14:solidFill>
              <w14:schemeClr w14:val="tx1"/>
            </w14:solidFill>
          </w14:textFill>
        </w:rPr>
        <w:sectPr>
          <w:footerReference r:id="rId5" w:type="default"/>
          <w:pgSz w:w="11906" w:h="16838"/>
          <w:pgMar w:top="1440" w:right="1800" w:bottom="1440" w:left="1800" w:header="851" w:footer="992" w:gutter="0"/>
          <w:pgNumType w:fmt="decimal" w:start="1"/>
          <w:cols w:space="720" w:num="1"/>
          <w:docGrid w:type="lines" w:linePitch="312" w:charSpace="0"/>
        </w:sectPr>
      </w:pPr>
    </w:p>
    <w:p w14:paraId="20532C6B">
      <w:pPr>
        <w:numPr>
          <w:ilvl w:val="0"/>
          <w:numId w:val="0"/>
        </w:numPr>
        <w:ind w:leftChars="0"/>
        <w:jc w:val="center"/>
        <w:outlineLvl w:val="0"/>
        <w:rPr>
          <w:rFonts w:hint="eastAsia" w:ascii="宋体" w:hAnsi="宋体" w:cs="宋体"/>
          <w:b/>
          <w:bCs/>
          <w:color w:val="000000" w:themeColor="text1"/>
          <w:sz w:val="52"/>
          <w:szCs w:val="52"/>
          <w:highlight w:val="none"/>
          <w:lang w:val="en-US" w:eastAsia="zh-CN"/>
          <w14:textFill>
            <w14:solidFill>
              <w14:schemeClr w14:val="tx1"/>
            </w14:solidFill>
          </w14:textFill>
        </w:rPr>
      </w:pPr>
      <w:bookmarkStart w:id="219" w:name="_Toc7146"/>
      <w:bookmarkStart w:id="220" w:name="_Toc17250"/>
      <w:bookmarkStart w:id="221" w:name="_Toc31203"/>
      <w:bookmarkStart w:id="222" w:name="_Toc2308"/>
      <w:bookmarkStart w:id="223" w:name="_Toc494455916"/>
      <w:bookmarkStart w:id="224" w:name="_Toc11123"/>
      <w:bookmarkStart w:id="225" w:name="_Toc1698"/>
      <w:bookmarkStart w:id="226" w:name="_Toc25369"/>
      <w:bookmarkStart w:id="227" w:name="_Toc6661"/>
      <w:bookmarkStart w:id="228" w:name="_Toc21512"/>
      <w:bookmarkStart w:id="229" w:name="_Toc3784"/>
      <w:bookmarkStart w:id="230" w:name="_Toc27181"/>
      <w:bookmarkStart w:id="231" w:name="_Toc23930"/>
    </w:p>
    <w:p w14:paraId="3C1F9532">
      <w:pPr>
        <w:numPr>
          <w:ilvl w:val="0"/>
          <w:numId w:val="0"/>
        </w:numPr>
        <w:ind w:leftChars="0"/>
        <w:jc w:val="center"/>
        <w:outlineLvl w:val="0"/>
        <w:rPr>
          <w:rFonts w:hint="eastAsia" w:ascii="宋体" w:hAnsi="宋体" w:cs="宋体"/>
          <w:b/>
          <w:bCs/>
          <w:color w:val="000000" w:themeColor="text1"/>
          <w:sz w:val="52"/>
          <w:szCs w:val="52"/>
          <w:highlight w:val="none"/>
          <w:lang w:val="en-US" w:eastAsia="zh-CN"/>
          <w14:textFill>
            <w14:solidFill>
              <w14:schemeClr w14:val="tx1"/>
            </w14:solidFill>
          </w14:textFill>
        </w:rPr>
      </w:pPr>
    </w:p>
    <w:p w14:paraId="318B8D2C">
      <w:pPr>
        <w:numPr>
          <w:ilvl w:val="0"/>
          <w:numId w:val="0"/>
        </w:numPr>
        <w:ind w:leftChars="0"/>
        <w:jc w:val="center"/>
        <w:outlineLvl w:val="0"/>
        <w:rPr>
          <w:rFonts w:hint="eastAsia" w:ascii="宋体" w:hAnsi="宋体" w:cs="宋体"/>
          <w:b/>
          <w:bCs/>
          <w:color w:val="000000" w:themeColor="text1"/>
          <w:sz w:val="52"/>
          <w:szCs w:val="52"/>
          <w:highlight w:val="none"/>
          <w:lang w:val="en-US" w:eastAsia="zh-CN"/>
          <w14:textFill>
            <w14:solidFill>
              <w14:schemeClr w14:val="tx1"/>
            </w14:solidFill>
          </w14:textFill>
        </w:rPr>
      </w:pPr>
    </w:p>
    <w:p w14:paraId="77BC822A">
      <w:pPr>
        <w:numPr>
          <w:ilvl w:val="0"/>
          <w:numId w:val="0"/>
        </w:numPr>
        <w:ind w:leftChars="0"/>
        <w:jc w:val="both"/>
        <w:outlineLvl w:val="0"/>
        <w:rPr>
          <w:rFonts w:hint="eastAsia" w:ascii="宋体" w:hAnsi="宋体" w:cs="宋体"/>
          <w:b/>
          <w:bCs/>
          <w:color w:val="000000" w:themeColor="text1"/>
          <w:sz w:val="52"/>
          <w:szCs w:val="52"/>
          <w:highlight w:val="none"/>
          <w:lang w:val="en-US" w:eastAsia="zh-CN"/>
          <w14:textFill>
            <w14:solidFill>
              <w14:schemeClr w14:val="tx1"/>
            </w14:solidFill>
          </w14:textFill>
        </w:rPr>
      </w:pPr>
    </w:p>
    <w:p w14:paraId="6446244D">
      <w:pPr>
        <w:numPr>
          <w:ilvl w:val="0"/>
          <w:numId w:val="0"/>
        </w:numPr>
        <w:ind w:leftChars="0"/>
        <w:jc w:val="center"/>
        <w:outlineLvl w:val="0"/>
        <w:rPr>
          <w:rFonts w:hint="eastAsia" w:ascii="宋体" w:hAnsi="宋体" w:cs="宋体"/>
          <w:b/>
          <w:bCs/>
          <w:color w:val="000000" w:themeColor="text1"/>
          <w:sz w:val="52"/>
          <w:szCs w:val="52"/>
          <w:highlight w:val="none"/>
          <w:lang w:val="en-US" w:eastAsia="zh-CN"/>
          <w14:textFill>
            <w14:solidFill>
              <w14:schemeClr w14:val="tx1"/>
            </w14:solidFill>
          </w14:textFill>
        </w:rPr>
      </w:pPr>
    </w:p>
    <w:p w14:paraId="10C96008">
      <w:pPr>
        <w:numPr>
          <w:ilvl w:val="0"/>
          <w:numId w:val="0"/>
        </w:numPr>
        <w:ind w:leftChars="0"/>
        <w:jc w:val="center"/>
        <w:outlineLvl w:val="0"/>
        <w:rPr>
          <w:rFonts w:hint="eastAsia" w:ascii="宋体" w:hAnsi="宋体" w:cs="宋体"/>
          <w:b/>
          <w:bCs/>
          <w:color w:val="000000" w:themeColor="text1"/>
          <w:sz w:val="52"/>
          <w:szCs w:val="52"/>
          <w:highlight w:val="none"/>
          <w:lang w:val="en-US" w:eastAsia="zh-CN"/>
          <w14:textFill>
            <w14:solidFill>
              <w14:schemeClr w14:val="tx1"/>
            </w14:solidFill>
          </w14:textFill>
        </w:rPr>
      </w:pPr>
    </w:p>
    <w:p w14:paraId="1A60614D">
      <w:pPr>
        <w:numPr>
          <w:ilvl w:val="0"/>
          <w:numId w:val="0"/>
        </w:numPr>
        <w:ind w:left="0" w:leftChars="0" w:firstLine="0" w:firstLineChars="0"/>
        <w:jc w:val="center"/>
        <w:outlineLvl w:val="0"/>
        <w:rPr>
          <w:rFonts w:hint="eastAsia" w:ascii="宋体" w:hAnsi="宋体" w:eastAsia="宋体" w:cs="宋体"/>
          <w:b/>
          <w:bCs/>
          <w:color w:val="000000" w:themeColor="text1"/>
          <w:sz w:val="52"/>
          <w:szCs w:val="52"/>
          <w:highlight w:val="none"/>
          <w:lang w:val="en-US" w:eastAsia="zh-CN"/>
          <w14:textFill>
            <w14:solidFill>
              <w14:schemeClr w14:val="tx1"/>
            </w14:solidFill>
          </w14:textFill>
        </w:rPr>
      </w:pPr>
      <w:r>
        <w:rPr>
          <w:rFonts w:hint="eastAsia" w:ascii="宋体" w:hAnsi="宋体" w:eastAsia="宋体" w:cs="宋体"/>
          <w:b/>
          <w:bCs/>
          <w:color w:val="000000" w:themeColor="text1"/>
          <w:kern w:val="2"/>
          <w:sz w:val="52"/>
          <w:szCs w:val="52"/>
          <w:lang w:val="en-US" w:eastAsia="zh-CN" w:bidi="ar-SA"/>
          <w14:textFill>
            <w14:solidFill>
              <w14:schemeClr w14:val="tx1"/>
            </w14:solidFill>
          </w14:textFill>
        </w:rPr>
        <w:t>第</w:t>
      </w:r>
      <w:r>
        <w:rPr>
          <w:rFonts w:hint="eastAsia" w:ascii="宋体" w:hAnsi="宋体" w:cs="宋体"/>
          <w:b/>
          <w:bCs/>
          <w:color w:val="000000" w:themeColor="text1"/>
          <w:kern w:val="2"/>
          <w:sz w:val="52"/>
          <w:szCs w:val="52"/>
          <w:lang w:val="en-US" w:eastAsia="zh-CN" w:bidi="ar-SA"/>
          <w14:textFill>
            <w14:solidFill>
              <w14:schemeClr w14:val="tx1"/>
            </w14:solidFill>
          </w14:textFill>
        </w:rPr>
        <w:t>三</w:t>
      </w:r>
      <w:r>
        <w:rPr>
          <w:rFonts w:hint="eastAsia" w:ascii="宋体" w:hAnsi="宋体" w:eastAsia="宋体" w:cs="宋体"/>
          <w:b/>
          <w:bCs/>
          <w:color w:val="000000" w:themeColor="text1"/>
          <w:kern w:val="2"/>
          <w:sz w:val="52"/>
          <w:szCs w:val="52"/>
          <w:lang w:val="en-US" w:eastAsia="zh-CN" w:bidi="ar-SA"/>
          <w14:textFill>
            <w14:solidFill>
              <w14:schemeClr w14:val="tx1"/>
            </w14:solidFill>
          </w14:textFill>
        </w:rPr>
        <w:t>章</w:t>
      </w:r>
      <w:r>
        <w:rPr>
          <w:rFonts w:hint="eastAsia" w:ascii="宋体" w:hAnsi="宋体" w:eastAsia="宋体" w:cs="宋体"/>
          <w:b/>
          <w:bCs/>
          <w:color w:val="000000" w:themeColor="text1"/>
          <w:sz w:val="52"/>
          <w:szCs w:val="52"/>
          <w:highlight w:val="none"/>
          <w:lang w:val="en-US" w:eastAsia="zh-CN"/>
          <w14:textFill>
            <w14:solidFill>
              <w14:schemeClr w14:val="tx1"/>
            </w14:solidFill>
          </w14:textFill>
        </w:rPr>
        <w:t>工程量清单</w:t>
      </w:r>
      <w:bookmarkEnd w:id="219"/>
      <w:bookmarkEnd w:id="220"/>
    </w:p>
    <w:p w14:paraId="173FCE9C">
      <w:pPr>
        <w:numPr>
          <w:ilvl w:val="0"/>
          <w:numId w:val="0"/>
        </w:numPr>
        <w:ind w:left="0" w:leftChars="0" w:firstLine="0" w:firstLineChars="0"/>
        <w:jc w:val="center"/>
        <w:outlineLvl w:val="0"/>
        <w:rPr>
          <w:rFonts w:hint="eastAsia" w:ascii="宋体" w:hAnsi="宋体" w:cs="宋体"/>
          <w:b w:val="0"/>
          <w:bCs w:val="0"/>
          <w:color w:val="000000" w:themeColor="text1"/>
          <w:sz w:val="24"/>
          <w:szCs w:val="24"/>
          <w:highlight w:val="none"/>
          <w:lang w:val="en-US" w:eastAsia="zh-CN"/>
          <w14:textFill>
            <w14:solidFill>
              <w14:schemeClr w14:val="tx1"/>
            </w14:solidFill>
          </w14:textFill>
        </w:rPr>
      </w:pPr>
    </w:p>
    <w:p w14:paraId="0F45B6C6">
      <w:pPr>
        <w:numPr>
          <w:ilvl w:val="0"/>
          <w:numId w:val="0"/>
        </w:numPr>
        <w:ind w:left="0" w:leftChars="0" w:firstLine="0" w:firstLineChars="0"/>
        <w:jc w:val="center"/>
        <w:outlineLvl w:val="0"/>
        <w:rPr>
          <w:rFonts w:hint="eastAsia" w:ascii="宋体" w:hAnsi="宋体" w:cs="宋体"/>
          <w:b w:val="0"/>
          <w:bCs w:val="0"/>
          <w:color w:val="000000" w:themeColor="text1"/>
          <w:sz w:val="24"/>
          <w:szCs w:val="24"/>
          <w:highlight w:val="none"/>
          <w:lang w:val="en-US" w:eastAsia="zh-CN"/>
          <w14:textFill>
            <w14:solidFill>
              <w14:schemeClr w14:val="tx1"/>
            </w14:solidFill>
          </w14:textFill>
        </w:rPr>
      </w:pPr>
    </w:p>
    <w:p w14:paraId="79DEC0C4">
      <w:pPr>
        <w:numPr>
          <w:ilvl w:val="0"/>
          <w:numId w:val="0"/>
        </w:numPr>
        <w:ind w:left="0" w:leftChars="0" w:firstLine="0" w:firstLineChars="0"/>
        <w:jc w:val="center"/>
        <w:outlineLvl w:val="0"/>
        <w:rPr>
          <w:rFonts w:hint="eastAsia" w:ascii="宋体" w:hAnsi="宋体" w:cs="宋体"/>
          <w:b w:val="0"/>
          <w:bCs w:val="0"/>
          <w:color w:val="000000" w:themeColor="text1"/>
          <w:sz w:val="24"/>
          <w:szCs w:val="24"/>
          <w:highlight w:val="none"/>
          <w:lang w:val="en-US" w:eastAsia="zh-CN"/>
          <w14:textFill>
            <w14:solidFill>
              <w14:schemeClr w14:val="tx1"/>
            </w14:solidFill>
          </w14:textFill>
        </w:rPr>
      </w:pPr>
    </w:p>
    <w:p w14:paraId="1DB15584">
      <w:pPr>
        <w:numPr>
          <w:ilvl w:val="0"/>
          <w:numId w:val="0"/>
        </w:numPr>
        <w:ind w:left="0" w:leftChars="0" w:firstLine="0" w:firstLineChars="0"/>
        <w:jc w:val="center"/>
        <w:outlineLvl w:val="0"/>
        <w:rPr>
          <w:rFonts w:hint="eastAsia" w:ascii="宋体" w:hAnsi="宋体" w:cs="宋体"/>
          <w:b w:val="0"/>
          <w:bCs w:val="0"/>
          <w:color w:val="000000" w:themeColor="text1"/>
          <w:sz w:val="24"/>
          <w:szCs w:val="24"/>
          <w:highlight w:val="none"/>
          <w:lang w:val="en-US" w:eastAsia="zh-CN"/>
          <w14:textFill>
            <w14:solidFill>
              <w14:schemeClr w14:val="tx1"/>
            </w14:solidFill>
          </w14:textFill>
        </w:rPr>
      </w:pPr>
    </w:p>
    <w:p w14:paraId="7A1E53D1">
      <w:pPr>
        <w:numPr>
          <w:ilvl w:val="0"/>
          <w:numId w:val="0"/>
        </w:numPr>
        <w:ind w:left="0" w:leftChars="0" w:firstLine="0" w:firstLineChars="0"/>
        <w:jc w:val="center"/>
        <w:outlineLvl w:val="0"/>
        <w:rPr>
          <w:rFonts w:hint="eastAsia" w:ascii="宋体" w:hAnsi="宋体" w:cs="宋体"/>
          <w:b w:val="0"/>
          <w:bCs w:val="0"/>
          <w:color w:val="000000" w:themeColor="text1"/>
          <w:sz w:val="24"/>
          <w:szCs w:val="24"/>
          <w:highlight w:val="none"/>
          <w:lang w:val="en-US" w:eastAsia="zh-CN"/>
          <w14:textFill>
            <w14:solidFill>
              <w14:schemeClr w14:val="tx1"/>
            </w14:solidFill>
          </w14:textFill>
        </w:rPr>
      </w:pPr>
    </w:p>
    <w:p w14:paraId="7945BD49">
      <w:pPr>
        <w:numPr>
          <w:ilvl w:val="0"/>
          <w:numId w:val="0"/>
        </w:numPr>
        <w:ind w:left="0" w:leftChars="0" w:firstLine="0" w:firstLineChars="0"/>
        <w:jc w:val="center"/>
        <w:outlineLvl w:val="0"/>
        <w:rPr>
          <w:rFonts w:hint="eastAsia" w:ascii="宋体" w:hAnsi="宋体" w:cs="宋体"/>
          <w:b w:val="0"/>
          <w:bCs w:val="0"/>
          <w:color w:val="000000" w:themeColor="text1"/>
          <w:sz w:val="24"/>
          <w:szCs w:val="24"/>
          <w:highlight w:val="none"/>
          <w:lang w:val="en-US" w:eastAsia="zh-CN"/>
          <w14:textFill>
            <w14:solidFill>
              <w14:schemeClr w14:val="tx1"/>
            </w14:solidFill>
          </w14:textFill>
        </w:rPr>
      </w:pPr>
    </w:p>
    <w:p w14:paraId="71534ACE">
      <w:pPr>
        <w:numPr>
          <w:ilvl w:val="0"/>
          <w:numId w:val="0"/>
        </w:numPr>
        <w:ind w:left="0" w:leftChars="0" w:firstLine="0" w:firstLineChars="0"/>
        <w:jc w:val="center"/>
        <w:outlineLvl w:val="0"/>
        <w:rPr>
          <w:rFonts w:hint="eastAsia" w:ascii="宋体" w:hAnsi="宋体" w:cs="宋体"/>
          <w:b w:val="0"/>
          <w:bCs w:val="0"/>
          <w:color w:val="000000" w:themeColor="text1"/>
          <w:sz w:val="24"/>
          <w:szCs w:val="24"/>
          <w:highlight w:val="none"/>
          <w:lang w:val="en-US" w:eastAsia="zh-CN"/>
          <w14:textFill>
            <w14:solidFill>
              <w14:schemeClr w14:val="tx1"/>
            </w14:solidFill>
          </w14:textFill>
        </w:rPr>
      </w:pPr>
    </w:p>
    <w:p w14:paraId="1ADCDAD4">
      <w:pPr>
        <w:numPr>
          <w:ilvl w:val="0"/>
          <w:numId w:val="0"/>
        </w:numPr>
        <w:ind w:left="0" w:leftChars="0" w:firstLine="0" w:firstLineChars="0"/>
        <w:jc w:val="center"/>
        <w:outlineLvl w:val="0"/>
        <w:rPr>
          <w:rFonts w:hint="eastAsia" w:ascii="宋体" w:hAnsi="宋体" w:cs="宋体"/>
          <w:b w:val="0"/>
          <w:bCs w:val="0"/>
          <w:color w:val="000000" w:themeColor="text1"/>
          <w:sz w:val="24"/>
          <w:szCs w:val="24"/>
          <w:highlight w:val="none"/>
          <w:lang w:val="en-US" w:eastAsia="zh-CN"/>
          <w14:textFill>
            <w14:solidFill>
              <w14:schemeClr w14:val="tx1"/>
            </w14:solidFill>
          </w14:textFill>
        </w:rPr>
      </w:pPr>
    </w:p>
    <w:p w14:paraId="33E5A4C3">
      <w:pPr>
        <w:numPr>
          <w:ilvl w:val="0"/>
          <w:numId w:val="0"/>
        </w:numPr>
        <w:ind w:left="0" w:leftChars="0" w:firstLine="0" w:firstLineChars="0"/>
        <w:jc w:val="center"/>
        <w:outlineLvl w:val="0"/>
        <w:rPr>
          <w:rFonts w:hint="eastAsia" w:ascii="宋体" w:hAnsi="宋体" w:cs="宋体"/>
          <w:b w:val="0"/>
          <w:bCs w:val="0"/>
          <w:color w:val="000000" w:themeColor="text1"/>
          <w:sz w:val="24"/>
          <w:szCs w:val="24"/>
          <w:highlight w:val="none"/>
          <w:lang w:val="en-US" w:eastAsia="zh-CN"/>
          <w14:textFill>
            <w14:solidFill>
              <w14:schemeClr w14:val="tx1"/>
            </w14:solidFill>
          </w14:textFill>
        </w:rPr>
      </w:pPr>
    </w:p>
    <w:p w14:paraId="2AC875EA">
      <w:pPr>
        <w:numPr>
          <w:ilvl w:val="0"/>
          <w:numId w:val="0"/>
        </w:numPr>
        <w:ind w:left="0" w:leftChars="0" w:firstLine="0" w:firstLineChars="0"/>
        <w:jc w:val="center"/>
        <w:outlineLvl w:val="0"/>
        <w:rPr>
          <w:rFonts w:hint="eastAsia" w:ascii="宋体" w:hAnsi="宋体" w:cs="宋体"/>
          <w:b w:val="0"/>
          <w:bCs w:val="0"/>
          <w:color w:val="000000" w:themeColor="text1"/>
          <w:sz w:val="24"/>
          <w:szCs w:val="24"/>
          <w:highlight w:val="none"/>
          <w:lang w:val="en-US" w:eastAsia="zh-CN"/>
          <w14:textFill>
            <w14:solidFill>
              <w14:schemeClr w14:val="tx1"/>
            </w14:solidFill>
          </w14:textFill>
        </w:rPr>
      </w:pPr>
    </w:p>
    <w:p w14:paraId="6541EF1B">
      <w:pPr>
        <w:numPr>
          <w:ilvl w:val="0"/>
          <w:numId w:val="0"/>
        </w:numPr>
        <w:ind w:left="0" w:leftChars="0" w:firstLine="0" w:firstLineChars="0"/>
        <w:jc w:val="center"/>
        <w:outlineLvl w:val="0"/>
        <w:rPr>
          <w:rFonts w:hint="eastAsia" w:ascii="宋体" w:hAnsi="宋体" w:cs="宋体"/>
          <w:b w:val="0"/>
          <w:bCs w:val="0"/>
          <w:color w:val="000000" w:themeColor="text1"/>
          <w:sz w:val="24"/>
          <w:szCs w:val="24"/>
          <w:highlight w:val="none"/>
          <w:lang w:val="en-US" w:eastAsia="zh-CN"/>
          <w14:textFill>
            <w14:solidFill>
              <w14:schemeClr w14:val="tx1"/>
            </w14:solidFill>
          </w14:textFill>
        </w:rPr>
      </w:pPr>
    </w:p>
    <w:p w14:paraId="4AAD3072">
      <w:pPr>
        <w:numPr>
          <w:ilvl w:val="0"/>
          <w:numId w:val="0"/>
        </w:numPr>
        <w:ind w:left="0" w:leftChars="0" w:firstLine="0" w:firstLineChars="0"/>
        <w:jc w:val="center"/>
        <w:outlineLvl w:val="0"/>
        <w:rPr>
          <w:rFonts w:hint="eastAsia" w:ascii="宋体" w:hAnsi="宋体" w:cs="宋体"/>
          <w:b w:val="0"/>
          <w:bCs w:val="0"/>
          <w:color w:val="000000" w:themeColor="text1"/>
          <w:sz w:val="24"/>
          <w:szCs w:val="24"/>
          <w:highlight w:val="none"/>
          <w:lang w:val="en-US" w:eastAsia="zh-CN"/>
          <w14:textFill>
            <w14:solidFill>
              <w14:schemeClr w14:val="tx1"/>
            </w14:solidFill>
          </w14:textFill>
        </w:rPr>
      </w:pPr>
    </w:p>
    <w:p w14:paraId="148D8A2D">
      <w:pPr>
        <w:numPr>
          <w:ilvl w:val="0"/>
          <w:numId w:val="0"/>
        </w:numPr>
        <w:ind w:left="0" w:leftChars="0" w:firstLine="0" w:firstLineChars="0"/>
        <w:jc w:val="center"/>
        <w:outlineLvl w:val="0"/>
        <w:rPr>
          <w:rFonts w:hint="eastAsia" w:ascii="宋体" w:hAnsi="宋体" w:cs="宋体"/>
          <w:b w:val="0"/>
          <w:bCs w:val="0"/>
          <w:color w:val="000000" w:themeColor="text1"/>
          <w:sz w:val="24"/>
          <w:szCs w:val="24"/>
          <w:highlight w:val="none"/>
          <w:lang w:val="en-US" w:eastAsia="zh-CN"/>
          <w14:textFill>
            <w14:solidFill>
              <w14:schemeClr w14:val="tx1"/>
            </w14:solidFill>
          </w14:textFill>
        </w:rPr>
      </w:pPr>
    </w:p>
    <w:p w14:paraId="33C7F481">
      <w:pPr>
        <w:numPr>
          <w:ilvl w:val="0"/>
          <w:numId w:val="0"/>
        </w:numPr>
        <w:ind w:left="0" w:leftChars="0" w:firstLine="0" w:firstLineChars="0"/>
        <w:jc w:val="center"/>
        <w:outlineLvl w:val="0"/>
        <w:rPr>
          <w:rFonts w:hint="eastAsia" w:ascii="宋体" w:hAnsi="宋体" w:cs="宋体"/>
          <w:b w:val="0"/>
          <w:bCs w:val="0"/>
          <w:color w:val="000000" w:themeColor="text1"/>
          <w:sz w:val="24"/>
          <w:szCs w:val="24"/>
          <w:highlight w:val="none"/>
          <w:lang w:val="en-US" w:eastAsia="zh-CN"/>
          <w14:textFill>
            <w14:solidFill>
              <w14:schemeClr w14:val="tx1"/>
            </w14:solidFill>
          </w14:textFill>
        </w:rPr>
      </w:pPr>
    </w:p>
    <w:p w14:paraId="437E95E6">
      <w:pPr>
        <w:numPr>
          <w:ilvl w:val="0"/>
          <w:numId w:val="0"/>
        </w:numPr>
        <w:ind w:left="0" w:leftChars="0" w:firstLine="0" w:firstLineChars="0"/>
        <w:jc w:val="center"/>
        <w:outlineLvl w:val="0"/>
        <w:rPr>
          <w:rFonts w:hint="eastAsia" w:ascii="宋体" w:hAnsi="宋体" w:cs="宋体"/>
          <w:b w:val="0"/>
          <w:bCs w:val="0"/>
          <w:color w:val="000000" w:themeColor="text1"/>
          <w:sz w:val="24"/>
          <w:szCs w:val="24"/>
          <w:highlight w:val="none"/>
          <w:lang w:val="en-US" w:eastAsia="zh-CN"/>
          <w14:textFill>
            <w14:solidFill>
              <w14:schemeClr w14:val="tx1"/>
            </w14:solidFill>
          </w14:textFill>
        </w:rPr>
      </w:pPr>
    </w:p>
    <w:p w14:paraId="4B9BDFE4">
      <w:pPr>
        <w:numPr>
          <w:ilvl w:val="0"/>
          <w:numId w:val="0"/>
        </w:numPr>
        <w:ind w:left="0" w:leftChars="0" w:firstLine="0" w:firstLineChars="0"/>
        <w:jc w:val="center"/>
        <w:outlineLvl w:val="0"/>
        <w:rPr>
          <w:rFonts w:hint="eastAsia" w:ascii="宋体" w:hAnsi="宋体" w:cs="宋体"/>
          <w:b w:val="0"/>
          <w:bCs w:val="0"/>
          <w:color w:val="000000" w:themeColor="text1"/>
          <w:sz w:val="24"/>
          <w:szCs w:val="24"/>
          <w:highlight w:val="none"/>
          <w:lang w:val="en-US" w:eastAsia="zh-CN"/>
          <w14:textFill>
            <w14:solidFill>
              <w14:schemeClr w14:val="tx1"/>
            </w14:solidFill>
          </w14:textFill>
        </w:rPr>
      </w:pPr>
    </w:p>
    <w:p w14:paraId="3B81DA11">
      <w:pPr>
        <w:numPr>
          <w:ilvl w:val="0"/>
          <w:numId w:val="0"/>
        </w:numPr>
        <w:ind w:left="0" w:leftChars="0" w:firstLine="0" w:firstLineChars="0"/>
        <w:jc w:val="center"/>
        <w:outlineLvl w:val="0"/>
        <w:rPr>
          <w:rFonts w:hint="eastAsia" w:ascii="宋体" w:hAnsi="宋体" w:cs="宋体"/>
          <w:b w:val="0"/>
          <w:bCs w:val="0"/>
          <w:color w:val="000000" w:themeColor="text1"/>
          <w:sz w:val="24"/>
          <w:szCs w:val="24"/>
          <w:highlight w:val="none"/>
          <w:lang w:val="en-US" w:eastAsia="zh-CN"/>
          <w14:textFill>
            <w14:solidFill>
              <w14:schemeClr w14:val="tx1"/>
            </w14:solidFill>
          </w14:textFill>
        </w:rPr>
      </w:pPr>
    </w:p>
    <w:p w14:paraId="3B75365F">
      <w:pPr>
        <w:numPr>
          <w:ilvl w:val="0"/>
          <w:numId w:val="0"/>
        </w:numPr>
        <w:ind w:left="0" w:leftChars="0" w:firstLine="0" w:firstLineChars="0"/>
        <w:jc w:val="center"/>
        <w:outlineLvl w:val="0"/>
        <w:rPr>
          <w:rFonts w:hint="eastAsia" w:ascii="宋体" w:hAnsi="宋体" w:cs="宋体"/>
          <w:b w:val="0"/>
          <w:bCs w:val="0"/>
          <w:color w:val="000000" w:themeColor="text1"/>
          <w:sz w:val="24"/>
          <w:szCs w:val="24"/>
          <w:highlight w:val="none"/>
          <w:lang w:val="en-US" w:eastAsia="zh-CN"/>
          <w14:textFill>
            <w14:solidFill>
              <w14:schemeClr w14:val="tx1"/>
            </w14:solidFill>
          </w14:textFill>
        </w:rPr>
      </w:pPr>
    </w:p>
    <w:p w14:paraId="6DCAAFCE">
      <w:pPr>
        <w:numPr>
          <w:ilvl w:val="0"/>
          <w:numId w:val="0"/>
        </w:numPr>
        <w:ind w:left="0" w:leftChars="0" w:firstLine="0" w:firstLineChars="0"/>
        <w:jc w:val="center"/>
        <w:outlineLvl w:val="0"/>
        <w:rPr>
          <w:rFonts w:hint="eastAsia" w:ascii="宋体" w:hAnsi="宋体" w:cs="宋体"/>
          <w:b w:val="0"/>
          <w:bCs w:val="0"/>
          <w:color w:val="000000" w:themeColor="text1"/>
          <w:sz w:val="24"/>
          <w:szCs w:val="24"/>
          <w:highlight w:val="none"/>
          <w:lang w:val="en-US" w:eastAsia="zh-CN"/>
          <w14:textFill>
            <w14:solidFill>
              <w14:schemeClr w14:val="tx1"/>
            </w14:solidFill>
          </w14:textFill>
        </w:rPr>
      </w:pPr>
    </w:p>
    <w:p w14:paraId="06A45CEA">
      <w:pPr>
        <w:numPr>
          <w:ilvl w:val="0"/>
          <w:numId w:val="0"/>
        </w:numPr>
        <w:ind w:left="0" w:leftChars="0" w:firstLine="0" w:firstLineChars="0"/>
        <w:jc w:val="center"/>
        <w:outlineLvl w:val="0"/>
        <w:rPr>
          <w:rFonts w:hint="eastAsia" w:ascii="宋体" w:hAnsi="宋体" w:cs="宋体"/>
          <w:b w:val="0"/>
          <w:bCs w:val="0"/>
          <w:color w:val="000000" w:themeColor="text1"/>
          <w:sz w:val="24"/>
          <w:szCs w:val="24"/>
          <w:highlight w:val="none"/>
          <w:lang w:val="en-US" w:eastAsia="zh-CN"/>
          <w14:textFill>
            <w14:solidFill>
              <w14:schemeClr w14:val="tx1"/>
            </w14:solidFill>
          </w14:textFill>
        </w:rPr>
      </w:pPr>
    </w:p>
    <w:p w14:paraId="16D37855">
      <w:pPr>
        <w:numPr>
          <w:ilvl w:val="0"/>
          <w:numId w:val="0"/>
        </w:numPr>
        <w:ind w:left="0" w:leftChars="0" w:firstLine="0" w:firstLineChars="0"/>
        <w:jc w:val="center"/>
        <w:outlineLvl w:val="0"/>
        <w:rPr>
          <w:rFonts w:hint="eastAsia" w:ascii="宋体" w:hAnsi="宋体" w:cs="宋体"/>
          <w:b w:val="0"/>
          <w:bCs w:val="0"/>
          <w:color w:val="000000" w:themeColor="text1"/>
          <w:sz w:val="24"/>
          <w:szCs w:val="24"/>
          <w:highlight w:val="none"/>
          <w:lang w:val="en-US" w:eastAsia="zh-CN"/>
          <w14:textFill>
            <w14:solidFill>
              <w14:schemeClr w14:val="tx1"/>
            </w14:solidFill>
          </w14:textFill>
        </w:rPr>
      </w:pPr>
    </w:p>
    <w:p w14:paraId="48ADA89C">
      <w:pPr>
        <w:numPr>
          <w:ilvl w:val="0"/>
          <w:numId w:val="0"/>
        </w:numPr>
        <w:ind w:left="0" w:leftChars="0" w:firstLine="0" w:firstLineChars="0"/>
        <w:jc w:val="center"/>
        <w:outlineLvl w:val="0"/>
        <w:rPr>
          <w:rFonts w:hint="eastAsia" w:ascii="宋体" w:hAnsi="宋体" w:cs="宋体"/>
          <w:b w:val="0"/>
          <w:bCs w:val="0"/>
          <w:color w:val="000000" w:themeColor="text1"/>
          <w:sz w:val="24"/>
          <w:szCs w:val="24"/>
          <w:highlight w:val="none"/>
          <w:lang w:val="en-US" w:eastAsia="zh-CN"/>
          <w14:textFill>
            <w14:solidFill>
              <w14:schemeClr w14:val="tx1"/>
            </w14:solidFill>
          </w14:textFill>
        </w:rPr>
      </w:pPr>
      <w:bookmarkStart w:id="573" w:name="_GoBack"/>
      <w:bookmarkEnd w:id="573"/>
    </w:p>
    <w:p w14:paraId="1BE4FB13">
      <w:pPr>
        <w:numPr>
          <w:ilvl w:val="0"/>
          <w:numId w:val="0"/>
        </w:numPr>
        <w:ind w:left="0" w:leftChars="0" w:firstLine="0" w:firstLineChars="0"/>
        <w:jc w:val="center"/>
        <w:outlineLvl w:val="0"/>
        <w:rPr>
          <w:rFonts w:hint="eastAsia" w:ascii="宋体" w:hAnsi="宋体" w:cs="宋体"/>
          <w:b w:val="0"/>
          <w:bCs w:val="0"/>
          <w:color w:val="000000" w:themeColor="text1"/>
          <w:sz w:val="24"/>
          <w:szCs w:val="24"/>
          <w:highlight w:val="none"/>
          <w:lang w:val="en-US" w:eastAsia="zh-CN"/>
          <w14:textFill>
            <w14:solidFill>
              <w14:schemeClr w14:val="tx1"/>
            </w14:solidFill>
          </w14:textFill>
        </w:rPr>
      </w:pPr>
    </w:p>
    <w:tbl>
      <w:tblPr>
        <w:tblStyle w:val="17"/>
        <w:tblW w:w="83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3"/>
        <w:gridCol w:w="110"/>
        <w:gridCol w:w="54"/>
        <w:gridCol w:w="4651"/>
        <w:gridCol w:w="1240"/>
        <w:gridCol w:w="1365"/>
      </w:tblGrid>
      <w:tr w14:paraId="2598D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903" w:type="dxa"/>
            <w:tcBorders>
              <w:top w:val="single" w:color="000000" w:sz="4" w:space="0"/>
              <w:left w:val="single" w:color="000000" w:sz="4" w:space="0"/>
              <w:bottom w:val="single" w:color="000000" w:sz="4" w:space="0"/>
              <w:right w:val="single" w:color="000000" w:sz="4" w:space="0"/>
            </w:tcBorders>
            <w:noWrap/>
            <w:vAlign w:val="center"/>
          </w:tcPr>
          <w:p w14:paraId="2D539EB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4815" w:type="dxa"/>
            <w:gridSpan w:val="3"/>
            <w:tcBorders>
              <w:top w:val="single" w:color="000000" w:sz="4" w:space="0"/>
              <w:left w:val="single" w:color="000000" w:sz="4" w:space="0"/>
              <w:bottom w:val="single" w:color="000000" w:sz="4" w:space="0"/>
              <w:right w:val="single" w:color="000000" w:sz="4" w:space="0"/>
            </w:tcBorders>
            <w:noWrap w:val="0"/>
            <w:vAlign w:val="center"/>
          </w:tcPr>
          <w:p w14:paraId="3015AE7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工程名称</w:t>
            </w:r>
          </w:p>
        </w:tc>
        <w:tc>
          <w:tcPr>
            <w:tcW w:w="1240" w:type="dxa"/>
            <w:tcBorders>
              <w:top w:val="single" w:color="000000" w:sz="4" w:space="0"/>
              <w:left w:val="single" w:color="000000" w:sz="4" w:space="0"/>
              <w:bottom w:val="single" w:color="000000" w:sz="4" w:space="0"/>
              <w:right w:val="single" w:color="000000" w:sz="4" w:space="0"/>
            </w:tcBorders>
            <w:noWrap/>
            <w:vAlign w:val="center"/>
          </w:tcPr>
          <w:p w14:paraId="15577B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2718E43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14:paraId="0D791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14:paraId="0FA020C0">
            <w:pPr>
              <w:jc w:val="center"/>
              <w:rPr>
                <w:rFonts w:hint="default" w:ascii="Times New Roman" w:hAnsi="Times New Roman" w:eastAsia="宋体" w:cs="Times New Roman"/>
                <w:b/>
                <w:bCs/>
                <w:i w:val="0"/>
                <w:iCs w:val="0"/>
                <w:color w:val="000000"/>
                <w:sz w:val="20"/>
                <w:szCs w:val="20"/>
                <w:u w:val="none"/>
              </w:rPr>
            </w:pPr>
          </w:p>
        </w:tc>
        <w:tc>
          <w:tcPr>
            <w:tcW w:w="4815" w:type="dxa"/>
            <w:gridSpan w:val="3"/>
            <w:tcBorders>
              <w:top w:val="single" w:color="000000" w:sz="4" w:space="0"/>
              <w:left w:val="single" w:color="000000" w:sz="4" w:space="0"/>
              <w:bottom w:val="single" w:color="000000" w:sz="4" w:space="0"/>
              <w:right w:val="single" w:color="000000" w:sz="4" w:space="0"/>
            </w:tcBorders>
            <w:noWrap w:val="0"/>
            <w:vAlign w:val="center"/>
          </w:tcPr>
          <w:p w14:paraId="5B2E20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37"/>
                <w:lang w:val="en-US" w:eastAsia="zh-CN" w:bidi="ar"/>
              </w:rPr>
              <w:t>第一部分</w:t>
            </w:r>
            <w:r>
              <w:rPr>
                <w:rStyle w:val="38"/>
                <w:rFonts w:eastAsia="宋体"/>
                <w:lang w:val="en-US" w:eastAsia="zh-CN" w:bidi="ar"/>
              </w:rPr>
              <w:t xml:space="preserve">: </w:t>
            </w:r>
            <w:r>
              <w:rPr>
                <w:rStyle w:val="37"/>
                <w:lang w:val="en-US" w:eastAsia="zh-CN" w:bidi="ar"/>
              </w:rPr>
              <w:t>建筑工程</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0EB880A7">
            <w:pPr>
              <w:jc w:val="center"/>
              <w:rPr>
                <w:rFonts w:hint="default" w:ascii="Times New Roman" w:hAnsi="Times New Roman" w:eastAsia="宋体" w:cs="Times New Roman"/>
                <w:b/>
                <w:bCs/>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32902DCC">
            <w:pPr>
              <w:jc w:val="center"/>
              <w:rPr>
                <w:rFonts w:hint="default" w:ascii="Times New Roman" w:hAnsi="Times New Roman" w:eastAsia="宋体" w:cs="Times New Roman"/>
                <w:b/>
                <w:bCs/>
                <w:i w:val="0"/>
                <w:iCs w:val="0"/>
                <w:color w:val="000000"/>
                <w:sz w:val="20"/>
                <w:szCs w:val="20"/>
                <w:u w:val="none"/>
              </w:rPr>
            </w:pPr>
          </w:p>
        </w:tc>
      </w:tr>
      <w:tr w14:paraId="75DB9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903" w:type="dxa"/>
            <w:tcBorders>
              <w:top w:val="single" w:color="000000" w:sz="4" w:space="0"/>
              <w:left w:val="single" w:color="000000" w:sz="4" w:space="0"/>
              <w:bottom w:val="single" w:color="000000" w:sz="4" w:space="0"/>
              <w:right w:val="single" w:color="000000" w:sz="4" w:space="0"/>
            </w:tcBorders>
            <w:noWrap/>
            <w:vAlign w:val="center"/>
          </w:tcPr>
          <w:p w14:paraId="7A3F29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w:t>
            </w:r>
          </w:p>
        </w:tc>
        <w:tc>
          <w:tcPr>
            <w:tcW w:w="4815" w:type="dxa"/>
            <w:gridSpan w:val="3"/>
            <w:tcBorders>
              <w:top w:val="single" w:color="000000" w:sz="4" w:space="0"/>
              <w:left w:val="single" w:color="000000" w:sz="4" w:space="0"/>
              <w:bottom w:val="single" w:color="000000" w:sz="4" w:space="0"/>
              <w:right w:val="single" w:color="000000" w:sz="4" w:space="0"/>
            </w:tcBorders>
            <w:noWrap/>
            <w:vAlign w:val="center"/>
          </w:tcPr>
          <w:p w14:paraId="79569C0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渠道</w:t>
            </w:r>
          </w:p>
        </w:tc>
        <w:tc>
          <w:tcPr>
            <w:tcW w:w="1240" w:type="dxa"/>
            <w:tcBorders>
              <w:top w:val="single" w:color="000000" w:sz="4" w:space="0"/>
              <w:left w:val="single" w:color="000000" w:sz="4" w:space="0"/>
              <w:bottom w:val="single" w:color="000000" w:sz="4" w:space="0"/>
              <w:right w:val="single" w:color="000000" w:sz="4" w:space="0"/>
            </w:tcBorders>
            <w:noWrap/>
            <w:vAlign w:val="center"/>
          </w:tcPr>
          <w:p w14:paraId="10A6F71A">
            <w:pPr>
              <w:jc w:val="center"/>
              <w:rPr>
                <w:rFonts w:hint="default" w:ascii="Times New Roman" w:hAnsi="Times New Roman" w:eastAsia="宋体" w:cs="Times New Roman"/>
                <w:b/>
                <w:bCs/>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090A3315">
            <w:pPr>
              <w:jc w:val="center"/>
              <w:rPr>
                <w:rFonts w:hint="default" w:ascii="Times New Roman" w:hAnsi="Times New Roman" w:eastAsia="宋体" w:cs="Times New Roman"/>
                <w:b/>
                <w:bCs/>
                <w:i w:val="0"/>
                <w:iCs w:val="0"/>
                <w:color w:val="000000"/>
                <w:sz w:val="20"/>
                <w:szCs w:val="20"/>
                <w:u w:val="none"/>
              </w:rPr>
            </w:pPr>
          </w:p>
        </w:tc>
      </w:tr>
      <w:tr w14:paraId="2C62D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903" w:type="dxa"/>
            <w:tcBorders>
              <w:top w:val="single" w:color="000000" w:sz="4" w:space="0"/>
              <w:left w:val="single" w:color="000000" w:sz="4" w:space="0"/>
              <w:bottom w:val="single" w:color="000000" w:sz="4" w:space="0"/>
              <w:right w:val="single" w:color="000000" w:sz="4" w:space="0"/>
            </w:tcBorders>
            <w:noWrap/>
            <w:vAlign w:val="center"/>
          </w:tcPr>
          <w:p w14:paraId="2B5EBDB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w:t>
            </w:r>
          </w:p>
        </w:tc>
        <w:tc>
          <w:tcPr>
            <w:tcW w:w="4815" w:type="dxa"/>
            <w:gridSpan w:val="3"/>
            <w:tcBorders>
              <w:top w:val="single" w:color="000000" w:sz="4" w:space="0"/>
              <w:left w:val="single" w:color="000000" w:sz="4" w:space="0"/>
              <w:bottom w:val="single" w:color="000000" w:sz="4" w:space="0"/>
              <w:right w:val="single" w:color="000000" w:sz="4" w:space="0"/>
            </w:tcBorders>
            <w:noWrap/>
            <w:vAlign w:val="center"/>
          </w:tcPr>
          <w:p w14:paraId="458DB1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渠道工程</w:t>
            </w:r>
          </w:p>
        </w:tc>
        <w:tc>
          <w:tcPr>
            <w:tcW w:w="1240" w:type="dxa"/>
            <w:tcBorders>
              <w:top w:val="single" w:color="000000" w:sz="4" w:space="0"/>
              <w:left w:val="single" w:color="000000" w:sz="4" w:space="0"/>
              <w:bottom w:val="single" w:color="000000" w:sz="4" w:space="0"/>
              <w:right w:val="single" w:color="000000" w:sz="4" w:space="0"/>
            </w:tcBorders>
            <w:noWrap/>
            <w:vAlign w:val="center"/>
          </w:tcPr>
          <w:p w14:paraId="6645468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m</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10AFDB1C">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2"/>
                <w:sz w:val="20"/>
                <w:szCs w:val="20"/>
                <w:u w:val="none"/>
                <w:lang w:val="en-US" w:eastAsia="zh-CN" w:bidi="ar-SA"/>
              </w:rPr>
            </w:pPr>
            <w:r>
              <w:rPr>
                <w:rFonts w:hint="default" w:ascii="Times New Roman" w:hAnsi="Times New Roman" w:eastAsia="宋体" w:cs="Times New Roman"/>
                <w:b/>
                <w:bCs/>
                <w:i w:val="0"/>
                <w:iCs w:val="0"/>
                <w:color w:val="000000"/>
                <w:kern w:val="0"/>
                <w:sz w:val="20"/>
                <w:szCs w:val="20"/>
                <w:u w:val="none"/>
                <w:lang w:val="en-US" w:eastAsia="zh-CN" w:bidi="ar"/>
              </w:rPr>
              <w:t xml:space="preserve">1783 </w:t>
            </w:r>
          </w:p>
        </w:tc>
      </w:tr>
      <w:tr w14:paraId="4CD5F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903" w:type="dxa"/>
            <w:tcBorders>
              <w:top w:val="single" w:color="000000" w:sz="4" w:space="0"/>
              <w:left w:val="single" w:color="000000" w:sz="4" w:space="0"/>
              <w:bottom w:val="single" w:color="000000" w:sz="4" w:space="0"/>
              <w:right w:val="single" w:color="000000" w:sz="4" w:space="0"/>
            </w:tcBorders>
            <w:noWrap/>
            <w:vAlign w:val="center"/>
          </w:tcPr>
          <w:p w14:paraId="68EFAF1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4815" w:type="dxa"/>
            <w:gridSpan w:val="3"/>
            <w:tcBorders>
              <w:top w:val="single" w:color="000000" w:sz="4" w:space="0"/>
              <w:left w:val="single" w:color="000000" w:sz="4" w:space="0"/>
              <w:bottom w:val="single" w:color="000000" w:sz="4" w:space="0"/>
              <w:right w:val="single" w:color="000000" w:sz="4" w:space="0"/>
            </w:tcBorders>
            <w:noWrap w:val="0"/>
            <w:vAlign w:val="center"/>
          </w:tcPr>
          <w:p w14:paraId="55772D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土方开挖Ⅱ类土</w:t>
            </w:r>
          </w:p>
        </w:tc>
        <w:tc>
          <w:tcPr>
            <w:tcW w:w="1240" w:type="dxa"/>
            <w:tcBorders>
              <w:top w:val="single" w:color="000000" w:sz="4" w:space="0"/>
              <w:left w:val="single" w:color="000000" w:sz="4" w:space="0"/>
              <w:bottom w:val="single" w:color="000000" w:sz="4" w:space="0"/>
              <w:right w:val="single" w:color="000000" w:sz="4" w:space="0"/>
            </w:tcBorders>
            <w:noWrap/>
            <w:vAlign w:val="center"/>
          </w:tcPr>
          <w:p w14:paraId="742D3D0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m³</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0E0DA7F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2070.60 </w:t>
            </w:r>
          </w:p>
        </w:tc>
      </w:tr>
      <w:tr w14:paraId="1B269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903" w:type="dxa"/>
            <w:tcBorders>
              <w:top w:val="single" w:color="000000" w:sz="4" w:space="0"/>
              <w:left w:val="single" w:color="000000" w:sz="4" w:space="0"/>
              <w:bottom w:val="single" w:color="000000" w:sz="4" w:space="0"/>
              <w:right w:val="single" w:color="000000" w:sz="4" w:space="0"/>
            </w:tcBorders>
            <w:noWrap/>
            <w:vAlign w:val="center"/>
          </w:tcPr>
          <w:p w14:paraId="57C5829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4815" w:type="dxa"/>
            <w:gridSpan w:val="3"/>
            <w:tcBorders>
              <w:top w:val="single" w:color="000000" w:sz="4" w:space="0"/>
              <w:left w:val="single" w:color="000000" w:sz="4" w:space="0"/>
              <w:bottom w:val="single" w:color="000000" w:sz="4" w:space="0"/>
              <w:right w:val="single" w:color="000000" w:sz="4" w:space="0"/>
            </w:tcBorders>
            <w:noWrap w:val="0"/>
            <w:vAlign w:val="center"/>
          </w:tcPr>
          <w:p w14:paraId="0D641A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土方回填Ⅱ类土（压实度0.93）就近取土30m</w:t>
            </w:r>
          </w:p>
        </w:tc>
        <w:tc>
          <w:tcPr>
            <w:tcW w:w="1240" w:type="dxa"/>
            <w:tcBorders>
              <w:top w:val="single" w:color="000000" w:sz="4" w:space="0"/>
              <w:left w:val="single" w:color="000000" w:sz="4" w:space="0"/>
              <w:bottom w:val="single" w:color="000000" w:sz="4" w:space="0"/>
              <w:right w:val="single" w:color="000000" w:sz="4" w:space="0"/>
            </w:tcBorders>
            <w:noWrap/>
            <w:vAlign w:val="center"/>
          </w:tcPr>
          <w:p w14:paraId="1BF347F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m³</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3F715AE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827.40 </w:t>
            </w:r>
          </w:p>
        </w:tc>
      </w:tr>
      <w:tr w14:paraId="18142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903" w:type="dxa"/>
            <w:tcBorders>
              <w:top w:val="single" w:color="000000" w:sz="4" w:space="0"/>
              <w:left w:val="single" w:color="000000" w:sz="4" w:space="0"/>
              <w:bottom w:val="single" w:color="000000" w:sz="4" w:space="0"/>
              <w:right w:val="single" w:color="000000" w:sz="4" w:space="0"/>
            </w:tcBorders>
            <w:noWrap/>
            <w:vAlign w:val="center"/>
          </w:tcPr>
          <w:p w14:paraId="17B2EFF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4815" w:type="dxa"/>
            <w:gridSpan w:val="3"/>
            <w:tcBorders>
              <w:top w:val="single" w:color="000000" w:sz="4" w:space="0"/>
              <w:left w:val="single" w:color="000000" w:sz="4" w:space="0"/>
              <w:bottom w:val="single" w:color="000000" w:sz="4" w:space="0"/>
              <w:right w:val="single" w:color="000000" w:sz="4" w:space="0"/>
            </w:tcBorders>
            <w:noWrap w:val="0"/>
            <w:vAlign w:val="center"/>
          </w:tcPr>
          <w:p w14:paraId="1D41A8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混凝土渠道，8cm厚C30F200W6</w:t>
            </w:r>
          </w:p>
        </w:tc>
        <w:tc>
          <w:tcPr>
            <w:tcW w:w="1240" w:type="dxa"/>
            <w:tcBorders>
              <w:top w:val="single" w:color="000000" w:sz="4" w:space="0"/>
              <w:left w:val="single" w:color="000000" w:sz="4" w:space="0"/>
              <w:bottom w:val="single" w:color="000000" w:sz="4" w:space="0"/>
              <w:right w:val="single" w:color="000000" w:sz="4" w:space="0"/>
            </w:tcBorders>
            <w:noWrap/>
            <w:vAlign w:val="center"/>
          </w:tcPr>
          <w:p w14:paraId="35F9F32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m³</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1EEC902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314.52 </w:t>
            </w:r>
          </w:p>
        </w:tc>
      </w:tr>
      <w:tr w14:paraId="5F4CF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903" w:type="dxa"/>
            <w:tcBorders>
              <w:top w:val="single" w:color="000000" w:sz="4" w:space="0"/>
              <w:left w:val="single" w:color="000000" w:sz="4" w:space="0"/>
              <w:bottom w:val="single" w:color="000000" w:sz="4" w:space="0"/>
              <w:right w:val="single" w:color="000000" w:sz="4" w:space="0"/>
            </w:tcBorders>
            <w:noWrap/>
            <w:vAlign w:val="center"/>
          </w:tcPr>
          <w:p w14:paraId="2824500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4815" w:type="dxa"/>
            <w:gridSpan w:val="3"/>
            <w:tcBorders>
              <w:top w:val="single" w:color="000000" w:sz="4" w:space="0"/>
              <w:left w:val="single" w:color="000000" w:sz="4" w:space="0"/>
              <w:bottom w:val="single" w:color="000000" w:sz="4" w:space="0"/>
              <w:right w:val="single" w:color="000000" w:sz="4" w:space="0"/>
            </w:tcBorders>
            <w:noWrap w:val="0"/>
            <w:vAlign w:val="center"/>
          </w:tcPr>
          <w:p w14:paraId="51367E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混凝土封顶板8cm厚C30F200W6</w:t>
            </w:r>
          </w:p>
        </w:tc>
        <w:tc>
          <w:tcPr>
            <w:tcW w:w="1240" w:type="dxa"/>
            <w:tcBorders>
              <w:top w:val="single" w:color="000000" w:sz="4" w:space="0"/>
              <w:left w:val="single" w:color="000000" w:sz="4" w:space="0"/>
              <w:bottom w:val="single" w:color="000000" w:sz="4" w:space="0"/>
              <w:right w:val="single" w:color="000000" w:sz="4" w:space="0"/>
            </w:tcBorders>
            <w:noWrap/>
            <w:vAlign w:val="center"/>
          </w:tcPr>
          <w:p w14:paraId="45DE004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m³</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2C9CFC0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89.86 </w:t>
            </w:r>
          </w:p>
        </w:tc>
      </w:tr>
      <w:tr w14:paraId="467CA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903" w:type="dxa"/>
            <w:tcBorders>
              <w:top w:val="single" w:color="000000" w:sz="4" w:space="0"/>
              <w:left w:val="single" w:color="000000" w:sz="4" w:space="0"/>
              <w:bottom w:val="single" w:color="000000" w:sz="4" w:space="0"/>
              <w:right w:val="single" w:color="000000" w:sz="4" w:space="0"/>
            </w:tcBorders>
            <w:noWrap/>
            <w:vAlign w:val="center"/>
          </w:tcPr>
          <w:p w14:paraId="46F962F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4815" w:type="dxa"/>
            <w:gridSpan w:val="3"/>
            <w:tcBorders>
              <w:top w:val="single" w:color="000000" w:sz="4" w:space="0"/>
              <w:left w:val="single" w:color="000000" w:sz="4" w:space="0"/>
              <w:bottom w:val="single" w:color="000000" w:sz="4" w:space="0"/>
              <w:right w:val="single" w:color="000000" w:sz="4" w:space="0"/>
            </w:tcBorders>
            <w:noWrap w:val="0"/>
            <w:vAlign w:val="center"/>
          </w:tcPr>
          <w:p w14:paraId="3EE4B0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混凝土隔墙30cm厚C35F250W6（100m设置一道隔墙）</w:t>
            </w:r>
          </w:p>
        </w:tc>
        <w:tc>
          <w:tcPr>
            <w:tcW w:w="1240" w:type="dxa"/>
            <w:tcBorders>
              <w:top w:val="single" w:color="000000" w:sz="4" w:space="0"/>
              <w:left w:val="single" w:color="000000" w:sz="4" w:space="0"/>
              <w:bottom w:val="single" w:color="000000" w:sz="4" w:space="0"/>
              <w:right w:val="single" w:color="000000" w:sz="4" w:space="0"/>
            </w:tcBorders>
            <w:noWrap/>
            <w:vAlign w:val="center"/>
          </w:tcPr>
          <w:p w14:paraId="3691378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m³</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3BAC0F0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6.23 </w:t>
            </w:r>
          </w:p>
        </w:tc>
      </w:tr>
      <w:tr w14:paraId="340F1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903" w:type="dxa"/>
            <w:tcBorders>
              <w:top w:val="single" w:color="000000" w:sz="4" w:space="0"/>
              <w:left w:val="single" w:color="000000" w:sz="4" w:space="0"/>
              <w:bottom w:val="single" w:color="000000" w:sz="4" w:space="0"/>
              <w:right w:val="single" w:color="000000" w:sz="4" w:space="0"/>
            </w:tcBorders>
            <w:noWrap/>
            <w:vAlign w:val="center"/>
          </w:tcPr>
          <w:p w14:paraId="289D18D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4815" w:type="dxa"/>
            <w:gridSpan w:val="3"/>
            <w:tcBorders>
              <w:top w:val="single" w:color="000000" w:sz="4" w:space="0"/>
              <w:left w:val="single" w:color="000000" w:sz="4" w:space="0"/>
              <w:bottom w:val="single" w:color="000000" w:sz="4" w:space="0"/>
              <w:right w:val="single" w:color="000000" w:sz="4" w:space="0"/>
            </w:tcBorders>
            <w:noWrap w:val="0"/>
            <w:vAlign w:val="center"/>
          </w:tcPr>
          <w:p w14:paraId="68FFB4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高压闭孔板</w:t>
            </w:r>
          </w:p>
        </w:tc>
        <w:tc>
          <w:tcPr>
            <w:tcW w:w="1240" w:type="dxa"/>
            <w:tcBorders>
              <w:top w:val="single" w:color="000000" w:sz="4" w:space="0"/>
              <w:left w:val="single" w:color="000000" w:sz="4" w:space="0"/>
              <w:bottom w:val="single" w:color="000000" w:sz="4" w:space="0"/>
              <w:right w:val="single" w:color="000000" w:sz="4" w:space="0"/>
            </w:tcBorders>
            <w:noWrap/>
            <w:vAlign w:val="center"/>
          </w:tcPr>
          <w:p w14:paraId="656AB22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m³</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458DB75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6.17 </w:t>
            </w:r>
          </w:p>
        </w:tc>
      </w:tr>
      <w:tr w14:paraId="79DFB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903" w:type="dxa"/>
            <w:tcBorders>
              <w:top w:val="single" w:color="000000" w:sz="4" w:space="0"/>
              <w:left w:val="single" w:color="000000" w:sz="4" w:space="0"/>
              <w:bottom w:val="single" w:color="000000" w:sz="4" w:space="0"/>
              <w:right w:val="single" w:color="000000" w:sz="4" w:space="0"/>
            </w:tcBorders>
            <w:noWrap/>
            <w:vAlign w:val="center"/>
          </w:tcPr>
          <w:p w14:paraId="05EB76D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w:t>
            </w:r>
          </w:p>
        </w:tc>
        <w:tc>
          <w:tcPr>
            <w:tcW w:w="4815" w:type="dxa"/>
            <w:gridSpan w:val="3"/>
            <w:tcBorders>
              <w:top w:val="single" w:color="000000" w:sz="4" w:space="0"/>
              <w:left w:val="single" w:color="000000" w:sz="4" w:space="0"/>
              <w:bottom w:val="single" w:color="000000" w:sz="4" w:space="0"/>
              <w:right w:val="single" w:color="000000" w:sz="4" w:space="0"/>
            </w:tcBorders>
            <w:noWrap w:val="0"/>
            <w:vAlign w:val="center"/>
          </w:tcPr>
          <w:p w14:paraId="7A276B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双组份聚氨酯</w:t>
            </w:r>
          </w:p>
        </w:tc>
        <w:tc>
          <w:tcPr>
            <w:tcW w:w="1240" w:type="dxa"/>
            <w:tcBorders>
              <w:top w:val="single" w:color="000000" w:sz="4" w:space="0"/>
              <w:left w:val="single" w:color="000000" w:sz="4" w:space="0"/>
              <w:bottom w:val="single" w:color="000000" w:sz="4" w:space="0"/>
              <w:right w:val="single" w:color="000000" w:sz="4" w:space="0"/>
            </w:tcBorders>
            <w:noWrap/>
            <w:vAlign w:val="center"/>
          </w:tcPr>
          <w:p w14:paraId="132CEF5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m³</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1725870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2.16 </w:t>
            </w:r>
          </w:p>
        </w:tc>
      </w:tr>
      <w:tr w14:paraId="244F2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903" w:type="dxa"/>
            <w:tcBorders>
              <w:top w:val="single" w:color="000000" w:sz="4" w:space="0"/>
              <w:left w:val="single" w:color="000000" w:sz="4" w:space="0"/>
              <w:bottom w:val="single" w:color="000000" w:sz="4" w:space="0"/>
              <w:right w:val="single" w:color="000000" w:sz="4" w:space="0"/>
            </w:tcBorders>
            <w:noWrap/>
            <w:vAlign w:val="center"/>
          </w:tcPr>
          <w:p w14:paraId="69CB27C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4815" w:type="dxa"/>
            <w:gridSpan w:val="3"/>
            <w:tcBorders>
              <w:top w:val="single" w:color="000000" w:sz="4" w:space="0"/>
              <w:left w:val="single" w:color="000000" w:sz="4" w:space="0"/>
              <w:bottom w:val="single" w:color="000000" w:sz="4" w:space="0"/>
              <w:right w:val="single" w:color="000000" w:sz="4" w:space="0"/>
            </w:tcBorders>
            <w:noWrap w:val="0"/>
            <w:vAlign w:val="center"/>
          </w:tcPr>
          <w:p w14:paraId="4AAF40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砂砾石垫层</w:t>
            </w:r>
          </w:p>
        </w:tc>
        <w:tc>
          <w:tcPr>
            <w:tcW w:w="1240" w:type="dxa"/>
            <w:tcBorders>
              <w:top w:val="single" w:color="000000" w:sz="4" w:space="0"/>
              <w:left w:val="single" w:color="000000" w:sz="4" w:space="0"/>
              <w:bottom w:val="single" w:color="000000" w:sz="4" w:space="0"/>
              <w:right w:val="single" w:color="000000" w:sz="4" w:space="0"/>
            </w:tcBorders>
            <w:noWrap/>
            <w:vAlign w:val="center"/>
          </w:tcPr>
          <w:p w14:paraId="248FEEF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m³</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46F2691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2003.20 </w:t>
            </w:r>
          </w:p>
        </w:tc>
      </w:tr>
      <w:tr w14:paraId="15575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903" w:type="dxa"/>
            <w:tcBorders>
              <w:top w:val="single" w:color="000000" w:sz="4" w:space="0"/>
              <w:left w:val="single" w:color="000000" w:sz="4" w:space="0"/>
              <w:bottom w:val="single" w:color="000000" w:sz="4" w:space="0"/>
              <w:right w:val="single" w:color="000000" w:sz="4" w:space="0"/>
            </w:tcBorders>
            <w:noWrap/>
            <w:vAlign w:val="center"/>
          </w:tcPr>
          <w:p w14:paraId="1CFEE22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4815" w:type="dxa"/>
            <w:gridSpan w:val="3"/>
            <w:tcBorders>
              <w:top w:val="single" w:color="000000" w:sz="4" w:space="0"/>
              <w:left w:val="single" w:color="000000" w:sz="4" w:space="0"/>
              <w:bottom w:val="single" w:color="000000" w:sz="4" w:space="0"/>
              <w:right w:val="single" w:color="000000" w:sz="4" w:space="0"/>
            </w:tcBorders>
            <w:noWrap w:val="0"/>
            <w:vAlign w:val="center"/>
          </w:tcPr>
          <w:p w14:paraId="1757E4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模板</w:t>
            </w:r>
          </w:p>
        </w:tc>
        <w:tc>
          <w:tcPr>
            <w:tcW w:w="1240" w:type="dxa"/>
            <w:tcBorders>
              <w:top w:val="single" w:color="000000" w:sz="4" w:space="0"/>
              <w:left w:val="single" w:color="000000" w:sz="4" w:space="0"/>
              <w:bottom w:val="single" w:color="000000" w:sz="4" w:space="0"/>
              <w:right w:val="single" w:color="000000" w:sz="4" w:space="0"/>
            </w:tcBorders>
            <w:noWrap/>
            <w:vAlign w:val="center"/>
          </w:tcPr>
          <w:p w14:paraId="511CB4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59443C8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615.92 </w:t>
            </w:r>
          </w:p>
        </w:tc>
      </w:tr>
      <w:tr w14:paraId="2A069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903" w:type="dxa"/>
            <w:tcBorders>
              <w:top w:val="single" w:color="000000" w:sz="4" w:space="0"/>
              <w:left w:val="single" w:color="000000" w:sz="4" w:space="0"/>
              <w:bottom w:val="single" w:color="000000" w:sz="4" w:space="0"/>
              <w:right w:val="single" w:color="000000" w:sz="4" w:space="0"/>
            </w:tcBorders>
            <w:noWrap/>
            <w:vAlign w:val="center"/>
          </w:tcPr>
          <w:p w14:paraId="7C3BE3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w:t>
            </w:r>
          </w:p>
        </w:tc>
        <w:tc>
          <w:tcPr>
            <w:tcW w:w="4815" w:type="dxa"/>
            <w:gridSpan w:val="3"/>
            <w:tcBorders>
              <w:top w:val="single" w:color="000000" w:sz="4" w:space="0"/>
              <w:left w:val="single" w:color="000000" w:sz="4" w:space="0"/>
              <w:bottom w:val="single" w:color="000000" w:sz="4" w:space="0"/>
              <w:right w:val="single" w:color="000000" w:sz="4" w:space="0"/>
            </w:tcBorders>
            <w:noWrap w:val="0"/>
            <w:vAlign w:val="center"/>
          </w:tcPr>
          <w:p w14:paraId="5414CFD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渠系建筑物</w:t>
            </w:r>
          </w:p>
        </w:tc>
        <w:tc>
          <w:tcPr>
            <w:tcW w:w="1240" w:type="dxa"/>
            <w:tcBorders>
              <w:top w:val="single" w:color="000000" w:sz="4" w:space="0"/>
              <w:left w:val="single" w:color="000000" w:sz="4" w:space="0"/>
              <w:bottom w:val="single" w:color="000000" w:sz="4" w:space="0"/>
              <w:right w:val="single" w:color="000000" w:sz="4" w:space="0"/>
            </w:tcBorders>
            <w:noWrap/>
            <w:vAlign w:val="center"/>
          </w:tcPr>
          <w:p w14:paraId="2C349992">
            <w:pPr>
              <w:jc w:val="center"/>
              <w:rPr>
                <w:rFonts w:hint="default" w:ascii="Times New Roman" w:hAnsi="Times New Roman" w:eastAsia="宋体" w:cs="Times New Roman"/>
                <w:b/>
                <w:bCs/>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7C7071AF">
            <w:pPr>
              <w:jc w:val="center"/>
              <w:rPr>
                <w:rFonts w:hint="default" w:ascii="Times New Roman" w:hAnsi="Times New Roman" w:eastAsia="宋体" w:cs="Times New Roman"/>
                <w:i w:val="0"/>
                <w:iCs w:val="0"/>
                <w:color w:val="000000"/>
                <w:kern w:val="2"/>
                <w:sz w:val="20"/>
                <w:szCs w:val="20"/>
                <w:u w:val="none"/>
                <w:lang w:val="en-US" w:eastAsia="zh-CN" w:bidi="ar-SA"/>
              </w:rPr>
            </w:pPr>
          </w:p>
        </w:tc>
      </w:tr>
      <w:tr w14:paraId="28047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903" w:type="dxa"/>
            <w:tcBorders>
              <w:top w:val="single" w:color="000000" w:sz="4" w:space="0"/>
              <w:left w:val="single" w:color="000000" w:sz="4" w:space="0"/>
              <w:bottom w:val="single" w:color="000000" w:sz="4" w:space="0"/>
              <w:right w:val="single" w:color="000000" w:sz="4" w:space="0"/>
            </w:tcBorders>
            <w:noWrap/>
            <w:vAlign w:val="center"/>
          </w:tcPr>
          <w:p w14:paraId="4E2A689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2.1</w:t>
            </w:r>
          </w:p>
        </w:tc>
        <w:tc>
          <w:tcPr>
            <w:tcW w:w="4815" w:type="dxa"/>
            <w:gridSpan w:val="3"/>
            <w:tcBorders>
              <w:top w:val="single" w:color="000000" w:sz="4" w:space="0"/>
              <w:left w:val="single" w:color="000000" w:sz="4" w:space="0"/>
              <w:bottom w:val="single" w:color="000000" w:sz="4" w:space="0"/>
              <w:right w:val="single" w:color="000000" w:sz="4" w:space="0"/>
            </w:tcBorders>
            <w:noWrap w:val="0"/>
            <w:vAlign w:val="center"/>
          </w:tcPr>
          <w:p w14:paraId="4E9DCD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节制左分水闸</w:t>
            </w:r>
          </w:p>
        </w:tc>
        <w:tc>
          <w:tcPr>
            <w:tcW w:w="1240" w:type="dxa"/>
            <w:tcBorders>
              <w:top w:val="single" w:color="000000" w:sz="4" w:space="0"/>
              <w:left w:val="single" w:color="000000" w:sz="4" w:space="0"/>
              <w:bottom w:val="single" w:color="000000" w:sz="4" w:space="0"/>
              <w:right w:val="single" w:color="000000" w:sz="4" w:space="0"/>
            </w:tcBorders>
            <w:noWrap/>
            <w:vAlign w:val="center"/>
          </w:tcPr>
          <w:p w14:paraId="5716C51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座</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15E5E15E">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2"/>
                <w:sz w:val="20"/>
                <w:szCs w:val="20"/>
                <w:u w:val="none"/>
                <w:lang w:val="en-US" w:eastAsia="zh-CN" w:bidi="ar-SA"/>
              </w:rPr>
            </w:pPr>
            <w:r>
              <w:rPr>
                <w:rFonts w:hint="default" w:ascii="Times New Roman" w:hAnsi="Times New Roman" w:eastAsia="宋体" w:cs="Times New Roman"/>
                <w:b/>
                <w:bCs/>
                <w:i w:val="0"/>
                <w:iCs w:val="0"/>
                <w:color w:val="000000"/>
                <w:kern w:val="0"/>
                <w:sz w:val="20"/>
                <w:szCs w:val="20"/>
                <w:u w:val="none"/>
                <w:lang w:val="en-US" w:eastAsia="zh-CN" w:bidi="ar"/>
              </w:rPr>
              <w:t xml:space="preserve">29 </w:t>
            </w:r>
          </w:p>
        </w:tc>
      </w:tr>
      <w:tr w14:paraId="083D7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903" w:type="dxa"/>
            <w:tcBorders>
              <w:top w:val="single" w:color="000000" w:sz="4" w:space="0"/>
              <w:left w:val="single" w:color="000000" w:sz="4" w:space="0"/>
              <w:bottom w:val="single" w:color="000000" w:sz="4" w:space="0"/>
              <w:right w:val="single" w:color="000000" w:sz="4" w:space="0"/>
            </w:tcBorders>
            <w:noWrap/>
            <w:vAlign w:val="center"/>
          </w:tcPr>
          <w:p w14:paraId="43099C5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2.1.1</w:t>
            </w:r>
          </w:p>
        </w:tc>
        <w:tc>
          <w:tcPr>
            <w:tcW w:w="4815" w:type="dxa"/>
            <w:gridSpan w:val="3"/>
            <w:tcBorders>
              <w:top w:val="single" w:color="000000" w:sz="4" w:space="0"/>
              <w:left w:val="single" w:color="000000" w:sz="4" w:space="0"/>
              <w:bottom w:val="single" w:color="000000" w:sz="4" w:space="0"/>
              <w:right w:val="single" w:color="000000" w:sz="4" w:space="0"/>
            </w:tcBorders>
            <w:noWrap w:val="0"/>
            <w:vAlign w:val="center"/>
          </w:tcPr>
          <w:p w14:paraId="67E1FE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土方开挖Ⅱ类土</w:t>
            </w:r>
          </w:p>
        </w:tc>
        <w:tc>
          <w:tcPr>
            <w:tcW w:w="1240" w:type="dxa"/>
            <w:tcBorders>
              <w:top w:val="single" w:color="000000" w:sz="4" w:space="0"/>
              <w:left w:val="single" w:color="000000" w:sz="4" w:space="0"/>
              <w:bottom w:val="single" w:color="000000" w:sz="4" w:space="0"/>
              <w:right w:val="single" w:color="000000" w:sz="4" w:space="0"/>
            </w:tcBorders>
            <w:noWrap/>
            <w:vAlign w:val="center"/>
          </w:tcPr>
          <w:p w14:paraId="30AAA82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m³</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0545B08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511.56 </w:t>
            </w:r>
          </w:p>
        </w:tc>
      </w:tr>
      <w:tr w14:paraId="0CCE4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903" w:type="dxa"/>
            <w:tcBorders>
              <w:top w:val="single" w:color="000000" w:sz="4" w:space="0"/>
              <w:left w:val="single" w:color="000000" w:sz="4" w:space="0"/>
              <w:bottom w:val="single" w:color="000000" w:sz="4" w:space="0"/>
              <w:right w:val="single" w:color="000000" w:sz="4" w:space="0"/>
            </w:tcBorders>
            <w:noWrap/>
            <w:vAlign w:val="center"/>
          </w:tcPr>
          <w:p w14:paraId="2551755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2.1.2</w:t>
            </w:r>
          </w:p>
        </w:tc>
        <w:tc>
          <w:tcPr>
            <w:tcW w:w="4815" w:type="dxa"/>
            <w:gridSpan w:val="3"/>
            <w:tcBorders>
              <w:top w:val="single" w:color="000000" w:sz="4" w:space="0"/>
              <w:left w:val="single" w:color="000000" w:sz="4" w:space="0"/>
              <w:bottom w:val="single" w:color="000000" w:sz="4" w:space="0"/>
              <w:right w:val="single" w:color="000000" w:sz="4" w:space="0"/>
            </w:tcBorders>
            <w:noWrap w:val="0"/>
            <w:vAlign w:val="center"/>
          </w:tcPr>
          <w:p w14:paraId="09659C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土方回填Ⅱ类土（压实度0.93）就近取土30m</w:t>
            </w:r>
          </w:p>
        </w:tc>
        <w:tc>
          <w:tcPr>
            <w:tcW w:w="1240" w:type="dxa"/>
            <w:tcBorders>
              <w:top w:val="single" w:color="000000" w:sz="4" w:space="0"/>
              <w:left w:val="single" w:color="000000" w:sz="4" w:space="0"/>
              <w:bottom w:val="single" w:color="000000" w:sz="4" w:space="0"/>
              <w:right w:val="single" w:color="000000" w:sz="4" w:space="0"/>
            </w:tcBorders>
            <w:noWrap/>
            <w:vAlign w:val="center"/>
          </w:tcPr>
          <w:p w14:paraId="4B6EB23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m³</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371AAD3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102.31 </w:t>
            </w:r>
          </w:p>
        </w:tc>
      </w:tr>
      <w:tr w14:paraId="2F7D9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903" w:type="dxa"/>
            <w:tcBorders>
              <w:top w:val="single" w:color="000000" w:sz="4" w:space="0"/>
              <w:left w:val="single" w:color="000000" w:sz="4" w:space="0"/>
              <w:bottom w:val="single" w:color="000000" w:sz="4" w:space="0"/>
              <w:right w:val="single" w:color="000000" w:sz="4" w:space="0"/>
            </w:tcBorders>
            <w:noWrap/>
            <w:vAlign w:val="center"/>
          </w:tcPr>
          <w:p w14:paraId="11218E6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2.1.3</w:t>
            </w:r>
          </w:p>
        </w:tc>
        <w:tc>
          <w:tcPr>
            <w:tcW w:w="4815" w:type="dxa"/>
            <w:gridSpan w:val="3"/>
            <w:tcBorders>
              <w:top w:val="single" w:color="000000" w:sz="4" w:space="0"/>
              <w:left w:val="single" w:color="000000" w:sz="4" w:space="0"/>
              <w:bottom w:val="single" w:color="000000" w:sz="4" w:space="0"/>
              <w:right w:val="single" w:color="000000" w:sz="4" w:space="0"/>
            </w:tcBorders>
            <w:noWrap w:val="0"/>
            <w:vAlign w:val="center"/>
          </w:tcPr>
          <w:p w14:paraId="670D593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C30F200W6现浇砼墩</w:t>
            </w:r>
          </w:p>
        </w:tc>
        <w:tc>
          <w:tcPr>
            <w:tcW w:w="1240" w:type="dxa"/>
            <w:tcBorders>
              <w:top w:val="single" w:color="000000" w:sz="4" w:space="0"/>
              <w:left w:val="single" w:color="000000" w:sz="4" w:space="0"/>
              <w:bottom w:val="single" w:color="000000" w:sz="4" w:space="0"/>
              <w:right w:val="single" w:color="000000" w:sz="4" w:space="0"/>
            </w:tcBorders>
            <w:noWrap/>
            <w:vAlign w:val="center"/>
          </w:tcPr>
          <w:p w14:paraId="416E2A9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m³</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5DD8D33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209.80 </w:t>
            </w:r>
          </w:p>
        </w:tc>
      </w:tr>
      <w:tr w14:paraId="4BA51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903" w:type="dxa"/>
            <w:tcBorders>
              <w:top w:val="single" w:color="000000" w:sz="4" w:space="0"/>
              <w:left w:val="single" w:color="000000" w:sz="4" w:space="0"/>
              <w:bottom w:val="single" w:color="000000" w:sz="4" w:space="0"/>
              <w:right w:val="single" w:color="000000" w:sz="4" w:space="0"/>
            </w:tcBorders>
            <w:noWrap/>
            <w:vAlign w:val="center"/>
          </w:tcPr>
          <w:p w14:paraId="772E95F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2.1.4</w:t>
            </w:r>
          </w:p>
        </w:tc>
        <w:tc>
          <w:tcPr>
            <w:tcW w:w="4815" w:type="dxa"/>
            <w:gridSpan w:val="3"/>
            <w:tcBorders>
              <w:top w:val="single" w:color="000000" w:sz="4" w:space="0"/>
              <w:left w:val="single" w:color="000000" w:sz="4" w:space="0"/>
              <w:bottom w:val="single" w:color="000000" w:sz="4" w:space="0"/>
              <w:right w:val="single" w:color="000000" w:sz="4" w:space="0"/>
            </w:tcBorders>
            <w:noWrap w:val="0"/>
            <w:vAlign w:val="center"/>
          </w:tcPr>
          <w:p w14:paraId="3BCD7EC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C30F200W6现浇砼底板</w:t>
            </w:r>
          </w:p>
        </w:tc>
        <w:tc>
          <w:tcPr>
            <w:tcW w:w="1240" w:type="dxa"/>
            <w:tcBorders>
              <w:top w:val="single" w:color="000000" w:sz="4" w:space="0"/>
              <w:left w:val="single" w:color="000000" w:sz="4" w:space="0"/>
              <w:bottom w:val="single" w:color="000000" w:sz="4" w:space="0"/>
              <w:right w:val="single" w:color="000000" w:sz="4" w:space="0"/>
            </w:tcBorders>
            <w:noWrap/>
            <w:vAlign w:val="center"/>
          </w:tcPr>
          <w:p w14:paraId="76535A2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m³</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19D525B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114.80 </w:t>
            </w:r>
          </w:p>
        </w:tc>
      </w:tr>
      <w:tr w14:paraId="098D2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903" w:type="dxa"/>
            <w:tcBorders>
              <w:top w:val="single" w:color="000000" w:sz="4" w:space="0"/>
              <w:left w:val="single" w:color="000000" w:sz="4" w:space="0"/>
              <w:bottom w:val="single" w:color="000000" w:sz="4" w:space="0"/>
              <w:right w:val="single" w:color="000000" w:sz="4" w:space="0"/>
            </w:tcBorders>
            <w:noWrap/>
            <w:vAlign w:val="center"/>
          </w:tcPr>
          <w:p w14:paraId="630E18F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2.1.5</w:t>
            </w:r>
          </w:p>
        </w:tc>
        <w:tc>
          <w:tcPr>
            <w:tcW w:w="4815" w:type="dxa"/>
            <w:gridSpan w:val="3"/>
            <w:tcBorders>
              <w:top w:val="single" w:color="000000" w:sz="4" w:space="0"/>
              <w:left w:val="single" w:color="000000" w:sz="4" w:space="0"/>
              <w:bottom w:val="single" w:color="000000" w:sz="4" w:space="0"/>
              <w:right w:val="single" w:color="000000" w:sz="4" w:space="0"/>
            </w:tcBorders>
            <w:noWrap w:val="0"/>
            <w:vAlign w:val="center"/>
          </w:tcPr>
          <w:p w14:paraId="6EE202F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C30F200W6现浇砼扭面</w:t>
            </w:r>
          </w:p>
        </w:tc>
        <w:tc>
          <w:tcPr>
            <w:tcW w:w="1240" w:type="dxa"/>
            <w:tcBorders>
              <w:top w:val="single" w:color="000000" w:sz="4" w:space="0"/>
              <w:left w:val="single" w:color="000000" w:sz="4" w:space="0"/>
              <w:bottom w:val="single" w:color="000000" w:sz="4" w:space="0"/>
              <w:right w:val="single" w:color="000000" w:sz="4" w:space="0"/>
            </w:tcBorders>
            <w:noWrap/>
            <w:vAlign w:val="center"/>
          </w:tcPr>
          <w:p w14:paraId="5095251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m³</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153F3A6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38.98 </w:t>
            </w:r>
          </w:p>
        </w:tc>
      </w:tr>
      <w:tr w14:paraId="6F758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903" w:type="dxa"/>
            <w:tcBorders>
              <w:top w:val="single" w:color="000000" w:sz="4" w:space="0"/>
              <w:left w:val="single" w:color="000000" w:sz="4" w:space="0"/>
              <w:bottom w:val="single" w:color="000000" w:sz="4" w:space="0"/>
              <w:right w:val="single" w:color="000000" w:sz="4" w:space="0"/>
            </w:tcBorders>
            <w:noWrap/>
            <w:vAlign w:val="center"/>
          </w:tcPr>
          <w:p w14:paraId="4EBFE17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2.1.6</w:t>
            </w:r>
          </w:p>
        </w:tc>
        <w:tc>
          <w:tcPr>
            <w:tcW w:w="4815" w:type="dxa"/>
            <w:gridSpan w:val="3"/>
            <w:tcBorders>
              <w:top w:val="single" w:color="000000" w:sz="4" w:space="0"/>
              <w:left w:val="single" w:color="000000" w:sz="4" w:space="0"/>
              <w:bottom w:val="single" w:color="000000" w:sz="4" w:space="0"/>
              <w:right w:val="single" w:color="000000" w:sz="4" w:space="0"/>
            </w:tcBorders>
            <w:noWrap w:val="0"/>
            <w:vAlign w:val="center"/>
          </w:tcPr>
          <w:p w14:paraId="68DB0CA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C30F200W6预制钢筋砼板</w:t>
            </w:r>
          </w:p>
        </w:tc>
        <w:tc>
          <w:tcPr>
            <w:tcW w:w="1240" w:type="dxa"/>
            <w:tcBorders>
              <w:top w:val="single" w:color="000000" w:sz="4" w:space="0"/>
              <w:left w:val="single" w:color="000000" w:sz="4" w:space="0"/>
              <w:bottom w:val="single" w:color="000000" w:sz="4" w:space="0"/>
              <w:right w:val="single" w:color="000000" w:sz="4" w:space="0"/>
            </w:tcBorders>
            <w:noWrap/>
            <w:vAlign w:val="center"/>
          </w:tcPr>
          <w:p w14:paraId="7BFE191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m³</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38CB83E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13.40 </w:t>
            </w:r>
          </w:p>
        </w:tc>
      </w:tr>
      <w:tr w14:paraId="6871D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903" w:type="dxa"/>
            <w:tcBorders>
              <w:top w:val="single" w:color="000000" w:sz="4" w:space="0"/>
              <w:left w:val="single" w:color="000000" w:sz="4" w:space="0"/>
              <w:bottom w:val="single" w:color="000000" w:sz="4" w:space="0"/>
              <w:right w:val="single" w:color="000000" w:sz="4" w:space="0"/>
            </w:tcBorders>
            <w:noWrap/>
            <w:vAlign w:val="center"/>
          </w:tcPr>
          <w:p w14:paraId="7EBA8F4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2.1.7</w:t>
            </w:r>
          </w:p>
        </w:tc>
        <w:tc>
          <w:tcPr>
            <w:tcW w:w="4815" w:type="dxa"/>
            <w:gridSpan w:val="3"/>
            <w:tcBorders>
              <w:top w:val="single" w:color="000000" w:sz="4" w:space="0"/>
              <w:left w:val="single" w:color="000000" w:sz="4" w:space="0"/>
              <w:bottom w:val="single" w:color="000000" w:sz="4" w:space="0"/>
              <w:right w:val="single" w:color="000000" w:sz="4" w:space="0"/>
            </w:tcBorders>
            <w:noWrap w:val="0"/>
            <w:vAlign w:val="center"/>
          </w:tcPr>
          <w:p w14:paraId="12AA83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钢筋制安</w:t>
            </w:r>
          </w:p>
        </w:tc>
        <w:tc>
          <w:tcPr>
            <w:tcW w:w="1240" w:type="dxa"/>
            <w:tcBorders>
              <w:top w:val="single" w:color="000000" w:sz="4" w:space="0"/>
              <w:left w:val="single" w:color="000000" w:sz="4" w:space="0"/>
              <w:bottom w:val="single" w:color="000000" w:sz="4" w:space="0"/>
              <w:right w:val="single" w:color="000000" w:sz="4" w:space="0"/>
            </w:tcBorders>
            <w:noWrap/>
            <w:vAlign w:val="center"/>
          </w:tcPr>
          <w:p w14:paraId="2C24FEF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t</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3C20C8C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3.05 </w:t>
            </w:r>
          </w:p>
        </w:tc>
      </w:tr>
      <w:tr w14:paraId="7DC8F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903" w:type="dxa"/>
            <w:tcBorders>
              <w:top w:val="single" w:color="000000" w:sz="4" w:space="0"/>
              <w:left w:val="single" w:color="000000" w:sz="4" w:space="0"/>
              <w:bottom w:val="single" w:color="000000" w:sz="4" w:space="0"/>
              <w:right w:val="single" w:color="000000" w:sz="4" w:space="0"/>
            </w:tcBorders>
            <w:noWrap/>
            <w:vAlign w:val="center"/>
          </w:tcPr>
          <w:p w14:paraId="58ECA07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2.1.8</w:t>
            </w:r>
          </w:p>
        </w:tc>
        <w:tc>
          <w:tcPr>
            <w:tcW w:w="4815" w:type="dxa"/>
            <w:gridSpan w:val="3"/>
            <w:tcBorders>
              <w:top w:val="single" w:color="000000" w:sz="4" w:space="0"/>
              <w:left w:val="single" w:color="000000" w:sz="4" w:space="0"/>
              <w:bottom w:val="single" w:color="000000" w:sz="4" w:space="0"/>
              <w:right w:val="single" w:color="000000" w:sz="4" w:space="0"/>
            </w:tcBorders>
            <w:noWrap w:val="0"/>
            <w:vAlign w:val="center"/>
          </w:tcPr>
          <w:p w14:paraId="77A420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模板工程</w:t>
            </w:r>
          </w:p>
        </w:tc>
        <w:tc>
          <w:tcPr>
            <w:tcW w:w="1240" w:type="dxa"/>
            <w:tcBorders>
              <w:top w:val="single" w:color="000000" w:sz="4" w:space="0"/>
              <w:left w:val="single" w:color="000000" w:sz="4" w:space="0"/>
              <w:bottom w:val="single" w:color="000000" w:sz="4" w:space="0"/>
              <w:right w:val="single" w:color="000000" w:sz="4" w:space="0"/>
            </w:tcBorders>
            <w:noWrap/>
            <w:vAlign w:val="center"/>
          </w:tcPr>
          <w:p w14:paraId="00A593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751F9F7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1331.27 </w:t>
            </w:r>
          </w:p>
        </w:tc>
      </w:tr>
      <w:tr w14:paraId="1B72C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903" w:type="dxa"/>
            <w:tcBorders>
              <w:top w:val="single" w:color="000000" w:sz="4" w:space="0"/>
              <w:left w:val="single" w:color="000000" w:sz="4" w:space="0"/>
              <w:bottom w:val="single" w:color="000000" w:sz="4" w:space="0"/>
              <w:right w:val="single" w:color="000000" w:sz="4" w:space="0"/>
            </w:tcBorders>
            <w:noWrap/>
            <w:vAlign w:val="center"/>
          </w:tcPr>
          <w:p w14:paraId="65B5B6F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2.1.9</w:t>
            </w:r>
          </w:p>
        </w:tc>
        <w:tc>
          <w:tcPr>
            <w:tcW w:w="4815" w:type="dxa"/>
            <w:gridSpan w:val="3"/>
            <w:tcBorders>
              <w:top w:val="single" w:color="000000" w:sz="4" w:space="0"/>
              <w:left w:val="single" w:color="000000" w:sz="4" w:space="0"/>
              <w:bottom w:val="single" w:color="000000" w:sz="4" w:space="0"/>
              <w:right w:val="single" w:color="000000" w:sz="4" w:space="0"/>
            </w:tcBorders>
            <w:noWrap w:val="0"/>
            <w:vAlign w:val="center"/>
          </w:tcPr>
          <w:p w14:paraId="492026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双组分聚氨酯密封膏</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AE0958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m³</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722E769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0.21 </w:t>
            </w:r>
          </w:p>
        </w:tc>
      </w:tr>
      <w:tr w14:paraId="0EEF8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903" w:type="dxa"/>
            <w:tcBorders>
              <w:top w:val="single" w:color="000000" w:sz="4" w:space="0"/>
              <w:left w:val="single" w:color="000000" w:sz="4" w:space="0"/>
              <w:bottom w:val="single" w:color="000000" w:sz="4" w:space="0"/>
              <w:right w:val="single" w:color="000000" w:sz="4" w:space="0"/>
            </w:tcBorders>
            <w:noWrap/>
            <w:vAlign w:val="center"/>
          </w:tcPr>
          <w:p w14:paraId="1E9EF97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2.1.10</w:t>
            </w:r>
          </w:p>
        </w:tc>
        <w:tc>
          <w:tcPr>
            <w:tcW w:w="4815" w:type="dxa"/>
            <w:gridSpan w:val="3"/>
            <w:tcBorders>
              <w:top w:val="single" w:color="000000" w:sz="4" w:space="0"/>
              <w:left w:val="single" w:color="000000" w:sz="4" w:space="0"/>
              <w:bottom w:val="single" w:color="000000" w:sz="4" w:space="0"/>
              <w:right w:val="single" w:color="000000" w:sz="4" w:space="0"/>
            </w:tcBorders>
            <w:noWrap w:val="0"/>
            <w:vAlign w:val="center"/>
          </w:tcPr>
          <w:p w14:paraId="5E2306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高压闭孔板</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67243A9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m³</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059F854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0.58 </w:t>
            </w:r>
          </w:p>
        </w:tc>
      </w:tr>
      <w:tr w14:paraId="6AC24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903" w:type="dxa"/>
            <w:tcBorders>
              <w:top w:val="single" w:color="000000" w:sz="4" w:space="0"/>
              <w:left w:val="single" w:color="000000" w:sz="4" w:space="0"/>
              <w:bottom w:val="single" w:color="000000" w:sz="4" w:space="0"/>
              <w:right w:val="single" w:color="000000" w:sz="4" w:space="0"/>
            </w:tcBorders>
            <w:noWrap/>
            <w:vAlign w:val="center"/>
          </w:tcPr>
          <w:p w14:paraId="1104A34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2.1.11</w:t>
            </w:r>
          </w:p>
        </w:tc>
        <w:tc>
          <w:tcPr>
            <w:tcW w:w="4815" w:type="dxa"/>
            <w:gridSpan w:val="3"/>
            <w:tcBorders>
              <w:top w:val="single" w:color="000000" w:sz="4" w:space="0"/>
              <w:left w:val="single" w:color="000000" w:sz="4" w:space="0"/>
              <w:bottom w:val="single" w:color="000000" w:sz="4" w:space="0"/>
              <w:right w:val="single" w:color="000000" w:sz="4" w:space="0"/>
            </w:tcBorders>
            <w:noWrap w:val="0"/>
            <w:vAlign w:val="center"/>
          </w:tcPr>
          <w:p w14:paraId="2F6877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砂砾石垫层</w:t>
            </w:r>
          </w:p>
        </w:tc>
        <w:tc>
          <w:tcPr>
            <w:tcW w:w="1240" w:type="dxa"/>
            <w:tcBorders>
              <w:top w:val="single" w:color="000000" w:sz="4" w:space="0"/>
              <w:left w:val="single" w:color="000000" w:sz="4" w:space="0"/>
              <w:bottom w:val="single" w:color="000000" w:sz="4" w:space="0"/>
              <w:right w:val="single" w:color="000000" w:sz="4" w:space="0"/>
            </w:tcBorders>
            <w:noWrap/>
            <w:vAlign w:val="center"/>
          </w:tcPr>
          <w:p w14:paraId="5B46FB3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m³</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0A216EA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249.39 </w:t>
            </w:r>
          </w:p>
        </w:tc>
      </w:tr>
      <w:tr w14:paraId="58273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903" w:type="dxa"/>
            <w:tcBorders>
              <w:top w:val="single" w:color="000000" w:sz="4" w:space="0"/>
              <w:left w:val="single" w:color="000000" w:sz="4" w:space="0"/>
              <w:bottom w:val="single" w:color="000000" w:sz="4" w:space="0"/>
              <w:right w:val="single" w:color="000000" w:sz="4" w:space="0"/>
            </w:tcBorders>
            <w:noWrap/>
            <w:vAlign w:val="center"/>
          </w:tcPr>
          <w:p w14:paraId="56AAC68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2.2</w:t>
            </w:r>
          </w:p>
        </w:tc>
        <w:tc>
          <w:tcPr>
            <w:tcW w:w="4815" w:type="dxa"/>
            <w:gridSpan w:val="3"/>
            <w:tcBorders>
              <w:top w:val="single" w:color="000000" w:sz="4" w:space="0"/>
              <w:left w:val="single" w:color="000000" w:sz="4" w:space="0"/>
              <w:bottom w:val="single" w:color="000000" w:sz="4" w:space="0"/>
              <w:right w:val="single" w:color="000000" w:sz="4" w:space="0"/>
            </w:tcBorders>
            <w:noWrap w:val="0"/>
            <w:vAlign w:val="center"/>
          </w:tcPr>
          <w:p w14:paraId="483C9AE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节制右分水闸</w:t>
            </w:r>
          </w:p>
        </w:tc>
        <w:tc>
          <w:tcPr>
            <w:tcW w:w="1240" w:type="dxa"/>
            <w:tcBorders>
              <w:top w:val="single" w:color="000000" w:sz="4" w:space="0"/>
              <w:left w:val="single" w:color="000000" w:sz="4" w:space="0"/>
              <w:bottom w:val="single" w:color="000000" w:sz="4" w:space="0"/>
              <w:right w:val="single" w:color="000000" w:sz="4" w:space="0"/>
            </w:tcBorders>
            <w:noWrap/>
            <w:vAlign w:val="center"/>
          </w:tcPr>
          <w:p w14:paraId="54EDB2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座</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182AE075">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2"/>
                <w:sz w:val="20"/>
                <w:szCs w:val="20"/>
                <w:u w:val="none"/>
                <w:lang w:val="en-US" w:eastAsia="zh-CN" w:bidi="ar-SA"/>
              </w:rPr>
            </w:pPr>
            <w:r>
              <w:rPr>
                <w:rFonts w:hint="default" w:ascii="Times New Roman" w:hAnsi="Times New Roman" w:eastAsia="宋体" w:cs="Times New Roman"/>
                <w:b/>
                <w:bCs/>
                <w:i w:val="0"/>
                <w:iCs w:val="0"/>
                <w:color w:val="000000"/>
                <w:kern w:val="0"/>
                <w:sz w:val="20"/>
                <w:szCs w:val="20"/>
                <w:u w:val="none"/>
                <w:lang w:val="en-US" w:eastAsia="zh-CN" w:bidi="ar"/>
              </w:rPr>
              <w:t xml:space="preserve">1 </w:t>
            </w:r>
          </w:p>
        </w:tc>
      </w:tr>
      <w:tr w14:paraId="12D74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903" w:type="dxa"/>
            <w:tcBorders>
              <w:top w:val="single" w:color="000000" w:sz="4" w:space="0"/>
              <w:left w:val="single" w:color="000000" w:sz="4" w:space="0"/>
              <w:bottom w:val="single" w:color="000000" w:sz="4" w:space="0"/>
              <w:right w:val="single" w:color="000000" w:sz="4" w:space="0"/>
            </w:tcBorders>
            <w:noWrap/>
            <w:vAlign w:val="center"/>
          </w:tcPr>
          <w:p w14:paraId="1BC8274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2.2.1</w:t>
            </w:r>
          </w:p>
        </w:tc>
        <w:tc>
          <w:tcPr>
            <w:tcW w:w="4815" w:type="dxa"/>
            <w:gridSpan w:val="3"/>
            <w:tcBorders>
              <w:top w:val="single" w:color="000000" w:sz="4" w:space="0"/>
              <w:left w:val="single" w:color="000000" w:sz="4" w:space="0"/>
              <w:bottom w:val="single" w:color="000000" w:sz="4" w:space="0"/>
              <w:right w:val="single" w:color="000000" w:sz="4" w:space="0"/>
            </w:tcBorders>
            <w:noWrap w:val="0"/>
            <w:vAlign w:val="center"/>
          </w:tcPr>
          <w:p w14:paraId="54EB7C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土方开挖Ⅱ类土</w:t>
            </w:r>
          </w:p>
        </w:tc>
        <w:tc>
          <w:tcPr>
            <w:tcW w:w="1240" w:type="dxa"/>
            <w:tcBorders>
              <w:top w:val="single" w:color="000000" w:sz="4" w:space="0"/>
              <w:left w:val="single" w:color="000000" w:sz="4" w:space="0"/>
              <w:bottom w:val="single" w:color="000000" w:sz="4" w:space="0"/>
              <w:right w:val="single" w:color="000000" w:sz="4" w:space="0"/>
            </w:tcBorders>
            <w:noWrap/>
            <w:vAlign w:val="center"/>
          </w:tcPr>
          <w:p w14:paraId="6E93FEB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m³</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4F26C70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17.64 </w:t>
            </w:r>
          </w:p>
        </w:tc>
      </w:tr>
      <w:tr w14:paraId="58772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903" w:type="dxa"/>
            <w:tcBorders>
              <w:top w:val="single" w:color="000000" w:sz="4" w:space="0"/>
              <w:left w:val="single" w:color="000000" w:sz="4" w:space="0"/>
              <w:bottom w:val="single" w:color="000000" w:sz="4" w:space="0"/>
              <w:right w:val="single" w:color="000000" w:sz="4" w:space="0"/>
            </w:tcBorders>
            <w:noWrap/>
            <w:vAlign w:val="center"/>
          </w:tcPr>
          <w:p w14:paraId="614EC94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2.2.2</w:t>
            </w:r>
          </w:p>
        </w:tc>
        <w:tc>
          <w:tcPr>
            <w:tcW w:w="4815" w:type="dxa"/>
            <w:gridSpan w:val="3"/>
            <w:tcBorders>
              <w:top w:val="single" w:color="000000" w:sz="4" w:space="0"/>
              <w:left w:val="single" w:color="000000" w:sz="4" w:space="0"/>
              <w:bottom w:val="single" w:color="000000" w:sz="4" w:space="0"/>
              <w:right w:val="single" w:color="000000" w:sz="4" w:space="0"/>
            </w:tcBorders>
            <w:noWrap w:val="0"/>
            <w:vAlign w:val="center"/>
          </w:tcPr>
          <w:p w14:paraId="324874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土方回填Ⅱ类土（压实度0.93）就近取土30m</w:t>
            </w:r>
          </w:p>
        </w:tc>
        <w:tc>
          <w:tcPr>
            <w:tcW w:w="1240" w:type="dxa"/>
            <w:tcBorders>
              <w:top w:val="single" w:color="000000" w:sz="4" w:space="0"/>
              <w:left w:val="single" w:color="000000" w:sz="4" w:space="0"/>
              <w:bottom w:val="single" w:color="000000" w:sz="4" w:space="0"/>
              <w:right w:val="single" w:color="000000" w:sz="4" w:space="0"/>
            </w:tcBorders>
            <w:noWrap/>
            <w:vAlign w:val="center"/>
          </w:tcPr>
          <w:p w14:paraId="5296D33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m³</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24679E1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3.53 </w:t>
            </w:r>
          </w:p>
        </w:tc>
      </w:tr>
      <w:tr w14:paraId="60D17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903" w:type="dxa"/>
            <w:tcBorders>
              <w:top w:val="single" w:color="000000" w:sz="4" w:space="0"/>
              <w:left w:val="single" w:color="000000" w:sz="4" w:space="0"/>
              <w:bottom w:val="single" w:color="000000" w:sz="4" w:space="0"/>
              <w:right w:val="single" w:color="000000" w:sz="4" w:space="0"/>
            </w:tcBorders>
            <w:noWrap/>
            <w:vAlign w:val="center"/>
          </w:tcPr>
          <w:p w14:paraId="7733AEC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2.2.3</w:t>
            </w:r>
          </w:p>
        </w:tc>
        <w:tc>
          <w:tcPr>
            <w:tcW w:w="4815" w:type="dxa"/>
            <w:gridSpan w:val="3"/>
            <w:tcBorders>
              <w:top w:val="single" w:color="000000" w:sz="4" w:space="0"/>
              <w:left w:val="single" w:color="000000" w:sz="4" w:space="0"/>
              <w:bottom w:val="single" w:color="000000" w:sz="4" w:space="0"/>
              <w:right w:val="single" w:color="000000" w:sz="4" w:space="0"/>
            </w:tcBorders>
            <w:noWrap w:val="0"/>
            <w:vAlign w:val="center"/>
          </w:tcPr>
          <w:p w14:paraId="5EE805D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C30F200W6现浇砼墩</w:t>
            </w:r>
          </w:p>
        </w:tc>
        <w:tc>
          <w:tcPr>
            <w:tcW w:w="1240" w:type="dxa"/>
            <w:tcBorders>
              <w:top w:val="single" w:color="000000" w:sz="4" w:space="0"/>
              <w:left w:val="single" w:color="000000" w:sz="4" w:space="0"/>
              <w:bottom w:val="single" w:color="000000" w:sz="4" w:space="0"/>
              <w:right w:val="single" w:color="000000" w:sz="4" w:space="0"/>
            </w:tcBorders>
            <w:noWrap/>
            <w:vAlign w:val="center"/>
          </w:tcPr>
          <w:p w14:paraId="559253D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m³</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19EA67D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7.23 </w:t>
            </w:r>
          </w:p>
        </w:tc>
      </w:tr>
      <w:tr w14:paraId="0FC07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903" w:type="dxa"/>
            <w:tcBorders>
              <w:top w:val="single" w:color="000000" w:sz="4" w:space="0"/>
              <w:left w:val="single" w:color="000000" w:sz="4" w:space="0"/>
              <w:bottom w:val="single" w:color="000000" w:sz="4" w:space="0"/>
              <w:right w:val="single" w:color="000000" w:sz="4" w:space="0"/>
            </w:tcBorders>
            <w:noWrap/>
            <w:vAlign w:val="center"/>
          </w:tcPr>
          <w:p w14:paraId="630AA95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2.2.4</w:t>
            </w:r>
          </w:p>
        </w:tc>
        <w:tc>
          <w:tcPr>
            <w:tcW w:w="4815" w:type="dxa"/>
            <w:gridSpan w:val="3"/>
            <w:tcBorders>
              <w:top w:val="single" w:color="000000" w:sz="4" w:space="0"/>
              <w:left w:val="single" w:color="000000" w:sz="4" w:space="0"/>
              <w:bottom w:val="single" w:color="000000" w:sz="4" w:space="0"/>
              <w:right w:val="single" w:color="000000" w:sz="4" w:space="0"/>
            </w:tcBorders>
            <w:noWrap w:val="0"/>
            <w:vAlign w:val="center"/>
          </w:tcPr>
          <w:p w14:paraId="5DC07E9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C30F200W6现浇砼底板</w:t>
            </w:r>
          </w:p>
        </w:tc>
        <w:tc>
          <w:tcPr>
            <w:tcW w:w="1240" w:type="dxa"/>
            <w:tcBorders>
              <w:top w:val="single" w:color="000000" w:sz="4" w:space="0"/>
              <w:left w:val="single" w:color="000000" w:sz="4" w:space="0"/>
              <w:bottom w:val="single" w:color="000000" w:sz="4" w:space="0"/>
              <w:right w:val="single" w:color="000000" w:sz="4" w:space="0"/>
            </w:tcBorders>
            <w:noWrap/>
            <w:vAlign w:val="center"/>
          </w:tcPr>
          <w:p w14:paraId="6A7A0E5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m³</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2C05F72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3.96 </w:t>
            </w:r>
          </w:p>
        </w:tc>
      </w:tr>
      <w:tr w14:paraId="11F48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903" w:type="dxa"/>
            <w:tcBorders>
              <w:top w:val="single" w:color="000000" w:sz="4" w:space="0"/>
              <w:left w:val="single" w:color="000000" w:sz="4" w:space="0"/>
              <w:bottom w:val="single" w:color="000000" w:sz="4" w:space="0"/>
              <w:right w:val="single" w:color="000000" w:sz="4" w:space="0"/>
            </w:tcBorders>
            <w:noWrap/>
            <w:vAlign w:val="center"/>
          </w:tcPr>
          <w:p w14:paraId="5D90634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2.2.5</w:t>
            </w:r>
          </w:p>
        </w:tc>
        <w:tc>
          <w:tcPr>
            <w:tcW w:w="4815" w:type="dxa"/>
            <w:gridSpan w:val="3"/>
            <w:tcBorders>
              <w:top w:val="single" w:color="000000" w:sz="4" w:space="0"/>
              <w:left w:val="single" w:color="000000" w:sz="4" w:space="0"/>
              <w:bottom w:val="single" w:color="000000" w:sz="4" w:space="0"/>
              <w:right w:val="single" w:color="000000" w:sz="4" w:space="0"/>
            </w:tcBorders>
            <w:noWrap w:val="0"/>
            <w:vAlign w:val="center"/>
          </w:tcPr>
          <w:p w14:paraId="141B143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C30F200W6现浇砼扭面</w:t>
            </w:r>
          </w:p>
        </w:tc>
        <w:tc>
          <w:tcPr>
            <w:tcW w:w="1240" w:type="dxa"/>
            <w:tcBorders>
              <w:top w:val="single" w:color="000000" w:sz="4" w:space="0"/>
              <w:left w:val="single" w:color="000000" w:sz="4" w:space="0"/>
              <w:bottom w:val="single" w:color="000000" w:sz="4" w:space="0"/>
              <w:right w:val="single" w:color="000000" w:sz="4" w:space="0"/>
            </w:tcBorders>
            <w:noWrap/>
            <w:vAlign w:val="center"/>
          </w:tcPr>
          <w:p w14:paraId="2A3A517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m³</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2D8E8AB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1.34 </w:t>
            </w:r>
          </w:p>
        </w:tc>
      </w:tr>
      <w:tr w14:paraId="0BE0E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903" w:type="dxa"/>
            <w:tcBorders>
              <w:top w:val="single" w:color="000000" w:sz="4" w:space="0"/>
              <w:left w:val="single" w:color="000000" w:sz="4" w:space="0"/>
              <w:bottom w:val="single" w:color="000000" w:sz="4" w:space="0"/>
              <w:right w:val="single" w:color="000000" w:sz="4" w:space="0"/>
            </w:tcBorders>
            <w:noWrap/>
            <w:vAlign w:val="center"/>
          </w:tcPr>
          <w:p w14:paraId="2DDB6A8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2.2.6</w:t>
            </w:r>
          </w:p>
        </w:tc>
        <w:tc>
          <w:tcPr>
            <w:tcW w:w="4815" w:type="dxa"/>
            <w:gridSpan w:val="3"/>
            <w:tcBorders>
              <w:top w:val="single" w:color="000000" w:sz="4" w:space="0"/>
              <w:left w:val="single" w:color="000000" w:sz="4" w:space="0"/>
              <w:bottom w:val="single" w:color="000000" w:sz="4" w:space="0"/>
              <w:right w:val="single" w:color="000000" w:sz="4" w:space="0"/>
            </w:tcBorders>
            <w:noWrap w:val="0"/>
            <w:vAlign w:val="center"/>
          </w:tcPr>
          <w:p w14:paraId="029A380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C30F200W6预制钢筋砼板</w:t>
            </w:r>
          </w:p>
        </w:tc>
        <w:tc>
          <w:tcPr>
            <w:tcW w:w="1240" w:type="dxa"/>
            <w:tcBorders>
              <w:top w:val="single" w:color="000000" w:sz="4" w:space="0"/>
              <w:left w:val="single" w:color="000000" w:sz="4" w:space="0"/>
              <w:bottom w:val="single" w:color="000000" w:sz="4" w:space="0"/>
              <w:right w:val="single" w:color="000000" w:sz="4" w:space="0"/>
            </w:tcBorders>
            <w:noWrap/>
            <w:vAlign w:val="center"/>
          </w:tcPr>
          <w:p w14:paraId="69D1090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m³</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78A1C6C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0.46 </w:t>
            </w:r>
          </w:p>
        </w:tc>
      </w:tr>
      <w:tr w14:paraId="63FFC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903" w:type="dxa"/>
            <w:tcBorders>
              <w:top w:val="single" w:color="000000" w:sz="4" w:space="0"/>
              <w:left w:val="single" w:color="000000" w:sz="4" w:space="0"/>
              <w:bottom w:val="single" w:color="000000" w:sz="4" w:space="0"/>
              <w:right w:val="single" w:color="000000" w:sz="4" w:space="0"/>
            </w:tcBorders>
            <w:noWrap/>
            <w:vAlign w:val="center"/>
          </w:tcPr>
          <w:p w14:paraId="1C40224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2.2.7</w:t>
            </w:r>
          </w:p>
        </w:tc>
        <w:tc>
          <w:tcPr>
            <w:tcW w:w="4815" w:type="dxa"/>
            <w:gridSpan w:val="3"/>
            <w:tcBorders>
              <w:top w:val="single" w:color="000000" w:sz="4" w:space="0"/>
              <w:left w:val="single" w:color="000000" w:sz="4" w:space="0"/>
              <w:bottom w:val="single" w:color="000000" w:sz="4" w:space="0"/>
              <w:right w:val="single" w:color="000000" w:sz="4" w:space="0"/>
            </w:tcBorders>
            <w:noWrap w:val="0"/>
            <w:vAlign w:val="center"/>
          </w:tcPr>
          <w:p w14:paraId="751991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钢筋制安</w:t>
            </w:r>
          </w:p>
        </w:tc>
        <w:tc>
          <w:tcPr>
            <w:tcW w:w="1240" w:type="dxa"/>
            <w:tcBorders>
              <w:top w:val="single" w:color="000000" w:sz="4" w:space="0"/>
              <w:left w:val="single" w:color="000000" w:sz="4" w:space="0"/>
              <w:bottom w:val="single" w:color="000000" w:sz="4" w:space="0"/>
              <w:right w:val="single" w:color="000000" w:sz="4" w:space="0"/>
            </w:tcBorders>
            <w:noWrap/>
            <w:vAlign w:val="center"/>
          </w:tcPr>
          <w:p w14:paraId="0022D8B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t</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635FF90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0.11 </w:t>
            </w:r>
          </w:p>
        </w:tc>
      </w:tr>
      <w:tr w14:paraId="3CF28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903" w:type="dxa"/>
            <w:tcBorders>
              <w:top w:val="single" w:color="000000" w:sz="4" w:space="0"/>
              <w:left w:val="single" w:color="000000" w:sz="4" w:space="0"/>
              <w:bottom w:val="single" w:color="000000" w:sz="4" w:space="0"/>
              <w:right w:val="single" w:color="000000" w:sz="4" w:space="0"/>
            </w:tcBorders>
            <w:noWrap/>
            <w:vAlign w:val="center"/>
          </w:tcPr>
          <w:p w14:paraId="59F1BF7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2.2.8</w:t>
            </w:r>
          </w:p>
        </w:tc>
        <w:tc>
          <w:tcPr>
            <w:tcW w:w="4815" w:type="dxa"/>
            <w:gridSpan w:val="3"/>
            <w:tcBorders>
              <w:top w:val="single" w:color="000000" w:sz="4" w:space="0"/>
              <w:left w:val="single" w:color="000000" w:sz="4" w:space="0"/>
              <w:bottom w:val="single" w:color="000000" w:sz="4" w:space="0"/>
              <w:right w:val="single" w:color="000000" w:sz="4" w:space="0"/>
            </w:tcBorders>
            <w:noWrap w:val="0"/>
            <w:vAlign w:val="center"/>
          </w:tcPr>
          <w:p w14:paraId="3A80AE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模板工程</w:t>
            </w:r>
          </w:p>
        </w:tc>
        <w:tc>
          <w:tcPr>
            <w:tcW w:w="1240" w:type="dxa"/>
            <w:tcBorders>
              <w:top w:val="single" w:color="000000" w:sz="4" w:space="0"/>
              <w:left w:val="single" w:color="000000" w:sz="4" w:space="0"/>
              <w:bottom w:val="single" w:color="000000" w:sz="4" w:space="0"/>
              <w:right w:val="single" w:color="000000" w:sz="4" w:space="0"/>
            </w:tcBorders>
            <w:noWrap/>
            <w:vAlign w:val="center"/>
          </w:tcPr>
          <w:p w14:paraId="1714E9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020782A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45.91 </w:t>
            </w:r>
          </w:p>
        </w:tc>
      </w:tr>
      <w:tr w14:paraId="7BA51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903" w:type="dxa"/>
            <w:tcBorders>
              <w:top w:val="single" w:color="000000" w:sz="4" w:space="0"/>
              <w:left w:val="single" w:color="000000" w:sz="4" w:space="0"/>
              <w:bottom w:val="single" w:color="000000" w:sz="4" w:space="0"/>
              <w:right w:val="single" w:color="000000" w:sz="4" w:space="0"/>
            </w:tcBorders>
            <w:noWrap/>
            <w:vAlign w:val="center"/>
          </w:tcPr>
          <w:p w14:paraId="26D4C5F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2.2.9</w:t>
            </w:r>
          </w:p>
        </w:tc>
        <w:tc>
          <w:tcPr>
            <w:tcW w:w="4815" w:type="dxa"/>
            <w:gridSpan w:val="3"/>
            <w:tcBorders>
              <w:top w:val="single" w:color="000000" w:sz="4" w:space="0"/>
              <w:left w:val="single" w:color="000000" w:sz="4" w:space="0"/>
              <w:bottom w:val="single" w:color="000000" w:sz="4" w:space="0"/>
              <w:right w:val="single" w:color="000000" w:sz="4" w:space="0"/>
            </w:tcBorders>
            <w:noWrap w:val="0"/>
            <w:vAlign w:val="center"/>
          </w:tcPr>
          <w:p w14:paraId="76ED30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双组分聚氨酯密封膏</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019FD3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m³</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28C2BBA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0.01 </w:t>
            </w:r>
          </w:p>
        </w:tc>
      </w:tr>
      <w:tr w14:paraId="4B946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903" w:type="dxa"/>
            <w:tcBorders>
              <w:top w:val="single" w:color="000000" w:sz="4" w:space="0"/>
              <w:left w:val="single" w:color="000000" w:sz="4" w:space="0"/>
              <w:bottom w:val="single" w:color="000000" w:sz="4" w:space="0"/>
              <w:right w:val="single" w:color="000000" w:sz="4" w:space="0"/>
            </w:tcBorders>
            <w:noWrap/>
            <w:vAlign w:val="center"/>
          </w:tcPr>
          <w:p w14:paraId="587FFC5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2.2.10</w:t>
            </w:r>
          </w:p>
        </w:tc>
        <w:tc>
          <w:tcPr>
            <w:tcW w:w="4815" w:type="dxa"/>
            <w:gridSpan w:val="3"/>
            <w:tcBorders>
              <w:top w:val="single" w:color="000000" w:sz="4" w:space="0"/>
              <w:left w:val="single" w:color="000000" w:sz="4" w:space="0"/>
              <w:bottom w:val="single" w:color="000000" w:sz="4" w:space="0"/>
              <w:right w:val="single" w:color="000000" w:sz="4" w:space="0"/>
            </w:tcBorders>
            <w:noWrap w:val="0"/>
            <w:vAlign w:val="center"/>
          </w:tcPr>
          <w:p w14:paraId="37C8EC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高压闭孔板</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70CE885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m³</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11FB75B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0.02 </w:t>
            </w:r>
          </w:p>
        </w:tc>
      </w:tr>
      <w:tr w14:paraId="4F1E3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903" w:type="dxa"/>
            <w:tcBorders>
              <w:top w:val="single" w:color="000000" w:sz="4" w:space="0"/>
              <w:left w:val="single" w:color="000000" w:sz="4" w:space="0"/>
              <w:bottom w:val="single" w:color="000000" w:sz="4" w:space="0"/>
              <w:right w:val="single" w:color="000000" w:sz="4" w:space="0"/>
            </w:tcBorders>
            <w:noWrap/>
            <w:vAlign w:val="center"/>
          </w:tcPr>
          <w:p w14:paraId="48A866C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2.2.11</w:t>
            </w:r>
          </w:p>
        </w:tc>
        <w:tc>
          <w:tcPr>
            <w:tcW w:w="4815" w:type="dxa"/>
            <w:gridSpan w:val="3"/>
            <w:tcBorders>
              <w:top w:val="single" w:color="000000" w:sz="4" w:space="0"/>
              <w:left w:val="single" w:color="000000" w:sz="4" w:space="0"/>
              <w:bottom w:val="single" w:color="000000" w:sz="4" w:space="0"/>
              <w:right w:val="single" w:color="000000" w:sz="4" w:space="0"/>
            </w:tcBorders>
            <w:noWrap w:val="0"/>
            <w:vAlign w:val="center"/>
          </w:tcPr>
          <w:p w14:paraId="25623E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砂砾石垫层</w:t>
            </w:r>
          </w:p>
        </w:tc>
        <w:tc>
          <w:tcPr>
            <w:tcW w:w="1240" w:type="dxa"/>
            <w:tcBorders>
              <w:top w:val="single" w:color="000000" w:sz="4" w:space="0"/>
              <w:left w:val="single" w:color="000000" w:sz="4" w:space="0"/>
              <w:bottom w:val="single" w:color="000000" w:sz="4" w:space="0"/>
              <w:right w:val="single" w:color="000000" w:sz="4" w:space="0"/>
            </w:tcBorders>
            <w:noWrap/>
            <w:vAlign w:val="center"/>
          </w:tcPr>
          <w:p w14:paraId="1586BD6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m³</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7343A68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8.60 </w:t>
            </w:r>
          </w:p>
        </w:tc>
      </w:tr>
      <w:tr w14:paraId="046C0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903" w:type="dxa"/>
            <w:tcBorders>
              <w:top w:val="single" w:color="000000" w:sz="4" w:space="0"/>
              <w:left w:val="single" w:color="000000" w:sz="4" w:space="0"/>
              <w:bottom w:val="single" w:color="000000" w:sz="4" w:space="0"/>
              <w:right w:val="single" w:color="000000" w:sz="4" w:space="0"/>
            </w:tcBorders>
            <w:noWrap/>
            <w:vAlign w:val="center"/>
          </w:tcPr>
          <w:p w14:paraId="3E04A94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2.3</w:t>
            </w:r>
          </w:p>
        </w:tc>
        <w:tc>
          <w:tcPr>
            <w:tcW w:w="4815" w:type="dxa"/>
            <w:gridSpan w:val="3"/>
            <w:tcBorders>
              <w:top w:val="single" w:color="000000" w:sz="4" w:space="0"/>
              <w:left w:val="single" w:color="000000" w:sz="4" w:space="0"/>
              <w:bottom w:val="single" w:color="000000" w:sz="4" w:space="0"/>
              <w:right w:val="single" w:color="000000" w:sz="4" w:space="0"/>
            </w:tcBorders>
            <w:noWrap w:val="0"/>
            <w:vAlign w:val="center"/>
          </w:tcPr>
          <w:p w14:paraId="64B64F9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Style w:val="38"/>
                <w:rFonts w:eastAsia="宋体"/>
                <w:lang w:val="en-US" w:eastAsia="zh-CN" w:bidi="ar"/>
              </w:rPr>
              <w:t>6m</w:t>
            </w:r>
            <w:r>
              <w:rPr>
                <w:rStyle w:val="37"/>
                <w:lang w:val="en-US" w:eastAsia="zh-CN" w:bidi="ar"/>
              </w:rPr>
              <w:t>涵桥</w:t>
            </w:r>
          </w:p>
        </w:tc>
        <w:tc>
          <w:tcPr>
            <w:tcW w:w="1240" w:type="dxa"/>
            <w:tcBorders>
              <w:top w:val="single" w:color="000000" w:sz="4" w:space="0"/>
              <w:left w:val="single" w:color="000000" w:sz="4" w:space="0"/>
              <w:bottom w:val="single" w:color="000000" w:sz="4" w:space="0"/>
              <w:right w:val="single" w:color="000000" w:sz="4" w:space="0"/>
            </w:tcBorders>
            <w:noWrap/>
            <w:vAlign w:val="center"/>
          </w:tcPr>
          <w:p w14:paraId="267C888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座</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1A6A9D11">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2"/>
                <w:sz w:val="20"/>
                <w:szCs w:val="20"/>
                <w:u w:val="none"/>
                <w:lang w:val="en-US" w:eastAsia="zh-CN" w:bidi="ar-SA"/>
              </w:rPr>
            </w:pPr>
            <w:r>
              <w:rPr>
                <w:rFonts w:hint="default" w:ascii="Times New Roman" w:hAnsi="Times New Roman" w:eastAsia="宋体" w:cs="Times New Roman"/>
                <w:b/>
                <w:bCs/>
                <w:i w:val="0"/>
                <w:iCs w:val="0"/>
                <w:color w:val="000000"/>
                <w:kern w:val="0"/>
                <w:sz w:val="20"/>
                <w:szCs w:val="20"/>
                <w:u w:val="none"/>
                <w:lang w:val="en-US" w:eastAsia="zh-CN" w:bidi="ar"/>
              </w:rPr>
              <w:t xml:space="preserve">5 </w:t>
            </w:r>
          </w:p>
        </w:tc>
      </w:tr>
      <w:tr w14:paraId="12658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903" w:type="dxa"/>
            <w:tcBorders>
              <w:top w:val="single" w:color="000000" w:sz="4" w:space="0"/>
              <w:left w:val="single" w:color="000000" w:sz="4" w:space="0"/>
              <w:bottom w:val="single" w:color="000000" w:sz="4" w:space="0"/>
              <w:right w:val="single" w:color="000000" w:sz="4" w:space="0"/>
            </w:tcBorders>
            <w:noWrap/>
            <w:vAlign w:val="center"/>
          </w:tcPr>
          <w:p w14:paraId="0E5CE6D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2.3.1</w:t>
            </w:r>
          </w:p>
        </w:tc>
        <w:tc>
          <w:tcPr>
            <w:tcW w:w="4815" w:type="dxa"/>
            <w:gridSpan w:val="3"/>
            <w:tcBorders>
              <w:top w:val="single" w:color="000000" w:sz="4" w:space="0"/>
              <w:left w:val="single" w:color="000000" w:sz="4" w:space="0"/>
              <w:bottom w:val="single" w:color="000000" w:sz="4" w:space="0"/>
              <w:right w:val="single" w:color="000000" w:sz="4" w:space="0"/>
            </w:tcBorders>
            <w:noWrap w:val="0"/>
            <w:vAlign w:val="center"/>
          </w:tcPr>
          <w:p w14:paraId="2DCE4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39"/>
                <w:lang w:val="en-US" w:eastAsia="zh-CN" w:bidi="ar"/>
              </w:rPr>
              <w:t>土方开挖</w:t>
            </w:r>
            <w:r>
              <w:rPr>
                <w:rStyle w:val="40"/>
                <w:rFonts w:eastAsia="宋体"/>
                <w:lang w:val="en-US" w:eastAsia="zh-CN" w:bidi="ar"/>
              </w:rPr>
              <w:t>Ⅱ</w:t>
            </w:r>
            <w:r>
              <w:rPr>
                <w:rStyle w:val="39"/>
                <w:lang w:val="en-US" w:eastAsia="zh-CN" w:bidi="ar"/>
              </w:rPr>
              <w:t>类土</w:t>
            </w:r>
          </w:p>
        </w:tc>
        <w:tc>
          <w:tcPr>
            <w:tcW w:w="1240" w:type="dxa"/>
            <w:tcBorders>
              <w:top w:val="single" w:color="000000" w:sz="4" w:space="0"/>
              <w:left w:val="single" w:color="000000" w:sz="4" w:space="0"/>
              <w:bottom w:val="single" w:color="000000" w:sz="4" w:space="0"/>
              <w:right w:val="single" w:color="000000" w:sz="4" w:space="0"/>
            </w:tcBorders>
            <w:noWrap/>
            <w:vAlign w:val="center"/>
          </w:tcPr>
          <w:p w14:paraId="38A0B48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m³</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0DB632E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144.38 </w:t>
            </w:r>
          </w:p>
        </w:tc>
      </w:tr>
      <w:tr w14:paraId="03C7E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903" w:type="dxa"/>
            <w:tcBorders>
              <w:top w:val="single" w:color="000000" w:sz="4" w:space="0"/>
              <w:left w:val="single" w:color="000000" w:sz="4" w:space="0"/>
              <w:bottom w:val="single" w:color="000000" w:sz="4" w:space="0"/>
              <w:right w:val="single" w:color="000000" w:sz="4" w:space="0"/>
            </w:tcBorders>
            <w:noWrap/>
            <w:vAlign w:val="center"/>
          </w:tcPr>
          <w:p w14:paraId="672765C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2.3.2</w:t>
            </w:r>
          </w:p>
        </w:tc>
        <w:tc>
          <w:tcPr>
            <w:tcW w:w="4815" w:type="dxa"/>
            <w:gridSpan w:val="3"/>
            <w:tcBorders>
              <w:top w:val="single" w:color="000000" w:sz="4" w:space="0"/>
              <w:left w:val="single" w:color="000000" w:sz="4" w:space="0"/>
              <w:bottom w:val="single" w:color="000000" w:sz="4" w:space="0"/>
              <w:right w:val="single" w:color="000000" w:sz="4" w:space="0"/>
            </w:tcBorders>
            <w:noWrap w:val="0"/>
            <w:vAlign w:val="center"/>
          </w:tcPr>
          <w:p w14:paraId="31338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39"/>
                <w:lang w:val="en-US" w:eastAsia="zh-CN" w:bidi="ar"/>
              </w:rPr>
              <w:t>土方回填</w:t>
            </w:r>
            <w:r>
              <w:rPr>
                <w:rStyle w:val="40"/>
                <w:rFonts w:eastAsia="宋体"/>
                <w:lang w:val="en-US" w:eastAsia="zh-CN" w:bidi="ar"/>
              </w:rPr>
              <w:t>Ⅱ</w:t>
            </w:r>
            <w:r>
              <w:rPr>
                <w:rStyle w:val="39"/>
                <w:lang w:val="en-US" w:eastAsia="zh-CN" w:bidi="ar"/>
              </w:rPr>
              <w:t>类土（压实度</w:t>
            </w:r>
            <w:r>
              <w:rPr>
                <w:rStyle w:val="40"/>
                <w:rFonts w:eastAsia="宋体"/>
                <w:lang w:val="en-US" w:eastAsia="zh-CN" w:bidi="ar"/>
              </w:rPr>
              <w:t>0.93</w:t>
            </w:r>
            <w:r>
              <w:rPr>
                <w:rStyle w:val="39"/>
                <w:lang w:val="en-US" w:eastAsia="zh-CN" w:bidi="ar"/>
              </w:rPr>
              <w:t>）就近取土</w:t>
            </w:r>
            <w:r>
              <w:rPr>
                <w:rStyle w:val="40"/>
                <w:rFonts w:eastAsia="宋体"/>
                <w:lang w:val="en-US" w:eastAsia="zh-CN" w:bidi="ar"/>
              </w:rPr>
              <w:t>30m</w:t>
            </w:r>
          </w:p>
        </w:tc>
        <w:tc>
          <w:tcPr>
            <w:tcW w:w="1240" w:type="dxa"/>
            <w:tcBorders>
              <w:top w:val="single" w:color="000000" w:sz="4" w:space="0"/>
              <w:left w:val="single" w:color="000000" w:sz="4" w:space="0"/>
              <w:bottom w:val="single" w:color="000000" w:sz="4" w:space="0"/>
              <w:right w:val="single" w:color="000000" w:sz="4" w:space="0"/>
            </w:tcBorders>
            <w:noWrap/>
            <w:vAlign w:val="center"/>
          </w:tcPr>
          <w:p w14:paraId="57B97BB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m³</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16681D5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95.29 </w:t>
            </w:r>
          </w:p>
        </w:tc>
      </w:tr>
      <w:tr w14:paraId="62A2C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903" w:type="dxa"/>
            <w:tcBorders>
              <w:top w:val="single" w:color="000000" w:sz="4" w:space="0"/>
              <w:left w:val="single" w:color="000000" w:sz="4" w:space="0"/>
              <w:bottom w:val="single" w:color="000000" w:sz="4" w:space="0"/>
              <w:right w:val="single" w:color="000000" w:sz="4" w:space="0"/>
            </w:tcBorders>
            <w:noWrap/>
            <w:vAlign w:val="center"/>
          </w:tcPr>
          <w:p w14:paraId="5C84736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2.3.3</w:t>
            </w:r>
          </w:p>
        </w:tc>
        <w:tc>
          <w:tcPr>
            <w:tcW w:w="4815" w:type="dxa"/>
            <w:gridSpan w:val="3"/>
            <w:tcBorders>
              <w:top w:val="single" w:color="000000" w:sz="4" w:space="0"/>
              <w:left w:val="single" w:color="000000" w:sz="4" w:space="0"/>
              <w:bottom w:val="single" w:color="000000" w:sz="4" w:space="0"/>
              <w:right w:val="single" w:color="000000" w:sz="4" w:space="0"/>
            </w:tcBorders>
            <w:noWrap w:val="0"/>
            <w:vAlign w:val="center"/>
          </w:tcPr>
          <w:p w14:paraId="20A5C27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40"/>
                <w:rFonts w:eastAsia="宋体"/>
                <w:lang w:val="en-US" w:eastAsia="zh-CN" w:bidi="ar"/>
              </w:rPr>
              <w:t>C30F200W6</w:t>
            </w:r>
            <w:r>
              <w:rPr>
                <w:rStyle w:val="39"/>
                <w:lang w:val="en-US" w:eastAsia="zh-CN" w:bidi="ar"/>
              </w:rPr>
              <w:t>现浇砼桥台</w:t>
            </w:r>
          </w:p>
        </w:tc>
        <w:tc>
          <w:tcPr>
            <w:tcW w:w="1240" w:type="dxa"/>
            <w:tcBorders>
              <w:top w:val="single" w:color="000000" w:sz="4" w:space="0"/>
              <w:left w:val="single" w:color="000000" w:sz="4" w:space="0"/>
              <w:bottom w:val="single" w:color="000000" w:sz="4" w:space="0"/>
              <w:right w:val="single" w:color="000000" w:sz="4" w:space="0"/>
            </w:tcBorders>
            <w:noWrap/>
            <w:vAlign w:val="center"/>
          </w:tcPr>
          <w:p w14:paraId="0193332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m³</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5618C43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33.01 </w:t>
            </w:r>
          </w:p>
        </w:tc>
      </w:tr>
      <w:tr w14:paraId="373F2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903" w:type="dxa"/>
            <w:tcBorders>
              <w:top w:val="single" w:color="000000" w:sz="4" w:space="0"/>
              <w:left w:val="single" w:color="000000" w:sz="4" w:space="0"/>
              <w:bottom w:val="single" w:color="000000" w:sz="4" w:space="0"/>
              <w:right w:val="single" w:color="000000" w:sz="4" w:space="0"/>
            </w:tcBorders>
            <w:noWrap/>
            <w:vAlign w:val="center"/>
          </w:tcPr>
          <w:p w14:paraId="4113499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2.3.4</w:t>
            </w:r>
          </w:p>
        </w:tc>
        <w:tc>
          <w:tcPr>
            <w:tcW w:w="4815" w:type="dxa"/>
            <w:gridSpan w:val="3"/>
            <w:tcBorders>
              <w:top w:val="single" w:color="000000" w:sz="4" w:space="0"/>
              <w:left w:val="single" w:color="000000" w:sz="4" w:space="0"/>
              <w:bottom w:val="single" w:color="000000" w:sz="4" w:space="0"/>
              <w:right w:val="single" w:color="000000" w:sz="4" w:space="0"/>
            </w:tcBorders>
            <w:noWrap w:val="0"/>
            <w:vAlign w:val="center"/>
          </w:tcPr>
          <w:p w14:paraId="663834E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40"/>
                <w:rFonts w:eastAsia="宋体"/>
                <w:lang w:val="en-US" w:eastAsia="zh-CN" w:bidi="ar"/>
              </w:rPr>
              <w:t>C30F200W6</w:t>
            </w:r>
            <w:r>
              <w:rPr>
                <w:rStyle w:val="39"/>
                <w:lang w:val="en-US" w:eastAsia="zh-CN" w:bidi="ar"/>
              </w:rPr>
              <w:t>现浇砼基础</w:t>
            </w:r>
          </w:p>
        </w:tc>
        <w:tc>
          <w:tcPr>
            <w:tcW w:w="1240" w:type="dxa"/>
            <w:tcBorders>
              <w:top w:val="single" w:color="000000" w:sz="4" w:space="0"/>
              <w:left w:val="single" w:color="000000" w:sz="4" w:space="0"/>
              <w:bottom w:val="single" w:color="000000" w:sz="4" w:space="0"/>
              <w:right w:val="single" w:color="000000" w:sz="4" w:space="0"/>
            </w:tcBorders>
            <w:noWrap/>
            <w:vAlign w:val="center"/>
          </w:tcPr>
          <w:p w14:paraId="4FEC45D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m³</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4191258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24.57 </w:t>
            </w:r>
          </w:p>
        </w:tc>
      </w:tr>
      <w:tr w14:paraId="67C30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903" w:type="dxa"/>
            <w:tcBorders>
              <w:top w:val="single" w:color="000000" w:sz="4" w:space="0"/>
              <w:left w:val="single" w:color="000000" w:sz="4" w:space="0"/>
              <w:bottom w:val="single" w:color="000000" w:sz="4" w:space="0"/>
              <w:right w:val="single" w:color="000000" w:sz="4" w:space="0"/>
            </w:tcBorders>
            <w:noWrap/>
            <w:vAlign w:val="center"/>
          </w:tcPr>
          <w:p w14:paraId="1E7645D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2.3.5</w:t>
            </w:r>
          </w:p>
        </w:tc>
        <w:tc>
          <w:tcPr>
            <w:tcW w:w="4815" w:type="dxa"/>
            <w:gridSpan w:val="3"/>
            <w:tcBorders>
              <w:top w:val="single" w:color="000000" w:sz="4" w:space="0"/>
              <w:left w:val="single" w:color="000000" w:sz="4" w:space="0"/>
              <w:bottom w:val="single" w:color="000000" w:sz="4" w:space="0"/>
              <w:right w:val="single" w:color="000000" w:sz="4" w:space="0"/>
            </w:tcBorders>
            <w:noWrap w:val="0"/>
            <w:vAlign w:val="center"/>
          </w:tcPr>
          <w:p w14:paraId="47B551C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40"/>
                <w:rFonts w:eastAsia="宋体"/>
                <w:lang w:val="en-US" w:eastAsia="zh-CN" w:bidi="ar"/>
              </w:rPr>
              <w:t>DN750</w:t>
            </w:r>
            <w:r>
              <w:rPr>
                <w:rStyle w:val="39"/>
                <w:lang w:val="en-US" w:eastAsia="zh-CN" w:bidi="ar"/>
              </w:rPr>
              <w:t>涵管</w:t>
            </w:r>
          </w:p>
        </w:tc>
        <w:tc>
          <w:tcPr>
            <w:tcW w:w="1240" w:type="dxa"/>
            <w:tcBorders>
              <w:top w:val="single" w:color="000000" w:sz="4" w:space="0"/>
              <w:left w:val="single" w:color="000000" w:sz="4" w:space="0"/>
              <w:bottom w:val="single" w:color="000000" w:sz="4" w:space="0"/>
              <w:right w:val="single" w:color="000000" w:sz="4" w:space="0"/>
            </w:tcBorders>
            <w:noWrap/>
            <w:vAlign w:val="center"/>
          </w:tcPr>
          <w:p w14:paraId="581886B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m</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27A80CC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30.00 </w:t>
            </w:r>
          </w:p>
        </w:tc>
      </w:tr>
      <w:tr w14:paraId="01456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903" w:type="dxa"/>
            <w:tcBorders>
              <w:top w:val="single" w:color="000000" w:sz="4" w:space="0"/>
              <w:left w:val="single" w:color="000000" w:sz="4" w:space="0"/>
              <w:bottom w:val="single" w:color="000000" w:sz="4" w:space="0"/>
              <w:right w:val="single" w:color="000000" w:sz="4" w:space="0"/>
            </w:tcBorders>
            <w:noWrap/>
            <w:vAlign w:val="center"/>
          </w:tcPr>
          <w:p w14:paraId="0D7DCA5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2.3.6</w:t>
            </w:r>
          </w:p>
        </w:tc>
        <w:tc>
          <w:tcPr>
            <w:tcW w:w="4815" w:type="dxa"/>
            <w:gridSpan w:val="3"/>
            <w:tcBorders>
              <w:top w:val="single" w:color="000000" w:sz="4" w:space="0"/>
              <w:left w:val="single" w:color="000000" w:sz="4" w:space="0"/>
              <w:bottom w:val="single" w:color="000000" w:sz="4" w:space="0"/>
              <w:right w:val="single" w:color="000000" w:sz="4" w:space="0"/>
            </w:tcBorders>
            <w:noWrap w:val="0"/>
            <w:vAlign w:val="center"/>
          </w:tcPr>
          <w:p w14:paraId="0B1E3D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模板工程</w:t>
            </w:r>
          </w:p>
        </w:tc>
        <w:tc>
          <w:tcPr>
            <w:tcW w:w="1240" w:type="dxa"/>
            <w:tcBorders>
              <w:top w:val="single" w:color="000000" w:sz="4" w:space="0"/>
              <w:left w:val="single" w:color="000000" w:sz="4" w:space="0"/>
              <w:bottom w:val="single" w:color="000000" w:sz="4" w:space="0"/>
              <w:right w:val="single" w:color="000000" w:sz="4" w:space="0"/>
            </w:tcBorders>
            <w:noWrap/>
            <w:vAlign w:val="center"/>
          </w:tcPr>
          <w:p w14:paraId="56A3E0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7608DAC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41.92 </w:t>
            </w:r>
          </w:p>
        </w:tc>
      </w:tr>
      <w:tr w14:paraId="759C2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903" w:type="dxa"/>
            <w:tcBorders>
              <w:top w:val="single" w:color="000000" w:sz="4" w:space="0"/>
              <w:left w:val="single" w:color="000000" w:sz="4" w:space="0"/>
              <w:bottom w:val="single" w:color="000000" w:sz="4" w:space="0"/>
              <w:right w:val="single" w:color="000000" w:sz="4" w:space="0"/>
            </w:tcBorders>
            <w:noWrap/>
            <w:vAlign w:val="center"/>
          </w:tcPr>
          <w:p w14:paraId="7B5A468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2.3.7</w:t>
            </w:r>
          </w:p>
        </w:tc>
        <w:tc>
          <w:tcPr>
            <w:tcW w:w="4815" w:type="dxa"/>
            <w:gridSpan w:val="3"/>
            <w:tcBorders>
              <w:top w:val="single" w:color="000000" w:sz="4" w:space="0"/>
              <w:left w:val="single" w:color="000000" w:sz="4" w:space="0"/>
              <w:bottom w:val="single" w:color="000000" w:sz="4" w:space="0"/>
              <w:right w:val="single" w:color="000000" w:sz="4" w:space="0"/>
            </w:tcBorders>
            <w:noWrap w:val="0"/>
            <w:vAlign w:val="center"/>
          </w:tcPr>
          <w:p w14:paraId="43D51A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砂砾石垫层</w:t>
            </w:r>
          </w:p>
        </w:tc>
        <w:tc>
          <w:tcPr>
            <w:tcW w:w="1240" w:type="dxa"/>
            <w:tcBorders>
              <w:top w:val="single" w:color="000000" w:sz="4" w:space="0"/>
              <w:left w:val="single" w:color="000000" w:sz="4" w:space="0"/>
              <w:bottom w:val="single" w:color="000000" w:sz="4" w:space="0"/>
              <w:right w:val="single" w:color="000000" w:sz="4" w:space="0"/>
            </w:tcBorders>
            <w:noWrap/>
            <w:vAlign w:val="center"/>
          </w:tcPr>
          <w:p w14:paraId="3BE53EB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m³</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635653A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13.86 </w:t>
            </w:r>
          </w:p>
        </w:tc>
      </w:tr>
      <w:tr w14:paraId="5DAAC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903" w:type="dxa"/>
            <w:tcBorders>
              <w:top w:val="single" w:color="000000" w:sz="4" w:space="0"/>
              <w:left w:val="single" w:color="000000" w:sz="4" w:space="0"/>
              <w:bottom w:val="single" w:color="000000" w:sz="4" w:space="0"/>
              <w:right w:val="single" w:color="000000" w:sz="4" w:space="0"/>
            </w:tcBorders>
            <w:noWrap/>
            <w:vAlign w:val="center"/>
          </w:tcPr>
          <w:p w14:paraId="499508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w:t>
            </w:r>
          </w:p>
        </w:tc>
        <w:tc>
          <w:tcPr>
            <w:tcW w:w="4815" w:type="dxa"/>
            <w:gridSpan w:val="3"/>
            <w:tcBorders>
              <w:top w:val="single" w:color="000000" w:sz="4" w:space="0"/>
              <w:left w:val="single" w:color="000000" w:sz="4" w:space="0"/>
              <w:bottom w:val="single" w:color="000000" w:sz="4" w:space="0"/>
              <w:right w:val="single" w:color="000000" w:sz="4" w:space="0"/>
            </w:tcBorders>
            <w:noWrap w:val="0"/>
            <w:vAlign w:val="center"/>
          </w:tcPr>
          <w:p w14:paraId="0B85E2D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土地平整</w:t>
            </w:r>
          </w:p>
        </w:tc>
        <w:tc>
          <w:tcPr>
            <w:tcW w:w="1240" w:type="dxa"/>
            <w:tcBorders>
              <w:top w:val="single" w:color="000000" w:sz="4" w:space="0"/>
              <w:left w:val="single" w:color="000000" w:sz="4" w:space="0"/>
              <w:bottom w:val="single" w:color="000000" w:sz="4" w:space="0"/>
              <w:right w:val="single" w:color="000000" w:sz="4" w:space="0"/>
            </w:tcBorders>
            <w:noWrap/>
            <w:vAlign w:val="center"/>
          </w:tcPr>
          <w:p w14:paraId="13A9E17D">
            <w:pPr>
              <w:jc w:val="center"/>
              <w:rPr>
                <w:rFonts w:hint="default" w:ascii="Times New Roman" w:hAnsi="Times New Roman" w:eastAsia="宋体" w:cs="Times New Roman"/>
                <w:b/>
                <w:bCs/>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5F032AF8">
            <w:pPr>
              <w:jc w:val="center"/>
              <w:rPr>
                <w:rFonts w:hint="default" w:ascii="Times New Roman" w:hAnsi="Times New Roman" w:eastAsia="宋体" w:cs="Times New Roman"/>
                <w:i w:val="0"/>
                <w:iCs w:val="0"/>
                <w:color w:val="000000"/>
                <w:kern w:val="2"/>
                <w:sz w:val="20"/>
                <w:szCs w:val="20"/>
                <w:u w:val="none"/>
                <w:lang w:val="en-US" w:eastAsia="zh-CN" w:bidi="ar-SA"/>
              </w:rPr>
            </w:pPr>
          </w:p>
        </w:tc>
      </w:tr>
      <w:tr w14:paraId="5615A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903" w:type="dxa"/>
            <w:tcBorders>
              <w:top w:val="single" w:color="000000" w:sz="4" w:space="0"/>
              <w:left w:val="single" w:color="000000" w:sz="4" w:space="0"/>
              <w:bottom w:val="single" w:color="000000" w:sz="4" w:space="0"/>
              <w:right w:val="single" w:color="000000" w:sz="4" w:space="0"/>
            </w:tcBorders>
            <w:noWrap/>
            <w:vAlign w:val="center"/>
          </w:tcPr>
          <w:p w14:paraId="29E8754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w:t>
            </w:r>
          </w:p>
        </w:tc>
        <w:tc>
          <w:tcPr>
            <w:tcW w:w="4815" w:type="dxa"/>
            <w:gridSpan w:val="3"/>
            <w:tcBorders>
              <w:top w:val="single" w:color="000000" w:sz="4" w:space="0"/>
              <w:left w:val="single" w:color="000000" w:sz="4" w:space="0"/>
              <w:bottom w:val="single" w:color="000000" w:sz="4" w:space="0"/>
              <w:right w:val="single" w:color="000000" w:sz="4" w:space="0"/>
            </w:tcBorders>
            <w:noWrap w:val="0"/>
            <w:vAlign w:val="center"/>
          </w:tcPr>
          <w:p w14:paraId="5A0DC5B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39"/>
                <w:lang w:val="en-US" w:eastAsia="zh-CN" w:bidi="ar"/>
              </w:rPr>
              <w:t>推土机推土（0-</w:t>
            </w:r>
            <w:r>
              <w:rPr>
                <w:rStyle w:val="40"/>
                <w:rFonts w:eastAsia="宋体"/>
                <w:lang w:val="en-US" w:eastAsia="zh-CN" w:bidi="ar"/>
              </w:rPr>
              <w:t>40m</w:t>
            </w:r>
            <w:r>
              <w:rPr>
                <w:rStyle w:val="39"/>
                <w:lang w:val="en-US" w:eastAsia="zh-CN" w:bidi="ar"/>
              </w:rPr>
              <w:t>）</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7F9E04B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42"/>
                <w:rFonts w:hAnsi="Times New Roman"/>
                <w:lang w:val="en-US" w:eastAsia="zh-CN" w:bidi="ar"/>
              </w:rPr>
              <w:t>m</w:t>
            </w:r>
            <w:r>
              <w:rPr>
                <w:rStyle w:val="40"/>
                <w:rFonts w:eastAsia="宋体"/>
                <w:lang w:val="en-US" w:eastAsia="zh-CN" w:bidi="ar"/>
              </w:rPr>
              <w:t>³</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6354F2C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14828.10 </w:t>
            </w:r>
          </w:p>
        </w:tc>
      </w:tr>
      <w:tr w14:paraId="3FE78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903" w:type="dxa"/>
            <w:tcBorders>
              <w:top w:val="single" w:color="000000" w:sz="4" w:space="0"/>
              <w:left w:val="single" w:color="000000" w:sz="4" w:space="0"/>
              <w:bottom w:val="single" w:color="000000" w:sz="4" w:space="0"/>
              <w:right w:val="single" w:color="000000" w:sz="4" w:space="0"/>
            </w:tcBorders>
            <w:noWrap/>
            <w:vAlign w:val="center"/>
          </w:tcPr>
          <w:p w14:paraId="577CE14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4815" w:type="dxa"/>
            <w:gridSpan w:val="3"/>
            <w:tcBorders>
              <w:top w:val="single" w:color="000000" w:sz="4" w:space="0"/>
              <w:left w:val="single" w:color="000000" w:sz="4" w:space="0"/>
              <w:bottom w:val="single" w:color="000000" w:sz="4" w:space="0"/>
              <w:right w:val="single" w:color="000000" w:sz="4" w:space="0"/>
            </w:tcBorders>
            <w:noWrap w:val="0"/>
            <w:vAlign w:val="center"/>
          </w:tcPr>
          <w:p w14:paraId="036EE56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39"/>
                <w:lang w:val="en-US" w:eastAsia="zh-CN" w:bidi="ar"/>
              </w:rPr>
              <w:t>推土机推土（</w:t>
            </w:r>
            <w:r>
              <w:rPr>
                <w:rStyle w:val="40"/>
                <w:rFonts w:eastAsia="宋体"/>
                <w:lang w:val="en-US" w:eastAsia="zh-CN" w:bidi="ar"/>
              </w:rPr>
              <w:t>40-60m</w:t>
            </w:r>
            <w:r>
              <w:rPr>
                <w:rStyle w:val="39"/>
                <w:lang w:val="en-US" w:eastAsia="zh-CN" w:bidi="ar"/>
              </w:rPr>
              <w:t>）</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7EB400F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42"/>
                <w:rFonts w:hAnsi="Times New Roman"/>
                <w:lang w:val="en-US" w:eastAsia="zh-CN" w:bidi="ar"/>
              </w:rPr>
              <w:t>m</w:t>
            </w:r>
            <w:r>
              <w:rPr>
                <w:rStyle w:val="40"/>
                <w:rFonts w:eastAsia="宋体"/>
                <w:lang w:val="en-US" w:eastAsia="zh-CN" w:bidi="ar"/>
              </w:rPr>
              <w:t>³</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7322D87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1724.00 </w:t>
            </w:r>
          </w:p>
        </w:tc>
      </w:tr>
      <w:tr w14:paraId="47231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903" w:type="dxa"/>
            <w:tcBorders>
              <w:top w:val="single" w:color="000000" w:sz="4" w:space="0"/>
              <w:left w:val="single" w:color="000000" w:sz="4" w:space="0"/>
              <w:bottom w:val="single" w:color="000000" w:sz="4" w:space="0"/>
              <w:right w:val="single" w:color="000000" w:sz="4" w:space="0"/>
            </w:tcBorders>
            <w:noWrap/>
            <w:vAlign w:val="center"/>
          </w:tcPr>
          <w:p w14:paraId="5D3E7E7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w:t>
            </w:r>
          </w:p>
        </w:tc>
        <w:tc>
          <w:tcPr>
            <w:tcW w:w="4815" w:type="dxa"/>
            <w:gridSpan w:val="3"/>
            <w:tcBorders>
              <w:top w:val="single" w:color="000000" w:sz="4" w:space="0"/>
              <w:left w:val="single" w:color="000000" w:sz="4" w:space="0"/>
              <w:bottom w:val="single" w:color="000000" w:sz="4" w:space="0"/>
              <w:right w:val="single" w:color="000000" w:sz="4" w:space="0"/>
            </w:tcBorders>
            <w:noWrap w:val="0"/>
            <w:vAlign w:val="center"/>
          </w:tcPr>
          <w:p w14:paraId="5E197D8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39"/>
                <w:lang w:val="en-US" w:eastAsia="zh-CN" w:bidi="ar"/>
              </w:rPr>
              <w:t>推土机推土（</w:t>
            </w:r>
            <w:r>
              <w:rPr>
                <w:rStyle w:val="40"/>
                <w:rFonts w:eastAsia="宋体"/>
                <w:lang w:val="en-US" w:eastAsia="zh-CN" w:bidi="ar"/>
              </w:rPr>
              <w:t>60-100m</w:t>
            </w:r>
            <w:r>
              <w:rPr>
                <w:rStyle w:val="39"/>
                <w:lang w:val="en-US" w:eastAsia="zh-CN" w:bidi="ar"/>
              </w:rPr>
              <w:t>）</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13AA93F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42"/>
                <w:rFonts w:hAnsi="Times New Roman"/>
                <w:lang w:val="en-US" w:eastAsia="zh-CN" w:bidi="ar"/>
              </w:rPr>
              <w:t>m</w:t>
            </w:r>
            <w:r>
              <w:rPr>
                <w:rStyle w:val="40"/>
                <w:rFonts w:eastAsia="宋体"/>
                <w:lang w:val="en-US" w:eastAsia="zh-CN" w:bidi="ar"/>
              </w:rPr>
              <w:t>³</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1F6DDE6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22.49 </w:t>
            </w:r>
          </w:p>
        </w:tc>
      </w:tr>
      <w:tr w14:paraId="5F296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903" w:type="dxa"/>
            <w:tcBorders>
              <w:top w:val="single" w:color="000000" w:sz="4" w:space="0"/>
              <w:left w:val="single" w:color="000000" w:sz="4" w:space="0"/>
              <w:bottom w:val="single" w:color="000000" w:sz="4" w:space="0"/>
              <w:right w:val="single" w:color="000000" w:sz="4" w:space="0"/>
            </w:tcBorders>
            <w:noWrap/>
            <w:vAlign w:val="center"/>
          </w:tcPr>
          <w:p w14:paraId="0F611C0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w:t>
            </w:r>
          </w:p>
        </w:tc>
        <w:tc>
          <w:tcPr>
            <w:tcW w:w="4815" w:type="dxa"/>
            <w:gridSpan w:val="3"/>
            <w:tcBorders>
              <w:top w:val="single" w:color="000000" w:sz="4" w:space="0"/>
              <w:left w:val="single" w:color="000000" w:sz="4" w:space="0"/>
              <w:bottom w:val="single" w:color="000000" w:sz="4" w:space="0"/>
              <w:right w:val="single" w:color="000000" w:sz="4" w:space="0"/>
            </w:tcBorders>
            <w:noWrap w:val="0"/>
            <w:vAlign w:val="center"/>
          </w:tcPr>
          <w:p w14:paraId="4BFD602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激光平地机平土（1遍）</w:t>
            </w:r>
          </w:p>
        </w:tc>
        <w:tc>
          <w:tcPr>
            <w:tcW w:w="1240" w:type="dxa"/>
            <w:tcBorders>
              <w:top w:val="single" w:color="000000" w:sz="4" w:space="0"/>
              <w:left w:val="single" w:color="000000" w:sz="4" w:space="0"/>
              <w:bottom w:val="single" w:color="000000" w:sz="4" w:space="0"/>
              <w:right w:val="single" w:color="000000" w:sz="4" w:space="0"/>
            </w:tcBorders>
            <w:noWrap/>
            <w:vAlign w:val="center"/>
          </w:tcPr>
          <w:p w14:paraId="44D2014F">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亩</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06A504A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39.52 </w:t>
            </w:r>
          </w:p>
        </w:tc>
      </w:tr>
      <w:tr w14:paraId="3440E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903" w:type="dxa"/>
            <w:tcBorders>
              <w:top w:val="single" w:color="000000" w:sz="4" w:space="0"/>
              <w:left w:val="single" w:color="000000" w:sz="4" w:space="0"/>
              <w:bottom w:val="single" w:color="000000" w:sz="4" w:space="0"/>
              <w:right w:val="single" w:color="000000" w:sz="4" w:space="0"/>
            </w:tcBorders>
            <w:noWrap/>
            <w:vAlign w:val="center"/>
          </w:tcPr>
          <w:p w14:paraId="3513FBD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w:t>
            </w:r>
          </w:p>
        </w:tc>
        <w:tc>
          <w:tcPr>
            <w:tcW w:w="4815" w:type="dxa"/>
            <w:gridSpan w:val="3"/>
            <w:tcBorders>
              <w:top w:val="single" w:color="000000" w:sz="4" w:space="0"/>
              <w:left w:val="single" w:color="000000" w:sz="4" w:space="0"/>
              <w:bottom w:val="single" w:color="000000" w:sz="4" w:space="0"/>
              <w:right w:val="single" w:color="000000" w:sz="4" w:space="0"/>
            </w:tcBorders>
            <w:noWrap w:val="0"/>
            <w:vAlign w:val="center"/>
          </w:tcPr>
          <w:p w14:paraId="37DD4FD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清废（清除杂草、树根等外运3km)</w:t>
            </w:r>
          </w:p>
        </w:tc>
        <w:tc>
          <w:tcPr>
            <w:tcW w:w="1240" w:type="dxa"/>
            <w:tcBorders>
              <w:top w:val="single" w:color="000000" w:sz="4" w:space="0"/>
              <w:left w:val="single" w:color="000000" w:sz="4" w:space="0"/>
              <w:bottom w:val="single" w:color="000000" w:sz="4" w:space="0"/>
              <w:right w:val="single" w:color="000000" w:sz="4" w:space="0"/>
            </w:tcBorders>
            <w:noWrap/>
            <w:vAlign w:val="center"/>
          </w:tcPr>
          <w:p w14:paraId="5681B64F">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Style w:val="42"/>
                <w:rFonts w:hAnsi="宋体"/>
                <w:lang w:val="en-US" w:eastAsia="zh-CN" w:bidi="ar"/>
              </w:rPr>
              <w:t>m</w:t>
            </w:r>
            <w:r>
              <w:rPr>
                <w:rStyle w:val="40"/>
                <w:rFonts w:eastAsia="仿宋_GB2312"/>
                <w:lang w:val="en-US" w:eastAsia="zh-CN" w:bidi="ar"/>
              </w:rPr>
              <w:t>³</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0556A72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64.26 </w:t>
            </w:r>
          </w:p>
        </w:tc>
      </w:tr>
      <w:tr w14:paraId="259C8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903" w:type="dxa"/>
            <w:tcBorders>
              <w:top w:val="single" w:color="000000" w:sz="4" w:space="0"/>
              <w:left w:val="single" w:color="000000" w:sz="4" w:space="0"/>
              <w:bottom w:val="single" w:color="000000" w:sz="4" w:space="0"/>
              <w:right w:val="single" w:color="000000" w:sz="4" w:space="0"/>
            </w:tcBorders>
            <w:noWrap/>
            <w:vAlign w:val="center"/>
          </w:tcPr>
          <w:p w14:paraId="66F6DE3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4815" w:type="dxa"/>
            <w:gridSpan w:val="3"/>
            <w:tcBorders>
              <w:top w:val="single" w:color="000000" w:sz="4" w:space="0"/>
              <w:left w:val="single" w:color="000000" w:sz="4" w:space="0"/>
              <w:bottom w:val="single" w:color="000000" w:sz="4" w:space="0"/>
              <w:right w:val="single" w:color="000000" w:sz="4" w:space="0"/>
            </w:tcBorders>
            <w:noWrap/>
            <w:vAlign w:val="center"/>
          </w:tcPr>
          <w:p w14:paraId="2636F94F">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宋体" w:hAnsi="宋体" w:eastAsia="宋体" w:cs="宋体"/>
                <w:b/>
                <w:bCs/>
                <w:i w:val="0"/>
                <w:iCs w:val="0"/>
                <w:color w:val="000000"/>
                <w:kern w:val="0"/>
                <w:sz w:val="20"/>
                <w:szCs w:val="20"/>
                <w:u w:val="none"/>
                <w:lang w:val="en-US" w:eastAsia="zh-CN" w:bidi="ar"/>
              </w:rPr>
              <w:t>土壤改良</w:t>
            </w:r>
          </w:p>
        </w:tc>
        <w:tc>
          <w:tcPr>
            <w:tcW w:w="1240" w:type="dxa"/>
            <w:tcBorders>
              <w:top w:val="single" w:color="000000" w:sz="4" w:space="0"/>
              <w:left w:val="single" w:color="000000" w:sz="4" w:space="0"/>
              <w:bottom w:val="single" w:color="000000" w:sz="4" w:space="0"/>
              <w:right w:val="single" w:color="000000" w:sz="4" w:space="0"/>
            </w:tcBorders>
            <w:noWrap/>
            <w:vAlign w:val="center"/>
          </w:tcPr>
          <w:p w14:paraId="67599E90">
            <w:pPr>
              <w:jc w:val="center"/>
              <w:rPr>
                <w:rFonts w:hint="default" w:ascii="仿宋_GB2312" w:hAnsi="宋体" w:eastAsia="仿宋_GB2312" w:cs="仿宋_GB2312"/>
                <w:b/>
                <w:bCs/>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64737733">
            <w:pPr>
              <w:jc w:val="center"/>
              <w:rPr>
                <w:rFonts w:hint="default" w:ascii="Times New Roman" w:hAnsi="Times New Roman" w:eastAsia="宋体" w:cs="Times New Roman"/>
                <w:i w:val="0"/>
                <w:iCs w:val="0"/>
                <w:color w:val="000000"/>
                <w:kern w:val="2"/>
                <w:sz w:val="20"/>
                <w:szCs w:val="20"/>
                <w:u w:val="none"/>
                <w:lang w:val="en-US" w:eastAsia="zh-CN" w:bidi="ar-SA"/>
              </w:rPr>
            </w:pPr>
          </w:p>
        </w:tc>
      </w:tr>
      <w:tr w14:paraId="74F3D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903" w:type="dxa"/>
            <w:tcBorders>
              <w:top w:val="single" w:color="000000" w:sz="4" w:space="0"/>
              <w:left w:val="single" w:color="000000" w:sz="4" w:space="0"/>
              <w:bottom w:val="single" w:color="000000" w:sz="4" w:space="0"/>
              <w:right w:val="single" w:color="000000" w:sz="4" w:space="0"/>
            </w:tcBorders>
            <w:noWrap/>
            <w:vAlign w:val="center"/>
          </w:tcPr>
          <w:p w14:paraId="421EACD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w:t>
            </w:r>
          </w:p>
        </w:tc>
        <w:tc>
          <w:tcPr>
            <w:tcW w:w="4815" w:type="dxa"/>
            <w:gridSpan w:val="3"/>
            <w:tcBorders>
              <w:top w:val="single" w:color="000000" w:sz="4" w:space="0"/>
              <w:left w:val="single" w:color="000000" w:sz="4" w:space="0"/>
              <w:bottom w:val="single" w:color="000000" w:sz="4" w:space="0"/>
              <w:right w:val="single" w:color="000000" w:sz="4" w:space="0"/>
            </w:tcBorders>
            <w:noWrap w:val="0"/>
            <w:vAlign w:val="center"/>
          </w:tcPr>
          <w:p w14:paraId="79B0659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土地翻耕（30-40cm）</w:t>
            </w:r>
          </w:p>
        </w:tc>
        <w:tc>
          <w:tcPr>
            <w:tcW w:w="1240" w:type="dxa"/>
            <w:tcBorders>
              <w:top w:val="single" w:color="000000" w:sz="4" w:space="0"/>
              <w:left w:val="single" w:color="000000" w:sz="4" w:space="0"/>
              <w:bottom w:val="single" w:color="000000" w:sz="4" w:space="0"/>
              <w:right w:val="single" w:color="000000" w:sz="4" w:space="0"/>
            </w:tcBorders>
            <w:noWrap/>
            <w:vAlign w:val="center"/>
          </w:tcPr>
          <w:p w14:paraId="3E83A4A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亩</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0FD3774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39.52 </w:t>
            </w:r>
          </w:p>
        </w:tc>
      </w:tr>
      <w:tr w14:paraId="256FA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03" w:type="dxa"/>
            <w:tcBorders>
              <w:top w:val="single" w:color="000000" w:sz="4" w:space="0"/>
              <w:left w:val="single" w:color="000000" w:sz="4" w:space="0"/>
              <w:bottom w:val="single" w:color="000000" w:sz="4" w:space="0"/>
              <w:right w:val="single" w:color="000000" w:sz="4" w:space="0"/>
            </w:tcBorders>
            <w:noWrap/>
            <w:vAlign w:val="center"/>
          </w:tcPr>
          <w:p w14:paraId="48436DA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4815" w:type="dxa"/>
            <w:gridSpan w:val="3"/>
            <w:tcBorders>
              <w:top w:val="single" w:color="000000" w:sz="4" w:space="0"/>
              <w:left w:val="single" w:color="000000" w:sz="4" w:space="0"/>
              <w:bottom w:val="single" w:color="000000" w:sz="4" w:space="0"/>
              <w:right w:val="single" w:color="000000" w:sz="4" w:space="0"/>
            </w:tcBorders>
            <w:noWrap w:val="0"/>
            <w:vAlign w:val="center"/>
          </w:tcPr>
          <w:p w14:paraId="71929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39"/>
                <w:lang w:val="en-US" w:eastAsia="zh-CN" w:bidi="ar"/>
              </w:rPr>
              <w:t>种植土换填（整体换填，外借土</w:t>
            </w:r>
            <w:r>
              <w:rPr>
                <w:rStyle w:val="40"/>
                <w:rFonts w:eastAsia="宋体"/>
                <w:lang w:val="en-US" w:eastAsia="zh-CN" w:bidi="ar"/>
              </w:rPr>
              <w:t>10km</w:t>
            </w:r>
            <w:r>
              <w:rPr>
                <w:rStyle w:val="39"/>
                <w:lang w:val="en-US" w:eastAsia="zh-CN" w:bidi="ar"/>
              </w:rPr>
              <w:t>）</w:t>
            </w:r>
          </w:p>
        </w:tc>
        <w:tc>
          <w:tcPr>
            <w:tcW w:w="1240" w:type="dxa"/>
            <w:tcBorders>
              <w:top w:val="single" w:color="000000" w:sz="4" w:space="0"/>
              <w:left w:val="single" w:color="000000" w:sz="4" w:space="0"/>
              <w:bottom w:val="single" w:color="000000" w:sz="4" w:space="0"/>
              <w:right w:val="single" w:color="000000" w:sz="4" w:space="0"/>
            </w:tcBorders>
            <w:noWrap/>
            <w:vAlign w:val="center"/>
          </w:tcPr>
          <w:p w14:paraId="7D739A81">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Style w:val="42"/>
                <w:rFonts w:hAnsi="宋体"/>
                <w:lang w:val="en-US" w:eastAsia="zh-CN" w:bidi="ar"/>
              </w:rPr>
              <w:t>m</w:t>
            </w:r>
            <w:r>
              <w:rPr>
                <w:rStyle w:val="40"/>
                <w:rFonts w:eastAsia="仿宋_GB2312"/>
                <w:lang w:val="en-US" w:eastAsia="zh-CN" w:bidi="ar"/>
              </w:rPr>
              <w:t>³</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4BB8807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26349.00 </w:t>
            </w:r>
          </w:p>
        </w:tc>
      </w:tr>
      <w:tr w14:paraId="47192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323" w:type="dxa"/>
            <w:gridSpan w:val="6"/>
            <w:tcBorders>
              <w:top w:val="single" w:color="000000" w:sz="4" w:space="0"/>
              <w:left w:val="single" w:color="000000" w:sz="8" w:space="0"/>
              <w:bottom w:val="single" w:color="000000" w:sz="4" w:space="0"/>
              <w:right w:val="single" w:color="000000" w:sz="4" w:space="0"/>
            </w:tcBorders>
            <w:noWrap w:val="0"/>
            <w:vAlign w:val="center"/>
          </w:tcPr>
          <w:p w14:paraId="03E67BB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第三部分金属结构安装</w:t>
            </w:r>
          </w:p>
        </w:tc>
      </w:tr>
      <w:tr w14:paraId="7EBB4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67" w:type="dxa"/>
            <w:gridSpan w:val="3"/>
            <w:tcBorders>
              <w:top w:val="single" w:color="000000" w:sz="4" w:space="0"/>
              <w:left w:val="single" w:color="000000" w:sz="8" w:space="0"/>
              <w:bottom w:val="single" w:color="000000" w:sz="4" w:space="0"/>
              <w:right w:val="single" w:color="000000" w:sz="4" w:space="0"/>
            </w:tcBorders>
            <w:noWrap w:val="0"/>
            <w:vAlign w:val="center"/>
          </w:tcPr>
          <w:p w14:paraId="0920266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w:t>
            </w:r>
          </w:p>
        </w:tc>
        <w:tc>
          <w:tcPr>
            <w:tcW w:w="4651" w:type="dxa"/>
            <w:tcBorders>
              <w:top w:val="single" w:color="000000" w:sz="4" w:space="0"/>
              <w:left w:val="single" w:color="000000" w:sz="4" w:space="0"/>
              <w:bottom w:val="single" w:color="000000" w:sz="4" w:space="0"/>
              <w:right w:val="single" w:color="000000" w:sz="4" w:space="0"/>
            </w:tcBorders>
            <w:noWrap w:val="0"/>
            <w:vAlign w:val="center"/>
          </w:tcPr>
          <w:p w14:paraId="4A6702C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农渠</w:t>
            </w:r>
            <w:r>
              <w:rPr>
                <w:rFonts w:hint="default" w:ascii="Times New Roman" w:hAnsi="Times New Roman" w:eastAsia="宋体" w:cs="Times New Roman"/>
                <w:b/>
                <w:bCs/>
                <w:i w:val="0"/>
                <w:iCs w:val="0"/>
                <w:color w:val="000000"/>
                <w:kern w:val="0"/>
                <w:sz w:val="20"/>
                <w:szCs w:val="20"/>
                <w:u w:val="none"/>
                <w:lang w:val="en-US" w:eastAsia="zh-CN" w:bidi="ar"/>
              </w:rPr>
              <w:t>1</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708B046D">
            <w:pPr>
              <w:jc w:val="center"/>
              <w:rPr>
                <w:rFonts w:hint="default" w:ascii="Times New Roman" w:hAnsi="Times New Roman" w:eastAsia="宋体" w:cs="Times New Roman"/>
                <w:b/>
                <w:bCs/>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10F6656">
            <w:pPr>
              <w:jc w:val="center"/>
              <w:rPr>
                <w:rFonts w:hint="default" w:ascii="Times New Roman" w:hAnsi="Times New Roman" w:eastAsia="宋体" w:cs="Times New Roman"/>
                <w:b/>
                <w:bCs/>
                <w:i w:val="0"/>
                <w:iCs w:val="0"/>
                <w:color w:val="000000"/>
                <w:sz w:val="20"/>
                <w:szCs w:val="20"/>
                <w:u w:val="none"/>
              </w:rPr>
            </w:pPr>
          </w:p>
        </w:tc>
      </w:tr>
      <w:tr w14:paraId="7A901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67" w:type="dxa"/>
            <w:gridSpan w:val="3"/>
            <w:tcBorders>
              <w:top w:val="single" w:color="000000" w:sz="4" w:space="0"/>
              <w:left w:val="single" w:color="000000" w:sz="8" w:space="0"/>
              <w:bottom w:val="single" w:color="000000" w:sz="4" w:space="0"/>
              <w:right w:val="single" w:color="000000" w:sz="4" w:space="0"/>
            </w:tcBorders>
            <w:noWrap/>
            <w:vAlign w:val="center"/>
          </w:tcPr>
          <w:p w14:paraId="4F922CD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4651" w:type="dxa"/>
            <w:tcBorders>
              <w:top w:val="single" w:color="000000" w:sz="4" w:space="0"/>
              <w:left w:val="single" w:color="000000" w:sz="4" w:space="0"/>
              <w:bottom w:val="single" w:color="000000" w:sz="4" w:space="0"/>
              <w:right w:val="single" w:color="000000" w:sz="4" w:space="0"/>
            </w:tcBorders>
            <w:noWrap/>
            <w:vAlign w:val="center"/>
          </w:tcPr>
          <w:p w14:paraId="77EC9FE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平板钢闸门</w:t>
            </w:r>
            <w:r>
              <w:rPr>
                <w:rFonts w:hint="default" w:ascii="Times New Roman" w:hAnsi="Times New Roman" w:eastAsia="宋体" w:cs="Times New Roman"/>
                <w:i w:val="0"/>
                <w:iCs w:val="0"/>
                <w:color w:val="000000"/>
                <w:kern w:val="0"/>
                <w:sz w:val="20"/>
                <w:szCs w:val="20"/>
                <w:u w:val="none"/>
                <w:lang w:val="en-US" w:eastAsia="zh-CN" w:bidi="ar"/>
              </w:rPr>
              <w:t>0.5m*0.6m</w:t>
            </w:r>
            <w:r>
              <w:rPr>
                <w:rFonts w:hint="eastAsia" w:ascii="宋体" w:hAnsi="宋体" w:eastAsia="宋体" w:cs="宋体"/>
                <w:i w:val="0"/>
                <w:iCs w:val="0"/>
                <w:color w:val="000000"/>
                <w:kern w:val="0"/>
                <w:sz w:val="20"/>
                <w:szCs w:val="20"/>
                <w:u w:val="none"/>
                <w:lang w:val="en-US" w:eastAsia="zh-CN" w:bidi="ar"/>
              </w:rPr>
              <w:t>（30扇）</w:t>
            </w:r>
          </w:p>
        </w:tc>
        <w:tc>
          <w:tcPr>
            <w:tcW w:w="1240" w:type="dxa"/>
            <w:tcBorders>
              <w:top w:val="single" w:color="000000" w:sz="4" w:space="0"/>
              <w:left w:val="single" w:color="000000" w:sz="4" w:space="0"/>
              <w:bottom w:val="single" w:color="000000" w:sz="4" w:space="0"/>
              <w:right w:val="single" w:color="000000" w:sz="4" w:space="0"/>
            </w:tcBorders>
            <w:noWrap/>
            <w:vAlign w:val="center"/>
          </w:tcPr>
          <w:p w14:paraId="5AFCCD8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t</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2414B56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1.16 </w:t>
            </w:r>
          </w:p>
        </w:tc>
      </w:tr>
      <w:tr w14:paraId="0A15B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67" w:type="dxa"/>
            <w:gridSpan w:val="3"/>
            <w:tcBorders>
              <w:top w:val="single" w:color="000000" w:sz="4" w:space="0"/>
              <w:left w:val="single" w:color="000000" w:sz="8" w:space="0"/>
              <w:bottom w:val="single" w:color="000000" w:sz="4" w:space="0"/>
              <w:right w:val="single" w:color="000000" w:sz="4" w:space="0"/>
            </w:tcBorders>
            <w:noWrap/>
            <w:vAlign w:val="center"/>
          </w:tcPr>
          <w:p w14:paraId="275B566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4651" w:type="dxa"/>
            <w:tcBorders>
              <w:top w:val="single" w:color="000000" w:sz="4" w:space="0"/>
              <w:left w:val="single" w:color="000000" w:sz="4" w:space="0"/>
              <w:bottom w:val="single" w:color="000000" w:sz="4" w:space="0"/>
              <w:right w:val="single" w:color="000000" w:sz="4" w:space="0"/>
            </w:tcBorders>
            <w:noWrap/>
            <w:vAlign w:val="center"/>
          </w:tcPr>
          <w:p w14:paraId="7AA9EF8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平板钢闸门</w:t>
            </w:r>
            <w:r>
              <w:rPr>
                <w:rFonts w:hint="default" w:ascii="Times New Roman" w:hAnsi="Times New Roman" w:eastAsia="宋体" w:cs="Times New Roman"/>
                <w:i w:val="0"/>
                <w:iCs w:val="0"/>
                <w:color w:val="000000"/>
                <w:kern w:val="0"/>
                <w:sz w:val="20"/>
                <w:szCs w:val="20"/>
                <w:u w:val="none"/>
                <w:lang w:val="en-US" w:eastAsia="zh-CN" w:bidi="ar"/>
              </w:rPr>
              <w:t>0.5m*0.5m</w:t>
            </w:r>
            <w:r>
              <w:rPr>
                <w:rFonts w:hint="eastAsia" w:ascii="宋体" w:hAnsi="宋体" w:eastAsia="宋体" w:cs="宋体"/>
                <w:i w:val="0"/>
                <w:iCs w:val="0"/>
                <w:color w:val="000000"/>
                <w:kern w:val="0"/>
                <w:sz w:val="20"/>
                <w:szCs w:val="20"/>
                <w:u w:val="none"/>
                <w:lang w:val="en-US" w:eastAsia="zh-CN" w:bidi="ar"/>
              </w:rPr>
              <w:t>（30扇）</w:t>
            </w:r>
          </w:p>
        </w:tc>
        <w:tc>
          <w:tcPr>
            <w:tcW w:w="1240" w:type="dxa"/>
            <w:tcBorders>
              <w:top w:val="single" w:color="000000" w:sz="4" w:space="0"/>
              <w:left w:val="single" w:color="000000" w:sz="4" w:space="0"/>
              <w:bottom w:val="single" w:color="000000" w:sz="4" w:space="0"/>
              <w:right w:val="single" w:color="000000" w:sz="4" w:space="0"/>
            </w:tcBorders>
            <w:noWrap/>
            <w:vAlign w:val="center"/>
          </w:tcPr>
          <w:p w14:paraId="18A8907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t</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525CAC9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0.99 </w:t>
            </w:r>
          </w:p>
        </w:tc>
      </w:tr>
      <w:tr w14:paraId="1B175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67" w:type="dxa"/>
            <w:gridSpan w:val="3"/>
            <w:tcBorders>
              <w:top w:val="single" w:color="000000" w:sz="4" w:space="0"/>
              <w:left w:val="single" w:color="000000" w:sz="8" w:space="0"/>
              <w:bottom w:val="single" w:color="000000" w:sz="4" w:space="0"/>
              <w:right w:val="single" w:color="000000" w:sz="4" w:space="0"/>
            </w:tcBorders>
            <w:noWrap/>
            <w:vAlign w:val="center"/>
          </w:tcPr>
          <w:p w14:paraId="45C08D4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4651" w:type="dxa"/>
            <w:tcBorders>
              <w:top w:val="single" w:color="000000" w:sz="4" w:space="0"/>
              <w:left w:val="single" w:color="000000" w:sz="4" w:space="0"/>
              <w:bottom w:val="single" w:color="000000" w:sz="4" w:space="0"/>
              <w:right w:val="single" w:color="000000" w:sz="4" w:space="0"/>
            </w:tcBorders>
            <w:noWrap/>
            <w:vAlign w:val="center"/>
          </w:tcPr>
          <w:p w14:paraId="61A7E3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启闭机0.5t</w:t>
            </w:r>
          </w:p>
        </w:tc>
        <w:tc>
          <w:tcPr>
            <w:tcW w:w="1240" w:type="dxa"/>
            <w:tcBorders>
              <w:top w:val="single" w:color="000000" w:sz="4" w:space="0"/>
              <w:left w:val="single" w:color="000000" w:sz="4" w:space="0"/>
              <w:bottom w:val="single" w:color="000000" w:sz="4" w:space="0"/>
              <w:right w:val="single" w:color="000000" w:sz="4" w:space="0"/>
            </w:tcBorders>
            <w:noWrap/>
            <w:vAlign w:val="center"/>
          </w:tcPr>
          <w:p w14:paraId="4FD36CD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7CD9CCA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60.00 </w:t>
            </w:r>
          </w:p>
        </w:tc>
      </w:tr>
      <w:tr w14:paraId="4D940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323" w:type="dxa"/>
            <w:gridSpan w:val="6"/>
            <w:tcBorders>
              <w:top w:val="single" w:color="000000" w:sz="4" w:space="0"/>
              <w:left w:val="single" w:color="000000" w:sz="4" w:space="0"/>
              <w:bottom w:val="single" w:color="000000" w:sz="4" w:space="0"/>
              <w:right w:val="single" w:color="000000" w:sz="4" w:space="0"/>
            </w:tcBorders>
            <w:noWrap w:val="0"/>
            <w:vAlign w:val="center"/>
          </w:tcPr>
          <w:p w14:paraId="1D0EA67A">
            <w:pPr>
              <w:jc w:val="center"/>
              <w:rPr>
                <w:rFonts w:hint="default" w:ascii="Times New Roman" w:hAnsi="Times New Roman" w:eastAsia="宋体" w:cs="Times New Roman"/>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第四部分临时工程</w:t>
            </w:r>
          </w:p>
        </w:tc>
      </w:tr>
      <w:tr w14:paraId="6A32A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13" w:type="dxa"/>
            <w:gridSpan w:val="2"/>
            <w:tcBorders>
              <w:top w:val="single" w:color="000000" w:sz="4" w:space="0"/>
              <w:left w:val="single" w:color="000000" w:sz="4" w:space="0"/>
              <w:bottom w:val="single" w:color="000000" w:sz="4" w:space="0"/>
              <w:right w:val="single" w:color="000000" w:sz="4" w:space="0"/>
            </w:tcBorders>
            <w:noWrap w:val="0"/>
            <w:vAlign w:val="center"/>
          </w:tcPr>
          <w:p w14:paraId="0D9BDC7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w:t>
            </w:r>
          </w:p>
        </w:tc>
        <w:tc>
          <w:tcPr>
            <w:tcW w:w="4705" w:type="dxa"/>
            <w:gridSpan w:val="2"/>
            <w:tcBorders>
              <w:top w:val="single" w:color="000000" w:sz="4" w:space="0"/>
              <w:left w:val="single" w:color="000000" w:sz="4" w:space="0"/>
              <w:bottom w:val="single" w:color="000000" w:sz="4" w:space="0"/>
              <w:right w:val="single" w:color="000000" w:sz="4" w:space="0"/>
            </w:tcBorders>
            <w:noWrap w:val="0"/>
            <w:vAlign w:val="center"/>
          </w:tcPr>
          <w:p w14:paraId="309085E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施工交通工程</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BDDC395">
            <w:pPr>
              <w:jc w:val="center"/>
              <w:rPr>
                <w:rFonts w:hint="default" w:ascii="Times New Roman" w:hAnsi="Times New Roman" w:eastAsia="宋体" w:cs="Times New Roman"/>
                <w:b/>
                <w:bCs/>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2938426">
            <w:pPr>
              <w:jc w:val="center"/>
              <w:rPr>
                <w:rFonts w:hint="default" w:ascii="Times New Roman" w:hAnsi="Times New Roman" w:eastAsia="宋体" w:cs="Times New Roman"/>
                <w:b/>
                <w:bCs/>
                <w:i w:val="0"/>
                <w:iCs w:val="0"/>
                <w:color w:val="000000"/>
                <w:sz w:val="20"/>
                <w:szCs w:val="20"/>
                <w:u w:val="none"/>
              </w:rPr>
            </w:pPr>
          </w:p>
        </w:tc>
      </w:tr>
      <w:tr w14:paraId="13E63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13" w:type="dxa"/>
            <w:gridSpan w:val="2"/>
            <w:tcBorders>
              <w:top w:val="single" w:color="000000" w:sz="4" w:space="0"/>
              <w:left w:val="single" w:color="000000" w:sz="4" w:space="0"/>
              <w:bottom w:val="single" w:color="000000" w:sz="4" w:space="0"/>
              <w:right w:val="single" w:color="000000" w:sz="4" w:space="0"/>
            </w:tcBorders>
            <w:noWrap w:val="0"/>
            <w:vAlign w:val="center"/>
          </w:tcPr>
          <w:p w14:paraId="5CD816B5">
            <w:pPr>
              <w:jc w:val="center"/>
              <w:rPr>
                <w:rFonts w:hint="default" w:ascii="Times New Roman" w:hAnsi="Times New Roman" w:eastAsia="宋体" w:cs="Times New Roman"/>
                <w:i w:val="0"/>
                <w:iCs w:val="0"/>
                <w:color w:val="000000"/>
                <w:sz w:val="20"/>
                <w:szCs w:val="20"/>
                <w:u w:val="none"/>
              </w:rPr>
            </w:pPr>
          </w:p>
        </w:tc>
        <w:tc>
          <w:tcPr>
            <w:tcW w:w="4705" w:type="dxa"/>
            <w:gridSpan w:val="2"/>
            <w:tcBorders>
              <w:top w:val="single" w:color="000000" w:sz="4" w:space="0"/>
              <w:left w:val="single" w:color="000000" w:sz="4" w:space="0"/>
              <w:bottom w:val="single" w:color="000000" w:sz="4" w:space="0"/>
              <w:right w:val="single" w:color="000000" w:sz="4" w:space="0"/>
            </w:tcBorders>
            <w:noWrap w:val="0"/>
            <w:vAlign w:val="center"/>
          </w:tcPr>
          <w:p w14:paraId="6440978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砂砾石路面施工道路（永临结合）</w:t>
            </w:r>
            <w:r>
              <w:rPr>
                <w:rFonts w:hint="default" w:ascii="Times New Roman" w:hAnsi="Times New Roman" w:eastAsia="宋体" w:cs="Times New Roman"/>
                <w:i w:val="0"/>
                <w:iCs w:val="0"/>
                <w:color w:val="000000"/>
                <w:kern w:val="0"/>
                <w:sz w:val="20"/>
                <w:szCs w:val="20"/>
                <w:u w:val="none"/>
                <w:lang w:val="en-US" w:eastAsia="zh-CN" w:bidi="ar"/>
              </w:rPr>
              <w:t>30cm</w:t>
            </w:r>
            <w:r>
              <w:rPr>
                <w:rFonts w:hint="eastAsia" w:ascii="宋体" w:hAnsi="宋体" w:eastAsia="宋体" w:cs="宋体"/>
                <w:i w:val="0"/>
                <w:iCs w:val="0"/>
                <w:color w:val="000000"/>
                <w:kern w:val="0"/>
                <w:sz w:val="20"/>
                <w:szCs w:val="20"/>
                <w:u w:val="none"/>
                <w:lang w:val="en-US" w:eastAsia="zh-CN" w:bidi="ar"/>
              </w:rPr>
              <w:t>砂砾石</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95C5CB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km</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D807C1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r>
    </w:tbl>
    <w:p w14:paraId="43FD6EF7">
      <w:pPr>
        <w:numPr>
          <w:ilvl w:val="0"/>
          <w:numId w:val="0"/>
        </w:numPr>
        <w:ind w:left="0" w:leftChars="0" w:firstLine="0" w:firstLineChars="0"/>
        <w:jc w:val="both"/>
        <w:outlineLvl w:val="0"/>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br w:type="page"/>
      </w:r>
    </w:p>
    <w:p w14:paraId="01508894">
      <w:pPr>
        <w:rPr>
          <w:rFonts w:hint="eastAsia" w:ascii="宋体" w:hAnsi="宋体" w:cs="宋体"/>
          <w:b w:val="0"/>
          <w:bCs w:val="0"/>
          <w:color w:val="000000" w:themeColor="text1"/>
          <w:sz w:val="24"/>
          <w:szCs w:val="24"/>
          <w:highlight w:val="none"/>
          <w:lang w:val="en-US" w:eastAsia="zh-CN"/>
          <w14:textFill>
            <w14:solidFill>
              <w14:schemeClr w14:val="tx1"/>
            </w14:solidFill>
          </w14:textFill>
        </w:rPr>
      </w:pPr>
    </w:p>
    <w:p w14:paraId="5E8C9F3E">
      <w:pPr>
        <w:numPr>
          <w:ilvl w:val="0"/>
          <w:numId w:val="1"/>
        </w:numPr>
        <w:spacing w:line="500" w:lineRule="exact"/>
        <w:outlineLvl w:val="1"/>
        <w:rPr>
          <w:rFonts w:hint="eastAsia" w:ascii="宋体" w:hAnsi="宋体" w:cs="宋体"/>
          <w:sz w:val="24"/>
          <w:szCs w:val="24"/>
        </w:rPr>
      </w:pPr>
      <w:bookmarkStart w:id="232" w:name="_Toc256000148"/>
      <w:bookmarkStart w:id="233" w:name="_Toc14028"/>
      <w:r>
        <w:rPr>
          <w:rFonts w:hint="eastAsia" w:ascii="宋体" w:hAnsi="宋体" w:cs="宋体"/>
          <w:sz w:val="24"/>
          <w:szCs w:val="24"/>
          <w:highlight w:val="white"/>
        </w:rPr>
        <w:t>工程量清单说明</w:t>
      </w:r>
      <w:bookmarkEnd w:id="232"/>
    </w:p>
    <w:p w14:paraId="7298DD06">
      <w:pPr>
        <w:spacing w:line="500" w:lineRule="exact"/>
        <w:rPr>
          <w:rFonts w:hint="eastAsia" w:ascii="宋体" w:hAnsi="宋体" w:cs="宋体"/>
          <w:sz w:val="24"/>
          <w:szCs w:val="24"/>
        </w:rPr>
      </w:pPr>
      <w:r>
        <w:rPr>
          <w:rFonts w:hint="eastAsia" w:ascii="宋体" w:hAnsi="宋体" w:cs="宋体"/>
          <w:sz w:val="24"/>
          <w:szCs w:val="24"/>
          <w:highlight w:val="white"/>
        </w:rPr>
        <w:t>　1.1 工程量清单应与招标文件中的投标人须知、通用合同条款、专用合同条款、技术标准和要求(合同技术条款)、图纸及《水利工程工程量清单计价规范》(GB50501-2007)等一起阅读和理解。</w:t>
      </w:r>
    </w:p>
    <w:p w14:paraId="015DAEED">
      <w:pPr>
        <w:spacing w:line="500" w:lineRule="exact"/>
        <w:rPr>
          <w:rFonts w:hint="eastAsia" w:ascii="宋体" w:hAnsi="宋体" w:cs="宋体"/>
          <w:sz w:val="24"/>
          <w:szCs w:val="24"/>
        </w:rPr>
      </w:pPr>
      <w:r>
        <w:rPr>
          <w:rFonts w:hint="eastAsia" w:ascii="宋体" w:hAnsi="宋体" w:cs="宋体"/>
          <w:sz w:val="24"/>
          <w:szCs w:val="24"/>
          <w:highlight w:val="white"/>
        </w:rPr>
        <w:t>　1.2 工程量清单仅是投标人投标报价的共同基础。除另有约定外，工程量清单中的工程量是根据招标设计图纸按《水利工程工程量清单计价规范》(GB50501—2007)计算规则计算的用于投标报价的估算工程量，不作为最终结算工程量。最终结算工程量是承包人实际完成并符合技术标准和要求(合同技术条款)和《水利工程工程量清单计价规范》(GB50501—2007)计算规则等规定，按施工图纸计算的有效工程量。</w:t>
      </w:r>
    </w:p>
    <w:p w14:paraId="77EF2ECE">
      <w:pPr>
        <w:spacing w:line="500" w:lineRule="exact"/>
        <w:rPr>
          <w:rFonts w:hint="eastAsia" w:ascii="宋体" w:hAnsi="宋体" w:cs="宋体"/>
          <w:sz w:val="24"/>
          <w:szCs w:val="24"/>
        </w:rPr>
      </w:pPr>
      <w:r>
        <w:rPr>
          <w:rFonts w:hint="eastAsia" w:ascii="宋体" w:hAnsi="宋体" w:cs="宋体"/>
          <w:sz w:val="24"/>
          <w:szCs w:val="24"/>
          <w:highlight w:val="white"/>
        </w:rPr>
        <w:t>　1.3 工程量清单中各项目的工作内容和要求应符合相关技术标准和要求(合同技术条款)以及《水利工程工程量清单计价规范》(GB50501—2007)的规定。</w:t>
      </w:r>
    </w:p>
    <w:p w14:paraId="10398D45">
      <w:pPr>
        <w:spacing w:line="500" w:lineRule="exact"/>
        <w:rPr>
          <w:rFonts w:hint="eastAsia" w:ascii="宋体" w:hAnsi="宋体" w:cs="宋体"/>
          <w:sz w:val="24"/>
          <w:szCs w:val="24"/>
        </w:rPr>
      </w:pPr>
      <w:r>
        <w:rPr>
          <w:rFonts w:hint="eastAsia" w:ascii="宋体" w:hAnsi="宋体" w:cs="宋体"/>
          <w:sz w:val="24"/>
          <w:szCs w:val="24"/>
          <w:highlight w:val="white"/>
        </w:rPr>
        <w:t>　1.4 工程价款的支付遵循合同条款的约定。</w:t>
      </w:r>
    </w:p>
    <w:p w14:paraId="6C4E7731">
      <w:pPr>
        <w:spacing w:line="500" w:lineRule="exact"/>
        <w:outlineLvl w:val="1"/>
        <w:rPr>
          <w:rFonts w:hint="eastAsia" w:ascii="宋体" w:hAnsi="宋体" w:cs="宋体"/>
          <w:sz w:val="24"/>
          <w:szCs w:val="24"/>
        </w:rPr>
      </w:pPr>
      <w:bookmarkStart w:id="234" w:name="_Toc256000149"/>
      <w:r>
        <w:rPr>
          <w:rFonts w:hint="eastAsia" w:ascii="宋体" w:hAnsi="宋体" w:cs="宋体"/>
          <w:sz w:val="24"/>
          <w:szCs w:val="24"/>
          <w:highlight w:val="white"/>
        </w:rPr>
        <w:t>2. 投标报价说明</w:t>
      </w:r>
      <w:bookmarkEnd w:id="234"/>
    </w:p>
    <w:p w14:paraId="30ED88A7">
      <w:pPr>
        <w:spacing w:line="500" w:lineRule="exact"/>
        <w:outlineLvl w:val="2"/>
        <w:rPr>
          <w:rFonts w:hint="eastAsia" w:ascii="宋体" w:hAnsi="宋体" w:cs="宋体"/>
          <w:sz w:val="24"/>
          <w:szCs w:val="24"/>
        </w:rPr>
      </w:pPr>
      <w:r>
        <w:rPr>
          <w:rFonts w:hint="eastAsia" w:ascii="宋体" w:hAnsi="宋体" w:cs="宋体"/>
          <w:sz w:val="24"/>
          <w:szCs w:val="24"/>
          <w:highlight w:val="white"/>
        </w:rPr>
        <w:t>　</w:t>
      </w:r>
      <w:bookmarkStart w:id="235" w:name="_Toc256000150"/>
      <w:r>
        <w:rPr>
          <w:rFonts w:hint="eastAsia" w:ascii="宋体" w:hAnsi="宋体" w:cs="宋体"/>
          <w:sz w:val="24"/>
          <w:szCs w:val="24"/>
          <w:highlight w:val="white"/>
        </w:rPr>
        <w:t>2.1 工程量清单报价表组成</w:t>
      </w:r>
      <w:bookmarkEnd w:id="235"/>
    </w:p>
    <w:p w14:paraId="574690B4">
      <w:pPr>
        <w:spacing w:line="500" w:lineRule="exact"/>
        <w:rPr>
          <w:rFonts w:hint="eastAsia" w:ascii="宋体" w:hAnsi="宋体" w:cs="宋体"/>
          <w:sz w:val="24"/>
          <w:szCs w:val="24"/>
        </w:rPr>
      </w:pPr>
      <w:r>
        <w:rPr>
          <w:rFonts w:hint="eastAsia" w:ascii="宋体" w:hAnsi="宋体" w:cs="宋体"/>
          <w:sz w:val="24"/>
          <w:szCs w:val="24"/>
          <w:highlight w:val="white"/>
        </w:rPr>
        <w:t>　　工程量清单报价表由以下表格组成：</w:t>
      </w:r>
    </w:p>
    <w:p w14:paraId="58471CC4">
      <w:pPr>
        <w:spacing w:line="500" w:lineRule="exact"/>
        <w:rPr>
          <w:rFonts w:hint="eastAsia" w:ascii="宋体" w:hAnsi="宋体" w:cs="宋体"/>
          <w:sz w:val="24"/>
          <w:szCs w:val="24"/>
        </w:rPr>
      </w:pPr>
      <w:r>
        <w:rPr>
          <w:rFonts w:hint="eastAsia" w:ascii="宋体" w:hAnsi="宋体" w:cs="宋体"/>
          <w:sz w:val="24"/>
          <w:szCs w:val="24"/>
          <w:highlight w:val="white"/>
        </w:rPr>
        <w:t>　　1.投标总价。</w:t>
      </w:r>
    </w:p>
    <w:p w14:paraId="332469A5">
      <w:pPr>
        <w:spacing w:line="500" w:lineRule="exact"/>
        <w:rPr>
          <w:rFonts w:hint="eastAsia" w:ascii="宋体" w:hAnsi="宋体" w:cs="宋体"/>
          <w:sz w:val="24"/>
          <w:szCs w:val="24"/>
        </w:rPr>
      </w:pPr>
      <w:r>
        <w:rPr>
          <w:rFonts w:hint="eastAsia" w:ascii="宋体" w:hAnsi="宋体" w:cs="宋体"/>
          <w:sz w:val="24"/>
          <w:szCs w:val="24"/>
          <w:highlight w:val="white"/>
        </w:rPr>
        <w:t>　　2.工程项目总价表。</w:t>
      </w:r>
    </w:p>
    <w:p w14:paraId="7F637807">
      <w:pPr>
        <w:spacing w:line="500" w:lineRule="exact"/>
        <w:rPr>
          <w:rFonts w:hint="eastAsia" w:ascii="宋体" w:hAnsi="宋体" w:cs="宋体"/>
          <w:sz w:val="24"/>
          <w:szCs w:val="24"/>
        </w:rPr>
      </w:pPr>
      <w:r>
        <w:rPr>
          <w:rFonts w:hint="eastAsia" w:ascii="宋体" w:hAnsi="宋体" w:cs="宋体"/>
          <w:sz w:val="24"/>
          <w:szCs w:val="24"/>
          <w:highlight w:val="white"/>
        </w:rPr>
        <w:t>　　3.分类分项工程量清单计价表。</w:t>
      </w:r>
    </w:p>
    <w:p w14:paraId="2FCE16F5">
      <w:pPr>
        <w:spacing w:line="500" w:lineRule="exact"/>
        <w:rPr>
          <w:rFonts w:hint="eastAsia" w:ascii="宋体" w:hAnsi="宋体" w:cs="宋体"/>
          <w:sz w:val="24"/>
          <w:szCs w:val="24"/>
        </w:rPr>
      </w:pPr>
      <w:r>
        <w:rPr>
          <w:rFonts w:hint="eastAsia" w:ascii="宋体" w:hAnsi="宋体" w:cs="宋体"/>
          <w:sz w:val="24"/>
          <w:szCs w:val="24"/>
          <w:highlight w:val="white"/>
        </w:rPr>
        <w:t>　　4.措施项目清单计价表。</w:t>
      </w:r>
    </w:p>
    <w:p w14:paraId="70245908">
      <w:pPr>
        <w:spacing w:line="500" w:lineRule="exact"/>
        <w:rPr>
          <w:rFonts w:hint="eastAsia" w:ascii="宋体" w:hAnsi="宋体" w:cs="宋体"/>
          <w:sz w:val="24"/>
          <w:szCs w:val="24"/>
        </w:rPr>
      </w:pPr>
      <w:r>
        <w:rPr>
          <w:rFonts w:hint="eastAsia" w:ascii="宋体" w:hAnsi="宋体" w:cs="宋体"/>
          <w:sz w:val="24"/>
          <w:szCs w:val="24"/>
          <w:highlight w:val="white"/>
        </w:rPr>
        <w:t>　　5.其它项目清单计价表。</w:t>
      </w:r>
    </w:p>
    <w:p w14:paraId="664AB944">
      <w:pPr>
        <w:spacing w:line="500" w:lineRule="exact"/>
        <w:rPr>
          <w:rFonts w:hint="eastAsia" w:ascii="宋体" w:hAnsi="宋体" w:cs="宋体"/>
          <w:sz w:val="24"/>
          <w:szCs w:val="24"/>
        </w:rPr>
      </w:pPr>
      <w:r>
        <w:rPr>
          <w:rFonts w:hint="eastAsia" w:ascii="宋体" w:hAnsi="宋体" w:cs="宋体"/>
          <w:sz w:val="24"/>
          <w:szCs w:val="24"/>
          <w:highlight w:val="white"/>
        </w:rPr>
        <w:t>　　6.计日工项目计价表。</w:t>
      </w:r>
    </w:p>
    <w:p w14:paraId="53C0D97A">
      <w:pPr>
        <w:spacing w:line="500" w:lineRule="exact"/>
        <w:rPr>
          <w:rFonts w:hint="eastAsia" w:ascii="宋体" w:hAnsi="宋体" w:cs="宋体"/>
          <w:sz w:val="24"/>
          <w:szCs w:val="24"/>
        </w:rPr>
      </w:pPr>
      <w:r>
        <w:rPr>
          <w:rFonts w:hint="eastAsia" w:ascii="宋体" w:hAnsi="宋体" w:cs="宋体"/>
          <w:sz w:val="24"/>
          <w:szCs w:val="24"/>
          <w:highlight w:val="white"/>
        </w:rPr>
        <w:t>　　7.工程单价汇总表。</w:t>
      </w:r>
    </w:p>
    <w:p w14:paraId="3ED6890D">
      <w:pPr>
        <w:spacing w:line="500" w:lineRule="exact"/>
        <w:rPr>
          <w:rFonts w:hint="eastAsia" w:ascii="宋体" w:hAnsi="宋体" w:cs="宋体"/>
          <w:sz w:val="24"/>
          <w:szCs w:val="24"/>
        </w:rPr>
      </w:pPr>
      <w:r>
        <w:rPr>
          <w:rFonts w:hint="eastAsia" w:ascii="宋体" w:hAnsi="宋体" w:cs="宋体"/>
          <w:sz w:val="24"/>
          <w:szCs w:val="24"/>
          <w:highlight w:val="white"/>
        </w:rPr>
        <w:t>　　8.工程单价费(税)率汇总表。</w:t>
      </w:r>
    </w:p>
    <w:p w14:paraId="02E63C27">
      <w:pPr>
        <w:spacing w:line="500" w:lineRule="exact"/>
        <w:rPr>
          <w:rFonts w:hint="eastAsia" w:ascii="宋体" w:hAnsi="宋体" w:cs="宋体"/>
          <w:sz w:val="24"/>
          <w:szCs w:val="24"/>
        </w:rPr>
      </w:pPr>
      <w:r>
        <w:rPr>
          <w:rFonts w:hint="eastAsia" w:ascii="宋体" w:hAnsi="宋体" w:cs="宋体"/>
          <w:sz w:val="24"/>
          <w:szCs w:val="24"/>
          <w:highlight w:val="white"/>
        </w:rPr>
        <w:t>　　9.投标人生产电、风、水、砂石基础单价汇总表。</w:t>
      </w:r>
    </w:p>
    <w:p w14:paraId="1A4DE3FD">
      <w:pPr>
        <w:spacing w:line="500" w:lineRule="exact"/>
        <w:rPr>
          <w:rFonts w:hint="eastAsia" w:ascii="宋体" w:hAnsi="宋体" w:cs="宋体"/>
          <w:sz w:val="24"/>
          <w:szCs w:val="24"/>
        </w:rPr>
      </w:pPr>
      <w:r>
        <w:rPr>
          <w:rFonts w:hint="eastAsia" w:ascii="宋体" w:hAnsi="宋体" w:cs="宋体"/>
          <w:sz w:val="24"/>
          <w:szCs w:val="24"/>
          <w:highlight w:val="white"/>
        </w:rPr>
        <w:t>　　10.投标人生产混凝土配合比材料费表。</w:t>
      </w:r>
    </w:p>
    <w:p w14:paraId="59EA5357">
      <w:pPr>
        <w:spacing w:line="500" w:lineRule="exact"/>
        <w:rPr>
          <w:rFonts w:hint="eastAsia" w:ascii="宋体" w:hAnsi="宋体" w:cs="宋体"/>
          <w:sz w:val="24"/>
          <w:szCs w:val="24"/>
        </w:rPr>
      </w:pPr>
      <w:r>
        <w:rPr>
          <w:rFonts w:hint="eastAsia" w:ascii="宋体" w:hAnsi="宋体" w:cs="宋体"/>
          <w:sz w:val="24"/>
          <w:szCs w:val="24"/>
          <w:highlight w:val="white"/>
        </w:rPr>
        <w:t>　　11.招标人供应材料价格汇总表(若招标人提供)。</w:t>
      </w:r>
    </w:p>
    <w:p w14:paraId="3DA3124C">
      <w:pPr>
        <w:spacing w:line="500" w:lineRule="exact"/>
        <w:rPr>
          <w:rFonts w:hint="eastAsia" w:ascii="宋体" w:hAnsi="宋体" w:cs="宋体"/>
          <w:sz w:val="24"/>
          <w:szCs w:val="24"/>
        </w:rPr>
      </w:pPr>
      <w:r>
        <w:rPr>
          <w:rFonts w:hint="eastAsia" w:ascii="宋体" w:hAnsi="宋体" w:cs="宋体"/>
          <w:sz w:val="24"/>
          <w:szCs w:val="24"/>
          <w:highlight w:val="white"/>
        </w:rPr>
        <w:t>　　12.投标人自行采购主要材料预算价格汇总表。</w:t>
      </w:r>
    </w:p>
    <w:p w14:paraId="44942C24">
      <w:pPr>
        <w:spacing w:line="500" w:lineRule="exact"/>
        <w:rPr>
          <w:rFonts w:hint="eastAsia" w:ascii="宋体" w:hAnsi="宋体" w:cs="宋体"/>
          <w:sz w:val="24"/>
          <w:szCs w:val="24"/>
        </w:rPr>
      </w:pPr>
      <w:r>
        <w:rPr>
          <w:rFonts w:hint="eastAsia" w:ascii="宋体" w:hAnsi="宋体" w:cs="宋体"/>
          <w:sz w:val="24"/>
          <w:szCs w:val="24"/>
          <w:highlight w:val="white"/>
        </w:rPr>
        <w:t>　　13.招标人提供施工机械台时(班)费汇总表(若招标人提供)。</w:t>
      </w:r>
    </w:p>
    <w:p w14:paraId="189BA156">
      <w:pPr>
        <w:spacing w:line="500" w:lineRule="exact"/>
        <w:rPr>
          <w:rFonts w:hint="eastAsia" w:ascii="宋体" w:hAnsi="宋体" w:cs="宋体"/>
          <w:sz w:val="24"/>
          <w:szCs w:val="24"/>
        </w:rPr>
      </w:pPr>
      <w:r>
        <w:rPr>
          <w:rFonts w:hint="eastAsia" w:ascii="宋体" w:hAnsi="宋体" w:cs="宋体"/>
          <w:sz w:val="24"/>
          <w:szCs w:val="24"/>
          <w:highlight w:val="white"/>
        </w:rPr>
        <w:t>　　14.投标人自备施工机械台时(班)费汇总表。</w:t>
      </w:r>
    </w:p>
    <w:p w14:paraId="056DDE77">
      <w:pPr>
        <w:spacing w:line="500" w:lineRule="exact"/>
        <w:rPr>
          <w:rFonts w:hint="eastAsia" w:ascii="宋体" w:hAnsi="宋体" w:cs="宋体"/>
          <w:sz w:val="24"/>
          <w:szCs w:val="24"/>
        </w:rPr>
      </w:pPr>
      <w:r>
        <w:rPr>
          <w:rFonts w:hint="eastAsia" w:ascii="宋体" w:hAnsi="宋体" w:cs="宋体"/>
          <w:sz w:val="24"/>
          <w:szCs w:val="24"/>
          <w:highlight w:val="white"/>
        </w:rPr>
        <w:t>　　15.总价项目分类分项工程分解表。</w:t>
      </w:r>
    </w:p>
    <w:p w14:paraId="3BC0802A">
      <w:pPr>
        <w:spacing w:line="500" w:lineRule="exact"/>
        <w:rPr>
          <w:rFonts w:hint="eastAsia" w:ascii="宋体" w:hAnsi="宋体" w:cs="宋体"/>
          <w:sz w:val="24"/>
          <w:szCs w:val="24"/>
        </w:rPr>
      </w:pPr>
      <w:r>
        <w:rPr>
          <w:rFonts w:hint="eastAsia" w:ascii="宋体" w:hAnsi="宋体" w:cs="宋体"/>
          <w:sz w:val="24"/>
          <w:szCs w:val="24"/>
          <w:highlight w:val="white"/>
        </w:rPr>
        <w:t>　　16.工程单价计算表。</w:t>
      </w:r>
    </w:p>
    <w:p w14:paraId="7AA50593">
      <w:pPr>
        <w:spacing w:line="500" w:lineRule="exact"/>
        <w:rPr>
          <w:rFonts w:hint="eastAsia" w:ascii="宋体" w:hAnsi="宋体" w:cs="宋体"/>
          <w:sz w:val="24"/>
          <w:szCs w:val="24"/>
        </w:rPr>
      </w:pPr>
      <w:r>
        <w:rPr>
          <w:rFonts w:hint="eastAsia" w:ascii="宋体" w:hAnsi="宋体" w:cs="宋体"/>
          <w:sz w:val="24"/>
          <w:szCs w:val="24"/>
          <w:highlight w:val="white"/>
        </w:rPr>
        <w:t>　　17.人工费单价汇总表。</w:t>
      </w:r>
    </w:p>
    <w:p w14:paraId="354C95CB">
      <w:pPr>
        <w:spacing w:line="500" w:lineRule="exact"/>
        <w:outlineLvl w:val="2"/>
        <w:rPr>
          <w:rFonts w:hint="eastAsia" w:ascii="宋体" w:hAnsi="宋体" w:cs="宋体"/>
          <w:sz w:val="24"/>
          <w:szCs w:val="24"/>
        </w:rPr>
      </w:pPr>
      <w:r>
        <w:rPr>
          <w:rFonts w:hint="eastAsia" w:ascii="宋体" w:hAnsi="宋体" w:cs="宋体"/>
          <w:sz w:val="24"/>
          <w:szCs w:val="24"/>
          <w:highlight w:val="white"/>
        </w:rPr>
        <w:t>　</w:t>
      </w:r>
      <w:bookmarkStart w:id="236" w:name="_Toc256000151"/>
      <w:r>
        <w:rPr>
          <w:rFonts w:hint="eastAsia" w:ascii="宋体" w:hAnsi="宋体" w:cs="宋体"/>
          <w:sz w:val="24"/>
          <w:szCs w:val="24"/>
          <w:highlight w:val="white"/>
        </w:rPr>
        <w:t>2.2 工程量清单报价表填写规定</w:t>
      </w:r>
      <w:bookmarkEnd w:id="236"/>
    </w:p>
    <w:p w14:paraId="23CFC2BE">
      <w:pPr>
        <w:spacing w:line="500" w:lineRule="exact"/>
        <w:rPr>
          <w:rFonts w:hint="eastAsia" w:ascii="宋体" w:hAnsi="宋体" w:cs="宋体"/>
          <w:sz w:val="24"/>
          <w:szCs w:val="24"/>
        </w:rPr>
      </w:pPr>
      <w:r>
        <w:rPr>
          <w:rFonts w:hint="eastAsia" w:ascii="宋体" w:hAnsi="宋体" w:cs="宋体"/>
          <w:sz w:val="24"/>
          <w:szCs w:val="24"/>
          <w:highlight w:val="white"/>
        </w:rPr>
        <w:t>　　1.除招标文件另有规定外，投标人不得随意增加、删除或涂改招标文件工程量清单中的任何内容。工程量清单中列明的所有需要填写的单价和合价，投标人均应填写；未填写的单价和合价，视为已包括在工程量清单的其它单价和合价中。</w:t>
      </w:r>
    </w:p>
    <w:p w14:paraId="1A57D6F3">
      <w:pPr>
        <w:spacing w:line="500" w:lineRule="exact"/>
        <w:rPr>
          <w:rFonts w:hint="eastAsia" w:ascii="宋体" w:hAnsi="宋体" w:cs="宋体"/>
          <w:sz w:val="24"/>
          <w:szCs w:val="24"/>
        </w:rPr>
      </w:pPr>
      <w:r>
        <w:rPr>
          <w:rFonts w:hint="eastAsia" w:ascii="宋体" w:hAnsi="宋体" w:cs="宋体"/>
          <w:sz w:val="24"/>
          <w:szCs w:val="24"/>
          <w:highlight w:val="white"/>
        </w:rPr>
        <w:t>　　2.工程量清单中的工程单价是完成工程量清单中一个质量合格的规定计量单位项目所需的直接费(包括人工费、材料费、机械使用费和季节、夜间、高原、风沙等原因增加的直接费)、施工管理费、企业利润和税金，并考虑到风险因素。投标人应根据规定的工程单价组成内容，按招标文件和《水利工程工程量清单计价规范》(GB50501—2007)附录A和附录B中的“主要工作内容”确定工程单价。除另有规定外，对有效工程量以外的超挖、超填工程量，施工附加量，加工、运输损耗量等，所消耗的人工、材料和机械费用，均应摊入相应有效工程量的工程单价内。</w:t>
      </w:r>
    </w:p>
    <w:p w14:paraId="3D73D300">
      <w:pPr>
        <w:spacing w:line="500" w:lineRule="exact"/>
        <w:rPr>
          <w:rFonts w:hint="eastAsia" w:ascii="宋体" w:hAnsi="宋体" w:cs="宋体"/>
          <w:sz w:val="24"/>
          <w:szCs w:val="24"/>
        </w:rPr>
      </w:pPr>
      <w:r>
        <w:rPr>
          <w:rFonts w:hint="eastAsia" w:ascii="宋体" w:hAnsi="宋体" w:cs="宋体"/>
          <w:sz w:val="24"/>
          <w:szCs w:val="24"/>
          <w:highlight w:val="white"/>
        </w:rPr>
        <w:t>　　3.投标金额(价格)均应以人民币表示。</w:t>
      </w:r>
    </w:p>
    <w:p w14:paraId="71591125">
      <w:pPr>
        <w:spacing w:line="500" w:lineRule="exact"/>
        <w:rPr>
          <w:rFonts w:hint="eastAsia" w:ascii="宋体" w:hAnsi="宋体" w:cs="宋体"/>
          <w:sz w:val="24"/>
          <w:szCs w:val="24"/>
        </w:rPr>
      </w:pPr>
      <w:r>
        <w:rPr>
          <w:rFonts w:hint="eastAsia" w:ascii="宋体" w:hAnsi="宋体" w:cs="宋体"/>
          <w:sz w:val="24"/>
          <w:szCs w:val="24"/>
          <w:highlight w:val="white"/>
        </w:rPr>
        <w:t>　　4.投标总价应按工程项目总价表合计金额填写。</w:t>
      </w:r>
    </w:p>
    <w:p w14:paraId="7BF44DC1">
      <w:pPr>
        <w:spacing w:line="500" w:lineRule="exact"/>
        <w:rPr>
          <w:rFonts w:hint="eastAsia" w:ascii="宋体" w:hAnsi="宋体" w:cs="宋体"/>
          <w:sz w:val="24"/>
          <w:szCs w:val="24"/>
        </w:rPr>
      </w:pPr>
      <w:r>
        <w:rPr>
          <w:rFonts w:hint="eastAsia" w:ascii="宋体" w:hAnsi="宋体" w:cs="宋体"/>
          <w:sz w:val="24"/>
          <w:szCs w:val="24"/>
          <w:highlight w:val="white"/>
        </w:rPr>
        <w:t>　　5.工程项目总价表中一级项目名称按招标文件工程项目总价表中的相应名称填写，并按分类分项工程量清单计价表中相应项目合计金额填写。</w:t>
      </w:r>
    </w:p>
    <w:p w14:paraId="6317AC24">
      <w:pPr>
        <w:spacing w:line="500" w:lineRule="exact"/>
        <w:rPr>
          <w:rFonts w:hint="eastAsia" w:ascii="宋体" w:hAnsi="宋体" w:cs="宋体"/>
          <w:sz w:val="24"/>
          <w:szCs w:val="24"/>
        </w:rPr>
      </w:pPr>
      <w:r>
        <w:rPr>
          <w:rFonts w:hint="eastAsia" w:ascii="宋体" w:hAnsi="宋体" w:cs="宋体"/>
          <w:sz w:val="24"/>
          <w:szCs w:val="24"/>
          <w:highlight w:val="white"/>
        </w:rPr>
        <w:t>　　6.分类分项工程量清单计价表中的序号、项目编码、项目名称、计量单位、工程数量和合同技术条款章节号，按招标文件分类分项工程量清单计价表中的相应内容填写，并填写相应项目的单价和合价。</w:t>
      </w:r>
    </w:p>
    <w:p w14:paraId="1958CBA7">
      <w:pPr>
        <w:spacing w:line="500" w:lineRule="exact"/>
        <w:rPr>
          <w:rFonts w:hint="eastAsia" w:ascii="宋体" w:hAnsi="宋体" w:cs="宋体"/>
          <w:sz w:val="24"/>
          <w:szCs w:val="24"/>
        </w:rPr>
      </w:pPr>
      <w:r>
        <w:rPr>
          <w:rFonts w:hint="eastAsia" w:ascii="宋体" w:hAnsi="宋体" w:cs="宋体"/>
          <w:sz w:val="24"/>
          <w:szCs w:val="24"/>
          <w:highlight w:val="white"/>
        </w:rPr>
        <w:t>　　7.措施项目清单计价表中的序号、项目名称按招标文件措施项目清单计价表中的相应内容填写，并填写相应措施项目的金额和合计金额。</w:t>
      </w:r>
    </w:p>
    <w:p w14:paraId="7AA42177">
      <w:pPr>
        <w:spacing w:line="500" w:lineRule="exact"/>
        <w:rPr>
          <w:rFonts w:hint="eastAsia" w:ascii="宋体" w:hAnsi="宋体" w:cs="宋体"/>
          <w:sz w:val="24"/>
          <w:szCs w:val="24"/>
        </w:rPr>
      </w:pPr>
      <w:r>
        <w:rPr>
          <w:rFonts w:hint="eastAsia" w:ascii="宋体" w:hAnsi="宋体" w:cs="宋体"/>
          <w:sz w:val="24"/>
          <w:szCs w:val="24"/>
          <w:highlight w:val="white"/>
        </w:rPr>
        <w:t>　　8.其它项目清单计价表中的序号、项目名称、金额，按招标文件其它项目清单计价表中的相应内容填写。</w:t>
      </w:r>
    </w:p>
    <w:p w14:paraId="58CD2695">
      <w:pPr>
        <w:spacing w:line="500" w:lineRule="exact"/>
        <w:rPr>
          <w:rFonts w:hint="eastAsia" w:ascii="宋体" w:hAnsi="宋体" w:cs="宋体"/>
          <w:sz w:val="24"/>
          <w:szCs w:val="24"/>
        </w:rPr>
      </w:pPr>
      <w:r>
        <w:rPr>
          <w:rFonts w:hint="eastAsia" w:ascii="宋体" w:hAnsi="宋体" w:cs="宋体"/>
          <w:sz w:val="24"/>
          <w:szCs w:val="24"/>
          <w:highlight w:val="white"/>
        </w:rPr>
        <w:t>　　9.计日工项目计价表的序号、人工、材料、机械的名称、型号规格以及计量单位，按招标文件计日工项目计价表中的相应内容填写，并填写相应项目单价。</w:t>
      </w:r>
    </w:p>
    <w:p w14:paraId="4CE91FE1">
      <w:pPr>
        <w:spacing w:line="500" w:lineRule="exact"/>
        <w:rPr>
          <w:rFonts w:hint="eastAsia" w:ascii="宋体" w:hAnsi="宋体" w:cs="宋体"/>
          <w:sz w:val="24"/>
          <w:szCs w:val="24"/>
        </w:rPr>
      </w:pPr>
      <w:r>
        <w:rPr>
          <w:rFonts w:hint="eastAsia" w:ascii="宋体" w:hAnsi="宋体" w:cs="宋体"/>
          <w:sz w:val="24"/>
          <w:szCs w:val="24"/>
          <w:highlight w:val="white"/>
        </w:rPr>
        <w:t>　　10.辅助表格填写：</w:t>
      </w:r>
    </w:p>
    <w:p w14:paraId="44E37CD9">
      <w:pPr>
        <w:spacing w:line="500" w:lineRule="exact"/>
        <w:rPr>
          <w:rFonts w:hint="eastAsia" w:ascii="宋体" w:hAnsi="宋体" w:cs="宋体"/>
          <w:sz w:val="24"/>
          <w:szCs w:val="24"/>
        </w:rPr>
      </w:pPr>
      <w:r>
        <w:rPr>
          <w:rFonts w:hint="eastAsia" w:ascii="宋体" w:hAnsi="宋体" w:cs="宋体"/>
          <w:sz w:val="24"/>
          <w:szCs w:val="24"/>
          <w:highlight w:val="white"/>
        </w:rPr>
        <w:t>　　(1)工程单价汇总表，按工程单价计算表中的相应内容、价格(费率)填写。</w:t>
      </w:r>
    </w:p>
    <w:p w14:paraId="21A248CD">
      <w:pPr>
        <w:spacing w:line="500" w:lineRule="exact"/>
        <w:rPr>
          <w:rFonts w:hint="eastAsia" w:ascii="宋体" w:hAnsi="宋体" w:cs="宋体"/>
          <w:sz w:val="24"/>
          <w:szCs w:val="24"/>
        </w:rPr>
      </w:pPr>
      <w:r>
        <w:rPr>
          <w:rFonts w:hint="eastAsia" w:ascii="宋体" w:hAnsi="宋体" w:cs="宋体"/>
          <w:sz w:val="24"/>
          <w:szCs w:val="24"/>
          <w:highlight w:val="white"/>
        </w:rPr>
        <w:t>　　(2)工程单价费(税)率汇总表，按工程单价计算表中的相应内容、费(税)率填写。</w:t>
      </w:r>
    </w:p>
    <w:p w14:paraId="76F21177">
      <w:pPr>
        <w:spacing w:line="500" w:lineRule="exact"/>
        <w:rPr>
          <w:rFonts w:hint="eastAsia" w:ascii="宋体" w:hAnsi="宋体" w:cs="宋体"/>
          <w:sz w:val="24"/>
          <w:szCs w:val="24"/>
        </w:rPr>
      </w:pPr>
      <w:r>
        <w:rPr>
          <w:rFonts w:hint="eastAsia" w:ascii="宋体" w:hAnsi="宋体" w:cs="宋体"/>
          <w:sz w:val="24"/>
          <w:szCs w:val="24"/>
          <w:highlight w:val="white"/>
        </w:rPr>
        <w:t>　　(3)投标人生产电、风、水、砂石基础单价汇总表，按基础单价分析计算成果的相应内容、价格填写，并附相应基础单价的分析计算书。</w:t>
      </w:r>
    </w:p>
    <w:p w14:paraId="7E293C09">
      <w:pPr>
        <w:spacing w:line="500" w:lineRule="exact"/>
        <w:rPr>
          <w:rFonts w:hint="eastAsia" w:ascii="宋体" w:hAnsi="宋体" w:cs="宋体"/>
          <w:sz w:val="24"/>
          <w:szCs w:val="24"/>
        </w:rPr>
      </w:pPr>
      <w:r>
        <w:rPr>
          <w:rFonts w:hint="eastAsia" w:ascii="宋体" w:hAnsi="宋体" w:cs="宋体"/>
          <w:sz w:val="24"/>
          <w:szCs w:val="24"/>
          <w:highlight w:val="white"/>
        </w:rPr>
        <w:t>　　(4)投标人生产混凝土配合比材料费表，按表中工程部位、混凝土强度等级(附抗渗、抗冻等级)、水泥强度等级、级配、水灰比、相应材料用量和单价填写，填写的单价必须与工程单价计算表中采用的相应混凝土材料单价一致。</w:t>
      </w:r>
    </w:p>
    <w:p w14:paraId="3E4C91E2">
      <w:pPr>
        <w:spacing w:line="500" w:lineRule="exact"/>
        <w:rPr>
          <w:rFonts w:hint="eastAsia" w:ascii="宋体" w:hAnsi="宋体" w:cs="宋体"/>
          <w:sz w:val="24"/>
          <w:szCs w:val="24"/>
        </w:rPr>
      </w:pPr>
      <w:r>
        <w:rPr>
          <w:rFonts w:hint="eastAsia" w:ascii="宋体" w:hAnsi="宋体" w:cs="宋体"/>
          <w:sz w:val="24"/>
          <w:szCs w:val="24"/>
          <w:highlight w:val="white"/>
        </w:rPr>
        <w:t>　　(5)招标人供应材料价格汇总表，按招标人供应的材料名称、型号规格、计量单位和供应价填写，并填写经分析计算后的相应材料预算价格，填写的预算价格必须与工程单价计算表中采用的相应材料预算价格一致(若招标人提供)。</w:t>
      </w:r>
    </w:p>
    <w:p w14:paraId="24DFC818">
      <w:pPr>
        <w:spacing w:line="500" w:lineRule="exact"/>
        <w:rPr>
          <w:rFonts w:hint="eastAsia" w:ascii="宋体" w:hAnsi="宋体" w:cs="宋体"/>
          <w:sz w:val="24"/>
          <w:szCs w:val="24"/>
        </w:rPr>
      </w:pPr>
      <w:r>
        <w:rPr>
          <w:rFonts w:hint="eastAsia" w:ascii="宋体" w:hAnsi="宋体" w:cs="宋体"/>
          <w:sz w:val="24"/>
          <w:szCs w:val="24"/>
          <w:highlight w:val="white"/>
        </w:rPr>
        <w:t>　　(6)投标人自行采购主要材料预算价格汇总表，按表中的序号、材料名称、型号规格、计量单位和预算价填写，填写的预算价必须与工程单价计算表中采用的相应材料预算价格一致。</w:t>
      </w:r>
    </w:p>
    <w:p w14:paraId="29ABE8F2">
      <w:pPr>
        <w:spacing w:line="500" w:lineRule="exact"/>
        <w:rPr>
          <w:rFonts w:hint="eastAsia" w:ascii="宋体" w:hAnsi="宋体" w:cs="宋体"/>
          <w:sz w:val="24"/>
          <w:szCs w:val="24"/>
        </w:rPr>
      </w:pPr>
      <w:r>
        <w:rPr>
          <w:rFonts w:hint="eastAsia" w:ascii="宋体" w:hAnsi="宋体" w:cs="宋体"/>
          <w:sz w:val="24"/>
          <w:szCs w:val="24"/>
          <w:highlight w:val="white"/>
        </w:rPr>
        <w:t>　　(7)招标人提供施工机械台时(班)费汇总表，按招标人提供的机械名称、型号规格和招标人收取的台时(班)折旧费填写；投标人填写的台时(班)费用合计金额必须与工程单价计算表中相应的施工机械台时(班)费单价一致(若招标人提供)。</w:t>
      </w:r>
    </w:p>
    <w:p w14:paraId="2024E2FF">
      <w:pPr>
        <w:spacing w:line="500" w:lineRule="exact"/>
        <w:rPr>
          <w:rFonts w:hint="eastAsia" w:ascii="宋体" w:hAnsi="宋体" w:cs="宋体"/>
          <w:sz w:val="24"/>
          <w:szCs w:val="24"/>
        </w:rPr>
      </w:pPr>
      <w:r>
        <w:rPr>
          <w:rFonts w:hint="eastAsia" w:ascii="宋体" w:hAnsi="宋体" w:cs="宋体"/>
          <w:sz w:val="24"/>
          <w:szCs w:val="24"/>
          <w:highlight w:val="white"/>
        </w:rPr>
        <w:t>　　(8)投标人自备施工机械台时(班)费汇总表，按表中的序号、机械名称、型号规格、一类费用和二类费用填写，填写的台时(班)费合计金额必须与工程单价计算表中相应的施工机械台时(班)费单价一致。</w:t>
      </w:r>
    </w:p>
    <w:p w14:paraId="029D6D0E">
      <w:pPr>
        <w:spacing w:line="500" w:lineRule="exact"/>
        <w:rPr>
          <w:rFonts w:hint="eastAsia" w:ascii="宋体" w:hAnsi="宋体" w:cs="宋体"/>
          <w:sz w:val="24"/>
          <w:szCs w:val="24"/>
        </w:rPr>
      </w:pPr>
      <w:r>
        <w:rPr>
          <w:rFonts w:hint="eastAsia" w:ascii="宋体" w:hAnsi="宋体" w:cs="宋体"/>
          <w:sz w:val="24"/>
          <w:szCs w:val="24"/>
          <w:highlight w:val="white"/>
        </w:rPr>
        <w:t>　　(9)投标人应参照分类分项工程量清单计价表格式编制总价项目分类分项工程分解表，每个总价项目分类分项工程一份。</w:t>
      </w:r>
    </w:p>
    <w:p w14:paraId="04543A7F">
      <w:pPr>
        <w:spacing w:line="500" w:lineRule="exact"/>
        <w:rPr>
          <w:rFonts w:hint="eastAsia" w:ascii="宋体" w:hAnsi="宋体" w:cs="宋体"/>
          <w:sz w:val="24"/>
          <w:szCs w:val="24"/>
        </w:rPr>
      </w:pPr>
      <w:r>
        <w:rPr>
          <w:rFonts w:hint="eastAsia" w:ascii="宋体" w:hAnsi="宋体" w:cs="宋体"/>
          <w:sz w:val="24"/>
          <w:szCs w:val="24"/>
          <w:highlight w:val="white"/>
        </w:rPr>
        <w:t>　　(10)投标金额大于或等于投标总标价万分之五的工程项目，必须编报工程单价计算表。工程单价计算表，按表中的施工方法、序号、名称、型号规格、计量单位、数量、单价、合价填写，填写的人工、材料和机械等基础价格，必须与人工费价汇总表、基础材料单价汇总表、主要材料预算价格汇总表及施工机械台时(班)费汇总表中的单价相一致，填写的施工管理费、企业利润和税金等费(税)率必须与工程单价费(税)率汇总表中的费(税)率相一致。</w:t>
      </w:r>
    </w:p>
    <w:p w14:paraId="4CDBD7EF">
      <w:pPr>
        <w:spacing w:line="500" w:lineRule="exact"/>
        <w:rPr>
          <w:rFonts w:ascii="宋体" w:hAnsi="宋体" w:cs="宋体"/>
          <w:sz w:val="24"/>
          <w:szCs w:val="24"/>
        </w:rPr>
      </w:pPr>
      <w:r>
        <w:rPr>
          <w:rFonts w:hint="eastAsia" w:ascii="宋体" w:hAnsi="宋体" w:cs="宋体"/>
          <w:sz w:val="24"/>
          <w:szCs w:val="24"/>
          <w:highlight w:val="white"/>
        </w:rPr>
        <w:t>　　(11)人工费单价汇总表应按人工费单价计算表的内容、价格填写，并附相应的人工费单价计算表。</w:t>
      </w:r>
    </w:p>
    <w:p w14:paraId="23AF719B">
      <w:pPr>
        <w:spacing w:after="156" w:afterLines="50" w:line="360" w:lineRule="auto"/>
        <w:jc w:val="center"/>
        <w:outlineLvl w:val="0"/>
        <w:rPr>
          <w:rFonts w:hint="eastAsia" w:ascii="宋体" w:hAnsi="宋体" w:eastAsia="宋体" w:cs="宋体"/>
          <w:b/>
          <w:bCs/>
          <w:color w:val="000000" w:themeColor="text1"/>
          <w:sz w:val="36"/>
          <w:szCs w:val="36"/>
          <w:highlight w:val="none"/>
          <w14:textFill>
            <w14:solidFill>
              <w14:schemeClr w14:val="tx1"/>
            </w14:solidFill>
          </w14:textFill>
        </w:rPr>
      </w:pPr>
    </w:p>
    <w:p w14:paraId="366449A7">
      <w:pPr>
        <w:spacing w:after="156" w:afterLines="50" w:line="360" w:lineRule="auto"/>
        <w:jc w:val="center"/>
        <w:outlineLvl w:val="0"/>
        <w:rPr>
          <w:rFonts w:hint="eastAsia" w:ascii="宋体" w:hAnsi="宋体" w:eastAsia="宋体" w:cs="宋体"/>
          <w:b/>
          <w:bCs/>
          <w:color w:val="000000" w:themeColor="text1"/>
          <w:sz w:val="36"/>
          <w:szCs w:val="36"/>
          <w:highlight w:val="none"/>
          <w14:textFill>
            <w14:solidFill>
              <w14:schemeClr w14:val="tx1"/>
            </w14:solidFill>
          </w14:textFill>
        </w:rPr>
      </w:pPr>
    </w:p>
    <w:p w14:paraId="299ECA99">
      <w:pPr>
        <w:spacing w:after="156" w:afterLines="50" w:line="360" w:lineRule="auto"/>
        <w:jc w:val="center"/>
        <w:outlineLvl w:val="0"/>
        <w:rPr>
          <w:rFonts w:hint="eastAsia" w:ascii="宋体" w:hAnsi="宋体" w:eastAsia="宋体" w:cs="宋体"/>
          <w:b/>
          <w:bCs/>
          <w:color w:val="000000" w:themeColor="text1"/>
          <w:sz w:val="36"/>
          <w:szCs w:val="36"/>
          <w:highlight w:val="none"/>
          <w14:textFill>
            <w14:solidFill>
              <w14:schemeClr w14:val="tx1"/>
            </w14:solidFill>
          </w14:textFill>
        </w:rPr>
      </w:pPr>
    </w:p>
    <w:p w14:paraId="2FCC3633">
      <w:pPr>
        <w:spacing w:after="156" w:afterLines="50" w:line="360" w:lineRule="auto"/>
        <w:jc w:val="center"/>
        <w:outlineLvl w:val="0"/>
        <w:rPr>
          <w:rFonts w:hint="eastAsia" w:ascii="宋体" w:hAnsi="宋体" w:eastAsia="宋体" w:cs="宋体"/>
          <w:b/>
          <w:bCs/>
          <w:color w:val="000000" w:themeColor="text1"/>
          <w:sz w:val="36"/>
          <w:szCs w:val="36"/>
          <w:highlight w:val="none"/>
          <w14:textFill>
            <w14:solidFill>
              <w14:schemeClr w14:val="tx1"/>
            </w14:solidFill>
          </w14:textFill>
        </w:rPr>
      </w:pPr>
    </w:p>
    <w:p w14:paraId="28BA3A2B">
      <w:pPr>
        <w:spacing w:after="156" w:afterLines="50" w:line="360" w:lineRule="auto"/>
        <w:jc w:val="center"/>
        <w:outlineLvl w:val="0"/>
        <w:rPr>
          <w:rFonts w:hint="eastAsia" w:ascii="宋体" w:hAnsi="宋体" w:eastAsia="宋体" w:cs="宋体"/>
          <w:b/>
          <w:bCs/>
          <w:color w:val="000000" w:themeColor="text1"/>
          <w:sz w:val="36"/>
          <w:szCs w:val="36"/>
          <w:highlight w:val="none"/>
          <w14:textFill>
            <w14:solidFill>
              <w14:schemeClr w14:val="tx1"/>
            </w14:solidFill>
          </w14:textFill>
        </w:rPr>
      </w:pPr>
    </w:p>
    <w:p w14:paraId="3EB63064">
      <w:pPr>
        <w:spacing w:after="156" w:afterLines="50" w:line="360" w:lineRule="auto"/>
        <w:jc w:val="center"/>
        <w:outlineLvl w:val="0"/>
        <w:rPr>
          <w:rFonts w:hint="eastAsia" w:ascii="宋体" w:hAnsi="宋体" w:eastAsia="宋体" w:cs="宋体"/>
          <w:b/>
          <w:bCs/>
          <w:color w:val="000000" w:themeColor="text1"/>
          <w:sz w:val="36"/>
          <w:szCs w:val="36"/>
          <w:highlight w:val="none"/>
          <w14:textFill>
            <w14:solidFill>
              <w14:schemeClr w14:val="tx1"/>
            </w14:solidFill>
          </w14:textFill>
        </w:rPr>
      </w:pPr>
    </w:p>
    <w:p w14:paraId="50AF5D67">
      <w:pPr>
        <w:spacing w:after="156" w:afterLines="50" w:line="360" w:lineRule="auto"/>
        <w:jc w:val="center"/>
        <w:outlineLvl w:val="0"/>
        <w:rPr>
          <w:rFonts w:hint="eastAsia" w:ascii="宋体" w:hAnsi="宋体" w:eastAsia="宋体" w:cs="宋体"/>
          <w:b/>
          <w:bCs/>
          <w:color w:val="000000" w:themeColor="text1"/>
          <w:sz w:val="36"/>
          <w:szCs w:val="36"/>
          <w:highlight w:val="none"/>
          <w14:textFill>
            <w14:solidFill>
              <w14:schemeClr w14:val="tx1"/>
            </w14:solidFill>
          </w14:textFill>
        </w:rPr>
      </w:pPr>
    </w:p>
    <w:p w14:paraId="75F63AF6">
      <w:pPr>
        <w:spacing w:after="156" w:afterLines="50" w:line="360" w:lineRule="auto"/>
        <w:jc w:val="center"/>
        <w:outlineLvl w:val="0"/>
        <w:rPr>
          <w:rFonts w:hint="eastAsia" w:ascii="宋体" w:hAnsi="宋体" w:eastAsia="宋体" w:cs="宋体"/>
          <w:b/>
          <w:bCs/>
          <w:color w:val="000000" w:themeColor="text1"/>
          <w:sz w:val="36"/>
          <w:szCs w:val="36"/>
          <w:highlight w:val="none"/>
          <w14:textFill>
            <w14:solidFill>
              <w14:schemeClr w14:val="tx1"/>
            </w14:solidFill>
          </w14:textFill>
        </w:rPr>
      </w:pPr>
    </w:p>
    <w:p w14:paraId="7CF14D7D">
      <w:pPr>
        <w:spacing w:after="156" w:afterLines="50" w:line="360" w:lineRule="auto"/>
        <w:jc w:val="center"/>
        <w:outlineLvl w:val="0"/>
        <w:rPr>
          <w:rFonts w:hint="eastAsia" w:ascii="宋体" w:hAnsi="宋体" w:eastAsia="宋体" w:cs="宋体"/>
          <w:b/>
          <w:bCs/>
          <w:color w:val="000000" w:themeColor="text1"/>
          <w:sz w:val="36"/>
          <w:szCs w:val="36"/>
          <w:highlight w:val="none"/>
          <w14:textFill>
            <w14:solidFill>
              <w14:schemeClr w14:val="tx1"/>
            </w14:solidFill>
          </w14:textFill>
        </w:rPr>
      </w:pPr>
    </w:p>
    <w:p w14:paraId="5302296A">
      <w:pPr>
        <w:spacing w:after="156" w:afterLines="50" w:line="360" w:lineRule="auto"/>
        <w:jc w:val="center"/>
        <w:outlineLvl w:val="0"/>
        <w:rPr>
          <w:rFonts w:hint="eastAsia" w:ascii="宋体" w:hAnsi="宋体" w:eastAsia="宋体" w:cs="宋体"/>
          <w:b/>
          <w:bCs/>
          <w:color w:val="000000" w:themeColor="text1"/>
          <w:sz w:val="36"/>
          <w:szCs w:val="36"/>
          <w:highlight w:val="none"/>
          <w14:textFill>
            <w14:solidFill>
              <w14:schemeClr w14:val="tx1"/>
            </w14:solidFill>
          </w14:textFill>
        </w:rPr>
      </w:pPr>
    </w:p>
    <w:p w14:paraId="792D5DAE">
      <w:pPr>
        <w:spacing w:after="156" w:afterLines="50" w:line="360" w:lineRule="auto"/>
        <w:jc w:val="center"/>
        <w:outlineLvl w:val="0"/>
        <w:rPr>
          <w:rFonts w:hint="eastAsia" w:ascii="宋体" w:hAnsi="宋体" w:eastAsia="宋体" w:cs="宋体"/>
          <w:b/>
          <w:bCs/>
          <w:color w:val="000000" w:themeColor="text1"/>
          <w:sz w:val="36"/>
          <w:szCs w:val="36"/>
          <w:highlight w:val="none"/>
          <w14:textFill>
            <w14:solidFill>
              <w14:schemeClr w14:val="tx1"/>
            </w14:solidFill>
          </w14:textFill>
        </w:rPr>
      </w:pPr>
    </w:p>
    <w:p w14:paraId="56C2E0C2">
      <w:pPr>
        <w:spacing w:after="156" w:afterLines="50" w:line="360" w:lineRule="auto"/>
        <w:jc w:val="both"/>
        <w:outlineLvl w:val="0"/>
        <w:rPr>
          <w:rFonts w:hint="eastAsia" w:ascii="宋体" w:hAnsi="宋体" w:eastAsia="宋体" w:cs="宋体"/>
          <w:b/>
          <w:bCs/>
          <w:color w:val="000000" w:themeColor="text1"/>
          <w:sz w:val="36"/>
          <w:szCs w:val="36"/>
          <w:highlight w:val="none"/>
          <w14:textFill>
            <w14:solidFill>
              <w14:schemeClr w14:val="tx1"/>
            </w14:solidFill>
          </w14:textFill>
        </w:rPr>
      </w:pPr>
    </w:p>
    <w:p w14:paraId="358CA6B2">
      <w:pPr>
        <w:spacing w:after="156" w:afterLines="50" w:line="360" w:lineRule="auto"/>
        <w:jc w:val="center"/>
        <w:outlineLvl w:val="0"/>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第</w:t>
      </w:r>
      <w:r>
        <w:rPr>
          <w:rFonts w:hint="eastAsia" w:ascii="宋体" w:hAnsi="宋体" w:eastAsia="宋体" w:cs="宋体"/>
          <w:b/>
          <w:bCs/>
          <w:color w:val="000000" w:themeColor="text1"/>
          <w:sz w:val="36"/>
          <w:szCs w:val="36"/>
          <w:highlight w:val="none"/>
          <w:lang w:eastAsia="zh-CN"/>
          <w14:textFill>
            <w14:solidFill>
              <w14:schemeClr w14:val="tx1"/>
            </w14:solidFill>
          </w14:textFill>
        </w:rPr>
        <w:t>四</w:t>
      </w:r>
      <w:r>
        <w:rPr>
          <w:rFonts w:hint="eastAsia" w:ascii="宋体" w:hAnsi="宋体" w:eastAsia="宋体" w:cs="宋体"/>
          <w:b/>
          <w:bCs/>
          <w:color w:val="000000" w:themeColor="text1"/>
          <w:sz w:val="36"/>
          <w:szCs w:val="36"/>
          <w:highlight w:val="none"/>
          <w14:textFill>
            <w14:solidFill>
              <w14:schemeClr w14:val="tx1"/>
            </w14:solidFill>
          </w14:textFill>
        </w:rPr>
        <w:t>章  评</w:t>
      </w:r>
      <w:r>
        <w:rPr>
          <w:rFonts w:hint="eastAsia" w:ascii="宋体" w:hAnsi="宋体" w:eastAsia="宋体" w:cs="宋体"/>
          <w:b/>
          <w:bCs/>
          <w:color w:val="000000" w:themeColor="text1"/>
          <w:sz w:val="36"/>
          <w:szCs w:val="36"/>
          <w:highlight w:val="none"/>
          <w:lang w:eastAsia="zh-CN"/>
          <w14:textFill>
            <w14:solidFill>
              <w14:schemeClr w14:val="tx1"/>
            </w14:solidFill>
          </w14:textFill>
        </w:rPr>
        <w:t>审</w:t>
      </w:r>
      <w:r>
        <w:rPr>
          <w:rFonts w:hint="eastAsia" w:ascii="宋体" w:hAnsi="宋体" w:eastAsia="宋体" w:cs="宋体"/>
          <w:b/>
          <w:bCs/>
          <w:color w:val="000000" w:themeColor="text1"/>
          <w:sz w:val="36"/>
          <w:szCs w:val="36"/>
          <w:highlight w:val="none"/>
          <w14:textFill>
            <w14:solidFill>
              <w14:schemeClr w14:val="tx1"/>
            </w14:solidFill>
          </w14:textFill>
        </w:rPr>
        <w:t>办法</w:t>
      </w:r>
      <w:bookmarkEnd w:id="221"/>
      <w:bookmarkEnd w:id="222"/>
      <w:bookmarkEnd w:id="223"/>
      <w:bookmarkEnd w:id="224"/>
      <w:bookmarkEnd w:id="225"/>
      <w:bookmarkEnd w:id="226"/>
      <w:bookmarkEnd w:id="227"/>
      <w:bookmarkEnd w:id="228"/>
      <w:bookmarkEnd w:id="229"/>
      <w:bookmarkEnd w:id="230"/>
      <w:bookmarkEnd w:id="231"/>
      <w:bookmarkEnd w:id="233"/>
    </w:p>
    <w:p w14:paraId="0382F3D4">
      <w:pPr>
        <w:spacing w:after="156" w:afterLines="50" w:line="360" w:lineRule="auto"/>
        <w:ind w:firstLine="560" w:firstLineChars="200"/>
        <w:outlineLvl w:val="2"/>
        <w:rPr>
          <w:rFonts w:hint="eastAsia" w:ascii="宋体" w:hAnsi="宋体" w:eastAsia="宋体" w:cs="宋体"/>
          <w:color w:val="000000" w:themeColor="text1"/>
          <w:sz w:val="28"/>
          <w:szCs w:val="28"/>
          <w:highlight w:val="none"/>
          <w:lang w:eastAsia="zh-CN"/>
          <w14:textFill>
            <w14:solidFill>
              <w14:schemeClr w14:val="tx1"/>
            </w14:solidFill>
          </w14:textFill>
        </w:rPr>
      </w:pPr>
      <w:bookmarkStart w:id="237" w:name="_Toc494455918"/>
      <w:bookmarkStart w:id="238" w:name="_Toc1132"/>
      <w:bookmarkStart w:id="239" w:name="_Toc12784"/>
      <w:bookmarkStart w:id="240" w:name="_Toc3576"/>
      <w:bookmarkStart w:id="241" w:name="_Toc7466"/>
      <w:bookmarkStart w:id="242" w:name="_Toc13049"/>
      <w:bookmarkStart w:id="243" w:name="_Toc20703"/>
      <w:bookmarkStart w:id="244" w:name="_Toc13470"/>
      <w:bookmarkStart w:id="245" w:name="_Toc10799"/>
      <w:bookmarkStart w:id="246" w:name="_Toc8060"/>
      <w:r>
        <w:rPr>
          <w:rFonts w:hint="eastAsia" w:ascii="宋体" w:hAnsi="宋体" w:eastAsia="宋体" w:cs="宋体"/>
          <w:color w:val="000000" w:themeColor="text1"/>
          <w:sz w:val="28"/>
          <w:szCs w:val="28"/>
          <w:highlight w:val="none"/>
          <w:lang w:val="en-US" w:eastAsia="zh-CN"/>
          <w14:textFill>
            <w14:solidFill>
              <w14:schemeClr w14:val="tx1"/>
            </w14:solidFill>
          </w14:textFill>
        </w:rPr>
        <w:t>1</w:t>
      </w:r>
      <w:r>
        <w:rPr>
          <w:rFonts w:hint="eastAsia" w:ascii="宋体" w:hAnsi="宋体" w:eastAsia="宋体" w:cs="宋体"/>
          <w:color w:val="000000" w:themeColor="text1"/>
          <w:sz w:val="28"/>
          <w:szCs w:val="28"/>
          <w:highlight w:val="none"/>
          <w14:textFill>
            <w14:solidFill>
              <w14:schemeClr w14:val="tx1"/>
            </w14:solidFill>
          </w14:textFill>
        </w:rPr>
        <w:t>.评</w:t>
      </w:r>
      <w:bookmarkEnd w:id="237"/>
      <w:r>
        <w:rPr>
          <w:rFonts w:hint="eastAsia" w:ascii="宋体" w:hAnsi="宋体" w:eastAsia="宋体" w:cs="宋体"/>
          <w:color w:val="000000" w:themeColor="text1"/>
          <w:sz w:val="28"/>
          <w:szCs w:val="28"/>
          <w:highlight w:val="none"/>
          <w:lang w:eastAsia="zh-CN"/>
          <w14:textFill>
            <w14:solidFill>
              <w14:schemeClr w14:val="tx1"/>
            </w14:solidFill>
          </w14:textFill>
        </w:rPr>
        <w:t>审附表</w:t>
      </w:r>
      <w:bookmarkEnd w:id="238"/>
      <w:bookmarkEnd w:id="239"/>
      <w:bookmarkEnd w:id="240"/>
      <w:bookmarkEnd w:id="241"/>
      <w:bookmarkEnd w:id="242"/>
      <w:bookmarkEnd w:id="243"/>
      <w:bookmarkEnd w:id="244"/>
      <w:bookmarkEnd w:id="245"/>
      <w:bookmarkEnd w:id="246"/>
    </w:p>
    <w:p w14:paraId="66870FFE">
      <w:pPr>
        <w:spacing w:after="156" w:afterLines="50"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color w:val="000000" w:themeColor="text1"/>
          <w:sz w:val="24"/>
          <w:szCs w:val="24"/>
          <w:highlight w:val="none"/>
          <w14:textFill>
            <w14:solidFill>
              <w14:schemeClr w14:val="tx1"/>
            </w14:solidFill>
          </w14:textFill>
        </w:rPr>
        <w:t>资格审查</w:t>
      </w:r>
    </w:p>
    <w:tbl>
      <w:tblPr>
        <w:tblStyle w:val="23"/>
        <w:tblpPr w:leftFromText="180" w:rightFromText="180" w:vertAnchor="text" w:horzAnchor="page" w:tblpX="1310" w:tblpY="178"/>
        <w:tblOverlap w:val="never"/>
        <w:tblW w:w="917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0"/>
        <w:gridCol w:w="4613"/>
        <w:gridCol w:w="1384"/>
        <w:gridCol w:w="1366"/>
        <w:gridCol w:w="1260"/>
      </w:tblGrid>
      <w:tr w14:paraId="0ECD04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550" w:type="dxa"/>
            <w:vMerge w:val="restart"/>
            <w:tcBorders>
              <w:bottom w:val="nil"/>
            </w:tcBorders>
            <w:noWrap w:val="0"/>
            <w:vAlign w:val="center"/>
          </w:tcPr>
          <w:p w14:paraId="3D664432">
            <w:pPr>
              <w:spacing w:before="78" w:line="221" w:lineRule="auto"/>
              <w:jc w:val="center"/>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5"/>
                <w:sz w:val="24"/>
                <w:szCs w:val="24"/>
                <w:highlight w:val="none"/>
                <w14:textFill>
                  <w14:solidFill>
                    <w14:schemeClr w14:val="tx1"/>
                  </w14:solidFill>
                </w14:textFill>
              </w:rPr>
              <w:t>序号</w:t>
            </w:r>
          </w:p>
        </w:tc>
        <w:tc>
          <w:tcPr>
            <w:tcW w:w="4613" w:type="dxa"/>
            <w:vMerge w:val="restart"/>
            <w:tcBorders>
              <w:bottom w:val="nil"/>
            </w:tcBorders>
            <w:noWrap w:val="0"/>
            <w:vAlign w:val="top"/>
          </w:tcPr>
          <w:p w14:paraId="4BA0DBDC">
            <w:pPr>
              <w:spacing w:before="217"/>
              <w:ind w:left="1667"/>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2"/>
                <w:sz w:val="24"/>
                <w:szCs w:val="24"/>
                <w:highlight w:val="none"/>
                <w14:textFill>
                  <w14:solidFill>
                    <w14:schemeClr w14:val="tx1"/>
                  </w14:solidFill>
                </w14:textFill>
              </w:rPr>
              <w:t>投标文件审查及响应性</w:t>
            </w:r>
          </w:p>
          <w:p w14:paraId="1ED9D85D">
            <w:pPr>
              <w:spacing w:line="219" w:lineRule="auto"/>
              <w:ind w:left="1376"/>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2"/>
                <w:sz w:val="24"/>
                <w:szCs w:val="24"/>
                <w:highlight w:val="none"/>
                <w14:textFill>
                  <w14:solidFill>
                    <w14:schemeClr w14:val="tx1"/>
                  </w14:solidFill>
                </w14:textFill>
              </w:rPr>
              <w:t>（评审结果为合格/不合格）</w:t>
            </w:r>
          </w:p>
        </w:tc>
        <w:tc>
          <w:tcPr>
            <w:tcW w:w="1384" w:type="dxa"/>
            <w:noWrap w:val="0"/>
            <w:vAlign w:val="top"/>
          </w:tcPr>
          <w:p w14:paraId="5B441489">
            <w:pPr>
              <w:spacing w:before="70" w:line="219" w:lineRule="auto"/>
              <w:ind w:left="80"/>
              <w:rPr>
                <w:rFonts w:hint="eastAsia" w:ascii="宋体" w:hAnsi="宋体" w:eastAsia="宋体" w:cs="宋体"/>
                <w:i w:val="0"/>
                <w:iCs w:val="0"/>
                <w:color w:val="000000" w:themeColor="text1"/>
                <w:spacing w:val="-4"/>
                <w:sz w:val="28"/>
                <w:szCs w:val="28"/>
                <w:highlight w:val="none"/>
                <w14:textFill>
                  <w14:solidFill>
                    <w14:schemeClr w14:val="tx1"/>
                  </w14:solidFill>
                </w14:textFill>
              </w:rPr>
            </w:pPr>
            <w:r>
              <w:rPr>
                <w:rFonts w:hint="eastAsia" w:ascii="宋体" w:hAnsi="宋体" w:eastAsia="宋体" w:cs="宋体"/>
                <w:i w:val="0"/>
                <w:iCs w:val="0"/>
                <w:color w:val="000000" w:themeColor="text1"/>
                <w:spacing w:val="-4"/>
                <w:sz w:val="28"/>
                <w:szCs w:val="28"/>
                <w:highlight w:val="none"/>
                <w14:textFill>
                  <w14:solidFill>
                    <w14:schemeClr w14:val="tx1"/>
                  </w14:solidFill>
                </w14:textFill>
              </w:rPr>
              <w:t>投标人 1</w:t>
            </w:r>
          </w:p>
        </w:tc>
        <w:tc>
          <w:tcPr>
            <w:tcW w:w="1366" w:type="dxa"/>
            <w:noWrap w:val="0"/>
            <w:vAlign w:val="top"/>
          </w:tcPr>
          <w:p w14:paraId="540C9312">
            <w:pPr>
              <w:spacing w:before="70" w:line="219" w:lineRule="auto"/>
              <w:ind w:left="80"/>
              <w:rPr>
                <w:rFonts w:hint="eastAsia" w:ascii="宋体" w:hAnsi="宋体" w:eastAsia="宋体" w:cs="宋体"/>
                <w:i w:val="0"/>
                <w:iCs w:val="0"/>
                <w:color w:val="000000" w:themeColor="text1"/>
                <w:spacing w:val="-4"/>
                <w:sz w:val="28"/>
                <w:szCs w:val="28"/>
                <w:highlight w:val="none"/>
                <w14:textFill>
                  <w14:solidFill>
                    <w14:schemeClr w14:val="tx1"/>
                  </w14:solidFill>
                </w14:textFill>
              </w:rPr>
            </w:pPr>
            <w:r>
              <w:rPr>
                <w:rFonts w:hint="eastAsia" w:ascii="宋体" w:hAnsi="宋体" w:eastAsia="宋体" w:cs="宋体"/>
                <w:i w:val="0"/>
                <w:iCs w:val="0"/>
                <w:color w:val="000000" w:themeColor="text1"/>
                <w:spacing w:val="-4"/>
                <w:sz w:val="28"/>
                <w:szCs w:val="28"/>
                <w:highlight w:val="none"/>
                <w14:textFill>
                  <w14:solidFill>
                    <w14:schemeClr w14:val="tx1"/>
                  </w14:solidFill>
                </w14:textFill>
              </w:rPr>
              <w:t>投标人 2</w:t>
            </w:r>
          </w:p>
        </w:tc>
        <w:tc>
          <w:tcPr>
            <w:tcW w:w="1260" w:type="dxa"/>
            <w:noWrap w:val="0"/>
            <w:vAlign w:val="top"/>
          </w:tcPr>
          <w:p w14:paraId="059CC38E">
            <w:pPr>
              <w:spacing w:before="70" w:line="219" w:lineRule="auto"/>
              <w:ind w:left="80"/>
              <w:rPr>
                <w:rFonts w:hint="eastAsia" w:ascii="宋体" w:hAnsi="宋体" w:eastAsia="宋体" w:cs="宋体"/>
                <w:i w:val="0"/>
                <w:iCs w:val="0"/>
                <w:color w:val="000000" w:themeColor="text1"/>
                <w:spacing w:val="-4"/>
                <w:sz w:val="28"/>
                <w:szCs w:val="28"/>
                <w:highlight w:val="none"/>
                <w14:textFill>
                  <w14:solidFill>
                    <w14:schemeClr w14:val="tx1"/>
                  </w14:solidFill>
                </w14:textFill>
              </w:rPr>
            </w:pPr>
            <w:r>
              <w:rPr>
                <w:rFonts w:hint="eastAsia" w:ascii="宋体" w:hAnsi="宋体" w:eastAsia="宋体" w:cs="宋体"/>
                <w:i w:val="0"/>
                <w:iCs w:val="0"/>
                <w:color w:val="000000" w:themeColor="text1"/>
                <w:spacing w:val="-4"/>
                <w:sz w:val="28"/>
                <w:szCs w:val="28"/>
                <w:highlight w:val="none"/>
                <w14:textFill>
                  <w14:solidFill>
                    <w14:schemeClr w14:val="tx1"/>
                  </w14:solidFill>
                </w14:textFill>
              </w:rPr>
              <w:t>投标人 3</w:t>
            </w:r>
          </w:p>
        </w:tc>
      </w:tr>
      <w:tr w14:paraId="60FEE5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550" w:type="dxa"/>
            <w:vMerge w:val="continue"/>
            <w:tcBorders>
              <w:top w:val="nil"/>
              <w:bottom w:val="single" w:color="auto" w:sz="4" w:space="0"/>
            </w:tcBorders>
            <w:noWrap w:val="0"/>
            <w:vAlign w:val="top"/>
          </w:tcPr>
          <w:p w14:paraId="453C70A7">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4613" w:type="dxa"/>
            <w:vMerge w:val="continue"/>
            <w:tcBorders>
              <w:top w:val="nil"/>
            </w:tcBorders>
            <w:noWrap w:val="0"/>
            <w:vAlign w:val="top"/>
          </w:tcPr>
          <w:p w14:paraId="069658D7">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1384" w:type="dxa"/>
            <w:noWrap w:val="0"/>
            <w:vAlign w:val="top"/>
          </w:tcPr>
          <w:p w14:paraId="6967409F">
            <w:pPr>
              <w:spacing w:before="70" w:line="219" w:lineRule="auto"/>
              <w:ind w:left="80"/>
              <w:rPr>
                <w:rFonts w:hint="eastAsia" w:ascii="宋体" w:hAnsi="宋体" w:eastAsia="宋体" w:cs="宋体"/>
                <w:i w:val="0"/>
                <w:iCs w:val="0"/>
                <w:color w:val="000000" w:themeColor="text1"/>
                <w:spacing w:val="-4"/>
                <w:sz w:val="28"/>
                <w:szCs w:val="28"/>
                <w:highlight w:val="none"/>
                <w14:textFill>
                  <w14:solidFill>
                    <w14:schemeClr w14:val="tx1"/>
                  </w14:solidFill>
                </w14:textFill>
              </w:rPr>
            </w:pPr>
            <w:r>
              <w:rPr>
                <w:rFonts w:hint="eastAsia" w:ascii="宋体" w:hAnsi="宋体" w:eastAsia="宋体" w:cs="宋体"/>
                <w:i w:val="0"/>
                <w:iCs w:val="0"/>
                <w:color w:val="000000" w:themeColor="text1"/>
                <w:spacing w:val="-4"/>
                <w:sz w:val="28"/>
                <w:szCs w:val="28"/>
                <w:highlight w:val="none"/>
                <w14:textFill>
                  <w14:solidFill>
                    <w14:schemeClr w14:val="tx1"/>
                  </w14:solidFill>
                </w14:textFill>
              </w:rPr>
              <w:t>是否合格</w:t>
            </w:r>
          </w:p>
        </w:tc>
        <w:tc>
          <w:tcPr>
            <w:tcW w:w="1366" w:type="dxa"/>
            <w:noWrap w:val="0"/>
            <w:vAlign w:val="top"/>
          </w:tcPr>
          <w:p w14:paraId="45456F1B">
            <w:pPr>
              <w:spacing w:before="70" w:line="219" w:lineRule="auto"/>
              <w:ind w:left="80"/>
              <w:rPr>
                <w:rFonts w:hint="eastAsia" w:ascii="宋体" w:hAnsi="宋体" w:eastAsia="宋体" w:cs="宋体"/>
                <w:i w:val="0"/>
                <w:iCs w:val="0"/>
                <w:color w:val="000000" w:themeColor="text1"/>
                <w:spacing w:val="-4"/>
                <w:sz w:val="28"/>
                <w:szCs w:val="28"/>
                <w:highlight w:val="none"/>
                <w14:textFill>
                  <w14:solidFill>
                    <w14:schemeClr w14:val="tx1"/>
                  </w14:solidFill>
                </w14:textFill>
              </w:rPr>
            </w:pPr>
            <w:r>
              <w:rPr>
                <w:rFonts w:hint="eastAsia" w:ascii="宋体" w:hAnsi="宋体" w:eastAsia="宋体" w:cs="宋体"/>
                <w:i w:val="0"/>
                <w:iCs w:val="0"/>
                <w:color w:val="000000" w:themeColor="text1"/>
                <w:spacing w:val="-4"/>
                <w:sz w:val="28"/>
                <w:szCs w:val="28"/>
                <w:highlight w:val="none"/>
                <w14:textFill>
                  <w14:solidFill>
                    <w14:schemeClr w14:val="tx1"/>
                  </w14:solidFill>
                </w14:textFill>
              </w:rPr>
              <w:t>是否合格</w:t>
            </w:r>
          </w:p>
        </w:tc>
        <w:tc>
          <w:tcPr>
            <w:tcW w:w="1260" w:type="dxa"/>
            <w:noWrap w:val="0"/>
            <w:vAlign w:val="top"/>
          </w:tcPr>
          <w:p w14:paraId="5ADF1611">
            <w:pPr>
              <w:spacing w:before="70" w:line="219" w:lineRule="auto"/>
              <w:ind w:left="80"/>
              <w:rPr>
                <w:rFonts w:hint="eastAsia" w:ascii="宋体" w:hAnsi="宋体" w:eastAsia="宋体" w:cs="宋体"/>
                <w:i w:val="0"/>
                <w:iCs w:val="0"/>
                <w:color w:val="000000" w:themeColor="text1"/>
                <w:spacing w:val="-4"/>
                <w:sz w:val="28"/>
                <w:szCs w:val="28"/>
                <w:highlight w:val="none"/>
                <w14:textFill>
                  <w14:solidFill>
                    <w14:schemeClr w14:val="tx1"/>
                  </w14:solidFill>
                </w14:textFill>
              </w:rPr>
            </w:pPr>
            <w:r>
              <w:rPr>
                <w:rFonts w:hint="eastAsia" w:ascii="宋体" w:hAnsi="宋体" w:eastAsia="宋体" w:cs="宋体"/>
                <w:i w:val="0"/>
                <w:iCs w:val="0"/>
                <w:color w:val="000000" w:themeColor="text1"/>
                <w:spacing w:val="-4"/>
                <w:sz w:val="28"/>
                <w:szCs w:val="28"/>
                <w:highlight w:val="none"/>
                <w14:textFill>
                  <w14:solidFill>
                    <w14:schemeClr w14:val="tx1"/>
                  </w14:solidFill>
                </w14:textFill>
              </w:rPr>
              <w:t>是否合格</w:t>
            </w:r>
          </w:p>
        </w:tc>
      </w:tr>
      <w:tr w14:paraId="75DF64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550" w:type="dxa"/>
            <w:tcBorders>
              <w:top w:val="single" w:color="auto" w:sz="4" w:space="0"/>
              <w:left w:val="single" w:color="auto" w:sz="4" w:space="0"/>
              <w:bottom w:val="single" w:color="auto" w:sz="4" w:space="0"/>
              <w:right w:val="single" w:color="auto" w:sz="4" w:space="0"/>
            </w:tcBorders>
            <w:noWrap w:val="0"/>
            <w:vAlign w:val="center"/>
          </w:tcPr>
          <w:p w14:paraId="449772AB">
            <w:pPr>
              <w:spacing w:before="78" w:line="184" w:lineRule="auto"/>
              <w:jc w:val="cente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1</w:t>
            </w:r>
          </w:p>
        </w:tc>
        <w:tc>
          <w:tcPr>
            <w:tcW w:w="4613" w:type="dxa"/>
            <w:tcBorders>
              <w:left w:val="single" w:color="auto" w:sz="4" w:space="0"/>
            </w:tcBorders>
            <w:noWrap w:val="0"/>
            <w:vAlign w:val="top"/>
          </w:tcPr>
          <w:p w14:paraId="4D5519D1">
            <w:pPr>
              <w:spacing w:line="207" w:lineRule="auto"/>
              <w:ind w:left="29"/>
              <w:jc w:val="left"/>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color w:val="000000"/>
                <w:kern w:val="0"/>
                <w:sz w:val="24"/>
                <w:szCs w:val="24"/>
                <w:lang w:val="en-US" w:eastAsia="zh-CN" w:bidi="ar"/>
              </w:rPr>
              <w:t>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tc>
        <w:tc>
          <w:tcPr>
            <w:tcW w:w="1384" w:type="dxa"/>
            <w:noWrap w:val="0"/>
            <w:vAlign w:val="top"/>
          </w:tcPr>
          <w:p w14:paraId="7E9786BC">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1366" w:type="dxa"/>
            <w:noWrap w:val="0"/>
            <w:vAlign w:val="top"/>
          </w:tcPr>
          <w:p w14:paraId="156E5F05">
            <w:pPr>
              <w:rPr>
                <w:rFonts w:hint="eastAsia" w:ascii="宋体" w:hAnsi="宋体" w:eastAsia="宋体" w:cs="宋体"/>
                <w:i w:val="0"/>
                <w:iCs w:val="0"/>
                <w:color w:val="000000" w:themeColor="text1"/>
                <w:sz w:val="28"/>
                <w:szCs w:val="28"/>
                <w:highlight w:val="none"/>
                <w14:textFill>
                  <w14:solidFill>
                    <w14:schemeClr w14:val="tx1"/>
                  </w14:solidFill>
                </w14:textFill>
              </w:rPr>
            </w:pPr>
          </w:p>
        </w:tc>
        <w:tc>
          <w:tcPr>
            <w:tcW w:w="1260" w:type="dxa"/>
            <w:noWrap w:val="0"/>
            <w:vAlign w:val="top"/>
          </w:tcPr>
          <w:p w14:paraId="50B0B04E">
            <w:pPr>
              <w:rPr>
                <w:rFonts w:hint="eastAsia" w:ascii="宋体" w:hAnsi="宋体" w:eastAsia="宋体" w:cs="宋体"/>
                <w:i w:val="0"/>
                <w:iCs w:val="0"/>
                <w:color w:val="000000" w:themeColor="text1"/>
                <w:sz w:val="28"/>
                <w:szCs w:val="28"/>
                <w:highlight w:val="none"/>
                <w14:textFill>
                  <w14:solidFill>
                    <w14:schemeClr w14:val="tx1"/>
                  </w14:solidFill>
                </w14:textFill>
              </w:rPr>
            </w:pPr>
          </w:p>
        </w:tc>
      </w:tr>
      <w:tr w14:paraId="383C32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550" w:type="dxa"/>
            <w:tcBorders>
              <w:top w:val="single" w:color="auto" w:sz="4" w:space="0"/>
              <w:left w:val="single" w:color="auto" w:sz="4" w:space="0"/>
              <w:bottom w:val="single" w:color="auto" w:sz="4" w:space="0"/>
              <w:right w:val="single" w:color="auto" w:sz="4" w:space="0"/>
            </w:tcBorders>
            <w:noWrap w:val="0"/>
            <w:vAlign w:val="center"/>
          </w:tcPr>
          <w:p w14:paraId="287FE88A">
            <w:pPr>
              <w:spacing w:before="92" w:line="183" w:lineRule="auto"/>
              <w:jc w:val="cente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2</w:t>
            </w:r>
          </w:p>
        </w:tc>
        <w:tc>
          <w:tcPr>
            <w:tcW w:w="4613" w:type="dxa"/>
            <w:tcBorders>
              <w:left w:val="single" w:color="auto" w:sz="4" w:space="0"/>
            </w:tcBorders>
            <w:noWrap w:val="0"/>
            <w:vAlign w:val="top"/>
          </w:tcPr>
          <w:p w14:paraId="2A815638">
            <w:pPr>
              <w:spacing w:before="55" w:line="219" w:lineRule="auto"/>
              <w:ind w:left="20"/>
              <w:jc w:val="left"/>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cs="宋体"/>
                <w:i w:val="0"/>
                <w:iCs w:val="0"/>
                <w:color w:val="000000" w:themeColor="text1"/>
                <w:spacing w:val="-2"/>
                <w:sz w:val="24"/>
                <w:szCs w:val="24"/>
                <w:highlight w:val="none"/>
                <w:lang w:val="en-US" w:eastAsia="zh-CN"/>
                <w14:textFill>
                  <w14:solidFill>
                    <w14:schemeClr w14:val="tx1"/>
                  </w14:solidFill>
                </w14:textFill>
              </w:rPr>
              <w:t>法定代表人的需提供法定代表人证明书（须附法人身份证复印件正反面）或委托代理人需提供法定代表人授权委托书（授权书需附法人身份证复印件及委托人身份证复印件正反面）</w:t>
            </w:r>
          </w:p>
        </w:tc>
        <w:tc>
          <w:tcPr>
            <w:tcW w:w="1384" w:type="dxa"/>
            <w:noWrap w:val="0"/>
            <w:vAlign w:val="top"/>
          </w:tcPr>
          <w:p w14:paraId="049F18AF">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1366" w:type="dxa"/>
            <w:noWrap w:val="0"/>
            <w:vAlign w:val="top"/>
          </w:tcPr>
          <w:p w14:paraId="4F9D397B">
            <w:pPr>
              <w:rPr>
                <w:rFonts w:hint="eastAsia" w:ascii="宋体" w:hAnsi="宋体" w:eastAsia="宋体" w:cs="宋体"/>
                <w:i w:val="0"/>
                <w:iCs w:val="0"/>
                <w:color w:val="000000" w:themeColor="text1"/>
                <w:sz w:val="28"/>
                <w:szCs w:val="28"/>
                <w:highlight w:val="none"/>
                <w14:textFill>
                  <w14:solidFill>
                    <w14:schemeClr w14:val="tx1"/>
                  </w14:solidFill>
                </w14:textFill>
              </w:rPr>
            </w:pPr>
          </w:p>
        </w:tc>
        <w:tc>
          <w:tcPr>
            <w:tcW w:w="1260" w:type="dxa"/>
            <w:noWrap w:val="0"/>
            <w:vAlign w:val="top"/>
          </w:tcPr>
          <w:p w14:paraId="05B725CE">
            <w:pPr>
              <w:rPr>
                <w:rFonts w:hint="eastAsia" w:ascii="宋体" w:hAnsi="宋体" w:eastAsia="宋体" w:cs="宋体"/>
                <w:i w:val="0"/>
                <w:iCs w:val="0"/>
                <w:color w:val="000000" w:themeColor="text1"/>
                <w:sz w:val="28"/>
                <w:szCs w:val="28"/>
                <w:highlight w:val="none"/>
                <w14:textFill>
                  <w14:solidFill>
                    <w14:schemeClr w14:val="tx1"/>
                  </w14:solidFill>
                </w14:textFill>
              </w:rPr>
            </w:pPr>
          </w:p>
        </w:tc>
      </w:tr>
      <w:tr w14:paraId="4558C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550" w:type="dxa"/>
            <w:tcBorders>
              <w:top w:val="single" w:color="auto" w:sz="4" w:space="0"/>
            </w:tcBorders>
            <w:noWrap w:val="0"/>
            <w:vAlign w:val="center"/>
          </w:tcPr>
          <w:p w14:paraId="05519CF4">
            <w:pPr>
              <w:spacing w:before="232" w:line="183" w:lineRule="auto"/>
              <w:jc w:val="cente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3</w:t>
            </w:r>
          </w:p>
        </w:tc>
        <w:tc>
          <w:tcPr>
            <w:tcW w:w="4613" w:type="dxa"/>
            <w:noWrap w:val="0"/>
            <w:vAlign w:val="top"/>
          </w:tcPr>
          <w:p w14:paraId="66B66987">
            <w:pPr>
              <w:spacing w:before="39" w:line="223" w:lineRule="auto"/>
              <w:ind w:left="18" w:right="12"/>
              <w:jc w:val="left"/>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1"/>
                <w:sz w:val="24"/>
                <w:szCs w:val="24"/>
                <w:highlight w:val="none"/>
                <w14:textFill>
                  <w14:solidFill>
                    <w14:schemeClr w14:val="tx1"/>
                  </w14:solidFill>
                </w14:textFill>
              </w:rPr>
              <w:t>有依法缴纳税收和社会保障资金的良好记录：提供近段时间内（连续三个月、新成立的公司按实际发生提供）的缴纳税收的完税证明或税务部门出具的纳税证明；如依法免税的，应提供相应文件证明；提供近段时间内（法人连续三个月、新成立的公司按实际发生提供）的缴纳社保证明材料加盖公章。如依法不需要缴纳社会保障资金的，应提供相应文件证明；</w:t>
            </w:r>
          </w:p>
        </w:tc>
        <w:tc>
          <w:tcPr>
            <w:tcW w:w="1384" w:type="dxa"/>
            <w:noWrap w:val="0"/>
            <w:vAlign w:val="top"/>
          </w:tcPr>
          <w:p w14:paraId="102FF723">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1366" w:type="dxa"/>
            <w:noWrap w:val="0"/>
            <w:vAlign w:val="top"/>
          </w:tcPr>
          <w:p w14:paraId="6BA5C3C9">
            <w:pPr>
              <w:rPr>
                <w:rFonts w:hint="eastAsia" w:ascii="宋体" w:hAnsi="宋体" w:eastAsia="宋体" w:cs="宋体"/>
                <w:i w:val="0"/>
                <w:iCs w:val="0"/>
                <w:color w:val="000000" w:themeColor="text1"/>
                <w:sz w:val="28"/>
                <w:szCs w:val="28"/>
                <w:highlight w:val="none"/>
                <w14:textFill>
                  <w14:solidFill>
                    <w14:schemeClr w14:val="tx1"/>
                  </w14:solidFill>
                </w14:textFill>
              </w:rPr>
            </w:pPr>
          </w:p>
        </w:tc>
        <w:tc>
          <w:tcPr>
            <w:tcW w:w="1260" w:type="dxa"/>
            <w:noWrap w:val="0"/>
            <w:vAlign w:val="top"/>
          </w:tcPr>
          <w:p w14:paraId="450318DC">
            <w:pPr>
              <w:rPr>
                <w:rFonts w:hint="eastAsia" w:ascii="宋体" w:hAnsi="宋体" w:eastAsia="宋体" w:cs="宋体"/>
                <w:i w:val="0"/>
                <w:iCs w:val="0"/>
                <w:color w:val="000000" w:themeColor="text1"/>
                <w:sz w:val="28"/>
                <w:szCs w:val="28"/>
                <w:highlight w:val="none"/>
                <w14:textFill>
                  <w14:solidFill>
                    <w14:schemeClr w14:val="tx1"/>
                  </w14:solidFill>
                </w14:textFill>
              </w:rPr>
            </w:pPr>
          </w:p>
        </w:tc>
      </w:tr>
      <w:tr w14:paraId="769554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550" w:type="dxa"/>
            <w:noWrap w:val="0"/>
            <w:vAlign w:val="center"/>
          </w:tcPr>
          <w:p w14:paraId="5BDCA51F">
            <w:pPr>
              <w:spacing w:before="78" w:line="183" w:lineRule="auto"/>
              <w:jc w:val="center"/>
              <w:rPr>
                <w:rFonts w:hint="eastAsia" w:ascii="宋体" w:hAnsi="宋体" w:eastAsia="宋体" w:cs="宋体"/>
                <w:i w:val="0"/>
                <w:iCs w:val="0"/>
                <w:color w:val="000000" w:themeColor="text1"/>
                <w:sz w:val="24"/>
                <w:szCs w:val="24"/>
                <w:highlight w:val="none"/>
                <w:lang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4</w:t>
            </w:r>
          </w:p>
        </w:tc>
        <w:tc>
          <w:tcPr>
            <w:tcW w:w="4613" w:type="dxa"/>
            <w:noWrap w:val="0"/>
            <w:vAlign w:val="top"/>
          </w:tcPr>
          <w:p w14:paraId="337A96D9">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具有良好的商业信誉和健全的财务会计制度：提供2023年由第三方审计机构出具的审计报告（2024年新成立的公司按实际发生的情况提供银行出具的资信证明）和健全的财务会计制度；</w:t>
            </w:r>
          </w:p>
        </w:tc>
        <w:tc>
          <w:tcPr>
            <w:tcW w:w="1384" w:type="dxa"/>
            <w:noWrap w:val="0"/>
            <w:vAlign w:val="top"/>
          </w:tcPr>
          <w:p w14:paraId="55274F7E">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1366" w:type="dxa"/>
            <w:noWrap w:val="0"/>
            <w:vAlign w:val="top"/>
          </w:tcPr>
          <w:p w14:paraId="7D4DB488">
            <w:pPr>
              <w:rPr>
                <w:rFonts w:hint="eastAsia" w:ascii="宋体" w:hAnsi="宋体" w:eastAsia="宋体" w:cs="宋体"/>
                <w:i w:val="0"/>
                <w:iCs w:val="0"/>
                <w:color w:val="000000" w:themeColor="text1"/>
                <w:sz w:val="28"/>
                <w:szCs w:val="28"/>
                <w:highlight w:val="none"/>
                <w14:textFill>
                  <w14:solidFill>
                    <w14:schemeClr w14:val="tx1"/>
                  </w14:solidFill>
                </w14:textFill>
              </w:rPr>
            </w:pPr>
          </w:p>
        </w:tc>
        <w:tc>
          <w:tcPr>
            <w:tcW w:w="1260" w:type="dxa"/>
            <w:noWrap w:val="0"/>
            <w:vAlign w:val="top"/>
          </w:tcPr>
          <w:p w14:paraId="52BF8CDF">
            <w:pPr>
              <w:rPr>
                <w:rFonts w:hint="eastAsia" w:ascii="宋体" w:hAnsi="宋体" w:eastAsia="宋体" w:cs="宋体"/>
                <w:i w:val="0"/>
                <w:iCs w:val="0"/>
                <w:color w:val="000000" w:themeColor="text1"/>
                <w:sz w:val="28"/>
                <w:szCs w:val="28"/>
                <w:highlight w:val="none"/>
                <w14:textFill>
                  <w14:solidFill>
                    <w14:schemeClr w14:val="tx1"/>
                  </w14:solidFill>
                </w14:textFill>
              </w:rPr>
            </w:pPr>
          </w:p>
        </w:tc>
      </w:tr>
      <w:tr w14:paraId="0ED8D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550" w:type="dxa"/>
            <w:noWrap w:val="0"/>
            <w:vAlign w:val="center"/>
          </w:tcPr>
          <w:p w14:paraId="5D02AE5D">
            <w:pPr>
              <w:spacing w:before="234" w:line="182" w:lineRule="auto"/>
              <w:jc w:val="center"/>
              <w:rPr>
                <w:rFonts w:hint="eastAsia" w:ascii="宋体" w:hAnsi="宋体" w:eastAsia="宋体" w:cs="宋体"/>
                <w:i w:val="0"/>
                <w:iCs w:val="0"/>
                <w:color w:val="000000" w:themeColor="text1"/>
                <w:sz w:val="24"/>
                <w:szCs w:val="24"/>
                <w:highlight w:val="none"/>
                <w:lang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5</w:t>
            </w:r>
          </w:p>
        </w:tc>
        <w:tc>
          <w:tcPr>
            <w:tcW w:w="4613" w:type="dxa"/>
            <w:noWrap w:val="0"/>
            <w:vAlign w:val="top"/>
          </w:tcPr>
          <w:p w14:paraId="2CB5F053">
            <w:pPr>
              <w:spacing w:before="39" w:line="223" w:lineRule="auto"/>
              <w:ind w:left="29" w:right="65" w:hanging="8"/>
              <w:jc w:val="left"/>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履行合同所必需的设备和专业技术能力：提供《投标人资格声明函》；</w:t>
            </w:r>
          </w:p>
        </w:tc>
        <w:tc>
          <w:tcPr>
            <w:tcW w:w="1384" w:type="dxa"/>
            <w:noWrap w:val="0"/>
            <w:vAlign w:val="top"/>
          </w:tcPr>
          <w:p w14:paraId="6646DAA7">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1366" w:type="dxa"/>
            <w:noWrap w:val="0"/>
            <w:vAlign w:val="top"/>
          </w:tcPr>
          <w:p w14:paraId="04DB9703">
            <w:pPr>
              <w:rPr>
                <w:rFonts w:hint="eastAsia" w:ascii="宋体" w:hAnsi="宋体" w:eastAsia="宋体" w:cs="宋体"/>
                <w:i w:val="0"/>
                <w:iCs w:val="0"/>
                <w:color w:val="000000" w:themeColor="text1"/>
                <w:sz w:val="28"/>
                <w:szCs w:val="28"/>
                <w:highlight w:val="none"/>
                <w14:textFill>
                  <w14:solidFill>
                    <w14:schemeClr w14:val="tx1"/>
                  </w14:solidFill>
                </w14:textFill>
              </w:rPr>
            </w:pPr>
          </w:p>
        </w:tc>
        <w:tc>
          <w:tcPr>
            <w:tcW w:w="1260" w:type="dxa"/>
            <w:noWrap w:val="0"/>
            <w:vAlign w:val="top"/>
          </w:tcPr>
          <w:p w14:paraId="7D92150D">
            <w:pPr>
              <w:rPr>
                <w:rFonts w:hint="eastAsia" w:ascii="宋体" w:hAnsi="宋体" w:eastAsia="宋体" w:cs="宋体"/>
                <w:i w:val="0"/>
                <w:iCs w:val="0"/>
                <w:color w:val="000000" w:themeColor="text1"/>
                <w:sz w:val="28"/>
                <w:szCs w:val="28"/>
                <w:highlight w:val="none"/>
                <w14:textFill>
                  <w14:solidFill>
                    <w14:schemeClr w14:val="tx1"/>
                  </w14:solidFill>
                </w14:textFill>
              </w:rPr>
            </w:pPr>
          </w:p>
        </w:tc>
      </w:tr>
      <w:tr w14:paraId="2513C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550" w:type="dxa"/>
            <w:noWrap w:val="0"/>
            <w:vAlign w:val="center"/>
          </w:tcPr>
          <w:p w14:paraId="32FAB6E1">
            <w:pPr>
              <w:spacing w:before="78" w:line="183" w:lineRule="auto"/>
              <w:jc w:val="center"/>
              <w:rPr>
                <w:rFonts w:hint="eastAsia" w:ascii="宋体" w:hAnsi="宋体" w:eastAsia="宋体" w:cs="宋体"/>
                <w:i w:val="0"/>
                <w:iCs w:val="0"/>
                <w:color w:val="000000" w:themeColor="text1"/>
                <w:sz w:val="24"/>
                <w:szCs w:val="24"/>
                <w:highlight w:val="none"/>
                <w:lang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6</w:t>
            </w:r>
          </w:p>
        </w:tc>
        <w:tc>
          <w:tcPr>
            <w:tcW w:w="4613" w:type="dxa"/>
            <w:noWrap w:val="0"/>
            <w:vAlign w:val="top"/>
          </w:tcPr>
          <w:p w14:paraId="0D5B69A0">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c>
          <w:tcPr>
            <w:tcW w:w="1384" w:type="dxa"/>
            <w:noWrap w:val="0"/>
            <w:vAlign w:val="top"/>
          </w:tcPr>
          <w:p w14:paraId="15E0DB81">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1366" w:type="dxa"/>
            <w:noWrap w:val="0"/>
            <w:vAlign w:val="top"/>
          </w:tcPr>
          <w:p w14:paraId="7C040E49">
            <w:pPr>
              <w:rPr>
                <w:rFonts w:hint="eastAsia" w:ascii="宋体" w:hAnsi="宋体" w:eastAsia="宋体" w:cs="宋体"/>
                <w:i w:val="0"/>
                <w:iCs w:val="0"/>
                <w:color w:val="000000" w:themeColor="text1"/>
                <w:sz w:val="28"/>
                <w:szCs w:val="28"/>
                <w:highlight w:val="none"/>
                <w14:textFill>
                  <w14:solidFill>
                    <w14:schemeClr w14:val="tx1"/>
                  </w14:solidFill>
                </w14:textFill>
              </w:rPr>
            </w:pPr>
          </w:p>
        </w:tc>
        <w:tc>
          <w:tcPr>
            <w:tcW w:w="1260" w:type="dxa"/>
            <w:noWrap w:val="0"/>
            <w:vAlign w:val="top"/>
          </w:tcPr>
          <w:p w14:paraId="44ACA355">
            <w:pPr>
              <w:rPr>
                <w:rFonts w:hint="eastAsia" w:ascii="宋体" w:hAnsi="宋体" w:eastAsia="宋体" w:cs="宋体"/>
                <w:i w:val="0"/>
                <w:iCs w:val="0"/>
                <w:color w:val="000000" w:themeColor="text1"/>
                <w:sz w:val="28"/>
                <w:szCs w:val="28"/>
                <w:highlight w:val="none"/>
                <w14:textFill>
                  <w14:solidFill>
                    <w14:schemeClr w14:val="tx1"/>
                  </w14:solidFill>
                </w14:textFill>
              </w:rPr>
            </w:pPr>
          </w:p>
        </w:tc>
      </w:tr>
      <w:tr w14:paraId="3AD7A5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50" w:type="dxa"/>
            <w:noWrap w:val="0"/>
            <w:vAlign w:val="center"/>
          </w:tcPr>
          <w:p w14:paraId="69BEDC00">
            <w:pPr>
              <w:spacing w:before="78" w:line="182" w:lineRule="auto"/>
              <w:jc w:val="center"/>
              <w:rPr>
                <w:rFonts w:hint="default" w:ascii="宋体" w:hAnsi="宋体" w:cs="宋体"/>
                <w:i w:val="0"/>
                <w:iCs w:val="0"/>
                <w:color w:val="000000" w:themeColor="text1"/>
                <w:sz w:val="24"/>
                <w:szCs w:val="24"/>
                <w:highlight w:val="none"/>
                <w:lang w:val="en-US" w:eastAsia="zh-CN"/>
                <w14:textFill>
                  <w14:solidFill>
                    <w14:schemeClr w14:val="tx1"/>
                  </w14:solidFill>
                </w14:textFill>
              </w:rPr>
            </w:pPr>
            <w:r>
              <w:rPr>
                <w:rFonts w:hint="eastAsia" w:ascii="宋体" w:hAnsi="宋体" w:cs="宋体"/>
                <w:i w:val="0"/>
                <w:iCs w:val="0"/>
                <w:color w:val="000000" w:themeColor="text1"/>
                <w:sz w:val="24"/>
                <w:szCs w:val="24"/>
                <w:highlight w:val="none"/>
                <w:lang w:val="en-US" w:eastAsia="zh-CN"/>
                <w14:textFill>
                  <w14:solidFill>
                    <w14:schemeClr w14:val="tx1"/>
                  </w14:solidFill>
                </w14:textFill>
              </w:rPr>
              <w:t>7</w:t>
            </w:r>
          </w:p>
        </w:tc>
        <w:tc>
          <w:tcPr>
            <w:tcW w:w="4613" w:type="dxa"/>
            <w:noWrap w:val="0"/>
            <w:vAlign w:val="top"/>
          </w:tcPr>
          <w:p w14:paraId="2BF0044A">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i w:val="0"/>
                <w:iCs w:val="0"/>
                <w:color w:val="000000" w:themeColor="text1"/>
                <w:spacing w:val="-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近三年拟参加本次招标项目的投标人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经营异常名录的取消投标资格。</w:t>
            </w:r>
          </w:p>
        </w:tc>
        <w:tc>
          <w:tcPr>
            <w:tcW w:w="1384" w:type="dxa"/>
            <w:noWrap w:val="0"/>
            <w:vAlign w:val="top"/>
          </w:tcPr>
          <w:p w14:paraId="56539454">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1366" w:type="dxa"/>
            <w:noWrap w:val="0"/>
            <w:vAlign w:val="top"/>
          </w:tcPr>
          <w:p w14:paraId="32142A6E">
            <w:pPr>
              <w:rPr>
                <w:rFonts w:hint="eastAsia" w:ascii="宋体" w:hAnsi="宋体" w:eastAsia="宋体" w:cs="宋体"/>
                <w:i w:val="0"/>
                <w:iCs w:val="0"/>
                <w:color w:val="000000" w:themeColor="text1"/>
                <w:sz w:val="28"/>
                <w:szCs w:val="28"/>
                <w:highlight w:val="none"/>
                <w14:textFill>
                  <w14:solidFill>
                    <w14:schemeClr w14:val="tx1"/>
                  </w14:solidFill>
                </w14:textFill>
              </w:rPr>
            </w:pPr>
          </w:p>
        </w:tc>
        <w:tc>
          <w:tcPr>
            <w:tcW w:w="1260" w:type="dxa"/>
            <w:noWrap w:val="0"/>
            <w:vAlign w:val="top"/>
          </w:tcPr>
          <w:p w14:paraId="6A4E81F2">
            <w:pPr>
              <w:rPr>
                <w:rFonts w:hint="eastAsia" w:ascii="宋体" w:hAnsi="宋体" w:eastAsia="宋体" w:cs="宋体"/>
                <w:i w:val="0"/>
                <w:iCs w:val="0"/>
                <w:color w:val="000000" w:themeColor="text1"/>
                <w:sz w:val="28"/>
                <w:szCs w:val="28"/>
                <w:highlight w:val="none"/>
                <w14:textFill>
                  <w14:solidFill>
                    <w14:schemeClr w14:val="tx1"/>
                  </w14:solidFill>
                </w14:textFill>
              </w:rPr>
            </w:pPr>
          </w:p>
        </w:tc>
      </w:tr>
      <w:tr w14:paraId="062628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3" w:hRule="atLeast"/>
        </w:trPr>
        <w:tc>
          <w:tcPr>
            <w:tcW w:w="550" w:type="dxa"/>
            <w:noWrap w:val="0"/>
            <w:vAlign w:val="center"/>
          </w:tcPr>
          <w:p w14:paraId="20BDAC9F">
            <w:pPr>
              <w:spacing w:before="78" w:line="182" w:lineRule="auto"/>
              <w:jc w:val="cente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pPr>
            <w:r>
              <w:rPr>
                <w:rFonts w:hint="eastAsia" w:ascii="宋体" w:hAnsi="宋体" w:cs="宋体"/>
                <w:i w:val="0"/>
                <w:iCs w:val="0"/>
                <w:color w:val="000000" w:themeColor="text1"/>
                <w:sz w:val="24"/>
                <w:szCs w:val="24"/>
                <w:highlight w:val="none"/>
                <w:lang w:val="en-US" w:eastAsia="zh-CN"/>
                <w14:textFill>
                  <w14:solidFill>
                    <w14:schemeClr w14:val="tx1"/>
                  </w14:solidFill>
                </w14:textFill>
              </w:rPr>
              <w:t>8</w:t>
            </w:r>
          </w:p>
        </w:tc>
        <w:tc>
          <w:tcPr>
            <w:tcW w:w="4613" w:type="dxa"/>
            <w:noWrap w:val="0"/>
            <w:vAlign w:val="top"/>
          </w:tcPr>
          <w:p w14:paraId="6F19A294">
            <w:pPr>
              <w:spacing w:before="33" w:line="235" w:lineRule="auto"/>
              <w:ind w:left="18" w:right="12" w:firstLine="11"/>
              <w:jc w:val="left"/>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企业负责人为同一人或者存在直接控股、管理关系的不同投标人，不得参加同一合同项下的政府采购活动。否则，皆取消投标资格；</w:t>
            </w:r>
          </w:p>
        </w:tc>
        <w:tc>
          <w:tcPr>
            <w:tcW w:w="1384" w:type="dxa"/>
            <w:noWrap w:val="0"/>
            <w:vAlign w:val="top"/>
          </w:tcPr>
          <w:p w14:paraId="4073EF76">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1366" w:type="dxa"/>
            <w:noWrap w:val="0"/>
            <w:vAlign w:val="top"/>
          </w:tcPr>
          <w:p w14:paraId="0D8C171B">
            <w:pPr>
              <w:rPr>
                <w:rFonts w:hint="eastAsia" w:ascii="宋体" w:hAnsi="宋体" w:eastAsia="宋体" w:cs="宋体"/>
                <w:i w:val="0"/>
                <w:iCs w:val="0"/>
                <w:color w:val="000000" w:themeColor="text1"/>
                <w:sz w:val="28"/>
                <w:szCs w:val="28"/>
                <w:highlight w:val="none"/>
                <w14:textFill>
                  <w14:solidFill>
                    <w14:schemeClr w14:val="tx1"/>
                  </w14:solidFill>
                </w14:textFill>
              </w:rPr>
            </w:pPr>
          </w:p>
        </w:tc>
        <w:tc>
          <w:tcPr>
            <w:tcW w:w="1260" w:type="dxa"/>
            <w:noWrap w:val="0"/>
            <w:vAlign w:val="top"/>
          </w:tcPr>
          <w:p w14:paraId="12C4E919">
            <w:pPr>
              <w:rPr>
                <w:rFonts w:hint="eastAsia" w:ascii="宋体" w:hAnsi="宋体" w:eastAsia="宋体" w:cs="宋体"/>
                <w:i w:val="0"/>
                <w:iCs w:val="0"/>
                <w:color w:val="000000" w:themeColor="text1"/>
                <w:sz w:val="28"/>
                <w:szCs w:val="28"/>
                <w:highlight w:val="none"/>
                <w14:textFill>
                  <w14:solidFill>
                    <w14:schemeClr w14:val="tx1"/>
                  </w14:solidFill>
                </w14:textFill>
              </w:rPr>
            </w:pPr>
          </w:p>
        </w:tc>
      </w:tr>
      <w:tr w14:paraId="0899E8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550" w:type="dxa"/>
            <w:noWrap w:val="0"/>
            <w:vAlign w:val="center"/>
          </w:tcPr>
          <w:p w14:paraId="681062F4">
            <w:pPr>
              <w:spacing w:before="244" w:line="183" w:lineRule="auto"/>
              <w:jc w:val="center"/>
              <w:rPr>
                <w:rFonts w:hint="default" w:ascii="宋体" w:hAnsi="宋体" w:eastAsia="宋体" w:cs="宋体"/>
                <w:i w:val="0"/>
                <w:iCs w:val="0"/>
                <w:color w:val="000000" w:themeColor="text1"/>
                <w:sz w:val="24"/>
                <w:szCs w:val="24"/>
                <w:highlight w:val="none"/>
                <w:lang w:val="en-US" w:eastAsia="zh-CN"/>
                <w14:textFill>
                  <w14:solidFill>
                    <w14:schemeClr w14:val="tx1"/>
                  </w14:solidFill>
                </w14:textFill>
              </w:rPr>
            </w:pPr>
            <w:r>
              <w:rPr>
                <w:rFonts w:hint="eastAsia" w:ascii="宋体" w:hAnsi="宋体" w:cs="宋体"/>
                <w:i w:val="0"/>
                <w:iCs w:val="0"/>
                <w:color w:val="000000" w:themeColor="text1"/>
                <w:sz w:val="24"/>
                <w:szCs w:val="24"/>
                <w:highlight w:val="none"/>
                <w:lang w:val="en-US" w:eastAsia="zh-CN"/>
                <w14:textFill>
                  <w14:solidFill>
                    <w14:schemeClr w14:val="tx1"/>
                  </w14:solidFill>
                </w14:textFill>
              </w:rPr>
              <w:t>9</w:t>
            </w:r>
          </w:p>
        </w:tc>
        <w:tc>
          <w:tcPr>
            <w:tcW w:w="4613" w:type="dxa"/>
            <w:noWrap w:val="0"/>
            <w:vAlign w:val="top"/>
          </w:tcPr>
          <w:p w14:paraId="54F12AF4">
            <w:pPr>
              <w:spacing w:before="74" w:line="200" w:lineRule="auto"/>
              <w:ind w:left="28"/>
              <w:jc w:val="left"/>
              <w:rPr>
                <w:rFonts w:hint="eastAsia" w:ascii="宋体" w:hAnsi="宋体" w:eastAsia="宋体" w:cs="宋体"/>
                <w:i w:val="0"/>
                <w:iCs w:val="0"/>
                <w:color w:val="000000" w:themeColor="text1"/>
                <w:spacing w:val="-4"/>
                <w:sz w:val="24"/>
                <w:szCs w:val="24"/>
                <w:highlight w:val="none"/>
                <w14:textFill>
                  <w14:solidFill>
                    <w14:schemeClr w14:val="tx1"/>
                  </w14:solidFill>
                </w14:textFill>
              </w:rPr>
            </w:pPr>
            <w:r>
              <w:rPr>
                <w:rFonts w:hint="eastAsia" w:ascii="宋体" w:hAnsi="宋体" w:eastAsia="宋体" w:cs="宋体"/>
                <w:i w:val="0"/>
                <w:iCs w:val="0"/>
                <w:color w:val="000000" w:themeColor="text1"/>
                <w:spacing w:val="-1"/>
                <w:sz w:val="24"/>
                <w:szCs w:val="24"/>
                <w:highlight w:val="none"/>
                <w:lang w:val="en-US" w:eastAsia="zh-CN"/>
                <w14:textFill>
                  <w14:solidFill>
                    <w14:schemeClr w14:val="tx1"/>
                  </w14:solidFill>
                </w14:textFill>
              </w:rPr>
              <w:t>投标人须具有类似工程施工业绩的水利水电工程施工总承包</w:t>
            </w:r>
            <w:r>
              <w:rPr>
                <w:rFonts w:hint="eastAsia" w:ascii="宋体" w:hAnsi="宋体" w:cs="宋体"/>
                <w:i w:val="0"/>
                <w:iCs w:val="0"/>
                <w:color w:val="000000" w:themeColor="text1"/>
                <w:spacing w:val="-1"/>
                <w:sz w:val="24"/>
                <w:szCs w:val="24"/>
                <w:highlight w:val="none"/>
                <w:lang w:val="en-US" w:eastAsia="zh-CN"/>
                <w14:textFill>
                  <w14:solidFill>
                    <w14:schemeClr w14:val="tx1"/>
                  </w14:solidFill>
                </w14:textFill>
              </w:rPr>
              <w:t>叁</w:t>
            </w:r>
            <w:r>
              <w:rPr>
                <w:rFonts w:hint="eastAsia" w:ascii="宋体" w:hAnsi="宋体" w:eastAsia="宋体" w:cs="宋体"/>
                <w:i w:val="0"/>
                <w:iCs w:val="0"/>
                <w:color w:val="000000" w:themeColor="text1"/>
                <w:spacing w:val="-1"/>
                <w:sz w:val="24"/>
                <w:szCs w:val="24"/>
                <w:highlight w:val="none"/>
                <w:lang w:val="en-US" w:eastAsia="zh-CN"/>
                <w14:textFill>
                  <w14:solidFill>
                    <w14:schemeClr w14:val="tx1"/>
                  </w14:solidFill>
                </w14:textFill>
              </w:rPr>
              <w:t>级及以上资质，以及相关证照齐备的独立法人企业。并在人员、设备、资金等方面具有承担本项目的施工能力，无不良业绩；拟派出的项目经理应具有有效的水利水电工程专业贰级及以上注册建造师执业资格和安全生产考核合格证书（B类），水利水电相关专业中级及以上职称并具有担任项目经理的经历，不得同时在两个及以上在建工程中担任项目经理，或在另一在建项目中担任技术负责人（需提供无在建承诺书，格式自拟）。</w:t>
            </w:r>
          </w:p>
        </w:tc>
        <w:tc>
          <w:tcPr>
            <w:tcW w:w="1384" w:type="dxa"/>
            <w:noWrap w:val="0"/>
            <w:vAlign w:val="top"/>
          </w:tcPr>
          <w:p w14:paraId="72D004DF">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1366" w:type="dxa"/>
            <w:noWrap w:val="0"/>
            <w:vAlign w:val="top"/>
          </w:tcPr>
          <w:p w14:paraId="2271A6F7">
            <w:pPr>
              <w:rPr>
                <w:rFonts w:hint="eastAsia" w:ascii="宋体" w:hAnsi="宋体" w:eastAsia="宋体" w:cs="宋体"/>
                <w:i w:val="0"/>
                <w:iCs w:val="0"/>
                <w:color w:val="000000" w:themeColor="text1"/>
                <w:sz w:val="28"/>
                <w:szCs w:val="28"/>
                <w:highlight w:val="none"/>
                <w14:textFill>
                  <w14:solidFill>
                    <w14:schemeClr w14:val="tx1"/>
                  </w14:solidFill>
                </w14:textFill>
              </w:rPr>
            </w:pPr>
          </w:p>
        </w:tc>
        <w:tc>
          <w:tcPr>
            <w:tcW w:w="1260" w:type="dxa"/>
            <w:noWrap w:val="0"/>
            <w:vAlign w:val="top"/>
          </w:tcPr>
          <w:p w14:paraId="34219659">
            <w:pPr>
              <w:rPr>
                <w:rFonts w:hint="eastAsia" w:ascii="宋体" w:hAnsi="宋体" w:eastAsia="宋体" w:cs="宋体"/>
                <w:i w:val="0"/>
                <w:iCs w:val="0"/>
                <w:color w:val="000000" w:themeColor="text1"/>
                <w:sz w:val="28"/>
                <w:szCs w:val="28"/>
                <w:highlight w:val="none"/>
                <w14:textFill>
                  <w14:solidFill>
                    <w14:schemeClr w14:val="tx1"/>
                  </w14:solidFill>
                </w14:textFill>
              </w:rPr>
            </w:pPr>
          </w:p>
        </w:tc>
      </w:tr>
      <w:tr w14:paraId="31CFA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550" w:type="dxa"/>
            <w:noWrap w:val="0"/>
            <w:vAlign w:val="center"/>
          </w:tcPr>
          <w:p w14:paraId="6276577D">
            <w:pPr>
              <w:spacing w:before="33" w:line="235" w:lineRule="auto"/>
              <w:ind w:right="12"/>
              <w:jc w:val="center"/>
              <w:rPr>
                <w:rFonts w:hint="default" w:ascii="宋体" w:hAnsi="宋体" w:eastAsia="宋体" w:cs="宋体"/>
                <w:i w:val="0"/>
                <w:iCs w:val="0"/>
                <w:color w:val="000000" w:themeColor="text1"/>
                <w:spacing w:val="-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spacing w:val="-1"/>
                <w:sz w:val="24"/>
                <w:szCs w:val="24"/>
                <w:highlight w:val="none"/>
                <w:lang w:val="en-US" w:eastAsia="zh-CN"/>
                <w14:textFill>
                  <w14:solidFill>
                    <w14:schemeClr w14:val="tx1"/>
                  </w14:solidFill>
                </w14:textFill>
              </w:rPr>
              <w:t>1</w:t>
            </w:r>
            <w:r>
              <w:rPr>
                <w:rFonts w:hint="eastAsia" w:ascii="宋体" w:hAnsi="宋体" w:cs="宋体"/>
                <w:i w:val="0"/>
                <w:iCs w:val="0"/>
                <w:color w:val="000000" w:themeColor="text1"/>
                <w:spacing w:val="-1"/>
                <w:sz w:val="24"/>
                <w:szCs w:val="24"/>
                <w:highlight w:val="none"/>
                <w:lang w:val="en-US" w:eastAsia="zh-CN"/>
                <w14:textFill>
                  <w14:solidFill>
                    <w14:schemeClr w14:val="tx1"/>
                  </w14:solidFill>
                </w14:textFill>
              </w:rPr>
              <w:t>0</w:t>
            </w:r>
          </w:p>
        </w:tc>
        <w:tc>
          <w:tcPr>
            <w:tcW w:w="4613" w:type="dxa"/>
            <w:noWrap w:val="0"/>
            <w:vAlign w:val="top"/>
          </w:tcPr>
          <w:p w14:paraId="0BB10CFE">
            <w:pPr>
              <w:spacing w:before="33" w:line="235" w:lineRule="auto"/>
              <w:ind w:left="18" w:right="12" w:firstLine="11"/>
              <w:jc w:val="left"/>
              <w:rPr>
                <w:rFonts w:hint="eastAsia" w:ascii="宋体" w:hAnsi="宋体" w:eastAsia="宋体" w:cs="宋体"/>
                <w:i w:val="0"/>
                <w:iCs w:val="0"/>
                <w:color w:val="000000" w:themeColor="text1"/>
                <w:spacing w:val="-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spacing w:val="-1"/>
                <w:sz w:val="24"/>
                <w:szCs w:val="24"/>
                <w:highlight w:val="none"/>
                <w:lang w:val="en-US" w:eastAsia="zh-CN"/>
                <w14:textFill>
                  <w14:solidFill>
                    <w14:schemeClr w14:val="tx1"/>
                  </w14:solidFill>
                </w14:textFill>
              </w:rPr>
              <w:t>是否缴纳足额投标保证金</w:t>
            </w:r>
            <w:r>
              <w:rPr>
                <w:rFonts w:hint="eastAsia" w:ascii="宋体" w:hAnsi="宋体" w:cs="宋体"/>
                <w:i w:val="0"/>
                <w:iCs w:val="0"/>
                <w:color w:val="000000" w:themeColor="text1"/>
                <w:spacing w:val="-1"/>
                <w:sz w:val="24"/>
                <w:szCs w:val="24"/>
                <w:highlight w:val="none"/>
                <w:lang w:val="en-US" w:eastAsia="zh-CN"/>
                <w14:textFill>
                  <w14:solidFill>
                    <w14:schemeClr w14:val="tx1"/>
                  </w14:solidFill>
                </w14:textFill>
              </w:rPr>
              <w:t>或保函</w:t>
            </w:r>
            <w:r>
              <w:rPr>
                <w:rFonts w:hint="eastAsia" w:ascii="宋体" w:hAnsi="宋体" w:eastAsia="宋体" w:cs="宋体"/>
                <w:i w:val="0"/>
                <w:iCs w:val="0"/>
                <w:color w:val="000000" w:themeColor="text1"/>
                <w:spacing w:val="-1"/>
                <w:sz w:val="24"/>
                <w:szCs w:val="24"/>
                <w:highlight w:val="none"/>
                <w:lang w:val="en-US" w:eastAsia="zh-CN"/>
                <w14:textFill>
                  <w14:solidFill>
                    <w14:schemeClr w14:val="tx1"/>
                  </w14:solidFill>
                </w14:textFill>
              </w:rPr>
              <w:t>。</w:t>
            </w:r>
          </w:p>
        </w:tc>
        <w:tc>
          <w:tcPr>
            <w:tcW w:w="1384" w:type="dxa"/>
            <w:noWrap w:val="0"/>
            <w:vAlign w:val="top"/>
          </w:tcPr>
          <w:p w14:paraId="758EF656">
            <w:pPr>
              <w:spacing w:before="33" w:line="235" w:lineRule="auto"/>
              <w:ind w:left="18" w:right="12" w:firstLine="11"/>
              <w:rPr>
                <w:rFonts w:hint="eastAsia" w:ascii="宋体" w:hAnsi="宋体" w:eastAsia="宋体" w:cs="宋体"/>
                <w:i w:val="0"/>
                <w:iCs w:val="0"/>
                <w:color w:val="000000" w:themeColor="text1"/>
                <w:spacing w:val="-1"/>
                <w:sz w:val="24"/>
                <w:szCs w:val="24"/>
                <w:highlight w:val="none"/>
                <w:lang w:val="en-US" w:eastAsia="zh-CN"/>
                <w14:textFill>
                  <w14:solidFill>
                    <w14:schemeClr w14:val="tx1"/>
                  </w14:solidFill>
                </w14:textFill>
              </w:rPr>
            </w:pPr>
          </w:p>
        </w:tc>
        <w:tc>
          <w:tcPr>
            <w:tcW w:w="1366" w:type="dxa"/>
            <w:noWrap w:val="0"/>
            <w:vAlign w:val="top"/>
          </w:tcPr>
          <w:p w14:paraId="0645580F">
            <w:pPr>
              <w:spacing w:before="33" w:line="235" w:lineRule="auto"/>
              <w:ind w:left="18" w:right="12" w:firstLine="11"/>
              <w:rPr>
                <w:rFonts w:hint="eastAsia" w:ascii="宋体" w:hAnsi="宋体" w:eastAsia="宋体" w:cs="宋体"/>
                <w:i w:val="0"/>
                <w:iCs w:val="0"/>
                <w:color w:val="000000" w:themeColor="text1"/>
                <w:spacing w:val="-1"/>
                <w:sz w:val="28"/>
                <w:szCs w:val="28"/>
                <w:highlight w:val="none"/>
                <w:lang w:val="en-US" w:eastAsia="zh-CN"/>
                <w14:textFill>
                  <w14:solidFill>
                    <w14:schemeClr w14:val="tx1"/>
                  </w14:solidFill>
                </w14:textFill>
              </w:rPr>
            </w:pPr>
          </w:p>
        </w:tc>
        <w:tc>
          <w:tcPr>
            <w:tcW w:w="1260" w:type="dxa"/>
            <w:noWrap w:val="0"/>
            <w:vAlign w:val="top"/>
          </w:tcPr>
          <w:p w14:paraId="2DDC795D">
            <w:pPr>
              <w:spacing w:before="33" w:line="235" w:lineRule="auto"/>
              <w:ind w:left="18" w:right="12" w:firstLine="11"/>
              <w:rPr>
                <w:rFonts w:hint="eastAsia" w:ascii="宋体" w:hAnsi="宋体" w:eastAsia="宋体" w:cs="宋体"/>
                <w:i w:val="0"/>
                <w:iCs w:val="0"/>
                <w:color w:val="000000" w:themeColor="text1"/>
                <w:spacing w:val="-1"/>
                <w:sz w:val="28"/>
                <w:szCs w:val="28"/>
                <w:highlight w:val="none"/>
                <w:lang w:val="en-US" w:eastAsia="zh-CN"/>
                <w14:textFill>
                  <w14:solidFill>
                    <w14:schemeClr w14:val="tx1"/>
                  </w14:solidFill>
                </w14:textFill>
              </w:rPr>
            </w:pPr>
          </w:p>
        </w:tc>
      </w:tr>
      <w:tr w14:paraId="6C8D61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550" w:type="dxa"/>
            <w:noWrap w:val="0"/>
            <w:vAlign w:val="center"/>
          </w:tcPr>
          <w:p w14:paraId="5B3F0EEC">
            <w:pPr>
              <w:spacing w:before="33" w:line="235" w:lineRule="auto"/>
              <w:ind w:right="12"/>
              <w:jc w:val="center"/>
              <w:rPr>
                <w:rFonts w:hint="default" w:ascii="宋体" w:hAnsi="宋体" w:eastAsia="宋体" w:cs="宋体"/>
                <w:i w:val="0"/>
                <w:iCs w:val="0"/>
                <w:color w:val="000000" w:themeColor="text1"/>
                <w:spacing w:val="-1"/>
                <w:sz w:val="24"/>
                <w:szCs w:val="24"/>
                <w:highlight w:val="none"/>
                <w:lang w:val="en-US" w:eastAsia="zh-CN"/>
                <w14:textFill>
                  <w14:solidFill>
                    <w14:schemeClr w14:val="tx1"/>
                  </w14:solidFill>
                </w14:textFill>
              </w:rPr>
            </w:pPr>
            <w:r>
              <w:rPr>
                <w:rFonts w:hint="eastAsia" w:ascii="宋体" w:hAnsi="宋体" w:cs="宋体"/>
                <w:i w:val="0"/>
                <w:iCs w:val="0"/>
                <w:color w:val="000000" w:themeColor="text1"/>
                <w:spacing w:val="-1"/>
                <w:sz w:val="24"/>
                <w:szCs w:val="24"/>
                <w:highlight w:val="none"/>
                <w:lang w:val="en-US" w:eastAsia="zh-CN"/>
                <w14:textFill>
                  <w14:solidFill>
                    <w14:schemeClr w14:val="tx1"/>
                  </w14:solidFill>
                </w14:textFill>
              </w:rPr>
              <w:t>11</w:t>
            </w:r>
          </w:p>
        </w:tc>
        <w:tc>
          <w:tcPr>
            <w:tcW w:w="4613" w:type="dxa"/>
            <w:noWrap w:val="0"/>
            <w:vAlign w:val="top"/>
          </w:tcPr>
          <w:p w14:paraId="0C7E0F27">
            <w:pPr>
              <w:spacing w:before="33" w:line="235" w:lineRule="auto"/>
              <w:ind w:left="18" w:right="12" w:firstLine="11"/>
              <w:jc w:val="left"/>
              <w:rPr>
                <w:rFonts w:hint="default" w:ascii="宋体" w:hAnsi="宋体" w:eastAsia="宋体" w:cs="宋体"/>
                <w:i w:val="0"/>
                <w:iCs w:val="0"/>
                <w:color w:val="000000" w:themeColor="text1"/>
                <w:spacing w:val="-1"/>
                <w:sz w:val="24"/>
                <w:szCs w:val="24"/>
                <w:highlight w:val="none"/>
                <w:lang w:val="en-US" w:eastAsia="zh-CN"/>
                <w14:textFill>
                  <w14:solidFill>
                    <w14:schemeClr w14:val="tx1"/>
                  </w14:solidFill>
                </w14:textFill>
              </w:rPr>
            </w:pPr>
            <w:r>
              <w:rPr>
                <w:rFonts w:hint="eastAsia" w:ascii="宋体" w:hAnsi="宋体" w:cs="宋体"/>
                <w:i w:val="0"/>
                <w:iCs w:val="0"/>
                <w:color w:val="000000" w:themeColor="text1"/>
                <w:spacing w:val="-1"/>
                <w:sz w:val="24"/>
                <w:szCs w:val="24"/>
                <w:highlight w:val="none"/>
                <w:lang w:val="en-US" w:eastAsia="zh-CN"/>
                <w14:textFill>
                  <w14:solidFill>
                    <w14:schemeClr w14:val="tx1"/>
                  </w14:solidFill>
                </w14:textFill>
              </w:rPr>
              <w:t>是否提供《中小企业声明函》。</w:t>
            </w:r>
          </w:p>
        </w:tc>
        <w:tc>
          <w:tcPr>
            <w:tcW w:w="1384" w:type="dxa"/>
            <w:noWrap w:val="0"/>
            <w:vAlign w:val="top"/>
          </w:tcPr>
          <w:p w14:paraId="1CD81CF2">
            <w:pPr>
              <w:spacing w:before="33" w:line="235" w:lineRule="auto"/>
              <w:ind w:left="18" w:right="12" w:firstLine="11"/>
              <w:rPr>
                <w:rFonts w:hint="eastAsia" w:ascii="宋体" w:hAnsi="宋体" w:eastAsia="宋体" w:cs="宋体"/>
                <w:i w:val="0"/>
                <w:iCs w:val="0"/>
                <w:color w:val="000000" w:themeColor="text1"/>
                <w:spacing w:val="-1"/>
                <w:sz w:val="24"/>
                <w:szCs w:val="24"/>
                <w:highlight w:val="none"/>
                <w:lang w:val="en-US" w:eastAsia="zh-CN"/>
                <w14:textFill>
                  <w14:solidFill>
                    <w14:schemeClr w14:val="tx1"/>
                  </w14:solidFill>
                </w14:textFill>
              </w:rPr>
            </w:pPr>
          </w:p>
        </w:tc>
        <w:tc>
          <w:tcPr>
            <w:tcW w:w="1366" w:type="dxa"/>
            <w:noWrap w:val="0"/>
            <w:vAlign w:val="top"/>
          </w:tcPr>
          <w:p w14:paraId="7191E080">
            <w:pPr>
              <w:spacing w:before="33" w:line="235" w:lineRule="auto"/>
              <w:ind w:left="18" w:right="12" w:firstLine="11"/>
              <w:rPr>
                <w:rFonts w:hint="eastAsia" w:ascii="宋体" w:hAnsi="宋体" w:eastAsia="宋体" w:cs="宋体"/>
                <w:i w:val="0"/>
                <w:iCs w:val="0"/>
                <w:color w:val="000000" w:themeColor="text1"/>
                <w:spacing w:val="-1"/>
                <w:sz w:val="28"/>
                <w:szCs w:val="28"/>
                <w:highlight w:val="none"/>
                <w:lang w:val="en-US" w:eastAsia="zh-CN"/>
                <w14:textFill>
                  <w14:solidFill>
                    <w14:schemeClr w14:val="tx1"/>
                  </w14:solidFill>
                </w14:textFill>
              </w:rPr>
            </w:pPr>
          </w:p>
        </w:tc>
        <w:tc>
          <w:tcPr>
            <w:tcW w:w="1260" w:type="dxa"/>
            <w:noWrap w:val="0"/>
            <w:vAlign w:val="top"/>
          </w:tcPr>
          <w:p w14:paraId="0E19554E">
            <w:pPr>
              <w:spacing w:before="33" w:line="235" w:lineRule="auto"/>
              <w:ind w:left="18" w:right="12" w:firstLine="11"/>
              <w:rPr>
                <w:rFonts w:hint="eastAsia" w:ascii="宋体" w:hAnsi="宋体" w:eastAsia="宋体" w:cs="宋体"/>
                <w:i w:val="0"/>
                <w:iCs w:val="0"/>
                <w:color w:val="000000" w:themeColor="text1"/>
                <w:spacing w:val="-1"/>
                <w:sz w:val="28"/>
                <w:szCs w:val="28"/>
                <w:highlight w:val="none"/>
                <w:lang w:val="en-US" w:eastAsia="zh-CN"/>
                <w14:textFill>
                  <w14:solidFill>
                    <w14:schemeClr w14:val="tx1"/>
                  </w14:solidFill>
                </w14:textFill>
              </w:rPr>
            </w:pPr>
          </w:p>
        </w:tc>
      </w:tr>
      <w:tr w14:paraId="4B1FFB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5163" w:type="dxa"/>
            <w:gridSpan w:val="2"/>
            <w:noWrap w:val="0"/>
            <w:vAlign w:val="top"/>
          </w:tcPr>
          <w:p w14:paraId="412F18D8">
            <w:pPr>
              <w:spacing w:before="33" w:line="235" w:lineRule="auto"/>
              <w:ind w:left="18" w:right="12" w:firstLine="11"/>
              <w:rPr>
                <w:rFonts w:hint="eastAsia" w:ascii="宋体" w:hAnsi="宋体" w:eastAsia="宋体" w:cs="宋体"/>
                <w:i w:val="0"/>
                <w:iCs w:val="0"/>
                <w:color w:val="000000" w:themeColor="text1"/>
                <w:spacing w:val="-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spacing w:val="-1"/>
                <w:sz w:val="24"/>
                <w:szCs w:val="24"/>
                <w:highlight w:val="none"/>
                <w:lang w:val="en-US" w:eastAsia="zh-CN"/>
                <w14:textFill>
                  <w14:solidFill>
                    <w14:schemeClr w14:val="tx1"/>
                  </w14:solidFill>
                </w14:textFill>
              </w:rPr>
              <w:t>评审结果“ √ ”表示合格；“ × ”表示不合格，一项不合格为无效投标处，如不合格，请在结果中写明原因。</w:t>
            </w:r>
          </w:p>
        </w:tc>
        <w:tc>
          <w:tcPr>
            <w:tcW w:w="1384" w:type="dxa"/>
            <w:noWrap w:val="0"/>
            <w:vAlign w:val="top"/>
          </w:tcPr>
          <w:p w14:paraId="4CA4B3E7">
            <w:pPr>
              <w:spacing w:before="33" w:line="235" w:lineRule="auto"/>
              <w:ind w:left="18" w:right="12" w:firstLine="11"/>
              <w:rPr>
                <w:rFonts w:hint="eastAsia" w:ascii="宋体" w:hAnsi="宋体" w:eastAsia="宋体" w:cs="宋体"/>
                <w:i w:val="0"/>
                <w:iCs w:val="0"/>
                <w:color w:val="000000" w:themeColor="text1"/>
                <w:spacing w:val="-1"/>
                <w:sz w:val="24"/>
                <w:szCs w:val="24"/>
                <w:highlight w:val="none"/>
                <w:lang w:val="en-US" w:eastAsia="zh-CN"/>
                <w14:textFill>
                  <w14:solidFill>
                    <w14:schemeClr w14:val="tx1"/>
                  </w14:solidFill>
                </w14:textFill>
              </w:rPr>
            </w:pPr>
          </w:p>
        </w:tc>
        <w:tc>
          <w:tcPr>
            <w:tcW w:w="1366" w:type="dxa"/>
            <w:noWrap w:val="0"/>
            <w:vAlign w:val="top"/>
          </w:tcPr>
          <w:p w14:paraId="2F3C6EF6">
            <w:pPr>
              <w:spacing w:before="33" w:line="235" w:lineRule="auto"/>
              <w:ind w:left="18" w:right="12" w:firstLine="11"/>
              <w:rPr>
                <w:rFonts w:hint="eastAsia" w:ascii="宋体" w:hAnsi="宋体" w:eastAsia="宋体" w:cs="宋体"/>
                <w:i w:val="0"/>
                <w:iCs w:val="0"/>
                <w:color w:val="000000" w:themeColor="text1"/>
                <w:spacing w:val="-1"/>
                <w:sz w:val="28"/>
                <w:szCs w:val="28"/>
                <w:highlight w:val="none"/>
                <w:lang w:val="en-US" w:eastAsia="zh-CN"/>
                <w14:textFill>
                  <w14:solidFill>
                    <w14:schemeClr w14:val="tx1"/>
                  </w14:solidFill>
                </w14:textFill>
              </w:rPr>
            </w:pPr>
          </w:p>
        </w:tc>
        <w:tc>
          <w:tcPr>
            <w:tcW w:w="1260" w:type="dxa"/>
            <w:noWrap w:val="0"/>
            <w:vAlign w:val="top"/>
          </w:tcPr>
          <w:p w14:paraId="66325D7F">
            <w:pPr>
              <w:spacing w:before="33" w:line="235" w:lineRule="auto"/>
              <w:ind w:left="18" w:right="12" w:firstLine="11"/>
              <w:rPr>
                <w:rFonts w:hint="eastAsia" w:ascii="宋体" w:hAnsi="宋体" w:eastAsia="宋体" w:cs="宋体"/>
                <w:i w:val="0"/>
                <w:iCs w:val="0"/>
                <w:color w:val="000000" w:themeColor="text1"/>
                <w:spacing w:val="-1"/>
                <w:sz w:val="28"/>
                <w:szCs w:val="28"/>
                <w:highlight w:val="none"/>
                <w:lang w:val="en-US" w:eastAsia="zh-CN"/>
                <w14:textFill>
                  <w14:solidFill>
                    <w14:schemeClr w14:val="tx1"/>
                  </w14:solidFill>
                </w14:textFill>
              </w:rPr>
            </w:pPr>
          </w:p>
        </w:tc>
      </w:tr>
    </w:tbl>
    <w:p w14:paraId="01567E52">
      <w:pPr>
        <w:rPr>
          <w:rFonts w:hint="eastAsia" w:ascii="宋体" w:hAnsi="宋体" w:eastAsia="宋体" w:cs="宋体"/>
          <w:i w:val="0"/>
          <w:iCs w:val="0"/>
          <w:color w:val="000000" w:themeColor="text1"/>
          <w:spacing w:val="-2"/>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spacing w:val="-2"/>
          <w:sz w:val="24"/>
          <w:szCs w:val="24"/>
          <w:highlight w:val="none"/>
          <w:lang w:val="en-US" w:eastAsia="zh-CN"/>
          <w14:textFill>
            <w14:solidFill>
              <w14:schemeClr w14:val="tx1"/>
            </w14:solidFill>
          </w14:textFill>
        </w:rPr>
        <w:br w:type="page"/>
      </w:r>
    </w:p>
    <w:p w14:paraId="6C8A490B">
      <w:pPr>
        <w:spacing w:before="78" w:line="222" w:lineRule="auto"/>
        <w:ind w:firstLine="472" w:firstLineChars="200"/>
        <w:outlineLvl w:val="1"/>
        <w:rPr>
          <w:rFonts w:hint="eastAsia" w:ascii="宋体" w:hAnsi="宋体" w:eastAsia="宋体" w:cs="宋体"/>
          <w:i w:val="0"/>
          <w:iCs w:val="0"/>
          <w:color w:val="000000" w:themeColor="text1"/>
          <w:spacing w:val="-2"/>
          <w:sz w:val="24"/>
          <w:szCs w:val="24"/>
          <w:highlight w:val="none"/>
          <w14:textFill>
            <w14:solidFill>
              <w14:schemeClr w14:val="tx1"/>
            </w14:solidFill>
          </w14:textFill>
        </w:rPr>
      </w:pPr>
      <w:r>
        <w:rPr>
          <w:rFonts w:hint="eastAsia" w:ascii="宋体" w:hAnsi="宋体" w:eastAsia="宋体" w:cs="宋体"/>
          <w:i w:val="0"/>
          <w:iCs w:val="0"/>
          <w:color w:val="000000" w:themeColor="text1"/>
          <w:spacing w:val="-2"/>
          <w:sz w:val="24"/>
          <w:szCs w:val="24"/>
          <w:highlight w:val="none"/>
          <w:lang w:val="en-US" w:eastAsia="zh-CN"/>
          <w14:textFill>
            <w14:solidFill>
              <w14:schemeClr w14:val="tx1"/>
            </w14:solidFill>
          </w14:textFill>
        </w:rPr>
        <w:t>1.2</w:t>
      </w:r>
      <w:r>
        <w:rPr>
          <w:rFonts w:hint="eastAsia" w:ascii="宋体" w:hAnsi="宋体" w:eastAsia="宋体" w:cs="宋体"/>
          <w:i w:val="0"/>
          <w:iCs w:val="0"/>
          <w:color w:val="000000" w:themeColor="text1"/>
          <w:spacing w:val="-2"/>
          <w:sz w:val="24"/>
          <w:szCs w:val="24"/>
          <w:highlight w:val="none"/>
          <w14:textFill>
            <w14:solidFill>
              <w14:schemeClr w14:val="tx1"/>
            </w14:solidFill>
          </w14:textFill>
        </w:rPr>
        <w:t>符合性评审标准</w:t>
      </w:r>
    </w:p>
    <w:p w14:paraId="09B8FB52">
      <w:pPr>
        <w:spacing w:before="78" w:line="222" w:lineRule="auto"/>
        <w:ind w:firstLine="472" w:firstLineChars="200"/>
        <w:outlineLvl w:val="1"/>
        <w:rPr>
          <w:rFonts w:hint="eastAsia" w:ascii="宋体" w:hAnsi="宋体" w:eastAsia="宋体" w:cs="宋体"/>
          <w:i w:val="0"/>
          <w:iCs w:val="0"/>
          <w:color w:val="000000" w:themeColor="text1"/>
          <w:spacing w:val="-2"/>
          <w:sz w:val="24"/>
          <w:szCs w:val="24"/>
          <w:highlight w:val="none"/>
          <w14:textFill>
            <w14:solidFill>
              <w14:schemeClr w14:val="tx1"/>
            </w14:solidFill>
          </w14:textFill>
        </w:rPr>
      </w:pPr>
    </w:p>
    <w:tbl>
      <w:tblPr>
        <w:tblStyle w:val="23"/>
        <w:tblpPr w:leftFromText="180" w:rightFromText="180" w:vertAnchor="text" w:horzAnchor="page" w:tblpX="1152" w:tblpY="224"/>
        <w:tblOverlap w:val="never"/>
        <w:tblW w:w="943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8"/>
        <w:gridCol w:w="451"/>
        <w:gridCol w:w="5718"/>
        <w:gridCol w:w="670"/>
        <w:gridCol w:w="669"/>
        <w:gridCol w:w="670"/>
        <w:gridCol w:w="760"/>
      </w:tblGrid>
      <w:tr w14:paraId="4BA831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498" w:type="dxa"/>
            <w:noWrap w:val="0"/>
            <w:textDirection w:val="tbRlV"/>
            <w:vAlign w:val="center"/>
          </w:tcPr>
          <w:p w14:paraId="6A792D1C">
            <w:pPr>
              <w:spacing w:before="140" w:line="206" w:lineRule="auto"/>
              <w:jc w:val="center"/>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1"/>
                <w:sz w:val="24"/>
                <w:szCs w:val="24"/>
                <w:highlight w:val="none"/>
                <w14:textFill>
                  <w14:solidFill>
                    <w14:schemeClr w14:val="tx1"/>
                  </w14:solidFill>
                </w14:textFill>
              </w:rPr>
              <w:t>项</w:t>
            </w:r>
            <w:r>
              <w:rPr>
                <w:rFonts w:hint="eastAsia" w:ascii="宋体" w:hAnsi="宋体" w:eastAsia="宋体" w:cs="宋体"/>
                <w:i w:val="0"/>
                <w:iCs w:val="0"/>
                <w:color w:val="000000" w:themeColor="text1"/>
                <w:spacing w:val="-47"/>
                <w:sz w:val="24"/>
                <w:szCs w:val="24"/>
                <w:highlight w:val="none"/>
                <w14:textFill>
                  <w14:solidFill>
                    <w14:schemeClr w14:val="tx1"/>
                  </w14:solidFill>
                </w14:textFill>
              </w:rPr>
              <w:t xml:space="preserve"> </w:t>
            </w:r>
            <w:r>
              <w:rPr>
                <w:rFonts w:hint="eastAsia" w:ascii="宋体" w:hAnsi="宋体" w:eastAsia="宋体" w:cs="宋体"/>
                <w:i w:val="0"/>
                <w:iCs w:val="0"/>
                <w:color w:val="000000" w:themeColor="text1"/>
                <w:spacing w:val="-1"/>
                <w:sz w:val="24"/>
                <w:szCs w:val="24"/>
                <w:highlight w:val="none"/>
                <w14:textFill>
                  <w14:solidFill>
                    <w14:schemeClr w14:val="tx1"/>
                  </w14:solidFill>
                </w14:textFill>
              </w:rPr>
              <w:t>目</w:t>
            </w:r>
          </w:p>
        </w:tc>
        <w:tc>
          <w:tcPr>
            <w:tcW w:w="6169" w:type="dxa"/>
            <w:gridSpan w:val="2"/>
            <w:noWrap w:val="0"/>
            <w:vAlign w:val="top"/>
          </w:tcPr>
          <w:p w14:paraId="12815C59">
            <w:pPr>
              <w:spacing w:before="312" w:line="219" w:lineRule="auto"/>
              <w:ind w:left="2420"/>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18"/>
                <w:sz w:val="24"/>
                <w:szCs w:val="24"/>
                <w:highlight w:val="none"/>
                <w14:textFill>
                  <w14:solidFill>
                    <w14:schemeClr w14:val="tx1"/>
                  </w14:solidFill>
                </w14:textFill>
              </w:rPr>
              <w:t>评</w:t>
            </w:r>
            <w:r>
              <w:rPr>
                <w:rFonts w:hint="eastAsia" w:ascii="宋体" w:hAnsi="宋体" w:eastAsia="宋体" w:cs="宋体"/>
                <w:i w:val="0"/>
                <w:iCs w:val="0"/>
                <w:color w:val="000000" w:themeColor="text1"/>
                <w:spacing w:val="12"/>
                <w:sz w:val="24"/>
                <w:szCs w:val="24"/>
                <w:highlight w:val="none"/>
                <w14:textFill>
                  <w14:solidFill>
                    <w14:schemeClr w14:val="tx1"/>
                  </w14:solidFill>
                </w14:textFill>
              </w:rPr>
              <w:t xml:space="preserve">  </w:t>
            </w:r>
            <w:r>
              <w:rPr>
                <w:rFonts w:hint="eastAsia" w:ascii="宋体" w:hAnsi="宋体" w:eastAsia="宋体" w:cs="宋体"/>
                <w:i w:val="0"/>
                <w:iCs w:val="0"/>
                <w:color w:val="000000" w:themeColor="text1"/>
                <w:spacing w:val="-18"/>
                <w:sz w:val="24"/>
                <w:szCs w:val="24"/>
                <w:highlight w:val="none"/>
                <w14:textFill>
                  <w14:solidFill>
                    <w14:schemeClr w14:val="tx1"/>
                  </w14:solidFill>
                </w14:textFill>
              </w:rPr>
              <w:t>审</w:t>
            </w:r>
            <w:r>
              <w:rPr>
                <w:rFonts w:hint="eastAsia" w:ascii="宋体" w:hAnsi="宋体" w:eastAsia="宋体" w:cs="宋体"/>
                <w:i w:val="0"/>
                <w:iCs w:val="0"/>
                <w:color w:val="000000" w:themeColor="text1"/>
                <w:spacing w:val="20"/>
                <w:sz w:val="24"/>
                <w:szCs w:val="24"/>
                <w:highlight w:val="none"/>
                <w14:textFill>
                  <w14:solidFill>
                    <w14:schemeClr w14:val="tx1"/>
                  </w14:solidFill>
                </w14:textFill>
              </w:rPr>
              <w:t xml:space="preserve">  </w:t>
            </w:r>
            <w:r>
              <w:rPr>
                <w:rFonts w:hint="eastAsia" w:ascii="宋体" w:hAnsi="宋体" w:eastAsia="宋体" w:cs="宋体"/>
                <w:i w:val="0"/>
                <w:iCs w:val="0"/>
                <w:color w:val="000000" w:themeColor="text1"/>
                <w:spacing w:val="-18"/>
                <w:sz w:val="24"/>
                <w:szCs w:val="24"/>
                <w:highlight w:val="none"/>
                <w14:textFill>
                  <w14:solidFill>
                    <w14:schemeClr w14:val="tx1"/>
                  </w14:solidFill>
                </w14:textFill>
              </w:rPr>
              <w:t>内</w:t>
            </w:r>
            <w:r>
              <w:rPr>
                <w:rFonts w:hint="eastAsia" w:ascii="宋体" w:hAnsi="宋体" w:eastAsia="宋体" w:cs="宋体"/>
                <w:i w:val="0"/>
                <w:iCs w:val="0"/>
                <w:color w:val="000000" w:themeColor="text1"/>
                <w:spacing w:val="7"/>
                <w:sz w:val="24"/>
                <w:szCs w:val="24"/>
                <w:highlight w:val="none"/>
                <w14:textFill>
                  <w14:solidFill>
                    <w14:schemeClr w14:val="tx1"/>
                  </w14:solidFill>
                </w14:textFill>
              </w:rPr>
              <w:t xml:space="preserve">  </w:t>
            </w:r>
            <w:r>
              <w:rPr>
                <w:rFonts w:hint="eastAsia" w:ascii="宋体" w:hAnsi="宋体" w:eastAsia="宋体" w:cs="宋体"/>
                <w:i w:val="0"/>
                <w:iCs w:val="0"/>
                <w:color w:val="000000" w:themeColor="text1"/>
                <w:spacing w:val="-18"/>
                <w:sz w:val="24"/>
                <w:szCs w:val="24"/>
                <w:highlight w:val="none"/>
                <w14:textFill>
                  <w14:solidFill>
                    <w14:schemeClr w14:val="tx1"/>
                  </w14:solidFill>
                </w14:textFill>
              </w:rPr>
              <w:t>容</w:t>
            </w:r>
          </w:p>
        </w:tc>
        <w:tc>
          <w:tcPr>
            <w:tcW w:w="670" w:type="dxa"/>
            <w:noWrap w:val="0"/>
            <w:vAlign w:val="top"/>
          </w:tcPr>
          <w:p w14:paraId="12269241">
            <w:pPr>
              <w:spacing w:before="156" w:line="231" w:lineRule="auto"/>
              <w:ind w:left="154" w:right="112" w:hanging="30"/>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7"/>
                <w:sz w:val="24"/>
                <w:szCs w:val="24"/>
                <w:highlight w:val="none"/>
                <w14:textFill>
                  <w14:solidFill>
                    <w14:schemeClr w14:val="tx1"/>
                  </w14:solidFill>
                </w14:textFill>
              </w:rPr>
              <w:t>投标</w:t>
            </w:r>
            <w:r>
              <w:rPr>
                <w:rFonts w:hint="eastAsia" w:ascii="宋体" w:hAnsi="宋体" w:eastAsia="宋体" w:cs="宋体"/>
                <w:i w:val="0"/>
                <w:iCs w:val="0"/>
                <w:color w:val="000000" w:themeColor="text1"/>
                <w:sz w:val="24"/>
                <w:szCs w:val="24"/>
                <w:highlight w:val="none"/>
                <w14:textFill>
                  <w14:solidFill>
                    <w14:schemeClr w14:val="tx1"/>
                  </w14:solidFill>
                </w14:textFill>
              </w:rPr>
              <w:t xml:space="preserve"> </w:t>
            </w:r>
            <w:r>
              <w:rPr>
                <w:rFonts w:hint="eastAsia" w:ascii="宋体" w:hAnsi="宋体" w:eastAsia="宋体" w:cs="宋体"/>
                <w:i w:val="0"/>
                <w:iCs w:val="0"/>
                <w:color w:val="000000" w:themeColor="text1"/>
                <w:spacing w:val="-6"/>
                <w:sz w:val="24"/>
                <w:szCs w:val="24"/>
                <w:highlight w:val="none"/>
                <w14:textFill>
                  <w14:solidFill>
                    <w14:schemeClr w14:val="tx1"/>
                  </w14:solidFill>
                </w14:textFill>
              </w:rPr>
              <w:t>人</w:t>
            </w:r>
            <w:r>
              <w:rPr>
                <w:rFonts w:hint="eastAsia" w:ascii="宋体" w:hAnsi="宋体" w:eastAsia="宋体" w:cs="宋体"/>
                <w:i w:val="0"/>
                <w:iCs w:val="0"/>
                <w:color w:val="000000" w:themeColor="text1"/>
                <w:spacing w:val="-33"/>
                <w:sz w:val="24"/>
                <w:szCs w:val="24"/>
                <w:highlight w:val="none"/>
                <w14:textFill>
                  <w14:solidFill>
                    <w14:schemeClr w14:val="tx1"/>
                  </w14:solidFill>
                </w14:textFill>
              </w:rPr>
              <w:t xml:space="preserve"> </w:t>
            </w:r>
            <w:r>
              <w:rPr>
                <w:rFonts w:hint="eastAsia" w:ascii="宋体" w:hAnsi="宋体" w:eastAsia="宋体" w:cs="宋体"/>
                <w:i w:val="0"/>
                <w:iCs w:val="0"/>
                <w:color w:val="000000" w:themeColor="text1"/>
                <w:spacing w:val="-6"/>
                <w:sz w:val="24"/>
                <w:szCs w:val="24"/>
                <w:highlight w:val="none"/>
                <w14:textFill>
                  <w14:solidFill>
                    <w14:schemeClr w14:val="tx1"/>
                  </w14:solidFill>
                </w14:textFill>
              </w:rPr>
              <w:t>1</w:t>
            </w:r>
          </w:p>
        </w:tc>
        <w:tc>
          <w:tcPr>
            <w:tcW w:w="669" w:type="dxa"/>
            <w:noWrap w:val="0"/>
            <w:vAlign w:val="top"/>
          </w:tcPr>
          <w:p w14:paraId="03D7EC40">
            <w:pPr>
              <w:spacing w:before="156" w:line="231" w:lineRule="auto"/>
              <w:ind w:left="152" w:right="109" w:hanging="27"/>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7"/>
                <w:sz w:val="24"/>
                <w:szCs w:val="24"/>
                <w:highlight w:val="none"/>
                <w14:textFill>
                  <w14:solidFill>
                    <w14:schemeClr w14:val="tx1"/>
                  </w14:solidFill>
                </w14:textFill>
              </w:rPr>
              <w:t>投标</w:t>
            </w:r>
            <w:r>
              <w:rPr>
                <w:rFonts w:hint="eastAsia" w:ascii="宋体" w:hAnsi="宋体" w:eastAsia="宋体" w:cs="宋体"/>
                <w:i w:val="0"/>
                <w:iCs w:val="0"/>
                <w:color w:val="000000" w:themeColor="text1"/>
                <w:sz w:val="24"/>
                <w:szCs w:val="24"/>
                <w:highlight w:val="none"/>
                <w14:textFill>
                  <w14:solidFill>
                    <w14:schemeClr w14:val="tx1"/>
                  </w14:solidFill>
                </w14:textFill>
              </w:rPr>
              <w:t xml:space="preserve"> </w:t>
            </w:r>
            <w:r>
              <w:rPr>
                <w:rFonts w:hint="eastAsia" w:ascii="宋体" w:hAnsi="宋体" w:eastAsia="宋体" w:cs="宋体"/>
                <w:i w:val="0"/>
                <w:iCs w:val="0"/>
                <w:color w:val="000000" w:themeColor="text1"/>
                <w:spacing w:val="-6"/>
                <w:sz w:val="24"/>
                <w:szCs w:val="24"/>
                <w:highlight w:val="none"/>
                <w14:textFill>
                  <w14:solidFill>
                    <w14:schemeClr w14:val="tx1"/>
                  </w14:solidFill>
                </w14:textFill>
              </w:rPr>
              <w:t>人</w:t>
            </w:r>
            <w:r>
              <w:rPr>
                <w:rFonts w:hint="eastAsia" w:ascii="宋体" w:hAnsi="宋体" w:eastAsia="宋体" w:cs="宋体"/>
                <w:i w:val="0"/>
                <w:iCs w:val="0"/>
                <w:color w:val="000000" w:themeColor="text1"/>
                <w:spacing w:val="-48"/>
                <w:sz w:val="24"/>
                <w:szCs w:val="24"/>
                <w:highlight w:val="none"/>
                <w14:textFill>
                  <w14:solidFill>
                    <w14:schemeClr w14:val="tx1"/>
                  </w14:solidFill>
                </w14:textFill>
              </w:rPr>
              <w:t xml:space="preserve"> </w:t>
            </w:r>
            <w:r>
              <w:rPr>
                <w:rFonts w:hint="eastAsia" w:ascii="宋体" w:hAnsi="宋体" w:eastAsia="宋体" w:cs="宋体"/>
                <w:i w:val="0"/>
                <w:iCs w:val="0"/>
                <w:color w:val="000000" w:themeColor="text1"/>
                <w:spacing w:val="-6"/>
                <w:sz w:val="24"/>
                <w:szCs w:val="24"/>
                <w:highlight w:val="none"/>
                <w14:textFill>
                  <w14:solidFill>
                    <w14:schemeClr w14:val="tx1"/>
                  </w14:solidFill>
                </w14:textFill>
              </w:rPr>
              <w:t>2</w:t>
            </w:r>
          </w:p>
        </w:tc>
        <w:tc>
          <w:tcPr>
            <w:tcW w:w="670" w:type="dxa"/>
            <w:noWrap w:val="0"/>
            <w:vAlign w:val="top"/>
          </w:tcPr>
          <w:p w14:paraId="4B88383B">
            <w:pPr>
              <w:spacing w:before="156" w:line="231" w:lineRule="auto"/>
              <w:ind w:left="155" w:right="110" w:hanging="30"/>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7"/>
                <w:sz w:val="24"/>
                <w:szCs w:val="24"/>
                <w:highlight w:val="none"/>
                <w14:textFill>
                  <w14:solidFill>
                    <w14:schemeClr w14:val="tx1"/>
                  </w14:solidFill>
                </w14:textFill>
              </w:rPr>
              <w:t>投标</w:t>
            </w:r>
            <w:r>
              <w:rPr>
                <w:rFonts w:hint="eastAsia" w:ascii="宋体" w:hAnsi="宋体" w:eastAsia="宋体" w:cs="宋体"/>
                <w:i w:val="0"/>
                <w:iCs w:val="0"/>
                <w:color w:val="000000" w:themeColor="text1"/>
                <w:sz w:val="24"/>
                <w:szCs w:val="24"/>
                <w:highlight w:val="none"/>
                <w14:textFill>
                  <w14:solidFill>
                    <w14:schemeClr w14:val="tx1"/>
                  </w14:solidFill>
                </w14:textFill>
              </w:rPr>
              <w:t xml:space="preserve"> </w:t>
            </w:r>
            <w:r>
              <w:rPr>
                <w:rFonts w:hint="eastAsia" w:ascii="宋体" w:hAnsi="宋体" w:eastAsia="宋体" w:cs="宋体"/>
                <w:i w:val="0"/>
                <w:iCs w:val="0"/>
                <w:color w:val="000000" w:themeColor="text1"/>
                <w:spacing w:val="-6"/>
                <w:sz w:val="24"/>
                <w:szCs w:val="24"/>
                <w:highlight w:val="none"/>
                <w14:textFill>
                  <w14:solidFill>
                    <w14:schemeClr w14:val="tx1"/>
                  </w14:solidFill>
                </w14:textFill>
              </w:rPr>
              <w:t>人</w:t>
            </w:r>
            <w:r>
              <w:rPr>
                <w:rFonts w:hint="eastAsia" w:ascii="宋体" w:hAnsi="宋体" w:eastAsia="宋体" w:cs="宋体"/>
                <w:i w:val="0"/>
                <w:iCs w:val="0"/>
                <w:color w:val="000000" w:themeColor="text1"/>
                <w:spacing w:val="-46"/>
                <w:sz w:val="24"/>
                <w:szCs w:val="24"/>
                <w:highlight w:val="none"/>
                <w14:textFill>
                  <w14:solidFill>
                    <w14:schemeClr w14:val="tx1"/>
                  </w14:solidFill>
                </w14:textFill>
              </w:rPr>
              <w:t xml:space="preserve"> </w:t>
            </w:r>
            <w:r>
              <w:rPr>
                <w:rFonts w:hint="eastAsia" w:ascii="宋体" w:hAnsi="宋体" w:eastAsia="宋体" w:cs="宋体"/>
                <w:i w:val="0"/>
                <w:iCs w:val="0"/>
                <w:color w:val="000000" w:themeColor="text1"/>
                <w:spacing w:val="-6"/>
                <w:sz w:val="24"/>
                <w:szCs w:val="24"/>
                <w:highlight w:val="none"/>
                <w14:textFill>
                  <w14:solidFill>
                    <w14:schemeClr w14:val="tx1"/>
                  </w14:solidFill>
                </w14:textFill>
              </w:rPr>
              <w:t>3</w:t>
            </w:r>
          </w:p>
        </w:tc>
        <w:tc>
          <w:tcPr>
            <w:tcW w:w="760" w:type="dxa"/>
            <w:noWrap w:val="0"/>
            <w:vAlign w:val="top"/>
          </w:tcPr>
          <w:p w14:paraId="3134DE9B">
            <w:pPr>
              <w:spacing w:before="156" w:line="231" w:lineRule="auto"/>
              <w:ind w:left="199" w:right="158" w:hanging="27"/>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7"/>
                <w:sz w:val="24"/>
                <w:szCs w:val="24"/>
                <w:highlight w:val="none"/>
                <w14:textFill>
                  <w14:solidFill>
                    <w14:schemeClr w14:val="tx1"/>
                  </w14:solidFill>
                </w14:textFill>
              </w:rPr>
              <w:t>投标</w:t>
            </w:r>
            <w:r>
              <w:rPr>
                <w:rFonts w:hint="eastAsia" w:ascii="宋体" w:hAnsi="宋体" w:eastAsia="宋体" w:cs="宋体"/>
                <w:i w:val="0"/>
                <w:iCs w:val="0"/>
                <w:color w:val="000000" w:themeColor="text1"/>
                <w:sz w:val="24"/>
                <w:szCs w:val="24"/>
                <w:highlight w:val="none"/>
                <w14:textFill>
                  <w14:solidFill>
                    <w14:schemeClr w14:val="tx1"/>
                  </w14:solidFill>
                </w14:textFill>
              </w:rPr>
              <w:t xml:space="preserve"> </w:t>
            </w:r>
            <w:r>
              <w:rPr>
                <w:rFonts w:hint="eastAsia" w:ascii="宋体" w:hAnsi="宋体" w:eastAsia="宋体" w:cs="宋体"/>
                <w:i w:val="0"/>
                <w:iCs w:val="0"/>
                <w:color w:val="000000" w:themeColor="text1"/>
                <w:spacing w:val="-6"/>
                <w:sz w:val="24"/>
                <w:szCs w:val="24"/>
                <w:highlight w:val="none"/>
                <w14:textFill>
                  <w14:solidFill>
                    <w14:schemeClr w14:val="tx1"/>
                  </w14:solidFill>
                </w14:textFill>
              </w:rPr>
              <w:t>人</w:t>
            </w:r>
            <w:r>
              <w:rPr>
                <w:rFonts w:hint="eastAsia" w:ascii="宋体" w:hAnsi="宋体" w:eastAsia="宋体" w:cs="宋体"/>
                <w:i w:val="0"/>
                <w:iCs w:val="0"/>
                <w:color w:val="000000" w:themeColor="text1"/>
                <w:spacing w:val="-59"/>
                <w:sz w:val="24"/>
                <w:szCs w:val="24"/>
                <w:highlight w:val="none"/>
                <w14:textFill>
                  <w14:solidFill>
                    <w14:schemeClr w14:val="tx1"/>
                  </w14:solidFill>
                </w14:textFill>
              </w:rPr>
              <w:t xml:space="preserve"> </w:t>
            </w:r>
            <w:r>
              <w:rPr>
                <w:rFonts w:hint="eastAsia" w:ascii="宋体" w:hAnsi="宋体" w:eastAsia="宋体" w:cs="宋体"/>
                <w:i w:val="0"/>
                <w:iCs w:val="0"/>
                <w:color w:val="000000" w:themeColor="text1"/>
                <w:spacing w:val="-6"/>
                <w:sz w:val="24"/>
                <w:szCs w:val="24"/>
                <w:highlight w:val="none"/>
                <w14:textFill>
                  <w14:solidFill>
                    <w14:schemeClr w14:val="tx1"/>
                  </w14:solidFill>
                </w14:textFill>
              </w:rPr>
              <w:t>N</w:t>
            </w:r>
          </w:p>
        </w:tc>
      </w:tr>
      <w:tr w14:paraId="73A40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498" w:type="dxa"/>
            <w:vMerge w:val="restart"/>
            <w:tcBorders>
              <w:bottom w:val="nil"/>
            </w:tcBorders>
            <w:noWrap w:val="0"/>
            <w:textDirection w:val="tbRlV"/>
            <w:vAlign w:val="center"/>
          </w:tcPr>
          <w:p w14:paraId="242C722B">
            <w:pPr>
              <w:spacing w:before="174" w:line="209" w:lineRule="auto"/>
              <w:jc w:val="center"/>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1"/>
                <w:sz w:val="24"/>
                <w:szCs w:val="24"/>
                <w:highlight w:val="none"/>
                <w14:textFill>
                  <w14:solidFill>
                    <w14:schemeClr w14:val="tx1"/>
                  </w14:solidFill>
                </w14:textFill>
              </w:rPr>
              <w:t>符</w:t>
            </w:r>
            <w:r>
              <w:rPr>
                <w:rFonts w:hint="eastAsia" w:ascii="宋体" w:hAnsi="宋体" w:eastAsia="宋体" w:cs="宋体"/>
                <w:i w:val="0"/>
                <w:iCs w:val="0"/>
                <w:color w:val="000000" w:themeColor="text1"/>
                <w:spacing w:val="-45"/>
                <w:sz w:val="24"/>
                <w:szCs w:val="24"/>
                <w:highlight w:val="none"/>
                <w14:textFill>
                  <w14:solidFill>
                    <w14:schemeClr w14:val="tx1"/>
                  </w14:solidFill>
                </w14:textFill>
              </w:rPr>
              <w:t xml:space="preserve"> </w:t>
            </w:r>
            <w:r>
              <w:rPr>
                <w:rFonts w:hint="eastAsia" w:ascii="宋体" w:hAnsi="宋体" w:eastAsia="宋体" w:cs="宋体"/>
                <w:i w:val="0"/>
                <w:iCs w:val="0"/>
                <w:color w:val="000000" w:themeColor="text1"/>
                <w:spacing w:val="-1"/>
                <w:sz w:val="24"/>
                <w:szCs w:val="24"/>
                <w:highlight w:val="none"/>
                <w14:textFill>
                  <w14:solidFill>
                    <w14:schemeClr w14:val="tx1"/>
                  </w14:solidFill>
                </w14:textFill>
              </w:rPr>
              <w:t>合</w:t>
            </w:r>
            <w:r>
              <w:rPr>
                <w:rFonts w:hint="eastAsia" w:ascii="宋体" w:hAnsi="宋体" w:eastAsia="宋体" w:cs="宋体"/>
                <w:i w:val="0"/>
                <w:iCs w:val="0"/>
                <w:color w:val="000000" w:themeColor="text1"/>
                <w:spacing w:val="-48"/>
                <w:sz w:val="24"/>
                <w:szCs w:val="24"/>
                <w:highlight w:val="none"/>
                <w14:textFill>
                  <w14:solidFill>
                    <w14:schemeClr w14:val="tx1"/>
                  </w14:solidFill>
                </w14:textFill>
              </w:rPr>
              <w:t xml:space="preserve"> </w:t>
            </w:r>
            <w:r>
              <w:rPr>
                <w:rFonts w:hint="eastAsia" w:ascii="宋体" w:hAnsi="宋体" w:eastAsia="宋体" w:cs="宋体"/>
                <w:i w:val="0"/>
                <w:iCs w:val="0"/>
                <w:color w:val="000000" w:themeColor="text1"/>
                <w:spacing w:val="-1"/>
                <w:sz w:val="24"/>
                <w:szCs w:val="24"/>
                <w:highlight w:val="none"/>
                <w14:textFill>
                  <w14:solidFill>
                    <w14:schemeClr w14:val="tx1"/>
                  </w14:solidFill>
                </w14:textFill>
              </w:rPr>
              <w:t>性</w:t>
            </w:r>
            <w:r>
              <w:rPr>
                <w:rFonts w:hint="eastAsia" w:ascii="宋体" w:hAnsi="宋体" w:eastAsia="宋体" w:cs="宋体"/>
                <w:i w:val="0"/>
                <w:iCs w:val="0"/>
                <w:color w:val="000000" w:themeColor="text1"/>
                <w:spacing w:val="-48"/>
                <w:sz w:val="24"/>
                <w:szCs w:val="24"/>
                <w:highlight w:val="none"/>
                <w14:textFill>
                  <w14:solidFill>
                    <w14:schemeClr w14:val="tx1"/>
                  </w14:solidFill>
                </w14:textFill>
              </w:rPr>
              <w:t xml:space="preserve"> </w:t>
            </w:r>
            <w:r>
              <w:rPr>
                <w:rFonts w:hint="eastAsia" w:ascii="宋体" w:hAnsi="宋体" w:eastAsia="宋体" w:cs="宋体"/>
                <w:i w:val="0"/>
                <w:iCs w:val="0"/>
                <w:color w:val="000000" w:themeColor="text1"/>
                <w:spacing w:val="-1"/>
                <w:sz w:val="24"/>
                <w:szCs w:val="24"/>
                <w:highlight w:val="none"/>
                <w14:textFill>
                  <w14:solidFill>
                    <w14:schemeClr w14:val="tx1"/>
                  </w14:solidFill>
                </w14:textFill>
              </w:rPr>
              <w:t>评</w:t>
            </w:r>
            <w:r>
              <w:rPr>
                <w:rFonts w:hint="eastAsia" w:ascii="宋体" w:hAnsi="宋体" w:eastAsia="宋体" w:cs="宋体"/>
                <w:i w:val="0"/>
                <w:iCs w:val="0"/>
                <w:color w:val="000000" w:themeColor="text1"/>
                <w:spacing w:val="-48"/>
                <w:sz w:val="24"/>
                <w:szCs w:val="24"/>
                <w:highlight w:val="none"/>
                <w14:textFill>
                  <w14:solidFill>
                    <w14:schemeClr w14:val="tx1"/>
                  </w14:solidFill>
                </w14:textFill>
              </w:rPr>
              <w:t xml:space="preserve"> </w:t>
            </w:r>
            <w:r>
              <w:rPr>
                <w:rFonts w:hint="eastAsia" w:ascii="宋体" w:hAnsi="宋体" w:eastAsia="宋体" w:cs="宋体"/>
                <w:i w:val="0"/>
                <w:iCs w:val="0"/>
                <w:color w:val="000000" w:themeColor="text1"/>
                <w:spacing w:val="-1"/>
                <w:sz w:val="24"/>
                <w:szCs w:val="24"/>
                <w:highlight w:val="none"/>
                <w14:textFill>
                  <w14:solidFill>
                    <w14:schemeClr w14:val="tx1"/>
                  </w14:solidFill>
                </w14:textFill>
              </w:rPr>
              <w:t>审</w:t>
            </w:r>
          </w:p>
        </w:tc>
        <w:tc>
          <w:tcPr>
            <w:tcW w:w="451" w:type="dxa"/>
            <w:noWrap w:val="0"/>
            <w:vAlign w:val="top"/>
          </w:tcPr>
          <w:p w14:paraId="2CEFA386">
            <w:pPr>
              <w:spacing w:before="294" w:line="184" w:lineRule="auto"/>
              <w:ind w:left="202"/>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1</w:t>
            </w:r>
          </w:p>
        </w:tc>
        <w:tc>
          <w:tcPr>
            <w:tcW w:w="5718" w:type="dxa"/>
            <w:noWrap w:val="0"/>
            <w:vAlign w:val="top"/>
          </w:tcPr>
          <w:p w14:paraId="6973BF93">
            <w:pPr>
              <w:spacing w:before="100" w:line="230" w:lineRule="auto"/>
              <w:ind w:left="112" w:right="171" w:firstLine="13"/>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1"/>
                <w:sz w:val="24"/>
                <w:szCs w:val="24"/>
                <w:highlight w:val="none"/>
                <w14:textFill>
                  <w14:solidFill>
                    <w14:schemeClr w14:val="tx1"/>
                  </w14:solidFill>
                </w14:textFill>
              </w:rPr>
              <w:t>按照招标文件要求签署、盖章的；</w:t>
            </w:r>
          </w:p>
        </w:tc>
        <w:tc>
          <w:tcPr>
            <w:tcW w:w="670" w:type="dxa"/>
            <w:noWrap w:val="0"/>
            <w:vAlign w:val="top"/>
          </w:tcPr>
          <w:p w14:paraId="12745D1D">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669" w:type="dxa"/>
            <w:noWrap w:val="0"/>
            <w:vAlign w:val="top"/>
          </w:tcPr>
          <w:p w14:paraId="765F00AE">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670" w:type="dxa"/>
            <w:noWrap w:val="0"/>
            <w:vAlign w:val="top"/>
          </w:tcPr>
          <w:p w14:paraId="26793539">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760" w:type="dxa"/>
            <w:noWrap w:val="0"/>
            <w:vAlign w:val="top"/>
          </w:tcPr>
          <w:p w14:paraId="79CF8D68">
            <w:pPr>
              <w:rPr>
                <w:rFonts w:hint="eastAsia" w:ascii="宋体" w:hAnsi="宋体" w:eastAsia="宋体" w:cs="宋体"/>
                <w:i w:val="0"/>
                <w:iCs w:val="0"/>
                <w:color w:val="000000" w:themeColor="text1"/>
                <w:sz w:val="24"/>
                <w:szCs w:val="24"/>
                <w:highlight w:val="none"/>
                <w14:textFill>
                  <w14:solidFill>
                    <w14:schemeClr w14:val="tx1"/>
                  </w14:solidFill>
                </w14:textFill>
              </w:rPr>
            </w:pPr>
          </w:p>
        </w:tc>
      </w:tr>
      <w:tr w14:paraId="053ECE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498" w:type="dxa"/>
            <w:vMerge w:val="continue"/>
            <w:tcBorders>
              <w:top w:val="nil"/>
              <w:bottom w:val="nil"/>
            </w:tcBorders>
            <w:noWrap w:val="0"/>
            <w:textDirection w:val="tbRlV"/>
            <w:vAlign w:val="top"/>
          </w:tcPr>
          <w:p w14:paraId="291B29A5">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451" w:type="dxa"/>
            <w:noWrap w:val="0"/>
            <w:vAlign w:val="top"/>
          </w:tcPr>
          <w:p w14:paraId="65AB3976">
            <w:pPr>
              <w:spacing w:before="304" w:line="183" w:lineRule="auto"/>
              <w:ind w:left="187"/>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2</w:t>
            </w:r>
          </w:p>
        </w:tc>
        <w:tc>
          <w:tcPr>
            <w:tcW w:w="5718" w:type="dxa"/>
            <w:noWrap w:val="0"/>
            <w:vAlign w:val="top"/>
          </w:tcPr>
          <w:p w14:paraId="2044370C">
            <w:pPr>
              <w:spacing w:before="111" w:line="229" w:lineRule="auto"/>
              <w:ind w:left="111" w:right="291" w:firstLine="3"/>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1"/>
                <w:sz w:val="24"/>
                <w:szCs w:val="24"/>
                <w:highlight w:val="none"/>
                <w14:textFill>
                  <w14:solidFill>
                    <w14:schemeClr w14:val="tx1"/>
                  </w14:solidFill>
                </w14:textFill>
              </w:rPr>
              <w:t>投标文件是否不齐全或者内容虚假的；</w:t>
            </w:r>
          </w:p>
        </w:tc>
        <w:tc>
          <w:tcPr>
            <w:tcW w:w="670" w:type="dxa"/>
            <w:noWrap w:val="0"/>
            <w:vAlign w:val="top"/>
          </w:tcPr>
          <w:p w14:paraId="1682F7FE">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669" w:type="dxa"/>
            <w:noWrap w:val="0"/>
            <w:vAlign w:val="top"/>
          </w:tcPr>
          <w:p w14:paraId="7D78132D">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670" w:type="dxa"/>
            <w:noWrap w:val="0"/>
            <w:vAlign w:val="top"/>
          </w:tcPr>
          <w:p w14:paraId="725E782A">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760" w:type="dxa"/>
            <w:noWrap w:val="0"/>
            <w:vAlign w:val="top"/>
          </w:tcPr>
          <w:p w14:paraId="7DF84E62">
            <w:pPr>
              <w:rPr>
                <w:rFonts w:hint="eastAsia" w:ascii="宋体" w:hAnsi="宋体" w:eastAsia="宋体" w:cs="宋体"/>
                <w:i w:val="0"/>
                <w:iCs w:val="0"/>
                <w:color w:val="000000" w:themeColor="text1"/>
                <w:sz w:val="24"/>
                <w:szCs w:val="24"/>
                <w:highlight w:val="none"/>
                <w14:textFill>
                  <w14:solidFill>
                    <w14:schemeClr w14:val="tx1"/>
                  </w14:solidFill>
                </w14:textFill>
              </w:rPr>
            </w:pPr>
          </w:p>
        </w:tc>
      </w:tr>
      <w:tr w14:paraId="3A78FE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498" w:type="dxa"/>
            <w:vMerge w:val="continue"/>
            <w:tcBorders>
              <w:top w:val="nil"/>
              <w:bottom w:val="nil"/>
            </w:tcBorders>
            <w:noWrap w:val="0"/>
            <w:textDirection w:val="tbRlV"/>
            <w:vAlign w:val="top"/>
          </w:tcPr>
          <w:p w14:paraId="57A291FC">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451" w:type="dxa"/>
            <w:noWrap w:val="0"/>
            <w:vAlign w:val="top"/>
          </w:tcPr>
          <w:p w14:paraId="11052E78">
            <w:pPr>
              <w:spacing w:before="156" w:line="183" w:lineRule="auto"/>
              <w:ind w:left="189"/>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3</w:t>
            </w:r>
          </w:p>
        </w:tc>
        <w:tc>
          <w:tcPr>
            <w:tcW w:w="5718" w:type="dxa"/>
            <w:noWrap w:val="0"/>
            <w:vAlign w:val="top"/>
          </w:tcPr>
          <w:p w14:paraId="426AEB8F">
            <w:pPr>
              <w:spacing w:before="118" w:line="219" w:lineRule="auto"/>
              <w:ind w:left="115"/>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1"/>
                <w:sz w:val="24"/>
                <w:szCs w:val="24"/>
                <w:highlight w:val="none"/>
                <w14:textFill>
                  <w14:solidFill>
                    <w14:schemeClr w14:val="tx1"/>
                  </w14:solidFill>
                </w14:textFill>
              </w:rPr>
              <w:t>合同履行期限是否符合招标文件的规定；</w:t>
            </w:r>
          </w:p>
        </w:tc>
        <w:tc>
          <w:tcPr>
            <w:tcW w:w="670" w:type="dxa"/>
            <w:noWrap w:val="0"/>
            <w:vAlign w:val="top"/>
          </w:tcPr>
          <w:p w14:paraId="3D39D434">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669" w:type="dxa"/>
            <w:noWrap w:val="0"/>
            <w:vAlign w:val="top"/>
          </w:tcPr>
          <w:p w14:paraId="76E4BE76">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670" w:type="dxa"/>
            <w:noWrap w:val="0"/>
            <w:vAlign w:val="top"/>
          </w:tcPr>
          <w:p w14:paraId="64679F51">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760" w:type="dxa"/>
            <w:noWrap w:val="0"/>
            <w:vAlign w:val="top"/>
          </w:tcPr>
          <w:p w14:paraId="79956E89">
            <w:pPr>
              <w:rPr>
                <w:rFonts w:hint="eastAsia" w:ascii="宋体" w:hAnsi="宋体" w:eastAsia="宋体" w:cs="宋体"/>
                <w:i w:val="0"/>
                <w:iCs w:val="0"/>
                <w:color w:val="000000" w:themeColor="text1"/>
                <w:sz w:val="24"/>
                <w:szCs w:val="24"/>
                <w:highlight w:val="none"/>
                <w14:textFill>
                  <w14:solidFill>
                    <w14:schemeClr w14:val="tx1"/>
                  </w14:solidFill>
                </w14:textFill>
              </w:rPr>
            </w:pPr>
          </w:p>
        </w:tc>
      </w:tr>
      <w:tr w14:paraId="57F077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498" w:type="dxa"/>
            <w:vMerge w:val="continue"/>
            <w:tcBorders>
              <w:top w:val="nil"/>
              <w:bottom w:val="nil"/>
            </w:tcBorders>
            <w:noWrap w:val="0"/>
            <w:textDirection w:val="tbRlV"/>
            <w:vAlign w:val="top"/>
          </w:tcPr>
          <w:p w14:paraId="2CFB61B0">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451" w:type="dxa"/>
            <w:noWrap w:val="0"/>
            <w:vAlign w:val="top"/>
          </w:tcPr>
          <w:p w14:paraId="561EF5C8">
            <w:pPr>
              <w:spacing w:before="78" w:line="183" w:lineRule="auto"/>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4</w:t>
            </w:r>
          </w:p>
        </w:tc>
        <w:tc>
          <w:tcPr>
            <w:tcW w:w="5718" w:type="dxa"/>
            <w:noWrap w:val="0"/>
            <w:vAlign w:val="top"/>
          </w:tcPr>
          <w:p w14:paraId="7A53DD56">
            <w:pPr>
              <w:spacing w:before="154" w:line="229" w:lineRule="auto"/>
              <w:ind w:left="112" w:right="45" w:firstLine="2"/>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1"/>
                <w:sz w:val="24"/>
                <w:szCs w:val="24"/>
                <w:highlight w:val="none"/>
                <w14:textFill>
                  <w14:solidFill>
                    <w14:schemeClr w14:val="tx1"/>
                  </w14:solidFill>
                </w14:textFill>
              </w:rPr>
              <w:t>投标有效期是否满足招标文件要求的；</w:t>
            </w:r>
          </w:p>
        </w:tc>
        <w:tc>
          <w:tcPr>
            <w:tcW w:w="670" w:type="dxa"/>
            <w:noWrap w:val="0"/>
            <w:vAlign w:val="top"/>
          </w:tcPr>
          <w:p w14:paraId="6FC21022">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669" w:type="dxa"/>
            <w:noWrap w:val="0"/>
            <w:vAlign w:val="top"/>
          </w:tcPr>
          <w:p w14:paraId="59913667">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670" w:type="dxa"/>
            <w:noWrap w:val="0"/>
            <w:vAlign w:val="top"/>
          </w:tcPr>
          <w:p w14:paraId="32AE9620">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760" w:type="dxa"/>
            <w:noWrap w:val="0"/>
            <w:vAlign w:val="top"/>
          </w:tcPr>
          <w:p w14:paraId="7379274D">
            <w:pPr>
              <w:rPr>
                <w:rFonts w:hint="eastAsia" w:ascii="宋体" w:hAnsi="宋体" w:eastAsia="宋体" w:cs="宋体"/>
                <w:i w:val="0"/>
                <w:iCs w:val="0"/>
                <w:color w:val="000000" w:themeColor="text1"/>
                <w:sz w:val="24"/>
                <w:szCs w:val="24"/>
                <w:highlight w:val="none"/>
                <w14:textFill>
                  <w14:solidFill>
                    <w14:schemeClr w14:val="tx1"/>
                  </w14:solidFill>
                </w14:textFill>
              </w:rPr>
            </w:pPr>
          </w:p>
        </w:tc>
      </w:tr>
      <w:tr w14:paraId="58B3D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498" w:type="dxa"/>
            <w:vMerge w:val="continue"/>
            <w:tcBorders>
              <w:top w:val="nil"/>
              <w:bottom w:val="nil"/>
            </w:tcBorders>
            <w:noWrap w:val="0"/>
            <w:textDirection w:val="tbRlV"/>
            <w:vAlign w:val="top"/>
          </w:tcPr>
          <w:p w14:paraId="51E383F9">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451" w:type="dxa"/>
            <w:noWrap w:val="0"/>
            <w:vAlign w:val="top"/>
          </w:tcPr>
          <w:p w14:paraId="01112A49">
            <w:pPr>
              <w:spacing w:before="160" w:line="183" w:lineRule="auto"/>
              <w:ind w:left="186"/>
              <w:rPr>
                <w:rFonts w:hint="eastAsia" w:ascii="宋体" w:hAnsi="宋体" w:eastAsia="宋体" w:cs="宋体"/>
                <w:i w:val="0"/>
                <w:iCs w:val="0"/>
                <w:color w:val="000000" w:themeColor="text1"/>
                <w:sz w:val="24"/>
                <w:szCs w:val="24"/>
                <w:highlight w:val="none"/>
                <w:lang w:eastAsia="zh-CN"/>
                <w14:textFill>
                  <w14:solidFill>
                    <w14:schemeClr w14:val="tx1"/>
                  </w14:solidFill>
                </w14:textFill>
              </w:rPr>
            </w:pPr>
            <w:r>
              <w:rPr>
                <w:rFonts w:hint="eastAsia" w:ascii="宋体" w:hAnsi="宋体" w:cs="宋体"/>
                <w:i w:val="0"/>
                <w:iCs w:val="0"/>
                <w:color w:val="000000" w:themeColor="text1"/>
                <w:sz w:val="24"/>
                <w:szCs w:val="24"/>
                <w:highlight w:val="none"/>
                <w:lang w:val="en-US" w:eastAsia="zh-CN"/>
                <w14:textFill>
                  <w14:solidFill>
                    <w14:schemeClr w14:val="tx1"/>
                  </w14:solidFill>
                </w14:textFill>
              </w:rPr>
              <w:t>5</w:t>
            </w:r>
          </w:p>
        </w:tc>
        <w:tc>
          <w:tcPr>
            <w:tcW w:w="5718" w:type="dxa"/>
            <w:noWrap w:val="0"/>
            <w:vAlign w:val="top"/>
          </w:tcPr>
          <w:p w14:paraId="3D835D30">
            <w:pPr>
              <w:spacing w:before="122" w:line="218" w:lineRule="auto"/>
              <w:ind w:left="115"/>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1"/>
                <w:sz w:val="24"/>
                <w:szCs w:val="24"/>
                <w:highlight w:val="none"/>
                <w14:textFill>
                  <w14:solidFill>
                    <w14:schemeClr w14:val="tx1"/>
                  </w14:solidFill>
                </w14:textFill>
              </w:rPr>
              <w:t>投标报价是否高于采购预算价；</w:t>
            </w:r>
          </w:p>
        </w:tc>
        <w:tc>
          <w:tcPr>
            <w:tcW w:w="670" w:type="dxa"/>
            <w:noWrap w:val="0"/>
            <w:vAlign w:val="top"/>
          </w:tcPr>
          <w:p w14:paraId="09C20A94">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669" w:type="dxa"/>
            <w:noWrap w:val="0"/>
            <w:vAlign w:val="top"/>
          </w:tcPr>
          <w:p w14:paraId="607B973D">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670" w:type="dxa"/>
            <w:noWrap w:val="0"/>
            <w:vAlign w:val="top"/>
          </w:tcPr>
          <w:p w14:paraId="06DE980C">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760" w:type="dxa"/>
            <w:noWrap w:val="0"/>
            <w:vAlign w:val="top"/>
          </w:tcPr>
          <w:p w14:paraId="775684CB">
            <w:pPr>
              <w:rPr>
                <w:rFonts w:hint="eastAsia" w:ascii="宋体" w:hAnsi="宋体" w:eastAsia="宋体" w:cs="宋体"/>
                <w:i w:val="0"/>
                <w:iCs w:val="0"/>
                <w:color w:val="000000" w:themeColor="text1"/>
                <w:sz w:val="24"/>
                <w:szCs w:val="24"/>
                <w:highlight w:val="none"/>
                <w14:textFill>
                  <w14:solidFill>
                    <w14:schemeClr w14:val="tx1"/>
                  </w14:solidFill>
                </w14:textFill>
              </w:rPr>
            </w:pPr>
          </w:p>
        </w:tc>
      </w:tr>
      <w:tr w14:paraId="6969A3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498" w:type="dxa"/>
            <w:vMerge w:val="continue"/>
            <w:tcBorders>
              <w:top w:val="nil"/>
              <w:bottom w:val="nil"/>
            </w:tcBorders>
            <w:noWrap w:val="0"/>
            <w:textDirection w:val="tbRlV"/>
            <w:vAlign w:val="top"/>
          </w:tcPr>
          <w:p w14:paraId="439E19CB">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451" w:type="dxa"/>
            <w:noWrap w:val="0"/>
            <w:vAlign w:val="top"/>
          </w:tcPr>
          <w:p w14:paraId="242E92A0">
            <w:pPr>
              <w:spacing w:line="269" w:lineRule="auto"/>
              <w:rPr>
                <w:rFonts w:hint="eastAsia" w:ascii="宋体" w:hAnsi="宋体" w:eastAsia="宋体" w:cs="宋体"/>
                <w:i w:val="0"/>
                <w:iCs w:val="0"/>
                <w:color w:val="000000" w:themeColor="text1"/>
                <w:sz w:val="24"/>
                <w:szCs w:val="24"/>
                <w:highlight w:val="none"/>
                <w14:textFill>
                  <w14:solidFill>
                    <w14:schemeClr w14:val="tx1"/>
                  </w14:solidFill>
                </w14:textFill>
              </w:rPr>
            </w:pPr>
          </w:p>
          <w:p w14:paraId="3EB66219">
            <w:pPr>
              <w:spacing w:before="78" w:line="182" w:lineRule="auto"/>
              <w:ind w:left="190"/>
              <w:rPr>
                <w:rFonts w:hint="eastAsia" w:ascii="宋体" w:hAnsi="宋体" w:eastAsia="宋体" w:cs="宋体"/>
                <w:i w:val="0"/>
                <w:iCs w:val="0"/>
                <w:color w:val="000000" w:themeColor="text1"/>
                <w:sz w:val="24"/>
                <w:szCs w:val="24"/>
                <w:highlight w:val="none"/>
                <w:lang w:eastAsia="zh-CN"/>
                <w14:textFill>
                  <w14:solidFill>
                    <w14:schemeClr w14:val="tx1"/>
                  </w14:solidFill>
                </w14:textFill>
              </w:rPr>
            </w:pPr>
            <w:r>
              <w:rPr>
                <w:rFonts w:hint="eastAsia" w:ascii="宋体" w:hAnsi="宋体" w:cs="宋体"/>
                <w:i w:val="0"/>
                <w:iCs w:val="0"/>
                <w:color w:val="000000" w:themeColor="text1"/>
                <w:sz w:val="24"/>
                <w:szCs w:val="24"/>
                <w:highlight w:val="none"/>
                <w:lang w:val="en-US" w:eastAsia="zh-CN"/>
                <w14:textFill>
                  <w14:solidFill>
                    <w14:schemeClr w14:val="tx1"/>
                  </w14:solidFill>
                </w14:textFill>
              </w:rPr>
              <w:t>6</w:t>
            </w:r>
          </w:p>
        </w:tc>
        <w:tc>
          <w:tcPr>
            <w:tcW w:w="5718" w:type="dxa"/>
            <w:noWrap w:val="0"/>
            <w:vAlign w:val="top"/>
          </w:tcPr>
          <w:p w14:paraId="5DDE5229">
            <w:pPr>
              <w:spacing w:before="153" w:line="229" w:lineRule="auto"/>
              <w:ind w:left="111" w:right="171" w:firstLine="3"/>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1"/>
                <w:sz w:val="24"/>
                <w:szCs w:val="24"/>
                <w:highlight w:val="none"/>
                <w14:textFill>
                  <w14:solidFill>
                    <w14:schemeClr w14:val="tx1"/>
                  </w14:solidFill>
                </w14:textFill>
              </w:rPr>
              <w:t>投标人是否有投标文件标明的响应或偏离与事实不符或伪造证明文件等虚假投标的；</w:t>
            </w:r>
          </w:p>
        </w:tc>
        <w:tc>
          <w:tcPr>
            <w:tcW w:w="670" w:type="dxa"/>
            <w:noWrap w:val="0"/>
            <w:vAlign w:val="top"/>
          </w:tcPr>
          <w:p w14:paraId="4CE5749A">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669" w:type="dxa"/>
            <w:noWrap w:val="0"/>
            <w:vAlign w:val="top"/>
          </w:tcPr>
          <w:p w14:paraId="00B9F430">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670" w:type="dxa"/>
            <w:noWrap w:val="0"/>
            <w:vAlign w:val="top"/>
          </w:tcPr>
          <w:p w14:paraId="641AF735">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760" w:type="dxa"/>
            <w:noWrap w:val="0"/>
            <w:vAlign w:val="top"/>
          </w:tcPr>
          <w:p w14:paraId="7D3E1FF8">
            <w:pPr>
              <w:rPr>
                <w:rFonts w:hint="eastAsia" w:ascii="宋体" w:hAnsi="宋体" w:eastAsia="宋体" w:cs="宋体"/>
                <w:i w:val="0"/>
                <w:iCs w:val="0"/>
                <w:color w:val="000000" w:themeColor="text1"/>
                <w:sz w:val="24"/>
                <w:szCs w:val="24"/>
                <w:highlight w:val="none"/>
                <w14:textFill>
                  <w14:solidFill>
                    <w14:schemeClr w14:val="tx1"/>
                  </w14:solidFill>
                </w14:textFill>
              </w:rPr>
            </w:pPr>
          </w:p>
        </w:tc>
      </w:tr>
      <w:tr w14:paraId="4C55EC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498" w:type="dxa"/>
            <w:vMerge w:val="continue"/>
            <w:tcBorders>
              <w:top w:val="nil"/>
              <w:bottom w:val="nil"/>
            </w:tcBorders>
            <w:noWrap w:val="0"/>
            <w:textDirection w:val="tbRlV"/>
            <w:vAlign w:val="top"/>
          </w:tcPr>
          <w:p w14:paraId="37E357F0">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451" w:type="dxa"/>
            <w:noWrap w:val="0"/>
            <w:vAlign w:val="top"/>
          </w:tcPr>
          <w:p w14:paraId="09FF28DF">
            <w:pPr>
              <w:spacing w:before="142" w:line="183" w:lineRule="auto"/>
              <w:ind w:left="185"/>
              <w:rPr>
                <w:rFonts w:hint="eastAsia" w:ascii="宋体" w:hAnsi="宋体" w:eastAsia="宋体" w:cs="宋体"/>
                <w:i w:val="0"/>
                <w:iCs w:val="0"/>
                <w:color w:val="000000" w:themeColor="text1"/>
                <w:sz w:val="24"/>
                <w:szCs w:val="24"/>
                <w:highlight w:val="none"/>
                <w:lang w:eastAsia="zh-CN"/>
                <w14:textFill>
                  <w14:solidFill>
                    <w14:schemeClr w14:val="tx1"/>
                  </w14:solidFill>
                </w14:textFill>
              </w:rPr>
            </w:pPr>
            <w:r>
              <w:rPr>
                <w:rFonts w:hint="eastAsia" w:ascii="宋体" w:hAnsi="宋体" w:cs="宋体"/>
                <w:i w:val="0"/>
                <w:iCs w:val="0"/>
                <w:color w:val="000000" w:themeColor="text1"/>
                <w:sz w:val="24"/>
                <w:szCs w:val="24"/>
                <w:highlight w:val="none"/>
                <w:lang w:val="en-US" w:eastAsia="zh-CN"/>
                <w14:textFill>
                  <w14:solidFill>
                    <w14:schemeClr w14:val="tx1"/>
                  </w14:solidFill>
                </w14:textFill>
              </w:rPr>
              <w:t>7</w:t>
            </w:r>
          </w:p>
        </w:tc>
        <w:tc>
          <w:tcPr>
            <w:tcW w:w="5718" w:type="dxa"/>
            <w:noWrap w:val="0"/>
            <w:vAlign w:val="top"/>
          </w:tcPr>
          <w:p w14:paraId="5BCDF074">
            <w:pPr>
              <w:spacing w:before="105" w:line="219" w:lineRule="auto"/>
              <w:ind w:left="115"/>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1"/>
                <w:sz w:val="24"/>
                <w:szCs w:val="24"/>
                <w:highlight w:val="none"/>
                <w14:textFill>
                  <w14:solidFill>
                    <w14:schemeClr w14:val="tx1"/>
                  </w14:solidFill>
                </w14:textFill>
              </w:rPr>
              <w:t>商务条款、技术条款是否有偏离情况的；</w:t>
            </w:r>
          </w:p>
        </w:tc>
        <w:tc>
          <w:tcPr>
            <w:tcW w:w="670" w:type="dxa"/>
            <w:noWrap w:val="0"/>
            <w:vAlign w:val="top"/>
          </w:tcPr>
          <w:p w14:paraId="3936EDC3">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669" w:type="dxa"/>
            <w:noWrap w:val="0"/>
            <w:vAlign w:val="top"/>
          </w:tcPr>
          <w:p w14:paraId="2ADB5098">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670" w:type="dxa"/>
            <w:noWrap w:val="0"/>
            <w:vAlign w:val="top"/>
          </w:tcPr>
          <w:p w14:paraId="63913A8E">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760" w:type="dxa"/>
            <w:noWrap w:val="0"/>
            <w:vAlign w:val="top"/>
          </w:tcPr>
          <w:p w14:paraId="041E1C48">
            <w:pPr>
              <w:rPr>
                <w:rFonts w:hint="eastAsia" w:ascii="宋体" w:hAnsi="宋体" w:eastAsia="宋体" w:cs="宋体"/>
                <w:i w:val="0"/>
                <w:iCs w:val="0"/>
                <w:color w:val="000000" w:themeColor="text1"/>
                <w:sz w:val="24"/>
                <w:szCs w:val="24"/>
                <w:highlight w:val="none"/>
                <w14:textFill>
                  <w14:solidFill>
                    <w14:schemeClr w14:val="tx1"/>
                  </w14:solidFill>
                </w14:textFill>
              </w:rPr>
            </w:pPr>
          </w:p>
        </w:tc>
      </w:tr>
      <w:tr w14:paraId="5ECCF8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498" w:type="dxa"/>
            <w:vMerge w:val="continue"/>
            <w:tcBorders>
              <w:top w:val="nil"/>
            </w:tcBorders>
            <w:noWrap w:val="0"/>
            <w:textDirection w:val="tbRlV"/>
            <w:vAlign w:val="top"/>
          </w:tcPr>
          <w:p w14:paraId="4451E080">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451" w:type="dxa"/>
            <w:noWrap w:val="0"/>
            <w:vAlign w:val="top"/>
          </w:tcPr>
          <w:p w14:paraId="331B38E1">
            <w:pPr>
              <w:spacing w:before="78" w:line="183" w:lineRule="auto"/>
              <w:rPr>
                <w:rFonts w:hint="eastAsia" w:ascii="宋体" w:hAnsi="宋体" w:eastAsia="宋体" w:cs="宋体"/>
                <w:i w:val="0"/>
                <w:iCs w:val="0"/>
                <w:color w:val="000000" w:themeColor="text1"/>
                <w:sz w:val="24"/>
                <w:szCs w:val="24"/>
                <w:highlight w:val="none"/>
                <w:lang w:eastAsia="zh-CN"/>
                <w14:textFill>
                  <w14:solidFill>
                    <w14:schemeClr w14:val="tx1"/>
                  </w14:solidFill>
                </w14:textFill>
              </w:rPr>
            </w:pPr>
            <w:r>
              <w:rPr>
                <w:rFonts w:hint="eastAsia" w:ascii="宋体" w:hAnsi="宋体" w:cs="宋体"/>
                <w:i w:val="0"/>
                <w:iCs w:val="0"/>
                <w:color w:val="000000" w:themeColor="text1"/>
                <w:sz w:val="24"/>
                <w:szCs w:val="24"/>
                <w:highlight w:val="none"/>
                <w:lang w:val="en-US" w:eastAsia="zh-CN"/>
                <w14:textFill>
                  <w14:solidFill>
                    <w14:schemeClr w14:val="tx1"/>
                  </w14:solidFill>
                </w14:textFill>
              </w:rPr>
              <w:t>8</w:t>
            </w:r>
          </w:p>
        </w:tc>
        <w:tc>
          <w:tcPr>
            <w:tcW w:w="5718" w:type="dxa"/>
            <w:noWrap w:val="0"/>
            <w:vAlign w:val="top"/>
          </w:tcPr>
          <w:p w14:paraId="2D9185A1">
            <w:pPr>
              <w:spacing w:before="40" w:line="228" w:lineRule="auto"/>
              <w:ind w:left="111" w:right="171" w:firstLine="4"/>
              <w:jc w:val="both"/>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1"/>
                <w:sz w:val="24"/>
                <w:szCs w:val="24"/>
                <w:highlight w:val="none"/>
                <w14:textFill>
                  <w14:solidFill>
                    <w14:schemeClr w14:val="tx1"/>
                  </w14:solidFill>
                </w14:textFill>
              </w:rPr>
              <w:t>投标文件是否附有招标人不能接受条件的；</w:t>
            </w:r>
          </w:p>
        </w:tc>
        <w:tc>
          <w:tcPr>
            <w:tcW w:w="670" w:type="dxa"/>
            <w:noWrap w:val="0"/>
            <w:vAlign w:val="top"/>
          </w:tcPr>
          <w:p w14:paraId="5E7AD5A1">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669" w:type="dxa"/>
            <w:noWrap w:val="0"/>
            <w:vAlign w:val="top"/>
          </w:tcPr>
          <w:p w14:paraId="0B00F30E">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670" w:type="dxa"/>
            <w:noWrap w:val="0"/>
            <w:vAlign w:val="top"/>
          </w:tcPr>
          <w:p w14:paraId="15ACF422">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760" w:type="dxa"/>
            <w:noWrap w:val="0"/>
            <w:vAlign w:val="top"/>
          </w:tcPr>
          <w:p w14:paraId="4DB6E832">
            <w:pPr>
              <w:rPr>
                <w:rFonts w:hint="eastAsia" w:ascii="宋体" w:hAnsi="宋体" w:eastAsia="宋体" w:cs="宋体"/>
                <w:i w:val="0"/>
                <w:iCs w:val="0"/>
                <w:color w:val="000000" w:themeColor="text1"/>
                <w:sz w:val="24"/>
                <w:szCs w:val="24"/>
                <w:highlight w:val="none"/>
                <w14:textFill>
                  <w14:solidFill>
                    <w14:schemeClr w14:val="tx1"/>
                  </w14:solidFill>
                </w14:textFill>
              </w:rPr>
            </w:pPr>
          </w:p>
        </w:tc>
      </w:tr>
      <w:tr w14:paraId="0D76A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498" w:type="dxa"/>
            <w:noWrap w:val="0"/>
            <w:vAlign w:val="top"/>
          </w:tcPr>
          <w:p w14:paraId="44F4EDC7">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451" w:type="dxa"/>
            <w:noWrap w:val="0"/>
            <w:vAlign w:val="top"/>
          </w:tcPr>
          <w:p w14:paraId="5EF865B0">
            <w:pPr>
              <w:spacing w:before="78" w:line="184" w:lineRule="auto"/>
              <w:rPr>
                <w:rFonts w:hint="eastAsia" w:ascii="宋体" w:hAnsi="宋体" w:eastAsia="宋体" w:cs="宋体"/>
                <w:i w:val="0"/>
                <w:iCs w:val="0"/>
                <w:color w:val="000000" w:themeColor="text1"/>
                <w:sz w:val="24"/>
                <w:szCs w:val="24"/>
                <w:highlight w:val="none"/>
                <w:lang w:eastAsia="zh-CN"/>
                <w14:textFill>
                  <w14:solidFill>
                    <w14:schemeClr w14:val="tx1"/>
                  </w14:solidFill>
                </w14:textFill>
              </w:rPr>
            </w:pPr>
            <w:r>
              <w:rPr>
                <w:rFonts w:hint="eastAsia" w:ascii="宋体" w:hAnsi="宋体" w:cs="宋体"/>
                <w:i w:val="0"/>
                <w:iCs w:val="0"/>
                <w:color w:val="000000" w:themeColor="text1"/>
                <w:spacing w:val="-14"/>
                <w:sz w:val="24"/>
                <w:szCs w:val="24"/>
                <w:highlight w:val="none"/>
                <w:lang w:val="en-US" w:eastAsia="zh-CN"/>
                <w14:textFill>
                  <w14:solidFill>
                    <w14:schemeClr w14:val="tx1"/>
                  </w14:solidFill>
                </w14:textFill>
              </w:rPr>
              <w:t>9</w:t>
            </w:r>
          </w:p>
        </w:tc>
        <w:tc>
          <w:tcPr>
            <w:tcW w:w="5718" w:type="dxa"/>
            <w:noWrap w:val="0"/>
            <w:vAlign w:val="top"/>
          </w:tcPr>
          <w:p w14:paraId="2FECA5C4">
            <w:pPr>
              <w:spacing w:before="156" w:line="229" w:lineRule="auto"/>
              <w:ind w:left="114" w:right="171"/>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1"/>
                <w:sz w:val="24"/>
                <w:szCs w:val="24"/>
                <w:highlight w:val="none"/>
                <w14:textFill>
                  <w14:solidFill>
                    <w14:schemeClr w14:val="tx1"/>
                  </w14:solidFill>
                </w14:textFill>
              </w:rPr>
              <w:t>是否满足招标文件实质性要求的其他情形；</w:t>
            </w:r>
          </w:p>
        </w:tc>
        <w:tc>
          <w:tcPr>
            <w:tcW w:w="670" w:type="dxa"/>
            <w:noWrap w:val="0"/>
            <w:vAlign w:val="top"/>
          </w:tcPr>
          <w:p w14:paraId="052F7672">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669" w:type="dxa"/>
            <w:noWrap w:val="0"/>
            <w:vAlign w:val="top"/>
          </w:tcPr>
          <w:p w14:paraId="5B6BDE23">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670" w:type="dxa"/>
            <w:noWrap w:val="0"/>
            <w:vAlign w:val="top"/>
          </w:tcPr>
          <w:p w14:paraId="289E0186">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760" w:type="dxa"/>
            <w:noWrap w:val="0"/>
            <w:vAlign w:val="top"/>
          </w:tcPr>
          <w:p w14:paraId="34680E4B">
            <w:pPr>
              <w:rPr>
                <w:rFonts w:hint="eastAsia" w:ascii="宋体" w:hAnsi="宋体" w:eastAsia="宋体" w:cs="宋体"/>
                <w:i w:val="0"/>
                <w:iCs w:val="0"/>
                <w:color w:val="000000" w:themeColor="text1"/>
                <w:sz w:val="24"/>
                <w:szCs w:val="24"/>
                <w:highlight w:val="none"/>
                <w14:textFill>
                  <w14:solidFill>
                    <w14:schemeClr w14:val="tx1"/>
                  </w14:solidFill>
                </w14:textFill>
              </w:rPr>
            </w:pPr>
          </w:p>
        </w:tc>
      </w:tr>
      <w:tr w14:paraId="2BFBE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498" w:type="dxa"/>
            <w:noWrap w:val="0"/>
            <w:vAlign w:val="top"/>
          </w:tcPr>
          <w:p w14:paraId="60D335BF">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451" w:type="dxa"/>
            <w:noWrap w:val="0"/>
            <w:vAlign w:val="top"/>
          </w:tcPr>
          <w:p w14:paraId="1BC71E07">
            <w:pPr>
              <w:spacing w:before="78" w:line="184" w:lineRule="auto"/>
              <w:ind w:left="142"/>
              <w:rPr>
                <w:rFonts w:hint="default" w:ascii="宋体" w:hAnsi="宋体" w:eastAsia="宋体" w:cs="宋体"/>
                <w:i w:val="0"/>
                <w:iCs w:val="0"/>
                <w:color w:val="000000" w:themeColor="text1"/>
                <w:spacing w:val="-14"/>
                <w:sz w:val="24"/>
                <w:szCs w:val="24"/>
                <w:highlight w:val="none"/>
                <w:lang w:val="en-US" w:eastAsia="zh-CN"/>
                <w14:textFill>
                  <w14:solidFill>
                    <w14:schemeClr w14:val="tx1"/>
                  </w14:solidFill>
                </w14:textFill>
              </w:rPr>
            </w:pPr>
            <w:r>
              <w:rPr>
                <w:rFonts w:hint="eastAsia" w:ascii="宋体" w:hAnsi="宋体" w:cs="宋体"/>
                <w:i w:val="0"/>
                <w:iCs w:val="0"/>
                <w:color w:val="000000" w:themeColor="text1"/>
                <w:spacing w:val="-14"/>
                <w:sz w:val="24"/>
                <w:szCs w:val="24"/>
                <w:highlight w:val="none"/>
                <w:lang w:val="en-US" w:eastAsia="zh-CN"/>
                <w14:textFill>
                  <w14:solidFill>
                    <w14:schemeClr w14:val="tx1"/>
                  </w14:solidFill>
                </w14:textFill>
              </w:rPr>
              <w:t>10</w:t>
            </w:r>
          </w:p>
        </w:tc>
        <w:tc>
          <w:tcPr>
            <w:tcW w:w="5718" w:type="dxa"/>
            <w:noWrap w:val="0"/>
            <w:vAlign w:val="top"/>
          </w:tcPr>
          <w:p w14:paraId="4E9858E1">
            <w:pPr>
              <w:spacing w:before="156" w:line="229" w:lineRule="auto"/>
              <w:ind w:left="114" w:right="171"/>
              <w:rPr>
                <w:rFonts w:hint="eastAsia" w:ascii="宋体" w:hAnsi="宋体" w:eastAsia="宋体" w:cs="宋体"/>
                <w:i w:val="0"/>
                <w:iCs w:val="0"/>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i w:val="0"/>
                <w:iCs w:val="0"/>
                <w:color w:val="000000" w:themeColor="text1"/>
                <w:spacing w:val="-1"/>
                <w:sz w:val="24"/>
                <w:szCs w:val="24"/>
                <w:highlight w:val="none"/>
                <w14:textFill>
                  <w14:solidFill>
                    <w14:schemeClr w14:val="tx1"/>
                  </w14:solidFill>
                </w14:textFill>
              </w:rPr>
              <w:t>投标保证金的缴纳主体与投标人是否一致</w:t>
            </w:r>
            <w:r>
              <w:rPr>
                <w:rFonts w:hint="eastAsia" w:ascii="宋体" w:hAnsi="宋体" w:cs="宋体"/>
                <w:i w:val="0"/>
                <w:iCs w:val="0"/>
                <w:color w:val="000000" w:themeColor="text1"/>
                <w:spacing w:val="-1"/>
                <w:sz w:val="24"/>
                <w:szCs w:val="24"/>
                <w:highlight w:val="none"/>
                <w:lang w:eastAsia="zh-CN"/>
                <w14:textFill>
                  <w14:solidFill>
                    <w14:schemeClr w14:val="tx1"/>
                  </w14:solidFill>
                </w14:textFill>
              </w:rPr>
              <w:t>；</w:t>
            </w:r>
          </w:p>
        </w:tc>
        <w:tc>
          <w:tcPr>
            <w:tcW w:w="670" w:type="dxa"/>
            <w:noWrap w:val="0"/>
            <w:vAlign w:val="top"/>
          </w:tcPr>
          <w:p w14:paraId="7D85A3E9">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669" w:type="dxa"/>
            <w:noWrap w:val="0"/>
            <w:vAlign w:val="top"/>
          </w:tcPr>
          <w:p w14:paraId="02B9C5D1">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670" w:type="dxa"/>
            <w:noWrap w:val="0"/>
            <w:vAlign w:val="top"/>
          </w:tcPr>
          <w:p w14:paraId="39F2C72B">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760" w:type="dxa"/>
            <w:noWrap w:val="0"/>
            <w:vAlign w:val="top"/>
          </w:tcPr>
          <w:p w14:paraId="26048915">
            <w:pPr>
              <w:rPr>
                <w:rFonts w:hint="eastAsia" w:ascii="宋体" w:hAnsi="宋体" w:eastAsia="宋体" w:cs="宋体"/>
                <w:i w:val="0"/>
                <w:iCs w:val="0"/>
                <w:color w:val="000000" w:themeColor="text1"/>
                <w:sz w:val="24"/>
                <w:szCs w:val="24"/>
                <w:highlight w:val="none"/>
                <w14:textFill>
                  <w14:solidFill>
                    <w14:schemeClr w14:val="tx1"/>
                  </w14:solidFill>
                </w14:textFill>
              </w:rPr>
            </w:pPr>
          </w:p>
        </w:tc>
      </w:tr>
      <w:tr w14:paraId="77EC3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498" w:type="dxa"/>
            <w:noWrap w:val="0"/>
            <w:vAlign w:val="top"/>
          </w:tcPr>
          <w:p w14:paraId="349C42F9">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451" w:type="dxa"/>
            <w:noWrap w:val="0"/>
            <w:vAlign w:val="top"/>
          </w:tcPr>
          <w:p w14:paraId="6ABFF9B5">
            <w:pPr>
              <w:spacing w:before="78" w:line="184" w:lineRule="auto"/>
              <w:ind w:left="142"/>
              <w:rPr>
                <w:rFonts w:hint="default" w:ascii="宋体" w:hAnsi="宋体" w:cs="宋体"/>
                <w:i w:val="0"/>
                <w:iCs w:val="0"/>
                <w:color w:val="000000" w:themeColor="text1"/>
                <w:spacing w:val="-14"/>
                <w:sz w:val="24"/>
                <w:szCs w:val="24"/>
                <w:highlight w:val="none"/>
                <w:lang w:val="en-US" w:eastAsia="zh-CN"/>
                <w14:textFill>
                  <w14:solidFill>
                    <w14:schemeClr w14:val="tx1"/>
                  </w14:solidFill>
                </w14:textFill>
              </w:rPr>
            </w:pPr>
            <w:r>
              <w:rPr>
                <w:rFonts w:hint="eastAsia" w:ascii="宋体" w:hAnsi="宋体" w:cs="宋体"/>
                <w:i w:val="0"/>
                <w:iCs w:val="0"/>
                <w:color w:val="000000" w:themeColor="text1"/>
                <w:spacing w:val="-14"/>
                <w:sz w:val="24"/>
                <w:szCs w:val="24"/>
                <w:highlight w:val="none"/>
                <w:lang w:val="en-US" w:eastAsia="zh-CN"/>
                <w14:textFill>
                  <w14:solidFill>
                    <w14:schemeClr w14:val="tx1"/>
                  </w14:solidFill>
                </w14:textFill>
              </w:rPr>
              <w:t>11</w:t>
            </w:r>
          </w:p>
        </w:tc>
        <w:tc>
          <w:tcPr>
            <w:tcW w:w="5718" w:type="dxa"/>
            <w:noWrap w:val="0"/>
            <w:vAlign w:val="top"/>
          </w:tcPr>
          <w:p w14:paraId="0AB6ABF1">
            <w:pPr>
              <w:spacing w:before="156" w:line="229" w:lineRule="auto"/>
              <w:ind w:left="114" w:right="171"/>
              <w:rPr>
                <w:rFonts w:hint="eastAsia" w:ascii="宋体" w:hAnsi="宋体" w:eastAsia="宋体" w:cs="宋体"/>
                <w:i w:val="0"/>
                <w:iCs w:val="0"/>
                <w:color w:val="000000" w:themeColor="text1"/>
                <w:spacing w:val="-1"/>
                <w:sz w:val="24"/>
                <w:szCs w:val="24"/>
                <w:highlight w:val="none"/>
                <w14:textFill>
                  <w14:solidFill>
                    <w14:schemeClr w14:val="tx1"/>
                  </w14:solidFill>
                </w14:textFill>
              </w:rPr>
            </w:pPr>
            <w:r>
              <w:rPr>
                <w:rFonts w:hint="eastAsia" w:ascii="宋体" w:hAnsi="宋体" w:eastAsia="宋体" w:cs="宋体"/>
                <w:i w:val="0"/>
                <w:iCs w:val="0"/>
                <w:color w:val="000000" w:themeColor="text1"/>
                <w:spacing w:val="-1"/>
                <w:sz w:val="24"/>
                <w:szCs w:val="24"/>
                <w:highlight w:val="none"/>
                <w14:textFill>
                  <w14:solidFill>
                    <w14:schemeClr w14:val="tx1"/>
                  </w14:solidFill>
                </w14:textFill>
              </w:rPr>
              <w:t>投标报价是否为唯一报价，有多个报价时是否明确有效力的报价；</w:t>
            </w:r>
          </w:p>
        </w:tc>
        <w:tc>
          <w:tcPr>
            <w:tcW w:w="670" w:type="dxa"/>
            <w:noWrap w:val="0"/>
            <w:vAlign w:val="top"/>
          </w:tcPr>
          <w:p w14:paraId="349725CF">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669" w:type="dxa"/>
            <w:noWrap w:val="0"/>
            <w:vAlign w:val="top"/>
          </w:tcPr>
          <w:p w14:paraId="68CC0750">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670" w:type="dxa"/>
            <w:noWrap w:val="0"/>
            <w:vAlign w:val="top"/>
          </w:tcPr>
          <w:p w14:paraId="7A00DC67">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760" w:type="dxa"/>
            <w:noWrap w:val="0"/>
            <w:vAlign w:val="top"/>
          </w:tcPr>
          <w:p w14:paraId="6BF1E2BB">
            <w:pPr>
              <w:rPr>
                <w:rFonts w:hint="eastAsia" w:ascii="宋体" w:hAnsi="宋体" w:eastAsia="宋体" w:cs="宋体"/>
                <w:i w:val="0"/>
                <w:iCs w:val="0"/>
                <w:color w:val="000000" w:themeColor="text1"/>
                <w:sz w:val="24"/>
                <w:szCs w:val="24"/>
                <w:highlight w:val="none"/>
                <w14:textFill>
                  <w14:solidFill>
                    <w14:schemeClr w14:val="tx1"/>
                  </w14:solidFill>
                </w14:textFill>
              </w:rPr>
            </w:pPr>
          </w:p>
        </w:tc>
      </w:tr>
      <w:tr w14:paraId="13C922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498" w:type="dxa"/>
            <w:noWrap w:val="0"/>
            <w:vAlign w:val="top"/>
          </w:tcPr>
          <w:p w14:paraId="67EFAAC2">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451" w:type="dxa"/>
            <w:noWrap w:val="0"/>
            <w:vAlign w:val="top"/>
          </w:tcPr>
          <w:p w14:paraId="0B47BB00">
            <w:pPr>
              <w:spacing w:before="78" w:line="184" w:lineRule="auto"/>
              <w:ind w:left="142"/>
              <w:rPr>
                <w:rFonts w:hint="default" w:ascii="宋体" w:hAnsi="宋体" w:cs="宋体"/>
                <w:i w:val="0"/>
                <w:iCs w:val="0"/>
                <w:color w:val="000000" w:themeColor="text1"/>
                <w:spacing w:val="-14"/>
                <w:sz w:val="24"/>
                <w:szCs w:val="24"/>
                <w:highlight w:val="none"/>
                <w:lang w:val="en-US" w:eastAsia="zh-CN"/>
                <w14:textFill>
                  <w14:solidFill>
                    <w14:schemeClr w14:val="tx1"/>
                  </w14:solidFill>
                </w14:textFill>
              </w:rPr>
            </w:pPr>
            <w:r>
              <w:rPr>
                <w:rFonts w:hint="eastAsia" w:ascii="宋体" w:hAnsi="宋体" w:cs="宋体"/>
                <w:i w:val="0"/>
                <w:iCs w:val="0"/>
                <w:color w:val="000000" w:themeColor="text1"/>
                <w:spacing w:val="-14"/>
                <w:sz w:val="24"/>
                <w:szCs w:val="24"/>
                <w:highlight w:val="none"/>
                <w:lang w:val="en-US" w:eastAsia="zh-CN"/>
                <w14:textFill>
                  <w14:solidFill>
                    <w14:schemeClr w14:val="tx1"/>
                  </w14:solidFill>
                </w14:textFill>
              </w:rPr>
              <w:t>12</w:t>
            </w:r>
          </w:p>
        </w:tc>
        <w:tc>
          <w:tcPr>
            <w:tcW w:w="5718" w:type="dxa"/>
            <w:noWrap w:val="0"/>
            <w:vAlign w:val="top"/>
          </w:tcPr>
          <w:p w14:paraId="4474BAE0">
            <w:pPr>
              <w:spacing w:before="156" w:line="229" w:lineRule="auto"/>
              <w:ind w:left="114" w:right="171"/>
              <w:rPr>
                <w:rFonts w:hint="eastAsia" w:ascii="宋体" w:hAnsi="宋体" w:eastAsia="宋体" w:cs="宋体"/>
                <w:i w:val="0"/>
                <w:iCs w:val="0"/>
                <w:color w:val="000000" w:themeColor="text1"/>
                <w:spacing w:val="-1"/>
                <w:sz w:val="24"/>
                <w:szCs w:val="24"/>
                <w:highlight w:val="none"/>
                <w14:textFill>
                  <w14:solidFill>
                    <w14:schemeClr w14:val="tx1"/>
                  </w14:solidFill>
                </w14:textFill>
              </w:rPr>
            </w:pPr>
            <w:r>
              <w:rPr>
                <w:rFonts w:hint="eastAsia" w:ascii="宋体" w:hAnsi="宋体" w:eastAsia="宋体" w:cs="宋体"/>
                <w:i w:val="0"/>
                <w:iCs w:val="0"/>
                <w:color w:val="000000" w:themeColor="text1"/>
                <w:spacing w:val="-1"/>
                <w:sz w:val="24"/>
                <w:szCs w:val="24"/>
                <w:highlight w:val="none"/>
                <w14:textFill>
                  <w14:solidFill>
                    <w14:schemeClr w14:val="tx1"/>
                  </w14:solidFill>
                </w14:textFill>
              </w:rPr>
              <w:t>是否存在法律、法规和招标文件规定的其他无效情形。</w:t>
            </w:r>
          </w:p>
        </w:tc>
        <w:tc>
          <w:tcPr>
            <w:tcW w:w="670" w:type="dxa"/>
            <w:noWrap w:val="0"/>
            <w:vAlign w:val="top"/>
          </w:tcPr>
          <w:p w14:paraId="5B0A5787">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669" w:type="dxa"/>
            <w:noWrap w:val="0"/>
            <w:vAlign w:val="top"/>
          </w:tcPr>
          <w:p w14:paraId="67D8F0FB">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670" w:type="dxa"/>
            <w:noWrap w:val="0"/>
            <w:vAlign w:val="top"/>
          </w:tcPr>
          <w:p w14:paraId="2E7E26AD">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760" w:type="dxa"/>
            <w:noWrap w:val="0"/>
            <w:vAlign w:val="top"/>
          </w:tcPr>
          <w:p w14:paraId="7D1740AC">
            <w:pPr>
              <w:rPr>
                <w:rFonts w:hint="eastAsia" w:ascii="宋体" w:hAnsi="宋体" w:eastAsia="宋体" w:cs="宋体"/>
                <w:i w:val="0"/>
                <w:iCs w:val="0"/>
                <w:color w:val="000000" w:themeColor="text1"/>
                <w:sz w:val="24"/>
                <w:szCs w:val="24"/>
                <w:highlight w:val="none"/>
                <w14:textFill>
                  <w14:solidFill>
                    <w14:schemeClr w14:val="tx1"/>
                  </w14:solidFill>
                </w14:textFill>
              </w:rPr>
            </w:pPr>
          </w:p>
        </w:tc>
      </w:tr>
      <w:tr w14:paraId="0E7D9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6667" w:type="dxa"/>
            <w:gridSpan w:val="3"/>
            <w:noWrap w:val="0"/>
            <w:vAlign w:val="top"/>
          </w:tcPr>
          <w:p w14:paraId="7F5396DB">
            <w:pPr>
              <w:spacing w:before="40" w:line="205" w:lineRule="auto"/>
              <w:ind w:left="2514"/>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2"/>
                <w:sz w:val="24"/>
                <w:szCs w:val="24"/>
                <w:highlight w:val="none"/>
                <w14:textFill>
                  <w14:solidFill>
                    <w14:schemeClr w14:val="tx1"/>
                  </w14:solidFill>
                </w14:textFill>
              </w:rPr>
              <w:t>结论：合格/不合格</w:t>
            </w:r>
          </w:p>
        </w:tc>
        <w:tc>
          <w:tcPr>
            <w:tcW w:w="670" w:type="dxa"/>
            <w:noWrap w:val="0"/>
            <w:vAlign w:val="top"/>
          </w:tcPr>
          <w:p w14:paraId="04224CE6">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669" w:type="dxa"/>
            <w:noWrap w:val="0"/>
            <w:vAlign w:val="top"/>
          </w:tcPr>
          <w:p w14:paraId="2B2BB63A">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670" w:type="dxa"/>
            <w:noWrap w:val="0"/>
            <w:vAlign w:val="top"/>
          </w:tcPr>
          <w:p w14:paraId="2ABE2908">
            <w:pP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760" w:type="dxa"/>
            <w:noWrap w:val="0"/>
            <w:vAlign w:val="top"/>
          </w:tcPr>
          <w:p w14:paraId="312CE5C2">
            <w:pPr>
              <w:rPr>
                <w:rFonts w:hint="eastAsia" w:ascii="宋体" w:hAnsi="宋体" w:eastAsia="宋体" w:cs="宋体"/>
                <w:i w:val="0"/>
                <w:iCs w:val="0"/>
                <w:color w:val="000000" w:themeColor="text1"/>
                <w:sz w:val="24"/>
                <w:szCs w:val="24"/>
                <w:highlight w:val="none"/>
                <w14:textFill>
                  <w14:solidFill>
                    <w14:schemeClr w14:val="tx1"/>
                  </w14:solidFill>
                </w14:textFill>
              </w:rPr>
            </w:pPr>
          </w:p>
        </w:tc>
      </w:tr>
      <w:tr w14:paraId="55E74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9436" w:type="dxa"/>
            <w:gridSpan w:val="7"/>
            <w:noWrap w:val="0"/>
            <w:vAlign w:val="top"/>
          </w:tcPr>
          <w:p w14:paraId="644ED868">
            <w:pPr>
              <w:spacing w:before="40" w:line="219" w:lineRule="auto"/>
              <w:ind w:left="115"/>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1"/>
                <w:sz w:val="24"/>
                <w:szCs w:val="24"/>
                <w:highlight w:val="none"/>
                <w14:textFill>
                  <w14:solidFill>
                    <w14:schemeClr w14:val="tx1"/>
                  </w14:solidFill>
                </w14:textFill>
              </w:rPr>
              <w:t>评标委员会成员签名：</w:t>
            </w:r>
          </w:p>
          <w:p w14:paraId="4FF0A7CB">
            <w:pPr>
              <w:spacing w:before="27" w:line="205" w:lineRule="auto"/>
              <w:ind w:firstLine="6660" w:firstLineChars="3000"/>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9"/>
                <w:sz w:val="24"/>
                <w:szCs w:val="24"/>
                <w:highlight w:val="none"/>
                <w14:textFill>
                  <w14:solidFill>
                    <w14:schemeClr w14:val="tx1"/>
                  </w14:solidFill>
                </w14:textFill>
              </w:rPr>
              <w:t>年</w:t>
            </w:r>
            <w:r>
              <w:rPr>
                <w:rFonts w:hint="eastAsia" w:ascii="宋体" w:hAnsi="宋体" w:eastAsia="宋体" w:cs="宋体"/>
                <w:i w:val="0"/>
                <w:iCs w:val="0"/>
                <w:color w:val="000000" w:themeColor="text1"/>
                <w:spacing w:val="4"/>
                <w:sz w:val="24"/>
                <w:szCs w:val="24"/>
                <w:highlight w:val="none"/>
                <w14:textFill>
                  <w14:solidFill>
                    <w14:schemeClr w14:val="tx1"/>
                  </w14:solidFill>
                </w14:textFill>
              </w:rPr>
              <w:t xml:space="preserve">    </w:t>
            </w:r>
            <w:r>
              <w:rPr>
                <w:rFonts w:hint="eastAsia" w:ascii="宋体" w:hAnsi="宋体" w:eastAsia="宋体" w:cs="宋体"/>
                <w:i w:val="0"/>
                <w:iCs w:val="0"/>
                <w:color w:val="000000" w:themeColor="text1"/>
                <w:spacing w:val="-9"/>
                <w:sz w:val="24"/>
                <w:szCs w:val="24"/>
                <w:highlight w:val="none"/>
                <w14:textFill>
                  <w14:solidFill>
                    <w14:schemeClr w14:val="tx1"/>
                  </w14:solidFill>
                </w14:textFill>
              </w:rPr>
              <w:t>月</w:t>
            </w:r>
            <w:r>
              <w:rPr>
                <w:rFonts w:hint="eastAsia" w:ascii="宋体" w:hAnsi="宋体" w:eastAsia="宋体" w:cs="宋体"/>
                <w:i w:val="0"/>
                <w:iCs w:val="0"/>
                <w:color w:val="000000" w:themeColor="text1"/>
                <w:spacing w:val="14"/>
                <w:sz w:val="24"/>
                <w:szCs w:val="24"/>
                <w:highlight w:val="none"/>
                <w14:textFill>
                  <w14:solidFill>
                    <w14:schemeClr w14:val="tx1"/>
                  </w14:solidFill>
                </w14:textFill>
              </w:rPr>
              <w:t xml:space="preserve">    </w:t>
            </w:r>
            <w:r>
              <w:rPr>
                <w:rFonts w:hint="eastAsia" w:ascii="宋体" w:hAnsi="宋体" w:eastAsia="宋体" w:cs="宋体"/>
                <w:i w:val="0"/>
                <w:iCs w:val="0"/>
                <w:color w:val="000000" w:themeColor="text1"/>
                <w:spacing w:val="-9"/>
                <w:sz w:val="24"/>
                <w:szCs w:val="24"/>
                <w:highlight w:val="none"/>
                <w14:textFill>
                  <w14:solidFill>
                    <w14:schemeClr w14:val="tx1"/>
                  </w14:solidFill>
                </w14:textFill>
              </w:rPr>
              <w:t>日</w:t>
            </w:r>
          </w:p>
        </w:tc>
      </w:tr>
      <w:tr w14:paraId="3C15EF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3" w:hRule="atLeast"/>
        </w:trPr>
        <w:tc>
          <w:tcPr>
            <w:tcW w:w="9436" w:type="dxa"/>
            <w:gridSpan w:val="7"/>
            <w:noWrap w:val="0"/>
            <w:vAlign w:val="top"/>
          </w:tcPr>
          <w:p w14:paraId="16E81C7F">
            <w:pPr>
              <w:spacing w:before="41" w:line="229" w:lineRule="auto"/>
              <w:ind w:left="117" w:right="108" w:firstLine="1"/>
              <w:jc w:val="both"/>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pacing w:val="-2"/>
                <w:sz w:val="24"/>
                <w:szCs w:val="24"/>
                <w:highlight w:val="none"/>
                <w14:textFill>
                  <w14:solidFill>
                    <w14:schemeClr w14:val="tx1"/>
                  </w14:solidFill>
                </w14:textFill>
              </w:rPr>
              <w:t>备注：如果投标文件中有一项未通过上述审查标准，</w:t>
            </w:r>
            <w:r>
              <w:rPr>
                <w:rFonts w:hint="eastAsia" w:ascii="宋体" w:hAnsi="宋体" w:eastAsia="宋体" w:cs="宋体"/>
                <w:i w:val="0"/>
                <w:iCs w:val="0"/>
                <w:color w:val="000000" w:themeColor="text1"/>
                <w:spacing w:val="-3"/>
                <w:sz w:val="24"/>
                <w:szCs w:val="24"/>
                <w:highlight w:val="none"/>
                <w14:textFill>
                  <w14:solidFill>
                    <w14:schemeClr w14:val="tx1"/>
                  </w14:solidFill>
                </w14:textFill>
              </w:rPr>
              <w:t>评标委员会将认定整个投标文件不响应招</w:t>
            </w:r>
            <w:r>
              <w:rPr>
                <w:rFonts w:hint="eastAsia" w:ascii="宋体" w:hAnsi="宋体" w:eastAsia="宋体" w:cs="宋体"/>
                <w:i w:val="0"/>
                <w:iCs w:val="0"/>
                <w:color w:val="000000" w:themeColor="text1"/>
                <w:spacing w:val="-2"/>
                <w:sz w:val="24"/>
                <w:szCs w:val="24"/>
                <w:highlight w:val="none"/>
                <w14:textFill>
                  <w14:solidFill>
                    <w14:schemeClr w14:val="tx1"/>
                  </w14:solidFill>
                </w14:textFill>
              </w:rPr>
              <w:t>标文件而予以废标，并且不允许投标人通过修改或撤销其</w:t>
            </w:r>
            <w:r>
              <w:rPr>
                <w:rFonts w:hint="eastAsia" w:ascii="宋体" w:hAnsi="宋体" w:eastAsia="宋体" w:cs="宋体"/>
                <w:i w:val="0"/>
                <w:iCs w:val="0"/>
                <w:color w:val="000000" w:themeColor="text1"/>
                <w:spacing w:val="-3"/>
                <w:sz w:val="24"/>
                <w:szCs w:val="24"/>
                <w:highlight w:val="none"/>
                <w14:textFill>
                  <w14:solidFill>
                    <w14:schemeClr w14:val="tx1"/>
                  </w14:solidFill>
                </w14:textFill>
              </w:rPr>
              <w:t>不符合要求的差异或保留，使之成为</w:t>
            </w:r>
            <w:r>
              <w:rPr>
                <w:rFonts w:hint="eastAsia" w:ascii="宋体" w:hAnsi="宋体" w:eastAsia="宋体" w:cs="宋体"/>
                <w:i w:val="0"/>
                <w:iCs w:val="0"/>
                <w:color w:val="000000" w:themeColor="text1"/>
                <w:spacing w:val="-2"/>
                <w:sz w:val="24"/>
                <w:szCs w:val="24"/>
                <w:highlight w:val="none"/>
                <w14:textFill>
                  <w14:solidFill>
                    <w14:schemeClr w14:val="tx1"/>
                  </w14:solidFill>
                </w14:textFill>
              </w:rPr>
              <w:t>具有响应性的投标。</w:t>
            </w:r>
          </w:p>
        </w:tc>
      </w:tr>
    </w:tbl>
    <w:p w14:paraId="292746C5">
      <w:pPr>
        <w:pStyle w:val="16"/>
        <w:rPr>
          <w:rFonts w:hint="eastAsia" w:ascii="宋体" w:hAnsi="宋体" w:eastAsia="宋体" w:cs="宋体"/>
          <w:color w:val="000000" w:themeColor="text1"/>
          <w:highlight w:val="none"/>
          <w:lang w:eastAsia="zh-CN"/>
          <w14:textFill>
            <w14:solidFill>
              <w14:schemeClr w14:val="tx1"/>
            </w14:solidFill>
          </w14:textFill>
        </w:rPr>
      </w:pPr>
    </w:p>
    <w:p w14:paraId="16420714">
      <w:pPr>
        <w:pStyle w:val="16"/>
        <w:rPr>
          <w:rFonts w:hint="eastAsia" w:ascii="宋体" w:hAnsi="宋体" w:eastAsia="宋体" w:cs="宋体"/>
          <w:color w:val="000000" w:themeColor="text1"/>
          <w:highlight w:val="none"/>
          <w:lang w:eastAsia="zh-CN"/>
          <w14:textFill>
            <w14:solidFill>
              <w14:schemeClr w14:val="tx1"/>
            </w14:solidFill>
          </w14:textFill>
        </w:rPr>
      </w:pPr>
    </w:p>
    <w:p w14:paraId="62F65150">
      <w:pPr>
        <w:spacing w:after="156" w:afterLines="50" w:line="360" w:lineRule="auto"/>
        <w:ind w:firstLine="480" w:firstLineChars="200"/>
        <w:outlineLvl w:val="2"/>
        <w:rPr>
          <w:rFonts w:hint="eastAsia" w:ascii="宋体" w:hAnsi="宋体" w:eastAsia="宋体" w:cs="宋体"/>
          <w:color w:val="000000" w:themeColor="text1"/>
          <w:sz w:val="24"/>
          <w:szCs w:val="24"/>
          <w:highlight w:val="none"/>
          <w:lang w:eastAsia="zh-CN"/>
          <w14:textFill>
            <w14:solidFill>
              <w14:schemeClr w14:val="tx1"/>
            </w14:solidFill>
          </w14:textFill>
        </w:rPr>
      </w:pPr>
      <w:bookmarkStart w:id="247" w:name="_Toc13135"/>
      <w:bookmarkStart w:id="248" w:name="_Toc28004"/>
      <w:bookmarkStart w:id="249" w:name="_Toc16365"/>
      <w:bookmarkStart w:id="250" w:name="_Toc32142"/>
      <w:bookmarkStart w:id="251" w:name="_Toc23928"/>
      <w:bookmarkStart w:id="252" w:name="_Toc31277"/>
      <w:bookmarkStart w:id="253" w:name="_Toc22486"/>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评审方法</w:t>
      </w:r>
      <w:bookmarkEnd w:id="247"/>
      <w:bookmarkEnd w:id="248"/>
      <w:bookmarkEnd w:id="249"/>
      <w:bookmarkEnd w:id="250"/>
      <w:bookmarkEnd w:id="251"/>
      <w:bookmarkEnd w:id="252"/>
      <w:bookmarkEnd w:id="253"/>
    </w:p>
    <w:p w14:paraId="41DE9442">
      <w:pPr>
        <w:spacing w:after="156" w:afterLines="50" w:line="360" w:lineRule="auto"/>
        <w:ind w:firstLine="480" w:firstLineChars="200"/>
        <w:outlineLvl w:val="2"/>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采用的</w:t>
      </w:r>
      <w:r>
        <w:rPr>
          <w:rFonts w:hint="eastAsia" w:ascii="宋体" w:hAnsi="宋体" w:eastAsia="宋体" w:cs="宋体"/>
          <w:color w:val="000000" w:themeColor="text1"/>
          <w:sz w:val="24"/>
          <w:szCs w:val="24"/>
          <w:highlight w:val="none"/>
          <w:lang w:eastAsia="zh-CN"/>
          <w14:textFill>
            <w14:solidFill>
              <w14:schemeClr w14:val="tx1"/>
            </w14:solidFill>
          </w14:textFill>
        </w:rPr>
        <w:t>评审</w:t>
      </w:r>
      <w:r>
        <w:rPr>
          <w:rFonts w:hint="eastAsia" w:ascii="宋体" w:hAnsi="宋体" w:eastAsia="宋体" w:cs="宋体"/>
          <w:color w:val="000000" w:themeColor="text1"/>
          <w:sz w:val="24"/>
          <w:szCs w:val="24"/>
          <w:highlight w:val="none"/>
          <w14:textFill>
            <w14:solidFill>
              <w14:schemeClr w14:val="tx1"/>
            </w14:solidFill>
          </w14:textFill>
        </w:rPr>
        <w:t>方式:最低</w:t>
      </w:r>
      <w:r>
        <w:rPr>
          <w:rFonts w:hint="eastAsia" w:ascii="宋体" w:hAnsi="宋体" w:eastAsia="宋体" w:cs="宋体"/>
          <w:color w:val="000000" w:themeColor="text1"/>
          <w:sz w:val="24"/>
          <w:szCs w:val="24"/>
          <w:highlight w:val="none"/>
          <w:lang w:eastAsia="zh-CN"/>
          <w14:textFill>
            <w14:solidFill>
              <w14:schemeClr w14:val="tx1"/>
            </w14:solidFill>
          </w14:textFill>
        </w:rPr>
        <w:t>评标</w:t>
      </w:r>
      <w:r>
        <w:rPr>
          <w:rFonts w:hint="eastAsia" w:ascii="宋体" w:hAnsi="宋体" w:eastAsia="宋体" w:cs="宋体"/>
          <w:color w:val="000000" w:themeColor="text1"/>
          <w:sz w:val="24"/>
          <w:szCs w:val="24"/>
          <w:highlight w:val="none"/>
          <w14:textFill>
            <w14:solidFill>
              <w14:schemeClr w14:val="tx1"/>
            </w14:solidFill>
          </w14:textFill>
        </w:rPr>
        <w:t>价法</w:t>
      </w:r>
      <w:r>
        <w:rPr>
          <w:rFonts w:hint="eastAsia" w:ascii="宋体" w:hAnsi="宋体" w:eastAsia="宋体" w:cs="宋体"/>
          <w:color w:val="000000" w:themeColor="text1"/>
          <w:sz w:val="24"/>
          <w:szCs w:val="24"/>
          <w:highlight w:val="none"/>
          <w:lang w:eastAsia="zh-CN"/>
          <w14:textFill>
            <w14:solidFill>
              <w14:schemeClr w14:val="tx1"/>
            </w14:solidFill>
          </w14:textFill>
        </w:rPr>
        <w:t>，是指以价格为主要因素确定成交供应商的评审方法。即在全部满足</w:t>
      </w:r>
      <w:r>
        <w:rPr>
          <w:rFonts w:hint="eastAsia" w:ascii="宋体" w:hAnsi="宋体" w:eastAsia="宋体" w:cs="宋体"/>
          <w:color w:val="000000" w:themeColor="text1"/>
          <w:sz w:val="24"/>
          <w:szCs w:val="24"/>
          <w:highlight w:val="none"/>
          <w:lang w:val="en-US" w:eastAsia="zh-CN"/>
          <w14:textFill>
            <w14:solidFill>
              <w14:schemeClr w14:val="tx1"/>
            </w14:solidFill>
          </w14:textFill>
        </w:rPr>
        <w:t>竞争性谈判文件</w:t>
      </w:r>
      <w:r>
        <w:rPr>
          <w:rFonts w:hint="eastAsia" w:ascii="宋体" w:hAnsi="宋体" w:eastAsia="宋体" w:cs="宋体"/>
          <w:color w:val="000000" w:themeColor="text1"/>
          <w:sz w:val="24"/>
          <w:szCs w:val="24"/>
          <w:highlight w:val="none"/>
          <w:lang w:eastAsia="zh-CN"/>
          <w14:textFill>
            <w14:solidFill>
              <w14:schemeClr w14:val="tx1"/>
            </w14:solidFill>
          </w14:textFill>
        </w:rPr>
        <w:t>实质性要求，且采购需求、质量和服务相等的前提下，依据统一的价格要素评定最低报价，第一轮审查投标供应商的响应文件，响应文件报价为供应商第一次报价，第二轮投标供应商提供的技术参数满足竞争性谈判文件要求的技术参数</w:t>
      </w:r>
      <w:r>
        <w:rPr>
          <w:rFonts w:hint="eastAsia" w:ascii="宋体" w:hAnsi="宋体" w:eastAsia="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lang w:eastAsia="zh-CN"/>
          <w14:textFill>
            <w14:solidFill>
              <w14:schemeClr w14:val="tx1"/>
            </w14:solidFill>
          </w14:textFill>
        </w:rPr>
        <w:t>供应商进行第二次报价，第二轮</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或两轮以上）</w:t>
      </w:r>
      <w:r>
        <w:rPr>
          <w:rFonts w:hint="eastAsia" w:ascii="宋体" w:hAnsi="宋体" w:eastAsia="宋体" w:cs="宋体"/>
          <w:color w:val="000000" w:themeColor="text1"/>
          <w:sz w:val="24"/>
          <w:szCs w:val="24"/>
          <w:highlight w:val="none"/>
          <w:lang w:eastAsia="zh-CN"/>
          <w14:textFill>
            <w14:solidFill>
              <w14:schemeClr w14:val="tx1"/>
            </w14:solidFill>
          </w14:textFill>
        </w:rPr>
        <w:t>为供应商最终报价，按最终报价由低到高的顺序排序，确定成交供应商或推荐成交候选人的评审方法。</w:t>
      </w:r>
    </w:p>
    <w:p w14:paraId="154DF519">
      <w:pPr>
        <w:spacing w:after="156" w:afterLines="50" w:line="360" w:lineRule="auto"/>
        <w:ind w:firstLine="480" w:firstLineChars="200"/>
        <w:outlineLvl w:val="2"/>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254" w:name="_Toc6742"/>
      <w:bookmarkStart w:id="255" w:name="_Toc8090"/>
      <w:bookmarkStart w:id="256" w:name="_Toc7692"/>
      <w:bookmarkStart w:id="257" w:name="_Toc22111"/>
      <w:bookmarkStart w:id="258" w:name="_Toc494"/>
      <w:bookmarkStart w:id="259" w:name="_Toc7987"/>
      <w:bookmarkStart w:id="260" w:name="_Toc5791"/>
      <w:bookmarkStart w:id="261" w:name="_Toc17031"/>
      <w:bookmarkStart w:id="262" w:name="_Toc30619"/>
      <w:r>
        <w:rPr>
          <w:rFonts w:hint="eastAsia" w:ascii="宋体" w:hAnsi="宋体" w:eastAsia="宋体" w:cs="宋体"/>
          <w:color w:val="000000" w:themeColor="text1"/>
          <w:sz w:val="24"/>
          <w:szCs w:val="24"/>
          <w:highlight w:val="none"/>
          <w:lang w:val="en-US" w:eastAsia="zh-CN"/>
          <w14:textFill>
            <w14:solidFill>
              <w14:schemeClr w14:val="tx1"/>
            </w14:solidFill>
          </w14:textFill>
        </w:rPr>
        <w:t>3.评审标准</w:t>
      </w:r>
      <w:bookmarkEnd w:id="254"/>
      <w:bookmarkEnd w:id="255"/>
      <w:bookmarkEnd w:id="256"/>
      <w:bookmarkEnd w:id="257"/>
      <w:bookmarkEnd w:id="258"/>
      <w:bookmarkEnd w:id="259"/>
      <w:bookmarkEnd w:id="260"/>
      <w:bookmarkEnd w:id="261"/>
      <w:bookmarkEnd w:id="262"/>
    </w:p>
    <w:p w14:paraId="34D92529">
      <w:pPr>
        <w:spacing w:after="156" w:afterLines="50"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.1初步评审标准</w:t>
      </w:r>
    </w:p>
    <w:p w14:paraId="04F611DA">
      <w:pPr>
        <w:spacing w:after="156" w:afterLines="50"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.1.1资格性审查：评标办法前附表</w:t>
      </w:r>
    </w:p>
    <w:p w14:paraId="7E7A710A">
      <w:pPr>
        <w:spacing w:after="156" w:afterLines="50"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.1.2符合性审查：评标办法前附表</w:t>
      </w:r>
    </w:p>
    <w:p w14:paraId="174E389D">
      <w:pPr>
        <w:spacing w:after="156" w:afterLines="50" w:line="360" w:lineRule="auto"/>
        <w:ind w:firstLine="480" w:firstLineChars="200"/>
        <w:outlineLvl w:val="2"/>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263" w:name="_Toc24175"/>
      <w:bookmarkStart w:id="264" w:name="_Toc21244"/>
      <w:bookmarkStart w:id="265" w:name="_Toc24665"/>
      <w:bookmarkStart w:id="266" w:name="_Toc18891"/>
      <w:bookmarkStart w:id="267" w:name="_Toc1974"/>
      <w:bookmarkStart w:id="268" w:name="_Toc27928"/>
      <w:bookmarkStart w:id="269" w:name="_Toc1119"/>
      <w:bookmarkStart w:id="270" w:name="_Toc3869"/>
      <w:bookmarkStart w:id="271" w:name="_Toc12165"/>
      <w:r>
        <w:rPr>
          <w:rFonts w:hint="eastAsia" w:ascii="宋体" w:hAnsi="宋体" w:eastAsia="宋体" w:cs="宋体"/>
          <w:color w:val="000000" w:themeColor="text1"/>
          <w:sz w:val="24"/>
          <w:szCs w:val="24"/>
          <w:highlight w:val="none"/>
          <w:lang w:val="en-US" w:eastAsia="zh-CN"/>
          <w14:textFill>
            <w14:solidFill>
              <w14:schemeClr w14:val="tx1"/>
            </w14:solidFill>
          </w14:textFill>
        </w:rPr>
        <w:t>4.评审程序</w:t>
      </w:r>
      <w:bookmarkEnd w:id="263"/>
      <w:bookmarkEnd w:id="264"/>
      <w:bookmarkEnd w:id="265"/>
      <w:bookmarkEnd w:id="266"/>
      <w:bookmarkEnd w:id="267"/>
      <w:bookmarkEnd w:id="268"/>
      <w:bookmarkEnd w:id="269"/>
      <w:bookmarkEnd w:id="270"/>
      <w:bookmarkEnd w:id="271"/>
    </w:p>
    <w:p w14:paraId="5CD1F602">
      <w:pPr>
        <w:spacing w:after="156" w:afterLines="50"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.1初步评审</w:t>
      </w:r>
    </w:p>
    <w:p w14:paraId="69AA11F7">
      <w:pPr>
        <w:spacing w:after="156" w:afterLines="50"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.1.1</w:t>
      </w:r>
      <w:r>
        <w:rPr>
          <w:rFonts w:hint="eastAsia" w:ascii="宋体" w:hAnsi="宋体" w:eastAsia="宋体" w:cs="宋体"/>
          <w:color w:val="000000" w:themeColor="text1"/>
          <w:sz w:val="24"/>
          <w:szCs w:val="24"/>
          <w:highlight w:val="none"/>
          <w:lang w:eastAsia="zh-CN"/>
          <w14:textFill>
            <w14:solidFill>
              <w14:schemeClr w14:val="tx1"/>
            </w14:solidFill>
          </w14:textFill>
        </w:rPr>
        <w:t>谈判小组</w:t>
      </w:r>
      <w:r>
        <w:rPr>
          <w:rFonts w:hint="eastAsia" w:ascii="宋体" w:hAnsi="宋体" w:eastAsia="宋体" w:cs="宋体"/>
          <w:color w:val="000000" w:themeColor="text1"/>
          <w:sz w:val="24"/>
          <w:szCs w:val="24"/>
          <w:highlight w:val="none"/>
          <w14:textFill>
            <w14:solidFill>
              <w14:schemeClr w14:val="tx1"/>
            </w14:solidFill>
          </w14:textFill>
        </w:rPr>
        <w:t>可以要求</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提交第二章“</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须知”第</w:t>
      </w:r>
      <w:r>
        <w:rPr>
          <w:rFonts w:hint="eastAsia" w:ascii="宋体" w:hAnsi="宋体" w:eastAsia="宋体" w:cs="宋体"/>
          <w:color w:val="000000" w:themeColor="text1"/>
          <w:sz w:val="24"/>
          <w:szCs w:val="24"/>
          <w:highlight w:val="none"/>
          <w:lang w:val="en-US" w:eastAsia="zh-CN"/>
          <w14:textFill>
            <w14:solidFill>
              <w14:schemeClr w14:val="tx1"/>
            </w14:solidFill>
          </w14:textFill>
        </w:rPr>
        <w:t>19</w:t>
      </w:r>
      <w:r>
        <w:rPr>
          <w:rFonts w:hint="eastAsia" w:ascii="宋体" w:hAnsi="宋体" w:eastAsia="宋体" w:cs="宋体"/>
          <w:color w:val="000000" w:themeColor="text1"/>
          <w:sz w:val="24"/>
          <w:szCs w:val="24"/>
          <w:highlight w:val="none"/>
          <w14:textFill>
            <w14:solidFill>
              <w14:schemeClr w14:val="tx1"/>
            </w14:solidFill>
          </w14:textFill>
        </w:rPr>
        <w:t>项规定的有关证明和证件的原件，以便核验。</w:t>
      </w:r>
      <w:r>
        <w:rPr>
          <w:rFonts w:hint="eastAsia" w:ascii="宋体" w:hAnsi="宋体" w:eastAsia="宋体" w:cs="宋体"/>
          <w:color w:val="000000" w:themeColor="text1"/>
          <w:sz w:val="24"/>
          <w:szCs w:val="24"/>
          <w:highlight w:val="none"/>
          <w:lang w:eastAsia="zh-CN"/>
          <w14:textFill>
            <w14:solidFill>
              <w14:schemeClr w14:val="tx1"/>
            </w14:solidFill>
          </w14:textFill>
        </w:rPr>
        <w:t>谈判小组</w:t>
      </w:r>
      <w:r>
        <w:rPr>
          <w:rFonts w:hint="eastAsia" w:ascii="宋体" w:hAnsi="宋体" w:eastAsia="宋体" w:cs="宋体"/>
          <w:color w:val="000000" w:themeColor="text1"/>
          <w:sz w:val="24"/>
          <w:szCs w:val="24"/>
          <w:highlight w:val="none"/>
          <w14:textFill>
            <w14:solidFill>
              <w14:schemeClr w14:val="tx1"/>
            </w14:solidFill>
          </w14:textFill>
        </w:rPr>
        <w:t>依据本章</w:t>
      </w:r>
      <w:r>
        <w:rPr>
          <w:rFonts w:hint="eastAsia" w:ascii="宋体" w:hAnsi="宋体" w:eastAsia="宋体" w:cs="宋体"/>
          <w:color w:val="000000" w:themeColor="text1"/>
          <w:sz w:val="24"/>
          <w:szCs w:val="24"/>
          <w:highlight w:val="none"/>
          <w:lang w:val="en-US" w:eastAsia="zh-CN"/>
          <w14:textFill>
            <w14:solidFill>
              <w14:schemeClr w14:val="tx1"/>
            </w14:solidFill>
          </w14:textFill>
        </w:rPr>
        <w:t>评审办法</w:t>
      </w:r>
      <w:r>
        <w:rPr>
          <w:rFonts w:hint="eastAsia" w:ascii="宋体" w:hAnsi="宋体" w:eastAsia="宋体" w:cs="宋体"/>
          <w:color w:val="000000" w:themeColor="text1"/>
          <w:sz w:val="24"/>
          <w:szCs w:val="24"/>
          <w:highlight w:val="none"/>
          <w14:textFill>
            <w14:solidFill>
              <w14:schemeClr w14:val="tx1"/>
            </w14:solidFill>
          </w14:textFill>
        </w:rPr>
        <w:t>规定的标准对</w:t>
      </w:r>
      <w:r>
        <w:rPr>
          <w:rFonts w:hint="eastAsia" w:ascii="宋体" w:hAnsi="宋体" w:eastAsia="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进行初步评审。有一项不符合评审标准的，作废标处理。</w:t>
      </w:r>
    </w:p>
    <w:p w14:paraId="5533EA57">
      <w:pPr>
        <w:spacing w:after="156" w:afterLines="50"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.1.2</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有以下情形之一的，其投标作废标处理：</w:t>
      </w:r>
    </w:p>
    <w:p w14:paraId="792A002B">
      <w:pPr>
        <w:spacing w:after="156" w:afterLines="50"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（1）串通投标或弄虚作假或有其他违法行为的；</w:t>
      </w:r>
    </w:p>
    <w:p w14:paraId="415B9B54">
      <w:pPr>
        <w:spacing w:after="156" w:afterLines="50"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（2）不按</w:t>
      </w:r>
      <w:r>
        <w:rPr>
          <w:rFonts w:hint="eastAsia" w:ascii="宋体" w:hAnsi="宋体" w:eastAsia="宋体" w:cs="宋体"/>
          <w:color w:val="000000" w:themeColor="text1"/>
          <w:sz w:val="24"/>
          <w:szCs w:val="24"/>
          <w:highlight w:val="none"/>
          <w:lang w:eastAsia="zh-CN"/>
          <w14:textFill>
            <w14:solidFill>
              <w14:schemeClr w14:val="tx1"/>
            </w14:solidFill>
          </w14:textFill>
        </w:rPr>
        <w:t>谈判小组</w:t>
      </w:r>
      <w:r>
        <w:rPr>
          <w:rFonts w:hint="eastAsia" w:ascii="宋体" w:hAnsi="宋体" w:eastAsia="宋体" w:cs="宋体"/>
          <w:color w:val="000000" w:themeColor="text1"/>
          <w:sz w:val="24"/>
          <w:szCs w:val="24"/>
          <w:highlight w:val="none"/>
          <w14:textFill>
            <w14:solidFill>
              <w14:schemeClr w14:val="tx1"/>
            </w14:solidFill>
          </w14:textFill>
        </w:rPr>
        <w:t>要求澄清、说明或补正的。</w:t>
      </w:r>
    </w:p>
    <w:p w14:paraId="477608A2">
      <w:pPr>
        <w:spacing w:after="156" w:afterLines="50"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（3）投标函中投标报价与工程量汇总价不一致时</w:t>
      </w:r>
      <w:r>
        <w:rPr>
          <w:rFonts w:hint="eastAsia" w:ascii="宋体" w:hAnsi="宋体" w:eastAsia="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作废标处理。</w:t>
      </w:r>
    </w:p>
    <w:p w14:paraId="25B7D5E7">
      <w:pPr>
        <w:spacing w:after="156" w:afterLines="50"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（4）提供虚假资料的其</w:t>
      </w:r>
      <w:r>
        <w:rPr>
          <w:rFonts w:hint="eastAsia" w:ascii="宋体" w:hAnsi="宋体" w:eastAsia="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作废标处理。</w:t>
      </w:r>
    </w:p>
    <w:p w14:paraId="00EC07D2">
      <w:pPr>
        <w:spacing w:after="156" w:afterLines="50"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在开标时资格审查时递交的法人授权委托书公证件原件，其内容应与资格预审、</w:t>
      </w:r>
      <w:r>
        <w:rPr>
          <w:rFonts w:hint="eastAsia" w:ascii="宋体" w:hAnsi="宋体" w:eastAsia="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的内容一致，其中委托代理人均为同一人，不一致作废标处理。</w:t>
      </w:r>
    </w:p>
    <w:p w14:paraId="501EE88B">
      <w:pPr>
        <w:spacing w:after="156" w:afterLines="50"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r>
        <w:rPr>
          <w:rFonts w:hint="eastAsia" w:ascii="宋体" w:hAnsi="宋体" w:eastAsia="宋体" w:cs="宋体"/>
          <w:color w:val="000000" w:themeColor="text1"/>
          <w:sz w:val="24"/>
          <w:szCs w:val="24"/>
          <w:highlight w:val="none"/>
          <w:lang w:eastAsia="zh-CN"/>
          <w14:textFill>
            <w14:solidFill>
              <w14:schemeClr w14:val="tx1"/>
            </w14:solidFill>
          </w14:textFill>
        </w:rPr>
        <w:t>谈判小组</w:t>
      </w:r>
      <w:r>
        <w:rPr>
          <w:rFonts w:hint="eastAsia" w:ascii="宋体" w:hAnsi="宋体" w:eastAsia="宋体" w:cs="宋体"/>
          <w:color w:val="000000" w:themeColor="text1"/>
          <w:sz w:val="24"/>
          <w:szCs w:val="24"/>
          <w:highlight w:val="none"/>
          <w14:textFill>
            <w14:solidFill>
              <w14:schemeClr w14:val="tx1"/>
            </w14:solidFill>
          </w14:textFill>
        </w:rPr>
        <w:t>认定</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以低于成本报价竞标的。</w:t>
      </w:r>
    </w:p>
    <w:p w14:paraId="4B266B14">
      <w:pPr>
        <w:spacing w:after="156" w:afterLines="50"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附有</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不能接受的条件。</w:t>
      </w:r>
    </w:p>
    <w:p w14:paraId="690FA3D9">
      <w:pPr>
        <w:spacing w:after="156" w:afterLines="50"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r>
        <w:rPr>
          <w:rFonts w:hint="eastAsia" w:ascii="宋体" w:hAnsi="宋体" w:eastAsia="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偏离</w:t>
      </w:r>
      <w:r>
        <w:rPr>
          <w:rFonts w:hint="eastAsia" w:ascii="宋体" w:hAnsi="宋体" w:eastAsia="宋体" w:cs="宋体"/>
          <w:color w:val="000000" w:themeColor="text1"/>
          <w:sz w:val="24"/>
          <w:szCs w:val="24"/>
          <w:highlight w:val="none"/>
          <w:lang w:eastAsia="zh-CN"/>
          <w14:textFill>
            <w14:solidFill>
              <w14:schemeClr w14:val="tx1"/>
            </w14:solidFill>
          </w14:textFill>
        </w:rPr>
        <w:t>竞争性谈判文件</w:t>
      </w:r>
      <w:r>
        <w:rPr>
          <w:rFonts w:hint="eastAsia" w:ascii="宋体" w:hAnsi="宋体" w:eastAsia="宋体" w:cs="宋体"/>
          <w:color w:val="000000" w:themeColor="text1"/>
          <w:sz w:val="24"/>
          <w:szCs w:val="24"/>
          <w:highlight w:val="none"/>
          <w14:textFill>
            <w14:solidFill>
              <w14:schemeClr w14:val="tx1"/>
            </w14:solidFill>
          </w14:textFill>
        </w:rPr>
        <w:t>实质性要求和条件的。</w:t>
      </w:r>
    </w:p>
    <w:p w14:paraId="21AC1EFE">
      <w:pPr>
        <w:spacing w:after="156" w:afterLines="50"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（9）一个</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递交两份或多分内容不同的</w:t>
      </w:r>
      <w:r>
        <w:rPr>
          <w:rFonts w:hint="eastAsia" w:ascii="宋体" w:hAnsi="宋体" w:eastAsia="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，或在一份</w:t>
      </w:r>
      <w:r>
        <w:rPr>
          <w:rFonts w:hint="eastAsia" w:ascii="宋体" w:hAnsi="宋体" w:eastAsia="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中对同一招标项目有两个或多个报价，且未声明哪一个报价有效的。</w:t>
      </w:r>
    </w:p>
    <w:p w14:paraId="009F4C18">
      <w:pPr>
        <w:spacing w:after="156" w:afterLines="50"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.1.3投标报价有算术错误的，</w:t>
      </w:r>
      <w:r>
        <w:rPr>
          <w:rFonts w:hint="eastAsia" w:ascii="宋体" w:hAnsi="宋体" w:eastAsia="宋体" w:cs="宋体"/>
          <w:color w:val="000000" w:themeColor="text1"/>
          <w:sz w:val="24"/>
          <w:szCs w:val="24"/>
          <w:highlight w:val="none"/>
          <w:lang w:eastAsia="zh-CN"/>
          <w14:textFill>
            <w14:solidFill>
              <w14:schemeClr w14:val="tx1"/>
            </w14:solidFill>
          </w14:textFill>
        </w:rPr>
        <w:t>谈判小组</w:t>
      </w:r>
      <w:r>
        <w:rPr>
          <w:rFonts w:hint="eastAsia" w:ascii="宋体" w:hAnsi="宋体" w:eastAsia="宋体" w:cs="宋体"/>
          <w:color w:val="000000" w:themeColor="text1"/>
          <w:sz w:val="24"/>
          <w:szCs w:val="24"/>
          <w:highlight w:val="none"/>
          <w14:textFill>
            <w14:solidFill>
              <w14:schemeClr w14:val="tx1"/>
            </w14:solidFill>
          </w14:textFill>
        </w:rPr>
        <w:t>按以下原则对投标报价进行修正，修正的价格经</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书面确认后具有约束力。</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不接受修正价格的，其投标作废标处理。</w:t>
      </w:r>
    </w:p>
    <w:p w14:paraId="15F28C5B">
      <w:pPr>
        <w:spacing w:after="156" w:afterLines="50"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中的大写金额与小写金额不一致的，以大写金额为准；</w:t>
      </w:r>
    </w:p>
    <w:p w14:paraId="5149B054">
      <w:pPr>
        <w:spacing w:after="156" w:afterLines="50"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（2）总价金额与依据单价计算出的结果不一致的，以单价金额为准修正总价，但单价金额小数点有明显错误的除外。</w:t>
      </w:r>
    </w:p>
    <w:p w14:paraId="05E2834A">
      <w:pPr>
        <w:spacing w:after="156" w:afterLines="50" w:line="360" w:lineRule="auto"/>
        <w:ind w:firstLine="480" w:firstLineChars="200"/>
        <w:outlineLvl w:val="2"/>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.2详细评审</w:t>
      </w:r>
    </w:p>
    <w:p w14:paraId="459554B6">
      <w:pPr>
        <w:spacing w:after="156" w:afterLines="50" w:line="360" w:lineRule="auto"/>
        <w:ind w:firstLine="480" w:firstLineChars="200"/>
        <w:outlineLvl w:val="2"/>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由谈判小组与供应商进行谈判，供应商进行二轮报价。第一轮报价为响应文件内报价，第二轮报价所有供应商同时报价。以最后一轮的最终报价由低到高进行排序，谈判小组推荐报价最低的三名供应商为成交候选人推荐给招标人，由招标人确定一名供应商为成交供应商。</w:t>
      </w:r>
    </w:p>
    <w:p w14:paraId="2DF49DD0">
      <w:pPr>
        <w:spacing w:after="156" w:afterLines="50"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w:t>
      </w:r>
      <w:r>
        <w:rPr>
          <w:rFonts w:hint="eastAsia" w:ascii="宋体" w:hAnsi="宋体" w:eastAsia="宋体" w:cs="宋体"/>
          <w:color w:val="000000" w:themeColor="text1"/>
          <w:sz w:val="24"/>
          <w:szCs w:val="24"/>
          <w:highlight w:val="none"/>
          <w14:textFill>
            <w14:solidFill>
              <w14:schemeClr w14:val="tx1"/>
            </w14:solidFill>
          </w14:textFill>
        </w:rPr>
        <w:t>、谈判结束，主持人公布谈判结果。</w:t>
      </w:r>
    </w:p>
    <w:p w14:paraId="00D3040E">
      <w:pPr>
        <w:spacing w:after="156" w:afterLines="50"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4.4</w:t>
      </w:r>
      <w:r>
        <w:rPr>
          <w:rFonts w:hint="eastAsia" w:ascii="宋体" w:hAnsi="宋体" w:eastAsia="宋体" w:cs="宋体"/>
          <w:color w:val="000000" w:themeColor="text1"/>
          <w:sz w:val="24"/>
          <w:szCs w:val="24"/>
          <w:highlight w:val="none"/>
          <w14:textFill>
            <w14:solidFill>
              <w14:schemeClr w14:val="tx1"/>
            </w14:solidFill>
          </w14:textFill>
        </w:rPr>
        <w:t>、谈判中的注意事项：</w:t>
      </w:r>
    </w:p>
    <w:p w14:paraId="2AAB854E">
      <w:pPr>
        <w:spacing w:after="156" w:afterLines="50"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谈判时由谈判小组所有成员集中与单一供应商分别进行谈判。谈判中，谈判的任何一方不得透露与谈判有关的其他供应商的技术资料、价格和其他信息；</w:t>
      </w:r>
    </w:p>
    <w:p w14:paraId="3AC9916E">
      <w:pPr>
        <w:spacing w:after="156" w:afterLines="50" w:line="360" w:lineRule="auto"/>
        <w:ind w:firstLine="480" w:firstLineChars="200"/>
        <w:outlineLvl w:val="0"/>
        <w:rPr>
          <w:rFonts w:hint="eastAsia" w:ascii="宋体" w:hAnsi="宋体" w:eastAsia="宋体" w:cs="宋体"/>
          <w:color w:val="000000" w:themeColor="text1"/>
          <w:sz w:val="24"/>
          <w:szCs w:val="24"/>
          <w:highlight w:val="none"/>
          <w14:textFill>
            <w14:solidFill>
              <w14:schemeClr w14:val="tx1"/>
            </w14:solidFill>
          </w14:textFill>
        </w:rPr>
      </w:pPr>
      <w:bookmarkStart w:id="272" w:name="_Toc16081"/>
      <w:r>
        <w:rPr>
          <w:rFonts w:hint="eastAsia" w:ascii="宋体" w:hAnsi="宋体" w:eastAsia="宋体" w:cs="宋体"/>
          <w:color w:val="000000" w:themeColor="text1"/>
          <w:sz w:val="24"/>
          <w:szCs w:val="24"/>
          <w:highlight w:val="none"/>
          <w14:textFill>
            <w14:solidFill>
              <w14:schemeClr w14:val="tx1"/>
            </w14:solidFill>
          </w14:textFill>
        </w:rPr>
        <w:t>谈判文件有实质性变动的，谈判小组应当以书面形式通知参加谈判的供应商。</w:t>
      </w:r>
      <w:bookmarkEnd w:id="272"/>
    </w:p>
    <w:p w14:paraId="084319B8">
      <w:pPr>
        <w:numPr>
          <w:ilvl w:val="0"/>
          <w:numId w:val="2"/>
        </w:numPr>
        <w:spacing w:after="156" w:afterLines="50"/>
        <w:jc w:val="center"/>
        <w:outlineLvl w:val="0"/>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bookmarkStart w:id="273" w:name="_Toc7354"/>
      <w:bookmarkStart w:id="274" w:name="_Toc8936"/>
      <w:bookmarkStart w:id="275" w:name="_Toc27584"/>
      <w:bookmarkStart w:id="276" w:name="_Toc1903"/>
      <w:bookmarkStart w:id="277" w:name="_Toc9296"/>
      <w:bookmarkStart w:id="278" w:name="_Toc30916"/>
      <w:bookmarkStart w:id="279" w:name="_Toc26554"/>
      <w:bookmarkStart w:id="280" w:name="_Toc25211"/>
      <w:bookmarkStart w:id="281" w:name="_Toc464831170"/>
      <w:r>
        <w:rPr>
          <w:rFonts w:hint="eastAsia" w:ascii="宋体" w:hAnsi="宋体" w:eastAsia="宋体" w:cs="宋体"/>
          <w:b/>
          <w:bCs/>
          <w:color w:val="000000" w:themeColor="text1"/>
          <w:sz w:val="36"/>
          <w:szCs w:val="36"/>
          <w:highlight w:val="none"/>
          <w14:textFill>
            <w14:solidFill>
              <w14:schemeClr w14:val="tx1"/>
            </w14:solidFill>
          </w14:textFill>
        </w:rPr>
        <w:t xml:space="preserve"> </w:t>
      </w:r>
      <w:bookmarkStart w:id="282" w:name="_Toc14261"/>
      <w:r>
        <w:rPr>
          <w:rFonts w:hint="eastAsia" w:ascii="宋体" w:hAnsi="宋体" w:eastAsia="宋体" w:cs="宋体"/>
          <w:b/>
          <w:bCs/>
          <w:color w:val="000000" w:themeColor="text1"/>
          <w:sz w:val="36"/>
          <w:szCs w:val="36"/>
          <w:highlight w:val="none"/>
          <w14:textFill>
            <w14:solidFill>
              <w14:schemeClr w14:val="tx1"/>
            </w14:solidFill>
          </w14:textFill>
        </w:rPr>
        <w:t>签订合同、合同主要条款</w:t>
      </w:r>
      <w:bookmarkEnd w:id="273"/>
      <w:bookmarkEnd w:id="274"/>
      <w:bookmarkEnd w:id="275"/>
      <w:bookmarkEnd w:id="276"/>
      <w:bookmarkEnd w:id="277"/>
      <w:bookmarkEnd w:id="278"/>
      <w:bookmarkEnd w:id="279"/>
      <w:bookmarkEnd w:id="280"/>
      <w:bookmarkEnd w:id="281"/>
      <w:bookmarkEnd w:id="282"/>
    </w:p>
    <w:p w14:paraId="5C5C0CF9">
      <w:pPr>
        <w:pStyle w:val="16"/>
        <w:numPr>
          <w:ilvl w:val="0"/>
          <w:numId w:val="0"/>
        </w:numPr>
        <w:ind w:leftChars="400"/>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具体以与甲方签订的合同为准</w:t>
      </w:r>
    </w:p>
    <w:p w14:paraId="1363D6C8">
      <w:pPr>
        <w:keepNext/>
        <w:keepLines/>
        <w:pageBreakBefore/>
        <w:jc w:val="center"/>
        <w:outlineLvl w:val="0"/>
        <w:rPr>
          <w:rFonts w:hint="eastAsia" w:ascii="宋体" w:hAnsi="宋体"/>
          <w:sz w:val="32"/>
          <w:szCs w:val="32"/>
        </w:rPr>
      </w:pPr>
      <w:bookmarkStart w:id="283" w:name="_Toc427823747"/>
      <w:bookmarkStart w:id="284" w:name="_Toc563"/>
      <w:bookmarkStart w:id="285" w:name="_Toc21360"/>
      <w:bookmarkStart w:id="286" w:name="_Toc7148"/>
      <w:bookmarkStart w:id="287" w:name="_Toc23110"/>
      <w:bookmarkStart w:id="288" w:name="_Toc28315"/>
      <w:bookmarkStart w:id="289" w:name="_Toc16731"/>
      <w:bookmarkStart w:id="290" w:name="_Toc464831175"/>
      <w:bookmarkStart w:id="291" w:name="_Toc18981"/>
      <w:bookmarkStart w:id="292" w:name="_Toc6773"/>
      <w:r>
        <w:rPr>
          <w:rFonts w:ascii="宋体" w:hAnsi="宋体"/>
          <w:sz w:val="32"/>
          <w:szCs w:val="32"/>
          <w:highlight w:val="white"/>
        </w:rPr>
        <w:t>合同条款及格式</w:t>
      </w:r>
    </w:p>
    <w:p w14:paraId="6110D1D2">
      <w:pPr>
        <w:rPr>
          <w:rFonts w:hint="eastAsia"/>
          <w:highlight w:val="yellow"/>
        </w:rPr>
      </w:pPr>
    </w:p>
    <w:p w14:paraId="6876F360">
      <w:pPr>
        <w:rPr>
          <w:rFonts w:hint="eastAsia"/>
          <w:highlight w:val="red"/>
        </w:rPr>
      </w:pPr>
      <w:bookmarkStart w:id="293" w:name="EB9fcae9aeb17a4545b12c4b13d8cfb456"/>
    </w:p>
    <w:p w14:paraId="42FF8F63">
      <w:pPr>
        <w:jc w:val="center"/>
        <w:outlineLvl w:val="1"/>
        <w:rPr>
          <w:rFonts w:ascii="宋体" w:hAnsi="宋体"/>
          <w:sz w:val="28"/>
          <w:szCs w:val="28"/>
        </w:rPr>
      </w:pPr>
      <w:bookmarkStart w:id="294" w:name="_Toc256000114"/>
      <w:bookmarkStart w:id="295" w:name="_Toc2037"/>
      <w:bookmarkStart w:id="296" w:name="_Toc27749"/>
      <w:bookmarkStart w:id="297" w:name="_Toc256000085"/>
      <w:r>
        <w:rPr>
          <w:rFonts w:hint="eastAsia" w:ascii="宋体" w:hAnsi="宋体"/>
          <w:sz w:val="24"/>
        </w:rPr>
        <w:t>第1节　通用合同条款</w:t>
      </w:r>
      <w:bookmarkEnd w:id="294"/>
      <w:bookmarkEnd w:id="295"/>
      <w:bookmarkEnd w:id="296"/>
      <w:bookmarkEnd w:id="297"/>
    </w:p>
    <w:p w14:paraId="2097BC43">
      <w:pPr>
        <w:spacing w:line="500" w:lineRule="exact"/>
        <w:outlineLvl w:val="2"/>
        <w:rPr>
          <w:rFonts w:hint="eastAsia" w:ascii="宋体" w:hAnsi="宋体" w:cs="宋体"/>
          <w:sz w:val="24"/>
        </w:rPr>
      </w:pPr>
      <w:bookmarkStart w:id="298" w:name="_Toc13316"/>
      <w:bookmarkStart w:id="299" w:name="_Toc256000086"/>
      <w:bookmarkStart w:id="300" w:name="_Toc24554"/>
      <w:bookmarkStart w:id="301" w:name="_Toc256000115"/>
      <w:r>
        <w:rPr>
          <w:rFonts w:hint="eastAsia" w:ascii="宋体" w:hAnsi="宋体" w:cs="宋体"/>
          <w:sz w:val="24"/>
        </w:rPr>
        <w:t>1．一般约定</w:t>
      </w:r>
      <w:bookmarkEnd w:id="298"/>
      <w:bookmarkEnd w:id="299"/>
      <w:bookmarkEnd w:id="300"/>
      <w:bookmarkEnd w:id="301"/>
    </w:p>
    <w:p w14:paraId="748B648E">
      <w:pPr>
        <w:spacing w:line="500" w:lineRule="exact"/>
        <w:outlineLvl w:val="3"/>
        <w:rPr>
          <w:rFonts w:hint="eastAsia" w:ascii="宋体" w:hAnsi="宋体" w:cs="宋体"/>
          <w:sz w:val="24"/>
        </w:rPr>
      </w:pPr>
      <w:r>
        <w:rPr>
          <w:rFonts w:hint="eastAsia" w:ascii="宋体" w:hAnsi="宋体" w:cs="宋体"/>
          <w:sz w:val="24"/>
        </w:rPr>
        <w:t>1.1词语定义</w:t>
      </w:r>
    </w:p>
    <w:p w14:paraId="033764DF">
      <w:pPr>
        <w:spacing w:line="500" w:lineRule="exact"/>
        <w:ind w:firstLine="480" w:firstLineChars="200"/>
        <w:jc w:val="left"/>
        <w:rPr>
          <w:rFonts w:hint="eastAsia" w:ascii="宋体" w:hAnsi="宋体" w:cs="宋体"/>
          <w:sz w:val="24"/>
        </w:rPr>
      </w:pPr>
      <w:r>
        <w:rPr>
          <w:rFonts w:hint="eastAsia" w:ascii="宋体" w:hAnsi="宋体" w:cs="宋体"/>
          <w:sz w:val="24"/>
        </w:rPr>
        <w:t>通用合同条款、专用合同条款中的下列词语应具有本款所赋予的含义。</w:t>
      </w:r>
    </w:p>
    <w:p w14:paraId="184EF7BC">
      <w:pPr>
        <w:spacing w:line="500" w:lineRule="exact"/>
        <w:ind w:firstLine="480" w:firstLineChars="200"/>
        <w:rPr>
          <w:rFonts w:hint="eastAsia" w:ascii="宋体" w:hAnsi="宋体" w:cs="宋体"/>
          <w:sz w:val="24"/>
        </w:rPr>
      </w:pPr>
      <w:r>
        <w:rPr>
          <w:rFonts w:hint="eastAsia" w:ascii="宋体" w:hAnsi="宋体" w:cs="宋体"/>
          <w:sz w:val="24"/>
        </w:rPr>
        <w:t>1.1.1 合同</w:t>
      </w:r>
    </w:p>
    <w:p w14:paraId="1D09487F">
      <w:pPr>
        <w:spacing w:line="500" w:lineRule="exact"/>
        <w:ind w:firstLine="480" w:firstLineChars="200"/>
        <w:rPr>
          <w:rFonts w:hint="eastAsia" w:ascii="宋体" w:hAnsi="宋体" w:cs="宋体"/>
          <w:sz w:val="24"/>
        </w:rPr>
      </w:pPr>
      <w:r>
        <w:rPr>
          <w:rFonts w:hint="eastAsia" w:ascii="宋体" w:hAnsi="宋体" w:cs="宋体"/>
          <w:sz w:val="24"/>
        </w:rPr>
        <w:t>1.1.1.1 合同文件（或称合同）：指合同协议书、中标通知书、投标函及投标函附录、专用合同条款、通用合同条款、技术标准和要求、图纸、已标价工程量清单，以及其他合同文件。</w:t>
      </w:r>
    </w:p>
    <w:p w14:paraId="638B4A17">
      <w:pPr>
        <w:spacing w:line="500" w:lineRule="exact"/>
        <w:ind w:firstLine="480" w:firstLineChars="200"/>
        <w:rPr>
          <w:rFonts w:hint="eastAsia" w:ascii="宋体" w:hAnsi="宋体" w:cs="宋体"/>
          <w:sz w:val="24"/>
        </w:rPr>
      </w:pPr>
      <w:r>
        <w:rPr>
          <w:rFonts w:hint="eastAsia" w:ascii="宋体" w:hAnsi="宋体" w:cs="宋体"/>
          <w:sz w:val="24"/>
        </w:rPr>
        <w:t>1.1.1.2 合同协议书：指第1.5款所指的合同协议书。</w:t>
      </w:r>
    </w:p>
    <w:p w14:paraId="09BCF997">
      <w:pPr>
        <w:spacing w:line="500" w:lineRule="exact"/>
        <w:ind w:firstLine="480" w:firstLineChars="200"/>
        <w:rPr>
          <w:rFonts w:hint="eastAsia" w:ascii="宋体" w:hAnsi="宋体" w:cs="宋体"/>
          <w:sz w:val="24"/>
        </w:rPr>
      </w:pPr>
      <w:r>
        <w:rPr>
          <w:rFonts w:hint="eastAsia" w:ascii="宋体" w:hAnsi="宋体" w:cs="宋体"/>
          <w:sz w:val="24"/>
        </w:rPr>
        <w:t>1.1.1.3 中标通知书：指发包人通知承包人中标的函件。中标通知书随附的澄清、说明、补正事项纪要等，是中标通知书的组成部分。</w:t>
      </w:r>
    </w:p>
    <w:p w14:paraId="1B4B5D13">
      <w:pPr>
        <w:spacing w:line="500" w:lineRule="exact"/>
        <w:ind w:firstLine="480" w:firstLineChars="200"/>
        <w:rPr>
          <w:rFonts w:hint="eastAsia" w:ascii="宋体" w:hAnsi="宋体" w:cs="宋体"/>
          <w:dstrike/>
          <w:sz w:val="24"/>
        </w:rPr>
      </w:pPr>
      <w:r>
        <w:rPr>
          <w:rFonts w:hint="eastAsia" w:ascii="宋体" w:hAnsi="宋体" w:cs="宋体"/>
          <w:sz w:val="24"/>
        </w:rPr>
        <w:t>1.1.1.4 投标函：指构成合同文件组成部分的由承包人填写并签署的投标函。</w:t>
      </w:r>
    </w:p>
    <w:p w14:paraId="29EB7B09">
      <w:pPr>
        <w:spacing w:line="500" w:lineRule="exact"/>
        <w:ind w:firstLine="480" w:firstLineChars="200"/>
        <w:rPr>
          <w:rFonts w:hint="eastAsia" w:ascii="宋体" w:hAnsi="宋体" w:cs="宋体"/>
          <w:sz w:val="24"/>
        </w:rPr>
      </w:pPr>
      <w:r>
        <w:rPr>
          <w:rFonts w:hint="eastAsia" w:ascii="宋体" w:hAnsi="宋体" w:cs="宋体"/>
          <w:sz w:val="24"/>
        </w:rPr>
        <w:t>1.1.1.5 投标函附录：指附在投标函后构成合同文件的投标函附录。</w:t>
      </w:r>
    </w:p>
    <w:p w14:paraId="2FB6EBD5">
      <w:pPr>
        <w:spacing w:line="500" w:lineRule="exact"/>
        <w:ind w:firstLine="480" w:firstLineChars="200"/>
        <w:rPr>
          <w:rFonts w:hint="eastAsia" w:ascii="宋体" w:hAnsi="宋体" w:cs="宋体"/>
          <w:sz w:val="24"/>
        </w:rPr>
      </w:pPr>
      <w:r>
        <w:rPr>
          <w:rFonts w:hint="eastAsia" w:ascii="宋体" w:hAnsi="宋体" w:cs="宋体"/>
          <w:sz w:val="24"/>
        </w:rPr>
        <w:t>1.1.1.6　技术标准和要求：指构成合同文件组成部分的名为技术标准和要求(合同技术条款)的文件，包括合同双方当事人约定对其所作的修改或补充。</w:t>
      </w:r>
    </w:p>
    <w:p w14:paraId="4BB80C0A">
      <w:pPr>
        <w:spacing w:line="500" w:lineRule="exact"/>
        <w:rPr>
          <w:rFonts w:hint="eastAsia" w:ascii="宋体" w:hAnsi="宋体" w:cs="宋体"/>
          <w:sz w:val="24"/>
        </w:rPr>
      </w:pPr>
      <w:r>
        <w:rPr>
          <w:rFonts w:hint="eastAsia" w:ascii="宋体" w:hAnsi="宋体" w:cs="宋体"/>
          <w:sz w:val="24"/>
        </w:rPr>
        <w:t>　　1.1.1.7　图纸：指列入合同的招标图纸、投标图纸和发包人按合同约定向承包人提供的施工图纸和其它图纸(包括配套说明和有关资料)。列入合同的招标图纸已成为合同文件的一部分，具有合同效力，主要用于在履行合同中作为衡量变更的依据，但不能直接用于施工。经发包人确认进入合同的投标图纸亦成为合同文件的一部分，用于在履行合同中检验承包人是否按其投标时承诺的条件进行施工的依据，亦不能直接用于施工。</w:t>
      </w:r>
    </w:p>
    <w:p w14:paraId="12EEF88C">
      <w:pPr>
        <w:spacing w:line="500" w:lineRule="exact"/>
        <w:ind w:firstLine="480" w:firstLineChars="200"/>
        <w:rPr>
          <w:rFonts w:hint="eastAsia" w:ascii="宋体" w:hAnsi="宋体" w:cs="宋体"/>
          <w:sz w:val="24"/>
        </w:rPr>
      </w:pPr>
      <w:r>
        <w:rPr>
          <w:rFonts w:hint="eastAsia" w:ascii="宋体" w:hAnsi="宋体" w:cs="宋体"/>
          <w:sz w:val="24"/>
        </w:rPr>
        <w:t>1.1.1.8 已标价工程量清单：指构成合同文件组成部分的由承包人按照规定的格式和要求填写并标明价格的工程量清单。</w:t>
      </w:r>
    </w:p>
    <w:p w14:paraId="4DA82037">
      <w:pPr>
        <w:spacing w:line="500" w:lineRule="exact"/>
        <w:ind w:firstLine="480" w:firstLineChars="200"/>
        <w:rPr>
          <w:rFonts w:hint="eastAsia" w:ascii="宋体" w:hAnsi="宋体" w:cs="宋体"/>
          <w:sz w:val="24"/>
        </w:rPr>
      </w:pPr>
      <w:r>
        <w:rPr>
          <w:rFonts w:hint="eastAsia" w:ascii="宋体" w:hAnsi="宋体" w:cs="宋体"/>
          <w:sz w:val="24"/>
        </w:rPr>
        <w:t>1.1.1.9 其他合同文件：指经合同双方当事人确认构成合同文件的其他文件。</w:t>
      </w:r>
    </w:p>
    <w:p w14:paraId="1FD64B4A">
      <w:pPr>
        <w:spacing w:line="500" w:lineRule="exact"/>
        <w:ind w:firstLine="480" w:firstLineChars="200"/>
        <w:rPr>
          <w:rFonts w:hint="eastAsia" w:ascii="宋体" w:hAnsi="宋体" w:cs="宋体"/>
          <w:sz w:val="24"/>
        </w:rPr>
      </w:pPr>
      <w:r>
        <w:rPr>
          <w:rFonts w:hint="eastAsia" w:ascii="宋体" w:hAnsi="宋体" w:cs="宋体"/>
          <w:sz w:val="24"/>
        </w:rPr>
        <w:t>1.1.2　合同当事人和人员</w:t>
      </w:r>
    </w:p>
    <w:p w14:paraId="28575B01">
      <w:pPr>
        <w:spacing w:line="500" w:lineRule="exact"/>
        <w:ind w:firstLine="480" w:firstLineChars="200"/>
        <w:rPr>
          <w:rFonts w:hint="eastAsia" w:ascii="宋体" w:hAnsi="宋体" w:cs="宋体"/>
          <w:sz w:val="24"/>
        </w:rPr>
      </w:pPr>
      <w:r>
        <w:rPr>
          <w:rFonts w:hint="eastAsia" w:ascii="宋体" w:hAnsi="宋体" w:cs="宋体"/>
          <w:sz w:val="24"/>
        </w:rPr>
        <w:t>1.1.2.1 合同当事人:指发包人和（或）承包人。</w:t>
      </w:r>
    </w:p>
    <w:p w14:paraId="68711730">
      <w:pPr>
        <w:spacing w:line="500" w:lineRule="exact"/>
        <w:ind w:firstLine="480" w:firstLineChars="200"/>
        <w:rPr>
          <w:rFonts w:hint="eastAsia" w:ascii="宋体" w:hAnsi="宋体" w:cs="宋体"/>
          <w:sz w:val="24"/>
        </w:rPr>
      </w:pPr>
      <w:r>
        <w:rPr>
          <w:rFonts w:hint="eastAsia" w:ascii="宋体" w:hAnsi="宋体" w:cs="宋体"/>
          <w:sz w:val="24"/>
        </w:rPr>
        <w:t>1.1.2.2 发包人：指专用合同条款中指明并与承包人在合同协议书中签字的当事人。</w:t>
      </w:r>
    </w:p>
    <w:p w14:paraId="3FED3BAA">
      <w:pPr>
        <w:spacing w:line="500" w:lineRule="exact"/>
        <w:ind w:firstLine="480" w:firstLineChars="200"/>
        <w:rPr>
          <w:rFonts w:hint="eastAsia" w:ascii="宋体" w:hAnsi="宋体" w:cs="宋体"/>
          <w:sz w:val="24"/>
        </w:rPr>
      </w:pPr>
      <w:r>
        <w:rPr>
          <w:rFonts w:hint="eastAsia" w:ascii="宋体" w:hAnsi="宋体" w:cs="宋体"/>
          <w:sz w:val="24"/>
        </w:rPr>
        <w:t>1.1.2.3　承包人：指专用合同条款中指明并与发包人在合同协议书中签字的当事人。</w:t>
      </w:r>
    </w:p>
    <w:p w14:paraId="29CE5D84">
      <w:pPr>
        <w:spacing w:line="500" w:lineRule="exact"/>
        <w:ind w:firstLine="420"/>
        <w:rPr>
          <w:rFonts w:hint="eastAsia" w:ascii="宋体" w:hAnsi="宋体" w:cs="宋体"/>
          <w:sz w:val="24"/>
        </w:rPr>
      </w:pPr>
      <w:r>
        <w:rPr>
          <w:rFonts w:hint="eastAsia" w:ascii="宋体" w:hAnsi="宋体" w:cs="宋体"/>
          <w:sz w:val="24"/>
        </w:rPr>
        <w:t>1.1.2.5　分包人：指专用合同条款中指明的，从承包人处分包合同中某一部分工程，并与其签订分包合同的分包人。</w:t>
      </w:r>
    </w:p>
    <w:p w14:paraId="6F5FF41E">
      <w:pPr>
        <w:spacing w:line="500" w:lineRule="exact"/>
        <w:ind w:firstLine="480" w:firstLineChars="200"/>
        <w:rPr>
          <w:rFonts w:hint="eastAsia" w:ascii="宋体" w:hAnsi="宋体" w:cs="宋体"/>
          <w:sz w:val="24"/>
        </w:rPr>
      </w:pPr>
      <w:r>
        <w:rPr>
          <w:rFonts w:hint="eastAsia" w:ascii="宋体" w:hAnsi="宋体" w:cs="宋体"/>
          <w:sz w:val="24"/>
        </w:rPr>
        <w:t>1.1.2.6 监理人：指在专用合同条款中指明的，受发包人委托对合同履行实施管理的法人或其他组织。</w:t>
      </w:r>
    </w:p>
    <w:p w14:paraId="048332A2">
      <w:pPr>
        <w:spacing w:line="500" w:lineRule="exact"/>
        <w:ind w:firstLine="420"/>
        <w:rPr>
          <w:rFonts w:hint="eastAsia" w:ascii="宋体" w:hAnsi="宋体" w:cs="宋体"/>
          <w:sz w:val="24"/>
        </w:rPr>
      </w:pPr>
      <w:r>
        <w:rPr>
          <w:rFonts w:hint="eastAsia" w:ascii="宋体" w:hAnsi="宋体" w:cs="宋体"/>
          <w:sz w:val="24"/>
        </w:rPr>
        <w:t>1.1.2.7 总监理工程师（总监）：指由监理人委派常驻施工场地对合同履行实施管理的全权负责人。</w:t>
      </w:r>
    </w:p>
    <w:p w14:paraId="2A9D6E17">
      <w:pPr>
        <w:spacing w:line="500" w:lineRule="exact"/>
        <w:rPr>
          <w:rFonts w:hint="eastAsia" w:ascii="宋体" w:hAnsi="宋体" w:cs="宋体"/>
          <w:sz w:val="24"/>
        </w:rPr>
      </w:pPr>
      <w:r>
        <w:rPr>
          <w:rFonts w:hint="eastAsia" w:ascii="宋体" w:hAnsi="宋体" w:cs="宋体"/>
          <w:sz w:val="24"/>
        </w:rPr>
        <w:t>　　1.1.3　工程和设备</w:t>
      </w:r>
    </w:p>
    <w:p w14:paraId="5B1004F6">
      <w:pPr>
        <w:spacing w:line="500" w:lineRule="exact"/>
        <w:ind w:firstLine="480" w:firstLineChars="200"/>
        <w:rPr>
          <w:rFonts w:hint="eastAsia" w:ascii="宋体" w:hAnsi="宋体" w:cs="宋体"/>
          <w:sz w:val="24"/>
        </w:rPr>
      </w:pPr>
      <w:r>
        <w:rPr>
          <w:rFonts w:hint="eastAsia" w:ascii="宋体" w:hAnsi="宋体" w:cs="宋体"/>
          <w:sz w:val="24"/>
        </w:rPr>
        <w:t>1.1.3.1 工程：指永久工程和（或）临时工程。</w:t>
      </w:r>
    </w:p>
    <w:p w14:paraId="6F93C271">
      <w:pPr>
        <w:spacing w:line="500" w:lineRule="exact"/>
        <w:ind w:firstLine="480" w:firstLineChars="200"/>
        <w:rPr>
          <w:rFonts w:hint="eastAsia" w:ascii="宋体" w:hAnsi="宋体" w:cs="宋体"/>
          <w:sz w:val="24"/>
        </w:rPr>
      </w:pPr>
      <w:r>
        <w:rPr>
          <w:rFonts w:hint="eastAsia" w:ascii="宋体" w:hAnsi="宋体" w:cs="宋体"/>
          <w:sz w:val="24"/>
        </w:rPr>
        <w:t>1.1.3.2 永久工程：指按合同约定建造并移交给发包人的工程，包括工程设备。</w:t>
      </w:r>
    </w:p>
    <w:p w14:paraId="76E4BD95">
      <w:pPr>
        <w:spacing w:line="500" w:lineRule="exact"/>
        <w:ind w:firstLine="480" w:firstLineChars="200"/>
        <w:rPr>
          <w:rFonts w:hint="eastAsia" w:ascii="宋体" w:hAnsi="宋体" w:cs="宋体"/>
          <w:sz w:val="24"/>
        </w:rPr>
      </w:pPr>
      <w:r>
        <w:rPr>
          <w:rFonts w:hint="eastAsia" w:ascii="宋体" w:hAnsi="宋体" w:cs="宋体"/>
          <w:sz w:val="24"/>
        </w:rPr>
        <w:t>1.1.3.3 临时工程：指为完成合同约定的永久工程所修建的各类临时性工程，不包括施工设备。</w:t>
      </w:r>
    </w:p>
    <w:p w14:paraId="705FB49C">
      <w:pPr>
        <w:spacing w:line="500" w:lineRule="exact"/>
        <w:ind w:firstLine="480" w:firstLineChars="200"/>
        <w:rPr>
          <w:rFonts w:hint="eastAsia" w:ascii="宋体" w:hAnsi="宋体" w:cs="宋体"/>
          <w:sz w:val="24"/>
        </w:rPr>
      </w:pPr>
      <w:r>
        <w:rPr>
          <w:rFonts w:hint="eastAsia" w:ascii="宋体" w:hAnsi="宋体" w:cs="宋体"/>
          <w:sz w:val="24"/>
        </w:rPr>
        <w:t>1.1.3.4 单位工程：指专用合同条款中指明特定范围的永久工程。</w:t>
      </w:r>
    </w:p>
    <w:p w14:paraId="78CCCAB6">
      <w:pPr>
        <w:spacing w:line="500" w:lineRule="exact"/>
        <w:ind w:firstLine="480" w:firstLineChars="200"/>
        <w:rPr>
          <w:rFonts w:hint="eastAsia" w:ascii="宋体" w:hAnsi="宋体" w:cs="宋体"/>
          <w:sz w:val="24"/>
        </w:rPr>
      </w:pPr>
      <w:r>
        <w:rPr>
          <w:rFonts w:hint="eastAsia" w:ascii="宋体" w:hAnsi="宋体" w:cs="宋体"/>
          <w:sz w:val="24"/>
        </w:rPr>
        <w:t>1.1.3.5 工程设备：指构成或计划构成永久工程一部分的机电设备、金属结构设备、仪器装置及其他类似的设备和装置。</w:t>
      </w:r>
    </w:p>
    <w:p w14:paraId="752E74B3">
      <w:pPr>
        <w:spacing w:line="500" w:lineRule="exact"/>
        <w:ind w:firstLine="480" w:firstLineChars="200"/>
        <w:rPr>
          <w:rFonts w:hint="eastAsia" w:ascii="宋体" w:hAnsi="宋体" w:cs="宋体"/>
          <w:sz w:val="24"/>
        </w:rPr>
      </w:pPr>
      <w:r>
        <w:rPr>
          <w:rFonts w:hint="eastAsia" w:ascii="宋体" w:hAnsi="宋体" w:cs="宋体"/>
          <w:sz w:val="24"/>
        </w:rPr>
        <w:t>1.1.3.6 施工设备：指为完成合同约定的各项工作所需的设备、器具和其他物品，不包括临时工程和材料。</w:t>
      </w:r>
    </w:p>
    <w:p w14:paraId="2E7C7C40">
      <w:pPr>
        <w:spacing w:line="500" w:lineRule="exact"/>
        <w:ind w:firstLine="480" w:firstLineChars="200"/>
        <w:rPr>
          <w:rFonts w:hint="eastAsia" w:ascii="宋体" w:hAnsi="宋体" w:cs="宋体"/>
          <w:sz w:val="24"/>
        </w:rPr>
      </w:pPr>
      <w:r>
        <w:rPr>
          <w:rFonts w:hint="eastAsia" w:ascii="宋体" w:hAnsi="宋体" w:cs="宋体"/>
          <w:sz w:val="24"/>
        </w:rPr>
        <w:t>1.1.3.7 临时设施：指为完成合同约定的各项工作所服务的临时性生产和生活设施。</w:t>
      </w:r>
    </w:p>
    <w:p w14:paraId="121A4696">
      <w:pPr>
        <w:spacing w:line="500" w:lineRule="exact"/>
        <w:ind w:firstLine="480" w:firstLineChars="200"/>
        <w:rPr>
          <w:rFonts w:hint="eastAsia" w:ascii="宋体" w:hAnsi="宋体" w:cs="宋体"/>
          <w:sz w:val="24"/>
        </w:rPr>
      </w:pPr>
      <w:r>
        <w:rPr>
          <w:rFonts w:hint="eastAsia" w:ascii="宋体" w:hAnsi="宋体" w:cs="宋体"/>
          <w:sz w:val="24"/>
        </w:rPr>
        <w:t>1.1.3.8 承包人设备：指承包人自带的施工设备。</w:t>
      </w:r>
    </w:p>
    <w:p w14:paraId="13E65CB6">
      <w:pPr>
        <w:spacing w:line="500" w:lineRule="exact"/>
        <w:ind w:firstLine="480" w:firstLineChars="200"/>
        <w:rPr>
          <w:rFonts w:hint="eastAsia" w:ascii="宋体" w:hAnsi="宋体" w:cs="宋体"/>
          <w:sz w:val="24"/>
        </w:rPr>
      </w:pPr>
      <w:r>
        <w:rPr>
          <w:rFonts w:hint="eastAsia" w:ascii="宋体" w:hAnsi="宋体" w:cs="宋体"/>
          <w:sz w:val="24"/>
        </w:rPr>
        <w:t>1.1.3.9 施工场地（或称工地、现场）：指用于合同工程施工的场所，以及在合同中指定作为施工场地组成部分的其他场所，包括永久占地和临时占地。</w:t>
      </w:r>
    </w:p>
    <w:p w14:paraId="06974E13">
      <w:pPr>
        <w:spacing w:line="500" w:lineRule="exact"/>
        <w:ind w:firstLine="480" w:firstLineChars="200"/>
        <w:rPr>
          <w:rFonts w:hint="eastAsia" w:ascii="宋体" w:hAnsi="宋体" w:cs="宋体"/>
          <w:sz w:val="24"/>
        </w:rPr>
      </w:pPr>
      <w:r>
        <w:rPr>
          <w:rFonts w:hint="eastAsia" w:ascii="宋体" w:hAnsi="宋体" w:cs="宋体"/>
          <w:sz w:val="24"/>
        </w:rPr>
        <w:t>1.1.3.10　永久占地：指发包人为建设本合同工程永久征用的场地。</w:t>
      </w:r>
    </w:p>
    <w:p w14:paraId="2C0E2EA1">
      <w:pPr>
        <w:spacing w:line="500" w:lineRule="exact"/>
        <w:rPr>
          <w:rFonts w:hint="eastAsia" w:ascii="宋体" w:hAnsi="宋体" w:cs="宋体"/>
          <w:sz w:val="24"/>
        </w:rPr>
      </w:pPr>
      <w:r>
        <w:rPr>
          <w:rFonts w:hint="eastAsia" w:ascii="宋体" w:hAnsi="宋体" w:cs="宋体"/>
          <w:sz w:val="24"/>
        </w:rPr>
        <w:t>　　1.1.3.11　临时占地：指发包人为建设本合同工程临时征用，承包人在完工后须按合同要求退还的场地。</w:t>
      </w:r>
    </w:p>
    <w:p w14:paraId="3AF5253E">
      <w:pPr>
        <w:spacing w:line="500" w:lineRule="exact"/>
        <w:rPr>
          <w:rFonts w:hint="eastAsia" w:ascii="宋体" w:hAnsi="宋体" w:cs="宋体"/>
          <w:sz w:val="24"/>
        </w:rPr>
      </w:pPr>
      <w:r>
        <w:rPr>
          <w:rFonts w:hint="eastAsia" w:ascii="宋体" w:hAnsi="宋体" w:cs="宋体"/>
          <w:sz w:val="24"/>
        </w:rPr>
        <w:t>　　1.1.4　日期</w:t>
      </w:r>
    </w:p>
    <w:p w14:paraId="6BA86F81">
      <w:pPr>
        <w:spacing w:line="500" w:lineRule="exact"/>
        <w:ind w:firstLine="480" w:firstLineChars="200"/>
        <w:rPr>
          <w:rFonts w:hint="eastAsia" w:ascii="宋体" w:hAnsi="宋体" w:cs="宋体"/>
          <w:sz w:val="24"/>
        </w:rPr>
      </w:pPr>
      <w:r>
        <w:rPr>
          <w:rFonts w:hint="eastAsia" w:ascii="宋体" w:hAnsi="宋体" w:cs="宋体"/>
          <w:sz w:val="24"/>
        </w:rPr>
        <w:t>1.1.4.1 开工通知：指监理人按第11.1款通知承包人开工的函件。</w:t>
      </w:r>
    </w:p>
    <w:p w14:paraId="293D3BD8">
      <w:pPr>
        <w:spacing w:line="500" w:lineRule="exact"/>
        <w:ind w:firstLine="480" w:firstLineChars="200"/>
        <w:rPr>
          <w:rFonts w:hint="eastAsia" w:ascii="宋体" w:hAnsi="宋体" w:cs="宋体"/>
          <w:sz w:val="24"/>
        </w:rPr>
      </w:pPr>
      <w:r>
        <w:rPr>
          <w:rFonts w:hint="eastAsia" w:ascii="宋体" w:hAnsi="宋体" w:cs="宋体"/>
          <w:sz w:val="24"/>
        </w:rPr>
        <w:t>1.1.4.2 开工日期：指监理人按第11.1款发出的开工通知中写明的开工日期。</w:t>
      </w:r>
    </w:p>
    <w:p w14:paraId="62343BD9">
      <w:pPr>
        <w:spacing w:line="500" w:lineRule="exact"/>
        <w:ind w:firstLine="480" w:firstLineChars="200"/>
        <w:rPr>
          <w:rFonts w:hint="eastAsia" w:ascii="宋体" w:hAnsi="宋体" w:cs="宋体"/>
          <w:sz w:val="24"/>
        </w:rPr>
      </w:pPr>
      <w:r>
        <w:rPr>
          <w:rFonts w:hint="eastAsia" w:ascii="宋体" w:hAnsi="宋体" w:cs="宋体"/>
          <w:sz w:val="24"/>
        </w:rPr>
        <w:t>1.1.4.3工期：指承包人在投标函中承诺的完成合同工程所需的期限，包括按第11.3款、第11.4款和第11.6款约定所作的变更。</w:t>
      </w:r>
    </w:p>
    <w:p w14:paraId="632A4C65">
      <w:pPr>
        <w:spacing w:line="500" w:lineRule="exact"/>
        <w:ind w:firstLine="480" w:firstLineChars="200"/>
        <w:rPr>
          <w:rFonts w:hint="eastAsia" w:ascii="宋体" w:hAnsi="宋体" w:cs="宋体"/>
          <w:sz w:val="24"/>
        </w:rPr>
      </w:pPr>
      <w:r>
        <w:rPr>
          <w:rFonts w:hint="eastAsia" w:ascii="宋体" w:hAnsi="宋体" w:cs="宋体"/>
          <w:sz w:val="24"/>
        </w:rPr>
        <w:t>1.1.4.4　竣工日期：即合同工程完工日期，指第1.1.4.3目约定工期届满时的日期。实际完工日期以合同工程完工证书中写明的日期为准。</w:t>
      </w:r>
    </w:p>
    <w:p w14:paraId="548992AB">
      <w:pPr>
        <w:spacing w:line="500" w:lineRule="exact"/>
        <w:ind w:firstLine="420"/>
        <w:rPr>
          <w:rFonts w:hint="eastAsia" w:ascii="宋体" w:hAnsi="宋体" w:cs="宋体"/>
          <w:sz w:val="24"/>
        </w:rPr>
      </w:pPr>
      <w:r>
        <w:rPr>
          <w:rFonts w:hint="eastAsia" w:ascii="宋体" w:hAnsi="宋体" w:cs="宋体"/>
          <w:sz w:val="24"/>
        </w:rPr>
        <w:t>1.1.4.5　缺陷责任期：即工程质量保修期，指履行第19.2款约定的缺陷责任的期限，包括根据第19.3款约定所作的延长，具体期限由专用合同条款约定。</w:t>
      </w:r>
    </w:p>
    <w:p w14:paraId="1C446E98">
      <w:pPr>
        <w:spacing w:line="500" w:lineRule="exact"/>
        <w:ind w:firstLine="420"/>
        <w:rPr>
          <w:rFonts w:hint="eastAsia" w:ascii="宋体" w:hAnsi="宋体" w:cs="宋体"/>
          <w:sz w:val="24"/>
        </w:rPr>
      </w:pPr>
      <w:r>
        <w:rPr>
          <w:rFonts w:hint="eastAsia" w:ascii="宋体" w:hAnsi="宋体" w:cs="宋体"/>
          <w:sz w:val="24"/>
        </w:rPr>
        <w:t>1.1.4.6 基准日期：指投标截止时间前28天的日期。</w:t>
      </w:r>
    </w:p>
    <w:p w14:paraId="65954A30">
      <w:pPr>
        <w:spacing w:line="500" w:lineRule="exact"/>
        <w:ind w:firstLine="420"/>
        <w:rPr>
          <w:rFonts w:hint="eastAsia" w:ascii="宋体" w:hAnsi="宋体" w:cs="宋体"/>
          <w:sz w:val="24"/>
        </w:rPr>
      </w:pPr>
      <w:r>
        <w:rPr>
          <w:rFonts w:hint="eastAsia" w:ascii="宋体" w:hAnsi="宋体" w:cs="宋体"/>
          <w:sz w:val="24"/>
        </w:rPr>
        <w:t>1.1.4.7 天：除特别指明外，指日历天。合同中按天计算时间的，开始当天不计入，从次日开始计算。期限最后一天的截止时间为当天24:00。</w:t>
      </w:r>
    </w:p>
    <w:p w14:paraId="3280A2DB">
      <w:pPr>
        <w:spacing w:line="500" w:lineRule="exact"/>
        <w:ind w:firstLine="480" w:firstLineChars="200"/>
        <w:rPr>
          <w:rFonts w:hint="eastAsia" w:ascii="宋体" w:hAnsi="宋体" w:cs="宋体"/>
          <w:sz w:val="24"/>
        </w:rPr>
      </w:pPr>
      <w:r>
        <w:rPr>
          <w:rFonts w:hint="eastAsia" w:ascii="宋体" w:hAnsi="宋体" w:cs="宋体"/>
          <w:sz w:val="24"/>
        </w:rPr>
        <w:t>1.1.5 合同价格和费用</w:t>
      </w:r>
    </w:p>
    <w:p w14:paraId="06670BE5">
      <w:pPr>
        <w:spacing w:line="500" w:lineRule="exact"/>
        <w:ind w:firstLine="480" w:firstLineChars="200"/>
        <w:rPr>
          <w:rFonts w:hint="eastAsia" w:ascii="宋体" w:hAnsi="宋体" w:cs="宋体"/>
          <w:sz w:val="24"/>
        </w:rPr>
      </w:pPr>
      <w:r>
        <w:rPr>
          <w:rFonts w:hint="eastAsia" w:ascii="宋体" w:hAnsi="宋体" w:cs="宋体"/>
          <w:sz w:val="24"/>
        </w:rPr>
        <w:t>1.1.5.1 签约合同价：指签定合同时合同协议书中写明的，包括了暂列金额、暂估价的合同总金额。</w:t>
      </w:r>
    </w:p>
    <w:p w14:paraId="407281C8">
      <w:pPr>
        <w:spacing w:line="500" w:lineRule="exact"/>
        <w:ind w:firstLine="480" w:firstLineChars="200"/>
        <w:rPr>
          <w:rFonts w:hint="eastAsia" w:ascii="宋体" w:hAnsi="宋体" w:cs="宋体"/>
          <w:sz w:val="24"/>
        </w:rPr>
      </w:pPr>
      <w:r>
        <w:rPr>
          <w:rFonts w:hint="eastAsia" w:ascii="宋体" w:hAnsi="宋体" w:cs="宋体"/>
          <w:sz w:val="24"/>
        </w:rPr>
        <w:t>1.1.5.2 合同价格：指承包人按合同约定完成了包括缺陷责任期内的全部承包工作后，发包人应付给承包人的金额，包括在履行合同过程中按合同约定进行的变更和调整。</w:t>
      </w:r>
    </w:p>
    <w:p w14:paraId="09DCC3BA">
      <w:pPr>
        <w:spacing w:line="500" w:lineRule="exact"/>
        <w:ind w:firstLine="480" w:firstLineChars="200"/>
        <w:rPr>
          <w:rFonts w:hint="eastAsia" w:ascii="宋体" w:hAnsi="宋体" w:cs="宋体"/>
          <w:sz w:val="24"/>
        </w:rPr>
      </w:pPr>
      <w:r>
        <w:rPr>
          <w:rFonts w:hint="eastAsia" w:ascii="宋体" w:hAnsi="宋体" w:cs="宋体"/>
          <w:sz w:val="24"/>
        </w:rPr>
        <w:t>1.1.5.3 费用：指为履行合同所发生的或将要发生的所有合理开支，包括管理费和应分摊的其他费用，但不包括利润。</w:t>
      </w:r>
    </w:p>
    <w:p w14:paraId="0CA4361E">
      <w:pPr>
        <w:spacing w:line="500" w:lineRule="exact"/>
        <w:ind w:firstLine="480" w:firstLineChars="200"/>
        <w:rPr>
          <w:rFonts w:hint="eastAsia" w:ascii="宋体" w:hAnsi="宋体" w:cs="宋体"/>
          <w:sz w:val="24"/>
        </w:rPr>
      </w:pPr>
      <w:r>
        <w:rPr>
          <w:rFonts w:hint="eastAsia" w:ascii="宋体" w:hAnsi="宋体" w:cs="宋体"/>
          <w:sz w:val="24"/>
        </w:rPr>
        <w:t>1.1.5.4 暂列金额：指已标价工程量清单中所列的暂列金额，用于在签订协议书时尚未确定或不可预见变更的施工及其所需材料、工程设备、服务等的金额，包括以计日工方式支付的金额。</w:t>
      </w:r>
    </w:p>
    <w:p w14:paraId="2060AB52">
      <w:pPr>
        <w:spacing w:line="500" w:lineRule="exact"/>
        <w:ind w:firstLine="480" w:firstLineChars="200"/>
        <w:rPr>
          <w:rFonts w:hint="eastAsia" w:ascii="宋体" w:hAnsi="宋体" w:cs="宋体"/>
          <w:sz w:val="24"/>
        </w:rPr>
      </w:pPr>
      <w:r>
        <w:rPr>
          <w:rFonts w:hint="eastAsia" w:ascii="宋体" w:hAnsi="宋体" w:cs="宋体"/>
          <w:sz w:val="24"/>
        </w:rPr>
        <w:t>1.1.5.5暂估价：指发包人在工程量清单中给定的用于支付必然发生但暂时不能确定价格的材料、设备以及专业工程的金额。</w:t>
      </w:r>
    </w:p>
    <w:p w14:paraId="049241C0">
      <w:pPr>
        <w:spacing w:line="500" w:lineRule="exact"/>
        <w:ind w:firstLine="480" w:firstLineChars="200"/>
        <w:rPr>
          <w:rFonts w:hint="eastAsia" w:ascii="宋体" w:hAnsi="宋体" w:cs="宋体"/>
          <w:sz w:val="24"/>
        </w:rPr>
      </w:pPr>
      <w:r>
        <w:rPr>
          <w:rFonts w:hint="eastAsia" w:ascii="宋体" w:hAnsi="宋体" w:cs="宋体"/>
          <w:sz w:val="24"/>
        </w:rPr>
        <w:t>1.1.5.6 计日工：指对零星工作采取的一种计价方式，按合同中的计日工子目及其单价计价付款。</w:t>
      </w:r>
    </w:p>
    <w:p w14:paraId="4866F877">
      <w:pPr>
        <w:spacing w:line="500" w:lineRule="exact"/>
        <w:ind w:firstLine="480" w:firstLineChars="200"/>
        <w:rPr>
          <w:rFonts w:hint="eastAsia" w:ascii="宋体" w:hAnsi="宋体" w:cs="宋体"/>
          <w:sz w:val="24"/>
        </w:rPr>
      </w:pPr>
      <w:r>
        <w:rPr>
          <w:rFonts w:hint="eastAsia" w:ascii="宋体" w:hAnsi="宋体" w:cs="宋体"/>
          <w:sz w:val="24"/>
        </w:rPr>
        <w:t>1.1.5.7 质量保证金（或称保留金）：指按第17.4.1项约定用于保证在缺陷责任期内履行缺陷修复义务的金额。</w:t>
      </w:r>
    </w:p>
    <w:p w14:paraId="3932CF06">
      <w:pPr>
        <w:spacing w:line="500" w:lineRule="exact"/>
        <w:ind w:firstLine="480" w:firstLineChars="200"/>
        <w:rPr>
          <w:rFonts w:hint="eastAsia" w:ascii="宋体" w:hAnsi="宋体" w:cs="宋体"/>
          <w:sz w:val="24"/>
        </w:rPr>
      </w:pPr>
      <w:r>
        <w:rPr>
          <w:rFonts w:hint="eastAsia" w:ascii="宋体" w:hAnsi="宋体" w:cs="宋体"/>
          <w:sz w:val="24"/>
        </w:rPr>
        <w:t>1.1.6 其他</w:t>
      </w:r>
    </w:p>
    <w:p w14:paraId="303ED0D9">
      <w:pPr>
        <w:spacing w:line="500" w:lineRule="exact"/>
        <w:ind w:firstLine="480" w:firstLineChars="200"/>
        <w:rPr>
          <w:rFonts w:hint="eastAsia" w:ascii="宋体" w:hAnsi="宋体" w:cs="宋体"/>
          <w:sz w:val="24"/>
        </w:rPr>
      </w:pPr>
      <w:r>
        <w:rPr>
          <w:rFonts w:hint="eastAsia" w:ascii="宋体" w:hAnsi="宋体" w:cs="宋体"/>
          <w:sz w:val="24"/>
        </w:rPr>
        <w:t>1.1.6.1 书面形式：指合同文件、信函、电报、传真等可以有形地表现所载内容的形式。</w:t>
      </w:r>
    </w:p>
    <w:p w14:paraId="5F82D855">
      <w:pPr>
        <w:spacing w:line="500" w:lineRule="exact"/>
        <w:outlineLvl w:val="3"/>
        <w:rPr>
          <w:rFonts w:hint="eastAsia" w:ascii="宋体" w:hAnsi="宋体" w:cs="宋体"/>
          <w:sz w:val="24"/>
        </w:rPr>
      </w:pPr>
      <w:r>
        <w:rPr>
          <w:rFonts w:hint="eastAsia" w:ascii="宋体" w:hAnsi="宋体" w:cs="宋体"/>
          <w:sz w:val="24"/>
        </w:rPr>
        <w:t>1.2 语言文字</w:t>
      </w:r>
    </w:p>
    <w:p w14:paraId="4AF582D4">
      <w:pPr>
        <w:spacing w:line="500" w:lineRule="exact"/>
        <w:ind w:firstLine="480" w:firstLineChars="200"/>
        <w:rPr>
          <w:rFonts w:hint="eastAsia" w:ascii="宋体" w:hAnsi="宋体" w:cs="宋体"/>
          <w:sz w:val="24"/>
        </w:rPr>
      </w:pPr>
      <w:r>
        <w:rPr>
          <w:rFonts w:hint="eastAsia" w:ascii="宋体" w:hAnsi="宋体" w:cs="宋体"/>
          <w:sz w:val="24"/>
        </w:rPr>
        <w:t>除专用术语外，合同使用的语言文字为中文。必要时专用术语应附有中文注释。</w:t>
      </w:r>
    </w:p>
    <w:p w14:paraId="463E77FA">
      <w:pPr>
        <w:spacing w:line="500" w:lineRule="exact"/>
        <w:outlineLvl w:val="3"/>
        <w:rPr>
          <w:rFonts w:hint="eastAsia" w:ascii="宋体" w:hAnsi="宋体" w:cs="宋体"/>
          <w:sz w:val="24"/>
        </w:rPr>
      </w:pPr>
      <w:r>
        <w:rPr>
          <w:rFonts w:hint="eastAsia" w:ascii="宋体" w:hAnsi="宋体" w:cs="宋体"/>
          <w:sz w:val="24"/>
        </w:rPr>
        <w:t>1.3 法律</w:t>
      </w:r>
    </w:p>
    <w:p w14:paraId="64F56FB5">
      <w:pPr>
        <w:spacing w:line="500" w:lineRule="exact"/>
        <w:ind w:firstLine="480" w:firstLineChars="200"/>
        <w:rPr>
          <w:rFonts w:hint="eastAsia" w:ascii="宋体" w:hAnsi="宋体" w:cs="宋体"/>
          <w:sz w:val="24"/>
        </w:rPr>
      </w:pPr>
      <w:r>
        <w:rPr>
          <w:rFonts w:hint="eastAsia" w:ascii="宋体" w:hAnsi="宋体" w:cs="宋体"/>
          <w:sz w:val="24"/>
        </w:rPr>
        <w:t>适用于合同的法律包括中华人民共和国法律、行政法规、部门规章，以及工程所在地的地方法规、自治条例、单行条例和地方政府规章。</w:t>
      </w:r>
    </w:p>
    <w:p w14:paraId="1C6EA9BF">
      <w:pPr>
        <w:spacing w:line="500" w:lineRule="exact"/>
        <w:outlineLvl w:val="3"/>
        <w:rPr>
          <w:rFonts w:hint="eastAsia" w:ascii="宋体" w:hAnsi="宋体" w:cs="宋体"/>
          <w:sz w:val="24"/>
        </w:rPr>
      </w:pPr>
      <w:r>
        <w:rPr>
          <w:rFonts w:hint="eastAsia" w:ascii="宋体" w:hAnsi="宋体" w:cs="宋体"/>
          <w:sz w:val="24"/>
        </w:rPr>
        <w:t>1.4 合同文件的优先顺序</w:t>
      </w:r>
    </w:p>
    <w:p w14:paraId="7A302316">
      <w:pPr>
        <w:spacing w:line="500" w:lineRule="exact"/>
        <w:ind w:firstLine="480" w:firstLineChars="200"/>
        <w:rPr>
          <w:rFonts w:hint="eastAsia" w:ascii="宋体" w:hAnsi="宋体" w:cs="宋体"/>
          <w:sz w:val="24"/>
        </w:rPr>
      </w:pPr>
      <w:r>
        <w:rPr>
          <w:rFonts w:hint="eastAsia" w:ascii="宋体" w:hAnsi="宋体" w:cs="宋体"/>
          <w:sz w:val="24"/>
        </w:rPr>
        <w:t>组成合同的各项文件应互相解释，互为说明。除专用合同条款另有约定外，解释合同文件的优先顺序如下：</w:t>
      </w:r>
    </w:p>
    <w:p w14:paraId="564F24B7">
      <w:pPr>
        <w:spacing w:line="500" w:lineRule="exact"/>
        <w:ind w:firstLine="410" w:firstLineChars="171"/>
        <w:rPr>
          <w:rFonts w:hint="eastAsia" w:ascii="宋体" w:hAnsi="宋体" w:cs="宋体"/>
          <w:sz w:val="24"/>
        </w:rPr>
      </w:pPr>
      <w:r>
        <w:rPr>
          <w:rFonts w:hint="eastAsia" w:ascii="宋体" w:hAnsi="宋体" w:cs="宋体"/>
          <w:sz w:val="24"/>
        </w:rPr>
        <w:t>（1）合同协议书；</w:t>
      </w:r>
    </w:p>
    <w:p w14:paraId="065DFA8B">
      <w:pPr>
        <w:spacing w:line="500" w:lineRule="exact"/>
        <w:ind w:firstLine="410" w:firstLineChars="171"/>
        <w:rPr>
          <w:rFonts w:hint="eastAsia" w:ascii="宋体" w:hAnsi="宋体" w:cs="宋体"/>
          <w:sz w:val="24"/>
        </w:rPr>
      </w:pPr>
      <w:r>
        <w:rPr>
          <w:rFonts w:hint="eastAsia" w:ascii="宋体" w:hAnsi="宋体" w:cs="宋体"/>
          <w:sz w:val="24"/>
        </w:rPr>
        <w:t>（2）中标通知书；</w:t>
      </w:r>
    </w:p>
    <w:p w14:paraId="26367B94">
      <w:pPr>
        <w:spacing w:line="500" w:lineRule="exact"/>
        <w:ind w:firstLine="410" w:firstLineChars="171"/>
        <w:rPr>
          <w:rFonts w:hint="eastAsia" w:ascii="宋体" w:hAnsi="宋体" w:cs="宋体"/>
          <w:sz w:val="24"/>
        </w:rPr>
      </w:pPr>
      <w:r>
        <w:rPr>
          <w:rFonts w:hint="eastAsia" w:ascii="宋体" w:hAnsi="宋体" w:cs="宋体"/>
          <w:sz w:val="24"/>
        </w:rPr>
        <w:t>（3）投标函及投标函附录；</w:t>
      </w:r>
    </w:p>
    <w:p w14:paraId="3B8221BE">
      <w:pPr>
        <w:spacing w:line="500" w:lineRule="exact"/>
        <w:ind w:firstLine="410" w:firstLineChars="171"/>
        <w:rPr>
          <w:rFonts w:hint="eastAsia" w:ascii="宋体" w:hAnsi="宋体" w:cs="宋体"/>
          <w:sz w:val="24"/>
        </w:rPr>
      </w:pPr>
      <w:r>
        <w:rPr>
          <w:rFonts w:hint="eastAsia" w:ascii="宋体" w:hAnsi="宋体" w:cs="宋体"/>
          <w:sz w:val="24"/>
        </w:rPr>
        <w:t>（4）专用合同条款；</w:t>
      </w:r>
    </w:p>
    <w:p w14:paraId="3E5ECCCE">
      <w:pPr>
        <w:spacing w:line="500" w:lineRule="exact"/>
        <w:ind w:firstLine="410" w:firstLineChars="171"/>
        <w:rPr>
          <w:rFonts w:hint="eastAsia" w:ascii="宋体" w:hAnsi="宋体" w:cs="宋体"/>
          <w:sz w:val="24"/>
        </w:rPr>
      </w:pPr>
      <w:r>
        <w:rPr>
          <w:rFonts w:hint="eastAsia" w:ascii="宋体" w:hAnsi="宋体" w:cs="宋体"/>
          <w:sz w:val="24"/>
        </w:rPr>
        <w:t>（5）通用合同条款；</w:t>
      </w:r>
    </w:p>
    <w:p w14:paraId="500C4A20">
      <w:pPr>
        <w:spacing w:line="500" w:lineRule="exact"/>
        <w:ind w:firstLine="410" w:firstLineChars="171"/>
        <w:rPr>
          <w:rFonts w:hint="eastAsia" w:ascii="宋体" w:hAnsi="宋体" w:cs="宋体"/>
          <w:sz w:val="24"/>
        </w:rPr>
      </w:pPr>
      <w:r>
        <w:rPr>
          <w:rFonts w:hint="eastAsia" w:ascii="宋体" w:hAnsi="宋体" w:cs="宋体"/>
          <w:sz w:val="24"/>
        </w:rPr>
        <w:t>（6）技术标准和要求；</w:t>
      </w:r>
    </w:p>
    <w:p w14:paraId="28D6FA8F">
      <w:pPr>
        <w:spacing w:line="500" w:lineRule="exact"/>
        <w:ind w:firstLine="410" w:firstLineChars="171"/>
        <w:rPr>
          <w:rFonts w:hint="eastAsia" w:ascii="宋体" w:hAnsi="宋体" w:cs="宋体"/>
          <w:sz w:val="24"/>
        </w:rPr>
      </w:pPr>
      <w:r>
        <w:rPr>
          <w:rFonts w:hint="eastAsia" w:ascii="宋体" w:hAnsi="宋体" w:cs="宋体"/>
          <w:sz w:val="24"/>
        </w:rPr>
        <w:t>（7）图纸；</w:t>
      </w:r>
    </w:p>
    <w:p w14:paraId="37A9647D">
      <w:pPr>
        <w:spacing w:line="500" w:lineRule="exact"/>
        <w:ind w:firstLine="410" w:firstLineChars="171"/>
        <w:rPr>
          <w:rFonts w:hint="eastAsia" w:ascii="宋体" w:hAnsi="宋体" w:cs="宋体"/>
          <w:sz w:val="24"/>
        </w:rPr>
      </w:pPr>
      <w:r>
        <w:rPr>
          <w:rFonts w:hint="eastAsia" w:ascii="宋体" w:hAnsi="宋体" w:cs="宋体"/>
          <w:sz w:val="24"/>
        </w:rPr>
        <w:t>（8）已标价工程量清单；</w:t>
      </w:r>
    </w:p>
    <w:p w14:paraId="4EFB8FD1">
      <w:pPr>
        <w:spacing w:line="500" w:lineRule="exact"/>
        <w:ind w:firstLine="410" w:firstLineChars="171"/>
        <w:rPr>
          <w:rFonts w:hint="eastAsia" w:ascii="宋体" w:hAnsi="宋体" w:cs="宋体"/>
          <w:sz w:val="24"/>
        </w:rPr>
      </w:pPr>
      <w:r>
        <w:rPr>
          <w:rFonts w:hint="eastAsia" w:ascii="宋体" w:hAnsi="宋体" w:cs="宋体"/>
          <w:sz w:val="24"/>
        </w:rPr>
        <w:t>（9）其他合同文件。</w:t>
      </w:r>
    </w:p>
    <w:p w14:paraId="19580A8D">
      <w:pPr>
        <w:spacing w:line="500" w:lineRule="exact"/>
        <w:outlineLvl w:val="3"/>
        <w:rPr>
          <w:rFonts w:hint="eastAsia" w:ascii="宋体" w:hAnsi="宋体" w:cs="宋体"/>
          <w:sz w:val="24"/>
        </w:rPr>
      </w:pPr>
      <w:r>
        <w:rPr>
          <w:rFonts w:hint="eastAsia" w:ascii="宋体" w:hAnsi="宋体" w:cs="宋体"/>
          <w:sz w:val="24"/>
        </w:rPr>
        <w:t>1.5 合同协议书</w:t>
      </w:r>
    </w:p>
    <w:p w14:paraId="0110A7A0">
      <w:pPr>
        <w:spacing w:line="500" w:lineRule="exact"/>
        <w:ind w:firstLine="420"/>
        <w:rPr>
          <w:rFonts w:hint="eastAsia" w:ascii="宋体" w:hAnsi="宋体" w:cs="宋体"/>
          <w:sz w:val="24"/>
        </w:rPr>
      </w:pPr>
      <w:r>
        <w:rPr>
          <w:rFonts w:hint="eastAsia" w:ascii="宋体" w:hAnsi="宋体" w:cs="宋体"/>
          <w:sz w:val="24"/>
        </w:rPr>
        <w:t>承包人按中标通知书规定的时间与发包人签订合同协议书。除法律另有规定或合同另有约定外，发包人和承包人的法定代表人或其委托代理人在合同协议书上签字并盖单位章后，合同生效。</w:t>
      </w:r>
    </w:p>
    <w:p w14:paraId="484EB74B">
      <w:pPr>
        <w:spacing w:line="500" w:lineRule="exact"/>
        <w:outlineLvl w:val="3"/>
        <w:rPr>
          <w:rFonts w:hint="eastAsia" w:ascii="宋体" w:hAnsi="宋体" w:cs="宋体"/>
          <w:sz w:val="24"/>
        </w:rPr>
      </w:pPr>
      <w:r>
        <w:rPr>
          <w:rFonts w:hint="eastAsia" w:ascii="宋体" w:hAnsi="宋体" w:cs="宋体"/>
          <w:sz w:val="24"/>
        </w:rPr>
        <w:t>1.6 图纸和承包人文件</w:t>
      </w:r>
    </w:p>
    <w:p w14:paraId="732B8C22">
      <w:pPr>
        <w:spacing w:line="500" w:lineRule="exact"/>
        <w:rPr>
          <w:rFonts w:hint="eastAsia" w:ascii="宋体" w:hAnsi="宋体" w:cs="宋体"/>
          <w:sz w:val="24"/>
        </w:rPr>
      </w:pPr>
      <w:r>
        <w:rPr>
          <w:rFonts w:hint="eastAsia" w:ascii="宋体" w:hAnsi="宋体" w:cs="宋体"/>
          <w:sz w:val="24"/>
        </w:rPr>
        <w:t>　　1.6.1 图纸的提供</w:t>
      </w:r>
    </w:p>
    <w:p w14:paraId="1D0398CA">
      <w:pPr>
        <w:spacing w:line="500" w:lineRule="exact"/>
        <w:rPr>
          <w:rFonts w:hint="eastAsia" w:ascii="宋体" w:hAnsi="宋体" w:cs="宋体"/>
          <w:sz w:val="24"/>
        </w:rPr>
      </w:pPr>
      <w:r>
        <w:rPr>
          <w:rFonts w:hint="eastAsia" w:ascii="宋体" w:hAnsi="宋体" w:cs="宋体"/>
          <w:sz w:val="24"/>
        </w:rPr>
        <w:t>　　发包人应按技术标准和要求(合同技术条款)约定的期限和数量将施工图纸以及其它图纸(包括配套说明和有关资料)提供给承包人。由于发包人未按时提供图纸造成工期延误的，按第11.3款的约定办理。</w:t>
      </w:r>
    </w:p>
    <w:p w14:paraId="03351E0A">
      <w:pPr>
        <w:spacing w:line="500" w:lineRule="exact"/>
        <w:rPr>
          <w:rFonts w:hint="eastAsia" w:ascii="宋体" w:hAnsi="宋体" w:cs="宋体"/>
          <w:sz w:val="24"/>
        </w:rPr>
      </w:pPr>
      <w:r>
        <w:rPr>
          <w:rFonts w:hint="eastAsia" w:ascii="宋体" w:hAnsi="宋体" w:cs="宋体"/>
          <w:sz w:val="24"/>
        </w:rPr>
        <w:t>　　1.6.2 承包人提供的文件</w:t>
      </w:r>
    </w:p>
    <w:p w14:paraId="5C6CA032">
      <w:pPr>
        <w:spacing w:line="500" w:lineRule="exact"/>
        <w:rPr>
          <w:rFonts w:hint="eastAsia" w:ascii="宋体" w:hAnsi="宋体" w:cs="宋体"/>
          <w:sz w:val="24"/>
        </w:rPr>
      </w:pPr>
      <w:r>
        <w:rPr>
          <w:rFonts w:hint="eastAsia" w:ascii="宋体" w:hAnsi="宋体" w:cs="宋体"/>
          <w:sz w:val="24"/>
        </w:rPr>
        <w:t>　　承包人提供的文件应按技术标准和要求(合同技术条款)约定的期限和数量提供给监理人。监理人应按技术标准和要求(合同技术条款)约定的期限批复承包人。</w:t>
      </w:r>
    </w:p>
    <w:p w14:paraId="032A3EBC">
      <w:pPr>
        <w:spacing w:line="500" w:lineRule="exact"/>
        <w:rPr>
          <w:rFonts w:hint="eastAsia" w:ascii="宋体" w:hAnsi="宋体" w:cs="宋体"/>
          <w:sz w:val="24"/>
        </w:rPr>
      </w:pPr>
      <w:r>
        <w:rPr>
          <w:rFonts w:hint="eastAsia" w:ascii="宋体" w:hAnsi="宋体" w:cs="宋体"/>
          <w:sz w:val="24"/>
        </w:rPr>
        <w:t>　　1.6.3 图纸的修改</w:t>
      </w:r>
    </w:p>
    <w:p w14:paraId="722C0D14">
      <w:pPr>
        <w:spacing w:line="500" w:lineRule="exact"/>
        <w:ind w:firstLine="420"/>
        <w:rPr>
          <w:rFonts w:hint="eastAsia" w:ascii="宋体" w:hAnsi="宋体" w:cs="宋体"/>
          <w:sz w:val="24"/>
        </w:rPr>
      </w:pPr>
      <w:r>
        <w:rPr>
          <w:rFonts w:hint="eastAsia" w:ascii="宋体" w:hAnsi="宋体" w:cs="宋体"/>
          <w:sz w:val="24"/>
        </w:rPr>
        <w:t>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14:paraId="43AA7F31">
      <w:pPr>
        <w:spacing w:line="500" w:lineRule="exact"/>
        <w:ind w:firstLine="480" w:firstLineChars="200"/>
        <w:rPr>
          <w:rFonts w:hint="eastAsia" w:ascii="宋体" w:hAnsi="宋体" w:cs="宋体"/>
          <w:sz w:val="24"/>
        </w:rPr>
      </w:pPr>
      <w:r>
        <w:rPr>
          <w:rFonts w:hint="eastAsia" w:ascii="宋体" w:hAnsi="宋体" w:cs="宋体"/>
          <w:sz w:val="24"/>
        </w:rPr>
        <w:t>1.6.4 图纸的错误</w:t>
      </w:r>
    </w:p>
    <w:p w14:paraId="5A08C18A">
      <w:pPr>
        <w:spacing w:line="500" w:lineRule="exact"/>
        <w:ind w:firstLine="480" w:firstLineChars="200"/>
        <w:rPr>
          <w:rFonts w:hint="eastAsia" w:ascii="宋体" w:hAnsi="宋体" w:cs="宋体"/>
          <w:sz w:val="24"/>
        </w:rPr>
      </w:pPr>
      <w:r>
        <w:rPr>
          <w:rFonts w:hint="eastAsia" w:ascii="宋体" w:hAnsi="宋体" w:cs="宋体"/>
          <w:sz w:val="24"/>
        </w:rPr>
        <w:t>承包人发现发包人提供的图纸存在明显错误或疏忽，应及时通知监理人。</w:t>
      </w:r>
    </w:p>
    <w:p w14:paraId="3309FB29">
      <w:pPr>
        <w:spacing w:line="500" w:lineRule="exact"/>
        <w:ind w:firstLine="480" w:firstLineChars="200"/>
        <w:rPr>
          <w:rFonts w:hint="eastAsia" w:ascii="宋体" w:hAnsi="宋体" w:cs="宋体"/>
          <w:sz w:val="24"/>
        </w:rPr>
      </w:pPr>
      <w:r>
        <w:rPr>
          <w:rFonts w:hint="eastAsia" w:ascii="宋体" w:hAnsi="宋体" w:cs="宋体"/>
          <w:sz w:val="24"/>
        </w:rPr>
        <w:t>1.6.5 图纸和承包人文件的保管</w:t>
      </w:r>
    </w:p>
    <w:p w14:paraId="7E767D52">
      <w:pPr>
        <w:spacing w:line="500" w:lineRule="exact"/>
        <w:ind w:firstLine="420"/>
        <w:rPr>
          <w:rFonts w:hint="eastAsia" w:ascii="宋体" w:hAnsi="宋体" w:cs="宋体"/>
          <w:sz w:val="24"/>
        </w:rPr>
      </w:pPr>
      <w:r>
        <w:rPr>
          <w:rFonts w:hint="eastAsia" w:ascii="宋体" w:hAnsi="宋体" w:cs="宋体"/>
          <w:sz w:val="24"/>
        </w:rPr>
        <w:t>监理人和承包人均应在施工场地各保存一套完整的包含第1.6.1项、第1.6.2项、第1.6.3项约定内容的图纸和承包人文件。</w:t>
      </w:r>
    </w:p>
    <w:p w14:paraId="30CADA7E">
      <w:pPr>
        <w:spacing w:line="500" w:lineRule="exact"/>
        <w:outlineLvl w:val="3"/>
        <w:rPr>
          <w:rFonts w:hint="eastAsia" w:ascii="宋体" w:hAnsi="宋体" w:cs="宋体"/>
          <w:sz w:val="24"/>
        </w:rPr>
      </w:pPr>
      <w:r>
        <w:rPr>
          <w:rFonts w:hint="eastAsia" w:ascii="宋体" w:hAnsi="宋体" w:cs="宋体"/>
          <w:sz w:val="24"/>
        </w:rPr>
        <w:t>1.7 联络</w:t>
      </w:r>
    </w:p>
    <w:p w14:paraId="0CA84057">
      <w:pPr>
        <w:spacing w:line="500" w:lineRule="exact"/>
        <w:ind w:firstLine="480" w:firstLineChars="200"/>
        <w:rPr>
          <w:rFonts w:hint="eastAsia" w:ascii="宋体" w:hAnsi="宋体" w:cs="宋体"/>
          <w:sz w:val="24"/>
        </w:rPr>
      </w:pPr>
      <w:r>
        <w:rPr>
          <w:rFonts w:hint="eastAsia" w:ascii="宋体" w:hAnsi="宋体" w:cs="宋体"/>
          <w:sz w:val="24"/>
        </w:rPr>
        <w:t>1.7.1 与合同有关的通知、批准、证明、证书、指示、要求、请求、同意、意见、确定和决定等，均应采用书面形式。</w:t>
      </w:r>
    </w:p>
    <w:p w14:paraId="33F6B177">
      <w:pPr>
        <w:spacing w:line="500" w:lineRule="exact"/>
        <w:ind w:firstLine="480" w:firstLineChars="200"/>
        <w:rPr>
          <w:rFonts w:hint="eastAsia" w:ascii="宋体" w:hAnsi="宋体" w:cs="宋体"/>
          <w:sz w:val="24"/>
        </w:rPr>
      </w:pPr>
      <w:r>
        <w:rPr>
          <w:rFonts w:hint="eastAsia" w:ascii="宋体" w:hAnsi="宋体" w:cs="宋体"/>
          <w:sz w:val="24"/>
        </w:rPr>
        <w:t>1.7.2　第1.7.1项中的通知、批准、证明、证书、指示、要求、请求、同意、意见、确定和决定等来往函件，均应在合同约定的期限内送达指定地点和接收人，并办理签收手续。来往函件的送达期限在技术标准和要求(合同技术条款)中约定，送达地点在专用合同条款中约定。</w:t>
      </w:r>
    </w:p>
    <w:p w14:paraId="45E7C3FA">
      <w:pPr>
        <w:spacing w:line="500" w:lineRule="exact"/>
        <w:rPr>
          <w:rFonts w:hint="eastAsia" w:ascii="宋体" w:hAnsi="宋体" w:cs="宋体"/>
          <w:sz w:val="24"/>
        </w:rPr>
      </w:pPr>
      <w:r>
        <w:rPr>
          <w:rFonts w:hint="eastAsia" w:ascii="宋体" w:hAnsi="宋体" w:cs="宋体"/>
          <w:sz w:val="24"/>
        </w:rPr>
        <w:t>　 1.7.3 来往函件均应按合同约定的期限及时发出和答复，不得无故扣压和拖延，亦不得拒收。否则，由此造成的后果由责任方负责。</w:t>
      </w:r>
    </w:p>
    <w:p w14:paraId="5D9061D2">
      <w:pPr>
        <w:spacing w:line="500" w:lineRule="exact"/>
        <w:outlineLvl w:val="3"/>
        <w:rPr>
          <w:rFonts w:hint="eastAsia" w:ascii="宋体" w:hAnsi="宋体" w:cs="宋体"/>
          <w:sz w:val="24"/>
        </w:rPr>
      </w:pPr>
      <w:r>
        <w:rPr>
          <w:rFonts w:hint="eastAsia" w:ascii="宋体" w:hAnsi="宋体" w:cs="宋体"/>
          <w:sz w:val="24"/>
        </w:rPr>
        <w:t>1.8 转让</w:t>
      </w:r>
    </w:p>
    <w:p w14:paraId="77276281">
      <w:pPr>
        <w:spacing w:line="500" w:lineRule="exact"/>
        <w:ind w:firstLine="480" w:firstLineChars="200"/>
        <w:rPr>
          <w:rFonts w:hint="eastAsia" w:ascii="宋体" w:hAnsi="宋体" w:cs="宋体"/>
          <w:sz w:val="24"/>
        </w:rPr>
      </w:pPr>
      <w:r>
        <w:rPr>
          <w:rFonts w:hint="eastAsia" w:ascii="宋体" w:hAnsi="宋体" w:cs="宋体"/>
          <w:sz w:val="24"/>
        </w:rPr>
        <w:t>除合同另有约定外，未经对方当事人同意，一方当事人不得将合同权利全部或部分转让给第三人，也不得全部或部分转移合同义务。</w:t>
      </w:r>
    </w:p>
    <w:p w14:paraId="366E4ECD">
      <w:pPr>
        <w:spacing w:line="500" w:lineRule="exact"/>
        <w:outlineLvl w:val="3"/>
        <w:rPr>
          <w:rFonts w:hint="eastAsia" w:ascii="宋体" w:hAnsi="宋体" w:cs="宋体"/>
          <w:sz w:val="24"/>
        </w:rPr>
      </w:pPr>
      <w:r>
        <w:rPr>
          <w:rFonts w:hint="eastAsia" w:ascii="宋体" w:hAnsi="宋体" w:cs="宋体"/>
          <w:sz w:val="24"/>
        </w:rPr>
        <w:t>1.9 严禁贿赂</w:t>
      </w:r>
    </w:p>
    <w:p w14:paraId="64E08DF3">
      <w:pPr>
        <w:spacing w:line="500" w:lineRule="exact"/>
        <w:ind w:firstLine="480" w:firstLineChars="200"/>
        <w:rPr>
          <w:rFonts w:hint="eastAsia" w:ascii="宋体" w:hAnsi="宋体" w:cs="宋体"/>
          <w:sz w:val="24"/>
        </w:rPr>
      </w:pPr>
      <w:r>
        <w:rPr>
          <w:rFonts w:hint="eastAsia" w:ascii="宋体" w:hAnsi="宋体" w:cs="宋体"/>
          <w:sz w:val="24"/>
        </w:rPr>
        <w:t>合同双方当事人不得以贿赂或变相贿赂的方式，谋取不当利益或损害对方权益。因贿赂造成对方损失的，行为人应赔偿损失，并承担相应的法律责任。</w:t>
      </w:r>
    </w:p>
    <w:p w14:paraId="24141AB0">
      <w:pPr>
        <w:spacing w:line="500" w:lineRule="exact"/>
        <w:outlineLvl w:val="3"/>
        <w:rPr>
          <w:rFonts w:hint="eastAsia" w:ascii="宋体" w:hAnsi="宋体" w:cs="宋体"/>
          <w:sz w:val="24"/>
        </w:rPr>
      </w:pPr>
      <w:r>
        <w:rPr>
          <w:rFonts w:hint="eastAsia" w:ascii="宋体" w:hAnsi="宋体" w:cs="宋体"/>
          <w:sz w:val="24"/>
        </w:rPr>
        <w:t>1.10 化石、文物</w:t>
      </w:r>
    </w:p>
    <w:p w14:paraId="597525DD">
      <w:pPr>
        <w:spacing w:line="500" w:lineRule="exact"/>
        <w:ind w:firstLine="480" w:firstLineChars="200"/>
        <w:rPr>
          <w:rFonts w:hint="eastAsia" w:ascii="宋体" w:hAnsi="宋体" w:cs="宋体"/>
          <w:sz w:val="24"/>
        </w:rPr>
      </w:pPr>
      <w:r>
        <w:rPr>
          <w:rFonts w:hint="eastAsia" w:ascii="宋体" w:hAnsi="宋体" w:cs="宋体"/>
          <w:sz w:val="24"/>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6116F1AB">
      <w:pPr>
        <w:spacing w:line="500" w:lineRule="exact"/>
        <w:ind w:firstLine="480" w:firstLineChars="200"/>
        <w:rPr>
          <w:rFonts w:hint="eastAsia" w:ascii="宋体" w:hAnsi="宋体" w:cs="宋体"/>
          <w:sz w:val="24"/>
        </w:rPr>
      </w:pPr>
      <w:r>
        <w:rPr>
          <w:rFonts w:hint="eastAsia" w:ascii="宋体" w:hAnsi="宋体" w:cs="宋体"/>
          <w:sz w:val="24"/>
        </w:rPr>
        <w:t>1.10.2 承包人发现文物后不及时报告或隐瞒不报，致使文物丢失或损坏的，应赔偿损失，并承担相应的法律责任。</w:t>
      </w:r>
    </w:p>
    <w:p w14:paraId="4FC5F270">
      <w:pPr>
        <w:spacing w:line="500" w:lineRule="exact"/>
        <w:outlineLvl w:val="3"/>
        <w:rPr>
          <w:rFonts w:hint="eastAsia" w:ascii="宋体" w:hAnsi="宋体" w:cs="宋体"/>
          <w:sz w:val="24"/>
        </w:rPr>
      </w:pPr>
      <w:r>
        <w:rPr>
          <w:rFonts w:hint="eastAsia" w:ascii="宋体" w:hAnsi="宋体" w:cs="宋体"/>
          <w:sz w:val="24"/>
        </w:rPr>
        <w:t>1.11 专利技术</w:t>
      </w:r>
    </w:p>
    <w:p w14:paraId="5F4CC6A6">
      <w:pPr>
        <w:spacing w:line="500" w:lineRule="exact"/>
        <w:ind w:firstLine="480" w:firstLineChars="200"/>
        <w:rPr>
          <w:rFonts w:hint="eastAsia" w:ascii="宋体" w:hAnsi="宋体" w:cs="宋体"/>
          <w:sz w:val="24"/>
        </w:rPr>
      </w:pPr>
      <w:r>
        <w:rPr>
          <w:rFonts w:hint="eastAsia" w:ascii="宋体" w:hAnsi="宋体" w:cs="宋体"/>
          <w:sz w:val="24"/>
        </w:rPr>
        <w:t>1.11.1 承包人在使用任何材料、承包人设备、工程设备或采用施工工艺时，因侵犯专利权或其他知识产权所引起的责任，由承包人承担，但由于遵照发包人提供的设计或技术标准和要求引起的除外。</w:t>
      </w:r>
    </w:p>
    <w:p w14:paraId="778F1EFF">
      <w:pPr>
        <w:spacing w:line="500" w:lineRule="exact"/>
        <w:ind w:firstLine="480" w:firstLineChars="200"/>
        <w:rPr>
          <w:rFonts w:hint="eastAsia" w:ascii="宋体" w:hAnsi="宋体" w:cs="宋体"/>
          <w:sz w:val="24"/>
        </w:rPr>
      </w:pPr>
      <w:r>
        <w:rPr>
          <w:rFonts w:hint="eastAsia" w:ascii="宋体" w:hAnsi="宋体" w:cs="宋体"/>
          <w:sz w:val="24"/>
        </w:rPr>
        <w:t>1.11.2 承包人在投标文件中采用专利技术的，专利技术的使用费包含在投标报价内。</w:t>
      </w:r>
    </w:p>
    <w:p w14:paraId="091A5046">
      <w:pPr>
        <w:spacing w:line="500" w:lineRule="exact"/>
        <w:ind w:firstLine="480" w:firstLineChars="200"/>
        <w:rPr>
          <w:rFonts w:hint="eastAsia" w:ascii="宋体" w:hAnsi="宋体" w:cs="宋体"/>
          <w:sz w:val="24"/>
        </w:rPr>
      </w:pPr>
      <w:r>
        <w:rPr>
          <w:rFonts w:hint="eastAsia" w:ascii="宋体" w:hAnsi="宋体" w:cs="宋体"/>
          <w:sz w:val="24"/>
        </w:rPr>
        <w:t>1.11.3 承包人的技术秘密和声明需要保密的资料和信息，发包人和监理人不得为合同以外的目的泄露给他人。</w:t>
      </w:r>
    </w:p>
    <w:p w14:paraId="3BEC53EF">
      <w:pPr>
        <w:spacing w:line="500" w:lineRule="exact"/>
        <w:ind w:firstLine="480" w:firstLineChars="200"/>
        <w:rPr>
          <w:rFonts w:hint="eastAsia" w:ascii="宋体" w:hAnsi="宋体" w:cs="宋体"/>
          <w:sz w:val="24"/>
        </w:rPr>
      </w:pPr>
      <w:r>
        <w:rPr>
          <w:rFonts w:hint="eastAsia" w:ascii="宋体" w:hAnsi="宋体" w:cs="宋体"/>
          <w:sz w:val="24"/>
        </w:rPr>
        <w:t>1.11.4　合同实施过程中，发包人要求承包人采用专利技术的，发包人应办理相应的使用手续，承包人应按发包人约定的条件使用，并承担使用专利技术的相关试验工作，所需费用由发包人承担。</w:t>
      </w:r>
    </w:p>
    <w:p w14:paraId="02B0550E">
      <w:pPr>
        <w:spacing w:line="500" w:lineRule="exact"/>
        <w:outlineLvl w:val="3"/>
        <w:rPr>
          <w:rFonts w:hint="eastAsia" w:ascii="宋体" w:hAnsi="宋体" w:cs="宋体"/>
          <w:sz w:val="24"/>
        </w:rPr>
      </w:pPr>
      <w:r>
        <w:rPr>
          <w:rFonts w:hint="eastAsia" w:ascii="宋体" w:hAnsi="宋体" w:cs="宋体"/>
          <w:sz w:val="24"/>
        </w:rPr>
        <w:t>1.12 图纸和文件的保密</w:t>
      </w:r>
    </w:p>
    <w:p w14:paraId="76627A67">
      <w:pPr>
        <w:spacing w:line="500" w:lineRule="exact"/>
        <w:ind w:firstLine="480" w:firstLineChars="200"/>
        <w:rPr>
          <w:rFonts w:hint="eastAsia" w:ascii="宋体" w:hAnsi="宋体" w:cs="宋体"/>
          <w:sz w:val="24"/>
        </w:rPr>
      </w:pPr>
      <w:r>
        <w:rPr>
          <w:rFonts w:hint="eastAsia" w:ascii="宋体" w:hAnsi="宋体" w:cs="宋体"/>
          <w:sz w:val="24"/>
        </w:rPr>
        <w:t>1.12.1 发包人提供的图纸和文件，未经发包人同意，承包人不得为合同以外的目的泄露给他人或公开发表与引用。</w:t>
      </w:r>
    </w:p>
    <w:p w14:paraId="3A589595">
      <w:pPr>
        <w:spacing w:line="500" w:lineRule="exact"/>
        <w:ind w:firstLine="480" w:firstLineChars="200"/>
        <w:rPr>
          <w:rFonts w:hint="eastAsia" w:ascii="宋体" w:hAnsi="宋体" w:cs="宋体"/>
          <w:sz w:val="24"/>
        </w:rPr>
      </w:pPr>
      <w:r>
        <w:rPr>
          <w:rFonts w:hint="eastAsia" w:ascii="宋体" w:hAnsi="宋体" w:cs="宋体"/>
          <w:sz w:val="24"/>
        </w:rPr>
        <w:t>1.12.2 承包人提供的文件，未经承包人同意，发包人和监理人不得为合同以外的目的泄露给他人或公开发表与引用。</w:t>
      </w:r>
    </w:p>
    <w:p w14:paraId="7E08D6A9">
      <w:pPr>
        <w:spacing w:line="500" w:lineRule="exact"/>
        <w:outlineLvl w:val="2"/>
        <w:rPr>
          <w:rFonts w:hint="eastAsia" w:ascii="宋体" w:hAnsi="宋体" w:cs="宋体"/>
          <w:sz w:val="24"/>
        </w:rPr>
      </w:pPr>
      <w:bookmarkStart w:id="302" w:name="_Toc7564"/>
      <w:bookmarkStart w:id="303" w:name="_Toc3602"/>
      <w:bookmarkStart w:id="304" w:name="_Toc256000116"/>
      <w:bookmarkStart w:id="305" w:name="_Toc256000087"/>
      <w:r>
        <w:rPr>
          <w:rFonts w:hint="eastAsia" w:ascii="宋体" w:hAnsi="宋体" w:cs="宋体"/>
          <w:sz w:val="24"/>
        </w:rPr>
        <w:t>2．发包人义务</w:t>
      </w:r>
      <w:bookmarkEnd w:id="302"/>
      <w:bookmarkEnd w:id="303"/>
      <w:bookmarkEnd w:id="304"/>
      <w:bookmarkEnd w:id="305"/>
    </w:p>
    <w:p w14:paraId="439BA73F">
      <w:pPr>
        <w:spacing w:line="500" w:lineRule="exact"/>
        <w:outlineLvl w:val="3"/>
        <w:rPr>
          <w:rFonts w:hint="eastAsia" w:ascii="宋体" w:hAnsi="宋体" w:cs="宋体"/>
          <w:sz w:val="24"/>
        </w:rPr>
      </w:pPr>
      <w:r>
        <w:rPr>
          <w:rFonts w:hint="eastAsia" w:ascii="宋体" w:hAnsi="宋体" w:cs="宋体"/>
          <w:sz w:val="24"/>
        </w:rPr>
        <w:t>2.1 遵守法律</w:t>
      </w:r>
    </w:p>
    <w:p w14:paraId="0A3ED09E">
      <w:pPr>
        <w:spacing w:line="500" w:lineRule="exact"/>
        <w:ind w:firstLine="480" w:firstLineChars="200"/>
        <w:rPr>
          <w:rFonts w:hint="eastAsia" w:ascii="宋体" w:hAnsi="宋体" w:cs="宋体"/>
          <w:sz w:val="24"/>
        </w:rPr>
      </w:pPr>
      <w:r>
        <w:rPr>
          <w:rFonts w:hint="eastAsia" w:ascii="宋体" w:hAnsi="宋体" w:cs="宋体"/>
          <w:sz w:val="24"/>
        </w:rPr>
        <w:t>发包人在履行合同过程中应遵守法律，并保证承包人免于承担因发包人违反法律而引起的任何责任。</w:t>
      </w:r>
    </w:p>
    <w:p w14:paraId="383C8DED">
      <w:pPr>
        <w:spacing w:line="500" w:lineRule="exact"/>
        <w:outlineLvl w:val="3"/>
        <w:rPr>
          <w:rFonts w:hint="eastAsia" w:ascii="宋体" w:hAnsi="宋体" w:cs="宋体"/>
          <w:sz w:val="24"/>
        </w:rPr>
      </w:pPr>
      <w:r>
        <w:rPr>
          <w:rFonts w:hint="eastAsia" w:ascii="宋体" w:hAnsi="宋体" w:cs="宋体"/>
          <w:sz w:val="24"/>
        </w:rPr>
        <w:t>2.2 发出开工通知</w:t>
      </w:r>
    </w:p>
    <w:p w14:paraId="463EDE51">
      <w:pPr>
        <w:spacing w:line="500" w:lineRule="exact"/>
        <w:ind w:firstLine="240" w:firstLineChars="100"/>
        <w:rPr>
          <w:rFonts w:hint="eastAsia" w:ascii="宋体" w:hAnsi="宋体" w:cs="宋体"/>
          <w:sz w:val="24"/>
        </w:rPr>
      </w:pPr>
      <w:r>
        <w:rPr>
          <w:rFonts w:hint="eastAsia" w:ascii="宋体" w:hAnsi="宋体" w:cs="宋体"/>
          <w:sz w:val="24"/>
        </w:rPr>
        <w:t>发包人应委托监理人按第11.1款的约定向承包人发出开工通知。</w:t>
      </w:r>
    </w:p>
    <w:p w14:paraId="4812A6C0">
      <w:pPr>
        <w:spacing w:line="500" w:lineRule="exact"/>
        <w:outlineLvl w:val="3"/>
        <w:rPr>
          <w:rFonts w:hint="eastAsia" w:ascii="宋体" w:hAnsi="宋体" w:cs="宋体"/>
          <w:sz w:val="24"/>
        </w:rPr>
      </w:pPr>
      <w:r>
        <w:rPr>
          <w:rFonts w:hint="eastAsia" w:ascii="宋体" w:hAnsi="宋体" w:cs="宋体"/>
          <w:sz w:val="24"/>
        </w:rPr>
        <w:t>2.3 提供施工场地</w:t>
      </w:r>
    </w:p>
    <w:p w14:paraId="3710D211">
      <w:pPr>
        <w:spacing w:line="500" w:lineRule="exact"/>
        <w:rPr>
          <w:rFonts w:hint="eastAsia" w:ascii="宋体" w:hAnsi="宋体" w:cs="宋体"/>
          <w:sz w:val="24"/>
        </w:rPr>
      </w:pPr>
      <w:r>
        <w:rPr>
          <w:rFonts w:hint="eastAsia" w:ascii="宋体" w:hAnsi="宋体" w:cs="宋体"/>
          <w:sz w:val="24"/>
        </w:rPr>
        <w:t>　　2.3.1 发包人应在合同双方签订合同协议书后的14天内，将本合同工程的施工场地范围图提交给承包人。发包人提供的施工场地范围图应标明场地范围内永久占地与临时占地的范围和界限，以及指明提供给承包人用于施工场地布置的范围和界限及其有关资料。</w:t>
      </w:r>
    </w:p>
    <w:p w14:paraId="29F3FF50">
      <w:pPr>
        <w:spacing w:line="500" w:lineRule="exact"/>
        <w:rPr>
          <w:rFonts w:hint="eastAsia" w:ascii="宋体" w:hAnsi="宋体" w:cs="宋体"/>
          <w:sz w:val="24"/>
        </w:rPr>
      </w:pPr>
      <w:r>
        <w:rPr>
          <w:rFonts w:hint="eastAsia" w:ascii="宋体" w:hAnsi="宋体" w:cs="宋体"/>
          <w:sz w:val="24"/>
        </w:rPr>
        <w:t>　　2.3.2 发包人提供的施工用地范围在专用合同条款中约定。</w:t>
      </w:r>
    </w:p>
    <w:p w14:paraId="2A38B08E">
      <w:pPr>
        <w:spacing w:line="500" w:lineRule="exact"/>
        <w:ind w:firstLine="480" w:firstLineChars="200"/>
        <w:rPr>
          <w:rFonts w:hint="eastAsia" w:ascii="宋体" w:hAnsi="宋体" w:cs="宋体"/>
          <w:sz w:val="24"/>
        </w:rPr>
      </w:pPr>
      <w:r>
        <w:rPr>
          <w:rFonts w:hint="eastAsia" w:ascii="宋体" w:hAnsi="宋体" w:cs="宋体"/>
          <w:sz w:val="24"/>
        </w:rPr>
        <w:t>2.3.3 除专用合同条款另有约定外，发包人应按技术标准和要求(合同技术条款)的约定，向承包人提供施工场地内的工程地质图纸和报告，以及地下障碍物图纸等施工场地有关资料，并保证资料的真实、准确、完整。</w:t>
      </w:r>
    </w:p>
    <w:p w14:paraId="406621EF">
      <w:pPr>
        <w:spacing w:line="500" w:lineRule="exact"/>
        <w:outlineLvl w:val="3"/>
        <w:rPr>
          <w:rFonts w:hint="eastAsia" w:ascii="宋体" w:hAnsi="宋体" w:cs="宋体"/>
          <w:sz w:val="24"/>
        </w:rPr>
      </w:pPr>
      <w:r>
        <w:rPr>
          <w:rFonts w:hint="eastAsia" w:ascii="宋体" w:hAnsi="宋体" w:cs="宋体"/>
          <w:sz w:val="24"/>
        </w:rPr>
        <w:t>2.4 协助承包人办理证件和批件</w:t>
      </w:r>
    </w:p>
    <w:p w14:paraId="054D5D29">
      <w:pPr>
        <w:spacing w:line="500" w:lineRule="exact"/>
        <w:ind w:firstLine="480" w:firstLineChars="200"/>
        <w:rPr>
          <w:rFonts w:hint="eastAsia" w:ascii="宋体" w:hAnsi="宋体" w:cs="宋体"/>
          <w:sz w:val="24"/>
        </w:rPr>
      </w:pPr>
      <w:r>
        <w:rPr>
          <w:rFonts w:hint="eastAsia" w:ascii="宋体" w:hAnsi="宋体" w:cs="宋体"/>
          <w:sz w:val="24"/>
        </w:rPr>
        <w:t>发包人应协助承包人办理法律规定的有关施工证件和批件。</w:t>
      </w:r>
    </w:p>
    <w:p w14:paraId="34748C1C">
      <w:pPr>
        <w:spacing w:line="500" w:lineRule="exact"/>
        <w:outlineLvl w:val="3"/>
        <w:rPr>
          <w:rFonts w:hint="eastAsia" w:ascii="宋体" w:hAnsi="宋体" w:cs="宋体"/>
          <w:sz w:val="24"/>
        </w:rPr>
      </w:pPr>
      <w:r>
        <w:rPr>
          <w:rFonts w:hint="eastAsia" w:ascii="宋体" w:hAnsi="宋体" w:cs="宋体"/>
          <w:sz w:val="24"/>
        </w:rPr>
        <w:t>2.5 组织设计交底</w:t>
      </w:r>
    </w:p>
    <w:p w14:paraId="0F4785E5">
      <w:pPr>
        <w:spacing w:line="500" w:lineRule="exact"/>
        <w:ind w:firstLine="480" w:firstLineChars="200"/>
        <w:rPr>
          <w:rFonts w:hint="eastAsia" w:ascii="宋体" w:hAnsi="宋体" w:cs="宋体"/>
          <w:sz w:val="24"/>
        </w:rPr>
      </w:pPr>
      <w:r>
        <w:rPr>
          <w:rFonts w:hint="eastAsia" w:ascii="宋体" w:hAnsi="宋体" w:cs="宋体"/>
          <w:sz w:val="24"/>
        </w:rPr>
        <w:t>发包人应根据合同进度计划，组织设计单位向承包人进行设计交底。</w:t>
      </w:r>
    </w:p>
    <w:p w14:paraId="6021ED25">
      <w:pPr>
        <w:spacing w:line="500" w:lineRule="exact"/>
        <w:outlineLvl w:val="3"/>
        <w:rPr>
          <w:rFonts w:hint="eastAsia" w:ascii="宋体" w:hAnsi="宋体" w:cs="宋体"/>
          <w:sz w:val="24"/>
        </w:rPr>
      </w:pPr>
      <w:r>
        <w:rPr>
          <w:rFonts w:hint="eastAsia" w:ascii="宋体" w:hAnsi="宋体" w:cs="宋体"/>
          <w:sz w:val="24"/>
        </w:rPr>
        <w:t>2.6 支付合同价款</w:t>
      </w:r>
    </w:p>
    <w:p w14:paraId="237FEFB0">
      <w:pPr>
        <w:spacing w:line="500" w:lineRule="exact"/>
        <w:ind w:firstLine="420"/>
        <w:rPr>
          <w:rFonts w:hint="eastAsia" w:ascii="宋体" w:hAnsi="宋体" w:cs="宋体"/>
          <w:sz w:val="24"/>
        </w:rPr>
      </w:pPr>
      <w:r>
        <w:rPr>
          <w:rFonts w:hint="eastAsia" w:ascii="宋体" w:hAnsi="宋体" w:cs="宋体"/>
          <w:sz w:val="24"/>
        </w:rPr>
        <w:t>发包人应按合同约定向承包人及时支付合同价款。</w:t>
      </w:r>
    </w:p>
    <w:p w14:paraId="59185EC1">
      <w:pPr>
        <w:spacing w:line="500" w:lineRule="exact"/>
        <w:outlineLvl w:val="3"/>
        <w:rPr>
          <w:rFonts w:hint="eastAsia" w:ascii="宋体" w:hAnsi="宋体" w:cs="宋体"/>
          <w:sz w:val="24"/>
        </w:rPr>
      </w:pPr>
      <w:r>
        <w:rPr>
          <w:rFonts w:hint="eastAsia" w:ascii="宋体" w:hAnsi="宋体" w:cs="宋体"/>
          <w:sz w:val="24"/>
        </w:rPr>
        <w:t>2.7 组织竣工验收(组织法人验收)</w:t>
      </w:r>
    </w:p>
    <w:p w14:paraId="4DF9DFF2">
      <w:pPr>
        <w:spacing w:line="500" w:lineRule="exact"/>
        <w:rPr>
          <w:rFonts w:hint="eastAsia" w:ascii="宋体" w:hAnsi="宋体" w:cs="宋体"/>
          <w:sz w:val="24"/>
        </w:rPr>
      </w:pPr>
      <w:r>
        <w:rPr>
          <w:rFonts w:hint="eastAsia" w:ascii="宋体" w:hAnsi="宋体" w:cs="宋体"/>
          <w:sz w:val="24"/>
        </w:rPr>
        <w:t>　　发包人应按合同约定及时组织法人验收。</w:t>
      </w:r>
    </w:p>
    <w:p w14:paraId="7A33C153">
      <w:pPr>
        <w:spacing w:line="500" w:lineRule="exact"/>
        <w:outlineLvl w:val="3"/>
        <w:rPr>
          <w:rFonts w:hint="eastAsia" w:ascii="宋体" w:hAnsi="宋体" w:cs="宋体"/>
          <w:sz w:val="24"/>
        </w:rPr>
      </w:pPr>
      <w:r>
        <w:rPr>
          <w:rFonts w:hint="eastAsia" w:ascii="宋体" w:hAnsi="宋体" w:cs="宋体"/>
          <w:sz w:val="24"/>
        </w:rPr>
        <w:t>2.8 其它义务</w:t>
      </w:r>
    </w:p>
    <w:p w14:paraId="29C2C273">
      <w:pPr>
        <w:spacing w:line="500" w:lineRule="exact"/>
        <w:rPr>
          <w:rFonts w:hint="eastAsia" w:ascii="宋体" w:hAnsi="宋体" w:cs="宋体"/>
          <w:sz w:val="24"/>
        </w:rPr>
      </w:pPr>
      <w:r>
        <w:rPr>
          <w:rFonts w:hint="eastAsia" w:ascii="宋体" w:hAnsi="宋体" w:cs="宋体"/>
          <w:sz w:val="24"/>
        </w:rPr>
        <w:t>　　其它义务在专用合同条款中补充约定。</w:t>
      </w:r>
    </w:p>
    <w:p w14:paraId="6FE36D0C">
      <w:pPr>
        <w:spacing w:line="500" w:lineRule="exact"/>
        <w:outlineLvl w:val="2"/>
        <w:rPr>
          <w:rFonts w:hint="eastAsia" w:ascii="宋体" w:hAnsi="宋体" w:cs="宋体"/>
          <w:sz w:val="24"/>
        </w:rPr>
      </w:pPr>
      <w:bookmarkStart w:id="306" w:name="_Toc256000119"/>
      <w:bookmarkStart w:id="307" w:name="_Toc256000088"/>
      <w:bookmarkStart w:id="308" w:name="_Toc26580"/>
      <w:bookmarkStart w:id="309" w:name="_Toc15505"/>
      <w:r>
        <w:rPr>
          <w:rFonts w:hint="eastAsia" w:ascii="宋体" w:hAnsi="宋体" w:cs="宋体"/>
          <w:sz w:val="24"/>
        </w:rPr>
        <w:t>3. 监理人</w:t>
      </w:r>
      <w:bookmarkEnd w:id="306"/>
      <w:bookmarkEnd w:id="307"/>
      <w:bookmarkEnd w:id="308"/>
      <w:bookmarkEnd w:id="309"/>
    </w:p>
    <w:p w14:paraId="7C33E615">
      <w:pPr>
        <w:spacing w:line="500" w:lineRule="exact"/>
        <w:outlineLvl w:val="3"/>
        <w:rPr>
          <w:rFonts w:hint="eastAsia" w:ascii="宋体" w:hAnsi="宋体" w:cs="宋体"/>
          <w:sz w:val="24"/>
        </w:rPr>
      </w:pPr>
      <w:r>
        <w:rPr>
          <w:rFonts w:hint="eastAsia" w:ascii="宋体" w:hAnsi="宋体" w:cs="宋体"/>
          <w:sz w:val="24"/>
        </w:rPr>
        <w:t>3.1 监理人的职责和权力</w:t>
      </w:r>
    </w:p>
    <w:p w14:paraId="15CEFACD">
      <w:pPr>
        <w:spacing w:line="500" w:lineRule="exact"/>
        <w:ind w:firstLine="420"/>
        <w:rPr>
          <w:rFonts w:hint="eastAsia" w:ascii="宋体" w:hAnsi="宋体" w:cs="宋体"/>
          <w:sz w:val="24"/>
        </w:rPr>
      </w:pPr>
      <w:r>
        <w:rPr>
          <w:rFonts w:hint="eastAsia" w:ascii="宋体" w:hAnsi="宋体" w:cs="宋体"/>
          <w:sz w:val="24"/>
        </w:rPr>
        <w:t>3.1.1 监理人受发包人的委托，享有合同约定的权力。监理人的权力范围在专用合同条款中明确。当监理人认为出现了危及生命、工程或毗邻财产等安全的紧急事件时，在不免除合同约定的承包人责任的情况下，监理人可以指示承包人实施为消除或减少这种危险所必须进行的工作，即使没有发包人的事先批准，承包人也应立即遵照执行。监理人应按第15条的约定增加相应的费用，并通知承包人。</w:t>
      </w:r>
    </w:p>
    <w:p w14:paraId="682DE488">
      <w:pPr>
        <w:spacing w:line="500" w:lineRule="exact"/>
        <w:ind w:firstLine="480" w:firstLineChars="200"/>
        <w:rPr>
          <w:rFonts w:hint="eastAsia" w:ascii="宋体" w:hAnsi="宋体" w:cs="宋体"/>
          <w:sz w:val="24"/>
        </w:rPr>
      </w:pPr>
      <w:r>
        <w:rPr>
          <w:rFonts w:hint="eastAsia" w:ascii="宋体" w:hAnsi="宋体" w:cs="宋体"/>
          <w:sz w:val="24"/>
        </w:rPr>
        <w:t>3.1.2 监理人发出的任何指示应视为已得到发包人的批准，但监理人无权免除或变更合同约定的发包人和承包人的权利、义务和责任。</w:t>
      </w:r>
    </w:p>
    <w:p w14:paraId="4F911B77">
      <w:pPr>
        <w:spacing w:line="500" w:lineRule="exact"/>
        <w:ind w:firstLine="420"/>
        <w:rPr>
          <w:rFonts w:hint="eastAsia" w:ascii="宋体" w:hAnsi="宋体" w:cs="宋体"/>
          <w:sz w:val="24"/>
        </w:rPr>
      </w:pPr>
      <w:r>
        <w:rPr>
          <w:rFonts w:hint="eastAsia" w:ascii="宋体" w:hAnsi="宋体" w:cs="宋体"/>
          <w:sz w:val="24"/>
        </w:rPr>
        <w:t>3.1.3 合同约定应由承包人承担的义务和责任，不因监理人对承包人提交文件的审查或批准，对工程、材料和设备的检查和检验，以及为实施监理作出的指示等职务行为而减轻或解除。</w:t>
      </w:r>
    </w:p>
    <w:p w14:paraId="46AD7938">
      <w:pPr>
        <w:spacing w:line="500" w:lineRule="exact"/>
        <w:outlineLvl w:val="3"/>
        <w:rPr>
          <w:rFonts w:hint="eastAsia" w:ascii="宋体" w:hAnsi="宋体" w:cs="宋体"/>
          <w:sz w:val="24"/>
        </w:rPr>
      </w:pPr>
      <w:r>
        <w:rPr>
          <w:rFonts w:hint="eastAsia" w:ascii="宋体" w:hAnsi="宋体" w:cs="宋体"/>
          <w:sz w:val="24"/>
        </w:rPr>
        <w:t>3.2 总监理工程师</w:t>
      </w:r>
    </w:p>
    <w:p w14:paraId="11E70FB0">
      <w:pPr>
        <w:spacing w:line="500" w:lineRule="exact"/>
        <w:ind w:firstLine="480" w:firstLineChars="200"/>
        <w:rPr>
          <w:rFonts w:hint="eastAsia" w:ascii="宋体" w:hAnsi="宋体" w:cs="宋体"/>
          <w:sz w:val="24"/>
        </w:rPr>
      </w:pPr>
      <w:r>
        <w:rPr>
          <w:rFonts w:hint="eastAsia" w:ascii="宋体" w:hAnsi="宋体" w:cs="宋体"/>
          <w:sz w:val="24"/>
        </w:rPr>
        <w:t xml:space="preserve">发包人应在发出开工通知前将总监理工程师的任命通知承包人。总监理工程师更换时，应在调离14天前通知承包人。总监理工程师短期离开施工场地的，应委派代表代行其职责，并通知承包人。   </w:t>
      </w:r>
    </w:p>
    <w:p w14:paraId="6ED3CDF9">
      <w:pPr>
        <w:spacing w:line="500" w:lineRule="exact"/>
        <w:outlineLvl w:val="3"/>
        <w:rPr>
          <w:rFonts w:hint="eastAsia" w:ascii="宋体" w:hAnsi="宋体" w:cs="宋体"/>
          <w:sz w:val="24"/>
        </w:rPr>
      </w:pPr>
      <w:r>
        <w:rPr>
          <w:rFonts w:hint="eastAsia" w:ascii="宋体" w:hAnsi="宋体" w:cs="宋体"/>
          <w:sz w:val="24"/>
        </w:rPr>
        <w:t>3.3 监理人员</w:t>
      </w:r>
    </w:p>
    <w:p w14:paraId="51005D83">
      <w:pPr>
        <w:spacing w:line="500" w:lineRule="exact"/>
        <w:ind w:firstLine="480" w:firstLineChars="200"/>
        <w:jc w:val="left"/>
        <w:rPr>
          <w:rFonts w:hint="eastAsia" w:ascii="宋体" w:hAnsi="宋体" w:cs="宋体"/>
          <w:sz w:val="24"/>
        </w:rPr>
      </w:pPr>
      <w:r>
        <w:rPr>
          <w:rFonts w:hint="eastAsia" w:ascii="宋体" w:hAnsi="宋体" w:cs="宋体"/>
          <w:sz w:val="24"/>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2C14EE88">
      <w:pPr>
        <w:spacing w:line="500" w:lineRule="exact"/>
        <w:ind w:firstLine="480" w:firstLineChars="200"/>
        <w:rPr>
          <w:rFonts w:hint="eastAsia" w:ascii="宋体" w:hAnsi="宋体" w:cs="宋体"/>
          <w:sz w:val="24"/>
        </w:rPr>
      </w:pPr>
      <w:r>
        <w:rPr>
          <w:rFonts w:hint="eastAsia" w:ascii="宋体" w:hAnsi="宋体" w:cs="宋体"/>
          <w:sz w:val="24"/>
        </w:rPr>
        <w:t>3.3.2 监理人员对承包人的任何工作、工程或其采用的材料和工程设备未在约定的或合理的期限内提出否定意见的，视为已获批准，但不影响监理人在以后拒绝该项工作、工程、材料或工程设备的权利。</w:t>
      </w:r>
    </w:p>
    <w:p w14:paraId="4D070646">
      <w:pPr>
        <w:spacing w:line="500" w:lineRule="exact"/>
        <w:ind w:firstLine="480" w:firstLineChars="200"/>
        <w:rPr>
          <w:rFonts w:hint="eastAsia" w:ascii="宋体" w:hAnsi="宋体" w:cs="宋体"/>
          <w:sz w:val="24"/>
        </w:rPr>
      </w:pPr>
      <w:r>
        <w:rPr>
          <w:rFonts w:hint="eastAsia" w:ascii="宋体" w:hAnsi="宋体" w:cs="宋体"/>
          <w:sz w:val="24"/>
        </w:rPr>
        <w:t>3.3.3 承包人对总监理工程师授权的监理人员发出的指示有疑问的，可向总监理工程师提出书面异议，总监理工程师应在48小时内对该指示予以确认、更改或撤销。</w:t>
      </w:r>
    </w:p>
    <w:p w14:paraId="2892845F">
      <w:pPr>
        <w:spacing w:line="500" w:lineRule="exact"/>
        <w:ind w:firstLine="480" w:firstLineChars="200"/>
        <w:rPr>
          <w:rFonts w:hint="eastAsia" w:ascii="宋体" w:hAnsi="宋体" w:cs="宋体"/>
          <w:sz w:val="24"/>
        </w:rPr>
      </w:pPr>
      <w:r>
        <w:rPr>
          <w:rFonts w:hint="eastAsia" w:ascii="宋体" w:hAnsi="宋体" w:cs="宋体"/>
          <w:sz w:val="24"/>
        </w:rPr>
        <w:t>3.3.4 除专用合同条款另有约定外，总监理工程师不应将第3.5款约定应由总监理工程师作出确定的权力授权或委托给其他监理人员。</w:t>
      </w:r>
    </w:p>
    <w:p w14:paraId="729E00C9">
      <w:pPr>
        <w:spacing w:line="500" w:lineRule="exact"/>
        <w:outlineLvl w:val="3"/>
        <w:rPr>
          <w:rFonts w:hint="eastAsia" w:ascii="宋体" w:hAnsi="宋体" w:cs="宋体"/>
          <w:sz w:val="24"/>
        </w:rPr>
      </w:pPr>
      <w:r>
        <w:rPr>
          <w:rFonts w:hint="eastAsia" w:ascii="宋体" w:hAnsi="宋体" w:cs="宋体"/>
          <w:sz w:val="24"/>
        </w:rPr>
        <w:t>3.4 监理人的指示</w:t>
      </w:r>
    </w:p>
    <w:p w14:paraId="0B42E383">
      <w:pPr>
        <w:spacing w:line="500" w:lineRule="exact"/>
        <w:ind w:firstLine="480" w:firstLineChars="200"/>
        <w:rPr>
          <w:rFonts w:hint="eastAsia" w:ascii="宋体" w:hAnsi="宋体" w:cs="宋体"/>
          <w:sz w:val="24"/>
        </w:rPr>
      </w:pPr>
      <w:r>
        <w:rPr>
          <w:rFonts w:hint="eastAsia" w:ascii="宋体" w:hAnsi="宋体" w:cs="宋体"/>
          <w:sz w:val="24"/>
        </w:rPr>
        <w:t>3.4.1 监理人应按第3.1款的约定向承包人发出指示，监理人的指示应盖有监理人授权的施工场地机构章，并由总监理工程师或总监理工程师按第3.3.1项约定授权的监理人员签字。</w:t>
      </w:r>
    </w:p>
    <w:p w14:paraId="66170E56">
      <w:pPr>
        <w:spacing w:line="500" w:lineRule="exact"/>
        <w:ind w:firstLine="480" w:firstLineChars="200"/>
        <w:rPr>
          <w:rFonts w:hint="eastAsia" w:ascii="宋体" w:hAnsi="宋体" w:cs="宋体"/>
          <w:sz w:val="24"/>
        </w:rPr>
      </w:pPr>
      <w:r>
        <w:rPr>
          <w:rFonts w:hint="eastAsia" w:ascii="宋体" w:hAnsi="宋体" w:cs="宋体"/>
          <w:sz w:val="24"/>
        </w:rPr>
        <w:t>3.4.2 承包人收到监理人按第3.4.1项作出的指示后应遵照执行。指示构成变更的，应按第15条处理。</w:t>
      </w:r>
    </w:p>
    <w:p w14:paraId="35939C6E">
      <w:pPr>
        <w:spacing w:line="500" w:lineRule="exact"/>
        <w:ind w:firstLine="480" w:firstLineChars="200"/>
        <w:rPr>
          <w:rFonts w:hint="eastAsia" w:ascii="宋体" w:hAnsi="宋体" w:cs="宋体"/>
          <w:sz w:val="24"/>
        </w:rPr>
      </w:pPr>
      <w:r>
        <w:rPr>
          <w:rFonts w:hint="eastAsia" w:ascii="宋体" w:hAnsi="宋体" w:cs="宋体"/>
          <w:sz w:val="24"/>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14:paraId="17083F7E">
      <w:pPr>
        <w:spacing w:line="500" w:lineRule="exact"/>
        <w:ind w:firstLine="480" w:firstLineChars="200"/>
        <w:rPr>
          <w:rFonts w:hint="eastAsia" w:ascii="宋体" w:hAnsi="宋体" w:cs="宋体"/>
          <w:sz w:val="24"/>
        </w:rPr>
      </w:pPr>
      <w:r>
        <w:rPr>
          <w:rFonts w:hint="eastAsia" w:ascii="宋体" w:hAnsi="宋体" w:cs="宋体"/>
          <w:sz w:val="24"/>
        </w:rPr>
        <w:t>3.4.4 除合同另有约定外，承包人只从总监理工程师或按第3.3.1项被授权的监理人员处取得指示。</w:t>
      </w:r>
    </w:p>
    <w:p w14:paraId="682CF462">
      <w:pPr>
        <w:spacing w:line="500" w:lineRule="exact"/>
        <w:ind w:firstLine="480" w:firstLineChars="200"/>
        <w:rPr>
          <w:rFonts w:hint="eastAsia" w:ascii="宋体" w:hAnsi="宋体" w:cs="宋体"/>
          <w:sz w:val="24"/>
        </w:rPr>
      </w:pPr>
      <w:r>
        <w:rPr>
          <w:rFonts w:hint="eastAsia" w:ascii="宋体" w:hAnsi="宋体" w:cs="宋体"/>
          <w:sz w:val="24"/>
        </w:rPr>
        <w:t xml:space="preserve">3.4.5 由于监理人未能按合同约定发出指示、指示延误或指示错误而导致承包人费用增加和（或）工期延误的，由发包人承担赔偿责任。 </w:t>
      </w:r>
    </w:p>
    <w:p w14:paraId="13D2CE86">
      <w:pPr>
        <w:spacing w:line="500" w:lineRule="exact"/>
        <w:outlineLvl w:val="3"/>
        <w:rPr>
          <w:rFonts w:hint="eastAsia" w:ascii="宋体" w:hAnsi="宋体" w:cs="宋体"/>
          <w:sz w:val="24"/>
        </w:rPr>
      </w:pPr>
      <w:r>
        <w:rPr>
          <w:rFonts w:hint="eastAsia" w:ascii="宋体" w:hAnsi="宋体" w:cs="宋体"/>
          <w:sz w:val="24"/>
        </w:rPr>
        <w:t>3.5 商定或确定</w:t>
      </w:r>
    </w:p>
    <w:p w14:paraId="65F13D64">
      <w:pPr>
        <w:spacing w:line="500" w:lineRule="exact"/>
        <w:ind w:firstLine="480" w:firstLineChars="200"/>
        <w:rPr>
          <w:rFonts w:hint="eastAsia" w:ascii="宋体" w:hAnsi="宋体" w:cs="宋体"/>
          <w:sz w:val="24"/>
        </w:rPr>
      </w:pPr>
      <w:r>
        <w:rPr>
          <w:rFonts w:hint="eastAsia" w:ascii="宋体" w:hAnsi="宋体" w:cs="宋体"/>
          <w:sz w:val="24"/>
        </w:rPr>
        <w:t>3.5.1合同约定总监理工程师应按照本款对任何事项进行商定或确定时，总监理工程师应与合同当事人协商，尽量达成一致。不能达成一致的，总监理工程师应认真研究后审慎确定。</w:t>
      </w:r>
    </w:p>
    <w:p w14:paraId="46C1A786">
      <w:pPr>
        <w:spacing w:line="500" w:lineRule="exact"/>
        <w:ind w:firstLine="480" w:firstLineChars="200"/>
        <w:rPr>
          <w:rFonts w:hint="eastAsia" w:ascii="宋体" w:hAnsi="宋体" w:cs="宋体"/>
          <w:sz w:val="24"/>
        </w:rPr>
      </w:pPr>
      <w:r>
        <w:rPr>
          <w:rFonts w:hint="eastAsia" w:ascii="宋体" w:hAnsi="宋体" w:cs="宋体"/>
          <w:sz w:val="24"/>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14:paraId="574557FA">
      <w:pPr>
        <w:spacing w:line="500" w:lineRule="exact"/>
        <w:outlineLvl w:val="2"/>
        <w:rPr>
          <w:rFonts w:hint="eastAsia" w:ascii="宋体" w:hAnsi="宋体" w:cs="宋体"/>
          <w:sz w:val="24"/>
        </w:rPr>
      </w:pPr>
      <w:bookmarkStart w:id="310" w:name="_Toc256000120"/>
      <w:bookmarkStart w:id="311" w:name="_Toc19658"/>
      <w:bookmarkStart w:id="312" w:name="_Toc17511"/>
      <w:bookmarkStart w:id="313" w:name="_Toc256000089"/>
      <w:r>
        <w:rPr>
          <w:rFonts w:hint="eastAsia" w:ascii="宋体" w:hAnsi="宋体" w:cs="宋体"/>
          <w:sz w:val="24"/>
        </w:rPr>
        <w:t>4. 承包人</w:t>
      </w:r>
      <w:bookmarkEnd w:id="310"/>
      <w:bookmarkEnd w:id="311"/>
      <w:bookmarkEnd w:id="312"/>
      <w:bookmarkEnd w:id="313"/>
    </w:p>
    <w:p w14:paraId="2F5C5D6C">
      <w:pPr>
        <w:spacing w:line="500" w:lineRule="exact"/>
        <w:outlineLvl w:val="3"/>
        <w:rPr>
          <w:rFonts w:hint="eastAsia" w:ascii="宋体" w:hAnsi="宋体" w:cs="宋体"/>
          <w:sz w:val="24"/>
        </w:rPr>
      </w:pPr>
      <w:r>
        <w:rPr>
          <w:rFonts w:hint="eastAsia" w:ascii="宋体" w:hAnsi="宋体" w:cs="宋体"/>
          <w:sz w:val="24"/>
        </w:rPr>
        <w:t>4.1承包人的一般义务</w:t>
      </w:r>
    </w:p>
    <w:p w14:paraId="72D9B27F">
      <w:pPr>
        <w:spacing w:line="500" w:lineRule="exact"/>
        <w:ind w:firstLine="480" w:firstLineChars="200"/>
        <w:rPr>
          <w:rFonts w:hint="eastAsia" w:ascii="宋体" w:hAnsi="宋体" w:cs="宋体"/>
          <w:sz w:val="24"/>
        </w:rPr>
      </w:pPr>
      <w:r>
        <w:rPr>
          <w:rFonts w:hint="eastAsia" w:ascii="宋体" w:hAnsi="宋体" w:cs="宋体"/>
          <w:sz w:val="24"/>
        </w:rPr>
        <w:t>4.1.1 遵守法律</w:t>
      </w:r>
    </w:p>
    <w:p w14:paraId="70D2453F">
      <w:pPr>
        <w:spacing w:line="500" w:lineRule="exact"/>
        <w:ind w:firstLine="480" w:firstLineChars="200"/>
        <w:rPr>
          <w:rFonts w:hint="eastAsia" w:ascii="宋体" w:hAnsi="宋体" w:cs="宋体"/>
          <w:sz w:val="24"/>
        </w:rPr>
      </w:pPr>
      <w:r>
        <w:rPr>
          <w:rFonts w:hint="eastAsia" w:ascii="宋体" w:hAnsi="宋体" w:cs="宋体"/>
          <w:sz w:val="24"/>
        </w:rPr>
        <w:t>承包人在履行合同过程中应遵守法律，并保证发包人免于承担因承包人违反法律而引起的任何责任。</w:t>
      </w:r>
    </w:p>
    <w:p w14:paraId="12BF050B">
      <w:pPr>
        <w:spacing w:line="500" w:lineRule="exact"/>
        <w:ind w:firstLine="480" w:firstLineChars="200"/>
        <w:rPr>
          <w:rFonts w:hint="eastAsia" w:ascii="宋体" w:hAnsi="宋体" w:cs="宋体"/>
          <w:sz w:val="24"/>
        </w:rPr>
      </w:pPr>
      <w:r>
        <w:rPr>
          <w:rFonts w:hint="eastAsia" w:ascii="宋体" w:hAnsi="宋体" w:cs="宋体"/>
          <w:sz w:val="24"/>
        </w:rPr>
        <w:t>4.1.2 依法纳税</w:t>
      </w:r>
    </w:p>
    <w:p w14:paraId="28CFF789">
      <w:pPr>
        <w:spacing w:line="500" w:lineRule="exact"/>
        <w:rPr>
          <w:rFonts w:hint="eastAsia" w:ascii="宋体" w:hAnsi="宋体" w:cs="宋体"/>
          <w:sz w:val="24"/>
        </w:rPr>
      </w:pPr>
      <w:r>
        <w:rPr>
          <w:rFonts w:hint="eastAsia" w:ascii="宋体" w:hAnsi="宋体" w:cs="宋体"/>
          <w:sz w:val="24"/>
        </w:rPr>
        <w:t>承包人应按有关法律规定纳税，应缴纳的税金包括在合同价格内。</w:t>
      </w:r>
    </w:p>
    <w:p w14:paraId="0294DF85">
      <w:pPr>
        <w:spacing w:line="500" w:lineRule="exact"/>
        <w:ind w:firstLine="480" w:firstLineChars="200"/>
        <w:rPr>
          <w:rFonts w:hint="eastAsia" w:ascii="宋体" w:hAnsi="宋体" w:cs="宋体"/>
          <w:sz w:val="24"/>
        </w:rPr>
      </w:pPr>
      <w:r>
        <w:rPr>
          <w:rFonts w:hint="eastAsia" w:ascii="宋体" w:hAnsi="宋体" w:cs="宋体"/>
          <w:sz w:val="24"/>
        </w:rPr>
        <w:t>4.1.3 完成各项承包工作</w:t>
      </w:r>
    </w:p>
    <w:p w14:paraId="4D3E3092">
      <w:pPr>
        <w:spacing w:line="500" w:lineRule="exact"/>
        <w:rPr>
          <w:rFonts w:hint="eastAsia" w:ascii="宋体" w:hAnsi="宋体" w:cs="宋体"/>
          <w:sz w:val="24"/>
        </w:rPr>
      </w:pPr>
      <w:r>
        <w:rPr>
          <w:rFonts w:hint="eastAsia" w:ascii="宋体" w:hAnsi="宋体" w:cs="宋体"/>
          <w:sz w:val="24"/>
        </w:rPr>
        <w:t>　　承包人应按合同约定以及监理人根据第3.4款作出的指示，实施、完成全部工程，并修补工程中的任何缺陷。除第5.2款、第6.2款另有约定外，承包人应提供为完成合同工作所需的劳务、材料、施工设备、工程设备和其它物品，并按合同约定负责临时设施的设计、建造、运行、维护、管理和拆除。</w:t>
      </w:r>
    </w:p>
    <w:p w14:paraId="6321D650">
      <w:pPr>
        <w:spacing w:line="500" w:lineRule="exact"/>
        <w:ind w:firstLine="480" w:firstLineChars="200"/>
        <w:rPr>
          <w:rFonts w:hint="eastAsia" w:ascii="宋体" w:hAnsi="宋体" w:cs="宋体"/>
          <w:sz w:val="24"/>
        </w:rPr>
      </w:pPr>
      <w:r>
        <w:rPr>
          <w:rFonts w:hint="eastAsia" w:ascii="宋体" w:hAnsi="宋体" w:cs="宋体"/>
          <w:sz w:val="24"/>
        </w:rPr>
        <w:t>4.1.4 对施工作业和施工方法的完备性负责</w:t>
      </w:r>
    </w:p>
    <w:p w14:paraId="38B7D0D3">
      <w:pPr>
        <w:spacing w:line="500" w:lineRule="exact"/>
        <w:ind w:firstLine="480" w:firstLineChars="200"/>
        <w:rPr>
          <w:rFonts w:hint="eastAsia" w:ascii="宋体" w:hAnsi="宋体" w:cs="宋体"/>
          <w:sz w:val="24"/>
        </w:rPr>
      </w:pPr>
      <w:r>
        <w:rPr>
          <w:rFonts w:hint="eastAsia" w:ascii="宋体" w:hAnsi="宋体" w:cs="宋体"/>
          <w:sz w:val="24"/>
        </w:rPr>
        <w:t>承包人应按合同约定的工作内容和施工进度要求，编制施工组织设计和施工措施计划，并对所有施工作业和施工方法的完备性和安全可靠性负责。</w:t>
      </w:r>
    </w:p>
    <w:p w14:paraId="3BF17B2B">
      <w:pPr>
        <w:spacing w:line="500" w:lineRule="exact"/>
        <w:ind w:firstLine="480" w:firstLineChars="200"/>
        <w:rPr>
          <w:rFonts w:hint="eastAsia" w:ascii="宋体" w:hAnsi="宋体" w:cs="宋体"/>
          <w:sz w:val="24"/>
        </w:rPr>
      </w:pPr>
      <w:r>
        <w:rPr>
          <w:rFonts w:hint="eastAsia" w:ascii="宋体" w:hAnsi="宋体" w:cs="宋体"/>
          <w:sz w:val="24"/>
        </w:rPr>
        <w:t>4.1.5 保证工程施工和人员的安全</w:t>
      </w:r>
    </w:p>
    <w:p w14:paraId="5DE7A4A1">
      <w:pPr>
        <w:spacing w:line="500" w:lineRule="exact"/>
        <w:ind w:firstLine="480" w:firstLineChars="200"/>
        <w:rPr>
          <w:rFonts w:hint="eastAsia" w:ascii="宋体" w:hAnsi="宋体" w:cs="宋体"/>
          <w:sz w:val="24"/>
        </w:rPr>
      </w:pPr>
      <w:r>
        <w:rPr>
          <w:rFonts w:hint="eastAsia" w:ascii="宋体" w:hAnsi="宋体" w:cs="宋体"/>
          <w:sz w:val="24"/>
        </w:rPr>
        <w:t>承包人应按第9.2款约定采取施工安全措施，确保工程及其人员、材料、设备和设施的安全，防止因工程施工造成的人身伤害和财产损失。</w:t>
      </w:r>
    </w:p>
    <w:p w14:paraId="09572E94">
      <w:pPr>
        <w:spacing w:line="500" w:lineRule="exact"/>
        <w:ind w:firstLine="480" w:firstLineChars="200"/>
        <w:rPr>
          <w:rFonts w:hint="eastAsia" w:ascii="宋体" w:hAnsi="宋体" w:cs="宋体"/>
          <w:sz w:val="24"/>
        </w:rPr>
      </w:pPr>
      <w:r>
        <w:rPr>
          <w:rFonts w:hint="eastAsia" w:ascii="宋体" w:hAnsi="宋体" w:cs="宋体"/>
          <w:sz w:val="24"/>
        </w:rPr>
        <w:t>4.1.6 负责施工场地及其周边环境与生态的保护工作</w:t>
      </w:r>
    </w:p>
    <w:p w14:paraId="53BACF48">
      <w:pPr>
        <w:spacing w:line="500" w:lineRule="exact"/>
        <w:ind w:firstLine="480" w:firstLineChars="200"/>
        <w:rPr>
          <w:rFonts w:hint="eastAsia" w:ascii="宋体" w:hAnsi="宋体" w:cs="宋体"/>
          <w:sz w:val="24"/>
        </w:rPr>
      </w:pPr>
      <w:r>
        <w:rPr>
          <w:rFonts w:hint="eastAsia" w:ascii="宋体" w:hAnsi="宋体" w:cs="宋体"/>
          <w:sz w:val="24"/>
        </w:rPr>
        <w:t>承包人应按照第9.4款约定负责施工场地及其周边环境与生态的保护工作。</w:t>
      </w:r>
    </w:p>
    <w:p w14:paraId="622BD88E">
      <w:pPr>
        <w:spacing w:line="500" w:lineRule="exact"/>
        <w:ind w:firstLine="480" w:firstLineChars="200"/>
        <w:rPr>
          <w:rFonts w:hint="eastAsia" w:ascii="宋体" w:hAnsi="宋体" w:cs="宋体"/>
          <w:sz w:val="24"/>
        </w:rPr>
      </w:pPr>
      <w:r>
        <w:rPr>
          <w:rFonts w:hint="eastAsia" w:ascii="宋体" w:hAnsi="宋体" w:cs="宋体"/>
          <w:sz w:val="24"/>
        </w:rPr>
        <w:t>4.1.7 避免施工对公众与他人的利益造成损害</w:t>
      </w:r>
    </w:p>
    <w:p w14:paraId="07D748C4">
      <w:pPr>
        <w:spacing w:line="500" w:lineRule="exact"/>
        <w:ind w:firstLine="480" w:firstLineChars="200"/>
        <w:rPr>
          <w:rFonts w:hint="eastAsia" w:ascii="宋体" w:hAnsi="宋体" w:cs="宋体"/>
          <w:sz w:val="24"/>
        </w:rPr>
      </w:pPr>
      <w:r>
        <w:rPr>
          <w:rFonts w:hint="eastAsia" w:ascii="宋体" w:hAnsi="宋体" w:cs="宋体"/>
          <w:sz w:val="24"/>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7EE7591A">
      <w:pPr>
        <w:spacing w:line="500" w:lineRule="exact"/>
        <w:ind w:firstLine="480" w:firstLineChars="200"/>
        <w:rPr>
          <w:rFonts w:hint="eastAsia" w:ascii="宋体" w:hAnsi="宋体" w:cs="宋体"/>
          <w:sz w:val="24"/>
        </w:rPr>
      </w:pPr>
      <w:r>
        <w:rPr>
          <w:rFonts w:hint="eastAsia" w:ascii="宋体" w:hAnsi="宋体" w:cs="宋体"/>
          <w:sz w:val="24"/>
        </w:rPr>
        <w:t>4.1.8 为他人提供方便</w:t>
      </w:r>
    </w:p>
    <w:p w14:paraId="6A18EAF9">
      <w:pPr>
        <w:spacing w:line="500" w:lineRule="exact"/>
        <w:rPr>
          <w:rFonts w:hint="eastAsia" w:ascii="宋体" w:hAnsi="宋体" w:cs="宋体"/>
          <w:sz w:val="24"/>
        </w:rPr>
      </w:pPr>
      <w:r>
        <w:rPr>
          <w:rFonts w:hint="eastAsia" w:ascii="宋体" w:hAnsi="宋体" w:cs="宋体"/>
          <w:sz w:val="24"/>
        </w:rPr>
        <w:t>承包人应按监理人的指示为他人在施工场地或附近实施与工程有关的其他各项工作提供可能的条件。除合同另有约定外，提供有关条件的内容和可能发生的费用，由监理人按第3.5款商定或确定。</w:t>
      </w:r>
    </w:p>
    <w:p w14:paraId="6997503F">
      <w:pPr>
        <w:spacing w:line="500" w:lineRule="exact"/>
        <w:ind w:firstLine="480" w:firstLineChars="200"/>
        <w:rPr>
          <w:rFonts w:hint="eastAsia" w:ascii="宋体" w:hAnsi="宋体" w:cs="宋体"/>
          <w:sz w:val="24"/>
        </w:rPr>
      </w:pPr>
      <w:r>
        <w:rPr>
          <w:rFonts w:hint="eastAsia" w:ascii="宋体" w:hAnsi="宋体" w:cs="宋体"/>
          <w:sz w:val="24"/>
        </w:rPr>
        <w:t>4.1.9 工程的维护和照管</w:t>
      </w:r>
    </w:p>
    <w:p w14:paraId="72C1B5E5">
      <w:pPr>
        <w:spacing w:line="500" w:lineRule="exact"/>
        <w:rPr>
          <w:rFonts w:hint="eastAsia" w:ascii="宋体" w:hAnsi="宋体" w:cs="宋体"/>
          <w:sz w:val="24"/>
        </w:rPr>
      </w:pPr>
      <w:r>
        <w:rPr>
          <w:rFonts w:hint="eastAsia" w:ascii="宋体" w:hAnsi="宋体" w:cs="宋体"/>
          <w:sz w:val="24"/>
        </w:rPr>
        <w:t>　　除合同另有约定外，合同工程完工证书颁发前，承包人应负责照管和维护工程。合同工程完工证书颁发时尚有部分未完工程的，承包人还应负责该未完工程的照管和维护工作，直至完工后移交给发包人为止。</w:t>
      </w:r>
    </w:p>
    <w:p w14:paraId="519E0AEA">
      <w:pPr>
        <w:spacing w:line="500" w:lineRule="exact"/>
        <w:rPr>
          <w:rFonts w:hint="eastAsia" w:ascii="宋体" w:hAnsi="宋体" w:cs="宋体"/>
          <w:sz w:val="24"/>
        </w:rPr>
      </w:pPr>
      <w:r>
        <w:rPr>
          <w:rFonts w:hint="eastAsia" w:ascii="宋体" w:hAnsi="宋体" w:cs="宋体"/>
          <w:sz w:val="24"/>
        </w:rPr>
        <w:t>　　4.1.10 其它义务</w:t>
      </w:r>
    </w:p>
    <w:p w14:paraId="07282970">
      <w:pPr>
        <w:spacing w:line="500" w:lineRule="exact"/>
        <w:rPr>
          <w:rFonts w:hint="eastAsia" w:ascii="宋体" w:hAnsi="宋体" w:cs="宋体"/>
          <w:sz w:val="24"/>
        </w:rPr>
      </w:pPr>
      <w:r>
        <w:rPr>
          <w:rFonts w:hint="eastAsia" w:ascii="宋体" w:hAnsi="宋体" w:cs="宋体"/>
          <w:sz w:val="24"/>
        </w:rPr>
        <w:t>　　其它义务在专用合同条款中补充约定。</w:t>
      </w:r>
    </w:p>
    <w:p w14:paraId="79372AC4">
      <w:pPr>
        <w:spacing w:line="500" w:lineRule="exact"/>
        <w:outlineLvl w:val="3"/>
        <w:rPr>
          <w:rFonts w:hint="eastAsia" w:ascii="宋体" w:hAnsi="宋体" w:cs="宋体"/>
          <w:sz w:val="24"/>
        </w:rPr>
      </w:pPr>
      <w:r>
        <w:rPr>
          <w:rFonts w:hint="eastAsia" w:ascii="宋体" w:hAnsi="宋体" w:cs="宋体"/>
          <w:sz w:val="24"/>
        </w:rPr>
        <w:t>4.2 履约担保</w:t>
      </w:r>
    </w:p>
    <w:p w14:paraId="00431F26">
      <w:pPr>
        <w:spacing w:line="500" w:lineRule="exact"/>
        <w:rPr>
          <w:rFonts w:hint="eastAsia" w:ascii="宋体" w:hAnsi="宋体" w:cs="宋体"/>
          <w:sz w:val="24"/>
        </w:rPr>
      </w:pPr>
      <w:r>
        <w:rPr>
          <w:rFonts w:hint="eastAsia" w:ascii="宋体" w:hAnsi="宋体" w:cs="宋体"/>
          <w:sz w:val="24"/>
        </w:rPr>
        <w:t>　　承包人应保证其履约担保在发包人颁发合同工程完工证书前一直有效。发包人应在合同工程完工证书颁发后28天内将履约担保退还给承包人。</w:t>
      </w:r>
    </w:p>
    <w:p w14:paraId="7715B2E9">
      <w:pPr>
        <w:spacing w:line="500" w:lineRule="exact"/>
        <w:outlineLvl w:val="3"/>
        <w:rPr>
          <w:rFonts w:hint="eastAsia" w:ascii="宋体" w:hAnsi="宋体" w:cs="宋体"/>
          <w:sz w:val="24"/>
        </w:rPr>
      </w:pPr>
      <w:r>
        <w:rPr>
          <w:rFonts w:hint="eastAsia" w:ascii="宋体" w:hAnsi="宋体" w:cs="宋体"/>
          <w:sz w:val="24"/>
        </w:rPr>
        <w:t>4.3 分包</w:t>
      </w:r>
    </w:p>
    <w:p w14:paraId="2150FF1D">
      <w:pPr>
        <w:spacing w:line="500" w:lineRule="exact"/>
        <w:ind w:firstLine="480" w:firstLineChars="200"/>
        <w:rPr>
          <w:rFonts w:hint="eastAsia" w:ascii="宋体" w:hAnsi="宋体" w:cs="宋体"/>
          <w:sz w:val="24"/>
        </w:rPr>
      </w:pPr>
      <w:r>
        <w:rPr>
          <w:rFonts w:hint="eastAsia" w:ascii="宋体" w:hAnsi="宋体" w:cs="宋体"/>
          <w:sz w:val="24"/>
        </w:rPr>
        <w:t>4.3.1 承包人不得将其承包的全部工程转包给第三人，或将其承包的全部工程肢解后以分包的名义转包给第三人。</w:t>
      </w:r>
    </w:p>
    <w:p w14:paraId="1DC49B00">
      <w:pPr>
        <w:spacing w:line="500" w:lineRule="exact"/>
        <w:ind w:firstLine="480" w:firstLineChars="200"/>
        <w:rPr>
          <w:rFonts w:hint="eastAsia" w:ascii="宋体" w:hAnsi="宋体" w:cs="宋体"/>
          <w:sz w:val="24"/>
        </w:rPr>
      </w:pPr>
      <w:r>
        <w:rPr>
          <w:rFonts w:hint="eastAsia" w:ascii="宋体" w:hAnsi="宋体" w:cs="宋体"/>
          <w:sz w:val="24"/>
        </w:rPr>
        <w:t>4.3.2 承包人不得将工程主体、关键性工作分包给第三人。除专用合同条款另有约定外，未经发包人同意，承包人不得将工程的其他部分或工作分包给第三人。</w:t>
      </w:r>
    </w:p>
    <w:p w14:paraId="5DB44C5F">
      <w:pPr>
        <w:spacing w:line="500" w:lineRule="exact"/>
        <w:ind w:firstLine="480" w:firstLineChars="200"/>
        <w:rPr>
          <w:rFonts w:hint="eastAsia" w:ascii="宋体" w:hAnsi="宋体" w:cs="宋体"/>
          <w:sz w:val="24"/>
        </w:rPr>
      </w:pPr>
      <w:r>
        <w:rPr>
          <w:rFonts w:hint="eastAsia" w:ascii="宋体" w:hAnsi="宋体" w:cs="宋体"/>
          <w:sz w:val="24"/>
        </w:rPr>
        <w:t>4.3.3 分包人的资格能力应与其分包工程的标准和规模相适应。</w:t>
      </w:r>
    </w:p>
    <w:p w14:paraId="778D9436">
      <w:pPr>
        <w:spacing w:line="500" w:lineRule="exact"/>
        <w:ind w:firstLine="480" w:firstLineChars="200"/>
        <w:rPr>
          <w:rFonts w:hint="eastAsia" w:ascii="宋体" w:hAnsi="宋体" w:cs="宋体"/>
          <w:sz w:val="24"/>
        </w:rPr>
      </w:pPr>
      <w:r>
        <w:rPr>
          <w:rFonts w:hint="eastAsia" w:ascii="宋体" w:hAnsi="宋体" w:cs="宋体"/>
          <w:sz w:val="24"/>
        </w:rPr>
        <w:t>4.3.4 按投标函附录约定分包工程的，承包人应向发包人和监理人提交分包合同备份。</w:t>
      </w:r>
    </w:p>
    <w:p w14:paraId="304E9321">
      <w:pPr>
        <w:spacing w:line="500" w:lineRule="exact"/>
        <w:ind w:firstLine="480" w:firstLineChars="200"/>
        <w:rPr>
          <w:rFonts w:hint="eastAsia" w:ascii="宋体" w:hAnsi="宋体" w:cs="宋体"/>
          <w:sz w:val="24"/>
        </w:rPr>
      </w:pPr>
      <w:r>
        <w:rPr>
          <w:rFonts w:hint="eastAsia" w:ascii="宋体" w:hAnsi="宋体" w:cs="宋体"/>
          <w:sz w:val="24"/>
        </w:rPr>
        <w:t>4.3.5 承包人应与分包人就分包工程向发包人承担连带责任。</w:t>
      </w:r>
    </w:p>
    <w:p w14:paraId="341D758C">
      <w:pPr>
        <w:spacing w:line="500" w:lineRule="exact"/>
        <w:ind w:firstLine="480" w:firstLineChars="200"/>
        <w:rPr>
          <w:rFonts w:hint="eastAsia" w:ascii="宋体" w:hAnsi="宋体" w:cs="宋体"/>
          <w:sz w:val="24"/>
        </w:rPr>
      </w:pPr>
      <w:r>
        <w:rPr>
          <w:rFonts w:hint="eastAsia" w:ascii="宋体" w:hAnsi="宋体" w:cs="宋体"/>
          <w:sz w:val="24"/>
        </w:rPr>
        <w:t>4.3.6 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14:paraId="7772F6EC">
      <w:pPr>
        <w:spacing w:line="500" w:lineRule="exact"/>
        <w:rPr>
          <w:rFonts w:hint="eastAsia" w:ascii="宋体" w:hAnsi="宋体" w:cs="宋体"/>
          <w:sz w:val="24"/>
        </w:rPr>
      </w:pPr>
      <w:r>
        <w:rPr>
          <w:rFonts w:hint="eastAsia" w:ascii="宋体" w:hAnsi="宋体" w:cs="宋体"/>
          <w:sz w:val="24"/>
        </w:rPr>
        <w:t>　　4.3.7 在合同实施过程中，如承包人无力在合同规定的期限内完成合同中的应急防汛、抢险等危及公共安全和工程安全的项目，发包人可对该应急防汛、抢险等项目的部分工程指定分包人。因非承包人原因形成指定分包条件的，发包人的指定分包不应增加承包人的额外费用；因承包人原因形成指定分包条件的，承包人应承担指定分包所增加的费用。</w:t>
      </w:r>
    </w:p>
    <w:p w14:paraId="11513407">
      <w:pPr>
        <w:spacing w:line="500" w:lineRule="exact"/>
        <w:rPr>
          <w:rFonts w:hint="eastAsia" w:ascii="宋体" w:hAnsi="宋体" w:cs="宋体"/>
          <w:sz w:val="24"/>
        </w:rPr>
      </w:pPr>
      <w:r>
        <w:rPr>
          <w:rFonts w:hint="eastAsia" w:ascii="宋体" w:hAnsi="宋体" w:cs="宋体"/>
          <w:sz w:val="24"/>
        </w:rPr>
        <w:t>　　由指定分包人造成的与其分包工作有关的一切索赔、诉讼和损失赔偿由指定分包人直接对发包人负责，承包人不对此承担责任。</w:t>
      </w:r>
    </w:p>
    <w:p w14:paraId="3AB56F46">
      <w:pPr>
        <w:spacing w:line="500" w:lineRule="exact"/>
        <w:rPr>
          <w:rFonts w:hint="eastAsia" w:ascii="宋体" w:hAnsi="宋体" w:cs="宋体"/>
          <w:sz w:val="24"/>
        </w:rPr>
      </w:pPr>
      <w:r>
        <w:rPr>
          <w:rFonts w:hint="eastAsia" w:ascii="宋体" w:hAnsi="宋体" w:cs="宋体"/>
          <w:sz w:val="24"/>
        </w:rPr>
        <w:t>　　4.3.8 承包人和分包人应当签订分包合同，并履行合同约定的义务。分包合同必须遵循承包合同的各项原则，满足承包合同中相应条款的要求。发包人可以对分包合同实施情况进行监督检查。承包人应将分包合同副本提交发包人和监理人。</w:t>
      </w:r>
    </w:p>
    <w:p w14:paraId="45A926A7">
      <w:pPr>
        <w:spacing w:line="500" w:lineRule="exact"/>
        <w:rPr>
          <w:rFonts w:hint="eastAsia" w:ascii="宋体" w:hAnsi="宋体" w:cs="宋体"/>
          <w:sz w:val="24"/>
        </w:rPr>
      </w:pPr>
      <w:r>
        <w:rPr>
          <w:rFonts w:hint="eastAsia" w:ascii="宋体" w:hAnsi="宋体" w:cs="宋体"/>
          <w:sz w:val="24"/>
        </w:rPr>
        <w:t>　　4.3.9 除第4.3.7项规定的指定分包外，承包人对其分包项目的实施以及分包人的行为向发包人负全部责任。承包人应对分包项目的工程进度、质量、安全、计量和验收等实施监督和管理。</w:t>
      </w:r>
    </w:p>
    <w:p w14:paraId="15605250">
      <w:pPr>
        <w:spacing w:line="500" w:lineRule="exact"/>
        <w:ind w:firstLine="420"/>
        <w:rPr>
          <w:rFonts w:hint="eastAsia" w:ascii="宋体" w:hAnsi="宋体" w:cs="宋体"/>
          <w:sz w:val="24"/>
        </w:rPr>
      </w:pPr>
      <w:r>
        <w:rPr>
          <w:rFonts w:hint="eastAsia" w:ascii="宋体" w:hAnsi="宋体" w:cs="宋体"/>
          <w:sz w:val="24"/>
        </w:rPr>
        <w:t>4.3.10 分包人应按专用合同条款的约定设立项目管理机构组织管理分包工程的施工活动。</w:t>
      </w:r>
    </w:p>
    <w:p w14:paraId="157F8DFF">
      <w:pPr>
        <w:spacing w:line="500" w:lineRule="exact"/>
        <w:outlineLvl w:val="3"/>
        <w:rPr>
          <w:rFonts w:hint="eastAsia" w:ascii="宋体" w:hAnsi="宋体" w:cs="宋体"/>
          <w:sz w:val="24"/>
        </w:rPr>
      </w:pPr>
      <w:r>
        <w:rPr>
          <w:rFonts w:hint="eastAsia" w:ascii="宋体" w:hAnsi="宋体" w:cs="宋体"/>
          <w:sz w:val="24"/>
        </w:rPr>
        <w:t>4.4 联合体</w:t>
      </w:r>
    </w:p>
    <w:p w14:paraId="7C410C8E">
      <w:pPr>
        <w:spacing w:line="500" w:lineRule="exact"/>
        <w:ind w:firstLine="480" w:firstLineChars="200"/>
        <w:rPr>
          <w:rFonts w:hint="eastAsia" w:ascii="宋体" w:hAnsi="宋体" w:cs="宋体"/>
          <w:sz w:val="24"/>
        </w:rPr>
      </w:pPr>
      <w:r>
        <w:rPr>
          <w:rFonts w:hint="eastAsia" w:ascii="宋体" w:hAnsi="宋体" w:cs="宋体"/>
          <w:sz w:val="24"/>
        </w:rPr>
        <w:t>4.4.1 联合体各方应共同与发包人签订合同协议书。联合体各方应为履行合同承担连带责任。</w:t>
      </w:r>
    </w:p>
    <w:p w14:paraId="389CF19C">
      <w:pPr>
        <w:spacing w:line="500" w:lineRule="exact"/>
        <w:ind w:firstLine="480" w:firstLineChars="200"/>
        <w:rPr>
          <w:rFonts w:hint="eastAsia" w:ascii="宋体" w:hAnsi="宋体" w:cs="宋体"/>
          <w:sz w:val="24"/>
        </w:rPr>
      </w:pPr>
      <w:r>
        <w:rPr>
          <w:rFonts w:hint="eastAsia" w:ascii="宋体" w:hAnsi="宋体" w:cs="宋体"/>
          <w:sz w:val="24"/>
        </w:rPr>
        <w:t>4.4.2 联合体协议经发包人确认后作为合同附件。在履行合同过程中，未经发包人同意，不得修改联合体协议。</w:t>
      </w:r>
    </w:p>
    <w:p w14:paraId="3C9CCE1C">
      <w:pPr>
        <w:spacing w:line="500" w:lineRule="exact"/>
        <w:ind w:firstLine="480" w:firstLineChars="200"/>
        <w:rPr>
          <w:rFonts w:hint="eastAsia" w:ascii="宋体" w:hAnsi="宋体" w:cs="宋体"/>
          <w:sz w:val="24"/>
        </w:rPr>
      </w:pPr>
      <w:r>
        <w:rPr>
          <w:rFonts w:hint="eastAsia" w:ascii="宋体" w:hAnsi="宋体" w:cs="宋体"/>
          <w:sz w:val="24"/>
        </w:rPr>
        <w:t>4.4.3 联合体牵头人负责与发包人和监理人联系，并接受指示，负责组织联合体各成员全面履行合同。</w:t>
      </w:r>
    </w:p>
    <w:p w14:paraId="091AC3E4">
      <w:pPr>
        <w:spacing w:line="500" w:lineRule="exact"/>
        <w:outlineLvl w:val="3"/>
        <w:rPr>
          <w:rFonts w:hint="eastAsia" w:ascii="宋体" w:hAnsi="宋体" w:cs="宋体"/>
          <w:sz w:val="24"/>
        </w:rPr>
      </w:pPr>
      <w:r>
        <w:rPr>
          <w:rFonts w:hint="eastAsia" w:ascii="宋体" w:hAnsi="宋体" w:cs="宋体"/>
          <w:sz w:val="24"/>
        </w:rPr>
        <w:t>4.5 承包人项目经理</w:t>
      </w:r>
    </w:p>
    <w:p w14:paraId="5D269C71">
      <w:pPr>
        <w:spacing w:line="500" w:lineRule="exact"/>
        <w:ind w:firstLine="480" w:firstLineChars="200"/>
        <w:rPr>
          <w:rFonts w:hint="eastAsia" w:ascii="宋体" w:hAnsi="宋体" w:cs="宋体"/>
          <w:sz w:val="24"/>
        </w:rPr>
      </w:pPr>
      <w:r>
        <w:rPr>
          <w:rFonts w:hint="eastAsia" w:ascii="宋体" w:hAnsi="宋体" w:cs="宋体"/>
          <w:sz w:val="24"/>
        </w:rPr>
        <w:t>4.5.1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14:paraId="062EAA38">
      <w:pPr>
        <w:spacing w:line="500" w:lineRule="exact"/>
        <w:ind w:firstLine="480" w:firstLineChars="200"/>
        <w:rPr>
          <w:rFonts w:hint="eastAsia" w:ascii="宋体" w:hAnsi="宋体" w:cs="宋体"/>
          <w:sz w:val="24"/>
        </w:rPr>
      </w:pPr>
      <w:r>
        <w:rPr>
          <w:rFonts w:hint="eastAsia" w:ascii="宋体" w:hAnsi="宋体" w:cs="宋体"/>
          <w:sz w:val="24"/>
        </w:rPr>
        <w:t>4.5.2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14:paraId="5307A30F">
      <w:pPr>
        <w:spacing w:line="500" w:lineRule="exact"/>
        <w:ind w:firstLine="480" w:firstLineChars="200"/>
        <w:rPr>
          <w:rFonts w:hint="eastAsia" w:ascii="宋体" w:hAnsi="宋体" w:cs="宋体"/>
          <w:sz w:val="24"/>
        </w:rPr>
      </w:pPr>
      <w:r>
        <w:rPr>
          <w:rFonts w:hint="eastAsia" w:ascii="宋体" w:hAnsi="宋体" w:cs="宋体"/>
          <w:sz w:val="24"/>
        </w:rPr>
        <w:t>4.5.3承包人为履行合同发出的一切函件均应盖有承包人授权的施工场地管理机构章，并由承包人项目经理或其授权代表签字。</w:t>
      </w:r>
    </w:p>
    <w:p w14:paraId="7DCDCF5D">
      <w:pPr>
        <w:spacing w:line="500" w:lineRule="exact"/>
        <w:ind w:firstLine="480" w:firstLineChars="200"/>
        <w:rPr>
          <w:rFonts w:hint="eastAsia" w:ascii="宋体" w:hAnsi="宋体" w:cs="宋体"/>
          <w:sz w:val="24"/>
        </w:rPr>
      </w:pPr>
      <w:r>
        <w:rPr>
          <w:rFonts w:hint="eastAsia" w:ascii="宋体" w:hAnsi="宋体" w:cs="宋体"/>
          <w:sz w:val="24"/>
        </w:rPr>
        <w:t>4.5.4 承包人项目经理可以授权其下属人员履行其某项职责，但事先应将这些人员的姓名和授权范围通知监理人。</w:t>
      </w:r>
    </w:p>
    <w:p w14:paraId="75288D89">
      <w:pPr>
        <w:spacing w:line="500" w:lineRule="exact"/>
        <w:outlineLvl w:val="3"/>
        <w:rPr>
          <w:rFonts w:hint="eastAsia" w:ascii="宋体" w:hAnsi="宋体" w:cs="宋体"/>
          <w:sz w:val="24"/>
        </w:rPr>
      </w:pPr>
      <w:r>
        <w:rPr>
          <w:rFonts w:hint="eastAsia" w:ascii="宋体" w:hAnsi="宋体" w:cs="宋体"/>
          <w:sz w:val="24"/>
        </w:rPr>
        <w:t>4.6 承包人人员的管理</w:t>
      </w:r>
    </w:p>
    <w:p w14:paraId="54EAF617">
      <w:pPr>
        <w:spacing w:line="500" w:lineRule="exact"/>
        <w:ind w:firstLine="480" w:firstLineChars="200"/>
        <w:rPr>
          <w:rFonts w:hint="eastAsia" w:ascii="宋体" w:hAnsi="宋体" w:cs="宋体"/>
          <w:sz w:val="24"/>
        </w:rPr>
      </w:pPr>
      <w:r>
        <w:rPr>
          <w:rFonts w:hint="eastAsia" w:ascii="宋体" w:hAnsi="宋体" w:cs="宋体"/>
          <w:sz w:val="24"/>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5784583B">
      <w:pPr>
        <w:spacing w:line="500" w:lineRule="exact"/>
        <w:ind w:firstLine="480" w:firstLineChars="200"/>
        <w:rPr>
          <w:rFonts w:hint="eastAsia" w:ascii="宋体" w:hAnsi="宋体" w:cs="宋体"/>
          <w:sz w:val="24"/>
        </w:rPr>
      </w:pPr>
      <w:r>
        <w:rPr>
          <w:rFonts w:hint="eastAsia" w:ascii="宋体" w:hAnsi="宋体" w:cs="宋体"/>
          <w:sz w:val="24"/>
        </w:rPr>
        <w:t>4.6.2 为完成合同约定的各项工作，承包人应向施工场地派遣或雇佣足够数量的下列人员：</w:t>
      </w:r>
    </w:p>
    <w:p w14:paraId="6BAF31F8">
      <w:pPr>
        <w:spacing w:line="500" w:lineRule="exact"/>
        <w:ind w:firstLine="820" w:firstLineChars="342"/>
        <w:rPr>
          <w:rFonts w:hint="eastAsia" w:ascii="宋体" w:hAnsi="宋体" w:cs="宋体"/>
          <w:sz w:val="24"/>
        </w:rPr>
      </w:pPr>
      <w:r>
        <w:rPr>
          <w:rFonts w:hint="eastAsia" w:ascii="宋体" w:hAnsi="宋体" w:cs="宋体"/>
          <w:sz w:val="24"/>
        </w:rPr>
        <w:t>（1）具有相应资格的专业技工和合格的普工；</w:t>
      </w:r>
    </w:p>
    <w:p w14:paraId="1969623C">
      <w:pPr>
        <w:spacing w:line="500" w:lineRule="exact"/>
        <w:ind w:firstLine="820" w:firstLineChars="342"/>
        <w:rPr>
          <w:rFonts w:hint="eastAsia" w:ascii="宋体" w:hAnsi="宋体" w:cs="宋体"/>
          <w:sz w:val="24"/>
        </w:rPr>
      </w:pPr>
      <w:r>
        <w:rPr>
          <w:rFonts w:hint="eastAsia" w:ascii="宋体" w:hAnsi="宋体" w:cs="宋体"/>
          <w:sz w:val="24"/>
        </w:rPr>
        <w:t>（2）具有相应施工经验的技术人员；</w:t>
      </w:r>
    </w:p>
    <w:p w14:paraId="703B9926">
      <w:pPr>
        <w:spacing w:line="500" w:lineRule="exact"/>
        <w:ind w:firstLine="820" w:firstLineChars="342"/>
        <w:rPr>
          <w:rFonts w:hint="eastAsia" w:ascii="宋体" w:hAnsi="宋体" w:cs="宋体"/>
          <w:sz w:val="24"/>
        </w:rPr>
      </w:pPr>
      <w:r>
        <w:rPr>
          <w:rFonts w:hint="eastAsia" w:ascii="宋体" w:hAnsi="宋体" w:cs="宋体"/>
          <w:sz w:val="24"/>
        </w:rPr>
        <w:t>（3）具有相应岗位资格的各级管理人员。</w:t>
      </w:r>
    </w:p>
    <w:p w14:paraId="01040B9C">
      <w:pPr>
        <w:spacing w:line="500" w:lineRule="exact"/>
        <w:ind w:firstLine="480" w:firstLineChars="200"/>
        <w:rPr>
          <w:rFonts w:hint="eastAsia" w:ascii="宋体" w:hAnsi="宋体" w:cs="宋体"/>
          <w:sz w:val="24"/>
        </w:rPr>
      </w:pPr>
      <w:r>
        <w:rPr>
          <w:rFonts w:hint="eastAsia" w:ascii="宋体" w:hAnsi="宋体" w:cs="宋体"/>
          <w:sz w:val="24"/>
        </w:rPr>
        <w:t>4.6.3 承包人安排在施工场地的主要管理人员和技术骨干应相对稳定。承包人更换主要管理人员和技术骨干时，应取得监理人的同意。</w:t>
      </w:r>
    </w:p>
    <w:p w14:paraId="3795C43B">
      <w:pPr>
        <w:spacing w:line="500" w:lineRule="exact"/>
        <w:ind w:firstLine="480" w:firstLineChars="200"/>
        <w:rPr>
          <w:rFonts w:hint="eastAsia" w:ascii="宋体" w:hAnsi="宋体" w:cs="宋体"/>
          <w:sz w:val="24"/>
        </w:rPr>
      </w:pPr>
      <w:r>
        <w:rPr>
          <w:rFonts w:hint="eastAsia" w:ascii="宋体" w:hAnsi="宋体" w:cs="宋体"/>
          <w:sz w:val="24"/>
        </w:rPr>
        <w:t>4.6.4 特殊岗位的工作人员均应持有相应的资格证明，监理人有权随时检查。监理人认为有必要时，可进行现场考核。</w:t>
      </w:r>
    </w:p>
    <w:p w14:paraId="45C5B336">
      <w:pPr>
        <w:spacing w:line="500" w:lineRule="exact"/>
        <w:outlineLvl w:val="3"/>
        <w:rPr>
          <w:rFonts w:hint="eastAsia" w:ascii="宋体" w:hAnsi="宋体" w:cs="宋体"/>
          <w:sz w:val="24"/>
        </w:rPr>
      </w:pPr>
      <w:r>
        <w:rPr>
          <w:rFonts w:hint="eastAsia" w:ascii="宋体" w:hAnsi="宋体" w:cs="宋体"/>
          <w:sz w:val="24"/>
        </w:rPr>
        <w:t>4.7 撤换承包人项目经理和其他人员</w:t>
      </w:r>
    </w:p>
    <w:p w14:paraId="0017EAEB">
      <w:pPr>
        <w:spacing w:line="500" w:lineRule="exact"/>
        <w:ind w:firstLine="480" w:firstLineChars="200"/>
        <w:rPr>
          <w:rFonts w:hint="eastAsia" w:ascii="宋体" w:hAnsi="宋体" w:cs="宋体"/>
          <w:sz w:val="24"/>
        </w:rPr>
      </w:pPr>
      <w:r>
        <w:rPr>
          <w:rFonts w:hint="eastAsia" w:ascii="宋体" w:hAnsi="宋体" w:cs="宋体"/>
          <w:sz w:val="24"/>
        </w:rPr>
        <w:t>承包人应对其项目经理和其他人员进行有效管理。监理人要求撤换不能胜任本职工作、行为不端或玩忽职守的承包人项目经理和其他人员的，承包人应予以撤换。</w:t>
      </w:r>
    </w:p>
    <w:p w14:paraId="624A1173">
      <w:pPr>
        <w:spacing w:line="500" w:lineRule="exact"/>
        <w:outlineLvl w:val="3"/>
        <w:rPr>
          <w:rFonts w:hint="eastAsia" w:ascii="宋体" w:hAnsi="宋体" w:cs="宋体"/>
          <w:sz w:val="24"/>
        </w:rPr>
      </w:pPr>
      <w:r>
        <w:rPr>
          <w:rFonts w:hint="eastAsia" w:ascii="宋体" w:hAnsi="宋体" w:cs="宋体"/>
          <w:sz w:val="24"/>
        </w:rPr>
        <w:t>4.8 保障承包人人员的合法权益</w:t>
      </w:r>
    </w:p>
    <w:p w14:paraId="4ACBA44A">
      <w:pPr>
        <w:spacing w:line="500" w:lineRule="exact"/>
        <w:ind w:firstLine="480" w:firstLineChars="200"/>
        <w:rPr>
          <w:rFonts w:hint="eastAsia" w:ascii="宋体" w:hAnsi="宋体" w:cs="宋体"/>
          <w:sz w:val="24"/>
        </w:rPr>
      </w:pPr>
      <w:r>
        <w:rPr>
          <w:rFonts w:hint="eastAsia" w:ascii="宋体" w:hAnsi="宋体" w:cs="宋体"/>
          <w:sz w:val="24"/>
        </w:rPr>
        <w:t>4.8.1 承包人应与其雇佣的人员签订劳动合同，并按时发放工资。</w:t>
      </w:r>
    </w:p>
    <w:p w14:paraId="439C75EA">
      <w:pPr>
        <w:spacing w:line="500" w:lineRule="exact"/>
        <w:ind w:firstLine="480" w:firstLineChars="200"/>
        <w:rPr>
          <w:rFonts w:hint="eastAsia" w:ascii="宋体" w:hAnsi="宋体" w:cs="宋体"/>
          <w:sz w:val="24"/>
        </w:rPr>
      </w:pPr>
      <w:r>
        <w:rPr>
          <w:rFonts w:hint="eastAsia" w:ascii="宋体" w:hAnsi="宋体" w:cs="宋体"/>
          <w:sz w:val="24"/>
        </w:rPr>
        <w:t>4.8.2 承包人应按劳动法的规定安排工作时间，保证其雇佣人员享有休息和休假的权利。因工程施工的特殊需要占用休假日或延长工作时间的，应不超过法律规定的限度，并按法律规定给予补休或付酬。</w:t>
      </w:r>
    </w:p>
    <w:p w14:paraId="57DEE557">
      <w:pPr>
        <w:spacing w:line="500" w:lineRule="exact"/>
        <w:ind w:firstLine="480" w:firstLineChars="200"/>
        <w:rPr>
          <w:rFonts w:hint="eastAsia" w:ascii="宋体" w:hAnsi="宋体" w:cs="宋体"/>
          <w:sz w:val="24"/>
        </w:rPr>
      </w:pPr>
      <w:r>
        <w:rPr>
          <w:rFonts w:hint="eastAsia" w:ascii="宋体" w:hAnsi="宋体" w:cs="宋体"/>
          <w:sz w:val="24"/>
        </w:rPr>
        <w:t>4.8.3 承包人应为其雇佣人员提供必要的食宿条件，以及符合环境保护和卫生要求的生活环境，在远离城镇的施工场地，还应配备必要的伤病防治和急救的医务人员与医疗设施。</w:t>
      </w:r>
    </w:p>
    <w:p w14:paraId="7A6EBC2A">
      <w:pPr>
        <w:spacing w:line="500" w:lineRule="exact"/>
        <w:ind w:firstLine="480" w:firstLineChars="200"/>
        <w:rPr>
          <w:rFonts w:hint="eastAsia" w:ascii="宋体" w:hAnsi="宋体" w:cs="宋体"/>
          <w:sz w:val="24"/>
        </w:rPr>
      </w:pPr>
      <w:r>
        <w:rPr>
          <w:rFonts w:hint="eastAsia" w:ascii="宋体" w:hAnsi="宋体" w:cs="宋体"/>
          <w:sz w:val="24"/>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383B7055">
      <w:pPr>
        <w:spacing w:line="500" w:lineRule="exact"/>
        <w:ind w:firstLine="480" w:firstLineChars="200"/>
        <w:rPr>
          <w:rFonts w:hint="eastAsia" w:ascii="宋体" w:hAnsi="宋体" w:cs="宋体"/>
          <w:sz w:val="24"/>
        </w:rPr>
      </w:pPr>
      <w:r>
        <w:rPr>
          <w:rFonts w:hint="eastAsia" w:ascii="宋体" w:hAnsi="宋体" w:cs="宋体"/>
          <w:sz w:val="24"/>
        </w:rPr>
        <w:t>4.8.5 承包人应按有关法律规定和合同约定，为其雇佣人员办理保险。</w:t>
      </w:r>
    </w:p>
    <w:p w14:paraId="2A0E1B81">
      <w:pPr>
        <w:spacing w:line="500" w:lineRule="exact"/>
        <w:ind w:firstLine="480" w:firstLineChars="200"/>
        <w:rPr>
          <w:rFonts w:hint="eastAsia" w:ascii="宋体" w:hAnsi="宋体" w:cs="宋体"/>
          <w:sz w:val="24"/>
        </w:rPr>
      </w:pPr>
      <w:r>
        <w:rPr>
          <w:rFonts w:hint="eastAsia" w:ascii="宋体" w:hAnsi="宋体" w:cs="宋体"/>
          <w:sz w:val="24"/>
        </w:rPr>
        <w:t>4.8.6 承包人应负责处理其雇佣人员因工伤亡事故的善后事宜。</w:t>
      </w:r>
    </w:p>
    <w:p w14:paraId="042100F6">
      <w:pPr>
        <w:spacing w:line="500" w:lineRule="exact"/>
        <w:outlineLvl w:val="3"/>
        <w:rPr>
          <w:rFonts w:hint="eastAsia" w:ascii="宋体" w:hAnsi="宋体" w:cs="宋体"/>
          <w:sz w:val="24"/>
        </w:rPr>
      </w:pPr>
      <w:r>
        <w:rPr>
          <w:rFonts w:hint="eastAsia" w:ascii="宋体" w:hAnsi="宋体" w:cs="宋体"/>
          <w:sz w:val="24"/>
        </w:rPr>
        <w:t>4.9 工程价款应专款专用</w:t>
      </w:r>
    </w:p>
    <w:p w14:paraId="62A8B771">
      <w:pPr>
        <w:spacing w:line="500" w:lineRule="exact"/>
        <w:ind w:firstLine="480" w:firstLineChars="200"/>
        <w:rPr>
          <w:rFonts w:hint="eastAsia" w:ascii="宋体" w:hAnsi="宋体" w:cs="宋体"/>
          <w:sz w:val="24"/>
        </w:rPr>
      </w:pPr>
      <w:r>
        <w:rPr>
          <w:rFonts w:hint="eastAsia" w:ascii="宋体" w:hAnsi="宋体" w:cs="宋体"/>
          <w:sz w:val="24"/>
        </w:rPr>
        <w:t>发包人按合同约定支付给承包人的各项价款应专用于合同工程。</w:t>
      </w:r>
    </w:p>
    <w:p w14:paraId="0E9B6356">
      <w:pPr>
        <w:spacing w:line="500" w:lineRule="exact"/>
        <w:outlineLvl w:val="3"/>
        <w:rPr>
          <w:rFonts w:hint="eastAsia" w:ascii="宋体" w:hAnsi="宋体" w:cs="宋体"/>
          <w:sz w:val="24"/>
        </w:rPr>
      </w:pPr>
      <w:r>
        <w:rPr>
          <w:rFonts w:hint="eastAsia" w:ascii="宋体" w:hAnsi="宋体" w:cs="宋体"/>
          <w:sz w:val="24"/>
        </w:rPr>
        <w:t xml:space="preserve">4.10 承包人现场查勘                                                                                                           </w:t>
      </w:r>
    </w:p>
    <w:p w14:paraId="48AF6AE1">
      <w:pPr>
        <w:spacing w:line="500" w:lineRule="exact"/>
        <w:ind w:firstLine="480" w:firstLineChars="200"/>
        <w:rPr>
          <w:rFonts w:hint="eastAsia" w:ascii="宋体" w:hAnsi="宋体" w:cs="宋体"/>
          <w:sz w:val="24"/>
        </w:rPr>
      </w:pPr>
      <w:r>
        <w:rPr>
          <w:rFonts w:hint="eastAsia" w:ascii="宋体" w:hAnsi="宋体" w:cs="宋体"/>
          <w:sz w:val="24"/>
        </w:rPr>
        <w:t>4.10.1 发包人应将其持有的现场地质勘探资料、水文气象资料提供给承包人，并对其准确性负责。但承包人应对其阅读上述有关资料后所作出的解释和推断负责。</w:t>
      </w:r>
    </w:p>
    <w:p w14:paraId="0C750890">
      <w:pPr>
        <w:spacing w:line="500" w:lineRule="exact"/>
        <w:ind w:firstLine="480" w:firstLineChars="200"/>
        <w:rPr>
          <w:rFonts w:hint="eastAsia" w:ascii="宋体" w:hAnsi="宋体" w:cs="宋体"/>
          <w:sz w:val="24"/>
        </w:rPr>
      </w:pPr>
      <w:r>
        <w:rPr>
          <w:rFonts w:hint="eastAsia" w:ascii="宋体" w:hAnsi="宋体" w:cs="宋体"/>
          <w:sz w:val="24"/>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14:paraId="0E4A4CCD">
      <w:pPr>
        <w:spacing w:line="500" w:lineRule="exact"/>
        <w:outlineLvl w:val="3"/>
        <w:rPr>
          <w:rFonts w:hint="eastAsia" w:ascii="宋体" w:hAnsi="宋体" w:cs="宋体"/>
          <w:sz w:val="24"/>
        </w:rPr>
      </w:pPr>
      <w:r>
        <w:rPr>
          <w:rFonts w:hint="eastAsia" w:ascii="宋体" w:hAnsi="宋体" w:cs="宋体"/>
          <w:sz w:val="24"/>
        </w:rPr>
        <w:t>4.11 不利物质条件</w:t>
      </w:r>
    </w:p>
    <w:p w14:paraId="4407C0BC">
      <w:pPr>
        <w:spacing w:line="500" w:lineRule="exact"/>
        <w:rPr>
          <w:rFonts w:hint="eastAsia" w:ascii="宋体" w:hAnsi="宋体" w:cs="宋体"/>
          <w:sz w:val="24"/>
        </w:rPr>
      </w:pPr>
      <w:r>
        <w:rPr>
          <w:rFonts w:hint="eastAsia" w:ascii="宋体" w:hAnsi="宋体" w:cs="宋体"/>
          <w:sz w:val="24"/>
        </w:rPr>
        <w:t>　　4.11.1 除专用合同条款另有约定外，不利物质条件是指在施工中遭遇不可预见的外界障碍或自然条件造成施工受阻。</w:t>
      </w:r>
    </w:p>
    <w:p w14:paraId="50179499">
      <w:pPr>
        <w:spacing w:line="500" w:lineRule="exact"/>
        <w:rPr>
          <w:rFonts w:hint="eastAsia" w:ascii="宋体" w:hAnsi="宋体" w:cs="宋体"/>
          <w:sz w:val="24"/>
        </w:rPr>
      </w:pPr>
      <w:r>
        <w:rPr>
          <w:rFonts w:hint="eastAsia" w:ascii="宋体" w:hAnsi="宋体" w:cs="宋体"/>
          <w:sz w:val="24"/>
        </w:rPr>
        <w:t>　　4.11.2 承包人遇到不利物质条件时，应采取适应不利物质条件的合理措施继续施工，并及时通知监理人。承包人有权根据第23.1款的约定，要求延长工期及增加费用。监理人收到此类要求后，应在分析上述外界障碍或自然条件是否不可预见及不可预见程度的基础上，按照通用合同条款第15条的约定办理。</w:t>
      </w:r>
    </w:p>
    <w:p w14:paraId="7911E8B3">
      <w:pPr>
        <w:spacing w:line="500" w:lineRule="exact"/>
        <w:outlineLvl w:val="2"/>
        <w:rPr>
          <w:rFonts w:hint="eastAsia" w:ascii="宋体" w:hAnsi="宋体" w:cs="宋体"/>
          <w:sz w:val="24"/>
        </w:rPr>
      </w:pPr>
      <w:bookmarkStart w:id="314" w:name="_Toc5102"/>
      <w:bookmarkStart w:id="315" w:name="_Toc256000090"/>
      <w:bookmarkStart w:id="316" w:name="_Toc28062"/>
      <w:bookmarkStart w:id="317" w:name="_Toc256000121"/>
      <w:r>
        <w:rPr>
          <w:rFonts w:hint="eastAsia" w:ascii="宋体" w:hAnsi="宋体" w:cs="宋体"/>
          <w:sz w:val="24"/>
        </w:rPr>
        <w:t>5　材料和工程设备</w:t>
      </w:r>
      <w:bookmarkEnd w:id="314"/>
      <w:bookmarkEnd w:id="315"/>
      <w:bookmarkEnd w:id="316"/>
      <w:bookmarkEnd w:id="317"/>
    </w:p>
    <w:p w14:paraId="52125C04">
      <w:pPr>
        <w:spacing w:line="500" w:lineRule="exact"/>
        <w:outlineLvl w:val="3"/>
        <w:rPr>
          <w:rFonts w:hint="eastAsia" w:ascii="宋体" w:hAnsi="宋体" w:cs="宋体"/>
          <w:sz w:val="24"/>
        </w:rPr>
      </w:pPr>
      <w:r>
        <w:rPr>
          <w:rFonts w:hint="eastAsia" w:ascii="宋体" w:hAnsi="宋体" w:cs="宋体"/>
          <w:sz w:val="24"/>
        </w:rPr>
        <w:t>5.1 承包人提供的材料和工程设备</w:t>
      </w:r>
    </w:p>
    <w:p w14:paraId="0890CA82">
      <w:pPr>
        <w:spacing w:line="500" w:lineRule="exact"/>
        <w:ind w:firstLine="420"/>
        <w:rPr>
          <w:rFonts w:hint="eastAsia" w:ascii="宋体" w:hAnsi="宋体" w:cs="宋体"/>
          <w:sz w:val="24"/>
        </w:rPr>
      </w:pPr>
      <w:r>
        <w:rPr>
          <w:rFonts w:hint="eastAsia" w:ascii="宋体" w:hAnsi="宋体" w:cs="宋体"/>
          <w:sz w:val="24"/>
        </w:rPr>
        <w:t>5.1.1 除第5.2款约定由发包人提供的材料和工程设备外，承包人负责采购、运输和保管完成本合同工作所需的材料和工程设备。承包人应对其采购的材料和工程设备负责。</w:t>
      </w:r>
    </w:p>
    <w:p w14:paraId="7025A4FC">
      <w:pPr>
        <w:spacing w:line="500" w:lineRule="exact"/>
        <w:ind w:firstLine="480" w:firstLineChars="200"/>
        <w:rPr>
          <w:rFonts w:hint="eastAsia" w:ascii="宋体" w:hAnsi="宋体" w:cs="宋体"/>
          <w:sz w:val="24"/>
        </w:rPr>
      </w:pPr>
      <w:r>
        <w:rPr>
          <w:rFonts w:hint="eastAsia" w:ascii="宋体" w:hAnsi="宋体" w:cs="宋体"/>
          <w:sz w:val="24"/>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14:paraId="2C9AA019">
      <w:pPr>
        <w:spacing w:line="500" w:lineRule="exact"/>
        <w:ind w:firstLine="420"/>
        <w:rPr>
          <w:rFonts w:hint="eastAsia" w:ascii="宋体" w:hAnsi="宋体" w:cs="宋体"/>
          <w:sz w:val="24"/>
        </w:rPr>
      </w:pPr>
      <w:r>
        <w:rPr>
          <w:rFonts w:hint="eastAsia" w:ascii="宋体" w:hAnsi="宋体" w:cs="宋体"/>
          <w:sz w:val="24"/>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3C1122D0">
      <w:pPr>
        <w:spacing w:line="500" w:lineRule="exact"/>
        <w:outlineLvl w:val="3"/>
        <w:rPr>
          <w:rFonts w:hint="eastAsia" w:ascii="宋体" w:hAnsi="宋体" w:cs="宋体"/>
          <w:sz w:val="24"/>
        </w:rPr>
      </w:pPr>
      <w:r>
        <w:rPr>
          <w:rFonts w:hint="eastAsia" w:ascii="宋体" w:hAnsi="宋体" w:cs="宋体"/>
          <w:sz w:val="24"/>
        </w:rPr>
        <w:t>5.2 发包人提供的材料和工程设备</w:t>
      </w:r>
    </w:p>
    <w:p w14:paraId="3D5E649E">
      <w:pPr>
        <w:spacing w:line="500" w:lineRule="exact"/>
        <w:ind w:firstLine="480" w:firstLineChars="200"/>
        <w:rPr>
          <w:rFonts w:hint="eastAsia" w:ascii="宋体" w:hAnsi="宋体" w:cs="宋体"/>
          <w:sz w:val="24"/>
        </w:rPr>
      </w:pPr>
      <w:r>
        <w:rPr>
          <w:rFonts w:hint="eastAsia" w:ascii="宋体" w:hAnsi="宋体" w:cs="宋体"/>
          <w:sz w:val="24"/>
        </w:rPr>
        <w:t>5.2.1 发包人提供的材料和工程设备，应在专用合同条款中写明材料和工程设备的名称、规格、数量、价格、交货方式、交货地点和计划交货日期等。</w:t>
      </w:r>
    </w:p>
    <w:p w14:paraId="78F1384A">
      <w:pPr>
        <w:spacing w:line="500" w:lineRule="exact"/>
        <w:ind w:firstLine="480" w:firstLineChars="200"/>
        <w:rPr>
          <w:rFonts w:hint="eastAsia" w:ascii="宋体" w:hAnsi="宋体" w:cs="宋体"/>
          <w:sz w:val="24"/>
        </w:rPr>
      </w:pPr>
      <w:r>
        <w:rPr>
          <w:rFonts w:hint="eastAsia" w:ascii="宋体" w:hAnsi="宋体" w:cs="宋体"/>
          <w:sz w:val="24"/>
        </w:rPr>
        <w:t>5.2.2 承包人应根据合同进度计划的安排，向监理人报送要求发包人交货的日期计划。发包人应按照监理人与合同双方当事人商定的交货日期，向承包人提交材料和工程设备。</w:t>
      </w:r>
    </w:p>
    <w:p w14:paraId="2C45B3A1">
      <w:pPr>
        <w:spacing w:line="500" w:lineRule="exact"/>
        <w:ind w:firstLine="480" w:firstLineChars="200"/>
        <w:rPr>
          <w:rFonts w:hint="eastAsia" w:ascii="宋体" w:hAnsi="宋体" w:cs="宋体"/>
          <w:sz w:val="24"/>
        </w:rPr>
      </w:pPr>
      <w:r>
        <w:rPr>
          <w:rFonts w:hint="eastAsia" w:ascii="宋体" w:hAnsi="宋体" w:cs="宋体"/>
          <w:sz w:val="24"/>
        </w:rPr>
        <w:t>5.2.3 发包人应在材料和工程设备到货7天前通知承包人，承包人应会同监理人在约定的时间内，赴交货地点共同进行验收。发包人提供的材料和工程设备运至交货地点验收后，由承包人负责接收、卸货、运输和保管。</w:t>
      </w:r>
    </w:p>
    <w:p w14:paraId="27E05B28">
      <w:pPr>
        <w:spacing w:line="500" w:lineRule="exact"/>
        <w:ind w:firstLine="480" w:firstLineChars="200"/>
        <w:rPr>
          <w:rFonts w:hint="eastAsia" w:ascii="宋体" w:hAnsi="宋体" w:cs="宋体"/>
          <w:sz w:val="24"/>
        </w:rPr>
      </w:pPr>
      <w:r>
        <w:rPr>
          <w:rFonts w:hint="eastAsia" w:ascii="宋体" w:hAnsi="宋体" w:cs="宋体"/>
          <w:sz w:val="24"/>
        </w:rPr>
        <w:t xml:space="preserve">5.2.4 发包人要求向承包人提前交货的，承包人不得拒绝，但发包人应承担承包人由此增加的费用。 </w:t>
      </w:r>
    </w:p>
    <w:p w14:paraId="2F50F624">
      <w:pPr>
        <w:spacing w:line="500" w:lineRule="exact"/>
        <w:ind w:firstLine="480" w:firstLineChars="200"/>
        <w:rPr>
          <w:rFonts w:hint="eastAsia" w:ascii="宋体" w:hAnsi="宋体" w:cs="宋体"/>
          <w:sz w:val="24"/>
        </w:rPr>
      </w:pPr>
      <w:r>
        <w:rPr>
          <w:rFonts w:hint="eastAsia" w:ascii="宋体" w:hAnsi="宋体" w:cs="宋体"/>
          <w:sz w:val="24"/>
        </w:rPr>
        <w:t xml:space="preserve">5.2.5 承包人要求更改交货日期或地点的，应事先报请监理人批准。由于承包人要求更改交货时间或地点所增加的费用和（或）工期延误由承包人承担。 </w:t>
      </w:r>
    </w:p>
    <w:p w14:paraId="2E987F60">
      <w:pPr>
        <w:spacing w:line="500" w:lineRule="exact"/>
        <w:ind w:firstLine="480" w:firstLineChars="200"/>
        <w:rPr>
          <w:rFonts w:hint="eastAsia" w:ascii="宋体" w:hAnsi="宋体" w:cs="宋体"/>
          <w:sz w:val="24"/>
        </w:rPr>
      </w:pPr>
      <w:r>
        <w:rPr>
          <w:rFonts w:hint="eastAsia" w:ascii="宋体" w:hAnsi="宋体" w:cs="宋体"/>
          <w:sz w:val="24"/>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14:paraId="335780E8">
      <w:pPr>
        <w:spacing w:line="500" w:lineRule="exact"/>
        <w:ind w:firstLine="480" w:firstLineChars="200"/>
        <w:outlineLvl w:val="3"/>
        <w:rPr>
          <w:rFonts w:hint="eastAsia" w:ascii="宋体" w:hAnsi="宋体" w:cs="宋体"/>
          <w:sz w:val="24"/>
        </w:rPr>
      </w:pPr>
      <w:r>
        <w:rPr>
          <w:rFonts w:hint="eastAsia" w:ascii="宋体" w:hAnsi="宋体" w:cs="宋体"/>
          <w:sz w:val="24"/>
        </w:rPr>
        <w:t>5.3 材料和工程设备专用于合同工程</w:t>
      </w:r>
    </w:p>
    <w:p w14:paraId="32CF1344">
      <w:pPr>
        <w:spacing w:line="500" w:lineRule="exact"/>
        <w:ind w:firstLine="480" w:firstLineChars="200"/>
        <w:rPr>
          <w:rFonts w:hint="eastAsia" w:ascii="宋体" w:hAnsi="宋体" w:cs="宋体"/>
          <w:sz w:val="24"/>
        </w:rPr>
      </w:pPr>
      <w:r>
        <w:rPr>
          <w:rFonts w:hint="eastAsia" w:ascii="宋体" w:hAnsi="宋体" w:cs="宋体"/>
          <w:sz w:val="24"/>
        </w:rPr>
        <w:t>5.3.1运入施工场地的材料、工程设备，包括备品备件、安装专用工器具与随机资料，必须专用于合同工程，未经监理人同意，承包人不得运出施工场地或挪作他用。</w:t>
      </w:r>
    </w:p>
    <w:p w14:paraId="01D6D4D1">
      <w:pPr>
        <w:spacing w:line="500" w:lineRule="exact"/>
        <w:ind w:firstLine="480" w:firstLineChars="200"/>
        <w:rPr>
          <w:rFonts w:hint="eastAsia" w:ascii="宋体" w:hAnsi="宋体" w:cs="宋体"/>
          <w:sz w:val="24"/>
        </w:rPr>
      </w:pPr>
      <w:r>
        <w:rPr>
          <w:rFonts w:hint="eastAsia" w:ascii="宋体" w:hAnsi="宋体" w:cs="宋体"/>
          <w:sz w:val="24"/>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65258F2F">
      <w:pPr>
        <w:spacing w:line="500" w:lineRule="exact"/>
        <w:outlineLvl w:val="3"/>
        <w:rPr>
          <w:rFonts w:hint="eastAsia" w:ascii="宋体" w:hAnsi="宋体" w:cs="宋体"/>
          <w:sz w:val="24"/>
        </w:rPr>
      </w:pPr>
      <w:r>
        <w:rPr>
          <w:rFonts w:hint="eastAsia" w:ascii="宋体" w:hAnsi="宋体" w:cs="宋体"/>
          <w:sz w:val="24"/>
        </w:rPr>
        <w:t>5.4 禁止使用不合格的材料和工程设备</w:t>
      </w:r>
    </w:p>
    <w:p w14:paraId="2C16EAFF">
      <w:pPr>
        <w:spacing w:line="500" w:lineRule="exact"/>
        <w:ind w:firstLine="480" w:firstLineChars="200"/>
        <w:rPr>
          <w:rFonts w:hint="eastAsia" w:ascii="宋体" w:hAnsi="宋体" w:cs="宋体"/>
          <w:sz w:val="24"/>
        </w:rPr>
      </w:pPr>
      <w:r>
        <w:rPr>
          <w:rFonts w:hint="eastAsia" w:ascii="宋体" w:hAnsi="宋体" w:cs="宋体"/>
          <w:sz w:val="24"/>
        </w:rPr>
        <w:t>5.4.1 监理人有权拒绝承包人提供的不合格材料或工程设备，并要求承包人立即进行更换。监理人应在更换后再次进行检查和检验，由此增加的费用和（或）工期延误由承包人承担。</w:t>
      </w:r>
    </w:p>
    <w:p w14:paraId="7CC81E18">
      <w:pPr>
        <w:spacing w:line="500" w:lineRule="exact"/>
        <w:ind w:firstLine="480" w:firstLineChars="200"/>
        <w:rPr>
          <w:rFonts w:hint="eastAsia" w:ascii="宋体" w:hAnsi="宋体" w:cs="宋体"/>
          <w:sz w:val="24"/>
        </w:rPr>
      </w:pPr>
      <w:r>
        <w:rPr>
          <w:rFonts w:hint="eastAsia" w:ascii="宋体" w:hAnsi="宋体" w:cs="宋体"/>
          <w:sz w:val="24"/>
        </w:rPr>
        <w:t>5.4.2 监理人发现承包人使用了不合格的材料和工程设备，应即时发出指示要求承包人立即改正，并禁止在工程中继续使用不合格的材料和工程设备。</w:t>
      </w:r>
    </w:p>
    <w:p w14:paraId="39F40C80">
      <w:pPr>
        <w:spacing w:line="500" w:lineRule="exact"/>
        <w:ind w:firstLine="480" w:firstLineChars="200"/>
        <w:rPr>
          <w:rFonts w:hint="eastAsia" w:ascii="宋体" w:hAnsi="宋体" w:cs="宋体"/>
          <w:sz w:val="24"/>
        </w:rPr>
      </w:pPr>
      <w:r>
        <w:rPr>
          <w:rFonts w:hint="eastAsia" w:ascii="宋体" w:hAnsi="宋体" w:cs="宋体"/>
          <w:sz w:val="24"/>
        </w:rPr>
        <w:t>5.4.3 发包人提供的材料或工程设备不符合合同要求的，承包人有权拒绝，并可要求发包人更换，由此增加的费用和（或）工期延误由发包人承担。</w:t>
      </w:r>
    </w:p>
    <w:p w14:paraId="3225295B">
      <w:pPr>
        <w:spacing w:line="500" w:lineRule="exact"/>
        <w:outlineLvl w:val="2"/>
        <w:rPr>
          <w:rFonts w:hint="eastAsia" w:ascii="宋体" w:hAnsi="宋体" w:cs="宋体"/>
          <w:sz w:val="24"/>
        </w:rPr>
      </w:pPr>
      <w:bookmarkStart w:id="318" w:name="_Toc13896"/>
      <w:bookmarkStart w:id="319" w:name="_Toc8598"/>
      <w:bookmarkStart w:id="320" w:name="_Toc256000091"/>
      <w:bookmarkStart w:id="321" w:name="_Toc256000122"/>
      <w:r>
        <w:rPr>
          <w:rFonts w:hint="eastAsia" w:ascii="宋体" w:hAnsi="宋体" w:cs="宋体"/>
          <w:sz w:val="24"/>
        </w:rPr>
        <w:t>6. 施工设备和临时设施</w:t>
      </w:r>
      <w:bookmarkEnd w:id="318"/>
      <w:bookmarkEnd w:id="319"/>
      <w:bookmarkEnd w:id="320"/>
      <w:bookmarkEnd w:id="321"/>
    </w:p>
    <w:p w14:paraId="0E50FCEC">
      <w:pPr>
        <w:spacing w:line="500" w:lineRule="exact"/>
        <w:outlineLvl w:val="3"/>
        <w:rPr>
          <w:rFonts w:hint="eastAsia" w:ascii="宋体" w:hAnsi="宋体" w:cs="宋体"/>
          <w:sz w:val="24"/>
        </w:rPr>
      </w:pPr>
      <w:r>
        <w:rPr>
          <w:rFonts w:hint="eastAsia" w:ascii="宋体" w:hAnsi="宋体" w:cs="宋体"/>
          <w:sz w:val="24"/>
        </w:rPr>
        <w:t>6.1 承包人提供的施工设备和临时设施</w:t>
      </w:r>
    </w:p>
    <w:p w14:paraId="33A3F513">
      <w:pPr>
        <w:spacing w:line="500" w:lineRule="exact"/>
        <w:ind w:firstLine="480" w:firstLineChars="200"/>
        <w:rPr>
          <w:rFonts w:hint="eastAsia" w:ascii="宋体" w:hAnsi="宋体" w:cs="宋体"/>
          <w:sz w:val="24"/>
        </w:rPr>
      </w:pPr>
      <w:r>
        <w:rPr>
          <w:rFonts w:hint="eastAsia" w:ascii="宋体" w:hAnsi="宋体" w:cs="宋体"/>
          <w:sz w:val="24"/>
        </w:rPr>
        <w:t>6.1.1 承包人应按合同进度计划的要求，及时配置施工设备和修建临时设施。进入施工场地的承包人设备需经监理人核查后才能投入使用。承包人更换合同约定的承包人设备的，应报监理人批准。</w:t>
      </w:r>
    </w:p>
    <w:p w14:paraId="187CD8F5">
      <w:pPr>
        <w:spacing w:line="500" w:lineRule="exact"/>
        <w:ind w:firstLine="480" w:firstLineChars="200"/>
        <w:rPr>
          <w:rFonts w:hint="eastAsia" w:ascii="宋体" w:hAnsi="宋体" w:cs="宋体"/>
          <w:sz w:val="24"/>
        </w:rPr>
      </w:pPr>
      <w:r>
        <w:rPr>
          <w:rFonts w:hint="eastAsia" w:ascii="宋体" w:hAnsi="宋体" w:cs="宋体"/>
          <w:sz w:val="24"/>
        </w:rPr>
        <w:t>6.1.2除专用合同条款另有约定外，承包人应自行承担修建临时设施的费用，需要临时占地的，应由发包人办理申请手续并承担相应费用。</w:t>
      </w:r>
    </w:p>
    <w:p w14:paraId="46B0F594">
      <w:pPr>
        <w:spacing w:line="500" w:lineRule="exact"/>
        <w:outlineLvl w:val="3"/>
        <w:rPr>
          <w:rFonts w:hint="eastAsia" w:ascii="宋体" w:hAnsi="宋体" w:cs="宋体"/>
          <w:sz w:val="24"/>
        </w:rPr>
      </w:pPr>
      <w:r>
        <w:rPr>
          <w:rFonts w:hint="eastAsia" w:ascii="宋体" w:hAnsi="宋体" w:cs="宋体"/>
          <w:sz w:val="24"/>
        </w:rPr>
        <w:t>6.2 发包人提供的施工设备和临时设施</w:t>
      </w:r>
    </w:p>
    <w:p w14:paraId="385F5465">
      <w:pPr>
        <w:spacing w:line="500" w:lineRule="exact"/>
        <w:ind w:firstLine="480" w:firstLineChars="200"/>
        <w:rPr>
          <w:rFonts w:hint="eastAsia" w:ascii="宋体" w:hAnsi="宋体" w:cs="宋体"/>
          <w:sz w:val="24"/>
        </w:rPr>
      </w:pPr>
      <w:r>
        <w:rPr>
          <w:rFonts w:hint="eastAsia" w:ascii="宋体" w:hAnsi="宋体" w:cs="宋体"/>
          <w:sz w:val="24"/>
        </w:rPr>
        <w:t>发包人提供的施工设备或临时设施在专用合同条款中约定。</w:t>
      </w:r>
    </w:p>
    <w:p w14:paraId="7BC7D16B">
      <w:pPr>
        <w:spacing w:line="500" w:lineRule="exact"/>
        <w:outlineLvl w:val="3"/>
        <w:rPr>
          <w:rFonts w:hint="eastAsia" w:ascii="宋体" w:hAnsi="宋体" w:cs="宋体"/>
          <w:sz w:val="24"/>
        </w:rPr>
      </w:pPr>
      <w:r>
        <w:rPr>
          <w:rFonts w:hint="eastAsia" w:ascii="宋体" w:hAnsi="宋体" w:cs="宋体"/>
          <w:sz w:val="24"/>
        </w:rPr>
        <w:t>6.3 要求承包人增加或更换施工设备</w:t>
      </w:r>
    </w:p>
    <w:p w14:paraId="799507B0">
      <w:pPr>
        <w:spacing w:line="500" w:lineRule="exact"/>
        <w:ind w:firstLine="480" w:firstLineChars="200"/>
        <w:rPr>
          <w:rFonts w:hint="eastAsia" w:ascii="宋体" w:hAnsi="宋体" w:cs="宋体"/>
          <w:sz w:val="24"/>
        </w:rPr>
      </w:pPr>
      <w:r>
        <w:rPr>
          <w:rFonts w:hint="eastAsia" w:ascii="宋体" w:hAnsi="宋体" w:cs="宋体"/>
          <w:sz w:val="24"/>
        </w:rPr>
        <w:t>承包人使用的施工设备不能满足合同进度计划和（或）质量要求时，监理人有权要求承包人增加或更换施工设备，承包人应及时增加或更换，由此增加的费用和（或）工期延误由承包人承担。</w:t>
      </w:r>
    </w:p>
    <w:p w14:paraId="3CEB66B1">
      <w:pPr>
        <w:spacing w:line="500" w:lineRule="exact"/>
        <w:outlineLvl w:val="3"/>
        <w:rPr>
          <w:rFonts w:hint="eastAsia" w:ascii="宋体" w:hAnsi="宋体" w:cs="宋体"/>
          <w:sz w:val="24"/>
        </w:rPr>
      </w:pPr>
      <w:r>
        <w:rPr>
          <w:rFonts w:hint="eastAsia" w:ascii="宋体" w:hAnsi="宋体" w:cs="宋体"/>
          <w:sz w:val="24"/>
        </w:rPr>
        <w:t>6.4 施工设备和临时设施专用于合同工程</w:t>
      </w:r>
    </w:p>
    <w:p w14:paraId="5282D89B">
      <w:pPr>
        <w:spacing w:line="500" w:lineRule="exact"/>
        <w:ind w:firstLine="480" w:firstLineChars="200"/>
        <w:rPr>
          <w:rFonts w:hint="eastAsia" w:ascii="宋体" w:hAnsi="宋体" w:cs="宋体"/>
          <w:sz w:val="24"/>
        </w:rPr>
      </w:pPr>
      <w:r>
        <w:rPr>
          <w:rFonts w:hint="eastAsia" w:ascii="宋体" w:hAnsi="宋体" w:cs="宋体"/>
          <w:sz w:val="24"/>
        </w:rPr>
        <w:t>6.4.1除合同另有约定外，运入施工场地的所有施工设备以及在施工场地建设的临时设施应专用于合同工程。未经监理人同意，不得将上述施工设备和临时设施中的任何部分运出施工场地或挪作他用。</w:t>
      </w:r>
    </w:p>
    <w:p w14:paraId="7368A02D">
      <w:pPr>
        <w:spacing w:line="500" w:lineRule="exact"/>
        <w:ind w:firstLine="480" w:firstLineChars="200"/>
        <w:rPr>
          <w:rFonts w:hint="eastAsia" w:ascii="宋体" w:hAnsi="宋体" w:cs="宋体"/>
          <w:sz w:val="24"/>
        </w:rPr>
      </w:pPr>
      <w:r>
        <w:rPr>
          <w:rFonts w:hint="eastAsia" w:ascii="宋体" w:hAnsi="宋体" w:cs="宋体"/>
          <w:sz w:val="24"/>
        </w:rPr>
        <w:t>6.4.2 经监理人同意，承包人可根据合同进度计划撤走闲置的施工设备。</w:t>
      </w:r>
    </w:p>
    <w:p w14:paraId="564B42CB">
      <w:pPr>
        <w:spacing w:line="500" w:lineRule="exact"/>
        <w:outlineLvl w:val="2"/>
        <w:rPr>
          <w:rFonts w:hint="eastAsia" w:ascii="宋体" w:hAnsi="宋体" w:cs="宋体"/>
          <w:sz w:val="24"/>
        </w:rPr>
      </w:pPr>
      <w:bookmarkStart w:id="322" w:name="_Toc29057"/>
      <w:bookmarkStart w:id="323" w:name="_Toc256000123"/>
      <w:bookmarkStart w:id="324" w:name="_Toc256000092"/>
      <w:bookmarkStart w:id="325" w:name="_Toc2650"/>
      <w:r>
        <w:rPr>
          <w:rFonts w:hint="eastAsia" w:ascii="宋体" w:hAnsi="宋体" w:cs="宋体"/>
          <w:sz w:val="24"/>
        </w:rPr>
        <w:t>7. 交通运输</w:t>
      </w:r>
      <w:bookmarkEnd w:id="322"/>
      <w:bookmarkEnd w:id="323"/>
      <w:bookmarkEnd w:id="324"/>
      <w:bookmarkEnd w:id="325"/>
    </w:p>
    <w:p w14:paraId="54022F20">
      <w:pPr>
        <w:spacing w:line="500" w:lineRule="exact"/>
        <w:outlineLvl w:val="3"/>
        <w:rPr>
          <w:rFonts w:hint="eastAsia" w:ascii="宋体" w:hAnsi="宋体" w:cs="宋体"/>
          <w:sz w:val="24"/>
        </w:rPr>
      </w:pPr>
      <w:r>
        <w:rPr>
          <w:rFonts w:hint="eastAsia" w:ascii="宋体" w:hAnsi="宋体" w:cs="宋体"/>
          <w:sz w:val="24"/>
        </w:rPr>
        <w:t>7.1 道路通行权和场外设施</w:t>
      </w:r>
    </w:p>
    <w:p w14:paraId="287BF62D">
      <w:pPr>
        <w:spacing w:line="500" w:lineRule="exact"/>
        <w:rPr>
          <w:rFonts w:hint="eastAsia" w:ascii="宋体" w:hAnsi="宋体" w:cs="宋体"/>
          <w:sz w:val="24"/>
        </w:rPr>
      </w:pPr>
      <w:r>
        <w:rPr>
          <w:rFonts w:hint="eastAsia" w:ascii="宋体" w:hAnsi="宋体" w:cs="宋体"/>
          <w:sz w:val="24"/>
        </w:rPr>
        <w:t>　　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14:paraId="25260C7A">
      <w:pPr>
        <w:spacing w:line="500" w:lineRule="exact"/>
        <w:outlineLvl w:val="3"/>
        <w:rPr>
          <w:rFonts w:hint="eastAsia" w:ascii="宋体" w:hAnsi="宋体" w:cs="宋体"/>
          <w:sz w:val="24"/>
        </w:rPr>
      </w:pPr>
      <w:r>
        <w:rPr>
          <w:rFonts w:hint="eastAsia" w:ascii="宋体" w:hAnsi="宋体" w:cs="宋体"/>
          <w:sz w:val="24"/>
        </w:rPr>
        <w:t>7.2 场内施工道路</w:t>
      </w:r>
    </w:p>
    <w:p w14:paraId="71E5F5D9">
      <w:pPr>
        <w:spacing w:line="500" w:lineRule="exact"/>
        <w:rPr>
          <w:rFonts w:hint="eastAsia" w:ascii="宋体" w:hAnsi="宋体" w:cs="宋体"/>
          <w:sz w:val="24"/>
        </w:rPr>
      </w:pPr>
      <w:r>
        <w:rPr>
          <w:rFonts w:hint="eastAsia" w:ascii="宋体" w:hAnsi="宋体" w:cs="宋体"/>
          <w:sz w:val="24"/>
        </w:rPr>
        <w:t>　　7.2.1　除本合同约定由发包人提供的部分道路和交通设施外，承包人应负责修建、维修、养护和管理其施工所需的全部临时道路和交通设施(包括合同约定由发包人提供的部分道路和交通设施的维修、养护和管理)，并承担相应费用。</w:t>
      </w:r>
    </w:p>
    <w:p w14:paraId="622A510B">
      <w:pPr>
        <w:spacing w:line="500" w:lineRule="exact"/>
        <w:ind w:firstLine="420"/>
        <w:rPr>
          <w:rFonts w:hint="eastAsia" w:ascii="宋体" w:hAnsi="宋体" w:cs="宋体"/>
          <w:sz w:val="24"/>
        </w:rPr>
      </w:pPr>
      <w:r>
        <w:rPr>
          <w:rFonts w:hint="eastAsia" w:ascii="宋体" w:hAnsi="宋体" w:cs="宋体"/>
          <w:sz w:val="24"/>
        </w:rPr>
        <w:t>7.2.2　承包人修建的临时道路和交通设施，应免费提供发包人、监理人以及与本合同有关的其他承包人使用。</w:t>
      </w:r>
    </w:p>
    <w:p w14:paraId="38245DE2">
      <w:pPr>
        <w:spacing w:line="500" w:lineRule="exact"/>
        <w:outlineLvl w:val="3"/>
        <w:rPr>
          <w:rFonts w:hint="eastAsia" w:ascii="宋体" w:hAnsi="宋体" w:cs="宋体"/>
          <w:sz w:val="24"/>
        </w:rPr>
      </w:pPr>
      <w:r>
        <w:rPr>
          <w:rFonts w:hint="eastAsia" w:ascii="宋体" w:hAnsi="宋体" w:cs="宋体"/>
          <w:sz w:val="24"/>
        </w:rPr>
        <w:t>7.3 场外交通</w:t>
      </w:r>
    </w:p>
    <w:p w14:paraId="3D4A9A12">
      <w:pPr>
        <w:spacing w:line="500" w:lineRule="exact"/>
        <w:ind w:firstLine="480" w:firstLineChars="200"/>
        <w:rPr>
          <w:rFonts w:hint="eastAsia" w:ascii="宋体" w:hAnsi="宋体" w:cs="宋体"/>
          <w:sz w:val="24"/>
        </w:rPr>
      </w:pPr>
      <w:r>
        <w:rPr>
          <w:rFonts w:hint="eastAsia" w:ascii="宋体" w:hAnsi="宋体" w:cs="宋体"/>
          <w:sz w:val="24"/>
        </w:rPr>
        <w:t>7.3.1 承包人车辆外出行驶所需的场外公共道路的通行费、养路费和税款等由承包人承担。</w:t>
      </w:r>
    </w:p>
    <w:p w14:paraId="700450BA">
      <w:pPr>
        <w:spacing w:line="500" w:lineRule="exact"/>
        <w:ind w:firstLine="480" w:firstLineChars="200"/>
        <w:rPr>
          <w:rFonts w:hint="eastAsia" w:ascii="宋体" w:hAnsi="宋体" w:cs="宋体"/>
          <w:sz w:val="24"/>
        </w:rPr>
      </w:pPr>
      <w:r>
        <w:rPr>
          <w:rFonts w:hint="eastAsia" w:ascii="宋体" w:hAnsi="宋体" w:cs="宋体"/>
          <w:sz w:val="24"/>
        </w:rPr>
        <w:t>7.3.2 承包人应遵守有关交通法规，严格按照道路和桥梁的限制荷重安全行驶，并服从交通管理部门的检查和监督。</w:t>
      </w:r>
    </w:p>
    <w:p w14:paraId="6ED8334F">
      <w:pPr>
        <w:spacing w:line="500" w:lineRule="exact"/>
        <w:outlineLvl w:val="3"/>
        <w:rPr>
          <w:rFonts w:hint="eastAsia" w:ascii="宋体" w:hAnsi="宋体" w:cs="宋体"/>
          <w:sz w:val="24"/>
        </w:rPr>
      </w:pPr>
      <w:r>
        <w:rPr>
          <w:rFonts w:hint="eastAsia" w:ascii="宋体" w:hAnsi="宋体" w:cs="宋体"/>
          <w:sz w:val="24"/>
        </w:rPr>
        <w:t>7.4 超大件和超重件的运输</w:t>
      </w:r>
    </w:p>
    <w:p w14:paraId="52095F08">
      <w:pPr>
        <w:spacing w:line="500" w:lineRule="exact"/>
        <w:ind w:firstLine="480" w:firstLineChars="200"/>
        <w:rPr>
          <w:rFonts w:hint="eastAsia" w:ascii="宋体" w:hAnsi="宋体" w:cs="宋体"/>
          <w:sz w:val="24"/>
        </w:rPr>
      </w:pPr>
      <w:r>
        <w:rPr>
          <w:rFonts w:hint="eastAsia" w:ascii="宋体" w:hAnsi="宋体" w:cs="宋体"/>
          <w:sz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09F0588F">
      <w:pPr>
        <w:spacing w:line="500" w:lineRule="exact"/>
        <w:outlineLvl w:val="3"/>
        <w:rPr>
          <w:rFonts w:hint="eastAsia" w:ascii="宋体" w:hAnsi="宋体" w:cs="宋体"/>
          <w:sz w:val="24"/>
        </w:rPr>
      </w:pPr>
      <w:r>
        <w:rPr>
          <w:rFonts w:hint="eastAsia" w:ascii="宋体" w:hAnsi="宋体" w:cs="宋体"/>
          <w:sz w:val="24"/>
        </w:rPr>
        <w:t>7.5 道路和桥梁的损坏责任</w:t>
      </w:r>
    </w:p>
    <w:p w14:paraId="7CFCBC9E">
      <w:pPr>
        <w:spacing w:line="500" w:lineRule="exact"/>
        <w:ind w:firstLine="480" w:firstLineChars="200"/>
        <w:rPr>
          <w:rFonts w:hint="eastAsia" w:ascii="宋体" w:hAnsi="宋体" w:cs="宋体"/>
          <w:sz w:val="24"/>
        </w:rPr>
      </w:pPr>
      <w:r>
        <w:rPr>
          <w:rFonts w:hint="eastAsia" w:ascii="宋体" w:hAnsi="宋体" w:cs="宋体"/>
          <w:sz w:val="24"/>
        </w:rPr>
        <w:t>因承包人运输造成施工场地内外公共道路和桥梁损坏的，由承包人承担修复损坏的全部费用和可能引起的赔偿。</w:t>
      </w:r>
    </w:p>
    <w:p w14:paraId="52D6A895">
      <w:pPr>
        <w:spacing w:line="500" w:lineRule="exact"/>
        <w:outlineLvl w:val="3"/>
        <w:rPr>
          <w:rFonts w:hint="eastAsia" w:ascii="宋体" w:hAnsi="宋体" w:cs="宋体"/>
          <w:sz w:val="24"/>
        </w:rPr>
      </w:pPr>
      <w:r>
        <w:rPr>
          <w:rFonts w:hint="eastAsia" w:ascii="宋体" w:hAnsi="宋体" w:cs="宋体"/>
          <w:sz w:val="24"/>
        </w:rPr>
        <w:t>7.6 水路和航空运输</w:t>
      </w:r>
    </w:p>
    <w:p w14:paraId="65EA2AF1">
      <w:pPr>
        <w:spacing w:line="500" w:lineRule="exact"/>
        <w:ind w:firstLine="420"/>
        <w:rPr>
          <w:rFonts w:hint="eastAsia" w:ascii="宋体" w:hAnsi="宋体" w:cs="宋体"/>
          <w:sz w:val="24"/>
        </w:rPr>
      </w:pPr>
      <w:r>
        <w:rPr>
          <w:rFonts w:hint="eastAsia" w:ascii="宋体" w:hAnsi="宋体" w:cs="宋体"/>
          <w:sz w:val="24"/>
        </w:rPr>
        <w:t>本条上述各款的内容适用于水路运输和航空运输，其中“道路”一词的涵义包括河道、航线、船闸、机场、码头、堤防以及水路或航空运输中其他相似结构物；“车辆”一词的涵义包括船舶和飞机等。</w:t>
      </w:r>
    </w:p>
    <w:p w14:paraId="4B86ED47">
      <w:pPr>
        <w:spacing w:line="500" w:lineRule="exact"/>
        <w:outlineLvl w:val="2"/>
        <w:rPr>
          <w:rFonts w:hint="eastAsia" w:ascii="宋体" w:hAnsi="宋体" w:cs="宋体"/>
          <w:sz w:val="24"/>
        </w:rPr>
      </w:pPr>
      <w:bookmarkStart w:id="326" w:name="_Toc256000093"/>
      <w:bookmarkStart w:id="327" w:name="_Toc13688"/>
      <w:bookmarkStart w:id="328" w:name="_Toc3638"/>
      <w:bookmarkStart w:id="329" w:name="_Toc256000124"/>
      <w:r>
        <w:rPr>
          <w:rFonts w:hint="eastAsia" w:ascii="宋体" w:hAnsi="宋体" w:cs="宋体"/>
          <w:sz w:val="24"/>
        </w:rPr>
        <w:t>8. 测量放线</w:t>
      </w:r>
      <w:bookmarkEnd w:id="326"/>
      <w:bookmarkEnd w:id="327"/>
      <w:bookmarkEnd w:id="328"/>
      <w:bookmarkEnd w:id="329"/>
    </w:p>
    <w:p w14:paraId="54E0E633">
      <w:pPr>
        <w:spacing w:line="500" w:lineRule="exact"/>
        <w:outlineLvl w:val="3"/>
        <w:rPr>
          <w:rFonts w:hint="eastAsia" w:ascii="宋体" w:hAnsi="宋体" w:cs="宋体"/>
          <w:sz w:val="24"/>
        </w:rPr>
      </w:pPr>
      <w:r>
        <w:rPr>
          <w:rFonts w:hint="eastAsia" w:ascii="宋体" w:hAnsi="宋体" w:cs="宋体"/>
          <w:sz w:val="24"/>
        </w:rPr>
        <w:t>8.1 施工控制网</w:t>
      </w:r>
    </w:p>
    <w:p w14:paraId="0C66CB64">
      <w:pPr>
        <w:spacing w:line="500" w:lineRule="exact"/>
        <w:ind w:firstLine="420"/>
        <w:rPr>
          <w:rFonts w:hint="eastAsia" w:ascii="宋体" w:hAnsi="宋体" w:cs="宋体"/>
          <w:sz w:val="24"/>
        </w:rPr>
      </w:pPr>
      <w:r>
        <w:rPr>
          <w:rFonts w:hint="eastAsia" w:ascii="宋体" w:hAnsi="宋体" w:cs="宋体"/>
          <w:sz w:val="24"/>
        </w:rPr>
        <w:t>8.1.1　除专用合同条款另有约定外，施工控制网由承包人负责测设，发包人应在本合同协议书签订后的14天内，向承包人提供测量基准点、基准线和水准点及其相关资料。承包人应在收到上述资料后的28天内，将施测的施工控制网资料提交监理人审批。监理人应在收到报批件后的14天内批复承包人。</w:t>
      </w:r>
    </w:p>
    <w:p w14:paraId="418C1DB3">
      <w:pPr>
        <w:spacing w:line="500" w:lineRule="exact"/>
        <w:ind w:firstLine="420"/>
        <w:rPr>
          <w:rFonts w:hint="eastAsia" w:ascii="宋体" w:hAnsi="宋体" w:cs="宋体"/>
          <w:sz w:val="24"/>
        </w:rPr>
      </w:pPr>
      <w:r>
        <w:rPr>
          <w:rFonts w:hint="eastAsia" w:ascii="宋体" w:hAnsi="宋体" w:cs="宋体"/>
          <w:sz w:val="24"/>
        </w:rPr>
        <w:t>8.1.2承包人应负责管理施工控制网点。施工控制网点丢失或损坏的，承包人应及时修复。承包人应承担施工控制网点的管理与修复费用，并在工程竣工后将施工控制网点移交发包人。</w:t>
      </w:r>
    </w:p>
    <w:p w14:paraId="6268B6CE">
      <w:pPr>
        <w:spacing w:line="500" w:lineRule="exact"/>
        <w:outlineLvl w:val="3"/>
        <w:rPr>
          <w:rFonts w:hint="eastAsia" w:ascii="宋体" w:hAnsi="宋体" w:cs="宋体"/>
          <w:sz w:val="24"/>
        </w:rPr>
      </w:pPr>
      <w:r>
        <w:rPr>
          <w:rFonts w:hint="eastAsia" w:ascii="宋体" w:hAnsi="宋体" w:cs="宋体"/>
          <w:sz w:val="24"/>
        </w:rPr>
        <w:t>8.2 施工测量</w:t>
      </w:r>
    </w:p>
    <w:p w14:paraId="6E0D0F35">
      <w:pPr>
        <w:spacing w:line="500" w:lineRule="exact"/>
        <w:ind w:firstLine="480" w:firstLineChars="200"/>
        <w:rPr>
          <w:rFonts w:hint="eastAsia" w:ascii="宋体" w:hAnsi="宋体" w:cs="宋体"/>
          <w:sz w:val="24"/>
        </w:rPr>
      </w:pPr>
      <w:r>
        <w:rPr>
          <w:rFonts w:hint="eastAsia" w:ascii="宋体" w:hAnsi="宋体" w:cs="宋体"/>
          <w:sz w:val="24"/>
        </w:rPr>
        <w:t>8.2.1承包人应负责施工过程中的全部施工测量放线工作，并配置合格的人员、仪器、设备和其他物品。</w:t>
      </w:r>
    </w:p>
    <w:p w14:paraId="673407F8">
      <w:pPr>
        <w:spacing w:line="500" w:lineRule="exact"/>
        <w:ind w:firstLine="480" w:firstLineChars="200"/>
        <w:rPr>
          <w:rFonts w:hint="eastAsia" w:ascii="宋体" w:hAnsi="宋体" w:cs="宋体"/>
          <w:sz w:val="24"/>
        </w:rPr>
      </w:pPr>
      <w:r>
        <w:rPr>
          <w:rFonts w:hint="eastAsia" w:ascii="宋体" w:hAnsi="宋体" w:cs="宋体"/>
          <w:sz w:val="24"/>
        </w:rPr>
        <w:t>8.2.2监理人可以指示承包人进行抽样复测，当复测中发现错误或出现超过合同约定的误差时，承包人应按监理人指示进行修正或补测，并承担相应的复测费用。</w:t>
      </w:r>
    </w:p>
    <w:p w14:paraId="7E7E2F76">
      <w:pPr>
        <w:spacing w:line="500" w:lineRule="exact"/>
        <w:outlineLvl w:val="3"/>
        <w:rPr>
          <w:rFonts w:hint="eastAsia" w:ascii="宋体" w:hAnsi="宋体" w:cs="宋体"/>
          <w:sz w:val="24"/>
        </w:rPr>
      </w:pPr>
      <w:r>
        <w:rPr>
          <w:rFonts w:hint="eastAsia" w:ascii="宋体" w:hAnsi="宋体" w:cs="宋体"/>
          <w:sz w:val="24"/>
        </w:rPr>
        <w:t>8.3 基准资料错误的责任</w:t>
      </w:r>
    </w:p>
    <w:p w14:paraId="6A88B3C4">
      <w:pPr>
        <w:spacing w:line="500" w:lineRule="exact"/>
        <w:ind w:firstLine="480" w:firstLineChars="200"/>
        <w:rPr>
          <w:rFonts w:hint="eastAsia" w:ascii="宋体" w:hAnsi="宋体" w:cs="宋体"/>
          <w:sz w:val="24"/>
        </w:rPr>
      </w:pPr>
      <w:r>
        <w:rPr>
          <w:rFonts w:hint="eastAsia" w:ascii="宋体" w:hAnsi="宋体" w:cs="宋体"/>
          <w:sz w:val="24"/>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46800A9D">
      <w:pPr>
        <w:spacing w:line="500" w:lineRule="exact"/>
        <w:outlineLvl w:val="3"/>
        <w:rPr>
          <w:rFonts w:hint="eastAsia" w:ascii="宋体" w:hAnsi="宋体" w:cs="宋体"/>
          <w:sz w:val="24"/>
        </w:rPr>
      </w:pPr>
      <w:r>
        <w:rPr>
          <w:rFonts w:hint="eastAsia" w:ascii="宋体" w:hAnsi="宋体" w:cs="宋体"/>
          <w:sz w:val="24"/>
        </w:rPr>
        <w:t>8.4 监理人使用施工控制网</w:t>
      </w:r>
    </w:p>
    <w:p w14:paraId="1648774A">
      <w:pPr>
        <w:spacing w:line="500" w:lineRule="exact"/>
        <w:ind w:firstLine="420"/>
        <w:rPr>
          <w:rFonts w:hint="eastAsia" w:ascii="宋体" w:hAnsi="宋体" w:cs="宋体"/>
          <w:sz w:val="24"/>
        </w:rPr>
      </w:pPr>
      <w:r>
        <w:rPr>
          <w:rFonts w:hint="eastAsia" w:ascii="宋体" w:hAnsi="宋体" w:cs="宋体"/>
          <w:sz w:val="24"/>
        </w:rPr>
        <w:t>监理人需要使用施工控制网的，承包人应提供必要的协助，发包人不再为此支付费用。</w:t>
      </w:r>
    </w:p>
    <w:p w14:paraId="1F4F6C2A">
      <w:pPr>
        <w:spacing w:line="500" w:lineRule="exact"/>
        <w:outlineLvl w:val="3"/>
        <w:rPr>
          <w:rFonts w:hint="eastAsia" w:ascii="宋体" w:hAnsi="宋体" w:cs="宋体"/>
          <w:sz w:val="24"/>
        </w:rPr>
      </w:pPr>
      <w:r>
        <w:rPr>
          <w:rFonts w:hint="eastAsia" w:ascii="宋体" w:hAnsi="宋体" w:cs="宋体"/>
          <w:sz w:val="24"/>
        </w:rPr>
        <w:t>8.5 补充地质勘探</w:t>
      </w:r>
    </w:p>
    <w:p w14:paraId="4AFB5421">
      <w:pPr>
        <w:spacing w:line="500" w:lineRule="exact"/>
        <w:rPr>
          <w:rFonts w:hint="eastAsia" w:ascii="宋体" w:hAnsi="宋体" w:cs="宋体"/>
          <w:sz w:val="24"/>
        </w:rPr>
      </w:pPr>
      <w:r>
        <w:rPr>
          <w:rFonts w:hint="eastAsia" w:ascii="宋体" w:hAnsi="宋体" w:cs="宋体"/>
          <w:sz w:val="24"/>
        </w:rPr>
        <w:t>　　在合同实施期间，监理人可以指示承包人进行必要的补充地质勘探并提供有关资料。承包人为本合同永久工程施工的需要进行补充地质勘探时，须经监理人批准，并应向监理人提交有关资料，上述补充勘探的费用由发包人承担。承包人为其临时工程设计及施工的需要进行的补充地质勘探，其费用由承包人承担。</w:t>
      </w:r>
    </w:p>
    <w:p w14:paraId="1F8CA24B">
      <w:pPr>
        <w:spacing w:line="500" w:lineRule="exact"/>
        <w:outlineLvl w:val="2"/>
        <w:rPr>
          <w:rFonts w:hint="eastAsia" w:ascii="宋体" w:hAnsi="宋体" w:cs="宋体"/>
          <w:sz w:val="24"/>
        </w:rPr>
      </w:pPr>
      <w:bookmarkStart w:id="330" w:name="_Toc29710"/>
      <w:bookmarkStart w:id="331" w:name="_Toc25317"/>
      <w:bookmarkStart w:id="332" w:name="_Toc256000125"/>
      <w:bookmarkStart w:id="333" w:name="_Toc256000094"/>
      <w:r>
        <w:rPr>
          <w:rFonts w:hint="eastAsia" w:ascii="宋体" w:hAnsi="宋体" w:cs="宋体"/>
          <w:sz w:val="24"/>
        </w:rPr>
        <w:t>9. 施工安全、治安保卫和环境保护</w:t>
      </w:r>
      <w:bookmarkEnd w:id="330"/>
      <w:bookmarkEnd w:id="331"/>
      <w:bookmarkEnd w:id="332"/>
      <w:bookmarkEnd w:id="333"/>
    </w:p>
    <w:p w14:paraId="1BF9B0BA">
      <w:pPr>
        <w:spacing w:line="500" w:lineRule="exact"/>
        <w:outlineLvl w:val="3"/>
        <w:rPr>
          <w:rFonts w:hint="eastAsia" w:ascii="宋体" w:hAnsi="宋体" w:cs="宋体"/>
          <w:sz w:val="24"/>
        </w:rPr>
      </w:pPr>
      <w:r>
        <w:rPr>
          <w:rFonts w:hint="eastAsia" w:ascii="宋体" w:hAnsi="宋体" w:cs="宋体"/>
          <w:sz w:val="24"/>
        </w:rPr>
        <w:t>9.1 发包人的施工安全责任</w:t>
      </w:r>
    </w:p>
    <w:p w14:paraId="40893A09">
      <w:pPr>
        <w:spacing w:line="500" w:lineRule="exact"/>
        <w:ind w:firstLine="420"/>
        <w:rPr>
          <w:rFonts w:hint="eastAsia" w:ascii="宋体" w:hAnsi="宋体" w:cs="宋体"/>
          <w:sz w:val="24"/>
        </w:rPr>
      </w:pPr>
      <w:r>
        <w:rPr>
          <w:rFonts w:hint="eastAsia" w:ascii="宋体" w:hAnsi="宋体" w:cs="宋体"/>
          <w:sz w:val="24"/>
        </w:rPr>
        <w:t>9.1.1 发包人应按合同约定履行安全职责。发包人委托监理人根据国家有关安全的法律、法规、强制性标准以及部门规章，对承包人的安全责任履行情况进行监督和检查。监理人的监督检查不减轻承包人应负的安全责任。</w:t>
      </w:r>
    </w:p>
    <w:p w14:paraId="331435D8">
      <w:pPr>
        <w:spacing w:line="500" w:lineRule="exact"/>
        <w:ind w:firstLine="480" w:firstLineChars="200"/>
        <w:rPr>
          <w:rFonts w:hint="eastAsia" w:ascii="宋体" w:hAnsi="宋体" w:cs="宋体"/>
          <w:sz w:val="24"/>
        </w:rPr>
      </w:pPr>
      <w:r>
        <w:rPr>
          <w:rFonts w:hint="eastAsia" w:ascii="宋体" w:hAnsi="宋体" w:cs="宋体"/>
          <w:sz w:val="24"/>
        </w:rPr>
        <w:t>9.1.2 发包人应对其现场机构雇佣的全部人员的工伤事故承担责任，但由于承包人原因造成发包人人员工伤的，应由承包人承担责任。</w:t>
      </w:r>
    </w:p>
    <w:p w14:paraId="08AE9483">
      <w:pPr>
        <w:spacing w:line="500" w:lineRule="exact"/>
        <w:ind w:firstLine="480" w:firstLineChars="200"/>
        <w:rPr>
          <w:rFonts w:hint="eastAsia" w:ascii="宋体" w:hAnsi="宋体" w:cs="宋体"/>
          <w:sz w:val="24"/>
        </w:rPr>
      </w:pPr>
      <w:r>
        <w:rPr>
          <w:rFonts w:hint="eastAsia" w:ascii="宋体" w:hAnsi="宋体" w:cs="宋体"/>
          <w:sz w:val="24"/>
        </w:rPr>
        <w:t>9.1.3 发包人应负责赔偿以下各种情况造成的第三者人身伤亡和财产损失：</w:t>
      </w:r>
    </w:p>
    <w:p w14:paraId="22E91A4F">
      <w:pPr>
        <w:spacing w:line="500" w:lineRule="exact"/>
        <w:ind w:firstLine="480" w:firstLineChars="200"/>
        <w:rPr>
          <w:rFonts w:hint="eastAsia" w:ascii="宋体" w:hAnsi="宋体" w:cs="宋体"/>
          <w:sz w:val="24"/>
        </w:rPr>
      </w:pPr>
      <w:r>
        <w:rPr>
          <w:rFonts w:hint="eastAsia" w:ascii="宋体" w:hAnsi="宋体" w:cs="宋体"/>
          <w:sz w:val="24"/>
        </w:rPr>
        <w:t>（1） 工程或工程的任何部分对土地的占用所造成的第三者财产损失；</w:t>
      </w:r>
    </w:p>
    <w:p w14:paraId="5ECE40C0">
      <w:pPr>
        <w:spacing w:line="500" w:lineRule="exact"/>
        <w:ind w:firstLine="420"/>
        <w:rPr>
          <w:rFonts w:hint="eastAsia" w:ascii="宋体" w:hAnsi="宋体" w:cs="宋体"/>
          <w:sz w:val="24"/>
        </w:rPr>
      </w:pPr>
      <w:r>
        <w:rPr>
          <w:rFonts w:hint="eastAsia" w:ascii="宋体" w:hAnsi="宋体" w:cs="宋体"/>
          <w:sz w:val="24"/>
        </w:rPr>
        <w:t>（2） 由于发包人原因在施工场地及其毗邻地带造成的第三者人身伤亡和财产损失。</w:t>
      </w:r>
    </w:p>
    <w:p w14:paraId="5C9086F0">
      <w:pPr>
        <w:spacing w:line="500" w:lineRule="exact"/>
        <w:rPr>
          <w:rFonts w:hint="eastAsia" w:ascii="宋体" w:hAnsi="宋体" w:cs="宋体"/>
          <w:sz w:val="24"/>
        </w:rPr>
      </w:pPr>
      <w:r>
        <w:rPr>
          <w:rFonts w:hint="eastAsia" w:ascii="宋体" w:hAnsi="宋体" w:cs="宋体"/>
          <w:sz w:val="24"/>
        </w:rPr>
        <w:t>　　9.1.4　除专用合同条款另有约定外，发包人负责向承包人提供施工现场及施工可能影响的毗邻区域内供水、排水、供电、供气、供热、通信、广播电视等地下管线资料，气象和水文观测资料，拟建工程可能影响的相邻建筑物地下工程的有关资料，并保证有关资料的真实、准确、完整，满足有关技术规程的要求。</w:t>
      </w:r>
    </w:p>
    <w:p w14:paraId="7382CAFA">
      <w:pPr>
        <w:spacing w:line="500" w:lineRule="exact"/>
        <w:rPr>
          <w:rFonts w:hint="eastAsia" w:ascii="宋体" w:hAnsi="宋体" w:cs="宋体"/>
          <w:sz w:val="24"/>
        </w:rPr>
      </w:pPr>
      <w:r>
        <w:rPr>
          <w:rFonts w:hint="eastAsia" w:ascii="宋体" w:hAnsi="宋体" w:cs="宋体"/>
          <w:sz w:val="24"/>
        </w:rPr>
        <w:t>　　9.1.5　发包人按照已标价工程量清单所列金额和合同约定的计量支付规定，支付安全作业环境及安全施工措施所需费用。</w:t>
      </w:r>
    </w:p>
    <w:p w14:paraId="2A3A100E">
      <w:pPr>
        <w:spacing w:line="500" w:lineRule="exact"/>
        <w:rPr>
          <w:rFonts w:hint="eastAsia" w:ascii="宋体" w:hAnsi="宋体" w:cs="宋体"/>
          <w:sz w:val="24"/>
        </w:rPr>
      </w:pPr>
      <w:r>
        <w:rPr>
          <w:rFonts w:hint="eastAsia" w:ascii="宋体" w:hAnsi="宋体" w:cs="宋体"/>
          <w:sz w:val="24"/>
        </w:rPr>
        <w:t>　　9.1.6　发包人负责组织工程参建单位编制保证安全生产的措施方案。工程开工前，就落实保证安全生产的措施进行全面系统的布置，进一步明确承包人的安全生产责任。</w:t>
      </w:r>
    </w:p>
    <w:p w14:paraId="7FA78DB5">
      <w:pPr>
        <w:spacing w:line="500" w:lineRule="exact"/>
        <w:rPr>
          <w:rFonts w:hint="eastAsia" w:ascii="宋体" w:hAnsi="宋体" w:cs="宋体"/>
          <w:sz w:val="24"/>
        </w:rPr>
      </w:pPr>
      <w:r>
        <w:rPr>
          <w:rFonts w:hint="eastAsia" w:ascii="宋体" w:hAnsi="宋体" w:cs="宋体"/>
          <w:sz w:val="24"/>
        </w:rPr>
        <w:t>　　9.1.7　发包人负责在拆除工程和爆破工程施工14天前向有关部门或机构报送相关备案资料。</w:t>
      </w:r>
    </w:p>
    <w:p w14:paraId="10D4B847">
      <w:pPr>
        <w:spacing w:line="500" w:lineRule="exact"/>
        <w:outlineLvl w:val="3"/>
        <w:rPr>
          <w:rFonts w:hint="eastAsia" w:ascii="宋体" w:hAnsi="宋体" w:cs="宋体"/>
          <w:sz w:val="24"/>
        </w:rPr>
      </w:pPr>
      <w:r>
        <w:rPr>
          <w:rFonts w:hint="eastAsia" w:ascii="宋体" w:hAnsi="宋体" w:cs="宋体"/>
          <w:sz w:val="24"/>
        </w:rPr>
        <w:t>9.2 承包人的施工安全责任</w:t>
      </w:r>
    </w:p>
    <w:p w14:paraId="3C0E25B0">
      <w:pPr>
        <w:spacing w:line="500" w:lineRule="exact"/>
        <w:ind w:firstLine="420"/>
        <w:rPr>
          <w:rFonts w:hint="eastAsia" w:ascii="宋体" w:hAnsi="宋体" w:cs="宋体"/>
          <w:sz w:val="24"/>
        </w:rPr>
      </w:pPr>
      <w:r>
        <w:rPr>
          <w:rFonts w:hint="eastAsia" w:ascii="宋体" w:hAnsi="宋体" w:cs="宋体"/>
          <w:sz w:val="24"/>
        </w:rPr>
        <w:t>9.2.1 承包人应按合同约定履行安全职责，执行监理人有关安全工作的指示。承包人应按技术标准和要求(合同技术条款)约定的内容和期限，以及监理人的指示，编制施工安全技术措施提交监理人审批。监理人应在技术标准和要求(合同技术条款)约定的期限内批复承包人。</w:t>
      </w:r>
    </w:p>
    <w:p w14:paraId="302C904B">
      <w:pPr>
        <w:spacing w:line="500" w:lineRule="exact"/>
        <w:ind w:firstLine="480" w:firstLineChars="200"/>
        <w:rPr>
          <w:rFonts w:hint="eastAsia" w:ascii="宋体" w:hAnsi="宋体" w:cs="宋体"/>
          <w:sz w:val="24"/>
        </w:rPr>
      </w:pPr>
      <w:r>
        <w:rPr>
          <w:rFonts w:hint="eastAsia" w:ascii="宋体" w:hAnsi="宋体" w:cs="宋体"/>
          <w:sz w:val="24"/>
        </w:rPr>
        <w:t>9.2.2 承包人应加强施工作业安全管理，特别应加强易燃、易爆材料、火工器材、有毒与腐蚀性材料和其他危险品的管理，以及对爆破作业和地下工程施工等危险作业的管理。</w:t>
      </w:r>
    </w:p>
    <w:p w14:paraId="274D1E98">
      <w:pPr>
        <w:spacing w:line="500" w:lineRule="exact"/>
        <w:ind w:firstLine="480" w:firstLineChars="200"/>
        <w:rPr>
          <w:rFonts w:hint="eastAsia" w:ascii="宋体" w:hAnsi="宋体" w:cs="宋体"/>
          <w:sz w:val="24"/>
        </w:rPr>
      </w:pPr>
      <w:r>
        <w:rPr>
          <w:rFonts w:hint="eastAsia" w:ascii="宋体" w:hAnsi="宋体" w:cs="宋体"/>
          <w:sz w:val="24"/>
        </w:rPr>
        <w:t>9.2.3 承包人应严格按照国家安全标准制定施工安全操作规程，配备必要的安全生产和劳动保护设施，加强对承包人人员的安全教育，并发放安全工作手册和劳动保护用具。</w:t>
      </w:r>
    </w:p>
    <w:p w14:paraId="5ACE59D3">
      <w:pPr>
        <w:spacing w:line="500" w:lineRule="exact"/>
        <w:ind w:firstLine="480" w:firstLineChars="200"/>
        <w:rPr>
          <w:rFonts w:hint="eastAsia" w:ascii="宋体" w:hAnsi="宋体" w:cs="宋体"/>
          <w:sz w:val="24"/>
        </w:rPr>
      </w:pPr>
      <w:r>
        <w:rPr>
          <w:rFonts w:hint="eastAsia" w:ascii="宋体" w:hAnsi="宋体" w:cs="宋体"/>
          <w:sz w:val="24"/>
        </w:rPr>
        <w:t>9.2.4 承包人应按监理人的指示制定应对灾害的紧急预案，报送监理人审批。承包人还应按预案做好安全检查，配置必要的救助物资和器材，切实保护好有关人员的人身和财产安全。</w:t>
      </w:r>
    </w:p>
    <w:p w14:paraId="6A6CF3D1">
      <w:pPr>
        <w:spacing w:line="500" w:lineRule="exact"/>
        <w:ind w:firstLine="480" w:firstLineChars="200"/>
        <w:rPr>
          <w:rFonts w:hint="eastAsia" w:ascii="宋体" w:hAnsi="宋体" w:cs="宋体"/>
          <w:sz w:val="24"/>
        </w:rPr>
      </w:pPr>
      <w:r>
        <w:rPr>
          <w:rFonts w:hint="eastAsia" w:ascii="宋体" w:hAnsi="宋体" w:cs="宋体"/>
          <w:sz w:val="24"/>
        </w:rPr>
        <w:t>9.2.5 合同约定的安全作业环境及安全施工措施所需费用应遵守有关规定，并包括在相关工作的合同价格中。因采取合同未约定的安全作业环境及安全施工措施增加的费用，由监理人按第3.5款商定或确定。</w:t>
      </w:r>
    </w:p>
    <w:p w14:paraId="5C26835A">
      <w:pPr>
        <w:spacing w:line="500" w:lineRule="exact"/>
        <w:ind w:firstLine="480" w:firstLineChars="200"/>
        <w:rPr>
          <w:rFonts w:hint="eastAsia" w:ascii="宋体" w:hAnsi="宋体" w:cs="宋体"/>
          <w:sz w:val="24"/>
        </w:rPr>
      </w:pPr>
      <w:r>
        <w:rPr>
          <w:rFonts w:hint="eastAsia" w:ascii="宋体" w:hAnsi="宋体" w:cs="宋体"/>
          <w:sz w:val="24"/>
        </w:rPr>
        <w:t>9.2.6 承包人应对其履行合同所雇佣的全部人员，包括分包人人员的工伤事故承担责任，但由于发包人原因造成承包人人员工伤事故的，应由发包人承担责任。</w:t>
      </w:r>
    </w:p>
    <w:p w14:paraId="2B764AF8">
      <w:pPr>
        <w:spacing w:line="500" w:lineRule="exact"/>
        <w:ind w:firstLine="420"/>
        <w:rPr>
          <w:rFonts w:hint="eastAsia" w:ascii="宋体" w:hAnsi="宋体" w:cs="宋体"/>
          <w:sz w:val="24"/>
        </w:rPr>
      </w:pPr>
      <w:r>
        <w:rPr>
          <w:rFonts w:hint="eastAsia" w:ascii="宋体" w:hAnsi="宋体" w:cs="宋体"/>
          <w:sz w:val="24"/>
        </w:rPr>
        <w:t>9.2.7 由于承包人原因在施工场地内及其毗邻地带造成的第三者人员伤亡和财产损失，由承包人负责赔偿。</w:t>
      </w:r>
    </w:p>
    <w:p w14:paraId="572CEBD7">
      <w:pPr>
        <w:spacing w:line="500" w:lineRule="exact"/>
        <w:rPr>
          <w:rFonts w:hint="eastAsia" w:ascii="宋体" w:hAnsi="宋体" w:cs="宋体"/>
          <w:sz w:val="24"/>
        </w:rPr>
      </w:pPr>
      <w:r>
        <w:rPr>
          <w:rFonts w:hint="eastAsia" w:ascii="宋体" w:hAnsi="宋体" w:cs="宋体"/>
          <w:sz w:val="24"/>
        </w:rPr>
        <w:t>　　9.2.8 承包人已标价工程量清单应包含工程安全作业环境及安全施工措施所需费用。</w:t>
      </w:r>
    </w:p>
    <w:p w14:paraId="0565F79E">
      <w:pPr>
        <w:spacing w:line="500" w:lineRule="exact"/>
        <w:rPr>
          <w:rFonts w:hint="eastAsia" w:ascii="宋体" w:hAnsi="宋体" w:cs="宋体"/>
          <w:sz w:val="24"/>
        </w:rPr>
      </w:pPr>
      <w:r>
        <w:rPr>
          <w:rFonts w:hint="eastAsia" w:ascii="宋体" w:hAnsi="宋体" w:cs="宋体"/>
          <w:sz w:val="24"/>
        </w:rPr>
        <w:t>　　9.2.9 承包人应建立健全安全生产责任制度和安全生产教育培训制度，制定安全生产规章制度和操作规程，保证本单位建立和完善安全生产条件所需资金的投入，对本工程进行定期和专项安全检查，并做好安全检查记录。</w:t>
      </w:r>
    </w:p>
    <w:p w14:paraId="5A771DBD">
      <w:pPr>
        <w:spacing w:line="500" w:lineRule="exact"/>
        <w:rPr>
          <w:rFonts w:hint="eastAsia" w:ascii="宋体" w:hAnsi="宋体" w:cs="宋体"/>
          <w:sz w:val="24"/>
        </w:rPr>
      </w:pPr>
      <w:r>
        <w:rPr>
          <w:rFonts w:hint="eastAsia" w:ascii="宋体" w:hAnsi="宋体" w:cs="宋体"/>
          <w:sz w:val="24"/>
        </w:rPr>
        <w:t>　　9.2.10 承包人应设立安全生产管理机构，施工现场应有专职安全生产管理人员。</w:t>
      </w:r>
    </w:p>
    <w:p w14:paraId="3D414F04">
      <w:pPr>
        <w:spacing w:line="500" w:lineRule="exact"/>
        <w:rPr>
          <w:rFonts w:hint="eastAsia" w:ascii="宋体" w:hAnsi="宋体" w:cs="宋体"/>
          <w:sz w:val="24"/>
        </w:rPr>
      </w:pPr>
      <w:r>
        <w:rPr>
          <w:rFonts w:hint="eastAsia" w:ascii="宋体" w:hAnsi="宋体" w:cs="宋体"/>
          <w:sz w:val="24"/>
        </w:rPr>
        <w:t>　　9.2.11 承包人应负责对特种作业人员进行专门的安全作业培训，并保证特种作业人员持证上岗。</w:t>
      </w:r>
    </w:p>
    <w:p w14:paraId="690D8681">
      <w:pPr>
        <w:spacing w:line="500" w:lineRule="exact"/>
        <w:rPr>
          <w:rFonts w:hint="eastAsia" w:ascii="宋体" w:hAnsi="宋体" w:cs="宋体"/>
          <w:sz w:val="24"/>
        </w:rPr>
      </w:pPr>
      <w:r>
        <w:rPr>
          <w:rFonts w:hint="eastAsia" w:ascii="宋体" w:hAnsi="宋体" w:cs="宋体"/>
          <w:sz w:val="24"/>
        </w:rPr>
        <w:t>　　9.2.12 承包人应在施工组织设计中编制安全技术措施和施工现场临时用电方案。对专用合同条款约定的工程，应编制专项施工方案报监理人批准。对专用合同条款约定的专项施工方案，还应组织专家进行论证、审查，其中专家1/2人员应经发包人同意。</w:t>
      </w:r>
    </w:p>
    <w:p w14:paraId="742A58BC">
      <w:pPr>
        <w:spacing w:line="500" w:lineRule="exact"/>
        <w:ind w:firstLine="420"/>
        <w:rPr>
          <w:rFonts w:hint="eastAsia" w:ascii="宋体" w:hAnsi="宋体" w:cs="宋体"/>
          <w:sz w:val="24"/>
        </w:rPr>
      </w:pPr>
      <w:r>
        <w:rPr>
          <w:rFonts w:hint="eastAsia" w:ascii="宋体" w:hAnsi="宋体" w:cs="宋体"/>
          <w:sz w:val="24"/>
        </w:rPr>
        <w:t>9.2.13 承包人在使用施工起重机械和整体提升脚手架、模板等自升式架设设施前，应组织有关单位进行验收。</w:t>
      </w:r>
    </w:p>
    <w:p w14:paraId="7C714B67">
      <w:pPr>
        <w:spacing w:line="500" w:lineRule="exact"/>
        <w:outlineLvl w:val="3"/>
        <w:rPr>
          <w:rFonts w:hint="eastAsia" w:ascii="宋体" w:hAnsi="宋体" w:cs="宋体"/>
          <w:sz w:val="24"/>
        </w:rPr>
      </w:pPr>
      <w:r>
        <w:rPr>
          <w:rFonts w:hint="eastAsia" w:ascii="宋体" w:hAnsi="宋体" w:cs="宋体"/>
          <w:sz w:val="24"/>
        </w:rPr>
        <w:t>9.3 治安保卫</w:t>
      </w:r>
    </w:p>
    <w:p w14:paraId="7840DEC8">
      <w:pPr>
        <w:spacing w:line="500" w:lineRule="exact"/>
        <w:ind w:firstLine="480" w:firstLineChars="200"/>
        <w:rPr>
          <w:rFonts w:hint="eastAsia" w:ascii="宋体" w:hAnsi="宋体" w:cs="宋体"/>
          <w:sz w:val="24"/>
        </w:rPr>
      </w:pPr>
      <w:r>
        <w:rPr>
          <w:rFonts w:hint="eastAsia" w:ascii="宋体" w:hAnsi="宋体" w:cs="宋体"/>
          <w:sz w:val="24"/>
        </w:rPr>
        <w:t>9.3.1 除合同另有约定外，发包人应与当地公安部门协商，在现场建立治安管理机构或联防组织，统一管理施工场地的治安保卫事项，履行合同工程的治安保卫职责。</w:t>
      </w:r>
    </w:p>
    <w:p w14:paraId="6731B89D">
      <w:pPr>
        <w:spacing w:line="500" w:lineRule="exact"/>
        <w:ind w:firstLine="480" w:firstLineChars="200"/>
        <w:rPr>
          <w:rFonts w:hint="eastAsia" w:ascii="宋体" w:hAnsi="宋体" w:cs="宋体"/>
          <w:sz w:val="24"/>
        </w:rPr>
      </w:pPr>
      <w:r>
        <w:rPr>
          <w:rFonts w:hint="eastAsia" w:ascii="宋体" w:hAnsi="宋体" w:cs="宋体"/>
          <w:sz w:val="24"/>
        </w:rPr>
        <w:t>9.3.2 发包人和承包人除应协助现场治安管理机构或联防组织维护施工场地的社会治安外，还应做好包括生活区在内的各自管辖区的治安保卫工作。</w:t>
      </w:r>
    </w:p>
    <w:p w14:paraId="32AD24A9">
      <w:pPr>
        <w:spacing w:line="500" w:lineRule="exact"/>
        <w:ind w:firstLine="480" w:firstLineChars="200"/>
        <w:rPr>
          <w:rFonts w:hint="eastAsia" w:ascii="宋体" w:hAnsi="宋体" w:cs="宋体"/>
          <w:sz w:val="24"/>
        </w:rPr>
      </w:pPr>
      <w:r>
        <w:rPr>
          <w:rFonts w:hint="eastAsia" w:ascii="宋体" w:hAnsi="宋体" w:cs="宋体"/>
          <w:sz w:val="24"/>
        </w:rPr>
        <w:t xml:space="preserve">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 </w:t>
      </w:r>
    </w:p>
    <w:p w14:paraId="42CB4B7C">
      <w:pPr>
        <w:spacing w:line="500" w:lineRule="exact"/>
        <w:outlineLvl w:val="3"/>
        <w:rPr>
          <w:rFonts w:hint="eastAsia" w:ascii="宋体" w:hAnsi="宋体" w:cs="宋体"/>
          <w:sz w:val="24"/>
        </w:rPr>
      </w:pPr>
      <w:r>
        <w:rPr>
          <w:rFonts w:hint="eastAsia" w:ascii="宋体" w:hAnsi="宋体" w:cs="宋体"/>
          <w:sz w:val="24"/>
        </w:rPr>
        <w:t>9.4 环境保护</w:t>
      </w:r>
    </w:p>
    <w:p w14:paraId="359F7D16">
      <w:pPr>
        <w:spacing w:line="500" w:lineRule="exact"/>
        <w:ind w:firstLine="480" w:firstLineChars="200"/>
        <w:rPr>
          <w:rFonts w:hint="eastAsia" w:ascii="宋体" w:hAnsi="宋体" w:cs="宋体"/>
          <w:sz w:val="24"/>
        </w:rPr>
      </w:pPr>
      <w:r>
        <w:rPr>
          <w:rFonts w:hint="eastAsia" w:ascii="宋体" w:hAnsi="宋体" w:cs="宋体"/>
          <w:sz w:val="24"/>
        </w:rPr>
        <w:t>9.4.1 承包人在施工过程中，应遵守有关环境保护的法律，履行合同约定的环境保护义务，并对违反法律和合同约定义务所造成的环境破坏、人身伤害和财产损失负责。</w:t>
      </w:r>
    </w:p>
    <w:p w14:paraId="03FC46C6">
      <w:pPr>
        <w:spacing w:line="500" w:lineRule="exact"/>
        <w:ind w:firstLine="480" w:firstLineChars="200"/>
        <w:rPr>
          <w:rFonts w:hint="eastAsia" w:ascii="宋体" w:hAnsi="宋体" w:cs="宋体"/>
          <w:sz w:val="24"/>
        </w:rPr>
      </w:pPr>
      <w:r>
        <w:rPr>
          <w:rFonts w:hint="eastAsia" w:ascii="宋体" w:hAnsi="宋体" w:cs="宋体"/>
          <w:sz w:val="24"/>
        </w:rPr>
        <w:t>9.4.2 承包人应按合同约定的环保工作内容，编制施工环保措施计划，报送监理人审批。</w:t>
      </w:r>
    </w:p>
    <w:p w14:paraId="54BD957D">
      <w:pPr>
        <w:spacing w:line="500" w:lineRule="exact"/>
        <w:ind w:firstLine="480" w:firstLineChars="200"/>
        <w:rPr>
          <w:rFonts w:hint="eastAsia" w:ascii="宋体" w:hAnsi="宋体" w:cs="宋体"/>
          <w:sz w:val="24"/>
        </w:rPr>
      </w:pPr>
      <w:r>
        <w:rPr>
          <w:rFonts w:hint="eastAsia" w:ascii="宋体" w:hAnsi="宋体" w:cs="宋体"/>
          <w:sz w:val="24"/>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0BBD2993">
      <w:pPr>
        <w:spacing w:line="500" w:lineRule="exact"/>
        <w:ind w:firstLine="480" w:firstLineChars="200"/>
        <w:rPr>
          <w:rFonts w:hint="eastAsia" w:ascii="宋体" w:hAnsi="宋体" w:cs="宋体"/>
          <w:sz w:val="24"/>
        </w:rPr>
      </w:pPr>
      <w:r>
        <w:rPr>
          <w:rFonts w:hint="eastAsia" w:ascii="宋体" w:hAnsi="宋体" w:cs="宋体"/>
          <w:sz w:val="24"/>
        </w:rPr>
        <w:t>9.4.4 承包人应按合同约定采取有效措施，对施工开挖的边坡及时进行支护,维护排水设施，并进行水土保护，避免因施工造成的地质灾害。</w:t>
      </w:r>
    </w:p>
    <w:p w14:paraId="09338E89">
      <w:pPr>
        <w:spacing w:line="500" w:lineRule="exact"/>
        <w:ind w:firstLine="480" w:firstLineChars="200"/>
        <w:rPr>
          <w:rFonts w:hint="eastAsia" w:ascii="宋体" w:hAnsi="宋体" w:cs="宋体"/>
          <w:sz w:val="24"/>
        </w:rPr>
      </w:pPr>
      <w:r>
        <w:rPr>
          <w:rFonts w:hint="eastAsia" w:ascii="宋体" w:hAnsi="宋体" w:cs="宋体"/>
          <w:sz w:val="24"/>
        </w:rPr>
        <w:t>9.4.5 承包人应按国家饮用水管理标准定期对饮用水源进行监测，防止施工活动污染饮用水源。</w:t>
      </w:r>
    </w:p>
    <w:p w14:paraId="720C1BEF">
      <w:pPr>
        <w:spacing w:line="500" w:lineRule="exact"/>
        <w:ind w:firstLine="480" w:firstLineChars="200"/>
        <w:rPr>
          <w:rFonts w:hint="eastAsia" w:ascii="宋体" w:hAnsi="宋体" w:cs="宋体"/>
          <w:sz w:val="24"/>
        </w:rPr>
      </w:pPr>
      <w:r>
        <w:rPr>
          <w:rFonts w:hint="eastAsia" w:ascii="宋体" w:hAnsi="宋体" w:cs="宋体"/>
          <w:sz w:val="24"/>
        </w:rPr>
        <w:t>9.4.6 承包人应按合同约定，加强对噪声、粉尘、废气、废水和废油的控制，努力降低噪声，控制粉尘和废气浓度，做好废水和废油的治理和排放。</w:t>
      </w:r>
    </w:p>
    <w:p w14:paraId="7FD75884">
      <w:pPr>
        <w:spacing w:line="500" w:lineRule="exact"/>
        <w:outlineLvl w:val="3"/>
        <w:rPr>
          <w:rFonts w:hint="eastAsia" w:ascii="宋体" w:hAnsi="宋体" w:cs="宋体"/>
          <w:sz w:val="24"/>
        </w:rPr>
      </w:pPr>
      <w:r>
        <w:rPr>
          <w:rFonts w:hint="eastAsia" w:ascii="宋体" w:hAnsi="宋体" w:cs="宋体"/>
          <w:sz w:val="24"/>
        </w:rPr>
        <w:t>9.5 事故处理</w:t>
      </w:r>
    </w:p>
    <w:p w14:paraId="4D525616">
      <w:pPr>
        <w:spacing w:line="500" w:lineRule="exact"/>
        <w:rPr>
          <w:rFonts w:hint="eastAsia" w:ascii="宋体" w:hAnsi="宋体" w:cs="宋体"/>
          <w:sz w:val="24"/>
        </w:rPr>
      </w:pPr>
      <w:r>
        <w:rPr>
          <w:rFonts w:hint="eastAsia" w:ascii="宋体" w:hAnsi="宋体" w:cs="宋体"/>
          <w:sz w:val="24"/>
        </w:rPr>
        <w:t>　　9.5.1 发包人负责组织参建单位制定本工程的质量与安全事故应急预案，建立质量与安全事故应急处置指挥部。</w:t>
      </w:r>
    </w:p>
    <w:p w14:paraId="777BC657">
      <w:pPr>
        <w:spacing w:line="500" w:lineRule="exact"/>
        <w:rPr>
          <w:rFonts w:hint="eastAsia" w:ascii="宋体" w:hAnsi="宋体" w:cs="宋体"/>
          <w:sz w:val="24"/>
        </w:rPr>
      </w:pPr>
      <w:r>
        <w:rPr>
          <w:rFonts w:hint="eastAsia" w:ascii="宋体" w:hAnsi="宋体" w:cs="宋体"/>
          <w:sz w:val="24"/>
        </w:rPr>
        <w:t>　　9.5.2 承包人应对施工现场易发生重大事故的部位、环节进行监控，配备救援器材、设备，并定期组织演练。</w:t>
      </w:r>
    </w:p>
    <w:p w14:paraId="164BA6E7">
      <w:pPr>
        <w:spacing w:line="500" w:lineRule="exact"/>
        <w:rPr>
          <w:rFonts w:hint="eastAsia" w:ascii="宋体" w:hAnsi="宋体" w:cs="宋体"/>
          <w:sz w:val="24"/>
        </w:rPr>
      </w:pPr>
      <w:r>
        <w:rPr>
          <w:rFonts w:hint="eastAsia" w:ascii="宋体" w:hAnsi="宋体" w:cs="宋体"/>
          <w:sz w:val="24"/>
        </w:rPr>
        <w:t>　　9.5.3 工程开工前，承包人应根据本工程的特点制定施工现场施工质量与安全事故应急预案，并报发包人备案。</w:t>
      </w:r>
    </w:p>
    <w:p w14:paraId="6A39AF9C">
      <w:pPr>
        <w:spacing w:line="500" w:lineRule="exact"/>
        <w:rPr>
          <w:rFonts w:hint="eastAsia" w:ascii="宋体" w:hAnsi="宋体" w:cs="宋体"/>
          <w:sz w:val="24"/>
        </w:rPr>
      </w:pPr>
      <w:r>
        <w:rPr>
          <w:rFonts w:hint="eastAsia" w:ascii="宋体" w:hAnsi="宋体" w:cs="宋体"/>
          <w:sz w:val="24"/>
        </w:rPr>
        <w:t>　　9.5.4 施工过程中发生事故时，发包人、承包人应立即启动应急预案。</w:t>
      </w:r>
    </w:p>
    <w:p w14:paraId="1B3F3C44">
      <w:pPr>
        <w:spacing w:line="500" w:lineRule="exact"/>
        <w:rPr>
          <w:rFonts w:hint="eastAsia" w:ascii="宋体" w:hAnsi="宋体" w:cs="宋体"/>
          <w:sz w:val="24"/>
        </w:rPr>
      </w:pPr>
      <w:r>
        <w:rPr>
          <w:rFonts w:hint="eastAsia" w:ascii="宋体" w:hAnsi="宋体" w:cs="宋体"/>
          <w:sz w:val="24"/>
        </w:rPr>
        <w:t>　　9.5.5 事故调查处理由发包人按相关规定履行手续，承包人应配合。</w:t>
      </w:r>
    </w:p>
    <w:p w14:paraId="3710D311">
      <w:pPr>
        <w:spacing w:line="500" w:lineRule="exact"/>
        <w:outlineLvl w:val="3"/>
        <w:rPr>
          <w:rFonts w:hint="eastAsia" w:ascii="宋体" w:hAnsi="宋体" w:cs="宋体"/>
          <w:sz w:val="24"/>
        </w:rPr>
      </w:pPr>
      <w:r>
        <w:rPr>
          <w:rFonts w:hint="eastAsia" w:ascii="宋体" w:hAnsi="宋体" w:cs="宋体"/>
          <w:sz w:val="24"/>
        </w:rPr>
        <w:t>9.6 水土保持</w:t>
      </w:r>
    </w:p>
    <w:p w14:paraId="55170205">
      <w:pPr>
        <w:spacing w:line="500" w:lineRule="exact"/>
        <w:rPr>
          <w:rFonts w:hint="eastAsia" w:ascii="宋体" w:hAnsi="宋体" w:cs="宋体"/>
          <w:sz w:val="24"/>
        </w:rPr>
      </w:pPr>
      <w:r>
        <w:rPr>
          <w:rFonts w:hint="eastAsia" w:ascii="宋体" w:hAnsi="宋体" w:cs="宋体"/>
          <w:sz w:val="24"/>
        </w:rPr>
        <w:t>　　9.6.1 发包人应及时向承包人提供水土保持方案。</w:t>
      </w:r>
    </w:p>
    <w:p w14:paraId="0C2DA15F">
      <w:pPr>
        <w:spacing w:line="500" w:lineRule="exact"/>
        <w:rPr>
          <w:rFonts w:hint="eastAsia" w:ascii="宋体" w:hAnsi="宋体" w:cs="宋体"/>
          <w:sz w:val="24"/>
        </w:rPr>
      </w:pPr>
      <w:r>
        <w:rPr>
          <w:rFonts w:hint="eastAsia" w:ascii="宋体" w:hAnsi="宋体" w:cs="宋体"/>
          <w:sz w:val="24"/>
        </w:rPr>
        <w:t>　　9.6.2 承包人在施工过程中，应遵守有关水土保持的法律法规和规章，履行合同约定的水土保持义务，并对其违反法律和合同约定义务所造成的水土流失灾害、人身伤害和财产损失负责。</w:t>
      </w:r>
    </w:p>
    <w:p w14:paraId="27F37874">
      <w:pPr>
        <w:spacing w:line="500" w:lineRule="exact"/>
        <w:rPr>
          <w:rFonts w:hint="eastAsia" w:ascii="宋体" w:hAnsi="宋体" w:cs="宋体"/>
          <w:sz w:val="24"/>
        </w:rPr>
      </w:pPr>
      <w:r>
        <w:rPr>
          <w:rFonts w:hint="eastAsia" w:ascii="宋体" w:hAnsi="宋体" w:cs="宋体"/>
          <w:sz w:val="24"/>
        </w:rPr>
        <w:t>　　9.6.3 承包人的水土保持措施计划，应满足技术标准和要求(合同技术条款)约定的要求。</w:t>
      </w:r>
    </w:p>
    <w:p w14:paraId="0EBA4E76">
      <w:pPr>
        <w:spacing w:line="500" w:lineRule="exact"/>
        <w:outlineLvl w:val="3"/>
        <w:rPr>
          <w:rFonts w:hint="eastAsia" w:ascii="宋体" w:hAnsi="宋体" w:cs="宋体"/>
          <w:sz w:val="24"/>
        </w:rPr>
      </w:pPr>
      <w:r>
        <w:rPr>
          <w:rFonts w:hint="eastAsia" w:ascii="宋体" w:hAnsi="宋体" w:cs="宋体"/>
          <w:sz w:val="24"/>
        </w:rPr>
        <w:t>9.7 文明工地</w:t>
      </w:r>
    </w:p>
    <w:p w14:paraId="198CF9F5">
      <w:pPr>
        <w:spacing w:line="500" w:lineRule="exact"/>
        <w:rPr>
          <w:rFonts w:hint="eastAsia" w:ascii="宋体" w:hAnsi="宋体" w:cs="宋体"/>
          <w:sz w:val="24"/>
        </w:rPr>
      </w:pPr>
      <w:r>
        <w:rPr>
          <w:rFonts w:hint="eastAsia" w:ascii="宋体" w:hAnsi="宋体" w:cs="宋体"/>
          <w:sz w:val="24"/>
        </w:rPr>
        <w:t>　　9.7.1 发包人应按专用合同条款的约定，负责建立创建文明建设工地的组织机构，制定创建文明建设工地的规划和办法。</w:t>
      </w:r>
    </w:p>
    <w:p w14:paraId="1683A31E">
      <w:pPr>
        <w:spacing w:line="500" w:lineRule="exact"/>
        <w:rPr>
          <w:rFonts w:hint="eastAsia" w:ascii="宋体" w:hAnsi="宋体" w:cs="宋体"/>
          <w:sz w:val="24"/>
        </w:rPr>
      </w:pPr>
      <w:r>
        <w:rPr>
          <w:rFonts w:hint="eastAsia" w:ascii="宋体" w:hAnsi="宋体" w:cs="宋体"/>
          <w:sz w:val="24"/>
        </w:rPr>
        <w:t>　　9.7.2 承包人应按创建文明建设工地的规划和办法，履行职责，承担相应责任。所需费用应含在已标价工程量清单中。</w:t>
      </w:r>
    </w:p>
    <w:p w14:paraId="5C7124E7">
      <w:pPr>
        <w:spacing w:line="500" w:lineRule="exact"/>
        <w:outlineLvl w:val="3"/>
        <w:rPr>
          <w:rFonts w:hint="eastAsia" w:ascii="宋体" w:hAnsi="宋体" w:cs="宋体"/>
          <w:sz w:val="24"/>
        </w:rPr>
      </w:pPr>
      <w:r>
        <w:rPr>
          <w:rFonts w:hint="eastAsia" w:ascii="宋体" w:hAnsi="宋体" w:cs="宋体"/>
          <w:sz w:val="24"/>
        </w:rPr>
        <w:t>9.8 防汛度汛</w:t>
      </w:r>
    </w:p>
    <w:p w14:paraId="25682012">
      <w:pPr>
        <w:spacing w:line="500" w:lineRule="exact"/>
        <w:rPr>
          <w:rFonts w:hint="eastAsia" w:ascii="宋体" w:hAnsi="宋体" w:cs="宋体"/>
          <w:sz w:val="24"/>
        </w:rPr>
      </w:pPr>
      <w:r>
        <w:rPr>
          <w:rFonts w:hint="eastAsia" w:ascii="宋体" w:hAnsi="宋体" w:cs="宋体"/>
          <w:sz w:val="24"/>
        </w:rPr>
        <w:t>　　9.8.1 发包人负责组织工程参建单位编制本工程的度汛方案和措施。</w:t>
      </w:r>
    </w:p>
    <w:p w14:paraId="408751C0">
      <w:pPr>
        <w:spacing w:line="500" w:lineRule="exact"/>
        <w:rPr>
          <w:rFonts w:hint="eastAsia" w:ascii="宋体" w:hAnsi="宋体" w:cs="宋体"/>
          <w:sz w:val="24"/>
        </w:rPr>
      </w:pPr>
      <w:r>
        <w:rPr>
          <w:rFonts w:hint="eastAsia" w:ascii="宋体" w:hAnsi="宋体" w:cs="宋体"/>
          <w:sz w:val="24"/>
        </w:rPr>
        <w:t>　　9.8.2 承包人应根据发包人编制的本工程度汛方案和措施，制定相应的度汛方案，报发包人批准后实施。</w:t>
      </w:r>
    </w:p>
    <w:p w14:paraId="41A54776">
      <w:pPr>
        <w:spacing w:line="500" w:lineRule="exact"/>
        <w:outlineLvl w:val="2"/>
        <w:rPr>
          <w:rFonts w:hint="eastAsia" w:ascii="宋体" w:hAnsi="宋体" w:cs="宋体"/>
          <w:sz w:val="24"/>
        </w:rPr>
      </w:pPr>
      <w:bookmarkStart w:id="334" w:name="_Toc5801"/>
      <w:bookmarkStart w:id="335" w:name="_Toc256000126"/>
      <w:bookmarkStart w:id="336" w:name="_Toc13281"/>
      <w:bookmarkStart w:id="337" w:name="_Toc256000095"/>
      <w:r>
        <w:rPr>
          <w:rFonts w:hint="eastAsia" w:ascii="宋体" w:hAnsi="宋体" w:cs="宋体"/>
          <w:sz w:val="24"/>
        </w:rPr>
        <w:t>10. 进度计划</w:t>
      </w:r>
      <w:bookmarkEnd w:id="334"/>
      <w:bookmarkEnd w:id="335"/>
      <w:bookmarkEnd w:id="336"/>
      <w:bookmarkEnd w:id="337"/>
    </w:p>
    <w:p w14:paraId="620190DA">
      <w:pPr>
        <w:spacing w:line="500" w:lineRule="exact"/>
        <w:outlineLvl w:val="3"/>
        <w:rPr>
          <w:rFonts w:hint="eastAsia" w:ascii="宋体" w:hAnsi="宋体" w:cs="宋体"/>
          <w:sz w:val="24"/>
        </w:rPr>
      </w:pPr>
      <w:r>
        <w:rPr>
          <w:rFonts w:hint="eastAsia" w:ascii="宋体" w:hAnsi="宋体" w:cs="宋体"/>
          <w:sz w:val="24"/>
        </w:rPr>
        <w:t>10.1 合同进度计划</w:t>
      </w:r>
    </w:p>
    <w:p w14:paraId="10DBBCBB">
      <w:pPr>
        <w:spacing w:line="500" w:lineRule="exact"/>
        <w:rPr>
          <w:rFonts w:hint="eastAsia" w:ascii="宋体" w:hAnsi="宋体" w:cs="宋体"/>
          <w:sz w:val="24"/>
        </w:rPr>
      </w:pPr>
      <w:r>
        <w:rPr>
          <w:rFonts w:hint="eastAsia" w:ascii="宋体" w:hAnsi="宋体" w:cs="宋体"/>
          <w:sz w:val="24"/>
        </w:rPr>
        <w:t>　　承包人应按技术标准和要求(合同技术条款)约定的内容和期限以及监理人的指示，编制详细的施工总进度计划及其说明提交监理人审批。监理人应在技术标准和要求(合同技术条款)约定的期限内批复承包人，否则该进度计划视为已得到批准。经监理人批准的施工进度计划称为合同进度计划，是控制合同工程进度的依据。承包人还应根据合同进度计划，编制更为详细的分阶段或单位工程或分部工程进度计划，报监理人审批。</w:t>
      </w:r>
    </w:p>
    <w:p w14:paraId="02D75101">
      <w:pPr>
        <w:spacing w:line="500" w:lineRule="exact"/>
        <w:outlineLvl w:val="3"/>
        <w:rPr>
          <w:rFonts w:hint="eastAsia" w:ascii="宋体" w:hAnsi="宋体" w:cs="宋体"/>
          <w:sz w:val="24"/>
        </w:rPr>
      </w:pPr>
      <w:r>
        <w:rPr>
          <w:rFonts w:hint="eastAsia" w:ascii="宋体" w:hAnsi="宋体" w:cs="宋体"/>
          <w:sz w:val="24"/>
        </w:rPr>
        <w:t>10.2 合同进度计划的修订</w:t>
      </w:r>
    </w:p>
    <w:p w14:paraId="36D13C85">
      <w:pPr>
        <w:spacing w:line="500" w:lineRule="exact"/>
        <w:rPr>
          <w:rFonts w:hint="eastAsia" w:ascii="宋体" w:hAnsi="宋体" w:cs="宋体"/>
          <w:sz w:val="24"/>
        </w:rPr>
      </w:pPr>
      <w:r>
        <w:rPr>
          <w:rFonts w:hint="eastAsia" w:ascii="宋体" w:hAnsi="宋体" w:cs="宋体"/>
          <w:sz w:val="24"/>
        </w:rPr>
        <w:t>　　不论何种原因造成工程的实际进度与第10.1款的合同进度计划不符时，承包人均应在14天内向监理人提交修订合同进度计划的申请报告，并附有关措施和相关资料，报监理人审批，监理人应在收到申请报告后的14天内批复。当监理人认为需要修订合同进度计划时，承包人应按监理人的指示，在14天内向监理人提交修订的合同进度计划，并附调整计划的相关资料，提交监理人审批。监理人应在收到进度计划后的14天内批复。</w:t>
      </w:r>
    </w:p>
    <w:p w14:paraId="50F98F1E">
      <w:pPr>
        <w:spacing w:line="500" w:lineRule="exact"/>
        <w:rPr>
          <w:rFonts w:hint="eastAsia" w:ascii="宋体" w:hAnsi="宋体" w:cs="宋体"/>
          <w:sz w:val="24"/>
        </w:rPr>
      </w:pPr>
      <w:r>
        <w:rPr>
          <w:rFonts w:hint="eastAsia" w:ascii="宋体" w:hAnsi="宋体" w:cs="宋体"/>
          <w:sz w:val="24"/>
        </w:rPr>
        <w:t>　　不论何种原因造成施工进度延迟，承包人均应按监理人的指示，采取有效措施赶上进度。承包人应在向监理人提交修订合同进度计划的同时，编制一份赶工措施报告提交监理人审批。由于发包人原因造成施工进度延迟，应按第11.3款的约定办理；由于承包人原因造成施工进度延迟，应按第11.5款的约定办理。</w:t>
      </w:r>
    </w:p>
    <w:p w14:paraId="691BF01A">
      <w:pPr>
        <w:spacing w:line="500" w:lineRule="exact"/>
        <w:outlineLvl w:val="3"/>
        <w:rPr>
          <w:rFonts w:hint="eastAsia" w:ascii="宋体" w:hAnsi="宋体" w:cs="宋体"/>
          <w:sz w:val="24"/>
        </w:rPr>
      </w:pPr>
      <w:r>
        <w:rPr>
          <w:rFonts w:hint="eastAsia" w:ascii="宋体" w:hAnsi="宋体" w:cs="宋体"/>
          <w:sz w:val="24"/>
        </w:rPr>
        <w:t>10.3 单位工程进度计划</w:t>
      </w:r>
    </w:p>
    <w:p w14:paraId="28A5769F">
      <w:pPr>
        <w:spacing w:line="500" w:lineRule="exact"/>
        <w:rPr>
          <w:rFonts w:hint="eastAsia" w:ascii="宋体" w:hAnsi="宋体" w:cs="宋体"/>
          <w:sz w:val="24"/>
        </w:rPr>
      </w:pPr>
      <w:r>
        <w:rPr>
          <w:rFonts w:hint="eastAsia" w:ascii="宋体" w:hAnsi="宋体" w:cs="宋体"/>
          <w:sz w:val="24"/>
        </w:rPr>
        <w:t>　　监理人认为有必要时，承包人应按监理人指示的内容和期限，并根据合同进度计划的进度控制要求，编制单位工程进度计划，提交监理人审批。</w:t>
      </w:r>
    </w:p>
    <w:p w14:paraId="22DBE618">
      <w:pPr>
        <w:spacing w:line="500" w:lineRule="exact"/>
        <w:outlineLvl w:val="3"/>
        <w:rPr>
          <w:rFonts w:hint="eastAsia" w:ascii="宋体" w:hAnsi="宋体" w:cs="宋体"/>
          <w:sz w:val="24"/>
        </w:rPr>
      </w:pPr>
      <w:r>
        <w:rPr>
          <w:rFonts w:hint="eastAsia" w:ascii="宋体" w:hAnsi="宋体" w:cs="宋体"/>
          <w:sz w:val="24"/>
        </w:rPr>
        <w:t>10.4 提交资金流估算表</w:t>
      </w:r>
    </w:p>
    <w:p w14:paraId="46BA1ADE">
      <w:pPr>
        <w:spacing w:line="500" w:lineRule="exact"/>
        <w:rPr>
          <w:rFonts w:hint="eastAsia" w:ascii="宋体" w:hAnsi="宋体" w:cs="宋体"/>
          <w:sz w:val="24"/>
        </w:rPr>
      </w:pPr>
      <w:r>
        <w:rPr>
          <w:rFonts w:hint="eastAsia" w:ascii="宋体" w:hAnsi="宋体" w:cs="宋体"/>
          <w:sz w:val="24"/>
        </w:rPr>
        <w:t>　　承包人应在按第10.1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14:paraId="322D7EDA"/>
    <w:p w14:paraId="5504FB55">
      <w:pPr>
        <w:jc w:val="center"/>
        <w:rPr>
          <w:rFonts w:hint="eastAsia"/>
          <w:b/>
        </w:rPr>
      </w:pPr>
      <w:r>
        <w:rPr>
          <w:rFonts w:hint="eastAsia"/>
          <w:b/>
        </w:rPr>
        <w:t>资金流估算表(参考格式)</w:t>
      </w:r>
    </w:p>
    <w:p w14:paraId="6994AFB1">
      <w:pPr>
        <w:jc w:val="right"/>
      </w:pPr>
      <w:r>
        <w:rPr>
          <w:rFonts w:hint="eastAsia"/>
        </w:rPr>
        <w:t>金额单位</w:t>
      </w: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9"/>
        <w:gridCol w:w="439"/>
        <w:gridCol w:w="1020"/>
        <w:gridCol w:w="1314"/>
        <w:gridCol w:w="1486"/>
        <w:gridCol w:w="962"/>
        <w:gridCol w:w="962"/>
        <w:gridCol w:w="824"/>
        <w:gridCol w:w="875"/>
        <w:gridCol w:w="1022"/>
      </w:tblGrid>
      <w:tr w14:paraId="42B95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9" w:type="dxa"/>
            <w:noWrap w:val="0"/>
            <w:vAlign w:val="center"/>
          </w:tcPr>
          <w:p w14:paraId="0227E7C1">
            <w:pPr>
              <w:jc w:val="center"/>
              <w:rPr>
                <w:rFonts w:hint="eastAsia"/>
              </w:rPr>
            </w:pPr>
            <w:r>
              <w:rPr>
                <w:rFonts w:hint="eastAsia"/>
              </w:rPr>
              <w:t>年</w:t>
            </w:r>
          </w:p>
        </w:tc>
        <w:tc>
          <w:tcPr>
            <w:tcW w:w="439" w:type="dxa"/>
            <w:noWrap w:val="0"/>
            <w:vAlign w:val="center"/>
          </w:tcPr>
          <w:p w14:paraId="67D52018">
            <w:pPr>
              <w:jc w:val="center"/>
              <w:rPr>
                <w:rFonts w:hint="eastAsia"/>
              </w:rPr>
            </w:pPr>
            <w:r>
              <w:rPr>
                <w:rFonts w:hint="eastAsia"/>
              </w:rPr>
              <w:t>月</w:t>
            </w:r>
          </w:p>
        </w:tc>
        <w:tc>
          <w:tcPr>
            <w:tcW w:w="1020" w:type="dxa"/>
            <w:noWrap w:val="0"/>
            <w:vAlign w:val="center"/>
          </w:tcPr>
          <w:p w14:paraId="34A30113">
            <w:pPr>
              <w:jc w:val="center"/>
              <w:rPr>
                <w:rFonts w:hint="eastAsia"/>
              </w:rPr>
            </w:pPr>
            <w:r>
              <w:rPr>
                <w:rFonts w:hint="eastAsia"/>
              </w:rPr>
              <w:t>工程</w:t>
            </w:r>
          </w:p>
          <w:p w14:paraId="1C1CAF02">
            <w:pPr>
              <w:jc w:val="center"/>
              <w:rPr>
                <w:rFonts w:hint="eastAsia"/>
              </w:rPr>
            </w:pPr>
            <w:r>
              <w:rPr>
                <w:rFonts w:hint="eastAsia"/>
              </w:rPr>
              <w:t>预付款</w:t>
            </w:r>
          </w:p>
        </w:tc>
        <w:tc>
          <w:tcPr>
            <w:tcW w:w="1314" w:type="dxa"/>
            <w:noWrap w:val="0"/>
            <w:vAlign w:val="center"/>
          </w:tcPr>
          <w:p w14:paraId="1E77D148">
            <w:pPr>
              <w:jc w:val="center"/>
              <w:rPr>
                <w:rFonts w:hint="eastAsia"/>
              </w:rPr>
            </w:pPr>
            <w:r>
              <w:rPr>
                <w:rFonts w:hint="eastAsia"/>
              </w:rPr>
              <w:t>完成工作量付款</w:t>
            </w:r>
          </w:p>
        </w:tc>
        <w:tc>
          <w:tcPr>
            <w:tcW w:w="1486" w:type="dxa"/>
            <w:noWrap w:val="0"/>
            <w:vAlign w:val="center"/>
          </w:tcPr>
          <w:p w14:paraId="2BC30E69">
            <w:pPr>
              <w:jc w:val="center"/>
              <w:rPr>
                <w:rFonts w:hint="eastAsia"/>
              </w:rPr>
            </w:pPr>
            <w:r>
              <w:rPr>
                <w:rFonts w:hint="eastAsia"/>
              </w:rPr>
              <w:t>质量保证金扣留</w:t>
            </w:r>
          </w:p>
        </w:tc>
        <w:tc>
          <w:tcPr>
            <w:tcW w:w="962" w:type="dxa"/>
            <w:noWrap w:val="0"/>
            <w:vAlign w:val="center"/>
          </w:tcPr>
          <w:p w14:paraId="2DF95FD4">
            <w:pPr>
              <w:jc w:val="center"/>
              <w:rPr>
                <w:rFonts w:hint="eastAsia"/>
              </w:rPr>
            </w:pPr>
            <w:r>
              <w:rPr>
                <w:rFonts w:hint="eastAsia"/>
              </w:rPr>
              <w:t>材料款扣除</w:t>
            </w:r>
          </w:p>
        </w:tc>
        <w:tc>
          <w:tcPr>
            <w:tcW w:w="962" w:type="dxa"/>
            <w:noWrap w:val="0"/>
            <w:vAlign w:val="center"/>
          </w:tcPr>
          <w:p w14:paraId="3EFC4B8C">
            <w:pPr>
              <w:jc w:val="center"/>
              <w:rPr>
                <w:rFonts w:hint="eastAsia"/>
              </w:rPr>
            </w:pPr>
            <w:r>
              <w:rPr>
                <w:rFonts w:hint="eastAsia"/>
              </w:rPr>
              <w:t>预付款扣还</w:t>
            </w:r>
          </w:p>
        </w:tc>
        <w:tc>
          <w:tcPr>
            <w:tcW w:w="824" w:type="dxa"/>
            <w:noWrap w:val="0"/>
            <w:vAlign w:val="center"/>
          </w:tcPr>
          <w:p w14:paraId="09CA0FAF">
            <w:pPr>
              <w:jc w:val="center"/>
              <w:rPr>
                <w:rFonts w:hint="eastAsia"/>
              </w:rPr>
            </w:pPr>
            <w:r>
              <w:rPr>
                <w:rFonts w:hint="eastAsia"/>
              </w:rPr>
              <w:t>其它</w:t>
            </w:r>
          </w:p>
        </w:tc>
        <w:tc>
          <w:tcPr>
            <w:tcW w:w="875" w:type="dxa"/>
            <w:noWrap w:val="0"/>
            <w:vAlign w:val="center"/>
          </w:tcPr>
          <w:p w14:paraId="6068877B">
            <w:pPr>
              <w:jc w:val="center"/>
              <w:rPr>
                <w:rFonts w:hint="eastAsia"/>
              </w:rPr>
            </w:pPr>
            <w:r>
              <w:rPr>
                <w:rFonts w:hint="eastAsia"/>
              </w:rPr>
              <w:t>应收款</w:t>
            </w:r>
          </w:p>
        </w:tc>
        <w:tc>
          <w:tcPr>
            <w:tcW w:w="1022" w:type="dxa"/>
            <w:noWrap w:val="0"/>
            <w:vAlign w:val="center"/>
          </w:tcPr>
          <w:p w14:paraId="27ADE01D">
            <w:pPr>
              <w:jc w:val="center"/>
              <w:rPr>
                <w:rFonts w:hint="eastAsia"/>
              </w:rPr>
            </w:pPr>
            <w:r>
              <w:rPr>
                <w:rFonts w:hint="eastAsia"/>
              </w:rPr>
              <w:t>累计</w:t>
            </w:r>
          </w:p>
          <w:p w14:paraId="02A60583">
            <w:pPr>
              <w:jc w:val="center"/>
            </w:pPr>
            <w:r>
              <w:rPr>
                <w:rFonts w:hint="eastAsia"/>
              </w:rPr>
              <w:t>应收款</w:t>
            </w:r>
          </w:p>
        </w:tc>
      </w:tr>
      <w:tr w14:paraId="2201E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9" w:type="dxa"/>
            <w:noWrap w:val="0"/>
            <w:vAlign w:val="center"/>
          </w:tcPr>
          <w:p w14:paraId="7F3D717C">
            <w:pPr>
              <w:jc w:val="center"/>
              <w:rPr>
                <w:rFonts w:hint="eastAsia"/>
              </w:rPr>
            </w:pPr>
          </w:p>
        </w:tc>
        <w:tc>
          <w:tcPr>
            <w:tcW w:w="439" w:type="dxa"/>
            <w:noWrap w:val="0"/>
            <w:vAlign w:val="center"/>
          </w:tcPr>
          <w:p w14:paraId="1351B201">
            <w:pPr>
              <w:jc w:val="center"/>
              <w:rPr>
                <w:rFonts w:hint="eastAsia"/>
              </w:rPr>
            </w:pPr>
          </w:p>
        </w:tc>
        <w:tc>
          <w:tcPr>
            <w:tcW w:w="1020" w:type="dxa"/>
            <w:noWrap w:val="0"/>
            <w:vAlign w:val="center"/>
          </w:tcPr>
          <w:p w14:paraId="36203BDD">
            <w:pPr>
              <w:jc w:val="center"/>
              <w:rPr>
                <w:rFonts w:hint="eastAsia"/>
              </w:rPr>
            </w:pPr>
          </w:p>
        </w:tc>
        <w:tc>
          <w:tcPr>
            <w:tcW w:w="1314" w:type="dxa"/>
            <w:noWrap w:val="0"/>
            <w:vAlign w:val="center"/>
          </w:tcPr>
          <w:p w14:paraId="6BAFDC3E">
            <w:pPr>
              <w:jc w:val="center"/>
              <w:rPr>
                <w:rFonts w:hint="eastAsia"/>
              </w:rPr>
            </w:pPr>
          </w:p>
        </w:tc>
        <w:tc>
          <w:tcPr>
            <w:tcW w:w="1486" w:type="dxa"/>
            <w:noWrap w:val="0"/>
            <w:vAlign w:val="center"/>
          </w:tcPr>
          <w:p w14:paraId="3F29DB25">
            <w:pPr>
              <w:jc w:val="center"/>
              <w:rPr>
                <w:rFonts w:hint="eastAsia"/>
              </w:rPr>
            </w:pPr>
          </w:p>
        </w:tc>
        <w:tc>
          <w:tcPr>
            <w:tcW w:w="962" w:type="dxa"/>
            <w:noWrap w:val="0"/>
            <w:vAlign w:val="center"/>
          </w:tcPr>
          <w:p w14:paraId="0EEFDA26">
            <w:pPr>
              <w:jc w:val="center"/>
              <w:rPr>
                <w:rFonts w:hint="eastAsia"/>
              </w:rPr>
            </w:pPr>
          </w:p>
        </w:tc>
        <w:tc>
          <w:tcPr>
            <w:tcW w:w="962" w:type="dxa"/>
            <w:noWrap w:val="0"/>
            <w:vAlign w:val="center"/>
          </w:tcPr>
          <w:p w14:paraId="38F1CBE7">
            <w:pPr>
              <w:jc w:val="center"/>
              <w:rPr>
                <w:rFonts w:hint="eastAsia"/>
              </w:rPr>
            </w:pPr>
          </w:p>
        </w:tc>
        <w:tc>
          <w:tcPr>
            <w:tcW w:w="824" w:type="dxa"/>
            <w:noWrap w:val="0"/>
            <w:vAlign w:val="center"/>
          </w:tcPr>
          <w:p w14:paraId="225A290A">
            <w:pPr>
              <w:jc w:val="center"/>
              <w:rPr>
                <w:rFonts w:hint="eastAsia"/>
              </w:rPr>
            </w:pPr>
          </w:p>
        </w:tc>
        <w:tc>
          <w:tcPr>
            <w:tcW w:w="875" w:type="dxa"/>
            <w:noWrap w:val="0"/>
            <w:vAlign w:val="center"/>
          </w:tcPr>
          <w:p w14:paraId="5BE7CAC5">
            <w:pPr>
              <w:jc w:val="center"/>
              <w:rPr>
                <w:rFonts w:hint="eastAsia"/>
              </w:rPr>
            </w:pPr>
          </w:p>
        </w:tc>
        <w:tc>
          <w:tcPr>
            <w:tcW w:w="1022" w:type="dxa"/>
            <w:noWrap w:val="0"/>
            <w:vAlign w:val="center"/>
          </w:tcPr>
          <w:p w14:paraId="3235977E">
            <w:pPr>
              <w:jc w:val="center"/>
              <w:rPr>
                <w:rFonts w:hint="eastAsia"/>
              </w:rPr>
            </w:pPr>
          </w:p>
        </w:tc>
      </w:tr>
      <w:tr w14:paraId="47224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9" w:type="dxa"/>
            <w:noWrap w:val="0"/>
            <w:vAlign w:val="center"/>
          </w:tcPr>
          <w:p w14:paraId="2ABAEF52">
            <w:pPr>
              <w:jc w:val="center"/>
              <w:rPr>
                <w:rFonts w:hint="eastAsia"/>
              </w:rPr>
            </w:pPr>
          </w:p>
        </w:tc>
        <w:tc>
          <w:tcPr>
            <w:tcW w:w="439" w:type="dxa"/>
            <w:noWrap w:val="0"/>
            <w:vAlign w:val="center"/>
          </w:tcPr>
          <w:p w14:paraId="17591420">
            <w:pPr>
              <w:jc w:val="center"/>
              <w:rPr>
                <w:rFonts w:hint="eastAsia"/>
              </w:rPr>
            </w:pPr>
          </w:p>
        </w:tc>
        <w:tc>
          <w:tcPr>
            <w:tcW w:w="1020" w:type="dxa"/>
            <w:noWrap w:val="0"/>
            <w:vAlign w:val="center"/>
          </w:tcPr>
          <w:p w14:paraId="5871BD13">
            <w:pPr>
              <w:jc w:val="center"/>
              <w:rPr>
                <w:rFonts w:hint="eastAsia"/>
              </w:rPr>
            </w:pPr>
          </w:p>
        </w:tc>
        <w:tc>
          <w:tcPr>
            <w:tcW w:w="1314" w:type="dxa"/>
            <w:noWrap w:val="0"/>
            <w:vAlign w:val="center"/>
          </w:tcPr>
          <w:p w14:paraId="7BB872E3">
            <w:pPr>
              <w:jc w:val="center"/>
              <w:rPr>
                <w:rFonts w:hint="eastAsia"/>
              </w:rPr>
            </w:pPr>
          </w:p>
        </w:tc>
        <w:tc>
          <w:tcPr>
            <w:tcW w:w="1486" w:type="dxa"/>
            <w:noWrap w:val="0"/>
            <w:vAlign w:val="center"/>
          </w:tcPr>
          <w:p w14:paraId="115ABEDE">
            <w:pPr>
              <w:jc w:val="center"/>
              <w:rPr>
                <w:rFonts w:hint="eastAsia"/>
              </w:rPr>
            </w:pPr>
          </w:p>
        </w:tc>
        <w:tc>
          <w:tcPr>
            <w:tcW w:w="962" w:type="dxa"/>
            <w:noWrap w:val="0"/>
            <w:vAlign w:val="center"/>
          </w:tcPr>
          <w:p w14:paraId="6D3DD8B7">
            <w:pPr>
              <w:jc w:val="center"/>
              <w:rPr>
                <w:rFonts w:hint="eastAsia"/>
              </w:rPr>
            </w:pPr>
          </w:p>
        </w:tc>
        <w:tc>
          <w:tcPr>
            <w:tcW w:w="962" w:type="dxa"/>
            <w:noWrap w:val="0"/>
            <w:vAlign w:val="center"/>
          </w:tcPr>
          <w:p w14:paraId="09F493AC">
            <w:pPr>
              <w:jc w:val="center"/>
              <w:rPr>
                <w:rFonts w:hint="eastAsia"/>
              </w:rPr>
            </w:pPr>
          </w:p>
        </w:tc>
        <w:tc>
          <w:tcPr>
            <w:tcW w:w="824" w:type="dxa"/>
            <w:noWrap w:val="0"/>
            <w:vAlign w:val="center"/>
          </w:tcPr>
          <w:p w14:paraId="46062606">
            <w:pPr>
              <w:jc w:val="center"/>
              <w:rPr>
                <w:rFonts w:hint="eastAsia"/>
              </w:rPr>
            </w:pPr>
          </w:p>
        </w:tc>
        <w:tc>
          <w:tcPr>
            <w:tcW w:w="875" w:type="dxa"/>
            <w:noWrap w:val="0"/>
            <w:vAlign w:val="center"/>
          </w:tcPr>
          <w:p w14:paraId="4427E2EE">
            <w:pPr>
              <w:jc w:val="center"/>
              <w:rPr>
                <w:rFonts w:hint="eastAsia"/>
              </w:rPr>
            </w:pPr>
          </w:p>
        </w:tc>
        <w:tc>
          <w:tcPr>
            <w:tcW w:w="1022" w:type="dxa"/>
            <w:noWrap w:val="0"/>
            <w:vAlign w:val="center"/>
          </w:tcPr>
          <w:p w14:paraId="65753F14">
            <w:pPr>
              <w:jc w:val="center"/>
              <w:rPr>
                <w:rFonts w:hint="eastAsia"/>
              </w:rPr>
            </w:pPr>
          </w:p>
        </w:tc>
      </w:tr>
      <w:tr w14:paraId="5262D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9" w:type="dxa"/>
            <w:noWrap w:val="0"/>
            <w:vAlign w:val="center"/>
          </w:tcPr>
          <w:p w14:paraId="4C29064E">
            <w:pPr>
              <w:jc w:val="center"/>
              <w:rPr>
                <w:rFonts w:hint="eastAsia"/>
              </w:rPr>
            </w:pPr>
          </w:p>
        </w:tc>
        <w:tc>
          <w:tcPr>
            <w:tcW w:w="439" w:type="dxa"/>
            <w:noWrap w:val="0"/>
            <w:vAlign w:val="center"/>
          </w:tcPr>
          <w:p w14:paraId="6FEF94C6">
            <w:pPr>
              <w:jc w:val="center"/>
              <w:rPr>
                <w:rFonts w:hint="eastAsia"/>
              </w:rPr>
            </w:pPr>
          </w:p>
        </w:tc>
        <w:tc>
          <w:tcPr>
            <w:tcW w:w="1020" w:type="dxa"/>
            <w:noWrap w:val="0"/>
            <w:vAlign w:val="center"/>
          </w:tcPr>
          <w:p w14:paraId="5E2F3738">
            <w:pPr>
              <w:jc w:val="center"/>
              <w:rPr>
                <w:rFonts w:hint="eastAsia"/>
              </w:rPr>
            </w:pPr>
          </w:p>
        </w:tc>
        <w:tc>
          <w:tcPr>
            <w:tcW w:w="1314" w:type="dxa"/>
            <w:noWrap w:val="0"/>
            <w:vAlign w:val="center"/>
          </w:tcPr>
          <w:p w14:paraId="6D50090E">
            <w:pPr>
              <w:jc w:val="center"/>
              <w:rPr>
                <w:rFonts w:hint="eastAsia"/>
              </w:rPr>
            </w:pPr>
          </w:p>
        </w:tc>
        <w:tc>
          <w:tcPr>
            <w:tcW w:w="1486" w:type="dxa"/>
            <w:noWrap w:val="0"/>
            <w:vAlign w:val="center"/>
          </w:tcPr>
          <w:p w14:paraId="749A6F41">
            <w:pPr>
              <w:jc w:val="center"/>
              <w:rPr>
                <w:rFonts w:hint="eastAsia"/>
              </w:rPr>
            </w:pPr>
          </w:p>
        </w:tc>
        <w:tc>
          <w:tcPr>
            <w:tcW w:w="962" w:type="dxa"/>
            <w:noWrap w:val="0"/>
            <w:vAlign w:val="center"/>
          </w:tcPr>
          <w:p w14:paraId="03B6E7A5">
            <w:pPr>
              <w:jc w:val="center"/>
              <w:rPr>
                <w:rFonts w:hint="eastAsia"/>
              </w:rPr>
            </w:pPr>
          </w:p>
        </w:tc>
        <w:tc>
          <w:tcPr>
            <w:tcW w:w="962" w:type="dxa"/>
            <w:noWrap w:val="0"/>
            <w:vAlign w:val="center"/>
          </w:tcPr>
          <w:p w14:paraId="34E8DE9E">
            <w:pPr>
              <w:jc w:val="center"/>
              <w:rPr>
                <w:rFonts w:hint="eastAsia"/>
              </w:rPr>
            </w:pPr>
          </w:p>
        </w:tc>
        <w:tc>
          <w:tcPr>
            <w:tcW w:w="824" w:type="dxa"/>
            <w:noWrap w:val="0"/>
            <w:vAlign w:val="center"/>
          </w:tcPr>
          <w:p w14:paraId="676F7830">
            <w:pPr>
              <w:jc w:val="center"/>
              <w:rPr>
                <w:rFonts w:hint="eastAsia"/>
              </w:rPr>
            </w:pPr>
          </w:p>
        </w:tc>
        <w:tc>
          <w:tcPr>
            <w:tcW w:w="875" w:type="dxa"/>
            <w:noWrap w:val="0"/>
            <w:vAlign w:val="center"/>
          </w:tcPr>
          <w:p w14:paraId="725CDF4B">
            <w:pPr>
              <w:jc w:val="center"/>
              <w:rPr>
                <w:rFonts w:hint="eastAsia"/>
              </w:rPr>
            </w:pPr>
          </w:p>
        </w:tc>
        <w:tc>
          <w:tcPr>
            <w:tcW w:w="1022" w:type="dxa"/>
            <w:noWrap w:val="0"/>
            <w:vAlign w:val="center"/>
          </w:tcPr>
          <w:p w14:paraId="434669BA">
            <w:pPr>
              <w:jc w:val="center"/>
              <w:rPr>
                <w:rFonts w:hint="eastAsia"/>
              </w:rPr>
            </w:pPr>
          </w:p>
        </w:tc>
      </w:tr>
    </w:tbl>
    <w:p w14:paraId="7599DD08">
      <w:pPr>
        <w:spacing w:line="500" w:lineRule="exact"/>
        <w:outlineLvl w:val="2"/>
        <w:rPr>
          <w:rFonts w:hint="eastAsia" w:ascii="宋体" w:hAnsi="宋体" w:cs="宋体"/>
          <w:sz w:val="24"/>
        </w:rPr>
      </w:pPr>
      <w:bookmarkStart w:id="338" w:name="_Toc256000096"/>
      <w:bookmarkStart w:id="339" w:name="_Toc256000127"/>
      <w:bookmarkStart w:id="340" w:name="_Toc9603"/>
      <w:bookmarkStart w:id="341" w:name="_Toc31032"/>
      <w:r>
        <w:rPr>
          <w:rFonts w:hint="eastAsia" w:ascii="宋体" w:hAnsi="宋体" w:cs="宋体"/>
          <w:sz w:val="24"/>
        </w:rPr>
        <w:t>11. 开工和竣工(完工)</w:t>
      </w:r>
      <w:bookmarkEnd w:id="338"/>
      <w:bookmarkEnd w:id="339"/>
      <w:bookmarkEnd w:id="340"/>
      <w:bookmarkEnd w:id="341"/>
    </w:p>
    <w:p w14:paraId="2DCA2D18">
      <w:pPr>
        <w:spacing w:line="500" w:lineRule="exact"/>
        <w:outlineLvl w:val="3"/>
        <w:rPr>
          <w:rFonts w:hint="eastAsia" w:ascii="宋体" w:hAnsi="宋体" w:cs="宋体"/>
          <w:sz w:val="24"/>
        </w:rPr>
      </w:pPr>
      <w:r>
        <w:rPr>
          <w:rFonts w:hint="eastAsia" w:ascii="宋体" w:hAnsi="宋体" w:cs="宋体"/>
          <w:sz w:val="24"/>
        </w:rPr>
        <w:t>11.1 开工</w:t>
      </w:r>
    </w:p>
    <w:p w14:paraId="6BE079E4">
      <w:pPr>
        <w:spacing w:line="500" w:lineRule="exact"/>
        <w:ind w:firstLine="480" w:firstLineChars="200"/>
        <w:rPr>
          <w:rFonts w:hint="eastAsia" w:ascii="宋体" w:hAnsi="宋体" w:cs="宋体"/>
          <w:sz w:val="24"/>
        </w:rPr>
      </w:pPr>
      <w:r>
        <w:rPr>
          <w:rFonts w:hint="eastAsia" w:ascii="宋体" w:hAnsi="宋体" w:cs="宋体"/>
          <w:sz w:val="24"/>
        </w:rPr>
        <w:t>11.1.1 监理人应在开工日期7天前向承包人发出开工通知。监理人在发出开工通知前应获得发包人同意。工期自监理人发出的开工通知中载明的开工日期起计算。承包人应在开工日期后尽快施工。</w:t>
      </w:r>
    </w:p>
    <w:p w14:paraId="0C6ABEEA">
      <w:pPr>
        <w:spacing w:line="500" w:lineRule="exact"/>
        <w:ind w:firstLine="480" w:firstLineChars="200"/>
        <w:rPr>
          <w:rFonts w:hint="eastAsia" w:ascii="宋体" w:hAnsi="宋体" w:cs="宋体"/>
          <w:sz w:val="24"/>
        </w:rPr>
      </w:pPr>
      <w:r>
        <w:rPr>
          <w:rFonts w:hint="eastAsia" w:ascii="宋体" w:hAnsi="宋体" w:cs="宋体"/>
          <w:sz w:val="24"/>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5D7BC3AA">
      <w:pPr>
        <w:spacing w:line="500" w:lineRule="exact"/>
        <w:ind w:firstLine="480" w:firstLineChars="200"/>
        <w:rPr>
          <w:rFonts w:hint="eastAsia" w:ascii="宋体" w:hAnsi="宋体" w:cs="宋体"/>
          <w:sz w:val="24"/>
        </w:rPr>
      </w:pPr>
      <w:r>
        <w:rPr>
          <w:rFonts w:hint="eastAsia" w:ascii="宋体" w:hAnsi="宋体" w:cs="宋体"/>
          <w:sz w:val="24"/>
        </w:rPr>
        <w:t>11.1.3　若发包人未能按合同约定向承包人提供开工的必要条件，承包人有权要求延长工期。监理人应在收到承包人的书面要求后，按第3.5款的约定，与合同双方商定或确定增加的费用和延长的工期。</w:t>
      </w:r>
    </w:p>
    <w:p w14:paraId="73A73AE0">
      <w:pPr>
        <w:spacing w:line="500" w:lineRule="exact"/>
        <w:rPr>
          <w:rFonts w:hint="eastAsia" w:ascii="宋体" w:hAnsi="宋体" w:cs="宋体"/>
          <w:sz w:val="24"/>
        </w:rPr>
      </w:pPr>
      <w:r>
        <w:rPr>
          <w:rFonts w:hint="eastAsia" w:ascii="宋体" w:hAnsi="宋体" w:cs="宋体"/>
          <w:sz w:val="24"/>
        </w:rPr>
        <w:t>　　11.1.4　承包人在接到开工通知后14天内未按进度计划要求及时进场组织施工，监理人可通知承包人在接到通知后7天内提交一份说明其进场延误的书面报告，报送监理人。书面报告应说明不能及时进场的原因和补救措施，由此增加的费用和工期延误责任由承包人承担。</w:t>
      </w:r>
    </w:p>
    <w:p w14:paraId="412C3C5E">
      <w:pPr>
        <w:spacing w:line="500" w:lineRule="exact"/>
        <w:outlineLvl w:val="3"/>
        <w:rPr>
          <w:rFonts w:hint="eastAsia" w:ascii="宋体" w:hAnsi="宋体" w:cs="宋体"/>
          <w:sz w:val="24"/>
        </w:rPr>
      </w:pPr>
      <w:r>
        <w:rPr>
          <w:rFonts w:hint="eastAsia" w:ascii="宋体" w:hAnsi="宋体" w:cs="宋体"/>
          <w:sz w:val="24"/>
        </w:rPr>
        <w:t>11.2 竣工(完工)</w:t>
      </w:r>
    </w:p>
    <w:p w14:paraId="647288FA">
      <w:pPr>
        <w:spacing w:line="500" w:lineRule="exact"/>
        <w:ind w:firstLine="420"/>
        <w:rPr>
          <w:rFonts w:hint="eastAsia" w:ascii="宋体" w:hAnsi="宋体" w:cs="宋体"/>
          <w:sz w:val="24"/>
        </w:rPr>
      </w:pPr>
      <w:r>
        <w:rPr>
          <w:rFonts w:hint="eastAsia" w:ascii="宋体" w:hAnsi="宋体" w:cs="宋体"/>
          <w:sz w:val="24"/>
        </w:rPr>
        <w:t>承包人应在第1.1.4.3目约定的期限内完成合同工程。合同工程实际完工日期在合同工程完工证书中明确。</w:t>
      </w:r>
    </w:p>
    <w:p w14:paraId="2511F48F">
      <w:pPr>
        <w:spacing w:line="500" w:lineRule="exact"/>
        <w:outlineLvl w:val="3"/>
        <w:rPr>
          <w:rFonts w:hint="eastAsia" w:ascii="宋体" w:hAnsi="宋体" w:cs="宋体"/>
          <w:sz w:val="24"/>
        </w:rPr>
      </w:pPr>
      <w:r>
        <w:rPr>
          <w:rFonts w:hint="eastAsia" w:ascii="宋体" w:hAnsi="宋体" w:cs="宋体"/>
          <w:sz w:val="24"/>
        </w:rPr>
        <w:t>11.3 发包人的工期延误</w:t>
      </w:r>
    </w:p>
    <w:p w14:paraId="4FC7D8AD">
      <w:pPr>
        <w:spacing w:line="500" w:lineRule="exact"/>
        <w:ind w:firstLine="480" w:firstLineChars="200"/>
        <w:rPr>
          <w:rFonts w:hint="eastAsia" w:ascii="宋体" w:hAnsi="宋体" w:cs="宋体"/>
          <w:sz w:val="24"/>
        </w:rPr>
      </w:pPr>
      <w:r>
        <w:rPr>
          <w:rFonts w:hint="eastAsia" w:ascii="宋体" w:hAnsi="宋体" w:cs="宋体"/>
          <w:sz w:val="24"/>
        </w:rPr>
        <w:t>在履行合同过程中，由于发包人的下列原因造成工期延误的，承包人有权要求发包人延长工期和（或）增加费用，并支付合理利润。需要修订合同进度计划的，按照第10.2款的约定办理。</w:t>
      </w:r>
    </w:p>
    <w:p w14:paraId="49301DE1">
      <w:pPr>
        <w:spacing w:line="500" w:lineRule="exact"/>
        <w:ind w:firstLine="410" w:firstLineChars="171"/>
        <w:rPr>
          <w:rFonts w:hint="eastAsia" w:ascii="宋体" w:hAnsi="宋体" w:cs="宋体"/>
          <w:sz w:val="24"/>
        </w:rPr>
      </w:pPr>
      <w:r>
        <w:rPr>
          <w:rFonts w:hint="eastAsia" w:ascii="宋体" w:hAnsi="宋体" w:cs="宋体"/>
          <w:sz w:val="24"/>
        </w:rPr>
        <w:t>（1）增加合同工作内容；</w:t>
      </w:r>
    </w:p>
    <w:p w14:paraId="6167D77B">
      <w:pPr>
        <w:spacing w:line="500" w:lineRule="exact"/>
        <w:ind w:firstLine="410" w:firstLineChars="171"/>
        <w:rPr>
          <w:rFonts w:hint="eastAsia" w:ascii="宋体" w:hAnsi="宋体" w:cs="宋体"/>
          <w:sz w:val="24"/>
        </w:rPr>
      </w:pPr>
      <w:r>
        <w:rPr>
          <w:rFonts w:hint="eastAsia" w:ascii="宋体" w:hAnsi="宋体" w:cs="宋体"/>
          <w:sz w:val="24"/>
        </w:rPr>
        <w:t>（2）改变合同中任何一项工作的质量要求或其他特性；</w:t>
      </w:r>
    </w:p>
    <w:p w14:paraId="013C3AA0">
      <w:pPr>
        <w:spacing w:line="500" w:lineRule="exact"/>
        <w:ind w:firstLine="410" w:firstLineChars="171"/>
        <w:rPr>
          <w:rFonts w:hint="eastAsia" w:ascii="宋体" w:hAnsi="宋体" w:cs="宋体"/>
          <w:sz w:val="24"/>
        </w:rPr>
      </w:pPr>
      <w:r>
        <w:rPr>
          <w:rFonts w:hint="eastAsia" w:ascii="宋体" w:hAnsi="宋体" w:cs="宋体"/>
          <w:sz w:val="24"/>
        </w:rPr>
        <w:t>（3）发包人迟延提供材料、工程设备或变更交货地点的；</w:t>
      </w:r>
    </w:p>
    <w:p w14:paraId="6A14CB58">
      <w:pPr>
        <w:spacing w:line="500" w:lineRule="exact"/>
        <w:ind w:firstLine="410" w:firstLineChars="171"/>
        <w:rPr>
          <w:rFonts w:hint="eastAsia" w:ascii="宋体" w:hAnsi="宋体" w:cs="宋体"/>
          <w:sz w:val="24"/>
        </w:rPr>
      </w:pPr>
      <w:r>
        <w:rPr>
          <w:rFonts w:hint="eastAsia" w:ascii="宋体" w:hAnsi="宋体" w:cs="宋体"/>
          <w:sz w:val="24"/>
        </w:rPr>
        <w:t>（4）因发包人原因导致的暂停施工；</w:t>
      </w:r>
    </w:p>
    <w:p w14:paraId="5B88A230">
      <w:pPr>
        <w:spacing w:line="500" w:lineRule="exact"/>
        <w:ind w:firstLine="410" w:firstLineChars="171"/>
        <w:rPr>
          <w:rFonts w:hint="eastAsia" w:ascii="宋体" w:hAnsi="宋体" w:cs="宋体"/>
          <w:sz w:val="24"/>
        </w:rPr>
      </w:pPr>
      <w:r>
        <w:rPr>
          <w:rFonts w:hint="eastAsia" w:ascii="宋体" w:hAnsi="宋体" w:cs="宋体"/>
          <w:sz w:val="24"/>
        </w:rPr>
        <w:t>（5）提供图纸延误；</w:t>
      </w:r>
    </w:p>
    <w:p w14:paraId="2E6C2BA4">
      <w:pPr>
        <w:spacing w:line="500" w:lineRule="exact"/>
        <w:ind w:firstLine="410" w:firstLineChars="171"/>
        <w:rPr>
          <w:rFonts w:hint="eastAsia" w:ascii="宋体" w:hAnsi="宋体" w:cs="宋体"/>
          <w:sz w:val="24"/>
        </w:rPr>
      </w:pPr>
      <w:r>
        <w:rPr>
          <w:rFonts w:hint="eastAsia" w:ascii="宋体" w:hAnsi="宋体" w:cs="宋体"/>
          <w:sz w:val="24"/>
        </w:rPr>
        <w:t>（6）未按合同约定及时支付预付款、进度款；</w:t>
      </w:r>
    </w:p>
    <w:p w14:paraId="00BF4F24">
      <w:pPr>
        <w:spacing w:line="500" w:lineRule="exact"/>
        <w:ind w:firstLine="480" w:firstLineChars="200"/>
        <w:rPr>
          <w:rFonts w:hint="eastAsia" w:ascii="宋体" w:hAnsi="宋体" w:cs="宋体"/>
          <w:sz w:val="24"/>
        </w:rPr>
      </w:pPr>
      <w:r>
        <w:rPr>
          <w:rFonts w:hint="eastAsia" w:ascii="宋体" w:hAnsi="宋体" w:cs="宋体"/>
          <w:sz w:val="24"/>
        </w:rPr>
        <w:t>（7）发包人造成工期延误的其他原因。</w:t>
      </w:r>
    </w:p>
    <w:p w14:paraId="60287A66">
      <w:pPr>
        <w:spacing w:line="500" w:lineRule="exact"/>
        <w:outlineLvl w:val="3"/>
        <w:rPr>
          <w:rFonts w:hint="eastAsia" w:ascii="宋体" w:hAnsi="宋体" w:cs="宋体"/>
          <w:sz w:val="24"/>
        </w:rPr>
      </w:pPr>
      <w:r>
        <w:rPr>
          <w:rFonts w:hint="eastAsia" w:ascii="宋体" w:hAnsi="宋体" w:cs="宋体"/>
          <w:sz w:val="24"/>
        </w:rPr>
        <w:t>11.4 异常恶劣的气候条件</w:t>
      </w:r>
    </w:p>
    <w:p w14:paraId="5B0CB69A">
      <w:pPr>
        <w:spacing w:line="500" w:lineRule="exact"/>
        <w:rPr>
          <w:rFonts w:hint="eastAsia" w:ascii="宋体" w:hAnsi="宋体" w:cs="宋体"/>
          <w:sz w:val="24"/>
        </w:rPr>
      </w:pPr>
      <w:r>
        <w:rPr>
          <w:rFonts w:hint="eastAsia" w:ascii="宋体" w:hAnsi="宋体" w:cs="宋体"/>
          <w:sz w:val="24"/>
        </w:rPr>
        <w:t>　　11.4.1　当工程所在地发生危及施工安全的异常恶劣气候时，发包人和承包人应按本合同通用合同条款第12条的约定，及时采取暂停施工或部分暂停施工措施。异常恶劣气候条件解除后，承包人应及时安排复工。</w:t>
      </w:r>
    </w:p>
    <w:p w14:paraId="0BC574E9">
      <w:pPr>
        <w:spacing w:line="500" w:lineRule="exact"/>
        <w:rPr>
          <w:rFonts w:hint="eastAsia" w:ascii="宋体" w:hAnsi="宋体" w:cs="宋体"/>
          <w:sz w:val="24"/>
        </w:rPr>
      </w:pPr>
      <w:r>
        <w:rPr>
          <w:rFonts w:hint="eastAsia" w:ascii="宋体" w:hAnsi="宋体" w:cs="宋体"/>
          <w:sz w:val="24"/>
        </w:rPr>
        <w:t>　　11.4.2　异常恶劣气候条件造成的工期延误和工程损坏，应由发包人与承包人参照本合同通用合同条款第21.3款的约定协商处理。</w:t>
      </w:r>
    </w:p>
    <w:p w14:paraId="67B582ED">
      <w:pPr>
        <w:spacing w:line="500" w:lineRule="exact"/>
        <w:ind w:firstLine="420"/>
        <w:rPr>
          <w:rFonts w:hint="eastAsia" w:ascii="宋体" w:hAnsi="宋体" w:cs="宋体"/>
          <w:sz w:val="24"/>
        </w:rPr>
      </w:pPr>
      <w:r>
        <w:rPr>
          <w:rFonts w:hint="eastAsia" w:ascii="宋体" w:hAnsi="宋体" w:cs="宋体"/>
          <w:sz w:val="24"/>
        </w:rPr>
        <w:t>11.4.3　本合同工程界定异常恶劣气候条件的范围在专用合同条款中约定。</w:t>
      </w:r>
    </w:p>
    <w:p w14:paraId="7B0815E3">
      <w:pPr>
        <w:spacing w:line="500" w:lineRule="exact"/>
        <w:outlineLvl w:val="3"/>
        <w:rPr>
          <w:rFonts w:hint="eastAsia" w:ascii="宋体" w:hAnsi="宋体" w:cs="宋体"/>
          <w:sz w:val="24"/>
        </w:rPr>
      </w:pPr>
      <w:r>
        <w:rPr>
          <w:rFonts w:hint="eastAsia" w:ascii="宋体" w:hAnsi="宋体" w:cs="宋体"/>
          <w:sz w:val="24"/>
        </w:rPr>
        <w:t xml:space="preserve">11.5 承包人工期延误 </w:t>
      </w:r>
    </w:p>
    <w:p w14:paraId="3817DFB0">
      <w:pPr>
        <w:spacing w:line="500" w:lineRule="exact"/>
        <w:ind w:firstLine="480" w:firstLineChars="200"/>
        <w:rPr>
          <w:rFonts w:hint="eastAsia" w:ascii="宋体" w:hAnsi="宋体" w:cs="宋体"/>
          <w:sz w:val="24"/>
        </w:rPr>
      </w:pPr>
      <w:r>
        <w:rPr>
          <w:rFonts w:hint="eastAsia" w:ascii="宋体" w:hAnsi="宋体" w:cs="宋体"/>
          <w:sz w:val="24"/>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67C62FB2">
      <w:pPr>
        <w:spacing w:line="500" w:lineRule="exact"/>
        <w:outlineLvl w:val="3"/>
        <w:rPr>
          <w:rFonts w:hint="eastAsia" w:ascii="宋体" w:hAnsi="宋体" w:cs="宋体"/>
          <w:sz w:val="24"/>
        </w:rPr>
      </w:pPr>
      <w:r>
        <w:rPr>
          <w:rFonts w:hint="eastAsia" w:ascii="宋体" w:hAnsi="宋体" w:cs="宋体"/>
          <w:sz w:val="24"/>
        </w:rPr>
        <w:t>11.6 工期提前</w:t>
      </w:r>
    </w:p>
    <w:p w14:paraId="2B8F3AEF">
      <w:pPr>
        <w:spacing w:line="500" w:lineRule="exact"/>
        <w:rPr>
          <w:rFonts w:hint="eastAsia" w:ascii="宋体" w:hAnsi="宋体" w:cs="宋体"/>
          <w:sz w:val="24"/>
        </w:rPr>
      </w:pPr>
      <w:r>
        <w:rPr>
          <w:rFonts w:hint="eastAsia" w:ascii="宋体" w:hAnsi="宋体" w:cs="宋体"/>
          <w:sz w:val="24"/>
        </w:rPr>
        <w:t>　　发包人要求承包人提前完工，或承包人提出提前完工的建议能够给发包人带来效益的，应由监理人与承包人共同协商采取加快工程进度的措施和修订合同进度计划。发包人应承担承包人由此增加的费用，并向承包人支付专用合同条款约定的相应奖金。</w:t>
      </w:r>
    </w:p>
    <w:p w14:paraId="3B1D2E7B">
      <w:pPr>
        <w:spacing w:line="500" w:lineRule="exact"/>
        <w:rPr>
          <w:rFonts w:hint="eastAsia" w:ascii="宋体" w:hAnsi="宋体" w:cs="宋体"/>
          <w:sz w:val="24"/>
        </w:rPr>
      </w:pPr>
      <w:r>
        <w:rPr>
          <w:rFonts w:hint="eastAsia" w:ascii="宋体" w:hAnsi="宋体" w:cs="宋体"/>
          <w:sz w:val="24"/>
        </w:rPr>
        <w:t>　　发包人要求提前完工的，双方协商一致后应签订提前完工协议，协议内容包括：</w:t>
      </w:r>
    </w:p>
    <w:p w14:paraId="11418666">
      <w:pPr>
        <w:spacing w:line="500" w:lineRule="exact"/>
        <w:rPr>
          <w:rFonts w:hint="eastAsia" w:ascii="宋体" w:hAnsi="宋体" w:cs="宋体"/>
          <w:sz w:val="24"/>
        </w:rPr>
      </w:pPr>
      <w:r>
        <w:rPr>
          <w:rFonts w:hint="eastAsia" w:ascii="宋体" w:hAnsi="宋体" w:cs="宋体"/>
          <w:sz w:val="24"/>
        </w:rPr>
        <w:t>　　(1)提前的时间和修订后的进度计划；</w:t>
      </w:r>
    </w:p>
    <w:p w14:paraId="5795D31D">
      <w:pPr>
        <w:spacing w:line="500" w:lineRule="exact"/>
        <w:rPr>
          <w:rFonts w:hint="eastAsia" w:ascii="宋体" w:hAnsi="宋体" w:cs="宋体"/>
          <w:sz w:val="24"/>
        </w:rPr>
      </w:pPr>
      <w:r>
        <w:rPr>
          <w:rFonts w:hint="eastAsia" w:ascii="宋体" w:hAnsi="宋体" w:cs="宋体"/>
          <w:sz w:val="24"/>
        </w:rPr>
        <w:t>　　(2)承包人的赶工措施；</w:t>
      </w:r>
    </w:p>
    <w:p w14:paraId="27FA8588">
      <w:pPr>
        <w:spacing w:line="500" w:lineRule="exact"/>
        <w:rPr>
          <w:rFonts w:hint="eastAsia" w:ascii="宋体" w:hAnsi="宋体" w:cs="宋体"/>
          <w:sz w:val="24"/>
        </w:rPr>
      </w:pPr>
      <w:r>
        <w:rPr>
          <w:rFonts w:hint="eastAsia" w:ascii="宋体" w:hAnsi="宋体" w:cs="宋体"/>
          <w:sz w:val="24"/>
        </w:rPr>
        <w:t>　　(3)发包人为赶工提供的条件；</w:t>
      </w:r>
    </w:p>
    <w:p w14:paraId="1444DDB4">
      <w:pPr>
        <w:spacing w:line="500" w:lineRule="exact"/>
        <w:rPr>
          <w:rFonts w:hint="eastAsia" w:ascii="宋体" w:hAnsi="宋体" w:cs="宋体"/>
          <w:sz w:val="24"/>
        </w:rPr>
      </w:pPr>
      <w:r>
        <w:rPr>
          <w:rFonts w:hint="eastAsia" w:ascii="宋体" w:hAnsi="宋体" w:cs="宋体"/>
          <w:sz w:val="24"/>
        </w:rPr>
        <w:t>　　(4)赶工费用(包括利润和奖金)。</w:t>
      </w:r>
    </w:p>
    <w:p w14:paraId="3157B52D">
      <w:pPr>
        <w:spacing w:line="500" w:lineRule="exact"/>
        <w:outlineLvl w:val="2"/>
        <w:rPr>
          <w:rFonts w:hint="eastAsia" w:ascii="宋体" w:hAnsi="宋体" w:cs="宋体"/>
          <w:sz w:val="24"/>
        </w:rPr>
      </w:pPr>
      <w:bookmarkStart w:id="342" w:name="_Toc28106"/>
      <w:bookmarkStart w:id="343" w:name="_Toc256000128"/>
      <w:bookmarkStart w:id="344" w:name="_Toc537"/>
      <w:bookmarkStart w:id="345" w:name="_Toc256000097"/>
      <w:r>
        <w:rPr>
          <w:rFonts w:hint="eastAsia" w:ascii="宋体" w:hAnsi="宋体" w:cs="宋体"/>
          <w:sz w:val="24"/>
        </w:rPr>
        <w:t>12. 暂停施工</w:t>
      </w:r>
      <w:bookmarkEnd w:id="342"/>
      <w:bookmarkEnd w:id="343"/>
      <w:bookmarkEnd w:id="344"/>
      <w:bookmarkEnd w:id="345"/>
    </w:p>
    <w:p w14:paraId="16A57251">
      <w:pPr>
        <w:spacing w:line="500" w:lineRule="exact"/>
        <w:outlineLvl w:val="3"/>
        <w:rPr>
          <w:rFonts w:hint="eastAsia" w:ascii="宋体" w:hAnsi="宋体" w:cs="宋体"/>
          <w:sz w:val="24"/>
        </w:rPr>
      </w:pPr>
      <w:r>
        <w:rPr>
          <w:rFonts w:hint="eastAsia" w:ascii="宋体" w:hAnsi="宋体" w:cs="宋体"/>
          <w:sz w:val="24"/>
        </w:rPr>
        <w:t>12.1 承包人暂停施工的责任</w:t>
      </w:r>
    </w:p>
    <w:p w14:paraId="7830D6C9">
      <w:pPr>
        <w:spacing w:line="500" w:lineRule="exact"/>
        <w:ind w:firstLine="480" w:firstLineChars="200"/>
        <w:rPr>
          <w:rFonts w:hint="eastAsia" w:ascii="宋体" w:hAnsi="宋体" w:cs="宋体"/>
          <w:sz w:val="24"/>
        </w:rPr>
      </w:pPr>
      <w:r>
        <w:rPr>
          <w:rFonts w:hint="eastAsia" w:ascii="宋体" w:hAnsi="宋体" w:cs="宋体"/>
          <w:sz w:val="24"/>
        </w:rPr>
        <w:t>因下列暂停施工增加的费用和（或）工期延误由承包人承担：</w:t>
      </w:r>
    </w:p>
    <w:p w14:paraId="2AFB74E5">
      <w:pPr>
        <w:spacing w:line="500" w:lineRule="exact"/>
        <w:ind w:firstLine="480" w:firstLineChars="200"/>
        <w:rPr>
          <w:rFonts w:hint="eastAsia" w:ascii="宋体" w:hAnsi="宋体" w:cs="宋体"/>
          <w:sz w:val="24"/>
        </w:rPr>
      </w:pPr>
      <w:r>
        <w:rPr>
          <w:rFonts w:hint="eastAsia" w:ascii="宋体" w:hAnsi="宋体" w:cs="宋体"/>
          <w:sz w:val="24"/>
        </w:rPr>
        <w:t>（1）承包人违约引起的暂停施工；</w:t>
      </w:r>
    </w:p>
    <w:p w14:paraId="6E920499">
      <w:pPr>
        <w:spacing w:line="500" w:lineRule="exact"/>
        <w:ind w:firstLine="480" w:firstLineChars="200"/>
        <w:rPr>
          <w:rFonts w:hint="eastAsia" w:ascii="宋体" w:hAnsi="宋体" w:cs="宋体"/>
          <w:sz w:val="24"/>
        </w:rPr>
      </w:pPr>
      <w:r>
        <w:rPr>
          <w:rFonts w:hint="eastAsia" w:ascii="宋体" w:hAnsi="宋体" w:cs="宋体"/>
          <w:sz w:val="24"/>
        </w:rPr>
        <w:t>（2）由于承包人原因为工程合理施工和安全保障所必需的暂停施工；</w:t>
      </w:r>
    </w:p>
    <w:p w14:paraId="0DD887C9">
      <w:pPr>
        <w:spacing w:line="500" w:lineRule="exact"/>
        <w:ind w:firstLine="480" w:firstLineChars="200"/>
        <w:rPr>
          <w:rFonts w:hint="eastAsia" w:ascii="宋体" w:hAnsi="宋体" w:cs="宋体"/>
          <w:sz w:val="24"/>
        </w:rPr>
      </w:pPr>
      <w:r>
        <w:rPr>
          <w:rFonts w:hint="eastAsia" w:ascii="宋体" w:hAnsi="宋体" w:cs="宋体"/>
          <w:sz w:val="24"/>
        </w:rPr>
        <w:t>（3）承包人擅自暂停施工；</w:t>
      </w:r>
    </w:p>
    <w:p w14:paraId="385D7542">
      <w:pPr>
        <w:spacing w:line="500" w:lineRule="exact"/>
        <w:ind w:firstLine="480" w:firstLineChars="200"/>
        <w:rPr>
          <w:rFonts w:hint="eastAsia" w:ascii="宋体" w:hAnsi="宋体" w:cs="宋体"/>
          <w:sz w:val="24"/>
        </w:rPr>
      </w:pPr>
      <w:r>
        <w:rPr>
          <w:rFonts w:hint="eastAsia" w:ascii="宋体" w:hAnsi="宋体" w:cs="宋体"/>
          <w:sz w:val="24"/>
        </w:rPr>
        <w:t>（4）承包人其他原因引起的暂停施工；</w:t>
      </w:r>
    </w:p>
    <w:p w14:paraId="48342603">
      <w:pPr>
        <w:spacing w:line="500" w:lineRule="exact"/>
        <w:ind w:firstLine="480" w:firstLineChars="200"/>
        <w:rPr>
          <w:rFonts w:hint="eastAsia" w:ascii="宋体" w:hAnsi="宋体" w:cs="宋体"/>
          <w:sz w:val="24"/>
        </w:rPr>
      </w:pPr>
      <w:r>
        <w:rPr>
          <w:rFonts w:hint="eastAsia" w:ascii="宋体" w:hAnsi="宋体" w:cs="宋体"/>
          <w:sz w:val="24"/>
        </w:rPr>
        <w:t>（5）专用合同条款约定由承包人承担的其他暂停施工。</w:t>
      </w:r>
    </w:p>
    <w:p w14:paraId="7BA491A8">
      <w:pPr>
        <w:spacing w:line="500" w:lineRule="exact"/>
        <w:outlineLvl w:val="3"/>
        <w:rPr>
          <w:rFonts w:hint="eastAsia" w:ascii="宋体" w:hAnsi="宋体" w:cs="宋体"/>
          <w:sz w:val="24"/>
        </w:rPr>
      </w:pPr>
      <w:r>
        <w:rPr>
          <w:rFonts w:hint="eastAsia" w:ascii="宋体" w:hAnsi="宋体" w:cs="宋体"/>
          <w:sz w:val="24"/>
        </w:rPr>
        <w:t>12.2 发包人暂停施工的责任</w:t>
      </w:r>
    </w:p>
    <w:p w14:paraId="3684315C">
      <w:pPr>
        <w:spacing w:line="500" w:lineRule="exact"/>
        <w:rPr>
          <w:rFonts w:hint="eastAsia" w:ascii="宋体" w:hAnsi="宋体" w:cs="宋体"/>
          <w:sz w:val="24"/>
        </w:rPr>
      </w:pPr>
      <w:r>
        <w:rPr>
          <w:rFonts w:hint="eastAsia" w:ascii="宋体" w:hAnsi="宋体" w:cs="宋体"/>
          <w:sz w:val="24"/>
        </w:rPr>
        <w:t>　　由于发包人原因引起的暂停施工造成工期延误的，承包人有权要求发包人延长工期和(或)增加费用，并支付合理利润。</w:t>
      </w:r>
    </w:p>
    <w:p w14:paraId="5FF0D5E0">
      <w:pPr>
        <w:spacing w:line="500" w:lineRule="exact"/>
        <w:rPr>
          <w:rFonts w:hint="eastAsia" w:ascii="宋体" w:hAnsi="宋体" w:cs="宋体"/>
          <w:sz w:val="24"/>
        </w:rPr>
      </w:pPr>
      <w:r>
        <w:rPr>
          <w:rFonts w:hint="eastAsia" w:ascii="宋体" w:hAnsi="宋体" w:cs="宋体"/>
          <w:sz w:val="24"/>
        </w:rPr>
        <w:t>　　属于下列任何一种情况引起的暂停施工，均为发包人的责任：</w:t>
      </w:r>
    </w:p>
    <w:p w14:paraId="07D2CDD8">
      <w:pPr>
        <w:spacing w:line="500" w:lineRule="exact"/>
        <w:rPr>
          <w:rFonts w:hint="eastAsia" w:ascii="宋体" w:hAnsi="宋体" w:cs="宋体"/>
          <w:sz w:val="24"/>
        </w:rPr>
      </w:pPr>
      <w:r>
        <w:rPr>
          <w:rFonts w:hint="eastAsia" w:ascii="宋体" w:hAnsi="宋体" w:cs="宋体"/>
          <w:sz w:val="24"/>
        </w:rPr>
        <w:t>　　(1)由于发包人违约引起的暂停施工；</w:t>
      </w:r>
    </w:p>
    <w:p w14:paraId="46A7A881">
      <w:pPr>
        <w:spacing w:line="500" w:lineRule="exact"/>
        <w:rPr>
          <w:rFonts w:hint="eastAsia" w:ascii="宋体" w:hAnsi="宋体" w:cs="宋体"/>
          <w:sz w:val="24"/>
        </w:rPr>
      </w:pPr>
      <w:r>
        <w:rPr>
          <w:rFonts w:hint="eastAsia" w:ascii="宋体" w:hAnsi="宋体" w:cs="宋体"/>
          <w:sz w:val="24"/>
        </w:rPr>
        <w:t>　　(2)由于不可抗力的自然或社会因素引起的暂停施工；</w:t>
      </w:r>
    </w:p>
    <w:p w14:paraId="4DA965B0">
      <w:pPr>
        <w:spacing w:line="500" w:lineRule="exact"/>
        <w:ind w:firstLine="420"/>
        <w:rPr>
          <w:rFonts w:hint="eastAsia" w:ascii="宋体" w:hAnsi="宋体" w:cs="宋体"/>
          <w:sz w:val="24"/>
        </w:rPr>
      </w:pPr>
      <w:r>
        <w:rPr>
          <w:rFonts w:hint="eastAsia" w:ascii="宋体" w:hAnsi="宋体" w:cs="宋体"/>
          <w:sz w:val="24"/>
        </w:rPr>
        <w:t>(3)专用合同条款中约定的其它由于发包人原因引起的暂停施工。</w:t>
      </w:r>
    </w:p>
    <w:p w14:paraId="6F595882">
      <w:pPr>
        <w:spacing w:line="500" w:lineRule="exact"/>
        <w:outlineLvl w:val="3"/>
        <w:rPr>
          <w:rFonts w:hint="eastAsia" w:ascii="宋体" w:hAnsi="宋体" w:cs="宋体"/>
          <w:sz w:val="24"/>
        </w:rPr>
      </w:pPr>
      <w:r>
        <w:rPr>
          <w:rFonts w:hint="eastAsia" w:ascii="宋体" w:hAnsi="宋体" w:cs="宋体"/>
          <w:sz w:val="24"/>
        </w:rPr>
        <w:t>12.3 监理人暂停施工指示</w:t>
      </w:r>
    </w:p>
    <w:p w14:paraId="64DEEE05">
      <w:pPr>
        <w:spacing w:line="500" w:lineRule="exact"/>
        <w:ind w:firstLine="480" w:firstLineChars="200"/>
        <w:rPr>
          <w:rFonts w:hint="eastAsia" w:ascii="宋体" w:hAnsi="宋体" w:cs="宋体"/>
          <w:sz w:val="24"/>
        </w:rPr>
      </w:pPr>
      <w:r>
        <w:rPr>
          <w:rFonts w:hint="eastAsia" w:ascii="宋体" w:hAnsi="宋体" w:cs="宋体"/>
          <w:sz w:val="24"/>
        </w:rPr>
        <w:t>12.3.1 监理人认为有必要时，可向承包人作出暂停施工的指示，承包人应按监理人指示暂停施工。不论由于何种原因引起的暂停施工，暂停施工期间承包人应负责妥善保护工程并提供安全保障。</w:t>
      </w:r>
    </w:p>
    <w:p w14:paraId="06060678">
      <w:pPr>
        <w:spacing w:line="500" w:lineRule="exact"/>
        <w:ind w:firstLine="480" w:firstLineChars="200"/>
        <w:rPr>
          <w:rFonts w:hint="eastAsia" w:ascii="宋体" w:hAnsi="宋体" w:cs="宋体"/>
          <w:sz w:val="24"/>
        </w:rPr>
      </w:pPr>
      <w:r>
        <w:rPr>
          <w:rFonts w:hint="eastAsia" w:ascii="宋体" w:hAnsi="宋体" w:cs="宋体"/>
          <w:sz w:val="24"/>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14:paraId="54948C8E">
      <w:pPr>
        <w:spacing w:line="500" w:lineRule="exact"/>
        <w:outlineLvl w:val="3"/>
        <w:rPr>
          <w:rFonts w:hint="eastAsia" w:ascii="宋体" w:hAnsi="宋体" w:cs="宋体"/>
          <w:sz w:val="24"/>
        </w:rPr>
      </w:pPr>
      <w:r>
        <w:rPr>
          <w:rFonts w:hint="eastAsia" w:ascii="宋体" w:hAnsi="宋体" w:cs="宋体"/>
          <w:sz w:val="24"/>
        </w:rPr>
        <w:t>12.4 暂停施工后的复工</w:t>
      </w:r>
    </w:p>
    <w:p w14:paraId="4547E815">
      <w:pPr>
        <w:spacing w:line="500" w:lineRule="exact"/>
        <w:ind w:firstLine="480" w:firstLineChars="200"/>
        <w:rPr>
          <w:rFonts w:hint="eastAsia" w:ascii="宋体" w:hAnsi="宋体" w:cs="宋体"/>
          <w:sz w:val="24"/>
        </w:rPr>
      </w:pPr>
      <w:r>
        <w:rPr>
          <w:rFonts w:hint="eastAsia" w:ascii="宋体" w:hAnsi="宋体" w:cs="宋体"/>
          <w:sz w:val="24"/>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14:paraId="3ACA1B4A">
      <w:pPr>
        <w:spacing w:line="500" w:lineRule="exact"/>
        <w:ind w:firstLine="480" w:firstLineChars="200"/>
        <w:rPr>
          <w:rFonts w:hint="eastAsia" w:ascii="宋体" w:hAnsi="宋体" w:cs="宋体"/>
          <w:sz w:val="24"/>
        </w:rPr>
      </w:pPr>
      <w:r>
        <w:rPr>
          <w:rFonts w:hint="eastAsia" w:ascii="宋体" w:hAnsi="宋体" w:cs="宋体"/>
          <w:sz w:val="24"/>
        </w:rPr>
        <w:t>12.4.2 承包人无故拖延和拒绝复工的，由此增加的费用和工期延误由承包人承担；因发包人原因无法按时复工的，承包人有权要求发包人延长工期和（或）增加费用，并支付合理利润。</w:t>
      </w:r>
    </w:p>
    <w:p w14:paraId="3188B447">
      <w:pPr>
        <w:spacing w:line="500" w:lineRule="exact"/>
        <w:outlineLvl w:val="3"/>
        <w:rPr>
          <w:rFonts w:hint="eastAsia" w:ascii="宋体" w:hAnsi="宋体" w:cs="宋体"/>
          <w:sz w:val="24"/>
        </w:rPr>
      </w:pPr>
      <w:r>
        <w:rPr>
          <w:rFonts w:hint="eastAsia" w:ascii="宋体" w:hAnsi="宋体" w:cs="宋体"/>
          <w:sz w:val="24"/>
        </w:rPr>
        <w:t>12.5 暂停施工持续56天以上</w:t>
      </w:r>
    </w:p>
    <w:p w14:paraId="66BA27B5">
      <w:pPr>
        <w:spacing w:line="500" w:lineRule="exact"/>
        <w:ind w:firstLine="470" w:firstLineChars="196"/>
        <w:rPr>
          <w:rFonts w:hint="eastAsia" w:ascii="宋体" w:hAnsi="宋体" w:cs="宋体"/>
          <w:sz w:val="24"/>
        </w:rPr>
      </w:pPr>
      <w:r>
        <w:rPr>
          <w:rFonts w:hint="eastAsia" w:ascii="宋体" w:hAnsi="宋体" w:cs="宋体"/>
          <w:sz w:val="24"/>
        </w:rPr>
        <w:t>12.5.1 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约定办理。</w:t>
      </w:r>
    </w:p>
    <w:p w14:paraId="65EE7FE3">
      <w:pPr>
        <w:spacing w:line="500" w:lineRule="exact"/>
        <w:ind w:firstLine="480" w:firstLineChars="200"/>
        <w:rPr>
          <w:rFonts w:hint="eastAsia" w:ascii="宋体" w:hAnsi="宋体" w:cs="宋体"/>
          <w:sz w:val="24"/>
        </w:rPr>
      </w:pPr>
      <w:r>
        <w:rPr>
          <w:rFonts w:hint="eastAsia" w:ascii="宋体" w:hAnsi="宋体" w:cs="宋体"/>
          <w:sz w:val="24"/>
        </w:rPr>
        <w:t>12.5.2 由于承包人责任引起的暂停施工，如承包人在收到监理人暂停施工指示后56天内不认真采取有效的复工措施，造成工期延误，可视为承包人违约，应按第22.1款的约定办理。</w:t>
      </w:r>
    </w:p>
    <w:p w14:paraId="21152C67">
      <w:pPr>
        <w:spacing w:line="500" w:lineRule="exact"/>
        <w:outlineLvl w:val="2"/>
        <w:rPr>
          <w:rFonts w:hint="eastAsia" w:ascii="宋体" w:hAnsi="宋体" w:cs="宋体"/>
          <w:sz w:val="24"/>
        </w:rPr>
      </w:pPr>
      <w:bookmarkStart w:id="346" w:name="_Toc26296"/>
      <w:bookmarkStart w:id="347" w:name="_Toc7324"/>
      <w:bookmarkStart w:id="348" w:name="_Toc256000098"/>
      <w:bookmarkStart w:id="349" w:name="_Toc256000129"/>
      <w:r>
        <w:rPr>
          <w:rFonts w:hint="eastAsia" w:ascii="宋体" w:hAnsi="宋体" w:cs="宋体"/>
          <w:sz w:val="24"/>
        </w:rPr>
        <w:t>13. 工程质量</w:t>
      </w:r>
      <w:bookmarkEnd w:id="346"/>
      <w:bookmarkEnd w:id="347"/>
      <w:bookmarkEnd w:id="348"/>
      <w:bookmarkEnd w:id="349"/>
    </w:p>
    <w:p w14:paraId="413564E9">
      <w:pPr>
        <w:spacing w:line="500" w:lineRule="exact"/>
        <w:outlineLvl w:val="3"/>
        <w:rPr>
          <w:rFonts w:hint="eastAsia" w:ascii="宋体" w:hAnsi="宋体" w:cs="宋体"/>
          <w:sz w:val="24"/>
        </w:rPr>
      </w:pPr>
      <w:r>
        <w:rPr>
          <w:rFonts w:hint="eastAsia" w:ascii="宋体" w:hAnsi="宋体" w:cs="宋体"/>
          <w:sz w:val="24"/>
        </w:rPr>
        <w:t>13.1 工程质量要求</w:t>
      </w:r>
    </w:p>
    <w:p w14:paraId="604E936D">
      <w:pPr>
        <w:spacing w:line="500" w:lineRule="exact"/>
        <w:ind w:firstLine="480" w:firstLineChars="200"/>
        <w:rPr>
          <w:rFonts w:hint="eastAsia" w:ascii="宋体" w:hAnsi="宋体" w:cs="宋体"/>
          <w:sz w:val="24"/>
        </w:rPr>
      </w:pPr>
      <w:r>
        <w:rPr>
          <w:rFonts w:hint="eastAsia" w:ascii="宋体" w:hAnsi="宋体" w:cs="宋体"/>
          <w:sz w:val="24"/>
        </w:rPr>
        <w:t>13.1.1 工程质量验收按合同约定验收标准执行。</w:t>
      </w:r>
    </w:p>
    <w:p w14:paraId="46003318">
      <w:pPr>
        <w:spacing w:line="500" w:lineRule="exact"/>
        <w:ind w:firstLine="480" w:firstLineChars="200"/>
        <w:rPr>
          <w:rFonts w:hint="eastAsia" w:ascii="宋体" w:hAnsi="宋体" w:cs="宋体"/>
          <w:sz w:val="24"/>
        </w:rPr>
      </w:pPr>
      <w:r>
        <w:rPr>
          <w:rFonts w:hint="eastAsia" w:ascii="宋体" w:hAnsi="宋体" w:cs="宋体"/>
          <w:sz w:val="24"/>
        </w:rPr>
        <w:t>13.1.2 因承包人原因造成工程质量达不到合同约定验收标准的，监理人有权要求承包人返工直至符合合同要求为止，由此造成的费用增加和（或）工期延误由承包人承担。</w:t>
      </w:r>
    </w:p>
    <w:p w14:paraId="584BFB52">
      <w:pPr>
        <w:spacing w:line="500" w:lineRule="exact"/>
        <w:ind w:firstLine="480" w:firstLineChars="200"/>
        <w:rPr>
          <w:rFonts w:hint="eastAsia" w:ascii="宋体" w:hAnsi="宋体" w:cs="宋体"/>
          <w:sz w:val="24"/>
        </w:rPr>
      </w:pPr>
      <w:r>
        <w:rPr>
          <w:rFonts w:hint="eastAsia" w:ascii="宋体" w:hAnsi="宋体" w:cs="宋体"/>
          <w:sz w:val="24"/>
        </w:rPr>
        <w:t>13.1.3 因发包人原因造成工程质量达不到合同约定验收标准的，发包人应承担由于承包人返工造成的费用增加和（或）工期延误，并支付承包人合理利润。</w:t>
      </w:r>
    </w:p>
    <w:p w14:paraId="4CF4027F">
      <w:pPr>
        <w:spacing w:line="500" w:lineRule="exact"/>
        <w:outlineLvl w:val="3"/>
        <w:rPr>
          <w:rFonts w:hint="eastAsia" w:ascii="宋体" w:hAnsi="宋体" w:cs="宋体"/>
          <w:sz w:val="24"/>
        </w:rPr>
      </w:pPr>
      <w:r>
        <w:rPr>
          <w:rFonts w:hint="eastAsia" w:ascii="宋体" w:hAnsi="宋体" w:cs="宋体"/>
          <w:sz w:val="24"/>
        </w:rPr>
        <w:t>13.2 承包人的质量管理</w:t>
      </w:r>
    </w:p>
    <w:p w14:paraId="3441D8BF">
      <w:pPr>
        <w:spacing w:line="500" w:lineRule="exact"/>
        <w:ind w:firstLine="420"/>
        <w:rPr>
          <w:rFonts w:hint="eastAsia" w:ascii="宋体" w:hAnsi="宋体" w:cs="宋体"/>
          <w:sz w:val="24"/>
        </w:rPr>
      </w:pPr>
      <w:r>
        <w:rPr>
          <w:rFonts w:hint="eastAsia" w:ascii="宋体" w:hAnsi="宋体" w:cs="宋体"/>
          <w:sz w:val="24"/>
        </w:rPr>
        <w:t>13.2.1　承包人应在施工场地设置专门的质量检查机构，配备专职质量检查人员，建立完善的质量检查制度。承包人应按技术标准和要求(合同技术条款)约定的内容和期限，编制工程质量保证措施文件，包括质量检查机构的组织和岗位责任、质量检查人员的组成、质量检查程序和实施细则等，提交监理人审批。监理人应在技术标准和要求(合同技术条款)约定的期限内批复承包人。</w:t>
      </w:r>
    </w:p>
    <w:p w14:paraId="61C0F8D2">
      <w:pPr>
        <w:spacing w:line="500" w:lineRule="exact"/>
        <w:ind w:firstLine="420"/>
        <w:rPr>
          <w:rFonts w:hint="eastAsia" w:ascii="宋体" w:hAnsi="宋体" w:cs="宋体"/>
          <w:sz w:val="24"/>
        </w:rPr>
      </w:pPr>
      <w:r>
        <w:rPr>
          <w:rFonts w:hint="eastAsia" w:ascii="宋体" w:hAnsi="宋体" w:cs="宋体"/>
          <w:sz w:val="24"/>
        </w:rPr>
        <w:t>13.2.2 承包人应加强对施工人员的质量教育和技术培训，定期考核施工人员的劳动技能，严格执行规范和操作规程。</w:t>
      </w:r>
    </w:p>
    <w:p w14:paraId="0A879BC0">
      <w:pPr>
        <w:spacing w:line="500" w:lineRule="exact"/>
        <w:outlineLvl w:val="3"/>
        <w:rPr>
          <w:rFonts w:hint="eastAsia" w:ascii="宋体" w:hAnsi="宋体" w:cs="宋体"/>
          <w:sz w:val="24"/>
        </w:rPr>
      </w:pPr>
      <w:r>
        <w:rPr>
          <w:rFonts w:hint="eastAsia" w:ascii="宋体" w:hAnsi="宋体" w:cs="宋体"/>
          <w:sz w:val="24"/>
        </w:rPr>
        <w:t>13.3 承包人的质量检查</w:t>
      </w:r>
    </w:p>
    <w:p w14:paraId="795733AD">
      <w:pPr>
        <w:spacing w:line="500" w:lineRule="exact"/>
        <w:ind w:firstLine="480" w:firstLineChars="200"/>
        <w:rPr>
          <w:rFonts w:hint="eastAsia" w:ascii="宋体" w:hAnsi="宋体" w:cs="宋体"/>
          <w:sz w:val="24"/>
        </w:rPr>
      </w:pPr>
      <w:r>
        <w:rPr>
          <w:rFonts w:hint="eastAsia" w:ascii="宋体" w:hAnsi="宋体" w:cs="宋体"/>
          <w:sz w:val="24"/>
        </w:rPr>
        <w:t>承包人应按合同约定对材料、工程设备以及工程的所有部位及其施工工艺进行全过程的质量检查和检验，并作详细记录，编制工程质量报表，报送监理人审查。</w:t>
      </w:r>
    </w:p>
    <w:p w14:paraId="0983161C">
      <w:pPr>
        <w:spacing w:line="500" w:lineRule="exact"/>
        <w:outlineLvl w:val="3"/>
        <w:rPr>
          <w:rFonts w:hint="eastAsia" w:ascii="宋体" w:hAnsi="宋体" w:cs="宋体"/>
          <w:sz w:val="24"/>
        </w:rPr>
      </w:pPr>
      <w:r>
        <w:rPr>
          <w:rFonts w:hint="eastAsia" w:ascii="宋体" w:hAnsi="宋体" w:cs="宋体"/>
          <w:sz w:val="24"/>
        </w:rPr>
        <w:t>13.4 监理人的质量检查</w:t>
      </w:r>
    </w:p>
    <w:p w14:paraId="7A2E05AE">
      <w:pPr>
        <w:spacing w:line="500" w:lineRule="exact"/>
        <w:ind w:firstLine="480" w:firstLineChars="200"/>
        <w:rPr>
          <w:rFonts w:hint="eastAsia" w:ascii="宋体" w:hAnsi="宋体" w:cs="宋体"/>
          <w:sz w:val="24"/>
        </w:rPr>
      </w:pPr>
      <w:r>
        <w:rPr>
          <w:rFonts w:hint="eastAsia" w:ascii="宋体" w:hAnsi="宋体" w:cs="宋体"/>
          <w:sz w:val="24"/>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1BD6C637">
      <w:pPr>
        <w:spacing w:line="500" w:lineRule="exact"/>
        <w:outlineLvl w:val="3"/>
        <w:rPr>
          <w:rFonts w:hint="eastAsia" w:ascii="宋体" w:hAnsi="宋体" w:cs="宋体"/>
          <w:sz w:val="24"/>
        </w:rPr>
      </w:pPr>
      <w:r>
        <w:rPr>
          <w:rFonts w:hint="eastAsia" w:ascii="宋体" w:hAnsi="宋体" w:cs="宋体"/>
          <w:sz w:val="24"/>
        </w:rPr>
        <w:t>13.5 工程隐蔽部位覆盖前的检查</w:t>
      </w:r>
    </w:p>
    <w:p w14:paraId="37680CDA">
      <w:pPr>
        <w:spacing w:line="500" w:lineRule="exact"/>
        <w:ind w:firstLine="480" w:firstLineChars="200"/>
        <w:rPr>
          <w:rFonts w:hint="eastAsia" w:ascii="宋体" w:hAnsi="宋体" w:cs="宋体"/>
          <w:sz w:val="24"/>
        </w:rPr>
      </w:pPr>
      <w:r>
        <w:rPr>
          <w:rFonts w:hint="eastAsia" w:ascii="宋体" w:hAnsi="宋体" w:cs="宋体"/>
          <w:sz w:val="24"/>
        </w:rPr>
        <w:t>13.5.1 通知监理人检查</w:t>
      </w:r>
    </w:p>
    <w:p w14:paraId="528036C2">
      <w:pPr>
        <w:spacing w:line="500" w:lineRule="exact"/>
        <w:ind w:firstLine="480" w:firstLineChars="200"/>
        <w:rPr>
          <w:rFonts w:hint="eastAsia" w:ascii="宋体" w:hAnsi="宋体" w:cs="宋体"/>
          <w:sz w:val="24"/>
        </w:rPr>
      </w:pPr>
      <w:r>
        <w:rPr>
          <w:rFonts w:hint="eastAsia" w:ascii="宋体" w:hAnsi="宋体" w:cs="宋体"/>
          <w:sz w:val="24"/>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637382DA">
      <w:pPr>
        <w:spacing w:line="500" w:lineRule="exact"/>
        <w:ind w:firstLine="480" w:firstLineChars="200"/>
        <w:rPr>
          <w:rFonts w:hint="eastAsia" w:ascii="宋体" w:hAnsi="宋体" w:cs="宋体"/>
          <w:sz w:val="24"/>
        </w:rPr>
      </w:pPr>
      <w:r>
        <w:rPr>
          <w:rFonts w:hint="eastAsia" w:ascii="宋体" w:hAnsi="宋体" w:cs="宋体"/>
          <w:sz w:val="24"/>
        </w:rPr>
        <w:t>13.5.2 监理人未到场检查</w:t>
      </w:r>
    </w:p>
    <w:p w14:paraId="575904C5">
      <w:pPr>
        <w:spacing w:line="500" w:lineRule="exact"/>
        <w:ind w:firstLine="480" w:firstLineChars="200"/>
        <w:rPr>
          <w:rFonts w:hint="eastAsia" w:ascii="宋体" w:hAnsi="宋体" w:cs="宋体"/>
          <w:sz w:val="24"/>
        </w:rPr>
      </w:pPr>
      <w:r>
        <w:rPr>
          <w:rFonts w:hint="eastAsia" w:ascii="宋体" w:hAnsi="宋体" w:cs="宋体"/>
          <w:sz w:val="24"/>
        </w:rPr>
        <w:t>监理人未按第13.5.1项约定的时间进行检查的，除监理人另有指示外，承包人可自行完成覆盖工作，并作相应记录报送监理人，监理人应签字确认。监理人事后对检查记录有疑问的，可按第13.5.3项的约定重新检查。</w:t>
      </w:r>
    </w:p>
    <w:p w14:paraId="3D58D9C3">
      <w:pPr>
        <w:spacing w:line="500" w:lineRule="exact"/>
        <w:ind w:firstLine="480" w:firstLineChars="200"/>
        <w:rPr>
          <w:rFonts w:hint="eastAsia" w:ascii="宋体" w:hAnsi="宋体" w:cs="宋体"/>
          <w:sz w:val="24"/>
        </w:rPr>
      </w:pPr>
      <w:r>
        <w:rPr>
          <w:rFonts w:hint="eastAsia" w:ascii="宋体" w:hAnsi="宋体" w:cs="宋体"/>
          <w:sz w:val="24"/>
        </w:rPr>
        <w:t>13.5.3 监理人重新检查</w:t>
      </w:r>
    </w:p>
    <w:p w14:paraId="5809D557">
      <w:pPr>
        <w:spacing w:line="500" w:lineRule="exact"/>
        <w:ind w:firstLine="480" w:firstLineChars="200"/>
        <w:rPr>
          <w:rFonts w:hint="eastAsia" w:ascii="宋体" w:hAnsi="宋体" w:cs="宋体"/>
          <w:sz w:val="24"/>
        </w:rPr>
      </w:pPr>
      <w:r>
        <w:rPr>
          <w:rFonts w:hint="eastAsia" w:ascii="宋体" w:hAnsi="宋体" w:cs="宋体"/>
          <w:sz w:val="24"/>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2FB34FCE">
      <w:pPr>
        <w:spacing w:line="500" w:lineRule="exact"/>
        <w:ind w:firstLine="480" w:firstLineChars="200"/>
        <w:rPr>
          <w:rFonts w:hint="eastAsia" w:ascii="宋体" w:hAnsi="宋体" w:cs="宋体"/>
          <w:sz w:val="24"/>
        </w:rPr>
      </w:pPr>
      <w:r>
        <w:rPr>
          <w:rFonts w:hint="eastAsia" w:ascii="宋体" w:hAnsi="宋体" w:cs="宋体"/>
          <w:sz w:val="24"/>
        </w:rPr>
        <w:t>13.5.4 承包人私自覆盖</w:t>
      </w:r>
    </w:p>
    <w:p w14:paraId="0E5FFF03">
      <w:pPr>
        <w:spacing w:line="500" w:lineRule="exact"/>
        <w:ind w:firstLine="480" w:firstLineChars="200"/>
        <w:rPr>
          <w:rFonts w:hint="eastAsia" w:ascii="宋体" w:hAnsi="宋体" w:cs="宋体"/>
          <w:sz w:val="24"/>
        </w:rPr>
      </w:pPr>
      <w:r>
        <w:rPr>
          <w:rFonts w:hint="eastAsia" w:ascii="宋体" w:hAnsi="宋体" w:cs="宋体"/>
          <w:sz w:val="24"/>
        </w:rPr>
        <w:t>承包人未通知监理人到场检查，私自将工程隐蔽部位覆盖的，监理人有权指示承包人钻孔探测或揭开检查，由此增加的费用和（或）工期延误由承包人承担。</w:t>
      </w:r>
    </w:p>
    <w:p w14:paraId="27C097BC">
      <w:pPr>
        <w:spacing w:line="500" w:lineRule="exact"/>
        <w:outlineLvl w:val="3"/>
        <w:rPr>
          <w:rFonts w:hint="eastAsia" w:ascii="宋体" w:hAnsi="宋体" w:cs="宋体"/>
          <w:sz w:val="24"/>
        </w:rPr>
      </w:pPr>
      <w:r>
        <w:rPr>
          <w:rFonts w:hint="eastAsia" w:ascii="宋体" w:hAnsi="宋体" w:cs="宋体"/>
          <w:sz w:val="24"/>
        </w:rPr>
        <w:t>13.6 清除不合格工程</w:t>
      </w:r>
    </w:p>
    <w:p w14:paraId="74F375AB">
      <w:pPr>
        <w:spacing w:line="500" w:lineRule="exact"/>
        <w:ind w:firstLine="480" w:firstLineChars="200"/>
        <w:rPr>
          <w:rFonts w:hint="eastAsia" w:ascii="宋体" w:hAnsi="宋体" w:cs="宋体"/>
          <w:sz w:val="24"/>
        </w:rPr>
      </w:pPr>
      <w:r>
        <w:rPr>
          <w:rFonts w:hint="eastAsia" w:ascii="宋体" w:hAnsi="宋体" w:cs="宋体"/>
          <w:sz w:val="24"/>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3C3C80DA">
      <w:pPr>
        <w:spacing w:line="500" w:lineRule="exact"/>
        <w:ind w:firstLine="480" w:firstLineChars="200"/>
        <w:rPr>
          <w:rFonts w:hint="eastAsia" w:ascii="宋体" w:hAnsi="宋体" w:cs="宋体"/>
          <w:sz w:val="24"/>
        </w:rPr>
      </w:pPr>
      <w:r>
        <w:rPr>
          <w:rFonts w:hint="eastAsia" w:ascii="宋体" w:hAnsi="宋体" w:cs="宋体"/>
          <w:sz w:val="24"/>
        </w:rPr>
        <w:t>13.6.2 由于发包人提供的材料或工程设备不合格造成的工程不合格，需要承包人采取措施补救的，发包人应承担由此增加的费用和（或）工期延误，并支付承包人合理利润。</w:t>
      </w:r>
    </w:p>
    <w:p w14:paraId="114D146A">
      <w:pPr>
        <w:spacing w:line="500" w:lineRule="exact"/>
        <w:outlineLvl w:val="3"/>
        <w:rPr>
          <w:rFonts w:hint="eastAsia" w:ascii="宋体" w:hAnsi="宋体" w:cs="宋体"/>
          <w:sz w:val="24"/>
        </w:rPr>
      </w:pPr>
      <w:r>
        <w:rPr>
          <w:rFonts w:hint="eastAsia" w:ascii="宋体" w:hAnsi="宋体" w:cs="宋体"/>
          <w:sz w:val="24"/>
        </w:rPr>
        <w:t>13.7 质量评定</w:t>
      </w:r>
    </w:p>
    <w:p w14:paraId="569BDB2F">
      <w:pPr>
        <w:spacing w:line="500" w:lineRule="exact"/>
        <w:rPr>
          <w:rFonts w:hint="eastAsia" w:ascii="宋体" w:hAnsi="宋体" w:cs="宋体"/>
          <w:sz w:val="24"/>
        </w:rPr>
      </w:pPr>
      <w:r>
        <w:rPr>
          <w:rFonts w:hint="eastAsia" w:ascii="宋体" w:hAnsi="宋体" w:cs="宋体"/>
          <w:sz w:val="24"/>
        </w:rPr>
        <w:t>　　13.7.1 发包人应组织承包人进行工程项目划分，并确定单位工程、主要分部工程、重要隐蔽单元工程和关键部位单元工程。</w:t>
      </w:r>
    </w:p>
    <w:p w14:paraId="35988AF4">
      <w:pPr>
        <w:spacing w:line="500" w:lineRule="exact"/>
        <w:rPr>
          <w:rFonts w:hint="eastAsia" w:ascii="宋体" w:hAnsi="宋体" w:cs="宋体"/>
          <w:sz w:val="24"/>
        </w:rPr>
      </w:pPr>
      <w:r>
        <w:rPr>
          <w:rFonts w:hint="eastAsia" w:ascii="宋体" w:hAnsi="宋体" w:cs="宋体"/>
          <w:sz w:val="24"/>
        </w:rPr>
        <w:t>　　13.7.2 工程实施过程中，单位工程、主要分部工程、重要隐蔽单元工程和关键部位单元工程的项目划分需要调整时，承包人应报发包人确认。</w:t>
      </w:r>
    </w:p>
    <w:p w14:paraId="5AF04454">
      <w:pPr>
        <w:spacing w:line="500" w:lineRule="exact"/>
        <w:rPr>
          <w:rFonts w:hint="eastAsia" w:ascii="宋体" w:hAnsi="宋体" w:cs="宋体"/>
          <w:sz w:val="24"/>
        </w:rPr>
      </w:pPr>
      <w:r>
        <w:rPr>
          <w:rFonts w:hint="eastAsia" w:ascii="宋体" w:hAnsi="宋体" w:cs="宋体"/>
          <w:sz w:val="24"/>
        </w:rPr>
        <w:t>　　13.7.3 承包人应在单元(工序)工程质量自评合格后，报监理人核定质量等级并签证认可。</w:t>
      </w:r>
    </w:p>
    <w:p w14:paraId="2AC4D238">
      <w:pPr>
        <w:spacing w:line="500" w:lineRule="exact"/>
        <w:rPr>
          <w:rFonts w:hint="eastAsia" w:ascii="宋体" w:hAnsi="宋体" w:cs="宋体"/>
          <w:sz w:val="24"/>
        </w:rPr>
      </w:pPr>
      <w:r>
        <w:rPr>
          <w:rFonts w:hint="eastAsia" w:ascii="宋体" w:hAnsi="宋体" w:cs="宋体"/>
          <w:sz w:val="24"/>
        </w:rPr>
        <w:t>　　13.7.4 除专用合同条款另有约定外，承包人应在重要隐蔽单元工程和关键部位单元工程质量自评合格以及监理人抽检后，由监理人组织承包人等单位组成的联合小组，共同检查核定其质量等级并填写签证表。发包人按有关规定完成质量结论报工程质量监督机构核备手续。</w:t>
      </w:r>
    </w:p>
    <w:p w14:paraId="7C4EDA39">
      <w:pPr>
        <w:spacing w:line="500" w:lineRule="exact"/>
        <w:rPr>
          <w:rFonts w:hint="eastAsia" w:ascii="宋体" w:hAnsi="宋体" w:cs="宋体"/>
          <w:sz w:val="24"/>
        </w:rPr>
      </w:pPr>
      <w:r>
        <w:rPr>
          <w:rFonts w:hint="eastAsia" w:ascii="宋体" w:hAnsi="宋体" w:cs="宋体"/>
          <w:sz w:val="24"/>
        </w:rPr>
        <w:t>　　13.7.5 承包人应在分部工程质量自评合格后，报监理人复核和发包人认定。发包人负责按有关规定完成分部工程质量结论报工程质量监督机构核备(核定)手续。</w:t>
      </w:r>
    </w:p>
    <w:p w14:paraId="0244A550">
      <w:pPr>
        <w:spacing w:line="500" w:lineRule="exact"/>
        <w:rPr>
          <w:rFonts w:hint="eastAsia" w:ascii="宋体" w:hAnsi="宋体" w:cs="宋体"/>
          <w:sz w:val="24"/>
        </w:rPr>
      </w:pPr>
      <w:r>
        <w:rPr>
          <w:rFonts w:hint="eastAsia" w:ascii="宋体" w:hAnsi="宋体" w:cs="宋体"/>
          <w:sz w:val="24"/>
        </w:rPr>
        <w:t>　　13.7.6 承包人应在单位工程质量自评合格后，报监理人复核和发包人认定。发包人负责按有关规定完成单位工程质量结论报工程质量监督机构核定手续。</w:t>
      </w:r>
    </w:p>
    <w:p w14:paraId="731DA28C">
      <w:pPr>
        <w:spacing w:line="500" w:lineRule="exact"/>
        <w:rPr>
          <w:rFonts w:hint="eastAsia" w:ascii="宋体" w:hAnsi="宋体" w:cs="宋体"/>
          <w:sz w:val="24"/>
        </w:rPr>
      </w:pPr>
      <w:r>
        <w:rPr>
          <w:rFonts w:hint="eastAsia" w:ascii="宋体" w:hAnsi="宋体" w:cs="宋体"/>
          <w:sz w:val="24"/>
        </w:rPr>
        <w:t>　　13.7.7 除专用合同条款另有约定外，工程质量等级分为合格和优良，应分别达到约定的标准。</w:t>
      </w:r>
    </w:p>
    <w:p w14:paraId="752DFD7B">
      <w:pPr>
        <w:spacing w:line="500" w:lineRule="exact"/>
        <w:outlineLvl w:val="3"/>
        <w:rPr>
          <w:rFonts w:hint="eastAsia" w:ascii="宋体" w:hAnsi="宋体" w:cs="宋体"/>
          <w:sz w:val="24"/>
        </w:rPr>
      </w:pPr>
      <w:r>
        <w:rPr>
          <w:rFonts w:hint="eastAsia" w:ascii="宋体" w:hAnsi="宋体" w:cs="宋体"/>
          <w:sz w:val="24"/>
        </w:rPr>
        <w:t>13.8 质量事故处理</w:t>
      </w:r>
    </w:p>
    <w:p w14:paraId="7EFCC10C">
      <w:pPr>
        <w:spacing w:line="500" w:lineRule="exact"/>
        <w:rPr>
          <w:rFonts w:hint="eastAsia" w:ascii="宋体" w:hAnsi="宋体" w:cs="宋体"/>
          <w:sz w:val="24"/>
        </w:rPr>
      </w:pPr>
      <w:r>
        <w:rPr>
          <w:rFonts w:hint="eastAsia" w:ascii="宋体" w:hAnsi="宋体" w:cs="宋体"/>
          <w:sz w:val="24"/>
        </w:rPr>
        <w:t>　　13.8.1 发生质量事故时，承包人应及时向发包人和监理人报告。</w:t>
      </w:r>
    </w:p>
    <w:p w14:paraId="5C54A310">
      <w:pPr>
        <w:spacing w:line="500" w:lineRule="exact"/>
        <w:rPr>
          <w:rFonts w:hint="eastAsia" w:ascii="宋体" w:hAnsi="宋体" w:cs="宋体"/>
          <w:sz w:val="24"/>
        </w:rPr>
      </w:pPr>
      <w:r>
        <w:rPr>
          <w:rFonts w:hint="eastAsia" w:ascii="宋体" w:hAnsi="宋体" w:cs="宋体"/>
          <w:sz w:val="24"/>
        </w:rPr>
        <w:t>　　13.8.2 质量事故调查处理由发包人按相关规定履行手续，承包人应配合。</w:t>
      </w:r>
    </w:p>
    <w:p w14:paraId="2511432A">
      <w:pPr>
        <w:spacing w:line="500" w:lineRule="exact"/>
        <w:rPr>
          <w:rFonts w:hint="eastAsia" w:ascii="宋体" w:hAnsi="宋体" w:cs="宋体"/>
          <w:sz w:val="24"/>
        </w:rPr>
      </w:pPr>
      <w:r>
        <w:rPr>
          <w:rFonts w:hint="eastAsia" w:ascii="宋体" w:hAnsi="宋体" w:cs="宋体"/>
          <w:sz w:val="24"/>
        </w:rPr>
        <w:t>　　13.8.3 承包人应对质量缺陷进行备案。发包人委托监理人对质量缺陷备案情况进行监督检查并履行相关手续。</w:t>
      </w:r>
    </w:p>
    <w:p w14:paraId="23D1ADD4">
      <w:pPr>
        <w:spacing w:line="500" w:lineRule="exact"/>
        <w:rPr>
          <w:rFonts w:hint="eastAsia" w:ascii="宋体" w:hAnsi="宋体" w:cs="宋体"/>
          <w:sz w:val="24"/>
        </w:rPr>
      </w:pPr>
      <w:r>
        <w:rPr>
          <w:rFonts w:hint="eastAsia" w:ascii="宋体" w:hAnsi="宋体" w:cs="宋体"/>
          <w:sz w:val="24"/>
        </w:rPr>
        <w:t>　　13.8.4 除专用合同条款另有约定外，工程竣工验收时，发包人负责向竣工验收委员会汇报并提交历次质量缺陷处理的备案资料。</w:t>
      </w:r>
    </w:p>
    <w:p w14:paraId="31115EED">
      <w:pPr>
        <w:spacing w:line="500" w:lineRule="exact"/>
        <w:outlineLvl w:val="2"/>
        <w:rPr>
          <w:rFonts w:hint="eastAsia" w:ascii="宋体" w:hAnsi="宋体" w:cs="宋体"/>
          <w:sz w:val="24"/>
        </w:rPr>
      </w:pPr>
      <w:bookmarkStart w:id="350" w:name="_Toc256000130"/>
      <w:bookmarkStart w:id="351" w:name="_Toc256000099"/>
      <w:bookmarkStart w:id="352" w:name="_Toc7076"/>
      <w:bookmarkStart w:id="353" w:name="_Toc18503"/>
      <w:r>
        <w:rPr>
          <w:rFonts w:hint="eastAsia" w:ascii="宋体" w:hAnsi="宋体" w:cs="宋体"/>
          <w:sz w:val="24"/>
        </w:rPr>
        <w:t>14. 试验和检验</w:t>
      </w:r>
      <w:bookmarkEnd w:id="350"/>
      <w:bookmarkEnd w:id="351"/>
      <w:bookmarkEnd w:id="352"/>
      <w:bookmarkEnd w:id="353"/>
    </w:p>
    <w:p w14:paraId="12ACB852">
      <w:pPr>
        <w:spacing w:line="500" w:lineRule="exact"/>
        <w:outlineLvl w:val="3"/>
        <w:rPr>
          <w:rFonts w:hint="eastAsia" w:ascii="宋体" w:hAnsi="宋体" w:cs="宋体"/>
          <w:sz w:val="24"/>
        </w:rPr>
      </w:pPr>
      <w:r>
        <w:rPr>
          <w:rFonts w:hint="eastAsia" w:ascii="宋体" w:hAnsi="宋体" w:cs="宋体"/>
          <w:sz w:val="24"/>
        </w:rPr>
        <w:t>14.1 材料、工程设备和工程的试验和检验</w:t>
      </w:r>
    </w:p>
    <w:p w14:paraId="686A864A">
      <w:pPr>
        <w:spacing w:line="500" w:lineRule="exact"/>
        <w:ind w:firstLine="480" w:firstLineChars="200"/>
        <w:rPr>
          <w:rFonts w:hint="eastAsia" w:ascii="宋体" w:hAnsi="宋体" w:cs="宋体"/>
          <w:sz w:val="24"/>
        </w:rPr>
      </w:pPr>
      <w:r>
        <w:rPr>
          <w:rFonts w:hint="eastAsia" w:ascii="宋体" w:hAnsi="宋体" w:cs="宋体"/>
          <w:sz w:val="24"/>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68AF2037">
      <w:pPr>
        <w:spacing w:line="500" w:lineRule="exact"/>
        <w:ind w:firstLine="480" w:firstLineChars="200"/>
        <w:rPr>
          <w:rFonts w:hint="eastAsia" w:ascii="宋体" w:hAnsi="宋体" w:cs="宋体"/>
          <w:sz w:val="24"/>
        </w:rPr>
      </w:pPr>
      <w:r>
        <w:rPr>
          <w:rFonts w:hint="eastAsia" w:ascii="宋体" w:hAnsi="宋体" w:cs="宋体"/>
          <w:sz w:val="24"/>
        </w:rPr>
        <w:t>14.1.2 监理人未按合同约定派员参加试验和检验的，除监理人另有指示外，承包人可自行试验和检验，并应立即将试验和检验结果报送监理人，监理人应签字确认。</w:t>
      </w:r>
    </w:p>
    <w:p w14:paraId="5B0AB122">
      <w:pPr>
        <w:spacing w:line="500" w:lineRule="exact"/>
        <w:ind w:firstLine="480" w:firstLineChars="200"/>
        <w:rPr>
          <w:rFonts w:hint="eastAsia" w:ascii="宋体" w:hAnsi="宋体" w:cs="宋体"/>
          <w:sz w:val="24"/>
        </w:rPr>
      </w:pPr>
      <w:r>
        <w:rPr>
          <w:rFonts w:hint="eastAsia" w:ascii="宋体" w:hAnsi="宋体" w:cs="宋体"/>
          <w:sz w:val="24"/>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17900398">
      <w:pPr>
        <w:spacing w:line="500" w:lineRule="exact"/>
        <w:ind w:firstLine="480" w:firstLineChars="200"/>
        <w:rPr>
          <w:rFonts w:hint="eastAsia" w:ascii="宋体" w:hAnsi="宋体" w:cs="宋体"/>
          <w:sz w:val="24"/>
        </w:rPr>
      </w:pPr>
      <w:r>
        <w:rPr>
          <w:rFonts w:hint="eastAsia" w:ascii="宋体" w:hAnsi="宋体" w:cs="宋体"/>
          <w:sz w:val="24"/>
        </w:rPr>
        <w:t>14.1.4　承包人应按相关规定和标准对水泥、钢材等原材料与中间产品质量进行检验，并报监理人复核。</w:t>
      </w:r>
    </w:p>
    <w:p w14:paraId="443FEA7F">
      <w:pPr>
        <w:spacing w:line="500" w:lineRule="exact"/>
        <w:rPr>
          <w:rFonts w:hint="eastAsia" w:ascii="宋体" w:hAnsi="宋体" w:cs="宋体"/>
          <w:sz w:val="24"/>
        </w:rPr>
      </w:pPr>
      <w:r>
        <w:rPr>
          <w:rFonts w:hint="eastAsia" w:ascii="宋体" w:hAnsi="宋体" w:cs="宋体"/>
          <w:sz w:val="24"/>
        </w:rPr>
        <w:t>　　14.1.5　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14:paraId="1FF4FDFB">
      <w:pPr>
        <w:spacing w:line="500" w:lineRule="exact"/>
        <w:ind w:firstLine="420"/>
        <w:rPr>
          <w:rFonts w:hint="eastAsia" w:ascii="宋体" w:hAnsi="宋体" w:cs="宋体"/>
          <w:sz w:val="24"/>
        </w:rPr>
      </w:pPr>
      <w:r>
        <w:rPr>
          <w:rFonts w:hint="eastAsia" w:ascii="宋体" w:hAnsi="宋体" w:cs="宋体"/>
          <w:sz w:val="24"/>
        </w:rPr>
        <w:t>14.1.6　对专用合同条款约定的试块、试件及有关材料，监理人实行见证取样。见证取样资料由承包人制备，记录应真实齐全，监理人、承包人等参与见证取样人员均应在相关文件上签字。</w:t>
      </w:r>
    </w:p>
    <w:p w14:paraId="7FEB2D34">
      <w:pPr>
        <w:spacing w:line="500" w:lineRule="exact"/>
        <w:outlineLvl w:val="3"/>
        <w:rPr>
          <w:rFonts w:hint="eastAsia" w:ascii="宋体" w:hAnsi="宋体" w:cs="宋体"/>
          <w:sz w:val="24"/>
        </w:rPr>
      </w:pPr>
      <w:r>
        <w:rPr>
          <w:rFonts w:hint="eastAsia" w:ascii="宋体" w:hAnsi="宋体" w:cs="宋体"/>
          <w:sz w:val="24"/>
        </w:rPr>
        <w:t>14.2 现场材料试验</w:t>
      </w:r>
    </w:p>
    <w:p w14:paraId="3EB3B962">
      <w:pPr>
        <w:spacing w:line="500" w:lineRule="exact"/>
        <w:ind w:firstLine="480" w:firstLineChars="200"/>
        <w:rPr>
          <w:rFonts w:hint="eastAsia" w:ascii="宋体" w:hAnsi="宋体" w:cs="宋体"/>
          <w:sz w:val="24"/>
        </w:rPr>
      </w:pPr>
      <w:r>
        <w:rPr>
          <w:rFonts w:hint="eastAsia" w:ascii="宋体" w:hAnsi="宋体" w:cs="宋体"/>
          <w:sz w:val="24"/>
        </w:rPr>
        <w:t>14.2.1 承包人根据合同约定或监理人指示进行的现场材料试验，应由承包人提供试验场所、试验人员、试验设备器材以及其他必要的试验条件。</w:t>
      </w:r>
    </w:p>
    <w:p w14:paraId="1F205252">
      <w:pPr>
        <w:spacing w:line="500" w:lineRule="exact"/>
        <w:ind w:firstLine="480" w:firstLineChars="200"/>
        <w:rPr>
          <w:rFonts w:hint="eastAsia" w:ascii="宋体" w:hAnsi="宋体" w:cs="宋体"/>
          <w:sz w:val="24"/>
        </w:rPr>
      </w:pPr>
      <w:r>
        <w:rPr>
          <w:rFonts w:hint="eastAsia" w:ascii="宋体" w:hAnsi="宋体" w:cs="宋体"/>
          <w:sz w:val="24"/>
        </w:rPr>
        <w:t>14.2.2 监理人在必要时可以使用承包人的试验场所、试验设备器材以及其他试验条件，进行以工程质量检查为目的的复核性材料试验，承包人应予以协助。</w:t>
      </w:r>
    </w:p>
    <w:p w14:paraId="2C095689">
      <w:pPr>
        <w:spacing w:line="500" w:lineRule="exact"/>
        <w:outlineLvl w:val="3"/>
        <w:rPr>
          <w:rFonts w:hint="eastAsia" w:ascii="宋体" w:hAnsi="宋体" w:cs="宋体"/>
          <w:sz w:val="24"/>
        </w:rPr>
      </w:pPr>
      <w:r>
        <w:rPr>
          <w:rFonts w:hint="eastAsia" w:ascii="宋体" w:hAnsi="宋体" w:cs="宋体"/>
          <w:sz w:val="24"/>
        </w:rPr>
        <w:t>14.3 现场工艺试验</w:t>
      </w:r>
    </w:p>
    <w:p w14:paraId="0DFB13A6">
      <w:pPr>
        <w:spacing w:line="500" w:lineRule="exact"/>
        <w:ind w:firstLine="480" w:firstLineChars="200"/>
        <w:rPr>
          <w:rFonts w:hint="eastAsia" w:ascii="宋体" w:hAnsi="宋体" w:cs="宋体"/>
          <w:sz w:val="24"/>
        </w:rPr>
      </w:pPr>
      <w:r>
        <w:rPr>
          <w:rFonts w:hint="eastAsia" w:ascii="宋体" w:hAnsi="宋体" w:cs="宋体"/>
          <w:sz w:val="24"/>
        </w:rPr>
        <w:t>承包人应按合同约定或监理人指示进行现场工艺试验。对大型的现场工艺试验，监理人认为必要时，应由承包人根据监理人提出的工艺试验要求，编制工艺试验措施计划，报送监理人审批。</w:t>
      </w:r>
    </w:p>
    <w:p w14:paraId="32074339">
      <w:pPr>
        <w:spacing w:line="500" w:lineRule="exact"/>
        <w:outlineLvl w:val="2"/>
        <w:rPr>
          <w:rFonts w:hint="eastAsia" w:ascii="宋体" w:hAnsi="宋体" w:cs="宋体"/>
          <w:sz w:val="24"/>
        </w:rPr>
      </w:pPr>
      <w:bookmarkStart w:id="354" w:name="_Toc256000100"/>
      <w:bookmarkStart w:id="355" w:name="_Toc3528"/>
      <w:bookmarkStart w:id="356" w:name="_Toc21696"/>
      <w:bookmarkStart w:id="357" w:name="_Toc256000131"/>
      <w:r>
        <w:rPr>
          <w:rFonts w:hint="eastAsia" w:ascii="宋体" w:hAnsi="宋体" w:cs="宋体"/>
          <w:sz w:val="24"/>
        </w:rPr>
        <w:t>15. 变更</w:t>
      </w:r>
      <w:bookmarkEnd w:id="354"/>
      <w:bookmarkEnd w:id="355"/>
      <w:bookmarkEnd w:id="356"/>
      <w:bookmarkEnd w:id="357"/>
    </w:p>
    <w:p w14:paraId="321E34B0">
      <w:pPr>
        <w:spacing w:line="500" w:lineRule="exact"/>
        <w:outlineLvl w:val="3"/>
        <w:rPr>
          <w:rFonts w:hint="eastAsia" w:ascii="宋体" w:hAnsi="宋体" w:cs="宋体"/>
          <w:sz w:val="24"/>
        </w:rPr>
      </w:pPr>
      <w:r>
        <w:rPr>
          <w:rFonts w:hint="eastAsia" w:ascii="宋体" w:hAnsi="宋体" w:cs="宋体"/>
          <w:sz w:val="24"/>
        </w:rPr>
        <w:t>15.1 变更的范围和内容</w:t>
      </w:r>
    </w:p>
    <w:p w14:paraId="25D35207">
      <w:pPr>
        <w:spacing w:line="500" w:lineRule="exact"/>
        <w:rPr>
          <w:rFonts w:hint="eastAsia" w:ascii="宋体" w:hAnsi="宋体" w:cs="宋体"/>
          <w:sz w:val="24"/>
        </w:rPr>
      </w:pPr>
      <w:r>
        <w:rPr>
          <w:rFonts w:hint="eastAsia" w:ascii="宋体" w:hAnsi="宋体" w:cs="宋体"/>
          <w:sz w:val="24"/>
        </w:rPr>
        <w:t>　　在履行合同中发生以下情形之一，应按照本款规定进行变更。</w:t>
      </w:r>
    </w:p>
    <w:p w14:paraId="76112F07">
      <w:pPr>
        <w:spacing w:line="500" w:lineRule="exact"/>
        <w:rPr>
          <w:rFonts w:hint="eastAsia" w:ascii="宋体" w:hAnsi="宋体" w:cs="宋体"/>
          <w:sz w:val="24"/>
        </w:rPr>
      </w:pPr>
      <w:r>
        <w:rPr>
          <w:rFonts w:hint="eastAsia" w:ascii="宋体" w:hAnsi="宋体" w:cs="宋体"/>
          <w:sz w:val="24"/>
        </w:rPr>
        <w:t>　　(1)取消合同中任何一项工作，但被取消的工作不能转由发包人或其它人实施；</w:t>
      </w:r>
    </w:p>
    <w:p w14:paraId="212BD1AF">
      <w:pPr>
        <w:spacing w:line="500" w:lineRule="exact"/>
        <w:rPr>
          <w:rFonts w:hint="eastAsia" w:ascii="宋体" w:hAnsi="宋体" w:cs="宋体"/>
          <w:sz w:val="24"/>
        </w:rPr>
      </w:pPr>
      <w:r>
        <w:rPr>
          <w:rFonts w:hint="eastAsia" w:ascii="宋体" w:hAnsi="宋体" w:cs="宋体"/>
          <w:sz w:val="24"/>
        </w:rPr>
        <w:t>　　(2)改变合同中任何一项工作的质量或其它特性；</w:t>
      </w:r>
    </w:p>
    <w:p w14:paraId="4F9EA877">
      <w:pPr>
        <w:spacing w:line="500" w:lineRule="exact"/>
        <w:rPr>
          <w:rFonts w:hint="eastAsia" w:ascii="宋体" w:hAnsi="宋体" w:cs="宋体"/>
          <w:sz w:val="24"/>
        </w:rPr>
      </w:pPr>
      <w:r>
        <w:rPr>
          <w:rFonts w:hint="eastAsia" w:ascii="宋体" w:hAnsi="宋体" w:cs="宋体"/>
          <w:sz w:val="24"/>
        </w:rPr>
        <w:t>　　(3)改变合同工程的基线、标高、位置或尺寸；</w:t>
      </w:r>
    </w:p>
    <w:p w14:paraId="31803FAB">
      <w:pPr>
        <w:spacing w:line="500" w:lineRule="exact"/>
        <w:rPr>
          <w:rFonts w:hint="eastAsia" w:ascii="宋体" w:hAnsi="宋体" w:cs="宋体"/>
          <w:sz w:val="24"/>
        </w:rPr>
      </w:pPr>
      <w:r>
        <w:rPr>
          <w:rFonts w:hint="eastAsia" w:ascii="宋体" w:hAnsi="宋体" w:cs="宋体"/>
          <w:sz w:val="24"/>
        </w:rPr>
        <w:t>　　(4)改变合同中任何一项工作的施工时间或改变已批准的施工工艺或顺序；</w:t>
      </w:r>
    </w:p>
    <w:p w14:paraId="2864CBEF">
      <w:pPr>
        <w:spacing w:line="500" w:lineRule="exact"/>
        <w:rPr>
          <w:rFonts w:hint="eastAsia" w:ascii="宋体" w:hAnsi="宋体" w:cs="宋体"/>
          <w:sz w:val="24"/>
        </w:rPr>
      </w:pPr>
      <w:r>
        <w:rPr>
          <w:rFonts w:hint="eastAsia" w:ascii="宋体" w:hAnsi="宋体" w:cs="宋体"/>
          <w:sz w:val="24"/>
        </w:rPr>
        <w:t>　　(5)为完成工程需要追加的额外工作；</w:t>
      </w:r>
    </w:p>
    <w:p w14:paraId="5557F2DB">
      <w:pPr>
        <w:spacing w:line="500" w:lineRule="exact"/>
        <w:rPr>
          <w:rFonts w:hint="eastAsia" w:ascii="宋体" w:hAnsi="宋体" w:cs="宋体"/>
          <w:sz w:val="24"/>
        </w:rPr>
      </w:pPr>
      <w:r>
        <w:rPr>
          <w:rFonts w:hint="eastAsia" w:ascii="宋体" w:hAnsi="宋体" w:cs="宋体"/>
          <w:sz w:val="24"/>
        </w:rPr>
        <w:t>　　(6)增加或减少专用合同条款中约定的关键项目工程量超过其工程总量的一定数量百分比。</w:t>
      </w:r>
    </w:p>
    <w:p w14:paraId="1FE6C377">
      <w:pPr>
        <w:spacing w:line="500" w:lineRule="exact"/>
        <w:ind w:firstLine="420"/>
        <w:rPr>
          <w:rFonts w:hint="eastAsia" w:ascii="宋体" w:hAnsi="宋体" w:cs="宋体"/>
          <w:sz w:val="24"/>
        </w:rPr>
      </w:pPr>
      <w:r>
        <w:rPr>
          <w:rFonts w:hint="eastAsia" w:ascii="宋体" w:hAnsi="宋体" w:cs="宋体"/>
          <w:sz w:val="24"/>
        </w:rPr>
        <w:t>上述第(1)～(6)目的变更内容引起工程施工组织和进度计划发生实质性变动和影响其原定的价格时，才予调整该项目的单价。第(6)目情形下单价调整方式在专用合同条款中约定。</w:t>
      </w:r>
    </w:p>
    <w:p w14:paraId="79F7970F">
      <w:pPr>
        <w:spacing w:line="500" w:lineRule="exact"/>
        <w:outlineLvl w:val="3"/>
        <w:rPr>
          <w:rFonts w:hint="eastAsia" w:ascii="宋体" w:hAnsi="宋体" w:cs="宋体"/>
          <w:sz w:val="24"/>
        </w:rPr>
      </w:pPr>
      <w:r>
        <w:rPr>
          <w:rFonts w:hint="eastAsia" w:ascii="宋体" w:hAnsi="宋体" w:cs="宋体"/>
          <w:sz w:val="24"/>
        </w:rPr>
        <w:t>15.2 变更权</w:t>
      </w:r>
    </w:p>
    <w:p w14:paraId="42D32776">
      <w:pPr>
        <w:spacing w:line="500" w:lineRule="exact"/>
        <w:ind w:firstLine="480" w:firstLineChars="200"/>
        <w:rPr>
          <w:rFonts w:hint="eastAsia" w:ascii="宋体" w:hAnsi="宋体" w:cs="宋体"/>
          <w:sz w:val="24"/>
        </w:rPr>
      </w:pPr>
      <w:r>
        <w:rPr>
          <w:rFonts w:hint="eastAsia" w:ascii="宋体" w:hAnsi="宋体" w:cs="宋体"/>
          <w:sz w:val="24"/>
        </w:rPr>
        <w:t>在履行合同过程中，经发包人同意，监理人可按第15.3款约定的变更程序向承包人作出变更指示，承包人应遵照执行。没有监理人的变更指示，承包人不得擅自变更。</w:t>
      </w:r>
    </w:p>
    <w:p w14:paraId="384C7144">
      <w:pPr>
        <w:spacing w:line="500" w:lineRule="exact"/>
        <w:outlineLvl w:val="3"/>
        <w:rPr>
          <w:rFonts w:hint="eastAsia" w:ascii="宋体" w:hAnsi="宋体" w:cs="宋体"/>
          <w:sz w:val="24"/>
        </w:rPr>
      </w:pPr>
      <w:r>
        <w:rPr>
          <w:rFonts w:hint="eastAsia" w:ascii="宋体" w:hAnsi="宋体" w:cs="宋体"/>
          <w:sz w:val="24"/>
        </w:rPr>
        <w:t>15.3 变更程序</w:t>
      </w:r>
    </w:p>
    <w:p w14:paraId="7C2F6686">
      <w:pPr>
        <w:spacing w:line="500" w:lineRule="exact"/>
        <w:ind w:firstLine="480" w:firstLineChars="200"/>
        <w:rPr>
          <w:rFonts w:hint="eastAsia" w:ascii="宋体" w:hAnsi="宋体" w:cs="宋体"/>
          <w:sz w:val="24"/>
        </w:rPr>
      </w:pPr>
      <w:r>
        <w:rPr>
          <w:rFonts w:hint="eastAsia" w:ascii="宋体" w:hAnsi="宋体" w:cs="宋体"/>
          <w:sz w:val="24"/>
        </w:rPr>
        <w:t>15.3.1 变更的提出</w:t>
      </w:r>
    </w:p>
    <w:p w14:paraId="64B28AE4">
      <w:pPr>
        <w:spacing w:line="500" w:lineRule="exact"/>
        <w:ind w:firstLine="480" w:firstLineChars="200"/>
        <w:rPr>
          <w:rFonts w:hint="eastAsia" w:ascii="宋体" w:hAnsi="宋体" w:cs="宋体"/>
          <w:sz w:val="24"/>
        </w:rPr>
      </w:pPr>
      <w:r>
        <w:rPr>
          <w:rFonts w:hint="eastAsia" w:ascii="宋体" w:hAnsi="宋体" w:cs="宋体"/>
          <w:sz w:val="24"/>
        </w:rPr>
        <w:t xml:space="preserve">（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 </w:t>
      </w:r>
    </w:p>
    <w:p w14:paraId="0B50ED9F">
      <w:pPr>
        <w:spacing w:line="500" w:lineRule="exact"/>
        <w:ind w:firstLine="480" w:firstLineChars="200"/>
        <w:rPr>
          <w:rFonts w:hint="eastAsia" w:ascii="宋体" w:hAnsi="宋体" w:cs="宋体"/>
          <w:sz w:val="24"/>
        </w:rPr>
      </w:pPr>
      <w:r>
        <w:rPr>
          <w:rFonts w:hint="eastAsia" w:ascii="宋体" w:hAnsi="宋体" w:cs="宋体"/>
          <w:sz w:val="24"/>
        </w:rPr>
        <w:t>（2）在合同履行过程中，发生第15.1款约定情形的，监理人应按照第15.3.3项约定向承包人发出变更指示。</w:t>
      </w:r>
    </w:p>
    <w:p w14:paraId="1317ACB8">
      <w:pPr>
        <w:spacing w:line="500" w:lineRule="exact"/>
        <w:ind w:firstLine="480" w:firstLineChars="200"/>
        <w:rPr>
          <w:rFonts w:hint="eastAsia" w:ascii="宋体" w:hAnsi="宋体" w:cs="宋体"/>
          <w:sz w:val="24"/>
        </w:rPr>
      </w:pPr>
      <w:r>
        <w:rPr>
          <w:rFonts w:hint="eastAsia" w:ascii="宋体" w:hAnsi="宋体" w:cs="宋体"/>
          <w:sz w:val="24"/>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14:paraId="3BE4501C">
      <w:pPr>
        <w:spacing w:line="500" w:lineRule="exact"/>
        <w:ind w:firstLine="480" w:firstLineChars="200"/>
        <w:rPr>
          <w:rFonts w:hint="eastAsia" w:ascii="宋体" w:hAnsi="宋体" w:cs="宋体"/>
          <w:sz w:val="24"/>
        </w:rPr>
      </w:pPr>
      <w:r>
        <w:rPr>
          <w:rFonts w:hint="eastAsia" w:ascii="宋体" w:hAnsi="宋体" w:cs="宋体"/>
          <w:sz w:val="24"/>
        </w:rPr>
        <w:t>（4）若承包人收到监理人的变更意向书后认为难以实施此项变更，应立即通知监理人，说明原因并附详细依据。监理人与承包人和发包人协商后确定撤销、改变或不改变原变更意向书。</w:t>
      </w:r>
    </w:p>
    <w:p w14:paraId="5B74B0BA">
      <w:pPr>
        <w:spacing w:line="500" w:lineRule="exact"/>
        <w:ind w:firstLine="480" w:firstLineChars="200"/>
        <w:rPr>
          <w:rFonts w:hint="eastAsia" w:ascii="宋体" w:hAnsi="宋体" w:cs="宋体"/>
          <w:sz w:val="24"/>
        </w:rPr>
      </w:pPr>
      <w:r>
        <w:rPr>
          <w:rFonts w:hint="eastAsia" w:ascii="宋体" w:hAnsi="宋体" w:cs="宋体"/>
          <w:sz w:val="24"/>
        </w:rPr>
        <w:t>15.3.2 变更估价</w:t>
      </w:r>
    </w:p>
    <w:p w14:paraId="1AB3E795">
      <w:pPr>
        <w:spacing w:line="500" w:lineRule="exact"/>
        <w:ind w:firstLine="480" w:firstLineChars="200"/>
        <w:rPr>
          <w:rFonts w:hint="eastAsia" w:ascii="宋体" w:hAnsi="宋体" w:cs="宋体"/>
          <w:sz w:val="24"/>
        </w:rPr>
      </w:pPr>
      <w:r>
        <w:rPr>
          <w:rFonts w:hint="eastAsia" w:ascii="宋体" w:hAnsi="宋体" w:cs="宋体"/>
          <w:sz w:val="24"/>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14:paraId="598CF222">
      <w:pPr>
        <w:spacing w:line="500" w:lineRule="exact"/>
        <w:ind w:firstLine="480" w:firstLineChars="200"/>
        <w:rPr>
          <w:rFonts w:hint="eastAsia" w:ascii="宋体" w:hAnsi="宋体" w:cs="宋体"/>
          <w:sz w:val="24"/>
        </w:rPr>
      </w:pPr>
      <w:r>
        <w:rPr>
          <w:rFonts w:hint="eastAsia" w:ascii="宋体" w:hAnsi="宋体" w:cs="宋体"/>
          <w:sz w:val="24"/>
        </w:rPr>
        <w:t>（2）变更工作影响工期的，承包人应提出调整工期的具体细节。监理人认为有必要时，可要求承包人提交要求提前或延长工期的施工进度计划及相应施工措施等详细资料。</w:t>
      </w:r>
    </w:p>
    <w:p w14:paraId="04CFBBA6">
      <w:pPr>
        <w:spacing w:line="500" w:lineRule="exact"/>
        <w:ind w:firstLine="480" w:firstLineChars="200"/>
        <w:rPr>
          <w:rFonts w:hint="eastAsia" w:ascii="宋体" w:hAnsi="宋体" w:cs="宋体"/>
          <w:sz w:val="24"/>
        </w:rPr>
      </w:pPr>
      <w:r>
        <w:rPr>
          <w:rFonts w:hint="eastAsia" w:ascii="宋体" w:hAnsi="宋体" w:cs="宋体"/>
          <w:sz w:val="24"/>
        </w:rPr>
        <w:t>（3）除专用合同条款对期限另有约定外，监理人收到承包人变更报价书后的14天内，根据第15.4款约定的估价原则，按照第3.5款商定或确定变更价格。</w:t>
      </w:r>
    </w:p>
    <w:p w14:paraId="39539516">
      <w:pPr>
        <w:spacing w:line="500" w:lineRule="exact"/>
        <w:ind w:firstLine="480" w:firstLineChars="200"/>
        <w:rPr>
          <w:rFonts w:hint="eastAsia" w:ascii="宋体" w:hAnsi="宋体" w:cs="宋体"/>
          <w:sz w:val="24"/>
        </w:rPr>
      </w:pPr>
      <w:r>
        <w:rPr>
          <w:rFonts w:hint="eastAsia" w:ascii="宋体" w:hAnsi="宋体" w:cs="宋体"/>
          <w:sz w:val="24"/>
        </w:rPr>
        <w:t>15.3.3 变更指示</w:t>
      </w:r>
    </w:p>
    <w:p w14:paraId="465A75E7">
      <w:pPr>
        <w:spacing w:line="500" w:lineRule="exact"/>
        <w:ind w:firstLine="480" w:firstLineChars="200"/>
        <w:rPr>
          <w:rFonts w:hint="eastAsia" w:ascii="宋体" w:hAnsi="宋体" w:cs="宋体"/>
          <w:sz w:val="24"/>
        </w:rPr>
      </w:pPr>
      <w:r>
        <w:rPr>
          <w:rFonts w:hint="eastAsia" w:ascii="宋体" w:hAnsi="宋体" w:cs="宋体"/>
          <w:sz w:val="24"/>
        </w:rPr>
        <w:t>（1）变更指示只能由监理人发出。</w:t>
      </w:r>
    </w:p>
    <w:p w14:paraId="2F76B9E2">
      <w:pPr>
        <w:spacing w:line="500" w:lineRule="exact"/>
        <w:ind w:firstLine="480" w:firstLineChars="200"/>
        <w:rPr>
          <w:rFonts w:hint="eastAsia" w:ascii="宋体" w:hAnsi="宋体" w:cs="宋体"/>
          <w:sz w:val="24"/>
        </w:rPr>
      </w:pPr>
      <w:r>
        <w:rPr>
          <w:rFonts w:hint="eastAsia" w:ascii="宋体" w:hAnsi="宋体" w:cs="宋体"/>
          <w:sz w:val="24"/>
        </w:rPr>
        <w:t>（2）变更指示应说明变更的目的、范围、变更内容以及变更的工程量及其进度和技术要求，并附有关图纸和文件。承包人收到变更指示后，应按变更指示进行变更工作。</w:t>
      </w:r>
    </w:p>
    <w:p w14:paraId="6DC5E916">
      <w:pPr>
        <w:spacing w:line="500" w:lineRule="exact"/>
        <w:outlineLvl w:val="3"/>
        <w:rPr>
          <w:rFonts w:hint="eastAsia" w:ascii="宋体" w:hAnsi="宋体" w:cs="宋体"/>
          <w:sz w:val="24"/>
        </w:rPr>
      </w:pPr>
      <w:r>
        <w:rPr>
          <w:rFonts w:hint="eastAsia" w:ascii="宋体" w:hAnsi="宋体" w:cs="宋体"/>
          <w:sz w:val="24"/>
        </w:rPr>
        <w:t>15.4 变更的估价原则</w:t>
      </w:r>
    </w:p>
    <w:p w14:paraId="42A72CC2">
      <w:pPr>
        <w:spacing w:line="500" w:lineRule="exact"/>
        <w:ind w:firstLine="480" w:firstLineChars="200"/>
        <w:rPr>
          <w:rFonts w:hint="eastAsia" w:ascii="宋体" w:hAnsi="宋体" w:cs="宋体"/>
          <w:sz w:val="24"/>
        </w:rPr>
      </w:pPr>
      <w:r>
        <w:rPr>
          <w:rFonts w:hint="eastAsia" w:ascii="宋体" w:hAnsi="宋体" w:cs="宋体"/>
          <w:sz w:val="24"/>
        </w:rPr>
        <w:t>除专用合同条款另有约定外，因变更引起的价格调整按照本款约定处理。</w:t>
      </w:r>
    </w:p>
    <w:p w14:paraId="74D87BE3">
      <w:pPr>
        <w:spacing w:line="500" w:lineRule="exact"/>
        <w:ind w:firstLine="480" w:firstLineChars="200"/>
        <w:rPr>
          <w:rFonts w:hint="eastAsia" w:ascii="宋体" w:hAnsi="宋体" w:cs="宋体"/>
          <w:sz w:val="24"/>
        </w:rPr>
      </w:pPr>
      <w:r>
        <w:rPr>
          <w:rFonts w:hint="eastAsia" w:ascii="宋体" w:hAnsi="宋体" w:cs="宋体"/>
          <w:sz w:val="24"/>
        </w:rPr>
        <w:t>15.4.1 已标价工程量清单中有适用于变更工作的子目的，采用该子目的单价。</w:t>
      </w:r>
    </w:p>
    <w:p w14:paraId="5CFA4A16">
      <w:pPr>
        <w:spacing w:line="500" w:lineRule="exact"/>
        <w:ind w:firstLine="480" w:firstLineChars="200"/>
        <w:rPr>
          <w:rFonts w:hint="eastAsia" w:ascii="宋体" w:hAnsi="宋体" w:cs="宋体"/>
          <w:sz w:val="24"/>
        </w:rPr>
      </w:pPr>
      <w:r>
        <w:rPr>
          <w:rFonts w:hint="eastAsia" w:ascii="宋体" w:hAnsi="宋体" w:cs="宋体"/>
          <w:sz w:val="24"/>
        </w:rPr>
        <w:t>15.4.2 已标价工程量清单中无适用于变更工作的子目，但有类似子目的，可在合理范围内参照类似子目的单价，由监理人按第3.5款商定或确定变更工作的单价。</w:t>
      </w:r>
    </w:p>
    <w:p w14:paraId="31642251">
      <w:pPr>
        <w:spacing w:line="500" w:lineRule="exact"/>
        <w:ind w:firstLine="480" w:firstLineChars="200"/>
        <w:rPr>
          <w:rFonts w:hint="eastAsia" w:ascii="宋体" w:hAnsi="宋体" w:cs="宋体"/>
          <w:sz w:val="24"/>
        </w:rPr>
      </w:pPr>
      <w:r>
        <w:rPr>
          <w:rFonts w:hint="eastAsia" w:ascii="宋体" w:hAnsi="宋体" w:cs="宋体"/>
          <w:sz w:val="24"/>
        </w:rPr>
        <w:t>15.4.3 已标价工程量清单中无适用或类似子目的单价，可按照成本加利润的原则，由监理人按第3.5款商定或确定变更工作的单价。</w:t>
      </w:r>
    </w:p>
    <w:p w14:paraId="7FE556D7">
      <w:pPr>
        <w:spacing w:line="500" w:lineRule="exact"/>
        <w:outlineLvl w:val="3"/>
        <w:rPr>
          <w:rFonts w:hint="eastAsia" w:ascii="宋体" w:hAnsi="宋体" w:cs="宋体"/>
          <w:sz w:val="24"/>
        </w:rPr>
      </w:pPr>
      <w:r>
        <w:rPr>
          <w:rFonts w:hint="eastAsia" w:ascii="宋体" w:hAnsi="宋体" w:cs="宋体"/>
          <w:sz w:val="24"/>
        </w:rPr>
        <w:t>15.5 承包人的合理化建议</w:t>
      </w:r>
    </w:p>
    <w:p w14:paraId="4C33366C">
      <w:pPr>
        <w:spacing w:line="500" w:lineRule="exact"/>
        <w:ind w:firstLine="480" w:firstLineChars="200"/>
        <w:rPr>
          <w:rFonts w:hint="eastAsia" w:ascii="宋体" w:hAnsi="宋体" w:cs="宋体"/>
          <w:sz w:val="24"/>
        </w:rPr>
      </w:pPr>
      <w:r>
        <w:rPr>
          <w:rFonts w:hint="eastAsia" w:ascii="宋体" w:hAnsi="宋体" w:cs="宋体"/>
          <w:sz w:val="24"/>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14:paraId="014C4DC9">
      <w:pPr>
        <w:spacing w:line="500" w:lineRule="exact"/>
        <w:ind w:firstLine="480" w:firstLineChars="200"/>
        <w:rPr>
          <w:rFonts w:hint="eastAsia" w:ascii="宋体" w:hAnsi="宋体" w:cs="宋体"/>
          <w:sz w:val="24"/>
        </w:rPr>
      </w:pPr>
      <w:r>
        <w:rPr>
          <w:rFonts w:hint="eastAsia" w:ascii="宋体" w:hAnsi="宋体" w:cs="宋体"/>
          <w:sz w:val="24"/>
        </w:rPr>
        <w:t>15.5.2 承包人提出的合理化建议降低了合同价格、缩短了工期或者提高了工程经济效益的，发包人可按国家有关规定在专用合同条款中约定给予奖励。</w:t>
      </w:r>
    </w:p>
    <w:p w14:paraId="1E97D94A">
      <w:pPr>
        <w:spacing w:line="500" w:lineRule="exact"/>
        <w:outlineLvl w:val="3"/>
        <w:rPr>
          <w:rFonts w:hint="eastAsia" w:ascii="宋体" w:hAnsi="宋体" w:cs="宋体"/>
          <w:sz w:val="24"/>
        </w:rPr>
      </w:pPr>
      <w:r>
        <w:rPr>
          <w:rFonts w:hint="eastAsia" w:ascii="宋体" w:hAnsi="宋体" w:cs="宋体"/>
          <w:sz w:val="24"/>
        </w:rPr>
        <w:t>15.6 暂列金额</w:t>
      </w:r>
    </w:p>
    <w:p w14:paraId="4D570EF5">
      <w:pPr>
        <w:spacing w:line="500" w:lineRule="exact"/>
        <w:ind w:firstLine="480" w:firstLineChars="200"/>
        <w:rPr>
          <w:rFonts w:hint="eastAsia" w:ascii="宋体" w:hAnsi="宋体" w:cs="宋体"/>
          <w:sz w:val="24"/>
        </w:rPr>
      </w:pPr>
      <w:r>
        <w:rPr>
          <w:rFonts w:hint="eastAsia" w:ascii="宋体" w:hAnsi="宋体" w:cs="宋体"/>
          <w:sz w:val="24"/>
        </w:rPr>
        <w:t>暂列金额只能按照监理人的指示使用，并对合同价格进行相应调整。</w:t>
      </w:r>
    </w:p>
    <w:p w14:paraId="0E9F13C6">
      <w:pPr>
        <w:spacing w:line="500" w:lineRule="exact"/>
        <w:outlineLvl w:val="3"/>
        <w:rPr>
          <w:rFonts w:hint="eastAsia" w:ascii="宋体" w:hAnsi="宋体" w:cs="宋体"/>
          <w:sz w:val="24"/>
        </w:rPr>
      </w:pPr>
      <w:r>
        <w:rPr>
          <w:rFonts w:hint="eastAsia" w:ascii="宋体" w:hAnsi="宋体" w:cs="宋体"/>
          <w:sz w:val="24"/>
        </w:rPr>
        <w:t>15.7 计日工</w:t>
      </w:r>
    </w:p>
    <w:p w14:paraId="47ACAB0D">
      <w:pPr>
        <w:spacing w:line="500" w:lineRule="exact"/>
        <w:ind w:firstLine="480" w:firstLineChars="200"/>
        <w:rPr>
          <w:rFonts w:hint="eastAsia" w:ascii="宋体" w:hAnsi="宋体" w:cs="宋体"/>
          <w:sz w:val="24"/>
          <w:shd w:val="pct10" w:color="auto" w:fill="FFFFFF"/>
        </w:rPr>
      </w:pPr>
      <w:r>
        <w:rPr>
          <w:rFonts w:hint="eastAsia" w:ascii="宋体" w:hAnsi="宋体" w:cs="宋体"/>
          <w:sz w:val="24"/>
        </w:rPr>
        <w:t>15.7.1 发包人认为有必要时，由监理人通知承包人以计日工方式实施变更的零星工作。其价款按列入已标价工程量清单中的计日工计价子目及其单价进行计算。</w:t>
      </w:r>
    </w:p>
    <w:p w14:paraId="29366926">
      <w:pPr>
        <w:spacing w:line="500" w:lineRule="exact"/>
        <w:ind w:firstLine="480" w:firstLineChars="200"/>
        <w:rPr>
          <w:rFonts w:hint="eastAsia" w:ascii="宋体" w:hAnsi="宋体" w:cs="宋体"/>
          <w:sz w:val="24"/>
        </w:rPr>
      </w:pPr>
      <w:r>
        <w:rPr>
          <w:rFonts w:hint="eastAsia" w:ascii="宋体" w:hAnsi="宋体" w:cs="宋体"/>
          <w:sz w:val="24"/>
        </w:rPr>
        <w:t>15.7.2 采用计日工计价的任何一项变更工作，应从暂列金额中支付，承包人应在该项变更的实施过程中，每天提交以下报表和有关凭证报送监理人审批：</w:t>
      </w:r>
    </w:p>
    <w:p w14:paraId="28A75B8F">
      <w:pPr>
        <w:spacing w:line="500" w:lineRule="exact"/>
        <w:ind w:firstLine="820" w:firstLineChars="342"/>
        <w:rPr>
          <w:rFonts w:hint="eastAsia" w:ascii="宋体" w:hAnsi="宋体" w:cs="宋体"/>
          <w:sz w:val="24"/>
        </w:rPr>
      </w:pPr>
      <w:r>
        <w:rPr>
          <w:rFonts w:hint="eastAsia" w:ascii="宋体" w:hAnsi="宋体" w:cs="宋体"/>
          <w:sz w:val="24"/>
        </w:rPr>
        <w:t>（1）工作名称、内容和数量；</w:t>
      </w:r>
    </w:p>
    <w:p w14:paraId="29849616">
      <w:pPr>
        <w:spacing w:line="500" w:lineRule="exact"/>
        <w:ind w:firstLine="820" w:firstLineChars="342"/>
        <w:rPr>
          <w:rFonts w:hint="eastAsia" w:ascii="宋体" w:hAnsi="宋体" w:cs="宋体"/>
          <w:sz w:val="24"/>
        </w:rPr>
      </w:pPr>
      <w:r>
        <w:rPr>
          <w:rFonts w:hint="eastAsia" w:ascii="宋体" w:hAnsi="宋体" w:cs="宋体"/>
          <w:sz w:val="24"/>
        </w:rPr>
        <w:t>（2）投入该工作所有人员的姓名、工种、级别和耗用工时；</w:t>
      </w:r>
    </w:p>
    <w:p w14:paraId="072EA1F2">
      <w:pPr>
        <w:spacing w:line="500" w:lineRule="exact"/>
        <w:ind w:firstLine="820" w:firstLineChars="342"/>
        <w:rPr>
          <w:rFonts w:hint="eastAsia" w:ascii="宋体" w:hAnsi="宋体" w:cs="宋体"/>
          <w:sz w:val="24"/>
        </w:rPr>
      </w:pPr>
      <w:r>
        <w:rPr>
          <w:rFonts w:hint="eastAsia" w:ascii="宋体" w:hAnsi="宋体" w:cs="宋体"/>
          <w:sz w:val="24"/>
        </w:rPr>
        <w:t>（3）投入该工作的材料类别和数量；</w:t>
      </w:r>
    </w:p>
    <w:p w14:paraId="66AA9A05">
      <w:pPr>
        <w:spacing w:line="500" w:lineRule="exact"/>
        <w:ind w:firstLine="820" w:firstLineChars="342"/>
        <w:rPr>
          <w:rFonts w:hint="eastAsia" w:ascii="宋体" w:hAnsi="宋体" w:cs="宋体"/>
          <w:sz w:val="24"/>
        </w:rPr>
      </w:pPr>
      <w:r>
        <w:rPr>
          <w:rFonts w:hint="eastAsia" w:ascii="宋体" w:hAnsi="宋体" w:cs="宋体"/>
          <w:sz w:val="24"/>
        </w:rPr>
        <w:t>（4）投入该工作的施工设备型号、台数和耗用台时；</w:t>
      </w:r>
    </w:p>
    <w:p w14:paraId="05E1BC67">
      <w:pPr>
        <w:spacing w:line="500" w:lineRule="exact"/>
        <w:ind w:firstLine="820" w:firstLineChars="342"/>
        <w:rPr>
          <w:rFonts w:hint="eastAsia" w:ascii="宋体" w:hAnsi="宋体" w:cs="宋体"/>
          <w:sz w:val="24"/>
        </w:rPr>
      </w:pPr>
      <w:r>
        <w:rPr>
          <w:rFonts w:hint="eastAsia" w:ascii="宋体" w:hAnsi="宋体" w:cs="宋体"/>
          <w:sz w:val="24"/>
        </w:rPr>
        <w:t>（5）监理人要求提交的其他资料和凭证。</w:t>
      </w:r>
    </w:p>
    <w:p w14:paraId="66DE6E9C">
      <w:pPr>
        <w:spacing w:line="500" w:lineRule="exact"/>
        <w:ind w:firstLine="480" w:firstLineChars="200"/>
        <w:rPr>
          <w:rFonts w:hint="eastAsia" w:ascii="宋体" w:hAnsi="宋体" w:cs="宋体"/>
          <w:sz w:val="24"/>
        </w:rPr>
      </w:pPr>
      <w:r>
        <w:rPr>
          <w:rFonts w:hint="eastAsia" w:ascii="宋体" w:hAnsi="宋体" w:cs="宋体"/>
          <w:sz w:val="24"/>
        </w:rPr>
        <w:t>15.7.3 计日工由承包人汇总后，按第17.3.2项的约定列入进度付款申请单，由监理人复核并经发包人同意后列入进度付款。</w:t>
      </w:r>
    </w:p>
    <w:p w14:paraId="1DB8D4B1">
      <w:pPr>
        <w:spacing w:line="500" w:lineRule="exact"/>
        <w:outlineLvl w:val="3"/>
        <w:rPr>
          <w:rFonts w:hint="eastAsia" w:ascii="宋体" w:hAnsi="宋体" w:cs="宋体"/>
          <w:sz w:val="24"/>
        </w:rPr>
      </w:pPr>
      <w:r>
        <w:rPr>
          <w:rFonts w:hint="eastAsia" w:ascii="宋体" w:hAnsi="宋体" w:cs="宋体"/>
          <w:sz w:val="24"/>
        </w:rPr>
        <w:t>15.8 暂估价</w:t>
      </w:r>
    </w:p>
    <w:p w14:paraId="4A3C27E5">
      <w:pPr>
        <w:spacing w:line="500" w:lineRule="exact"/>
        <w:ind w:firstLine="420"/>
        <w:rPr>
          <w:rFonts w:hint="eastAsia" w:ascii="宋体" w:hAnsi="宋体" w:cs="宋体"/>
          <w:sz w:val="24"/>
        </w:rPr>
      </w:pPr>
      <w:r>
        <w:rPr>
          <w:rFonts w:hint="eastAsia" w:ascii="宋体" w:hAnsi="宋体" w:cs="宋体"/>
          <w:sz w:val="24"/>
        </w:rPr>
        <w:t>15.8.1 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量清单中所列金额差以及相应的税金等其它费用列入合同价格。必须招标的暂估价项目招标组织形式、发包人和承包人组织招标时双方的权利义务关系在专用合同条款中约定。</w:t>
      </w:r>
    </w:p>
    <w:p w14:paraId="539C5296">
      <w:pPr>
        <w:spacing w:line="500" w:lineRule="exact"/>
        <w:ind w:firstLine="480" w:firstLineChars="200"/>
        <w:rPr>
          <w:rFonts w:hint="eastAsia" w:ascii="宋体" w:hAnsi="宋体" w:cs="宋体"/>
          <w:sz w:val="24"/>
        </w:rPr>
      </w:pPr>
      <w:r>
        <w:rPr>
          <w:rFonts w:hint="eastAsia" w:ascii="宋体" w:hAnsi="宋体" w:cs="宋体"/>
          <w:sz w:val="24"/>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14:paraId="43F4AE4C">
      <w:pPr>
        <w:spacing w:line="500" w:lineRule="exact"/>
        <w:ind w:firstLine="420"/>
        <w:rPr>
          <w:rFonts w:hint="eastAsia" w:ascii="宋体" w:hAnsi="宋体" w:cs="宋体"/>
          <w:sz w:val="24"/>
        </w:rPr>
      </w:pPr>
      <w:r>
        <w:rPr>
          <w:rFonts w:hint="eastAsia" w:ascii="宋体" w:hAnsi="宋体" w:cs="宋体"/>
          <w:sz w:val="24"/>
        </w:rPr>
        <w:t>15.8.3 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14:paraId="72CD122F">
      <w:pPr>
        <w:spacing w:line="500" w:lineRule="exact"/>
        <w:outlineLvl w:val="2"/>
        <w:rPr>
          <w:rFonts w:hint="eastAsia" w:ascii="宋体" w:hAnsi="宋体" w:cs="宋体"/>
          <w:sz w:val="24"/>
        </w:rPr>
      </w:pPr>
      <w:bookmarkStart w:id="358" w:name="_Toc256000134"/>
      <w:bookmarkStart w:id="359" w:name="_Toc256000101"/>
      <w:bookmarkStart w:id="360" w:name="_Toc15550"/>
      <w:bookmarkStart w:id="361" w:name="_Toc30059"/>
      <w:r>
        <w:rPr>
          <w:rFonts w:hint="eastAsia" w:ascii="宋体" w:hAnsi="宋体" w:cs="宋体"/>
          <w:sz w:val="24"/>
        </w:rPr>
        <w:t>16. 价格调整</w:t>
      </w:r>
      <w:bookmarkEnd w:id="358"/>
      <w:bookmarkEnd w:id="359"/>
      <w:bookmarkEnd w:id="360"/>
      <w:bookmarkEnd w:id="361"/>
    </w:p>
    <w:p w14:paraId="57DC9298">
      <w:pPr>
        <w:spacing w:line="500" w:lineRule="exact"/>
        <w:outlineLvl w:val="3"/>
        <w:rPr>
          <w:rFonts w:hint="eastAsia" w:ascii="宋体" w:hAnsi="宋体" w:cs="宋体"/>
          <w:sz w:val="24"/>
        </w:rPr>
      </w:pPr>
      <w:r>
        <w:rPr>
          <w:rFonts w:hint="eastAsia" w:ascii="宋体" w:hAnsi="宋体" w:cs="宋体"/>
          <w:sz w:val="24"/>
        </w:rPr>
        <w:t>16.1 物价波动引起的价格调整</w:t>
      </w:r>
    </w:p>
    <w:p w14:paraId="3772C519">
      <w:pPr>
        <w:spacing w:line="500" w:lineRule="exact"/>
        <w:ind w:firstLine="480" w:firstLineChars="200"/>
        <w:rPr>
          <w:rFonts w:hint="eastAsia" w:ascii="宋体" w:hAnsi="宋体" w:cs="宋体"/>
          <w:sz w:val="24"/>
        </w:rPr>
      </w:pPr>
      <w:r>
        <w:rPr>
          <w:rFonts w:hint="eastAsia" w:ascii="宋体" w:hAnsi="宋体" w:cs="宋体"/>
          <w:sz w:val="24"/>
        </w:rPr>
        <w:t>由于物价波动原因引起合同价格需要调整的，其价格调整方式在专用合同条款中约定。</w:t>
      </w:r>
    </w:p>
    <w:p w14:paraId="4B769394">
      <w:pPr>
        <w:spacing w:line="500" w:lineRule="exact"/>
        <w:ind w:firstLine="480" w:firstLineChars="200"/>
        <w:rPr>
          <w:rFonts w:hint="eastAsia" w:ascii="宋体" w:hAnsi="宋体" w:cs="宋体"/>
          <w:sz w:val="24"/>
        </w:rPr>
      </w:pPr>
      <w:r>
        <w:rPr>
          <w:rFonts w:hint="eastAsia" w:ascii="宋体" w:hAnsi="宋体" w:cs="宋体"/>
          <w:sz w:val="24"/>
        </w:rPr>
        <w:t>16.1.1 采用价格指数调整价格差额</w:t>
      </w:r>
    </w:p>
    <w:p w14:paraId="4502BBE9">
      <w:pPr>
        <w:spacing w:line="500" w:lineRule="exact"/>
        <w:ind w:firstLine="480" w:firstLineChars="200"/>
        <w:rPr>
          <w:rFonts w:hint="eastAsia" w:ascii="宋体" w:hAnsi="宋体" w:cs="宋体"/>
          <w:sz w:val="24"/>
        </w:rPr>
      </w:pPr>
      <w:r>
        <w:rPr>
          <w:rFonts w:hint="eastAsia" w:ascii="宋体" w:hAnsi="宋体" w:cs="宋体"/>
          <w:sz w:val="24"/>
        </w:rPr>
        <w:t>16.1.1.1 价格调整公式</w:t>
      </w:r>
    </w:p>
    <w:p w14:paraId="40F35270">
      <w:pPr>
        <w:spacing w:line="500" w:lineRule="exact"/>
        <w:ind w:firstLine="480" w:firstLineChars="200"/>
        <w:rPr>
          <w:rFonts w:hint="eastAsia" w:ascii="宋体" w:hAnsi="宋体" w:cs="宋体"/>
          <w:sz w:val="24"/>
        </w:rPr>
      </w:pPr>
      <w:r>
        <w:rPr>
          <w:rFonts w:hint="eastAsia" w:ascii="宋体" w:hAnsi="宋体" w:cs="宋体"/>
          <w:sz w:val="24"/>
        </w:rPr>
        <w:t>因人工、材料和设备等价格波动影响合同价格时，根据投标函附录中的价格指数和权重表约定的数据，按以下公式计算差额并调整合同价格。</w:t>
      </w:r>
    </w:p>
    <w:p w14:paraId="62BDA38C">
      <w:pPr>
        <w:autoSpaceDE w:val="0"/>
        <w:autoSpaceDN w:val="0"/>
        <w:adjustRightInd w:val="0"/>
        <w:spacing w:line="500" w:lineRule="exact"/>
        <w:ind w:right="248" w:firstLine="959" w:firstLineChars="398"/>
        <w:rPr>
          <w:rFonts w:hint="eastAsia" w:ascii="宋体" w:hAnsi="宋体" w:cs="宋体"/>
          <w:sz w:val="24"/>
        </w:rPr>
      </w:pPr>
      <w:r>
        <w:rPr>
          <w:rFonts w:hint="eastAsia" w:ascii="宋体" w:hAnsi="宋体" w:cs="宋体"/>
          <w:b/>
          <w:bCs/>
          <w:kern w:val="0"/>
          <w:sz w:val="24"/>
          <w:lang w:val="zh-CN"/>
        </w:rPr>
        <w:t xml:space="preserve">        </w:t>
      </w:r>
      <w:r>
        <w:rPr>
          <w:rFonts w:hint="eastAsia" w:ascii="宋体" w:hAnsi="宋体" w:cs="宋体"/>
          <w:position w:val="-34"/>
          <w:sz w:val="24"/>
        </w:rPr>
        <w:drawing>
          <wp:inline distT="0" distB="0" distL="114300" distR="114300">
            <wp:extent cx="3886200" cy="508000"/>
            <wp:effectExtent l="0" t="0" r="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3886200" cy="508000"/>
                    </a:xfrm>
                    <a:prstGeom prst="rect">
                      <a:avLst/>
                    </a:prstGeom>
                    <a:noFill/>
                    <a:ln>
                      <a:noFill/>
                    </a:ln>
                  </pic:spPr>
                </pic:pic>
              </a:graphicData>
            </a:graphic>
          </wp:inline>
        </w:drawing>
      </w:r>
    </w:p>
    <w:p w14:paraId="20C5BF49">
      <w:pPr>
        <w:tabs>
          <w:tab w:val="left" w:pos="1260"/>
        </w:tabs>
        <w:spacing w:line="500" w:lineRule="exact"/>
        <w:ind w:firstLine="480" w:firstLineChars="200"/>
        <w:rPr>
          <w:rFonts w:hint="eastAsia" w:ascii="宋体" w:hAnsi="宋体" w:cs="宋体"/>
          <w:sz w:val="24"/>
        </w:rPr>
      </w:pPr>
      <w:r>
        <w:rPr>
          <w:rFonts w:hint="eastAsia" w:ascii="宋体" w:hAnsi="宋体" w:cs="宋体"/>
          <w:sz w:val="24"/>
        </w:rPr>
        <w:t xml:space="preserve"> </w:t>
      </w:r>
    </w:p>
    <w:p w14:paraId="7C3C5A21">
      <w:pPr>
        <w:tabs>
          <w:tab w:val="left" w:pos="1260"/>
        </w:tabs>
        <w:spacing w:line="500" w:lineRule="exact"/>
        <w:ind w:firstLine="480" w:firstLineChars="200"/>
        <w:rPr>
          <w:rFonts w:hint="eastAsia" w:ascii="宋体" w:hAnsi="宋体" w:cs="宋体"/>
          <w:sz w:val="24"/>
        </w:rPr>
      </w:pPr>
      <w:r>
        <w:rPr>
          <w:rFonts w:hint="eastAsia" w:ascii="宋体" w:hAnsi="宋体" w:cs="宋体"/>
          <w:sz w:val="24"/>
        </w:rPr>
        <w:t>式中： △P -- 需调整的价格差额；</w:t>
      </w:r>
    </w:p>
    <w:p w14:paraId="48D8DFE8">
      <w:pPr>
        <w:tabs>
          <w:tab w:val="left" w:pos="1260"/>
        </w:tabs>
        <w:spacing w:line="500" w:lineRule="exact"/>
        <w:rPr>
          <w:rFonts w:hint="eastAsia" w:ascii="宋体" w:hAnsi="宋体" w:cs="宋体"/>
          <w:sz w:val="24"/>
        </w:rPr>
      </w:pPr>
      <w:r>
        <w:rPr>
          <w:rFonts w:hint="eastAsia" w:ascii="宋体" w:hAnsi="宋体" w:cs="宋体"/>
          <w:sz w:val="24"/>
        </w:rPr>
        <w:tab/>
      </w:r>
      <w:r>
        <w:rPr>
          <w:rFonts w:hint="eastAsia" w:ascii="宋体" w:hAnsi="宋体" w:cs="宋体"/>
          <w:sz w:val="24"/>
        </w:rPr>
        <w:t>P</w:t>
      </w:r>
      <w:r>
        <w:rPr>
          <w:rFonts w:hint="eastAsia" w:ascii="宋体" w:hAnsi="宋体" w:cs="宋体"/>
          <w:sz w:val="24"/>
          <w:vertAlign w:val="subscript"/>
        </w:rPr>
        <w:t>0</w:t>
      </w:r>
      <w:r>
        <w:rPr>
          <w:rFonts w:hint="eastAsia" w:ascii="宋体" w:hAnsi="宋体" w:cs="宋体"/>
          <w:sz w:val="24"/>
        </w:rPr>
        <w:t xml:space="preserve">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14:paraId="7C45DCD5">
      <w:pPr>
        <w:tabs>
          <w:tab w:val="left" w:pos="1260"/>
        </w:tabs>
        <w:spacing w:line="500" w:lineRule="exact"/>
        <w:rPr>
          <w:rFonts w:hint="eastAsia" w:ascii="宋体" w:hAnsi="宋体" w:cs="宋体"/>
          <w:sz w:val="24"/>
        </w:rPr>
      </w:pPr>
      <w:r>
        <w:rPr>
          <w:rFonts w:hint="eastAsia" w:ascii="宋体" w:hAnsi="宋体" w:cs="宋体"/>
          <w:sz w:val="24"/>
        </w:rPr>
        <w:tab/>
      </w:r>
      <w:r>
        <w:rPr>
          <w:rFonts w:hint="eastAsia" w:ascii="宋体" w:hAnsi="宋体" w:cs="宋体"/>
          <w:sz w:val="24"/>
        </w:rPr>
        <w:t>A -- 定值权重(即不调部分的权重)；</w:t>
      </w:r>
    </w:p>
    <w:p w14:paraId="615EE8AB">
      <w:pPr>
        <w:tabs>
          <w:tab w:val="left" w:pos="1260"/>
        </w:tabs>
        <w:spacing w:line="500" w:lineRule="exact"/>
        <w:rPr>
          <w:rFonts w:hint="eastAsia" w:ascii="宋体" w:hAnsi="宋体" w:cs="宋体"/>
          <w:sz w:val="24"/>
        </w:rPr>
      </w:pPr>
      <w:r>
        <w:rPr>
          <w:rFonts w:hint="eastAsia" w:ascii="宋体" w:hAnsi="宋体" w:cs="宋体"/>
          <w:sz w:val="24"/>
        </w:rPr>
        <w:tab/>
      </w:r>
      <w:r>
        <w:rPr>
          <w:rFonts w:hint="eastAsia" w:ascii="宋体" w:hAnsi="宋体" w:cs="宋体"/>
          <w:sz w:val="24"/>
        </w:rPr>
        <w:t>B</w:t>
      </w:r>
      <w:r>
        <w:rPr>
          <w:rFonts w:hint="eastAsia" w:ascii="宋体" w:hAnsi="宋体" w:cs="宋体"/>
          <w:sz w:val="24"/>
          <w:vertAlign w:val="subscript"/>
        </w:rPr>
        <w:t>1</w:t>
      </w:r>
      <w:r>
        <w:rPr>
          <w:rFonts w:hint="eastAsia" w:ascii="宋体" w:hAnsi="宋体" w:cs="宋体"/>
          <w:sz w:val="24"/>
        </w:rPr>
        <w:t>; B</w:t>
      </w:r>
      <w:r>
        <w:rPr>
          <w:rFonts w:hint="eastAsia" w:ascii="宋体" w:hAnsi="宋体" w:cs="宋体"/>
          <w:sz w:val="24"/>
          <w:vertAlign w:val="subscript"/>
        </w:rPr>
        <w:t>2</w:t>
      </w:r>
      <w:r>
        <w:rPr>
          <w:rFonts w:hint="eastAsia" w:ascii="宋体" w:hAnsi="宋体" w:cs="宋体"/>
          <w:sz w:val="24"/>
        </w:rPr>
        <w:t xml:space="preserve"> ;B</w:t>
      </w:r>
      <w:r>
        <w:rPr>
          <w:rFonts w:hint="eastAsia" w:ascii="宋体" w:hAnsi="宋体" w:cs="宋体"/>
          <w:sz w:val="24"/>
          <w:vertAlign w:val="subscript"/>
        </w:rPr>
        <w:t>3</w:t>
      </w:r>
      <w:r>
        <w:rPr>
          <w:rFonts w:hint="eastAsia" w:ascii="宋体" w:hAnsi="宋体" w:cs="宋体"/>
          <w:sz w:val="24"/>
        </w:rPr>
        <w:t>·····B</w:t>
      </w:r>
      <w:r>
        <w:rPr>
          <w:rFonts w:hint="eastAsia" w:ascii="宋体" w:hAnsi="宋体" w:cs="宋体"/>
          <w:sz w:val="24"/>
          <w:vertAlign w:val="subscript"/>
        </w:rPr>
        <w:t>n</w:t>
      </w:r>
      <w:r>
        <w:rPr>
          <w:rFonts w:hint="eastAsia" w:ascii="宋体" w:hAnsi="宋体" w:cs="宋体"/>
          <w:sz w:val="24"/>
        </w:rPr>
        <w:t xml:space="preserve"> -- 各可调因子的变值权重(即可调部分的权重)为各可调因子在投标函投标总报价中所占的比例；</w:t>
      </w:r>
    </w:p>
    <w:p w14:paraId="506259B1">
      <w:pPr>
        <w:tabs>
          <w:tab w:val="left" w:pos="1260"/>
        </w:tabs>
        <w:spacing w:line="500" w:lineRule="exact"/>
        <w:rPr>
          <w:rFonts w:hint="eastAsia" w:ascii="宋体" w:hAnsi="宋体" w:cs="宋体"/>
          <w:sz w:val="24"/>
        </w:rPr>
      </w:pPr>
      <w:r>
        <w:rPr>
          <w:rFonts w:hint="eastAsia" w:ascii="宋体" w:hAnsi="宋体" w:cs="宋体"/>
          <w:sz w:val="24"/>
        </w:rPr>
        <w:tab/>
      </w:r>
      <w:r>
        <w:rPr>
          <w:rFonts w:hint="eastAsia" w:ascii="宋体" w:hAnsi="宋体" w:cs="宋体"/>
          <w:sz w:val="24"/>
        </w:rPr>
        <w:t>F</w:t>
      </w:r>
      <w:r>
        <w:rPr>
          <w:rFonts w:hint="eastAsia" w:ascii="宋体" w:hAnsi="宋体" w:cs="宋体"/>
          <w:sz w:val="24"/>
          <w:vertAlign w:val="subscript"/>
        </w:rPr>
        <w:t>t1</w:t>
      </w:r>
      <w:r>
        <w:rPr>
          <w:rFonts w:hint="eastAsia" w:ascii="宋体" w:hAnsi="宋体" w:cs="宋体"/>
          <w:sz w:val="24"/>
        </w:rPr>
        <w:t xml:space="preserve"> ;F</w:t>
      </w:r>
      <w:r>
        <w:rPr>
          <w:rFonts w:hint="eastAsia" w:ascii="宋体" w:hAnsi="宋体" w:cs="宋体"/>
          <w:sz w:val="24"/>
          <w:vertAlign w:val="subscript"/>
        </w:rPr>
        <w:t>t2</w:t>
      </w:r>
      <w:r>
        <w:rPr>
          <w:rFonts w:hint="eastAsia" w:ascii="宋体" w:hAnsi="宋体" w:cs="宋体"/>
          <w:sz w:val="24"/>
        </w:rPr>
        <w:t xml:space="preserve"> ;F</w:t>
      </w:r>
      <w:r>
        <w:rPr>
          <w:rFonts w:hint="eastAsia" w:ascii="宋体" w:hAnsi="宋体" w:cs="宋体"/>
          <w:sz w:val="24"/>
          <w:vertAlign w:val="subscript"/>
        </w:rPr>
        <w:t>t3</w:t>
      </w:r>
      <w:r>
        <w:rPr>
          <w:rFonts w:hint="eastAsia" w:ascii="宋体" w:hAnsi="宋体" w:cs="宋体"/>
          <w:sz w:val="24"/>
        </w:rPr>
        <w:t>·····F</w:t>
      </w:r>
      <w:r>
        <w:rPr>
          <w:rFonts w:hint="eastAsia" w:ascii="宋体" w:hAnsi="宋体" w:cs="宋体"/>
          <w:sz w:val="24"/>
          <w:vertAlign w:val="subscript"/>
        </w:rPr>
        <w:t>tn</w:t>
      </w:r>
      <w:r>
        <w:rPr>
          <w:rFonts w:hint="eastAsia" w:ascii="宋体" w:hAnsi="宋体" w:cs="宋体"/>
          <w:sz w:val="24"/>
        </w:rPr>
        <w:t xml:space="preserve"> -- 各可调因子的现行价格指数，指第17.3.3项、第17.5.2项和第17.6.2项约定的付款证书相关周期最后一天的前42天的各可调因子的价格指数；</w:t>
      </w:r>
    </w:p>
    <w:p w14:paraId="1982F833">
      <w:pPr>
        <w:tabs>
          <w:tab w:val="left" w:pos="1260"/>
        </w:tabs>
        <w:spacing w:line="500" w:lineRule="exact"/>
        <w:rPr>
          <w:rFonts w:hint="eastAsia" w:ascii="宋体" w:hAnsi="宋体" w:cs="宋体"/>
          <w:sz w:val="24"/>
        </w:rPr>
      </w:pPr>
      <w:r>
        <w:rPr>
          <w:rFonts w:hint="eastAsia" w:ascii="宋体" w:hAnsi="宋体" w:cs="宋体"/>
          <w:sz w:val="24"/>
        </w:rPr>
        <w:tab/>
      </w:r>
      <w:r>
        <w:rPr>
          <w:rFonts w:hint="eastAsia" w:ascii="宋体" w:hAnsi="宋体" w:cs="宋体"/>
          <w:sz w:val="24"/>
        </w:rPr>
        <w:t>F</w:t>
      </w:r>
      <w:r>
        <w:rPr>
          <w:rFonts w:hint="eastAsia" w:ascii="宋体" w:hAnsi="宋体" w:cs="宋体"/>
          <w:sz w:val="24"/>
          <w:vertAlign w:val="subscript"/>
        </w:rPr>
        <w:t>o1</w:t>
      </w:r>
      <w:r>
        <w:rPr>
          <w:rFonts w:hint="eastAsia" w:ascii="宋体" w:hAnsi="宋体" w:cs="宋体"/>
          <w:sz w:val="24"/>
        </w:rPr>
        <w:t>; F</w:t>
      </w:r>
      <w:r>
        <w:rPr>
          <w:rFonts w:hint="eastAsia" w:ascii="宋体" w:hAnsi="宋体" w:cs="宋体"/>
          <w:sz w:val="24"/>
          <w:vertAlign w:val="subscript"/>
        </w:rPr>
        <w:t>o2</w:t>
      </w:r>
      <w:r>
        <w:rPr>
          <w:rFonts w:hint="eastAsia" w:ascii="宋体" w:hAnsi="宋体" w:cs="宋体"/>
          <w:sz w:val="24"/>
        </w:rPr>
        <w:t>; F</w:t>
      </w:r>
      <w:r>
        <w:rPr>
          <w:rFonts w:hint="eastAsia" w:ascii="宋体" w:hAnsi="宋体" w:cs="宋体"/>
          <w:sz w:val="24"/>
          <w:vertAlign w:val="subscript"/>
        </w:rPr>
        <w:t>o3</w:t>
      </w:r>
      <w:r>
        <w:rPr>
          <w:rFonts w:hint="eastAsia" w:ascii="宋体" w:hAnsi="宋体" w:cs="宋体"/>
          <w:sz w:val="24"/>
        </w:rPr>
        <w:t>·····F</w:t>
      </w:r>
      <w:r>
        <w:rPr>
          <w:rFonts w:hint="eastAsia" w:ascii="宋体" w:hAnsi="宋体" w:cs="宋体"/>
          <w:sz w:val="24"/>
          <w:vertAlign w:val="subscript"/>
        </w:rPr>
        <w:t>on</w:t>
      </w:r>
      <w:r>
        <w:rPr>
          <w:rFonts w:hint="eastAsia" w:ascii="宋体" w:hAnsi="宋体" w:cs="宋体"/>
          <w:sz w:val="24"/>
        </w:rPr>
        <w:t xml:space="preserve"> -- 各可调因子的基本价格指数，指基准日期的各可调因子的价格指数。</w:t>
      </w:r>
    </w:p>
    <w:p w14:paraId="5C708AD5">
      <w:pPr>
        <w:spacing w:line="500" w:lineRule="exact"/>
        <w:ind w:firstLine="480" w:firstLineChars="200"/>
        <w:rPr>
          <w:rFonts w:hint="eastAsia" w:ascii="宋体" w:hAnsi="宋体" w:cs="宋体"/>
          <w:sz w:val="24"/>
        </w:rPr>
      </w:pPr>
      <w:r>
        <w:rPr>
          <w:rFonts w:hint="eastAsia" w:ascii="宋体" w:hAnsi="宋体" w:cs="宋体"/>
          <w:sz w:val="24"/>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4CE742B7">
      <w:pPr>
        <w:spacing w:line="500" w:lineRule="exact"/>
        <w:ind w:firstLine="480" w:firstLineChars="200"/>
        <w:rPr>
          <w:rFonts w:hint="eastAsia" w:ascii="宋体" w:hAnsi="宋体" w:cs="宋体"/>
          <w:sz w:val="24"/>
        </w:rPr>
      </w:pPr>
      <w:r>
        <w:rPr>
          <w:rFonts w:hint="eastAsia" w:ascii="宋体" w:hAnsi="宋体" w:cs="宋体"/>
          <w:sz w:val="24"/>
        </w:rPr>
        <w:t>16.1.1.2 暂时确定调整差额</w:t>
      </w:r>
    </w:p>
    <w:p w14:paraId="6F899786">
      <w:pPr>
        <w:spacing w:line="500" w:lineRule="exact"/>
        <w:ind w:firstLine="480" w:firstLineChars="200"/>
        <w:rPr>
          <w:rFonts w:hint="eastAsia" w:ascii="宋体" w:hAnsi="宋体" w:cs="宋体"/>
          <w:sz w:val="24"/>
        </w:rPr>
      </w:pPr>
      <w:r>
        <w:rPr>
          <w:rFonts w:hint="eastAsia" w:ascii="宋体" w:hAnsi="宋体" w:cs="宋体"/>
          <w:sz w:val="24"/>
        </w:rPr>
        <w:t>在计算调整差额时得不到现行价格指数的，可暂用上一次价格指数计算，并在以后的付款中再按实际价格指数进行调整。</w:t>
      </w:r>
    </w:p>
    <w:p w14:paraId="2633155F">
      <w:pPr>
        <w:spacing w:line="500" w:lineRule="exact"/>
        <w:ind w:firstLine="480" w:firstLineChars="200"/>
        <w:rPr>
          <w:rFonts w:hint="eastAsia" w:ascii="宋体" w:hAnsi="宋体" w:cs="宋体"/>
          <w:sz w:val="24"/>
        </w:rPr>
      </w:pPr>
      <w:r>
        <w:rPr>
          <w:rFonts w:hint="eastAsia" w:ascii="宋体" w:hAnsi="宋体" w:cs="宋体"/>
          <w:sz w:val="24"/>
        </w:rPr>
        <w:t>16.1.1.3 权重的调整</w:t>
      </w:r>
    </w:p>
    <w:p w14:paraId="347CB5EF">
      <w:pPr>
        <w:spacing w:line="500" w:lineRule="exact"/>
        <w:ind w:firstLine="480" w:firstLineChars="200"/>
        <w:rPr>
          <w:rFonts w:hint="eastAsia" w:ascii="宋体" w:hAnsi="宋体" w:cs="宋体"/>
          <w:sz w:val="24"/>
        </w:rPr>
      </w:pPr>
      <w:r>
        <w:rPr>
          <w:rFonts w:hint="eastAsia" w:ascii="宋体" w:hAnsi="宋体" w:cs="宋体"/>
          <w:sz w:val="24"/>
        </w:rPr>
        <w:t>按第15.1款约定的变更导致原定合同中的权重不合理时，由监理人与承包人和发包人协商后进行调整。</w:t>
      </w:r>
    </w:p>
    <w:p w14:paraId="32CE3C85">
      <w:pPr>
        <w:spacing w:line="500" w:lineRule="exact"/>
        <w:ind w:firstLine="480" w:firstLineChars="200"/>
        <w:rPr>
          <w:rFonts w:hint="eastAsia" w:ascii="宋体" w:hAnsi="宋体" w:cs="宋体"/>
          <w:sz w:val="24"/>
        </w:rPr>
      </w:pPr>
      <w:r>
        <w:rPr>
          <w:rFonts w:hint="eastAsia" w:ascii="宋体" w:hAnsi="宋体" w:cs="宋体"/>
          <w:sz w:val="24"/>
        </w:rPr>
        <w:t>16.1.1.4 承包人工期延误后的价格调整</w:t>
      </w:r>
    </w:p>
    <w:p w14:paraId="5BF5ADCB">
      <w:pPr>
        <w:spacing w:line="500" w:lineRule="exact"/>
        <w:rPr>
          <w:rFonts w:hint="eastAsia" w:ascii="宋体" w:hAnsi="宋体" w:cs="宋体"/>
          <w:sz w:val="24"/>
        </w:rPr>
      </w:pPr>
      <w:r>
        <w:rPr>
          <w:rFonts w:hint="eastAsia" w:ascii="宋体" w:hAnsi="宋体" w:cs="宋体"/>
          <w:sz w:val="24"/>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14:paraId="73BA187E">
      <w:pPr>
        <w:spacing w:line="500" w:lineRule="exact"/>
        <w:ind w:firstLine="480" w:firstLineChars="200"/>
        <w:rPr>
          <w:rFonts w:hint="eastAsia" w:ascii="宋体" w:hAnsi="宋体" w:cs="宋体"/>
          <w:sz w:val="24"/>
        </w:rPr>
      </w:pPr>
      <w:r>
        <w:rPr>
          <w:rFonts w:hint="eastAsia" w:ascii="宋体" w:hAnsi="宋体" w:cs="宋体"/>
          <w:sz w:val="24"/>
        </w:rPr>
        <w:t>16.1.2　采用造价信息调整价格差额</w:t>
      </w:r>
    </w:p>
    <w:p w14:paraId="22CCE8BF">
      <w:pPr>
        <w:spacing w:line="500" w:lineRule="exact"/>
        <w:rPr>
          <w:rFonts w:hint="eastAsia" w:ascii="宋体" w:hAnsi="宋体" w:cs="宋体"/>
          <w:sz w:val="24"/>
        </w:rPr>
      </w:pPr>
      <w:r>
        <w:rPr>
          <w:rFonts w:hint="eastAsia" w:ascii="宋体" w:hAnsi="宋体" w:cs="宋体"/>
          <w:sz w:val="24"/>
        </w:rPr>
        <w:t>　　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14:paraId="2B18CC78">
      <w:pPr>
        <w:spacing w:line="500" w:lineRule="exact"/>
        <w:rPr>
          <w:rFonts w:hint="eastAsia" w:ascii="宋体" w:hAnsi="宋体" w:cs="宋体"/>
          <w:sz w:val="24"/>
        </w:rPr>
      </w:pPr>
      <w:r>
        <w:rPr>
          <w:rFonts w:hint="eastAsia" w:ascii="宋体" w:hAnsi="宋体" w:cs="宋体"/>
          <w:sz w:val="24"/>
        </w:rPr>
        <w:t>工程造价信息的来源以及价格调整的项目和系数在专用合同条款中约定。</w:t>
      </w:r>
    </w:p>
    <w:p w14:paraId="1B4981DF">
      <w:pPr>
        <w:spacing w:line="500" w:lineRule="exact"/>
        <w:outlineLvl w:val="3"/>
        <w:rPr>
          <w:rFonts w:hint="eastAsia" w:ascii="宋体" w:hAnsi="宋体" w:cs="宋体"/>
          <w:sz w:val="24"/>
        </w:rPr>
      </w:pPr>
      <w:r>
        <w:rPr>
          <w:rFonts w:hint="eastAsia" w:ascii="宋体" w:hAnsi="宋体" w:cs="宋体"/>
          <w:sz w:val="24"/>
        </w:rPr>
        <w:t>16.2 法律变化引起的价格调整</w:t>
      </w:r>
    </w:p>
    <w:p w14:paraId="4F28908C">
      <w:pPr>
        <w:spacing w:line="500" w:lineRule="exact"/>
        <w:ind w:firstLine="480" w:firstLineChars="200"/>
        <w:rPr>
          <w:rFonts w:hint="eastAsia" w:ascii="宋体" w:hAnsi="宋体" w:cs="宋体"/>
          <w:sz w:val="24"/>
        </w:rPr>
      </w:pPr>
      <w:r>
        <w:rPr>
          <w:rFonts w:hint="eastAsia" w:ascii="宋体" w:hAnsi="宋体" w:cs="宋体"/>
          <w:sz w:val="24"/>
        </w:rPr>
        <w:t>在基准日后，因法律变化导致承包人在合同履行中所需要的工程费用发生除第16.1款约定以外的增减时，监理人应根据法律、国家或省、自治区、直辖市有关部门的规定，按第3.5款商定或确定需调整的合同价款。</w:t>
      </w:r>
    </w:p>
    <w:p w14:paraId="311FEAC1">
      <w:pPr>
        <w:spacing w:line="500" w:lineRule="exact"/>
        <w:outlineLvl w:val="2"/>
        <w:rPr>
          <w:rFonts w:hint="eastAsia" w:ascii="宋体" w:hAnsi="宋体" w:cs="宋体"/>
          <w:sz w:val="24"/>
        </w:rPr>
      </w:pPr>
      <w:bookmarkStart w:id="362" w:name="_Toc29183"/>
      <w:bookmarkStart w:id="363" w:name="_Toc256000102"/>
      <w:bookmarkStart w:id="364" w:name="_Toc26881"/>
      <w:bookmarkStart w:id="365" w:name="_Toc256000135"/>
      <w:r>
        <w:rPr>
          <w:rFonts w:hint="eastAsia" w:ascii="宋体" w:hAnsi="宋体" w:cs="宋体"/>
          <w:sz w:val="24"/>
        </w:rPr>
        <w:t>17. 计量与支付</w:t>
      </w:r>
      <w:bookmarkEnd w:id="362"/>
      <w:bookmarkEnd w:id="363"/>
      <w:bookmarkEnd w:id="364"/>
      <w:bookmarkEnd w:id="365"/>
    </w:p>
    <w:p w14:paraId="287511D0">
      <w:pPr>
        <w:spacing w:line="500" w:lineRule="exact"/>
        <w:outlineLvl w:val="3"/>
        <w:rPr>
          <w:rFonts w:hint="eastAsia" w:ascii="宋体" w:hAnsi="宋体" w:cs="宋体"/>
          <w:sz w:val="24"/>
        </w:rPr>
      </w:pPr>
      <w:r>
        <w:rPr>
          <w:rFonts w:hint="eastAsia" w:ascii="宋体" w:hAnsi="宋体" w:cs="宋体"/>
          <w:sz w:val="24"/>
        </w:rPr>
        <w:t>17.1 计量</w:t>
      </w:r>
    </w:p>
    <w:p w14:paraId="59891777">
      <w:pPr>
        <w:spacing w:line="500" w:lineRule="exact"/>
        <w:ind w:firstLine="480" w:firstLineChars="200"/>
        <w:rPr>
          <w:rFonts w:hint="eastAsia" w:ascii="宋体" w:hAnsi="宋体" w:cs="宋体"/>
          <w:sz w:val="24"/>
        </w:rPr>
      </w:pPr>
      <w:r>
        <w:rPr>
          <w:rFonts w:hint="eastAsia" w:ascii="宋体" w:hAnsi="宋体" w:cs="宋体"/>
          <w:sz w:val="24"/>
        </w:rPr>
        <w:t>17.1.1 计量单位</w:t>
      </w:r>
    </w:p>
    <w:p w14:paraId="23EA7328">
      <w:pPr>
        <w:spacing w:line="500" w:lineRule="exact"/>
        <w:ind w:firstLine="480" w:firstLineChars="200"/>
        <w:rPr>
          <w:rFonts w:hint="eastAsia" w:ascii="宋体" w:hAnsi="宋体" w:cs="宋体"/>
          <w:sz w:val="24"/>
        </w:rPr>
      </w:pPr>
      <w:r>
        <w:rPr>
          <w:rFonts w:hint="eastAsia" w:ascii="宋体" w:hAnsi="宋体" w:cs="宋体"/>
          <w:sz w:val="24"/>
        </w:rPr>
        <w:t>计量采用国家法定的计量单位。</w:t>
      </w:r>
    </w:p>
    <w:p w14:paraId="4CEFC292">
      <w:pPr>
        <w:spacing w:line="500" w:lineRule="exact"/>
        <w:ind w:firstLine="480" w:firstLineChars="200"/>
        <w:rPr>
          <w:rFonts w:hint="eastAsia" w:ascii="宋体" w:hAnsi="宋体" w:cs="宋体"/>
          <w:sz w:val="24"/>
        </w:rPr>
      </w:pPr>
      <w:r>
        <w:rPr>
          <w:rFonts w:hint="eastAsia" w:ascii="宋体" w:hAnsi="宋体" w:cs="宋体"/>
          <w:sz w:val="24"/>
        </w:rPr>
        <w:t>17.1.2 计量方法</w:t>
      </w:r>
    </w:p>
    <w:p w14:paraId="2F69E0F4">
      <w:pPr>
        <w:spacing w:line="500" w:lineRule="exact"/>
        <w:ind w:firstLine="420"/>
        <w:rPr>
          <w:rFonts w:hint="eastAsia" w:ascii="宋体" w:hAnsi="宋体" w:cs="宋体"/>
          <w:sz w:val="24"/>
        </w:rPr>
      </w:pPr>
      <w:r>
        <w:rPr>
          <w:rFonts w:hint="eastAsia" w:ascii="宋体" w:hAnsi="宋体" w:cs="宋体"/>
          <w:sz w:val="24"/>
        </w:rPr>
        <w:t>结算工程量应按工程量清单中约定的方法计量。</w:t>
      </w:r>
    </w:p>
    <w:p w14:paraId="1ABC23CF">
      <w:pPr>
        <w:spacing w:line="500" w:lineRule="exact"/>
        <w:ind w:firstLine="480" w:firstLineChars="200"/>
        <w:rPr>
          <w:rFonts w:hint="eastAsia" w:ascii="宋体" w:hAnsi="宋体" w:cs="宋体"/>
          <w:sz w:val="24"/>
        </w:rPr>
      </w:pPr>
      <w:r>
        <w:rPr>
          <w:rFonts w:hint="eastAsia" w:ascii="宋体" w:hAnsi="宋体" w:cs="宋体"/>
          <w:sz w:val="24"/>
        </w:rPr>
        <w:t>17.1.3 计量周期</w:t>
      </w:r>
    </w:p>
    <w:p w14:paraId="12CF2DB8">
      <w:pPr>
        <w:spacing w:line="500" w:lineRule="exact"/>
        <w:ind w:firstLine="480" w:firstLineChars="200"/>
        <w:rPr>
          <w:rFonts w:hint="eastAsia" w:ascii="宋体" w:hAnsi="宋体" w:cs="宋体"/>
          <w:sz w:val="24"/>
        </w:rPr>
      </w:pPr>
      <w:r>
        <w:rPr>
          <w:rFonts w:hint="eastAsia" w:ascii="宋体" w:hAnsi="宋体" w:cs="宋体"/>
          <w:sz w:val="24"/>
        </w:rPr>
        <w:t>除专用合同条款另有约定外，单价子目已完成工程量按月计量，总价子目的计量周期按批准的支付分解报告确定。</w:t>
      </w:r>
    </w:p>
    <w:p w14:paraId="42457DD7">
      <w:pPr>
        <w:spacing w:line="500" w:lineRule="exact"/>
        <w:ind w:firstLine="480" w:firstLineChars="200"/>
        <w:rPr>
          <w:rFonts w:hint="eastAsia" w:ascii="宋体" w:hAnsi="宋体" w:cs="宋体"/>
          <w:sz w:val="24"/>
        </w:rPr>
      </w:pPr>
      <w:r>
        <w:rPr>
          <w:rFonts w:hint="eastAsia" w:ascii="宋体" w:hAnsi="宋体" w:cs="宋体"/>
          <w:sz w:val="24"/>
        </w:rPr>
        <w:t>17.1.4 单价子目的计量</w:t>
      </w:r>
    </w:p>
    <w:p w14:paraId="3991CB6D">
      <w:pPr>
        <w:spacing w:line="500" w:lineRule="exact"/>
        <w:ind w:firstLine="480" w:firstLineChars="200"/>
        <w:rPr>
          <w:rFonts w:hint="eastAsia" w:ascii="宋体" w:hAnsi="宋体" w:cs="宋体"/>
          <w:sz w:val="24"/>
        </w:rPr>
      </w:pPr>
      <w:r>
        <w:rPr>
          <w:rFonts w:hint="eastAsia" w:ascii="宋体" w:hAnsi="宋体" w:cs="宋体"/>
          <w:sz w:val="24"/>
        </w:rPr>
        <w:t>（1）已标价工程量清单中的单价子目工程量为估算工程量。结算工程量是承包人实际完成的，并按合同约定的计量方法进行计量的工程量。</w:t>
      </w:r>
    </w:p>
    <w:p w14:paraId="1F4B70CE">
      <w:pPr>
        <w:spacing w:line="500" w:lineRule="exact"/>
        <w:ind w:firstLine="480" w:firstLineChars="200"/>
        <w:rPr>
          <w:rFonts w:hint="eastAsia" w:ascii="宋体" w:hAnsi="宋体" w:cs="宋体"/>
          <w:sz w:val="24"/>
        </w:rPr>
      </w:pPr>
      <w:r>
        <w:rPr>
          <w:rFonts w:hint="eastAsia" w:ascii="宋体" w:hAnsi="宋体" w:cs="宋体"/>
          <w:sz w:val="24"/>
        </w:rPr>
        <w:t>（2）承包人对已完成的工程进行计量，向监理人提交进度付款申请单、已完成工程量报表和有关计量资料。</w:t>
      </w:r>
    </w:p>
    <w:p w14:paraId="5065FC9E">
      <w:pPr>
        <w:spacing w:line="500" w:lineRule="exact"/>
        <w:ind w:firstLine="480" w:firstLineChars="200"/>
        <w:rPr>
          <w:rFonts w:hint="eastAsia" w:ascii="宋体" w:hAnsi="宋体" w:cs="宋体"/>
          <w:sz w:val="24"/>
        </w:rPr>
      </w:pPr>
      <w:r>
        <w:rPr>
          <w:rFonts w:hint="eastAsia" w:ascii="宋体" w:hAnsi="宋体" w:cs="宋体"/>
          <w:sz w:val="24"/>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14:paraId="438DC86D">
      <w:pPr>
        <w:spacing w:line="500" w:lineRule="exact"/>
        <w:ind w:firstLine="480" w:firstLineChars="200"/>
        <w:rPr>
          <w:rFonts w:hint="eastAsia" w:ascii="宋体" w:hAnsi="宋体" w:cs="宋体"/>
          <w:sz w:val="24"/>
        </w:rPr>
      </w:pPr>
      <w:r>
        <w:rPr>
          <w:rFonts w:hint="eastAsia" w:ascii="宋体" w:hAnsi="宋体" w:cs="宋体"/>
          <w:sz w:val="24"/>
        </w:rPr>
        <w:t>（4）监理人认为有必要时，可通知承包人共同进行联合测量、计量，承包人应遵照执行。</w:t>
      </w:r>
    </w:p>
    <w:p w14:paraId="5598BA46">
      <w:pPr>
        <w:spacing w:line="500" w:lineRule="exact"/>
        <w:ind w:firstLine="480" w:firstLineChars="200"/>
        <w:rPr>
          <w:rFonts w:hint="eastAsia" w:ascii="宋体" w:hAnsi="宋体" w:cs="宋体"/>
          <w:sz w:val="24"/>
        </w:rPr>
      </w:pPr>
      <w:r>
        <w:rPr>
          <w:rFonts w:hint="eastAsia" w:ascii="宋体" w:hAnsi="宋体" w:cs="宋体"/>
          <w:sz w:val="24"/>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3136DCB0">
      <w:pPr>
        <w:spacing w:line="500" w:lineRule="exact"/>
        <w:ind w:firstLine="420"/>
        <w:rPr>
          <w:rFonts w:hint="eastAsia" w:ascii="宋体" w:hAnsi="宋体" w:cs="宋体"/>
          <w:sz w:val="24"/>
        </w:rPr>
      </w:pPr>
      <w:r>
        <w:rPr>
          <w:rFonts w:hint="eastAsia" w:ascii="宋体" w:hAnsi="宋体" w:cs="宋体"/>
          <w:sz w:val="24"/>
        </w:rPr>
        <w:t>（6）监理人应在收到承包人提交的工程量报表后的7天内进行复核，监理人未在约定时间内复核的，承包人提交的工程量报表中的工程量视为承包人实际完成的工程量，据此计算工程价款。</w:t>
      </w:r>
    </w:p>
    <w:p w14:paraId="6F01155E">
      <w:pPr>
        <w:spacing w:line="500" w:lineRule="exact"/>
        <w:rPr>
          <w:rFonts w:hint="eastAsia" w:ascii="宋体" w:hAnsi="宋体" w:cs="宋体"/>
          <w:sz w:val="24"/>
        </w:rPr>
      </w:pPr>
      <w:r>
        <w:rPr>
          <w:rFonts w:hint="eastAsia" w:ascii="宋体" w:hAnsi="宋体" w:cs="宋体"/>
          <w:sz w:val="24"/>
        </w:rPr>
        <w:t>　　17.1.5 总价子目的计量</w:t>
      </w:r>
    </w:p>
    <w:p w14:paraId="681CBB03">
      <w:pPr>
        <w:spacing w:line="500" w:lineRule="exact"/>
        <w:rPr>
          <w:rFonts w:hint="eastAsia" w:ascii="宋体" w:hAnsi="宋体" w:cs="宋体"/>
          <w:sz w:val="24"/>
        </w:rPr>
      </w:pPr>
      <w:r>
        <w:rPr>
          <w:rFonts w:hint="eastAsia" w:ascii="宋体" w:hAnsi="宋体" w:cs="宋体"/>
          <w:sz w:val="24"/>
        </w:rPr>
        <w:t>　　总价子目的分解和计量按照下述约定进行。</w:t>
      </w:r>
    </w:p>
    <w:p w14:paraId="419F2D85">
      <w:pPr>
        <w:spacing w:line="500" w:lineRule="exact"/>
        <w:rPr>
          <w:rFonts w:hint="eastAsia" w:ascii="宋体" w:hAnsi="宋体" w:cs="宋体"/>
          <w:sz w:val="24"/>
        </w:rPr>
      </w:pPr>
      <w:r>
        <w:rPr>
          <w:rFonts w:hint="eastAsia" w:ascii="宋体" w:hAnsi="宋体" w:cs="宋体"/>
          <w:sz w:val="24"/>
        </w:rPr>
        <w:t>　　(1)总价子目的计量和支付应以总价为基础，不因第16.1款中的因素而进行调整。承包人实际完成的工程量，是进行工程目标管理和控制进度支付的依据。</w:t>
      </w:r>
    </w:p>
    <w:p w14:paraId="672B5B6E">
      <w:pPr>
        <w:spacing w:line="500" w:lineRule="exact"/>
        <w:rPr>
          <w:rFonts w:hint="eastAsia" w:ascii="宋体" w:hAnsi="宋体" w:cs="宋体"/>
          <w:sz w:val="24"/>
        </w:rPr>
      </w:pPr>
      <w:r>
        <w:rPr>
          <w:rFonts w:hint="eastAsia" w:ascii="宋体" w:hAnsi="宋体" w:cs="宋体"/>
          <w:sz w:val="24"/>
        </w:rPr>
        <w:t>　　(2)承包人应按工程量清单的要求对总价子目进行分解，并在签订协议书后的28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14:paraId="77F2F831">
      <w:pPr>
        <w:spacing w:line="500" w:lineRule="exact"/>
        <w:rPr>
          <w:rFonts w:hint="eastAsia" w:ascii="宋体" w:hAnsi="宋体" w:cs="宋体"/>
          <w:sz w:val="24"/>
        </w:rPr>
      </w:pPr>
      <w:r>
        <w:rPr>
          <w:rFonts w:hint="eastAsia" w:ascii="宋体" w:hAnsi="宋体" w:cs="宋体"/>
          <w:sz w:val="24"/>
        </w:rPr>
        <w:t>　　(3)监理人对承包人提交的上述资料进行复核，以确定分阶段实际完成的工程量和工程形象目标。对其有异议的，可要求承包人按第8.2款约定进行共同复核和抽样复测。</w:t>
      </w:r>
    </w:p>
    <w:p w14:paraId="26CE1D28">
      <w:pPr>
        <w:spacing w:line="500" w:lineRule="exact"/>
        <w:rPr>
          <w:rFonts w:hint="eastAsia" w:ascii="宋体" w:hAnsi="宋体" w:cs="宋体"/>
          <w:sz w:val="24"/>
        </w:rPr>
      </w:pPr>
      <w:r>
        <w:rPr>
          <w:rFonts w:hint="eastAsia" w:ascii="宋体" w:hAnsi="宋体" w:cs="宋体"/>
          <w:sz w:val="24"/>
        </w:rPr>
        <w:t>　　(4)除按照第15条约定的变更外，总价子目的工程量是承包人用于结算的最终工程量。</w:t>
      </w:r>
    </w:p>
    <w:p w14:paraId="0F9D8AD1">
      <w:pPr>
        <w:spacing w:line="500" w:lineRule="exact"/>
        <w:outlineLvl w:val="3"/>
        <w:rPr>
          <w:rFonts w:hint="eastAsia" w:ascii="宋体" w:hAnsi="宋体" w:cs="宋体"/>
          <w:sz w:val="24"/>
        </w:rPr>
      </w:pPr>
      <w:r>
        <w:rPr>
          <w:rFonts w:hint="eastAsia" w:ascii="宋体" w:hAnsi="宋体" w:cs="宋体"/>
          <w:sz w:val="24"/>
        </w:rPr>
        <w:t>17.2 预付款</w:t>
      </w:r>
    </w:p>
    <w:p w14:paraId="636F1FB3">
      <w:pPr>
        <w:spacing w:line="500" w:lineRule="exact"/>
        <w:rPr>
          <w:rFonts w:hint="eastAsia" w:ascii="宋体" w:hAnsi="宋体" w:cs="宋体"/>
          <w:sz w:val="24"/>
        </w:rPr>
      </w:pPr>
      <w:r>
        <w:rPr>
          <w:rFonts w:hint="eastAsia" w:ascii="宋体" w:hAnsi="宋体" w:cs="宋体"/>
          <w:sz w:val="24"/>
        </w:rPr>
        <w:t>　　17.2.1 预付款</w:t>
      </w:r>
    </w:p>
    <w:p w14:paraId="68054707">
      <w:pPr>
        <w:spacing w:line="500" w:lineRule="exact"/>
        <w:rPr>
          <w:rFonts w:hint="eastAsia" w:ascii="宋体" w:hAnsi="宋体" w:cs="宋体"/>
          <w:sz w:val="24"/>
        </w:rPr>
      </w:pPr>
      <w:r>
        <w:rPr>
          <w:rFonts w:hint="eastAsia" w:ascii="宋体" w:hAnsi="宋体" w:cs="宋体"/>
          <w:sz w:val="24"/>
        </w:rPr>
        <w:t>　　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14:paraId="3D85A874">
      <w:pPr>
        <w:spacing w:line="500" w:lineRule="exact"/>
        <w:rPr>
          <w:rFonts w:hint="eastAsia" w:ascii="宋体" w:hAnsi="宋体" w:cs="宋体"/>
          <w:sz w:val="24"/>
        </w:rPr>
      </w:pPr>
      <w:r>
        <w:rPr>
          <w:rFonts w:hint="eastAsia" w:ascii="宋体" w:hAnsi="宋体" w:cs="宋体"/>
          <w:sz w:val="24"/>
        </w:rPr>
        <w:t>　　17.2.2 预付款保函(担保)</w:t>
      </w:r>
    </w:p>
    <w:p w14:paraId="78D54747">
      <w:pPr>
        <w:spacing w:line="500" w:lineRule="exact"/>
        <w:rPr>
          <w:rFonts w:hint="eastAsia" w:ascii="宋体" w:hAnsi="宋体" w:cs="宋体"/>
          <w:sz w:val="24"/>
        </w:rPr>
      </w:pPr>
      <w:r>
        <w:rPr>
          <w:rFonts w:hint="eastAsia" w:ascii="宋体" w:hAnsi="宋体" w:cs="宋体"/>
          <w:sz w:val="24"/>
        </w:rPr>
        <w:t>　　(1)承包人应在收到第一次工程预付款的同时向发包人提交工程预付款担保，担保金额应与第一次工程预付款金额相同，工程预付款担保在第一次工程预付款被发包人扣回前一直有效。</w:t>
      </w:r>
    </w:p>
    <w:p w14:paraId="107C2375">
      <w:pPr>
        <w:spacing w:line="500" w:lineRule="exact"/>
        <w:rPr>
          <w:rFonts w:hint="eastAsia" w:ascii="宋体" w:hAnsi="宋体" w:cs="宋体"/>
          <w:sz w:val="24"/>
        </w:rPr>
      </w:pPr>
      <w:r>
        <w:rPr>
          <w:rFonts w:hint="eastAsia" w:ascii="宋体" w:hAnsi="宋体" w:cs="宋体"/>
          <w:sz w:val="24"/>
        </w:rPr>
        <w:t>　　(2)工程材料预付款的担保在专用合同条款中约定。</w:t>
      </w:r>
    </w:p>
    <w:p w14:paraId="65E48A3B">
      <w:pPr>
        <w:spacing w:line="500" w:lineRule="exact"/>
        <w:rPr>
          <w:rFonts w:hint="eastAsia" w:ascii="宋体" w:hAnsi="宋体" w:cs="宋体"/>
          <w:sz w:val="24"/>
        </w:rPr>
      </w:pPr>
      <w:r>
        <w:rPr>
          <w:rFonts w:hint="eastAsia" w:ascii="宋体" w:hAnsi="宋体" w:cs="宋体"/>
          <w:sz w:val="24"/>
        </w:rPr>
        <w:t>　　(3)预付款担保的担保金额可根据预付款扣回的金额相应递减。</w:t>
      </w:r>
    </w:p>
    <w:p w14:paraId="24AB43F5">
      <w:pPr>
        <w:spacing w:line="500" w:lineRule="exact"/>
        <w:rPr>
          <w:rFonts w:hint="eastAsia" w:ascii="宋体" w:hAnsi="宋体" w:cs="宋体"/>
          <w:sz w:val="24"/>
        </w:rPr>
      </w:pPr>
      <w:r>
        <w:rPr>
          <w:rFonts w:hint="eastAsia" w:ascii="宋体" w:hAnsi="宋体" w:cs="宋体"/>
          <w:sz w:val="24"/>
        </w:rPr>
        <w:t>　　17.2.3 预付款的扣回与还清</w:t>
      </w:r>
    </w:p>
    <w:p w14:paraId="317D860A">
      <w:pPr>
        <w:spacing w:line="500" w:lineRule="exact"/>
        <w:ind w:firstLine="420"/>
        <w:rPr>
          <w:rFonts w:hint="eastAsia" w:ascii="宋体" w:hAnsi="宋体" w:cs="宋体"/>
          <w:sz w:val="24"/>
        </w:rPr>
      </w:pPr>
      <w:r>
        <w:rPr>
          <w:rFonts w:hint="eastAsia" w:ascii="宋体" w:hAnsi="宋体" w:cs="宋体"/>
          <w:sz w:val="24"/>
        </w:rPr>
        <w:t>预付款在进度付款中扣回，扣回与还清办法在专用合同条款中约定。在颁发合同工程完工证书前，由于不可抗力或其它原因解除合同时，预付款尚未扣清的，尚未扣清的预付款余额应作为承包人的到期应付款。</w:t>
      </w:r>
    </w:p>
    <w:p w14:paraId="46142B4A">
      <w:pPr>
        <w:spacing w:line="500" w:lineRule="exact"/>
        <w:outlineLvl w:val="3"/>
        <w:rPr>
          <w:rFonts w:hint="eastAsia" w:ascii="宋体" w:hAnsi="宋体" w:cs="宋体"/>
          <w:sz w:val="24"/>
        </w:rPr>
      </w:pPr>
      <w:r>
        <w:rPr>
          <w:rFonts w:hint="eastAsia" w:ascii="宋体" w:hAnsi="宋体" w:cs="宋体"/>
          <w:sz w:val="24"/>
        </w:rPr>
        <w:t>17.3 工程进度付款</w:t>
      </w:r>
    </w:p>
    <w:p w14:paraId="1000BE2B">
      <w:pPr>
        <w:spacing w:line="500" w:lineRule="exact"/>
        <w:ind w:firstLine="480" w:firstLineChars="200"/>
        <w:rPr>
          <w:rFonts w:hint="eastAsia" w:ascii="宋体" w:hAnsi="宋体" w:cs="宋体"/>
          <w:sz w:val="24"/>
        </w:rPr>
      </w:pPr>
      <w:r>
        <w:rPr>
          <w:rFonts w:hint="eastAsia" w:ascii="宋体" w:hAnsi="宋体" w:cs="宋体"/>
          <w:sz w:val="24"/>
        </w:rPr>
        <w:t>17.3.1 付款周期</w:t>
      </w:r>
    </w:p>
    <w:p w14:paraId="486E8719">
      <w:pPr>
        <w:spacing w:line="500" w:lineRule="exact"/>
        <w:ind w:firstLine="480" w:firstLineChars="200"/>
        <w:rPr>
          <w:rFonts w:hint="eastAsia" w:ascii="宋体" w:hAnsi="宋体" w:cs="宋体"/>
          <w:sz w:val="24"/>
        </w:rPr>
      </w:pPr>
      <w:r>
        <w:rPr>
          <w:rFonts w:hint="eastAsia" w:ascii="宋体" w:hAnsi="宋体" w:cs="宋体"/>
          <w:sz w:val="24"/>
        </w:rPr>
        <w:t>付款周期同计量周期。</w:t>
      </w:r>
    </w:p>
    <w:p w14:paraId="343703A4">
      <w:pPr>
        <w:spacing w:line="500" w:lineRule="exact"/>
        <w:ind w:firstLine="480" w:firstLineChars="200"/>
        <w:rPr>
          <w:rFonts w:hint="eastAsia" w:ascii="宋体" w:hAnsi="宋体" w:cs="宋体"/>
          <w:sz w:val="24"/>
        </w:rPr>
      </w:pPr>
      <w:r>
        <w:rPr>
          <w:rFonts w:hint="eastAsia" w:ascii="宋体" w:hAnsi="宋体" w:cs="宋体"/>
          <w:sz w:val="24"/>
        </w:rPr>
        <w:t>17.3.2 进度付款申请单</w:t>
      </w:r>
    </w:p>
    <w:p w14:paraId="09A7B968">
      <w:pPr>
        <w:spacing w:line="500" w:lineRule="exact"/>
        <w:ind w:firstLine="480" w:firstLineChars="200"/>
        <w:rPr>
          <w:rFonts w:hint="eastAsia" w:ascii="宋体" w:hAnsi="宋体" w:cs="宋体"/>
          <w:dstrike/>
          <w:sz w:val="24"/>
        </w:rPr>
      </w:pPr>
      <w:r>
        <w:rPr>
          <w:rFonts w:hint="eastAsia" w:ascii="宋体" w:hAnsi="宋体" w:cs="宋体"/>
          <w:sz w:val="24"/>
        </w:rPr>
        <w:t>承包人应在每个付款周期末，按监理人批准的格式和专用合同条款约定的份数，向监理人提交进度付款申请单，并附相应的支持性证明文件。除专用合同条款另有约定外，进度付款申请单应包括下列内容：</w:t>
      </w:r>
    </w:p>
    <w:p w14:paraId="737FF798">
      <w:pPr>
        <w:spacing w:line="500" w:lineRule="exact"/>
        <w:ind w:firstLine="480" w:firstLineChars="200"/>
        <w:rPr>
          <w:rFonts w:hint="eastAsia" w:ascii="宋体" w:hAnsi="宋体" w:cs="宋体"/>
          <w:sz w:val="24"/>
        </w:rPr>
      </w:pPr>
      <w:r>
        <w:rPr>
          <w:rFonts w:hint="eastAsia" w:ascii="宋体" w:hAnsi="宋体" w:cs="宋体"/>
          <w:sz w:val="24"/>
        </w:rPr>
        <w:t>（1）截至本次付款周期末已实施工程的价款；</w:t>
      </w:r>
    </w:p>
    <w:p w14:paraId="46EC796A">
      <w:pPr>
        <w:spacing w:line="500" w:lineRule="exact"/>
        <w:ind w:firstLine="480" w:firstLineChars="200"/>
        <w:rPr>
          <w:rFonts w:hint="eastAsia" w:ascii="宋体" w:hAnsi="宋体" w:cs="宋体"/>
          <w:sz w:val="24"/>
        </w:rPr>
      </w:pPr>
      <w:r>
        <w:rPr>
          <w:rFonts w:hint="eastAsia" w:ascii="宋体" w:hAnsi="宋体" w:cs="宋体"/>
          <w:sz w:val="24"/>
        </w:rPr>
        <w:t>（2）根据第15条应增加和扣减的变更金额；</w:t>
      </w:r>
    </w:p>
    <w:p w14:paraId="7F4BFABD">
      <w:pPr>
        <w:spacing w:line="500" w:lineRule="exact"/>
        <w:ind w:firstLine="480" w:firstLineChars="200"/>
        <w:rPr>
          <w:rFonts w:hint="eastAsia" w:ascii="宋体" w:hAnsi="宋体" w:cs="宋体"/>
          <w:sz w:val="24"/>
        </w:rPr>
      </w:pPr>
      <w:r>
        <w:rPr>
          <w:rFonts w:hint="eastAsia" w:ascii="宋体" w:hAnsi="宋体" w:cs="宋体"/>
          <w:sz w:val="24"/>
        </w:rPr>
        <w:t>（3）根据第23条应增加和扣减的索赔金额；</w:t>
      </w:r>
    </w:p>
    <w:p w14:paraId="6590BE5E">
      <w:pPr>
        <w:spacing w:line="500" w:lineRule="exact"/>
        <w:ind w:firstLine="480" w:firstLineChars="200"/>
        <w:rPr>
          <w:rFonts w:hint="eastAsia" w:ascii="宋体" w:hAnsi="宋体" w:cs="宋体"/>
          <w:sz w:val="24"/>
        </w:rPr>
      </w:pPr>
      <w:r>
        <w:rPr>
          <w:rFonts w:hint="eastAsia" w:ascii="宋体" w:hAnsi="宋体" w:cs="宋体"/>
          <w:sz w:val="24"/>
        </w:rPr>
        <w:t>（4）根据第17.2款约定应支付的预付款和扣减的返还预付款；</w:t>
      </w:r>
    </w:p>
    <w:p w14:paraId="495987CE">
      <w:pPr>
        <w:spacing w:line="500" w:lineRule="exact"/>
        <w:ind w:firstLine="480" w:firstLineChars="200"/>
        <w:rPr>
          <w:rFonts w:hint="eastAsia" w:ascii="宋体" w:hAnsi="宋体" w:cs="宋体"/>
          <w:sz w:val="24"/>
        </w:rPr>
      </w:pPr>
      <w:r>
        <w:rPr>
          <w:rFonts w:hint="eastAsia" w:ascii="宋体" w:hAnsi="宋体" w:cs="宋体"/>
          <w:sz w:val="24"/>
        </w:rPr>
        <w:t>（5）根据第17.4.1项约定应扣减的质量保证金；</w:t>
      </w:r>
    </w:p>
    <w:p w14:paraId="6A402543">
      <w:pPr>
        <w:spacing w:line="500" w:lineRule="exact"/>
        <w:ind w:firstLine="480" w:firstLineChars="200"/>
        <w:rPr>
          <w:rFonts w:hint="eastAsia" w:ascii="宋体" w:hAnsi="宋体" w:cs="宋体"/>
          <w:sz w:val="24"/>
        </w:rPr>
      </w:pPr>
      <w:r>
        <w:rPr>
          <w:rFonts w:hint="eastAsia" w:ascii="宋体" w:hAnsi="宋体" w:cs="宋体"/>
          <w:sz w:val="24"/>
        </w:rPr>
        <w:t>（6）根据合同应增加和扣减的其他金额。</w:t>
      </w:r>
    </w:p>
    <w:p w14:paraId="5D6A8FDF">
      <w:pPr>
        <w:spacing w:line="500" w:lineRule="exact"/>
        <w:ind w:firstLine="480" w:firstLineChars="200"/>
        <w:rPr>
          <w:rFonts w:hint="eastAsia" w:ascii="宋体" w:hAnsi="宋体" w:cs="宋体"/>
          <w:sz w:val="24"/>
        </w:rPr>
      </w:pPr>
      <w:r>
        <w:rPr>
          <w:rFonts w:hint="eastAsia" w:ascii="宋体" w:hAnsi="宋体" w:cs="宋体"/>
          <w:sz w:val="24"/>
        </w:rPr>
        <w:t>17.3.3 进度付款证书和支付时间</w:t>
      </w:r>
    </w:p>
    <w:p w14:paraId="6950DFED">
      <w:pPr>
        <w:spacing w:line="500" w:lineRule="exact"/>
        <w:ind w:firstLine="480" w:firstLineChars="200"/>
        <w:rPr>
          <w:rFonts w:hint="eastAsia" w:ascii="宋体" w:hAnsi="宋体" w:cs="宋体"/>
          <w:sz w:val="24"/>
        </w:rPr>
      </w:pPr>
      <w:r>
        <w:rPr>
          <w:rFonts w:hint="eastAsia" w:ascii="宋体" w:hAnsi="宋体" w:cs="宋体"/>
          <w:sz w:val="24"/>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5DFA0353">
      <w:pPr>
        <w:spacing w:line="500" w:lineRule="exact"/>
        <w:ind w:firstLine="480" w:firstLineChars="200"/>
        <w:rPr>
          <w:rFonts w:hint="eastAsia" w:ascii="宋体" w:hAnsi="宋体" w:cs="宋体"/>
          <w:sz w:val="24"/>
        </w:rPr>
      </w:pPr>
      <w:r>
        <w:rPr>
          <w:rFonts w:hint="eastAsia" w:ascii="宋体" w:hAnsi="宋体" w:cs="宋体"/>
          <w:sz w:val="24"/>
        </w:rPr>
        <w:t>（2）发包人应在监理人收到进度付款申请单后的28天内，将进度应付款支付给承包人。发包人不按期支付的，按专用合同条款的约定支付逾期付款违约金。</w:t>
      </w:r>
    </w:p>
    <w:p w14:paraId="4CE88F52">
      <w:pPr>
        <w:spacing w:line="500" w:lineRule="exact"/>
        <w:ind w:firstLine="480" w:firstLineChars="200"/>
        <w:rPr>
          <w:rFonts w:hint="eastAsia" w:ascii="宋体" w:hAnsi="宋体" w:cs="宋体"/>
          <w:sz w:val="24"/>
        </w:rPr>
      </w:pPr>
      <w:r>
        <w:rPr>
          <w:rFonts w:hint="eastAsia" w:ascii="宋体" w:hAnsi="宋体" w:cs="宋体"/>
          <w:sz w:val="24"/>
        </w:rPr>
        <w:t>（3）监理人出具进度付款证书，不应视为监理人已同意、批准或接受了承包人完成的该部分工作。</w:t>
      </w:r>
    </w:p>
    <w:p w14:paraId="1B98457D">
      <w:pPr>
        <w:spacing w:line="500" w:lineRule="exact"/>
        <w:ind w:firstLine="480" w:firstLineChars="200"/>
        <w:rPr>
          <w:rFonts w:hint="eastAsia" w:ascii="宋体" w:hAnsi="宋体" w:cs="宋体"/>
          <w:sz w:val="24"/>
        </w:rPr>
      </w:pPr>
      <w:r>
        <w:rPr>
          <w:rFonts w:hint="eastAsia" w:ascii="宋体" w:hAnsi="宋体" w:cs="宋体"/>
          <w:sz w:val="24"/>
        </w:rPr>
        <w:t>（4）进度付款涉及政府投资资金的，按照国库集中支付等国家相关规定和专用合同条款的约定办理。</w:t>
      </w:r>
    </w:p>
    <w:p w14:paraId="559E8B07">
      <w:pPr>
        <w:spacing w:line="500" w:lineRule="exact"/>
        <w:ind w:firstLine="480" w:firstLineChars="200"/>
        <w:rPr>
          <w:rFonts w:hint="eastAsia" w:ascii="宋体" w:hAnsi="宋体" w:cs="宋体"/>
          <w:sz w:val="24"/>
        </w:rPr>
      </w:pPr>
      <w:r>
        <w:rPr>
          <w:rFonts w:hint="eastAsia" w:ascii="宋体" w:hAnsi="宋体" w:cs="宋体"/>
          <w:sz w:val="24"/>
        </w:rPr>
        <w:t>17.3.4 工程进度付款的修正</w:t>
      </w:r>
    </w:p>
    <w:p w14:paraId="2CCA80CE">
      <w:pPr>
        <w:spacing w:line="500" w:lineRule="exact"/>
        <w:ind w:firstLine="480" w:firstLineChars="200"/>
        <w:rPr>
          <w:rFonts w:hint="eastAsia" w:ascii="宋体" w:hAnsi="宋体" w:cs="宋体"/>
          <w:sz w:val="24"/>
        </w:rPr>
      </w:pPr>
      <w:r>
        <w:rPr>
          <w:rFonts w:hint="eastAsia" w:ascii="宋体" w:hAnsi="宋体" w:cs="宋体"/>
          <w:sz w:val="24"/>
        </w:rPr>
        <w:t>在对以往历次已签发的进度付款证书进行汇总和复核中发现错、漏或重复的，监理人有权予以修正，承包人也有权提出修正申请。经双方复核同意的修正，应在本次进度付款中支付或扣除。</w:t>
      </w:r>
    </w:p>
    <w:p w14:paraId="7925EA2A">
      <w:pPr>
        <w:spacing w:line="500" w:lineRule="exact"/>
        <w:outlineLvl w:val="3"/>
        <w:rPr>
          <w:rFonts w:hint="eastAsia" w:ascii="宋体" w:hAnsi="宋体" w:cs="宋体"/>
          <w:sz w:val="24"/>
        </w:rPr>
      </w:pPr>
      <w:r>
        <w:rPr>
          <w:rFonts w:hint="eastAsia" w:ascii="宋体" w:hAnsi="宋体" w:cs="宋体"/>
          <w:sz w:val="24"/>
        </w:rPr>
        <w:t>17.4 质量保证金</w:t>
      </w:r>
    </w:p>
    <w:p w14:paraId="3108EE61">
      <w:pPr>
        <w:spacing w:line="500" w:lineRule="exact"/>
        <w:rPr>
          <w:rFonts w:hint="eastAsia" w:ascii="宋体" w:hAnsi="宋体" w:cs="宋体"/>
          <w:sz w:val="24"/>
        </w:rPr>
      </w:pPr>
      <w:r>
        <w:rPr>
          <w:rFonts w:hint="eastAsia" w:ascii="宋体" w:hAnsi="宋体" w:cs="宋体"/>
          <w:sz w:val="24"/>
        </w:rPr>
        <w:t>　　17.4.1 监理人应从第一个工程进度付款周期开始，在发包人的进度付款中，按专用合同条款的约定扣留质量保证金，直至扣留的质量保证金总额达到专用合同条款约定的金额或比例为止。质量保证金的计算额度不包括预付款的支付与扣回金额。</w:t>
      </w:r>
    </w:p>
    <w:p w14:paraId="529FBA18">
      <w:pPr>
        <w:spacing w:line="500" w:lineRule="exact"/>
        <w:ind w:firstLine="420"/>
        <w:rPr>
          <w:rFonts w:hint="eastAsia" w:ascii="宋体" w:hAnsi="宋体" w:cs="宋体"/>
          <w:sz w:val="24"/>
        </w:rPr>
      </w:pPr>
      <w:r>
        <w:rPr>
          <w:rFonts w:hint="eastAsia" w:ascii="宋体" w:hAnsi="宋体" w:cs="宋体"/>
          <w:sz w:val="24"/>
        </w:rPr>
        <w:t>17.4.2 合同工程完工证书颁发后14天内，发包人将质量保证金总额的一半支付给承包人。在第1.1.4.5目约定的缺陷责任期(工程质量保修期)满时，发包人将在30个工作日内会同承包人按照合同约定的内容核实承包人是否完成保修责任。如无异议，发包人应当在核实后将剩余的质量保证金支付给承包人。</w:t>
      </w:r>
    </w:p>
    <w:p w14:paraId="2D469535">
      <w:pPr>
        <w:spacing w:line="500" w:lineRule="exact"/>
        <w:ind w:firstLine="420"/>
        <w:rPr>
          <w:rFonts w:hint="eastAsia" w:ascii="宋体" w:hAnsi="宋体" w:cs="宋体"/>
          <w:sz w:val="24"/>
        </w:rPr>
      </w:pPr>
      <w:r>
        <w:rPr>
          <w:rFonts w:hint="eastAsia" w:ascii="宋体" w:hAnsi="宋体" w:cs="宋体"/>
          <w:sz w:val="24"/>
        </w:rPr>
        <w:t>17.4.3 在第1.1.4.5目约定的缺陷责任期满时，承包人没有完成缺陷责任的，发包人有权扣留与未履行责任剩余工作所需金额相应的质量保证金余额，并有权根据第19.3款约定要求延长缺陷责任期，直至完成剩余工作为止。</w:t>
      </w:r>
    </w:p>
    <w:p w14:paraId="1F5401A9">
      <w:pPr>
        <w:spacing w:line="500" w:lineRule="exact"/>
        <w:outlineLvl w:val="3"/>
        <w:rPr>
          <w:rFonts w:hint="eastAsia" w:ascii="宋体" w:hAnsi="宋体" w:cs="宋体"/>
          <w:sz w:val="24"/>
        </w:rPr>
      </w:pPr>
      <w:r>
        <w:rPr>
          <w:rFonts w:hint="eastAsia" w:ascii="宋体" w:hAnsi="宋体" w:cs="宋体"/>
          <w:sz w:val="24"/>
        </w:rPr>
        <w:t>17.5 竣工结算(完工结算)</w:t>
      </w:r>
    </w:p>
    <w:p w14:paraId="56B03B92">
      <w:pPr>
        <w:spacing w:line="500" w:lineRule="exact"/>
        <w:rPr>
          <w:rFonts w:hint="eastAsia" w:ascii="宋体" w:hAnsi="宋体" w:cs="宋体"/>
          <w:sz w:val="24"/>
        </w:rPr>
      </w:pPr>
      <w:r>
        <w:rPr>
          <w:rFonts w:hint="eastAsia" w:ascii="宋体" w:hAnsi="宋体" w:cs="宋体"/>
          <w:sz w:val="24"/>
        </w:rPr>
        <w:t>　　17.5.1 竣工(完工)付款申请单</w:t>
      </w:r>
    </w:p>
    <w:p w14:paraId="30CCFA1F">
      <w:pPr>
        <w:spacing w:line="500" w:lineRule="exact"/>
        <w:rPr>
          <w:rFonts w:hint="eastAsia" w:ascii="宋体" w:hAnsi="宋体" w:cs="宋体"/>
          <w:sz w:val="24"/>
        </w:rPr>
      </w:pPr>
      <w:r>
        <w:rPr>
          <w:rFonts w:hint="eastAsia" w:ascii="宋体" w:hAnsi="宋体" w:cs="宋体"/>
          <w:sz w:val="24"/>
        </w:rPr>
        <w:t>　　(1)承包人应在合同工程完工证书颁发后28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14:paraId="09162FE9">
      <w:pPr>
        <w:spacing w:line="500" w:lineRule="exact"/>
        <w:rPr>
          <w:rFonts w:hint="eastAsia" w:ascii="宋体" w:hAnsi="宋体" w:cs="宋体"/>
          <w:sz w:val="24"/>
        </w:rPr>
      </w:pPr>
      <w:r>
        <w:rPr>
          <w:rFonts w:hint="eastAsia" w:ascii="宋体" w:hAnsi="宋体" w:cs="宋体"/>
          <w:sz w:val="24"/>
        </w:rPr>
        <w:t>　　(2)监理人对完工付款申请单有异议的，有权要求承包人进行修正和提供补充资料。经监理人和承包人协商后，由承包人向监理人提交修正后的完工付款申请单。</w:t>
      </w:r>
    </w:p>
    <w:p w14:paraId="02244F5E">
      <w:pPr>
        <w:spacing w:line="500" w:lineRule="exact"/>
        <w:rPr>
          <w:rFonts w:hint="eastAsia" w:ascii="宋体" w:hAnsi="宋体" w:cs="宋体"/>
          <w:sz w:val="24"/>
        </w:rPr>
      </w:pPr>
      <w:r>
        <w:rPr>
          <w:rFonts w:hint="eastAsia" w:ascii="宋体" w:hAnsi="宋体" w:cs="宋体"/>
          <w:sz w:val="24"/>
        </w:rPr>
        <w:t>　　17.5.2 竣工(完工)付款证书及支付时间</w:t>
      </w:r>
    </w:p>
    <w:p w14:paraId="2DCB6204">
      <w:pPr>
        <w:spacing w:line="500" w:lineRule="exact"/>
        <w:rPr>
          <w:rFonts w:hint="eastAsia" w:ascii="宋体" w:hAnsi="宋体" w:cs="宋体"/>
          <w:sz w:val="24"/>
        </w:rPr>
      </w:pPr>
      <w:r>
        <w:rPr>
          <w:rFonts w:hint="eastAsia" w:ascii="宋体" w:hAnsi="宋体" w:cs="宋体"/>
          <w:sz w:val="24"/>
        </w:rPr>
        <w:t>　　(1)监理人在收到承包人提交的完工付款申请单后的14天内完成核查，提出发包人到期应支付给承包人的价款送发包人审核并抄送承包人。发包人应在收到后14天内审核完毕，由监理人向承包人出具经发包人签认的完工付款证书。监理人未在约定时间内核查，又未提出具体意见的，视为承包人提交的完工付款申请单已经监理人核查同意。发包人未在约定时间内审核又未提出具体意见的，监理人提出发包人到期应支付给承包人的价款视为已经发包人同意。</w:t>
      </w:r>
    </w:p>
    <w:p w14:paraId="44A4E441">
      <w:pPr>
        <w:spacing w:line="500" w:lineRule="exact"/>
        <w:rPr>
          <w:rFonts w:hint="eastAsia" w:ascii="宋体" w:hAnsi="宋体" w:cs="宋体"/>
          <w:sz w:val="24"/>
        </w:rPr>
      </w:pPr>
      <w:r>
        <w:rPr>
          <w:rFonts w:hint="eastAsia" w:ascii="宋体" w:hAnsi="宋体" w:cs="宋体"/>
          <w:sz w:val="24"/>
        </w:rPr>
        <w:t>　　(2)发包人应在监理人出具完工付款证书后的14天内，将应支付款支付给承包人。发包人不按期支付的，按第17.3.3(2)目的约定，将逾期付款违约金支付给承包人。</w:t>
      </w:r>
    </w:p>
    <w:p w14:paraId="6AE6F85C">
      <w:pPr>
        <w:spacing w:line="500" w:lineRule="exact"/>
        <w:rPr>
          <w:rFonts w:hint="eastAsia" w:ascii="宋体" w:hAnsi="宋体" w:cs="宋体"/>
          <w:sz w:val="24"/>
        </w:rPr>
      </w:pPr>
      <w:r>
        <w:rPr>
          <w:rFonts w:hint="eastAsia" w:ascii="宋体" w:hAnsi="宋体" w:cs="宋体"/>
          <w:sz w:val="24"/>
        </w:rPr>
        <w:t>　　(3)承包人对发包人签认的完工付款证书有异议的，发包人可出具完工付款申请单中承包人已同意部分的临时付款证书。存在争议的部分，按第24条的约定办理。</w:t>
      </w:r>
    </w:p>
    <w:p w14:paraId="311CEB2C">
      <w:pPr>
        <w:spacing w:line="500" w:lineRule="exact"/>
        <w:rPr>
          <w:rFonts w:hint="eastAsia" w:ascii="宋体" w:hAnsi="宋体" w:cs="宋体"/>
          <w:sz w:val="24"/>
        </w:rPr>
      </w:pPr>
      <w:r>
        <w:rPr>
          <w:rFonts w:hint="eastAsia" w:ascii="宋体" w:hAnsi="宋体" w:cs="宋体"/>
          <w:sz w:val="24"/>
        </w:rPr>
        <w:t>　　(4)完工付款涉及政府投资资金的，按第17.3.3(4)目的约定办理。</w:t>
      </w:r>
    </w:p>
    <w:p w14:paraId="785E437C">
      <w:pPr>
        <w:spacing w:line="500" w:lineRule="exact"/>
        <w:outlineLvl w:val="3"/>
        <w:rPr>
          <w:rFonts w:hint="eastAsia" w:ascii="宋体" w:hAnsi="宋体" w:cs="宋体"/>
          <w:sz w:val="24"/>
        </w:rPr>
      </w:pPr>
      <w:r>
        <w:rPr>
          <w:rFonts w:hint="eastAsia" w:ascii="宋体" w:hAnsi="宋体" w:cs="宋体"/>
          <w:sz w:val="24"/>
        </w:rPr>
        <w:t>17.6 最终结清</w:t>
      </w:r>
    </w:p>
    <w:p w14:paraId="4EB389EA">
      <w:pPr>
        <w:spacing w:line="500" w:lineRule="exact"/>
        <w:rPr>
          <w:rFonts w:hint="eastAsia" w:ascii="宋体" w:hAnsi="宋体" w:cs="宋体"/>
          <w:sz w:val="24"/>
        </w:rPr>
      </w:pPr>
      <w:r>
        <w:rPr>
          <w:rFonts w:hint="eastAsia" w:ascii="宋体" w:hAnsi="宋体" w:cs="宋体"/>
          <w:sz w:val="24"/>
        </w:rPr>
        <w:t>　　17.6.1 最终结清申请单</w:t>
      </w:r>
    </w:p>
    <w:p w14:paraId="23467CAC">
      <w:pPr>
        <w:spacing w:line="500" w:lineRule="exact"/>
        <w:rPr>
          <w:rFonts w:hint="eastAsia" w:ascii="宋体" w:hAnsi="宋体" w:cs="宋体"/>
          <w:sz w:val="24"/>
        </w:rPr>
      </w:pPr>
      <w:r>
        <w:rPr>
          <w:rFonts w:hint="eastAsia" w:ascii="宋体" w:hAnsi="宋体" w:cs="宋体"/>
          <w:sz w:val="24"/>
        </w:rPr>
        <w:t>　　(1)工程质量保修责任终止证书签发后，承包人应按监理人批准的格式提交最终结清申请单。提交最终结清申请单的份数在专用合同条款中约定。</w:t>
      </w:r>
    </w:p>
    <w:p w14:paraId="6F89EE64">
      <w:pPr>
        <w:spacing w:line="500" w:lineRule="exact"/>
        <w:ind w:firstLine="420"/>
        <w:rPr>
          <w:rFonts w:hint="eastAsia" w:ascii="宋体" w:hAnsi="宋体" w:cs="宋体"/>
          <w:sz w:val="24"/>
        </w:rPr>
      </w:pPr>
      <w:r>
        <w:rPr>
          <w:rFonts w:hint="eastAsia" w:ascii="宋体" w:hAnsi="宋体" w:cs="宋体"/>
          <w:sz w:val="24"/>
        </w:rPr>
        <w:t>(2)发包人对最终结清申请单内容有异议的，有权要求承包人进行修正和提供补充资料，由承包人向监理人提交修正后的最终结清申请单。</w:t>
      </w:r>
    </w:p>
    <w:p w14:paraId="59CBDA33">
      <w:pPr>
        <w:spacing w:line="500" w:lineRule="exact"/>
        <w:ind w:firstLine="480" w:firstLineChars="200"/>
        <w:rPr>
          <w:rFonts w:hint="eastAsia" w:ascii="宋体" w:hAnsi="宋体" w:cs="宋体"/>
          <w:sz w:val="24"/>
        </w:rPr>
      </w:pPr>
      <w:r>
        <w:rPr>
          <w:rFonts w:hint="eastAsia" w:ascii="宋体" w:hAnsi="宋体" w:cs="宋体"/>
          <w:sz w:val="24"/>
        </w:rPr>
        <w:t>17.6.2 最终结清证书和支付时间</w:t>
      </w:r>
    </w:p>
    <w:p w14:paraId="11FB159E">
      <w:pPr>
        <w:spacing w:line="500" w:lineRule="exact"/>
        <w:ind w:firstLine="480" w:firstLineChars="200"/>
        <w:rPr>
          <w:rFonts w:hint="eastAsia" w:ascii="宋体" w:hAnsi="宋体" w:cs="宋体"/>
          <w:sz w:val="24"/>
        </w:rPr>
      </w:pPr>
      <w:r>
        <w:rPr>
          <w:rFonts w:hint="eastAsia" w:ascii="宋体" w:hAnsi="宋体" w:cs="宋体"/>
          <w:sz w:val="24"/>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336B98BD">
      <w:pPr>
        <w:spacing w:line="500" w:lineRule="exact"/>
        <w:ind w:firstLine="480" w:firstLineChars="200"/>
        <w:rPr>
          <w:rFonts w:hint="eastAsia" w:ascii="宋体" w:hAnsi="宋体" w:cs="宋体"/>
          <w:sz w:val="24"/>
        </w:rPr>
      </w:pPr>
      <w:r>
        <w:rPr>
          <w:rFonts w:hint="eastAsia" w:ascii="宋体" w:hAnsi="宋体" w:cs="宋体"/>
          <w:sz w:val="24"/>
        </w:rPr>
        <w:t>（2）发包人应在监理人出具最终结清证书后的14天内，将应支付款支付给承包人。发包人不按期支付的，按第17.3.3（2）目的约定，将逾期付款违约金支付给承包人。</w:t>
      </w:r>
    </w:p>
    <w:p w14:paraId="2435DF77">
      <w:pPr>
        <w:spacing w:line="500" w:lineRule="exact"/>
        <w:ind w:firstLine="480" w:firstLineChars="200"/>
        <w:rPr>
          <w:rFonts w:hint="eastAsia" w:ascii="宋体" w:hAnsi="宋体" w:cs="宋体"/>
          <w:sz w:val="24"/>
        </w:rPr>
      </w:pPr>
      <w:r>
        <w:rPr>
          <w:rFonts w:hint="eastAsia" w:ascii="宋体" w:hAnsi="宋体" w:cs="宋体"/>
          <w:sz w:val="24"/>
        </w:rPr>
        <w:t>（3）承包人对发包人签认的最终结清证书有异议的，按第24条的约定办理。</w:t>
      </w:r>
    </w:p>
    <w:p w14:paraId="10B8CCBD">
      <w:pPr>
        <w:spacing w:line="500" w:lineRule="exact"/>
        <w:ind w:firstLine="420"/>
        <w:rPr>
          <w:rFonts w:hint="eastAsia" w:ascii="宋体" w:hAnsi="宋体" w:cs="宋体"/>
          <w:sz w:val="24"/>
        </w:rPr>
      </w:pPr>
      <w:r>
        <w:rPr>
          <w:rFonts w:hint="eastAsia" w:ascii="宋体" w:hAnsi="宋体" w:cs="宋体"/>
          <w:sz w:val="24"/>
        </w:rPr>
        <w:t>（4）最终结清付款涉及政府投资资金的，按第17.3.3（４）目的约定办理。</w:t>
      </w:r>
    </w:p>
    <w:p w14:paraId="5F3580F7">
      <w:pPr>
        <w:spacing w:line="500" w:lineRule="exact"/>
        <w:outlineLvl w:val="3"/>
        <w:rPr>
          <w:rFonts w:hint="eastAsia" w:ascii="宋体" w:hAnsi="宋体" w:cs="宋体"/>
          <w:sz w:val="24"/>
        </w:rPr>
      </w:pPr>
      <w:r>
        <w:rPr>
          <w:rFonts w:hint="eastAsia" w:ascii="宋体" w:hAnsi="宋体" w:cs="宋体"/>
          <w:sz w:val="24"/>
        </w:rPr>
        <w:t>17.7 竣工财务决算</w:t>
      </w:r>
    </w:p>
    <w:p w14:paraId="75744997">
      <w:pPr>
        <w:spacing w:line="500" w:lineRule="exact"/>
        <w:rPr>
          <w:rFonts w:hint="eastAsia" w:ascii="宋体" w:hAnsi="宋体" w:cs="宋体"/>
          <w:sz w:val="24"/>
        </w:rPr>
      </w:pPr>
      <w:r>
        <w:rPr>
          <w:rFonts w:hint="eastAsia" w:ascii="宋体" w:hAnsi="宋体" w:cs="宋体"/>
          <w:sz w:val="24"/>
        </w:rPr>
        <w:t>　　发包人负责编制本工程项目竣工财务决算，承包人应按专用合同条款的约定提供竣工财务决算编制所需的相关材料。</w:t>
      </w:r>
    </w:p>
    <w:p w14:paraId="7595AC3E">
      <w:pPr>
        <w:spacing w:line="500" w:lineRule="exact"/>
        <w:outlineLvl w:val="3"/>
        <w:rPr>
          <w:rFonts w:hint="eastAsia" w:ascii="宋体" w:hAnsi="宋体" w:cs="宋体"/>
          <w:sz w:val="24"/>
        </w:rPr>
      </w:pPr>
      <w:r>
        <w:rPr>
          <w:rFonts w:hint="eastAsia" w:ascii="宋体" w:hAnsi="宋体" w:cs="宋体"/>
          <w:sz w:val="24"/>
        </w:rPr>
        <w:t>17.8 竣工审计</w:t>
      </w:r>
    </w:p>
    <w:p w14:paraId="66D36175">
      <w:pPr>
        <w:spacing w:line="500" w:lineRule="exact"/>
        <w:rPr>
          <w:rFonts w:hint="eastAsia" w:ascii="宋体" w:hAnsi="宋体" w:cs="宋体"/>
          <w:sz w:val="24"/>
        </w:rPr>
      </w:pPr>
      <w:r>
        <w:rPr>
          <w:rFonts w:hint="eastAsia" w:ascii="宋体" w:hAnsi="宋体" w:cs="宋体"/>
          <w:sz w:val="24"/>
        </w:rPr>
        <w:t>　　发包人负责完成本工程竣工审计手续，承包人应完成相关配合工作。</w:t>
      </w:r>
    </w:p>
    <w:p w14:paraId="6FBCD8B1">
      <w:pPr>
        <w:spacing w:line="500" w:lineRule="exact"/>
        <w:outlineLvl w:val="2"/>
        <w:rPr>
          <w:rFonts w:hint="eastAsia" w:ascii="宋体" w:hAnsi="宋体" w:cs="宋体"/>
          <w:sz w:val="24"/>
        </w:rPr>
      </w:pPr>
      <w:bookmarkStart w:id="366" w:name="_Toc3580"/>
      <w:bookmarkStart w:id="367" w:name="_Toc7416"/>
      <w:bookmarkStart w:id="368" w:name="_Toc256000136"/>
      <w:bookmarkStart w:id="369" w:name="_Toc256000103"/>
      <w:r>
        <w:rPr>
          <w:rFonts w:hint="eastAsia" w:ascii="宋体" w:hAnsi="宋体" w:cs="宋体"/>
          <w:sz w:val="24"/>
        </w:rPr>
        <w:t>18. 竣工验收(验收)</w:t>
      </w:r>
      <w:bookmarkEnd w:id="366"/>
      <w:bookmarkEnd w:id="367"/>
      <w:bookmarkEnd w:id="368"/>
      <w:bookmarkEnd w:id="369"/>
    </w:p>
    <w:p w14:paraId="080C7B7A">
      <w:pPr>
        <w:spacing w:line="500" w:lineRule="exact"/>
        <w:outlineLvl w:val="3"/>
        <w:rPr>
          <w:rFonts w:hint="eastAsia" w:ascii="宋体" w:hAnsi="宋体" w:cs="宋体"/>
          <w:sz w:val="24"/>
        </w:rPr>
      </w:pPr>
      <w:r>
        <w:rPr>
          <w:rFonts w:hint="eastAsia" w:ascii="宋体" w:hAnsi="宋体" w:cs="宋体"/>
          <w:sz w:val="24"/>
        </w:rPr>
        <w:t>18.1 验收工作分类</w:t>
      </w:r>
    </w:p>
    <w:p w14:paraId="3976B94B">
      <w:pPr>
        <w:spacing w:line="500" w:lineRule="exact"/>
        <w:rPr>
          <w:rFonts w:hint="eastAsia" w:ascii="宋体" w:hAnsi="宋体" w:cs="宋体"/>
          <w:sz w:val="24"/>
        </w:rPr>
      </w:pPr>
      <w:r>
        <w:rPr>
          <w:rFonts w:hint="eastAsia" w:ascii="宋体" w:hAnsi="宋体" w:cs="宋体"/>
          <w:sz w:val="24"/>
        </w:rPr>
        <w:t>　　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14:paraId="3E18A65E">
      <w:pPr>
        <w:spacing w:line="500" w:lineRule="exact"/>
        <w:outlineLvl w:val="3"/>
        <w:rPr>
          <w:rFonts w:hint="eastAsia" w:ascii="宋体" w:hAnsi="宋体" w:cs="宋体"/>
          <w:sz w:val="24"/>
        </w:rPr>
      </w:pPr>
      <w:r>
        <w:rPr>
          <w:rFonts w:hint="eastAsia" w:ascii="宋体" w:hAnsi="宋体" w:cs="宋体"/>
          <w:sz w:val="24"/>
        </w:rPr>
        <w:t>18.2 分部工程验收</w:t>
      </w:r>
    </w:p>
    <w:p w14:paraId="52AAF649">
      <w:pPr>
        <w:spacing w:line="500" w:lineRule="exact"/>
        <w:rPr>
          <w:rFonts w:hint="eastAsia" w:ascii="宋体" w:hAnsi="宋体" w:cs="宋体"/>
          <w:sz w:val="24"/>
        </w:rPr>
      </w:pPr>
      <w:r>
        <w:rPr>
          <w:rFonts w:hint="eastAsia" w:ascii="宋体" w:hAnsi="宋体" w:cs="宋体"/>
          <w:sz w:val="24"/>
        </w:rPr>
        <w:t>　　18.2.1 分部工程具备验收条件时，承包人应向发包人提交验收申请报告，发包人应在收到验收申请报告之日起10个工作日内决定是否同意进行验收。</w:t>
      </w:r>
    </w:p>
    <w:p w14:paraId="5AD63A28">
      <w:pPr>
        <w:spacing w:line="500" w:lineRule="exact"/>
        <w:rPr>
          <w:rFonts w:hint="eastAsia" w:ascii="宋体" w:hAnsi="宋体" w:cs="宋体"/>
          <w:sz w:val="24"/>
        </w:rPr>
      </w:pPr>
      <w:r>
        <w:rPr>
          <w:rFonts w:hint="eastAsia" w:ascii="宋体" w:hAnsi="宋体" w:cs="宋体"/>
          <w:sz w:val="24"/>
        </w:rPr>
        <w:t>　　18.2.2 除专用合同条款另有约定外，监理人主持分部工程验收，承包人应派符合条件的代表参加验收工作组。</w:t>
      </w:r>
    </w:p>
    <w:p w14:paraId="426B76E3">
      <w:pPr>
        <w:spacing w:line="500" w:lineRule="exact"/>
        <w:rPr>
          <w:rFonts w:hint="eastAsia" w:ascii="宋体" w:hAnsi="宋体" w:cs="宋体"/>
          <w:sz w:val="24"/>
        </w:rPr>
      </w:pPr>
      <w:r>
        <w:rPr>
          <w:rFonts w:hint="eastAsia" w:ascii="宋体" w:hAnsi="宋体" w:cs="宋体"/>
          <w:sz w:val="24"/>
        </w:rPr>
        <w:t>　　18.2.3 分部工程验收通过后，发包人向承包人发送分部工程验收鉴定书。承包人应及时完成分部工程验收鉴定书载明应由承包人处理的遗留问题。</w:t>
      </w:r>
    </w:p>
    <w:p w14:paraId="681E8E2D">
      <w:pPr>
        <w:spacing w:line="500" w:lineRule="exact"/>
        <w:outlineLvl w:val="3"/>
        <w:rPr>
          <w:rFonts w:hint="eastAsia" w:ascii="宋体" w:hAnsi="宋体" w:cs="宋体"/>
          <w:sz w:val="24"/>
        </w:rPr>
      </w:pPr>
      <w:r>
        <w:rPr>
          <w:rFonts w:hint="eastAsia" w:ascii="宋体" w:hAnsi="宋体" w:cs="宋体"/>
          <w:sz w:val="24"/>
        </w:rPr>
        <w:t>18.3 单位工程验收</w:t>
      </w:r>
    </w:p>
    <w:p w14:paraId="2846ADB8">
      <w:pPr>
        <w:spacing w:line="500" w:lineRule="exact"/>
        <w:rPr>
          <w:rFonts w:hint="eastAsia" w:ascii="宋体" w:hAnsi="宋体" w:cs="宋体"/>
          <w:sz w:val="24"/>
        </w:rPr>
      </w:pPr>
      <w:r>
        <w:rPr>
          <w:rFonts w:hint="eastAsia" w:ascii="宋体" w:hAnsi="宋体" w:cs="宋体"/>
          <w:sz w:val="24"/>
        </w:rPr>
        <w:t>　　18.3.1 单位工程具备验收条件时，承包人应向发包人提交验收申请报告，发包人应在收到验收申请报告之日起10个工作日内决定是否同意进行验收。</w:t>
      </w:r>
    </w:p>
    <w:p w14:paraId="4184E815">
      <w:pPr>
        <w:spacing w:line="500" w:lineRule="exact"/>
        <w:rPr>
          <w:rFonts w:hint="eastAsia" w:ascii="宋体" w:hAnsi="宋体" w:cs="宋体"/>
          <w:sz w:val="24"/>
        </w:rPr>
      </w:pPr>
      <w:r>
        <w:rPr>
          <w:rFonts w:hint="eastAsia" w:ascii="宋体" w:hAnsi="宋体" w:cs="宋体"/>
          <w:sz w:val="24"/>
        </w:rPr>
        <w:t>　　18.3.2 发包人主持单位工程验收，承包人应派符合条件的代表参加验收工作组。</w:t>
      </w:r>
    </w:p>
    <w:p w14:paraId="44A6F7AE">
      <w:pPr>
        <w:spacing w:line="500" w:lineRule="exact"/>
        <w:rPr>
          <w:rFonts w:hint="eastAsia" w:ascii="宋体" w:hAnsi="宋体" w:cs="宋体"/>
          <w:sz w:val="24"/>
        </w:rPr>
      </w:pPr>
      <w:r>
        <w:rPr>
          <w:rFonts w:hint="eastAsia" w:ascii="宋体" w:hAnsi="宋体" w:cs="宋体"/>
          <w:sz w:val="24"/>
        </w:rPr>
        <w:t>　　18.3.3 单位工程验收通过后，发包人向承包人发送单位工程验收鉴定书。承包人应及时完成单位工程验收鉴定书载明应由承包人处理的遗留问题。</w:t>
      </w:r>
    </w:p>
    <w:p w14:paraId="05B1F4DD">
      <w:pPr>
        <w:spacing w:line="500" w:lineRule="exact"/>
        <w:rPr>
          <w:rFonts w:hint="eastAsia" w:ascii="宋体" w:hAnsi="宋体" w:cs="宋体"/>
          <w:sz w:val="24"/>
        </w:rPr>
      </w:pPr>
      <w:r>
        <w:rPr>
          <w:rFonts w:hint="eastAsia" w:ascii="宋体" w:hAnsi="宋体" w:cs="宋体"/>
          <w:sz w:val="24"/>
        </w:rPr>
        <w:t>　　18.3.4 需提前投入使用的单位工程在专用合同条款中明确。</w:t>
      </w:r>
    </w:p>
    <w:p w14:paraId="00BE983D">
      <w:pPr>
        <w:spacing w:line="500" w:lineRule="exact"/>
        <w:outlineLvl w:val="3"/>
        <w:rPr>
          <w:rFonts w:hint="eastAsia" w:ascii="宋体" w:hAnsi="宋体" w:cs="宋体"/>
          <w:sz w:val="24"/>
        </w:rPr>
      </w:pPr>
      <w:r>
        <w:rPr>
          <w:rFonts w:hint="eastAsia" w:ascii="宋体" w:hAnsi="宋体" w:cs="宋体"/>
          <w:sz w:val="24"/>
        </w:rPr>
        <w:t>18.4 合同工程完工验收</w:t>
      </w:r>
    </w:p>
    <w:p w14:paraId="1A23E9CF">
      <w:pPr>
        <w:spacing w:line="500" w:lineRule="exact"/>
        <w:rPr>
          <w:rFonts w:hint="eastAsia" w:ascii="宋体" w:hAnsi="宋体" w:cs="宋体"/>
          <w:sz w:val="24"/>
        </w:rPr>
      </w:pPr>
      <w:r>
        <w:rPr>
          <w:rFonts w:hint="eastAsia" w:ascii="宋体" w:hAnsi="宋体" w:cs="宋体"/>
          <w:sz w:val="24"/>
        </w:rPr>
        <w:t>　　18.4.1 合同工程具备验收条件时，承包人应向发包人提交验收申请报告，发包人应在收到验收申请报告之日起20个工作日内决定是否同意进行验收。</w:t>
      </w:r>
    </w:p>
    <w:p w14:paraId="5EE224B2">
      <w:pPr>
        <w:spacing w:line="500" w:lineRule="exact"/>
        <w:rPr>
          <w:rFonts w:hint="eastAsia" w:ascii="宋体" w:hAnsi="宋体" w:cs="宋体"/>
          <w:sz w:val="24"/>
        </w:rPr>
      </w:pPr>
      <w:r>
        <w:rPr>
          <w:rFonts w:hint="eastAsia" w:ascii="宋体" w:hAnsi="宋体" w:cs="宋体"/>
          <w:sz w:val="24"/>
        </w:rPr>
        <w:t>　　18.4.2 发包人主持合同工程完工验收，承包人应派代表参加验收工作组。</w:t>
      </w:r>
    </w:p>
    <w:p w14:paraId="01872C1E">
      <w:pPr>
        <w:spacing w:line="500" w:lineRule="exact"/>
        <w:rPr>
          <w:rFonts w:hint="eastAsia" w:ascii="宋体" w:hAnsi="宋体" w:cs="宋体"/>
          <w:sz w:val="24"/>
        </w:rPr>
      </w:pPr>
      <w:r>
        <w:rPr>
          <w:rFonts w:hint="eastAsia" w:ascii="宋体" w:hAnsi="宋体" w:cs="宋体"/>
          <w:sz w:val="24"/>
        </w:rPr>
        <w:t>　　18.4.3 合同工程完工验收通过后，发包人向承包人发送合同工程完工验收鉴定书。承包人应及时完成合同工程完工验收鉴定书载明应由承包人处理的遗留问题。</w:t>
      </w:r>
    </w:p>
    <w:p w14:paraId="6408333C">
      <w:pPr>
        <w:spacing w:line="500" w:lineRule="exact"/>
        <w:rPr>
          <w:rFonts w:hint="eastAsia" w:ascii="宋体" w:hAnsi="宋体" w:cs="宋体"/>
          <w:sz w:val="24"/>
        </w:rPr>
      </w:pPr>
      <w:r>
        <w:rPr>
          <w:rFonts w:hint="eastAsia" w:ascii="宋体" w:hAnsi="宋体" w:cs="宋体"/>
          <w:sz w:val="24"/>
        </w:rPr>
        <w:t>　　18.4.4 合同工程完工验收通过后，发包人与承包人应在30个工作日内组织专人负责工程交接，双方交接负责人应在交接记录上签字。承包人应按验收鉴定书约定的时间及时移交工程及其档案资料。工程移交时，承包人应向发包人递交工程质量保修书。在承包人递交了工程质量保修书、完成施工场地清理以及提交有关资料后，发包人应在30个工作日内向承包人颁发合同工程完工证书。</w:t>
      </w:r>
    </w:p>
    <w:p w14:paraId="3D4D511F">
      <w:pPr>
        <w:spacing w:line="500" w:lineRule="exact"/>
        <w:outlineLvl w:val="3"/>
        <w:rPr>
          <w:rFonts w:hint="eastAsia" w:ascii="宋体" w:hAnsi="宋体" w:cs="宋体"/>
          <w:sz w:val="24"/>
        </w:rPr>
      </w:pPr>
      <w:r>
        <w:rPr>
          <w:rFonts w:hint="eastAsia" w:ascii="宋体" w:hAnsi="宋体" w:cs="宋体"/>
          <w:sz w:val="24"/>
        </w:rPr>
        <w:t>18.5 阶段验收</w:t>
      </w:r>
    </w:p>
    <w:p w14:paraId="5EF452D5">
      <w:pPr>
        <w:spacing w:line="500" w:lineRule="exact"/>
        <w:rPr>
          <w:rFonts w:hint="eastAsia" w:ascii="宋体" w:hAnsi="宋体" w:cs="宋体"/>
          <w:sz w:val="24"/>
        </w:rPr>
      </w:pPr>
      <w:r>
        <w:rPr>
          <w:rFonts w:hint="eastAsia" w:ascii="宋体" w:hAnsi="宋体" w:cs="宋体"/>
          <w:sz w:val="24"/>
        </w:rPr>
        <w:t>　　18.5.1 工程建设具备阶段验收条件时，发包人负责提出阶段验收申请报告。承包人应派代表参加阶段验收，并作为被验收单位在验收鉴定书上签字。阶段验收的具体类别在专用合同条款中约定。</w:t>
      </w:r>
    </w:p>
    <w:p w14:paraId="326D7AC0">
      <w:pPr>
        <w:spacing w:line="500" w:lineRule="exact"/>
        <w:rPr>
          <w:rFonts w:hint="eastAsia" w:ascii="宋体" w:hAnsi="宋体" w:cs="宋体"/>
          <w:sz w:val="24"/>
        </w:rPr>
      </w:pPr>
      <w:r>
        <w:rPr>
          <w:rFonts w:hint="eastAsia" w:ascii="宋体" w:hAnsi="宋体" w:cs="宋体"/>
          <w:sz w:val="24"/>
        </w:rPr>
        <w:t>　　18.5.2 承包人应及时完成阶段验收鉴定书载明应由承包人处理的遗留问题。</w:t>
      </w:r>
    </w:p>
    <w:p w14:paraId="20713EFB">
      <w:pPr>
        <w:spacing w:line="500" w:lineRule="exact"/>
        <w:outlineLvl w:val="3"/>
        <w:rPr>
          <w:rFonts w:hint="eastAsia" w:ascii="宋体" w:hAnsi="宋体" w:cs="宋体"/>
          <w:sz w:val="24"/>
        </w:rPr>
      </w:pPr>
      <w:r>
        <w:rPr>
          <w:rFonts w:hint="eastAsia" w:ascii="宋体" w:hAnsi="宋体" w:cs="宋体"/>
          <w:sz w:val="24"/>
        </w:rPr>
        <w:t>18.6 专项验收</w:t>
      </w:r>
    </w:p>
    <w:p w14:paraId="1CACD3A7">
      <w:pPr>
        <w:spacing w:line="500" w:lineRule="exact"/>
        <w:rPr>
          <w:rFonts w:hint="eastAsia" w:ascii="宋体" w:hAnsi="宋体" w:cs="宋体"/>
          <w:sz w:val="24"/>
        </w:rPr>
      </w:pPr>
      <w:r>
        <w:rPr>
          <w:rFonts w:hint="eastAsia" w:ascii="宋体" w:hAnsi="宋体" w:cs="宋体"/>
          <w:sz w:val="24"/>
        </w:rPr>
        <w:t>　　18.6.1 发包人负责提出专项验收申请报告。承包人应按专项验收的相关规定参加专项验收。专项验收的具体类别在专用合同条款中约定。</w:t>
      </w:r>
    </w:p>
    <w:p w14:paraId="50E0A702">
      <w:pPr>
        <w:spacing w:line="500" w:lineRule="exact"/>
        <w:rPr>
          <w:rFonts w:hint="eastAsia" w:ascii="宋体" w:hAnsi="宋体" w:cs="宋体"/>
          <w:sz w:val="24"/>
        </w:rPr>
      </w:pPr>
      <w:r>
        <w:rPr>
          <w:rFonts w:hint="eastAsia" w:ascii="宋体" w:hAnsi="宋体" w:cs="宋体"/>
          <w:sz w:val="24"/>
        </w:rPr>
        <w:t>　　18.6.2 承包人应及时完成专项验收成果性文件载明应由承包人处理的遗留问题。</w:t>
      </w:r>
    </w:p>
    <w:p w14:paraId="4434F39E">
      <w:pPr>
        <w:spacing w:line="500" w:lineRule="exact"/>
        <w:outlineLvl w:val="3"/>
        <w:rPr>
          <w:rFonts w:hint="eastAsia" w:ascii="宋体" w:hAnsi="宋体" w:cs="宋体"/>
          <w:sz w:val="24"/>
        </w:rPr>
      </w:pPr>
      <w:r>
        <w:rPr>
          <w:rFonts w:hint="eastAsia" w:ascii="宋体" w:hAnsi="宋体" w:cs="宋体"/>
          <w:sz w:val="24"/>
        </w:rPr>
        <w:t>18.7 竣工验收</w:t>
      </w:r>
    </w:p>
    <w:p w14:paraId="5C587BA1">
      <w:pPr>
        <w:spacing w:line="500" w:lineRule="exact"/>
        <w:rPr>
          <w:rFonts w:hint="eastAsia" w:ascii="宋体" w:hAnsi="宋体" w:cs="宋体"/>
          <w:sz w:val="24"/>
        </w:rPr>
      </w:pPr>
      <w:r>
        <w:rPr>
          <w:rFonts w:hint="eastAsia" w:ascii="宋体" w:hAnsi="宋体" w:cs="宋体"/>
          <w:sz w:val="24"/>
        </w:rPr>
        <w:t>　　18.7.1 申请竣工验收前，发包人组织竣工验收自查，承包人应派代表参加。</w:t>
      </w:r>
    </w:p>
    <w:p w14:paraId="329501BE">
      <w:pPr>
        <w:spacing w:line="500" w:lineRule="exact"/>
        <w:rPr>
          <w:rFonts w:hint="eastAsia" w:ascii="宋体" w:hAnsi="宋体" w:cs="宋体"/>
          <w:sz w:val="24"/>
        </w:rPr>
      </w:pPr>
      <w:r>
        <w:rPr>
          <w:rFonts w:hint="eastAsia" w:ascii="宋体" w:hAnsi="宋体" w:cs="宋体"/>
          <w:sz w:val="24"/>
        </w:rPr>
        <w:t>　　18.7.2 竣工验收分为竣工技术预验收和竣工验收两个阶段。发包人应通知承包人派代表参加技术预验收和竣工验收。</w:t>
      </w:r>
    </w:p>
    <w:p w14:paraId="5BEDFAA3">
      <w:pPr>
        <w:spacing w:line="500" w:lineRule="exact"/>
        <w:rPr>
          <w:rFonts w:hint="eastAsia" w:ascii="宋体" w:hAnsi="宋体" w:cs="宋体"/>
          <w:sz w:val="24"/>
        </w:rPr>
      </w:pPr>
      <w:r>
        <w:rPr>
          <w:rFonts w:hint="eastAsia" w:ascii="宋体" w:hAnsi="宋体" w:cs="宋体"/>
          <w:sz w:val="24"/>
        </w:rPr>
        <w:t>　　18.7.3 专用合同条款约定工程需要进行技术鉴定的，承包人应提交有关资料并完成配合工作。</w:t>
      </w:r>
    </w:p>
    <w:p w14:paraId="2545B316">
      <w:pPr>
        <w:spacing w:line="500" w:lineRule="exact"/>
        <w:rPr>
          <w:rFonts w:hint="eastAsia" w:ascii="宋体" w:hAnsi="宋体" w:cs="宋体"/>
          <w:sz w:val="24"/>
        </w:rPr>
      </w:pPr>
      <w:r>
        <w:rPr>
          <w:rFonts w:hint="eastAsia" w:ascii="宋体" w:hAnsi="宋体" w:cs="宋体"/>
          <w:sz w:val="24"/>
        </w:rPr>
        <w:t>　　18.7.4 竣工验收需要进行质量检测的，所需费用由发包人承担，但因承包人原因造成质量不合格的除外。</w:t>
      </w:r>
    </w:p>
    <w:p w14:paraId="04DCD8FD">
      <w:pPr>
        <w:spacing w:line="500" w:lineRule="exact"/>
        <w:rPr>
          <w:rFonts w:hint="eastAsia" w:ascii="宋体" w:hAnsi="宋体" w:cs="宋体"/>
          <w:sz w:val="24"/>
        </w:rPr>
      </w:pPr>
      <w:r>
        <w:rPr>
          <w:rFonts w:hint="eastAsia" w:ascii="宋体" w:hAnsi="宋体" w:cs="宋体"/>
          <w:sz w:val="24"/>
        </w:rPr>
        <w:t>　　18.7.5 工程质量保修期满以及竣工验收遗留问题和尾工处理完成并通过验收后，发包人负责将处理情况和验收成果报送竣工验收主持单位，申请领取工程竣工证书，并发送承包人。</w:t>
      </w:r>
    </w:p>
    <w:p w14:paraId="10DF8A1D">
      <w:pPr>
        <w:spacing w:line="500" w:lineRule="exact"/>
        <w:outlineLvl w:val="3"/>
        <w:rPr>
          <w:rFonts w:hint="eastAsia" w:ascii="宋体" w:hAnsi="宋体" w:cs="宋体"/>
          <w:sz w:val="24"/>
        </w:rPr>
      </w:pPr>
      <w:r>
        <w:rPr>
          <w:rFonts w:hint="eastAsia" w:ascii="宋体" w:hAnsi="宋体" w:cs="宋体"/>
          <w:sz w:val="24"/>
        </w:rPr>
        <w:t>18.8 施工期运行</w:t>
      </w:r>
    </w:p>
    <w:p w14:paraId="25366A9A">
      <w:pPr>
        <w:spacing w:line="500" w:lineRule="exact"/>
        <w:rPr>
          <w:rFonts w:hint="eastAsia" w:ascii="宋体" w:hAnsi="宋体" w:cs="宋体"/>
          <w:sz w:val="24"/>
        </w:rPr>
      </w:pPr>
      <w:r>
        <w:rPr>
          <w:rFonts w:hint="eastAsia" w:ascii="宋体" w:hAnsi="宋体" w:cs="宋体"/>
          <w:sz w:val="24"/>
        </w:rPr>
        <w:t>　　18.8.1 施工期运行是指合同工程尚未全部完工，其中某单位工程或部分工程已完工，需要投入施工期运行的，经发包人按第18.2款或第18.3款的约定验收合格，证明能确保安全后，才能在施工期投入运行。需要在施工期运行的单位工程或部分工程在专用合同条款中约定。</w:t>
      </w:r>
    </w:p>
    <w:p w14:paraId="7EB3172A">
      <w:pPr>
        <w:spacing w:line="500" w:lineRule="exact"/>
        <w:rPr>
          <w:rFonts w:hint="eastAsia" w:ascii="宋体" w:hAnsi="宋体" w:cs="宋体"/>
          <w:sz w:val="24"/>
        </w:rPr>
      </w:pPr>
      <w:r>
        <w:rPr>
          <w:rFonts w:hint="eastAsia" w:ascii="宋体" w:hAnsi="宋体" w:cs="宋体"/>
          <w:sz w:val="24"/>
        </w:rPr>
        <w:t>　　18.8.2 在施工期运行中发现工程或工程设备损坏或存在缺陷的，由承包人按第19.2款约定进行修复。</w:t>
      </w:r>
    </w:p>
    <w:p w14:paraId="6C664433">
      <w:pPr>
        <w:spacing w:line="500" w:lineRule="exact"/>
        <w:outlineLvl w:val="3"/>
        <w:rPr>
          <w:rFonts w:hint="eastAsia" w:ascii="宋体" w:hAnsi="宋体" w:cs="宋体"/>
          <w:sz w:val="24"/>
        </w:rPr>
      </w:pPr>
      <w:r>
        <w:rPr>
          <w:rFonts w:hint="eastAsia" w:ascii="宋体" w:hAnsi="宋体" w:cs="宋体"/>
          <w:sz w:val="24"/>
        </w:rPr>
        <w:t>18.9 试运行</w:t>
      </w:r>
    </w:p>
    <w:p w14:paraId="7A63FC5B">
      <w:pPr>
        <w:spacing w:line="500" w:lineRule="exact"/>
        <w:rPr>
          <w:rFonts w:hint="eastAsia" w:ascii="宋体" w:hAnsi="宋体" w:cs="宋体"/>
          <w:sz w:val="24"/>
        </w:rPr>
      </w:pPr>
      <w:r>
        <w:rPr>
          <w:rFonts w:hint="eastAsia" w:ascii="宋体" w:hAnsi="宋体" w:cs="宋体"/>
          <w:sz w:val="24"/>
        </w:rPr>
        <w:t>　　18.9.1 除专用合同条款另有约定外，承包人应按规定进行工程及工程设备试运行，负责提供试运行所需的人员、器材和必要的条件，并承担全部试运行费用。</w:t>
      </w:r>
    </w:p>
    <w:p w14:paraId="5209651E">
      <w:pPr>
        <w:spacing w:line="500" w:lineRule="exact"/>
        <w:rPr>
          <w:rFonts w:hint="eastAsia" w:ascii="宋体" w:hAnsi="宋体" w:cs="宋体"/>
          <w:sz w:val="24"/>
        </w:rPr>
      </w:pPr>
      <w:r>
        <w:rPr>
          <w:rFonts w:hint="eastAsia" w:ascii="宋体" w:hAnsi="宋体" w:cs="宋体"/>
          <w:sz w:val="24"/>
        </w:rPr>
        <w:t>　　18.9.2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53563E24">
      <w:pPr>
        <w:spacing w:line="500" w:lineRule="exact"/>
        <w:outlineLvl w:val="3"/>
        <w:rPr>
          <w:rFonts w:hint="eastAsia" w:ascii="宋体" w:hAnsi="宋体" w:cs="宋体"/>
          <w:sz w:val="24"/>
        </w:rPr>
      </w:pPr>
      <w:r>
        <w:rPr>
          <w:rFonts w:hint="eastAsia" w:ascii="宋体" w:hAnsi="宋体" w:cs="宋体"/>
          <w:sz w:val="24"/>
        </w:rPr>
        <w:t>18.10 竣工(完工)清场</w:t>
      </w:r>
    </w:p>
    <w:p w14:paraId="354EFD82">
      <w:pPr>
        <w:spacing w:line="500" w:lineRule="exact"/>
        <w:rPr>
          <w:rFonts w:hint="eastAsia" w:ascii="宋体" w:hAnsi="宋体" w:cs="宋体"/>
          <w:sz w:val="24"/>
        </w:rPr>
      </w:pPr>
      <w:r>
        <w:rPr>
          <w:rFonts w:hint="eastAsia" w:ascii="宋体" w:hAnsi="宋体" w:cs="宋体"/>
          <w:sz w:val="24"/>
        </w:rPr>
        <w:t>　　18.10.1 工程项目竣工(完工)清场的工作范围和内容在技术标准和要求(合同技术条款)中约定。</w:t>
      </w:r>
    </w:p>
    <w:p w14:paraId="75138401">
      <w:pPr>
        <w:spacing w:line="500" w:lineRule="exact"/>
        <w:rPr>
          <w:rFonts w:hint="eastAsia" w:ascii="宋体" w:hAnsi="宋体" w:cs="宋体"/>
          <w:sz w:val="24"/>
        </w:rPr>
      </w:pPr>
      <w:r>
        <w:rPr>
          <w:rFonts w:hint="eastAsia" w:ascii="宋体" w:hAnsi="宋体" w:cs="宋体"/>
          <w:sz w:val="24"/>
        </w:rPr>
        <w:t>　　18.10.2 承包人未按监理人的要求恢复临时占地，或者场地清理未达到合同约定的，发包人有权委托其它人恢复或清理，所发生的金额从拟支付给承包人的款项中扣除。</w:t>
      </w:r>
    </w:p>
    <w:p w14:paraId="228559EE">
      <w:pPr>
        <w:spacing w:line="500" w:lineRule="exact"/>
        <w:outlineLvl w:val="3"/>
        <w:rPr>
          <w:rFonts w:hint="eastAsia" w:ascii="宋体" w:hAnsi="宋体" w:cs="宋体"/>
          <w:sz w:val="24"/>
        </w:rPr>
      </w:pPr>
      <w:r>
        <w:rPr>
          <w:rFonts w:hint="eastAsia" w:ascii="宋体" w:hAnsi="宋体" w:cs="宋体"/>
          <w:sz w:val="24"/>
        </w:rPr>
        <w:t>18.11 施工队伍的撤离</w:t>
      </w:r>
    </w:p>
    <w:p w14:paraId="02DB6601">
      <w:pPr>
        <w:spacing w:line="500" w:lineRule="exact"/>
        <w:rPr>
          <w:rFonts w:hint="eastAsia" w:ascii="宋体" w:hAnsi="宋体" w:cs="宋体"/>
          <w:sz w:val="24"/>
        </w:rPr>
      </w:pPr>
      <w:r>
        <w:rPr>
          <w:rFonts w:hint="eastAsia" w:ascii="宋体" w:hAnsi="宋体" w:cs="宋体"/>
          <w:sz w:val="24"/>
        </w:rPr>
        <w:t>　　合同工程完工证书颁发后的56天内，除了经监理人同意需在缺陷责任期(工程质量保修期)内继续工作和使用的人员、施工设备和临时工程外，其余的人员、施工设备和临时工程均应撤离施工场地或拆除。除合同另有约定外，缺陷责任期(工程质量保修期)满时，承包人的人员和施工设备应全部撤离施工场地。</w:t>
      </w:r>
    </w:p>
    <w:p w14:paraId="2EB77045">
      <w:pPr>
        <w:spacing w:line="500" w:lineRule="exact"/>
        <w:outlineLvl w:val="2"/>
        <w:rPr>
          <w:rFonts w:hint="eastAsia" w:ascii="宋体" w:hAnsi="宋体" w:cs="宋体"/>
          <w:sz w:val="24"/>
        </w:rPr>
      </w:pPr>
      <w:bookmarkStart w:id="370" w:name="_Toc256000104"/>
      <w:bookmarkStart w:id="371" w:name="_Toc256000137"/>
      <w:bookmarkStart w:id="372" w:name="_Toc16459"/>
      <w:bookmarkStart w:id="373" w:name="_Toc26242"/>
      <w:r>
        <w:rPr>
          <w:rFonts w:hint="eastAsia" w:ascii="宋体" w:hAnsi="宋体" w:cs="宋体"/>
          <w:sz w:val="24"/>
        </w:rPr>
        <w:t>19. 缺陷责任与保修责任</w:t>
      </w:r>
      <w:bookmarkEnd w:id="370"/>
      <w:bookmarkEnd w:id="371"/>
      <w:bookmarkEnd w:id="372"/>
      <w:bookmarkEnd w:id="373"/>
    </w:p>
    <w:p w14:paraId="6FB397BC">
      <w:pPr>
        <w:spacing w:line="500" w:lineRule="exact"/>
        <w:outlineLvl w:val="3"/>
        <w:rPr>
          <w:rFonts w:hint="eastAsia" w:ascii="宋体" w:hAnsi="宋体" w:cs="宋体"/>
          <w:sz w:val="24"/>
        </w:rPr>
      </w:pPr>
      <w:r>
        <w:rPr>
          <w:rFonts w:hint="eastAsia" w:ascii="宋体" w:hAnsi="宋体" w:cs="宋体"/>
          <w:sz w:val="24"/>
        </w:rPr>
        <w:t>19.1 缺陷责任期(工程质量保修期)的起算时间</w:t>
      </w:r>
    </w:p>
    <w:p w14:paraId="1A7A474B">
      <w:pPr>
        <w:spacing w:line="500" w:lineRule="exact"/>
        <w:ind w:firstLine="420"/>
        <w:rPr>
          <w:rFonts w:hint="eastAsia" w:ascii="宋体" w:hAnsi="宋体" w:cs="宋体"/>
          <w:sz w:val="24"/>
        </w:rPr>
      </w:pPr>
      <w:r>
        <w:rPr>
          <w:rFonts w:hint="eastAsia" w:ascii="宋体" w:hAnsi="宋体" w:cs="宋体"/>
          <w:sz w:val="24"/>
        </w:rPr>
        <w:t>除专用合同条款另有约定外，缺陷责任期(工程质量保修期)从工程通过合同工程完工验收后开始计算。在合同工程完工验收前，已经发包人提前验收的单位工程或部分工程，若未投入使用，其缺陷责任期(工程质量保修期)亦从工程通过合同工程完工验收后开始计算；若已投入使用，其缺陷责任期(工程质量保修期)从通过单位工程或部分工程投入使用验收后开始计算。缺陷责任期(工程质量保修期)的期限在专用合同条款中约定。</w:t>
      </w:r>
    </w:p>
    <w:p w14:paraId="39C2F8B3">
      <w:pPr>
        <w:spacing w:line="500" w:lineRule="exact"/>
        <w:outlineLvl w:val="3"/>
        <w:rPr>
          <w:rFonts w:hint="eastAsia" w:ascii="宋体" w:hAnsi="宋体" w:cs="宋体"/>
          <w:sz w:val="24"/>
        </w:rPr>
      </w:pPr>
      <w:r>
        <w:rPr>
          <w:rFonts w:hint="eastAsia" w:ascii="宋体" w:hAnsi="宋体" w:cs="宋体"/>
          <w:sz w:val="24"/>
        </w:rPr>
        <w:t>19.2 缺陷责任</w:t>
      </w:r>
    </w:p>
    <w:p w14:paraId="7B536FE4">
      <w:pPr>
        <w:spacing w:line="500" w:lineRule="exact"/>
        <w:ind w:firstLine="480" w:firstLineChars="200"/>
        <w:rPr>
          <w:rFonts w:hint="eastAsia" w:ascii="宋体" w:hAnsi="宋体" w:cs="宋体"/>
          <w:sz w:val="24"/>
        </w:rPr>
      </w:pPr>
      <w:r>
        <w:rPr>
          <w:rFonts w:hint="eastAsia" w:ascii="宋体" w:hAnsi="宋体" w:cs="宋体"/>
          <w:sz w:val="24"/>
        </w:rPr>
        <w:t>19.2.1 承包人应在缺陷责任期内对已交付使用的工程承担缺陷责任。</w:t>
      </w:r>
    </w:p>
    <w:p w14:paraId="1B36701F">
      <w:pPr>
        <w:spacing w:line="500" w:lineRule="exact"/>
        <w:ind w:firstLine="480" w:firstLineChars="200"/>
        <w:rPr>
          <w:rFonts w:hint="eastAsia" w:ascii="宋体" w:hAnsi="宋体" w:cs="宋体"/>
          <w:sz w:val="24"/>
        </w:rPr>
      </w:pPr>
      <w:r>
        <w:rPr>
          <w:rFonts w:hint="eastAsia" w:ascii="宋体" w:hAnsi="宋体" w:cs="宋体"/>
          <w:sz w:val="24"/>
        </w:rPr>
        <w:t>19.2.2 缺陷责任期内，发包人对已接收使用的工程负责日常维护工作。发包人在使用过程中，发现已接收的工程存在新的缺陷或已修复的缺陷部位或部件又遭损坏的，承包人应负责修复，直至检验合格为止。</w:t>
      </w:r>
    </w:p>
    <w:p w14:paraId="6A09D04C">
      <w:pPr>
        <w:spacing w:line="500" w:lineRule="exact"/>
        <w:ind w:firstLine="480" w:firstLineChars="200"/>
        <w:rPr>
          <w:rFonts w:hint="eastAsia" w:ascii="宋体" w:hAnsi="宋体" w:cs="宋体"/>
          <w:sz w:val="24"/>
        </w:rPr>
      </w:pPr>
      <w:r>
        <w:rPr>
          <w:rFonts w:hint="eastAsia" w:ascii="宋体" w:hAnsi="宋体" w:cs="宋体"/>
          <w:sz w:val="24"/>
        </w:rPr>
        <w:t>19.2.3 监理人和承包人应共同查清缺陷和（或）损坏的原因。经查明属承包人原因造成的，应由承包人承担修复和查验的费用。经查验属发包人原因造成的，发包人应承担修复和查验的费用，并支付承包人合理利润。</w:t>
      </w:r>
    </w:p>
    <w:p w14:paraId="526E2E52">
      <w:pPr>
        <w:spacing w:line="500" w:lineRule="exact"/>
        <w:ind w:firstLine="480" w:firstLineChars="200"/>
        <w:rPr>
          <w:rFonts w:hint="eastAsia" w:ascii="宋体" w:hAnsi="宋体" w:cs="宋体"/>
          <w:sz w:val="24"/>
        </w:rPr>
      </w:pPr>
      <w:r>
        <w:rPr>
          <w:rFonts w:hint="eastAsia" w:ascii="宋体" w:hAnsi="宋体" w:cs="宋体"/>
          <w:sz w:val="24"/>
        </w:rPr>
        <w:t>19.2.4 承包人不能在合理时间内修复缺陷的，发包人可自行修复或委托其他人修复，所需费用和利润的承担，按第19.2.3项约定办理。</w:t>
      </w:r>
    </w:p>
    <w:p w14:paraId="54F5FBB8">
      <w:pPr>
        <w:spacing w:line="500" w:lineRule="exact"/>
        <w:outlineLvl w:val="3"/>
        <w:rPr>
          <w:rFonts w:hint="eastAsia" w:ascii="宋体" w:hAnsi="宋体" w:cs="宋体"/>
          <w:sz w:val="24"/>
        </w:rPr>
      </w:pPr>
      <w:r>
        <w:rPr>
          <w:rFonts w:hint="eastAsia" w:ascii="宋体" w:hAnsi="宋体" w:cs="宋体"/>
          <w:sz w:val="24"/>
        </w:rPr>
        <w:t>19.3 缺陷责任期的延长</w:t>
      </w:r>
    </w:p>
    <w:p w14:paraId="2F4E40F4">
      <w:pPr>
        <w:spacing w:line="500" w:lineRule="exact"/>
        <w:ind w:firstLine="480" w:firstLineChars="200"/>
        <w:rPr>
          <w:rFonts w:hint="eastAsia" w:ascii="宋体" w:hAnsi="宋体" w:cs="宋体"/>
          <w:sz w:val="24"/>
        </w:rPr>
      </w:pPr>
      <w:r>
        <w:rPr>
          <w:rFonts w:hint="eastAsia" w:ascii="宋体" w:hAnsi="宋体" w:cs="宋体"/>
          <w:sz w:val="24"/>
        </w:rPr>
        <w:t>由于承包人原因造成某项缺陷或损坏使某项工程或工程设备不能按原定目标使用而需要再次检查、检验和修复的，发包人有权要求承包人相应延长缺陷责任期，但缺陷责任期最长不超过2年。</w:t>
      </w:r>
    </w:p>
    <w:p w14:paraId="127BD558">
      <w:pPr>
        <w:spacing w:line="500" w:lineRule="exact"/>
        <w:outlineLvl w:val="3"/>
        <w:rPr>
          <w:rFonts w:hint="eastAsia" w:ascii="宋体" w:hAnsi="宋体" w:cs="宋体"/>
          <w:sz w:val="24"/>
        </w:rPr>
      </w:pPr>
      <w:r>
        <w:rPr>
          <w:rFonts w:hint="eastAsia" w:ascii="宋体" w:hAnsi="宋体" w:cs="宋体"/>
          <w:sz w:val="24"/>
        </w:rPr>
        <w:t>19.4 进一步试验和试运行</w:t>
      </w:r>
    </w:p>
    <w:p w14:paraId="3967567A">
      <w:pPr>
        <w:spacing w:line="500" w:lineRule="exact"/>
        <w:ind w:firstLine="480" w:firstLineChars="200"/>
        <w:rPr>
          <w:rFonts w:hint="eastAsia" w:ascii="宋体" w:hAnsi="宋体" w:cs="宋体"/>
          <w:sz w:val="24"/>
        </w:rPr>
      </w:pPr>
      <w:r>
        <w:rPr>
          <w:rFonts w:hint="eastAsia" w:ascii="宋体" w:hAnsi="宋体" w:cs="宋体"/>
          <w:sz w:val="24"/>
        </w:rPr>
        <w:t>任何一项缺陷或损坏修复后，经检查证明其影响了工程或工程设备的使用性能，承包人应重新进行合同约定的试验和试运行，试验和试运行的全部费用应由责任方承担。</w:t>
      </w:r>
    </w:p>
    <w:p w14:paraId="1AA204DE">
      <w:pPr>
        <w:spacing w:line="500" w:lineRule="exact"/>
        <w:outlineLvl w:val="3"/>
        <w:rPr>
          <w:rFonts w:hint="eastAsia" w:ascii="宋体" w:hAnsi="宋体" w:cs="宋体"/>
          <w:sz w:val="24"/>
        </w:rPr>
      </w:pPr>
      <w:r>
        <w:rPr>
          <w:rFonts w:hint="eastAsia" w:ascii="宋体" w:hAnsi="宋体" w:cs="宋体"/>
          <w:sz w:val="24"/>
        </w:rPr>
        <w:t>19.5 承包人的进入权</w:t>
      </w:r>
    </w:p>
    <w:p w14:paraId="1EDDAD0B">
      <w:pPr>
        <w:spacing w:line="500" w:lineRule="exact"/>
        <w:rPr>
          <w:rFonts w:hint="eastAsia" w:ascii="宋体" w:hAnsi="宋体" w:cs="宋体"/>
          <w:sz w:val="24"/>
        </w:rPr>
      </w:pPr>
      <w:r>
        <w:rPr>
          <w:rFonts w:hint="eastAsia" w:ascii="宋体" w:hAnsi="宋体" w:cs="宋体"/>
          <w:sz w:val="24"/>
        </w:rPr>
        <w:t>缺陷责任期内承包人为缺陷修复工作需要，有权进入工程现场，但应遵守发包人的保安和保密规定。</w:t>
      </w:r>
    </w:p>
    <w:p w14:paraId="4FEC2D9C">
      <w:pPr>
        <w:spacing w:line="500" w:lineRule="exact"/>
        <w:outlineLvl w:val="3"/>
        <w:rPr>
          <w:rFonts w:hint="eastAsia" w:ascii="宋体" w:hAnsi="宋体" w:cs="宋体"/>
          <w:sz w:val="24"/>
        </w:rPr>
      </w:pPr>
      <w:r>
        <w:rPr>
          <w:rFonts w:hint="eastAsia" w:ascii="宋体" w:hAnsi="宋体" w:cs="宋体"/>
          <w:sz w:val="24"/>
        </w:rPr>
        <w:t>19.6 缺陷责任期终止证书(工程质量保修责任终止证书)</w:t>
      </w:r>
    </w:p>
    <w:p w14:paraId="6F1E8548">
      <w:pPr>
        <w:spacing w:line="500" w:lineRule="exact"/>
        <w:rPr>
          <w:rFonts w:hint="eastAsia" w:ascii="宋体" w:hAnsi="宋体" w:cs="宋体"/>
          <w:sz w:val="24"/>
        </w:rPr>
      </w:pPr>
      <w:r>
        <w:rPr>
          <w:rFonts w:hint="eastAsia" w:ascii="宋体" w:hAnsi="宋体" w:cs="宋体"/>
          <w:sz w:val="24"/>
        </w:rPr>
        <w:t>　　合同工程完工验收或投入使用验收后，发包人与承包人应办理工程交接手续，承包人应向发包人递交工程质量保修书。</w:t>
      </w:r>
    </w:p>
    <w:p w14:paraId="07A7A987">
      <w:pPr>
        <w:spacing w:line="500" w:lineRule="exact"/>
        <w:ind w:firstLine="420"/>
        <w:rPr>
          <w:rFonts w:hint="eastAsia" w:ascii="宋体" w:hAnsi="宋体" w:cs="宋体"/>
          <w:sz w:val="24"/>
        </w:rPr>
      </w:pPr>
      <w:r>
        <w:rPr>
          <w:rFonts w:hint="eastAsia" w:ascii="宋体" w:hAnsi="宋体" w:cs="宋体"/>
          <w:sz w:val="24"/>
        </w:rPr>
        <w:t>缺陷责任期(工程质量保修期)满后30个工作日内，发包人应向承包人颁发工程质量保修责任终止证书，并退还剩余的质量保证金，但保修责任范围内的质量缺陷未处理完成的应除外。</w:t>
      </w:r>
    </w:p>
    <w:p w14:paraId="209FAECC">
      <w:pPr>
        <w:spacing w:line="500" w:lineRule="exact"/>
        <w:outlineLvl w:val="3"/>
        <w:rPr>
          <w:rFonts w:hint="eastAsia" w:ascii="宋体" w:hAnsi="宋体" w:cs="宋体"/>
          <w:sz w:val="24"/>
        </w:rPr>
      </w:pPr>
      <w:r>
        <w:rPr>
          <w:rFonts w:hint="eastAsia" w:ascii="宋体" w:hAnsi="宋体" w:cs="宋体"/>
          <w:sz w:val="24"/>
        </w:rPr>
        <w:t>19.7 保修责任</w:t>
      </w:r>
    </w:p>
    <w:p w14:paraId="16F2593A">
      <w:pPr>
        <w:spacing w:line="500" w:lineRule="exact"/>
        <w:ind w:firstLine="420"/>
        <w:rPr>
          <w:rFonts w:hint="eastAsia" w:ascii="宋体" w:hAnsi="宋体" w:cs="宋体"/>
          <w:sz w:val="24"/>
        </w:rPr>
      </w:pPr>
      <w:r>
        <w:rPr>
          <w:rFonts w:hint="eastAsia" w:ascii="宋体" w:hAnsi="宋体" w:cs="宋体"/>
          <w:sz w:val="24"/>
        </w:rPr>
        <w:t>合同当事人根据有关法律规定，在专用合同条款中约定工程质量保修范围、期限和责任。保修期自实际竣工日期起计算。在全部工程竣工验收前，已经发包人提前验收的单位工程，其保修期的起算日期相应提前。</w:t>
      </w:r>
    </w:p>
    <w:p w14:paraId="5D4C60B4">
      <w:pPr>
        <w:spacing w:line="500" w:lineRule="exact"/>
        <w:outlineLvl w:val="2"/>
        <w:rPr>
          <w:rFonts w:hint="eastAsia" w:ascii="宋体" w:hAnsi="宋体" w:cs="宋体"/>
          <w:sz w:val="24"/>
        </w:rPr>
      </w:pPr>
      <w:bookmarkStart w:id="374" w:name="_Toc256000138"/>
      <w:bookmarkStart w:id="375" w:name="_Toc256000105"/>
      <w:bookmarkStart w:id="376" w:name="_Toc27270"/>
      <w:bookmarkStart w:id="377" w:name="_Toc9272"/>
      <w:r>
        <w:rPr>
          <w:rFonts w:hint="eastAsia" w:ascii="宋体" w:hAnsi="宋体" w:cs="宋体"/>
          <w:sz w:val="24"/>
        </w:rPr>
        <w:t>20. 保险</w:t>
      </w:r>
      <w:bookmarkEnd w:id="374"/>
      <w:bookmarkEnd w:id="375"/>
      <w:bookmarkEnd w:id="376"/>
      <w:bookmarkEnd w:id="377"/>
    </w:p>
    <w:p w14:paraId="447B5868">
      <w:pPr>
        <w:spacing w:line="500" w:lineRule="exact"/>
        <w:outlineLvl w:val="3"/>
        <w:rPr>
          <w:rFonts w:hint="eastAsia" w:ascii="宋体" w:hAnsi="宋体" w:cs="宋体"/>
          <w:sz w:val="24"/>
        </w:rPr>
      </w:pPr>
      <w:r>
        <w:rPr>
          <w:rFonts w:hint="eastAsia" w:ascii="宋体" w:hAnsi="宋体" w:cs="宋体"/>
          <w:sz w:val="24"/>
        </w:rPr>
        <w:t>20.1 工程保险</w:t>
      </w:r>
    </w:p>
    <w:p w14:paraId="00B6A980">
      <w:pPr>
        <w:spacing w:line="500" w:lineRule="exact"/>
        <w:ind w:firstLine="480" w:firstLineChars="200"/>
        <w:rPr>
          <w:rFonts w:hint="eastAsia" w:ascii="宋体" w:hAnsi="宋体" w:cs="宋体"/>
          <w:sz w:val="24"/>
        </w:rPr>
      </w:pPr>
      <w:r>
        <w:rPr>
          <w:rFonts w:hint="eastAsia" w:ascii="宋体" w:hAnsi="宋体" w:cs="宋体"/>
          <w:sz w:val="24"/>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14:paraId="16A97BC2">
      <w:pPr>
        <w:spacing w:line="500" w:lineRule="exact"/>
        <w:outlineLvl w:val="3"/>
        <w:rPr>
          <w:rFonts w:hint="eastAsia" w:ascii="宋体" w:hAnsi="宋体" w:cs="宋体"/>
          <w:sz w:val="24"/>
        </w:rPr>
      </w:pPr>
      <w:r>
        <w:rPr>
          <w:rFonts w:hint="eastAsia" w:ascii="宋体" w:hAnsi="宋体" w:cs="宋体"/>
          <w:sz w:val="24"/>
        </w:rPr>
        <w:t>20.2 人员工伤事故的保险</w:t>
      </w:r>
    </w:p>
    <w:p w14:paraId="05EB05DA">
      <w:pPr>
        <w:spacing w:line="500" w:lineRule="exact"/>
        <w:ind w:firstLine="480" w:firstLineChars="200"/>
        <w:rPr>
          <w:rFonts w:hint="eastAsia" w:ascii="宋体" w:hAnsi="宋体" w:cs="宋体"/>
          <w:sz w:val="24"/>
        </w:rPr>
      </w:pPr>
      <w:r>
        <w:rPr>
          <w:rFonts w:hint="eastAsia" w:ascii="宋体" w:hAnsi="宋体" w:cs="宋体"/>
          <w:sz w:val="24"/>
        </w:rPr>
        <w:t>20.2.1 承包人员工伤事故的保险</w:t>
      </w:r>
    </w:p>
    <w:p w14:paraId="5602B6E6">
      <w:pPr>
        <w:spacing w:line="500" w:lineRule="exact"/>
        <w:ind w:firstLine="480" w:firstLineChars="200"/>
        <w:rPr>
          <w:rFonts w:hint="eastAsia" w:ascii="宋体" w:hAnsi="宋体" w:cs="宋体"/>
          <w:sz w:val="24"/>
        </w:rPr>
      </w:pPr>
      <w:r>
        <w:rPr>
          <w:rFonts w:hint="eastAsia" w:ascii="宋体" w:hAnsi="宋体" w:cs="宋体"/>
          <w:sz w:val="24"/>
        </w:rPr>
        <w:t>承包人应依照有关法律规定参加工伤保险，为其履行合同所雇佣的全部人员，缴纳工伤保险费，并要求其分包人也进行此项保险。</w:t>
      </w:r>
    </w:p>
    <w:p w14:paraId="09F15DAC">
      <w:pPr>
        <w:spacing w:line="500" w:lineRule="exact"/>
        <w:ind w:firstLine="480" w:firstLineChars="200"/>
        <w:rPr>
          <w:rFonts w:hint="eastAsia" w:ascii="宋体" w:hAnsi="宋体" w:cs="宋体"/>
          <w:sz w:val="24"/>
        </w:rPr>
      </w:pPr>
      <w:r>
        <w:rPr>
          <w:rFonts w:hint="eastAsia" w:ascii="宋体" w:hAnsi="宋体" w:cs="宋体"/>
          <w:sz w:val="24"/>
        </w:rPr>
        <w:t>20.2.2 发包人员工伤事故的保险</w:t>
      </w:r>
    </w:p>
    <w:p w14:paraId="11D9AE64">
      <w:pPr>
        <w:spacing w:line="500" w:lineRule="exact"/>
        <w:ind w:firstLine="480" w:firstLineChars="200"/>
        <w:rPr>
          <w:rFonts w:hint="eastAsia" w:ascii="宋体" w:hAnsi="宋体" w:cs="宋体"/>
          <w:sz w:val="24"/>
        </w:rPr>
      </w:pPr>
      <w:r>
        <w:rPr>
          <w:rFonts w:hint="eastAsia" w:ascii="宋体" w:hAnsi="宋体" w:cs="宋体"/>
          <w:sz w:val="24"/>
        </w:rPr>
        <w:t>发包人应依照有关法律规定参加工伤保险，为其现场机构雇佣的全部人员，缴纳工伤保险费，并要求其监理人也进行此项保险。</w:t>
      </w:r>
    </w:p>
    <w:p w14:paraId="036A2642">
      <w:pPr>
        <w:spacing w:line="500" w:lineRule="exact"/>
        <w:outlineLvl w:val="3"/>
        <w:rPr>
          <w:rFonts w:hint="eastAsia" w:ascii="宋体" w:hAnsi="宋体" w:cs="宋体"/>
          <w:sz w:val="24"/>
        </w:rPr>
      </w:pPr>
      <w:r>
        <w:rPr>
          <w:rFonts w:hint="eastAsia" w:ascii="宋体" w:hAnsi="宋体" w:cs="宋体"/>
          <w:sz w:val="24"/>
        </w:rPr>
        <w:t>20.3 人身意外伤害险</w:t>
      </w:r>
    </w:p>
    <w:p w14:paraId="53203FA3">
      <w:pPr>
        <w:spacing w:line="500" w:lineRule="exact"/>
        <w:ind w:firstLine="480" w:firstLineChars="200"/>
        <w:rPr>
          <w:rFonts w:hint="eastAsia" w:ascii="宋体" w:hAnsi="宋体" w:cs="宋体"/>
          <w:sz w:val="24"/>
        </w:rPr>
      </w:pPr>
      <w:r>
        <w:rPr>
          <w:rFonts w:hint="eastAsia" w:ascii="宋体" w:hAnsi="宋体" w:cs="宋体"/>
          <w:sz w:val="24"/>
        </w:rPr>
        <w:t>20.3.1 发包人应在整个施工期间为其现场机构雇用的全部人员，投保人身意外伤害险，缴纳保险费，并要求其监理人也进行此项保险。</w:t>
      </w:r>
    </w:p>
    <w:p w14:paraId="27EEAF29">
      <w:pPr>
        <w:spacing w:line="500" w:lineRule="exact"/>
        <w:ind w:firstLine="480" w:firstLineChars="200"/>
        <w:rPr>
          <w:rFonts w:hint="eastAsia" w:ascii="宋体" w:hAnsi="宋体" w:cs="宋体"/>
          <w:sz w:val="24"/>
        </w:rPr>
      </w:pPr>
      <w:r>
        <w:rPr>
          <w:rFonts w:hint="eastAsia" w:ascii="宋体" w:hAnsi="宋体" w:cs="宋体"/>
          <w:sz w:val="24"/>
        </w:rPr>
        <w:t>20.3.2 承包人应在整个施工期间为其现场机构雇用的全部人员，投保人身意外伤害险，缴纳保险费，并要求其分包人也进行此项保险。</w:t>
      </w:r>
    </w:p>
    <w:p w14:paraId="45582640">
      <w:pPr>
        <w:spacing w:line="500" w:lineRule="exact"/>
        <w:outlineLvl w:val="3"/>
        <w:rPr>
          <w:rFonts w:hint="eastAsia" w:ascii="宋体" w:hAnsi="宋体" w:cs="宋体"/>
          <w:sz w:val="24"/>
        </w:rPr>
      </w:pPr>
      <w:r>
        <w:rPr>
          <w:rFonts w:hint="eastAsia" w:ascii="宋体" w:hAnsi="宋体" w:cs="宋体"/>
          <w:sz w:val="24"/>
        </w:rPr>
        <w:t>20.4 第三者责任险</w:t>
      </w:r>
    </w:p>
    <w:p w14:paraId="6088FE85">
      <w:pPr>
        <w:spacing w:line="500" w:lineRule="exact"/>
        <w:ind w:firstLine="480" w:firstLineChars="200"/>
        <w:rPr>
          <w:rFonts w:hint="eastAsia" w:ascii="宋体" w:hAnsi="宋体" w:cs="宋体"/>
          <w:sz w:val="24"/>
        </w:rPr>
      </w:pPr>
      <w:r>
        <w:rPr>
          <w:rFonts w:hint="eastAsia" w:ascii="宋体" w:hAnsi="宋体" w:cs="宋体"/>
          <w:sz w:val="24"/>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26CE25C2">
      <w:pPr>
        <w:spacing w:line="500" w:lineRule="exact"/>
        <w:ind w:firstLine="480" w:firstLineChars="200"/>
        <w:rPr>
          <w:rFonts w:hint="eastAsia" w:ascii="宋体" w:hAnsi="宋体" w:cs="宋体"/>
          <w:sz w:val="24"/>
        </w:rPr>
      </w:pPr>
      <w:r>
        <w:rPr>
          <w:rFonts w:hint="eastAsia" w:ascii="宋体" w:hAnsi="宋体" w:cs="宋体"/>
          <w:sz w:val="24"/>
        </w:rPr>
        <w:t>20.4.2 在缺陷责任期终止证书颁发前，承包人应以承包人和发包人的共同名义，投保第20.4.1项约定的第三者责任险，其保险费率、保险金额等有关内容在专用合同条款中约定。</w:t>
      </w:r>
    </w:p>
    <w:p w14:paraId="260E0496">
      <w:pPr>
        <w:spacing w:line="500" w:lineRule="exact"/>
        <w:outlineLvl w:val="3"/>
        <w:rPr>
          <w:rFonts w:hint="eastAsia" w:ascii="宋体" w:hAnsi="宋体" w:cs="宋体"/>
          <w:sz w:val="24"/>
        </w:rPr>
      </w:pPr>
      <w:r>
        <w:rPr>
          <w:rFonts w:hint="eastAsia" w:ascii="宋体" w:hAnsi="宋体" w:cs="宋体"/>
          <w:sz w:val="24"/>
        </w:rPr>
        <w:t>20.5 其他保险</w:t>
      </w:r>
    </w:p>
    <w:p w14:paraId="38A778B6">
      <w:pPr>
        <w:spacing w:line="500" w:lineRule="exact"/>
        <w:ind w:firstLine="480" w:firstLineChars="200"/>
        <w:rPr>
          <w:rFonts w:hint="eastAsia" w:ascii="宋体" w:hAnsi="宋体" w:cs="宋体"/>
          <w:sz w:val="24"/>
        </w:rPr>
      </w:pPr>
      <w:r>
        <w:rPr>
          <w:rFonts w:hint="eastAsia" w:ascii="宋体" w:hAnsi="宋体" w:cs="宋体"/>
          <w:sz w:val="24"/>
        </w:rPr>
        <w:t>除专用合同条款另有约定外，承包人应为其施工设备、进场的材料和工程设备等办理保险。</w:t>
      </w:r>
    </w:p>
    <w:p w14:paraId="4A1AAAD2">
      <w:pPr>
        <w:spacing w:line="500" w:lineRule="exact"/>
        <w:outlineLvl w:val="3"/>
        <w:rPr>
          <w:rFonts w:hint="eastAsia" w:ascii="宋体" w:hAnsi="宋体" w:cs="宋体"/>
          <w:sz w:val="24"/>
        </w:rPr>
      </w:pPr>
      <w:r>
        <w:rPr>
          <w:rFonts w:hint="eastAsia" w:ascii="宋体" w:hAnsi="宋体" w:cs="宋体"/>
          <w:sz w:val="24"/>
        </w:rPr>
        <w:t>20.6 对各项保险的一般要求</w:t>
      </w:r>
    </w:p>
    <w:p w14:paraId="4E9656C8">
      <w:pPr>
        <w:spacing w:line="500" w:lineRule="exact"/>
        <w:ind w:firstLine="480" w:firstLineChars="200"/>
        <w:rPr>
          <w:rFonts w:hint="eastAsia" w:ascii="宋体" w:hAnsi="宋体" w:cs="宋体"/>
          <w:sz w:val="24"/>
        </w:rPr>
      </w:pPr>
      <w:r>
        <w:rPr>
          <w:rFonts w:hint="eastAsia" w:ascii="宋体" w:hAnsi="宋体" w:cs="宋体"/>
          <w:sz w:val="24"/>
        </w:rPr>
        <w:t>20.6.1 保险凭证</w:t>
      </w:r>
    </w:p>
    <w:p w14:paraId="2ABA2611">
      <w:pPr>
        <w:spacing w:line="500" w:lineRule="exact"/>
        <w:ind w:firstLine="480" w:firstLineChars="200"/>
        <w:rPr>
          <w:rFonts w:hint="eastAsia" w:ascii="宋体" w:hAnsi="宋体" w:cs="宋体"/>
          <w:sz w:val="24"/>
        </w:rPr>
      </w:pPr>
      <w:r>
        <w:rPr>
          <w:rFonts w:hint="eastAsia" w:ascii="宋体" w:hAnsi="宋体" w:cs="宋体"/>
          <w:sz w:val="24"/>
        </w:rPr>
        <w:t>承包人应在专用合同条款约定的期限内向发包人提交各项保险生效的证据和保险单备份，保险单必须与专用合同条款约定的条件保持一致。</w:t>
      </w:r>
    </w:p>
    <w:p w14:paraId="752E8CE4">
      <w:pPr>
        <w:spacing w:line="500" w:lineRule="exact"/>
        <w:ind w:firstLine="480" w:firstLineChars="200"/>
        <w:rPr>
          <w:rFonts w:hint="eastAsia" w:ascii="宋体" w:hAnsi="宋体" w:cs="宋体"/>
          <w:sz w:val="24"/>
        </w:rPr>
      </w:pPr>
      <w:r>
        <w:rPr>
          <w:rFonts w:hint="eastAsia" w:ascii="宋体" w:hAnsi="宋体" w:cs="宋体"/>
          <w:sz w:val="24"/>
        </w:rPr>
        <w:t>20.6.2 保险合同条款的变动</w:t>
      </w:r>
    </w:p>
    <w:p w14:paraId="6BF8ABE2">
      <w:pPr>
        <w:spacing w:line="500" w:lineRule="exact"/>
        <w:ind w:firstLine="480" w:firstLineChars="200"/>
        <w:rPr>
          <w:rFonts w:hint="eastAsia" w:ascii="宋体" w:hAnsi="宋体" w:cs="宋体"/>
          <w:sz w:val="24"/>
        </w:rPr>
      </w:pPr>
      <w:r>
        <w:rPr>
          <w:rFonts w:hint="eastAsia" w:ascii="宋体" w:hAnsi="宋体" w:cs="宋体"/>
          <w:sz w:val="24"/>
        </w:rPr>
        <w:t>承包人需要变动保险合同条款时，应事先征得发包人同意，并通知监理人。保险人作出变动的，承包人应在收到保险人通知后立即通知发包人和监理人。</w:t>
      </w:r>
    </w:p>
    <w:p w14:paraId="37582F46">
      <w:pPr>
        <w:spacing w:line="500" w:lineRule="exact"/>
        <w:ind w:firstLine="480" w:firstLineChars="200"/>
        <w:rPr>
          <w:rFonts w:hint="eastAsia" w:ascii="宋体" w:hAnsi="宋体" w:cs="宋体"/>
          <w:sz w:val="24"/>
        </w:rPr>
      </w:pPr>
      <w:r>
        <w:rPr>
          <w:rFonts w:hint="eastAsia" w:ascii="宋体" w:hAnsi="宋体" w:cs="宋体"/>
          <w:sz w:val="24"/>
        </w:rPr>
        <w:t>20.6.3 持续保险</w:t>
      </w:r>
    </w:p>
    <w:p w14:paraId="69007DBC">
      <w:pPr>
        <w:spacing w:line="500" w:lineRule="exact"/>
        <w:rPr>
          <w:rFonts w:hint="eastAsia" w:ascii="宋体" w:hAnsi="宋体" w:cs="宋体"/>
          <w:sz w:val="24"/>
        </w:rPr>
      </w:pPr>
      <w:r>
        <w:rPr>
          <w:rFonts w:hint="eastAsia" w:ascii="宋体" w:hAnsi="宋体" w:cs="宋体"/>
          <w:sz w:val="24"/>
        </w:rPr>
        <w:t>承包人应与保险人保持联系，使保险人能够随时了解工程实施中的变动，并确保按保险合同条款要求持续保险。</w:t>
      </w:r>
    </w:p>
    <w:p w14:paraId="6A67B70B">
      <w:pPr>
        <w:spacing w:line="500" w:lineRule="exact"/>
        <w:ind w:firstLine="480" w:firstLineChars="200"/>
        <w:rPr>
          <w:rFonts w:hint="eastAsia" w:ascii="宋体" w:hAnsi="宋体" w:cs="宋体"/>
          <w:sz w:val="24"/>
        </w:rPr>
      </w:pPr>
      <w:r>
        <w:rPr>
          <w:rFonts w:hint="eastAsia" w:ascii="宋体" w:hAnsi="宋体" w:cs="宋体"/>
          <w:sz w:val="24"/>
        </w:rPr>
        <w:t>20.6.4　保险金不足以补偿损失时，应由承包人和发包人各自负责补偿的范围和金额在专用合同条款中约定。</w:t>
      </w:r>
    </w:p>
    <w:p w14:paraId="78FDC834">
      <w:pPr>
        <w:spacing w:line="500" w:lineRule="exact"/>
        <w:ind w:firstLine="480" w:firstLineChars="200"/>
        <w:rPr>
          <w:rFonts w:hint="eastAsia" w:ascii="宋体" w:hAnsi="宋体" w:cs="宋体"/>
          <w:sz w:val="24"/>
        </w:rPr>
      </w:pPr>
      <w:r>
        <w:rPr>
          <w:rFonts w:hint="eastAsia" w:ascii="宋体" w:hAnsi="宋体" w:cs="宋体"/>
          <w:sz w:val="24"/>
        </w:rPr>
        <w:t>20.6.5 未按约定投保的补救</w:t>
      </w:r>
    </w:p>
    <w:p w14:paraId="1D86317B">
      <w:pPr>
        <w:spacing w:line="500" w:lineRule="exact"/>
        <w:ind w:firstLine="480" w:firstLineChars="200"/>
        <w:rPr>
          <w:rFonts w:hint="eastAsia" w:ascii="宋体" w:hAnsi="宋体" w:cs="宋体"/>
          <w:sz w:val="24"/>
        </w:rPr>
      </w:pPr>
      <w:r>
        <w:rPr>
          <w:rFonts w:hint="eastAsia" w:ascii="宋体" w:hAnsi="宋体" w:cs="宋体"/>
          <w:sz w:val="24"/>
        </w:rPr>
        <w:t>（1）由于负有投保义务的一方当事人未按合同约定办理保险，或未能使保险持续有效的，另一方当事人可代为办理，所需费用由对方当事人承担。</w:t>
      </w:r>
    </w:p>
    <w:p w14:paraId="1A209507">
      <w:pPr>
        <w:spacing w:line="500" w:lineRule="exact"/>
        <w:ind w:firstLine="480" w:firstLineChars="200"/>
        <w:rPr>
          <w:rFonts w:hint="eastAsia" w:ascii="宋体" w:hAnsi="宋体" w:cs="宋体"/>
          <w:sz w:val="24"/>
        </w:rPr>
      </w:pPr>
      <w:r>
        <w:rPr>
          <w:rFonts w:hint="eastAsia" w:ascii="宋体" w:hAnsi="宋体" w:cs="宋体"/>
          <w:sz w:val="24"/>
        </w:rPr>
        <w:t>（2）由于负有投保义务的一方当事人未按合同约定办理某项保险，导致受益人未能得到保险人的赔偿，原应从该项保险得到的保险金应由负有投保义务的一方当事人支付。</w:t>
      </w:r>
    </w:p>
    <w:p w14:paraId="22158BB5">
      <w:pPr>
        <w:spacing w:line="500" w:lineRule="exact"/>
        <w:ind w:firstLine="480" w:firstLineChars="200"/>
        <w:rPr>
          <w:rFonts w:hint="eastAsia" w:ascii="宋体" w:hAnsi="宋体" w:cs="宋体"/>
          <w:sz w:val="24"/>
        </w:rPr>
      </w:pPr>
      <w:r>
        <w:rPr>
          <w:rFonts w:hint="eastAsia" w:ascii="宋体" w:hAnsi="宋体" w:cs="宋体"/>
          <w:sz w:val="24"/>
        </w:rPr>
        <w:t>20.6.6 报告义务</w:t>
      </w:r>
    </w:p>
    <w:p w14:paraId="311C6395">
      <w:pPr>
        <w:spacing w:line="500" w:lineRule="exact"/>
        <w:ind w:firstLine="240" w:firstLineChars="100"/>
        <w:rPr>
          <w:rFonts w:hint="eastAsia" w:ascii="宋体" w:hAnsi="宋体" w:cs="宋体"/>
          <w:sz w:val="24"/>
        </w:rPr>
      </w:pPr>
      <w:r>
        <w:rPr>
          <w:rFonts w:hint="eastAsia" w:ascii="宋体" w:hAnsi="宋体" w:cs="宋体"/>
          <w:sz w:val="24"/>
        </w:rPr>
        <w:t>当保险事故发生时，投保人应按照保险单规定的条件和期限及时向保险人报告。</w:t>
      </w:r>
    </w:p>
    <w:p w14:paraId="0772F58F">
      <w:pPr>
        <w:spacing w:line="500" w:lineRule="exact"/>
        <w:outlineLvl w:val="3"/>
        <w:rPr>
          <w:rFonts w:hint="eastAsia" w:ascii="宋体" w:hAnsi="宋体" w:cs="宋体"/>
          <w:sz w:val="24"/>
        </w:rPr>
      </w:pPr>
      <w:r>
        <w:rPr>
          <w:rFonts w:hint="eastAsia" w:ascii="宋体" w:hAnsi="宋体" w:cs="宋体"/>
          <w:sz w:val="24"/>
        </w:rPr>
        <w:t>20.7 风险责任的转移</w:t>
      </w:r>
    </w:p>
    <w:p w14:paraId="2955A1F2">
      <w:pPr>
        <w:spacing w:line="500" w:lineRule="exact"/>
        <w:rPr>
          <w:rFonts w:hint="eastAsia" w:ascii="宋体" w:hAnsi="宋体" w:cs="宋体"/>
          <w:sz w:val="24"/>
        </w:rPr>
      </w:pPr>
      <w:r>
        <w:rPr>
          <w:rFonts w:hint="eastAsia" w:ascii="宋体" w:hAnsi="宋体" w:cs="宋体"/>
          <w:sz w:val="24"/>
        </w:rPr>
        <w:t>　　工程通过合同工程完工验收并移交给发包人后，原由承包人应承担的风险责任，以及保险的责任、权利和义务同时转移给发包人，但承包人在缺陷责任期(工程质量保修期)前造成损失和损坏情形除外。</w:t>
      </w:r>
    </w:p>
    <w:p w14:paraId="56EB1E69">
      <w:pPr>
        <w:spacing w:line="500" w:lineRule="exact"/>
        <w:outlineLvl w:val="2"/>
        <w:rPr>
          <w:rFonts w:hint="eastAsia" w:ascii="宋体" w:hAnsi="宋体" w:cs="宋体"/>
          <w:sz w:val="24"/>
        </w:rPr>
      </w:pPr>
      <w:bookmarkStart w:id="378" w:name="_Toc256000106"/>
      <w:bookmarkStart w:id="379" w:name="_Toc7893"/>
      <w:bookmarkStart w:id="380" w:name="_Toc18885"/>
      <w:bookmarkStart w:id="381" w:name="_Toc256000139"/>
      <w:r>
        <w:rPr>
          <w:rFonts w:hint="eastAsia" w:ascii="宋体" w:hAnsi="宋体" w:cs="宋体"/>
          <w:sz w:val="24"/>
        </w:rPr>
        <w:t>21. 不可抗力</w:t>
      </w:r>
      <w:bookmarkEnd w:id="378"/>
      <w:bookmarkEnd w:id="379"/>
      <w:bookmarkEnd w:id="380"/>
      <w:bookmarkEnd w:id="381"/>
    </w:p>
    <w:p w14:paraId="17427EEC">
      <w:pPr>
        <w:spacing w:line="500" w:lineRule="exact"/>
        <w:outlineLvl w:val="3"/>
        <w:rPr>
          <w:rFonts w:hint="eastAsia" w:ascii="宋体" w:hAnsi="宋体" w:cs="宋体"/>
          <w:sz w:val="24"/>
        </w:rPr>
      </w:pPr>
      <w:r>
        <w:rPr>
          <w:rFonts w:hint="eastAsia" w:ascii="宋体" w:hAnsi="宋体" w:cs="宋体"/>
          <w:sz w:val="24"/>
        </w:rPr>
        <w:t>21.1 不可抗力的确认</w:t>
      </w:r>
    </w:p>
    <w:p w14:paraId="6A4E8278">
      <w:pPr>
        <w:spacing w:line="500" w:lineRule="exact"/>
        <w:ind w:firstLine="480" w:firstLineChars="200"/>
        <w:rPr>
          <w:rFonts w:hint="eastAsia" w:ascii="宋体" w:hAnsi="宋体" w:cs="宋体"/>
          <w:sz w:val="24"/>
        </w:rPr>
      </w:pPr>
      <w:r>
        <w:rPr>
          <w:rFonts w:hint="eastAsia" w:ascii="宋体" w:hAnsi="宋体" w:cs="宋体"/>
          <w:sz w:val="24"/>
        </w:rPr>
        <w:t>21.1.1 不可抗力是指承包人和发包人在订立合同时不可预见，在工程施工过程中不可避免发生并不能克服的自然灾害和社会性突发事件，如地震、海啸、瘟疫、水灾、骚乱、暴动、战争和专用合同条款约定的其他情形。</w:t>
      </w:r>
    </w:p>
    <w:p w14:paraId="109507F0">
      <w:pPr>
        <w:spacing w:line="500" w:lineRule="exact"/>
        <w:ind w:firstLine="480" w:firstLineChars="200"/>
        <w:rPr>
          <w:rFonts w:hint="eastAsia" w:ascii="宋体" w:hAnsi="宋体" w:cs="宋体"/>
          <w:sz w:val="24"/>
        </w:rPr>
      </w:pPr>
      <w:r>
        <w:rPr>
          <w:rFonts w:hint="eastAsia" w:ascii="宋体" w:hAnsi="宋体" w:cs="宋体"/>
          <w:sz w:val="24"/>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14:paraId="2D10BB12">
      <w:pPr>
        <w:spacing w:line="500" w:lineRule="exact"/>
        <w:outlineLvl w:val="3"/>
        <w:rPr>
          <w:rFonts w:hint="eastAsia" w:ascii="宋体" w:hAnsi="宋体" w:cs="宋体"/>
          <w:sz w:val="24"/>
        </w:rPr>
      </w:pPr>
      <w:r>
        <w:rPr>
          <w:rFonts w:hint="eastAsia" w:ascii="宋体" w:hAnsi="宋体" w:cs="宋体"/>
          <w:sz w:val="24"/>
        </w:rPr>
        <w:t>21.2 不可抗力的通知</w:t>
      </w:r>
    </w:p>
    <w:p w14:paraId="4449F5E3">
      <w:pPr>
        <w:spacing w:line="500" w:lineRule="exact"/>
        <w:ind w:firstLine="480" w:firstLineChars="200"/>
        <w:rPr>
          <w:rFonts w:hint="eastAsia" w:ascii="宋体" w:hAnsi="宋体" w:cs="宋体"/>
          <w:sz w:val="24"/>
        </w:rPr>
      </w:pPr>
      <w:r>
        <w:rPr>
          <w:rFonts w:hint="eastAsia" w:ascii="宋体" w:hAnsi="宋体" w:cs="宋体"/>
          <w:sz w:val="24"/>
        </w:rPr>
        <w:t>21.2.1 合同一方当事人遇到不可抗力事件，使其履行合同义务受到阻碍时，应立即通知合同另一方当事人和监理人，书面说明不可抗力和受阻碍的详细情况，并提供必要的证明。</w:t>
      </w:r>
    </w:p>
    <w:p w14:paraId="66A34B47">
      <w:pPr>
        <w:spacing w:line="500" w:lineRule="exact"/>
        <w:ind w:firstLine="480" w:firstLineChars="200"/>
        <w:rPr>
          <w:rFonts w:hint="eastAsia" w:ascii="宋体" w:hAnsi="宋体" w:cs="宋体"/>
          <w:sz w:val="24"/>
        </w:rPr>
      </w:pPr>
      <w:r>
        <w:rPr>
          <w:rFonts w:hint="eastAsia" w:ascii="宋体" w:hAnsi="宋体" w:cs="宋体"/>
          <w:sz w:val="24"/>
        </w:rPr>
        <w:t>21.2.2 如不可抗力持续发生，合同一方当事人应及时向合同另一方当事人和监理人提交中间报告，说明不可抗力和履行合同受阻的情况，并于不可抗力事件结束后28天内提交最终报告及有关资料。</w:t>
      </w:r>
    </w:p>
    <w:p w14:paraId="063D7423">
      <w:pPr>
        <w:spacing w:line="500" w:lineRule="exact"/>
        <w:outlineLvl w:val="3"/>
        <w:rPr>
          <w:rFonts w:hint="eastAsia" w:ascii="宋体" w:hAnsi="宋体" w:cs="宋体"/>
          <w:sz w:val="24"/>
        </w:rPr>
      </w:pPr>
      <w:r>
        <w:rPr>
          <w:rFonts w:hint="eastAsia" w:ascii="宋体" w:hAnsi="宋体" w:cs="宋体"/>
          <w:sz w:val="24"/>
        </w:rPr>
        <w:t>21.3 不可抗力后果及其处理</w:t>
      </w:r>
    </w:p>
    <w:p w14:paraId="62B580A2">
      <w:pPr>
        <w:spacing w:line="500" w:lineRule="exact"/>
        <w:ind w:firstLine="480" w:firstLineChars="200"/>
        <w:rPr>
          <w:rFonts w:hint="eastAsia" w:ascii="宋体" w:hAnsi="宋体" w:cs="宋体"/>
          <w:sz w:val="24"/>
        </w:rPr>
      </w:pPr>
      <w:r>
        <w:rPr>
          <w:rFonts w:hint="eastAsia" w:ascii="宋体" w:hAnsi="宋体" w:cs="宋体"/>
          <w:sz w:val="24"/>
        </w:rPr>
        <w:t>21.3.1 不可抗力造成损害的责任</w:t>
      </w:r>
    </w:p>
    <w:p w14:paraId="1F58F04D">
      <w:pPr>
        <w:spacing w:line="500" w:lineRule="exact"/>
        <w:ind w:firstLine="480" w:firstLineChars="200"/>
        <w:rPr>
          <w:rFonts w:hint="eastAsia" w:ascii="宋体" w:hAnsi="宋体" w:cs="宋体"/>
          <w:sz w:val="24"/>
        </w:rPr>
      </w:pPr>
      <w:r>
        <w:rPr>
          <w:rFonts w:hint="eastAsia" w:ascii="宋体" w:hAnsi="宋体" w:cs="宋体"/>
          <w:sz w:val="24"/>
        </w:rPr>
        <w:t>除专用合同条款另有约定外，不可抗力导致的人员伤亡、财产损失、费用增加和（或）工期延误等后果，由合同双方按以下原则承担：</w:t>
      </w:r>
    </w:p>
    <w:p w14:paraId="79A02738">
      <w:pPr>
        <w:spacing w:line="500" w:lineRule="exact"/>
        <w:ind w:firstLine="480" w:firstLineChars="200"/>
        <w:rPr>
          <w:rFonts w:hint="eastAsia" w:ascii="宋体" w:hAnsi="宋体" w:cs="宋体"/>
          <w:sz w:val="24"/>
        </w:rPr>
      </w:pPr>
      <w:r>
        <w:rPr>
          <w:rFonts w:hint="eastAsia" w:ascii="宋体" w:hAnsi="宋体" w:cs="宋体"/>
          <w:sz w:val="24"/>
        </w:rPr>
        <w:t>（1）永久工程，包括已运至施工场地的材料和工程设备的损害，以及因工程损害造成的第三者人员伤亡和财产损失由发包人承担；</w:t>
      </w:r>
    </w:p>
    <w:p w14:paraId="451D5EFB">
      <w:pPr>
        <w:spacing w:line="500" w:lineRule="exact"/>
        <w:ind w:firstLine="480" w:firstLineChars="200"/>
        <w:rPr>
          <w:rFonts w:hint="eastAsia" w:ascii="宋体" w:hAnsi="宋体" w:cs="宋体"/>
          <w:sz w:val="24"/>
        </w:rPr>
      </w:pPr>
      <w:r>
        <w:rPr>
          <w:rFonts w:hint="eastAsia" w:ascii="宋体" w:hAnsi="宋体" w:cs="宋体"/>
          <w:sz w:val="24"/>
        </w:rPr>
        <w:t>（2）承包人设备的损坏由承包人承担；</w:t>
      </w:r>
    </w:p>
    <w:p w14:paraId="5FECD5FF">
      <w:pPr>
        <w:spacing w:line="500" w:lineRule="exact"/>
        <w:ind w:firstLine="480" w:firstLineChars="200"/>
        <w:rPr>
          <w:rFonts w:hint="eastAsia" w:ascii="宋体" w:hAnsi="宋体" w:cs="宋体"/>
          <w:sz w:val="24"/>
        </w:rPr>
      </w:pPr>
      <w:r>
        <w:rPr>
          <w:rFonts w:hint="eastAsia" w:ascii="宋体" w:hAnsi="宋体" w:cs="宋体"/>
          <w:sz w:val="24"/>
        </w:rPr>
        <w:t>（3）发包人和承包人各自承担其人员伤亡和其他财产损失及其相关费用；</w:t>
      </w:r>
    </w:p>
    <w:p w14:paraId="17F1CBCB">
      <w:pPr>
        <w:spacing w:line="500" w:lineRule="exact"/>
        <w:ind w:firstLine="480" w:firstLineChars="200"/>
        <w:rPr>
          <w:rFonts w:hint="eastAsia" w:ascii="宋体" w:hAnsi="宋体" w:cs="宋体"/>
          <w:sz w:val="24"/>
        </w:rPr>
      </w:pPr>
      <w:r>
        <w:rPr>
          <w:rFonts w:hint="eastAsia" w:ascii="宋体" w:hAnsi="宋体" w:cs="宋体"/>
          <w:sz w:val="24"/>
        </w:rPr>
        <w:t>（4）承包人的停工损失由承包人承担，但停工期间应监理人要求照管工程和清理、修复工程的金额由发包人承担；</w:t>
      </w:r>
    </w:p>
    <w:p w14:paraId="38EBE827">
      <w:pPr>
        <w:spacing w:line="500" w:lineRule="exact"/>
        <w:ind w:firstLine="480" w:firstLineChars="200"/>
        <w:rPr>
          <w:rFonts w:hint="eastAsia" w:ascii="宋体" w:hAnsi="宋体" w:cs="宋体"/>
          <w:sz w:val="24"/>
        </w:rPr>
      </w:pPr>
      <w:r>
        <w:rPr>
          <w:rFonts w:hint="eastAsia" w:ascii="宋体" w:hAnsi="宋体" w:cs="宋体"/>
          <w:sz w:val="24"/>
        </w:rPr>
        <w:t>（5）不能按期竣工的，应合理延长工期，承包人不需支付逾期竣工违约金。发包人要求赶工的，承包人应采取赶工措施，赶工费用由发包人承担。</w:t>
      </w:r>
    </w:p>
    <w:p w14:paraId="021512F3">
      <w:pPr>
        <w:spacing w:line="500" w:lineRule="exact"/>
        <w:ind w:firstLine="480" w:firstLineChars="200"/>
        <w:rPr>
          <w:rFonts w:hint="eastAsia" w:ascii="宋体" w:hAnsi="宋体" w:cs="宋体"/>
          <w:sz w:val="24"/>
        </w:rPr>
      </w:pPr>
      <w:r>
        <w:rPr>
          <w:rFonts w:hint="eastAsia" w:ascii="宋体" w:hAnsi="宋体" w:cs="宋体"/>
          <w:sz w:val="24"/>
        </w:rPr>
        <w:t>21.3.2 延迟履行期间发生的不可抗力</w:t>
      </w:r>
    </w:p>
    <w:p w14:paraId="1DAD2779">
      <w:pPr>
        <w:spacing w:line="500" w:lineRule="exact"/>
        <w:ind w:firstLine="480" w:firstLineChars="200"/>
        <w:rPr>
          <w:rFonts w:hint="eastAsia" w:ascii="宋体" w:hAnsi="宋体" w:cs="宋体"/>
          <w:sz w:val="24"/>
        </w:rPr>
      </w:pPr>
      <w:r>
        <w:rPr>
          <w:rFonts w:hint="eastAsia" w:ascii="宋体" w:hAnsi="宋体" w:cs="宋体"/>
          <w:sz w:val="24"/>
        </w:rPr>
        <w:t>合同一方当事人延迟履行，在延迟履行期间发生不可抗力的，不免除其责任。</w:t>
      </w:r>
    </w:p>
    <w:p w14:paraId="5E47271B">
      <w:pPr>
        <w:spacing w:line="500" w:lineRule="exact"/>
        <w:ind w:firstLine="480" w:firstLineChars="200"/>
        <w:rPr>
          <w:rFonts w:hint="eastAsia" w:ascii="宋体" w:hAnsi="宋体" w:cs="宋体"/>
          <w:sz w:val="24"/>
        </w:rPr>
      </w:pPr>
      <w:r>
        <w:rPr>
          <w:rFonts w:hint="eastAsia" w:ascii="宋体" w:hAnsi="宋体" w:cs="宋体"/>
          <w:sz w:val="24"/>
        </w:rPr>
        <w:t>21.3.3 避免和减少不可抗力损失</w:t>
      </w:r>
    </w:p>
    <w:p w14:paraId="6E71042D">
      <w:pPr>
        <w:spacing w:line="500" w:lineRule="exact"/>
        <w:ind w:firstLine="480" w:firstLineChars="200"/>
        <w:rPr>
          <w:rFonts w:hint="eastAsia" w:ascii="宋体" w:hAnsi="宋体" w:cs="宋体"/>
          <w:sz w:val="24"/>
        </w:rPr>
      </w:pPr>
      <w:r>
        <w:rPr>
          <w:rFonts w:hint="eastAsia" w:ascii="宋体" w:hAnsi="宋体" w:cs="宋体"/>
          <w:sz w:val="24"/>
        </w:rPr>
        <w:t>不可抗力发生后，发包人和承包人均应采取措施尽量避免和减少损失的扩大，任何一方没有采取有效措施导致损失扩大的，应对扩大的损失承担责任。</w:t>
      </w:r>
    </w:p>
    <w:p w14:paraId="379BBDAF">
      <w:pPr>
        <w:spacing w:line="500" w:lineRule="exact"/>
        <w:ind w:firstLine="480" w:firstLineChars="200"/>
        <w:rPr>
          <w:rFonts w:hint="eastAsia" w:ascii="宋体" w:hAnsi="宋体" w:cs="宋体"/>
          <w:sz w:val="24"/>
        </w:rPr>
      </w:pPr>
      <w:r>
        <w:rPr>
          <w:rFonts w:hint="eastAsia" w:ascii="宋体" w:hAnsi="宋体" w:cs="宋体"/>
          <w:sz w:val="24"/>
        </w:rPr>
        <w:t>21.3.4 因不可抗力解除合同</w:t>
      </w:r>
    </w:p>
    <w:p w14:paraId="2DB13A5A">
      <w:pPr>
        <w:spacing w:line="500" w:lineRule="exact"/>
        <w:rPr>
          <w:rFonts w:hint="eastAsia" w:ascii="宋体" w:hAnsi="宋体" w:cs="宋体"/>
          <w:sz w:val="24"/>
        </w:rPr>
      </w:pPr>
      <w:r>
        <w:rPr>
          <w:rFonts w:hint="eastAsia" w:ascii="宋体" w:hAnsi="宋体" w:cs="宋体"/>
          <w:sz w:val="24"/>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14:paraId="03D9AC80">
      <w:pPr>
        <w:spacing w:line="500" w:lineRule="exact"/>
        <w:outlineLvl w:val="2"/>
        <w:rPr>
          <w:rFonts w:hint="eastAsia" w:ascii="宋体" w:hAnsi="宋体" w:cs="宋体"/>
          <w:sz w:val="24"/>
        </w:rPr>
      </w:pPr>
      <w:bookmarkStart w:id="382" w:name="_Toc256000107"/>
      <w:bookmarkStart w:id="383" w:name="_Toc663"/>
      <w:bookmarkStart w:id="384" w:name="_Toc14079"/>
      <w:bookmarkStart w:id="385" w:name="_Toc256000140"/>
      <w:r>
        <w:rPr>
          <w:rFonts w:hint="eastAsia" w:ascii="宋体" w:hAnsi="宋体" w:cs="宋体"/>
          <w:sz w:val="24"/>
        </w:rPr>
        <w:t>22. 违约</w:t>
      </w:r>
      <w:bookmarkEnd w:id="382"/>
      <w:bookmarkEnd w:id="383"/>
      <w:bookmarkEnd w:id="384"/>
      <w:bookmarkEnd w:id="385"/>
    </w:p>
    <w:p w14:paraId="679B055B">
      <w:pPr>
        <w:spacing w:line="500" w:lineRule="exact"/>
        <w:outlineLvl w:val="3"/>
        <w:rPr>
          <w:rFonts w:hint="eastAsia" w:ascii="宋体" w:hAnsi="宋体" w:cs="宋体"/>
          <w:sz w:val="24"/>
        </w:rPr>
      </w:pPr>
      <w:r>
        <w:rPr>
          <w:rFonts w:hint="eastAsia" w:ascii="宋体" w:hAnsi="宋体" w:cs="宋体"/>
          <w:sz w:val="24"/>
        </w:rPr>
        <w:t>22.1 承包人违约</w:t>
      </w:r>
    </w:p>
    <w:p w14:paraId="1EDAD327">
      <w:pPr>
        <w:spacing w:line="500" w:lineRule="exact"/>
        <w:rPr>
          <w:rFonts w:hint="eastAsia" w:ascii="宋体" w:hAnsi="宋体" w:cs="宋体"/>
          <w:sz w:val="24"/>
        </w:rPr>
      </w:pPr>
      <w:r>
        <w:rPr>
          <w:rFonts w:hint="eastAsia" w:ascii="宋体" w:hAnsi="宋体" w:cs="宋体"/>
          <w:sz w:val="24"/>
        </w:rPr>
        <w:t>　　22.1.1 承包人违约的情形</w:t>
      </w:r>
    </w:p>
    <w:p w14:paraId="1F14D4A2">
      <w:pPr>
        <w:spacing w:line="500" w:lineRule="exact"/>
        <w:rPr>
          <w:rFonts w:hint="eastAsia" w:ascii="宋体" w:hAnsi="宋体" w:cs="宋体"/>
          <w:sz w:val="24"/>
        </w:rPr>
      </w:pPr>
      <w:r>
        <w:rPr>
          <w:rFonts w:hint="eastAsia" w:ascii="宋体" w:hAnsi="宋体" w:cs="宋体"/>
          <w:sz w:val="24"/>
        </w:rPr>
        <w:t>　　在履行合同过程中发生的下列情况属承包人违约：</w:t>
      </w:r>
    </w:p>
    <w:p w14:paraId="58697B79">
      <w:pPr>
        <w:spacing w:line="500" w:lineRule="exact"/>
        <w:rPr>
          <w:rFonts w:hint="eastAsia" w:ascii="宋体" w:hAnsi="宋体" w:cs="宋体"/>
          <w:sz w:val="24"/>
        </w:rPr>
      </w:pPr>
      <w:r>
        <w:rPr>
          <w:rFonts w:hint="eastAsia" w:ascii="宋体" w:hAnsi="宋体" w:cs="宋体"/>
          <w:sz w:val="24"/>
        </w:rPr>
        <w:t>　　(1)承包人违反第1.8款或第4.3款的约定，私自将合同的全部或部分权利转让给其他人，或私自将合同的全部或部分义务转移给其他人；</w:t>
      </w:r>
    </w:p>
    <w:p w14:paraId="3276AEF7">
      <w:pPr>
        <w:spacing w:line="500" w:lineRule="exact"/>
        <w:rPr>
          <w:rFonts w:hint="eastAsia" w:ascii="宋体" w:hAnsi="宋体" w:cs="宋体"/>
          <w:sz w:val="24"/>
        </w:rPr>
      </w:pPr>
      <w:r>
        <w:rPr>
          <w:rFonts w:hint="eastAsia" w:ascii="宋体" w:hAnsi="宋体" w:cs="宋体"/>
          <w:sz w:val="24"/>
        </w:rPr>
        <w:t>　　(2)承包人违反第5.3款或第6.4款的约定，未经监理人批准，私自将已按合同约定进入施工场地的施工设备、临时设施或材料撤离施工场地；</w:t>
      </w:r>
    </w:p>
    <w:p w14:paraId="4029DBC1">
      <w:pPr>
        <w:spacing w:line="500" w:lineRule="exact"/>
        <w:rPr>
          <w:rFonts w:hint="eastAsia" w:ascii="宋体" w:hAnsi="宋体" w:cs="宋体"/>
          <w:sz w:val="24"/>
        </w:rPr>
      </w:pPr>
      <w:r>
        <w:rPr>
          <w:rFonts w:hint="eastAsia" w:ascii="宋体" w:hAnsi="宋体" w:cs="宋体"/>
          <w:sz w:val="24"/>
        </w:rPr>
        <w:t>　　(3)承包人违反第5.4款的约定使用了不合格材料或工程设备，工程质量达不到标准要求，又拒绝清除不合格工程；</w:t>
      </w:r>
    </w:p>
    <w:p w14:paraId="6C620EB5">
      <w:pPr>
        <w:spacing w:line="500" w:lineRule="exact"/>
        <w:rPr>
          <w:rFonts w:hint="eastAsia" w:ascii="宋体" w:hAnsi="宋体" w:cs="宋体"/>
          <w:sz w:val="24"/>
        </w:rPr>
      </w:pPr>
      <w:r>
        <w:rPr>
          <w:rFonts w:hint="eastAsia" w:ascii="宋体" w:hAnsi="宋体" w:cs="宋体"/>
          <w:sz w:val="24"/>
        </w:rPr>
        <w:t>　　(4)承包人未能按合同进度计划及时完成合同约定的工作，已造成或预期造成工期延误；</w:t>
      </w:r>
    </w:p>
    <w:p w14:paraId="131CBBDE">
      <w:pPr>
        <w:spacing w:line="500" w:lineRule="exact"/>
        <w:rPr>
          <w:rFonts w:hint="eastAsia" w:ascii="宋体" w:hAnsi="宋体" w:cs="宋体"/>
          <w:sz w:val="24"/>
        </w:rPr>
      </w:pPr>
      <w:r>
        <w:rPr>
          <w:rFonts w:hint="eastAsia" w:ascii="宋体" w:hAnsi="宋体" w:cs="宋体"/>
          <w:sz w:val="24"/>
        </w:rPr>
        <w:t>　　(5)承包人在缺陷责任期(工程质量保修期)内，未能对合同工程完工验收鉴定书所列的缺陷清单的内容或缺陷责任期(工程质量保修期)内发生的缺陷进行修复，而又拒绝按监理人指示再进行修补；</w:t>
      </w:r>
    </w:p>
    <w:p w14:paraId="1C7A6638">
      <w:pPr>
        <w:spacing w:line="500" w:lineRule="exact"/>
        <w:rPr>
          <w:rFonts w:hint="eastAsia" w:ascii="宋体" w:hAnsi="宋体" w:cs="宋体"/>
          <w:sz w:val="24"/>
        </w:rPr>
      </w:pPr>
      <w:r>
        <w:rPr>
          <w:rFonts w:hint="eastAsia" w:ascii="宋体" w:hAnsi="宋体" w:cs="宋体"/>
          <w:sz w:val="24"/>
        </w:rPr>
        <w:t>　　(6)承包人无法继续履行或明确表示不履行或实质上已停止履行合同；</w:t>
      </w:r>
    </w:p>
    <w:p w14:paraId="697DBCFB">
      <w:pPr>
        <w:spacing w:line="500" w:lineRule="exact"/>
        <w:ind w:firstLine="420"/>
        <w:rPr>
          <w:rFonts w:hint="eastAsia" w:ascii="宋体" w:hAnsi="宋体" w:cs="宋体"/>
          <w:sz w:val="24"/>
        </w:rPr>
      </w:pPr>
      <w:r>
        <w:rPr>
          <w:rFonts w:hint="eastAsia" w:ascii="宋体" w:hAnsi="宋体" w:cs="宋体"/>
          <w:sz w:val="24"/>
        </w:rPr>
        <w:t>(7)承包人不按合同约定履行义务的其它情况。</w:t>
      </w:r>
    </w:p>
    <w:p w14:paraId="703C7698">
      <w:pPr>
        <w:spacing w:line="500" w:lineRule="exact"/>
        <w:ind w:firstLine="480" w:firstLineChars="200"/>
        <w:rPr>
          <w:rFonts w:hint="eastAsia" w:ascii="宋体" w:hAnsi="宋体" w:cs="宋体"/>
          <w:sz w:val="24"/>
        </w:rPr>
      </w:pPr>
      <w:r>
        <w:rPr>
          <w:rFonts w:hint="eastAsia" w:ascii="宋体" w:hAnsi="宋体" w:cs="宋体"/>
          <w:sz w:val="24"/>
        </w:rPr>
        <w:t>22.1.2 对承包人违约的处理</w:t>
      </w:r>
    </w:p>
    <w:p w14:paraId="5354DBE1">
      <w:pPr>
        <w:spacing w:line="500" w:lineRule="exact"/>
        <w:ind w:firstLine="480" w:firstLineChars="200"/>
        <w:rPr>
          <w:rFonts w:hint="eastAsia" w:ascii="宋体" w:hAnsi="宋体" w:cs="宋体"/>
          <w:sz w:val="24"/>
        </w:rPr>
      </w:pPr>
      <w:r>
        <w:rPr>
          <w:rFonts w:hint="eastAsia" w:ascii="宋体" w:hAnsi="宋体" w:cs="宋体"/>
          <w:sz w:val="24"/>
        </w:rPr>
        <w:t>（1）承包人发生第22.1.1（6）目约定的违约情况时，发包人可通知承包人立即解除合同，并按有关法律处理。</w:t>
      </w:r>
    </w:p>
    <w:p w14:paraId="7F26112F">
      <w:pPr>
        <w:spacing w:line="500" w:lineRule="exact"/>
        <w:ind w:firstLine="480" w:firstLineChars="200"/>
        <w:rPr>
          <w:rFonts w:hint="eastAsia" w:ascii="宋体" w:hAnsi="宋体" w:cs="宋体"/>
          <w:sz w:val="24"/>
        </w:rPr>
      </w:pPr>
      <w:r>
        <w:rPr>
          <w:rFonts w:hint="eastAsia" w:ascii="宋体" w:hAnsi="宋体" w:cs="宋体"/>
          <w:sz w:val="24"/>
        </w:rPr>
        <w:t>（2）承包人发生除第22.1.1（6）目约定以外的其他违约情况时，监理人可向承包人发出整改通知，要求其在指定的期限内改正。承包人应承担其违约所引起的费用增加和（或）工期延误。</w:t>
      </w:r>
    </w:p>
    <w:p w14:paraId="2D341BF9">
      <w:pPr>
        <w:spacing w:line="500" w:lineRule="exact"/>
        <w:ind w:firstLine="480" w:firstLineChars="200"/>
        <w:rPr>
          <w:rFonts w:hint="eastAsia" w:ascii="宋体" w:hAnsi="宋体" w:cs="宋体"/>
          <w:sz w:val="24"/>
        </w:rPr>
      </w:pPr>
      <w:r>
        <w:rPr>
          <w:rFonts w:hint="eastAsia" w:ascii="宋体" w:hAnsi="宋体" w:cs="宋体"/>
          <w:sz w:val="24"/>
        </w:rPr>
        <w:t>（3）经检查证明承包人已采取了有效措施纠正违约行为，具备复工条件的，可由监理人签发复工通知复工。</w:t>
      </w:r>
    </w:p>
    <w:p w14:paraId="19D8A866">
      <w:pPr>
        <w:spacing w:line="500" w:lineRule="exact"/>
        <w:ind w:firstLine="480" w:firstLineChars="200"/>
        <w:rPr>
          <w:rFonts w:hint="eastAsia" w:ascii="宋体" w:hAnsi="宋体" w:cs="宋体"/>
          <w:sz w:val="24"/>
        </w:rPr>
      </w:pPr>
      <w:r>
        <w:rPr>
          <w:rFonts w:hint="eastAsia" w:ascii="宋体" w:hAnsi="宋体" w:cs="宋体"/>
          <w:sz w:val="24"/>
        </w:rPr>
        <w:t>22.1.3 承包人违约解除合同</w:t>
      </w:r>
    </w:p>
    <w:p w14:paraId="28C508B3">
      <w:pPr>
        <w:spacing w:line="500" w:lineRule="exact"/>
        <w:ind w:firstLine="480" w:firstLineChars="200"/>
        <w:rPr>
          <w:rFonts w:hint="eastAsia" w:ascii="宋体" w:hAnsi="宋体" w:cs="宋体"/>
          <w:sz w:val="24"/>
        </w:rPr>
      </w:pPr>
      <w:r>
        <w:rPr>
          <w:rFonts w:hint="eastAsia" w:ascii="宋体" w:hAnsi="宋体" w:cs="宋体"/>
          <w:sz w:val="24"/>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3F982EC6">
      <w:pPr>
        <w:spacing w:line="500" w:lineRule="exact"/>
        <w:ind w:firstLine="480" w:firstLineChars="200"/>
        <w:rPr>
          <w:rFonts w:hint="eastAsia" w:ascii="宋体" w:hAnsi="宋体" w:cs="宋体"/>
          <w:sz w:val="24"/>
        </w:rPr>
      </w:pPr>
      <w:r>
        <w:rPr>
          <w:rFonts w:hint="eastAsia" w:ascii="宋体" w:hAnsi="宋体" w:cs="宋体"/>
          <w:sz w:val="24"/>
        </w:rPr>
        <w:t>22.1.4 合同解除后的估价、付款和结清</w:t>
      </w:r>
    </w:p>
    <w:p w14:paraId="5577890D">
      <w:pPr>
        <w:spacing w:line="500" w:lineRule="exact"/>
        <w:ind w:firstLine="480" w:firstLineChars="200"/>
        <w:rPr>
          <w:rFonts w:hint="eastAsia" w:ascii="宋体" w:hAnsi="宋体" w:cs="宋体"/>
          <w:sz w:val="24"/>
        </w:rPr>
      </w:pPr>
      <w:r>
        <w:rPr>
          <w:rFonts w:hint="eastAsia" w:ascii="宋体" w:hAnsi="宋体" w:cs="宋体"/>
          <w:sz w:val="24"/>
        </w:rPr>
        <w:t xml:space="preserve">（1）合同解除后，监理人按第3.5款商定或确定承包人实际完成工作的价值，以及承包人已提供的材料、施工设备、工程设备和临时工程等的价值。 </w:t>
      </w:r>
    </w:p>
    <w:p w14:paraId="3F53FC4B">
      <w:pPr>
        <w:spacing w:line="500" w:lineRule="exact"/>
        <w:ind w:firstLine="480" w:firstLineChars="200"/>
        <w:rPr>
          <w:rFonts w:hint="eastAsia" w:ascii="宋体" w:hAnsi="宋体" w:cs="宋体"/>
          <w:sz w:val="24"/>
        </w:rPr>
      </w:pPr>
      <w:r>
        <w:rPr>
          <w:rFonts w:hint="eastAsia" w:ascii="宋体" w:hAnsi="宋体" w:cs="宋体"/>
          <w:sz w:val="24"/>
        </w:rPr>
        <w:t xml:space="preserve">（2）合同解除后，发包人应暂停对承包人的一切付款，查清各项付款和已扣款金额，包括承包人应支付的违约金。 </w:t>
      </w:r>
    </w:p>
    <w:p w14:paraId="468048B3">
      <w:pPr>
        <w:spacing w:line="500" w:lineRule="exact"/>
        <w:ind w:firstLine="480" w:firstLineChars="200"/>
        <w:rPr>
          <w:rFonts w:hint="eastAsia" w:ascii="宋体" w:hAnsi="宋体" w:cs="宋体"/>
          <w:sz w:val="24"/>
        </w:rPr>
      </w:pPr>
      <w:r>
        <w:rPr>
          <w:rFonts w:hint="eastAsia" w:ascii="宋体" w:hAnsi="宋体" w:cs="宋体"/>
          <w:sz w:val="24"/>
        </w:rPr>
        <w:t>（3）合同解除后，发包人应按第23.4款的约定向承包人索赔由于解除合同给发包人造成的损失。</w:t>
      </w:r>
    </w:p>
    <w:p w14:paraId="4D399613">
      <w:pPr>
        <w:spacing w:line="500" w:lineRule="exact"/>
        <w:ind w:firstLine="480" w:firstLineChars="200"/>
        <w:rPr>
          <w:rFonts w:hint="eastAsia" w:ascii="宋体" w:hAnsi="宋体" w:cs="宋体"/>
          <w:sz w:val="24"/>
        </w:rPr>
      </w:pPr>
      <w:r>
        <w:rPr>
          <w:rFonts w:hint="eastAsia" w:ascii="宋体" w:hAnsi="宋体" w:cs="宋体"/>
          <w:sz w:val="24"/>
        </w:rPr>
        <w:t>（4）合同双方确认上述往来款项后，出具最终结清付款证书，结清全部合同款项。</w:t>
      </w:r>
    </w:p>
    <w:p w14:paraId="147E1A6B">
      <w:pPr>
        <w:spacing w:line="500" w:lineRule="exact"/>
        <w:ind w:firstLine="480" w:firstLineChars="200"/>
        <w:rPr>
          <w:rFonts w:hint="eastAsia" w:ascii="宋体" w:hAnsi="宋体" w:cs="宋体"/>
          <w:sz w:val="24"/>
        </w:rPr>
      </w:pPr>
      <w:r>
        <w:rPr>
          <w:rFonts w:hint="eastAsia" w:ascii="宋体" w:hAnsi="宋体" w:cs="宋体"/>
          <w:sz w:val="24"/>
        </w:rPr>
        <w:t>（5）发包人和承包人未能就解除合同后的结清达成一致而形成争议的，按第24条的约定办理。</w:t>
      </w:r>
    </w:p>
    <w:p w14:paraId="6670A850">
      <w:pPr>
        <w:spacing w:line="500" w:lineRule="exact"/>
        <w:ind w:firstLine="480" w:firstLineChars="200"/>
        <w:rPr>
          <w:rFonts w:hint="eastAsia" w:ascii="宋体" w:hAnsi="宋体" w:cs="宋体"/>
          <w:sz w:val="24"/>
        </w:rPr>
      </w:pPr>
      <w:r>
        <w:rPr>
          <w:rFonts w:hint="eastAsia" w:ascii="宋体" w:hAnsi="宋体" w:cs="宋体"/>
          <w:sz w:val="24"/>
        </w:rPr>
        <w:t>22.1.5 协议利益的转让</w:t>
      </w:r>
    </w:p>
    <w:p w14:paraId="5D922DDA">
      <w:pPr>
        <w:spacing w:line="500" w:lineRule="exact"/>
        <w:ind w:firstLine="480" w:firstLineChars="200"/>
        <w:rPr>
          <w:rFonts w:hint="eastAsia" w:ascii="宋体" w:hAnsi="宋体" w:cs="宋体"/>
          <w:sz w:val="24"/>
        </w:rPr>
      </w:pPr>
      <w:r>
        <w:rPr>
          <w:rFonts w:hint="eastAsia" w:ascii="宋体" w:hAnsi="宋体" w:cs="宋体"/>
          <w:sz w:val="24"/>
        </w:rPr>
        <w:t xml:space="preserve">因承包人违约解除合同的，发包人有权要求承包人将其为实施合同而签订的材料和设备的订货协议或任何服务协议利益转让给发包人，并在解除合同后的14天内，依法办理转让手续。 </w:t>
      </w:r>
    </w:p>
    <w:p w14:paraId="45E8BB54">
      <w:pPr>
        <w:spacing w:line="500" w:lineRule="exact"/>
        <w:ind w:firstLine="480" w:firstLineChars="200"/>
        <w:rPr>
          <w:rFonts w:hint="eastAsia" w:ascii="宋体" w:hAnsi="宋体" w:cs="宋体"/>
          <w:sz w:val="24"/>
        </w:rPr>
      </w:pPr>
      <w:r>
        <w:rPr>
          <w:rFonts w:hint="eastAsia" w:ascii="宋体" w:hAnsi="宋体" w:cs="宋体"/>
          <w:sz w:val="24"/>
        </w:rPr>
        <w:t>22.1.6 紧急情况下无能力或不愿进行抢救</w:t>
      </w:r>
    </w:p>
    <w:p w14:paraId="16699D17">
      <w:pPr>
        <w:spacing w:line="500" w:lineRule="exact"/>
        <w:ind w:firstLine="420"/>
        <w:rPr>
          <w:rFonts w:hint="eastAsia" w:ascii="宋体" w:hAnsi="宋体" w:cs="宋体"/>
          <w:sz w:val="24"/>
        </w:rPr>
      </w:pPr>
      <w:r>
        <w:rPr>
          <w:rFonts w:hint="eastAsia" w:ascii="宋体" w:hAnsi="宋体" w:cs="宋体"/>
          <w:sz w:val="24"/>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0B336B6F">
      <w:pPr>
        <w:spacing w:line="500" w:lineRule="exact"/>
        <w:outlineLvl w:val="3"/>
        <w:rPr>
          <w:rFonts w:hint="eastAsia" w:ascii="宋体" w:hAnsi="宋体" w:cs="宋体"/>
          <w:sz w:val="24"/>
        </w:rPr>
      </w:pPr>
      <w:r>
        <w:rPr>
          <w:rFonts w:hint="eastAsia" w:ascii="宋体" w:hAnsi="宋体" w:cs="宋体"/>
          <w:sz w:val="24"/>
        </w:rPr>
        <w:t>22.2 发包人违约</w:t>
      </w:r>
    </w:p>
    <w:p w14:paraId="4DA390AB">
      <w:pPr>
        <w:spacing w:line="500" w:lineRule="exact"/>
        <w:ind w:firstLine="480" w:firstLineChars="200"/>
        <w:rPr>
          <w:rFonts w:hint="eastAsia" w:ascii="宋体" w:hAnsi="宋体" w:cs="宋体"/>
          <w:sz w:val="24"/>
        </w:rPr>
      </w:pPr>
      <w:r>
        <w:rPr>
          <w:rFonts w:hint="eastAsia" w:ascii="宋体" w:hAnsi="宋体" w:cs="宋体"/>
          <w:sz w:val="24"/>
        </w:rPr>
        <w:t>22.2.1 发包人违约的情形</w:t>
      </w:r>
    </w:p>
    <w:p w14:paraId="7F2941AD">
      <w:pPr>
        <w:spacing w:line="500" w:lineRule="exact"/>
        <w:ind w:firstLine="480" w:firstLineChars="200"/>
        <w:rPr>
          <w:rFonts w:hint="eastAsia" w:ascii="宋体" w:hAnsi="宋体" w:cs="宋体"/>
          <w:sz w:val="24"/>
        </w:rPr>
      </w:pPr>
      <w:r>
        <w:rPr>
          <w:rFonts w:hint="eastAsia" w:ascii="宋体" w:hAnsi="宋体" w:cs="宋体"/>
          <w:sz w:val="24"/>
        </w:rPr>
        <w:t>在履行合同过程中发生的下列情形，属发包人违约：</w:t>
      </w:r>
    </w:p>
    <w:p w14:paraId="66F894BB">
      <w:pPr>
        <w:spacing w:line="500" w:lineRule="exact"/>
        <w:ind w:firstLine="480" w:firstLineChars="200"/>
        <w:rPr>
          <w:rFonts w:hint="eastAsia" w:ascii="宋体" w:hAnsi="宋体" w:cs="宋体"/>
          <w:sz w:val="24"/>
        </w:rPr>
      </w:pPr>
      <w:r>
        <w:rPr>
          <w:rFonts w:hint="eastAsia" w:ascii="宋体" w:hAnsi="宋体" w:cs="宋体"/>
          <w:sz w:val="24"/>
        </w:rPr>
        <w:t>（1）发包人未能按合同约定支付预付款或合同价款，或拖延、拒绝批准付款申请和支付凭证，导致付款延误的；</w:t>
      </w:r>
    </w:p>
    <w:p w14:paraId="70CBE58A">
      <w:pPr>
        <w:spacing w:line="500" w:lineRule="exact"/>
        <w:ind w:firstLine="480" w:firstLineChars="200"/>
        <w:rPr>
          <w:rFonts w:hint="eastAsia" w:ascii="宋体" w:hAnsi="宋体" w:cs="宋体"/>
          <w:sz w:val="24"/>
        </w:rPr>
      </w:pPr>
      <w:r>
        <w:rPr>
          <w:rFonts w:hint="eastAsia" w:ascii="宋体" w:hAnsi="宋体" w:cs="宋体"/>
          <w:sz w:val="24"/>
        </w:rPr>
        <w:t>（2）发包人原因造成停工的；</w:t>
      </w:r>
    </w:p>
    <w:p w14:paraId="3C6A0E2A">
      <w:pPr>
        <w:spacing w:line="500" w:lineRule="exact"/>
        <w:ind w:firstLine="480" w:firstLineChars="200"/>
        <w:rPr>
          <w:rFonts w:hint="eastAsia" w:ascii="宋体" w:hAnsi="宋体" w:cs="宋体"/>
          <w:sz w:val="24"/>
        </w:rPr>
      </w:pPr>
      <w:r>
        <w:rPr>
          <w:rFonts w:hint="eastAsia" w:ascii="宋体" w:hAnsi="宋体" w:cs="宋体"/>
          <w:sz w:val="24"/>
        </w:rPr>
        <w:t>（3）监理人无正当理由没有在约定期限内发出复工指示，导致承包人无法复工的；</w:t>
      </w:r>
    </w:p>
    <w:p w14:paraId="3D61EA1A">
      <w:pPr>
        <w:spacing w:line="500" w:lineRule="exact"/>
        <w:ind w:firstLine="480" w:firstLineChars="200"/>
        <w:rPr>
          <w:rFonts w:hint="eastAsia" w:ascii="宋体" w:hAnsi="宋体" w:cs="宋体"/>
          <w:sz w:val="24"/>
        </w:rPr>
      </w:pPr>
      <w:r>
        <w:rPr>
          <w:rFonts w:hint="eastAsia" w:ascii="宋体" w:hAnsi="宋体" w:cs="宋体"/>
          <w:sz w:val="24"/>
        </w:rPr>
        <w:t>（4）发包人无法继续履行或明确表示不履行或实质上已停止履行合同的；</w:t>
      </w:r>
    </w:p>
    <w:p w14:paraId="46739F3E">
      <w:pPr>
        <w:spacing w:line="500" w:lineRule="exact"/>
        <w:ind w:firstLine="480" w:firstLineChars="200"/>
        <w:rPr>
          <w:rFonts w:hint="eastAsia" w:ascii="宋体" w:hAnsi="宋体" w:cs="宋体"/>
          <w:sz w:val="24"/>
        </w:rPr>
      </w:pPr>
      <w:r>
        <w:rPr>
          <w:rFonts w:hint="eastAsia" w:ascii="宋体" w:hAnsi="宋体" w:cs="宋体"/>
          <w:sz w:val="24"/>
        </w:rPr>
        <w:t>（5）发包人不履行合同约定其他义务的。</w:t>
      </w:r>
    </w:p>
    <w:p w14:paraId="6B6BD892">
      <w:pPr>
        <w:spacing w:line="500" w:lineRule="exact"/>
        <w:ind w:firstLine="480" w:firstLineChars="200"/>
        <w:rPr>
          <w:rFonts w:hint="eastAsia" w:ascii="宋体" w:hAnsi="宋体" w:cs="宋体"/>
          <w:sz w:val="24"/>
        </w:rPr>
      </w:pPr>
      <w:r>
        <w:rPr>
          <w:rFonts w:hint="eastAsia" w:ascii="宋体" w:hAnsi="宋体" w:cs="宋体"/>
          <w:sz w:val="24"/>
        </w:rPr>
        <w:t>22.2.2 承包人有权暂停施工</w:t>
      </w:r>
    </w:p>
    <w:p w14:paraId="7EB62726">
      <w:pPr>
        <w:spacing w:line="500" w:lineRule="exact"/>
        <w:ind w:firstLine="480" w:firstLineChars="200"/>
        <w:rPr>
          <w:rFonts w:hint="eastAsia" w:ascii="宋体" w:hAnsi="宋体" w:cs="宋体"/>
          <w:sz w:val="24"/>
        </w:rPr>
      </w:pPr>
      <w:r>
        <w:rPr>
          <w:rFonts w:hint="eastAsia" w:ascii="宋体" w:hAnsi="宋体" w:cs="宋体"/>
          <w:sz w:val="24"/>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315AFE4F">
      <w:pPr>
        <w:spacing w:line="500" w:lineRule="exact"/>
        <w:ind w:firstLine="480" w:firstLineChars="200"/>
        <w:rPr>
          <w:rFonts w:hint="eastAsia" w:ascii="宋体" w:hAnsi="宋体" w:cs="宋体"/>
          <w:sz w:val="24"/>
        </w:rPr>
      </w:pPr>
      <w:r>
        <w:rPr>
          <w:rFonts w:hint="eastAsia" w:ascii="宋体" w:hAnsi="宋体" w:cs="宋体"/>
          <w:sz w:val="24"/>
        </w:rPr>
        <w:t xml:space="preserve">22.2.3 发包人违约解除合同 </w:t>
      </w:r>
    </w:p>
    <w:p w14:paraId="3A284D4B">
      <w:pPr>
        <w:spacing w:line="500" w:lineRule="exact"/>
        <w:ind w:firstLine="480" w:firstLineChars="200"/>
        <w:rPr>
          <w:rFonts w:hint="eastAsia" w:ascii="宋体" w:hAnsi="宋体" w:cs="宋体"/>
          <w:sz w:val="24"/>
        </w:rPr>
      </w:pPr>
      <w:r>
        <w:rPr>
          <w:rFonts w:hint="eastAsia" w:ascii="宋体" w:hAnsi="宋体" w:cs="宋体"/>
          <w:sz w:val="24"/>
        </w:rPr>
        <w:t xml:space="preserve">（1）发生第22.2.1（4）目的违约情况时，承包人可书面通知发包人解除合同。   </w:t>
      </w:r>
    </w:p>
    <w:p w14:paraId="744DAA26">
      <w:pPr>
        <w:spacing w:line="500" w:lineRule="exact"/>
        <w:ind w:firstLine="480" w:firstLineChars="200"/>
        <w:rPr>
          <w:rFonts w:hint="eastAsia" w:ascii="宋体" w:hAnsi="宋体" w:cs="宋体"/>
          <w:sz w:val="24"/>
        </w:rPr>
      </w:pPr>
      <w:r>
        <w:rPr>
          <w:rFonts w:hint="eastAsia" w:ascii="宋体" w:hAnsi="宋体" w:cs="宋体"/>
          <w:sz w:val="24"/>
        </w:rPr>
        <w:t>（2）承包人按22.2.2项暂停施工28天后，发包人仍不纠正违约行为的，承包人可向发包人发出解除合同通知。但承包人的这一行动不免除发包人承担的违约责任，也不影响承包人根据合同约定享有的索赔权利。</w:t>
      </w:r>
    </w:p>
    <w:p w14:paraId="51151C3F">
      <w:pPr>
        <w:spacing w:line="500" w:lineRule="exact"/>
        <w:ind w:firstLine="480" w:firstLineChars="200"/>
        <w:rPr>
          <w:rFonts w:hint="eastAsia" w:ascii="宋体" w:hAnsi="宋体" w:cs="宋体"/>
          <w:sz w:val="24"/>
        </w:rPr>
      </w:pPr>
      <w:r>
        <w:rPr>
          <w:rFonts w:hint="eastAsia" w:ascii="宋体" w:hAnsi="宋体" w:cs="宋体"/>
          <w:sz w:val="24"/>
        </w:rPr>
        <w:t>22.2.4 解除合同后的付款</w:t>
      </w:r>
    </w:p>
    <w:p w14:paraId="78398594">
      <w:pPr>
        <w:spacing w:line="500" w:lineRule="exact"/>
        <w:ind w:firstLine="480" w:firstLineChars="200"/>
        <w:rPr>
          <w:rFonts w:hint="eastAsia" w:ascii="宋体" w:hAnsi="宋体" w:cs="宋体"/>
          <w:sz w:val="24"/>
        </w:rPr>
      </w:pPr>
      <w:r>
        <w:rPr>
          <w:rFonts w:hint="eastAsia" w:ascii="宋体" w:hAnsi="宋体" w:cs="宋体"/>
          <w:sz w:val="24"/>
        </w:rPr>
        <w:t>因发包人违约解除合同的，发包人应在解除合同后28天内向承包人支付下列金额，承包人应在此期限内及时向发包人提交要求支付下列金额的有关资料和凭证：</w:t>
      </w:r>
    </w:p>
    <w:p w14:paraId="759F0503">
      <w:pPr>
        <w:spacing w:line="500" w:lineRule="exact"/>
        <w:ind w:firstLine="480" w:firstLineChars="200"/>
        <w:rPr>
          <w:rFonts w:hint="eastAsia" w:ascii="宋体" w:hAnsi="宋体" w:cs="宋体"/>
          <w:sz w:val="24"/>
        </w:rPr>
      </w:pPr>
      <w:r>
        <w:rPr>
          <w:rFonts w:hint="eastAsia" w:ascii="宋体" w:hAnsi="宋体" w:cs="宋体"/>
          <w:sz w:val="24"/>
        </w:rPr>
        <w:t>（1）合同解除日以前所完成工作的价款；</w:t>
      </w:r>
    </w:p>
    <w:p w14:paraId="5C260618">
      <w:pPr>
        <w:spacing w:line="500" w:lineRule="exact"/>
        <w:ind w:firstLine="480" w:firstLineChars="200"/>
        <w:rPr>
          <w:rFonts w:hint="eastAsia" w:ascii="宋体" w:hAnsi="宋体" w:cs="宋体"/>
          <w:sz w:val="24"/>
        </w:rPr>
      </w:pPr>
      <w:r>
        <w:rPr>
          <w:rFonts w:hint="eastAsia" w:ascii="宋体" w:hAnsi="宋体" w:cs="宋体"/>
          <w:sz w:val="24"/>
        </w:rPr>
        <w:t>（2）承包人为该工程施工订购并已付款的材料、工程设备和其他物品的金额。发包人付还后，该材料、工程设备和其他物品归发包人所有；</w:t>
      </w:r>
    </w:p>
    <w:p w14:paraId="73C8BCD3">
      <w:pPr>
        <w:spacing w:line="500" w:lineRule="exact"/>
        <w:ind w:firstLine="480" w:firstLineChars="200"/>
        <w:rPr>
          <w:rFonts w:hint="eastAsia" w:ascii="宋体" w:hAnsi="宋体" w:cs="宋体"/>
          <w:sz w:val="24"/>
        </w:rPr>
      </w:pPr>
      <w:r>
        <w:rPr>
          <w:rFonts w:hint="eastAsia" w:ascii="宋体" w:hAnsi="宋体" w:cs="宋体"/>
          <w:sz w:val="24"/>
        </w:rPr>
        <w:t>（3）承包人为完成工程所发生的，而发包人未支付的金额；</w:t>
      </w:r>
    </w:p>
    <w:p w14:paraId="42DCCD9A">
      <w:pPr>
        <w:spacing w:line="500" w:lineRule="exact"/>
        <w:ind w:firstLine="480" w:firstLineChars="200"/>
        <w:rPr>
          <w:rFonts w:hint="eastAsia" w:ascii="宋体" w:hAnsi="宋体" w:cs="宋体"/>
          <w:sz w:val="24"/>
        </w:rPr>
      </w:pPr>
      <w:r>
        <w:rPr>
          <w:rFonts w:hint="eastAsia" w:ascii="宋体" w:hAnsi="宋体" w:cs="宋体"/>
          <w:sz w:val="24"/>
        </w:rPr>
        <w:t>（4）承包人撤离施工场地以及遣散承包人人员的金额；</w:t>
      </w:r>
    </w:p>
    <w:p w14:paraId="392A7644">
      <w:pPr>
        <w:spacing w:line="500" w:lineRule="exact"/>
        <w:ind w:firstLine="480" w:firstLineChars="200"/>
        <w:rPr>
          <w:rFonts w:hint="eastAsia" w:ascii="宋体" w:hAnsi="宋体" w:cs="宋体"/>
          <w:sz w:val="24"/>
        </w:rPr>
      </w:pPr>
      <w:r>
        <w:rPr>
          <w:rFonts w:hint="eastAsia" w:ascii="宋体" w:hAnsi="宋体" w:cs="宋体"/>
          <w:sz w:val="24"/>
        </w:rPr>
        <w:t>（5）由于解除合同应赔偿的承包人损失；</w:t>
      </w:r>
    </w:p>
    <w:p w14:paraId="2A0A7E17">
      <w:pPr>
        <w:spacing w:line="500" w:lineRule="exact"/>
        <w:ind w:firstLine="480" w:firstLineChars="200"/>
        <w:rPr>
          <w:rFonts w:hint="eastAsia" w:ascii="宋体" w:hAnsi="宋体" w:cs="宋体"/>
          <w:sz w:val="24"/>
        </w:rPr>
      </w:pPr>
      <w:r>
        <w:rPr>
          <w:rFonts w:hint="eastAsia" w:ascii="宋体" w:hAnsi="宋体" w:cs="宋体"/>
          <w:sz w:val="24"/>
        </w:rPr>
        <w:t>（6）按合同约定在合同解除日前应支付给承包人的其他金额。</w:t>
      </w:r>
    </w:p>
    <w:p w14:paraId="363DF5F3">
      <w:pPr>
        <w:spacing w:line="500" w:lineRule="exact"/>
        <w:ind w:firstLine="480" w:firstLineChars="200"/>
        <w:rPr>
          <w:rFonts w:hint="eastAsia" w:ascii="宋体" w:hAnsi="宋体" w:cs="宋体"/>
          <w:sz w:val="24"/>
        </w:rPr>
      </w:pPr>
      <w:r>
        <w:rPr>
          <w:rFonts w:hint="eastAsia" w:ascii="宋体" w:hAnsi="宋体" w:cs="宋体"/>
          <w:sz w:val="24"/>
        </w:rPr>
        <w:t>发包人应按本项约定支付上述金额并退还质量保证金和履约担保，但有权要求承包人支付应偿还给发包人的各项金额。</w:t>
      </w:r>
    </w:p>
    <w:p w14:paraId="114C186A">
      <w:pPr>
        <w:spacing w:line="500" w:lineRule="exact"/>
        <w:ind w:firstLine="480" w:firstLineChars="200"/>
        <w:rPr>
          <w:rFonts w:hint="eastAsia" w:ascii="宋体" w:hAnsi="宋体" w:cs="宋体"/>
          <w:sz w:val="24"/>
        </w:rPr>
      </w:pPr>
      <w:r>
        <w:rPr>
          <w:rFonts w:hint="eastAsia" w:ascii="宋体" w:hAnsi="宋体" w:cs="宋体"/>
          <w:sz w:val="24"/>
        </w:rPr>
        <w:t>22.2.5 解除合同后的承包人撤离</w:t>
      </w:r>
    </w:p>
    <w:p w14:paraId="51044824">
      <w:pPr>
        <w:spacing w:line="500" w:lineRule="exact"/>
        <w:ind w:firstLine="480" w:firstLineChars="200"/>
        <w:rPr>
          <w:rFonts w:hint="eastAsia" w:ascii="宋体" w:hAnsi="宋体" w:cs="宋体"/>
          <w:sz w:val="24"/>
        </w:rPr>
      </w:pPr>
      <w:r>
        <w:rPr>
          <w:rFonts w:hint="eastAsia" w:ascii="宋体" w:hAnsi="宋体" w:cs="宋体"/>
          <w:sz w:val="24"/>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14:paraId="4F9779F8">
      <w:pPr>
        <w:spacing w:line="500" w:lineRule="exact"/>
        <w:outlineLvl w:val="3"/>
        <w:rPr>
          <w:rFonts w:hint="eastAsia" w:ascii="宋体" w:hAnsi="宋体" w:cs="宋体"/>
          <w:sz w:val="24"/>
        </w:rPr>
      </w:pPr>
      <w:r>
        <w:rPr>
          <w:rFonts w:hint="eastAsia" w:ascii="宋体" w:hAnsi="宋体" w:cs="宋体"/>
          <w:sz w:val="24"/>
        </w:rPr>
        <w:t>22.3 第三人造成的违约</w:t>
      </w:r>
    </w:p>
    <w:p w14:paraId="39D40A27">
      <w:pPr>
        <w:spacing w:line="500" w:lineRule="exact"/>
        <w:ind w:firstLine="480" w:firstLineChars="200"/>
        <w:rPr>
          <w:rFonts w:hint="eastAsia" w:ascii="宋体" w:hAnsi="宋体" w:cs="宋体"/>
          <w:sz w:val="24"/>
        </w:rPr>
      </w:pPr>
      <w:r>
        <w:rPr>
          <w:rFonts w:hint="eastAsia" w:ascii="宋体" w:hAnsi="宋体" w:cs="宋体"/>
          <w:sz w:val="24"/>
        </w:rPr>
        <w:t>在履行合同过程中，一方当事人因第三人的原因造成违约的，应当向对方当事人承担违约责任。一方当事人和第三人之间的纠纷，依照法律规定或者按照约定解决。</w:t>
      </w:r>
    </w:p>
    <w:p w14:paraId="2F2635F9">
      <w:pPr>
        <w:spacing w:line="500" w:lineRule="exact"/>
        <w:outlineLvl w:val="2"/>
        <w:rPr>
          <w:rFonts w:hint="eastAsia" w:ascii="宋体" w:hAnsi="宋体" w:cs="宋体"/>
          <w:sz w:val="24"/>
        </w:rPr>
      </w:pPr>
      <w:bookmarkStart w:id="386" w:name="_Toc256000108"/>
      <w:bookmarkStart w:id="387" w:name="_Toc256000141"/>
      <w:bookmarkStart w:id="388" w:name="_Toc19238"/>
      <w:bookmarkStart w:id="389" w:name="_Toc9454"/>
      <w:r>
        <w:rPr>
          <w:rFonts w:hint="eastAsia" w:ascii="宋体" w:hAnsi="宋体" w:cs="宋体"/>
          <w:sz w:val="24"/>
        </w:rPr>
        <w:t>23. 索赔</w:t>
      </w:r>
      <w:bookmarkEnd w:id="386"/>
      <w:bookmarkEnd w:id="387"/>
      <w:bookmarkEnd w:id="388"/>
      <w:bookmarkEnd w:id="389"/>
    </w:p>
    <w:p w14:paraId="1345215C">
      <w:pPr>
        <w:spacing w:line="500" w:lineRule="exact"/>
        <w:outlineLvl w:val="3"/>
        <w:rPr>
          <w:rFonts w:hint="eastAsia" w:ascii="宋体" w:hAnsi="宋体" w:cs="宋体"/>
          <w:sz w:val="24"/>
        </w:rPr>
      </w:pPr>
      <w:r>
        <w:rPr>
          <w:rFonts w:hint="eastAsia" w:ascii="宋体" w:hAnsi="宋体" w:cs="宋体"/>
          <w:sz w:val="24"/>
        </w:rPr>
        <w:t>23.1 承包人索赔的提出</w:t>
      </w:r>
    </w:p>
    <w:p w14:paraId="64C5AF41">
      <w:pPr>
        <w:spacing w:line="500" w:lineRule="exact"/>
        <w:ind w:firstLine="480" w:firstLineChars="200"/>
        <w:rPr>
          <w:rFonts w:hint="eastAsia" w:ascii="宋体" w:hAnsi="宋体" w:cs="宋体"/>
          <w:sz w:val="24"/>
        </w:rPr>
      </w:pPr>
      <w:r>
        <w:rPr>
          <w:rFonts w:hint="eastAsia" w:ascii="宋体" w:hAnsi="宋体" w:cs="宋体"/>
          <w:sz w:val="24"/>
        </w:rPr>
        <w:t>根据合同约定，承包人认为有权得到追加付款和（或）延长工期的，应按以下程序向发包人提出索赔：</w:t>
      </w:r>
    </w:p>
    <w:p w14:paraId="12FE7C5A">
      <w:pPr>
        <w:spacing w:line="500" w:lineRule="exact"/>
        <w:ind w:firstLine="410" w:firstLineChars="171"/>
        <w:rPr>
          <w:rFonts w:hint="eastAsia" w:ascii="宋体" w:hAnsi="宋体" w:cs="宋体"/>
          <w:sz w:val="24"/>
        </w:rPr>
      </w:pPr>
      <w:r>
        <w:rPr>
          <w:rFonts w:hint="eastAsia" w:ascii="宋体" w:hAnsi="宋体" w:cs="宋体"/>
          <w:sz w:val="24"/>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2864FA55">
      <w:pPr>
        <w:spacing w:line="500" w:lineRule="exact"/>
        <w:ind w:firstLine="410" w:firstLineChars="171"/>
        <w:rPr>
          <w:rFonts w:hint="eastAsia" w:ascii="宋体" w:hAnsi="宋体" w:cs="宋体"/>
          <w:sz w:val="24"/>
        </w:rPr>
      </w:pPr>
      <w:r>
        <w:rPr>
          <w:rFonts w:hint="eastAsia" w:ascii="宋体" w:hAnsi="宋体" w:cs="宋体"/>
          <w:sz w:val="24"/>
        </w:rPr>
        <w:t>（2）承包人应在发出索赔意向通知书后28天内，向监理人正式递交索赔通知书。索赔通知书应详细说明索赔理由以及要求追加的付款金额和（或）延长的工期，并附必要的记录和证明材料；</w:t>
      </w:r>
    </w:p>
    <w:p w14:paraId="69996142">
      <w:pPr>
        <w:spacing w:line="500" w:lineRule="exact"/>
        <w:ind w:firstLine="410" w:firstLineChars="171"/>
        <w:rPr>
          <w:rFonts w:hint="eastAsia" w:ascii="宋体" w:hAnsi="宋体" w:cs="宋体"/>
          <w:sz w:val="24"/>
        </w:rPr>
      </w:pPr>
      <w:r>
        <w:rPr>
          <w:rFonts w:hint="eastAsia" w:ascii="宋体" w:hAnsi="宋体" w:cs="宋体"/>
          <w:sz w:val="24"/>
        </w:rPr>
        <w:t>（3）索赔事件具有连续影响的，承包人应按合理时间间隔继续递交延续索赔通知，说明连续影响的实际情况和记录，列出累计的追加付款金额和（或）工期延长天数；</w:t>
      </w:r>
    </w:p>
    <w:p w14:paraId="037D221C">
      <w:pPr>
        <w:spacing w:line="500" w:lineRule="exact"/>
        <w:ind w:firstLine="410" w:firstLineChars="171"/>
        <w:rPr>
          <w:rFonts w:hint="eastAsia" w:ascii="宋体" w:hAnsi="宋体" w:cs="宋体"/>
          <w:sz w:val="24"/>
        </w:rPr>
      </w:pPr>
      <w:r>
        <w:rPr>
          <w:rFonts w:hint="eastAsia" w:ascii="宋体" w:hAnsi="宋体" w:cs="宋体"/>
          <w:sz w:val="24"/>
        </w:rPr>
        <w:t>（4）在索赔事件影响结束后的28天内，承包人应向监理人递交最终索赔通知书，说明最终要求索赔的追加付款金额和延长的工期，并附必要的记录和证明材料。</w:t>
      </w:r>
    </w:p>
    <w:p w14:paraId="28A641FD">
      <w:pPr>
        <w:spacing w:line="500" w:lineRule="exact"/>
        <w:outlineLvl w:val="3"/>
        <w:rPr>
          <w:rFonts w:hint="eastAsia" w:ascii="宋体" w:hAnsi="宋体" w:cs="宋体"/>
          <w:sz w:val="24"/>
        </w:rPr>
      </w:pPr>
      <w:r>
        <w:rPr>
          <w:rFonts w:hint="eastAsia" w:ascii="宋体" w:hAnsi="宋体" w:cs="宋体"/>
          <w:sz w:val="24"/>
        </w:rPr>
        <w:t>23.2 承包人索赔处理程序</w:t>
      </w:r>
    </w:p>
    <w:p w14:paraId="795A42A9">
      <w:pPr>
        <w:spacing w:line="500" w:lineRule="exact"/>
        <w:ind w:firstLine="410" w:firstLineChars="171"/>
        <w:rPr>
          <w:rFonts w:hint="eastAsia" w:ascii="宋体" w:hAnsi="宋体" w:cs="宋体"/>
          <w:sz w:val="24"/>
        </w:rPr>
      </w:pPr>
      <w:r>
        <w:rPr>
          <w:rFonts w:hint="eastAsia" w:ascii="宋体" w:hAnsi="宋体" w:cs="宋体"/>
          <w:sz w:val="24"/>
        </w:rPr>
        <w:t>（1）监理人收到承包人提交的索赔通知书后，应及时审查索赔通知书的内容、查验承包人的记录和证明材料，必要时监理人可要求承包人提交全部原始记录备份。</w:t>
      </w:r>
    </w:p>
    <w:p w14:paraId="6921DA8C">
      <w:pPr>
        <w:spacing w:line="500" w:lineRule="exact"/>
        <w:ind w:firstLine="410" w:firstLineChars="171"/>
        <w:rPr>
          <w:rFonts w:hint="eastAsia" w:ascii="宋体" w:hAnsi="宋体" w:cs="宋体"/>
          <w:sz w:val="24"/>
        </w:rPr>
      </w:pPr>
      <w:r>
        <w:rPr>
          <w:rFonts w:hint="eastAsia" w:ascii="宋体" w:hAnsi="宋体" w:cs="宋体"/>
          <w:sz w:val="24"/>
        </w:rPr>
        <w:t>（2）监理人应按第3.5款商定或确定追加的付款和（或）延长的工期，并在收到上述索赔通知书或有关索赔的进一步证明材料后的42天内，将索赔处理结果答复承包人。</w:t>
      </w:r>
    </w:p>
    <w:p w14:paraId="6EC9CCED">
      <w:pPr>
        <w:spacing w:line="500" w:lineRule="exact"/>
        <w:ind w:firstLine="480" w:firstLineChars="200"/>
        <w:rPr>
          <w:rFonts w:hint="eastAsia" w:ascii="宋体" w:hAnsi="宋体" w:cs="宋体"/>
          <w:sz w:val="24"/>
        </w:rPr>
      </w:pPr>
      <w:r>
        <w:rPr>
          <w:rFonts w:hint="eastAsia" w:ascii="宋体" w:hAnsi="宋体" w:cs="宋体"/>
          <w:sz w:val="24"/>
        </w:rPr>
        <w:t>（3）承包人接受索赔处理结果的，发包人应在作出索赔处理结果答复后28天内完成赔付。承包人不接受索赔处理结果的，按第24条的约定办理。</w:t>
      </w:r>
    </w:p>
    <w:p w14:paraId="0769013A">
      <w:pPr>
        <w:spacing w:line="500" w:lineRule="exact"/>
        <w:outlineLvl w:val="3"/>
        <w:rPr>
          <w:rFonts w:hint="eastAsia" w:ascii="宋体" w:hAnsi="宋体" w:cs="宋体"/>
          <w:sz w:val="24"/>
        </w:rPr>
      </w:pPr>
      <w:r>
        <w:rPr>
          <w:rFonts w:hint="eastAsia" w:ascii="宋体" w:hAnsi="宋体" w:cs="宋体"/>
          <w:sz w:val="24"/>
        </w:rPr>
        <w:t>23.3 承包人提出索赔的期限</w:t>
      </w:r>
    </w:p>
    <w:p w14:paraId="08AEA7A1">
      <w:pPr>
        <w:spacing w:line="500" w:lineRule="exact"/>
        <w:rPr>
          <w:rFonts w:hint="eastAsia" w:ascii="宋体" w:hAnsi="宋体" w:cs="宋体"/>
          <w:sz w:val="24"/>
        </w:rPr>
      </w:pPr>
      <w:r>
        <w:rPr>
          <w:rFonts w:hint="eastAsia" w:ascii="宋体" w:hAnsi="宋体" w:cs="宋体"/>
          <w:sz w:val="24"/>
        </w:rPr>
        <w:t>　　23.3.1　承包人按第17.5款的约定接受了完工付款证书后，应被认为已无权再提出在合同工程完工证书颁发前所发生的任何索赔。</w:t>
      </w:r>
    </w:p>
    <w:p w14:paraId="39563C0F">
      <w:pPr>
        <w:spacing w:line="500" w:lineRule="exact"/>
        <w:rPr>
          <w:rFonts w:hint="eastAsia" w:ascii="宋体" w:hAnsi="宋体" w:cs="宋体"/>
          <w:sz w:val="24"/>
        </w:rPr>
      </w:pPr>
      <w:r>
        <w:rPr>
          <w:rFonts w:hint="eastAsia" w:ascii="宋体" w:hAnsi="宋体" w:cs="宋体"/>
          <w:sz w:val="24"/>
        </w:rPr>
        <w:t>　　23.3.2　承包人按第17.6款的约定提交的最终结清申请单中，只限于提出合同工程完工证书颁发后发生的索赔。提出索赔的期限自接受最终结清证书时终止。</w:t>
      </w:r>
    </w:p>
    <w:p w14:paraId="6348105A">
      <w:pPr>
        <w:spacing w:line="500" w:lineRule="exact"/>
        <w:outlineLvl w:val="3"/>
        <w:rPr>
          <w:rFonts w:hint="eastAsia" w:ascii="宋体" w:hAnsi="宋体" w:cs="宋体"/>
          <w:sz w:val="24"/>
        </w:rPr>
      </w:pPr>
      <w:r>
        <w:rPr>
          <w:rFonts w:hint="eastAsia" w:ascii="宋体" w:hAnsi="宋体" w:cs="宋体"/>
          <w:sz w:val="24"/>
        </w:rPr>
        <w:t>23.4 发包人的索赔</w:t>
      </w:r>
    </w:p>
    <w:p w14:paraId="475737FD">
      <w:pPr>
        <w:spacing w:line="500" w:lineRule="exact"/>
        <w:ind w:firstLine="480" w:firstLineChars="200"/>
        <w:rPr>
          <w:rFonts w:hint="eastAsia" w:ascii="宋体" w:hAnsi="宋体" w:cs="宋体"/>
          <w:sz w:val="24"/>
        </w:rPr>
      </w:pPr>
      <w:r>
        <w:rPr>
          <w:rFonts w:hint="eastAsia" w:ascii="宋体" w:hAnsi="宋体" w:cs="宋体"/>
          <w:sz w:val="24"/>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14:paraId="2D6E8861">
      <w:pPr>
        <w:spacing w:line="500" w:lineRule="exact"/>
        <w:ind w:firstLine="480" w:firstLineChars="200"/>
        <w:rPr>
          <w:rFonts w:hint="eastAsia" w:ascii="宋体" w:hAnsi="宋体" w:cs="宋体"/>
          <w:sz w:val="24"/>
        </w:rPr>
      </w:pPr>
      <w:r>
        <w:rPr>
          <w:rFonts w:hint="eastAsia" w:ascii="宋体" w:hAnsi="宋体" w:cs="宋体"/>
          <w:sz w:val="24"/>
        </w:rPr>
        <w:t>23.4.2 监理人按第3.5款商定或确定发包人从承包人处得到赔付的金额和（或）缺陷责任期的延长期。承包人应付给发包人的金额可从拟支付给承包人的合同价款中扣除，或由承包人以其他方式支付给发包人。</w:t>
      </w:r>
    </w:p>
    <w:p w14:paraId="501F1225">
      <w:pPr>
        <w:spacing w:line="500" w:lineRule="exact"/>
        <w:ind w:firstLine="480" w:firstLineChars="200"/>
        <w:rPr>
          <w:rFonts w:hint="eastAsia" w:ascii="宋体" w:hAnsi="宋体" w:cs="宋体"/>
          <w:sz w:val="24"/>
        </w:rPr>
      </w:pPr>
      <w:r>
        <w:rPr>
          <w:rFonts w:hint="eastAsia" w:ascii="宋体" w:hAnsi="宋体" w:cs="宋体"/>
          <w:sz w:val="24"/>
        </w:rPr>
        <w:t>23.4.3 承包人对监理人按第23.4.1项发出的索赔书面通知内容持异议时，应在收到书面通知后的14天内，将持有异议的书面报告及其证明材料提交监理人。监理人应在收到承包人书面报告后的14天内，将异议的处理意见通知承包人，并按第23.4.2项的约定执行赔付。若承包人不接受监理人的索赔处理意见，可按本合同第24条的规定办理。</w:t>
      </w:r>
    </w:p>
    <w:p w14:paraId="510F9ABA">
      <w:pPr>
        <w:spacing w:line="500" w:lineRule="exact"/>
        <w:ind w:firstLine="480" w:firstLineChars="200"/>
        <w:rPr>
          <w:rFonts w:hint="eastAsia" w:ascii="宋体" w:hAnsi="宋体" w:cs="宋体"/>
          <w:sz w:val="24"/>
        </w:rPr>
      </w:pPr>
      <w:r>
        <w:rPr>
          <w:rFonts w:hint="eastAsia" w:ascii="宋体" w:hAnsi="宋体" w:cs="宋体"/>
          <w:sz w:val="24"/>
        </w:rPr>
        <w:t>23.4.3　承包人对监理人按第23.4.1项发出的索赔书面通知内容持异议时，应在收到书面通知后的14天内，将持有异议的书面报告及其证明材料提交监理人。监理人应在收到承包人书面报告后的14天内，将异议的处理意见通知承包人，并按第23.4.2项的约定执行赔付。若承包人不接受监理人的索赔处理意见，可按本合同第24条的规定办理。</w:t>
      </w:r>
    </w:p>
    <w:p w14:paraId="089485F0">
      <w:pPr>
        <w:spacing w:line="500" w:lineRule="exact"/>
        <w:outlineLvl w:val="2"/>
        <w:rPr>
          <w:rFonts w:hint="eastAsia" w:ascii="宋体" w:hAnsi="宋体" w:cs="宋体"/>
          <w:sz w:val="24"/>
        </w:rPr>
      </w:pPr>
      <w:bookmarkStart w:id="390" w:name="_Toc29781"/>
      <w:bookmarkStart w:id="391" w:name="_Toc256000109"/>
      <w:bookmarkStart w:id="392" w:name="_Toc256000142"/>
      <w:bookmarkStart w:id="393" w:name="_Toc3208"/>
      <w:r>
        <w:rPr>
          <w:rFonts w:hint="eastAsia" w:ascii="宋体" w:hAnsi="宋体" w:cs="宋体"/>
          <w:sz w:val="24"/>
        </w:rPr>
        <w:t>24. 争议的解决</w:t>
      </w:r>
      <w:bookmarkEnd w:id="390"/>
      <w:bookmarkEnd w:id="391"/>
      <w:bookmarkEnd w:id="392"/>
      <w:bookmarkEnd w:id="393"/>
    </w:p>
    <w:p w14:paraId="738DCC82">
      <w:pPr>
        <w:spacing w:line="500" w:lineRule="exact"/>
        <w:outlineLvl w:val="3"/>
        <w:rPr>
          <w:rFonts w:hint="eastAsia" w:ascii="宋体" w:hAnsi="宋体" w:cs="宋体"/>
          <w:sz w:val="24"/>
        </w:rPr>
      </w:pPr>
      <w:r>
        <w:rPr>
          <w:rFonts w:hint="eastAsia" w:ascii="宋体" w:hAnsi="宋体" w:cs="宋体"/>
          <w:sz w:val="24"/>
        </w:rPr>
        <w:t>24.1 争议的解决方式</w:t>
      </w:r>
    </w:p>
    <w:p w14:paraId="516FE523">
      <w:pPr>
        <w:spacing w:line="500" w:lineRule="exact"/>
        <w:ind w:firstLine="480" w:firstLineChars="200"/>
        <w:rPr>
          <w:rFonts w:hint="eastAsia" w:ascii="宋体" w:hAnsi="宋体" w:cs="宋体"/>
          <w:sz w:val="24"/>
        </w:rPr>
      </w:pPr>
      <w:r>
        <w:rPr>
          <w:rFonts w:hint="eastAsia" w:ascii="宋体" w:hAnsi="宋体" w:cs="宋体"/>
          <w:sz w:val="24"/>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2A80783C">
      <w:pPr>
        <w:spacing w:line="500" w:lineRule="exact"/>
        <w:ind w:firstLine="480" w:firstLineChars="200"/>
        <w:rPr>
          <w:rFonts w:hint="eastAsia" w:ascii="宋体" w:hAnsi="宋体" w:cs="宋体"/>
          <w:sz w:val="24"/>
        </w:rPr>
      </w:pPr>
      <w:r>
        <w:rPr>
          <w:rFonts w:hint="eastAsia" w:ascii="宋体" w:hAnsi="宋体" w:cs="宋体"/>
          <w:sz w:val="24"/>
        </w:rPr>
        <w:t>（1）向约定的仲裁委员会申请仲裁；</w:t>
      </w:r>
    </w:p>
    <w:p w14:paraId="423B2087">
      <w:pPr>
        <w:spacing w:line="500" w:lineRule="exact"/>
        <w:ind w:firstLine="480" w:firstLineChars="200"/>
        <w:rPr>
          <w:rFonts w:hint="eastAsia" w:ascii="宋体" w:hAnsi="宋体" w:cs="宋体"/>
          <w:sz w:val="24"/>
        </w:rPr>
      </w:pPr>
      <w:r>
        <w:rPr>
          <w:rFonts w:hint="eastAsia" w:ascii="宋体" w:hAnsi="宋体" w:cs="宋体"/>
          <w:sz w:val="24"/>
        </w:rPr>
        <w:t>（2）向有管辖权的人民法院提起诉讼。</w:t>
      </w:r>
    </w:p>
    <w:p w14:paraId="4AE6809A">
      <w:pPr>
        <w:spacing w:line="500" w:lineRule="exact"/>
        <w:outlineLvl w:val="3"/>
        <w:rPr>
          <w:rFonts w:hint="eastAsia" w:ascii="宋体" w:hAnsi="宋体" w:cs="宋体"/>
          <w:sz w:val="24"/>
        </w:rPr>
      </w:pPr>
      <w:r>
        <w:rPr>
          <w:rFonts w:hint="eastAsia" w:ascii="宋体" w:hAnsi="宋体" w:cs="宋体"/>
          <w:sz w:val="24"/>
        </w:rPr>
        <w:t>24.2 友好解决</w:t>
      </w:r>
    </w:p>
    <w:p w14:paraId="58B31CD0">
      <w:pPr>
        <w:spacing w:line="500" w:lineRule="exact"/>
        <w:ind w:firstLine="480" w:firstLineChars="200"/>
        <w:rPr>
          <w:rFonts w:hint="eastAsia" w:ascii="宋体" w:hAnsi="宋体" w:cs="宋体"/>
          <w:sz w:val="24"/>
        </w:rPr>
      </w:pPr>
      <w:r>
        <w:rPr>
          <w:rFonts w:hint="eastAsia" w:ascii="宋体" w:hAnsi="宋体" w:cs="宋体"/>
          <w:sz w:val="24"/>
        </w:rPr>
        <w:t>在提请争议评审、仲裁或者诉讼前，以及在争议评审、仲裁或诉讼过程中，发包人和承包人均可共同努力友好协商解决争议。</w:t>
      </w:r>
    </w:p>
    <w:p w14:paraId="17FABAD5">
      <w:pPr>
        <w:spacing w:line="500" w:lineRule="exact"/>
        <w:outlineLvl w:val="3"/>
        <w:rPr>
          <w:rFonts w:hint="eastAsia" w:ascii="宋体" w:hAnsi="宋体" w:cs="宋体"/>
          <w:sz w:val="24"/>
        </w:rPr>
      </w:pPr>
      <w:r>
        <w:rPr>
          <w:rFonts w:hint="eastAsia" w:ascii="宋体" w:hAnsi="宋体" w:cs="宋体"/>
          <w:sz w:val="24"/>
        </w:rPr>
        <w:t>24.3 争议评审</w:t>
      </w:r>
    </w:p>
    <w:p w14:paraId="1BC1946A">
      <w:pPr>
        <w:spacing w:line="500" w:lineRule="exact"/>
        <w:ind w:firstLine="480" w:firstLineChars="200"/>
        <w:rPr>
          <w:rFonts w:hint="eastAsia" w:ascii="宋体" w:hAnsi="宋体" w:cs="宋体"/>
          <w:sz w:val="24"/>
        </w:rPr>
      </w:pPr>
      <w:r>
        <w:rPr>
          <w:rFonts w:hint="eastAsia" w:ascii="宋体" w:hAnsi="宋体" w:cs="宋体"/>
          <w:sz w:val="24"/>
        </w:rPr>
        <w:t>24.3.1 采用争议评审的，发包人和承包人应在开工日后的28天内或在争议发生后，协商成立争议评审组。争议评审组由有合同管理和工程实践经验的专家组成。</w:t>
      </w:r>
    </w:p>
    <w:p w14:paraId="25BD11BB">
      <w:pPr>
        <w:spacing w:line="500" w:lineRule="exact"/>
        <w:ind w:firstLine="480" w:firstLineChars="200"/>
        <w:rPr>
          <w:rFonts w:hint="eastAsia" w:ascii="宋体" w:hAnsi="宋体" w:cs="宋体"/>
          <w:sz w:val="24"/>
        </w:rPr>
      </w:pPr>
      <w:r>
        <w:rPr>
          <w:rFonts w:hint="eastAsia" w:ascii="宋体" w:hAnsi="宋体" w:cs="宋体"/>
          <w:sz w:val="24"/>
        </w:rPr>
        <w:t>24.3.2 合同双方的争议，应首先由申请人向争议评审组提交一份详细的评审申请报告，并附必要的文件、图纸和证明材料，申请人还应将上述报告的备份同时提交给被申请人和监理人。</w:t>
      </w:r>
    </w:p>
    <w:p w14:paraId="1E6FEF59">
      <w:pPr>
        <w:spacing w:line="500" w:lineRule="exact"/>
        <w:ind w:firstLine="480" w:firstLineChars="200"/>
        <w:rPr>
          <w:rFonts w:hint="eastAsia" w:ascii="宋体" w:hAnsi="宋体" w:cs="宋体"/>
          <w:sz w:val="24"/>
        </w:rPr>
      </w:pPr>
      <w:r>
        <w:rPr>
          <w:rFonts w:hint="eastAsia" w:ascii="宋体" w:hAnsi="宋体" w:cs="宋体"/>
          <w:sz w:val="24"/>
        </w:rPr>
        <w:t>24.3.3 被申请人在收到申请人评审申请报告备份后的28天内，向争议评审组提交一份答辩报告，并附证明材料。被申请人应将答辩报告的备份同时提交给申请人和监理人。</w:t>
      </w:r>
    </w:p>
    <w:p w14:paraId="33ED1DED">
      <w:pPr>
        <w:spacing w:line="500" w:lineRule="exact"/>
        <w:ind w:firstLine="480" w:firstLineChars="200"/>
        <w:rPr>
          <w:rFonts w:hint="eastAsia" w:ascii="宋体" w:hAnsi="宋体" w:cs="宋体"/>
          <w:sz w:val="24"/>
        </w:rPr>
      </w:pPr>
      <w:r>
        <w:rPr>
          <w:rFonts w:hint="eastAsia" w:ascii="宋体" w:hAnsi="宋体" w:cs="宋体"/>
          <w:sz w:val="24"/>
        </w:rPr>
        <w:t>24.3.4 除专用合同条款另有约定外，争议评审组在收到合同双方报告后的14天内，邀请双方代表和有关人员举行调查会，向双方调查争议细节；必要时争议评审组可要求双方进一步提供补充材料。</w:t>
      </w:r>
    </w:p>
    <w:p w14:paraId="563991EF">
      <w:pPr>
        <w:spacing w:line="500" w:lineRule="exact"/>
        <w:ind w:firstLine="480" w:firstLineChars="200"/>
        <w:rPr>
          <w:rFonts w:hint="eastAsia" w:ascii="宋体" w:hAnsi="宋体" w:cs="宋体"/>
          <w:sz w:val="24"/>
        </w:rPr>
      </w:pPr>
      <w:r>
        <w:rPr>
          <w:rFonts w:hint="eastAsia" w:ascii="宋体" w:hAnsi="宋体" w:cs="宋体"/>
          <w:sz w:val="24"/>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14:paraId="3E1CA25E">
      <w:pPr>
        <w:spacing w:line="500" w:lineRule="exact"/>
        <w:ind w:firstLine="480" w:firstLineChars="200"/>
        <w:rPr>
          <w:rFonts w:hint="eastAsia" w:ascii="宋体" w:hAnsi="宋体" w:cs="宋体"/>
          <w:sz w:val="24"/>
        </w:rPr>
      </w:pPr>
      <w:r>
        <w:rPr>
          <w:rFonts w:hint="eastAsia" w:ascii="宋体" w:hAnsi="宋体" w:cs="宋体"/>
          <w:sz w:val="24"/>
        </w:rPr>
        <w:t>24.3.6 发包人和承包人接受评审意见的，由监理人根据评审意见拟定执行协议，经争议双方签字后作为合同的补充文件，并遵照执行。</w:t>
      </w:r>
    </w:p>
    <w:p w14:paraId="3A3D3D8B">
      <w:pPr>
        <w:spacing w:line="500" w:lineRule="exact"/>
        <w:ind w:firstLine="480" w:firstLineChars="200"/>
        <w:rPr>
          <w:rFonts w:hint="eastAsia" w:ascii="宋体" w:hAnsi="宋体" w:cs="宋体"/>
          <w:sz w:val="24"/>
        </w:rPr>
      </w:pPr>
      <w:r>
        <w:rPr>
          <w:rFonts w:hint="eastAsia" w:ascii="宋体" w:hAnsi="宋体" w:cs="宋体"/>
          <w:sz w:val="24"/>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14:paraId="1BAD4712">
      <w:pPr>
        <w:spacing w:line="500" w:lineRule="exact"/>
        <w:outlineLvl w:val="3"/>
        <w:rPr>
          <w:rFonts w:hint="eastAsia" w:ascii="宋体" w:hAnsi="宋体" w:cs="宋体"/>
          <w:sz w:val="24"/>
        </w:rPr>
      </w:pPr>
      <w:r>
        <w:rPr>
          <w:rFonts w:hint="eastAsia" w:ascii="宋体" w:hAnsi="宋体" w:cs="宋体"/>
          <w:sz w:val="24"/>
        </w:rPr>
        <w:t>24.4 仲裁</w:t>
      </w:r>
    </w:p>
    <w:p w14:paraId="7E2B4FD8">
      <w:pPr>
        <w:spacing w:line="500" w:lineRule="exact"/>
        <w:rPr>
          <w:rFonts w:hint="eastAsia" w:ascii="宋体" w:hAnsi="宋体" w:cs="宋体"/>
          <w:sz w:val="24"/>
        </w:rPr>
      </w:pPr>
      <w:r>
        <w:rPr>
          <w:rFonts w:hint="eastAsia" w:ascii="宋体" w:hAnsi="宋体" w:cs="宋体"/>
          <w:sz w:val="24"/>
        </w:rPr>
        <w:t>　　24.4.1　若合同双方商定直接向仲裁机构申请仲裁，应签订仲裁协议并约定仲裁机构。</w:t>
      </w:r>
    </w:p>
    <w:p w14:paraId="57D0BB55">
      <w:pPr>
        <w:spacing w:line="500" w:lineRule="exact"/>
        <w:rPr>
          <w:rFonts w:hint="eastAsia" w:ascii="宋体" w:hAnsi="宋体" w:cs="宋体"/>
          <w:sz w:val="24"/>
        </w:rPr>
      </w:pPr>
      <w:r>
        <w:rPr>
          <w:rFonts w:hint="eastAsia" w:ascii="宋体" w:hAnsi="宋体" w:cs="宋体"/>
          <w:sz w:val="24"/>
        </w:rPr>
        <w:t>　　24.4.2　若合同双方未能达成仲裁协议，则本合同的仲裁条款无效，任一方均有权向人民法院提起诉讼。</w:t>
      </w:r>
    </w:p>
    <w:p w14:paraId="221110C9">
      <w:pPr>
        <w:rPr>
          <w:rFonts w:hint="eastAsia"/>
          <w:color w:val="000080"/>
          <w:sz w:val="20"/>
          <w:highlight w:val="white"/>
        </w:rPr>
      </w:pPr>
      <w:r>
        <w:rPr>
          <w:rFonts w:hint="eastAsia"/>
          <w:color w:val="000080"/>
          <w:sz w:val="20"/>
          <w:highlight w:val="white"/>
        </w:rPr>
        <w:t xml:space="preserve"> </w:t>
      </w:r>
      <w:bookmarkEnd w:id="293"/>
    </w:p>
    <w:p w14:paraId="1FDD7CE9">
      <w:pPr>
        <w:rPr>
          <w:rFonts w:hint="eastAsia"/>
          <w:highlight w:val="cyan"/>
        </w:rPr>
      </w:pPr>
    </w:p>
    <w:p w14:paraId="6C30AC4E">
      <w:pPr>
        <w:rPr>
          <w:color w:val="000080"/>
          <w:sz w:val="20"/>
          <w:highlight w:val="red"/>
        </w:rPr>
      </w:pPr>
      <w:bookmarkStart w:id="394" w:name="EB0634ac31d17542e09ba017cfefb570a2"/>
    </w:p>
    <w:p w14:paraId="38477932">
      <w:pPr>
        <w:spacing w:line="500" w:lineRule="exact"/>
        <w:jc w:val="center"/>
        <w:rPr>
          <w:rFonts w:hint="eastAsia" w:ascii="宋体" w:hAnsi="宋体" w:cs="宋体"/>
          <w:b/>
          <w:bCs/>
          <w:sz w:val="24"/>
          <w:szCs w:val="24"/>
        </w:rPr>
      </w:pPr>
      <w:r>
        <w:rPr>
          <w:rFonts w:hint="eastAsia" w:ascii="宋体" w:hAnsi="宋体" w:cs="宋体"/>
          <w:b/>
          <w:bCs/>
          <w:sz w:val="24"/>
          <w:szCs w:val="24"/>
        </w:rPr>
        <w:t>第二节 专用合同条款</w:t>
      </w:r>
    </w:p>
    <w:p w14:paraId="16E1F697">
      <w:pPr>
        <w:spacing w:line="500" w:lineRule="exact"/>
        <w:rPr>
          <w:rFonts w:hint="eastAsia" w:ascii="宋体" w:hAnsi="宋体" w:cs="宋体"/>
          <w:b/>
          <w:bCs/>
          <w:sz w:val="24"/>
          <w:szCs w:val="24"/>
        </w:rPr>
      </w:pPr>
      <w:r>
        <w:rPr>
          <w:rFonts w:hint="eastAsia" w:ascii="宋体" w:hAnsi="宋体" w:cs="宋体"/>
          <w:b/>
          <w:bCs/>
          <w:sz w:val="24"/>
          <w:szCs w:val="24"/>
        </w:rPr>
        <w:t>1、一般约定</w:t>
      </w:r>
    </w:p>
    <w:p w14:paraId="4C04BFC0">
      <w:pPr>
        <w:spacing w:line="500" w:lineRule="exact"/>
        <w:rPr>
          <w:rFonts w:hint="eastAsia" w:ascii="宋体" w:hAnsi="宋体" w:cs="宋体"/>
          <w:b/>
          <w:bCs/>
          <w:sz w:val="24"/>
          <w:szCs w:val="24"/>
        </w:rPr>
      </w:pPr>
      <w:r>
        <w:rPr>
          <w:rFonts w:hint="eastAsia" w:ascii="宋体" w:hAnsi="宋体" w:cs="宋体"/>
          <w:b/>
          <w:bCs/>
          <w:sz w:val="24"/>
          <w:szCs w:val="24"/>
        </w:rPr>
        <w:t>1.1 词语定义</w:t>
      </w:r>
    </w:p>
    <w:p w14:paraId="0CC4CFAA">
      <w:pPr>
        <w:spacing w:line="500" w:lineRule="exact"/>
        <w:rPr>
          <w:rFonts w:hint="eastAsia" w:ascii="宋体" w:hAnsi="宋体" w:cs="宋体"/>
          <w:sz w:val="24"/>
          <w:szCs w:val="24"/>
        </w:rPr>
      </w:pPr>
      <w:r>
        <w:rPr>
          <w:rFonts w:hint="eastAsia" w:ascii="宋体" w:hAnsi="宋体" w:cs="宋体"/>
          <w:sz w:val="24"/>
          <w:szCs w:val="24"/>
        </w:rPr>
        <w:t>1.1.2 合同当事人和人员</w:t>
      </w:r>
    </w:p>
    <w:p w14:paraId="2FFC4696">
      <w:pPr>
        <w:spacing w:line="500" w:lineRule="exact"/>
        <w:rPr>
          <w:rFonts w:hint="eastAsia" w:ascii="宋体" w:hAnsi="宋体" w:cs="宋体"/>
          <w:sz w:val="24"/>
          <w:szCs w:val="24"/>
        </w:rPr>
      </w:pPr>
      <w:r>
        <w:rPr>
          <w:rFonts w:hint="eastAsia" w:ascii="宋体" w:hAnsi="宋体" w:cs="宋体"/>
          <w:sz w:val="24"/>
          <w:szCs w:val="24"/>
        </w:rPr>
        <w:t>1.1.2.2 发包人：民丰县叶亦克乡人民政府</w:t>
      </w:r>
    </w:p>
    <w:p w14:paraId="433068D1">
      <w:pPr>
        <w:tabs>
          <w:tab w:val="left" w:pos="5685"/>
        </w:tabs>
        <w:spacing w:line="500" w:lineRule="exact"/>
        <w:rPr>
          <w:rFonts w:hint="eastAsia" w:ascii="宋体" w:hAnsi="宋体" w:cs="宋体"/>
          <w:sz w:val="24"/>
          <w:szCs w:val="24"/>
        </w:rPr>
      </w:pPr>
      <w:r>
        <w:rPr>
          <w:rFonts w:hint="eastAsia" w:ascii="宋体" w:hAnsi="宋体" w:cs="宋体"/>
          <w:sz w:val="24"/>
          <w:szCs w:val="24"/>
        </w:rPr>
        <w:t>1.1.2.6 监理人：/</w:t>
      </w:r>
      <w:r>
        <w:rPr>
          <w:rFonts w:hint="eastAsia" w:ascii="宋体" w:hAnsi="宋体" w:cs="宋体"/>
          <w:sz w:val="24"/>
          <w:szCs w:val="24"/>
        </w:rPr>
        <w:tab/>
      </w:r>
    </w:p>
    <w:p w14:paraId="1492FA0A">
      <w:pPr>
        <w:spacing w:line="500" w:lineRule="exact"/>
        <w:rPr>
          <w:rFonts w:hint="eastAsia" w:ascii="宋体" w:hAnsi="宋体" w:cs="宋体"/>
          <w:sz w:val="24"/>
          <w:szCs w:val="24"/>
        </w:rPr>
      </w:pPr>
      <w:r>
        <w:rPr>
          <w:rFonts w:hint="eastAsia" w:ascii="宋体" w:hAnsi="宋体" w:cs="宋体"/>
          <w:sz w:val="24"/>
          <w:szCs w:val="24"/>
        </w:rPr>
        <w:t>1.1.3 工程和设备</w:t>
      </w:r>
    </w:p>
    <w:p w14:paraId="246C87E1">
      <w:pPr>
        <w:spacing w:line="500" w:lineRule="exact"/>
        <w:rPr>
          <w:rFonts w:hint="eastAsia" w:ascii="宋体" w:hAnsi="宋体" w:cs="宋体"/>
          <w:sz w:val="24"/>
          <w:szCs w:val="24"/>
        </w:rPr>
      </w:pPr>
      <w:r>
        <w:rPr>
          <w:rFonts w:hint="eastAsia" w:ascii="宋体" w:hAnsi="宋体" w:cs="宋体"/>
          <w:sz w:val="24"/>
          <w:szCs w:val="24"/>
        </w:rPr>
        <w:t>1.1.3.4 单位工程：按《水利水电工程项目划分标准》进行划分。</w:t>
      </w:r>
    </w:p>
    <w:p w14:paraId="0691A64E">
      <w:pPr>
        <w:spacing w:line="500" w:lineRule="exact"/>
        <w:rPr>
          <w:rFonts w:hint="eastAsia" w:ascii="宋体" w:hAnsi="宋体" w:cs="宋体"/>
          <w:sz w:val="24"/>
          <w:szCs w:val="24"/>
        </w:rPr>
      </w:pPr>
      <w:r>
        <w:rPr>
          <w:rFonts w:hint="eastAsia" w:ascii="宋体" w:hAnsi="宋体" w:cs="宋体"/>
          <w:sz w:val="24"/>
          <w:szCs w:val="24"/>
        </w:rPr>
        <w:t>1.1.3.10 永久占地：指建设本工程所构成的永久性建筑物所占用的永久性土地以及按国家或行业的规定为保护永久性建筑物的安全，所占用的在永久性建筑物一定范围内的土地。</w:t>
      </w:r>
    </w:p>
    <w:p w14:paraId="5074E9A6">
      <w:pPr>
        <w:spacing w:line="500" w:lineRule="exact"/>
        <w:rPr>
          <w:rFonts w:hint="eastAsia" w:ascii="宋体" w:hAnsi="宋体" w:cs="宋体"/>
          <w:sz w:val="24"/>
          <w:szCs w:val="24"/>
        </w:rPr>
      </w:pPr>
      <w:r>
        <w:rPr>
          <w:rFonts w:hint="eastAsia" w:ascii="宋体" w:hAnsi="宋体" w:cs="宋体"/>
          <w:sz w:val="24"/>
          <w:szCs w:val="24"/>
        </w:rPr>
        <w:t>1.1.3.11 临时占地：指为实施本合同工程需临时占用的土地。</w:t>
      </w:r>
    </w:p>
    <w:p w14:paraId="650B5B8B">
      <w:pPr>
        <w:spacing w:line="500" w:lineRule="exact"/>
        <w:rPr>
          <w:rFonts w:hint="eastAsia" w:ascii="宋体" w:hAnsi="宋体" w:cs="宋体"/>
          <w:sz w:val="24"/>
          <w:szCs w:val="24"/>
        </w:rPr>
      </w:pPr>
      <w:r>
        <w:rPr>
          <w:rFonts w:hint="eastAsia" w:ascii="宋体" w:hAnsi="宋体" w:cs="宋体"/>
          <w:sz w:val="24"/>
          <w:szCs w:val="24"/>
        </w:rPr>
        <w:t>1.6.1 图纸的提供</w:t>
      </w:r>
    </w:p>
    <w:p w14:paraId="34AC553E">
      <w:pPr>
        <w:spacing w:line="500" w:lineRule="exact"/>
        <w:rPr>
          <w:rFonts w:hint="eastAsia" w:ascii="宋体" w:hAnsi="宋体" w:cs="宋体"/>
          <w:sz w:val="24"/>
          <w:szCs w:val="24"/>
        </w:rPr>
      </w:pPr>
      <w:r>
        <w:rPr>
          <w:rFonts w:hint="eastAsia" w:ascii="宋体" w:hAnsi="宋体" w:cs="宋体"/>
          <w:sz w:val="24"/>
          <w:szCs w:val="24"/>
        </w:rPr>
        <w:t>删除本款中的“除专用合同条款另有约定外”，本款中的“合理的期限”改为：</w:t>
      </w:r>
    </w:p>
    <w:p w14:paraId="24421FA0">
      <w:pPr>
        <w:spacing w:line="500" w:lineRule="exact"/>
        <w:rPr>
          <w:rFonts w:hint="eastAsia" w:ascii="宋体" w:hAnsi="宋体" w:cs="宋体"/>
          <w:sz w:val="24"/>
          <w:szCs w:val="24"/>
        </w:rPr>
      </w:pPr>
      <w:r>
        <w:rPr>
          <w:rFonts w:hint="eastAsia" w:ascii="宋体" w:hAnsi="宋体" w:cs="宋体"/>
          <w:sz w:val="24"/>
          <w:szCs w:val="24"/>
        </w:rPr>
        <w:t>（1）用于本合同工程项目施工的工程建筑物结构布置图、体形图等施工图纸，应在该项目工程建筑物施工前14天提供给承包人。</w:t>
      </w:r>
    </w:p>
    <w:p w14:paraId="02DAEB0F">
      <w:pPr>
        <w:spacing w:line="500" w:lineRule="exact"/>
        <w:rPr>
          <w:rFonts w:hint="eastAsia" w:ascii="宋体" w:hAnsi="宋体" w:cs="宋体"/>
          <w:sz w:val="24"/>
          <w:szCs w:val="24"/>
        </w:rPr>
      </w:pPr>
      <w:r>
        <w:rPr>
          <w:rFonts w:hint="eastAsia" w:ascii="宋体" w:hAnsi="宋体" w:cs="宋体"/>
          <w:sz w:val="24"/>
          <w:szCs w:val="24"/>
        </w:rPr>
        <w:t>（2）用于工程施工的开挖图、配筋图、细部设计图和浇筑图等施工图纸，应在该部位施工前14天提供给承包人。</w:t>
      </w:r>
    </w:p>
    <w:p w14:paraId="2F56CCA6">
      <w:pPr>
        <w:spacing w:line="500" w:lineRule="exact"/>
        <w:rPr>
          <w:rFonts w:hint="eastAsia" w:ascii="宋体" w:hAnsi="宋体" w:cs="宋体"/>
          <w:sz w:val="24"/>
          <w:szCs w:val="24"/>
        </w:rPr>
      </w:pPr>
      <w:r>
        <w:rPr>
          <w:rFonts w:hint="eastAsia" w:ascii="宋体" w:hAnsi="宋体" w:cs="宋体"/>
          <w:sz w:val="24"/>
          <w:szCs w:val="24"/>
        </w:rPr>
        <w:t>（3）用于闸门和启闭机安装的施工图纸应在该项目制造或安装前28天提供给承包人。</w:t>
      </w:r>
    </w:p>
    <w:p w14:paraId="09E0BCC9">
      <w:pPr>
        <w:spacing w:line="500" w:lineRule="exact"/>
        <w:rPr>
          <w:rFonts w:hint="eastAsia" w:ascii="宋体" w:hAnsi="宋体" w:cs="宋体"/>
          <w:sz w:val="24"/>
          <w:szCs w:val="24"/>
        </w:rPr>
      </w:pPr>
      <w:r>
        <w:rPr>
          <w:rFonts w:hint="eastAsia" w:ascii="宋体" w:hAnsi="宋体" w:cs="宋体"/>
          <w:sz w:val="24"/>
          <w:szCs w:val="24"/>
        </w:rPr>
        <w:t>1.6.2 承包人提供的文件</w:t>
      </w:r>
    </w:p>
    <w:p w14:paraId="52666DC1">
      <w:pPr>
        <w:spacing w:line="500" w:lineRule="exact"/>
        <w:rPr>
          <w:rFonts w:hint="eastAsia" w:ascii="宋体" w:hAnsi="宋体" w:cs="宋体"/>
          <w:sz w:val="24"/>
          <w:szCs w:val="24"/>
        </w:rPr>
      </w:pPr>
      <w:r>
        <w:rPr>
          <w:rFonts w:hint="eastAsia" w:ascii="宋体" w:hAnsi="宋体" w:cs="宋体"/>
          <w:sz w:val="24"/>
          <w:szCs w:val="24"/>
        </w:rPr>
        <w:t>删除本款，并代之以：承包人应将测量成果资料、开工报告、施工进度计划、施工组织设计、质量保证措施、试验、检测资料、有关工程的全部竣工资料，包括部分工程的大样图、加工图等按监理人要求的期限一式7份报送监理人。监理人应在收到承包人提供的文件后7-14天内予以批复。</w:t>
      </w:r>
    </w:p>
    <w:p w14:paraId="5B0AB5D6">
      <w:pPr>
        <w:spacing w:line="500" w:lineRule="exact"/>
        <w:rPr>
          <w:rFonts w:hint="eastAsia" w:ascii="宋体" w:hAnsi="宋体" w:cs="宋体"/>
          <w:sz w:val="24"/>
          <w:szCs w:val="24"/>
        </w:rPr>
      </w:pPr>
      <w:r>
        <w:rPr>
          <w:rFonts w:hint="eastAsia" w:ascii="宋体" w:hAnsi="宋体" w:cs="宋体"/>
          <w:sz w:val="24"/>
          <w:szCs w:val="24"/>
        </w:rPr>
        <w:t>1. 6.3 图纸的修改</w:t>
      </w:r>
    </w:p>
    <w:p w14:paraId="2BD82C98">
      <w:pPr>
        <w:spacing w:line="500" w:lineRule="exact"/>
        <w:rPr>
          <w:rFonts w:hint="eastAsia" w:ascii="宋体" w:hAnsi="宋体" w:cs="宋体"/>
          <w:sz w:val="24"/>
          <w:szCs w:val="24"/>
        </w:rPr>
      </w:pPr>
      <w:r>
        <w:rPr>
          <w:rFonts w:hint="eastAsia" w:ascii="宋体" w:hAnsi="宋体" w:cs="宋体"/>
          <w:sz w:val="24"/>
          <w:szCs w:val="24"/>
        </w:rPr>
        <w:t>本款中的“在该工程或工程相应部位施工前的合理期限内签发图纸修改图给承包人，具体签发期限在专用合同条款中约定”改为“在该工程或工程相应部位施工7天前将签发图纸修改图给承包人”。</w:t>
      </w:r>
    </w:p>
    <w:p w14:paraId="3A83B699">
      <w:pPr>
        <w:spacing w:line="500" w:lineRule="exact"/>
        <w:jc w:val="center"/>
        <w:rPr>
          <w:rFonts w:hint="eastAsia" w:ascii="宋体" w:hAnsi="宋体" w:cs="宋体"/>
          <w:b/>
          <w:bCs/>
          <w:sz w:val="24"/>
          <w:szCs w:val="24"/>
        </w:rPr>
      </w:pPr>
      <w:r>
        <w:rPr>
          <w:rFonts w:hint="eastAsia" w:ascii="宋体" w:hAnsi="宋体" w:cs="宋体"/>
          <w:b/>
          <w:bCs/>
          <w:sz w:val="24"/>
          <w:szCs w:val="24"/>
        </w:rPr>
        <w:t>2、发包人义务</w:t>
      </w:r>
    </w:p>
    <w:p w14:paraId="1CE09742">
      <w:pPr>
        <w:spacing w:line="500" w:lineRule="exact"/>
        <w:rPr>
          <w:rFonts w:hint="eastAsia" w:ascii="宋体" w:hAnsi="宋体" w:cs="宋体"/>
          <w:b/>
          <w:bCs/>
          <w:sz w:val="24"/>
          <w:szCs w:val="24"/>
        </w:rPr>
      </w:pPr>
      <w:r>
        <w:rPr>
          <w:rFonts w:hint="eastAsia" w:ascii="宋体" w:hAnsi="宋体" w:cs="宋体"/>
          <w:b/>
          <w:bCs/>
          <w:sz w:val="24"/>
          <w:szCs w:val="24"/>
        </w:rPr>
        <w:t>2.3 提供施工场地</w:t>
      </w:r>
    </w:p>
    <w:p w14:paraId="51358579">
      <w:pPr>
        <w:spacing w:line="500" w:lineRule="exact"/>
        <w:rPr>
          <w:rFonts w:hint="eastAsia" w:ascii="宋体" w:hAnsi="宋体" w:cs="宋体"/>
          <w:sz w:val="24"/>
          <w:szCs w:val="24"/>
        </w:rPr>
      </w:pPr>
      <w:r>
        <w:rPr>
          <w:rFonts w:hint="eastAsia" w:ascii="宋体" w:hAnsi="宋体" w:cs="宋体"/>
          <w:sz w:val="24"/>
          <w:szCs w:val="24"/>
        </w:rPr>
        <w:t>删去本款全文，并代之以：发包人负责办理工地范围内的征地和移民，向承包人提供施工场地，以及施工场地内地下管线和地下设施等有关资料，并保证资料的真实、准确、完整。</w:t>
      </w:r>
    </w:p>
    <w:p w14:paraId="650FA785">
      <w:pPr>
        <w:spacing w:line="500" w:lineRule="exact"/>
        <w:jc w:val="center"/>
        <w:rPr>
          <w:rFonts w:hint="eastAsia" w:ascii="宋体" w:hAnsi="宋体" w:cs="宋体"/>
          <w:b/>
          <w:bCs/>
          <w:sz w:val="24"/>
          <w:szCs w:val="24"/>
        </w:rPr>
      </w:pPr>
      <w:r>
        <w:rPr>
          <w:rFonts w:hint="eastAsia" w:ascii="宋体" w:hAnsi="宋体" w:cs="宋体"/>
          <w:b/>
          <w:bCs/>
          <w:sz w:val="24"/>
          <w:szCs w:val="24"/>
        </w:rPr>
        <w:t>3、监理人</w:t>
      </w:r>
    </w:p>
    <w:p w14:paraId="11528CB8">
      <w:pPr>
        <w:spacing w:line="500" w:lineRule="exact"/>
        <w:rPr>
          <w:rFonts w:hint="eastAsia" w:ascii="宋体" w:hAnsi="宋体" w:cs="宋体"/>
          <w:b/>
          <w:bCs/>
          <w:sz w:val="24"/>
          <w:szCs w:val="24"/>
        </w:rPr>
      </w:pPr>
      <w:r>
        <w:rPr>
          <w:rFonts w:hint="eastAsia" w:ascii="宋体" w:hAnsi="宋体" w:cs="宋体"/>
          <w:b/>
          <w:bCs/>
          <w:sz w:val="24"/>
          <w:szCs w:val="24"/>
        </w:rPr>
        <w:t>3.1 监理人的职责和权力</w:t>
      </w:r>
    </w:p>
    <w:p w14:paraId="148D2B7D">
      <w:pPr>
        <w:spacing w:line="500" w:lineRule="exact"/>
        <w:rPr>
          <w:rFonts w:hint="eastAsia" w:ascii="宋体" w:hAnsi="宋体" w:cs="宋体"/>
          <w:sz w:val="24"/>
          <w:szCs w:val="24"/>
        </w:rPr>
      </w:pPr>
      <w:r>
        <w:rPr>
          <w:rFonts w:hint="eastAsia" w:ascii="宋体" w:hAnsi="宋体" w:cs="宋体"/>
          <w:sz w:val="24"/>
          <w:szCs w:val="24"/>
        </w:rPr>
        <w:t>3.1.1删去本款全文，并代之以：监理人受发包人委托，享有合同约定的权力。并按合同约定的工程质量和安全标准，以及计量和支付规则，进行全过程监理，达到验收要求，并按合同要求进行优势合格。</w:t>
      </w:r>
    </w:p>
    <w:p w14:paraId="0725A951">
      <w:pPr>
        <w:spacing w:line="500" w:lineRule="exact"/>
        <w:rPr>
          <w:rFonts w:hint="eastAsia" w:ascii="宋体" w:hAnsi="宋体" w:cs="宋体"/>
          <w:sz w:val="24"/>
          <w:szCs w:val="24"/>
        </w:rPr>
      </w:pPr>
      <w:r>
        <w:rPr>
          <w:rFonts w:hint="eastAsia" w:ascii="宋体" w:hAnsi="宋体" w:cs="宋体"/>
          <w:sz w:val="24"/>
          <w:szCs w:val="24"/>
        </w:rPr>
        <w:t>监理应忠实地执行发包人与承包人签署的施工合同，无权修改合同。监理人在行使下列权力前，必须得到发包人的批准（注：发包人可根据具体情况规定需经批准的权力范围，以下示例供参考）：（1）如在工程实施过程中，因特殊情况需分包时，应得到监理人的批准；（2）确定延长完工期限；</w:t>
      </w:r>
    </w:p>
    <w:p w14:paraId="61F4EC4A">
      <w:pPr>
        <w:spacing w:line="500" w:lineRule="exact"/>
        <w:rPr>
          <w:rFonts w:hint="eastAsia" w:ascii="宋体" w:hAnsi="宋体" w:cs="宋体"/>
          <w:sz w:val="24"/>
          <w:szCs w:val="24"/>
        </w:rPr>
      </w:pPr>
      <w:r>
        <w:rPr>
          <w:rFonts w:hint="eastAsia" w:ascii="宋体" w:hAnsi="宋体" w:cs="宋体"/>
          <w:sz w:val="24"/>
          <w:szCs w:val="24"/>
        </w:rPr>
        <w:t>尽管有以上规定，但当监理人认为出现了危及生命、工程或毗邻财产等安全的紧急事件时．在不免除合同规定承包人责任的情况下，监理人可以指示承包人进行为消除或减少这种危险所必须的工作，即使没有发包人的事先批准，承包人也应立即遵照执行。监理人应按第15条规定增加相应的费用，并通知承包人。</w:t>
      </w:r>
    </w:p>
    <w:p w14:paraId="1E9C78AB">
      <w:pPr>
        <w:spacing w:line="500" w:lineRule="exact"/>
        <w:rPr>
          <w:rFonts w:hint="eastAsia" w:ascii="宋体" w:hAnsi="宋体" w:cs="宋体"/>
          <w:sz w:val="24"/>
          <w:szCs w:val="24"/>
        </w:rPr>
      </w:pPr>
      <w:r>
        <w:rPr>
          <w:rFonts w:hint="eastAsia" w:ascii="宋体" w:hAnsi="宋体" w:cs="宋体"/>
          <w:sz w:val="24"/>
          <w:szCs w:val="24"/>
        </w:rPr>
        <w:t>3.1.2 监理人发出的任何指示应视为已得到发包人的批准，但监理人无权免除或变更合同约定的发包人和承包人的权利、义务和责任。</w:t>
      </w:r>
    </w:p>
    <w:p w14:paraId="6B98E9FD">
      <w:pPr>
        <w:spacing w:line="500" w:lineRule="exact"/>
        <w:jc w:val="center"/>
        <w:rPr>
          <w:rFonts w:hint="eastAsia" w:ascii="宋体" w:hAnsi="宋体" w:cs="宋体"/>
          <w:b/>
          <w:bCs/>
          <w:sz w:val="24"/>
          <w:szCs w:val="24"/>
        </w:rPr>
      </w:pPr>
      <w:r>
        <w:rPr>
          <w:rFonts w:hint="eastAsia" w:ascii="宋体" w:hAnsi="宋体" w:cs="宋体"/>
          <w:b/>
          <w:bCs/>
          <w:sz w:val="24"/>
          <w:szCs w:val="24"/>
        </w:rPr>
        <w:t>4、承包人</w:t>
      </w:r>
    </w:p>
    <w:p w14:paraId="4A64E0DF">
      <w:pPr>
        <w:spacing w:line="500" w:lineRule="exact"/>
        <w:rPr>
          <w:rFonts w:hint="eastAsia" w:ascii="宋体" w:hAnsi="宋体" w:cs="宋体"/>
          <w:b/>
          <w:bCs/>
          <w:sz w:val="24"/>
          <w:szCs w:val="24"/>
        </w:rPr>
      </w:pPr>
      <w:r>
        <w:rPr>
          <w:rFonts w:hint="eastAsia" w:ascii="宋体" w:hAnsi="宋体" w:cs="宋体"/>
          <w:b/>
          <w:bCs/>
          <w:sz w:val="24"/>
          <w:szCs w:val="24"/>
        </w:rPr>
        <w:t>4.1 承包人的一般义务</w:t>
      </w:r>
    </w:p>
    <w:p w14:paraId="0392BBFC">
      <w:pPr>
        <w:spacing w:line="500" w:lineRule="exact"/>
        <w:rPr>
          <w:rFonts w:hint="eastAsia" w:ascii="宋体" w:hAnsi="宋体" w:cs="宋体"/>
          <w:sz w:val="24"/>
          <w:szCs w:val="24"/>
        </w:rPr>
      </w:pPr>
      <w:r>
        <w:rPr>
          <w:rFonts w:hint="eastAsia" w:ascii="宋体" w:hAnsi="宋体" w:cs="宋体"/>
          <w:sz w:val="24"/>
          <w:szCs w:val="24"/>
        </w:rPr>
        <w:t>4.1.2依法纳税，</w:t>
      </w:r>
      <w:r>
        <w:rPr>
          <w:rFonts w:hint="eastAsia" w:ascii="宋体" w:hAnsi="宋体" w:cs="宋体"/>
          <w:b/>
          <w:bCs/>
          <w:sz w:val="24"/>
          <w:szCs w:val="24"/>
        </w:rPr>
        <w:t>本款增加以下条款</w:t>
      </w:r>
      <w:r>
        <w:rPr>
          <w:rFonts w:hint="eastAsia" w:ascii="宋体" w:hAnsi="宋体" w:cs="宋体"/>
          <w:sz w:val="24"/>
          <w:szCs w:val="24"/>
        </w:rPr>
        <w:t>：</w:t>
      </w:r>
    </w:p>
    <w:p w14:paraId="6DAF957E">
      <w:pPr>
        <w:spacing w:line="500" w:lineRule="exact"/>
        <w:rPr>
          <w:rFonts w:hint="eastAsia" w:ascii="宋体" w:hAnsi="宋体" w:cs="宋体"/>
          <w:b/>
          <w:bCs/>
          <w:sz w:val="24"/>
          <w:szCs w:val="24"/>
        </w:rPr>
      </w:pPr>
      <w:r>
        <w:rPr>
          <w:rFonts w:hint="eastAsia" w:ascii="宋体" w:hAnsi="宋体" w:cs="宋体"/>
          <w:b/>
          <w:bCs/>
          <w:sz w:val="24"/>
          <w:szCs w:val="24"/>
        </w:rPr>
        <w:t>中标人必须按纳税标准依法在项目所在地进行纳税；若中标人不能按纳税标准依法在项目所在地进行纳税的，发包人有权在工程款结算时对中标人未按纳税标准未缴纳部分费用进行扣除。</w:t>
      </w:r>
    </w:p>
    <w:p w14:paraId="6D2AB205">
      <w:pPr>
        <w:spacing w:line="500" w:lineRule="exact"/>
        <w:rPr>
          <w:rFonts w:hint="eastAsia" w:ascii="宋体" w:hAnsi="宋体" w:cs="宋体"/>
          <w:sz w:val="24"/>
          <w:szCs w:val="24"/>
        </w:rPr>
      </w:pPr>
      <w:r>
        <w:rPr>
          <w:rFonts w:hint="eastAsia" w:ascii="宋体" w:hAnsi="宋体" w:cs="宋体"/>
          <w:sz w:val="24"/>
          <w:szCs w:val="24"/>
        </w:rPr>
        <w:t>4.1.10 其他义务</w:t>
      </w:r>
    </w:p>
    <w:p w14:paraId="7D006EE6">
      <w:pPr>
        <w:spacing w:line="500" w:lineRule="exact"/>
        <w:rPr>
          <w:rFonts w:hint="eastAsia" w:ascii="宋体" w:hAnsi="宋体" w:cs="宋体"/>
          <w:sz w:val="24"/>
          <w:szCs w:val="24"/>
        </w:rPr>
      </w:pPr>
      <w:r>
        <w:rPr>
          <w:rFonts w:hint="eastAsia" w:ascii="宋体" w:hAnsi="宋体" w:cs="宋体"/>
          <w:sz w:val="24"/>
          <w:szCs w:val="24"/>
        </w:rPr>
        <w:t>本款增加以下条款：</w:t>
      </w:r>
    </w:p>
    <w:p w14:paraId="099F4704">
      <w:pPr>
        <w:spacing w:line="500" w:lineRule="exact"/>
        <w:rPr>
          <w:rFonts w:hint="eastAsia" w:ascii="宋体" w:hAnsi="宋体" w:cs="宋体"/>
          <w:b/>
          <w:bCs/>
          <w:sz w:val="24"/>
          <w:szCs w:val="24"/>
        </w:rPr>
      </w:pPr>
      <w:r>
        <w:rPr>
          <w:rFonts w:hint="eastAsia" w:ascii="宋体" w:hAnsi="宋体" w:cs="宋体"/>
          <w:b/>
          <w:bCs/>
          <w:sz w:val="24"/>
          <w:szCs w:val="24"/>
        </w:rPr>
        <w:t>4.4 联合体</w:t>
      </w:r>
    </w:p>
    <w:p w14:paraId="20122079">
      <w:pPr>
        <w:spacing w:line="500" w:lineRule="exact"/>
        <w:rPr>
          <w:rFonts w:hint="eastAsia" w:ascii="宋体" w:hAnsi="宋体" w:cs="宋体"/>
          <w:sz w:val="24"/>
          <w:szCs w:val="24"/>
        </w:rPr>
      </w:pPr>
      <w:r>
        <w:rPr>
          <w:rFonts w:hint="eastAsia" w:ascii="宋体" w:hAnsi="宋体" w:cs="宋体"/>
          <w:sz w:val="24"/>
          <w:szCs w:val="24"/>
        </w:rPr>
        <w:t>本合同工程不接受联合体投标。</w:t>
      </w:r>
    </w:p>
    <w:p w14:paraId="0B20E25F">
      <w:pPr>
        <w:spacing w:line="500" w:lineRule="exact"/>
        <w:rPr>
          <w:rFonts w:hint="eastAsia" w:ascii="宋体" w:hAnsi="宋体" w:cs="宋体"/>
          <w:b/>
          <w:bCs/>
          <w:sz w:val="24"/>
          <w:szCs w:val="24"/>
        </w:rPr>
      </w:pPr>
      <w:r>
        <w:rPr>
          <w:rFonts w:hint="eastAsia" w:ascii="宋体" w:hAnsi="宋体" w:cs="宋体"/>
          <w:b/>
          <w:bCs/>
          <w:sz w:val="24"/>
          <w:szCs w:val="24"/>
        </w:rPr>
        <w:t>4.5 承包人项目经理</w:t>
      </w:r>
    </w:p>
    <w:p w14:paraId="481BC27F">
      <w:pPr>
        <w:spacing w:line="500" w:lineRule="exact"/>
        <w:rPr>
          <w:rFonts w:hint="eastAsia" w:ascii="宋体" w:hAnsi="宋体" w:cs="宋体"/>
          <w:sz w:val="24"/>
          <w:szCs w:val="24"/>
        </w:rPr>
      </w:pPr>
      <w:r>
        <w:rPr>
          <w:rFonts w:hint="eastAsia" w:ascii="宋体" w:hAnsi="宋体" w:cs="宋体"/>
          <w:sz w:val="24"/>
          <w:szCs w:val="24"/>
        </w:rPr>
        <w:t>4.5.1本工程因工期紧，战线长，因此，合同一旦生效，承包人应在合同规定的期限内完成项目管理机构的组建，投标文件中承诺的项目经理应立即就位，负责项目的实施。项目经理应在工地现场组织、管理本项目的实施，在施工有效期内其驻施工现场的时间应不少于</w:t>
      </w:r>
      <w:bookmarkStart w:id="395" w:name="_Hlk123040515"/>
      <w:r>
        <w:rPr>
          <w:rFonts w:hint="eastAsia" w:ascii="宋体" w:hAnsi="宋体" w:cs="宋体"/>
          <w:sz w:val="24"/>
          <w:szCs w:val="24"/>
        </w:rPr>
        <w:t>每月二十四天</w:t>
      </w:r>
      <w:bookmarkEnd w:id="395"/>
      <w:r>
        <w:rPr>
          <w:rFonts w:hint="eastAsia" w:ascii="宋体" w:hAnsi="宋体" w:cs="宋体"/>
          <w:sz w:val="24"/>
          <w:szCs w:val="24"/>
        </w:rPr>
        <w:t>。</w:t>
      </w:r>
      <w:bookmarkStart w:id="396" w:name="_Hlk123038960"/>
      <w:r>
        <w:rPr>
          <w:rFonts w:hint="eastAsia" w:ascii="宋体" w:hAnsi="宋体" w:cs="宋体"/>
          <w:sz w:val="24"/>
          <w:szCs w:val="24"/>
        </w:rPr>
        <w:t>前述合同条款所规定的承包人项目经理应尽的义务，投标人必须在其投标文件中对此进行承诺并提供承诺书，否则将视为投标人不响应招标文件中的合同条款及格式规定的权利义务，评标委员会应否决其投标。</w:t>
      </w:r>
    </w:p>
    <w:bookmarkEnd w:id="396"/>
    <w:p w14:paraId="531B66F3">
      <w:pPr>
        <w:spacing w:line="500" w:lineRule="exact"/>
        <w:rPr>
          <w:rFonts w:hint="eastAsia" w:ascii="宋体" w:hAnsi="宋体" w:cs="宋体"/>
          <w:sz w:val="24"/>
          <w:szCs w:val="24"/>
        </w:rPr>
      </w:pPr>
      <w:r>
        <w:rPr>
          <w:rFonts w:ascii="宋体" w:hAnsi="宋体" w:cs="宋体"/>
          <w:sz w:val="24"/>
          <w:szCs w:val="24"/>
        </w:rPr>
        <w:t>4.5.2</w:t>
      </w:r>
      <w:r>
        <w:rPr>
          <w:rFonts w:hint="eastAsia" w:ascii="宋体" w:hAnsi="宋体" w:cs="宋体"/>
          <w:sz w:val="24"/>
          <w:szCs w:val="24"/>
        </w:rPr>
        <w:t>无特殊原因承包人不得在工程实施期更换在投标文件中承诺的项目经理，确因特殊原因承包人需更换项目经理的，必须得到发包人的批准。承包人在投标文件中承诺的项目经理在工程实施过程中其技术水平、施工组织、管理能力等综合素质无法满足本项目施工的要求，发包人有权要求承包人撤换项目经理，更换后的项目经理其技术水平、施工组织、管理能力等综合素质应能满足本项目施工的要求。</w:t>
      </w:r>
    </w:p>
    <w:p w14:paraId="06195E6B">
      <w:pPr>
        <w:spacing w:line="500" w:lineRule="exact"/>
        <w:rPr>
          <w:rFonts w:hint="eastAsia" w:ascii="宋体" w:hAnsi="宋体" w:cs="宋体"/>
          <w:b/>
          <w:bCs/>
          <w:sz w:val="24"/>
          <w:szCs w:val="24"/>
        </w:rPr>
      </w:pPr>
      <w:r>
        <w:rPr>
          <w:rFonts w:hint="eastAsia" w:ascii="宋体" w:hAnsi="宋体" w:cs="宋体"/>
          <w:b/>
          <w:bCs/>
          <w:sz w:val="24"/>
          <w:szCs w:val="24"/>
        </w:rPr>
        <w:t>4.6 承包人人员的管理</w:t>
      </w:r>
    </w:p>
    <w:p w14:paraId="2E7BC09B">
      <w:pPr>
        <w:spacing w:line="500" w:lineRule="exact"/>
        <w:rPr>
          <w:rFonts w:hint="eastAsia" w:ascii="宋体" w:hAnsi="宋体" w:cs="宋体"/>
          <w:sz w:val="24"/>
          <w:szCs w:val="24"/>
        </w:rPr>
      </w:pPr>
      <w:r>
        <w:rPr>
          <w:rFonts w:hint="eastAsia" w:ascii="宋体" w:hAnsi="宋体" w:cs="宋体"/>
          <w:sz w:val="24"/>
          <w:szCs w:val="24"/>
        </w:rPr>
        <w:t>4.6.1技术负责人所具有应与本项目相适应的技术水平。承包人投入的本项目技术负责人不得同时在其他在建项目中担任监事负责人，在施工有效期内驻本项目工地现场的时间应不少于每月二十五天。前述合同条款所规定的承包人技术负责人应尽的义务，投标人必须在其投标文件中对此进行承诺并提供承诺书，否则将视为投标人不响应招标文件中的合同条款及格式规定的权利义务，评标委员会应否决其投标。</w:t>
      </w:r>
    </w:p>
    <w:p w14:paraId="15BBE8CE">
      <w:pPr>
        <w:spacing w:line="500" w:lineRule="exact"/>
        <w:rPr>
          <w:rFonts w:hint="eastAsia" w:ascii="宋体" w:hAnsi="宋体" w:cs="宋体"/>
          <w:sz w:val="24"/>
          <w:szCs w:val="24"/>
        </w:rPr>
      </w:pPr>
      <w:r>
        <w:rPr>
          <w:rFonts w:hint="eastAsia" w:ascii="宋体" w:hAnsi="宋体" w:cs="宋体"/>
          <w:sz w:val="24"/>
          <w:szCs w:val="24"/>
        </w:rPr>
        <w:t>4.6.2为完成合同约定的各项工作，承包人应向施工场地派遣或雇佣足够数量的下列人员：具有相应资格的专业技工和合格的普工，因此本工程应（雇）使用项目所在地（</w:t>
      </w:r>
      <w:r>
        <w:rPr>
          <w:rFonts w:hint="eastAsia" w:ascii="宋体" w:hAnsi="宋体" w:cs="宋体"/>
          <w:sz w:val="24"/>
          <w:szCs w:val="24"/>
          <w:lang w:val="en-US" w:eastAsia="zh-CN"/>
        </w:rPr>
        <w:t>民丰</w:t>
      </w:r>
      <w:r>
        <w:rPr>
          <w:rFonts w:hint="eastAsia" w:ascii="宋体" w:hAnsi="宋体" w:cs="宋体"/>
          <w:sz w:val="24"/>
          <w:szCs w:val="24"/>
        </w:rPr>
        <w:t>县籍，下同）人员就业比例不少于70%（其中：普通基础工作岗位吸纳本地区劳动力就业比例不少于90%），并按照人社部发［2021]65号《工程建设领域农民工工资保证金规定》等文件要求保证不拖欠农民工工资。前述合同条款的规定，投标人必须在其投标文件《关于在水利工程固定资产投资项目中使用本地劳动力的承诺书》中对此进行承诺并提供承诺书，否则将视为投标人不响应招标文件中的合同条款及格式规定的权利义务，评标委员会应否决其投标。</w:t>
      </w:r>
    </w:p>
    <w:p w14:paraId="0D179C90">
      <w:pPr>
        <w:spacing w:line="500" w:lineRule="exact"/>
        <w:rPr>
          <w:rFonts w:hint="eastAsia" w:ascii="宋体" w:hAnsi="宋体" w:cs="宋体"/>
          <w:sz w:val="24"/>
          <w:szCs w:val="24"/>
        </w:rPr>
      </w:pPr>
      <w:r>
        <w:rPr>
          <w:rFonts w:hint="eastAsia" w:ascii="宋体" w:hAnsi="宋体" w:cs="宋体"/>
          <w:sz w:val="24"/>
          <w:szCs w:val="24"/>
        </w:rPr>
        <w:t>4</w:t>
      </w:r>
      <w:r>
        <w:rPr>
          <w:rFonts w:ascii="宋体" w:hAnsi="宋体" w:cs="宋体"/>
          <w:sz w:val="24"/>
          <w:szCs w:val="24"/>
        </w:rPr>
        <w:t>.6.3</w:t>
      </w:r>
      <w:r>
        <w:rPr>
          <w:rFonts w:hint="eastAsia" w:ascii="宋体" w:hAnsi="宋体" w:cs="宋体"/>
          <w:sz w:val="24"/>
          <w:szCs w:val="24"/>
        </w:rPr>
        <w:t>为保证本工程在实施过程中，施工组织得到有效管理、杜绝安全生产事故，保证工程质量按合同进度完成，“项目经理、技术负责人”因故未经批准擅自离开施工现场（或离岗）的，将按：2000元/天·人进行处罚；“施工员、安全员、质检员”因故未经批准擅自离开施工现场（或离岗）的，将按：1000元/天·人进行处罚；保证持证，挂牌上岗，不随意离岗，因故需要离岗的应提前报备</w:t>
      </w:r>
      <w:r>
        <w:rPr>
          <w:rFonts w:hint="eastAsia" w:ascii="宋体" w:hAnsi="宋体" w:cs="宋体"/>
          <w:sz w:val="24"/>
          <w:szCs w:val="24"/>
          <w:lang w:val="en-US" w:eastAsia="zh-CN"/>
        </w:rPr>
        <w:t>民丰</w:t>
      </w:r>
      <w:r>
        <w:rPr>
          <w:rFonts w:hint="eastAsia" w:ascii="宋体" w:hAnsi="宋体" w:cs="宋体"/>
          <w:sz w:val="24"/>
          <w:szCs w:val="24"/>
        </w:rPr>
        <w:t>县水利服务总站驻现场管理部批准后，方能离岗。</w:t>
      </w:r>
    </w:p>
    <w:p w14:paraId="007C20C6">
      <w:pPr>
        <w:spacing w:line="500" w:lineRule="exact"/>
        <w:jc w:val="center"/>
        <w:rPr>
          <w:rFonts w:hint="eastAsia" w:ascii="宋体" w:hAnsi="宋体" w:cs="宋体"/>
          <w:b/>
          <w:bCs/>
          <w:sz w:val="24"/>
          <w:szCs w:val="24"/>
        </w:rPr>
      </w:pPr>
      <w:r>
        <w:rPr>
          <w:rFonts w:hint="eastAsia" w:ascii="宋体" w:hAnsi="宋体" w:cs="宋体"/>
          <w:b/>
          <w:bCs/>
          <w:sz w:val="24"/>
          <w:szCs w:val="24"/>
        </w:rPr>
        <w:t>5、材料和工程设备</w:t>
      </w:r>
    </w:p>
    <w:p w14:paraId="74678BA9">
      <w:pPr>
        <w:spacing w:line="500" w:lineRule="exact"/>
        <w:rPr>
          <w:rFonts w:hint="eastAsia" w:ascii="宋体" w:hAnsi="宋体" w:cs="宋体"/>
          <w:b/>
          <w:bCs/>
          <w:sz w:val="24"/>
          <w:szCs w:val="24"/>
        </w:rPr>
      </w:pPr>
      <w:r>
        <w:rPr>
          <w:rFonts w:hint="eastAsia" w:ascii="宋体" w:hAnsi="宋体" w:cs="宋体"/>
          <w:b/>
          <w:bCs/>
          <w:sz w:val="24"/>
          <w:szCs w:val="24"/>
        </w:rPr>
        <w:t>5.1 承包人提供的材料和工程设备</w:t>
      </w:r>
    </w:p>
    <w:p w14:paraId="328BE2E1">
      <w:pPr>
        <w:spacing w:line="500" w:lineRule="exact"/>
        <w:rPr>
          <w:rFonts w:hint="eastAsia" w:ascii="宋体" w:hAnsi="宋体" w:cs="宋体"/>
          <w:sz w:val="24"/>
          <w:szCs w:val="24"/>
        </w:rPr>
      </w:pPr>
      <w:r>
        <w:rPr>
          <w:rFonts w:hint="eastAsia" w:ascii="宋体" w:hAnsi="宋体" w:cs="宋体"/>
          <w:sz w:val="24"/>
          <w:szCs w:val="24"/>
        </w:rPr>
        <w:t>5.1.2 本款中的“承包人应按专用合同条款的约定”改为“承包人按招标文件‘工程量清单’中规定的由承包人提供的各种材料和工程设备的数量、规格、型号”。</w:t>
      </w:r>
    </w:p>
    <w:p w14:paraId="7F9A6EAD">
      <w:pPr>
        <w:spacing w:line="500" w:lineRule="exact"/>
        <w:rPr>
          <w:rFonts w:hint="eastAsia" w:ascii="宋体" w:hAnsi="宋体" w:cs="宋体"/>
          <w:sz w:val="24"/>
          <w:szCs w:val="24"/>
        </w:rPr>
      </w:pPr>
      <w:r>
        <w:rPr>
          <w:rFonts w:hint="eastAsia" w:ascii="宋体" w:hAnsi="宋体" w:cs="宋体"/>
          <w:sz w:val="24"/>
          <w:szCs w:val="24"/>
        </w:rPr>
        <w:t>5.2 发包人提供的材料和工程设备</w:t>
      </w:r>
    </w:p>
    <w:p w14:paraId="0C29C5D8">
      <w:pPr>
        <w:spacing w:line="500" w:lineRule="exact"/>
        <w:rPr>
          <w:rFonts w:hint="eastAsia" w:ascii="宋体" w:hAnsi="宋体" w:cs="宋体"/>
          <w:sz w:val="24"/>
          <w:szCs w:val="24"/>
        </w:rPr>
      </w:pPr>
      <w:r>
        <w:rPr>
          <w:rFonts w:hint="eastAsia" w:ascii="宋体" w:hAnsi="宋体" w:cs="宋体"/>
          <w:sz w:val="24"/>
          <w:szCs w:val="24"/>
        </w:rPr>
        <w:t>5.2.1删除本款，并代之以：发包人提供的材料和工程设备，由发包人根据招标文件《工程量清单》中列明的各种材料和工程设备的数量、规格、型号通过招标采购或其他形式获得提供给承包人，其交货方式、交货地点和计划交货日期等由发包人与承包人在合同中约定。</w:t>
      </w:r>
    </w:p>
    <w:p w14:paraId="34DED95F">
      <w:pPr>
        <w:spacing w:line="500" w:lineRule="exact"/>
        <w:jc w:val="center"/>
        <w:rPr>
          <w:rFonts w:hint="eastAsia" w:ascii="宋体" w:hAnsi="宋体" w:cs="宋体"/>
          <w:b/>
          <w:bCs/>
          <w:sz w:val="24"/>
          <w:szCs w:val="24"/>
        </w:rPr>
      </w:pPr>
      <w:r>
        <w:rPr>
          <w:rFonts w:hint="eastAsia" w:ascii="宋体" w:hAnsi="宋体" w:cs="宋体"/>
          <w:b/>
          <w:bCs/>
          <w:sz w:val="24"/>
          <w:szCs w:val="24"/>
        </w:rPr>
        <w:t>6、施工设备和临时设施</w:t>
      </w:r>
    </w:p>
    <w:p w14:paraId="4F81EBCD">
      <w:pPr>
        <w:spacing w:line="500" w:lineRule="exact"/>
        <w:rPr>
          <w:rFonts w:hint="eastAsia" w:ascii="宋体" w:hAnsi="宋体" w:cs="宋体"/>
          <w:b/>
          <w:bCs/>
          <w:sz w:val="24"/>
          <w:szCs w:val="24"/>
        </w:rPr>
      </w:pPr>
      <w:r>
        <w:rPr>
          <w:rFonts w:hint="eastAsia" w:ascii="宋体" w:hAnsi="宋体" w:cs="宋体"/>
          <w:b/>
          <w:bCs/>
          <w:sz w:val="24"/>
          <w:szCs w:val="24"/>
        </w:rPr>
        <w:t>6.1 承包人提供的施工设备和临时设施</w:t>
      </w:r>
    </w:p>
    <w:p w14:paraId="29E23D5F">
      <w:pPr>
        <w:spacing w:line="500" w:lineRule="exact"/>
        <w:rPr>
          <w:rFonts w:hint="eastAsia" w:ascii="宋体" w:hAnsi="宋体" w:cs="宋体"/>
          <w:sz w:val="24"/>
          <w:szCs w:val="24"/>
        </w:rPr>
      </w:pPr>
      <w:r>
        <w:rPr>
          <w:rFonts w:hint="eastAsia" w:ascii="宋体" w:hAnsi="宋体" w:cs="宋体"/>
          <w:sz w:val="24"/>
          <w:szCs w:val="24"/>
        </w:rPr>
        <w:t>6.1.1 承包人应按合同进度计划的要求，及时配置施工设备和修建临时设施。进入施工场地的承包人设备需经监理人核查后才能投入使用。承包人更换合同约定的承包人设备的，应报监理人批准。</w:t>
      </w:r>
    </w:p>
    <w:p w14:paraId="0E4AF09E">
      <w:pPr>
        <w:spacing w:line="500" w:lineRule="exact"/>
        <w:rPr>
          <w:rFonts w:hint="eastAsia" w:ascii="宋体" w:hAnsi="宋体" w:cs="宋体"/>
          <w:sz w:val="24"/>
          <w:szCs w:val="24"/>
        </w:rPr>
      </w:pPr>
      <w:r>
        <w:rPr>
          <w:rFonts w:hint="eastAsia" w:ascii="宋体" w:hAnsi="宋体" w:cs="宋体"/>
          <w:sz w:val="24"/>
          <w:szCs w:val="24"/>
        </w:rPr>
        <w:t>6.1.2删除本款中的“ 除专用合同条款另有约定外”。</w:t>
      </w:r>
    </w:p>
    <w:p w14:paraId="3B1783CA">
      <w:pPr>
        <w:spacing w:line="500" w:lineRule="exact"/>
        <w:rPr>
          <w:rFonts w:hint="eastAsia" w:ascii="宋体" w:hAnsi="宋体" w:cs="宋体"/>
          <w:sz w:val="24"/>
          <w:szCs w:val="24"/>
        </w:rPr>
      </w:pPr>
      <w:r>
        <w:rPr>
          <w:rFonts w:hint="eastAsia" w:ascii="宋体" w:hAnsi="宋体" w:cs="宋体"/>
          <w:b/>
          <w:bCs/>
          <w:sz w:val="24"/>
          <w:szCs w:val="24"/>
        </w:rPr>
        <w:t>6.2 发包人提供的施工设备和临时设施</w:t>
      </w:r>
    </w:p>
    <w:p w14:paraId="5941693C">
      <w:pPr>
        <w:spacing w:line="500" w:lineRule="exact"/>
        <w:rPr>
          <w:rFonts w:hint="eastAsia" w:ascii="宋体" w:hAnsi="宋体" w:cs="宋体"/>
          <w:sz w:val="24"/>
          <w:szCs w:val="24"/>
        </w:rPr>
      </w:pPr>
      <w:r>
        <w:rPr>
          <w:rFonts w:hint="eastAsia" w:ascii="宋体" w:hAnsi="宋体" w:cs="宋体"/>
          <w:sz w:val="24"/>
          <w:szCs w:val="24"/>
        </w:rPr>
        <w:t>删除本款，并代之以：发包人在本合同工程中不提供的施工设备或临时设施。</w:t>
      </w:r>
    </w:p>
    <w:p w14:paraId="77BE73CE">
      <w:pPr>
        <w:spacing w:line="500" w:lineRule="exact"/>
        <w:rPr>
          <w:rFonts w:hint="eastAsia" w:ascii="宋体" w:hAnsi="宋体" w:cs="宋体"/>
          <w:b/>
          <w:bCs/>
          <w:sz w:val="24"/>
          <w:szCs w:val="24"/>
        </w:rPr>
      </w:pPr>
      <w:r>
        <w:rPr>
          <w:rFonts w:hint="eastAsia" w:ascii="宋体" w:hAnsi="宋体" w:cs="宋体"/>
          <w:b/>
          <w:bCs/>
          <w:sz w:val="24"/>
          <w:szCs w:val="24"/>
        </w:rPr>
        <w:t>6.3 要求承包人增加或更换施工设备</w:t>
      </w:r>
    </w:p>
    <w:p w14:paraId="6D0D18A1">
      <w:pPr>
        <w:spacing w:line="500" w:lineRule="exact"/>
        <w:rPr>
          <w:rFonts w:hint="eastAsia" w:ascii="宋体" w:hAnsi="宋体" w:cs="宋体"/>
          <w:sz w:val="24"/>
          <w:szCs w:val="24"/>
        </w:rPr>
      </w:pPr>
      <w:r>
        <w:rPr>
          <w:rFonts w:hint="eastAsia" w:ascii="宋体" w:hAnsi="宋体" w:cs="宋体"/>
          <w:sz w:val="24"/>
          <w:szCs w:val="24"/>
        </w:rPr>
        <w:t>承包人使用的施工设备不能满足合同进度计划和（或）质量要求时，监理人有权要求承包人增加或更换施工设备，承包人应及时增加或更换，由此增加的费用和（或）工期延误由承包人承担。</w:t>
      </w:r>
    </w:p>
    <w:p w14:paraId="6C90DCC8">
      <w:pPr>
        <w:spacing w:line="500" w:lineRule="exact"/>
        <w:jc w:val="center"/>
        <w:rPr>
          <w:rFonts w:hint="eastAsia" w:ascii="宋体" w:hAnsi="宋体" w:cs="宋体"/>
          <w:b/>
          <w:bCs/>
          <w:sz w:val="24"/>
          <w:szCs w:val="24"/>
        </w:rPr>
      </w:pPr>
      <w:r>
        <w:rPr>
          <w:rFonts w:hint="eastAsia" w:ascii="宋体" w:hAnsi="宋体" w:cs="宋体"/>
          <w:b/>
          <w:bCs/>
          <w:sz w:val="24"/>
          <w:szCs w:val="24"/>
        </w:rPr>
        <w:t>7、交通运输</w:t>
      </w:r>
    </w:p>
    <w:p w14:paraId="146B23DC">
      <w:pPr>
        <w:spacing w:line="500" w:lineRule="exact"/>
        <w:rPr>
          <w:rFonts w:hint="eastAsia" w:ascii="宋体" w:hAnsi="宋体" w:cs="宋体"/>
          <w:b/>
          <w:bCs/>
          <w:sz w:val="24"/>
          <w:szCs w:val="24"/>
        </w:rPr>
      </w:pPr>
      <w:r>
        <w:rPr>
          <w:rFonts w:hint="eastAsia" w:ascii="宋体" w:hAnsi="宋体" w:cs="宋体"/>
          <w:b/>
          <w:bCs/>
          <w:sz w:val="24"/>
          <w:szCs w:val="24"/>
        </w:rPr>
        <w:t>7.3 场外交通</w:t>
      </w:r>
    </w:p>
    <w:p w14:paraId="39A55017">
      <w:pPr>
        <w:spacing w:line="500" w:lineRule="exact"/>
        <w:rPr>
          <w:rFonts w:hint="eastAsia" w:ascii="宋体" w:hAnsi="宋体" w:cs="宋体"/>
          <w:sz w:val="24"/>
          <w:szCs w:val="24"/>
        </w:rPr>
      </w:pPr>
      <w:r>
        <w:rPr>
          <w:rFonts w:hint="eastAsia" w:ascii="宋体" w:hAnsi="宋体" w:cs="宋体"/>
          <w:sz w:val="24"/>
          <w:szCs w:val="24"/>
        </w:rPr>
        <w:t>7.3.1 承包人车辆外出行驶所需的场外公共道路的通行费、养路费和税款等由承包人承担。</w:t>
      </w:r>
    </w:p>
    <w:p w14:paraId="128BA402">
      <w:pPr>
        <w:spacing w:line="500" w:lineRule="exact"/>
        <w:rPr>
          <w:rFonts w:hint="eastAsia" w:ascii="宋体" w:hAnsi="宋体" w:cs="宋体"/>
          <w:sz w:val="24"/>
          <w:szCs w:val="24"/>
        </w:rPr>
      </w:pPr>
      <w:r>
        <w:rPr>
          <w:rFonts w:hint="eastAsia" w:ascii="宋体" w:hAnsi="宋体" w:cs="宋体"/>
          <w:sz w:val="24"/>
          <w:szCs w:val="24"/>
        </w:rPr>
        <w:t>7.3.2 承包人应遵守有关交通法规，严格按照道路和桥梁的限制荷重安全行驶，并服从交通管理部门的检查和监督。</w:t>
      </w:r>
    </w:p>
    <w:p w14:paraId="6B8503DE">
      <w:pPr>
        <w:spacing w:line="500" w:lineRule="exact"/>
        <w:jc w:val="center"/>
        <w:rPr>
          <w:rFonts w:hint="eastAsia" w:ascii="宋体" w:hAnsi="宋体" w:cs="宋体"/>
          <w:b/>
          <w:bCs/>
          <w:sz w:val="24"/>
          <w:szCs w:val="24"/>
        </w:rPr>
      </w:pPr>
      <w:r>
        <w:rPr>
          <w:rFonts w:hint="eastAsia" w:ascii="宋体" w:hAnsi="宋体" w:cs="宋体"/>
          <w:b/>
          <w:bCs/>
          <w:sz w:val="24"/>
          <w:szCs w:val="24"/>
        </w:rPr>
        <w:t>8、测量放线</w:t>
      </w:r>
    </w:p>
    <w:p w14:paraId="25502568">
      <w:pPr>
        <w:spacing w:line="500" w:lineRule="exact"/>
        <w:rPr>
          <w:rFonts w:hint="eastAsia" w:ascii="宋体" w:hAnsi="宋体" w:cs="宋体"/>
          <w:b/>
          <w:bCs/>
          <w:sz w:val="24"/>
          <w:szCs w:val="24"/>
        </w:rPr>
      </w:pPr>
      <w:r>
        <w:rPr>
          <w:rFonts w:hint="eastAsia" w:ascii="宋体" w:hAnsi="宋体" w:cs="宋体"/>
          <w:b/>
          <w:bCs/>
          <w:sz w:val="24"/>
          <w:szCs w:val="24"/>
        </w:rPr>
        <w:t>8.1 施工控制网</w:t>
      </w:r>
    </w:p>
    <w:p w14:paraId="5F8B26E4">
      <w:pPr>
        <w:spacing w:line="500" w:lineRule="exact"/>
        <w:rPr>
          <w:rFonts w:hint="eastAsia" w:ascii="宋体" w:hAnsi="宋体" w:cs="宋体"/>
          <w:sz w:val="24"/>
          <w:szCs w:val="24"/>
        </w:rPr>
      </w:pPr>
      <w:r>
        <w:rPr>
          <w:rFonts w:hint="eastAsia" w:ascii="宋体" w:hAnsi="宋体" w:cs="宋体"/>
          <w:sz w:val="24"/>
          <w:szCs w:val="24"/>
        </w:rPr>
        <w:t>8.1.1本款中第一个“在专用合同条款约定的期限内”改为“在开工日期14 天前”。本款中第二个“在专用合同条款约定的期限内”改为“在开工日期7 天前”。</w:t>
      </w:r>
    </w:p>
    <w:p w14:paraId="00DF4CC4">
      <w:pPr>
        <w:spacing w:line="500" w:lineRule="exact"/>
        <w:jc w:val="center"/>
        <w:rPr>
          <w:rFonts w:hint="eastAsia" w:ascii="宋体" w:hAnsi="宋体" w:cs="宋体"/>
          <w:b/>
          <w:bCs/>
          <w:sz w:val="24"/>
          <w:szCs w:val="24"/>
        </w:rPr>
      </w:pPr>
      <w:r>
        <w:rPr>
          <w:rFonts w:hint="eastAsia" w:ascii="宋体" w:hAnsi="宋体" w:cs="宋体"/>
          <w:b/>
          <w:bCs/>
          <w:sz w:val="24"/>
          <w:szCs w:val="24"/>
        </w:rPr>
        <w:t>9、施工安全、治安保卫和环境保护</w:t>
      </w:r>
    </w:p>
    <w:p w14:paraId="49A5DD3C">
      <w:pPr>
        <w:spacing w:line="500" w:lineRule="exact"/>
        <w:rPr>
          <w:rFonts w:hint="eastAsia" w:ascii="宋体" w:hAnsi="宋体" w:cs="宋体"/>
          <w:sz w:val="24"/>
          <w:szCs w:val="24"/>
        </w:rPr>
      </w:pPr>
      <w:r>
        <w:rPr>
          <w:rFonts w:hint="eastAsia" w:ascii="宋体" w:hAnsi="宋体" w:cs="宋体"/>
          <w:b/>
          <w:bCs/>
          <w:sz w:val="24"/>
          <w:szCs w:val="24"/>
        </w:rPr>
        <w:t>9.2 承包人的施工安全责任</w:t>
      </w:r>
    </w:p>
    <w:p w14:paraId="28734057">
      <w:pPr>
        <w:spacing w:line="500" w:lineRule="exact"/>
        <w:rPr>
          <w:rFonts w:hint="eastAsia" w:ascii="宋体" w:hAnsi="宋体" w:cs="宋体"/>
          <w:sz w:val="24"/>
          <w:szCs w:val="24"/>
        </w:rPr>
      </w:pPr>
      <w:r>
        <w:rPr>
          <w:rFonts w:hint="eastAsia" w:ascii="宋体" w:hAnsi="宋体" w:cs="宋体"/>
          <w:sz w:val="24"/>
          <w:szCs w:val="24"/>
        </w:rPr>
        <w:t>9.2.1本款中的“并在专用合同条款约定的期限内”改为“并在开工前7天内”。</w:t>
      </w:r>
    </w:p>
    <w:p w14:paraId="72727BDC">
      <w:pPr>
        <w:spacing w:line="500" w:lineRule="exact"/>
        <w:jc w:val="center"/>
        <w:rPr>
          <w:rFonts w:hint="eastAsia" w:ascii="宋体" w:hAnsi="宋体" w:cs="宋体"/>
          <w:b/>
          <w:bCs/>
          <w:sz w:val="24"/>
          <w:szCs w:val="24"/>
        </w:rPr>
      </w:pPr>
      <w:r>
        <w:rPr>
          <w:rFonts w:hint="eastAsia" w:ascii="宋体" w:hAnsi="宋体" w:cs="宋体"/>
          <w:b/>
          <w:bCs/>
          <w:sz w:val="24"/>
          <w:szCs w:val="24"/>
        </w:rPr>
        <w:t>10、进度计划</w:t>
      </w:r>
    </w:p>
    <w:p w14:paraId="0F5EF3E9">
      <w:pPr>
        <w:spacing w:line="500" w:lineRule="exact"/>
        <w:rPr>
          <w:rFonts w:hint="eastAsia" w:ascii="宋体" w:hAnsi="宋体" w:cs="宋体"/>
          <w:b/>
          <w:bCs/>
          <w:sz w:val="24"/>
          <w:szCs w:val="24"/>
        </w:rPr>
      </w:pPr>
      <w:r>
        <w:rPr>
          <w:rFonts w:hint="eastAsia" w:ascii="宋体" w:hAnsi="宋体" w:cs="宋体"/>
          <w:b/>
          <w:bCs/>
          <w:sz w:val="24"/>
          <w:szCs w:val="24"/>
        </w:rPr>
        <w:t>10.1 合同进度计划</w:t>
      </w:r>
    </w:p>
    <w:p w14:paraId="032460ED">
      <w:pPr>
        <w:spacing w:line="500" w:lineRule="exact"/>
        <w:rPr>
          <w:rFonts w:hint="eastAsia" w:ascii="宋体" w:hAnsi="宋体" w:cs="宋体"/>
          <w:sz w:val="24"/>
          <w:szCs w:val="24"/>
        </w:rPr>
      </w:pPr>
      <w:r>
        <w:rPr>
          <w:rFonts w:hint="eastAsia" w:ascii="宋体" w:hAnsi="宋体" w:cs="宋体"/>
          <w:sz w:val="24"/>
          <w:szCs w:val="24"/>
        </w:rPr>
        <w:t>删除本款，并代之以：承包人应在开工7天前，按招标文件的要求、投标文件的承诺、合同约定的工期，国家、行业的质量标准、技术要求、有关本工程的施工规范，其内容应包括施工组织设计、投入的技术人员、主要施工设备、施工方案、网络施工计划、质量保证措施、安全生产组织机构及保证措施、文明施工、环境保护等编制包括全部工程、单位工程和部分工程开工、完工日期等详细的施工进度计划和施工方案说明报送监理人。监理人应在收到承包人的报件后7天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14:paraId="30304406">
      <w:pPr>
        <w:spacing w:line="500" w:lineRule="exact"/>
        <w:rPr>
          <w:rFonts w:hint="eastAsia" w:ascii="宋体" w:hAnsi="宋体" w:cs="宋体"/>
          <w:b/>
          <w:bCs/>
          <w:sz w:val="24"/>
          <w:szCs w:val="24"/>
        </w:rPr>
      </w:pPr>
      <w:r>
        <w:rPr>
          <w:rFonts w:hint="eastAsia" w:ascii="宋体" w:hAnsi="宋体" w:cs="宋体"/>
          <w:b/>
          <w:bCs/>
          <w:sz w:val="24"/>
          <w:szCs w:val="24"/>
        </w:rPr>
        <w:t>10.2 合同进度计划的修订</w:t>
      </w:r>
    </w:p>
    <w:p w14:paraId="4958CF16">
      <w:pPr>
        <w:spacing w:line="500" w:lineRule="exact"/>
        <w:rPr>
          <w:rFonts w:hint="eastAsia" w:ascii="宋体" w:hAnsi="宋体" w:cs="宋体"/>
          <w:sz w:val="24"/>
          <w:szCs w:val="24"/>
        </w:rPr>
      </w:pPr>
      <w:r>
        <w:rPr>
          <w:rFonts w:hint="eastAsia" w:ascii="宋体" w:hAnsi="宋体" w:cs="宋体"/>
          <w:sz w:val="24"/>
          <w:szCs w:val="24"/>
        </w:rPr>
        <w:t>本款中的第一个“在专用合同条款约定的期限内”改为“在发现事实上工程的实际进度与第10.1 款的合同进度计划不符后的3天内”，本款中的第二个“在专用合同条款约定的期限内”改为“在收到承包人提交修订合同进度计划的申请报告或经承包人修订的合同进度计划后的7天内”。</w:t>
      </w:r>
    </w:p>
    <w:p w14:paraId="3B0AC352">
      <w:pPr>
        <w:spacing w:line="500" w:lineRule="exact"/>
        <w:jc w:val="center"/>
        <w:rPr>
          <w:rFonts w:hint="eastAsia" w:ascii="宋体" w:hAnsi="宋体" w:cs="宋体"/>
          <w:b/>
          <w:bCs/>
          <w:sz w:val="24"/>
          <w:szCs w:val="24"/>
        </w:rPr>
      </w:pPr>
      <w:r>
        <w:rPr>
          <w:rFonts w:hint="eastAsia" w:ascii="宋体" w:hAnsi="宋体" w:cs="宋体"/>
          <w:b/>
          <w:bCs/>
          <w:sz w:val="24"/>
          <w:szCs w:val="24"/>
        </w:rPr>
        <w:t>11、开工和竣工</w:t>
      </w:r>
    </w:p>
    <w:p w14:paraId="6B2DEB64">
      <w:pPr>
        <w:spacing w:line="500" w:lineRule="exact"/>
        <w:rPr>
          <w:rFonts w:hint="eastAsia" w:ascii="宋体" w:hAnsi="宋体" w:cs="宋体"/>
          <w:b/>
          <w:bCs/>
          <w:sz w:val="24"/>
          <w:szCs w:val="24"/>
        </w:rPr>
      </w:pPr>
      <w:r>
        <w:rPr>
          <w:rFonts w:hint="eastAsia" w:ascii="宋体" w:hAnsi="宋体" w:cs="宋体"/>
          <w:b/>
          <w:bCs/>
          <w:sz w:val="24"/>
          <w:szCs w:val="24"/>
        </w:rPr>
        <w:t>11.2 竣工</w:t>
      </w:r>
    </w:p>
    <w:p w14:paraId="7A53A6B0">
      <w:pPr>
        <w:spacing w:line="500" w:lineRule="exact"/>
        <w:rPr>
          <w:rFonts w:hint="eastAsia" w:ascii="宋体" w:hAnsi="宋体" w:cs="宋体"/>
          <w:sz w:val="24"/>
          <w:szCs w:val="24"/>
        </w:rPr>
      </w:pPr>
      <w:r>
        <w:rPr>
          <w:rFonts w:hint="eastAsia" w:ascii="宋体" w:hAnsi="宋体" w:cs="宋体"/>
          <w:sz w:val="24"/>
          <w:szCs w:val="24"/>
        </w:rPr>
        <w:t>本款增加：本合同全部工程、单位工程和分部工程的要求完工日期如下表。</w:t>
      </w:r>
    </w:p>
    <w:p w14:paraId="523D1796">
      <w:pPr>
        <w:spacing w:line="320" w:lineRule="exact"/>
        <w:jc w:val="center"/>
        <w:rPr>
          <w:rFonts w:ascii="Tahoma" w:hAnsi="Tahoma" w:eastAsia="新宋体" w:cs="Tahoma"/>
          <w:b/>
          <w:bCs/>
          <w:szCs w:val="21"/>
          <w:lang w:eastAsia="en-US"/>
        </w:rPr>
      </w:pPr>
      <w:r>
        <w:rPr>
          <w:rFonts w:ascii="新宋体" w:hAnsi="新宋体" w:eastAsia="新宋体" w:cs="Tahoma"/>
          <w:b/>
          <w:bCs/>
          <w:szCs w:val="21"/>
          <w:lang w:eastAsia="en-US"/>
        </w:rPr>
        <w:t>要求完工日期表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3687"/>
        <w:gridCol w:w="4552"/>
      </w:tblGrid>
      <w:tr w14:paraId="2A059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144" w:type="dxa"/>
            <w:tcBorders>
              <w:top w:val="single" w:color="auto" w:sz="4" w:space="0"/>
              <w:left w:val="single" w:color="auto" w:sz="4" w:space="0"/>
              <w:bottom w:val="single" w:color="auto" w:sz="4" w:space="0"/>
              <w:right w:val="single" w:color="auto" w:sz="4" w:space="0"/>
            </w:tcBorders>
            <w:noWrap w:val="0"/>
            <w:vAlign w:val="center"/>
          </w:tcPr>
          <w:p w14:paraId="5731FDA5">
            <w:pPr>
              <w:spacing w:line="320" w:lineRule="exact"/>
              <w:jc w:val="center"/>
              <w:rPr>
                <w:rFonts w:ascii="Tahoma" w:hAnsi="Tahoma" w:cs="Tahoma"/>
                <w:szCs w:val="21"/>
                <w:lang w:eastAsia="en-US"/>
              </w:rPr>
            </w:pPr>
            <w:r>
              <w:rPr>
                <w:rFonts w:ascii="Tahoma" w:hAnsi="Times New Roman" w:cs="Tahoma"/>
                <w:szCs w:val="21"/>
                <w:lang w:eastAsia="en-US"/>
              </w:rPr>
              <w:t>序号</w:t>
            </w:r>
          </w:p>
        </w:tc>
        <w:tc>
          <w:tcPr>
            <w:tcW w:w="3687" w:type="dxa"/>
            <w:tcBorders>
              <w:top w:val="single" w:color="auto" w:sz="4" w:space="0"/>
              <w:left w:val="nil"/>
              <w:bottom w:val="single" w:color="auto" w:sz="4" w:space="0"/>
              <w:right w:val="single" w:color="auto" w:sz="4" w:space="0"/>
            </w:tcBorders>
            <w:noWrap w:val="0"/>
            <w:vAlign w:val="center"/>
          </w:tcPr>
          <w:p w14:paraId="713872D8">
            <w:pPr>
              <w:spacing w:line="320" w:lineRule="exact"/>
              <w:jc w:val="center"/>
              <w:rPr>
                <w:rFonts w:ascii="Tahoma" w:hAnsi="Tahoma" w:cs="Tahoma"/>
                <w:szCs w:val="21"/>
                <w:lang w:eastAsia="en-US"/>
              </w:rPr>
            </w:pPr>
            <w:r>
              <w:rPr>
                <w:rFonts w:ascii="Tahoma" w:hAnsi="Times New Roman" w:cs="Tahoma"/>
                <w:szCs w:val="21"/>
                <w:lang w:eastAsia="en-US"/>
              </w:rPr>
              <w:t>项目</w:t>
            </w:r>
          </w:p>
        </w:tc>
        <w:tc>
          <w:tcPr>
            <w:tcW w:w="4552" w:type="dxa"/>
            <w:tcBorders>
              <w:top w:val="single" w:color="auto" w:sz="4" w:space="0"/>
              <w:left w:val="nil"/>
              <w:bottom w:val="single" w:color="auto" w:sz="4" w:space="0"/>
              <w:right w:val="single" w:color="auto" w:sz="4" w:space="0"/>
            </w:tcBorders>
            <w:noWrap w:val="0"/>
            <w:vAlign w:val="center"/>
          </w:tcPr>
          <w:p w14:paraId="01163382">
            <w:pPr>
              <w:spacing w:line="320" w:lineRule="exact"/>
              <w:jc w:val="center"/>
              <w:rPr>
                <w:rFonts w:ascii="Tahoma" w:hAnsi="Tahoma" w:cs="Tahoma"/>
                <w:szCs w:val="21"/>
                <w:lang w:eastAsia="en-US"/>
              </w:rPr>
            </w:pPr>
            <w:r>
              <w:rPr>
                <w:rFonts w:ascii="Tahoma" w:hAnsi="Times New Roman" w:cs="Tahoma"/>
                <w:szCs w:val="21"/>
                <w:lang w:eastAsia="en-US"/>
              </w:rPr>
              <w:t>要求完工日期</w:t>
            </w:r>
          </w:p>
        </w:tc>
      </w:tr>
      <w:tr w14:paraId="7F1AA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144" w:type="dxa"/>
            <w:tcBorders>
              <w:top w:val="single" w:color="auto" w:sz="4" w:space="0"/>
              <w:left w:val="single" w:color="auto" w:sz="4" w:space="0"/>
              <w:bottom w:val="single" w:color="auto" w:sz="4" w:space="0"/>
              <w:right w:val="single" w:color="auto" w:sz="4" w:space="0"/>
            </w:tcBorders>
            <w:noWrap w:val="0"/>
            <w:vAlign w:val="center"/>
          </w:tcPr>
          <w:p w14:paraId="3EFAAB17">
            <w:pPr>
              <w:spacing w:line="320" w:lineRule="exact"/>
              <w:jc w:val="center"/>
              <w:rPr>
                <w:rFonts w:ascii="Tahoma" w:hAnsi="Tahoma" w:cs="Tahoma"/>
                <w:szCs w:val="21"/>
                <w:lang w:eastAsia="en-US"/>
              </w:rPr>
            </w:pPr>
            <w:r>
              <w:rPr>
                <w:rFonts w:ascii="Tahoma" w:hAnsi="Tahoma" w:cs="Tahoma"/>
                <w:szCs w:val="21"/>
                <w:lang w:eastAsia="en-US"/>
              </w:rPr>
              <w:t>1</w:t>
            </w:r>
          </w:p>
        </w:tc>
        <w:tc>
          <w:tcPr>
            <w:tcW w:w="3687" w:type="dxa"/>
            <w:tcBorders>
              <w:top w:val="single" w:color="auto" w:sz="4" w:space="0"/>
              <w:left w:val="nil"/>
              <w:bottom w:val="single" w:color="auto" w:sz="4" w:space="0"/>
              <w:right w:val="single" w:color="auto" w:sz="4" w:space="0"/>
            </w:tcBorders>
            <w:noWrap w:val="0"/>
            <w:vAlign w:val="center"/>
          </w:tcPr>
          <w:p w14:paraId="5C75EA3E">
            <w:pPr>
              <w:spacing w:line="320" w:lineRule="exact"/>
              <w:jc w:val="center"/>
              <w:rPr>
                <w:rFonts w:ascii="Tahoma" w:hAnsi="Tahoma" w:cs="Tahoma"/>
                <w:szCs w:val="21"/>
                <w:lang w:eastAsia="en-US"/>
              </w:rPr>
            </w:pPr>
            <w:r>
              <w:rPr>
                <w:rFonts w:ascii="Tahoma" w:hAnsi="Times New Roman" w:cs="Tahoma"/>
                <w:szCs w:val="21"/>
                <w:lang w:eastAsia="en-US"/>
              </w:rPr>
              <w:t>土方工程</w:t>
            </w:r>
          </w:p>
        </w:tc>
        <w:tc>
          <w:tcPr>
            <w:tcW w:w="4552" w:type="dxa"/>
            <w:tcBorders>
              <w:top w:val="single" w:color="auto" w:sz="4" w:space="0"/>
              <w:left w:val="nil"/>
              <w:bottom w:val="single" w:color="auto" w:sz="4" w:space="0"/>
              <w:right w:val="single" w:color="auto" w:sz="4" w:space="0"/>
            </w:tcBorders>
            <w:noWrap w:val="0"/>
            <w:vAlign w:val="center"/>
          </w:tcPr>
          <w:p w14:paraId="248FD3C8">
            <w:pPr>
              <w:spacing w:line="320" w:lineRule="exact"/>
              <w:jc w:val="center"/>
              <w:rPr>
                <w:rFonts w:ascii="Tahoma" w:hAnsi="Tahoma" w:cs="Tahoma"/>
                <w:szCs w:val="21"/>
                <w:lang w:eastAsia="en-US"/>
              </w:rPr>
            </w:pPr>
            <w:r>
              <w:rPr>
                <w:rFonts w:ascii="Tahoma" w:hAnsi="Times New Roman" w:cs="Tahoma"/>
                <w:szCs w:val="21"/>
                <w:lang w:eastAsia="en-US"/>
              </w:rPr>
              <w:t>按合同约定</w:t>
            </w:r>
          </w:p>
        </w:tc>
      </w:tr>
      <w:tr w14:paraId="663E4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144" w:type="dxa"/>
            <w:tcBorders>
              <w:top w:val="single" w:color="auto" w:sz="4" w:space="0"/>
              <w:left w:val="single" w:color="auto" w:sz="4" w:space="0"/>
              <w:bottom w:val="single" w:color="auto" w:sz="4" w:space="0"/>
              <w:right w:val="single" w:color="auto" w:sz="4" w:space="0"/>
            </w:tcBorders>
            <w:noWrap w:val="0"/>
            <w:vAlign w:val="center"/>
          </w:tcPr>
          <w:p w14:paraId="1F97014A">
            <w:pPr>
              <w:spacing w:line="320" w:lineRule="exact"/>
              <w:jc w:val="center"/>
              <w:rPr>
                <w:rFonts w:hint="eastAsia" w:ascii="Tahoma" w:hAnsi="Tahoma" w:cs="Tahoma"/>
                <w:szCs w:val="21"/>
                <w:lang w:eastAsia="en-US"/>
              </w:rPr>
            </w:pPr>
            <w:r>
              <w:rPr>
                <w:rFonts w:ascii="Tahoma" w:hAnsi="Tahoma" w:cs="Tahoma"/>
                <w:szCs w:val="21"/>
                <w:lang w:eastAsia="en-US"/>
              </w:rPr>
              <w:t>2</w:t>
            </w:r>
          </w:p>
        </w:tc>
        <w:tc>
          <w:tcPr>
            <w:tcW w:w="3687" w:type="dxa"/>
            <w:tcBorders>
              <w:top w:val="single" w:color="auto" w:sz="4" w:space="0"/>
              <w:left w:val="nil"/>
              <w:bottom w:val="single" w:color="auto" w:sz="4" w:space="0"/>
              <w:right w:val="single" w:color="auto" w:sz="4" w:space="0"/>
            </w:tcBorders>
            <w:noWrap w:val="0"/>
            <w:vAlign w:val="center"/>
          </w:tcPr>
          <w:p w14:paraId="2FD44238">
            <w:pPr>
              <w:spacing w:line="320" w:lineRule="exact"/>
              <w:jc w:val="center"/>
              <w:rPr>
                <w:rFonts w:ascii="Tahoma" w:hAnsi="Tahoma" w:cs="Tahoma"/>
                <w:szCs w:val="21"/>
                <w:lang w:eastAsia="en-US"/>
              </w:rPr>
            </w:pPr>
            <w:r>
              <w:rPr>
                <w:rFonts w:hint="eastAsia" w:ascii="Tahoma" w:hAnsi="Times New Roman" w:cs="Tahoma"/>
                <w:szCs w:val="21"/>
                <w:lang w:eastAsia="en-US"/>
              </w:rPr>
              <w:t>砼</w:t>
            </w:r>
            <w:r>
              <w:rPr>
                <w:rFonts w:ascii="Tahoma" w:hAnsi="Times New Roman" w:cs="Tahoma"/>
                <w:szCs w:val="21"/>
                <w:lang w:eastAsia="en-US"/>
              </w:rPr>
              <w:t>工程</w:t>
            </w:r>
          </w:p>
        </w:tc>
        <w:tc>
          <w:tcPr>
            <w:tcW w:w="4552" w:type="dxa"/>
            <w:tcBorders>
              <w:top w:val="single" w:color="auto" w:sz="4" w:space="0"/>
              <w:left w:val="nil"/>
              <w:bottom w:val="single" w:color="auto" w:sz="4" w:space="0"/>
              <w:right w:val="single" w:color="auto" w:sz="4" w:space="0"/>
            </w:tcBorders>
            <w:noWrap w:val="0"/>
            <w:vAlign w:val="center"/>
          </w:tcPr>
          <w:p w14:paraId="3E86B34F">
            <w:pPr>
              <w:spacing w:line="320" w:lineRule="exact"/>
              <w:jc w:val="center"/>
              <w:rPr>
                <w:rFonts w:ascii="Tahoma" w:hAnsi="Tahoma" w:cs="Tahoma"/>
                <w:szCs w:val="21"/>
                <w:lang w:eastAsia="en-US"/>
              </w:rPr>
            </w:pPr>
            <w:r>
              <w:rPr>
                <w:rFonts w:ascii="Tahoma" w:hAnsi="Times New Roman" w:cs="Tahoma"/>
                <w:szCs w:val="21"/>
                <w:lang w:eastAsia="en-US"/>
              </w:rPr>
              <w:t>按合同约定</w:t>
            </w:r>
          </w:p>
        </w:tc>
      </w:tr>
      <w:tr w14:paraId="421D2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144" w:type="dxa"/>
            <w:tcBorders>
              <w:top w:val="single" w:color="auto" w:sz="4" w:space="0"/>
              <w:left w:val="single" w:color="auto" w:sz="4" w:space="0"/>
              <w:bottom w:val="single" w:color="auto" w:sz="4" w:space="0"/>
              <w:right w:val="single" w:color="auto" w:sz="4" w:space="0"/>
            </w:tcBorders>
            <w:noWrap w:val="0"/>
            <w:vAlign w:val="center"/>
          </w:tcPr>
          <w:p w14:paraId="68DC58A1">
            <w:pPr>
              <w:spacing w:line="320" w:lineRule="exact"/>
              <w:jc w:val="center"/>
              <w:rPr>
                <w:rFonts w:hint="eastAsia" w:ascii="Tahoma" w:hAnsi="Tahoma" w:cs="Tahoma"/>
                <w:szCs w:val="21"/>
                <w:lang w:eastAsia="en-US"/>
              </w:rPr>
            </w:pPr>
            <w:r>
              <w:rPr>
                <w:rFonts w:ascii="Tahoma" w:hAnsi="Tahoma" w:cs="Tahoma"/>
                <w:szCs w:val="21"/>
                <w:lang w:eastAsia="en-US"/>
              </w:rPr>
              <w:t>3</w:t>
            </w:r>
          </w:p>
        </w:tc>
        <w:tc>
          <w:tcPr>
            <w:tcW w:w="3687" w:type="dxa"/>
            <w:tcBorders>
              <w:top w:val="single" w:color="auto" w:sz="4" w:space="0"/>
              <w:left w:val="nil"/>
              <w:bottom w:val="single" w:color="auto" w:sz="4" w:space="0"/>
              <w:right w:val="single" w:color="auto" w:sz="4" w:space="0"/>
            </w:tcBorders>
            <w:noWrap w:val="0"/>
            <w:vAlign w:val="center"/>
          </w:tcPr>
          <w:p w14:paraId="77DD8E6A">
            <w:pPr>
              <w:spacing w:line="320" w:lineRule="exact"/>
              <w:jc w:val="center"/>
              <w:rPr>
                <w:rFonts w:ascii="Tahoma" w:hAnsi="Times New Roman" w:cs="Tahoma"/>
                <w:szCs w:val="21"/>
                <w:lang w:eastAsia="en-US"/>
              </w:rPr>
            </w:pPr>
            <w:r>
              <w:rPr>
                <w:rFonts w:hint="eastAsia" w:ascii="Tahoma" w:hAnsi="Times New Roman" w:cs="Tahoma"/>
                <w:szCs w:val="21"/>
                <w:lang w:eastAsia="en-US"/>
              </w:rPr>
              <w:t>机电设备及安装工程</w:t>
            </w:r>
          </w:p>
        </w:tc>
        <w:tc>
          <w:tcPr>
            <w:tcW w:w="4552" w:type="dxa"/>
            <w:tcBorders>
              <w:top w:val="single" w:color="auto" w:sz="4" w:space="0"/>
              <w:left w:val="nil"/>
              <w:bottom w:val="single" w:color="auto" w:sz="4" w:space="0"/>
              <w:right w:val="single" w:color="auto" w:sz="4" w:space="0"/>
            </w:tcBorders>
            <w:noWrap w:val="0"/>
            <w:vAlign w:val="center"/>
          </w:tcPr>
          <w:p w14:paraId="5C7B81B3">
            <w:pPr>
              <w:spacing w:line="320" w:lineRule="exact"/>
              <w:jc w:val="center"/>
              <w:rPr>
                <w:rFonts w:hint="eastAsia" w:ascii="Tahoma" w:hAnsi="Times New Roman" w:cs="Tahoma"/>
                <w:szCs w:val="21"/>
                <w:lang w:eastAsia="en-US"/>
              </w:rPr>
            </w:pPr>
            <w:r>
              <w:rPr>
                <w:rFonts w:ascii="Tahoma" w:hAnsi="Times New Roman" w:cs="Tahoma"/>
                <w:szCs w:val="21"/>
                <w:lang w:eastAsia="en-US"/>
              </w:rPr>
              <w:t>按合同约定</w:t>
            </w:r>
          </w:p>
        </w:tc>
      </w:tr>
      <w:tr w14:paraId="556E8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144" w:type="dxa"/>
            <w:tcBorders>
              <w:top w:val="single" w:color="auto" w:sz="4" w:space="0"/>
              <w:left w:val="single" w:color="auto" w:sz="4" w:space="0"/>
              <w:bottom w:val="single" w:color="auto" w:sz="4" w:space="0"/>
              <w:right w:val="single" w:color="auto" w:sz="4" w:space="0"/>
            </w:tcBorders>
            <w:noWrap w:val="0"/>
            <w:vAlign w:val="center"/>
          </w:tcPr>
          <w:p w14:paraId="656D33FD">
            <w:pPr>
              <w:spacing w:line="320" w:lineRule="exact"/>
              <w:jc w:val="center"/>
              <w:rPr>
                <w:rFonts w:ascii="Tahoma" w:hAnsi="Tahoma" w:cs="Tahoma"/>
                <w:szCs w:val="21"/>
                <w:lang w:eastAsia="en-US"/>
              </w:rPr>
            </w:pPr>
            <w:r>
              <w:rPr>
                <w:rFonts w:hint="eastAsia" w:ascii="Tahoma" w:hAnsi="Tahoma" w:cs="Tahoma"/>
                <w:szCs w:val="21"/>
                <w:lang w:eastAsia="en-US"/>
              </w:rPr>
              <w:t>4</w:t>
            </w:r>
          </w:p>
        </w:tc>
        <w:tc>
          <w:tcPr>
            <w:tcW w:w="3687" w:type="dxa"/>
            <w:tcBorders>
              <w:top w:val="single" w:color="auto" w:sz="4" w:space="0"/>
              <w:left w:val="nil"/>
              <w:bottom w:val="single" w:color="auto" w:sz="4" w:space="0"/>
              <w:right w:val="single" w:color="auto" w:sz="4" w:space="0"/>
            </w:tcBorders>
            <w:noWrap w:val="0"/>
            <w:vAlign w:val="center"/>
          </w:tcPr>
          <w:p w14:paraId="041C8C3F">
            <w:pPr>
              <w:spacing w:line="320" w:lineRule="exact"/>
              <w:jc w:val="center"/>
              <w:rPr>
                <w:rFonts w:ascii="Tahoma" w:hAnsi="Times New Roman" w:cs="Tahoma"/>
                <w:szCs w:val="21"/>
              </w:rPr>
            </w:pPr>
            <w:r>
              <w:rPr>
                <w:rFonts w:hint="eastAsia" w:ascii="Tahoma" w:hAnsi="Times New Roman" w:cs="Tahoma"/>
                <w:szCs w:val="21"/>
              </w:rPr>
              <w:t>金属结构设备及安全工程</w:t>
            </w:r>
          </w:p>
        </w:tc>
        <w:tc>
          <w:tcPr>
            <w:tcW w:w="4552" w:type="dxa"/>
            <w:tcBorders>
              <w:top w:val="single" w:color="auto" w:sz="4" w:space="0"/>
              <w:left w:val="nil"/>
              <w:bottom w:val="single" w:color="auto" w:sz="4" w:space="0"/>
              <w:right w:val="single" w:color="auto" w:sz="4" w:space="0"/>
            </w:tcBorders>
            <w:noWrap w:val="0"/>
            <w:vAlign w:val="center"/>
          </w:tcPr>
          <w:p w14:paraId="7DA22F54">
            <w:pPr>
              <w:spacing w:line="320" w:lineRule="exact"/>
              <w:jc w:val="center"/>
              <w:rPr>
                <w:rFonts w:hint="eastAsia" w:ascii="Tahoma" w:hAnsi="Times New Roman" w:cs="Tahoma"/>
                <w:szCs w:val="21"/>
                <w:lang w:eastAsia="en-US"/>
              </w:rPr>
            </w:pPr>
            <w:r>
              <w:rPr>
                <w:rFonts w:ascii="Tahoma" w:hAnsi="Times New Roman" w:cs="Tahoma"/>
                <w:szCs w:val="21"/>
                <w:lang w:eastAsia="en-US"/>
              </w:rPr>
              <w:t>按合同约定</w:t>
            </w:r>
          </w:p>
        </w:tc>
      </w:tr>
      <w:tr w14:paraId="7D5A5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144" w:type="dxa"/>
            <w:tcBorders>
              <w:top w:val="single" w:color="auto" w:sz="4" w:space="0"/>
              <w:left w:val="single" w:color="auto" w:sz="4" w:space="0"/>
              <w:bottom w:val="single" w:color="auto" w:sz="4" w:space="0"/>
              <w:right w:val="single" w:color="auto" w:sz="4" w:space="0"/>
            </w:tcBorders>
            <w:noWrap w:val="0"/>
            <w:vAlign w:val="center"/>
          </w:tcPr>
          <w:p w14:paraId="41A67593">
            <w:pPr>
              <w:spacing w:line="320" w:lineRule="exact"/>
              <w:jc w:val="center"/>
              <w:rPr>
                <w:rFonts w:ascii="Tahoma" w:hAnsi="Tahoma" w:cs="Tahoma"/>
                <w:szCs w:val="21"/>
                <w:lang w:eastAsia="en-US"/>
              </w:rPr>
            </w:pPr>
            <w:r>
              <w:rPr>
                <w:rFonts w:ascii="Tahoma" w:hAnsi="Tahoma" w:cs="Tahoma"/>
                <w:szCs w:val="21"/>
                <w:lang w:eastAsia="en-US"/>
              </w:rPr>
              <w:t>5</w:t>
            </w:r>
          </w:p>
        </w:tc>
        <w:tc>
          <w:tcPr>
            <w:tcW w:w="3687" w:type="dxa"/>
            <w:tcBorders>
              <w:top w:val="single" w:color="auto" w:sz="4" w:space="0"/>
              <w:left w:val="nil"/>
              <w:bottom w:val="single" w:color="auto" w:sz="4" w:space="0"/>
              <w:right w:val="single" w:color="auto" w:sz="4" w:space="0"/>
            </w:tcBorders>
            <w:noWrap w:val="0"/>
            <w:vAlign w:val="center"/>
          </w:tcPr>
          <w:p w14:paraId="23539728">
            <w:pPr>
              <w:spacing w:line="320" w:lineRule="exact"/>
              <w:jc w:val="center"/>
              <w:rPr>
                <w:rFonts w:ascii="Tahoma" w:hAnsi="Tahoma" w:cs="Tahoma"/>
                <w:szCs w:val="21"/>
                <w:lang w:eastAsia="en-US"/>
              </w:rPr>
            </w:pPr>
            <w:r>
              <w:rPr>
                <w:rFonts w:ascii="Tahoma" w:hAnsi="Times New Roman" w:cs="Tahoma"/>
                <w:szCs w:val="21"/>
                <w:lang w:eastAsia="en-US"/>
              </w:rPr>
              <w:t>全部合同工程</w:t>
            </w:r>
          </w:p>
        </w:tc>
        <w:tc>
          <w:tcPr>
            <w:tcW w:w="4552" w:type="dxa"/>
            <w:tcBorders>
              <w:top w:val="single" w:color="auto" w:sz="4" w:space="0"/>
              <w:left w:val="nil"/>
              <w:bottom w:val="single" w:color="auto" w:sz="4" w:space="0"/>
              <w:right w:val="single" w:color="auto" w:sz="4" w:space="0"/>
            </w:tcBorders>
            <w:noWrap w:val="0"/>
            <w:vAlign w:val="center"/>
          </w:tcPr>
          <w:p w14:paraId="0C2E4C7C">
            <w:pPr>
              <w:spacing w:line="320" w:lineRule="exact"/>
              <w:jc w:val="center"/>
              <w:rPr>
                <w:rFonts w:ascii="Tahoma" w:hAnsi="Tahoma" w:cs="Tahoma"/>
                <w:szCs w:val="21"/>
                <w:lang w:eastAsia="en-US"/>
              </w:rPr>
            </w:pPr>
            <w:r>
              <w:rPr>
                <w:rFonts w:ascii="Tahoma" w:hAnsi="Times New Roman" w:cs="Tahoma"/>
                <w:szCs w:val="21"/>
                <w:lang w:eastAsia="en-US"/>
              </w:rPr>
              <w:t>按合同约定</w:t>
            </w:r>
          </w:p>
        </w:tc>
      </w:tr>
    </w:tbl>
    <w:p w14:paraId="18C928F0">
      <w:pPr>
        <w:spacing w:line="500" w:lineRule="exact"/>
        <w:rPr>
          <w:rFonts w:hint="eastAsia" w:ascii="宋体" w:hAnsi="宋体" w:cs="宋体"/>
          <w:b/>
          <w:bCs/>
          <w:sz w:val="24"/>
          <w:szCs w:val="24"/>
        </w:rPr>
      </w:pPr>
      <w:r>
        <w:rPr>
          <w:rFonts w:hint="eastAsia" w:ascii="宋体" w:hAnsi="宋体" w:cs="宋体"/>
          <w:b/>
          <w:bCs/>
          <w:sz w:val="24"/>
          <w:szCs w:val="24"/>
        </w:rPr>
        <w:t>11.4 异常恶劣的气候条件</w:t>
      </w:r>
    </w:p>
    <w:p w14:paraId="3077DD52">
      <w:pPr>
        <w:spacing w:line="500" w:lineRule="exact"/>
        <w:rPr>
          <w:rFonts w:hint="eastAsia" w:ascii="宋体" w:hAnsi="宋体" w:cs="宋体"/>
          <w:sz w:val="24"/>
          <w:szCs w:val="24"/>
        </w:rPr>
      </w:pPr>
      <w:r>
        <w:rPr>
          <w:rFonts w:hint="eastAsia" w:ascii="宋体" w:hAnsi="宋体" w:cs="宋体"/>
          <w:sz w:val="24"/>
          <w:szCs w:val="24"/>
        </w:rPr>
        <w:t>异常恶劣气候的条件：是指一旦出现的自然气候条件如果坚持施工，会导致施工人员的人身伤亡、财产的严重损失和不可预见的重大事故等，如狂风、特大冰雹等，其气候条件已得到国家气象部门的严重预警或已达到国家关于异常恶劣气候条件的划分标准的气候条件。</w:t>
      </w:r>
    </w:p>
    <w:p w14:paraId="40E5F831">
      <w:pPr>
        <w:spacing w:line="500" w:lineRule="exact"/>
        <w:rPr>
          <w:rFonts w:hint="eastAsia" w:ascii="宋体" w:hAnsi="宋体" w:cs="宋体"/>
          <w:b/>
          <w:bCs/>
          <w:sz w:val="24"/>
          <w:szCs w:val="24"/>
        </w:rPr>
      </w:pPr>
      <w:r>
        <w:rPr>
          <w:rFonts w:hint="eastAsia" w:ascii="宋体" w:hAnsi="宋体" w:cs="宋体"/>
          <w:b/>
          <w:bCs/>
          <w:sz w:val="24"/>
          <w:szCs w:val="24"/>
        </w:rPr>
        <w:t>11.5 承包人的工期延误</w:t>
      </w:r>
    </w:p>
    <w:p w14:paraId="2D578F42">
      <w:pPr>
        <w:spacing w:line="500" w:lineRule="exact"/>
        <w:rPr>
          <w:rFonts w:hint="eastAsia" w:ascii="宋体" w:hAnsi="宋体" w:cs="宋体"/>
          <w:sz w:val="24"/>
          <w:szCs w:val="24"/>
        </w:rPr>
      </w:pPr>
      <w:r>
        <w:rPr>
          <w:rFonts w:hint="eastAsia" w:ascii="宋体" w:hAnsi="宋体" w:cs="宋体"/>
          <w:sz w:val="24"/>
          <w:szCs w:val="24"/>
        </w:rPr>
        <w:t>本款增加：因承包人原因造成竣工日期延误，逾期竣工违约金的计算方法为：由于承包人原因，未能按合同进度计划完成工作，或监理人认为承包人工作进度不能满足合同工期要求的，承包人应采取措施加快进度，并承担加快进度所增加的费用。由于承包人原因造成工期延误，承包人应支付逾期竣工违约金，违约金计算方法如下。承包人支付逾期竣工违约金，不免除承包人完成工作及修补缺陷的义务。</w:t>
      </w:r>
    </w:p>
    <w:p w14:paraId="29E12DDE">
      <w:pPr>
        <w:spacing w:line="500" w:lineRule="exact"/>
        <w:ind w:firstLine="480" w:firstLineChars="200"/>
        <w:rPr>
          <w:rFonts w:hint="eastAsia" w:ascii="宋体" w:hAnsi="宋体" w:cs="宋体"/>
          <w:sz w:val="24"/>
          <w:szCs w:val="24"/>
        </w:rPr>
      </w:pPr>
      <w:r>
        <w:rPr>
          <w:rFonts w:hint="eastAsia" w:ascii="宋体" w:hAnsi="宋体" w:cs="宋体"/>
          <w:sz w:val="24"/>
          <w:szCs w:val="24"/>
        </w:rPr>
        <w:t>承包人原因造成工期延误的，延误60日历天及以内的，承包人应支付人民币20000元/天的逾期竣工违约金；延误120日历天及以内的，承包人应支付人民币50000元/天的逾期竣工违约金；延误120日历天以上的，承包人应支付人民币200000元/天的逾期竣工违约金；并由承包人承担由此产生的一切损失；最终违约金的金额不应超过本合同履约担保的50%。</w:t>
      </w:r>
    </w:p>
    <w:p w14:paraId="792101AA">
      <w:pPr>
        <w:spacing w:line="500" w:lineRule="exact"/>
        <w:rPr>
          <w:rFonts w:hint="eastAsia" w:ascii="宋体" w:hAnsi="宋体" w:cs="宋体"/>
          <w:sz w:val="24"/>
          <w:szCs w:val="24"/>
        </w:rPr>
      </w:pPr>
      <w:r>
        <w:rPr>
          <w:rFonts w:hint="eastAsia" w:ascii="宋体" w:hAnsi="宋体" w:cs="宋体"/>
          <w:sz w:val="24"/>
          <w:szCs w:val="24"/>
        </w:rPr>
        <w:t>如因承包人的原因造成工期严重滞后，又无明显改进措施的，发包人有权单方面终止本承包合同并要求承包人无条件退场，并由承包人承担由此产生的一切损失。同时，发包人有权按照法律法规确定符合条件的施工单位进场施工，相关费用经审计确认后从承包人合同价款中扣除。</w:t>
      </w:r>
    </w:p>
    <w:p w14:paraId="69CFD42C">
      <w:pPr>
        <w:spacing w:line="500" w:lineRule="exact"/>
        <w:rPr>
          <w:rFonts w:hint="eastAsia" w:ascii="宋体" w:hAnsi="宋体" w:cs="宋体"/>
          <w:sz w:val="24"/>
          <w:szCs w:val="24"/>
        </w:rPr>
      </w:pPr>
      <w:r>
        <w:rPr>
          <w:rFonts w:hint="eastAsia" w:ascii="宋体" w:hAnsi="宋体" w:cs="宋体"/>
          <w:sz w:val="24"/>
          <w:szCs w:val="24"/>
        </w:rPr>
        <w:t>如果承包人因为下列某一个原因而被延误，承包人有权申请延长工期：发包人发生了重大方案变更，同时需要承包人发生较大返工或停工；发生了某种不可抗力事件或异常恶劣的气候条件；施工过程中非承包方原因停工或延误的。</w:t>
      </w:r>
    </w:p>
    <w:p w14:paraId="43437D69">
      <w:pPr>
        <w:spacing w:line="500" w:lineRule="exact"/>
        <w:rPr>
          <w:rFonts w:hint="eastAsia" w:ascii="宋体" w:hAnsi="宋体" w:cs="宋体"/>
          <w:sz w:val="24"/>
          <w:szCs w:val="24"/>
        </w:rPr>
      </w:pPr>
      <w:r>
        <w:rPr>
          <w:rFonts w:hint="eastAsia" w:ascii="宋体" w:hAnsi="宋体" w:cs="宋体"/>
          <w:sz w:val="24"/>
          <w:szCs w:val="24"/>
        </w:rPr>
        <w:t>由于发包人责任造成工期延误，由发包人承担赶工费用外，并顺延工期；由承包人责任造成工期延误除自行承担采取赴工措施所增加费用外，还应支付逾期完工违约金，逾期竣工违约金的计算方法：</w:t>
      </w:r>
    </w:p>
    <w:p w14:paraId="7B4D790F">
      <w:pPr>
        <w:pStyle w:val="33"/>
        <w:spacing w:line="320" w:lineRule="exact"/>
        <w:jc w:val="center"/>
        <w:rPr>
          <w:rFonts w:ascii="Tahoma" w:hAnsi="Tahoma" w:eastAsia="新宋体" w:cs="Tahoma"/>
          <w:b/>
          <w:szCs w:val="21"/>
        </w:rPr>
      </w:pPr>
      <w:r>
        <w:rPr>
          <w:rFonts w:hint="eastAsia" w:ascii="新宋体" w:hAnsi="新宋体" w:eastAsia="新宋体" w:cs="Tahoma"/>
          <w:b/>
          <w:szCs w:val="21"/>
        </w:rPr>
        <w:t>逾期完工违约金表</w:t>
      </w:r>
    </w:p>
    <w:tbl>
      <w:tblPr>
        <w:tblStyle w:val="17"/>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3055"/>
        <w:gridCol w:w="2557"/>
        <w:gridCol w:w="2971"/>
      </w:tblGrid>
      <w:tr w14:paraId="3C6AD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14:paraId="0AC182C7">
            <w:pPr>
              <w:pStyle w:val="33"/>
              <w:spacing w:line="320" w:lineRule="exact"/>
              <w:jc w:val="center"/>
              <w:rPr>
                <w:szCs w:val="21"/>
              </w:rPr>
            </w:pPr>
            <w:r>
              <w:rPr>
                <w:rFonts w:hint="eastAsia"/>
                <w:szCs w:val="21"/>
              </w:rPr>
              <w:t>序号</w:t>
            </w:r>
          </w:p>
        </w:tc>
        <w:tc>
          <w:tcPr>
            <w:tcW w:w="3055" w:type="dxa"/>
            <w:tcBorders>
              <w:top w:val="single" w:color="auto" w:sz="4" w:space="0"/>
              <w:left w:val="nil"/>
              <w:bottom w:val="single" w:color="auto" w:sz="4" w:space="0"/>
              <w:right w:val="single" w:color="auto" w:sz="4" w:space="0"/>
            </w:tcBorders>
            <w:noWrap w:val="0"/>
            <w:vAlign w:val="center"/>
          </w:tcPr>
          <w:p w14:paraId="33007729">
            <w:pPr>
              <w:pStyle w:val="33"/>
              <w:spacing w:line="320" w:lineRule="exact"/>
              <w:jc w:val="center"/>
              <w:rPr>
                <w:szCs w:val="21"/>
              </w:rPr>
            </w:pPr>
            <w:r>
              <w:rPr>
                <w:rFonts w:hint="eastAsia"/>
                <w:szCs w:val="21"/>
              </w:rPr>
              <w:t>项目</w:t>
            </w:r>
          </w:p>
        </w:tc>
        <w:tc>
          <w:tcPr>
            <w:tcW w:w="2557" w:type="dxa"/>
            <w:tcBorders>
              <w:top w:val="single" w:color="auto" w:sz="4" w:space="0"/>
              <w:left w:val="nil"/>
              <w:bottom w:val="single" w:color="auto" w:sz="4" w:space="0"/>
              <w:right w:val="single" w:color="auto" w:sz="4" w:space="0"/>
            </w:tcBorders>
            <w:noWrap w:val="0"/>
            <w:vAlign w:val="center"/>
          </w:tcPr>
          <w:p w14:paraId="7EAFA38A">
            <w:pPr>
              <w:pStyle w:val="33"/>
              <w:spacing w:line="320" w:lineRule="exact"/>
              <w:jc w:val="center"/>
              <w:rPr>
                <w:szCs w:val="21"/>
              </w:rPr>
            </w:pPr>
            <w:r>
              <w:rPr>
                <w:rFonts w:hint="eastAsia"/>
                <w:szCs w:val="21"/>
              </w:rPr>
              <w:t>要求完工日期</w:t>
            </w:r>
          </w:p>
        </w:tc>
        <w:tc>
          <w:tcPr>
            <w:tcW w:w="2971" w:type="dxa"/>
            <w:tcBorders>
              <w:top w:val="single" w:color="auto" w:sz="4" w:space="0"/>
              <w:left w:val="nil"/>
              <w:bottom w:val="single" w:color="auto" w:sz="4" w:space="0"/>
              <w:right w:val="single" w:color="auto" w:sz="4" w:space="0"/>
            </w:tcBorders>
            <w:noWrap w:val="0"/>
            <w:vAlign w:val="center"/>
          </w:tcPr>
          <w:p w14:paraId="304EBF4B">
            <w:pPr>
              <w:pStyle w:val="33"/>
              <w:spacing w:line="320" w:lineRule="exact"/>
              <w:jc w:val="center"/>
              <w:rPr>
                <w:szCs w:val="21"/>
                <w:lang w:eastAsia="zh-CN"/>
              </w:rPr>
            </w:pPr>
            <w:r>
              <w:rPr>
                <w:rFonts w:hint="eastAsia"/>
                <w:szCs w:val="21"/>
                <w:lang w:eastAsia="zh-CN"/>
              </w:rPr>
              <w:t>逾期完工违约金（元</w:t>
            </w:r>
            <w:r>
              <w:rPr>
                <w:rFonts w:cs="Calibri"/>
                <w:szCs w:val="21"/>
                <w:lang w:eastAsia="zh-CN"/>
              </w:rPr>
              <w:t>/</w:t>
            </w:r>
            <w:r>
              <w:rPr>
                <w:rFonts w:hint="eastAsia" w:ascii="宋体" w:hAnsi="宋体"/>
                <w:szCs w:val="21"/>
                <w:lang w:eastAsia="zh-CN"/>
              </w:rPr>
              <w:t>天）</w:t>
            </w:r>
          </w:p>
        </w:tc>
      </w:tr>
      <w:tr w14:paraId="5D6DB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14:paraId="19C96E23">
            <w:pPr>
              <w:pStyle w:val="33"/>
              <w:spacing w:line="320" w:lineRule="exact"/>
              <w:jc w:val="center"/>
              <w:rPr>
                <w:rFonts w:ascii="Tahoma" w:hAnsi="Tahoma" w:cs="Tahoma"/>
                <w:szCs w:val="21"/>
              </w:rPr>
            </w:pPr>
            <w:r>
              <w:rPr>
                <w:rFonts w:ascii="Tahoma" w:hAnsi="Tahoma" w:cs="Tahoma"/>
                <w:szCs w:val="21"/>
              </w:rPr>
              <w:t>1</w:t>
            </w:r>
          </w:p>
        </w:tc>
        <w:tc>
          <w:tcPr>
            <w:tcW w:w="3055" w:type="dxa"/>
            <w:tcBorders>
              <w:top w:val="single" w:color="auto" w:sz="4" w:space="0"/>
              <w:left w:val="nil"/>
              <w:bottom w:val="single" w:color="auto" w:sz="4" w:space="0"/>
              <w:right w:val="single" w:color="auto" w:sz="4" w:space="0"/>
            </w:tcBorders>
            <w:noWrap w:val="0"/>
            <w:vAlign w:val="center"/>
          </w:tcPr>
          <w:p w14:paraId="4311426B">
            <w:pPr>
              <w:pStyle w:val="33"/>
              <w:spacing w:line="320" w:lineRule="exact"/>
              <w:jc w:val="center"/>
              <w:rPr>
                <w:rFonts w:ascii="Tahoma" w:hAnsi="Tahoma" w:cs="Tahoma"/>
                <w:szCs w:val="21"/>
              </w:rPr>
            </w:pPr>
            <w:r>
              <w:rPr>
                <w:rFonts w:hint="eastAsia" w:ascii="Tahoma" w:cs="Tahoma"/>
                <w:szCs w:val="21"/>
              </w:rPr>
              <w:t>土方工程</w:t>
            </w:r>
          </w:p>
        </w:tc>
        <w:tc>
          <w:tcPr>
            <w:tcW w:w="2557" w:type="dxa"/>
            <w:tcBorders>
              <w:top w:val="single" w:color="auto" w:sz="4" w:space="0"/>
              <w:left w:val="nil"/>
              <w:bottom w:val="single" w:color="auto" w:sz="4" w:space="0"/>
              <w:right w:val="single" w:color="auto" w:sz="4" w:space="0"/>
            </w:tcBorders>
            <w:noWrap w:val="0"/>
            <w:vAlign w:val="center"/>
          </w:tcPr>
          <w:p w14:paraId="2B25B03B">
            <w:pPr>
              <w:pStyle w:val="33"/>
              <w:spacing w:line="320" w:lineRule="exact"/>
              <w:jc w:val="center"/>
              <w:rPr>
                <w:rFonts w:ascii="Tahoma" w:hAnsi="Tahoma" w:cs="Tahoma"/>
                <w:szCs w:val="21"/>
              </w:rPr>
            </w:pPr>
            <w:r>
              <w:rPr>
                <w:rFonts w:hint="eastAsia" w:ascii="Tahoma" w:cs="Tahoma"/>
                <w:szCs w:val="21"/>
              </w:rPr>
              <w:t>按合同约定</w:t>
            </w:r>
          </w:p>
        </w:tc>
        <w:tc>
          <w:tcPr>
            <w:tcW w:w="2971" w:type="dxa"/>
            <w:tcBorders>
              <w:top w:val="single" w:color="auto" w:sz="4" w:space="0"/>
              <w:left w:val="nil"/>
              <w:bottom w:val="single" w:color="auto" w:sz="4" w:space="0"/>
              <w:right w:val="single" w:color="auto" w:sz="4" w:space="0"/>
            </w:tcBorders>
            <w:noWrap w:val="0"/>
            <w:vAlign w:val="center"/>
          </w:tcPr>
          <w:p w14:paraId="2B6AEBA3">
            <w:pPr>
              <w:pStyle w:val="33"/>
              <w:spacing w:line="320" w:lineRule="exact"/>
              <w:jc w:val="center"/>
              <w:rPr>
                <w:rFonts w:ascii="Tahoma" w:hAnsi="Tahoma" w:cs="Tahoma"/>
                <w:szCs w:val="21"/>
              </w:rPr>
            </w:pPr>
            <w:r>
              <w:rPr>
                <w:rFonts w:ascii="Tahoma" w:hAnsi="Tahoma" w:cs="Tahoma"/>
                <w:szCs w:val="21"/>
              </w:rPr>
              <w:t>1500</w:t>
            </w:r>
          </w:p>
        </w:tc>
      </w:tr>
      <w:tr w14:paraId="7C05F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14:paraId="2F0D4222">
            <w:pPr>
              <w:pStyle w:val="33"/>
              <w:spacing w:line="320" w:lineRule="exact"/>
              <w:jc w:val="center"/>
              <w:rPr>
                <w:rFonts w:ascii="Tahoma" w:hAnsi="Tahoma" w:cs="Tahoma"/>
                <w:szCs w:val="21"/>
              </w:rPr>
            </w:pPr>
            <w:r>
              <w:rPr>
                <w:rFonts w:ascii="Tahoma" w:hAnsi="Tahoma" w:cs="Tahoma"/>
                <w:szCs w:val="21"/>
              </w:rPr>
              <w:t>2</w:t>
            </w:r>
          </w:p>
        </w:tc>
        <w:tc>
          <w:tcPr>
            <w:tcW w:w="3055" w:type="dxa"/>
            <w:tcBorders>
              <w:top w:val="single" w:color="auto" w:sz="4" w:space="0"/>
              <w:left w:val="nil"/>
              <w:bottom w:val="single" w:color="auto" w:sz="4" w:space="0"/>
              <w:right w:val="single" w:color="auto" w:sz="4" w:space="0"/>
            </w:tcBorders>
            <w:noWrap w:val="0"/>
            <w:vAlign w:val="center"/>
          </w:tcPr>
          <w:p w14:paraId="0F660A9F">
            <w:pPr>
              <w:pStyle w:val="33"/>
              <w:spacing w:line="320" w:lineRule="exact"/>
              <w:jc w:val="center"/>
              <w:rPr>
                <w:rFonts w:ascii="Tahoma" w:hAnsi="Tahoma" w:cs="Tahoma"/>
                <w:szCs w:val="21"/>
              </w:rPr>
            </w:pPr>
            <w:r>
              <w:rPr>
                <w:rFonts w:hint="eastAsia" w:ascii="Tahoma" w:cs="Tahoma"/>
                <w:szCs w:val="21"/>
              </w:rPr>
              <w:t>砼工程</w:t>
            </w:r>
          </w:p>
        </w:tc>
        <w:tc>
          <w:tcPr>
            <w:tcW w:w="2557" w:type="dxa"/>
            <w:tcBorders>
              <w:top w:val="single" w:color="auto" w:sz="4" w:space="0"/>
              <w:left w:val="nil"/>
              <w:bottom w:val="single" w:color="auto" w:sz="4" w:space="0"/>
              <w:right w:val="single" w:color="auto" w:sz="4" w:space="0"/>
            </w:tcBorders>
            <w:noWrap w:val="0"/>
            <w:vAlign w:val="center"/>
          </w:tcPr>
          <w:p w14:paraId="122343FC">
            <w:pPr>
              <w:pStyle w:val="33"/>
              <w:spacing w:line="320" w:lineRule="exact"/>
              <w:jc w:val="center"/>
              <w:rPr>
                <w:rFonts w:ascii="Tahoma" w:hAnsi="Tahoma" w:cs="Tahoma"/>
                <w:szCs w:val="21"/>
              </w:rPr>
            </w:pPr>
            <w:r>
              <w:rPr>
                <w:rFonts w:hint="eastAsia" w:ascii="Tahoma" w:cs="Tahoma"/>
                <w:szCs w:val="21"/>
              </w:rPr>
              <w:t>按合同约定</w:t>
            </w:r>
          </w:p>
        </w:tc>
        <w:tc>
          <w:tcPr>
            <w:tcW w:w="2971" w:type="dxa"/>
            <w:tcBorders>
              <w:top w:val="single" w:color="auto" w:sz="4" w:space="0"/>
              <w:left w:val="nil"/>
              <w:bottom w:val="single" w:color="auto" w:sz="4" w:space="0"/>
              <w:right w:val="single" w:color="auto" w:sz="4" w:space="0"/>
            </w:tcBorders>
            <w:noWrap w:val="0"/>
            <w:vAlign w:val="center"/>
          </w:tcPr>
          <w:p w14:paraId="3749FAEA">
            <w:pPr>
              <w:pStyle w:val="33"/>
              <w:spacing w:line="320" w:lineRule="exact"/>
              <w:jc w:val="center"/>
              <w:rPr>
                <w:rFonts w:ascii="Tahoma" w:hAnsi="Tahoma" w:cs="Tahoma"/>
                <w:szCs w:val="21"/>
              </w:rPr>
            </w:pPr>
            <w:r>
              <w:rPr>
                <w:rFonts w:ascii="Tahoma" w:hAnsi="Tahoma" w:cs="Tahoma"/>
                <w:szCs w:val="21"/>
              </w:rPr>
              <w:t>2500</w:t>
            </w:r>
          </w:p>
        </w:tc>
      </w:tr>
      <w:tr w14:paraId="4D9AA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14:paraId="326B67AE">
            <w:pPr>
              <w:pStyle w:val="33"/>
              <w:spacing w:line="320" w:lineRule="exact"/>
              <w:jc w:val="center"/>
              <w:rPr>
                <w:rFonts w:ascii="Tahoma" w:hAnsi="Tahoma" w:cs="Tahoma"/>
                <w:szCs w:val="21"/>
              </w:rPr>
            </w:pPr>
            <w:r>
              <w:rPr>
                <w:rFonts w:ascii="Tahoma" w:hAnsi="Tahoma" w:cs="Tahoma"/>
                <w:szCs w:val="21"/>
              </w:rPr>
              <w:t>3</w:t>
            </w:r>
          </w:p>
        </w:tc>
        <w:tc>
          <w:tcPr>
            <w:tcW w:w="3055" w:type="dxa"/>
            <w:tcBorders>
              <w:top w:val="single" w:color="auto" w:sz="4" w:space="0"/>
              <w:left w:val="nil"/>
              <w:bottom w:val="single" w:color="auto" w:sz="4" w:space="0"/>
              <w:right w:val="single" w:color="auto" w:sz="4" w:space="0"/>
            </w:tcBorders>
            <w:noWrap w:val="0"/>
            <w:vAlign w:val="center"/>
          </w:tcPr>
          <w:p w14:paraId="70777C8B">
            <w:pPr>
              <w:pStyle w:val="33"/>
              <w:spacing w:line="320" w:lineRule="exact"/>
              <w:jc w:val="center"/>
              <w:rPr>
                <w:rFonts w:ascii="Tahoma" w:hAnsi="Tahoma" w:cs="Tahoma"/>
                <w:szCs w:val="21"/>
              </w:rPr>
            </w:pPr>
            <w:r>
              <w:rPr>
                <w:rFonts w:hint="eastAsia" w:ascii="Tahoma" w:cs="Tahoma"/>
                <w:szCs w:val="21"/>
              </w:rPr>
              <w:t>机电设备及安装工程</w:t>
            </w:r>
          </w:p>
        </w:tc>
        <w:tc>
          <w:tcPr>
            <w:tcW w:w="2557" w:type="dxa"/>
            <w:tcBorders>
              <w:top w:val="single" w:color="auto" w:sz="4" w:space="0"/>
              <w:left w:val="nil"/>
              <w:bottom w:val="single" w:color="auto" w:sz="4" w:space="0"/>
              <w:right w:val="single" w:color="auto" w:sz="4" w:space="0"/>
            </w:tcBorders>
            <w:noWrap w:val="0"/>
            <w:vAlign w:val="center"/>
          </w:tcPr>
          <w:p w14:paraId="5F6439E5">
            <w:pPr>
              <w:pStyle w:val="33"/>
              <w:spacing w:line="320" w:lineRule="exact"/>
              <w:jc w:val="center"/>
              <w:rPr>
                <w:rFonts w:ascii="Tahoma" w:hAnsi="Tahoma" w:cs="Tahoma"/>
                <w:szCs w:val="21"/>
              </w:rPr>
            </w:pPr>
            <w:r>
              <w:rPr>
                <w:rFonts w:hint="eastAsia" w:ascii="Tahoma" w:cs="Tahoma"/>
                <w:szCs w:val="21"/>
              </w:rPr>
              <w:t>按合同约定</w:t>
            </w:r>
          </w:p>
        </w:tc>
        <w:tc>
          <w:tcPr>
            <w:tcW w:w="2971" w:type="dxa"/>
            <w:tcBorders>
              <w:top w:val="single" w:color="auto" w:sz="4" w:space="0"/>
              <w:left w:val="nil"/>
              <w:bottom w:val="single" w:color="auto" w:sz="4" w:space="0"/>
              <w:right w:val="single" w:color="auto" w:sz="4" w:space="0"/>
            </w:tcBorders>
            <w:noWrap w:val="0"/>
            <w:vAlign w:val="center"/>
          </w:tcPr>
          <w:p w14:paraId="33E77EA9">
            <w:pPr>
              <w:pStyle w:val="33"/>
              <w:spacing w:line="320" w:lineRule="exact"/>
              <w:jc w:val="center"/>
              <w:rPr>
                <w:rFonts w:ascii="Tahoma" w:hAnsi="Tahoma" w:cs="Tahoma"/>
                <w:szCs w:val="21"/>
              </w:rPr>
            </w:pPr>
            <w:r>
              <w:rPr>
                <w:rFonts w:ascii="Tahoma" w:hAnsi="Tahoma" w:cs="Tahoma"/>
                <w:szCs w:val="21"/>
              </w:rPr>
              <w:t>1500</w:t>
            </w:r>
          </w:p>
        </w:tc>
      </w:tr>
      <w:tr w14:paraId="42602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14:paraId="18022648">
            <w:pPr>
              <w:pStyle w:val="33"/>
              <w:spacing w:line="320" w:lineRule="exact"/>
              <w:jc w:val="center"/>
              <w:rPr>
                <w:rFonts w:ascii="Tahoma" w:hAnsi="Tahoma" w:cs="Tahoma"/>
                <w:szCs w:val="21"/>
              </w:rPr>
            </w:pPr>
            <w:r>
              <w:rPr>
                <w:rFonts w:hint="eastAsia" w:ascii="Tahoma" w:hAnsi="Tahoma" w:cs="Tahoma"/>
                <w:szCs w:val="21"/>
              </w:rPr>
              <w:t>4</w:t>
            </w:r>
          </w:p>
        </w:tc>
        <w:tc>
          <w:tcPr>
            <w:tcW w:w="3055" w:type="dxa"/>
            <w:tcBorders>
              <w:top w:val="single" w:color="auto" w:sz="4" w:space="0"/>
              <w:left w:val="nil"/>
              <w:bottom w:val="single" w:color="auto" w:sz="4" w:space="0"/>
              <w:right w:val="single" w:color="auto" w:sz="4" w:space="0"/>
            </w:tcBorders>
            <w:noWrap w:val="0"/>
            <w:vAlign w:val="center"/>
          </w:tcPr>
          <w:p w14:paraId="38C0D0C7">
            <w:pPr>
              <w:pStyle w:val="33"/>
              <w:spacing w:line="320" w:lineRule="exact"/>
              <w:jc w:val="center"/>
              <w:rPr>
                <w:rFonts w:ascii="Tahoma" w:cs="Tahoma"/>
                <w:szCs w:val="21"/>
                <w:lang w:eastAsia="zh-CN"/>
              </w:rPr>
            </w:pPr>
            <w:r>
              <w:rPr>
                <w:rFonts w:hint="eastAsia" w:ascii="Tahoma" w:cs="Tahoma"/>
                <w:szCs w:val="21"/>
                <w:lang w:eastAsia="zh-CN"/>
              </w:rPr>
              <w:t>金属结构设备及安全工程</w:t>
            </w:r>
          </w:p>
        </w:tc>
        <w:tc>
          <w:tcPr>
            <w:tcW w:w="2557" w:type="dxa"/>
            <w:tcBorders>
              <w:top w:val="single" w:color="auto" w:sz="4" w:space="0"/>
              <w:left w:val="nil"/>
              <w:bottom w:val="single" w:color="auto" w:sz="4" w:space="0"/>
              <w:right w:val="single" w:color="auto" w:sz="4" w:space="0"/>
            </w:tcBorders>
            <w:noWrap w:val="0"/>
            <w:vAlign w:val="center"/>
          </w:tcPr>
          <w:p w14:paraId="79B789F0">
            <w:pPr>
              <w:pStyle w:val="33"/>
              <w:spacing w:line="320" w:lineRule="exact"/>
              <w:jc w:val="center"/>
              <w:rPr>
                <w:rFonts w:ascii="Tahoma" w:cs="Tahoma"/>
                <w:szCs w:val="21"/>
              </w:rPr>
            </w:pPr>
            <w:r>
              <w:rPr>
                <w:rFonts w:hint="eastAsia" w:ascii="Tahoma" w:cs="Tahoma"/>
                <w:szCs w:val="21"/>
              </w:rPr>
              <w:t>按合同约定</w:t>
            </w:r>
          </w:p>
        </w:tc>
        <w:tc>
          <w:tcPr>
            <w:tcW w:w="2971" w:type="dxa"/>
            <w:tcBorders>
              <w:top w:val="single" w:color="auto" w:sz="4" w:space="0"/>
              <w:left w:val="nil"/>
              <w:bottom w:val="single" w:color="auto" w:sz="4" w:space="0"/>
              <w:right w:val="single" w:color="auto" w:sz="4" w:space="0"/>
            </w:tcBorders>
            <w:noWrap w:val="0"/>
            <w:vAlign w:val="center"/>
          </w:tcPr>
          <w:p w14:paraId="0EF76C1B">
            <w:pPr>
              <w:pStyle w:val="33"/>
              <w:spacing w:line="320" w:lineRule="exact"/>
              <w:jc w:val="center"/>
              <w:rPr>
                <w:rFonts w:ascii="Tahoma" w:hAnsi="Tahoma" w:cs="Tahoma"/>
                <w:szCs w:val="21"/>
              </w:rPr>
            </w:pPr>
            <w:r>
              <w:rPr>
                <w:rFonts w:hint="eastAsia" w:ascii="Tahoma" w:hAnsi="Tahoma" w:cs="Tahoma"/>
                <w:szCs w:val="21"/>
              </w:rPr>
              <w:t>3</w:t>
            </w:r>
            <w:r>
              <w:rPr>
                <w:rFonts w:ascii="Tahoma" w:hAnsi="Tahoma" w:cs="Tahoma"/>
                <w:szCs w:val="21"/>
              </w:rPr>
              <w:t>000</w:t>
            </w:r>
          </w:p>
        </w:tc>
      </w:tr>
      <w:tr w14:paraId="3B351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14:paraId="1CB22880">
            <w:pPr>
              <w:pStyle w:val="33"/>
              <w:spacing w:line="320" w:lineRule="exact"/>
              <w:jc w:val="center"/>
              <w:rPr>
                <w:rFonts w:ascii="Tahoma" w:hAnsi="Tahoma" w:cs="Tahoma"/>
                <w:szCs w:val="21"/>
              </w:rPr>
            </w:pPr>
            <w:r>
              <w:rPr>
                <w:rFonts w:ascii="Tahoma" w:hAnsi="Tahoma" w:cs="Tahoma"/>
                <w:szCs w:val="21"/>
              </w:rPr>
              <w:t>5</w:t>
            </w:r>
          </w:p>
        </w:tc>
        <w:tc>
          <w:tcPr>
            <w:tcW w:w="3055" w:type="dxa"/>
            <w:tcBorders>
              <w:top w:val="single" w:color="auto" w:sz="4" w:space="0"/>
              <w:left w:val="nil"/>
              <w:bottom w:val="single" w:color="auto" w:sz="4" w:space="0"/>
              <w:right w:val="single" w:color="auto" w:sz="4" w:space="0"/>
            </w:tcBorders>
            <w:noWrap w:val="0"/>
            <w:vAlign w:val="center"/>
          </w:tcPr>
          <w:p w14:paraId="04D1A2CA">
            <w:pPr>
              <w:pStyle w:val="33"/>
              <w:spacing w:line="320" w:lineRule="exact"/>
              <w:jc w:val="center"/>
              <w:rPr>
                <w:rFonts w:ascii="Tahoma" w:cs="Tahoma"/>
                <w:szCs w:val="21"/>
              </w:rPr>
            </w:pPr>
            <w:r>
              <w:rPr>
                <w:rFonts w:hint="eastAsia" w:ascii="Tahoma" w:cs="Tahoma"/>
                <w:szCs w:val="21"/>
              </w:rPr>
              <w:t>全部合同工程</w:t>
            </w:r>
          </w:p>
        </w:tc>
        <w:tc>
          <w:tcPr>
            <w:tcW w:w="2557" w:type="dxa"/>
            <w:tcBorders>
              <w:top w:val="single" w:color="auto" w:sz="4" w:space="0"/>
              <w:left w:val="nil"/>
              <w:bottom w:val="single" w:color="auto" w:sz="4" w:space="0"/>
              <w:right w:val="single" w:color="auto" w:sz="4" w:space="0"/>
            </w:tcBorders>
            <w:noWrap w:val="0"/>
            <w:vAlign w:val="center"/>
          </w:tcPr>
          <w:p w14:paraId="0E4A019A">
            <w:pPr>
              <w:pStyle w:val="33"/>
              <w:spacing w:line="320" w:lineRule="exact"/>
              <w:jc w:val="center"/>
              <w:rPr>
                <w:rFonts w:ascii="Tahoma" w:cs="Tahoma"/>
                <w:szCs w:val="21"/>
              </w:rPr>
            </w:pPr>
            <w:r>
              <w:rPr>
                <w:rFonts w:hint="eastAsia" w:ascii="Tahoma" w:cs="Tahoma"/>
                <w:szCs w:val="21"/>
              </w:rPr>
              <w:t>按合同约定</w:t>
            </w:r>
          </w:p>
        </w:tc>
        <w:tc>
          <w:tcPr>
            <w:tcW w:w="2971" w:type="dxa"/>
            <w:tcBorders>
              <w:top w:val="single" w:color="auto" w:sz="4" w:space="0"/>
              <w:left w:val="nil"/>
              <w:bottom w:val="single" w:color="auto" w:sz="4" w:space="0"/>
              <w:right w:val="single" w:color="auto" w:sz="4" w:space="0"/>
            </w:tcBorders>
            <w:noWrap w:val="0"/>
            <w:vAlign w:val="center"/>
          </w:tcPr>
          <w:p w14:paraId="5FCF7BB6">
            <w:pPr>
              <w:pStyle w:val="33"/>
              <w:spacing w:line="320" w:lineRule="exact"/>
              <w:jc w:val="center"/>
              <w:rPr>
                <w:rFonts w:ascii="Tahoma" w:hAnsi="Tahoma" w:cs="Tahoma"/>
                <w:szCs w:val="21"/>
              </w:rPr>
            </w:pPr>
            <w:r>
              <w:rPr>
                <w:rFonts w:ascii="Tahoma" w:hAnsi="Tahoma" w:cs="Tahoma"/>
                <w:szCs w:val="21"/>
              </w:rPr>
              <w:t>3500</w:t>
            </w:r>
          </w:p>
        </w:tc>
      </w:tr>
    </w:tbl>
    <w:p w14:paraId="71698859">
      <w:pPr>
        <w:spacing w:line="500" w:lineRule="exact"/>
        <w:rPr>
          <w:rFonts w:hint="eastAsia" w:ascii="宋体" w:hAnsi="宋体" w:cs="宋体"/>
          <w:b/>
          <w:bCs/>
          <w:sz w:val="24"/>
          <w:szCs w:val="24"/>
        </w:rPr>
      </w:pPr>
      <w:r>
        <w:rPr>
          <w:rFonts w:hint="eastAsia" w:ascii="宋体" w:hAnsi="宋体" w:cs="宋体"/>
          <w:b/>
          <w:bCs/>
          <w:sz w:val="24"/>
          <w:szCs w:val="24"/>
        </w:rPr>
        <w:t>11.6 工期提前</w:t>
      </w:r>
    </w:p>
    <w:p w14:paraId="63410241">
      <w:pPr>
        <w:spacing w:line="500" w:lineRule="exact"/>
        <w:rPr>
          <w:rFonts w:hint="eastAsia" w:ascii="宋体" w:hAnsi="宋体" w:cs="宋体"/>
          <w:sz w:val="24"/>
          <w:szCs w:val="24"/>
        </w:rPr>
      </w:pPr>
      <w:r>
        <w:rPr>
          <w:rFonts w:hint="eastAsia" w:ascii="宋体" w:hAnsi="宋体" w:cs="宋体"/>
          <w:sz w:val="24"/>
          <w:szCs w:val="24"/>
        </w:rPr>
        <w:t>删除本款，并代之以：发包人要求承包人提前竣工，已超出承包人合理的承受范围，发包人应承担承包人由此增加的合理的费用。或承包人提出提前竣工的建议能够给发包人带来效益的，应由监理人与承包人共同协商采取加快工程进度的措施和修订合同进度计划。发包人虽已采纳，但发包人有权视为承包人按期竣工，发包人同意向承包人支付相应奖金的，应在施工合同中约定奖励的方式、计算的方法。</w:t>
      </w:r>
    </w:p>
    <w:p w14:paraId="435371C0">
      <w:pPr>
        <w:spacing w:line="500" w:lineRule="exact"/>
        <w:jc w:val="center"/>
        <w:rPr>
          <w:rFonts w:hint="eastAsia" w:ascii="宋体" w:hAnsi="宋体" w:cs="宋体"/>
          <w:b/>
          <w:bCs/>
          <w:sz w:val="24"/>
          <w:szCs w:val="24"/>
        </w:rPr>
      </w:pPr>
      <w:r>
        <w:rPr>
          <w:rFonts w:hint="eastAsia" w:ascii="宋体" w:hAnsi="宋体" w:cs="宋体"/>
          <w:b/>
          <w:bCs/>
          <w:sz w:val="24"/>
          <w:szCs w:val="24"/>
        </w:rPr>
        <w:t>12、暂停施工</w:t>
      </w:r>
    </w:p>
    <w:p w14:paraId="095E9614">
      <w:pPr>
        <w:spacing w:line="500" w:lineRule="exact"/>
        <w:rPr>
          <w:rFonts w:hint="eastAsia" w:ascii="宋体" w:hAnsi="宋体" w:cs="宋体"/>
          <w:b/>
          <w:bCs/>
          <w:sz w:val="24"/>
          <w:szCs w:val="24"/>
        </w:rPr>
      </w:pPr>
      <w:r>
        <w:rPr>
          <w:rFonts w:hint="eastAsia" w:ascii="宋体" w:hAnsi="宋体" w:cs="宋体"/>
          <w:b/>
          <w:bCs/>
          <w:sz w:val="24"/>
          <w:szCs w:val="24"/>
        </w:rPr>
        <w:t>12.1 承包人暂停施工的责任</w:t>
      </w:r>
    </w:p>
    <w:p w14:paraId="5866957A">
      <w:pPr>
        <w:spacing w:line="500" w:lineRule="exact"/>
        <w:rPr>
          <w:rFonts w:hint="eastAsia" w:ascii="宋体" w:hAnsi="宋体" w:cs="宋体"/>
          <w:sz w:val="24"/>
          <w:szCs w:val="24"/>
        </w:rPr>
      </w:pPr>
      <w:r>
        <w:rPr>
          <w:rFonts w:hint="eastAsia" w:ascii="宋体" w:hAnsi="宋体" w:cs="宋体"/>
          <w:sz w:val="24"/>
          <w:szCs w:val="24"/>
        </w:rPr>
        <w:t>本款中的第（5）项修改为：由承包人承担的其他暂停施工的责任应在合同中约定。</w:t>
      </w:r>
    </w:p>
    <w:p w14:paraId="7B20AFE1">
      <w:pPr>
        <w:spacing w:line="500" w:lineRule="exact"/>
        <w:jc w:val="center"/>
        <w:rPr>
          <w:rFonts w:hint="eastAsia" w:ascii="宋体" w:hAnsi="宋体" w:cs="宋体"/>
          <w:b/>
          <w:bCs/>
          <w:sz w:val="24"/>
          <w:szCs w:val="24"/>
        </w:rPr>
      </w:pPr>
      <w:r>
        <w:rPr>
          <w:rFonts w:hint="eastAsia" w:ascii="宋体" w:hAnsi="宋体" w:cs="宋体"/>
          <w:b/>
          <w:bCs/>
          <w:sz w:val="24"/>
          <w:szCs w:val="24"/>
        </w:rPr>
        <w:t>13 工程质量</w:t>
      </w:r>
    </w:p>
    <w:p w14:paraId="0C6731F4">
      <w:pPr>
        <w:spacing w:line="500" w:lineRule="exact"/>
        <w:rPr>
          <w:rFonts w:hint="eastAsia" w:ascii="宋体" w:hAnsi="宋体" w:cs="宋体"/>
          <w:b/>
          <w:bCs/>
          <w:sz w:val="24"/>
          <w:szCs w:val="24"/>
        </w:rPr>
      </w:pPr>
      <w:r>
        <w:rPr>
          <w:rFonts w:hint="eastAsia" w:ascii="宋体" w:hAnsi="宋体" w:cs="宋体"/>
          <w:b/>
          <w:bCs/>
          <w:sz w:val="24"/>
          <w:szCs w:val="24"/>
        </w:rPr>
        <w:t>13.7 质量评定</w:t>
      </w:r>
    </w:p>
    <w:p w14:paraId="34A050D5">
      <w:pPr>
        <w:spacing w:line="500" w:lineRule="exact"/>
        <w:rPr>
          <w:rFonts w:hint="eastAsia" w:ascii="宋体" w:hAnsi="宋体" w:cs="宋体"/>
          <w:sz w:val="24"/>
          <w:szCs w:val="24"/>
        </w:rPr>
      </w:pPr>
      <w:r>
        <w:rPr>
          <w:rFonts w:hint="eastAsia" w:ascii="宋体" w:hAnsi="宋体" w:cs="宋体"/>
          <w:sz w:val="24"/>
          <w:szCs w:val="24"/>
        </w:rPr>
        <w:t>13.7.4 重要隐蔽单元工程和关键部位单元工程质量评定的约定：              合格。</w:t>
      </w:r>
    </w:p>
    <w:p w14:paraId="71B40B5D">
      <w:pPr>
        <w:spacing w:line="500" w:lineRule="exact"/>
        <w:rPr>
          <w:rFonts w:hint="eastAsia" w:ascii="宋体" w:hAnsi="宋体" w:cs="宋体"/>
          <w:sz w:val="24"/>
          <w:szCs w:val="24"/>
        </w:rPr>
      </w:pPr>
      <w:r>
        <w:rPr>
          <w:rFonts w:hint="eastAsia" w:ascii="宋体" w:hAnsi="宋体" w:cs="宋体"/>
          <w:sz w:val="24"/>
          <w:szCs w:val="24"/>
        </w:rPr>
        <w:t>13.7.7 工程合格标准为：达到国家、水利部、行业及有关的标准、规范、规程规定的验收合格标准 ；优良标准为：达到国家、水利部、行业及有关的标准、规范、规程规定的验收优良标准。达到优良的奖金为：由发包人与承包人在合同中约定 。</w:t>
      </w:r>
    </w:p>
    <w:p w14:paraId="663C7FB5">
      <w:pPr>
        <w:spacing w:line="500" w:lineRule="exact"/>
        <w:rPr>
          <w:rFonts w:hint="eastAsia" w:ascii="宋体" w:hAnsi="宋体" w:cs="宋体"/>
          <w:b/>
          <w:bCs/>
          <w:sz w:val="24"/>
          <w:szCs w:val="24"/>
        </w:rPr>
      </w:pPr>
      <w:r>
        <w:rPr>
          <w:rFonts w:hint="eastAsia" w:ascii="宋体" w:hAnsi="宋体" w:cs="宋体"/>
          <w:b/>
          <w:bCs/>
          <w:sz w:val="24"/>
          <w:szCs w:val="24"/>
        </w:rPr>
        <w:t>13.8 质量事故处理</w:t>
      </w:r>
    </w:p>
    <w:p w14:paraId="68B8F0CF">
      <w:pPr>
        <w:spacing w:line="500" w:lineRule="exact"/>
        <w:rPr>
          <w:rFonts w:hint="eastAsia" w:ascii="宋体" w:hAnsi="宋体" w:cs="宋体"/>
          <w:sz w:val="24"/>
          <w:szCs w:val="24"/>
        </w:rPr>
      </w:pPr>
      <w:r>
        <w:rPr>
          <w:rFonts w:hint="eastAsia" w:ascii="宋体" w:hAnsi="宋体" w:cs="宋体"/>
          <w:sz w:val="24"/>
          <w:szCs w:val="24"/>
        </w:rPr>
        <w:t>13.8.4 工程竣工验收时，由项目法人向竣工验收委员会汇报并提交历次质量缺陷处理的备案资料。</w:t>
      </w:r>
    </w:p>
    <w:p w14:paraId="5FAFBB58">
      <w:pPr>
        <w:spacing w:line="500" w:lineRule="exact"/>
        <w:jc w:val="center"/>
        <w:rPr>
          <w:rFonts w:hint="eastAsia" w:ascii="宋体" w:hAnsi="宋体" w:cs="宋体"/>
          <w:b/>
          <w:bCs/>
          <w:sz w:val="24"/>
          <w:szCs w:val="24"/>
        </w:rPr>
      </w:pPr>
      <w:r>
        <w:rPr>
          <w:rFonts w:hint="eastAsia" w:ascii="宋体" w:hAnsi="宋体" w:cs="宋体"/>
          <w:b/>
          <w:bCs/>
          <w:sz w:val="24"/>
          <w:szCs w:val="24"/>
        </w:rPr>
        <w:t>14. 试验和检验</w:t>
      </w:r>
    </w:p>
    <w:p w14:paraId="73178D19">
      <w:pPr>
        <w:spacing w:line="500" w:lineRule="exact"/>
        <w:rPr>
          <w:rFonts w:hint="eastAsia" w:ascii="宋体" w:hAnsi="宋体" w:cs="宋体"/>
          <w:b/>
          <w:bCs/>
          <w:sz w:val="24"/>
          <w:szCs w:val="24"/>
        </w:rPr>
      </w:pPr>
      <w:r>
        <w:rPr>
          <w:rFonts w:hint="eastAsia" w:ascii="宋体" w:hAnsi="宋体" w:cs="宋体"/>
          <w:b/>
          <w:bCs/>
          <w:sz w:val="24"/>
          <w:szCs w:val="24"/>
        </w:rPr>
        <w:t>14.1材料、工程设备和工程的试验和检验</w:t>
      </w:r>
    </w:p>
    <w:p w14:paraId="62564317">
      <w:pPr>
        <w:spacing w:line="500" w:lineRule="exact"/>
        <w:rPr>
          <w:rFonts w:hint="eastAsia" w:ascii="宋体" w:hAnsi="宋体" w:cs="宋体"/>
          <w:sz w:val="24"/>
          <w:szCs w:val="24"/>
        </w:rPr>
      </w:pPr>
      <w:r>
        <w:rPr>
          <w:rFonts w:hint="eastAsia" w:ascii="宋体" w:hAnsi="宋体" w:cs="宋体"/>
          <w:sz w:val="24"/>
          <w:szCs w:val="24"/>
        </w:rPr>
        <w:t>14.1.1本款增加：本项目需要进行的第三方检测由发包人统一管理，委托由水利工程质量检验、检测资质的检测机构进行检验、检测，并以水利工程质量检验、检测机构出具质量检测报告（包括质量检验、检测方法、数据、结论等）所检验、检测的结论为准。</w:t>
      </w:r>
    </w:p>
    <w:p w14:paraId="1A1D0D4A">
      <w:pPr>
        <w:spacing w:line="500" w:lineRule="exact"/>
        <w:rPr>
          <w:rFonts w:hint="eastAsia" w:ascii="宋体" w:hAnsi="宋体" w:cs="宋体"/>
          <w:sz w:val="24"/>
          <w:szCs w:val="24"/>
        </w:rPr>
      </w:pPr>
      <w:r>
        <w:rPr>
          <w:rFonts w:hint="eastAsia" w:ascii="宋体" w:hAnsi="宋体" w:cs="宋体"/>
          <w:sz w:val="24"/>
          <w:szCs w:val="24"/>
        </w:rPr>
        <w:t>14.1.5 水工金属结构、启闭机及机电产品进场后的交货检查和验收中，承包检测人负责 提供质量检查、检测的有关数据和质量报告，其相关费用由承包人负责 。</w:t>
      </w:r>
    </w:p>
    <w:p w14:paraId="1A04E1F7">
      <w:pPr>
        <w:spacing w:line="500" w:lineRule="exact"/>
        <w:rPr>
          <w:rFonts w:hint="eastAsia" w:ascii="宋体" w:hAnsi="宋体" w:cs="宋体"/>
          <w:sz w:val="24"/>
          <w:szCs w:val="24"/>
        </w:rPr>
      </w:pPr>
      <w:r>
        <w:rPr>
          <w:rFonts w:hint="eastAsia" w:ascii="宋体" w:hAnsi="宋体" w:cs="宋体"/>
          <w:sz w:val="24"/>
          <w:szCs w:val="24"/>
        </w:rPr>
        <w:t>14.1.6 本工程实行见证取样的试块、试件及有关材料： 由承包人负责提供。</w:t>
      </w:r>
    </w:p>
    <w:p w14:paraId="15769C1B">
      <w:pPr>
        <w:spacing w:line="500" w:lineRule="exact"/>
        <w:jc w:val="center"/>
        <w:rPr>
          <w:rFonts w:hint="eastAsia" w:ascii="宋体" w:hAnsi="宋体" w:cs="宋体"/>
          <w:b/>
          <w:bCs/>
          <w:sz w:val="24"/>
          <w:szCs w:val="24"/>
        </w:rPr>
      </w:pPr>
      <w:r>
        <w:rPr>
          <w:rFonts w:hint="eastAsia" w:ascii="宋体" w:hAnsi="宋体" w:cs="宋体"/>
          <w:b/>
          <w:bCs/>
          <w:sz w:val="24"/>
          <w:szCs w:val="24"/>
        </w:rPr>
        <w:t>15、变更</w:t>
      </w:r>
    </w:p>
    <w:p w14:paraId="5ED1D289">
      <w:pPr>
        <w:spacing w:line="500" w:lineRule="exact"/>
        <w:rPr>
          <w:rFonts w:hint="eastAsia" w:ascii="宋体" w:hAnsi="宋体" w:cs="宋体"/>
          <w:b/>
          <w:bCs/>
          <w:sz w:val="24"/>
          <w:szCs w:val="24"/>
        </w:rPr>
      </w:pPr>
      <w:r>
        <w:rPr>
          <w:rFonts w:hint="eastAsia" w:ascii="宋体" w:hAnsi="宋体" w:cs="宋体"/>
          <w:b/>
          <w:bCs/>
          <w:sz w:val="24"/>
          <w:szCs w:val="24"/>
        </w:rPr>
        <w:t>15.1 变更的范围和内容</w:t>
      </w:r>
    </w:p>
    <w:p w14:paraId="4FF8EEF5">
      <w:pPr>
        <w:spacing w:line="500" w:lineRule="exact"/>
        <w:rPr>
          <w:rFonts w:hint="eastAsia" w:ascii="宋体" w:hAnsi="宋体" w:cs="宋体"/>
          <w:sz w:val="24"/>
          <w:szCs w:val="24"/>
        </w:rPr>
      </w:pPr>
      <w:r>
        <w:rPr>
          <w:rFonts w:hint="eastAsia" w:ascii="宋体" w:hAnsi="宋体" w:cs="宋体"/>
          <w:sz w:val="24"/>
          <w:szCs w:val="24"/>
        </w:rPr>
        <w:t>本款增加：（6）实际工程量与本合同《工程量清单》中估算工程量的差值引起的增减总金额之和超过合同价格（不含备用金）的15%。上述调整金额仅考虑变更引起的增减总金额。</w:t>
      </w:r>
    </w:p>
    <w:p w14:paraId="1705EFDB">
      <w:pPr>
        <w:spacing w:line="500" w:lineRule="exact"/>
        <w:rPr>
          <w:rFonts w:hint="eastAsia" w:ascii="宋体" w:hAnsi="宋体" w:cs="宋体"/>
          <w:sz w:val="24"/>
          <w:szCs w:val="24"/>
        </w:rPr>
      </w:pPr>
      <w:r>
        <w:rPr>
          <w:rFonts w:hint="eastAsia" w:ascii="宋体" w:hAnsi="宋体" w:cs="宋体"/>
          <w:sz w:val="24"/>
          <w:szCs w:val="24"/>
        </w:rPr>
        <w:t>15.5 承包人的合理化建议</w:t>
      </w:r>
    </w:p>
    <w:p w14:paraId="597729CF">
      <w:pPr>
        <w:spacing w:line="500" w:lineRule="exact"/>
        <w:rPr>
          <w:rFonts w:hint="eastAsia" w:ascii="宋体" w:hAnsi="宋体" w:cs="宋体"/>
          <w:sz w:val="24"/>
          <w:szCs w:val="24"/>
        </w:rPr>
      </w:pPr>
      <w:r>
        <w:rPr>
          <w:rFonts w:hint="eastAsia" w:ascii="宋体" w:hAnsi="宋体" w:cs="宋体"/>
          <w:sz w:val="24"/>
          <w:szCs w:val="24"/>
        </w:rPr>
        <w:t>15.5.2 删除本款，并代之以：承包人提出的合理化建议降低了合同价格、缩短了工期或者提高了工程经济效益的，但发包人有权视为承包人按期完工，或认为承包人在工程施工过程中，由于缩短了工期已得到受益，不再给予奖励。如发包人同意向承包人支付相应奖金的，应在施工合同约定奖励的方式、计算的方法。</w:t>
      </w:r>
    </w:p>
    <w:p w14:paraId="75945E4E">
      <w:pPr>
        <w:spacing w:line="500" w:lineRule="exact"/>
        <w:rPr>
          <w:rFonts w:hint="eastAsia" w:ascii="宋体" w:hAnsi="宋体" w:cs="宋体"/>
          <w:sz w:val="24"/>
          <w:szCs w:val="24"/>
        </w:rPr>
      </w:pPr>
      <w:r>
        <w:rPr>
          <w:rFonts w:hint="eastAsia" w:ascii="宋体" w:hAnsi="宋体" w:cs="宋体"/>
          <w:sz w:val="24"/>
          <w:szCs w:val="24"/>
        </w:rPr>
        <w:t>15.8 暂估价</w:t>
      </w:r>
    </w:p>
    <w:p w14:paraId="5ECD3390">
      <w:pPr>
        <w:spacing w:line="500" w:lineRule="exact"/>
        <w:rPr>
          <w:rFonts w:hint="eastAsia" w:ascii="宋体" w:hAnsi="宋体" w:cs="宋体"/>
          <w:sz w:val="24"/>
          <w:szCs w:val="24"/>
        </w:rPr>
      </w:pPr>
      <w:r>
        <w:rPr>
          <w:rFonts w:hint="eastAsia" w:ascii="宋体" w:hAnsi="宋体" w:cs="宋体"/>
          <w:sz w:val="24"/>
          <w:szCs w:val="24"/>
        </w:rPr>
        <w:t>15.8.1本款中的“发包人和承包人的权利义务关系在专用合同条款中约定”改为“发包人和承包人的权利义务关系应根据招标文件中的《通用合同条款》、《专用合同条款》在合同中进行约定，并从其约定”，本合同的暂估价发包人一旦给定或由承包人在投标报价中列明，在本合同实施过程中发包人不予调整。</w:t>
      </w:r>
    </w:p>
    <w:p w14:paraId="36C19122">
      <w:pPr>
        <w:spacing w:line="500" w:lineRule="exact"/>
        <w:rPr>
          <w:rFonts w:hint="eastAsia" w:ascii="宋体" w:hAnsi="宋体" w:cs="宋体"/>
          <w:sz w:val="24"/>
          <w:szCs w:val="24"/>
        </w:rPr>
      </w:pPr>
      <w:r>
        <w:rPr>
          <w:rFonts w:hint="eastAsia" w:ascii="宋体" w:hAnsi="宋体" w:cs="宋体"/>
          <w:sz w:val="24"/>
          <w:szCs w:val="24"/>
        </w:rPr>
        <w:t>15.8.2 发包人在工程量清单中给定暂估价的材料和工程设备不属于依法必须招标的范围或未达到规定的规模标准的，应由承包人按第5.1 款的约定提供。经监理人确认的材料、工程设备的价格与工程量清单中所列的暂估价的金额差以及相应的税金等其他费用列入合同价格，本合同的暂估价发包人一旦给定，在本合同实施过程中发包人不予调整，由承包人在投标报价中列明的按16.1款规定。</w:t>
      </w:r>
    </w:p>
    <w:p w14:paraId="15B14F91">
      <w:pPr>
        <w:spacing w:line="500" w:lineRule="exact"/>
        <w:jc w:val="center"/>
        <w:rPr>
          <w:rFonts w:hint="eastAsia" w:ascii="宋体" w:hAnsi="宋体" w:cs="宋体"/>
          <w:b/>
          <w:bCs/>
          <w:sz w:val="24"/>
          <w:szCs w:val="24"/>
        </w:rPr>
      </w:pPr>
      <w:r>
        <w:rPr>
          <w:rFonts w:hint="eastAsia" w:ascii="宋体" w:hAnsi="宋体" w:cs="宋体"/>
          <w:b/>
          <w:bCs/>
          <w:sz w:val="24"/>
          <w:szCs w:val="24"/>
        </w:rPr>
        <w:t>16、价格调整</w:t>
      </w:r>
    </w:p>
    <w:p w14:paraId="45B49EB1">
      <w:pPr>
        <w:spacing w:line="500" w:lineRule="exact"/>
        <w:rPr>
          <w:rFonts w:hint="eastAsia" w:ascii="宋体" w:hAnsi="宋体" w:cs="宋体"/>
          <w:b/>
          <w:bCs/>
          <w:sz w:val="24"/>
          <w:szCs w:val="24"/>
        </w:rPr>
      </w:pPr>
      <w:r>
        <w:rPr>
          <w:rFonts w:hint="eastAsia" w:ascii="宋体" w:hAnsi="宋体" w:cs="宋体"/>
          <w:b/>
          <w:bCs/>
          <w:sz w:val="24"/>
          <w:szCs w:val="24"/>
        </w:rPr>
        <w:t>16.1 物价波动引起的价格调整</w:t>
      </w:r>
    </w:p>
    <w:p w14:paraId="60046197">
      <w:pPr>
        <w:spacing w:line="500" w:lineRule="exact"/>
        <w:rPr>
          <w:rFonts w:hint="eastAsia" w:ascii="宋体" w:hAnsi="宋体" w:cs="宋体"/>
          <w:sz w:val="24"/>
          <w:szCs w:val="24"/>
        </w:rPr>
      </w:pPr>
      <w:r>
        <w:rPr>
          <w:rFonts w:hint="eastAsia" w:ascii="宋体" w:hAnsi="宋体" w:cs="宋体"/>
          <w:sz w:val="24"/>
          <w:szCs w:val="24"/>
        </w:rPr>
        <w:t>删除本款，并代之以：投标人在其投标文件工程量清单报价中所列明的各项目单价，在本合同工程实施过程中是不变价格，除16.2款的规定以外，发包人不会考虑给予承包人调整价格的任何因素。</w:t>
      </w:r>
    </w:p>
    <w:p w14:paraId="66E8B7FD">
      <w:pPr>
        <w:spacing w:line="500" w:lineRule="exact"/>
        <w:jc w:val="center"/>
        <w:rPr>
          <w:rFonts w:hint="eastAsia" w:ascii="宋体" w:hAnsi="宋体" w:cs="宋体"/>
          <w:b/>
          <w:bCs/>
          <w:sz w:val="24"/>
          <w:szCs w:val="24"/>
        </w:rPr>
      </w:pPr>
      <w:r>
        <w:rPr>
          <w:rFonts w:hint="eastAsia" w:ascii="宋体" w:hAnsi="宋体" w:cs="宋体"/>
          <w:b/>
          <w:bCs/>
          <w:sz w:val="24"/>
          <w:szCs w:val="24"/>
        </w:rPr>
        <w:t>17、计量与支付</w:t>
      </w:r>
    </w:p>
    <w:p w14:paraId="21B0D63D">
      <w:pPr>
        <w:spacing w:line="500" w:lineRule="exact"/>
        <w:rPr>
          <w:rFonts w:hint="eastAsia" w:ascii="宋体" w:hAnsi="宋体" w:cs="宋体"/>
          <w:b/>
          <w:bCs/>
          <w:sz w:val="24"/>
          <w:szCs w:val="24"/>
        </w:rPr>
      </w:pPr>
      <w:r>
        <w:rPr>
          <w:rFonts w:hint="eastAsia" w:ascii="宋体" w:hAnsi="宋体" w:cs="宋体"/>
          <w:b/>
          <w:bCs/>
          <w:sz w:val="24"/>
          <w:szCs w:val="24"/>
        </w:rPr>
        <w:t>17.1 计量</w:t>
      </w:r>
    </w:p>
    <w:p w14:paraId="1600526F">
      <w:pPr>
        <w:spacing w:line="500" w:lineRule="exact"/>
        <w:rPr>
          <w:rFonts w:hint="eastAsia" w:ascii="宋体" w:hAnsi="宋体" w:cs="宋体"/>
          <w:sz w:val="24"/>
          <w:szCs w:val="24"/>
        </w:rPr>
      </w:pPr>
      <w:r>
        <w:rPr>
          <w:rFonts w:hint="eastAsia" w:ascii="宋体" w:hAnsi="宋体" w:cs="宋体"/>
          <w:sz w:val="24"/>
          <w:szCs w:val="24"/>
        </w:rPr>
        <w:t>17.1.5 总价子目的计量</w:t>
      </w:r>
    </w:p>
    <w:p w14:paraId="67BB36B5">
      <w:pPr>
        <w:spacing w:line="500" w:lineRule="exact"/>
        <w:rPr>
          <w:rFonts w:hint="eastAsia" w:ascii="宋体" w:hAnsi="宋体" w:cs="宋体"/>
          <w:sz w:val="24"/>
          <w:szCs w:val="24"/>
        </w:rPr>
      </w:pPr>
      <w:r>
        <w:rPr>
          <w:rFonts w:hint="eastAsia" w:ascii="宋体" w:hAnsi="宋体" w:cs="宋体"/>
          <w:sz w:val="24"/>
          <w:szCs w:val="24"/>
        </w:rPr>
        <w:t>删除本款中的“除专用合同条款另有约定外”。增加第（5）款：在投标报价中的总价子目应按第5章《总价子目承包分解表》格式和内容由投标人填报。</w:t>
      </w:r>
    </w:p>
    <w:p w14:paraId="0AA2FF0A">
      <w:pPr>
        <w:spacing w:line="500" w:lineRule="exact"/>
        <w:rPr>
          <w:rFonts w:hint="eastAsia" w:ascii="宋体" w:hAnsi="宋体" w:cs="宋体"/>
          <w:b/>
          <w:bCs/>
          <w:sz w:val="24"/>
          <w:szCs w:val="24"/>
        </w:rPr>
      </w:pPr>
      <w:r>
        <w:rPr>
          <w:rFonts w:hint="eastAsia" w:ascii="宋体" w:hAnsi="宋体" w:cs="宋体"/>
          <w:b/>
          <w:bCs/>
          <w:sz w:val="24"/>
          <w:szCs w:val="24"/>
        </w:rPr>
        <w:t>17.2 预付款</w:t>
      </w:r>
    </w:p>
    <w:p w14:paraId="4459EEA7">
      <w:pPr>
        <w:spacing w:line="500" w:lineRule="exact"/>
        <w:rPr>
          <w:rFonts w:hint="eastAsia" w:ascii="宋体" w:hAnsi="宋体" w:cs="宋体"/>
          <w:sz w:val="24"/>
          <w:szCs w:val="24"/>
        </w:rPr>
      </w:pPr>
      <w:r>
        <w:rPr>
          <w:rFonts w:hint="eastAsia" w:ascii="宋体" w:hAnsi="宋体" w:cs="宋体"/>
          <w:sz w:val="24"/>
          <w:szCs w:val="24"/>
        </w:rPr>
        <w:t>17.2.1 预付款</w:t>
      </w:r>
    </w:p>
    <w:p w14:paraId="588C594F">
      <w:pPr>
        <w:spacing w:line="500" w:lineRule="exact"/>
        <w:rPr>
          <w:rFonts w:hint="eastAsia" w:ascii="宋体" w:hAnsi="宋体" w:cs="宋体"/>
          <w:sz w:val="24"/>
          <w:szCs w:val="24"/>
        </w:rPr>
      </w:pPr>
      <w:r>
        <w:rPr>
          <w:rFonts w:hint="eastAsia" w:ascii="宋体" w:hAnsi="宋体" w:cs="宋体"/>
          <w:sz w:val="24"/>
          <w:szCs w:val="24"/>
        </w:rPr>
        <w:t>本款中的“预付款的额度和预付办法在专用合同条款中约定”改为“预付款为合同总价的10%，发包人应在收到承包人提交了预付款担保的同时向承包人第一次支付预付款总价的40%，当承包人的主要人员、主要施工设备进场后的5日内向承包人支付第二次预付款总价的60%”。合同另有约定的，则从其约定。</w:t>
      </w:r>
    </w:p>
    <w:p w14:paraId="6A0603E0">
      <w:pPr>
        <w:spacing w:line="500" w:lineRule="exact"/>
        <w:rPr>
          <w:rFonts w:hint="eastAsia" w:ascii="宋体" w:hAnsi="宋体" w:cs="宋体"/>
          <w:sz w:val="24"/>
          <w:szCs w:val="24"/>
        </w:rPr>
      </w:pPr>
      <w:r>
        <w:rPr>
          <w:rFonts w:hint="eastAsia" w:ascii="宋体" w:hAnsi="宋体" w:cs="宋体"/>
          <w:sz w:val="24"/>
          <w:szCs w:val="24"/>
        </w:rPr>
        <w:t>17.2.2 预付款保函</w:t>
      </w:r>
    </w:p>
    <w:p w14:paraId="2925B8BD">
      <w:pPr>
        <w:spacing w:line="500" w:lineRule="exact"/>
        <w:rPr>
          <w:rFonts w:hint="eastAsia" w:ascii="宋体" w:hAnsi="宋体" w:cs="宋体"/>
          <w:sz w:val="24"/>
          <w:szCs w:val="24"/>
        </w:rPr>
      </w:pPr>
      <w:r>
        <w:rPr>
          <w:rFonts w:hint="eastAsia" w:ascii="宋体" w:hAnsi="宋体" w:cs="宋体"/>
          <w:sz w:val="24"/>
          <w:szCs w:val="24"/>
        </w:rPr>
        <w:t>删除本款，并代之以：预付款担保金额为合同价格的10％，采用现金、现金支票或转账支票的方式支付，不接受任何形式的保函担保。预付款担保金可根据预付款扣回的金额相应退回。</w:t>
      </w:r>
    </w:p>
    <w:p w14:paraId="5A30A827">
      <w:pPr>
        <w:spacing w:line="500" w:lineRule="exact"/>
        <w:rPr>
          <w:rFonts w:hint="eastAsia" w:ascii="宋体" w:hAnsi="宋体" w:cs="宋体"/>
          <w:sz w:val="24"/>
          <w:szCs w:val="24"/>
        </w:rPr>
      </w:pPr>
      <w:r>
        <w:rPr>
          <w:rFonts w:hint="eastAsia" w:ascii="宋体" w:hAnsi="宋体" w:cs="宋体"/>
          <w:sz w:val="24"/>
          <w:szCs w:val="24"/>
        </w:rPr>
        <w:t>17.2.3 预付款的扣回与还清</w:t>
      </w:r>
    </w:p>
    <w:p w14:paraId="09C98C7D">
      <w:pPr>
        <w:spacing w:line="500" w:lineRule="exact"/>
        <w:rPr>
          <w:rFonts w:hint="eastAsia" w:ascii="宋体" w:hAnsi="宋体" w:cs="宋体"/>
          <w:sz w:val="24"/>
          <w:szCs w:val="24"/>
        </w:rPr>
      </w:pPr>
      <w:r>
        <w:rPr>
          <w:rFonts w:hint="eastAsia" w:ascii="宋体" w:hAnsi="宋体" w:cs="宋体"/>
          <w:sz w:val="24"/>
          <w:szCs w:val="24"/>
        </w:rPr>
        <w:t>删除本款，并代之以：预付款在工程进度付款中扣回，工程预付款自工程进度款累计支付达到合同价的 20 %时起扣，至工程进度款累计支付达到合同价格的 80 %时全部扣回。在颁发工程接收证书前，由于不可抗力或其他原因解除合同时，预付款尚未扣清的，尚未扣清的预付款余额应作为承包人的到期应付款。</w:t>
      </w:r>
    </w:p>
    <w:p w14:paraId="32D11BDA">
      <w:pPr>
        <w:spacing w:line="500" w:lineRule="exact"/>
        <w:rPr>
          <w:rFonts w:hint="eastAsia" w:ascii="宋体" w:hAnsi="宋体" w:cs="宋体"/>
          <w:b/>
          <w:bCs/>
          <w:sz w:val="24"/>
          <w:szCs w:val="24"/>
        </w:rPr>
      </w:pPr>
      <w:r>
        <w:rPr>
          <w:rFonts w:hint="eastAsia" w:ascii="宋体" w:hAnsi="宋体" w:cs="宋体"/>
          <w:b/>
          <w:bCs/>
          <w:sz w:val="24"/>
          <w:szCs w:val="24"/>
        </w:rPr>
        <w:t>17.3 工程进度付款</w:t>
      </w:r>
    </w:p>
    <w:p w14:paraId="1542CACD">
      <w:pPr>
        <w:spacing w:line="500" w:lineRule="exact"/>
        <w:rPr>
          <w:rFonts w:hint="eastAsia" w:ascii="宋体" w:hAnsi="宋体" w:cs="宋体"/>
          <w:sz w:val="24"/>
          <w:szCs w:val="24"/>
        </w:rPr>
      </w:pPr>
      <w:r>
        <w:rPr>
          <w:rFonts w:hint="eastAsia" w:ascii="宋体" w:hAnsi="宋体" w:cs="宋体"/>
          <w:sz w:val="24"/>
          <w:szCs w:val="24"/>
        </w:rPr>
        <w:t>17.3.2 进度付款申请单</w:t>
      </w:r>
    </w:p>
    <w:p w14:paraId="354CE4B7">
      <w:pPr>
        <w:spacing w:line="500" w:lineRule="exact"/>
        <w:rPr>
          <w:rFonts w:hint="eastAsia" w:ascii="宋体" w:hAnsi="宋体" w:cs="宋体"/>
          <w:sz w:val="24"/>
          <w:szCs w:val="24"/>
        </w:rPr>
      </w:pPr>
      <w:r>
        <w:rPr>
          <w:rFonts w:hint="eastAsia" w:ascii="宋体" w:hAnsi="宋体" w:cs="宋体"/>
          <w:sz w:val="24"/>
          <w:szCs w:val="24"/>
        </w:rPr>
        <w:t>本款中的“和专用合同条款约定的份数”改为“一式4份”。并在开工后的7天内向发包人提供一份《资金流估算表》，以便发包人能够合理的安排工程建设资金，格式如下：</w:t>
      </w:r>
    </w:p>
    <w:p w14:paraId="5B4F63E3">
      <w:pPr>
        <w:spacing w:line="320" w:lineRule="exact"/>
        <w:rPr>
          <w:rFonts w:ascii="Tahoma" w:hAnsi="Tahoma" w:eastAsia="新宋体" w:cs="Tahoma"/>
          <w:b/>
          <w:bCs/>
          <w:szCs w:val="21"/>
          <w:u w:val="single"/>
        </w:rPr>
      </w:pPr>
      <w:r>
        <w:rPr>
          <w:rFonts w:ascii="新宋体" w:hAnsi="新宋体" w:eastAsia="新宋体" w:cs="Tahoma"/>
          <w:b/>
          <w:bCs/>
          <w:szCs w:val="21"/>
        </w:rPr>
        <w:t>资金流估算表（参考格式）</w:t>
      </w:r>
      <w:r>
        <w:rPr>
          <w:rFonts w:ascii="Tahoma" w:hAnsi="Tahoma" w:eastAsia="新宋体" w:cs="Tahoma"/>
          <w:b/>
          <w:bCs/>
          <w:szCs w:val="21"/>
        </w:rPr>
        <w:t xml:space="preserve">         </w:t>
      </w:r>
      <w:r>
        <w:rPr>
          <w:rFonts w:ascii="新宋体" w:hAnsi="新宋体" w:eastAsia="新宋体" w:cs="Tahoma"/>
          <w:szCs w:val="21"/>
        </w:rPr>
        <w:t>金额单位</w:t>
      </w:r>
      <w:r>
        <w:rPr>
          <w:rFonts w:ascii="Tahoma" w:hAnsi="Tahoma" w:eastAsia="新宋体" w:cs="Tahoma"/>
          <w:szCs w:val="21"/>
          <w:u w:val="single"/>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554"/>
        <w:gridCol w:w="2064"/>
        <w:gridCol w:w="1785"/>
        <w:gridCol w:w="1344"/>
        <w:gridCol w:w="1344"/>
        <w:gridCol w:w="803"/>
        <w:gridCol w:w="1185"/>
      </w:tblGrid>
      <w:tr w14:paraId="45C73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281952E4">
            <w:pPr>
              <w:spacing w:line="320" w:lineRule="exact"/>
              <w:jc w:val="center"/>
              <w:rPr>
                <w:rFonts w:ascii="Tahoma" w:hAnsi="Tahoma" w:eastAsia="新宋体" w:cs="Tahoma"/>
                <w:szCs w:val="21"/>
                <w:lang w:eastAsia="en-US"/>
              </w:rPr>
            </w:pPr>
            <w:r>
              <w:rPr>
                <w:rFonts w:ascii="Tahoma" w:hAnsi="Tahoma" w:eastAsia="新宋体" w:cs="Tahoma"/>
                <w:szCs w:val="21"/>
                <w:lang w:eastAsia="en-US"/>
              </w:rPr>
              <w:t>年</w:t>
            </w:r>
          </w:p>
        </w:tc>
        <w:tc>
          <w:tcPr>
            <w:tcW w:w="554" w:type="dxa"/>
            <w:tcBorders>
              <w:top w:val="single" w:color="auto" w:sz="4" w:space="0"/>
              <w:left w:val="nil"/>
              <w:bottom w:val="single" w:color="auto" w:sz="4" w:space="0"/>
              <w:right w:val="single" w:color="auto" w:sz="4" w:space="0"/>
            </w:tcBorders>
            <w:noWrap w:val="0"/>
            <w:vAlign w:val="center"/>
          </w:tcPr>
          <w:p w14:paraId="250250A4">
            <w:pPr>
              <w:spacing w:line="320" w:lineRule="exact"/>
              <w:jc w:val="center"/>
              <w:rPr>
                <w:rFonts w:ascii="Tahoma" w:hAnsi="Tahoma" w:eastAsia="新宋体" w:cs="Tahoma"/>
                <w:szCs w:val="21"/>
                <w:lang w:eastAsia="en-US"/>
              </w:rPr>
            </w:pPr>
            <w:r>
              <w:rPr>
                <w:rFonts w:ascii="Tahoma" w:hAnsi="Tahoma" w:eastAsia="新宋体" w:cs="Tahoma"/>
                <w:szCs w:val="21"/>
                <w:lang w:eastAsia="en-US"/>
              </w:rPr>
              <w:t>月</w:t>
            </w:r>
          </w:p>
        </w:tc>
        <w:tc>
          <w:tcPr>
            <w:tcW w:w="2064" w:type="dxa"/>
            <w:tcBorders>
              <w:top w:val="single" w:color="auto" w:sz="4" w:space="0"/>
              <w:left w:val="nil"/>
              <w:bottom w:val="single" w:color="auto" w:sz="4" w:space="0"/>
              <w:right w:val="single" w:color="auto" w:sz="4" w:space="0"/>
            </w:tcBorders>
            <w:noWrap w:val="0"/>
            <w:vAlign w:val="center"/>
          </w:tcPr>
          <w:p w14:paraId="67D38200">
            <w:pPr>
              <w:spacing w:line="320" w:lineRule="exact"/>
              <w:jc w:val="center"/>
              <w:rPr>
                <w:rFonts w:ascii="Tahoma" w:hAnsi="Tahoma" w:eastAsia="新宋体" w:cs="Tahoma"/>
                <w:szCs w:val="21"/>
                <w:lang w:eastAsia="en-US"/>
              </w:rPr>
            </w:pPr>
            <w:r>
              <w:rPr>
                <w:rFonts w:ascii="Tahoma" w:hAnsi="Tahoma" w:eastAsia="新宋体" w:cs="Tahoma"/>
                <w:szCs w:val="21"/>
                <w:lang w:eastAsia="en-US"/>
              </w:rPr>
              <w:t>工程和材料预付款</w:t>
            </w:r>
          </w:p>
        </w:tc>
        <w:tc>
          <w:tcPr>
            <w:tcW w:w="1785" w:type="dxa"/>
            <w:tcBorders>
              <w:top w:val="single" w:color="auto" w:sz="4" w:space="0"/>
              <w:left w:val="nil"/>
              <w:bottom w:val="single" w:color="auto" w:sz="4" w:space="0"/>
              <w:right w:val="single" w:color="auto" w:sz="4" w:space="0"/>
            </w:tcBorders>
            <w:noWrap w:val="0"/>
            <w:vAlign w:val="center"/>
          </w:tcPr>
          <w:p w14:paraId="544217CB">
            <w:pPr>
              <w:spacing w:line="320" w:lineRule="exact"/>
              <w:jc w:val="center"/>
              <w:rPr>
                <w:rFonts w:ascii="Tahoma" w:hAnsi="Tahoma" w:eastAsia="新宋体" w:cs="Tahoma"/>
                <w:szCs w:val="21"/>
                <w:lang w:eastAsia="en-US"/>
              </w:rPr>
            </w:pPr>
            <w:r>
              <w:rPr>
                <w:rFonts w:ascii="Tahoma" w:hAnsi="Tahoma" w:eastAsia="新宋体" w:cs="Tahoma"/>
                <w:szCs w:val="21"/>
                <w:lang w:eastAsia="en-US"/>
              </w:rPr>
              <w:t>完成工作量付款</w:t>
            </w:r>
          </w:p>
        </w:tc>
        <w:tc>
          <w:tcPr>
            <w:tcW w:w="1344" w:type="dxa"/>
            <w:tcBorders>
              <w:top w:val="single" w:color="auto" w:sz="4" w:space="0"/>
              <w:left w:val="nil"/>
              <w:bottom w:val="single" w:color="auto" w:sz="4" w:space="0"/>
              <w:right w:val="single" w:color="auto" w:sz="4" w:space="0"/>
            </w:tcBorders>
            <w:noWrap w:val="0"/>
            <w:vAlign w:val="center"/>
          </w:tcPr>
          <w:p w14:paraId="33460FF6">
            <w:pPr>
              <w:spacing w:line="320" w:lineRule="exact"/>
              <w:jc w:val="center"/>
              <w:rPr>
                <w:rFonts w:ascii="Tahoma" w:hAnsi="Tahoma" w:eastAsia="新宋体" w:cs="Tahoma"/>
                <w:szCs w:val="21"/>
                <w:lang w:eastAsia="en-US"/>
              </w:rPr>
            </w:pPr>
            <w:r>
              <w:rPr>
                <w:rFonts w:ascii="Tahoma" w:hAnsi="Tahoma" w:eastAsia="新宋体" w:cs="Tahoma"/>
                <w:szCs w:val="21"/>
                <w:lang w:eastAsia="en-US"/>
              </w:rPr>
              <w:t>保留金扣留</w:t>
            </w:r>
          </w:p>
        </w:tc>
        <w:tc>
          <w:tcPr>
            <w:tcW w:w="1344" w:type="dxa"/>
            <w:tcBorders>
              <w:top w:val="single" w:color="auto" w:sz="4" w:space="0"/>
              <w:left w:val="nil"/>
              <w:bottom w:val="single" w:color="auto" w:sz="4" w:space="0"/>
              <w:right w:val="single" w:color="auto" w:sz="4" w:space="0"/>
            </w:tcBorders>
            <w:noWrap w:val="0"/>
            <w:vAlign w:val="center"/>
          </w:tcPr>
          <w:p w14:paraId="29D4049A">
            <w:pPr>
              <w:spacing w:line="320" w:lineRule="exact"/>
              <w:jc w:val="center"/>
              <w:rPr>
                <w:rFonts w:ascii="Tahoma" w:hAnsi="Tahoma" w:eastAsia="新宋体" w:cs="Tahoma"/>
                <w:szCs w:val="21"/>
                <w:lang w:eastAsia="en-US"/>
              </w:rPr>
            </w:pPr>
            <w:r>
              <w:rPr>
                <w:rFonts w:ascii="Tahoma" w:hAnsi="Tahoma" w:eastAsia="新宋体" w:cs="Tahoma"/>
                <w:szCs w:val="21"/>
                <w:lang w:eastAsia="en-US"/>
              </w:rPr>
              <w:t>预付款扣还</w:t>
            </w:r>
          </w:p>
        </w:tc>
        <w:tc>
          <w:tcPr>
            <w:tcW w:w="803" w:type="dxa"/>
            <w:tcBorders>
              <w:top w:val="single" w:color="auto" w:sz="4" w:space="0"/>
              <w:left w:val="nil"/>
              <w:bottom w:val="single" w:color="auto" w:sz="4" w:space="0"/>
              <w:right w:val="single" w:color="auto" w:sz="4" w:space="0"/>
            </w:tcBorders>
            <w:noWrap w:val="0"/>
            <w:vAlign w:val="center"/>
          </w:tcPr>
          <w:p w14:paraId="4D666F1E">
            <w:pPr>
              <w:spacing w:line="320" w:lineRule="exact"/>
              <w:jc w:val="center"/>
              <w:rPr>
                <w:rFonts w:ascii="Tahoma" w:hAnsi="Tahoma" w:eastAsia="新宋体" w:cs="Tahoma"/>
                <w:szCs w:val="21"/>
                <w:lang w:eastAsia="en-US"/>
              </w:rPr>
            </w:pPr>
            <w:r>
              <w:rPr>
                <w:rFonts w:ascii="Tahoma" w:hAnsi="Tahoma" w:eastAsia="新宋体" w:cs="Tahoma"/>
                <w:szCs w:val="21"/>
                <w:lang w:eastAsia="en-US"/>
              </w:rPr>
              <w:t>其它</w:t>
            </w:r>
          </w:p>
        </w:tc>
        <w:tc>
          <w:tcPr>
            <w:tcW w:w="1185" w:type="dxa"/>
            <w:tcBorders>
              <w:top w:val="single" w:color="auto" w:sz="4" w:space="0"/>
              <w:left w:val="nil"/>
              <w:bottom w:val="single" w:color="auto" w:sz="4" w:space="0"/>
              <w:right w:val="single" w:color="auto" w:sz="4" w:space="0"/>
            </w:tcBorders>
            <w:noWrap w:val="0"/>
            <w:vAlign w:val="center"/>
          </w:tcPr>
          <w:p w14:paraId="75E22D58">
            <w:pPr>
              <w:spacing w:line="320" w:lineRule="exact"/>
              <w:jc w:val="center"/>
              <w:rPr>
                <w:rFonts w:ascii="Tahoma" w:hAnsi="Tahoma" w:eastAsia="新宋体" w:cs="Tahoma"/>
                <w:szCs w:val="21"/>
                <w:lang w:eastAsia="en-US"/>
              </w:rPr>
            </w:pPr>
            <w:r>
              <w:rPr>
                <w:rFonts w:ascii="Tahoma" w:hAnsi="Tahoma" w:eastAsia="新宋体" w:cs="Tahoma"/>
                <w:szCs w:val="21"/>
                <w:lang w:eastAsia="en-US"/>
              </w:rPr>
              <w:t>应得付款</w:t>
            </w:r>
          </w:p>
        </w:tc>
      </w:tr>
      <w:tr w14:paraId="61C4A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0A4333E9">
            <w:pPr>
              <w:spacing w:line="240" w:lineRule="exact"/>
              <w:jc w:val="center"/>
              <w:rPr>
                <w:rFonts w:ascii="Tahoma" w:hAnsi="Tahoma" w:cs="Tahoma"/>
                <w:szCs w:val="21"/>
                <w:lang w:eastAsia="en-US"/>
              </w:rPr>
            </w:pPr>
          </w:p>
        </w:tc>
        <w:tc>
          <w:tcPr>
            <w:tcW w:w="554" w:type="dxa"/>
            <w:tcBorders>
              <w:top w:val="single" w:color="auto" w:sz="4" w:space="0"/>
              <w:left w:val="nil"/>
              <w:bottom w:val="single" w:color="auto" w:sz="4" w:space="0"/>
              <w:right w:val="single" w:color="auto" w:sz="4" w:space="0"/>
            </w:tcBorders>
            <w:noWrap w:val="0"/>
            <w:vAlign w:val="center"/>
          </w:tcPr>
          <w:p w14:paraId="6FE99A6B">
            <w:pPr>
              <w:spacing w:line="240" w:lineRule="exact"/>
              <w:jc w:val="center"/>
              <w:rPr>
                <w:rFonts w:ascii="Tahoma" w:hAnsi="Tahoma" w:cs="Tahoma"/>
                <w:szCs w:val="21"/>
                <w:lang w:eastAsia="en-US"/>
              </w:rPr>
            </w:pPr>
          </w:p>
        </w:tc>
        <w:tc>
          <w:tcPr>
            <w:tcW w:w="2064" w:type="dxa"/>
            <w:tcBorders>
              <w:top w:val="single" w:color="auto" w:sz="4" w:space="0"/>
              <w:left w:val="nil"/>
              <w:bottom w:val="single" w:color="auto" w:sz="4" w:space="0"/>
              <w:right w:val="single" w:color="auto" w:sz="4" w:space="0"/>
            </w:tcBorders>
            <w:noWrap w:val="0"/>
            <w:vAlign w:val="center"/>
          </w:tcPr>
          <w:p w14:paraId="40C7CF52">
            <w:pPr>
              <w:spacing w:line="240" w:lineRule="exact"/>
              <w:jc w:val="center"/>
              <w:rPr>
                <w:rFonts w:ascii="Tahoma" w:hAnsi="Tahoma" w:cs="Tahoma"/>
                <w:szCs w:val="21"/>
                <w:lang w:eastAsia="en-US"/>
              </w:rPr>
            </w:pPr>
          </w:p>
        </w:tc>
        <w:tc>
          <w:tcPr>
            <w:tcW w:w="1785" w:type="dxa"/>
            <w:tcBorders>
              <w:top w:val="single" w:color="auto" w:sz="4" w:space="0"/>
              <w:left w:val="nil"/>
              <w:bottom w:val="single" w:color="auto" w:sz="4" w:space="0"/>
              <w:right w:val="single" w:color="auto" w:sz="4" w:space="0"/>
            </w:tcBorders>
            <w:noWrap w:val="0"/>
            <w:vAlign w:val="center"/>
          </w:tcPr>
          <w:p w14:paraId="6C270B77">
            <w:pPr>
              <w:spacing w:line="240" w:lineRule="exact"/>
              <w:jc w:val="center"/>
              <w:rPr>
                <w:rFonts w:ascii="Tahoma" w:hAnsi="Tahoma" w:cs="Tahoma"/>
                <w:szCs w:val="21"/>
                <w:lang w:eastAsia="en-US"/>
              </w:rPr>
            </w:pPr>
          </w:p>
        </w:tc>
        <w:tc>
          <w:tcPr>
            <w:tcW w:w="1344" w:type="dxa"/>
            <w:tcBorders>
              <w:top w:val="single" w:color="auto" w:sz="4" w:space="0"/>
              <w:left w:val="nil"/>
              <w:bottom w:val="single" w:color="auto" w:sz="4" w:space="0"/>
              <w:right w:val="single" w:color="auto" w:sz="4" w:space="0"/>
            </w:tcBorders>
            <w:noWrap w:val="0"/>
            <w:vAlign w:val="center"/>
          </w:tcPr>
          <w:p w14:paraId="3F149990">
            <w:pPr>
              <w:spacing w:line="240" w:lineRule="exact"/>
              <w:jc w:val="center"/>
              <w:rPr>
                <w:rFonts w:ascii="Tahoma" w:hAnsi="Tahoma" w:cs="Tahoma"/>
                <w:szCs w:val="21"/>
                <w:lang w:eastAsia="en-US"/>
              </w:rPr>
            </w:pPr>
          </w:p>
        </w:tc>
        <w:tc>
          <w:tcPr>
            <w:tcW w:w="1344" w:type="dxa"/>
            <w:tcBorders>
              <w:top w:val="single" w:color="auto" w:sz="4" w:space="0"/>
              <w:left w:val="nil"/>
              <w:bottom w:val="single" w:color="auto" w:sz="4" w:space="0"/>
              <w:right w:val="single" w:color="auto" w:sz="4" w:space="0"/>
            </w:tcBorders>
            <w:noWrap w:val="0"/>
            <w:vAlign w:val="center"/>
          </w:tcPr>
          <w:p w14:paraId="39489FB5">
            <w:pPr>
              <w:spacing w:line="240" w:lineRule="exact"/>
              <w:jc w:val="center"/>
              <w:rPr>
                <w:rFonts w:ascii="Tahoma" w:hAnsi="Tahoma" w:cs="Tahoma"/>
                <w:szCs w:val="21"/>
                <w:lang w:eastAsia="en-US"/>
              </w:rPr>
            </w:pPr>
          </w:p>
        </w:tc>
        <w:tc>
          <w:tcPr>
            <w:tcW w:w="803" w:type="dxa"/>
            <w:tcBorders>
              <w:top w:val="single" w:color="auto" w:sz="4" w:space="0"/>
              <w:left w:val="nil"/>
              <w:bottom w:val="single" w:color="auto" w:sz="4" w:space="0"/>
              <w:right w:val="single" w:color="auto" w:sz="4" w:space="0"/>
            </w:tcBorders>
            <w:noWrap w:val="0"/>
            <w:vAlign w:val="center"/>
          </w:tcPr>
          <w:p w14:paraId="4BFE235E">
            <w:pPr>
              <w:spacing w:line="240" w:lineRule="exact"/>
              <w:jc w:val="center"/>
              <w:rPr>
                <w:rFonts w:ascii="Tahoma" w:hAnsi="Tahoma" w:cs="Tahoma"/>
                <w:szCs w:val="21"/>
                <w:lang w:eastAsia="en-US"/>
              </w:rPr>
            </w:pPr>
          </w:p>
        </w:tc>
        <w:tc>
          <w:tcPr>
            <w:tcW w:w="1185" w:type="dxa"/>
            <w:tcBorders>
              <w:top w:val="single" w:color="auto" w:sz="4" w:space="0"/>
              <w:left w:val="nil"/>
              <w:bottom w:val="single" w:color="auto" w:sz="4" w:space="0"/>
              <w:right w:val="single" w:color="auto" w:sz="4" w:space="0"/>
            </w:tcBorders>
            <w:noWrap w:val="0"/>
            <w:vAlign w:val="center"/>
          </w:tcPr>
          <w:p w14:paraId="42BD491D">
            <w:pPr>
              <w:spacing w:line="240" w:lineRule="exact"/>
              <w:jc w:val="center"/>
              <w:rPr>
                <w:rFonts w:ascii="Tahoma" w:hAnsi="Tahoma" w:cs="Tahoma"/>
                <w:szCs w:val="21"/>
                <w:lang w:eastAsia="en-US"/>
              </w:rPr>
            </w:pPr>
          </w:p>
        </w:tc>
      </w:tr>
      <w:tr w14:paraId="65647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64B22724">
            <w:pPr>
              <w:spacing w:line="240" w:lineRule="exact"/>
              <w:jc w:val="center"/>
              <w:rPr>
                <w:rFonts w:ascii="Tahoma" w:hAnsi="Tahoma" w:cs="Tahoma"/>
                <w:szCs w:val="21"/>
                <w:lang w:eastAsia="en-US"/>
              </w:rPr>
            </w:pPr>
          </w:p>
        </w:tc>
        <w:tc>
          <w:tcPr>
            <w:tcW w:w="554" w:type="dxa"/>
            <w:tcBorders>
              <w:top w:val="single" w:color="auto" w:sz="4" w:space="0"/>
              <w:left w:val="nil"/>
              <w:bottom w:val="single" w:color="auto" w:sz="4" w:space="0"/>
              <w:right w:val="single" w:color="auto" w:sz="4" w:space="0"/>
            </w:tcBorders>
            <w:noWrap w:val="0"/>
            <w:vAlign w:val="center"/>
          </w:tcPr>
          <w:p w14:paraId="63BF93CA">
            <w:pPr>
              <w:spacing w:line="240" w:lineRule="exact"/>
              <w:jc w:val="center"/>
              <w:rPr>
                <w:rFonts w:ascii="Tahoma" w:hAnsi="Tahoma" w:cs="Tahoma"/>
                <w:szCs w:val="21"/>
                <w:lang w:eastAsia="en-US"/>
              </w:rPr>
            </w:pPr>
          </w:p>
        </w:tc>
        <w:tc>
          <w:tcPr>
            <w:tcW w:w="2064" w:type="dxa"/>
            <w:tcBorders>
              <w:top w:val="single" w:color="auto" w:sz="4" w:space="0"/>
              <w:left w:val="nil"/>
              <w:bottom w:val="single" w:color="auto" w:sz="4" w:space="0"/>
              <w:right w:val="single" w:color="auto" w:sz="4" w:space="0"/>
            </w:tcBorders>
            <w:noWrap w:val="0"/>
            <w:vAlign w:val="center"/>
          </w:tcPr>
          <w:p w14:paraId="22D22373">
            <w:pPr>
              <w:spacing w:line="240" w:lineRule="exact"/>
              <w:jc w:val="center"/>
              <w:rPr>
                <w:rFonts w:ascii="Tahoma" w:hAnsi="Tahoma" w:cs="Tahoma"/>
                <w:szCs w:val="21"/>
                <w:lang w:eastAsia="en-US"/>
              </w:rPr>
            </w:pPr>
          </w:p>
        </w:tc>
        <w:tc>
          <w:tcPr>
            <w:tcW w:w="1785" w:type="dxa"/>
            <w:tcBorders>
              <w:top w:val="single" w:color="auto" w:sz="4" w:space="0"/>
              <w:left w:val="nil"/>
              <w:bottom w:val="single" w:color="auto" w:sz="4" w:space="0"/>
              <w:right w:val="single" w:color="auto" w:sz="4" w:space="0"/>
            </w:tcBorders>
            <w:noWrap w:val="0"/>
            <w:vAlign w:val="center"/>
          </w:tcPr>
          <w:p w14:paraId="748F414E">
            <w:pPr>
              <w:spacing w:line="240" w:lineRule="exact"/>
              <w:jc w:val="center"/>
              <w:rPr>
                <w:rFonts w:ascii="Tahoma" w:hAnsi="Tahoma" w:cs="Tahoma"/>
                <w:szCs w:val="21"/>
                <w:lang w:eastAsia="en-US"/>
              </w:rPr>
            </w:pPr>
          </w:p>
        </w:tc>
        <w:tc>
          <w:tcPr>
            <w:tcW w:w="1344" w:type="dxa"/>
            <w:tcBorders>
              <w:top w:val="single" w:color="auto" w:sz="4" w:space="0"/>
              <w:left w:val="nil"/>
              <w:bottom w:val="single" w:color="auto" w:sz="4" w:space="0"/>
              <w:right w:val="single" w:color="auto" w:sz="4" w:space="0"/>
            </w:tcBorders>
            <w:noWrap w:val="0"/>
            <w:vAlign w:val="center"/>
          </w:tcPr>
          <w:p w14:paraId="4E244D8B">
            <w:pPr>
              <w:spacing w:line="240" w:lineRule="exact"/>
              <w:jc w:val="center"/>
              <w:rPr>
                <w:rFonts w:ascii="Tahoma" w:hAnsi="Tahoma" w:cs="Tahoma"/>
                <w:szCs w:val="21"/>
                <w:lang w:eastAsia="en-US"/>
              </w:rPr>
            </w:pPr>
          </w:p>
        </w:tc>
        <w:tc>
          <w:tcPr>
            <w:tcW w:w="1344" w:type="dxa"/>
            <w:tcBorders>
              <w:top w:val="single" w:color="auto" w:sz="4" w:space="0"/>
              <w:left w:val="nil"/>
              <w:bottom w:val="single" w:color="auto" w:sz="4" w:space="0"/>
              <w:right w:val="single" w:color="auto" w:sz="4" w:space="0"/>
            </w:tcBorders>
            <w:noWrap w:val="0"/>
            <w:vAlign w:val="center"/>
          </w:tcPr>
          <w:p w14:paraId="161E6D85">
            <w:pPr>
              <w:spacing w:line="240" w:lineRule="exact"/>
              <w:jc w:val="center"/>
              <w:rPr>
                <w:rFonts w:ascii="Tahoma" w:hAnsi="Tahoma" w:cs="Tahoma"/>
                <w:szCs w:val="21"/>
                <w:lang w:eastAsia="en-US"/>
              </w:rPr>
            </w:pPr>
          </w:p>
        </w:tc>
        <w:tc>
          <w:tcPr>
            <w:tcW w:w="803" w:type="dxa"/>
            <w:tcBorders>
              <w:top w:val="single" w:color="auto" w:sz="4" w:space="0"/>
              <w:left w:val="nil"/>
              <w:bottom w:val="single" w:color="auto" w:sz="4" w:space="0"/>
              <w:right w:val="single" w:color="auto" w:sz="4" w:space="0"/>
            </w:tcBorders>
            <w:noWrap w:val="0"/>
            <w:vAlign w:val="center"/>
          </w:tcPr>
          <w:p w14:paraId="60E96E8D">
            <w:pPr>
              <w:spacing w:line="240" w:lineRule="exact"/>
              <w:jc w:val="center"/>
              <w:rPr>
                <w:rFonts w:ascii="Tahoma" w:hAnsi="Tahoma" w:cs="Tahoma"/>
                <w:szCs w:val="21"/>
                <w:lang w:eastAsia="en-US"/>
              </w:rPr>
            </w:pPr>
          </w:p>
        </w:tc>
        <w:tc>
          <w:tcPr>
            <w:tcW w:w="1185" w:type="dxa"/>
            <w:tcBorders>
              <w:top w:val="single" w:color="auto" w:sz="4" w:space="0"/>
              <w:left w:val="nil"/>
              <w:bottom w:val="single" w:color="auto" w:sz="4" w:space="0"/>
              <w:right w:val="single" w:color="auto" w:sz="4" w:space="0"/>
            </w:tcBorders>
            <w:noWrap w:val="0"/>
            <w:vAlign w:val="center"/>
          </w:tcPr>
          <w:p w14:paraId="7D1B00CF">
            <w:pPr>
              <w:spacing w:line="240" w:lineRule="exact"/>
              <w:jc w:val="center"/>
              <w:rPr>
                <w:rFonts w:ascii="Tahoma" w:hAnsi="Tahoma" w:cs="Tahoma"/>
                <w:szCs w:val="21"/>
                <w:lang w:eastAsia="en-US"/>
              </w:rPr>
            </w:pPr>
          </w:p>
        </w:tc>
      </w:tr>
      <w:tr w14:paraId="37F9D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3CB54F2C">
            <w:pPr>
              <w:spacing w:line="240" w:lineRule="exact"/>
              <w:jc w:val="center"/>
              <w:rPr>
                <w:rFonts w:ascii="Tahoma" w:hAnsi="Tahoma" w:cs="Tahoma"/>
                <w:szCs w:val="21"/>
                <w:lang w:eastAsia="en-US"/>
              </w:rPr>
            </w:pPr>
          </w:p>
        </w:tc>
        <w:tc>
          <w:tcPr>
            <w:tcW w:w="554" w:type="dxa"/>
            <w:tcBorders>
              <w:top w:val="single" w:color="auto" w:sz="4" w:space="0"/>
              <w:left w:val="nil"/>
              <w:bottom w:val="single" w:color="auto" w:sz="4" w:space="0"/>
              <w:right w:val="single" w:color="auto" w:sz="4" w:space="0"/>
            </w:tcBorders>
            <w:noWrap w:val="0"/>
            <w:vAlign w:val="center"/>
          </w:tcPr>
          <w:p w14:paraId="5A5F6AF4">
            <w:pPr>
              <w:spacing w:line="240" w:lineRule="exact"/>
              <w:jc w:val="center"/>
              <w:rPr>
                <w:rFonts w:ascii="Tahoma" w:hAnsi="Tahoma" w:cs="Tahoma"/>
                <w:szCs w:val="21"/>
                <w:lang w:eastAsia="en-US"/>
              </w:rPr>
            </w:pPr>
          </w:p>
        </w:tc>
        <w:tc>
          <w:tcPr>
            <w:tcW w:w="2064" w:type="dxa"/>
            <w:tcBorders>
              <w:top w:val="single" w:color="auto" w:sz="4" w:space="0"/>
              <w:left w:val="nil"/>
              <w:bottom w:val="single" w:color="auto" w:sz="4" w:space="0"/>
              <w:right w:val="single" w:color="auto" w:sz="4" w:space="0"/>
            </w:tcBorders>
            <w:noWrap w:val="0"/>
            <w:vAlign w:val="center"/>
          </w:tcPr>
          <w:p w14:paraId="2E983606">
            <w:pPr>
              <w:spacing w:line="240" w:lineRule="exact"/>
              <w:jc w:val="center"/>
              <w:rPr>
                <w:rFonts w:ascii="Tahoma" w:hAnsi="Tahoma" w:cs="Tahoma"/>
                <w:szCs w:val="21"/>
                <w:lang w:eastAsia="en-US"/>
              </w:rPr>
            </w:pPr>
          </w:p>
        </w:tc>
        <w:tc>
          <w:tcPr>
            <w:tcW w:w="1785" w:type="dxa"/>
            <w:tcBorders>
              <w:top w:val="single" w:color="auto" w:sz="4" w:space="0"/>
              <w:left w:val="nil"/>
              <w:bottom w:val="single" w:color="auto" w:sz="4" w:space="0"/>
              <w:right w:val="single" w:color="auto" w:sz="4" w:space="0"/>
            </w:tcBorders>
            <w:noWrap w:val="0"/>
            <w:vAlign w:val="center"/>
          </w:tcPr>
          <w:p w14:paraId="52F9771A">
            <w:pPr>
              <w:spacing w:line="240" w:lineRule="exact"/>
              <w:jc w:val="center"/>
              <w:rPr>
                <w:rFonts w:ascii="Tahoma" w:hAnsi="Tahoma" w:cs="Tahoma"/>
                <w:szCs w:val="21"/>
                <w:lang w:eastAsia="en-US"/>
              </w:rPr>
            </w:pPr>
          </w:p>
        </w:tc>
        <w:tc>
          <w:tcPr>
            <w:tcW w:w="1344" w:type="dxa"/>
            <w:tcBorders>
              <w:top w:val="single" w:color="auto" w:sz="4" w:space="0"/>
              <w:left w:val="nil"/>
              <w:bottom w:val="single" w:color="auto" w:sz="4" w:space="0"/>
              <w:right w:val="single" w:color="auto" w:sz="4" w:space="0"/>
            </w:tcBorders>
            <w:noWrap w:val="0"/>
            <w:vAlign w:val="center"/>
          </w:tcPr>
          <w:p w14:paraId="0E6D8AC1">
            <w:pPr>
              <w:spacing w:line="240" w:lineRule="exact"/>
              <w:jc w:val="center"/>
              <w:rPr>
                <w:rFonts w:ascii="Tahoma" w:hAnsi="Tahoma" w:cs="Tahoma"/>
                <w:szCs w:val="21"/>
                <w:lang w:eastAsia="en-US"/>
              </w:rPr>
            </w:pPr>
          </w:p>
        </w:tc>
        <w:tc>
          <w:tcPr>
            <w:tcW w:w="1344" w:type="dxa"/>
            <w:tcBorders>
              <w:top w:val="single" w:color="auto" w:sz="4" w:space="0"/>
              <w:left w:val="nil"/>
              <w:bottom w:val="single" w:color="auto" w:sz="4" w:space="0"/>
              <w:right w:val="single" w:color="auto" w:sz="4" w:space="0"/>
            </w:tcBorders>
            <w:noWrap w:val="0"/>
            <w:vAlign w:val="center"/>
          </w:tcPr>
          <w:p w14:paraId="0B610564">
            <w:pPr>
              <w:spacing w:line="240" w:lineRule="exact"/>
              <w:jc w:val="center"/>
              <w:rPr>
                <w:rFonts w:ascii="Tahoma" w:hAnsi="Tahoma" w:cs="Tahoma"/>
                <w:szCs w:val="21"/>
                <w:lang w:eastAsia="en-US"/>
              </w:rPr>
            </w:pPr>
          </w:p>
        </w:tc>
        <w:tc>
          <w:tcPr>
            <w:tcW w:w="803" w:type="dxa"/>
            <w:tcBorders>
              <w:top w:val="single" w:color="auto" w:sz="4" w:space="0"/>
              <w:left w:val="nil"/>
              <w:bottom w:val="single" w:color="auto" w:sz="4" w:space="0"/>
              <w:right w:val="single" w:color="auto" w:sz="4" w:space="0"/>
            </w:tcBorders>
            <w:noWrap w:val="0"/>
            <w:vAlign w:val="center"/>
          </w:tcPr>
          <w:p w14:paraId="0D993CA3">
            <w:pPr>
              <w:spacing w:line="240" w:lineRule="exact"/>
              <w:jc w:val="center"/>
              <w:rPr>
                <w:rFonts w:ascii="Tahoma" w:hAnsi="Tahoma" w:cs="Tahoma"/>
                <w:szCs w:val="21"/>
                <w:lang w:eastAsia="en-US"/>
              </w:rPr>
            </w:pPr>
          </w:p>
        </w:tc>
        <w:tc>
          <w:tcPr>
            <w:tcW w:w="1185" w:type="dxa"/>
            <w:tcBorders>
              <w:top w:val="single" w:color="auto" w:sz="4" w:space="0"/>
              <w:left w:val="nil"/>
              <w:bottom w:val="single" w:color="auto" w:sz="4" w:space="0"/>
              <w:right w:val="single" w:color="auto" w:sz="4" w:space="0"/>
            </w:tcBorders>
            <w:noWrap w:val="0"/>
            <w:vAlign w:val="center"/>
          </w:tcPr>
          <w:p w14:paraId="56E9E207">
            <w:pPr>
              <w:spacing w:line="240" w:lineRule="exact"/>
              <w:jc w:val="center"/>
              <w:rPr>
                <w:rFonts w:ascii="Tahoma" w:hAnsi="Tahoma" w:cs="Tahoma"/>
                <w:szCs w:val="21"/>
                <w:lang w:eastAsia="en-US"/>
              </w:rPr>
            </w:pPr>
          </w:p>
        </w:tc>
      </w:tr>
    </w:tbl>
    <w:p w14:paraId="27ECBDCE">
      <w:pPr>
        <w:spacing w:line="500" w:lineRule="exact"/>
        <w:rPr>
          <w:rFonts w:hint="eastAsia" w:ascii="宋体" w:hAnsi="宋体" w:cs="宋体"/>
          <w:sz w:val="24"/>
          <w:szCs w:val="24"/>
        </w:rPr>
      </w:pPr>
      <w:r>
        <w:rPr>
          <w:rFonts w:hint="eastAsia" w:ascii="宋体" w:hAnsi="宋体" w:cs="宋体"/>
          <w:sz w:val="24"/>
          <w:szCs w:val="24"/>
        </w:rPr>
        <w:t>17.3.3 进度付款证书和支付时间</w:t>
      </w:r>
    </w:p>
    <w:p w14:paraId="5B1F1D1E">
      <w:pPr>
        <w:spacing w:line="500" w:lineRule="exact"/>
        <w:rPr>
          <w:rFonts w:hint="eastAsia" w:ascii="宋体" w:hAnsi="宋体" w:cs="宋体"/>
          <w:sz w:val="24"/>
          <w:szCs w:val="24"/>
        </w:rPr>
      </w:pPr>
      <w:r>
        <w:rPr>
          <w:rFonts w:hint="eastAsia" w:ascii="宋体" w:hAnsi="宋体" w:cs="宋体"/>
          <w:sz w:val="24"/>
          <w:szCs w:val="24"/>
        </w:rPr>
        <w:t>本款（2）项中的“按专用合同条款的约定支付逾期付款违约金”改为“按中国人民银行规定的同期贷款最高利率计算的逾期付款金额的利息”。</w:t>
      </w:r>
    </w:p>
    <w:p w14:paraId="61ABC107">
      <w:pPr>
        <w:spacing w:line="500" w:lineRule="exact"/>
        <w:rPr>
          <w:rFonts w:hint="eastAsia" w:ascii="宋体" w:hAnsi="宋体" w:cs="宋体"/>
          <w:b/>
          <w:bCs/>
          <w:sz w:val="24"/>
          <w:szCs w:val="24"/>
        </w:rPr>
      </w:pPr>
      <w:r>
        <w:rPr>
          <w:rFonts w:hint="eastAsia" w:ascii="宋体" w:hAnsi="宋体" w:cs="宋体"/>
          <w:b/>
          <w:bCs/>
          <w:sz w:val="24"/>
          <w:szCs w:val="24"/>
        </w:rPr>
        <w:t>17.4 质量保证金</w:t>
      </w:r>
    </w:p>
    <w:p w14:paraId="4CC8602D">
      <w:pPr>
        <w:spacing w:line="500" w:lineRule="exact"/>
        <w:rPr>
          <w:rFonts w:hint="eastAsia" w:ascii="宋体" w:hAnsi="宋体" w:cs="宋体"/>
          <w:sz w:val="24"/>
          <w:szCs w:val="24"/>
        </w:rPr>
      </w:pPr>
      <w:r>
        <w:rPr>
          <w:rFonts w:hint="eastAsia" w:ascii="宋体" w:hAnsi="宋体" w:cs="宋体"/>
          <w:sz w:val="24"/>
          <w:szCs w:val="24"/>
        </w:rPr>
        <w:t>17.4.1 本款中的“专用合同条款的约定”改为：预留“合同总价的 3 %”作为质量保证金。待工程验收合格签发工程验收合格证书之日起，约定的缺陷责任期满时，承包人向发包人申请到期应返还承包人剩余的质量保证金金额，发包人应在14天内会同承包人按照合同约定的内容核实承包人是否完成缺陷责任。如无异议，发包人应在核实后将剩余保证金返还承包人。</w:t>
      </w:r>
    </w:p>
    <w:p w14:paraId="3DBF6AB4">
      <w:pPr>
        <w:spacing w:line="500" w:lineRule="exact"/>
        <w:rPr>
          <w:rFonts w:hint="eastAsia" w:ascii="宋体" w:hAnsi="宋体" w:cs="宋体"/>
          <w:sz w:val="24"/>
          <w:szCs w:val="24"/>
        </w:rPr>
      </w:pPr>
      <w:r>
        <w:rPr>
          <w:rFonts w:hint="eastAsia" w:ascii="宋体" w:hAnsi="宋体" w:cs="宋体"/>
          <w:b/>
          <w:bCs/>
          <w:sz w:val="24"/>
          <w:szCs w:val="24"/>
        </w:rPr>
        <w:t>17.5 竣工结算</w:t>
      </w:r>
      <w:r>
        <w:rPr>
          <w:rFonts w:hint="eastAsia" w:ascii="宋体" w:hAnsi="宋体" w:cs="宋体"/>
          <w:sz w:val="24"/>
          <w:szCs w:val="24"/>
        </w:rPr>
        <w:tab/>
      </w:r>
    </w:p>
    <w:p w14:paraId="1BA9913F">
      <w:pPr>
        <w:spacing w:line="500" w:lineRule="exact"/>
        <w:rPr>
          <w:rFonts w:hint="eastAsia" w:ascii="宋体" w:hAnsi="宋体" w:cs="宋体"/>
          <w:sz w:val="24"/>
          <w:szCs w:val="24"/>
        </w:rPr>
      </w:pPr>
      <w:r>
        <w:rPr>
          <w:rFonts w:hint="eastAsia" w:ascii="宋体" w:hAnsi="宋体" w:cs="宋体"/>
          <w:sz w:val="24"/>
          <w:szCs w:val="24"/>
        </w:rPr>
        <w:t>17.5.1 竣工付款申请单</w:t>
      </w:r>
    </w:p>
    <w:p w14:paraId="7C1FE681">
      <w:pPr>
        <w:spacing w:line="500" w:lineRule="exact"/>
        <w:rPr>
          <w:rFonts w:hint="eastAsia" w:ascii="宋体" w:hAnsi="宋体" w:cs="宋体"/>
          <w:sz w:val="24"/>
          <w:szCs w:val="24"/>
        </w:rPr>
      </w:pPr>
      <w:r>
        <w:rPr>
          <w:rFonts w:hint="eastAsia" w:ascii="宋体" w:hAnsi="宋体" w:cs="宋体"/>
          <w:sz w:val="24"/>
          <w:szCs w:val="24"/>
        </w:rPr>
        <w:t>本款（1）项中的“按专用合同条款约定的份数和期限”改为“在14天内，一式6份”。</w:t>
      </w:r>
    </w:p>
    <w:p w14:paraId="7E70C438">
      <w:pPr>
        <w:spacing w:line="500" w:lineRule="exact"/>
        <w:rPr>
          <w:rFonts w:hint="eastAsia" w:ascii="宋体" w:hAnsi="宋体" w:cs="宋体"/>
          <w:sz w:val="24"/>
          <w:szCs w:val="24"/>
        </w:rPr>
      </w:pPr>
      <w:r>
        <w:rPr>
          <w:rFonts w:hint="eastAsia" w:ascii="宋体" w:hAnsi="宋体" w:cs="宋体"/>
          <w:sz w:val="24"/>
          <w:szCs w:val="24"/>
        </w:rPr>
        <w:t>（2）提交竣工结算资料</w:t>
      </w:r>
    </w:p>
    <w:p w14:paraId="5705673F">
      <w:pPr>
        <w:spacing w:line="500" w:lineRule="exact"/>
        <w:rPr>
          <w:rFonts w:hint="eastAsia" w:ascii="宋体" w:hAnsi="宋体" w:cs="宋体"/>
          <w:sz w:val="24"/>
          <w:szCs w:val="24"/>
        </w:rPr>
      </w:pPr>
      <w:r>
        <w:rPr>
          <w:rFonts w:hint="eastAsia" w:ascii="宋体" w:hAnsi="宋体" w:cs="宋体"/>
          <w:sz w:val="24"/>
          <w:szCs w:val="24"/>
        </w:rPr>
        <w:t>竣工结算资料的格式、内容和份数：施工图范围内的竣工结算以不超过合同价为基础进行据实结算，超过合同价部分的费用由承包人自行承担。工程竣工验收达到合格标准后，针对本合同专业条款13.2变更部分的内容，承包人应在28天内向发包人递交竣工结算报告及完整的结算资料。发包人收到完整的结算资料后应及时审计，变更部分以审计部门的审价结果作为双方最终的工程价款结算依据。施工合同专用条款14.5.2 竣工结算审核，建议按招标文件约定签订合同：</w:t>
      </w:r>
    </w:p>
    <w:p w14:paraId="5B2494A3">
      <w:pPr>
        <w:spacing w:line="500" w:lineRule="exact"/>
        <w:rPr>
          <w:rFonts w:hint="eastAsia" w:ascii="宋体" w:hAnsi="宋体" w:cs="宋体"/>
          <w:b/>
          <w:bCs/>
          <w:sz w:val="24"/>
          <w:szCs w:val="24"/>
        </w:rPr>
      </w:pPr>
      <w:r>
        <w:rPr>
          <w:rFonts w:hint="eastAsia" w:ascii="宋体" w:hAnsi="宋体" w:cs="宋体"/>
          <w:b/>
          <w:bCs/>
          <w:sz w:val="24"/>
          <w:szCs w:val="24"/>
        </w:rPr>
        <w:t>17.6 最终结清</w:t>
      </w:r>
    </w:p>
    <w:p w14:paraId="38228744">
      <w:pPr>
        <w:spacing w:line="500" w:lineRule="exact"/>
        <w:rPr>
          <w:rFonts w:hint="eastAsia" w:ascii="宋体" w:hAnsi="宋体" w:cs="宋体"/>
          <w:sz w:val="24"/>
          <w:szCs w:val="24"/>
        </w:rPr>
      </w:pPr>
      <w:r>
        <w:rPr>
          <w:rFonts w:hint="eastAsia" w:ascii="宋体" w:hAnsi="宋体" w:cs="宋体"/>
          <w:sz w:val="24"/>
          <w:szCs w:val="24"/>
        </w:rPr>
        <w:t>17.6.1 最终结清申请单</w:t>
      </w:r>
    </w:p>
    <w:p w14:paraId="4AECF261">
      <w:pPr>
        <w:spacing w:line="500" w:lineRule="exact"/>
        <w:rPr>
          <w:rFonts w:hint="eastAsia" w:ascii="宋体" w:hAnsi="宋体" w:cs="宋体"/>
          <w:sz w:val="24"/>
          <w:szCs w:val="24"/>
        </w:rPr>
      </w:pPr>
      <w:r>
        <w:rPr>
          <w:rFonts w:hint="eastAsia" w:ascii="宋体" w:hAnsi="宋体" w:cs="宋体"/>
          <w:sz w:val="24"/>
          <w:szCs w:val="24"/>
        </w:rPr>
        <w:t>本款（1）项中的“按专用合同条款约定的份数和期限”改为“在14天内，一式6份”。</w:t>
      </w:r>
    </w:p>
    <w:p w14:paraId="1C8678F9">
      <w:pPr>
        <w:spacing w:line="500" w:lineRule="exact"/>
        <w:jc w:val="center"/>
        <w:rPr>
          <w:rFonts w:hint="eastAsia" w:ascii="宋体" w:hAnsi="宋体" w:cs="宋体"/>
          <w:b/>
          <w:bCs/>
          <w:sz w:val="24"/>
          <w:szCs w:val="24"/>
        </w:rPr>
      </w:pPr>
      <w:r>
        <w:rPr>
          <w:rFonts w:hint="eastAsia" w:ascii="宋体" w:hAnsi="宋体" w:cs="宋体"/>
          <w:b/>
          <w:bCs/>
          <w:sz w:val="24"/>
          <w:szCs w:val="24"/>
        </w:rPr>
        <w:t>18、竣工验收</w:t>
      </w:r>
    </w:p>
    <w:p w14:paraId="552292B7">
      <w:pPr>
        <w:spacing w:line="500" w:lineRule="exact"/>
        <w:rPr>
          <w:rFonts w:hint="eastAsia" w:ascii="宋体" w:hAnsi="宋体" w:cs="宋体"/>
          <w:b/>
          <w:bCs/>
          <w:sz w:val="24"/>
          <w:szCs w:val="24"/>
        </w:rPr>
      </w:pPr>
      <w:r>
        <w:rPr>
          <w:rFonts w:hint="eastAsia" w:ascii="宋体" w:hAnsi="宋体" w:cs="宋体"/>
          <w:b/>
          <w:bCs/>
          <w:sz w:val="24"/>
          <w:szCs w:val="24"/>
        </w:rPr>
        <w:t>18.5 施工期运行</w:t>
      </w:r>
    </w:p>
    <w:p w14:paraId="6A05AB1F">
      <w:pPr>
        <w:spacing w:line="500" w:lineRule="exact"/>
        <w:rPr>
          <w:rFonts w:hint="eastAsia" w:ascii="宋体" w:hAnsi="宋体" w:cs="宋体"/>
          <w:sz w:val="24"/>
          <w:szCs w:val="24"/>
        </w:rPr>
      </w:pPr>
      <w:r>
        <w:rPr>
          <w:rFonts w:hint="eastAsia" w:ascii="宋体" w:hAnsi="宋体" w:cs="宋体"/>
          <w:sz w:val="24"/>
          <w:szCs w:val="24"/>
        </w:rPr>
        <w:t>18.5.1 删除本款中的“根据专用合同条款约定”，施工期运行是指合同工程尚未全部竣工，其中某项或某几项单位工程或工程设备安装己竣工，需要投入施工期运行的，经发包人按第18.4 款的约定验收合格，证明能确保安全后，才能在施工期投入运行。</w:t>
      </w:r>
    </w:p>
    <w:p w14:paraId="234E3233">
      <w:pPr>
        <w:spacing w:line="500" w:lineRule="exact"/>
        <w:rPr>
          <w:rFonts w:hint="eastAsia" w:ascii="宋体" w:hAnsi="宋体" w:cs="宋体"/>
          <w:sz w:val="24"/>
          <w:szCs w:val="24"/>
        </w:rPr>
      </w:pPr>
      <w:r>
        <w:rPr>
          <w:rFonts w:hint="eastAsia" w:ascii="宋体" w:hAnsi="宋体" w:cs="宋体"/>
          <w:sz w:val="24"/>
          <w:szCs w:val="24"/>
        </w:rPr>
        <w:t>18.5.2 在施工期运行中发现工程或工程设备损坏或存在缺陷的，由承包人按第19.2 款约定进行修复。</w:t>
      </w:r>
    </w:p>
    <w:p w14:paraId="56EB34A3">
      <w:pPr>
        <w:spacing w:line="500" w:lineRule="exact"/>
        <w:rPr>
          <w:rFonts w:hint="eastAsia" w:ascii="宋体" w:hAnsi="宋体" w:cs="宋体"/>
          <w:sz w:val="24"/>
          <w:szCs w:val="24"/>
        </w:rPr>
      </w:pPr>
      <w:r>
        <w:rPr>
          <w:rFonts w:hint="eastAsia" w:ascii="宋体" w:hAnsi="宋体" w:cs="宋体"/>
          <w:sz w:val="24"/>
          <w:szCs w:val="24"/>
        </w:rPr>
        <w:t>18.6 试运行</w:t>
      </w:r>
    </w:p>
    <w:p w14:paraId="67E5F203">
      <w:pPr>
        <w:spacing w:line="500" w:lineRule="exact"/>
        <w:rPr>
          <w:rFonts w:hint="eastAsia" w:ascii="宋体" w:hAnsi="宋体" w:cs="宋体"/>
          <w:sz w:val="24"/>
          <w:szCs w:val="24"/>
        </w:rPr>
      </w:pPr>
      <w:r>
        <w:rPr>
          <w:rFonts w:hint="eastAsia" w:ascii="宋体" w:hAnsi="宋体" w:cs="宋体"/>
          <w:sz w:val="24"/>
          <w:szCs w:val="24"/>
        </w:rPr>
        <w:t>18.6.1删除本款，并代之以：承包人根据施工进度计划和国家、行业有关规定需对工程及工程设备试运行的，承包人应征得发包人同意报监理人审批，应由承包人负责提供试运行所需的人员、器材和必要的条件，其试运行费用应在合同中约定，在合同中没有约定的应参照国家或行业的定额标准和第15.4款进行计算。</w:t>
      </w:r>
    </w:p>
    <w:p w14:paraId="7E4AD48A">
      <w:pPr>
        <w:spacing w:line="500" w:lineRule="exact"/>
        <w:rPr>
          <w:rFonts w:hint="eastAsia" w:ascii="宋体" w:hAnsi="宋体" w:cs="宋体"/>
          <w:sz w:val="24"/>
          <w:szCs w:val="24"/>
        </w:rPr>
      </w:pPr>
      <w:r>
        <w:rPr>
          <w:rFonts w:hint="eastAsia" w:ascii="宋体" w:hAnsi="宋体" w:cs="宋体"/>
          <w:sz w:val="24"/>
          <w:szCs w:val="24"/>
        </w:rPr>
        <w:t>18.8 施工队伍的撤离</w:t>
      </w:r>
    </w:p>
    <w:p w14:paraId="5B73D4AC">
      <w:pPr>
        <w:spacing w:line="500" w:lineRule="exact"/>
        <w:rPr>
          <w:rFonts w:hint="eastAsia" w:ascii="宋体" w:hAnsi="宋体" w:cs="宋体"/>
          <w:sz w:val="24"/>
          <w:szCs w:val="24"/>
        </w:rPr>
      </w:pPr>
      <w:r>
        <w:rPr>
          <w:rFonts w:hint="eastAsia" w:ascii="宋体" w:hAnsi="宋体" w:cs="宋体"/>
          <w:sz w:val="24"/>
          <w:szCs w:val="24"/>
        </w:rPr>
        <w:t>本款中“工程接收证书颁发后的56天内”，改为“工程接收证书颁发后的7天内”。</w:t>
      </w:r>
    </w:p>
    <w:p w14:paraId="7514DB11">
      <w:pPr>
        <w:spacing w:line="500" w:lineRule="exact"/>
        <w:jc w:val="center"/>
        <w:rPr>
          <w:rFonts w:hint="eastAsia" w:ascii="宋体" w:hAnsi="宋体" w:cs="宋体"/>
          <w:b/>
          <w:bCs/>
          <w:sz w:val="24"/>
          <w:szCs w:val="24"/>
        </w:rPr>
      </w:pPr>
      <w:r>
        <w:rPr>
          <w:rFonts w:hint="eastAsia" w:ascii="宋体" w:hAnsi="宋体" w:cs="宋体"/>
          <w:b/>
          <w:bCs/>
          <w:sz w:val="24"/>
          <w:szCs w:val="24"/>
        </w:rPr>
        <w:t>19、缺陷责任与保修责任</w:t>
      </w:r>
    </w:p>
    <w:p w14:paraId="52D0BAC1">
      <w:pPr>
        <w:spacing w:line="500" w:lineRule="exact"/>
        <w:rPr>
          <w:rFonts w:hint="eastAsia" w:ascii="宋体" w:hAnsi="宋体" w:cs="宋体"/>
          <w:b/>
          <w:bCs/>
          <w:sz w:val="24"/>
          <w:szCs w:val="24"/>
        </w:rPr>
      </w:pPr>
      <w:r>
        <w:rPr>
          <w:rFonts w:hint="eastAsia" w:ascii="宋体" w:hAnsi="宋体" w:cs="宋体"/>
          <w:b/>
          <w:bCs/>
          <w:sz w:val="24"/>
          <w:szCs w:val="24"/>
        </w:rPr>
        <w:t>19.7 保修责任</w:t>
      </w:r>
    </w:p>
    <w:p w14:paraId="7DA3C430">
      <w:pPr>
        <w:spacing w:line="500" w:lineRule="exact"/>
        <w:rPr>
          <w:rFonts w:hint="eastAsia" w:ascii="宋体" w:hAnsi="宋体" w:cs="宋体"/>
          <w:sz w:val="24"/>
          <w:szCs w:val="24"/>
        </w:rPr>
      </w:pPr>
      <w:r>
        <w:rPr>
          <w:rFonts w:hint="eastAsia" w:ascii="宋体" w:hAnsi="宋体" w:cs="宋体"/>
          <w:sz w:val="24"/>
          <w:szCs w:val="24"/>
        </w:rPr>
        <w:t>本款中的“工程质量的保修范围为：全部形成固定资产的永久性建筑物、保修期限为自实际竣工日期通过验收移交之日起1年、保修责任：由于工程施工质量造成的缺陷应有承包人全部负责，由于多种原因造成的质量缺陷应划分清楚责任，按各自承担的责任由各自负责”。</w:t>
      </w:r>
    </w:p>
    <w:p w14:paraId="14DF14DC">
      <w:pPr>
        <w:spacing w:line="500" w:lineRule="exact"/>
        <w:jc w:val="center"/>
        <w:rPr>
          <w:rFonts w:hint="eastAsia" w:ascii="宋体" w:hAnsi="宋体" w:cs="宋体"/>
          <w:b/>
          <w:bCs/>
          <w:sz w:val="24"/>
          <w:szCs w:val="24"/>
        </w:rPr>
      </w:pPr>
      <w:r>
        <w:rPr>
          <w:rFonts w:hint="eastAsia" w:ascii="宋体" w:hAnsi="宋体" w:cs="宋体"/>
          <w:b/>
          <w:bCs/>
          <w:sz w:val="24"/>
          <w:szCs w:val="24"/>
        </w:rPr>
        <w:t>20、保险</w:t>
      </w:r>
    </w:p>
    <w:p w14:paraId="470C7C1B">
      <w:pPr>
        <w:spacing w:line="500" w:lineRule="exact"/>
        <w:rPr>
          <w:rFonts w:hint="eastAsia" w:ascii="宋体" w:hAnsi="宋体" w:cs="宋体"/>
          <w:b/>
          <w:bCs/>
          <w:sz w:val="24"/>
          <w:szCs w:val="24"/>
        </w:rPr>
      </w:pPr>
      <w:r>
        <w:rPr>
          <w:rFonts w:hint="eastAsia" w:ascii="宋体" w:hAnsi="宋体" w:cs="宋体"/>
          <w:b/>
          <w:bCs/>
          <w:sz w:val="24"/>
          <w:szCs w:val="24"/>
        </w:rPr>
        <w:t>20.1 工程保险</w:t>
      </w:r>
    </w:p>
    <w:p w14:paraId="3CD0DC62">
      <w:pPr>
        <w:spacing w:line="500" w:lineRule="exact"/>
        <w:rPr>
          <w:rFonts w:hint="eastAsia" w:ascii="宋体" w:hAnsi="宋体" w:cs="宋体"/>
          <w:sz w:val="24"/>
          <w:szCs w:val="24"/>
        </w:rPr>
      </w:pPr>
      <w:r>
        <w:rPr>
          <w:rFonts w:hint="eastAsia" w:ascii="宋体" w:hAnsi="宋体" w:cs="宋体"/>
          <w:sz w:val="24"/>
          <w:szCs w:val="24"/>
        </w:rPr>
        <w:t>删除本款，并代之以：承包人和发包人应按国家的有关建筑工程险、安装工程险的规定，向保险公司投保。不在国家强制保险范围内的投保，其具体的投保内容、保险金额、保险费率、保险期限等有关内容由发包人和承包人在合同在约定。</w:t>
      </w:r>
    </w:p>
    <w:p w14:paraId="4AA65FFB">
      <w:pPr>
        <w:spacing w:line="500" w:lineRule="exact"/>
        <w:rPr>
          <w:rFonts w:hint="eastAsia" w:ascii="宋体" w:hAnsi="宋体" w:cs="宋体"/>
          <w:b/>
          <w:bCs/>
          <w:sz w:val="24"/>
          <w:szCs w:val="24"/>
        </w:rPr>
      </w:pPr>
      <w:r>
        <w:rPr>
          <w:rFonts w:hint="eastAsia" w:ascii="宋体" w:hAnsi="宋体" w:cs="宋体"/>
          <w:b/>
          <w:bCs/>
          <w:sz w:val="24"/>
          <w:szCs w:val="24"/>
        </w:rPr>
        <w:t>20.4 第三者责任险</w:t>
      </w:r>
    </w:p>
    <w:p w14:paraId="768B8CF3">
      <w:pPr>
        <w:spacing w:line="500" w:lineRule="exact"/>
        <w:rPr>
          <w:rFonts w:hint="eastAsia" w:ascii="宋体" w:hAnsi="宋体" w:cs="宋体"/>
          <w:sz w:val="24"/>
          <w:szCs w:val="24"/>
        </w:rPr>
      </w:pPr>
      <w:r>
        <w:rPr>
          <w:rFonts w:hint="eastAsia" w:ascii="宋体" w:hAnsi="宋体" w:cs="宋体"/>
          <w:sz w:val="24"/>
          <w:szCs w:val="24"/>
        </w:rPr>
        <w:t>20.4.2删除本款，并代之以：在缺陷责任期终止证书颁发前，承包人应以承包人和发包人的共同名义，投保第20.4.1 项约定的第三者责任险，其保险费率、保险金额等有关内容由投保人自行按有关的保险条例投保，涉及到双方利益的应在合同条款中约定。</w:t>
      </w:r>
    </w:p>
    <w:p w14:paraId="2C7A2B68">
      <w:pPr>
        <w:spacing w:line="500" w:lineRule="exact"/>
        <w:rPr>
          <w:rFonts w:hint="eastAsia" w:ascii="宋体" w:hAnsi="宋体" w:cs="宋体"/>
          <w:b/>
          <w:bCs/>
          <w:sz w:val="24"/>
          <w:szCs w:val="24"/>
        </w:rPr>
      </w:pPr>
      <w:r>
        <w:rPr>
          <w:rFonts w:hint="eastAsia" w:ascii="宋体" w:hAnsi="宋体" w:cs="宋体"/>
          <w:b/>
          <w:bCs/>
          <w:sz w:val="24"/>
          <w:szCs w:val="24"/>
        </w:rPr>
        <w:t>20.6 对各项保险的一般要求</w:t>
      </w:r>
    </w:p>
    <w:p w14:paraId="4AD4714D">
      <w:pPr>
        <w:spacing w:line="500" w:lineRule="exact"/>
        <w:rPr>
          <w:rFonts w:hint="eastAsia" w:ascii="宋体" w:hAnsi="宋体" w:cs="宋体"/>
          <w:sz w:val="24"/>
          <w:szCs w:val="24"/>
        </w:rPr>
      </w:pPr>
      <w:r>
        <w:rPr>
          <w:rFonts w:hint="eastAsia" w:ascii="宋体" w:hAnsi="宋体" w:cs="宋体"/>
          <w:sz w:val="24"/>
          <w:szCs w:val="24"/>
        </w:rPr>
        <w:t>20.6.1 保险凭证</w:t>
      </w:r>
    </w:p>
    <w:p w14:paraId="220DA581">
      <w:pPr>
        <w:spacing w:line="500" w:lineRule="exact"/>
        <w:rPr>
          <w:rFonts w:hint="eastAsia" w:ascii="宋体" w:hAnsi="宋体" w:cs="宋体"/>
          <w:sz w:val="24"/>
          <w:szCs w:val="24"/>
        </w:rPr>
      </w:pPr>
      <w:r>
        <w:rPr>
          <w:rFonts w:hint="eastAsia" w:ascii="宋体" w:hAnsi="宋体" w:cs="宋体"/>
          <w:sz w:val="24"/>
          <w:szCs w:val="24"/>
        </w:rPr>
        <w:t>删除本款，并代之以：承包人应在各项保险生效后的7天内向发包人提交各项保险生效的证据和保险单副本，保险单必须与所保险的内容保持一致。</w:t>
      </w:r>
    </w:p>
    <w:p w14:paraId="5A2812F6">
      <w:pPr>
        <w:spacing w:line="500" w:lineRule="exact"/>
        <w:jc w:val="center"/>
        <w:rPr>
          <w:rFonts w:hint="eastAsia" w:ascii="宋体" w:hAnsi="宋体" w:cs="宋体"/>
          <w:b/>
          <w:bCs/>
          <w:sz w:val="24"/>
          <w:szCs w:val="24"/>
        </w:rPr>
      </w:pPr>
      <w:r>
        <w:rPr>
          <w:rFonts w:hint="eastAsia" w:ascii="宋体" w:hAnsi="宋体" w:cs="宋体"/>
          <w:b/>
          <w:bCs/>
          <w:sz w:val="24"/>
          <w:szCs w:val="24"/>
        </w:rPr>
        <w:t>24、争议的解决</w:t>
      </w:r>
    </w:p>
    <w:p w14:paraId="3377AA60">
      <w:pPr>
        <w:spacing w:line="500" w:lineRule="exact"/>
        <w:rPr>
          <w:rFonts w:hint="eastAsia" w:ascii="宋体" w:hAnsi="宋体" w:cs="宋体"/>
          <w:b/>
          <w:bCs/>
          <w:sz w:val="24"/>
          <w:szCs w:val="24"/>
        </w:rPr>
      </w:pPr>
      <w:r>
        <w:rPr>
          <w:rFonts w:hint="eastAsia" w:ascii="宋体" w:hAnsi="宋体" w:cs="宋体"/>
          <w:b/>
          <w:bCs/>
          <w:sz w:val="24"/>
          <w:szCs w:val="24"/>
        </w:rPr>
        <w:t>24.1 争议的解决方式</w:t>
      </w:r>
    </w:p>
    <w:p w14:paraId="1E7FE157">
      <w:pPr>
        <w:spacing w:line="500" w:lineRule="exact"/>
        <w:rPr>
          <w:rFonts w:hint="eastAsia" w:ascii="宋体" w:hAnsi="宋体" w:cs="宋体"/>
          <w:sz w:val="24"/>
          <w:szCs w:val="24"/>
        </w:rPr>
      </w:pPr>
      <w:r>
        <w:rPr>
          <w:rFonts w:hint="eastAsia" w:ascii="宋体" w:hAnsi="宋体" w:cs="宋体"/>
          <w:sz w:val="24"/>
          <w:szCs w:val="24"/>
        </w:rPr>
        <w:t>本款 “可在专用合同条款中约定下列一种”改为“由发包人和承包人在合同中约定下列的一种”。</w:t>
      </w:r>
    </w:p>
    <w:p w14:paraId="2900B7F6">
      <w:pPr>
        <w:spacing w:line="500" w:lineRule="exact"/>
        <w:rPr>
          <w:rFonts w:ascii="宋体" w:hAnsi="宋体" w:cs="宋体"/>
          <w:sz w:val="24"/>
          <w:szCs w:val="24"/>
        </w:rPr>
      </w:pPr>
    </w:p>
    <w:p w14:paraId="737E19D0">
      <w:pPr>
        <w:spacing w:line="500" w:lineRule="exact"/>
        <w:rPr>
          <w:rFonts w:ascii="宋体" w:hAnsi="宋体" w:cs="宋体"/>
          <w:sz w:val="24"/>
          <w:szCs w:val="24"/>
        </w:rPr>
      </w:pPr>
    </w:p>
    <w:p w14:paraId="5ADBD144">
      <w:pPr>
        <w:spacing w:line="500" w:lineRule="exact"/>
        <w:rPr>
          <w:rFonts w:ascii="宋体" w:hAnsi="宋体" w:cs="宋体"/>
          <w:sz w:val="24"/>
          <w:szCs w:val="24"/>
        </w:rPr>
      </w:pPr>
    </w:p>
    <w:p w14:paraId="283DB8AA">
      <w:pPr>
        <w:spacing w:line="500" w:lineRule="exact"/>
        <w:rPr>
          <w:rFonts w:ascii="宋体" w:hAnsi="宋体" w:cs="宋体"/>
          <w:sz w:val="24"/>
          <w:szCs w:val="24"/>
        </w:rPr>
      </w:pPr>
    </w:p>
    <w:p w14:paraId="7205242D">
      <w:pPr>
        <w:spacing w:line="500" w:lineRule="exact"/>
        <w:rPr>
          <w:rFonts w:ascii="宋体" w:hAnsi="宋体" w:cs="宋体"/>
          <w:sz w:val="24"/>
          <w:szCs w:val="24"/>
        </w:rPr>
      </w:pPr>
    </w:p>
    <w:p w14:paraId="00F1E044">
      <w:pPr>
        <w:spacing w:line="500" w:lineRule="exact"/>
        <w:rPr>
          <w:rFonts w:ascii="宋体" w:hAnsi="宋体" w:cs="宋体"/>
          <w:sz w:val="24"/>
          <w:szCs w:val="24"/>
        </w:rPr>
      </w:pPr>
    </w:p>
    <w:p w14:paraId="15B95CCE">
      <w:pPr>
        <w:spacing w:line="500" w:lineRule="exact"/>
        <w:rPr>
          <w:rFonts w:ascii="宋体" w:hAnsi="宋体" w:cs="宋体"/>
          <w:sz w:val="24"/>
          <w:szCs w:val="24"/>
        </w:rPr>
      </w:pPr>
    </w:p>
    <w:p w14:paraId="1CCF1C0B">
      <w:pPr>
        <w:pStyle w:val="33"/>
        <w:jc w:val="center"/>
        <w:rPr>
          <w:rFonts w:hint="eastAsia" w:ascii="黑体" w:hAnsi="黑体" w:eastAsia="黑体"/>
          <w:b/>
          <w:sz w:val="28"/>
          <w:szCs w:val="28"/>
          <w:lang w:eastAsia="zh-CN"/>
        </w:rPr>
      </w:pPr>
      <w:r>
        <w:rPr>
          <w:rFonts w:hint="eastAsia" w:ascii="黑体" w:hAnsi="黑体" w:eastAsia="黑体"/>
          <w:b/>
          <w:sz w:val="28"/>
          <w:szCs w:val="28"/>
          <w:lang w:eastAsia="zh-CN"/>
        </w:rPr>
        <w:t>第三节  合同附件格式</w:t>
      </w:r>
    </w:p>
    <w:p w14:paraId="233A61D4">
      <w:pPr>
        <w:rPr>
          <w:rFonts w:hint="eastAsia" w:ascii="Trebuchet MS" w:hAnsi="Trebuchet MS" w:eastAsia="新宋体"/>
          <w:b/>
          <w:szCs w:val="21"/>
        </w:rPr>
      </w:pPr>
      <w:r>
        <w:rPr>
          <w:rFonts w:hint="eastAsia" w:ascii="新宋体" w:hAnsi="新宋体" w:eastAsia="新宋体"/>
          <w:b/>
          <w:szCs w:val="21"/>
        </w:rPr>
        <w:t>附件一：合同协议书</w:t>
      </w:r>
    </w:p>
    <w:p w14:paraId="499C26FE">
      <w:pPr>
        <w:jc w:val="center"/>
        <w:rPr>
          <w:rFonts w:ascii="Trebuchet MS" w:hAnsi="新宋体" w:eastAsia="新宋体"/>
          <w:b/>
          <w:sz w:val="28"/>
          <w:szCs w:val="28"/>
        </w:rPr>
      </w:pPr>
      <w:r>
        <w:rPr>
          <w:rFonts w:hint="eastAsia" w:ascii="新宋体" w:hAnsi="新宋体" w:eastAsia="新宋体"/>
          <w:b/>
          <w:sz w:val="24"/>
          <w:szCs w:val="24"/>
        </w:rPr>
        <w:t>合同协议书</w:t>
      </w:r>
      <w:r>
        <w:rPr>
          <w:rFonts w:ascii="Trebuchet MS" w:hAnsi="新宋体" w:eastAsia="新宋体"/>
          <w:b/>
          <w:sz w:val="28"/>
          <w:szCs w:val="28"/>
        </w:rPr>
        <w:t xml:space="preserve"> </w:t>
      </w:r>
    </w:p>
    <w:p w14:paraId="53BBBC04">
      <w:pPr>
        <w:spacing w:line="340" w:lineRule="exact"/>
        <w:ind w:firstLine="420" w:firstLineChars="200"/>
        <w:rPr>
          <w:rFonts w:hint="eastAsia" w:ascii="宋体" w:hAnsi="宋体"/>
          <w:szCs w:val="21"/>
        </w:rPr>
      </w:pP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（以下简称“发包人” ）是</w:t>
      </w:r>
      <w:r>
        <w:rPr>
          <w:rFonts w:hint="eastAsia" w:ascii="宋体" w:hAnsi="宋体" w:cs="等线 Light"/>
          <w:szCs w:val="21"/>
        </w:rPr>
        <w:t>实施本工程的项目法人，</w:t>
      </w:r>
      <w:r>
        <w:rPr>
          <w:rFonts w:hint="eastAsia" w:ascii="宋体" w:hAnsi="宋体"/>
          <w:szCs w:val="21"/>
        </w:rPr>
        <w:t>为实施</w:t>
      </w:r>
      <w:r>
        <w:rPr>
          <w:rFonts w:hint="eastAsia" w:ascii="宋体" w:hAnsi="宋体"/>
          <w:szCs w:val="21"/>
          <w:u w:val="single"/>
        </w:rPr>
        <w:t xml:space="preserve">        （项目名称）    </w:t>
      </w:r>
      <w:r>
        <w:rPr>
          <w:rFonts w:hint="eastAsia" w:ascii="宋体" w:hAnsi="宋体"/>
          <w:szCs w:val="21"/>
        </w:rPr>
        <w:t>，己接受</w:t>
      </w:r>
      <w:r>
        <w:rPr>
          <w:rFonts w:hint="eastAsia" w:ascii="宋体" w:hAnsi="宋体"/>
          <w:szCs w:val="21"/>
          <w:u w:val="single"/>
        </w:rPr>
        <w:t xml:space="preserve">       （承包人名称）      </w:t>
      </w:r>
      <w:r>
        <w:rPr>
          <w:rFonts w:hint="eastAsia" w:ascii="宋体" w:hAnsi="宋体"/>
          <w:szCs w:val="21"/>
        </w:rPr>
        <w:t>（以下简称“承包人” ）对该项目</w:t>
      </w:r>
      <w:r>
        <w:rPr>
          <w:rFonts w:hint="eastAsia" w:ascii="宋体" w:hAnsi="宋体"/>
          <w:szCs w:val="21"/>
          <w:u w:val="single"/>
        </w:rPr>
        <w:t xml:space="preserve">          </w:t>
      </w:r>
      <w:r>
        <w:rPr>
          <w:rFonts w:hint="eastAsia" w:ascii="宋体" w:hAnsi="宋体"/>
          <w:szCs w:val="21"/>
        </w:rPr>
        <w:t>标段施工的投标。发包人和承包人共同达成如下协议。</w:t>
      </w:r>
    </w:p>
    <w:p w14:paraId="2C26BF5C">
      <w:pPr>
        <w:spacing w:line="340" w:lineRule="exact"/>
        <w:rPr>
          <w:rFonts w:hint="eastAsia" w:ascii="Tahoma" w:hAnsi="Tahoma" w:eastAsia="新宋体" w:cs="Tahoma"/>
          <w:szCs w:val="21"/>
        </w:rPr>
      </w:pPr>
      <w:r>
        <w:rPr>
          <w:rFonts w:ascii="Tahoma" w:hAnsi="Tahoma" w:eastAsia="新宋体" w:cs="Tahoma"/>
          <w:szCs w:val="21"/>
        </w:rPr>
        <w:t>1</w:t>
      </w:r>
      <w:r>
        <w:rPr>
          <w:rFonts w:hint="eastAsia" w:ascii="新宋体" w:hAnsi="新宋体" w:eastAsia="新宋体" w:cs="Tahoma"/>
          <w:szCs w:val="21"/>
        </w:rPr>
        <w:t>、本协议书与下列文件一起构成合同文件：</w:t>
      </w:r>
    </w:p>
    <w:p w14:paraId="69FDDBBD">
      <w:pPr>
        <w:spacing w:line="340" w:lineRule="exact"/>
        <w:rPr>
          <w:rFonts w:ascii="Tahoma" w:hAnsi="Tahoma" w:eastAsia="新宋体" w:cs="Tahoma"/>
          <w:szCs w:val="21"/>
        </w:rPr>
      </w:pPr>
      <w:r>
        <w:rPr>
          <w:rFonts w:hint="eastAsia" w:ascii="宋体" w:hAnsi="宋体" w:cs="Tahoma"/>
          <w:szCs w:val="21"/>
        </w:rPr>
        <w:t>（</w:t>
      </w:r>
      <w:r>
        <w:rPr>
          <w:rFonts w:ascii="Tahoma" w:hAnsi="Tahoma" w:cs="Tahoma"/>
          <w:szCs w:val="21"/>
        </w:rPr>
        <w:t>1</w:t>
      </w:r>
      <w:r>
        <w:rPr>
          <w:rFonts w:hint="eastAsia" w:ascii="宋体" w:hAnsi="宋体" w:cs="Tahoma"/>
          <w:szCs w:val="21"/>
        </w:rPr>
        <w:t>）</w:t>
      </w:r>
      <w:r>
        <w:rPr>
          <w:rFonts w:hint="eastAsia" w:ascii="新宋体" w:hAnsi="新宋体" w:eastAsia="新宋体" w:cs="Tahoma"/>
          <w:szCs w:val="21"/>
        </w:rPr>
        <w:t>中标通知书；</w:t>
      </w:r>
    </w:p>
    <w:p w14:paraId="685BC399">
      <w:pPr>
        <w:spacing w:line="340" w:lineRule="exact"/>
        <w:rPr>
          <w:rFonts w:ascii="Tahoma" w:hAnsi="Tahoma" w:eastAsia="新宋体" w:cs="Tahoma"/>
          <w:szCs w:val="21"/>
        </w:rPr>
      </w:pPr>
      <w:r>
        <w:rPr>
          <w:rFonts w:hint="eastAsia" w:ascii="宋体" w:hAnsi="宋体" w:cs="Tahoma"/>
          <w:szCs w:val="21"/>
        </w:rPr>
        <w:t>（</w:t>
      </w:r>
      <w:r>
        <w:rPr>
          <w:rFonts w:hint="eastAsia" w:ascii="Tahoma" w:hAnsi="Tahoma" w:cs="Tahoma"/>
          <w:szCs w:val="21"/>
        </w:rPr>
        <w:t>2</w:t>
      </w:r>
      <w:r>
        <w:rPr>
          <w:rFonts w:hint="eastAsia" w:ascii="宋体" w:hAnsi="宋体" w:cs="Tahoma"/>
          <w:szCs w:val="21"/>
        </w:rPr>
        <w:t>）</w:t>
      </w:r>
      <w:r>
        <w:rPr>
          <w:rFonts w:hint="eastAsia" w:ascii="新宋体" w:hAnsi="新宋体" w:eastAsia="新宋体" w:cs="Tahoma"/>
          <w:szCs w:val="21"/>
        </w:rPr>
        <w:t>投标函及投标函附录；</w:t>
      </w:r>
    </w:p>
    <w:p w14:paraId="79D12A40">
      <w:pPr>
        <w:spacing w:line="340" w:lineRule="exact"/>
        <w:rPr>
          <w:rFonts w:ascii="Tahoma" w:hAnsi="Tahoma" w:eastAsia="新宋体" w:cs="Tahoma"/>
          <w:szCs w:val="21"/>
        </w:rPr>
      </w:pPr>
      <w:r>
        <w:rPr>
          <w:rFonts w:hint="eastAsia" w:ascii="宋体" w:hAnsi="宋体" w:cs="Tahoma"/>
          <w:szCs w:val="21"/>
        </w:rPr>
        <w:t>（</w:t>
      </w:r>
      <w:r>
        <w:rPr>
          <w:rFonts w:hint="eastAsia" w:ascii="Tahoma" w:hAnsi="Tahoma" w:cs="Tahoma"/>
          <w:szCs w:val="21"/>
        </w:rPr>
        <w:t>3</w:t>
      </w:r>
      <w:r>
        <w:rPr>
          <w:rFonts w:hint="eastAsia" w:ascii="宋体" w:hAnsi="宋体" w:cs="Tahoma"/>
          <w:szCs w:val="21"/>
        </w:rPr>
        <w:t>）</w:t>
      </w:r>
      <w:r>
        <w:rPr>
          <w:rFonts w:hint="eastAsia" w:ascii="新宋体" w:hAnsi="新宋体" w:eastAsia="新宋体" w:cs="Tahoma"/>
          <w:szCs w:val="21"/>
        </w:rPr>
        <w:t>专用合同条款；</w:t>
      </w:r>
    </w:p>
    <w:p w14:paraId="2E746FE4">
      <w:pPr>
        <w:spacing w:line="340" w:lineRule="exact"/>
        <w:rPr>
          <w:rFonts w:ascii="Tahoma" w:hAnsi="Tahoma" w:eastAsia="新宋体" w:cs="Tahoma"/>
          <w:szCs w:val="21"/>
        </w:rPr>
      </w:pPr>
      <w:r>
        <w:rPr>
          <w:rFonts w:hint="eastAsia" w:ascii="宋体" w:hAnsi="宋体" w:cs="Tahoma"/>
          <w:szCs w:val="21"/>
        </w:rPr>
        <w:t>（</w:t>
      </w:r>
      <w:r>
        <w:rPr>
          <w:rFonts w:hint="eastAsia" w:ascii="Tahoma" w:hAnsi="Tahoma" w:cs="Tahoma"/>
          <w:szCs w:val="21"/>
        </w:rPr>
        <w:t>4</w:t>
      </w:r>
      <w:r>
        <w:rPr>
          <w:rFonts w:hint="eastAsia" w:ascii="宋体" w:hAnsi="宋体" w:cs="Tahoma"/>
          <w:szCs w:val="21"/>
        </w:rPr>
        <w:t>）</w:t>
      </w:r>
      <w:r>
        <w:rPr>
          <w:rFonts w:hint="eastAsia" w:ascii="新宋体" w:hAnsi="新宋体" w:eastAsia="新宋体" w:cs="Tahoma"/>
          <w:szCs w:val="21"/>
        </w:rPr>
        <w:t>通用合同条款；</w:t>
      </w:r>
    </w:p>
    <w:p w14:paraId="375D83FC">
      <w:pPr>
        <w:spacing w:line="340" w:lineRule="exact"/>
        <w:rPr>
          <w:rFonts w:ascii="Tahoma" w:hAnsi="Tahoma" w:eastAsia="新宋体" w:cs="Tahoma"/>
          <w:szCs w:val="21"/>
        </w:rPr>
      </w:pPr>
      <w:r>
        <w:rPr>
          <w:rFonts w:hint="eastAsia" w:ascii="宋体" w:hAnsi="宋体" w:cs="Tahoma"/>
          <w:szCs w:val="21"/>
        </w:rPr>
        <w:t>（</w:t>
      </w:r>
      <w:r>
        <w:rPr>
          <w:rFonts w:hint="eastAsia" w:ascii="Tahoma" w:hAnsi="Tahoma" w:cs="Tahoma"/>
          <w:szCs w:val="21"/>
        </w:rPr>
        <w:t>5</w:t>
      </w:r>
      <w:r>
        <w:rPr>
          <w:rFonts w:hint="eastAsia" w:ascii="宋体" w:hAnsi="宋体" w:cs="Tahoma"/>
          <w:szCs w:val="21"/>
        </w:rPr>
        <w:t>）</w:t>
      </w:r>
      <w:r>
        <w:rPr>
          <w:rFonts w:hint="eastAsia" w:ascii="新宋体" w:hAnsi="新宋体" w:eastAsia="新宋体" w:cs="Tahoma"/>
          <w:szCs w:val="21"/>
        </w:rPr>
        <w:t>技术标准和要求；</w:t>
      </w:r>
    </w:p>
    <w:p w14:paraId="10E8B60C">
      <w:pPr>
        <w:spacing w:line="340" w:lineRule="exact"/>
        <w:rPr>
          <w:rFonts w:ascii="Tahoma" w:hAnsi="Tahoma" w:eastAsia="新宋体" w:cs="Tahoma"/>
          <w:szCs w:val="21"/>
        </w:rPr>
      </w:pPr>
      <w:r>
        <w:rPr>
          <w:rFonts w:hint="eastAsia" w:ascii="宋体" w:hAnsi="宋体" w:cs="Tahoma"/>
          <w:szCs w:val="21"/>
        </w:rPr>
        <w:t>（</w:t>
      </w:r>
      <w:r>
        <w:rPr>
          <w:rFonts w:hint="eastAsia" w:ascii="Tahoma" w:hAnsi="Tahoma" w:cs="Tahoma"/>
          <w:szCs w:val="21"/>
        </w:rPr>
        <w:t>6</w:t>
      </w:r>
      <w:r>
        <w:rPr>
          <w:rFonts w:hint="eastAsia" w:ascii="宋体" w:hAnsi="宋体" w:cs="Tahoma"/>
          <w:szCs w:val="21"/>
        </w:rPr>
        <w:t>）</w:t>
      </w:r>
      <w:r>
        <w:rPr>
          <w:rFonts w:hint="eastAsia" w:ascii="新宋体" w:hAnsi="新宋体" w:eastAsia="新宋体" w:cs="Tahoma"/>
          <w:szCs w:val="21"/>
        </w:rPr>
        <w:t>图纸；</w:t>
      </w:r>
    </w:p>
    <w:p w14:paraId="7D9E2002">
      <w:pPr>
        <w:spacing w:line="340" w:lineRule="exact"/>
        <w:rPr>
          <w:rFonts w:ascii="Tahoma" w:hAnsi="Tahoma" w:eastAsia="新宋体" w:cs="Tahoma"/>
          <w:szCs w:val="21"/>
        </w:rPr>
      </w:pPr>
      <w:r>
        <w:rPr>
          <w:rFonts w:hint="eastAsia" w:ascii="宋体" w:hAnsi="宋体" w:cs="Tahoma"/>
          <w:szCs w:val="21"/>
        </w:rPr>
        <w:t>（</w:t>
      </w:r>
      <w:r>
        <w:rPr>
          <w:rFonts w:hint="eastAsia" w:ascii="Tahoma" w:hAnsi="Tahoma" w:cs="Tahoma"/>
          <w:szCs w:val="21"/>
        </w:rPr>
        <w:t>7</w:t>
      </w:r>
      <w:r>
        <w:rPr>
          <w:rFonts w:hint="eastAsia" w:ascii="宋体" w:hAnsi="宋体" w:cs="Tahoma"/>
          <w:szCs w:val="21"/>
        </w:rPr>
        <w:t>）</w:t>
      </w:r>
      <w:r>
        <w:rPr>
          <w:rFonts w:hint="eastAsia" w:ascii="新宋体" w:hAnsi="新宋体" w:eastAsia="新宋体" w:cs="Tahoma"/>
          <w:szCs w:val="21"/>
        </w:rPr>
        <w:t>己标价工程量清单；</w:t>
      </w:r>
    </w:p>
    <w:p w14:paraId="66B651D2">
      <w:pPr>
        <w:spacing w:line="340" w:lineRule="exact"/>
        <w:rPr>
          <w:rFonts w:ascii="Tahoma" w:hAnsi="Tahoma" w:eastAsia="新宋体" w:cs="Tahoma"/>
          <w:szCs w:val="21"/>
        </w:rPr>
      </w:pPr>
      <w:r>
        <w:rPr>
          <w:rFonts w:hint="eastAsia" w:ascii="宋体" w:hAnsi="宋体" w:cs="Tahoma"/>
          <w:szCs w:val="21"/>
        </w:rPr>
        <w:t>（</w:t>
      </w:r>
      <w:r>
        <w:rPr>
          <w:rFonts w:hint="eastAsia" w:ascii="Tahoma" w:hAnsi="Tahoma" w:cs="Tahoma"/>
          <w:szCs w:val="21"/>
        </w:rPr>
        <w:t>8</w:t>
      </w:r>
      <w:r>
        <w:rPr>
          <w:rFonts w:hint="eastAsia" w:ascii="宋体" w:hAnsi="宋体" w:cs="Tahoma"/>
          <w:szCs w:val="21"/>
        </w:rPr>
        <w:t>）</w:t>
      </w:r>
      <w:r>
        <w:rPr>
          <w:rFonts w:hint="eastAsia" w:ascii="新宋体" w:hAnsi="新宋体" w:eastAsia="新宋体" w:cs="Tahoma"/>
          <w:szCs w:val="21"/>
        </w:rPr>
        <w:t>其他合同文件。</w:t>
      </w:r>
    </w:p>
    <w:p w14:paraId="27326498">
      <w:pPr>
        <w:spacing w:line="340" w:lineRule="exact"/>
        <w:rPr>
          <w:rFonts w:ascii="Tahoma" w:hAnsi="Tahoma" w:eastAsia="新宋体" w:cs="Tahoma"/>
          <w:szCs w:val="21"/>
        </w:rPr>
      </w:pPr>
      <w:r>
        <w:rPr>
          <w:rFonts w:ascii="Tahoma" w:hAnsi="Tahoma" w:eastAsia="新宋体" w:cs="Tahoma"/>
          <w:szCs w:val="21"/>
        </w:rPr>
        <w:t>2</w:t>
      </w:r>
      <w:r>
        <w:rPr>
          <w:rFonts w:hint="eastAsia" w:ascii="新宋体" w:hAnsi="新宋体" w:eastAsia="新宋体" w:cs="Tahoma"/>
          <w:szCs w:val="21"/>
        </w:rPr>
        <w:t>、上述文件互相补充和解释，如有不明确或不一致处，以合同约定次序在先者为准。</w:t>
      </w:r>
    </w:p>
    <w:p w14:paraId="0F5783D9">
      <w:pPr>
        <w:spacing w:line="340" w:lineRule="exact"/>
        <w:rPr>
          <w:rFonts w:ascii="Tahoma" w:hAnsi="Tahoma" w:eastAsia="新宋体" w:cs="Tahoma"/>
          <w:szCs w:val="21"/>
        </w:rPr>
      </w:pPr>
      <w:r>
        <w:rPr>
          <w:rFonts w:ascii="Tahoma" w:hAnsi="Tahoma" w:eastAsia="新宋体" w:cs="Tahoma"/>
          <w:szCs w:val="21"/>
        </w:rPr>
        <w:t>3</w:t>
      </w:r>
      <w:r>
        <w:rPr>
          <w:rFonts w:hint="eastAsia" w:ascii="新宋体" w:hAnsi="新宋体" w:eastAsia="新宋体" w:cs="Tahoma"/>
          <w:szCs w:val="21"/>
        </w:rPr>
        <w:t>、签约合同价：人民币（大写）</w:t>
      </w:r>
      <w:r>
        <w:rPr>
          <w:rFonts w:ascii="Tahoma" w:hAnsi="Tahoma" w:eastAsia="新宋体" w:cs="Tahoma"/>
          <w:szCs w:val="21"/>
          <w:u w:val="single"/>
        </w:rPr>
        <w:t xml:space="preserve">                    </w:t>
      </w:r>
      <w:r>
        <w:rPr>
          <w:rFonts w:hint="eastAsia" w:ascii="新宋体" w:hAnsi="新宋体" w:eastAsia="新宋体" w:cs="Tahoma"/>
          <w:szCs w:val="21"/>
        </w:rPr>
        <w:t>元（￥</w:t>
      </w:r>
      <w:r>
        <w:rPr>
          <w:rFonts w:ascii="Tahoma" w:hAnsi="Tahoma" w:eastAsia="新宋体" w:cs="Tahoma"/>
          <w:szCs w:val="21"/>
          <w:u w:val="single"/>
        </w:rPr>
        <w:t xml:space="preserve">             </w:t>
      </w:r>
      <w:r>
        <w:rPr>
          <w:rFonts w:ascii="Tahoma" w:hAnsi="Tahoma" w:eastAsia="新宋体" w:cs="Tahoma"/>
          <w:szCs w:val="21"/>
        </w:rPr>
        <w:t xml:space="preserve"> </w:t>
      </w:r>
      <w:r>
        <w:rPr>
          <w:rFonts w:hint="eastAsia" w:ascii="新宋体" w:hAnsi="新宋体" w:eastAsia="新宋体" w:cs="Tahoma"/>
          <w:szCs w:val="21"/>
        </w:rPr>
        <w:t>元）。</w:t>
      </w:r>
    </w:p>
    <w:p w14:paraId="757A852D">
      <w:pPr>
        <w:spacing w:line="340" w:lineRule="exact"/>
        <w:rPr>
          <w:rFonts w:ascii="Tahoma" w:hAnsi="Tahoma" w:eastAsia="新宋体" w:cs="Tahoma"/>
          <w:szCs w:val="21"/>
        </w:rPr>
      </w:pPr>
      <w:r>
        <w:rPr>
          <w:rFonts w:ascii="Tahoma" w:hAnsi="Tahoma" w:eastAsia="新宋体" w:cs="Tahoma"/>
          <w:szCs w:val="21"/>
        </w:rPr>
        <w:t>4</w:t>
      </w:r>
      <w:r>
        <w:rPr>
          <w:rFonts w:hint="eastAsia" w:ascii="新宋体" w:hAnsi="新宋体" w:eastAsia="新宋体" w:cs="Tahoma"/>
          <w:szCs w:val="21"/>
        </w:rPr>
        <w:t>、承包人项目经理：</w:t>
      </w:r>
      <w:r>
        <w:rPr>
          <w:rFonts w:ascii="Tahoma" w:hAnsi="Tahoma" w:eastAsia="新宋体" w:cs="Tahoma"/>
          <w:szCs w:val="21"/>
          <w:u w:val="single"/>
        </w:rPr>
        <w:t xml:space="preserve">                    </w:t>
      </w:r>
      <w:r>
        <w:rPr>
          <w:rFonts w:ascii="Tahoma" w:hAnsi="Tahoma" w:eastAsia="新宋体" w:cs="Tahoma"/>
          <w:szCs w:val="21"/>
        </w:rPr>
        <w:t xml:space="preserve"> </w:t>
      </w:r>
    </w:p>
    <w:p w14:paraId="4056B2C7">
      <w:pPr>
        <w:spacing w:line="340" w:lineRule="exact"/>
        <w:rPr>
          <w:rFonts w:ascii="Tahoma" w:hAnsi="Tahoma" w:eastAsia="新宋体" w:cs="Tahoma"/>
          <w:szCs w:val="21"/>
        </w:rPr>
      </w:pPr>
      <w:r>
        <w:rPr>
          <w:rFonts w:ascii="Tahoma" w:hAnsi="Tahoma" w:eastAsia="新宋体" w:cs="Tahoma"/>
          <w:szCs w:val="21"/>
        </w:rPr>
        <w:t>5</w:t>
      </w:r>
      <w:r>
        <w:rPr>
          <w:rFonts w:hint="eastAsia" w:ascii="新宋体" w:hAnsi="新宋体" w:eastAsia="新宋体" w:cs="Tahoma"/>
          <w:szCs w:val="21"/>
        </w:rPr>
        <w:t>、工程质量符合</w:t>
      </w:r>
      <w:r>
        <w:rPr>
          <w:rFonts w:ascii="Tahoma" w:hAnsi="Tahoma" w:eastAsia="新宋体" w:cs="Tahoma"/>
          <w:szCs w:val="21"/>
          <w:u w:val="single"/>
        </w:rPr>
        <w:t xml:space="preserve">                     </w:t>
      </w:r>
      <w:r>
        <w:rPr>
          <w:rFonts w:hint="eastAsia" w:ascii="新宋体" w:hAnsi="新宋体" w:eastAsia="新宋体" w:cs="Tahoma"/>
          <w:szCs w:val="21"/>
        </w:rPr>
        <w:t>标准。</w:t>
      </w:r>
    </w:p>
    <w:p w14:paraId="08EBC290">
      <w:pPr>
        <w:spacing w:line="340" w:lineRule="exact"/>
        <w:rPr>
          <w:rFonts w:ascii="Tahoma" w:hAnsi="Tahoma" w:eastAsia="新宋体" w:cs="Tahoma"/>
          <w:szCs w:val="21"/>
        </w:rPr>
      </w:pPr>
      <w:r>
        <w:rPr>
          <w:rFonts w:ascii="Tahoma" w:hAnsi="Tahoma" w:eastAsia="新宋体" w:cs="Tahoma"/>
          <w:szCs w:val="21"/>
        </w:rPr>
        <w:t>6</w:t>
      </w:r>
      <w:r>
        <w:rPr>
          <w:rFonts w:hint="eastAsia" w:ascii="新宋体" w:hAnsi="新宋体" w:eastAsia="新宋体" w:cs="Tahoma"/>
          <w:szCs w:val="21"/>
        </w:rPr>
        <w:t>、承包人承诺按合同约定承担工程的实施、完成及缺陷修复。</w:t>
      </w:r>
    </w:p>
    <w:p w14:paraId="4A2D4459">
      <w:pPr>
        <w:spacing w:line="340" w:lineRule="exact"/>
        <w:rPr>
          <w:rFonts w:ascii="Tahoma" w:hAnsi="Tahoma" w:eastAsia="新宋体" w:cs="Tahoma"/>
          <w:szCs w:val="21"/>
        </w:rPr>
      </w:pPr>
      <w:r>
        <w:rPr>
          <w:rFonts w:ascii="Tahoma" w:hAnsi="Tahoma" w:eastAsia="新宋体" w:cs="Tahoma"/>
          <w:szCs w:val="21"/>
        </w:rPr>
        <w:t>7</w:t>
      </w:r>
      <w:r>
        <w:rPr>
          <w:rFonts w:hint="eastAsia" w:ascii="新宋体" w:hAnsi="新宋体" w:eastAsia="新宋体" w:cs="Tahoma"/>
          <w:szCs w:val="21"/>
        </w:rPr>
        <w:t>、发包人承诺按合同约定的条件、时间和方式向承包人支付合同价款。</w:t>
      </w:r>
    </w:p>
    <w:p w14:paraId="7392F070">
      <w:pPr>
        <w:spacing w:line="340" w:lineRule="exact"/>
        <w:rPr>
          <w:rFonts w:ascii="Tahoma" w:hAnsi="Tahoma" w:eastAsia="新宋体" w:cs="Tahoma"/>
          <w:szCs w:val="21"/>
        </w:rPr>
      </w:pPr>
      <w:r>
        <w:rPr>
          <w:rFonts w:ascii="Tahoma" w:hAnsi="Tahoma" w:eastAsia="新宋体" w:cs="Tahoma"/>
          <w:szCs w:val="21"/>
        </w:rPr>
        <w:t>8</w:t>
      </w:r>
      <w:r>
        <w:rPr>
          <w:rFonts w:hint="eastAsia" w:ascii="新宋体" w:hAnsi="新宋体" w:eastAsia="新宋体" w:cs="Tahoma"/>
          <w:szCs w:val="21"/>
        </w:rPr>
        <w:t>、承包人应按照监理人指示开工，工期为</w:t>
      </w:r>
      <w:r>
        <w:rPr>
          <w:rFonts w:hint="eastAsia" w:ascii="宋体" w:hAnsi="宋体" w:cs="Tahoma"/>
          <w:szCs w:val="21"/>
          <w:u w:val="single"/>
        </w:rPr>
        <w:t xml:space="preserve">      </w:t>
      </w:r>
      <w:r>
        <w:rPr>
          <w:rFonts w:hint="eastAsia" w:ascii="宋体" w:hAnsi="宋体" w:cs="Tahoma"/>
          <w:szCs w:val="21"/>
        </w:rPr>
        <w:t>年</w:t>
      </w:r>
      <w:r>
        <w:rPr>
          <w:rFonts w:hint="eastAsia" w:ascii="宋体" w:hAnsi="宋体" w:cs="Tahoma"/>
          <w:szCs w:val="21"/>
          <w:u w:val="single"/>
        </w:rPr>
        <w:t xml:space="preserve">   </w:t>
      </w:r>
      <w:r>
        <w:rPr>
          <w:rFonts w:hint="eastAsia" w:ascii="宋体" w:hAnsi="宋体" w:cs="Tahoma"/>
          <w:szCs w:val="21"/>
        </w:rPr>
        <w:t>月</w:t>
      </w:r>
      <w:r>
        <w:rPr>
          <w:rFonts w:hint="eastAsia" w:ascii="宋体" w:hAnsi="宋体" w:cs="Tahoma"/>
          <w:szCs w:val="21"/>
          <w:u w:val="single"/>
        </w:rPr>
        <w:t xml:space="preserve">   </w:t>
      </w:r>
      <w:r>
        <w:rPr>
          <w:rFonts w:hint="eastAsia" w:ascii="宋体" w:hAnsi="宋体" w:cs="Tahoma"/>
          <w:szCs w:val="21"/>
        </w:rPr>
        <w:t>日至</w:t>
      </w:r>
      <w:r>
        <w:rPr>
          <w:rFonts w:hint="eastAsia" w:ascii="宋体" w:hAnsi="宋体" w:cs="Tahoma"/>
          <w:szCs w:val="21"/>
          <w:u w:val="single"/>
        </w:rPr>
        <w:t xml:space="preserve">      </w:t>
      </w:r>
      <w:r>
        <w:rPr>
          <w:rFonts w:hint="eastAsia" w:ascii="宋体" w:hAnsi="宋体" w:cs="Tahoma"/>
          <w:szCs w:val="21"/>
        </w:rPr>
        <w:t>年</w:t>
      </w:r>
      <w:r>
        <w:rPr>
          <w:rFonts w:hint="eastAsia" w:ascii="宋体" w:hAnsi="宋体" w:cs="Tahoma"/>
          <w:szCs w:val="21"/>
          <w:u w:val="single"/>
        </w:rPr>
        <w:t xml:space="preserve">   </w:t>
      </w:r>
      <w:r>
        <w:rPr>
          <w:rFonts w:hint="eastAsia" w:ascii="宋体" w:hAnsi="宋体" w:cs="Tahoma"/>
          <w:szCs w:val="21"/>
        </w:rPr>
        <w:t>月</w:t>
      </w:r>
      <w:r>
        <w:rPr>
          <w:rFonts w:hint="eastAsia" w:ascii="宋体" w:hAnsi="宋体" w:cs="Tahoma"/>
          <w:szCs w:val="21"/>
          <w:u w:val="single"/>
        </w:rPr>
        <w:t xml:space="preserve">   </w:t>
      </w:r>
      <w:r>
        <w:rPr>
          <w:rFonts w:hint="eastAsia" w:ascii="宋体" w:hAnsi="宋体" w:cs="Tahoma"/>
          <w:szCs w:val="21"/>
        </w:rPr>
        <w:t>日，共</w:t>
      </w:r>
      <w:r>
        <w:rPr>
          <w:rFonts w:hint="eastAsia" w:ascii="宋体" w:hAnsi="宋体" w:cs="Tahoma"/>
          <w:szCs w:val="21"/>
          <w:u w:val="single"/>
        </w:rPr>
        <w:t xml:space="preserve">    </w:t>
      </w:r>
      <w:r>
        <w:rPr>
          <w:rFonts w:hint="eastAsia" w:ascii="宋体" w:hAnsi="宋体" w:cs="Tahoma"/>
          <w:szCs w:val="21"/>
        </w:rPr>
        <w:t>日</w:t>
      </w:r>
      <w:r>
        <w:rPr>
          <w:rFonts w:hint="eastAsia" w:ascii="新宋体" w:hAnsi="新宋体" w:eastAsia="新宋体" w:cs="Tahoma"/>
          <w:szCs w:val="21"/>
        </w:rPr>
        <w:t>历天。</w:t>
      </w:r>
    </w:p>
    <w:p w14:paraId="6333EAE9">
      <w:pPr>
        <w:spacing w:line="340" w:lineRule="exact"/>
        <w:rPr>
          <w:rFonts w:ascii="Tahoma" w:hAnsi="Tahoma" w:eastAsia="新宋体" w:cs="Tahoma"/>
          <w:szCs w:val="21"/>
        </w:rPr>
      </w:pPr>
      <w:r>
        <w:rPr>
          <w:rFonts w:ascii="Tahoma" w:hAnsi="Tahoma" w:eastAsia="新宋体" w:cs="Tahoma"/>
          <w:szCs w:val="21"/>
        </w:rPr>
        <w:t>9</w:t>
      </w:r>
      <w:r>
        <w:rPr>
          <w:rFonts w:hint="eastAsia" w:ascii="新宋体" w:hAnsi="新宋体" w:eastAsia="新宋体" w:cs="Tahoma"/>
          <w:szCs w:val="21"/>
        </w:rPr>
        <w:t>、本协议书正本一式</w:t>
      </w:r>
      <w:r>
        <w:rPr>
          <w:rFonts w:hint="eastAsia" w:ascii="Tahoma" w:hAnsi="Tahoma" w:eastAsia="新宋体" w:cs="Tahoma"/>
          <w:szCs w:val="21"/>
          <w:u w:val="single"/>
        </w:rPr>
        <w:t xml:space="preserve"> </w:t>
      </w:r>
      <w:r>
        <w:rPr>
          <w:rFonts w:hint="eastAsia" w:ascii="新宋体" w:hAnsi="新宋体" w:eastAsia="新宋体" w:cs="Tahoma"/>
          <w:szCs w:val="21"/>
          <w:u w:val="single"/>
        </w:rPr>
        <w:t>捌</w:t>
      </w:r>
      <w:r>
        <w:rPr>
          <w:rFonts w:hint="eastAsia" w:ascii="Tahoma" w:hAnsi="Tahoma" w:eastAsia="新宋体" w:cs="Tahoma"/>
          <w:szCs w:val="21"/>
          <w:u w:val="single"/>
        </w:rPr>
        <w:t xml:space="preserve"> </w:t>
      </w:r>
      <w:r>
        <w:rPr>
          <w:rFonts w:hint="eastAsia" w:ascii="新宋体" w:hAnsi="新宋体" w:eastAsia="新宋体" w:cs="Tahoma"/>
          <w:szCs w:val="21"/>
        </w:rPr>
        <w:t>份，合同甲方执</w:t>
      </w:r>
      <w:r>
        <w:rPr>
          <w:rFonts w:hint="eastAsia" w:ascii="Tahoma" w:hAnsi="Tahoma" w:eastAsia="新宋体" w:cs="Tahoma"/>
          <w:szCs w:val="21"/>
          <w:u w:val="single"/>
        </w:rPr>
        <w:t xml:space="preserve"> </w:t>
      </w:r>
      <w:r>
        <w:rPr>
          <w:rFonts w:hint="eastAsia" w:ascii="新宋体" w:hAnsi="新宋体" w:eastAsia="新宋体" w:cs="Tahoma"/>
          <w:szCs w:val="21"/>
          <w:u w:val="single"/>
        </w:rPr>
        <w:t>柒</w:t>
      </w:r>
      <w:r>
        <w:rPr>
          <w:rFonts w:ascii="Tahoma" w:hAnsi="Tahoma" w:eastAsia="新宋体" w:cs="Tahoma"/>
          <w:szCs w:val="21"/>
          <w:u w:val="single"/>
        </w:rPr>
        <w:t xml:space="preserve"> </w:t>
      </w:r>
      <w:r>
        <w:rPr>
          <w:rFonts w:hint="eastAsia" w:ascii="新宋体" w:hAnsi="新宋体" w:eastAsia="新宋体" w:cs="Tahoma"/>
          <w:szCs w:val="21"/>
        </w:rPr>
        <w:t>份，合同乙方执</w:t>
      </w:r>
      <w:r>
        <w:rPr>
          <w:rFonts w:hint="eastAsia" w:ascii="Tahoma" w:hAnsi="Tahoma" w:eastAsia="新宋体" w:cs="Tahoma"/>
          <w:szCs w:val="21"/>
          <w:u w:val="single"/>
        </w:rPr>
        <w:t xml:space="preserve"> </w:t>
      </w:r>
      <w:r>
        <w:rPr>
          <w:rFonts w:hint="eastAsia" w:ascii="新宋体" w:hAnsi="新宋体" w:eastAsia="新宋体" w:cs="Tahoma"/>
          <w:szCs w:val="21"/>
          <w:u w:val="single"/>
        </w:rPr>
        <w:t>壹</w:t>
      </w:r>
      <w:r>
        <w:rPr>
          <w:rFonts w:ascii="Tahoma" w:hAnsi="Tahoma" w:eastAsia="新宋体" w:cs="Tahoma"/>
          <w:szCs w:val="21"/>
          <w:u w:val="single"/>
        </w:rPr>
        <w:t xml:space="preserve"> </w:t>
      </w:r>
      <w:r>
        <w:rPr>
          <w:rFonts w:hint="eastAsia" w:ascii="新宋体" w:hAnsi="新宋体" w:eastAsia="新宋体" w:cs="Tahoma"/>
          <w:szCs w:val="21"/>
        </w:rPr>
        <w:t>份。</w:t>
      </w:r>
    </w:p>
    <w:p w14:paraId="5EA2EC9E">
      <w:pPr>
        <w:spacing w:line="340" w:lineRule="exact"/>
        <w:rPr>
          <w:rFonts w:ascii="Tahoma" w:hAnsi="Tahoma" w:eastAsia="新宋体" w:cs="Tahoma"/>
          <w:szCs w:val="21"/>
        </w:rPr>
      </w:pPr>
      <w:r>
        <w:rPr>
          <w:rFonts w:ascii="Tahoma" w:hAnsi="Tahoma" w:eastAsia="新宋体" w:cs="Tahoma"/>
          <w:szCs w:val="21"/>
        </w:rPr>
        <w:t>10</w:t>
      </w:r>
      <w:r>
        <w:rPr>
          <w:rFonts w:hint="eastAsia" w:ascii="新宋体" w:hAnsi="新宋体" w:eastAsia="新宋体" w:cs="Tahoma"/>
          <w:szCs w:val="21"/>
        </w:rPr>
        <w:t>、合同未尽事宜，双方另行签订补充协议。补充协议是合同的组成部分。</w:t>
      </w:r>
    </w:p>
    <w:p w14:paraId="0D67EFA5">
      <w:pPr>
        <w:rPr>
          <w:rFonts w:hint="eastAsia" w:ascii="等线 Light" w:hAnsi="等线 Light" w:eastAsia="等线 Light"/>
          <w:szCs w:val="21"/>
        </w:rPr>
      </w:pPr>
      <w:r>
        <w:rPr>
          <w:rFonts w:ascii="Tahoma" w:hAnsi="Tahoma" w:cs="Tahoma"/>
          <w:szCs w:val="21"/>
        </w:rPr>
        <w:t>11</w:t>
      </w:r>
      <w:r>
        <w:rPr>
          <w:rFonts w:hint="eastAsia" w:ascii="宋体" w:hAnsi="宋体" w:cs="Tahoma"/>
          <w:szCs w:val="21"/>
        </w:rPr>
        <w:t>、本工程质量保修期以《建设工程质量管理条例》为依据，其他工程质量保修期约定如下：</w:t>
      </w:r>
      <w:r>
        <w:rPr>
          <w:rFonts w:hint="eastAsia" w:ascii="宋体" w:hAnsi="宋体" w:cs="Tahoma"/>
          <w:szCs w:val="21"/>
          <w:u w:val="single"/>
        </w:rPr>
        <w:t xml:space="preserve">        </w:t>
      </w:r>
      <w:r>
        <w:rPr>
          <w:rFonts w:hint="eastAsia" w:ascii="等线 Light" w:hAnsi="等线 Light" w:eastAsia="等线 Light"/>
          <w:szCs w:val="21"/>
          <w:u w:val="single"/>
        </w:rPr>
        <w:t xml:space="preserve">                                                                               </w:t>
      </w:r>
    </w:p>
    <w:p w14:paraId="09E7683C">
      <w:pPr>
        <w:spacing w:line="340" w:lineRule="exact"/>
        <w:jc w:val="center"/>
        <w:rPr>
          <w:rFonts w:hint="eastAsia" w:ascii="Tahoma" w:hAnsi="Tahoma" w:eastAsia="新宋体" w:cs="Tahoma"/>
          <w:szCs w:val="21"/>
        </w:rPr>
      </w:pPr>
      <w:r>
        <w:rPr>
          <w:rFonts w:ascii="Tahoma" w:hAnsi="Tahoma" w:eastAsia="新宋体" w:cs="Tahoma"/>
          <w:szCs w:val="21"/>
        </w:rPr>
        <w:t xml:space="preserve"> </w:t>
      </w:r>
    </w:p>
    <w:p w14:paraId="0866A91B">
      <w:pPr>
        <w:spacing w:line="340" w:lineRule="exact"/>
        <w:rPr>
          <w:rFonts w:hint="eastAsia" w:ascii="宋体" w:hAnsi="宋体" w:cs="Tahoma"/>
          <w:szCs w:val="21"/>
        </w:rPr>
      </w:pPr>
      <w:r>
        <w:rPr>
          <w:rFonts w:hint="eastAsia" w:ascii="宋体" w:hAnsi="宋体" w:cs="Tahoma"/>
          <w:szCs w:val="21"/>
        </w:rPr>
        <w:t>发包人：</w:t>
      </w:r>
      <w:r>
        <w:rPr>
          <w:rFonts w:hint="eastAsia" w:ascii="宋体" w:hAnsi="宋体" w:cs="Tahoma"/>
          <w:szCs w:val="21"/>
          <w:u w:val="single"/>
        </w:rPr>
        <w:t xml:space="preserve">       （盖单位章）       </w:t>
      </w:r>
      <w:r>
        <w:rPr>
          <w:rFonts w:hint="eastAsia" w:ascii="宋体" w:hAnsi="宋体" w:cs="Tahoma"/>
          <w:szCs w:val="21"/>
        </w:rPr>
        <w:t xml:space="preserve">            承包人：</w:t>
      </w:r>
      <w:r>
        <w:rPr>
          <w:rFonts w:hint="eastAsia" w:ascii="宋体" w:hAnsi="宋体" w:cs="Tahoma"/>
          <w:szCs w:val="21"/>
          <w:u w:val="single"/>
        </w:rPr>
        <w:t xml:space="preserve">     （盖总公司单位章）     </w:t>
      </w:r>
    </w:p>
    <w:p w14:paraId="62C018ED">
      <w:pPr>
        <w:spacing w:line="340" w:lineRule="exact"/>
        <w:rPr>
          <w:rFonts w:hint="eastAsia" w:ascii="宋体" w:hAnsi="宋体" w:cs="Tahoma"/>
          <w:szCs w:val="21"/>
        </w:rPr>
      </w:pPr>
      <w:r>
        <w:rPr>
          <w:rFonts w:hint="eastAsia" w:ascii="宋体" w:hAnsi="宋体" w:cs="Tahoma"/>
          <w:szCs w:val="21"/>
        </w:rPr>
        <w:t xml:space="preserve"> </w:t>
      </w:r>
    </w:p>
    <w:p w14:paraId="5FBB1D62">
      <w:pPr>
        <w:spacing w:line="340" w:lineRule="exact"/>
        <w:rPr>
          <w:rFonts w:hint="eastAsia" w:ascii="宋体" w:hAnsi="宋体" w:cs="Tahoma"/>
          <w:szCs w:val="21"/>
        </w:rPr>
      </w:pPr>
      <w:r>
        <w:rPr>
          <w:rFonts w:hint="eastAsia" w:ascii="宋体" w:hAnsi="宋体" w:cs="Tahoma"/>
          <w:szCs w:val="21"/>
        </w:rPr>
        <w:t>法定代表人或其委托代理人：</w:t>
      </w:r>
      <w:r>
        <w:rPr>
          <w:rFonts w:hint="eastAsia" w:ascii="宋体" w:hAnsi="宋体" w:cs="Tahoma"/>
          <w:szCs w:val="21"/>
          <w:u w:val="single"/>
        </w:rPr>
        <w:t>（签字）</w:t>
      </w:r>
      <w:r>
        <w:rPr>
          <w:rFonts w:hint="eastAsia" w:ascii="宋体" w:hAnsi="宋体" w:cs="Tahoma"/>
          <w:szCs w:val="21"/>
        </w:rPr>
        <w:t xml:space="preserve">             法定代表人或其委托代理人：</w:t>
      </w:r>
      <w:r>
        <w:rPr>
          <w:rFonts w:hint="eastAsia" w:ascii="宋体" w:hAnsi="宋体" w:cs="Tahoma"/>
          <w:szCs w:val="21"/>
          <w:u w:val="single"/>
        </w:rPr>
        <w:t xml:space="preserve"> （签字） </w:t>
      </w:r>
    </w:p>
    <w:p w14:paraId="2BA70470">
      <w:pPr>
        <w:widowControl/>
        <w:shd w:val="clear" w:color="auto" w:fill="FFFFFF"/>
        <w:snapToGrid w:val="0"/>
        <w:spacing w:line="440" w:lineRule="exact"/>
        <w:jc w:val="left"/>
        <w:rPr>
          <w:rFonts w:hint="eastAsia" w:ascii="宋体" w:hAnsi="宋体"/>
          <w:kern w:val="0"/>
          <w:szCs w:val="21"/>
        </w:rPr>
      </w:pPr>
      <w:r>
        <w:rPr>
          <w:rFonts w:hint="eastAsia" w:ascii="宋体" w:hAnsi="宋体"/>
          <w:kern w:val="0"/>
          <w:szCs w:val="21"/>
        </w:rPr>
        <w:t>地址：</w:t>
      </w:r>
      <w:r>
        <w:rPr>
          <w:rFonts w:hint="eastAsia" w:ascii="宋体" w:hAnsi="宋体"/>
          <w:kern w:val="0"/>
          <w:szCs w:val="21"/>
          <w:u w:val="single"/>
        </w:rPr>
        <w:t xml:space="preserve">                           </w:t>
      </w:r>
      <w:r>
        <w:rPr>
          <w:rFonts w:hint="eastAsia" w:ascii="宋体" w:hAnsi="宋体"/>
          <w:kern w:val="0"/>
          <w:szCs w:val="21"/>
        </w:rPr>
        <w:t xml:space="preserve">             地址：</w:t>
      </w:r>
      <w:r>
        <w:rPr>
          <w:rFonts w:hint="eastAsia" w:ascii="宋体" w:hAnsi="宋体"/>
          <w:kern w:val="0"/>
          <w:szCs w:val="21"/>
          <w:u w:val="single"/>
        </w:rPr>
        <w:t xml:space="preserve">                              </w:t>
      </w:r>
    </w:p>
    <w:p w14:paraId="2585D4A8">
      <w:pPr>
        <w:widowControl/>
        <w:shd w:val="clear" w:color="auto" w:fill="FFFFFF"/>
        <w:snapToGrid w:val="0"/>
        <w:spacing w:line="440" w:lineRule="exact"/>
        <w:jc w:val="left"/>
        <w:rPr>
          <w:rFonts w:hint="eastAsia" w:ascii="宋体" w:hAnsi="宋体"/>
          <w:kern w:val="0"/>
          <w:szCs w:val="21"/>
        </w:rPr>
      </w:pPr>
      <w:r>
        <w:rPr>
          <w:rFonts w:hint="eastAsia" w:ascii="宋体" w:hAnsi="宋体"/>
          <w:kern w:val="0"/>
          <w:szCs w:val="21"/>
        </w:rPr>
        <w:t>电话：</w:t>
      </w:r>
      <w:r>
        <w:rPr>
          <w:rFonts w:hint="eastAsia" w:ascii="宋体" w:hAnsi="宋体"/>
          <w:kern w:val="0"/>
          <w:szCs w:val="21"/>
          <w:u w:val="single"/>
        </w:rPr>
        <w:t xml:space="preserve">                           </w:t>
      </w:r>
      <w:r>
        <w:rPr>
          <w:rFonts w:hint="eastAsia" w:ascii="宋体" w:hAnsi="宋体"/>
          <w:kern w:val="0"/>
          <w:szCs w:val="21"/>
        </w:rPr>
        <w:t xml:space="preserve">             电话：</w:t>
      </w:r>
      <w:r>
        <w:rPr>
          <w:rFonts w:hint="eastAsia" w:ascii="宋体" w:hAnsi="宋体"/>
          <w:kern w:val="0"/>
          <w:szCs w:val="21"/>
          <w:u w:val="single"/>
        </w:rPr>
        <w:t xml:space="preserve">                              </w:t>
      </w:r>
    </w:p>
    <w:p w14:paraId="700D1A8F">
      <w:pPr>
        <w:widowControl/>
        <w:shd w:val="clear" w:color="auto" w:fill="FFFFFF"/>
        <w:snapToGrid w:val="0"/>
        <w:spacing w:line="440" w:lineRule="exact"/>
        <w:jc w:val="left"/>
        <w:rPr>
          <w:rFonts w:hint="eastAsia" w:ascii="宋体" w:hAnsi="宋体"/>
          <w:kern w:val="0"/>
          <w:szCs w:val="21"/>
        </w:rPr>
      </w:pPr>
      <w:r>
        <w:rPr>
          <w:rFonts w:hint="eastAsia" w:ascii="宋体" w:hAnsi="宋体"/>
          <w:kern w:val="0"/>
          <w:szCs w:val="21"/>
        </w:rPr>
        <w:t>开户银行：</w:t>
      </w:r>
      <w:r>
        <w:rPr>
          <w:rFonts w:hint="eastAsia" w:ascii="宋体" w:hAnsi="宋体"/>
          <w:kern w:val="0"/>
          <w:szCs w:val="21"/>
          <w:u w:val="single"/>
        </w:rPr>
        <w:t xml:space="preserve">                       </w:t>
      </w:r>
      <w:r>
        <w:rPr>
          <w:rFonts w:hint="eastAsia" w:ascii="宋体" w:hAnsi="宋体"/>
          <w:kern w:val="0"/>
          <w:szCs w:val="21"/>
        </w:rPr>
        <w:t xml:space="preserve">             开户银行：</w:t>
      </w:r>
      <w:r>
        <w:rPr>
          <w:rFonts w:hint="eastAsia" w:ascii="宋体" w:hAnsi="宋体"/>
          <w:kern w:val="0"/>
          <w:szCs w:val="21"/>
          <w:u w:val="single"/>
        </w:rPr>
        <w:t xml:space="preserve">                          </w:t>
      </w:r>
    </w:p>
    <w:p w14:paraId="4CC1F363">
      <w:pPr>
        <w:widowControl/>
        <w:shd w:val="clear" w:color="auto" w:fill="FFFFFF"/>
        <w:snapToGrid w:val="0"/>
        <w:spacing w:line="440" w:lineRule="exact"/>
        <w:jc w:val="left"/>
        <w:rPr>
          <w:rFonts w:hint="eastAsia" w:ascii="宋体" w:hAnsi="宋体"/>
          <w:kern w:val="0"/>
          <w:szCs w:val="21"/>
        </w:rPr>
      </w:pPr>
      <w:r>
        <w:rPr>
          <w:rFonts w:hint="eastAsia" w:ascii="宋体" w:hAnsi="宋体"/>
          <w:kern w:val="0"/>
          <w:szCs w:val="21"/>
        </w:rPr>
        <w:t>账号：</w:t>
      </w:r>
      <w:r>
        <w:rPr>
          <w:rFonts w:hint="eastAsia" w:ascii="宋体" w:hAnsi="宋体"/>
          <w:kern w:val="0"/>
          <w:szCs w:val="21"/>
          <w:u w:val="single"/>
        </w:rPr>
        <w:t xml:space="preserve">                           </w:t>
      </w:r>
      <w:r>
        <w:rPr>
          <w:rFonts w:hint="eastAsia" w:ascii="宋体" w:hAnsi="宋体"/>
          <w:kern w:val="0"/>
          <w:szCs w:val="21"/>
        </w:rPr>
        <w:t xml:space="preserve">             账号：</w:t>
      </w:r>
      <w:r>
        <w:rPr>
          <w:rFonts w:hint="eastAsia" w:ascii="宋体" w:hAnsi="宋体"/>
          <w:kern w:val="0"/>
          <w:szCs w:val="21"/>
          <w:u w:val="single"/>
        </w:rPr>
        <w:t xml:space="preserve">                              </w:t>
      </w:r>
    </w:p>
    <w:p w14:paraId="299AACDE">
      <w:pPr>
        <w:spacing w:line="340" w:lineRule="exact"/>
        <w:rPr>
          <w:rFonts w:hint="eastAsia" w:ascii="Tahoma" w:hAnsi="Tahoma" w:eastAsia="新宋体" w:cs="Tahoma"/>
          <w:szCs w:val="21"/>
        </w:rPr>
      </w:pPr>
      <w:r>
        <w:rPr>
          <w:rFonts w:ascii="Tahoma" w:hAnsi="Tahoma" w:eastAsia="新宋体" w:cs="Tahoma"/>
          <w:szCs w:val="21"/>
        </w:rPr>
        <w:t xml:space="preserve"> </w:t>
      </w:r>
    </w:p>
    <w:p w14:paraId="727D3826">
      <w:pPr>
        <w:spacing w:line="340" w:lineRule="exact"/>
        <w:rPr>
          <w:rFonts w:hint="eastAsia" w:ascii="宋体" w:hAnsi="宋体" w:cs="宋体"/>
          <w:sz w:val="24"/>
          <w:szCs w:val="24"/>
        </w:rPr>
      </w:pPr>
      <w:r>
        <w:rPr>
          <w:rFonts w:ascii="Tahoma" w:hAnsi="Tahoma" w:eastAsia="新宋体" w:cs="Tahoma"/>
          <w:szCs w:val="21"/>
          <w:u w:val="single"/>
        </w:rPr>
        <w:t xml:space="preserve">  </w:t>
      </w:r>
      <w:r>
        <w:rPr>
          <w:rFonts w:hint="eastAsia" w:ascii="Tahoma" w:hAnsi="Tahoma" w:eastAsia="新宋体" w:cs="Tahoma"/>
          <w:szCs w:val="21"/>
          <w:u w:val="single"/>
        </w:rPr>
        <w:t xml:space="preserve">    </w:t>
      </w:r>
      <w:r>
        <w:rPr>
          <w:rFonts w:ascii="Tahoma" w:hAnsi="Tahoma" w:eastAsia="新宋体" w:cs="Tahoma"/>
          <w:szCs w:val="21"/>
          <w:u w:val="single"/>
        </w:rPr>
        <w:t xml:space="preserve">    </w:t>
      </w:r>
      <w:r>
        <w:rPr>
          <w:rFonts w:hint="eastAsia" w:ascii="新宋体" w:hAnsi="新宋体" w:eastAsia="新宋体" w:cs="Tahoma"/>
          <w:szCs w:val="21"/>
        </w:rPr>
        <w:t>年</w:t>
      </w:r>
      <w:r>
        <w:rPr>
          <w:rFonts w:ascii="Tahoma" w:hAnsi="Tahoma" w:eastAsia="新宋体" w:cs="Tahoma"/>
          <w:szCs w:val="21"/>
          <w:u w:val="single"/>
        </w:rPr>
        <w:t xml:space="preserve">  </w:t>
      </w:r>
      <w:r>
        <w:rPr>
          <w:rFonts w:hint="eastAsia" w:ascii="Tahoma" w:hAnsi="Tahoma" w:eastAsia="新宋体" w:cs="Tahoma"/>
          <w:szCs w:val="21"/>
          <w:u w:val="single"/>
        </w:rPr>
        <w:t xml:space="preserve"> </w:t>
      </w:r>
      <w:r>
        <w:rPr>
          <w:rFonts w:ascii="Tahoma" w:hAnsi="Tahoma" w:eastAsia="新宋体" w:cs="Tahoma"/>
          <w:szCs w:val="21"/>
          <w:u w:val="single"/>
        </w:rPr>
        <w:t xml:space="preserve">  </w:t>
      </w:r>
      <w:r>
        <w:rPr>
          <w:rFonts w:hint="eastAsia" w:ascii="新宋体" w:hAnsi="新宋体" w:eastAsia="新宋体" w:cs="Tahoma"/>
          <w:szCs w:val="21"/>
        </w:rPr>
        <w:t>月</w:t>
      </w:r>
      <w:r>
        <w:rPr>
          <w:rFonts w:hint="eastAsia" w:ascii="Tahoma" w:hAnsi="Tahoma" w:eastAsia="新宋体" w:cs="Tahoma"/>
          <w:szCs w:val="21"/>
          <w:u w:val="single"/>
        </w:rPr>
        <w:t xml:space="preserve">     </w:t>
      </w:r>
      <w:r>
        <w:rPr>
          <w:rFonts w:hint="eastAsia" w:ascii="新宋体" w:hAnsi="新宋体" w:eastAsia="新宋体" w:cs="Tahoma"/>
          <w:szCs w:val="21"/>
        </w:rPr>
        <w:t>日</w:t>
      </w:r>
      <w:r>
        <w:rPr>
          <w:rFonts w:ascii="Tahoma" w:hAnsi="Tahoma" w:eastAsia="新宋体" w:cs="Tahoma"/>
          <w:szCs w:val="21"/>
        </w:rPr>
        <w:t xml:space="preserve">                  </w:t>
      </w:r>
      <w:r>
        <w:rPr>
          <w:rFonts w:hint="eastAsia" w:ascii="Tahoma" w:hAnsi="Tahoma" w:eastAsia="新宋体" w:cs="Tahoma"/>
          <w:szCs w:val="21"/>
        </w:rPr>
        <w:t xml:space="preserve">     </w:t>
      </w:r>
      <w:r>
        <w:rPr>
          <w:rFonts w:ascii="Tahoma" w:hAnsi="Tahoma" w:eastAsia="新宋体" w:cs="Tahoma"/>
          <w:szCs w:val="21"/>
          <w:u w:val="single"/>
        </w:rPr>
        <w:t xml:space="preserve">    </w:t>
      </w:r>
      <w:r>
        <w:rPr>
          <w:rFonts w:hint="eastAsia" w:ascii="Tahoma" w:hAnsi="Tahoma" w:eastAsia="新宋体" w:cs="Tahoma"/>
          <w:szCs w:val="21"/>
          <w:u w:val="single"/>
        </w:rPr>
        <w:t xml:space="preserve">   </w:t>
      </w:r>
      <w:r>
        <w:rPr>
          <w:rFonts w:ascii="Tahoma" w:hAnsi="Tahoma" w:eastAsia="新宋体" w:cs="Tahoma"/>
          <w:szCs w:val="21"/>
          <w:u w:val="single"/>
        </w:rPr>
        <w:t xml:space="preserve">    </w:t>
      </w:r>
      <w:r>
        <w:rPr>
          <w:rFonts w:hint="eastAsia" w:ascii="新宋体" w:hAnsi="新宋体" w:eastAsia="新宋体" w:cs="Tahoma"/>
          <w:szCs w:val="21"/>
        </w:rPr>
        <w:t>年</w:t>
      </w:r>
      <w:r>
        <w:rPr>
          <w:rFonts w:ascii="Tahoma" w:hAnsi="Tahoma" w:eastAsia="新宋体" w:cs="Tahoma"/>
          <w:szCs w:val="21"/>
          <w:u w:val="single"/>
        </w:rPr>
        <w:t xml:space="preserve">  </w:t>
      </w:r>
      <w:r>
        <w:rPr>
          <w:rFonts w:hint="eastAsia" w:ascii="Tahoma" w:hAnsi="Tahoma" w:eastAsia="新宋体" w:cs="Tahoma"/>
          <w:szCs w:val="21"/>
          <w:u w:val="single"/>
        </w:rPr>
        <w:t xml:space="preserve"> </w:t>
      </w:r>
      <w:r>
        <w:rPr>
          <w:rFonts w:ascii="Tahoma" w:hAnsi="Tahoma" w:eastAsia="新宋体" w:cs="Tahoma"/>
          <w:szCs w:val="21"/>
          <w:u w:val="single"/>
        </w:rPr>
        <w:t xml:space="preserve">  </w:t>
      </w:r>
      <w:r>
        <w:rPr>
          <w:rFonts w:hint="eastAsia" w:ascii="新宋体" w:hAnsi="新宋体" w:eastAsia="新宋体" w:cs="Tahoma"/>
          <w:szCs w:val="21"/>
        </w:rPr>
        <w:t>月</w:t>
      </w:r>
      <w:r>
        <w:rPr>
          <w:rFonts w:hint="eastAsia" w:ascii="Tahoma" w:hAnsi="Tahoma" w:eastAsia="新宋体" w:cs="Tahoma"/>
          <w:szCs w:val="21"/>
          <w:u w:val="single"/>
        </w:rPr>
        <w:t xml:space="preserve">    </w:t>
      </w:r>
      <w:r>
        <w:rPr>
          <w:rFonts w:hint="eastAsia" w:ascii="新宋体" w:hAnsi="新宋体" w:eastAsia="新宋体" w:cs="Tahoma"/>
          <w:szCs w:val="21"/>
        </w:rPr>
        <w:t>日</w:t>
      </w:r>
    </w:p>
    <w:p w14:paraId="07268CF3">
      <w:pPr>
        <w:outlineLvl w:val="2"/>
        <w:rPr>
          <w:rFonts w:ascii="Times New Roman" w:hAnsi="Times New Roman"/>
          <w:szCs w:val="24"/>
        </w:rPr>
      </w:pPr>
      <w:r>
        <w:rPr>
          <w:rFonts w:hint="eastAsia" w:ascii="Times New Roman" w:hAnsi="Times New Roman"/>
          <w:szCs w:val="24"/>
        </w:rPr>
        <w:br w:type="page"/>
      </w:r>
      <w:bookmarkStart w:id="397" w:name="_Toc256000143"/>
      <w:bookmarkStart w:id="398" w:name="_Toc256000117"/>
      <w:bookmarkStart w:id="399" w:name="_Toc256000110"/>
      <w:bookmarkStart w:id="400" w:name="_Toc256000155"/>
      <w:bookmarkStart w:id="401" w:name="_Toc256000144"/>
      <w:bookmarkStart w:id="402" w:name="_Toc256000132"/>
      <w:r>
        <w:rPr>
          <w:rFonts w:hint="eastAsia" w:ascii="Times New Roman" w:hAnsi="Times New Roman"/>
          <w:sz w:val="24"/>
          <w:szCs w:val="24"/>
        </w:rPr>
        <w:t>附件二：</w:t>
      </w:r>
      <w:r>
        <w:rPr>
          <w:rFonts w:hint="eastAsia" w:ascii="宋体" w:hAnsi="宋体"/>
          <w:sz w:val="24"/>
          <w:szCs w:val="24"/>
        </w:rPr>
        <w:t>履约担保</w:t>
      </w:r>
      <w:bookmarkEnd w:id="397"/>
      <w:bookmarkEnd w:id="398"/>
      <w:bookmarkEnd w:id="399"/>
      <w:bookmarkEnd w:id="400"/>
      <w:bookmarkEnd w:id="401"/>
      <w:bookmarkEnd w:id="402"/>
    </w:p>
    <w:p w14:paraId="17347334">
      <w:pPr>
        <w:spacing w:line="500" w:lineRule="exact"/>
        <w:jc w:val="center"/>
        <w:rPr>
          <w:rFonts w:ascii="宋体" w:hAnsi="宋体" w:cs="宋体"/>
          <w:bCs/>
          <w:sz w:val="24"/>
          <w:szCs w:val="24"/>
        </w:rPr>
      </w:pPr>
      <w:r>
        <w:rPr>
          <w:rFonts w:hint="eastAsia" w:ascii="宋体" w:hAnsi="宋体" w:cs="宋体"/>
          <w:bCs/>
          <w:sz w:val="24"/>
          <w:szCs w:val="24"/>
        </w:rPr>
        <w:t>履约担保</w:t>
      </w:r>
    </w:p>
    <w:p w14:paraId="6F7B360F">
      <w:pPr>
        <w:spacing w:line="500" w:lineRule="exact"/>
        <w:jc w:val="left"/>
        <w:rPr>
          <w:rFonts w:ascii="宋体" w:hAnsi="宋体" w:cs="宋体"/>
          <w:sz w:val="24"/>
          <w:szCs w:val="24"/>
        </w:rPr>
      </w:pPr>
    </w:p>
    <w:p w14:paraId="387CAA09">
      <w:pPr>
        <w:spacing w:line="500" w:lineRule="exact"/>
        <w:rPr>
          <w:rFonts w:ascii="宋体" w:hAnsi="宋体" w:cs="宋体"/>
          <w:sz w:val="24"/>
          <w:szCs w:val="24"/>
        </w:rPr>
      </w:pPr>
      <w:r>
        <w:rPr>
          <w:rFonts w:hint="eastAsia" w:ascii="宋体" w:hAnsi="宋体" w:cs="宋体"/>
          <w:sz w:val="24"/>
          <w:szCs w:val="24"/>
          <w:u w:val="single"/>
        </w:rPr>
        <w:t>　　　　</w:t>
      </w:r>
      <w:r>
        <w:rPr>
          <w:rFonts w:hint="eastAsia" w:ascii="宋体" w:hAnsi="宋体" w:cs="宋体"/>
          <w:sz w:val="24"/>
          <w:szCs w:val="24"/>
        </w:rPr>
        <w:t>(发包人名称)：</w:t>
      </w:r>
    </w:p>
    <w:p w14:paraId="15CF12C3">
      <w:pPr>
        <w:spacing w:line="500" w:lineRule="exact"/>
        <w:rPr>
          <w:rFonts w:ascii="宋体" w:hAnsi="宋体" w:cs="宋体"/>
          <w:sz w:val="24"/>
          <w:szCs w:val="24"/>
        </w:rPr>
      </w:pPr>
      <w:r>
        <w:rPr>
          <w:rFonts w:hint="eastAsia" w:ascii="宋体" w:hAnsi="宋体" w:cs="宋体"/>
          <w:sz w:val="24"/>
          <w:szCs w:val="24"/>
        </w:rPr>
        <w:t>　　鉴于　　　　(发包人名称，以下简称“发包人”)已接受　　　　(承包人名称，以下简称“承包人”)于　　　　年　　月　　日递交的　　　　　(项目名称)　　　　(标段名称)的投标文件。我方愿意无条件地、不可撤销地就承包人履行与你方订立的合同，向你方提供担保。</w:t>
      </w:r>
    </w:p>
    <w:p w14:paraId="4CF12923">
      <w:pPr>
        <w:spacing w:line="500" w:lineRule="exact"/>
        <w:rPr>
          <w:rFonts w:ascii="宋体" w:hAnsi="宋体" w:cs="宋体"/>
          <w:sz w:val="24"/>
          <w:szCs w:val="24"/>
        </w:rPr>
      </w:pPr>
      <w:r>
        <w:rPr>
          <w:rFonts w:hint="eastAsia" w:ascii="宋体" w:hAnsi="宋体" w:cs="宋体"/>
          <w:sz w:val="24"/>
          <w:szCs w:val="24"/>
        </w:rPr>
        <w:t>　　1.担保金额人民币(大写)　　　　　　元(￥　　　　　　元)。</w:t>
      </w:r>
    </w:p>
    <w:p w14:paraId="3B2C894E">
      <w:pPr>
        <w:spacing w:line="500" w:lineRule="exact"/>
        <w:rPr>
          <w:rFonts w:ascii="宋体" w:hAnsi="宋体" w:cs="宋体"/>
          <w:sz w:val="24"/>
          <w:szCs w:val="24"/>
        </w:rPr>
      </w:pPr>
      <w:r>
        <w:rPr>
          <w:rFonts w:hint="eastAsia" w:ascii="宋体" w:hAnsi="宋体" w:cs="宋体"/>
          <w:sz w:val="24"/>
          <w:szCs w:val="24"/>
        </w:rPr>
        <w:t>　　2.担保有效期自发包人与承包人签订的合同生效之日起至发包人签发合同工程完工证书之日止。</w:t>
      </w:r>
    </w:p>
    <w:p w14:paraId="422E5844">
      <w:pPr>
        <w:spacing w:line="500" w:lineRule="exact"/>
        <w:rPr>
          <w:rFonts w:ascii="宋体" w:hAnsi="宋体" w:cs="宋体"/>
          <w:sz w:val="24"/>
          <w:szCs w:val="24"/>
        </w:rPr>
      </w:pPr>
      <w:r>
        <w:rPr>
          <w:rFonts w:hint="eastAsia" w:ascii="宋体" w:hAnsi="宋体" w:cs="宋体"/>
          <w:sz w:val="24"/>
          <w:szCs w:val="24"/>
        </w:rPr>
        <w:t>　　3.在本担保有效期内，因承包人违反合同约定的义务给你方造成经济损失时，我方在收到你方以书面形式提出的在担保金额内的赔偿要求后，无条件地在7天内予以支付。</w:t>
      </w:r>
    </w:p>
    <w:p w14:paraId="0E2823EC">
      <w:pPr>
        <w:spacing w:line="500" w:lineRule="exact"/>
        <w:rPr>
          <w:rFonts w:ascii="宋体" w:hAnsi="宋体" w:cs="宋体"/>
          <w:sz w:val="24"/>
          <w:szCs w:val="24"/>
        </w:rPr>
      </w:pPr>
      <w:r>
        <w:rPr>
          <w:rFonts w:hint="eastAsia" w:ascii="宋体" w:hAnsi="宋体" w:cs="宋体"/>
          <w:sz w:val="24"/>
          <w:szCs w:val="24"/>
        </w:rPr>
        <w:t>　　4.发包人和承包人按《通用合同条款》第15条变更合同时，我方承担本担保规定的义务不变。</w:t>
      </w:r>
    </w:p>
    <w:p w14:paraId="2AE120C0">
      <w:pPr>
        <w:spacing w:line="500" w:lineRule="exact"/>
        <w:rPr>
          <w:rFonts w:ascii="宋体" w:hAnsi="宋体" w:cs="宋体"/>
          <w:sz w:val="24"/>
          <w:szCs w:val="24"/>
        </w:rPr>
      </w:pPr>
      <w:r>
        <w:rPr>
          <w:rFonts w:hint="eastAsia" w:ascii="宋体" w:hAnsi="宋体" w:cs="宋体"/>
          <w:sz w:val="24"/>
          <w:szCs w:val="24"/>
        </w:rPr>
        <w:t>　　　　　　　　　　　　　　　　担保人：　　　　       (盖单位章)</w:t>
      </w:r>
    </w:p>
    <w:p w14:paraId="270CAAE8">
      <w:pPr>
        <w:spacing w:line="500" w:lineRule="exact"/>
        <w:rPr>
          <w:rFonts w:ascii="宋体" w:hAnsi="宋体" w:cs="宋体"/>
          <w:sz w:val="24"/>
          <w:szCs w:val="24"/>
        </w:rPr>
      </w:pPr>
      <w:r>
        <w:rPr>
          <w:rFonts w:hint="eastAsia" w:ascii="宋体" w:hAnsi="宋体" w:cs="宋体"/>
          <w:sz w:val="24"/>
          <w:szCs w:val="24"/>
        </w:rPr>
        <w:t>　　　　　　　　　　　　　　　　法定代表人或其委托代理人：　　　(签字)</w:t>
      </w:r>
    </w:p>
    <w:p w14:paraId="115489B7">
      <w:pPr>
        <w:spacing w:line="500" w:lineRule="exact"/>
        <w:rPr>
          <w:rFonts w:ascii="宋体" w:hAnsi="宋体" w:cs="宋体"/>
          <w:sz w:val="24"/>
          <w:szCs w:val="24"/>
        </w:rPr>
      </w:pPr>
      <w:r>
        <w:rPr>
          <w:rFonts w:hint="eastAsia" w:ascii="宋体" w:hAnsi="宋体" w:cs="宋体"/>
          <w:sz w:val="24"/>
          <w:szCs w:val="24"/>
        </w:rPr>
        <w:t>　　　　　　　　　　　　　　　　地址：　　　　　　　　　　　　　　　　　</w:t>
      </w:r>
    </w:p>
    <w:p w14:paraId="56C43A49">
      <w:pPr>
        <w:spacing w:line="500" w:lineRule="exact"/>
        <w:rPr>
          <w:rFonts w:ascii="宋体" w:hAnsi="宋体" w:cs="宋体"/>
          <w:sz w:val="24"/>
          <w:szCs w:val="24"/>
        </w:rPr>
      </w:pPr>
      <w:r>
        <w:rPr>
          <w:rFonts w:hint="eastAsia" w:ascii="宋体" w:hAnsi="宋体" w:cs="宋体"/>
          <w:sz w:val="24"/>
          <w:szCs w:val="24"/>
        </w:rPr>
        <w:t>　　　　　　　　　　　　　　　　邮政编码：　　　　　　　　　　　　　　　</w:t>
      </w:r>
    </w:p>
    <w:p w14:paraId="21E2E091">
      <w:pPr>
        <w:spacing w:line="500" w:lineRule="exact"/>
        <w:rPr>
          <w:rFonts w:ascii="宋体" w:hAnsi="宋体" w:cs="宋体"/>
          <w:sz w:val="24"/>
          <w:szCs w:val="24"/>
        </w:rPr>
      </w:pPr>
      <w:r>
        <w:rPr>
          <w:rFonts w:hint="eastAsia" w:ascii="宋体" w:hAnsi="宋体" w:cs="宋体"/>
          <w:sz w:val="24"/>
          <w:szCs w:val="24"/>
        </w:rPr>
        <w:t>　　　　　　　　　　　　　　　　电话：　　　　　　　　　　　　　　　　　</w:t>
      </w:r>
    </w:p>
    <w:p w14:paraId="619C3B70">
      <w:pPr>
        <w:spacing w:line="500" w:lineRule="exact"/>
        <w:rPr>
          <w:rFonts w:ascii="宋体" w:hAnsi="宋体" w:cs="宋体"/>
          <w:sz w:val="24"/>
          <w:szCs w:val="24"/>
        </w:rPr>
      </w:pPr>
      <w:r>
        <w:rPr>
          <w:rFonts w:hint="eastAsia" w:ascii="宋体" w:hAnsi="宋体" w:cs="宋体"/>
          <w:sz w:val="24"/>
          <w:szCs w:val="24"/>
        </w:rPr>
        <w:t>　　　　　　　　　　　　　　　　传真：　　　　　　　　　　　　　　　　　</w:t>
      </w:r>
    </w:p>
    <w:p w14:paraId="79626CD7">
      <w:pPr>
        <w:spacing w:line="500" w:lineRule="exact"/>
        <w:rPr>
          <w:rFonts w:ascii="宋体" w:hAnsi="宋体" w:cs="宋体"/>
          <w:sz w:val="24"/>
          <w:szCs w:val="24"/>
        </w:rPr>
      </w:pPr>
      <w:r>
        <w:rPr>
          <w:rFonts w:hint="eastAsia" w:ascii="宋体" w:hAnsi="宋体" w:cs="宋体"/>
          <w:sz w:val="24"/>
          <w:szCs w:val="24"/>
        </w:rPr>
        <w:t>　　　　　　　　　　　　　　　　　　　　　　　　　　　年　　月　　日</w:t>
      </w:r>
    </w:p>
    <w:p w14:paraId="118D5FFB">
      <w:pPr>
        <w:spacing w:line="500" w:lineRule="exact"/>
        <w:rPr>
          <w:rFonts w:ascii="宋体" w:hAnsi="宋体" w:cs="宋体"/>
          <w:sz w:val="24"/>
          <w:szCs w:val="24"/>
        </w:rPr>
      </w:pPr>
    </w:p>
    <w:p w14:paraId="0096E698">
      <w:pPr>
        <w:spacing w:line="500" w:lineRule="exact"/>
        <w:rPr>
          <w:rFonts w:ascii="宋体" w:hAnsi="宋体" w:cs="宋体"/>
          <w:sz w:val="24"/>
          <w:szCs w:val="24"/>
        </w:rPr>
      </w:pPr>
      <w:r>
        <w:rPr>
          <w:rFonts w:hint="eastAsia" w:ascii="宋体" w:hAnsi="宋体" w:cs="宋体"/>
          <w:sz w:val="24"/>
          <w:szCs w:val="24"/>
        </w:rPr>
        <w:t>　　注：委托代理人应附授权委托书。</w:t>
      </w:r>
    </w:p>
    <w:p w14:paraId="10166CDB">
      <w:pPr>
        <w:outlineLvl w:val="2"/>
        <w:rPr>
          <w:rFonts w:ascii="宋体" w:hAnsi="宋体" w:cs="宋体"/>
          <w:color w:val="000000"/>
          <w:sz w:val="24"/>
          <w:szCs w:val="24"/>
        </w:rPr>
      </w:pPr>
      <w:r>
        <w:rPr>
          <w:rFonts w:hint="eastAsia" w:ascii="Times New Roman" w:hAnsi="Times New Roman"/>
          <w:szCs w:val="24"/>
        </w:rPr>
        <w:br w:type="page"/>
      </w:r>
      <w:bookmarkStart w:id="403" w:name="_Toc256000145"/>
      <w:bookmarkStart w:id="404" w:name="_Toc256000133"/>
      <w:bookmarkStart w:id="405" w:name="_Toc256000111"/>
      <w:bookmarkStart w:id="406" w:name="_Toc256000156"/>
      <w:bookmarkStart w:id="407" w:name="_Toc256000146"/>
      <w:bookmarkStart w:id="408" w:name="_Toc256000118"/>
      <w:r>
        <w:rPr>
          <w:rFonts w:hint="eastAsia" w:ascii="宋体" w:hAnsi="宋体" w:cs="宋体"/>
          <w:color w:val="000000"/>
          <w:sz w:val="24"/>
          <w:szCs w:val="24"/>
        </w:rPr>
        <w:t>附件三：预付款担保函</w:t>
      </w:r>
      <w:bookmarkEnd w:id="403"/>
      <w:bookmarkEnd w:id="404"/>
      <w:bookmarkEnd w:id="405"/>
      <w:bookmarkEnd w:id="406"/>
      <w:bookmarkEnd w:id="407"/>
      <w:bookmarkEnd w:id="408"/>
    </w:p>
    <w:p w14:paraId="7EA474EE">
      <w:pPr>
        <w:rPr>
          <w:rFonts w:ascii="宋体" w:hAnsi="宋体" w:cs="宋体"/>
          <w:color w:val="000000"/>
          <w:sz w:val="24"/>
          <w:szCs w:val="24"/>
        </w:rPr>
      </w:pPr>
    </w:p>
    <w:p w14:paraId="21814CCF">
      <w:pPr>
        <w:jc w:val="center"/>
        <w:rPr>
          <w:rFonts w:ascii="宋体" w:hAnsi="宋体" w:cs="宋体"/>
          <w:color w:val="000000"/>
          <w:sz w:val="24"/>
          <w:szCs w:val="24"/>
        </w:rPr>
      </w:pPr>
      <w:r>
        <w:rPr>
          <w:rFonts w:hint="eastAsia" w:ascii="宋体" w:hAnsi="宋体" w:cs="宋体"/>
          <w:color w:val="000000"/>
          <w:sz w:val="24"/>
          <w:szCs w:val="24"/>
        </w:rPr>
        <w:t>预付款担保函</w:t>
      </w:r>
    </w:p>
    <w:p w14:paraId="17BB492C">
      <w:pPr>
        <w:spacing w:line="500" w:lineRule="exact"/>
        <w:rPr>
          <w:rFonts w:ascii="宋体" w:hAnsi="宋体" w:cs="宋体"/>
          <w:color w:val="000000"/>
          <w:sz w:val="24"/>
          <w:szCs w:val="24"/>
        </w:rPr>
      </w:pPr>
      <w:r>
        <w:rPr>
          <w:rFonts w:hint="eastAsia" w:ascii="Times New Roman" w:hAnsi="Times New Roman"/>
          <w:color w:val="000000"/>
          <w:szCs w:val="24"/>
        </w:rPr>
        <w:t>　　</w:t>
      </w:r>
      <w:r>
        <w:rPr>
          <w:rFonts w:hint="eastAsia" w:ascii="宋体" w:hAnsi="宋体" w:cs="宋体"/>
          <w:color w:val="000000"/>
          <w:sz w:val="24"/>
          <w:szCs w:val="24"/>
        </w:rPr>
        <w:t>___________(发包人名称)：</w:t>
      </w:r>
    </w:p>
    <w:p w14:paraId="2313274D">
      <w:pPr>
        <w:spacing w:line="500" w:lineRule="exact"/>
        <w:rPr>
          <w:rFonts w:ascii="宋体" w:hAnsi="宋体" w:cs="宋体"/>
          <w:color w:val="000000"/>
          <w:sz w:val="24"/>
          <w:szCs w:val="24"/>
        </w:rPr>
      </w:pPr>
      <w:r>
        <w:rPr>
          <w:rFonts w:hint="eastAsia" w:ascii="宋体" w:hAnsi="宋体" w:cs="宋体"/>
          <w:color w:val="000000"/>
          <w:sz w:val="24"/>
          <w:szCs w:val="24"/>
        </w:rPr>
        <w:t>　　根据　　　　　　　(承包人名称，以下简称“承包人”)与　　　　　(发包人名称，以下简称“发包人”)于　　　　年　　月　　日签订的　　　　　　　(项目名称)　　　　　　　(标段名称)合同协议书，承包人按约定的金额向发包人提交一份预付款担保，即有权得到发包人支付相等金额的预付款。我方愿意就你方提供给承包人的预付款提供担保。</w:t>
      </w:r>
    </w:p>
    <w:p w14:paraId="4B01B0B2">
      <w:pPr>
        <w:spacing w:line="500" w:lineRule="exact"/>
        <w:rPr>
          <w:rFonts w:ascii="宋体" w:hAnsi="宋体" w:cs="宋体"/>
          <w:color w:val="000000"/>
          <w:sz w:val="24"/>
          <w:szCs w:val="24"/>
        </w:rPr>
      </w:pPr>
      <w:r>
        <w:rPr>
          <w:rFonts w:hint="eastAsia" w:ascii="宋体" w:hAnsi="宋体" w:cs="宋体"/>
          <w:color w:val="000000"/>
          <w:sz w:val="24"/>
          <w:szCs w:val="24"/>
        </w:rPr>
        <w:t>　　1.担保金额人民币(大写)　　　　　元(￥　　　　元)。</w:t>
      </w:r>
    </w:p>
    <w:p w14:paraId="1C6903B6">
      <w:pPr>
        <w:spacing w:line="500" w:lineRule="exact"/>
        <w:rPr>
          <w:rFonts w:ascii="宋体" w:hAnsi="宋体" w:cs="宋体"/>
          <w:color w:val="000000"/>
          <w:sz w:val="24"/>
          <w:szCs w:val="24"/>
        </w:rPr>
      </w:pPr>
      <w:r>
        <w:rPr>
          <w:rFonts w:hint="eastAsia" w:ascii="宋体" w:hAnsi="宋体" w:cs="宋体"/>
          <w:color w:val="000000"/>
          <w:sz w:val="24"/>
          <w:szCs w:val="24"/>
        </w:rPr>
        <w:t>　　2.担保有效期自预付款支付给承包人起生效，至发包人签发的进度付款证书说明预付款已完全扣清止。</w:t>
      </w:r>
    </w:p>
    <w:p w14:paraId="2B0555B3">
      <w:pPr>
        <w:spacing w:line="500" w:lineRule="exact"/>
        <w:rPr>
          <w:rFonts w:ascii="宋体" w:hAnsi="宋体" w:cs="宋体"/>
          <w:color w:val="000000"/>
          <w:sz w:val="24"/>
          <w:szCs w:val="24"/>
        </w:rPr>
      </w:pPr>
      <w:r>
        <w:rPr>
          <w:rFonts w:hint="eastAsia" w:ascii="宋体" w:hAnsi="宋体" w:cs="宋体"/>
          <w:color w:val="000000"/>
          <w:sz w:val="24"/>
          <w:szCs w:val="24"/>
        </w:rPr>
        <w:t>　　3.在本担保有效期内，因承包人违反合同约定的义务而要求收回预付款时，我方在收到你方的书面通知后，无条件地在7天内予以支付。但本担保的担保金额，在任何时候不应超过预付款金额减去发包人按合同约定在向承包人签发的进度付款证书中已扣回的金额。</w:t>
      </w:r>
    </w:p>
    <w:p w14:paraId="69750FD4">
      <w:pPr>
        <w:spacing w:line="500" w:lineRule="exact"/>
        <w:rPr>
          <w:rFonts w:ascii="宋体" w:hAnsi="宋体" w:cs="宋体"/>
          <w:color w:val="000000"/>
          <w:sz w:val="24"/>
          <w:szCs w:val="24"/>
        </w:rPr>
      </w:pPr>
      <w:r>
        <w:rPr>
          <w:rFonts w:hint="eastAsia" w:ascii="宋体" w:hAnsi="宋体" w:cs="宋体"/>
          <w:color w:val="000000"/>
          <w:sz w:val="24"/>
          <w:szCs w:val="24"/>
        </w:rPr>
        <w:t>　　4.发包人和承包人按《通用合同条款》第15条变更合同时，我方承担本担保规定的义务不变。</w:t>
      </w:r>
    </w:p>
    <w:p w14:paraId="37992E70">
      <w:pPr>
        <w:spacing w:line="500" w:lineRule="exact"/>
        <w:rPr>
          <w:rFonts w:ascii="宋体" w:hAnsi="宋体" w:cs="宋体"/>
          <w:color w:val="000000"/>
          <w:sz w:val="24"/>
          <w:szCs w:val="24"/>
        </w:rPr>
      </w:pPr>
      <w:r>
        <w:rPr>
          <w:rFonts w:hint="eastAsia" w:ascii="宋体" w:hAnsi="宋体" w:cs="宋体"/>
          <w:color w:val="000000"/>
          <w:sz w:val="24"/>
          <w:szCs w:val="24"/>
        </w:rPr>
        <w:t>　　　　　　　　　　　　　　担保人：　　　　　　　　(盖单位章)</w:t>
      </w:r>
    </w:p>
    <w:p w14:paraId="1D5B11E3">
      <w:pPr>
        <w:spacing w:line="500" w:lineRule="exact"/>
        <w:rPr>
          <w:rFonts w:ascii="宋体" w:hAnsi="宋体" w:cs="宋体"/>
          <w:color w:val="000000"/>
          <w:sz w:val="24"/>
          <w:szCs w:val="24"/>
        </w:rPr>
      </w:pPr>
      <w:r>
        <w:rPr>
          <w:rFonts w:hint="eastAsia" w:ascii="宋体" w:hAnsi="宋体" w:cs="宋体"/>
          <w:color w:val="000000"/>
          <w:sz w:val="24"/>
          <w:szCs w:val="24"/>
        </w:rPr>
        <w:t>　　　　　　　　　　　　　　法定代表人或其委托代理人：　　　　　(签字)</w:t>
      </w:r>
    </w:p>
    <w:p w14:paraId="006BAB20">
      <w:pPr>
        <w:spacing w:line="500" w:lineRule="exact"/>
        <w:rPr>
          <w:rFonts w:ascii="宋体" w:hAnsi="宋体" w:cs="宋体"/>
          <w:color w:val="000000"/>
          <w:sz w:val="24"/>
          <w:szCs w:val="24"/>
        </w:rPr>
      </w:pPr>
      <w:r>
        <w:rPr>
          <w:rFonts w:hint="eastAsia" w:ascii="宋体" w:hAnsi="宋体" w:cs="宋体"/>
          <w:color w:val="000000"/>
          <w:sz w:val="24"/>
          <w:szCs w:val="24"/>
        </w:rPr>
        <w:t>　　　　　　　　　　　　　　地址：　　　　　　　　　　　　　　　　　</w:t>
      </w:r>
    </w:p>
    <w:p w14:paraId="31FAA997">
      <w:pPr>
        <w:spacing w:line="500" w:lineRule="exact"/>
        <w:rPr>
          <w:rFonts w:ascii="宋体" w:hAnsi="宋体" w:cs="宋体"/>
          <w:color w:val="000000"/>
          <w:sz w:val="24"/>
          <w:szCs w:val="24"/>
        </w:rPr>
      </w:pPr>
      <w:r>
        <w:rPr>
          <w:rFonts w:hint="eastAsia" w:ascii="宋体" w:hAnsi="宋体" w:cs="宋体"/>
          <w:color w:val="000000"/>
          <w:sz w:val="24"/>
          <w:szCs w:val="24"/>
        </w:rPr>
        <w:t>　　　　　　　　　　　　　　邮政编码：　　　　　　　　　　　　　　　</w:t>
      </w:r>
    </w:p>
    <w:p w14:paraId="7F5E3690">
      <w:pPr>
        <w:spacing w:line="500" w:lineRule="exact"/>
        <w:rPr>
          <w:rFonts w:ascii="宋体" w:hAnsi="宋体" w:cs="宋体"/>
          <w:color w:val="000000"/>
          <w:sz w:val="24"/>
          <w:szCs w:val="24"/>
        </w:rPr>
      </w:pPr>
      <w:r>
        <w:rPr>
          <w:rFonts w:hint="eastAsia" w:ascii="宋体" w:hAnsi="宋体" w:cs="宋体"/>
          <w:color w:val="000000"/>
          <w:sz w:val="24"/>
          <w:szCs w:val="24"/>
        </w:rPr>
        <w:t>　　　　　　　　　　　　　　电话：　　　　　　　　　　　　　　　　　</w:t>
      </w:r>
    </w:p>
    <w:p w14:paraId="7EBE9B67">
      <w:pPr>
        <w:spacing w:line="500" w:lineRule="exact"/>
        <w:rPr>
          <w:rFonts w:ascii="宋体" w:hAnsi="宋体" w:cs="宋体"/>
          <w:color w:val="000000"/>
          <w:sz w:val="24"/>
          <w:szCs w:val="24"/>
        </w:rPr>
      </w:pPr>
      <w:r>
        <w:rPr>
          <w:rFonts w:hint="eastAsia" w:ascii="宋体" w:hAnsi="宋体" w:cs="宋体"/>
          <w:color w:val="000000"/>
          <w:sz w:val="24"/>
          <w:szCs w:val="24"/>
        </w:rPr>
        <w:t>　　　　　　　　　　　　　 传真：　　　　　　　　　　　　　　　　　</w:t>
      </w:r>
    </w:p>
    <w:p w14:paraId="2FB0132C">
      <w:pPr>
        <w:spacing w:line="500" w:lineRule="exact"/>
        <w:rPr>
          <w:rFonts w:ascii="宋体" w:hAnsi="宋体" w:cs="宋体"/>
          <w:color w:val="000000"/>
          <w:sz w:val="24"/>
          <w:szCs w:val="24"/>
        </w:rPr>
      </w:pPr>
      <w:r>
        <w:rPr>
          <w:rFonts w:hint="eastAsia" w:ascii="宋体" w:hAnsi="宋体" w:cs="宋体"/>
          <w:color w:val="000000"/>
          <w:sz w:val="24"/>
          <w:szCs w:val="24"/>
        </w:rPr>
        <w:t>　　　　　　　　　　　　　　　　　　　　　　　　　　　年　　月　　日</w:t>
      </w:r>
    </w:p>
    <w:p w14:paraId="7DC68A3C">
      <w:pPr>
        <w:spacing w:line="500" w:lineRule="exact"/>
        <w:rPr>
          <w:rFonts w:ascii="宋体" w:hAnsi="宋体" w:cs="宋体"/>
          <w:color w:val="000000"/>
          <w:sz w:val="24"/>
          <w:szCs w:val="24"/>
        </w:rPr>
      </w:pPr>
    </w:p>
    <w:p w14:paraId="25924FF6">
      <w:pPr>
        <w:spacing w:line="500" w:lineRule="exact"/>
        <w:rPr>
          <w:rFonts w:ascii="宋体" w:hAnsi="宋体" w:cs="宋体"/>
          <w:color w:val="000000"/>
          <w:sz w:val="24"/>
          <w:szCs w:val="24"/>
        </w:rPr>
      </w:pPr>
      <w:r>
        <w:rPr>
          <w:rFonts w:hint="eastAsia" w:ascii="宋体" w:hAnsi="宋体" w:cs="宋体"/>
          <w:color w:val="000000"/>
          <w:sz w:val="24"/>
          <w:szCs w:val="24"/>
        </w:rPr>
        <w:t>　　注：委托代理人应附授权委托书。</w:t>
      </w:r>
    </w:p>
    <w:p w14:paraId="4FAE814A">
      <w:pPr>
        <w:rPr>
          <w:rFonts w:hint="eastAsia"/>
          <w:color w:val="000080"/>
          <w:sz w:val="20"/>
          <w:highlight w:val="white"/>
        </w:rPr>
      </w:pPr>
      <w:r>
        <w:rPr>
          <w:rFonts w:hint="eastAsia"/>
          <w:color w:val="000080"/>
          <w:sz w:val="20"/>
          <w:highlight w:val="white"/>
        </w:rPr>
        <w:t xml:space="preserve"> </w:t>
      </w:r>
      <w:bookmarkEnd w:id="394"/>
    </w:p>
    <w:p w14:paraId="54E7439B">
      <w:pPr>
        <w:rPr>
          <w:highlight w:val="red"/>
        </w:rPr>
      </w:pPr>
      <w:r>
        <w:rPr>
          <w:color w:val="000080"/>
          <w:sz w:val="20"/>
          <w:highlight w:val="white"/>
        </w:rPr>
        <w:br w:type="page"/>
      </w:r>
    </w:p>
    <w:p w14:paraId="4B0902A1">
      <w:pPr>
        <w:spacing w:after="156" w:afterLines="50"/>
        <w:jc w:val="center"/>
        <w:outlineLvl w:val="9"/>
        <w:rPr>
          <w:rFonts w:hint="eastAsia" w:ascii="宋体" w:hAnsi="宋体" w:eastAsia="宋体" w:cs="宋体"/>
          <w:color w:val="000000" w:themeColor="text1"/>
          <w:sz w:val="24"/>
          <w:szCs w:val="24"/>
          <w:highlight w:val="none"/>
          <w:lang w:val="zh-CN"/>
          <w14:textFill>
            <w14:solidFill>
              <w14:schemeClr w14:val="tx1"/>
            </w14:solidFill>
          </w14:textFill>
        </w:rPr>
      </w:pPr>
    </w:p>
    <w:p w14:paraId="3CF72B97">
      <w:pPr>
        <w:spacing w:after="156" w:afterLines="50"/>
        <w:jc w:val="center"/>
        <w:outlineLvl w:val="9"/>
        <w:rPr>
          <w:rFonts w:hint="eastAsia" w:ascii="宋体" w:hAnsi="宋体" w:eastAsia="宋体" w:cs="宋体"/>
          <w:b/>
          <w:bCs/>
          <w:color w:val="000000" w:themeColor="text1"/>
          <w:sz w:val="36"/>
          <w:szCs w:val="36"/>
          <w:highlight w:val="none"/>
          <w14:textFill>
            <w14:solidFill>
              <w14:schemeClr w14:val="tx1"/>
            </w14:solidFill>
          </w14:textFill>
        </w:rPr>
      </w:pPr>
    </w:p>
    <w:p w14:paraId="211A64DE">
      <w:pPr>
        <w:spacing w:after="156" w:afterLines="50"/>
        <w:jc w:val="center"/>
        <w:outlineLvl w:val="9"/>
        <w:rPr>
          <w:rFonts w:hint="eastAsia" w:ascii="宋体" w:hAnsi="宋体" w:eastAsia="宋体" w:cs="宋体"/>
          <w:b/>
          <w:bCs/>
          <w:color w:val="000000" w:themeColor="text1"/>
          <w:sz w:val="36"/>
          <w:szCs w:val="36"/>
          <w:highlight w:val="none"/>
          <w14:textFill>
            <w14:solidFill>
              <w14:schemeClr w14:val="tx1"/>
            </w14:solidFill>
          </w14:textFill>
        </w:rPr>
      </w:pPr>
    </w:p>
    <w:p w14:paraId="312BFD89">
      <w:pPr>
        <w:spacing w:after="156" w:afterLines="50"/>
        <w:jc w:val="center"/>
        <w:outlineLvl w:val="9"/>
        <w:rPr>
          <w:rFonts w:hint="eastAsia" w:ascii="宋体" w:hAnsi="宋体" w:eastAsia="宋体" w:cs="宋体"/>
          <w:b/>
          <w:bCs/>
          <w:color w:val="000000" w:themeColor="text1"/>
          <w:sz w:val="36"/>
          <w:szCs w:val="36"/>
          <w:highlight w:val="none"/>
          <w14:textFill>
            <w14:solidFill>
              <w14:schemeClr w14:val="tx1"/>
            </w14:solidFill>
          </w14:textFill>
        </w:rPr>
      </w:pPr>
    </w:p>
    <w:p w14:paraId="2D5CCB91">
      <w:pPr>
        <w:spacing w:after="156" w:afterLines="50"/>
        <w:jc w:val="center"/>
        <w:outlineLvl w:val="9"/>
        <w:rPr>
          <w:rFonts w:hint="eastAsia" w:ascii="宋体" w:hAnsi="宋体" w:eastAsia="宋体" w:cs="宋体"/>
          <w:b/>
          <w:bCs/>
          <w:color w:val="000000" w:themeColor="text1"/>
          <w:sz w:val="36"/>
          <w:szCs w:val="36"/>
          <w:highlight w:val="none"/>
          <w14:textFill>
            <w14:solidFill>
              <w14:schemeClr w14:val="tx1"/>
            </w14:solidFill>
          </w14:textFill>
        </w:rPr>
      </w:pPr>
    </w:p>
    <w:p w14:paraId="0F6848EF">
      <w:pPr>
        <w:spacing w:after="156" w:afterLines="50"/>
        <w:jc w:val="center"/>
        <w:outlineLvl w:val="9"/>
        <w:rPr>
          <w:rFonts w:hint="eastAsia" w:ascii="宋体" w:hAnsi="宋体" w:eastAsia="宋体" w:cs="宋体"/>
          <w:b/>
          <w:bCs/>
          <w:color w:val="000000" w:themeColor="text1"/>
          <w:sz w:val="36"/>
          <w:szCs w:val="36"/>
          <w:highlight w:val="none"/>
          <w14:textFill>
            <w14:solidFill>
              <w14:schemeClr w14:val="tx1"/>
            </w14:solidFill>
          </w14:textFill>
        </w:rPr>
      </w:pPr>
    </w:p>
    <w:p w14:paraId="4661EFBB">
      <w:pPr>
        <w:spacing w:after="156" w:afterLines="50"/>
        <w:jc w:val="center"/>
        <w:outlineLvl w:val="9"/>
        <w:rPr>
          <w:rFonts w:hint="eastAsia" w:ascii="宋体" w:hAnsi="宋体" w:eastAsia="宋体" w:cs="宋体"/>
          <w:b/>
          <w:bCs/>
          <w:color w:val="000000" w:themeColor="text1"/>
          <w:sz w:val="36"/>
          <w:szCs w:val="36"/>
          <w:highlight w:val="none"/>
          <w14:textFill>
            <w14:solidFill>
              <w14:schemeClr w14:val="tx1"/>
            </w14:solidFill>
          </w14:textFill>
        </w:rPr>
      </w:pPr>
    </w:p>
    <w:p w14:paraId="1AFD8F50">
      <w:pPr>
        <w:spacing w:after="156" w:afterLines="50"/>
        <w:jc w:val="center"/>
        <w:outlineLvl w:val="9"/>
        <w:rPr>
          <w:rFonts w:hint="eastAsia" w:ascii="宋体" w:hAnsi="宋体" w:eastAsia="宋体" w:cs="宋体"/>
          <w:b/>
          <w:bCs/>
          <w:color w:val="000000" w:themeColor="text1"/>
          <w:sz w:val="36"/>
          <w:szCs w:val="36"/>
          <w:highlight w:val="none"/>
          <w14:textFill>
            <w14:solidFill>
              <w14:schemeClr w14:val="tx1"/>
            </w14:solidFill>
          </w14:textFill>
        </w:rPr>
      </w:pPr>
    </w:p>
    <w:p w14:paraId="6160B9EA">
      <w:pPr>
        <w:spacing w:after="156" w:afterLines="50"/>
        <w:jc w:val="center"/>
        <w:outlineLvl w:val="0"/>
        <w:rPr>
          <w:rFonts w:hint="eastAsia" w:ascii="宋体" w:hAnsi="宋体" w:eastAsia="宋体" w:cs="宋体"/>
          <w:b/>
          <w:bCs/>
          <w:color w:val="000000" w:themeColor="text1"/>
          <w:sz w:val="36"/>
          <w:szCs w:val="36"/>
          <w:highlight w:val="none"/>
          <w14:textFill>
            <w14:solidFill>
              <w14:schemeClr w14:val="tx1"/>
            </w14:solidFill>
          </w14:textFill>
        </w:rPr>
      </w:pPr>
      <w:bookmarkStart w:id="409" w:name="_Toc2402"/>
      <w:r>
        <w:rPr>
          <w:rFonts w:hint="eastAsia" w:ascii="宋体" w:hAnsi="宋体" w:eastAsia="宋体" w:cs="宋体"/>
          <w:b/>
          <w:bCs/>
          <w:color w:val="000000" w:themeColor="text1"/>
          <w:sz w:val="36"/>
          <w:szCs w:val="36"/>
          <w:highlight w:val="none"/>
          <w14:textFill>
            <w14:solidFill>
              <w14:schemeClr w14:val="tx1"/>
            </w14:solidFill>
          </w14:textFill>
        </w:rPr>
        <w:t>第</w:t>
      </w:r>
      <w:r>
        <w:rPr>
          <w:rFonts w:hint="eastAsia" w:ascii="宋体" w:hAnsi="宋体" w:eastAsia="宋体" w:cs="宋体"/>
          <w:b/>
          <w:bCs/>
          <w:color w:val="000000" w:themeColor="text1"/>
          <w:sz w:val="36"/>
          <w:szCs w:val="36"/>
          <w:highlight w:val="none"/>
          <w:lang w:eastAsia="zh-CN"/>
          <w14:textFill>
            <w14:solidFill>
              <w14:schemeClr w14:val="tx1"/>
            </w14:solidFill>
          </w14:textFill>
        </w:rPr>
        <w:t>六</w:t>
      </w:r>
      <w:r>
        <w:rPr>
          <w:rFonts w:hint="eastAsia" w:ascii="宋体" w:hAnsi="宋体" w:eastAsia="宋体" w:cs="宋体"/>
          <w:b/>
          <w:bCs/>
          <w:color w:val="000000" w:themeColor="text1"/>
          <w:sz w:val="36"/>
          <w:szCs w:val="36"/>
          <w:highlight w:val="none"/>
          <w14:textFill>
            <w14:solidFill>
              <w14:schemeClr w14:val="tx1"/>
            </w14:solidFill>
          </w14:textFill>
        </w:rPr>
        <w:t>章  响应文件格式</w:t>
      </w:r>
      <w:bookmarkEnd w:id="283"/>
      <w:bookmarkEnd w:id="284"/>
      <w:bookmarkEnd w:id="285"/>
      <w:bookmarkEnd w:id="286"/>
      <w:bookmarkEnd w:id="287"/>
      <w:bookmarkEnd w:id="288"/>
      <w:bookmarkEnd w:id="289"/>
      <w:bookmarkEnd w:id="290"/>
      <w:bookmarkEnd w:id="291"/>
      <w:bookmarkEnd w:id="292"/>
      <w:bookmarkEnd w:id="409"/>
    </w:p>
    <w:p w14:paraId="429DADDF">
      <w:pPr>
        <w:spacing w:line="420" w:lineRule="exact"/>
        <w:rPr>
          <w:rFonts w:hint="eastAsia" w:ascii="宋体" w:hAnsi="宋体" w:eastAsia="宋体" w:cs="宋体"/>
          <w:color w:val="000000" w:themeColor="text1"/>
          <w:highlight w:val="none"/>
          <w14:textFill>
            <w14:solidFill>
              <w14:schemeClr w14:val="tx1"/>
            </w14:solidFill>
          </w14:textFill>
        </w:rPr>
      </w:pPr>
    </w:p>
    <w:p w14:paraId="703D9027">
      <w:pPr>
        <w:spacing w:line="420" w:lineRule="exact"/>
        <w:rPr>
          <w:rFonts w:hint="eastAsia" w:ascii="宋体" w:hAnsi="宋体" w:eastAsia="宋体" w:cs="宋体"/>
          <w:color w:val="000000" w:themeColor="text1"/>
          <w:szCs w:val="21"/>
          <w:highlight w:val="none"/>
          <w:lang w:val="zh-CN"/>
          <w14:textFill>
            <w14:solidFill>
              <w14:schemeClr w14:val="tx1"/>
            </w14:solidFill>
          </w14:textFill>
        </w:rPr>
      </w:pPr>
    </w:p>
    <w:p w14:paraId="336581D3">
      <w:pPr>
        <w:spacing w:line="420" w:lineRule="exact"/>
        <w:rPr>
          <w:rFonts w:hint="eastAsia" w:ascii="宋体" w:hAnsi="宋体" w:eastAsia="宋体" w:cs="宋体"/>
          <w:color w:val="000000" w:themeColor="text1"/>
          <w:szCs w:val="21"/>
          <w:highlight w:val="none"/>
          <w:lang w:val="zh-CN"/>
          <w14:textFill>
            <w14:solidFill>
              <w14:schemeClr w14:val="tx1"/>
            </w14:solidFill>
          </w14:textFill>
        </w:rPr>
        <w:sectPr>
          <w:footerReference r:id="rId6" w:type="default"/>
          <w:pgSz w:w="11906" w:h="16838"/>
          <w:pgMar w:top="1440" w:right="1800" w:bottom="1440" w:left="1800" w:header="851" w:footer="992" w:gutter="0"/>
          <w:pgNumType w:fmt="decimal"/>
          <w:cols w:space="720" w:num="1"/>
          <w:docGrid w:type="lines" w:linePitch="312" w:charSpace="0"/>
        </w:sectPr>
      </w:pPr>
    </w:p>
    <w:p w14:paraId="22A031A2">
      <w:pPr>
        <w:spacing w:line="360" w:lineRule="auto"/>
        <w:jc w:val="center"/>
        <w:rPr>
          <w:rFonts w:hint="eastAsia" w:ascii="宋体" w:hAnsi="宋体" w:eastAsia="宋体" w:cs="宋体"/>
          <w:b/>
          <w:bCs/>
          <w:color w:val="000000" w:themeColor="text1"/>
          <w:sz w:val="52"/>
          <w:szCs w:val="52"/>
          <w:highlight w:val="none"/>
          <w:u w:val="single"/>
          <w14:textFill>
            <w14:solidFill>
              <w14:schemeClr w14:val="tx1"/>
            </w14:solidFill>
          </w14:textFill>
        </w:rPr>
      </w:pPr>
    </w:p>
    <w:p w14:paraId="6A6BD633">
      <w:pP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 w:val="52"/>
          <w:szCs w:val="52"/>
          <w:highlight w:val="none"/>
          <w:u w:val="single"/>
          <w14:textFill>
            <w14:solidFill>
              <w14:schemeClr w14:val="tx1"/>
            </w14:solidFill>
          </w14:textFill>
        </w:rPr>
        <w:t xml:space="preserve">****          </w:t>
      </w:r>
      <w:r>
        <w:rPr>
          <w:rFonts w:hint="eastAsia" w:ascii="宋体" w:hAnsi="宋体" w:eastAsia="宋体" w:cs="宋体"/>
          <w:b/>
          <w:bCs/>
          <w:color w:val="000000" w:themeColor="text1"/>
          <w:sz w:val="52"/>
          <w:szCs w:val="52"/>
          <w:highlight w:val="none"/>
          <w14:textFill>
            <w14:solidFill>
              <w14:schemeClr w14:val="tx1"/>
            </w14:solidFill>
          </w14:textFill>
        </w:rPr>
        <w:t>项目</w:t>
      </w:r>
    </w:p>
    <w:p w14:paraId="7923FAD3">
      <w:pPr>
        <w:spacing w:line="360" w:lineRule="auto"/>
        <w:jc w:val="center"/>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项目编号：</w:t>
      </w:r>
    </w:p>
    <w:p w14:paraId="61658419">
      <w:pPr>
        <w:spacing w:line="360" w:lineRule="auto"/>
        <w:rPr>
          <w:rFonts w:hint="eastAsia" w:ascii="宋体" w:hAnsi="宋体" w:eastAsia="宋体" w:cs="宋体"/>
          <w:color w:val="000000" w:themeColor="text1"/>
          <w:highlight w:val="none"/>
          <w14:textFill>
            <w14:solidFill>
              <w14:schemeClr w14:val="tx1"/>
            </w14:solidFill>
          </w14:textFill>
        </w:rPr>
      </w:pPr>
    </w:p>
    <w:p w14:paraId="7E23F001">
      <w:pPr>
        <w:spacing w:line="360" w:lineRule="auto"/>
        <w:rPr>
          <w:rFonts w:hint="eastAsia" w:ascii="宋体" w:hAnsi="宋体" w:eastAsia="宋体" w:cs="宋体"/>
          <w:color w:val="000000" w:themeColor="text1"/>
          <w:highlight w:val="none"/>
          <w14:textFill>
            <w14:solidFill>
              <w14:schemeClr w14:val="tx1"/>
            </w14:solidFill>
          </w14:textFill>
        </w:rPr>
      </w:pPr>
    </w:p>
    <w:p w14:paraId="786116B8">
      <w:pPr>
        <w:spacing w:line="360" w:lineRule="auto"/>
        <w:rPr>
          <w:rFonts w:hint="eastAsia" w:ascii="宋体" w:hAnsi="宋体" w:eastAsia="宋体" w:cs="宋体"/>
          <w:color w:val="000000" w:themeColor="text1"/>
          <w:highlight w:val="none"/>
          <w14:textFill>
            <w14:solidFill>
              <w14:schemeClr w14:val="tx1"/>
            </w14:solidFill>
          </w14:textFill>
        </w:rPr>
      </w:pPr>
    </w:p>
    <w:p w14:paraId="52933A66">
      <w:pPr>
        <w:spacing w:line="360" w:lineRule="auto"/>
        <w:rPr>
          <w:rFonts w:hint="eastAsia" w:ascii="宋体" w:hAnsi="宋体" w:eastAsia="宋体" w:cs="宋体"/>
          <w:color w:val="000000" w:themeColor="text1"/>
          <w:highlight w:val="none"/>
          <w14:textFill>
            <w14:solidFill>
              <w14:schemeClr w14:val="tx1"/>
            </w14:solidFill>
          </w14:textFill>
        </w:rPr>
      </w:pPr>
    </w:p>
    <w:p w14:paraId="215F7BE3">
      <w:pPr>
        <w:spacing w:line="360" w:lineRule="auto"/>
        <w:rPr>
          <w:rFonts w:hint="eastAsia" w:ascii="宋体" w:hAnsi="宋体" w:eastAsia="宋体" w:cs="宋体"/>
          <w:color w:val="000000" w:themeColor="text1"/>
          <w:highlight w:val="none"/>
          <w14:textFill>
            <w14:solidFill>
              <w14:schemeClr w14:val="tx1"/>
            </w14:solidFill>
          </w14:textFill>
        </w:rPr>
      </w:pPr>
    </w:p>
    <w:p w14:paraId="5EFC168D">
      <w:pPr>
        <w:spacing w:line="360" w:lineRule="auto"/>
        <w:jc w:val="center"/>
        <w:rPr>
          <w:rFonts w:hint="eastAsia" w:ascii="宋体" w:hAnsi="宋体" w:eastAsia="宋体" w:cs="宋体"/>
          <w:color w:val="000000" w:themeColor="text1"/>
          <w:sz w:val="72"/>
          <w:szCs w:val="144"/>
          <w:highlight w:val="none"/>
          <w14:textFill>
            <w14:solidFill>
              <w14:schemeClr w14:val="tx1"/>
            </w14:solidFill>
          </w14:textFill>
        </w:rPr>
      </w:pPr>
      <w:r>
        <w:rPr>
          <w:rFonts w:hint="eastAsia" w:ascii="宋体" w:hAnsi="宋体" w:eastAsia="宋体" w:cs="宋体"/>
          <w:b/>
          <w:bCs/>
          <w:color w:val="000000" w:themeColor="text1"/>
          <w:sz w:val="72"/>
          <w:szCs w:val="144"/>
          <w:highlight w:val="none"/>
          <w14:textFill>
            <w14:solidFill>
              <w14:schemeClr w14:val="tx1"/>
            </w14:solidFill>
          </w14:textFill>
        </w:rPr>
        <w:t>响 应 文 件</w:t>
      </w:r>
    </w:p>
    <w:p w14:paraId="774D433D">
      <w:pPr>
        <w:spacing w:line="360" w:lineRule="auto"/>
        <w:jc w:val="center"/>
        <w:rPr>
          <w:rFonts w:hint="eastAsia" w:ascii="宋体" w:hAnsi="宋体" w:eastAsia="宋体" w:cs="宋体"/>
          <w:color w:val="000000" w:themeColor="text1"/>
          <w:sz w:val="44"/>
          <w:szCs w:val="52"/>
          <w:highlight w:val="none"/>
          <w14:textFill>
            <w14:solidFill>
              <w14:schemeClr w14:val="tx1"/>
            </w14:solidFill>
          </w14:textFill>
        </w:rPr>
      </w:pPr>
    </w:p>
    <w:p w14:paraId="483A9ECE">
      <w:pPr>
        <w:spacing w:line="360" w:lineRule="auto"/>
        <w:jc w:val="center"/>
        <w:rPr>
          <w:rFonts w:hint="eastAsia" w:ascii="宋体" w:hAnsi="宋体" w:eastAsia="宋体" w:cs="宋体"/>
          <w:color w:val="000000" w:themeColor="text1"/>
          <w:sz w:val="72"/>
          <w:szCs w:val="144"/>
          <w:highlight w:val="none"/>
          <w14:textFill>
            <w14:solidFill>
              <w14:schemeClr w14:val="tx1"/>
            </w14:solidFill>
          </w14:textFill>
        </w:rPr>
      </w:pPr>
    </w:p>
    <w:p w14:paraId="5D5E3478">
      <w:pPr>
        <w:spacing w:line="360" w:lineRule="auto"/>
        <w:jc w:val="center"/>
        <w:rPr>
          <w:rFonts w:hint="eastAsia" w:ascii="宋体" w:hAnsi="宋体" w:eastAsia="宋体" w:cs="宋体"/>
          <w:color w:val="000000" w:themeColor="text1"/>
          <w:sz w:val="72"/>
          <w:szCs w:val="144"/>
          <w:highlight w:val="none"/>
          <w14:textFill>
            <w14:solidFill>
              <w14:schemeClr w14:val="tx1"/>
            </w14:solidFill>
          </w14:textFill>
        </w:rPr>
      </w:pPr>
    </w:p>
    <w:p w14:paraId="223063BF">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410" w:name="_Toc32738"/>
      <w:r>
        <w:rPr>
          <w:rFonts w:hint="eastAsia" w:ascii="宋体" w:hAnsi="宋体" w:eastAsia="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名称：</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（盖章）</w:t>
      </w:r>
      <w:bookmarkEnd w:id="410"/>
    </w:p>
    <w:p w14:paraId="658BDDF7">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411" w:name="_Toc6652"/>
      <w:r>
        <w:rPr>
          <w:rFonts w:hint="eastAsia" w:ascii="宋体" w:hAnsi="宋体" w:eastAsia="宋体" w:cs="宋体"/>
          <w:color w:val="000000" w:themeColor="text1"/>
          <w:sz w:val="28"/>
          <w:szCs w:val="28"/>
          <w:highlight w:val="none"/>
          <w14:textFill>
            <w14:solidFill>
              <w14:schemeClr w14:val="tx1"/>
            </w14:solidFill>
          </w14:textFill>
        </w:rPr>
        <w:t>法定代表人：</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（签字或盖章）</w:t>
      </w:r>
      <w:bookmarkEnd w:id="411"/>
    </w:p>
    <w:p w14:paraId="7B182122">
      <w:pPr>
        <w:spacing w:line="360" w:lineRule="auto"/>
        <w:rPr>
          <w:rFonts w:hint="eastAsia" w:ascii="宋体" w:hAnsi="宋体" w:eastAsia="宋体" w:cs="宋体"/>
          <w:color w:val="000000" w:themeColor="text1"/>
          <w:sz w:val="28"/>
          <w:szCs w:val="28"/>
          <w:highlight w:val="none"/>
          <w:u w:val="single"/>
          <w14:textFill>
            <w14:solidFill>
              <w14:schemeClr w14:val="tx1"/>
            </w14:solidFill>
          </w14:textFill>
        </w:rPr>
      </w:pPr>
      <w:bookmarkStart w:id="412" w:name="_Toc3693"/>
      <w:r>
        <w:rPr>
          <w:rFonts w:hint="eastAsia" w:ascii="宋体" w:hAnsi="宋体" w:eastAsia="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地址：</w:t>
      </w:r>
      <w:bookmarkEnd w:id="412"/>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14:paraId="78878400">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413" w:name="_Toc10765"/>
      <w:r>
        <w:rPr>
          <w:rFonts w:hint="eastAsia" w:ascii="宋体" w:hAnsi="宋体" w:eastAsia="宋体" w:cs="宋体"/>
          <w:color w:val="000000" w:themeColor="text1"/>
          <w:sz w:val="28"/>
          <w:szCs w:val="28"/>
          <w:highlight w:val="none"/>
          <w14:textFill>
            <w14:solidFill>
              <w14:schemeClr w14:val="tx1"/>
            </w14:solidFill>
          </w14:textFill>
        </w:rPr>
        <w:t>联  系  人：</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   联系电话：</w:t>
      </w:r>
      <w:bookmarkEnd w:id="413"/>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14:paraId="4BC42537">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414" w:name="_Toc26817"/>
      <w:r>
        <w:rPr>
          <w:rFonts w:hint="eastAsia" w:ascii="宋体" w:hAnsi="宋体" w:eastAsia="宋体" w:cs="宋体"/>
          <w:color w:val="000000" w:themeColor="text1"/>
          <w:sz w:val="28"/>
          <w:szCs w:val="28"/>
          <w:highlight w:val="none"/>
          <w14:textFill>
            <w14:solidFill>
              <w14:schemeClr w14:val="tx1"/>
            </w14:solidFill>
          </w14:textFill>
        </w:rPr>
        <w:t>年   月    日</w:t>
      </w:r>
      <w:bookmarkEnd w:id="414"/>
    </w:p>
    <w:p w14:paraId="3D6EEB02">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14:paraId="366410DA">
      <w:pP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年</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 月  </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日 </w:t>
      </w:r>
      <w:r>
        <w:rPr>
          <w:rFonts w:hint="eastAsia" w:ascii="宋体" w:hAnsi="宋体" w:eastAsia="宋体" w:cs="宋体"/>
          <w:color w:val="000000" w:themeColor="text1"/>
          <w:highlight w:val="none"/>
          <w14:textFill>
            <w14:solidFill>
              <w14:schemeClr w14:val="tx1"/>
            </w14:solidFill>
          </w14:textFill>
        </w:rPr>
        <w:br w:type="page"/>
      </w:r>
    </w:p>
    <w:p w14:paraId="4C84308F">
      <w:pPr>
        <w:spacing w:line="360" w:lineRule="auto"/>
        <w:jc w:val="center"/>
        <w:rPr>
          <w:rFonts w:hint="eastAsia" w:ascii="宋体" w:hAnsi="宋体" w:eastAsia="宋体" w:cs="宋体"/>
          <w:color w:val="000000" w:themeColor="text1"/>
          <w:highlight w:val="none"/>
          <w14:textFill>
            <w14:solidFill>
              <w14:schemeClr w14:val="tx1"/>
            </w14:solidFill>
          </w14:textFill>
        </w:rPr>
      </w:pPr>
    </w:p>
    <w:p w14:paraId="4884C21F">
      <w:pPr>
        <w:spacing w:line="360" w:lineRule="auto"/>
        <w:jc w:val="center"/>
        <w:rPr>
          <w:rFonts w:hint="eastAsia" w:ascii="宋体" w:hAnsi="宋体" w:eastAsia="宋体" w:cs="宋体"/>
          <w:color w:val="000000" w:themeColor="text1"/>
          <w:highlight w:val="none"/>
          <w14:textFill>
            <w14:solidFill>
              <w14:schemeClr w14:val="tx1"/>
            </w14:solidFill>
          </w14:textFill>
        </w:rPr>
      </w:pPr>
    </w:p>
    <w:p w14:paraId="3CB7828F">
      <w:pP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（响应文件标书封皮）</w:t>
      </w:r>
    </w:p>
    <w:p w14:paraId="35CA86FC">
      <w:pPr>
        <w:spacing w:line="360" w:lineRule="auto"/>
        <w:jc w:val="righ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kern w:val="1"/>
          <w:sz w:val="36"/>
          <w:szCs w:val="36"/>
          <w:highlight w:val="none"/>
          <w14:textFill>
            <w14:solidFill>
              <w14:schemeClr w14:val="tx1"/>
            </w14:solidFill>
          </w14:textFill>
        </w:rPr>
        <w:t>正（副）本</w:t>
      </w:r>
    </w:p>
    <w:p w14:paraId="15258D3A">
      <w:pPr>
        <w:spacing w:line="360" w:lineRule="auto"/>
        <w:rPr>
          <w:rFonts w:hint="eastAsia" w:ascii="宋体" w:hAnsi="宋体" w:eastAsia="宋体" w:cs="宋体"/>
          <w:color w:val="000000" w:themeColor="text1"/>
          <w:highlight w:val="none"/>
          <w14:textFill>
            <w14:solidFill>
              <w14:schemeClr w14:val="tx1"/>
            </w14:solidFill>
          </w14:textFill>
        </w:rPr>
      </w:pPr>
    </w:p>
    <w:p w14:paraId="537AF22E">
      <w:pP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 w:val="52"/>
          <w:szCs w:val="52"/>
          <w:highlight w:val="none"/>
          <w:u w:val="single"/>
          <w14:textFill>
            <w14:solidFill>
              <w14:schemeClr w14:val="tx1"/>
            </w14:solidFill>
          </w14:textFill>
        </w:rPr>
        <w:t xml:space="preserve">****          </w:t>
      </w:r>
      <w:r>
        <w:rPr>
          <w:rFonts w:hint="eastAsia" w:ascii="宋体" w:hAnsi="宋体" w:eastAsia="宋体" w:cs="宋体"/>
          <w:b/>
          <w:bCs/>
          <w:color w:val="000000" w:themeColor="text1"/>
          <w:sz w:val="52"/>
          <w:szCs w:val="52"/>
          <w:highlight w:val="none"/>
          <w14:textFill>
            <w14:solidFill>
              <w14:schemeClr w14:val="tx1"/>
            </w14:solidFill>
          </w14:textFill>
        </w:rPr>
        <w:t>项目</w:t>
      </w:r>
    </w:p>
    <w:p w14:paraId="53F034A7">
      <w:pPr>
        <w:spacing w:line="360" w:lineRule="auto"/>
        <w:jc w:val="center"/>
        <w:rPr>
          <w:rFonts w:hint="eastAsia" w:ascii="宋体" w:hAnsi="宋体" w:eastAsia="宋体" w:cs="宋体"/>
          <w:color w:val="000000" w:themeColor="text1"/>
          <w:sz w:val="24"/>
          <w:szCs w:val="28"/>
          <w:highlight w:val="none"/>
          <w:lang w:eastAsia="zh-CN"/>
          <w14:textFill>
            <w14:solidFill>
              <w14:schemeClr w14:val="tx1"/>
            </w14:solidFill>
          </w14:textFill>
        </w:rPr>
      </w:pPr>
      <w:r>
        <w:rPr>
          <w:rFonts w:hint="eastAsia" w:ascii="宋体" w:hAnsi="宋体" w:eastAsia="宋体" w:cs="宋体"/>
          <w:color w:val="000000" w:themeColor="text1"/>
          <w:sz w:val="24"/>
          <w:szCs w:val="28"/>
          <w:highlight w:val="none"/>
          <w:lang w:eastAsia="zh-CN"/>
          <w14:textFill>
            <w14:solidFill>
              <w14:schemeClr w14:val="tx1"/>
            </w14:solidFill>
          </w14:textFill>
        </w:rPr>
        <w:t>项目编号：</w:t>
      </w:r>
    </w:p>
    <w:p w14:paraId="1037608F">
      <w:pPr>
        <w:spacing w:line="360" w:lineRule="auto"/>
        <w:rPr>
          <w:rFonts w:hint="eastAsia" w:ascii="宋体" w:hAnsi="宋体" w:eastAsia="宋体" w:cs="宋体"/>
          <w:color w:val="000000" w:themeColor="text1"/>
          <w:highlight w:val="none"/>
          <w14:textFill>
            <w14:solidFill>
              <w14:schemeClr w14:val="tx1"/>
            </w14:solidFill>
          </w14:textFill>
        </w:rPr>
      </w:pPr>
    </w:p>
    <w:p w14:paraId="11D2BAB5">
      <w:pPr>
        <w:spacing w:line="360" w:lineRule="auto"/>
        <w:rPr>
          <w:rFonts w:hint="eastAsia" w:ascii="宋体" w:hAnsi="宋体" w:eastAsia="宋体" w:cs="宋体"/>
          <w:color w:val="000000" w:themeColor="text1"/>
          <w:highlight w:val="none"/>
          <w14:textFill>
            <w14:solidFill>
              <w14:schemeClr w14:val="tx1"/>
            </w14:solidFill>
          </w14:textFill>
        </w:rPr>
      </w:pPr>
    </w:p>
    <w:p w14:paraId="73D7A9BD">
      <w:pPr>
        <w:spacing w:line="360" w:lineRule="auto"/>
        <w:rPr>
          <w:rFonts w:hint="eastAsia" w:ascii="宋体" w:hAnsi="宋体" w:eastAsia="宋体" w:cs="宋体"/>
          <w:color w:val="000000" w:themeColor="text1"/>
          <w:highlight w:val="none"/>
          <w14:textFill>
            <w14:solidFill>
              <w14:schemeClr w14:val="tx1"/>
            </w14:solidFill>
          </w14:textFill>
        </w:rPr>
      </w:pPr>
    </w:p>
    <w:p w14:paraId="42B43184">
      <w:pPr>
        <w:spacing w:line="360" w:lineRule="auto"/>
        <w:rPr>
          <w:rFonts w:hint="eastAsia" w:ascii="宋体" w:hAnsi="宋体" w:eastAsia="宋体" w:cs="宋体"/>
          <w:color w:val="000000" w:themeColor="text1"/>
          <w:highlight w:val="none"/>
          <w14:textFill>
            <w14:solidFill>
              <w14:schemeClr w14:val="tx1"/>
            </w14:solidFill>
          </w14:textFill>
        </w:rPr>
      </w:pPr>
    </w:p>
    <w:p w14:paraId="756FF8CA">
      <w:pPr>
        <w:spacing w:line="360" w:lineRule="auto"/>
        <w:rPr>
          <w:rFonts w:hint="eastAsia" w:ascii="宋体" w:hAnsi="宋体" w:eastAsia="宋体" w:cs="宋体"/>
          <w:color w:val="000000" w:themeColor="text1"/>
          <w:highlight w:val="none"/>
          <w14:textFill>
            <w14:solidFill>
              <w14:schemeClr w14:val="tx1"/>
            </w14:solidFill>
          </w14:textFill>
        </w:rPr>
      </w:pPr>
    </w:p>
    <w:p w14:paraId="1AC07FDF">
      <w:pPr>
        <w:spacing w:line="360" w:lineRule="auto"/>
        <w:rPr>
          <w:rFonts w:hint="eastAsia" w:ascii="宋体" w:hAnsi="宋体" w:eastAsia="宋体" w:cs="宋体"/>
          <w:color w:val="000000" w:themeColor="text1"/>
          <w:highlight w:val="none"/>
          <w14:textFill>
            <w14:solidFill>
              <w14:schemeClr w14:val="tx1"/>
            </w14:solidFill>
          </w14:textFill>
        </w:rPr>
      </w:pPr>
    </w:p>
    <w:p w14:paraId="0B7056CE">
      <w:pPr>
        <w:spacing w:line="360" w:lineRule="auto"/>
        <w:rPr>
          <w:rFonts w:hint="eastAsia" w:ascii="宋体" w:hAnsi="宋体" w:eastAsia="宋体" w:cs="宋体"/>
          <w:color w:val="000000" w:themeColor="text1"/>
          <w:highlight w:val="none"/>
          <w14:textFill>
            <w14:solidFill>
              <w14:schemeClr w14:val="tx1"/>
            </w14:solidFill>
          </w14:textFill>
        </w:rPr>
      </w:pPr>
    </w:p>
    <w:p w14:paraId="50F8DE2B">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72"/>
          <w:szCs w:val="144"/>
          <w:highlight w:val="none"/>
          <w14:textFill>
            <w14:solidFill>
              <w14:schemeClr w14:val="tx1"/>
            </w14:solidFill>
          </w14:textFill>
        </w:rPr>
        <w:t>响 应 文 件</w:t>
      </w:r>
    </w:p>
    <w:p w14:paraId="07677239">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14:paraId="23B7EF9C">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14:paraId="7D669EA7">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14:paraId="5AB9CE17">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14:paraId="4D135087">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14:paraId="1AD92A96">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415" w:name="_Toc17052"/>
      <w:r>
        <w:rPr>
          <w:rFonts w:hint="eastAsia" w:ascii="宋体" w:hAnsi="宋体" w:eastAsia="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名称：</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（盖章）</w:t>
      </w:r>
      <w:bookmarkEnd w:id="415"/>
    </w:p>
    <w:p w14:paraId="286011BC">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416" w:name="_Toc21270"/>
      <w:r>
        <w:rPr>
          <w:rFonts w:hint="eastAsia" w:ascii="宋体" w:hAnsi="宋体" w:eastAsia="宋体" w:cs="宋体"/>
          <w:color w:val="000000" w:themeColor="text1"/>
          <w:sz w:val="28"/>
          <w:szCs w:val="28"/>
          <w:highlight w:val="none"/>
          <w14:textFill>
            <w14:solidFill>
              <w14:schemeClr w14:val="tx1"/>
            </w14:solidFill>
          </w14:textFill>
        </w:rPr>
        <w:t>法定代表人：</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（签字或盖章）</w:t>
      </w:r>
      <w:bookmarkEnd w:id="416"/>
    </w:p>
    <w:p w14:paraId="63473DFC">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center"/>
        <w:textAlignment w:val="auto"/>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bookmarkStart w:id="417" w:name="_Toc26551"/>
      <w:r>
        <w:rPr>
          <w:rFonts w:hint="eastAsia" w:ascii="宋体" w:hAnsi="宋体" w:eastAsia="宋体" w:cs="宋体"/>
          <w:color w:val="000000" w:themeColor="text1"/>
          <w:sz w:val="28"/>
          <w:szCs w:val="28"/>
          <w:highlight w:val="none"/>
          <w14:textFill>
            <w14:solidFill>
              <w14:schemeClr w14:val="tx1"/>
            </w14:solidFill>
          </w14:textFill>
        </w:rPr>
        <w:t>年     月     日</w:t>
      </w:r>
      <w:bookmarkEnd w:id="417"/>
      <w:r>
        <w:rPr>
          <w:rFonts w:hint="eastAsia" w:ascii="宋体" w:hAnsi="宋体" w:eastAsia="宋体" w:cs="宋体"/>
          <w:color w:val="000000" w:themeColor="text1"/>
          <w:kern w:val="1"/>
          <w:sz w:val="30"/>
          <w:szCs w:val="30"/>
          <w:highlight w:val="none"/>
          <w14:textFill>
            <w14:solidFill>
              <w14:schemeClr w14:val="tx1"/>
            </w14:solidFill>
          </w14:textFill>
        </w:rPr>
        <w:br w:type="page"/>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目录</w:t>
      </w:r>
    </w:p>
    <w:p w14:paraId="261EF57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（1）报价函</w:t>
      </w:r>
    </w:p>
    <w:p w14:paraId="4E06A93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（2）报价一览表</w:t>
      </w:r>
    </w:p>
    <w:p w14:paraId="727D9C6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（3）商务偏离表</w:t>
      </w:r>
    </w:p>
    <w:p w14:paraId="0DAFCE1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（4）技术偏离表</w:t>
      </w:r>
    </w:p>
    <w:p w14:paraId="6329B30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（5）谈判保证金汇款凭证或保函</w:t>
      </w:r>
    </w:p>
    <w:p w14:paraId="153FEBD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（6）法定代表人身份证明</w:t>
      </w:r>
    </w:p>
    <w:p w14:paraId="56E968E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（7）法定代表人委托书</w:t>
      </w:r>
    </w:p>
    <w:p w14:paraId="1498F98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（8）已标价的工程量清单</w:t>
      </w:r>
    </w:p>
    <w:p w14:paraId="5E4F9A8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（9）</w:t>
      </w:r>
      <w:r>
        <w:rPr>
          <w:rFonts w:hint="eastAsia" w:ascii="宋体" w:hAnsi="宋体" w:eastAsia="宋体" w:cs="宋体"/>
          <w:color w:val="000000" w:themeColor="text1"/>
          <w:sz w:val="28"/>
          <w:szCs w:val="28"/>
          <w:highlight w:val="none"/>
          <w:lang w:val="en-US" w:eastAsia="zh-CN"/>
          <w14:textFill>
            <w14:solidFill>
              <w14:schemeClr w14:val="tx1"/>
            </w14:solidFill>
          </w14:textFill>
        </w:rPr>
        <w:t>、施工组织设计</w:t>
      </w:r>
    </w:p>
    <w:p w14:paraId="7B2601C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（10）</w:t>
      </w:r>
      <w:r>
        <w:rPr>
          <w:rFonts w:hint="eastAsia" w:ascii="宋体" w:hAnsi="宋体" w:eastAsia="宋体" w:cs="宋体"/>
          <w:color w:val="000000" w:themeColor="text1"/>
          <w:sz w:val="28"/>
          <w:szCs w:val="28"/>
          <w:highlight w:val="none"/>
          <w:lang w:val="en-US" w:eastAsia="zh-CN"/>
          <w14:textFill>
            <w14:solidFill>
              <w14:schemeClr w14:val="tx1"/>
            </w14:solidFill>
          </w14:textFill>
        </w:rPr>
        <w:t>、项目管理机构表</w:t>
      </w:r>
    </w:p>
    <w:p w14:paraId="2217316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w:t>
      </w:r>
      <w:r>
        <w:rPr>
          <w:rFonts w:hint="eastAsia" w:ascii="宋体" w:hAnsi="宋体" w:cs="宋体"/>
          <w:color w:val="000000" w:themeColor="text1"/>
          <w:sz w:val="28"/>
          <w:szCs w:val="28"/>
          <w:highlight w:val="none"/>
          <w:lang w:val="en-US" w:eastAsia="zh-CN"/>
          <w14:textFill>
            <w14:solidFill>
              <w14:schemeClr w14:val="tx1"/>
            </w14:solidFill>
          </w14:textFill>
        </w:rPr>
        <w:t>一</w:t>
      </w:r>
      <w:r>
        <w:rPr>
          <w:rFonts w:hint="eastAsia" w:ascii="宋体" w:hAnsi="宋体" w:eastAsia="宋体" w:cs="宋体"/>
          <w:color w:val="000000" w:themeColor="text1"/>
          <w:sz w:val="28"/>
          <w:szCs w:val="28"/>
          <w:highlight w:val="none"/>
          <w:lang w:val="en-US" w:eastAsia="zh-CN"/>
          <w14:textFill>
            <w14:solidFill>
              <w14:schemeClr w14:val="tx1"/>
            </w14:solidFill>
          </w14:textFill>
        </w:rPr>
        <w:t>)项目管理机构组成表</w:t>
      </w:r>
    </w:p>
    <w:p w14:paraId="575A4B4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w:t>
      </w:r>
      <w:r>
        <w:rPr>
          <w:rFonts w:hint="eastAsia" w:ascii="宋体" w:hAnsi="宋体" w:cs="宋体"/>
          <w:color w:val="000000" w:themeColor="text1"/>
          <w:sz w:val="28"/>
          <w:szCs w:val="28"/>
          <w:highlight w:val="none"/>
          <w:lang w:val="en-US" w:eastAsia="zh-CN"/>
          <w14:textFill>
            <w14:solidFill>
              <w14:schemeClr w14:val="tx1"/>
            </w14:solidFill>
          </w14:textFill>
        </w:rPr>
        <w:t>二</w:t>
      </w:r>
      <w:r>
        <w:rPr>
          <w:rFonts w:hint="eastAsia" w:ascii="宋体" w:hAnsi="宋体" w:eastAsia="宋体" w:cs="宋体"/>
          <w:color w:val="000000" w:themeColor="text1"/>
          <w:sz w:val="28"/>
          <w:szCs w:val="28"/>
          <w:highlight w:val="none"/>
          <w:lang w:val="en-US" w:eastAsia="zh-CN"/>
          <w14:textFill>
            <w14:solidFill>
              <w14:schemeClr w14:val="tx1"/>
            </w14:solidFill>
          </w14:textFill>
        </w:rPr>
        <w:t>)主要人员简历表</w:t>
      </w:r>
    </w:p>
    <w:p w14:paraId="1692A1C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（11）</w:t>
      </w:r>
      <w:r>
        <w:rPr>
          <w:rFonts w:hint="eastAsia" w:ascii="宋体" w:hAnsi="宋体" w:eastAsia="宋体" w:cs="宋体"/>
          <w:color w:val="000000" w:themeColor="text1"/>
          <w:sz w:val="28"/>
          <w:szCs w:val="28"/>
          <w:highlight w:val="none"/>
          <w:lang w:val="en-US" w:eastAsia="zh-CN"/>
          <w14:textFill>
            <w14:solidFill>
              <w14:schemeClr w14:val="tx1"/>
            </w14:solidFill>
          </w14:textFill>
        </w:rPr>
        <w:t>、拟分包计划表</w:t>
      </w:r>
    </w:p>
    <w:p w14:paraId="53D72CD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（12）</w:t>
      </w:r>
      <w:r>
        <w:rPr>
          <w:rFonts w:hint="eastAsia" w:ascii="宋体" w:hAnsi="宋体" w:eastAsia="宋体" w:cs="宋体"/>
          <w:color w:val="000000" w:themeColor="text1"/>
          <w:sz w:val="28"/>
          <w:szCs w:val="28"/>
          <w:highlight w:val="none"/>
          <w:lang w:val="en-US" w:eastAsia="zh-CN"/>
          <w14:textFill>
            <w14:solidFill>
              <w14:schemeClr w14:val="tx1"/>
            </w14:solidFill>
          </w14:textFill>
        </w:rPr>
        <w:t>、资格审查资料</w:t>
      </w:r>
    </w:p>
    <w:p w14:paraId="1D88E90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w:t>
      </w:r>
      <w:r>
        <w:rPr>
          <w:rFonts w:hint="eastAsia" w:ascii="宋体" w:hAnsi="宋体" w:cs="宋体"/>
          <w:color w:val="000000" w:themeColor="text1"/>
          <w:sz w:val="28"/>
          <w:szCs w:val="28"/>
          <w:highlight w:val="none"/>
          <w:lang w:val="en-US" w:eastAsia="zh-CN"/>
          <w14:textFill>
            <w14:solidFill>
              <w14:schemeClr w14:val="tx1"/>
            </w14:solidFill>
          </w14:textFill>
        </w:rPr>
        <w:t>一</w:t>
      </w:r>
      <w:r>
        <w:rPr>
          <w:rFonts w:hint="eastAsia" w:ascii="宋体" w:hAnsi="宋体" w:eastAsia="宋体" w:cs="宋体"/>
          <w:color w:val="000000" w:themeColor="text1"/>
          <w:sz w:val="28"/>
          <w:szCs w:val="28"/>
          <w:highlight w:val="none"/>
          <w:lang w:val="en-US" w:eastAsia="zh-CN"/>
          <w14:textFill>
            <w14:solidFill>
              <w14:schemeClr w14:val="tx1"/>
            </w14:solidFill>
          </w14:textFill>
        </w:rPr>
        <w:t>)投标人基本情况表</w:t>
      </w:r>
    </w:p>
    <w:p w14:paraId="40BA61F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w:t>
      </w:r>
      <w:r>
        <w:rPr>
          <w:rFonts w:hint="eastAsia" w:ascii="宋体" w:hAnsi="宋体" w:cs="宋体"/>
          <w:color w:val="000000" w:themeColor="text1"/>
          <w:sz w:val="28"/>
          <w:szCs w:val="28"/>
          <w:highlight w:val="none"/>
          <w:lang w:val="en-US" w:eastAsia="zh-CN"/>
          <w14:textFill>
            <w14:solidFill>
              <w14:schemeClr w14:val="tx1"/>
            </w14:solidFill>
          </w14:textFill>
        </w:rPr>
        <w:t>二</w:t>
      </w:r>
      <w:r>
        <w:rPr>
          <w:rFonts w:hint="eastAsia" w:ascii="宋体" w:hAnsi="宋体" w:eastAsia="宋体" w:cs="宋体"/>
          <w:color w:val="000000" w:themeColor="text1"/>
          <w:sz w:val="28"/>
          <w:szCs w:val="28"/>
          <w:highlight w:val="none"/>
          <w:lang w:val="en-US" w:eastAsia="zh-CN"/>
          <w14:textFill>
            <w14:solidFill>
              <w14:schemeClr w14:val="tx1"/>
            </w14:solidFill>
          </w14:textFill>
        </w:rPr>
        <w:t>)近3年财务状况表</w:t>
      </w:r>
    </w:p>
    <w:p w14:paraId="521EF19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w:t>
      </w:r>
      <w:r>
        <w:rPr>
          <w:rFonts w:hint="eastAsia" w:ascii="宋体" w:hAnsi="宋体" w:cs="宋体"/>
          <w:color w:val="000000" w:themeColor="text1"/>
          <w:sz w:val="28"/>
          <w:szCs w:val="28"/>
          <w:highlight w:val="none"/>
          <w:lang w:val="en-US" w:eastAsia="zh-CN"/>
          <w14:textFill>
            <w14:solidFill>
              <w14:schemeClr w14:val="tx1"/>
            </w14:solidFill>
          </w14:textFill>
        </w:rPr>
        <w:t>三</w:t>
      </w:r>
      <w:r>
        <w:rPr>
          <w:rFonts w:hint="eastAsia" w:ascii="宋体" w:hAnsi="宋体" w:eastAsia="宋体" w:cs="宋体"/>
          <w:color w:val="000000" w:themeColor="text1"/>
          <w:sz w:val="28"/>
          <w:szCs w:val="28"/>
          <w:highlight w:val="none"/>
          <w:lang w:val="en-US" w:eastAsia="zh-CN"/>
          <w14:textFill>
            <w14:solidFill>
              <w14:schemeClr w14:val="tx1"/>
            </w14:solidFill>
          </w14:textFill>
        </w:rPr>
        <w:t>)近3年完成的类似项目情况表</w:t>
      </w:r>
    </w:p>
    <w:p w14:paraId="50AAF3C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w:t>
      </w:r>
      <w:r>
        <w:rPr>
          <w:rFonts w:hint="eastAsia" w:ascii="宋体" w:hAnsi="宋体" w:cs="宋体"/>
          <w:color w:val="000000" w:themeColor="text1"/>
          <w:sz w:val="28"/>
          <w:szCs w:val="28"/>
          <w:highlight w:val="none"/>
          <w:lang w:val="en-US" w:eastAsia="zh-CN"/>
          <w14:textFill>
            <w14:solidFill>
              <w14:schemeClr w14:val="tx1"/>
            </w14:solidFill>
          </w14:textFill>
        </w:rPr>
        <w:t>四</w:t>
      </w:r>
      <w:r>
        <w:rPr>
          <w:rFonts w:hint="eastAsia" w:ascii="宋体" w:hAnsi="宋体" w:eastAsia="宋体" w:cs="宋体"/>
          <w:color w:val="000000" w:themeColor="text1"/>
          <w:sz w:val="28"/>
          <w:szCs w:val="28"/>
          <w:highlight w:val="none"/>
          <w:lang w:val="en-US" w:eastAsia="zh-CN"/>
          <w14:textFill>
            <w14:solidFill>
              <w14:schemeClr w14:val="tx1"/>
            </w14:solidFill>
          </w14:textFill>
        </w:rPr>
        <w:t>)正在施工的和新承接的项目情况表</w:t>
      </w:r>
    </w:p>
    <w:p w14:paraId="6C1C30C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w:t>
      </w:r>
      <w:r>
        <w:rPr>
          <w:rFonts w:hint="eastAsia" w:ascii="宋体" w:hAnsi="宋体" w:cs="宋体"/>
          <w:color w:val="000000" w:themeColor="text1"/>
          <w:sz w:val="28"/>
          <w:szCs w:val="28"/>
          <w:highlight w:val="none"/>
          <w:lang w:val="en-US" w:eastAsia="zh-CN"/>
          <w14:textFill>
            <w14:solidFill>
              <w14:schemeClr w14:val="tx1"/>
            </w14:solidFill>
          </w14:textFill>
        </w:rPr>
        <w:t>五</w:t>
      </w:r>
      <w:r>
        <w:rPr>
          <w:rFonts w:hint="eastAsia" w:ascii="宋体" w:hAnsi="宋体" w:eastAsia="宋体" w:cs="宋体"/>
          <w:color w:val="000000" w:themeColor="text1"/>
          <w:sz w:val="28"/>
          <w:szCs w:val="28"/>
          <w:highlight w:val="none"/>
          <w:lang w:val="en-US" w:eastAsia="zh-CN"/>
          <w14:textFill>
            <w14:solidFill>
              <w14:schemeClr w14:val="tx1"/>
            </w14:solidFill>
          </w14:textFill>
        </w:rPr>
        <w:t>)近3年发生的诉讼和仲裁情况</w:t>
      </w:r>
    </w:p>
    <w:p w14:paraId="2203B9A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（13）</w:t>
      </w:r>
      <w:r>
        <w:rPr>
          <w:rFonts w:hint="eastAsia" w:ascii="宋体" w:hAnsi="宋体" w:eastAsia="宋体" w:cs="宋体"/>
          <w:color w:val="000000" w:themeColor="text1"/>
          <w:sz w:val="28"/>
          <w:szCs w:val="28"/>
          <w:highlight w:val="none"/>
          <w:lang w:val="en-US" w:eastAsia="zh-CN"/>
          <w14:textFill>
            <w14:solidFill>
              <w14:schemeClr w14:val="tx1"/>
            </w14:solidFill>
          </w14:textFill>
        </w:rPr>
        <w:t>、资格审查自审表</w:t>
      </w:r>
    </w:p>
    <w:p w14:paraId="62135BA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（14）</w:t>
      </w:r>
      <w:r>
        <w:rPr>
          <w:rFonts w:hint="eastAsia" w:ascii="宋体" w:hAnsi="宋体" w:eastAsia="宋体" w:cs="宋体"/>
          <w:color w:val="000000" w:themeColor="text1"/>
          <w:sz w:val="28"/>
          <w:szCs w:val="28"/>
          <w:highlight w:val="none"/>
          <w:lang w:val="en-US" w:eastAsia="zh-CN"/>
          <w14:textFill>
            <w14:solidFill>
              <w14:schemeClr w14:val="tx1"/>
            </w14:solidFill>
          </w14:textFill>
        </w:rPr>
        <w:t>、原件的复印件</w:t>
      </w:r>
    </w:p>
    <w:p w14:paraId="17E9A75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（15）</w:t>
      </w:r>
      <w:r>
        <w:rPr>
          <w:rFonts w:hint="eastAsia" w:ascii="宋体" w:hAnsi="宋体" w:eastAsia="宋体" w:cs="宋体"/>
          <w:color w:val="000000" w:themeColor="text1"/>
          <w:sz w:val="28"/>
          <w:szCs w:val="28"/>
          <w:highlight w:val="none"/>
          <w:lang w:val="en-US" w:eastAsia="zh-CN"/>
          <w14:textFill>
            <w14:solidFill>
              <w14:schemeClr w14:val="tx1"/>
            </w14:solidFill>
          </w14:textFill>
        </w:rPr>
        <w:t>、投标文件的其他材料</w:t>
      </w:r>
    </w:p>
    <w:p w14:paraId="6DE222B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73A4BC8E">
      <w:pPr>
        <w:pStyle w:val="21"/>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18DA1378">
      <w:pPr>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3F516846">
      <w:pPr>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5E8EF6E3">
      <w:pPr>
        <w:pStyle w:val="2"/>
        <w:pageBreakBefore w:val="0"/>
        <w:kinsoku/>
        <w:wordWrap/>
        <w:overflowPunct/>
        <w:topLinePunct w:val="0"/>
        <w:autoSpaceDE/>
        <w:autoSpaceDN/>
        <w:bidi w:val="0"/>
        <w:spacing w:before="0" w:after="0" w:line="360" w:lineRule="auto"/>
        <w:jc w:val="center"/>
        <w:textAlignment w:val="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一、报价</w:t>
      </w:r>
      <w:r>
        <w:rPr>
          <w:rFonts w:hint="eastAsia" w:ascii="宋体" w:hAnsi="宋体" w:eastAsia="宋体" w:cs="宋体"/>
          <w:bCs/>
          <w:color w:val="000000" w:themeColor="text1"/>
          <w:sz w:val="28"/>
          <w:szCs w:val="28"/>
          <w:highlight w:val="none"/>
          <w14:textFill>
            <w14:solidFill>
              <w14:schemeClr w14:val="tx1"/>
            </w14:solidFill>
          </w14:textFill>
        </w:rPr>
        <w:t>函</w:t>
      </w:r>
    </w:p>
    <w:p w14:paraId="78DE7B8A">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themeColor="text1"/>
          <w:sz w:val="28"/>
          <w:szCs w:val="28"/>
          <w:highlight w:val="none"/>
          <w14:textFill>
            <w14:solidFill>
              <w14:schemeClr w14:val="tx1"/>
            </w14:solidFill>
          </w14:textFill>
        </w:rPr>
      </w:pPr>
    </w:p>
    <w:p w14:paraId="6755C51C">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致</w:t>
      </w:r>
      <w:r>
        <w:rPr>
          <w:rFonts w:hint="eastAsia" w:ascii="宋体" w:hAnsi="宋体" w:eastAsia="宋体" w:cs="宋体"/>
          <w:color w:val="000000" w:themeColor="text1"/>
          <w:sz w:val="24"/>
          <w:szCs w:val="24"/>
          <w:highlight w:val="none"/>
          <w:u w:val="single"/>
          <w14:textFill>
            <w14:solidFill>
              <w14:schemeClr w14:val="tx1"/>
            </w14:solidFill>
          </w14:textFill>
        </w:rPr>
        <w:t>（采购单位）</w:t>
      </w:r>
      <w:r>
        <w:rPr>
          <w:rFonts w:hint="eastAsia" w:ascii="宋体" w:hAnsi="宋体" w:eastAsia="宋体" w:cs="宋体"/>
          <w:color w:val="000000" w:themeColor="text1"/>
          <w:sz w:val="24"/>
          <w:szCs w:val="24"/>
          <w:highlight w:val="none"/>
          <w14:textFill>
            <w14:solidFill>
              <w14:schemeClr w14:val="tx1"/>
            </w14:solidFill>
          </w14:textFill>
        </w:rPr>
        <w:t>：</w:t>
      </w:r>
    </w:p>
    <w:p w14:paraId="6C9FA114">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收到你们的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none"/>
          <w14:textFill>
            <w14:solidFill>
              <w14:schemeClr w14:val="tx1"/>
            </w14:solidFill>
          </w14:textFill>
        </w:rPr>
        <w:t>号</w:t>
      </w:r>
      <w:r>
        <w:rPr>
          <w:rFonts w:hint="eastAsia" w:ascii="宋体" w:hAnsi="宋体" w:eastAsia="宋体" w:cs="宋体"/>
          <w:color w:val="000000" w:themeColor="text1"/>
          <w:sz w:val="24"/>
          <w:szCs w:val="24"/>
          <w:highlight w:val="none"/>
          <w14:textFill>
            <w14:solidFill>
              <w14:schemeClr w14:val="tx1"/>
            </w14:solidFill>
          </w14:textFill>
        </w:rPr>
        <w:t>文件，经认真研究，我们决定参加谈判并报价。</w:t>
      </w:r>
    </w:p>
    <w:p w14:paraId="446794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按照文件中的一切要求，提供本项目内容的采购、</w:t>
      </w:r>
      <w:r>
        <w:rPr>
          <w:rFonts w:hint="eastAsia" w:ascii="宋体" w:hAnsi="宋体" w:eastAsia="宋体" w:cs="宋体"/>
          <w:bCs/>
          <w:color w:val="000000" w:themeColor="text1"/>
          <w:sz w:val="24"/>
          <w:szCs w:val="24"/>
          <w:highlight w:val="none"/>
          <w14:textFill>
            <w14:solidFill>
              <w14:schemeClr w14:val="tx1"/>
            </w14:solidFill>
          </w14:textFill>
        </w:rPr>
        <w:t>运输、养护、验收及相关服务等</w:t>
      </w:r>
      <w:r>
        <w:rPr>
          <w:rFonts w:hint="eastAsia" w:ascii="宋体" w:hAnsi="宋体" w:eastAsia="宋体" w:cs="宋体"/>
          <w:color w:val="000000" w:themeColor="text1"/>
          <w:sz w:val="24"/>
          <w:szCs w:val="24"/>
          <w:highlight w:val="none"/>
          <w14:textFill>
            <w14:solidFill>
              <w14:schemeClr w14:val="tx1"/>
            </w14:solidFill>
          </w14:textFill>
        </w:rPr>
        <w:t>。总价为￥：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元（用阿拉伯数字书写）人民币，</w:t>
      </w:r>
      <w:r>
        <w:rPr>
          <w:rFonts w:hint="eastAsia" w:ascii="宋体" w:hAnsi="宋体" w:cs="宋体"/>
          <w:color w:val="000000" w:themeColor="text1"/>
          <w:sz w:val="24"/>
          <w:szCs w:val="24"/>
          <w:highlight w:val="none"/>
          <w:lang w:eastAsia="zh-CN"/>
          <w14:textFill>
            <w14:solidFill>
              <w14:schemeClr w14:val="tx1"/>
            </w14:solidFill>
          </w14:textFill>
        </w:rPr>
        <w:t>大写</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明细见投标报价表。</w:t>
      </w:r>
    </w:p>
    <w:p w14:paraId="3C7CFF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如果我们的报价文件被接受，我们将履行文件中规定的每一项义务和要求，按期、按质、按量完成交货。</w:t>
      </w:r>
    </w:p>
    <w:p w14:paraId="184693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我们同意按谈判文件的规定，本报价文件的有效期为开标后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天。</w:t>
      </w:r>
    </w:p>
    <w:p w14:paraId="52D261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我们愿意提供采购人在文件中要求的所有资料。</w:t>
      </w:r>
    </w:p>
    <w:p w14:paraId="5371B5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我们认为你们有选择或拒绝任何投标者中标的权利。我们理解，最低报价不是中标的唯一条件。</w:t>
      </w:r>
    </w:p>
    <w:p w14:paraId="4FC306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我们愿意按合同履行自己的全部责任。</w:t>
      </w:r>
    </w:p>
    <w:p w14:paraId="120BC6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我们愿意遵守国家有关规定的收费标准，承付中标服务费。</w:t>
      </w:r>
    </w:p>
    <w:p w14:paraId="7B1D5F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我们同意按谈判文件规定，缴纳</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元谈判保证金。</w:t>
      </w:r>
    </w:p>
    <w:p w14:paraId="7AD634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我们保证报价文件中的所有证件和内容真实有效，否则我们愿意承担一切法律责任。</w:t>
      </w:r>
    </w:p>
    <w:p w14:paraId="3C3E12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其他说明。</w:t>
      </w:r>
    </w:p>
    <w:p w14:paraId="54B9D3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color w:val="000000" w:themeColor="text1"/>
          <w:sz w:val="24"/>
          <w:szCs w:val="24"/>
          <w:highlight w:val="none"/>
          <w14:textFill>
            <w14:solidFill>
              <w14:schemeClr w14:val="tx1"/>
            </w14:solidFill>
          </w14:textFill>
        </w:rPr>
        <w:t>所有有关本次谈判的函电，请按下列地址联系：</w:t>
      </w:r>
    </w:p>
    <w:p w14:paraId="29BD3B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供应商名称</w:t>
      </w:r>
      <w:r>
        <w:rPr>
          <w:rFonts w:hint="eastAsia" w:ascii="宋体" w:hAnsi="宋体" w:eastAsia="宋体" w:cs="宋体"/>
          <w:color w:val="000000" w:themeColor="text1"/>
          <w:sz w:val="24"/>
          <w:szCs w:val="24"/>
          <w:highlight w:val="none"/>
          <w14:textFill>
            <w14:solidFill>
              <w14:schemeClr w14:val="tx1"/>
            </w14:solidFill>
          </w14:textFill>
        </w:rPr>
        <w:t xml:space="preserve">(盖章) ：                         </w:t>
      </w:r>
    </w:p>
    <w:p w14:paraId="4B6D8D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法定代表人（签字</w:t>
      </w:r>
      <w:r>
        <w:rPr>
          <w:rFonts w:hint="eastAsia" w:ascii="宋体" w:hAnsi="宋体" w:eastAsia="宋体" w:cs="宋体"/>
          <w:color w:val="000000" w:themeColor="text1"/>
          <w:sz w:val="24"/>
          <w:szCs w:val="24"/>
          <w:highlight w:val="none"/>
          <w:lang w:val="en-US" w:eastAsia="zh-CN"/>
          <w14:textFill>
            <w14:solidFill>
              <w14:schemeClr w14:val="tx1"/>
            </w14:solidFill>
          </w14:textFill>
        </w:rPr>
        <w:t>或盖章</w:t>
      </w:r>
      <w:r>
        <w:rPr>
          <w:rFonts w:hint="eastAsia" w:ascii="宋体" w:hAnsi="宋体" w:eastAsia="宋体" w:cs="宋体"/>
          <w:color w:val="000000" w:themeColor="text1"/>
          <w:sz w:val="24"/>
          <w:szCs w:val="24"/>
          <w:highlight w:val="none"/>
          <w14:textFill>
            <w14:solidFill>
              <w14:schemeClr w14:val="tx1"/>
            </w14:solidFill>
          </w14:textFill>
        </w:rPr>
        <w:t>）：</w:t>
      </w:r>
    </w:p>
    <w:p w14:paraId="57879E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w:t>
      </w:r>
    </w:p>
    <w:p w14:paraId="302ED3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电话：</w:t>
      </w:r>
    </w:p>
    <w:p w14:paraId="62363D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传真：</w:t>
      </w:r>
    </w:p>
    <w:p w14:paraId="6A0F50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邮政编码：</w:t>
      </w:r>
    </w:p>
    <w:p w14:paraId="397828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p>
    <w:p w14:paraId="71778414">
      <w:pPr>
        <w:pageBreakBefore w:val="0"/>
        <w:numPr>
          <w:ilvl w:val="0"/>
          <w:numId w:val="0"/>
        </w:numPr>
        <w:kinsoku/>
        <w:wordWrap/>
        <w:overflowPunct/>
        <w:topLinePunct w:val="0"/>
        <w:autoSpaceDE/>
        <w:autoSpaceDN/>
        <w:bidi w:val="0"/>
        <w:spacing w:line="360" w:lineRule="auto"/>
        <w:ind w:left="-360" w:leftChars="0"/>
        <w:jc w:val="righ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p w14:paraId="229DFF94">
      <w:pPr>
        <w:pageBreakBefore w:val="0"/>
        <w:widowControl/>
        <w:kinsoku/>
        <w:wordWrap/>
        <w:overflowPunct/>
        <w:topLinePunct w:val="0"/>
        <w:autoSpaceDE/>
        <w:autoSpaceDN/>
        <w:bidi w:val="0"/>
        <w:ind w:left="0" w:leftChars="0"/>
        <w:jc w:val="center"/>
        <w:textAlignment w:val="auto"/>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br w:type="page"/>
      </w:r>
      <w:r>
        <w:rPr>
          <w:rFonts w:hint="eastAsia" w:ascii="宋体" w:hAnsi="宋体" w:eastAsia="宋体" w:cs="宋体"/>
          <w:b/>
          <w:color w:val="000000" w:themeColor="text1"/>
          <w:sz w:val="28"/>
          <w:szCs w:val="28"/>
          <w:highlight w:val="none"/>
          <w:lang w:val="en-US" w:eastAsia="zh-CN"/>
          <w14:textFill>
            <w14:solidFill>
              <w14:schemeClr w14:val="tx1"/>
            </w14:solidFill>
          </w14:textFill>
        </w:rPr>
        <w:t>二、报价一览表</w:t>
      </w:r>
    </w:p>
    <w:p w14:paraId="45B1D06D">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项目名称</w:t>
      </w:r>
      <w:r>
        <w:rPr>
          <w:rFonts w:hint="eastAsia" w:ascii="宋体" w:hAnsi="宋体" w:eastAsia="宋体" w:cs="宋体"/>
          <w:color w:val="000000" w:themeColor="text1"/>
          <w:sz w:val="24"/>
          <w:szCs w:val="24"/>
          <w:highlight w:val="none"/>
          <w14:textFill>
            <w14:solidFill>
              <w14:schemeClr w14:val="tx1"/>
            </w14:solidFill>
          </w14:textFill>
        </w:rPr>
        <w:t>：</w:t>
      </w:r>
    </w:p>
    <w:p w14:paraId="0DE304BD">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w:t>
      </w:r>
      <w:r>
        <w:rPr>
          <w:rFonts w:hint="eastAsia" w:ascii="宋体" w:hAnsi="宋体" w:eastAsia="宋体" w:cs="宋体"/>
          <w:color w:val="000000" w:themeColor="text1"/>
          <w:sz w:val="24"/>
          <w:szCs w:val="24"/>
          <w:highlight w:val="none"/>
          <w:lang w:val="en-US" w:eastAsia="zh-CN"/>
          <w14:textFill>
            <w14:solidFill>
              <w14:schemeClr w14:val="tx1"/>
            </w14:solidFill>
          </w14:textFill>
        </w:rPr>
        <w:t>编号</w:t>
      </w:r>
      <w:r>
        <w:rPr>
          <w:rFonts w:hint="eastAsia" w:ascii="宋体" w:hAnsi="宋体" w:eastAsia="宋体" w:cs="宋体"/>
          <w:color w:val="000000" w:themeColor="text1"/>
          <w:sz w:val="24"/>
          <w:szCs w:val="24"/>
          <w:highlight w:val="none"/>
          <w14:textFill>
            <w14:solidFill>
              <w14:schemeClr w14:val="tx1"/>
            </w14:solidFill>
          </w14:textFill>
        </w:rPr>
        <w:t xml:space="preserve">：                           </w:t>
      </w:r>
    </w:p>
    <w:tbl>
      <w:tblPr>
        <w:tblStyle w:val="17"/>
        <w:tblW w:w="85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35"/>
        <w:gridCol w:w="3255"/>
        <w:gridCol w:w="1411"/>
        <w:gridCol w:w="1245"/>
        <w:gridCol w:w="1174"/>
      </w:tblGrid>
      <w:tr w14:paraId="0E23F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atLeast"/>
        </w:trPr>
        <w:tc>
          <w:tcPr>
            <w:tcW w:w="1435" w:type="dxa"/>
            <w:noWrap w:val="0"/>
            <w:vAlign w:val="center"/>
          </w:tcPr>
          <w:p w14:paraId="2F2E9171">
            <w:pPr>
              <w:pageBreakBefore w:val="0"/>
              <w:tabs>
                <w:tab w:val="left" w:pos="0"/>
              </w:tabs>
              <w:kinsoku/>
              <w:wordWrap/>
              <w:overflowPunct/>
              <w:topLinePunct w:val="0"/>
              <w:autoSpaceDE/>
              <w:autoSpaceDN/>
              <w:bidi w:val="0"/>
              <w:spacing w:line="24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p>
        </w:tc>
        <w:tc>
          <w:tcPr>
            <w:tcW w:w="3255" w:type="dxa"/>
            <w:noWrap w:val="0"/>
            <w:vAlign w:val="center"/>
          </w:tcPr>
          <w:p w14:paraId="616C94CA">
            <w:pPr>
              <w:pageBreakBefore w:val="0"/>
              <w:tabs>
                <w:tab w:val="left" w:pos="0"/>
              </w:tabs>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建设规模</w:t>
            </w:r>
          </w:p>
        </w:tc>
        <w:tc>
          <w:tcPr>
            <w:tcW w:w="1411" w:type="dxa"/>
            <w:noWrap w:val="0"/>
            <w:vAlign w:val="center"/>
          </w:tcPr>
          <w:p w14:paraId="174160ED">
            <w:pPr>
              <w:pageBreakBefore w:val="0"/>
              <w:tabs>
                <w:tab w:val="left" w:pos="0"/>
              </w:tabs>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总价（元）</w:t>
            </w:r>
          </w:p>
        </w:tc>
        <w:tc>
          <w:tcPr>
            <w:tcW w:w="1245" w:type="dxa"/>
            <w:noWrap w:val="0"/>
            <w:vAlign w:val="center"/>
          </w:tcPr>
          <w:p w14:paraId="6DB7B594">
            <w:pPr>
              <w:pageBreakBefore w:val="0"/>
              <w:tabs>
                <w:tab w:val="left" w:pos="0"/>
              </w:tabs>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计划工期</w:t>
            </w:r>
          </w:p>
        </w:tc>
        <w:tc>
          <w:tcPr>
            <w:tcW w:w="1174" w:type="dxa"/>
            <w:noWrap w:val="0"/>
            <w:vAlign w:val="center"/>
          </w:tcPr>
          <w:p w14:paraId="55E11C6D">
            <w:pPr>
              <w:pageBreakBefore w:val="0"/>
              <w:tabs>
                <w:tab w:val="left" w:pos="0"/>
              </w:tabs>
              <w:kinsoku/>
              <w:wordWrap/>
              <w:overflowPunct/>
              <w:topLinePunct w:val="0"/>
              <w:autoSpaceDE/>
              <w:autoSpaceDN/>
              <w:bidi w:val="0"/>
              <w:spacing w:line="240" w:lineRule="auto"/>
              <w:ind w:left="0" w:leftChars="0"/>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备注</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14:paraId="09BC4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6" w:hRule="atLeast"/>
        </w:trPr>
        <w:tc>
          <w:tcPr>
            <w:tcW w:w="1435" w:type="dxa"/>
            <w:noWrap w:val="0"/>
            <w:vAlign w:val="center"/>
          </w:tcPr>
          <w:p w14:paraId="1B5F9EE6">
            <w:pPr>
              <w:pageBreakBefore w:val="0"/>
              <w:kinsoku/>
              <w:wordWrap/>
              <w:overflowPunct/>
              <w:topLinePunct w:val="0"/>
              <w:autoSpaceDE/>
              <w:autoSpaceDN/>
              <w:bidi w:val="0"/>
              <w:spacing w:line="24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3255" w:type="dxa"/>
            <w:noWrap w:val="0"/>
            <w:vAlign w:val="center"/>
          </w:tcPr>
          <w:p w14:paraId="76A0F577">
            <w:pPr>
              <w:pageBreakBefore w:val="0"/>
              <w:kinsoku/>
              <w:wordWrap/>
              <w:overflowPunct/>
              <w:topLinePunct w:val="0"/>
              <w:autoSpaceDE/>
              <w:autoSpaceDN/>
              <w:bidi w:val="0"/>
              <w:spacing w:line="24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411" w:type="dxa"/>
            <w:noWrap w:val="0"/>
            <w:vAlign w:val="center"/>
          </w:tcPr>
          <w:p w14:paraId="0B958D03">
            <w:pPr>
              <w:pageBreakBefore w:val="0"/>
              <w:kinsoku/>
              <w:wordWrap/>
              <w:overflowPunct/>
              <w:topLinePunct w:val="0"/>
              <w:autoSpaceDE/>
              <w:autoSpaceDN/>
              <w:bidi w:val="0"/>
              <w:spacing w:line="24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45" w:type="dxa"/>
            <w:noWrap w:val="0"/>
            <w:vAlign w:val="center"/>
          </w:tcPr>
          <w:p w14:paraId="15A02674">
            <w:pPr>
              <w:pageBreakBefore w:val="0"/>
              <w:kinsoku/>
              <w:wordWrap/>
              <w:overflowPunct/>
              <w:topLinePunct w:val="0"/>
              <w:autoSpaceDE/>
              <w:autoSpaceDN/>
              <w:bidi w:val="0"/>
              <w:spacing w:line="24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174" w:type="dxa"/>
            <w:noWrap w:val="0"/>
            <w:vAlign w:val="center"/>
          </w:tcPr>
          <w:p w14:paraId="77B752BC">
            <w:pPr>
              <w:pageBreakBefore w:val="0"/>
              <w:kinsoku/>
              <w:wordWrap/>
              <w:overflowPunct/>
              <w:topLinePunct w:val="0"/>
              <w:autoSpaceDE/>
              <w:autoSpaceDN/>
              <w:bidi w:val="0"/>
              <w:spacing w:line="24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57E5D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1435" w:type="dxa"/>
            <w:noWrap w:val="0"/>
            <w:vAlign w:val="center"/>
          </w:tcPr>
          <w:p w14:paraId="2E1A599C">
            <w:pPr>
              <w:pageBreakBefore w:val="0"/>
              <w:tabs>
                <w:tab w:val="left" w:pos="0"/>
              </w:tabs>
              <w:kinsoku/>
              <w:wordWrap/>
              <w:overflowPunct/>
              <w:topLinePunct w:val="0"/>
              <w:autoSpaceDE/>
              <w:autoSpaceDN/>
              <w:bidi w:val="0"/>
              <w:spacing w:line="240" w:lineRule="auto"/>
              <w:ind w:left="0" w:leftChars="0" w:firstLine="120" w:firstLineChars="5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总价：</w:t>
            </w:r>
          </w:p>
        </w:tc>
        <w:tc>
          <w:tcPr>
            <w:tcW w:w="7085" w:type="dxa"/>
            <w:gridSpan w:val="4"/>
            <w:noWrap w:val="0"/>
            <w:vAlign w:val="center"/>
          </w:tcPr>
          <w:p w14:paraId="6E2BA54F">
            <w:pPr>
              <w:pageBreakBefore w:val="0"/>
              <w:tabs>
                <w:tab w:val="left" w:pos="0"/>
              </w:tabs>
              <w:kinsoku/>
              <w:wordWrap/>
              <w:overflowPunct/>
              <w:topLinePunct w:val="0"/>
              <w:autoSpaceDE/>
              <w:autoSpaceDN/>
              <w:bidi w:val="0"/>
              <w:spacing w:line="24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r>
      <w:tr w14:paraId="62920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435" w:type="dxa"/>
            <w:noWrap w:val="0"/>
            <w:vAlign w:val="center"/>
          </w:tcPr>
          <w:p w14:paraId="220AAB71">
            <w:pPr>
              <w:pageBreakBefore w:val="0"/>
              <w:tabs>
                <w:tab w:val="left" w:pos="0"/>
              </w:tabs>
              <w:kinsoku/>
              <w:wordWrap/>
              <w:overflowPunct/>
              <w:topLinePunct w:val="0"/>
              <w:autoSpaceDE/>
              <w:autoSpaceDN/>
              <w:bidi w:val="0"/>
              <w:spacing w:line="240" w:lineRule="auto"/>
              <w:ind w:left="0" w:leftChars="0" w:firstLine="240" w:firstLineChars="10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大写：</w:t>
            </w:r>
          </w:p>
        </w:tc>
        <w:tc>
          <w:tcPr>
            <w:tcW w:w="7085" w:type="dxa"/>
            <w:gridSpan w:val="4"/>
            <w:noWrap w:val="0"/>
            <w:vAlign w:val="center"/>
          </w:tcPr>
          <w:p w14:paraId="6BA1FD1F">
            <w:pPr>
              <w:pageBreakBefore w:val="0"/>
              <w:tabs>
                <w:tab w:val="left" w:pos="0"/>
              </w:tabs>
              <w:kinsoku/>
              <w:wordWrap/>
              <w:overflowPunct/>
              <w:topLinePunct w:val="0"/>
              <w:autoSpaceDE/>
              <w:autoSpaceDN/>
              <w:bidi w:val="0"/>
              <w:spacing w:line="24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bl>
    <w:p w14:paraId="6A03E07C">
      <w:pPr>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6E81DA01">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注：1.此表应按“报价人须知”的规定，按文件提供的范围填报投标一览表。</w:t>
      </w:r>
    </w:p>
    <w:p w14:paraId="7FED3913">
      <w:pPr>
        <w:pageBreakBefore w:val="0"/>
        <w:kinsoku/>
        <w:wordWrap/>
        <w:overflowPunct/>
        <w:topLinePunct w:val="0"/>
        <w:autoSpaceDE/>
        <w:autoSpaceDN/>
        <w:bidi w:val="0"/>
        <w:spacing w:line="360" w:lineRule="auto"/>
        <w:ind w:left="0" w:leftChars="0"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2.投标一览表中投标总报价大小应写一致，如不一致以大写为准。</w:t>
      </w:r>
    </w:p>
    <w:p w14:paraId="3DDB7157">
      <w:pPr>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3.后附报价清单。</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3D14FCB7">
      <w:pPr>
        <w:pageBreakBefore w:val="0"/>
        <w:kinsoku/>
        <w:wordWrap/>
        <w:overflowPunct/>
        <w:topLinePunct w:val="0"/>
        <w:autoSpaceDE/>
        <w:autoSpaceDN/>
        <w:bidi w:val="0"/>
        <w:spacing w:line="360" w:lineRule="auto"/>
        <w:ind w:left="0" w:leftChars="0" w:firstLine="4560" w:firstLineChars="19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供应商名称</w:t>
      </w:r>
      <w:r>
        <w:rPr>
          <w:rFonts w:hint="eastAsia" w:ascii="宋体" w:hAnsi="宋体" w:eastAsia="宋体" w:cs="宋体"/>
          <w:color w:val="000000" w:themeColor="text1"/>
          <w:sz w:val="24"/>
          <w:szCs w:val="24"/>
          <w:highlight w:val="none"/>
          <w14:textFill>
            <w14:solidFill>
              <w14:schemeClr w14:val="tx1"/>
            </w14:solidFill>
          </w14:textFill>
        </w:rPr>
        <w:t>：</w:t>
      </w:r>
    </w:p>
    <w:p w14:paraId="28FB9784">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48B3D9E6">
      <w:pPr>
        <w:pageBreakBefore w:val="0"/>
        <w:kinsoku/>
        <w:wordWrap/>
        <w:overflowPunct/>
        <w:topLinePunct w:val="0"/>
        <w:autoSpaceDE/>
        <w:autoSpaceDN/>
        <w:bidi w:val="0"/>
        <w:spacing w:line="360" w:lineRule="auto"/>
        <w:ind w:left="0" w:leftChars="0" w:firstLine="3360" w:firstLineChars="14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法定代表人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（签字</w:t>
      </w:r>
      <w:r>
        <w:rPr>
          <w:rFonts w:hint="eastAsia" w:ascii="宋体" w:hAnsi="宋体" w:eastAsia="宋体" w:cs="宋体"/>
          <w:color w:val="000000" w:themeColor="text1"/>
          <w:sz w:val="24"/>
          <w:szCs w:val="24"/>
          <w:highlight w:val="none"/>
          <w:lang w:val="en-US" w:eastAsia="zh-CN"/>
          <w14:textFill>
            <w14:solidFill>
              <w14:schemeClr w14:val="tx1"/>
            </w14:solidFill>
          </w14:textFill>
        </w:rPr>
        <w:t>或盖章</w:t>
      </w:r>
      <w:r>
        <w:rPr>
          <w:rFonts w:hint="eastAsia" w:ascii="宋体" w:hAnsi="宋体" w:eastAsia="宋体" w:cs="宋体"/>
          <w:color w:val="000000" w:themeColor="text1"/>
          <w:sz w:val="24"/>
          <w:szCs w:val="24"/>
          <w:highlight w:val="none"/>
          <w14:textFill>
            <w14:solidFill>
              <w14:schemeClr w14:val="tx1"/>
            </w14:solidFill>
          </w14:textFill>
        </w:rPr>
        <w:t>）</w:t>
      </w:r>
    </w:p>
    <w:p w14:paraId="40D924B2">
      <w:pPr>
        <w:pageBreakBefore w:val="0"/>
        <w:kinsoku/>
        <w:wordWrap/>
        <w:overflowPunct/>
        <w:topLinePunct w:val="0"/>
        <w:autoSpaceDE/>
        <w:autoSpaceDN/>
        <w:bidi w:val="0"/>
        <w:spacing w:line="360" w:lineRule="auto"/>
        <w:ind w:left="0" w:leftChars="0"/>
        <w:jc w:val="righ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2DCD0EA6">
      <w:pPr>
        <w:pageBreakBefore w:val="0"/>
        <w:kinsoku/>
        <w:wordWrap/>
        <w:overflowPunct/>
        <w:topLinePunct w:val="0"/>
        <w:autoSpaceDE/>
        <w:autoSpaceDN/>
        <w:bidi w:val="0"/>
        <w:spacing w:line="360" w:lineRule="auto"/>
        <w:ind w:left="0" w:leftChars="0"/>
        <w:jc w:val="righ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p w14:paraId="43CE464B">
      <w:pPr>
        <w:pageBreakBefore w:val="0"/>
        <w:kinsoku/>
        <w:wordWrap/>
        <w:overflowPunct/>
        <w:topLinePunct w:val="0"/>
        <w:autoSpaceDE/>
        <w:autoSpaceDN/>
        <w:bidi w:val="0"/>
        <w:ind w:left="0" w:leftChars="0"/>
        <w:jc w:val="center"/>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bookmarkStart w:id="418" w:name="_Toc13754"/>
      <w:bookmarkStart w:id="419" w:name="_Toc11818"/>
      <w:bookmarkStart w:id="420" w:name="_Toc8285"/>
      <w:bookmarkStart w:id="421" w:name="_Toc5822"/>
      <w:bookmarkStart w:id="422" w:name="_Toc22810"/>
      <w:bookmarkStart w:id="423" w:name="_Toc8617"/>
      <w:bookmarkStart w:id="424" w:name="_Toc16919"/>
      <w:bookmarkStart w:id="425" w:name="_Toc12616"/>
    </w:p>
    <w:p w14:paraId="48BB850F">
      <w:pPr>
        <w:pageBreakBefore w:val="0"/>
        <w:kinsoku/>
        <w:wordWrap/>
        <w:overflowPunct/>
        <w:topLinePunct w:val="0"/>
        <w:autoSpaceDE/>
        <w:autoSpaceDN/>
        <w:bidi w:val="0"/>
        <w:ind w:left="0" w:leftChars="0"/>
        <w:jc w:val="center"/>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334C8284">
      <w:pPr>
        <w:pageBreakBefore w:val="0"/>
        <w:kinsoku/>
        <w:wordWrap/>
        <w:overflowPunct/>
        <w:topLinePunct w:val="0"/>
        <w:autoSpaceDE/>
        <w:autoSpaceDN/>
        <w:bidi w:val="0"/>
        <w:ind w:left="0" w:leftChars="0"/>
        <w:jc w:val="center"/>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3D1C2096">
      <w:pPr>
        <w:pageBreakBefore w:val="0"/>
        <w:kinsoku/>
        <w:wordWrap/>
        <w:overflowPunct/>
        <w:topLinePunct w:val="0"/>
        <w:autoSpaceDE/>
        <w:autoSpaceDN/>
        <w:bidi w:val="0"/>
        <w:ind w:left="0" w:leftChars="0"/>
        <w:jc w:val="center"/>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5C53514B">
      <w:pPr>
        <w:pageBreakBefore w:val="0"/>
        <w:kinsoku/>
        <w:wordWrap/>
        <w:overflowPunct/>
        <w:topLinePunct w:val="0"/>
        <w:autoSpaceDE/>
        <w:autoSpaceDN/>
        <w:bidi w:val="0"/>
        <w:ind w:left="0" w:leftChars="0"/>
        <w:jc w:val="center"/>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0B062C2A">
      <w:pPr>
        <w:pageBreakBefore w:val="0"/>
        <w:kinsoku/>
        <w:wordWrap/>
        <w:overflowPunct/>
        <w:topLinePunct w:val="0"/>
        <w:autoSpaceDE/>
        <w:autoSpaceDN/>
        <w:bidi w:val="0"/>
        <w:ind w:left="0" w:leftChars="0"/>
        <w:jc w:val="center"/>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36844869">
      <w:pPr>
        <w:pageBreakBefore w:val="0"/>
        <w:kinsoku/>
        <w:wordWrap/>
        <w:overflowPunct/>
        <w:topLinePunct w:val="0"/>
        <w:autoSpaceDE/>
        <w:autoSpaceDN/>
        <w:bidi w:val="0"/>
        <w:ind w:left="0" w:leftChars="0"/>
        <w:jc w:val="center"/>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15D60077">
      <w:pPr>
        <w:pageBreakBefore w:val="0"/>
        <w:kinsoku/>
        <w:wordWrap/>
        <w:overflowPunct/>
        <w:topLinePunct w:val="0"/>
        <w:autoSpaceDE/>
        <w:autoSpaceDN/>
        <w:bidi w:val="0"/>
        <w:ind w:left="0" w:leftChars="0"/>
        <w:jc w:val="center"/>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4DDBAB6F">
      <w:pPr>
        <w:pageBreakBefore w:val="0"/>
        <w:kinsoku/>
        <w:wordWrap/>
        <w:overflowPunct/>
        <w:topLinePunct w:val="0"/>
        <w:autoSpaceDE/>
        <w:autoSpaceDN/>
        <w:bidi w:val="0"/>
        <w:ind w:left="0" w:leftChars="0"/>
        <w:jc w:val="center"/>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3F7B6999">
      <w:pPr>
        <w:pageBreakBefore w:val="0"/>
        <w:kinsoku/>
        <w:wordWrap/>
        <w:overflowPunct/>
        <w:topLinePunct w:val="0"/>
        <w:autoSpaceDE/>
        <w:autoSpaceDN/>
        <w:bidi w:val="0"/>
        <w:ind w:left="0" w:leftChars="0"/>
        <w:jc w:val="center"/>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三、</w:t>
      </w:r>
      <w:r>
        <w:rPr>
          <w:rFonts w:hint="eastAsia" w:ascii="宋体" w:hAnsi="宋体" w:eastAsia="宋体" w:cs="宋体"/>
          <w:b/>
          <w:bCs/>
          <w:color w:val="000000" w:themeColor="text1"/>
          <w:sz w:val="28"/>
          <w:szCs w:val="28"/>
          <w:highlight w:val="none"/>
          <w14:textFill>
            <w14:solidFill>
              <w14:schemeClr w14:val="tx1"/>
            </w14:solidFill>
          </w14:textFill>
        </w:rPr>
        <w:t>商务条款偏离表</w:t>
      </w:r>
      <w:bookmarkEnd w:id="418"/>
      <w:bookmarkEnd w:id="419"/>
    </w:p>
    <w:p w14:paraId="1965EA07">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项目名称</w:t>
      </w:r>
      <w:r>
        <w:rPr>
          <w:rFonts w:hint="eastAsia" w:ascii="宋体" w:hAnsi="宋体" w:eastAsia="宋体" w:cs="宋体"/>
          <w:color w:val="000000" w:themeColor="text1"/>
          <w:sz w:val="24"/>
          <w:szCs w:val="24"/>
          <w:highlight w:val="none"/>
          <w14:textFill>
            <w14:solidFill>
              <w14:schemeClr w14:val="tx1"/>
            </w14:solidFill>
          </w14:textFill>
        </w:rPr>
        <w:t>：</w:t>
      </w:r>
    </w:p>
    <w:p w14:paraId="3603ED86">
      <w:pPr>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w:t>
      </w:r>
      <w:r>
        <w:rPr>
          <w:rFonts w:hint="eastAsia" w:ascii="宋体" w:hAnsi="宋体" w:eastAsia="宋体" w:cs="宋体"/>
          <w:color w:val="000000" w:themeColor="text1"/>
          <w:sz w:val="24"/>
          <w:szCs w:val="24"/>
          <w:highlight w:val="none"/>
          <w:lang w:val="en-US" w:eastAsia="zh-CN"/>
          <w14:textFill>
            <w14:solidFill>
              <w14:schemeClr w14:val="tx1"/>
            </w14:solidFill>
          </w14:textFill>
        </w:rPr>
        <w:t>编号</w:t>
      </w:r>
      <w:r>
        <w:rPr>
          <w:rFonts w:hint="eastAsia" w:ascii="宋体" w:hAnsi="宋体" w:eastAsia="宋体" w:cs="宋体"/>
          <w:color w:val="000000" w:themeColor="text1"/>
          <w:sz w:val="24"/>
          <w:szCs w:val="24"/>
          <w:highlight w:val="none"/>
          <w14:textFill>
            <w14:solidFill>
              <w14:schemeClr w14:val="tx1"/>
            </w14:solidFill>
          </w14:textFill>
        </w:rPr>
        <w:t>：</w:t>
      </w:r>
    </w:p>
    <w:tbl>
      <w:tblPr>
        <w:tblStyle w:val="17"/>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05"/>
        <w:gridCol w:w="2177"/>
        <w:gridCol w:w="2215"/>
        <w:gridCol w:w="1706"/>
      </w:tblGrid>
      <w:tr w14:paraId="7163D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noWrap w:val="0"/>
            <w:vAlign w:val="center"/>
          </w:tcPr>
          <w:p w14:paraId="76F33D7A">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1705" w:type="dxa"/>
            <w:noWrap w:val="0"/>
            <w:vAlign w:val="center"/>
          </w:tcPr>
          <w:p w14:paraId="6386A729">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文件</w:t>
            </w:r>
          </w:p>
          <w:p w14:paraId="44434CC9">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条目号</w:t>
            </w:r>
          </w:p>
        </w:tc>
        <w:tc>
          <w:tcPr>
            <w:tcW w:w="2177" w:type="dxa"/>
            <w:noWrap w:val="0"/>
            <w:vAlign w:val="center"/>
          </w:tcPr>
          <w:p w14:paraId="39F5B112">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文件的</w:t>
            </w:r>
          </w:p>
          <w:p w14:paraId="7C564E1B">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商务条款</w:t>
            </w:r>
          </w:p>
        </w:tc>
        <w:tc>
          <w:tcPr>
            <w:tcW w:w="2215" w:type="dxa"/>
            <w:noWrap w:val="0"/>
            <w:vAlign w:val="center"/>
          </w:tcPr>
          <w:p w14:paraId="3B3DFB97">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报价文件的</w:t>
            </w:r>
          </w:p>
          <w:p w14:paraId="75FC5074">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商务条款</w:t>
            </w:r>
          </w:p>
        </w:tc>
        <w:tc>
          <w:tcPr>
            <w:tcW w:w="1706" w:type="dxa"/>
            <w:noWrap w:val="0"/>
            <w:vAlign w:val="center"/>
          </w:tcPr>
          <w:p w14:paraId="7F342316">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说明</w:t>
            </w:r>
          </w:p>
        </w:tc>
      </w:tr>
      <w:tr w14:paraId="2F0D7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noWrap w:val="0"/>
            <w:vAlign w:val="center"/>
          </w:tcPr>
          <w:p w14:paraId="65A18C7C">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705" w:type="dxa"/>
            <w:noWrap w:val="0"/>
            <w:vAlign w:val="center"/>
          </w:tcPr>
          <w:p w14:paraId="109452D1">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177" w:type="dxa"/>
            <w:noWrap w:val="0"/>
            <w:vAlign w:val="center"/>
          </w:tcPr>
          <w:p w14:paraId="0DC30D27">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215" w:type="dxa"/>
            <w:noWrap w:val="0"/>
            <w:vAlign w:val="center"/>
          </w:tcPr>
          <w:p w14:paraId="2A5556C8">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706" w:type="dxa"/>
            <w:noWrap w:val="0"/>
            <w:vAlign w:val="center"/>
          </w:tcPr>
          <w:p w14:paraId="2E778E5F">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31B48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noWrap w:val="0"/>
            <w:vAlign w:val="center"/>
          </w:tcPr>
          <w:p w14:paraId="06EEB507">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1705" w:type="dxa"/>
            <w:noWrap w:val="0"/>
            <w:vAlign w:val="center"/>
          </w:tcPr>
          <w:p w14:paraId="32560235">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177" w:type="dxa"/>
            <w:noWrap w:val="0"/>
            <w:vAlign w:val="center"/>
          </w:tcPr>
          <w:p w14:paraId="04E5DAED">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215" w:type="dxa"/>
            <w:noWrap w:val="0"/>
            <w:vAlign w:val="center"/>
          </w:tcPr>
          <w:p w14:paraId="0651654C">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706" w:type="dxa"/>
            <w:noWrap w:val="0"/>
            <w:vAlign w:val="center"/>
          </w:tcPr>
          <w:p w14:paraId="61F3DB39">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1419C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noWrap w:val="0"/>
            <w:vAlign w:val="center"/>
          </w:tcPr>
          <w:p w14:paraId="36FBC971">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1705" w:type="dxa"/>
            <w:noWrap w:val="0"/>
            <w:vAlign w:val="center"/>
          </w:tcPr>
          <w:p w14:paraId="6D6C8CC5">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177" w:type="dxa"/>
            <w:noWrap w:val="0"/>
            <w:vAlign w:val="center"/>
          </w:tcPr>
          <w:p w14:paraId="504A10F8">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215" w:type="dxa"/>
            <w:noWrap w:val="0"/>
            <w:vAlign w:val="center"/>
          </w:tcPr>
          <w:p w14:paraId="3ABAC4B5">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706" w:type="dxa"/>
            <w:noWrap w:val="0"/>
            <w:vAlign w:val="center"/>
          </w:tcPr>
          <w:p w14:paraId="231D09B1">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5FB4D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noWrap w:val="0"/>
            <w:vAlign w:val="center"/>
          </w:tcPr>
          <w:p w14:paraId="714E8CBB">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1705" w:type="dxa"/>
            <w:noWrap w:val="0"/>
            <w:vAlign w:val="center"/>
          </w:tcPr>
          <w:p w14:paraId="67973642">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177" w:type="dxa"/>
            <w:noWrap w:val="0"/>
            <w:vAlign w:val="center"/>
          </w:tcPr>
          <w:p w14:paraId="551CF7AC">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215" w:type="dxa"/>
            <w:noWrap w:val="0"/>
            <w:vAlign w:val="center"/>
          </w:tcPr>
          <w:p w14:paraId="4E63CCE1">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706" w:type="dxa"/>
            <w:noWrap w:val="0"/>
            <w:vAlign w:val="center"/>
          </w:tcPr>
          <w:p w14:paraId="1844900C">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4581B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noWrap w:val="0"/>
            <w:vAlign w:val="center"/>
          </w:tcPr>
          <w:p w14:paraId="102E2463">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705" w:type="dxa"/>
            <w:noWrap w:val="0"/>
            <w:vAlign w:val="center"/>
          </w:tcPr>
          <w:p w14:paraId="28725C95">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177" w:type="dxa"/>
            <w:noWrap w:val="0"/>
            <w:vAlign w:val="center"/>
          </w:tcPr>
          <w:p w14:paraId="7B43C73B">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215" w:type="dxa"/>
            <w:noWrap w:val="0"/>
            <w:vAlign w:val="center"/>
          </w:tcPr>
          <w:p w14:paraId="5FEC41B7">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706" w:type="dxa"/>
            <w:noWrap w:val="0"/>
            <w:vAlign w:val="center"/>
          </w:tcPr>
          <w:p w14:paraId="3EBA090F">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77AD8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noWrap w:val="0"/>
            <w:vAlign w:val="center"/>
          </w:tcPr>
          <w:p w14:paraId="232B0411">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705" w:type="dxa"/>
            <w:noWrap w:val="0"/>
            <w:vAlign w:val="center"/>
          </w:tcPr>
          <w:p w14:paraId="5F240A18">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177" w:type="dxa"/>
            <w:noWrap w:val="0"/>
            <w:vAlign w:val="center"/>
          </w:tcPr>
          <w:p w14:paraId="29CB4F9D">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215" w:type="dxa"/>
            <w:noWrap w:val="0"/>
            <w:vAlign w:val="center"/>
          </w:tcPr>
          <w:p w14:paraId="5C6B8054">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706" w:type="dxa"/>
            <w:noWrap w:val="0"/>
            <w:vAlign w:val="center"/>
          </w:tcPr>
          <w:p w14:paraId="792022C0">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1385F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noWrap w:val="0"/>
            <w:vAlign w:val="center"/>
          </w:tcPr>
          <w:p w14:paraId="3F1C0B56">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705" w:type="dxa"/>
            <w:noWrap w:val="0"/>
            <w:vAlign w:val="center"/>
          </w:tcPr>
          <w:p w14:paraId="6B380B19">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177" w:type="dxa"/>
            <w:noWrap w:val="0"/>
            <w:vAlign w:val="center"/>
          </w:tcPr>
          <w:p w14:paraId="6C51EA2E">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215" w:type="dxa"/>
            <w:noWrap w:val="0"/>
            <w:vAlign w:val="center"/>
          </w:tcPr>
          <w:p w14:paraId="04055E93">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706" w:type="dxa"/>
            <w:noWrap w:val="0"/>
            <w:vAlign w:val="center"/>
          </w:tcPr>
          <w:p w14:paraId="43612B6C">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bl>
    <w:p w14:paraId="41973AB3">
      <w:pPr>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48FEDFA0">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注</w:t>
      </w:r>
      <w:r>
        <w:rPr>
          <w:rFonts w:hint="eastAsia" w:ascii="宋体" w:hAnsi="宋体" w:eastAsia="宋体" w:cs="宋体"/>
          <w:color w:val="000000" w:themeColor="text1"/>
          <w:sz w:val="24"/>
          <w:szCs w:val="24"/>
          <w:highlight w:val="none"/>
          <w14:textFill>
            <w14:solidFill>
              <w14:schemeClr w14:val="tx1"/>
            </w14:solidFill>
          </w14:textFill>
        </w:rPr>
        <w:t>：1、应与文件要求逐条对应填写。</w:t>
      </w:r>
    </w:p>
    <w:p w14:paraId="42DD3783">
      <w:pPr>
        <w:pageBreakBefore w:val="0"/>
        <w:numPr>
          <w:ilvl w:val="0"/>
          <w:numId w:val="0"/>
        </w:numPr>
        <w:kinsoku/>
        <w:wordWrap/>
        <w:overflowPunct/>
        <w:topLinePunct w:val="0"/>
        <w:autoSpaceDE/>
        <w:autoSpaceDN/>
        <w:bidi w:val="0"/>
        <w:spacing w:line="360" w:lineRule="auto"/>
        <w:ind w:left="0" w:left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本表如填写不完，可以续页。</w:t>
      </w:r>
    </w:p>
    <w:p w14:paraId="6016EA10">
      <w:pPr>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693BFA65">
      <w:pPr>
        <w:pageBreakBefore w:val="0"/>
        <w:kinsoku/>
        <w:wordWrap/>
        <w:overflowPunct/>
        <w:topLinePunct w:val="0"/>
        <w:autoSpaceDE/>
        <w:autoSpaceDN/>
        <w:bidi w:val="0"/>
        <w:spacing w:line="360" w:lineRule="auto"/>
        <w:ind w:left="0" w:leftChars="0" w:firstLine="4080" w:firstLineChars="17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供应商名称</w:t>
      </w:r>
      <w:r>
        <w:rPr>
          <w:rFonts w:hint="eastAsia" w:ascii="宋体" w:hAnsi="宋体" w:eastAsia="宋体" w:cs="宋体"/>
          <w:color w:val="000000" w:themeColor="text1"/>
          <w:sz w:val="24"/>
          <w:szCs w:val="24"/>
          <w:highlight w:val="none"/>
          <w14:textFill>
            <w14:solidFill>
              <w14:schemeClr w14:val="tx1"/>
            </w14:solidFill>
          </w14:textFill>
        </w:rPr>
        <w:t>：</w:t>
      </w:r>
    </w:p>
    <w:p w14:paraId="7486FC1C">
      <w:pPr>
        <w:pageBreakBefore w:val="0"/>
        <w:kinsoku/>
        <w:wordWrap/>
        <w:overflowPunct/>
        <w:topLinePunct w:val="0"/>
        <w:autoSpaceDE/>
        <w:autoSpaceDN/>
        <w:bidi w:val="0"/>
        <w:spacing w:line="360" w:lineRule="auto"/>
        <w:ind w:left="0" w:leftChars="0" w:firstLine="4080" w:firstLineChars="17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2A6EBC74">
      <w:pPr>
        <w:pageBreakBefore w:val="0"/>
        <w:kinsoku/>
        <w:wordWrap/>
        <w:overflowPunct/>
        <w:topLinePunct w:val="0"/>
        <w:autoSpaceDE/>
        <w:autoSpaceDN/>
        <w:bidi w:val="0"/>
        <w:spacing w:line="360" w:lineRule="auto"/>
        <w:ind w:left="0" w:leftChars="0" w:firstLine="4080" w:firstLineChars="17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（签字</w:t>
      </w:r>
      <w:r>
        <w:rPr>
          <w:rFonts w:hint="eastAsia" w:ascii="宋体" w:hAnsi="宋体" w:eastAsia="宋体" w:cs="宋体"/>
          <w:color w:val="000000" w:themeColor="text1"/>
          <w:sz w:val="24"/>
          <w:szCs w:val="24"/>
          <w:highlight w:val="none"/>
          <w:lang w:val="en-US" w:eastAsia="zh-CN"/>
          <w14:textFill>
            <w14:solidFill>
              <w14:schemeClr w14:val="tx1"/>
            </w14:solidFill>
          </w14:textFill>
        </w:rPr>
        <w:t>或盖章</w:t>
      </w:r>
      <w:r>
        <w:rPr>
          <w:rFonts w:hint="eastAsia" w:ascii="宋体" w:hAnsi="宋体" w:eastAsia="宋体" w:cs="宋体"/>
          <w:color w:val="000000" w:themeColor="text1"/>
          <w:sz w:val="24"/>
          <w:szCs w:val="24"/>
          <w:highlight w:val="none"/>
          <w14:textFill>
            <w14:solidFill>
              <w14:schemeClr w14:val="tx1"/>
            </w14:solidFill>
          </w14:textFill>
        </w:rPr>
        <w:t>）</w:t>
      </w:r>
    </w:p>
    <w:p w14:paraId="75C075FE">
      <w:pPr>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3117FC58">
      <w:pPr>
        <w:bidi w:val="0"/>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p w14:paraId="66470FBA">
      <w:pPr>
        <w:bidi w:val="0"/>
        <w:jc w:val="center"/>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4A23676B">
      <w:pPr>
        <w:bidi w:val="0"/>
        <w:jc w:val="center"/>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477963E0">
      <w:pPr>
        <w:bidi w:val="0"/>
        <w:jc w:val="center"/>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0A162EC1">
      <w:pPr>
        <w:bidi w:val="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四、技术偏离表</w:t>
      </w:r>
      <w:bookmarkEnd w:id="420"/>
      <w:bookmarkEnd w:id="421"/>
    </w:p>
    <w:p w14:paraId="1198C80B">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项目名称</w:t>
      </w:r>
      <w:r>
        <w:rPr>
          <w:rFonts w:hint="eastAsia" w:ascii="宋体" w:hAnsi="宋体" w:eastAsia="宋体" w:cs="宋体"/>
          <w:color w:val="000000" w:themeColor="text1"/>
          <w:sz w:val="24"/>
          <w:szCs w:val="24"/>
          <w:highlight w:val="none"/>
          <w14:textFill>
            <w14:solidFill>
              <w14:schemeClr w14:val="tx1"/>
            </w14:solidFill>
          </w14:textFill>
        </w:rPr>
        <w:t>：</w:t>
      </w:r>
    </w:p>
    <w:p w14:paraId="036CAE18">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w:t>
      </w:r>
      <w:r>
        <w:rPr>
          <w:rFonts w:hint="eastAsia" w:ascii="宋体" w:hAnsi="宋体" w:eastAsia="宋体" w:cs="宋体"/>
          <w:color w:val="000000" w:themeColor="text1"/>
          <w:sz w:val="24"/>
          <w:szCs w:val="24"/>
          <w:highlight w:val="none"/>
          <w:lang w:val="en-US" w:eastAsia="zh-CN"/>
          <w14:textFill>
            <w14:solidFill>
              <w14:schemeClr w14:val="tx1"/>
            </w14:solidFill>
          </w14:textFill>
        </w:rPr>
        <w:t>编号</w:t>
      </w:r>
      <w:r>
        <w:rPr>
          <w:rFonts w:hint="eastAsia" w:ascii="宋体" w:hAnsi="宋体" w:eastAsia="宋体" w:cs="宋体"/>
          <w:color w:val="000000" w:themeColor="text1"/>
          <w:sz w:val="24"/>
          <w:szCs w:val="24"/>
          <w:highlight w:val="none"/>
          <w14:textFill>
            <w14:solidFill>
              <w14:schemeClr w14:val="tx1"/>
            </w14:solidFill>
          </w14:textFill>
        </w:rPr>
        <w:t>：</w:t>
      </w:r>
    </w:p>
    <w:tbl>
      <w:tblPr>
        <w:tblStyle w:val="17"/>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023"/>
        <w:gridCol w:w="1655"/>
        <w:gridCol w:w="1471"/>
        <w:gridCol w:w="1839"/>
        <w:gridCol w:w="1287"/>
      </w:tblGrid>
      <w:tr w14:paraId="5513B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noWrap w:val="0"/>
            <w:vAlign w:val="center"/>
          </w:tcPr>
          <w:p w14:paraId="05A94359">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2023" w:type="dxa"/>
            <w:noWrap w:val="0"/>
            <w:vAlign w:val="center"/>
          </w:tcPr>
          <w:p w14:paraId="0CCD3C62">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文件规格功能要求条目号</w:t>
            </w:r>
          </w:p>
        </w:tc>
        <w:tc>
          <w:tcPr>
            <w:tcW w:w="1655" w:type="dxa"/>
            <w:noWrap w:val="0"/>
            <w:vAlign w:val="center"/>
          </w:tcPr>
          <w:p w14:paraId="2A5E4BC5">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文件</w:t>
            </w:r>
          </w:p>
          <w:p w14:paraId="65931965">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要求规格</w:t>
            </w:r>
          </w:p>
        </w:tc>
        <w:tc>
          <w:tcPr>
            <w:tcW w:w="1471" w:type="dxa"/>
            <w:noWrap w:val="0"/>
            <w:vAlign w:val="center"/>
          </w:tcPr>
          <w:p w14:paraId="136542DC">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投标规格</w:t>
            </w:r>
          </w:p>
          <w:p w14:paraId="78B2FCEA">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功能</w:t>
            </w:r>
          </w:p>
        </w:tc>
        <w:tc>
          <w:tcPr>
            <w:tcW w:w="1839" w:type="dxa"/>
            <w:noWrap w:val="0"/>
            <w:vAlign w:val="center"/>
          </w:tcPr>
          <w:p w14:paraId="733E7344">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偏离</w:t>
            </w:r>
          </w:p>
        </w:tc>
        <w:tc>
          <w:tcPr>
            <w:tcW w:w="1287" w:type="dxa"/>
            <w:noWrap w:val="0"/>
            <w:vAlign w:val="center"/>
          </w:tcPr>
          <w:p w14:paraId="0F22D57D">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说明</w:t>
            </w:r>
          </w:p>
        </w:tc>
      </w:tr>
      <w:tr w14:paraId="6692E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noWrap w:val="0"/>
            <w:vAlign w:val="center"/>
          </w:tcPr>
          <w:p w14:paraId="2D09EB2F">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2023" w:type="dxa"/>
            <w:noWrap w:val="0"/>
            <w:vAlign w:val="center"/>
          </w:tcPr>
          <w:p w14:paraId="1C1AD474">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655" w:type="dxa"/>
            <w:noWrap w:val="0"/>
            <w:vAlign w:val="center"/>
          </w:tcPr>
          <w:p w14:paraId="175AAA8C">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471" w:type="dxa"/>
            <w:noWrap w:val="0"/>
            <w:vAlign w:val="center"/>
          </w:tcPr>
          <w:p w14:paraId="0D8019DA">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839" w:type="dxa"/>
            <w:noWrap w:val="0"/>
            <w:vAlign w:val="center"/>
          </w:tcPr>
          <w:p w14:paraId="0A067914">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87" w:type="dxa"/>
            <w:noWrap w:val="0"/>
            <w:vAlign w:val="center"/>
          </w:tcPr>
          <w:p w14:paraId="369D7727">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20F3A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noWrap w:val="0"/>
            <w:vAlign w:val="center"/>
          </w:tcPr>
          <w:p w14:paraId="0C66BBA9">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2023" w:type="dxa"/>
            <w:noWrap w:val="0"/>
            <w:vAlign w:val="center"/>
          </w:tcPr>
          <w:p w14:paraId="3A172C7B">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655" w:type="dxa"/>
            <w:noWrap w:val="0"/>
            <w:vAlign w:val="center"/>
          </w:tcPr>
          <w:p w14:paraId="2CFB74E0">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471" w:type="dxa"/>
            <w:noWrap w:val="0"/>
            <w:vAlign w:val="center"/>
          </w:tcPr>
          <w:p w14:paraId="53DE76C1">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839" w:type="dxa"/>
            <w:noWrap w:val="0"/>
            <w:vAlign w:val="center"/>
          </w:tcPr>
          <w:p w14:paraId="6572A045">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87" w:type="dxa"/>
            <w:noWrap w:val="0"/>
            <w:vAlign w:val="center"/>
          </w:tcPr>
          <w:p w14:paraId="217E15DE">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3DFFA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noWrap w:val="0"/>
            <w:vAlign w:val="center"/>
          </w:tcPr>
          <w:p w14:paraId="662CA131">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2023" w:type="dxa"/>
            <w:noWrap w:val="0"/>
            <w:vAlign w:val="center"/>
          </w:tcPr>
          <w:p w14:paraId="192CFE25">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655" w:type="dxa"/>
            <w:noWrap w:val="0"/>
            <w:vAlign w:val="center"/>
          </w:tcPr>
          <w:p w14:paraId="65C19559">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471" w:type="dxa"/>
            <w:noWrap w:val="0"/>
            <w:vAlign w:val="center"/>
          </w:tcPr>
          <w:p w14:paraId="46A3BB89">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839" w:type="dxa"/>
            <w:noWrap w:val="0"/>
            <w:vAlign w:val="center"/>
          </w:tcPr>
          <w:p w14:paraId="1F5A24A2">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87" w:type="dxa"/>
            <w:noWrap w:val="0"/>
            <w:vAlign w:val="center"/>
          </w:tcPr>
          <w:p w14:paraId="0589DD31">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66617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noWrap w:val="0"/>
            <w:vAlign w:val="center"/>
          </w:tcPr>
          <w:p w14:paraId="663D6933">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2023" w:type="dxa"/>
            <w:noWrap w:val="0"/>
            <w:vAlign w:val="center"/>
          </w:tcPr>
          <w:p w14:paraId="031AC877">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655" w:type="dxa"/>
            <w:noWrap w:val="0"/>
            <w:vAlign w:val="center"/>
          </w:tcPr>
          <w:p w14:paraId="196B3CE6">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471" w:type="dxa"/>
            <w:noWrap w:val="0"/>
            <w:vAlign w:val="center"/>
          </w:tcPr>
          <w:p w14:paraId="6A03BB63">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839" w:type="dxa"/>
            <w:noWrap w:val="0"/>
            <w:vAlign w:val="center"/>
          </w:tcPr>
          <w:p w14:paraId="044562A9">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87" w:type="dxa"/>
            <w:noWrap w:val="0"/>
            <w:vAlign w:val="center"/>
          </w:tcPr>
          <w:p w14:paraId="42448C66">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5EEEC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noWrap w:val="0"/>
            <w:vAlign w:val="center"/>
          </w:tcPr>
          <w:p w14:paraId="7472001F">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2023" w:type="dxa"/>
            <w:noWrap w:val="0"/>
            <w:vAlign w:val="center"/>
          </w:tcPr>
          <w:p w14:paraId="28DBD399">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655" w:type="dxa"/>
            <w:noWrap w:val="0"/>
            <w:vAlign w:val="center"/>
          </w:tcPr>
          <w:p w14:paraId="6E81E0B9">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471" w:type="dxa"/>
            <w:noWrap w:val="0"/>
            <w:vAlign w:val="center"/>
          </w:tcPr>
          <w:p w14:paraId="6D4DC6E4">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839" w:type="dxa"/>
            <w:noWrap w:val="0"/>
            <w:vAlign w:val="center"/>
          </w:tcPr>
          <w:p w14:paraId="6E677703">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87" w:type="dxa"/>
            <w:noWrap w:val="0"/>
            <w:vAlign w:val="center"/>
          </w:tcPr>
          <w:p w14:paraId="08DB4D38">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526CB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noWrap w:val="0"/>
            <w:vAlign w:val="center"/>
          </w:tcPr>
          <w:p w14:paraId="062818AE">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2023" w:type="dxa"/>
            <w:noWrap w:val="0"/>
            <w:vAlign w:val="center"/>
          </w:tcPr>
          <w:p w14:paraId="6C5EC7F4">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655" w:type="dxa"/>
            <w:noWrap w:val="0"/>
            <w:vAlign w:val="center"/>
          </w:tcPr>
          <w:p w14:paraId="44C99F36">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471" w:type="dxa"/>
            <w:noWrap w:val="0"/>
            <w:vAlign w:val="center"/>
          </w:tcPr>
          <w:p w14:paraId="6CCF7055">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839" w:type="dxa"/>
            <w:noWrap w:val="0"/>
            <w:vAlign w:val="center"/>
          </w:tcPr>
          <w:p w14:paraId="669DF74A">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87" w:type="dxa"/>
            <w:noWrap w:val="0"/>
            <w:vAlign w:val="center"/>
          </w:tcPr>
          <w:p w14:paraId="28728600">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5309E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noWrap w:val="0"/>
            <w:vAlign w:val="center"/>
          </w:tcPr>
          <w:p w14:paraId="430C3806">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023" w:type="dxa"/>
            <w:noWrap w:val="0"/>
            <w:vAlign w:val="center"/>
          </w:tcPr>
          <w:p w14:paraId="22DE6D91">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655" w:type="dxa"/>
            <w:noWrap w:val="0"/>
            <w:vAlign w:val="center"/>
          </w:tcPr>
          <w:p w14:paraId="4F086A70">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471" w:type="dxa"/>
            <w:noWrap w:val="0"/>
            <w:vAlign w:val="center"/>
          </w:tcPr>
          <w:p w14:paraId="0E111B65">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839" w:type="dxa"/>
            <w:noWrap w:val="0"/>
            <w:vAlign w:val="center"/>
          </w:tcPr>
          <w:p w14:paraId="440C26C3">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87" w:type="dxa"/>
            <w:noWrap w:val="0"/>
            <w:vAlign w:val="center"/>
          </w:tcPr>
          <w:p w14:paraId="442E785A">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bl>
    <w:p w14:paraId="6D568F38">
      <w:pPr>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3F1FCC85">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注</w:t>
      </w:r>
      <w:r>
        <w:rPr>
          <w:rFonts w:hint="eastAsia" w:ascii="宋体" w:hAnsi="宋体" w:eastAsia="宋体" w:cs="宋体"/>
          <w:color w:val="000000" w:themeColor="text1"/>
          <w:sz w:val="24"/>
          <w:szCs w:val="24"/>
          <w:highlight w:val="none"/>
          <w14:textFill>
            <w14:solidFill>
              <w14:schemeClr w14:val="tx1"/>
            </w14:solidFill>
          </w14:textFill>
        </w:rPr>
        <w:t>：1、应与文件要求逐条对应填写。</w:t>
      </w:r>
    </w:p>
    <w:p w14:paraId="73D20A1E">
      <w:pPr>
        <w:pageBreakBefore w:val="0"/>
        <w:numPr>
          <w:ilvl w:val="0"/>
          <w:numId w:val="0"/>
        </w:numPr>
        <w:kinsoku/>
        <w:wordWrap/>
        <w:overflowPunct/>
        <w:topLinePunct w:val="0"/>
        <w:autoSpaceDE/>
        <w:autoSpaceDN/>
        <w:bidi w:val="0"/>
        <w:spacing w:line="360" w:lineRule="auto"/>
        <w:ind w:left="0" w:left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本表如填写不完，可以续页。</w:t>
      </w:r>
    </w:p>
    <w:p w14:paraId="5E9643AC">
      <w:pPr>
        <w:pageBreakBefore w:val="0"/>
        <w:kinsoku/>
        <w:wordWrap/>
        <w:overflowPunct/>
        <w:topLinePunct w:val="0"/>
        <w:autoSpaceDE/>
        <w:autoSpaceDN/>
        <w:bidi w:val="0"/>
        <w:spacing w:line="360" w:lineRule="auto"/>
        <w:ind w:left="0" w:leftChars="0" w:firstLine="3960" w:firstLineChars="165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2FC40CB2">
      <w:pPr>
        <w:pageBreakBefore w:val="0"/>
        <w:kinsoku/>
        <w:wordWrap/>
        <w:overflowPunct/>
        <w:topLinePunct w:val="0"/>
        <w:autoSpaceDE/>
        <w:autoSpaceDN/>
        <w:bidi w:val="0"/>
        <w:spacing w:line="360" w:lineRule="auto"/>
        <w:ind w:left="0" w:leftChars="0" w:firstLine="3960" w:firstLineChars="165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2F1D01FC">
      <w:pPr>
        <w:pageBreakBefore w:val="0"/>
        <w:kinsoku/>
        <w:wordWrap/>
        <w:overflowPunct/>
        <w:topLinePunct w:val="0"/>
        <w:autoSpaceDE/>
        <w:autoSpaceDN/>
        <w:bidi w:val="0"/>
        <w:spacing w:line="360" w:lineRule="auto"/>
        <w:ind w:left="0" w:leftChars="0" w:firstLine="4080" w:firstLineChars="17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供应商名称</w:t>
      </w:r>
      <w:r>
        <w:rPr>
          <w:rFonts w:hint="eastAsia" w:ascii="宋体" w:hAnsi="宋体" w:eastAsia="宋体" w:cs="宋体"/>
          <w:color w:val="000000" w:themeColor="text1"/>
          <w:sz w:val="24"/>
          <w:szCs w:val="24"/>
          <w:highlight w:val="none"/>
          <w14:textFill>
            <w14:solidFill>
              <w14:schemeClr w14:val="tx1"/>
            </w14:solidFill>
          </w14:textFill>
        </w:rPr>
        <w:t>：</w:t>
      </w:r>
    </w:p>
    <w:p w14:paraId="454A1B01">
      <w:pPr>
        <w:pageBreakBefore w:val="0"/>
        <w:kinsoku/>
        <w:wordWrap/>
        <w:overflowPunct/>
        <w:topLinePunct w:val="0"/>
        <w:autoSpaceDE/>
        <w:autoSpaceDN/>
        <w:bidi w:val="0"/>
        <w:spacing w:line="360" w:lineRule="auto"/>
        <w:ind w:left="0" w:leftChars="0" w:firstLine="4080" w:firstLineChars="17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01303FF6">
      <w:pPr>
        <w:pageBreakBefore w:val="0"/>
        <w:kinsoku/>
        <w:wordWrap/>
        <w:overflowPunct/>
        <w:topLinePunct w:val="0"/>
        <w:autoSpaceDE/>
        <w:autoSpaceDN/>
        <w:bidi w:val="0"/>
        <w:spacing w:line="360" w:lineRule="auto"/>
        <w:ind w:left="0" w:leftChars="0" w:firstLine="4080" w:firstLineChars="17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（签字</w:t>
      </w:r>
      <w:r>
        <w:rPr>
          <w:rFonts w:hint="eastAsia" w:ascii="宋体" w:hAnsi="宋体" w:eastAsia="宋体" w:cs="宋体"/>
          <w:color w:val="000000" w:themeColor="text1"/>
          <w:sz w:val="24"/>
          <w:szCs w:val="24"/>
          <w:highlight w:val="none"/>
          <w:lang w:val="en-US" w:eastAsia="zh-CN"/>
          <w14:textFill>
            <w14:solidFill>
              <w14:schemeClr w14:val="tx1"/>
            </w14:solidFill>
          </w14:textFill>
        </w:rPr>
        <w:t>或盖章</w:t>
      </w:r>
      <w:r>
        <w:rPr>
          <w:rFonts w:hint="eastAsia" w:ascii="宋体" w:hAnsi="宋体" w:eastAsia="宋体" w:cs="宋体"/>
          <w:color w:val="000000" w:themeColor="text1"/>
          <w:sz w:val="24"/>
          <w:szCs w:val="24"/>
          <w:highlight w:val="none"/>
          <w14:textFill>
            <w14:solidFill>
              <w14:schemeClr w14:val="tx1"/>
            </w14:solidFill>
          </w14:textFill>
        </w:rPr>
        <w:t>）</w:t>
      </w:r>
    </w:p>
    <w:p w14:paraId="3A54FB53">
      <w:pPr>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5E65F328">
      <w:pPr>
        <w:bidi w:val="0"/>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p w14:paraId="37366093">
      <w:pPr>
        <w:pStyle w:val="21"/>
        <w:rPr>
          <w:rFonts w:hint="eastAsia" w:ascii="宋体" w:hAnsi="宋体" w:eastAsia="宋体" w:cs="宋体"/>
          <w:color w:val="000000" w:themeColor="text1"/>
          <w:sz w:val="28"/>
          <w:szCs w:val="28"/>
          <w:highlight w:val="none"/>
          <w14:textFill>
            <w14:solidFill>
              <w14:schemeClr w14:val="tx1"/>
            </w14:solidFill>
          </w14:textFill>
        </w:rPr>
      </w:pPr>
    </w:p>
    <w:p w14:paraId="6FDC0C89">
      <w:pPr>
        <w:rPr>
          <w:rFonts w:hint="eastAsia" w:ascii="宋体" w:hAnsi="宋体" w:eastAsia="宋体" w:cs="宋体"/>
          <w:color w:val="000000" w:themeColor="text1"/>
          <w:sz w:val="28"/>
          <w:szCs w:val="28"/>
          <w:highlight w:val="none"/>
          <w14:textFill>
            <w14:solidFill>
              <w14:schemeClr w14:val="tx1"/>
            </w14:solidFill>
          </w14:textFill>
        </w:rPr>
      </w:pPr>
    </w:p>
    <w:p w14:paraId="7664D7FF">
      <w:pPr>
        <w:pStyle w:val="21"/>
        <w:rPr>
          <w:rFonts w:hint="eastAsia" w:ascii="宋体" w:hAnsi="宋体" w:eastAsia="宋体" w:cs="宋体"/>
          <w:color w:val="000000" w:themeColor="text1"/>
          <w:sz w:val="28"/>
          <w:szCs w:val="28"/>
          <w:highlight w:val="none"/>
          <w14:textFill>
            <w14:solidFill>
              <w14:schemeClr w14:val="tx1"/>
            </w14:solidFill>
          </w14:textFill>
        </w:rPr>
      </w:pPr>
    </w:p>
    <w:p w14:paraId="1AAEEF3E">
      <w:pPr>
        <w:bidi w:val="0"/>
        <w:jc w:val="center"/>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2627B9D3">
      <w:pPr>
        <w:bidi w:val="0"/>
        <w:jc w:val="center"/>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059682C0">
      <w:pPr>
        <w:bidi w:val="0"/>
        <w:jc w:val="center"/>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2D8FA3DB">
      <w:pPr>
        <w:bidi w:val="0"/>
        <w:jc w:val="center"/>
        <w:rPr>
          <w:rFonts w:hint="default" w:ascii="宋体" w:hAnsi="宋体" w:eastAsia="宋体" w:cs="宋体"/>
          <w:color w:val="000000" w:themeColor="text1"/>
          <w:kern w:val="0"/>
          <w:sz w:val="28"/>
          <w:szCs w:val="28"/>
          <w:highlight w:val="none"/>
          <w:lang w:val="en-US"/>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五、谈判保证金汇款凭证</w:t>
      </w:r>
      <w:r>
        <w:rPr>
          <w:rFonts w:hint="eastAsia" w:ascii="宋体" w:hAnsi="宋体" w:cs="宋体"/>
          <w:b/>
          <w:bCs/>
          <w:color w:val="000000" w:themeColor="text1"/>
          <w:sz w:val="28"/>
          <w:szCs w:val="28"/>
          <w:highlight w:val="none"/>
          <w:lang w:val="en-US" w:eastAsia="zh-CN"/>
          <w14:textFill>
            <w14:solidFill>
              <w14:schemeClr w14:val="tx1"/>
            </w14:solidFill>
          </w14:textFill>
        </w:rPr>
        <w:t>或保函</w:t>
      </w:r>
    </w:p>
    <w:p w14:paraId="40C4076C">
      <w:pPr>
        <w:pStyle w:val="2"/>
        <w:pageBreakBefore w:val="0"/>
        <w:numPr>
          <w:ilvl w:val="0"/>
          <w:numId w:val="0"/>
        </w:numPr>
        <w:kinsoku/>
        <w:wordWrap/>
        <w:overflowPunct/>
        <w:topLinePunct w:val="0"/>
        <w:autoSpaceDE/>
        <w:autoSpaceDN/>
        <w:bidi w:val="0"/>
        <w:spacing w:before="0" w:after="0" w:line="360" w:lineRule="auto"/>
        <w:jc w:val="both"/>
        <w:textAlignment w:val="auto"/>
        <w:outlineLvl w:val="9"/>
        <w:rPr>
          <w:rFonts w:hint="eastAsia" w:ascii="宋体" w:hAnsi="宋体" w:eastAsia="宋体" w:cs="宋体"/>
          <w:color w:val="000000" w:themeColor="text1"/>
          <w:kern w:val="0"/>
          <w:sz w:val="28"/>
          <w:szCs w:val="28"/>
          <w:highlight w:val="none"/>
          <w:lang w:val="en-US" w:eastAsia="zh-CN"/>
          <w14:textFill>
            <w14:solidFill>
              <w14:schemeClr w14:val="tx1"/>
            </w14:solidFill>
          </w14:textFill>
        </w:rPr>
      </w:pPr>
    </w:p>
    <w:p w14:paraId="40DCBC14">
      <w:pPr>
        <w:pStyle w:val="2"/>
        <w:pageBreakBefore w:val="0"/>
        <w:numPr>
          <w:ilvl w:val="0"/>
          <w:numId w:val="0"/>
        </w:numPr>
        <w:kinsoku/>
        <w:wordWrap/>
        <w:overflowPunct/>
        <w:topLinePunct w:val="0"/>
        <w:autoSpaceDE/>
        <w:autoSpaceDN/>
        <w:bidi w:val="0"/>
        <w:spacing w:before="0" w:after="0" w:line="360" w:lineRule="auto"/>
        <w:jc w:val="both"/>
        <w:textAlignment w:val="auto"/>
        <w:outlineLvl w:val="9"/>
        <w:rPr>
          <w:rFonts w:hint="eastAsia" w:ascii="宋体" w:hAnsi="宋体" w:eastAsia="宋体" w:cs="宋体"/>
          <w:color w:val="000000" w:themeColor="text1"/>
          <w:kern w:val="0"/>
          <w:sz w:val="28"/>
          <w:szCs w:val="28"/>
          <w:highlight w:val="none"/>
          <w:lang w:val="en-US" w:eastAsia="zh-CN"/>
          <w14:textFill>
            <w14:solidFill>
              <w14:schemeClr w14:val="tx1"/>
            </w14:solidFill>
          </w14:textFill>
        </w:rPr>
      </w:pPr>
    </w:p>
    <w:p w14:paraId="00BA1825">
      <w:pPr>
        <w:pStyle w:val="2"/>
        <w:pageBreakBefore w:val="0"/>
        <w:numPr>
          <w:ilvl w:val="0"/>
          <w:numId w:val="0"/>
        </w:numPr>
        <w:kinsoku/>
        <w:wordWrap/>
        <w:overflowPunct/>
        <w:topLinePunct w:val="0"/>
        <w:autoSpaceDE/>
        <w:autoSpaceDN/>
        <w:bidi w:val="0"/>
        <w:spacing w:before="0" w:after="0" w:line="360" w:lineRule="auto"/>
        <w:jc w:val="both"/>
        <w:textAlignment w:val="auto"/>
        <w:outlineLvl w:val="9"/>
        <w:rPr>
          <w:rFonts w:hint="eastAsia" w:ascii="宋体" w:hAnsi="宋体" w:eastAsia="宋体" w:cs="宋体"/>
          <w:color w:val="000000" w:themeColor="text1"/>
          <w:kern w:val="0"/>
          <w:sz w:val="28"/>
          <w:szCs w:val="28"/>
          <w:highlight w:val="none"/>
          <w:lang w:val="en-US" w:eastAsia="zh-CN"/>
          <w14:textFill>
            <w14:solidFill>
              <w14:schemeClr w14:val="tx1"/>
            </w14:solidFill>
          </w14:textFill>
        </w:rPr>
      </w:pPr>
    </w:p>
    <w:p w14:paraId="7BC76B8F">
      <w:pPr>
        <w:bidi w:val="0"/>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7412A965">
      <w:pPr>
        <w:bidi w:val="0"/>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65145E6D">
      <w:pPr>
        <w:bidi w:val="0"/>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1361C788">
      <w:pPr>
        <w:bidi w:val="0"/>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6DEFCF53">
      <w:pPr>
        <w:bidi w:val="0"/>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4E845FEC">
      <w:pPr>
        <w:bidi w:val="0"/>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459EFE96">
      <w:pPr>
        <w:bidi w:val="0"/>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2907E44A">
      <w:pPr>
        <w:bidi w:val="0"/>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57C260CF">
      <w:pPr>
        <w:bidi w:val="0"/>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555E9445">
      <w:pPr>
        <w:bidi w:val="0"/>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5B14B434">
      <w:pPr>
        <w:bidi w:val="0"/>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2F3EE73E">
      <w:pPr>
        <w:bidi w:val="0"/>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3C6D1601">
      <w:pPr>
        <w:bidi w:val="0"/>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76EAAD06">
      <w:pPr>
        <w:bidi w:val="0"/>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0F0C41AA">
      <w:pPr>
        <w:bidi w:val="0"/>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47E35864">
      <w:pP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br w:type="page"/>
      </w:r>
    </w:p>
    <w:p w14:paraId="5F8AF161">
      <w:pPr>
        <w:pStyle w:val="2"/>
        <w:pageBreakBefore w:val="0"/>
        <w:numPr>
          <w:ilvl w:val="0"/>
          <w:numId w:val="0"/>
        </w:numPr>
        <w:kinsoku/>
        <w:wordWrap/>
        <w:overflowPunct/>
        <w:topLinePunct w:val="0"/>
        <w:autoSpaceDE/>
        <w:autoSpaceDN/>
        <w:bidi w:val="0"/>
        <w:spacing w:before="0" w:after="0" w:line="360" w:lineRule="auto"/>
        <w:jc w:val="center"/>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六、</w:t>
      </w:r>
      <w:r>
        <w:rPr>
          <w:rFonts w:hint="eastAsia" w:ascii="宋体" w:hAnsi="宋体" w:eastAsia="宋体" w:cs="宋体"/>
          <w:color w:val="000000" w:themeColor="text1"/>
          <w:kern w:val="0"/>
          <w:sz w:val="28"/>
          <w:szCs w:val="28"/>
          <w:highlight w:val="none"/>
          <w14:textFill>
            <w14:solidFill>
              <w14:schemeClr w14:val="tx1"/>
            </w14:solidFill>
          </w14:textFill>
        </w:rPr>
        <w:t>法定代表人证明书</w:t>
      </w:r>
      <w:bookmarkEnd w:id="422"/>
      <w:bookmarkEnd w:id="423"/>
    </w:p>
    <w:p w14:paraId="0B22451B">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报价人名称：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758C932D">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561A777D">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姓名：</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性别：</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年龄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职务：</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4A5341D5">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系</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法定代表人。</w:t>
      </w:r>
    </w:p>
    <w:p w14:paraId="72DF64E8">
      <w:pPr>
        <w:pStyle w:val="21"/>
        <w:rPr>
          <w:rFonts w:hint="eastAsia" w:ascii="宋体" w:hAnsi="宋体" w:eastAsia="宋体" w:cs="宋体"/>
          <w:color w:val="000000" w:themeColor="text1"/>
          <w:sz w:val="24"/>
          <w:szCs w:val="24"/>
          <w:highlight w:val="none"/>
          <w14:textFill>
            <w14:solidFill>
              <w14:schemeClr w14:val="tx1"/>
            </w14:solidFill>
          </w14:textFill>
        </w:rPr>
      </w:pPr>
    </w:p>
    <w:p w14:paraId="0E3AC2DC">
      <w:pPr>
        <w:pStyle w:val="21"/>
        <w:rPr>
          <w:rFonts w:hint="eastAsia" w:ascii="宋体" w:hAnsi="宋体" w:eastAsia="宋体" w:cs="宋体"/>
          <w:color w:val="000000" w:themeColor="text1"/>
          <w:sz w:val="24"/>
          <w:szCs w:val="24"/>
          <w:highlight w:val="none"/>
          <w14:textFill>
            <w14:solidFill>
              <w14:schemeClr w14:val="tx1"/>
            </w14:solidFill>
          </w14:textFill>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7"/>
        <w:gridCol w:w="4247"/>
      </w:tblGrid>
      <w:tr w14:paraId="7B54E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trPr>
        <w:tc>
          <w:tcPr>
            <w:tcW w:w="4247" w:type="dxa"/>
            <w:noWrap w:val="0"/>
            <w:vAlign w:val="top"/>
          </w:tcPr>
          <w:p w14:paraId="4FFE0F42">
            <w:pPr>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法定代表人身份证“正”面</w:t>
            </w:r>
          </w:p>
        </w:tc>
        <w:tc>
          <w:tcPr>
            <w:tcW w:w="4247" w:type="dxa"/>
            <w:noWrap w:val="0"/>
            <w:vAlign w:val="top"/>
          </w:tcPr>
          <w:p w14:paraId="0C63A483">
            <w:pPr>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法定代表人身份证“</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反</w:t>
            </w:r>
            <w:r>
              <w:rPr>
                <w:rFonts w:hint="eastAsia" w:ascii="宋体" w:hAnsi="宋体" w:eastAsia="宋体" w:cs="宋体"/>
                <w:color w:val="000000" w:themeColor="text1"/>
                <w:kern w:val="0"/>
                <w:sz w:val="24"/>
                <w:szCs w:val="24"/>
                <w:highlight w:val="none"/>
                <w14:textFill>
                  <w14:solidFill>
                    <w14:schemeClr w14:val="tx1"/>
                  </w14:solidFill>
                </w14:textFill>
              </w:rPr>
              <w:t>”面</w:t>
            </w:r>
          </w:p>
        </w:tc>
      </w:tr>
    </w:tbl>
    <w:p w14:paraId="000FC117">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0B6A30E8">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31C59EC9">
      <w:pPr>
        <w:pageBreakBefore w:val="0"/>
        <w:kinsoku/>
        <w:wordWrap/>
        <w:overflowPunct/>
        <w:topLinePunct w:val="0"/>
        <w:autoSpaceDE/>
        <w:autoSpaceDN/>
        <w:bidi w:val="0"/>
        <w:spacing w:line="360" w:lineRule="auto"/>
        <w:ind w:firstLine="3360" w:firstLineChars="1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供应商名称</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（公章）</w:t>
      </w:r>
    </w:p>
    <w:p w14:paraId="30A6F918">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180F9C4E">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692DF05B">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09A34875">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日期：  年   月   日</w:t>
      </w:r>
    </w:p>
    <w:p w14:paraId="0E9FEC00">
      <w:pPr>
        <w:pageBreakBefore w:val="0"/>
        <w:kinsoku/>
        <w:wordWrap/>
        <w:overflowPunct/>
        <w:topLinePunct w:val="0"/>
        <w:autoSpaceDE/>
        <w:autoSpaceDN/>
        <w:bidi w:val="0"/>
        <w:spacing w:line="400" w:lineRule="exact"/>
        <w:ind w:left="0" w:leftChars="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01B93867">
      <w:pPr>
        <w:pageBreakBefore w:val="0"/>
        <w:kinsoku/>
        <w:wordWrap/>
        <w:overflowPunct/>
        <w:topLinePunct w:val="0"/>
        <w:autoSpaceDE/>
        <w:autoSpaceDN/>
        <w:bidi w:val="0"/>
        <w:spacing w:line="400" w:lineRule="exact"/>
        <w:ind w:left="0" w:leftChars="0"/>
        <w:jc w:val="left"/>
        <w:textAlignment w:val="auto"/>
        <w:rPr>
          <w:rFonts w:hint="eastAsia" w:ascii="宋体" w:hAnsi="宋体" w:eastAsia="宋体" w:cs="宋体"/>
          <w:b/>
          <w:bCs/>
          <w:color w:val="000000" w:themeColor="text1"/>
          <w:sz w:val="28"/>
          <w:szCs w:val="28"/>
          <w:highlight w:val="none"/>
          <w14:textFill>
            <w14:solidFill>
              <w14:schemeClr w14:val="tx1"/>
            </w14:solidFill>
          </w14:textFill>
        </w:rPr>
      </w:pPr>
    </w:p>
    <w:p w14:paraId="3FD2AE9E">
      <w:pPr>
        <w:pageBreakBefore w:val="0"/>
        <w:kinsoku/>
        <w:wordWrap/>
        <w:overflowPunct/>
        <w:topLinePunct w:val="0"/>
        <w:autoSpaceDE/>
        <w:autoSpaceDN/>
        <w:bidi w:val="0"/>
        <w:spacing w:line="400" w:lineRule="exact"/>
        <w:ind w:left="0" w:leftChars="0"/>
        <w:jc w:val="left"/>
        <w:textAlignment w:val="auto"/>
        <w:rPr>
          <w:rFonts w:hint="eastAsia" w:ascii="宋体" w:hAnsi="宋体" w:eastAsia="宋体" w:cs="宋体"/>
          <w:b/>
          <w:bCs/>
          <w:color w:val="000000" w:themeColor="text1"/>
          <w:sz w:val="28"/>
          <w:szCs w:val="28"/>
          <w:highlight w:val="none"/>
          <w14:textFill>
            <w14:solidFill>
              <w14:schemeClr w14:val="tx1"/>
            </w14:solidFill>
          </w14:textFill>
        </w:rPr>
      </w:pPr>
    </w:p>
    <w:p w14:paraId="134ED3E5">
      <w:pPr>
        <w:pageBreakBefore w:val="0"/>
        <w:kinsoku/>
        <w:wordWrap/>
        <w:overflowPunct/>
        <w:topLinePunct w:val="0"/>
        <w:autoSpaceDE/>
        <w:autoSpaceDN/>
        <w:bidi w:val="0"/>
        <w:spacing w:line="400" w:lineRule="exact"/>
        <w:ind w:left="0" w:leftChars="0"/>
        <w:jc w:val="left"/>
        <w:textAlignment w:val="auto"/>
        <w:outlineLvl w:val="0"/>
        <w:rPr>
          <w:rFonts w:hint="eastAsia" w:ascii="宋体" w:hAnsi="宋体" w:eastAsia="宋体" w:cs="宋体"/>
          <w:b/>
          <w:color w:val="000000" w:themeColor="text1"/>
          <w:sz w:val="28"/>
          <w:szCs w:val="28"/>
          <w:highlight w:val="none"/>
          <w:lang w:eastAsia="zh-CN"/>
          <w14:textFill>
            <w14:solidFill>
              <w14:schemeClr w14:val="tx1"/>
            </w14:solidFill>
          </w14:textFill>
        </w:rPr>
      </w:pPr>
      <w:bookmarkStart w:id="426" w:name="_Toc19953"/>
      <w:bookmarkStart w:id="427" w:name="_Toc20932"/>
      <w:bookmarkStart w:id="428" w:name="_Toc20925"/>
      <w:bookmarkStart w:id="429" w:name="_Toc21604"/>
      <w:bookmarkStart w:id="430" w:name="_Toc512251716"/>
      <w:r>
        <w:rPr>
          <w:rFonts w:hint="eastAsia" w:ascii="宋体" w:hAnsi="宋体" w:eastAsia="宋体" w:cs="宋体"/>
          <w:b/>
          <w:color w:val="000000" w:themeColor="text1"/>
          <w:sz w:val="28"/>
          <w:szCs w:val="28"/>
          <w:highlight w:val="none"/>
          <w14:textFill>
            <w14:solidFill>
              <w14:schemeClr w14:val="tx1"/>
            </w14:solidFill>
          </w14:textFill>
        </w:rPr>
        <w:t>注：如法人开标需</w:t>
      </w:r>
      <w:r>
        <w:rPr>
          <w:rFonts w:hint="eastAsia" w:ascii="宋体" w:hAnsi="宋体" w:eastAsia="宋体" w:cs="宋体"/>
          <w:b/>
          <w:color w:val="000000" w:themeColor="text1"/>
          <w:sz w:val="28"/>
          <w:szCs w:val="28"/>
          <w:highlight w:val="none"/>
          <w:lang w:eastAsia="zh-CN"/>
          <w14:textFill>
            <w14:solidFill>
              <w14:schemeClr w14:val="tx1"/>
            </w14:solidFill>
          </w14:textFill>
        </w:rPr>
        <w:t>严格按照以上格式开标时</w:t>
      </w:r>
      <w:r>
        <w:rPr>
          <w:rFonts w:hint="eastAsia" w:ascii="宋体" w:hAnsi="宋体" w:eastAsia="宋体" w:cs="宋体"/>
          <w:b/>
          <w:color w:val="000000" w:themeColor="text1"/>
          <w:sz w:val="28"/>
          <w:szCs w:val="28"/>
          <w:highlight w:val="none"/>
          <w14:textFill>
            <w14:solidFill>
              <w14:schemeClr w14:val="tx1"/>
            </w14:solidFill>
          </w14:textFill>
        </w:rPr>
        <w:t>出示此表</w:t>
      </w:r>
      <w:bookmarkEnd w:id="426"/>
      <w:bookmarkEnd w:id="427"/>
      <w:r>
        <w:rPr>
          <w:rFonts w:hint="eastAsia" w:ascii="宋体" w:hAnsi="宋体" w:eastAsia="宋体" w:cs="宋体"/>
          <w:b/>
          <w:color w:val="000000" w:themeColor="text1"/>
          <w:sz w:val="28"/>
          <w:szCs w:val="28"/>
          <w:highlight w:val="none"/>
          <w:lang w:eastAsia="zh-CN"/>
          <w14:textFill>
            <w14:solidFill>
              <w14:schemeClr w14:val="tx1"/>
            </w14:solidFill>
          </w14:textFill>
        </w:rPr>
        <w:t>。</w:t>
      </w:r>
      <w:bookmarkEnd w:id="428"/>
      <w:bookmarkEnd w:id="429"/>
    </w:p>
    <w:p w14:paraId="352F6E91">
      <w:pPr>
        <w:pStyle w:val="21"/>
        <w:pageBreakBefore w:val="0"/>
        <w:kinsoku/>
        <w:wordWrap/>
        <w:overflowPunct/>
        <w:topLinePunct w:val="0"/>
        <w:autoSpaceDE/>
        <w:autoSpaceDN/>
        <w:bidi w:val="0"/>
        <w:textAlignment w:val="auto"/>
        <w:rPr>
          <w:rFonts w:hint="eastAsia" w:ascii="宋体" w:hAnsi="宋体" w:eastAsia="宋体" w:cs="宋体"/>
          <w:b/>
          <w:color w:val="000000" w:themeColor="text1"/>
          <w:sz w:val="28"/>
          <w:szCs w:val="28"/>
          <w:highlight w:val="none"/>
          <w14:textFill>
            <w14:solidFill>
              <w14:schemeClr w14:val="tx1"/>
            </w14:solidFill>
          </w14:textFill>
        </w:rPr>
      </w:pPr>
    </w:p>
    <w:p w14:paraId="7BDD62FB">
      <w:pPr>
        <w:rPr>
          <w:rFonts w:hint="eastAsia"/>
        </w:rPr>
      </w:pPr>
    </w:p>
    <w:p w14:paraId="74E0A8F7">
      <w:pPr>
        <w:rPr>
          <w:rFonts w:hint="eastAsia" w:ascii="宋体" w:hAnsi="宋体" w:eastAsia="宋体" w:cs="宋体"/>
          <w:color w:val="000000" w:themeColor="text1"/>
          <w:sz w:val="28"/>
          <w:szCs w:val="28"/>
          <w:highlight w:val="none"/>
          <w14:textFill>
            <w14:solidFill>
              <w14:schemeClr w14:val="tx1"/>
            </w14:solidFill>
          </w14:textFill>
        </w:rPr>
      </w:pPr>
    </w:p>
    <w:p w14:paraId="79D9F9A1">
      <w:pPr>
        <w:pStyle w:val="16"/>
        <w:rPr>
          <w:rFonts w:hint="eastAsia" w:ascii="宋体" w:hAnsi="宋体" w:eastAsia="宋体" w:cs="宋体"/>
          <w:color w:val="000000" w:themeColor="text1"/>
          <w:sz w:val="28"/>
          <w:szCs w:val="28"/>
          <w:highlight w:val="none"/>
          <w14:textFill>
            <w14:solidFill>
              <w14:schemeClr w14:val="tx1"/>
            </w14:solidFill>
          </w14:textFill>
        </w:rPr>
      </w:pPr>
    </w:p>
    <w:p w14:paraId="34755432">
      <w:pPr>
        <w:pStyle w:val="21"/>
        <w:ind w:left="0" w:leftChars="0" w:firstLine="0" w:firstLineChars="0"/>
        <w:rPr>
          <w:rFonts w:hint="eastAsia" w:ascii="宋体" w:hAnsi="宋体" w:eastAsia="宋体" w:cs="宋体"/>
          <w:color w:val="000000" w:themeColor="text1"/>
          <w:sz w:val="28"/>
          <w:szCs w:val="28"/>
          <w:highlight w:val="none"/>
          <w14:textFill>
            <w14:solidFill>
              <w14:schemeClr w14:val="tx1"/>
            </w14:solidFill>
          </w14:textFill>
        </w:rPr>
      </w:pPr>
    </w:p>
    <w:bookmarkEnd w:id="430"/>
    <w:p w14:paraId="1B03BF6E">
      <w:pPr>
        <w:pageBreakBefore w:val="0"/>
        <w:widowControl/>
        <w:numPr>
          <w:ilvl w:val="0"/>
          <w:numId w:val="0"/>
        </w:numPr>
        <w:kinsoku/>
        <w:wordWrap/>
        <w:overflowPunct/>
        <w:topLinePunct w:val="0"/>
        <w:autoSpaceDE/>
        <w:autoSpaceDN/>
        <w:bidi w:val="0"/>
        <w:ind w:left="0" w:leftChars="0"/>
        <w:jc w:val="center"/>
        <w:textAlignment w:val="auto"/>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0348514D">
      <w:pPr>
        <w:pageBreakBefore w:val="0"/>
        <w:widowControl/>
        <w:numPr>
          <w:ilvl w:val="0"/>
          <w:numId w:val="0"/>
        </w:numPr>
        <w:kinsoku/>
        <w:wordWrap/>
        <w:overflowPunct/>
        <w:topLinePunct w:val="0"/>
        <w:autoSpaceDE/>
        <w:autoSpaceDN/>
        <w:bidi w:val="0"/>
        <w:ind w:left="0" w:leftChars="0"/>
        <w:jc w:val="center"/>
        <w:textAlignment w:val="auto"/>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4075FAAF">
      <w:pPr>
        <w:pageBreakBefore w:val="0"/>
        <w:widowControl/>
        <w:numPr>
          <w:ilvl w:val="0"/>
          <w:numId w:val="0"/>
        </w:numPr>
        <w:kinsoku/>
        <w:wordWrap/>
        <w:overflowPunct/>
        <w:topLinePunct w:val="0"/>
        <w:autoSpaceDE/>
        <w:autoSpaceDN/>
        <w:bidi w:val="0"/>
        <w:ind w:left="0" w:leftChars="0"/>
        <w:jc w:val="center"/>
        <w:textAlignment w:val="auto"/>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321BAF51">
      <w:pPr>
        <w:pageBreakBefore w:val="0"/>
        <w:widowControl/>
        <w:numPr>
          <w:ilvl w:val="0"/>
          <w:numId w:val="0"/>
        </w:numPr>
        <w:kinsoku/>
        <w:wordWrap/>
        <w:overflowPunct/>
        <w:topLinePunct w:val="0"/>
        <w:autoSpaceDE/>
        <w:autoSpaceDN/>
        <w:bidi w:val="0"/>
        <w:ind w:left="0" w:leftChars="0"/>
        <w:jc w:val="center"/>
        <w:textAlignment w:val="auto"/>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6FFFEB8E">
      <w:pPr>
        <w:pageBreakBefore w:val="0"/>
        <w:widowControl/>
        <w:numPr>
          <w:ilvl w:val="0"/>
          <w:numId w:val="0"/>
        </w:numPr>
        <w:kinsoku/>
        <w:wordWrap/>
        <w:overflowPunct/>
        <w:topLinePunct w:val="0"/>
        <w:autoSpaceDE/>
        <w:autoSpaceDN/>
        <w:bidi w:val="0"/>
        <w:ind w:left="0" w:leftChars="0"/>
        <w:jc w:val="center"/>
        <w:textAlignment w:val="auto"/>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七</w:t>
      </w:r>
      <w:r>
        <w:rPr>
          <w:rFonts w:hint="eastAsia" w:ascii="宋体" w:hAnsi="宋体" w:eastAsia="宋体" w:cs="宋体"/>
          <w:b/>
          <w:color w:val="000000" w:themeColor="text1"/>
          <w:sz w:val="28"/>
          <w:szCs w:val="28"/>
          <w:highlight w:val="none"/>
          <w14:textFill>
            <w14:solidFill>
              <w14:schemeClr w14:val="tx1"/>
            </w14:solidFill>
          </w14:textFill>
        </w:rPr>
        <w:t>、法定代表人授权</w:t>
      </w:r>
      <w:r>
        <w:rPr>
          <w:rFonts w:hint="eastAsia" w:ascii="宋体" w:hAnsi="宋体" w:eastAsia="宋体" w:cs="宋体"/>
          <w:b/>
          <w:color w:val="000000" w:themeColor="text1"/>
          <w:sz w:val="28"/>
          <w:szCs w:val="28"/>
          <w:highlight w:val="none"/>
          <w:lang w:val="en-US" w:eastAsia="zh-CN"/>
          <w14:textFill>
            <w14:solidFill>
              <w14:schemeClr w14:val="tx1"/>
            </w14:solidFill>
          </w14:textFill>
        </w:rPr>
        <w:t>委托</w:t>
      </w:r>
      <w:r>
        <w:rPr>
          <w:rFonts w:hint="eastAsia" w:ascii="宋体" w:hAnsi="宋体" w:eastAsia="宋体" w:cs="宋体"/>
          <w:b/>
          <w:color w:val="000000" w:themeColor="text1"/>
          <w:sz w:val="28"/>
          <w:szCs w:val="28"/>
          <w:highlight w:val="none"/>
          <w14:textFill>
            <w14:solidFill>
              <w14:schemeClr w14:val="tx1"/>
            </w14:solidFill>
          </w14:textFill>
        </w:rPr>
        <w:t>书</w:t>
      </w:r>
    </w:p>
    <w:p w14:paraId="2C96B65C">
      <w:pPr>
        <w:pageBreakBefore w:val="0"/>
        <w:kinsoku/>
        <w:wordWrap/>
        <w:overflowPunct/>
        <w:topLinePunct w:val="0"/>
        <w:autoSpaceDE/>
        <w:autoSpaceDN/>
        <w:bidi w:val="0"/>
        <w:spacing w:line="400" w:lineRule="exact"/>
        <w:ind w:left="0" w:leftChars="0"/>
        <w:jc w:val="center"/>
        <w:textAlignment w:val="auto"/>
        <w:rPr>
          <w:rFonts w:hint="eastAsia" w:ascii="宋体" w:hAnsi="宋体" w:eastAsia="宋体" w:cs="宋体"/>
          <w:b/>
          <w:color w:val="000000" w:themeColor="text1"/>
          <w:sz w:val="28"/>
          <w:szCs w:val="28"/>
          <w:highlight w:val="none"/>
          <w14:textFill>
            <w14:solidFill>
              <w14:schemeClr w14:val="tx1"/>
            </w14:solidFill>
          </w14:textFill>
        </w:rPr>
      </w:pPr>
    </w:p>
    <w:p w14:paraId="7F3CD823">
      <w:pPr>
        <w:pageBreakBefore w:val="0"/>
        <w:kinsoku/>
        <w:wordWrap/>
        <w:overflowPunct/>
        <w:topLinePunct w:val="0"/>
        <w:autoSpaceDE/>
        <w:autoSpaceDN/>
        <w:bidi w:val="0"/>
        <w:spacing w:line="400" w:lineRule="exact"/>
        <w:ind w:left="0" w:leftChars="0"/>
        <w:jc w:val="center"/>
        <w:textAlignment w:val="auto"/>
        <w:rPr>
          <w:rFonts w:hint="eastAsia" w:ascii="宋体" w:hAnsi="宋体" w:eastAsia="宋体" w:cs="宋体"/>
          <w:b/>
          <w:color w:val="000000" w:themeColor="text1"/>
          <w:sz w:val="28"/>
          <w:szCs w:val="28"/>
          <w:highlight w:val="none"/>
          <w14:textFill>
            <w14:solidFill>
              <w14:schemeClr w14:val="tx1"/>
            </w14:solidFill>
          </w14:textFill>
        </w:rPr>
      </w:pPr>
    </w:p>
    <w:p w14:paraId="0A9352D5">
      <w:pPr>
        <w:pageBreakBefore w:val="0"/>
        <w:kinsoku/>
        <w:wordWrap/>
        <w:overflowPunct/>
        <w:topLinePunct w:val="0"/>
        <w:autoSpaceDE/>
        <w:autoSpaceDN/>
        <w:bidi w:val="0"/>
        <w:spacing w:line="400" w:lineRule="exact"/>
        <w:ind w:left="0" w:left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__________________（采购人名称）：</w:t>
      </w:r>
    </w:p>
    <w:p w14:paraId="26B4E442">
      <w:pPr>
        <w:pStyle w:val="21"/>
        <w:pageBreakBefore w:val="0"/>
        <w:kinsoku/>
        <w:wordWrap/>
        <w:overflowPunct/>
        <w:topLinePunct w:val="0"/>
        <w:autoSpaceDE/>
        <w:autoSpaceDN/>
        <w:bidi w:val="0"/>
        <w:ind w:left="0" w:left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本人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（法定代表人）   </w:t>
      </w:r>
      <w:r>
        <w:rPr>
          <w:rFonts w:hint="eastAsia" w:ascii="宋体" w:hAnsi="宋体" w:eastAsia="宋体" w:cs="宋体"/>
          <w:color w:val="000000" w:themeColor="text1"/>
          <w:sz w:val="24"/>
          <w:szCs w:val="24"/>
          <w:highlight w:val="none"/>
          <w:lang w:val="en-US" w:eastAsia="zh-CN"/>
          <w14:textFill>
            <w14:solidFill>
              <w14:schemeClr w14:val="tx1"/>
            </w14:solidFill>
          </w14:textFill>
        </w:rPr>
        <w:t>系</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（投标单位名称）         </w:t>
      </w:r>
      <w:r>
        <w:rPr>
          <w:rFonts w:hint="eastAsia" w:ascii="宋体" w:hAnsi="宋体" w:eastAsia="宋体" w:cs="宋体"/>
          <w:color w:val="000000" w:themeColor="text1"/>
          <w:sz w:val="24"/>
          <w:szCs w:val="24"/>
          <w:highlight w:val="none"/>
          <w:lang w:val="en-US" w:eastAsia="zh-CN"/>
          <w14:textFill>
            <w14:solidFill>
              <w14:schemeClr w14:val="tx1"/>
            </w14:solidFill>
          </w14:textFill>
        </w:rPr>
        <w:t>的法定代表人，现委托</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（被委托人）    </w:t>
      </w:r>
      <w:r>
        <w:rPr>
          <w:rFonts w:hint="eastAsia" w:ascii="宋体" w:hAnsi="宋体" w:eastAsia="宋体" w:cs="宋体"/>
          <w:color w:val="000000" w:themeColor="text1"/>
          <w:sz w:val="24"/>
          <w:szCs w:val="24"/>
          <w:highlight w:val="none"/>
          <w:lang w:val="en-US" w:eastAsia="zh-CN"/>
          <w14:textFill>
            <w14:solidFill>
              <w14:schemeClr w14:val="tx1"/>
            </w14:solidFill>
          </w14:textFill>
        </w:rPr>
        <w:t>为我方代理人。代理人根据授权，以我方名义签署、澄清、说明、补正、递交、撤回、修改</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（项目名称）</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投标文件、签订合同和处理有关事宜，其法律后果由我方承担。</w:t>
      </w:r>
    </w:p>
    <w:p w14:paraId="182ED36E">
      <w:pPr>
        <w:pStyle w:val="21"/>
        <w:pageBreakBefore w:val="0"/>
        <w:kinsoku/>
        <w:wordWrap/>
        <w:overflowPunct/>
        <w:topLinePunct w:val="0"/>
        <w:autoSpaceDE/>
        <w:autoSpaceDN/>
        <w:bidi w:val="0"/>
        <w:ind w:left="0" w:left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授权有效期</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天</w:t>
      </w:r>
    </w:p>
    <w:p w14:paraId="678437A8">
      <w:pPr>
        <w:pageBreakBefore w:val="0"/>
        <w:kinsoku/>
        <w:wordWrap/>
        <w:overflowPunct/>
        <w:topLinePunct w:val="0"/>
        <w:autoSpaceDE/>
        <w:autoSpaceDN/>
        <w:bidi w:val="0"/>
        <w:spacing w:line="40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特此声明。</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7"/>
        <w:gridCol w:w="4247"/>
      </w:tblGrid>
      <w:tr w14:paraId="22B4A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4247" w:type="dxa"/>
            <w:noWrap w:val="0"/>
            <w:vAlign w:val="center"/>
          </w:tcPr>
          <w:p w14:paraId="0D7DE47E">
            <w:pPr>
              <w:pageBreakBefore w:val="0"/>
              <w:kinsoku/>
              <w:wordWrap/>
              <w:overflowPunct/>
              <w:topLinePunct w:val="0"/>
              <w:autoSpaceDE/>
              <w:autoSpaceDN/>
              <w:bidi w:val="0"/>
              <w:jc w:val="center"/>
              <w:textAlignment w:val="auto"/>
              <w:rPr>
                <w:rFonts w:hint="eastAsia" w:ascii="宋体" w:hAnsi="宋体" w:eastAsia="宋体" w:cs="宋体"/>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法定代表人身份证“正”面</w:t>
            </w:r>
          </w:p>
        </w:tc>
        <w:tc>
          <w:tcPr>
            <w:tcW w:w="4247" w:type="dxa"/>
            <w:noWrap w:val="0"/>
            <w:vAlign w:val="center"/>
          </w:tcPr>
          <w:p w14:paraId="1CF783B0">
            <w:pPr>
              <w:pageBreakBefore w:val="0"/>
              <w:kinsoku/>
              <w:wordWrap/>
              <w:overflowPunct/>
              <w:topLinePunct w:val="0"/>
              <w:autoSpaceDE/>
              <w:autoSpaceDN/>
              <w:bidi w:val="0"/>
              <w:jc w:val="center"/>
              <w:textAlignment w:val="auto"/>
              <w:rPr>
                <w:rFonts w:hint="eastAsia" w:ascii="宋体" w:hAnsi="宋体" w:eastAsia="宋体" w:cs="宋体"/>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法定代表人身份证“</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反</w:t>
            </w:r>
            <w:r>
              <w:rPr>
                <w:rFonts w:hint="eastAsia" w:ascii="宋体" w:hAnsi="宋体" w:eastAsia="宋体" w:cs="宋体"/>
                <w:color w:val="000000" w:themeColor="text1"/>
                <w:kern w:val="0"/>
                <w:sz w:val="24"/>
                <w:szCs w:val="24"/>
                <w:highlight w:val="none"/>
                <w14:textFill>
                  <w14:solidFill>
                    <w14:schemeClr w14:val="tx1"/>
                  </w14:solidFill>
                </w14:textFill>
              </w:rPr>
              <w:t>”面</w:t>
            </w:r>
          </w:p>
        </w:tc>
      </w:tr>
      <w:tr w14:paraId="71BFF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trPr>
        <w:tc>
          <w:tcPr>
            <w:tcW w:w="4247" w:type="dxa"/>
            <w:noWrap w:val="0"/>
            <w:vAlign w:val="center"/>
          </w:tcPr>
          <w:p w14:paraId="4CD97A83">
            <w:pPr>
              <w:pageBreakBefore w:val="0"/>
              <w:kinsoku/>
              <w:wordWrap/>
              <w:overflowPunct/>
              <w:topLinePunct w:val="0"/>
              <w:autoSpaceDE/>
              <w:autoSpaceDN/>
              <w:bidi w:val="0"/>
              <w:jc w:val="center"/>
              <w:textAlignment w:val="auto"/>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t>被委托人身份证</w:t>
            </w:r>
            <w:r>
              <w:rPr>
                <w:rFonts w:hint="eastAsia" w:ascii="宋体" w:hAnsi="宋体" w:eastAsia="宋体" w:cs="宋体"/>
                <w:color w:val="000000" w:themeColor="text1"/>
                <w:kern w:val="0"/>
                <w:sz w:val="24"/>
                <w:szCs w:val="24"/>
                <w:highlight w:val="none"/>
                <w14:textFill>
                  <w14:solidFill>
                    <w14:schemeClr w14:val="tx1"/>
                  </w14:solidFill>
                </w14:textFill>
              </w:rPr>
              <w:t>“正”面</w:t>
            </w:r>
          </w:p>
        </w:tc>
        <w:tc>
          <w:tcPr>
            <w:tcW w:w="4247" w:type="dxa"/>
            <w:noWrap w:val="0"/>
            <w:vAlign w:val="center"/>
          </w:tcPr>
          <w:p w14:paraId="565AF404">
            <w:pPr>
              <w:pageBreakBefore w:val="0"/>
              <w:kinsoku/>
              <w:wordWrap/>
              <w:overflowPunct/>
              <w:topLinePunct w:val="0"/>
              <w:autoSpaceDE/>
              <w:autoSpaceDN/>
              <w:bidi w:val="0"/>
              <w:jc w:val="center"/>
              <w:textAlignment w:val="auto"/>
              <w:rPr>
                <w:rFonts w:hint="eastAsia" w:ascii="宋体" w:hAnsi="宋体" w:eastAsia="宋体" w:cs="宋体"/>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t>被委托人身份证</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反</w:t>
            </w:r>
            <w:r>
              <w:rPr>
                <w:rFonts w:hint="eastAsia" w:ascii="宋体" w:hAnsi="宋体" w:eastAsia="宋体" w:cs="宋体"/>
                <w:color w:val="000000" w:themeColor="text1"/>
                <w:kern w:val="0"/>
                <w:sz w:val="24"/>
                <w:szCs w:val="24"/>
                <w:highlight w:val="none"/>
                <w14:textFill>
                  <w14:solidFill>
                    <w14:schemeClr w14:val="tx1"/>
                  </w14:solidFill>
                </w14:textFill>
              </w:rPr>
              <w:t>”面</w:t>
            </w:r>
          </w:p>
        </w:tc>
      </w:tr>
    </w:tbl>
    <w:p w14:paraId="586E94A8">
      <w:pPr>
        <w:pageBreakBefore w:val="0"/>
        <w:kinsoku/>
        <w:wordWrap/>
        <w:overflowPunct/>
        <w:topLinePunct w:val="0"/>
        <w:autoSpaceDE/>
        <w:autoSpaceDN/>
        <w:bidi w:val="0"/>
        <w:spacing w:line="40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（附法人及授权委托人身份证）</w:t>
      </w:r>
    </w:p>
    <w:p w14:paraId="0A5AE67C">
      <w:pPr>
        <w:pageBreakBefore w:val="0"/>
        <w:kinsoku/>
        <w:wordWrap/>
        <w:overflowPunct/>
        <w:topLinePunct w:val="0"/>
        <w:autoSpaceDE/>
        <w:autoSpaceDN/>
        <w:bidi w:val="0"/>
        <w:spacing w:line="400" w:lineRule="exact"/>
        <w:ind w:left="0" w:lef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00E62B88">
      <w:pPr>
        <w:pageBreakBefore w:val="0"/>
        <w:kinsoku/>
        <w:wordWrap/>
        <w:overflowPunct/>
        <w:topLinePunct w:val="0"/>
        <w:autoSpaceDE/>
        <w:autoSpaceDN/>
        <w:bidi w:val="0"/>
        <w:spacing w:line="40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供应商名称</w:t>
      </w:r>
      <w:r>
        <w:rPr>
          <w:rFonts w:hint="eastAsia" w:ascii="宋体" w:hAnsi="宋体" w:eastAsia="宋体" w:cs="宋体"/>
          <w:color w:val="000000" w:themeColor="text1"/>
          <w:sz w:val="24"/>
          <w:szCs w:val="24"/>
          <w:highlight w:val="none"/>
          <w14:textFill>
            <w14:solidFill>
              <w14:schemeClr w14:val="tx1"/>
            </w14:solidFill>
          </w14:textFill>
        </w:rPr>
        <w:t>：         （盖章）</w:t>
      </w:r>
    </w:p>
    <w:p w14:paraId="207B8D75">
      <w:pPr>
        <w:pageBreakBefore w:val="0"/>
        <w:kinsoku/>
        <w:wordWrap/>
        <w:overflowPunct/>
        <w:topLinePunct w:val="0"/>
        <w:autoSpaceDE/>
        <w:autoSpaceDN/>
        <w:bidi w:val="0"/>
        <w:spacing w:line="400" w:lineRule="exact"/>
        <w:ind w:left="0" w:lef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(签字或盖章)</w:t>
      </w:r>
    </w:p>
    <w:p w14:paraId="2C7FEC10">
      <w:pPr>
        <w:pageBreakBefore w:val="0"/>
        <w:kinsoku/>
        <w:wordWrap/>
        <w:overflowPunct/>
        <w:topLinePunct w:val="0"/>
        <w:autoSpaceDE/>
        <w:autoSpaceDN/>
        <w:bidi w:val="0"/>
        <w:spacing w:line="40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授权代表</w:t>
      </w:r>
      <w:r>
        <w:rPr>
          <w:rFonts w:hint="eastAsia" w:ascii="宋体" w:hAnsi="宋体" w:eastAsia="宋体" w:cs="宋体"/>
          <w:color w:val="000000" w:themeColor="text1"/>
          <w:sz w:val="24"/>
          <w:szCs w:val="24"/>
          <w:highlight w:val="none"/>
          <w:lang w:val="en-US" w:eastAsia="zh-CN"/>
          <w14:textFill>
            <w14:solidFill>
              <w14:schemeClr w14:val="tx1"/>
            </w14:solidFill>
          </w14:textFill>
        </w:rPr>
        <w:t>人</w:t>
      </w:r>
      <w:r>
        <w:rPr>
          <w:rFonts w:hint="eastAsia" w:ascii="宋体" w:hAnsi="宋体" w:eastAsia="宋体" w:cs="宋体"/>
          <w:color w:val="000000" w:themeColor="text1"/>
          <w:sz w:val="24"/>
          <w:szCs w:val="24"/>
          <w:highlight w:val="none"/>
          <w14:textFill>
            <w14:solidFill>
              <w14:schemeClr w14:val="tx1"/>
            </w14:solidFill>
          </w14:textFill>
        </w:rPr>
        <w:t>签字：</w:t>
      </w:r>
    </w:p>
    <w:p w14:paraId="52DA3538">
      <w:pPr>
        <w:pageBreakBefore w:val="0"/>
        <w:kinsoku/>
        <w:wordWrap/>
        <w:overflowPunct/>
        <w:topLinePunct w:val="0"/>
        <w:autoSpaceDE/>
        <w:autoSpaceDN/>
        <w:bidi w:val="0"/>
        <w:spacing w:line="40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70F9DF80">
      <w:pPr>
        <w:pageBreakBefore w:val="0"/>
        <w:kinsoku/>
        <w:wordWrap/>
        <w:overflowPunct/>
        <w:topLinePunct w:val="0"/>
        <w:autoSpaceDE/>
        <w:autoSpaceDN/>
        <w:bidi w:val="0"/>
        <w:spacing w:line="40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    期：</w:t>
      </w:r>
    </w:p>
    <w:p w14:paraId="7AC1873D">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2D0D78A4">
      <w:pPr>
        <w:keepNext w:val="0"/>
        <w:keepLines w:val="0"/>
        <w:pageBreakBefore w:val="0"/>
        <w:widowControl w:val="0"/>
        <w:kinsoku/>
        <w:wordWrap/>
        <w:overflowPunct/>
        <w:topLinePunct w:val="0"/>
        <w:autoSpaceDE/>
        <w:autoSpaceDN/>
        <w:bidi w:val="0"/>
        <w:adjustRightInd/>
        <w:snapToGrid/>
        <w:spacing w:line="240" w:lineRule="auto"/>
        <w:ind w:left="0" w:leftChars="0" w:firstLine="562" w:firstLineChars="200"/>
        <w:textAlignment w:val="auto"/>
        <w:rPr>
          <w:rFonts w:hint="eastAsia" w:ascii="宋体" w:hAnsi="宋体" w:eastAsia="宋体" w:cs="宋体"/>
          <w:b/>
          <w:bCs/>
          <w:color w:val="000000" w:themeColor="text1"/>
          <w:sz w:val="28"/>
          <w:szCs w:val="28"/>
          <w:highlight w:val="none"/>
          <w:lang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注：</w:t>
      </w:r>
      <w:r>
        <w:rPr>
          <w:rFonts w:hint="eastAsia" w:ascii="宋体" w:hAnsi="宋体" w:eastAsia="宋体" w:cs="宋体"/>
          <w:b/>
          <w:bCs/>
          <w:color w:val="000000" w:themeColor="text1"/>
          <w:sz w:val="28"/>
          <w:szCs w:val="28"/>
          <w:highlight w:val="none"/>
          <w14:textFill>
            <w14:solidFill>
              <w14:schemeClr w14:val="tx1"/>
            </w14:solidFill>
          </w14:textFill>
        </w:rPr>
        <w:t>如</w:t>
      </w:r>
      <w:r>
        <w:rPr>
          <w:rFonts w:hint="eastAsia" w:ascii="宋体" w:hAnsi="宋体" w:eastAsia="宋体" w:cs="宋体"/>
          <w:b/>
          <w:bCs/>
          <w:color w:val="000000" w:themeColor="text1"/>
          <w:sz w:val="28"/>
          <w:szCs w:val="28"/>
          <w:highlight w:val="none"/>
          <w:lang w:eastAsia="zh-CN"/>
          <w14:textFill>
            <w14:solidFill>
              <w14:schemeClr w14:val="tx1"/>
            </w14:solidFill>
          </w14:textFill>
        </w:rPr>
        <w:t>委托人</w:t>
      </w:r>
      <w:r>
        <w:rPr>
          <w:rFonts w:hint="eastAsia" w:ascii="宋体" w:hAnsi="宋体" w:eastAsia="宋体" w:cs="宋体"/>
          <w:b/>
          <w:bCs/>
          <w:color w:val="000000" w:themeColor="text1"/>
          <w:sz w:val="28"/>
          <w:szCs w:val="28"/>
          <w:highlight w:val="none"/>
          <w14:textFill>
            <w14:solidFill>
              <w14:schemeClr w14:val="tx1"/>
            </w14:solidFill>
          </w14:textFill>
        </w:rPr>
        <w:t>开标需</w:t>
      </w:r>
      <w:r>
        <w:rPr>
          <w:rFonts w:hint="eastAsia" w:ascii="宋体" w:hAnsi="宋体" w:eastAsia="宋体" w:cs="宋体"/>
          <w:b/>
          <w:bCs/>
          <w:color w:val="000000" w:themeColor="text1"/>
          <w:sz w:val="28"/>
          <w:szCs w:val="28"/>
          <w:highlight w:val="none"/>
          <w:lang w:eastAsia="zh-CN"/>
          <w14:textFill>
            <w14:solidFill>
              <w14:schemeClr w14:val="tx1"/>
            </w14:solidFill>
          </w14:textFill>
        </w:rPr>
        <w:t>严格按照以上格式开标时</w:t>
      </w:r>
      <w:r>
        <w:rPr>
          <w:rFonts w:hint="eastAsia" w:ascii="宋体" w:hAnsi="宋体" w:eastAsia="宋体" w:cs="宋体"/>
          <w:b/>
          <w:bCs/>
          <w:color w:val="000000" w:themeColor="text1"/>
          <w:sz w:val="28"/>
          <w:szCs w:val="28"/>
          <w:highlight w:val="none"/>
          <w14:textFill>
            <w14:solidFill>
              <w14:schemeClr w14:val="tx1"/>
            </w14:solidFill>
          </w14:textFill>
        </w:rPr>
        <w:t>出示此表</w:t>
      </w:r>
      <w:r>
        <w:rPr>
          <w:rFonts w:hint="eastAsia" w:ascii="宋体" w:hAnsi="宋体" w:eastAsia="宋体" w:cs="宋体"/>
          <w:b/>
          <w:bCs/>
          <w:color w:val="000000" w:themeColor="text1"/>
          <w:sz w:val="28"/>
          <w:szCs w:val="28"/>
          <w:highlight w:val="none"/>
          <w:lang w:eastAsia="zh-CN"/>
          <w14:textFill>
            <w14:solidFill>
              <w14:schemeClr w14:val="tx1"/>
            </w14:solidFill>
          </w14:textFill>
        </w:rPr>
        <w:t>。</w:t>
      </w:r>
      <w:bookmarkEnd w:id="424"/>
      <w:bookmarkEnd w:id="425"/>
      <w:bookmarkStart w:id="431" w:name="_Toc22721"/>
      <w:bookmarkStart w:id="432" w:name="_Toc3806"/>
    </w:p>
    <w:p w14:paraId="2ED2EA7F">
      <w:pPr>
        <w:keepNext w:val="0"/>
        <w:keepLines w:val="0"/>
        <w:pageBreakBefore w:val="0"/>
        <w:widowControl w:val="0"/>
        <w:kinsoku/>
        <w:wordWrap/>
        <w:overflowPunct/>
        <w:topLinePunct w:val="0"/>
        <w:autoSpaceDE/>
        <w:autoSpaceDN/>
        <w:bidi w:val="0"/>
        <w:adjustRightInd/>
        <w:snapToGrid/>
        <w:spacing w:line="240" w:lineRule="auto"/>
        <w:ind w:left="0" w:leftChars="0" w:firstLine="562" w:firstLineChars="200"/>
        <w:textAlignment w:val="auto"/>
        <w:rPr>
          <w:rFonts w:hint="eastAsia" w:ascii="宋体" w:hAnsi="宋体" w:eastAsia="宋体" w:cs="宋体"/>
          <w:b/>
          <w:bCs/>
          <w:color w:val="000000" w:themeColor="text1"/>
          <w:sz w:val="28"/>
          <w:szCs w:val="28"/>
          <w:highlight w:val="none"/>
          <w:lang w:eastAsia="zh-CN"/>
          <w14:textFill>
            <w14:solidFill>
              <w14:schemeClr w14:val="tx1"/>
            </w14:solidFill>
          </w14:textFill>
        </w:rPr>
      </w:pPr>
    </w:p>
    <w:p w14:paraId="67D6CF77">
      <w:pPr>
        <w:keepNext w:val="0"/>
        <w:keepLines w:val="0"/>
        <w:pageBreakBefore w:val="0"/>
        <w:widowControl w:val="0"/>
        <w:kinsoku/>
        <w:wordWrap/>
        <w:overflowPunct/>
        <w:topLinePunct w:val="0"/>
        <w:autoSpaceDE/>
        <w:autoSpaceDN/>
        <w:bidi w:val="0"/>
        <w:adjustRightInd/>
        <w:snapToGrid/>
        <w:spacing w:line="240" w:lineRule="auto"/>
        <w:ind w:left="0" w:leftChars="0" w:firstLine="562" w:firstLineChars="200"/>
        <w:textAlignment w:val="auto"/>
        <w:rPr>
          <w:rFonts w:hint="eastAsia" w:ascii="宋体" w:hAnsi="宋体" w:eastAsia="宋体" w:cs="宋体"/>
          <w:b/>
          <w:bCs/>
          <w:color w:val="000000" w:themeColor="text1"/>
          <w:sz w:val="28"/>
          <w:szCs w:val="28"/>
          <w:highlight w:val="none"/>
          <w:lang w:eastAsia="zh-CN"/>
          <w14:textFill>
            <w14:solidFill>
              <w14:schemeClr w14:val="tx1"/>
            </w14:solidFill>
          </w14:textFill>
        </w:rPr>
      </w:pPr>
    </w:p>
    <w:p w14:paraId="460EEF4D">
      <w:pPr>
        <w:keepNext w:val="0"/>
        <w:keepLines w:val="0"/>
        <w:pageBreakBefore w:val="0"/>
        <w:widowControl w:val="0"/>
        <w:kinsoku/>
        <w:wordWrap/>
        <w:overflowPunct/>
        <w:topLinePunct w:val="0"/>
        <w:autoSpaceDE/>
        <w:autoSpaceDN/>
        <w:bidi w:val="0"/>
        <w:adjustRightInd/>
        <w:snapToGrid/>
        <w:spacing w:line="240" w:lineRule="auto"/>
        <w:ind w:left="0" w:leftChars="0" w:firstLine="562" w:firstLineChars="200"/>
        <w:textAlignment w:val="auto"/>
        <w:rPr>
          <w:rFonts w:hint="eastAsia" w:ascii="宋体" w:hAnsi="宋体" w:eastAsia="宋体" w:cs="宋体"/>
          <w:b/>
          <w:bCs/>
          <w:color w:val="000000" w:themeColor="text1"/>
          <w:sz w:val="28"/>
          <w:szCs w:val="28"/>
          <w:highlight w:val="none"/>
          <w:lang w:eastAsia="zh-CN"/>
          <w14:textFill>
            <w14:solidFill>
              <w14:schemeClr w14:val="tx1"/>
            </w14:solidFill>
          </w14:textFill>
        </w:rPr>
      </w:pPr>
    </w:p>
    <w:p w14:paraId="21108AE4">
      <w:pPr>
        <w:widowControl/>
        <w:jc w:val="left"/>
        <w:outlineLvl w:val="1"/>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5A04A3CB">
      <w:pPr>
        <w:widowControl/>
        <w:jc w:val="left"/>
        <w:outlineLvl w:val="1"/>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62A9E8BA">
      <w:pPr>
        <w:widowControl/>
        <w:jc w:val="left"/>
        <w:outlineLvl w:val="1"/>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78799102">
      <w:pPr>
        <w:widowControl/>
        <w:jc w:val="left"/>
        <w:outlineLvl w:val="1"/>
        <w:rPr>
          <w:rFonts w:ascii="黑体" w:hAnsi="黑体" w:eastAsia="黑体" w:cs="黑体"/>
          <w:b/>
          <w:kern w:val="0"/>
          <w:sz w:val="32"/>
          <w:szCs w:val="24"/>
          <w:lang w:eastAsia="en-US"/>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八、</w:t>
      </w:r>
      <w:bookmarkEnd w:id="431"/>
      <w:bookmarkEnd w:id="432"/>
      <w:r>
        <w:rPr>
          <w:rFonts w:ascii="黑体" w:hAnsi="黑体" w:eastAsia="黑体" w:cs="黑体"/>
          <w:b/>
          <w:kern w:val="0"/>
          <w:sz w:val="32"/>
          <w:szCs w:val="24"/>
          <w:lang w:eastAsia="en-US"/>
        </w:rPr>
        <w:t>已标价的工程量清单</w:t>
      </w:r>
    </w:p>
    <w:p w14:paraId="5AD0E766">
      <w:pPr>
        <w:jc w:val="center"/>
        <w:rPr>
          <w:b/>
          <w:sz w:val="28"/>
        </w:rPr>
      </w:pPr>
      <w:r>
        <w:rPr>
          <w:rFonts w:hint="eastAsia"/>
          <w:b/>
          <w:sz w:val="28"/>
        </w:rPr>
        <w:t>已标价工程量清单</w:t>
      </w:r>
    </w:p>
    <w:p w14:paraId="3A59C155">
      <w:pPr>
        <w:widowControl/>
        <w:jc w:val="left"/>
        <w:outlineLvl w:val="1"/>
        <w:rPr>
          <w:rFonts w:ascii="黑体" w:hAnsi="黑体" w:eastAsia="黑体" w:cs="黑体"/>
          <w:b/>
          <w:kern w:val="0"/>
          <w:sz w:val="32"/>
          <w:szCs w:val="24"/>
          <w:lang w:eastAsia="en-US"/>
        </w:rPr>
      </w:pPr>
      <w:r>
        <w:rPr>
          <w:rFonts w:ascii="Times New Roman" w:hAnsi="Times New Roman" w:eastAsia="Times New Roman"/>
          <w:kern w:val="0"/>
          <w:sz w:val="24"/>
          <w:szCs w:val="24"/>
          <w:lang w:eastAsia="en-US"/>
        </w:rPr>
        <w:br w:type="page"/>
      </w:r>
      <w:bookmarkStart w:id="433" w:name="_Toc256000164"/>
      <w:r>
        <w:rPr>
          <w:rFonts w:hint="eastAsia" w:ascii="黑体" w:hAnsi="黑体" w:eastAsia="黑体" w:cs="黑体"/>
          <w:b/>
          <w:kern w:val="0"/>
          <w:sz w:val="32"/>
          <w:szCs w:val="24"/>
          <w:lang w:val="en-US" w:eastAsia="zh-CN"/>
        </w:rPr>
        <w:t>九</w:t>
      </w:r>
      <w:r>
        <w:rPr>
          <w:rFonts w:ascii="黑体" w:hAnsi="黑体" w:eastAsia="黑体" w:cs="黑体"/>
          <w:b/>
          <w:kern w:val="0"/>
          <w:sz w:val="32"/>
          <w:szCs w:val="24"/>
          <w:lang w:eastAsia="en-US"/>
        </w:rPr>
        <w:t>、施工组织设计</w:t>
      </w:r>
      <w:bookmarkEnd w:id="433"/>
    </w:p>
    <w:p w14:paraId="5CA5F748">
      <w:pPr>
        <w:spacing w:line="500" w:lineRule="exact"/>
        <w:rPr>
          <w:rFonts w:hint="eastAsia" w:ascii="宋体" w:hAnsi="宋体" w:cs="宋体"/>
          <w:sz w:val="24"/>
          <w:szCs w:val="24"/>
        </w:rPr>
      </w:pPr>
      <w:r>
        <w:rPr>
          <w:rFonts w:hint="eastAsia"/>
        </w:rPr>
        <w:t>　</w:t>
      </w:r>
      <w:r>
        <w:rPr>
          <w:rFonts w:hint="eastAsia" w:ascii="宋体" w:hAnsi="宋体" w:cs="宋体"/>
          <w:sz w:val="24"/>
          <w:szCs w:val="24"/>
        </w:rPr>
        <w:t>　1.投标人编制施工组织设计时应采用文字并结合图表形式说明工程的施工组织、施工方法、技术组织措施，同时应对关键工序、复杂环节重点提出相应技术措施，如冬雨季施工技术、减少噪音、降低环境污染、地下管线及其它地上地下设施的保护加固措施等。施工组织设计还应结合工程特点提出切实可行的工程质量、工程进度、安全生产、防汛度汛、文明施工、水土保持、环境保护管理方案。</w:t>
      </w:r>
    </w:p>
    <w:p w14:paraId="2457B9ED">
      <w:pPr>
        <w:spacing w:line="500" w:lineRule="exact"/>
      </w:pPr>
      <w:r>
        <w:rPr>
          <w:rFonts w:hint="eastAsia" w:ascii="宋体" w:hAnsi="宋体" w:cs="宋体"/>
          <w:sz w:val="24"/>
          <w:szCs w:val="24"/>
        </w:rPr>
        <w:t>　　施工组织设计应附的文字说明及附图见下表(不限于，仅供参考)：</w:t>
      </w:r>
    </w:p>
    <w:tbl>
      <w:tblPr>
        <w:tblStyle w:val="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1"/>
        <w:gridCol w:w="5572"/>
        <w:gridCol w:w="3040"/>
      </w:tblGrid>
      <w:tr w14:paraId="2B9E3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1" w:type="dxa"/>
            <w:noWrap w:val="0"/>
            <w:vAlign w:val="center"/>
          </w:tcPr>
          <w:p w14:paraId="73A713AC">
            <w:pPr>
              <w:jc w:val="center"/>
              <w:rPr>
                <w:rFonts w:hint="eastAsia"/>
              </w:rPr>
            </w:pPr>
            <w:r>
              <w:rPr>
                <w:rFonts w:hint="eastAsia"/>
              </w:rPr>
              <w:t>序号</w:t>
            </w:r>
          </w:p>
        </w:tc>
        <w:tc>
          <w:tcPr>
            <w:tcW w:w="5572" w:type="dxa"/>
            <w:noWrap w:val="0"/>
            <w:vAlign w:val="center"/>
          </w:tcPr>
          <w:p w14:paraId="3D3449B1">
            <w:pPr>
              <w:jc w:val="center"/>
              <w:rPr>
                <w:rFonts w:hint="eastAsia"/>
              </w:rPr>
            </w:pPr>
            <w:r>
              <w:rPr>
                <w:rFonts w:hint="eastAsia"/>
              </w:rPr>
              <w:t>名称</w:t>
            </w:r>
          </w:p>
        </w:tc>
        <w:tc>
          <w:tcPr>
            <w:tcW w:w="3040" w:type="dxa"/>
            <w:noWrap w:val="0"/>
            <w:vAlign w:val="center"/>
          </w:tcPr>
          <w:p w14:paraId="70615F9E">
            <w:pPr>
              <w:jc w:val="center"/>
            </w:pPr>
            <w:r>
              <w:rPr>
                <w:rFonts w:hint="eastAsia"/>
              </w:rPr>
              <w:t>备注</w:t>
            </w:r>
          </w:p>
        </w:tc>
      </w:tr>
      <w:tr w14:paraId="23893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1" w:type="dxa"/>
            <w:noWrap w:val="0"/>
            <w:vAlign w:val="center"/>
          </w:tcPr>
          <w:p w14:paraId="6CED42FC">
            <w:pPr>
              <w:jc w:val="center"/>
              <w:rPr>
                <w:rFonts w:hint="eastAsia"/>
              </w:rPr>
            </w:pPr>
            <w:r>
              <w:rPr>
                <w:rFonts w:hint="eastAsia"/>
              </w:rPr>
              <w:t>1</w:t>
            </w:r>
          </w:p>
        </w:tc>
        <w:tc>
          <w:tcPr>
            <w:tcW w:w="5572" w:type="dxa"/>
            <w:noWrap w:val="0"/>
            <w:vAlign w:val="top"/>
          </w:tcPr>
          <w:p w14:paraId="73743281">
            <w:pPr>
              <w:rPr>
                <w:rFonts w:hint="eastAsia"/>
              </w:rPr>
            </w:pPr>
            <w:r>
              <w:rPr>
                <w:rFonts w:hint="eastAsia"/>
              </w:rPr>
              <w:t>施工围堰设计说明书及附图(包括加高、维护、拆除)</w:t>
            </w:r>
          </w:p>
        </w:tc>
        <w:tc>
          <w:tcPr>
            <w:tcW w:w="3040" w:type="dxa"/>
            <w:noWrap w:val="0"/>
            <w:vAlign w:val="top"/>
          </w:tcPr>
          <w:p w14:paraId="39DF11C9">
            <w:pPr>
              <w:rPr>
                <w:rFonts w:hint="eastAsia"/>
              </w:rPr>
            </w:pPr>
          </w:p>
        </w:tc>
      </w:tr>
      <w:tr w14:paraId="0C065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1" w:type="dxa"/>
            <w:noWrap w:val="0"/>
            <w:vAlign w:val="center"/>
          </w:tcPr>
          <w:p w14:paraId="691FA838">
            <w:pPr>
              <w:jc w:val="center"/>
              <w:rPr>
                <w:rFonts w:hint="eastAsia"/>
              </w:rPr>
            </w:pPr>
            <w:r>
              <w:rPr>
                <w:rFonts w:hint="eastAsia"/>
              </w:rPr>
              <w:t>2</w:t>
            </w:r>
          </w:p>
        </w:tc>
        <w:tc>
          <w:tcPr>
            <w:tcW w:w="5572" w:type="dxa"/>
            <w:noWrap w:val="0"/>
            <w:vAlign w:val="top"/>
          </w:tcPr>
          <w:p w14:paraId="63DA23A8">
            <w:pPr>
              <w:rPr>
                <w:rFonts w:hint="eastAsia"/>
              </w:rPr>
            </w:pPr>
            <w:r>
              <w:rPr>
                <w:rFonts w:hint="eastAsia"/>
              </w:rPr>
              <w:t>施工排水设计说明书及附图(包括降水方案、场地排水等)</w:t>
            </w:r>
          </w:p>
        </w:tc>
        <w:tc>
          <w:tcPr>
            <w:tcW w:w="3040" w:type="dxa"/>
            <w:noWrap w:val="0"/>
            <w:vAlign w:val="top"/>
          </w:tcPr>
          <w:p w14:paraId="2E2F7D7E">
            <w:pPr>
              <w:rPr>
                <w:rFonts w:hint="eastAsia"/>
              </w:rPr>
            </w:pPr>
          </w:p>
        </w:tc>
      </w:tr>
      <w:tr w14:paraId="5F2A4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1" w:type="dxa"/>
            <w:noWrap w:val="0"/>
            <w:vAlign w:val="center"/>
          </w:tcPr>
          <w:p w14:paraId="18FB8632">
            <w:pPr>
              <w:jc w:val="center"/>
              <w:rPr>
                <w:rFonts w:hint="eastAsia"/>
              </w:rPr>
            </w:pPr>
            <w:r>
              <w:rPr>
                <w:rFonts w:hint="eastAsia"/>
              </w:rPr>
              <w:t>3</w:t>
            </w:r>
          </w:p>
        </w:tc>
        <w:tc>
          <w:tcPr>
            <w:tcW w:w="5572" w:type="dxa"/>
            <w:noWrap w:val="0"/>
            <w:vAlign w:val="top"/>
          </w:tcPr>
          <w:p w14:paraId="60440049">
            <w:pPr>
              <w:rPr>
                <w:rFonts w:hint="eastAsia"/>
              </w:rPr>
            </w:pPr>
            <w:r>
              <w:rPr>
                <w:rFonts w:hint="eastAsia"/>
              </w:rPr>
              <w:t>材料采购(黄砂、碎石、块石的产地、矿名等均应明示，钢材、水泥的生产厂家，转运方案：卸料、短驳、运输、道路维护等)</w:t>
            </w:r>
          </w:p>
        </w:tc>
        <w:tc>
          <w:tcPr>
            <w:tcW w:w="3040" w:type="dxa"/>
            <w:noWrap w:val="0"/>
            <w:vAlign w:val="top"/>
          </w:tcPr>
          <w:p w14:paraId="5FE0E971">
            <w:pPr>
              <w:rPr>
                <w:rFonts w:hint="eastAsia"/>
              </w:rPr>
            </w:pPr>
          </w:p>
        </w:tc>
      </w:tr>
      <w:tr w14:paraId="52467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1" w:type="dxa"/>
            <w:noWrap w:val="0"/>
            <w:vAlign w:val="center"/>
          </w:tcPr>
          <w:p w14:paraId="0E878907">
            <w:pPr>
              <w:jc w:val="center"/>
              <w:rPr>
                <w:rFonts w:hint="eastAsia"/>
              </w:rPr>
            </w:pPr>
            <w:r>
              <w:rPr>
                <w:rFonts w:hint="eastAsia"/>
              </w:rPr>
              <w:t>4</w:t>
            </w:r>
          </w:p>
        </w:tc>
        <w:tc>
          <w:tcPr>
            <w:tcW w:w="5572" w:type="dxa"/>
            <w:noWrap w:val="0"/>
            <w:vAlign w:val="top"/>
          </w:tcPr>
          <w:p w14:paraId="00F49B6E">
            <w:pPr>
              <w:rPr>
                <w:rFonts w:hint="eastAsia"/>
              </w:rPr>
            </w:pPr>
            <w:r>
              <w:rPr>
                <w:rFonts w:hint="eastAsia"/>
              </w:rPr>
              <w:t>土方工程施工说明书及附图(施工工艺及质量保证措施和有关试验要求，施工进度工期计划等)</w:t>
            </w:r>
          </w:p>
        </w:tc>
        <w:tc>
          <w:tcPr>
            <w:tcW w:w="3040" w:type="dxa"/>
            <w:noWrap w:val="0"/>
            <w:vAlign w:val="top"/>
          </w:tcPr>
          <w:p w14:paraId="6FE485E6">
            <w:pPr>
              <w:rPr>
                <w:rFonts w:hint="eastAsia"/>
              </w:rPr>
            </w:pPr>
          </w:p>
        </w:tc>
      </w:tr>
      <w:tr w14:paraId="7E1D2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1" w:type="dxa"/>
            <w:noWrap w:val="0"/>
            <w:vAlign w:val="center"/>
          </w:tcPr>
          <w:p w14:paraId="746B40CB">
            <w:pPr>
              <w:jc w:val="center"/>
              <w:rPr>
                <w:rFonts w:hint="eastAsia"/>
              </w:rPr>
            </w:pPr>
            <w:r>
              <w:rPr>
                <w:rFonts w:hint="eastAsia"/>
              </w:rPr>
              <w:t>5</w:t>
            </w:r>
          </w:p>
        </w:tc>
        <w:tc>
          <w:tcPr>
            <w:tcW w:w="5572" w:type="dxa"/>
            <w:noWrap w:val="0"/>
            <w:vAlign w:val="top"/>
          </w:tcPr>
          <w:p w14:paraId="7111E93E">
            <w:pPr>
              <w:rPr>
                <w:rFonts w:hint="eastAsia"/>
              </w:rPr>
            </w:pPr>
            <w:r>
              <w:rPr>
                <w:rFonts w:hint="eastAsia"/>
              </w:rPr>
              <w:t>基坑支护、地基加固工程施工说明书及附图(施工工艺及质量保证措施和有关试验要求，施工进度工期计划等)</w:t>
            </w:r>
          </w:p>
        </w:tc>
        <w:tc>
          <w:tcPr>
            <w:tcW w:w="3040" w:type="dxa"/>
            <w:noWrap w:val="0"/>
            <w:vAlign w:val="top"/>
          </w:tcPr>
          <w:p w14:paraId="1DEB873C">
            <w:pPr>
              <w:rPr>
                <w:rFonts w:hint="eastAsia"/>
              </w:rPr>
            </w:pPr>
          </w:p>
        </w:tc>
      </w:tr>
      <w:tr w14:paraId="23571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1" w:type="dxa"/>
            <w:noWrap w:val="0"/>
            <w:vAlign w:val="center"/>
          </w:tcPr>
          <w:p w14:paraId="24716E24">
            <w:pPr>
              <w:jc w:val="center"/>
              <w:rPr>
                <w:rFonts w:hint="eastAsia"/>
              </w:rPr>
            </w:pPr>
            <w:r>
              <w:rPr>
                <w:rFonts w:hint="eastAsia"/>
              </w:rPr>
              <w:t>6</w:t>
            </w:r>
          </w:p>
        </w:tc>
        <w:tc>
          <w:tcPr>
            <w:tcW w:w="5572" w:type="dxa"/>
            <w:noWrap w:val="0"/>
            <w:vAlign w:val="top"/>
          </w:tcPr>
          <w:p w14:paraId="53ABB56B">
            <w:pPr>
              <w:rPr>
                <w:rFonts w:hint="eastAsia"/>
              </w:rPr>
            </w:pPr>
            <w:r>
              <w:rPr>
                <w:rFonts w:hint="eastAsia"/>
              </w:rPr>
              <w:t>主体建筑物工程施工说明书及附图(施工工艺及质量保证措施和有关试验要求，施工进度工期计划等)</w:t>
            </w:r>
          </w:p>
        </w:tc>
        <w:tc>
          <w:tcPr>
            <w:tcW w:w="3040" w:type="dxa"/>
            <w:noWrap w:val="0"/>
            <w:vAlign w:val="top"/>
          </w:tcPr>
          <w:p w14:paraId="6540D093">
            <w:pPr>
              <w:rPr>
                <w:rFonts w:hint="eastAsia"/>
              </w:rPr>
            </w:pPr>
          </w:p>
        </w:tc>
      </w:tr>
      <w:tr w14:paraId="54013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1" w:type="dxa"/>
            <w:noWrap w:val="0"/>
            <w:vAlign w:val="center"/>
          </w:tcPr>
          <w:p w14:paraId="767BAB0B">
            <w:pPr>
              <w:jc w:val="center"/>
              <w:rPr>
                <w:rFonts w:hint="eastAsia"/>
              </w:rPr>
            </w:pPr>
            <w:r>
              <w:rPr>
                <w:rFonts w:hint="eastAsia"/>
              </w:rPr>
              <w:t>7</w:t>
            </w:r>
          </w:p>
        </w:tc>
        <w:tc>
          <w:tcPr>
            <w:tcW w:w="5572" w:type="dxa"/>
            <w:noWrap w:val="0"/>
            <w:vAlign w:val="top"/>
          </w:tcPr>
          <w:p w14:paraId="16B266EF">
            <w:pPr>
              <w:rPr>
                <w:rFonts w:hint="eastAsia"/>
              </w:rPr>
            </w:pPr>
            <w:r>
              <w:rPr>
                <w:rFonts w:hint="eastAsia"/>
              </w:rPr>
              <w:t>金属结构制造和安装计划、措施及附图</w:t>
            </w:r>
          </w:p>
        </w:tc>
        <w:tc>
          <w:tcPr>
            <w:tcW w:w="3040" w:type="dxa"/>
            <w:noWrap w:val="0"/>
            <w:vAlign w:val="top"/>
          </w:tcPr>
          <w:p w14:paraId="0F9B7F78">
            <w:pPr>
              <w:rPr>
                <w:rFonts w:hint="eastAsia"/>
              </w:rPr>
            </w:pPr>
          </w:p>
        </w:tc>
      </w:tr>
      <w:tr w14:paraId="07864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1" w:type="dxa"/>
            <w:noWrap w:val="0"/>
            <w:vAlign w:val="center"/>
          </w:tcPr>
          <w:p w14:paraId="62D7981A">
            <w:pPr>
              <w:jc w:val="center"/>
              <w:rPr>
                <w:rFonts w:hint="eastAsia"/>
              </w:rPr>
            </w:pPr>
            <w:r>
              <w:rPr>
                <w:rFonts w:hint="eastAsia"/>
              </w:rPr>
              <w:t>8</w:t>
            </w:r>
          </w:p>
        </w:tc>
        <w:tc>
          <w:tcPr>
            <w:tcW w:w="5572" w:type="dxa"/>
            <w:noWrap w:val="0"/>
            <w:vAlign w:val="top"/>
          </w:tcPr>
          <w:p w14:paraId="1A42BA0C">
            <w:pPr>
              <w:rPr>
                <w:rFonts w:hint="eastAsia"/>
              </w:rPr>
            </w:pPr>
            <w:r>
              <w:rPr>
                <w:rFonts w:hint="eastAsia"/>
              </w:rPr>
              <w:t>机电设备安装、调试方案、施工进度计划说明书</w:t>
            </w:r>
          </w:p>
        </w:tc>
        <w:tc>
          <w:tcPr>
            <w:tcW w:w="3040" w:type="dxa"/>
            <w:noWrap w:val="0"/>
            <w:vAlign w:val="top"/>
          </w:tcPr>
          <w:p w14:paraId="27341287">
            <w:pPr>
              <w:rPr>
                <w:rFonts w:hint="eastAsia"/>
              </w:rPr>
            </w:pPr>
          </w:p>
        </w:tc>
      </w:tr>
      <w:tr w14:paraId="24FB7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1" w:type="dxa"/>
            <w:noWrap w:val="0"/>
            <w:vAlign w:val="center"/>
          </w:tcPr>
          <w:p w14:paraId="01881835">
            <w:pPr>
              <w:jc w:val="center"/>
              <w:rPr>
                <w:rFonts w:hint="eastAsia"/>
              </w:rPr>
            </w:pPr>
            <w:r>
              <w:rPr>
                <w:rFonts w:hint="eastAsia"/>
              </w:rPr>
              <w:t>9</w:t>
            </w:r>
          </w:p>
        </w:tc>
        <w:tc>
          <w:tcPr>
            <w:tcW w:w="5572" w:type="dxa"/>
            <w:noWrap w:val="0"/>
            <w:vAlign w:val="top"/>
          </w:tcPr>
          <w:p w14:paraId="48FE0F93">
            <w:pPr>
              <w:rPr>
                <w:rFonts w:hint="eastAsia"/>
              </w:rPr>
            </w:pPr>
            <w:r>
              <w:rPr>
                <w:rFonts w:hint="eastAsia"/>
              </w:rPr>
              <w:t>建筑与装修工程施工说明书(施工工艺及质量保证措施，施工进度工期计划等)</w:t>
            </w:r>
          </w:p>
        </w:tc>
        <w:tc>
          <w:tcPr>
            <w:tcW w:w="3040" w:type="dxa"/>
            <w:noWrap w:val="0"/>
            <w:vAlign w:val="top"/>
          </w:tcPr>
          <w:p w14:paraId="2E765C60">
            <w:pPr>
              <w:rPr>
                <w:rFonts w:hint="eastAsia"/>
              </w:rPr>
            </w:pPr>
          </w:p>
        </w:tc>
      </w:tr>
      <w:tr w14:paraId="68057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1" w:type="dxa"/>
            <w:noWrap w:val="0"/>
            <w:vAlign w:val="center"/>
          </w:tcPr>
          <w:p w14:paraId="3E678EB6">
            <w:pPr>
              <w:jc w:val="center"/>
              <w:rPr>
                <w:rFonts w:hint="eastAsia"/>
              </w:rPr>
            </w:pPr>
            <w:r>
              <w:rPr>
                <w:rFonts w:hint="eastAsia"/>
              </w:rPr>
              <w:t>10</w:t>
            </w:r>
          </w:p>
        </w:tc>
        <w:tc>
          <w:tcPr>
            <w:tcW w:w="5572" w:type="dxa"/>
            <w:noWrap w:val="0"/>
            <w:vAlign w:val="top"/>
          </w:tcPr>
          <w:p w14:paraId="73E6AE43">
            <w:pPr>
              <w:rPr>
                <w:rFonts w:hint="eastAsia"/>
              </w:rPr>
            </w:pPr>
            <w:r>
              <w:rPr>
                <w:rFonts w:hint="eastAsia"/>
              </w:rPr>
              <w:t>工程质量管理方案</w:t>
            </w:r>
          </w:p>
        </w:tc>
        <w:tc>
          <w:tcPr>
            <w:tcW w:w="3040" w:type="dxa"/>
            <w:noWrap w:val="0"/>
            <w:vAlign w:val="top"/>
          </w:tcPr>
          <w:p w14:paraId="500FEDF7">
            <w:pPr>
              <w:rPr>
                <w:rFonts w:hint="eastAsia"/>
              </w:rPr>
            </w:pPr>
          </w:p>
        </w:tc>
      </w:tr>
      <w:tr w14:paraId="33323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1" w:type="dxa"/>
            <w:noWrap w:val="0"/>
            <w:vAlign w:val="center"/>
          </w:tcPr>
          <w:p w14:paraId="4F5A8BD7">
            <w:pPr>
              <w:jc w:val="center"/>
              <w:rPr>
                <w:rFonts w:hint="eastAsia"/>
              </w:rPr>
            </w:pPr>
            <w:r>
              <w:rPr>
                <w:rFonts w:hint="eastAsia"/>
              </w:rPr>
              <w:t>11</w:t>
            </w:r>
          </w:p>
        </w:tc>
        <w:tc>
          <w:tcPr>
            <w:tcW w:w="5572" w:type="dxa"/>
            <w:noWrap w:val="0"/>
            <w:vAlign w:val="top"/>
          </w:tcPr>
          <w:p w14:paraId="5EE585A2">
            <w:pPr>
              <w:rPr>
                <w:rFonts w:hint="eastAsia"/>
              </w:rPr>
            </w:pPr>
            <w:r>
              <w:rPr>
                <w:rFonts w:hint="eastAsia"/>
              </w:rPr>
              <w:t>安全生产管理方案</w:t>
            </w:r>
          </w:p>
        </w:tc>
        <w:tc>
          <w:tcPr>
            <w:tcW w:w="3040" w:type="dxa"/>
            <w:noWrap w:val="0"/>
            <w:vAlign w:val="top"/>
          </w:tcPr>
          <w:p w14:paraId="1B1B10B3">
            <w:pPr>
              <w:rPr>
                <w:rFonts w:hint="eastAsia"/>
              </w:rPr>
            </w:pPr>
          </w:p>
        </w:tc>
      </w:tr>
      <w:tr w14:paraId="0AFEB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1" w:type="dxa"/>
            <w:noWrap w:val="0"/>
            <w:vAlign w:val="center"/>
          </w:tcPr>
          <w:p w14:paraId="1A75BF4C">
            <w:pPr>
              <w:jc w:val="center"/>
              <w:rPr>
                <w:rFonts w:hint="eastAsia"/>
              </w:rPr>
            </w:pPr>
            <w:r>
              <w:rPr>
                <w:rFonts w:hint="eastAsia"/>
              </w:rPr>
              <w:t>12</w:t>
            </w:r>
          </w:p>
        </w:tc>
        <w:tc>
          <w:tcPr>
            <w:tcW w:w="5572" w:type="dxa"/>
            <w:noWrap w:val="0"/>
            <w:vAlign w:val="top"/>
          </w:tcPr>
          <w:p w14:paraId="76C3667E">
            <w:pPr>
              <w:rPr>
                <w:rFonts w:hint="eastAsia"/>
              </w:rPr>
            </w:pPr>
            <w:r>
              <w:rPr>
                <w:rFonts w:hint="eastAsia"/>
              </w:rPr>
              <w:t>防汛度汛</w:t>
            </w:r>
          </w:p>
        </w:tc>
        <w:tc>
          <w:tcPr>
            <w:tcW w:w="3040" w:type="dxa"/>
            <w:noWrap w:val="0"/>
            <w:vAlign w:val="top"/>
          </w:tcPr>
          <w:p w14:paraId="3B4A7308">
            <w:pPr>
              <w:rPr>
                <w:rFonts w:hint="eastAsia"/>
              </w:rPr>
            </w:pPr>
          </w:p>
        </w:tc>
      </w:tr>
      <w:tr w14:paraId="65C1B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1" w:type="dxa"/>
            <w:noWrap w:val="0"/>
            <w:vAlign w:val="center"/>
          </w:tcPr>
          <w:p w14:paraId="7C0CD082">
            <w:pPr>
              <w:jc w:val="center"/>
              <w:rPr>
                <w:rFonts w:hint="eastAsia"/>
              </w:rPr>
            </w:pPr>
            <w:r>
              <w:rPr>
                <w:rFonts w:hint="eastAsia"/>
              </w:rPr>
              <w:t>13</w:t>
            </w:r>
          </w:p>
        </w:tc>
        <w:tc>
          <w:tcPr>
            <w:tcW w:w="5572" w:type="dxa"/>
            <w:noWrap w:val="0"/>
            <w:vAlign w:val="top"/>
          </w:tcPr>
          <w:p w14:paraId="7F2755D6">
            <w:pPr>
              <w:rPr>
                <w:rFonts w:hint="eastAsia"/>
              </w:rPr>
            </w:pPr>
            <w:r>
              <w:rPr>
                <w:rFonts w:hint="eastAsia"/>
              </w:rPr>
              <w:t>文明工地建设措施，为其它承包人提供方便的措施等</w:t>
            </w:r>
          </w:p>
        </w:tc>
        <w:tc>
          <w:tcPr>
            <w:tcW w:w="3040" w:type="dxa"/>
            <w:noWrap w:val="0"/>
            <w:vAlign w:val="top"/>
          </w:tcPr>
          <w:p w14:paraId="1C241853">
            <w:pPr>
              <w:rPr>
                <w:rFonts w:hint="eastAsia"/>
              </w:rPr>
            </w:pPr>
          </w:p>
        </w:tc>
      </w:tr>
      <w:tr w14:paraId="47312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1" w:type="dxa"/>
            <w:noWrap w:val="0"/>
            <w:vAlign w:val="center"/>
          </w:tcPr>
          <w:p w14:paraId="229AC10F">
            <w:pPr>
              <w:jc w:val="center"/>
              <w:rPr>
                <w:rFonts w:hint="eastAsia"/>
              </w:rPr>
            </w:pPr>
            <w:r>
              <w:rPr>
                <w:rFonts w:hint="eastAsia"/>
              </w:rPr>
              <w:t>14</w:t>
            </w:r>
          </w:p>
        </w:tc>
        <w:tc>
          <w:tcPr>
            <w:tcW w:w="5572" w:type="dxa"/>
            <w:noWrap w:val="0"/>
            <w:vAlign w:val="top"/>
          </w:tcPr>
          <w:p w14:paraId="7BC40710">
            <w:pPr>
              <w:rPr>
                <w:rFonts w:hint="eastAsia"/>
              </w:rPr>
            </w:pPr>
            <w:r>
              <w:rPr>
                <w:rFonts w:hint="eastAsia"/>
              </w:rPr>
              <w:t>水土保持、环境保护管理方案</w:t>
            </w:r>
          </w:p>
        </w:tc>
        <w:tc>
          <w:tcPr>
            <w:tcW w:w="3040" w:type="dxa"/>
            <w:noWrap w:val="0"/>
            <w:vAlign w:val="top"/>
          </w:tcPr>
          <w:p w14:paraId="58720C87">
            <w:pPr>
              <w:rPr>
                <w:rFonts w:hint="eastAsia"/>
              </w:rPr>
            </w:pPr>
          </w:p>
        </w:tc>
      </w:tr>
      <w:tr w14:paraId="6A6B7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1" w:type="dxa"/>
            <w:noWrap w:val="0"/>
            <w:vAlign w:val="center"/>
          </w:tcPr>
          <w:p w14:paraId="6265CC32">
            <w:pPr>
              <w:jc w:val="center"/>
              <w:rPr>
                <w:rFonts w:hint="eastAsia"/>
              </w:rPr>
            </w:pPr>
            <w:r>
              <w:rPr>
                <w:rFonts w:hint="eastAsia"/>
              </w:rPr>
              <w:t>15</w:t>
            </w:r>
          </w:p>
        </w:tc>
        <w:tc>
          <w:tcPr>
            <w:tcW w:w="5572" w:type="dxa"/>
            <w:noWrap w:val="0"/>
            <w:vAlign w:val="top"/>
          </w:tcPr>
          <w:p w14:paraId="3EA3B50D">
            <w:pPr>
              <w:rPr>
                <w:rFonts w:hint="eastAsia"/>
              </w:rPr>
            </w:pPr>
            <w:r>
              <w:rPr>
                <w:rFonts w:hint="eastAsia"/>
              </w:rPr>
              <w:t>其它有关工程的施工工艺及进度计划</w:t>
            </w:r>
          </w:p>
        </w:tc>
        <w:tc>
          <w:tcPr>
            <w:tcW w:w="3040" w:type="dxa"/>
            <w:noWrap w:val="0"/>
            <w:vAlign w:val="top"/>
          </w:tcPr>
          <w:p w14:paraId="2E7BBB83">
            <w:pPr>
              <w:rPr>
                <w:rFonts w:hint="eastAsia"/>
              </w:rPr>
            </w:pPr>
          </w:p>
        </w:tc>
      </w:tr>
      <w:tr w14:paraId="35589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1" w:type="dxa"/>
            <w:noWrap w:val="0"/>
            <w:vAlign w:val="center"/>
          </w:tcPr>
          <w:p w14:paraId="227AB8CD">
            <w:pPr>
              <w:jc w:val="center"/>
              <w:rPr>
                <w:rFonts w:hint="eastAsia"/>
              </w:rPr>
            </w:pPr>
            <w:r>
              <w:rPr>
                <w:rFonts w:hint="eastAsia"/>
              </w:rPr>
              <w:t>16</w:t>
            </w:r>
          </w:p>
        </w:tc>
        <w:tc>
          <w:tcPr>
            <w:tcW w:w="5572" w:type="dxa"/>
            <w:noWrap w:val="0"/>
            <w:vAlign w:val="top"/>
          </w:tcPr>
          <w:p w14:paraId="1AA08B44">
            <w:pPr>
              <w:rPr>
                <w:rFonts w:hint="eastAsia"/>
              </w:rPr>
            </w:pPr>
            <w:r>
              <w:rPr>
                <w:rFonts w:hint="eastAsia"/>
              </w:rPr>
              <w:t>有关施工建议</w:t>
            </w:r>
          </w:p>
        </w:tc>
        <w:tc>
          <w:tcPr>
            <w:tcW w:w="3040" w:type="dxa"/>
            <w:noWrap w:val="0"/>
            <w:vAlign w:val="top"/>
          </w:tcPr>
          <w:p w14:paraId="19929480">
            <w:pPr>
              <w:rPr>
                <w:rFonts w:hint="eastAsia"/>
              </w:rPr>
            </w:pPr>
          </w:p>
        </w:tc>
      </w:tr>
    </w:tbl>
    <w:p w14:paraId="290CCE82">
      <w:pPr>
        <w:rPr>
          <w:rFonts w:hint="eastAsia"/>
        </w:rPr>
      </w:pPr>
    </w:p>
    <w:p w14:paraId="3737B437">
      <w:pPr>
        <w:spacing w:line="500" w:lineRule="exact"/>
        <w:rPr>
          <w:rFonts w:hint="eastAsia" w:ascii="宋体" w:hAnsi="宋体" w:cs="宋体"/>
          <w:sz w:val="24"/>
          <w:szCs w:val="24"/>
        </w:rPr>
      </w:pPr>
      <w:r>
        <w:rPr>
          <w:rFonts w:hint="eastAsia"/>
        </w:rPr>
        <w:t>　</w:t>
      </w:r>
      <w:r>
        <w:rPr>
          <w:rFonts w:hint="eastAsia" w:ascii="宋体" w:hAnsi="宋体" w:cs="宋体"/>
          <w:sz w:val="24"/>
          <w:szCs w:val="24"/>
        </w:rPr>
        <w:t>　2.施工组织设计除采用文字表述外应附下列图表，图表及格式要求附后。</w:t>
      </w:r>
    </w:p>
    <w:p w14:paraId="4BEE7B03">
      <w:pPr>
        <w:spacing w:line="500" w:lineRule="exact"/>
        <w:rPr>
          <w:rFonts w:hint="eastAsia" w:ascii="宋体" w:hAnsi="宋体" w:cs="宋体"/>
          <w:sz w:val="24"/>
          <w:szCs w:val="24"/>
        </w:rPr>
      </w:pPr>
      <w:r>
        <w:rPr>
          <w:rFonts w:hint="eastAsia" w:ascii="宋体" w:hAnsi="宋体" w:cs="宋体"/>
          <w:sz w:val="24"/>
          <w:szCs w:val="24"/>
        </w:rPr>
        <w:t>　　附件一：拟投入本标段的主要施工设备表</w:t>
      </w:r>
    </w:p>
    <w:p w14:paraId="7E908D37">
      <w:pPr>
        <w:spacing w:line="500" w:lineRule="exact"/>
        <w:rPr>
          <w:rFonts w:hint="eastAsia" w:ascii="宋体" w:hAnsi="宋体" w:cs="宋体"/>
          <w:sz w:val="24"/>
          <w:szCs w:val="24"/>
        </w:rPr>
      </w:pPr>
      <w:r>
        <w:rPr>
          <w:rFonts w:hint="eastAsia" w:ascii="宋体" w:hAnsi="宋体" w:cs="宋体"/>
          <w:sz w:val="24"/>
          <w:szCs w:val="24"/>
        </w:rPr>
        <w:t>　　附件二：拟投入本标段的试验和检测仪器设备表</w:t>
      </w:r>
    </w:p>
    <w:p w14:paraId="73CB931B">
      <w:pPr>
        <w:spacing w:line="500" w:lineRule="exact"/>
        <w:rPr>
          <w:rFonts w:hint="eastAsia" w:ascii="宋体" w:hAnsi="宋体" w:cs="宋体"/>
          <w:sz w:val="24"/>
          <w:szCs w:val="24"/>
        </w:rPr>
      </w:pPr>
      <w:r>
        <w:rPr>
          <w:rFonts w:hint="eastAsia" w:ascii="宋体" w:hAnsi="宋体" w:cs="宋体"/>
          <w:sz w:val="24"/>
          <w:szCs w:val="24"/>
        </w:rPr>
        <w:t>　　附件三：拟投入本标段的劳动力计划表</w:t>
      </w:r>
    </w:p>
    <w:p w14:paraId="044C6098">
      <w:pPr>
        <w:spacing w:line="500" w:lineRule="exact"/>
        <w:rPr>
          <w:rFonts w:hint="eastAsia" w:ascii="宋体" w:hAnsi="宋体" w:cs="宋体"/>
          <w:sz w:val="24"/>
          <w:szCs w:val="24"/>
        </w:rPr>
      </w:pPr>
      <w:r>
        <w:rPr>
          <w:rFonts w:hint="eastAsia" w:ascii="宋体" w:hAnsi="宋体" w:cs="宋体"/>
          <w:sz w:val="24"/>
          <w:szCs w:val="24"/>
        </w:rPr>
        <w:t>　　附件四：计划开工日期、完工日期和施工进度网络图</w:t>
      </w:r>
    </w:p>
    <w:p w14:paraId="7F7FAB07">
      <w:pPr>
        <w:spacing w:line="500" w:lineRule="exact"/>
        <w:rPr>
          <w:rFonts w:hint="eastAsia" w:ascii="宋体" w:hAnsi="宋体" w:cs="宋体"/>
          <w:sz w:val="24"/>
          <w:szCs w:val="24"/>
        </w:rPr>
      </w:pPr>
      <w:r>
        <w:rPr>
          <w:rFonts w:hint="eastAsia" w:ascii="宋体" w:hAnsi="宋体" w:cs="宋体"/>
          <w:sz w:val="24"/>
          <w:szCs w:val="24"/>
        </w:rPr>
        <w:t>　　附件五：施工总平面图</w:t>
      </w:r>
    </w:p>
    <w:p w14:paraId="0C988DD7">
      <w:pPr>
        <w:spacing w:line="500" w:lineRule="exact"/>
        <w:rPr>
          <w:rFonts w:hint="eastAsia" w:ascii="宋体" w:hAnsi="宋体" w:cs="宋体"/>
          <w:sz w:val="24"/>
          <w:szCs w:val="24"/>
        </w:rPr>
      </w:pPr>
      <w:r>
        <w:rPr>
          <w:rFonts w:hint="eastAsia" w:ascii="宋体" w:hAnsi="宋体" w:cs="宋体"/>
          <w:sz w:val="24"/>
          <w:szCs w:val="24"/>
        </w:rPr>
        <w:t>　　附件六：临时用地表</w:t>
      </w:r>
    </w:p>
    <w:p w14:paraId="3CCF259D">
      <w:pPr>
        <w:rPr>
          <w:rFonts w:hint="eastAsia"/>
        </w:rPr>
      </w:pPr>
    </w:p>
    <w:p w14:paraId="3ABFCFCF">
      <w:pPr>
        <w:rPr>
          <w:rFonts w:hint="eastAsia"/>
        </w:rPr>
      </w:pPr>
      <w:r>
        <w:br w:type="page"/>
      </w:r>
    </w:p>
    <w:p w14:paraId="7CAAA182">
      <w:pPr>
        <w:rPr>
          <w:rFonts w:hint="eastAsia"/>
          <w:sz w:val="24"/>
          <w:szCs w:val="24"/>
        </w:rPr>
      </w:pPr>
      <w:r>
        <w:rPr>
          <w:rFonts w:hint="eastAsia"/>
          <w:sz w:val="24"/>
          <w:szCs w:val="24"/>
        </w:rPr>
        <w:t>附件一：拟投入本标段的主要施工设备表</w:t>
      </w:r>
    </w:p>
    <w:p w14:paraId="531AF1D7">
      <w:pPr>
        <w:rPr>
          <w:sz w:val="24"/>
          <w:szCs w:val="24"/>
        </w:rPr>
      </w:pPr>
    </w:p>
    <w:p w14:paraId="4620EACE">
      <w:pPr>
        <w:jc w:val="center"/>
        <w:rPr>
          <w:sz w:val="24"/>
          <w:szCs w:val="24"/>
        </w:rPr>
      </w:pPr>
      <w:r>
        <w:rPr>
          <w:rFonts w:hint="eastAsia"/>
          <w:sz w:val="24"/>
          <w:szCs w:val="24"/>
        </w:rPr>
        <w:t>拟投入本标段的主要施工设备表</w:t>
      </w:r>
    </w:p>
    <w:tbl>
      <w:tblPr>
        <w:tblStyle w:val="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2"/>
        <w:gridCol w:w="731"/>
        <w:gridCol w:w="731"/>
        <w:gridCol w:w="1545"/>
        <w:gridCol w:w="962"/>
        <w:gridCol w:w="962"/>
        <w:gridCol w:w="962"/>
        <w:gridCol w:w="962"/>
        <w:gridCol w:w="962"/>
        <w:gridCol w:w="794"/>
      </w:tblGrid>
      <w:tr w14:paraId="27974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2" w:type="dxa"/>
            <w:noWrap w:val="0"/>
            <w:vAlign w:val="center"/>
          </w:tcPr>
          <w:p w14:paraId="32A94060">
            <w:pPr>
              <w:jc w:val="center"/>
              <w:rPr>
                <w:rFonts w:hint="eastAsia"/>
              </w:rPr>
            </w:pPr>
            <w:r>
              <w:rPr>
                <w:rFonts w:hint="eastAsia"/>
              </w:rPr>
              <w:t>序号</w:t>
            </w:r>
          </w:p>
        </w:tc>
        <w:tc>
          <w:tcPr>
            <w:tcW w:w="731" w:type="dxa"/>
            <w:noWrap w:val="0"/>
            <w:vAlign w:val="center"/>
          </w:tcPr>
          <w:p w14:paraId="04C94FF9">
            <w:pPr>
              <w:jc w:val="center"/>
              <w:rPr>
                <w:rFonts w:hint="eastAsia"/>
              </w:rPr>
            </w:pPr>
            <w:r>
              <w:rPr>
                <w:rFonts w:hint="eastAsia"/>
              </w:rPr>
              <w:t>设备名称</w:t>
            </w:r>
          </w:p>
        </w:tc>
        <w:tc>
          <w:tcPr>
            <w:tcW w:w="731" w:type="dxa"/>
            <w:noWrap w:val="0"/>
            <w:vAlign w:val="center"/>
          </w:tcPr>
          <w:p w14:paraId="5F54FC7B">
            <w:pPr>
              <w:jc w:val="center"/>
              <w:rPr>
                <w:rFonts w:hint="eastAsia"/>
              </w:rPr>
            </w:pPr>
            <w:r>
              <w:rPr>
                <w:rFonts w:hint="eastAsia"/>
              </w:rPr>
              <w:t>型号规格</w:t>
            </w:r>
          </w:p>
        </w:tc>
        <w:tc>
          <w:tcPr>
            <w:tcW w:w="1545" w:type="dxa"/>
            <w:noWrap w:val="0"/>
            <w:vAlign w:val="center"/>
          </w:tcPr>
          <w:p w14:paraId="609091E3">
            <w:pPr>
              <w:jc w:val="center"/>
              <w:rPr>
                <w:rFonts w:hint="eastAsia"/>
              </w:rPr>
            </w:pPr>
            <w:r>
              <w:rPr>
                <w:rFonts w:hint="eastAsia"/>
              </w:rPr>
              <w:t>数量</w:t>
            </w:r>
          </w:p>
        </w:tc>
        <w:tc>
          <w:tcPr>
            <w:tcW w:w="962" w:type="dxa"/>
            <w:noWrap w:val="0"/>
            <w:vAlign w:val="center"/>
          </w:tcPr>
          <w:p w14:paraId="63157E49">
            <w:pPr>
              <w:jc w:val="center"/>
              <w:rPr>
                <w:rFonts w:hint="eastAsia"/>
              </w:rPr>
            </w:pPr>
            <w:r>
              <w:rPr>
                <w:rFonts w:hint="eastAsia"/>
              </w:rPr>
              <w:t>国别产地</w:t>
            </w:r>
          </w:p>
        </w:tc>
        <w:tc>
          <w:tcPr>
            <w:tcW w:w="962" w:type="dxa"/>
            <w:noWrap w:val="0"/>
            <w:vAlign w:val="center"/>
          </w:tcPr>
          <w:p w14:paraId="2C9CA4DF">
            <w:pPr>
              <w:jc w:val="center"/>
              <w:rPr>
                <w:rFonts w:hint="eastAsia"/>
              </w:rPr>
            </w:pPr>
            <w:r>
              <w:rPr>
                <w:rFonts w:hint="eastAsia"/>
              </w:rPr>
              <w:t>制造年份</w:t>
            </w:r>
          </w:p>
        </w:tc>
        <w:tc>
          <w:tcPr>
            <w:tcW w:w="962" w:type="dxa"/>
            <w:noWrap w:val="0"/>
            <w:vAlign w:val="center"/>
          </w:tcPr>
          <w:p w14:paraId="426953E2">
            <w:pPr>
              <w:jc w:val="center"/>
              <w:rPr>
                <w:rFonts w:hint="eastAsia"/>
              </w:rPr>
            </w:pPr>
            <w:r>
              <w:rPr>
                <w:rFonts w:hint="eastAsia"/>
              </w:rPr>
              <w:t>额定功率(kW)</w:t>
            </w:r>
          </w:p>
        </w:tc>
        <w:tc>
          <w:tcPr>
            <w:tcW w:w="962" w:type="dxa"/>
            <w:noWrap w:val="0"/>
            <w:vAlign w:val="center"/>
          </w:tcPr>
          <w:p w14:paraId="182CECD9">
            <w:pPr>
              <w:jc w:val="center"/>
              <w:rPr>
                <w:rFonts w:hint="eastAsia"/>
              </w:rPr>
            </w:pPr>
            <w:r>
              <w:rPr>
                <w:rFonts w:hint="eastAsia"/>
              </w:rPr>
              <w:t>生产能力</w:t>
            </w:r>
          </w:p>
        </w:tc>
        <w:tc>
          <w:tcPr>
            <w:tcW w:w="962" w:type="dxa"/>
            <w:noWrap w:val="0"/>
            <w:vAlign w:val="center"/>
          </w:tcPr>
          <w:p w14:paraId="34EE2C94">
            <w:pPr>
              <w:jc w:val="center"/>
              <w:rPr>
                <w:rFonts w:hint="eastAsia"/>
              </w:rPr>
            </w:pPr>
            <w:r>
              <w:rPr>
                <w:rFonts w:hint="eastAsia"/>
              </w:rPr>
              <w:t>用于施工部位</w:t>
            </w:r>
          </w:p>
        </w:tc>
        <w:tc>
          <w:tcPr>
            <w:tcW w:w="794" w:type="dxa"/>
            <w:noWrap w:val="0"/>
            <w:vAlign w:val="center"/>
          </w:tcPr>
          <w:p w14:paraId="7A49A5EC">
            <w:pPr>
              <w:jc w:val="center"/>
            </w:pPr>
            <w:r>
              <w:rPr>
                <w:rFonts w:hint="eastAsia"/>
              </w:rPr>
              <w:t>备注</w:t>
            </w:r>
          </w:p>
        </w:tc>
      </w:tr>
      <w:tr w14:paraId="76E4F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2" w:type="dxa"/>
            <w:noWrap w:val="0"/>
            <w:vAlign w:val="center"/>
          </w:tcPr>
          <w:p w14:paraId="7683182E">
            <w:pPr>
              <w:jc w:val="center"/>
              <w:rPr>
                <w:rFonts w:hint="eastAsia"/>
              </w:rPr>
            </w:pPr>
          </w:p>
        </w:tc>
        <w:tc>
          <w:tcPr>
            <w:tcW w:w="731" w:type="dxa"/>
            <w:noWrap w:val="0"/>
            <w:vAlign w:val="center"/>
          </w:tcPr>
          <w:p w14:paraId="1D4DD42A">
            <w:pPr>
              <w:jc w:val="center"/>
              <w:rPr>
                <w:rFonts w:hint="eastAsia"/>
              </w:rPr>
            </w:pPr>
          </w:p>
        </w:tc>
        <w:tc>
          <w:tcPr>
            <w:tcW w:w="731" w:type="dxa"/>
            <w:noWrap w:val="0"/>
            <w:vAlign w:val="center"/>
          </w:tcPr>
          <w:p w14:paraId="53D6E2B4">
            <w:pPr>
              <w:jc w:val="center"/>
              <w:rPr>
                <w:rFonts w:hint="eastAsia"/>
              </w:rPr>
            </w:pPr>
          </w:p>
        </w:tc>
        <w:tc>
          <w:tcPr>
            <w:tcW w:w="1545" w:type="dxa"/>
            <w:noWrap w:val="0"/>
            <w:vAlign w:val="center"/>
          </w:tcPr>
          <w:p w14:paraId="54111451">
            <w:pPr>
              <w:jc w:val="center"/>
              <w:rPr>
                <w:rFonts w:hint="eastAsia"/>
              </w:rPr>
            </w:pPr>
          </w:p>
        </w:tc>
        <w:tc>
          <w:tcPr>
            <w:tcW w:w="962" w:type="dxa"/>
            <w:noWrap w:val="0"/>
            <w:vAlign w:val="center"/>
          </w:tcPr>
          <w:p w14:paraId="6D9F060F">
            <w:pPr>
              <w:jc w:val="center"/>
              <w:rPr>
                <w:rFonts w:hint="eastAsia"/>
              </w:rPr>
            </w:pPr>
          </w:p>
        </w:tc>
        <w:tc>
          <w:tcPr>
            <w:tcW w:w="962" w:type="dxa"/>
            <w:noWrap w:val="0"/>
            <w:vAlign w:val="center"/>
          </w:tcPr>
          <w:p w14:paraId="263E84A9">
            <w:pPr>
              <w:jc w:val="center"/>
              <w:rPr>
                <w:rFonts w:hint="eastAsia"/>
              </w:rPr>
            </w:pPr>
          </w:p>
        </w:tc>
        <w:tc>
          <w:tcPr>
            <w:tcW w:w="962" w:type="dxa"/>
            <w:noWrap w:val="0"/>
            <w:vAlign w:val="center"/>
          </w:tcPr>
          <w:p w14:paraId="436BEA7C">
            <w:pPr>
              <w:jc w:val="center"/>
              <w:rPr>
                <w:rFonts w:hint="eastAsia"/>
              </w:rPr>
            </w:pPr>
          </w:p>
        </w:tc>
        <w:tc>
          <w:tcPr>
            <w:tcW w:w="962" w:type="dxa"/>
            <w:noWrap w:val="0"/>
            <w:vAlign w:val="center"/>
          </w:tcPr>
          <w:p w14:paraId="2015BED7">
            <w:pPr>
              <w:jc w:val="center"/>
              <w:rPr>
                <w:rFonts w:hint="eastAsia"/>
              </w:rPr>
            </w:pPr>
          </w:p>
        </w:tc>
        <w:tc>
          <w:tcPr>
            <w:tcW w:w="962" w:type="dxa"/>
            <w:noWrap w:val="0"/>
            <w:vAlign w:val="center"/>
          </w:tcPr>
          <w:p w14:paraId="42B5BEC1">
            <w:pPr>
              <w:jc w:val="center"/>
              <w:rPr>
                <w:rFonts w:hint="eastAsia"/>
              </w:rPr>
            </w:pPr>
          </w:p>
        </w:tc>
        <w:tc>
          <w:tcPr>
            <w:tcW w:w="794" w:type="dxa"/>
            <w:noWrap w:val="0"/>
            <w:vAlign w:val="center"/>
          </w:tcPr>
          <w:p w14:paraId="5AC95EE4">
            <w:pPr>
              <w:jc w:val="center"/>
              <w:rPr>
                <w:rFonts w:hint="eastAsia"/>
              </w:rPr>
            </w:pPr>
          </w:p>
        </w:tc>
      </w:tr>
      <w:tr w14:paraId="4BE5C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2" w:type="dxa"/>
            <w:noWrap w:val="0"/>
            <w:vAlign w:val="center"/>
          </w:tcPr>
          <w:p w14:paraId="594371F8">
            <w:pPr>
              <w:jc w:val="center"/>
              <w:rPr>
                <w:rFonts w:hint="eastAsia"/>
              </w:rPr>
            </w:pPr>
          </w:p>
        </w:tc>
        <w:tc>
          <w:tcPr>
            <w:tcW w:w="731" w:type="dxa"/>
            <w:noWrap w:val="0"/>
            <w:vAlign w:val="center"/>
          </w:tcPr>
          <w:p w14:paraId="14DF47D1">
            <w:pPr>
              <w:jc w:val="center"/>
              <w:rPr>
                <w:rFonts w:hint="eastAsia"/>
              </w:rPr>
            </w:pPr>
          </w:p>
        </w:tc>
        <w:tc>
          <w:tcPr>
            <w:tcW w:w="731" w:type="dxa"/>
            <w:noWrap w:val="0"/>
            <w:vAlign w:val="center"/>
          </w:tcPr>
          <w:p w14:paraId="5E503240">
            <w:pPr>
              <w:jc w:val="center"/>
              <w:rPr>
                <w:rFonts w:hint="eastAsia"/>
              </w:rPr>
            </w:pPr>
          </w:p>
        </w:tc>
        <w:tc>
          <w:tcPr>
            <w:tcW w:w="1545" w:type="dxa"/>
            <w:noWrap w:val="0"/>
            <w:vAlign w:val="center"/>
          </w:tcPr>
          <w:p w14:paraId="40719212">
            <w:pPr>
              <w:jc w:val="center"/>
              <w:rPr>
                <w:rFonts w:hint="eastAsia"/>
              </w:rPr>
            </w:pPr>
          </w:p>
        </w:tc>
        <w:tc>
          <w:tcPr>
            <w:tcW w:w="962" w:type="dxa"/>
            <w:noWrap w:val="0"/>
            <w:vAlign w:val="center"/>
          </w:tcPr>
          <w:p w14:paraId="278BDBFC">
            <w:pPr>
              <w:jc w:val="center"/>
              <w:rPr>
                <w:rFonts w:hint="eastAsia"/>
              </w:rPr>
            </w:pPr>
          </w:p>
        </w:tc>
        <w:tc>
          <w:tcPr>
            <w:tcW w:w="962" w:type="dxa"/>
            <w:noWrap w:val="0"/>
            <w:vAlign w:val="center"/>
          </w:tcPr>
          <w:p w14:paraId="3D0846AD">
            <w:pPr>
              <w:jc w:val="center"/>
              <w:rPr>
                <w:rFonts w:hint="eastAsia"/>
              </w:rPr>
            </w:pPr>
          </w:p>
        </w:tc>
        <w:tc>
          <w:tcPr>
            <w:tcW w:w="962" w:type="dxa"/>
            <w:noWrap w:val="0"/>
            <w:vAlign w:val="center"/>
          </w:tcPr>
          <w:p w14:paraId="5030C357">
            <w:pPr>
              <w:jc w:val="center"/>
              <w:rPr>
                <w:rFonts w:hint="eastAsia"/>
              </w:rPr>
            </w:pPr>
          </w:p>
        </w:tc>
        <w:tc>
          <w:tcPr>
            <w:tcW w:w="962" w:type="dxa"/>
            <w:noWrap w:val="0"/>
            <w:vAlign w:val="center"/>
          </w:tcPr>
          <w:p w14:paraId="54A31F58">
            <w:pPr>
              <w:jc w:val="center"/>
              <w:rPr>
                <w:rFonts w:hint="eastAsia"/>
              </w:rPr>
            </w:pPr>
          </w:p>
        </w:tc>
        <w:tc>
          <w:tcPr>
            <w:tcW w:w="962" w:type="dxa"/>
            <w:noWrap w:val="0"/>
            <w:vAlign w:val="center"/>
          </w:tcPr>
          <w:p w14:paraId="5B7EAE6D">
            <w:pPr>
              <w:jc w:val="center"/>
              <w:rPr>
                <w:rFonts w:hint="eastAsia"/>
              </w:rPr>
            </w:pPr>
          </w:p>
        </w:tc>
        <w:tc>
          <w:tcPr>
            <w:tcW w:w="794" w:type="dxa"/>
            <w:noWrap w:val="0"/>
            <w:vAlign w:val="center"/>
          </w:tcPr>
          <w:p w14:paraId="73FE9FDB">
            <w:pPr>
              <w:jc w:val="center"/>
              <w:rPr>
                <w:rFonts w:hint="eastAsia"/>
              </w:rPr>
            </w:pPr>
          </w:p>
        </w:tc>
      </w:tr>
    </w:tbl>
    <w:p w14:paraId="55ADF154">
      <w:pPr>
        <w:rPr>
          <w:rFonts w:hint="eastAsia"/>
        </w:rPr>
      </w:pPr>
    </w:p>
    <w:p w14:paraId="735279AC">
      <w:pPr>
        <w:rPr>
          <w:rFonts w:hint="eastAsia"/>
          <w:sz w:val="24"/>
          <w:szCs w:val="24"/>
        </w:rPr>
      </w:pPr>
      <w:r>
        <w:rPr>
          <w:rFonts w:hint="eastAsia"/>
          <w:sz w:val="24"/>
          <w:szCs w:val="24"/>
        </w:rPr>
        <w:br w:type="page"/>
      </w:r>
      <w:r>
        <w:rPr>
          <w:rFonts w:hint="eastAsia"/>
          <w:sz w:val="24"/>
          <w:szCs w:val="24"/>
        </w:rPr>
        <w:t>附件二：拟投入本标段的试验和检测仪器设备表</w:t>
      </w:r>
    </w:p>
    <w:p w14:paraId="5A718A85">
      <w:pPr>
        <w:rPr>
          <w:sz w:val="24"/>
          <w:szCs w:val="24"/>
        </w:rPr>
      </w:pPr>
    </w:p>
    <w:p w14:paraId="4AD6E22A">
      <w:pPr>
        <w:jc w:val="center"/>
        <w:rPr>
          <w:sz w:val="24"/>
          <w:szCs w:val="24"/>
        </w:rPr>
      </w:pPr>
      <w:r>
        <w:rPr>
          <w:rFonts w:hint="eastAsia"/>
          <w:sz w:val="24"/>
          <w:szCs w:val="24"/>
        </w:rPr>
        <w:t>拟投入本标段的试验和检测仪器设备表</w:t>
      </w:r>
    </w:p>
    <w:tbl>
      <w:tblPr>
        <w:tblStyle w:val="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297"/>
        <w:gridCol w:w="1332"/>
        <w:gridCol w:w="807"/>
        <w:gridCol w:w="1383"/>
        <w:gridCol w:w="1168"/>
        <w:gridCol w:w="1022"/>
        <w:gridCol w:w="703"/>
        <w:gridCol w:w="901"/>
      </w:tblGrid>
      <w:tr w14:paraId="274D1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0" w:type="dxa"/>
            <w:noWrap w:val="0"/>
            <w:vAlign w:val="center"/>
          </w:tcPr>
          <w:p w14:paraId="453D027F">
            <w:pPr>
              <w:jc w:val="center"/>
              <w:rPr>
                <w:rFonts w:hint="eastAsia"/>
              </w:rPr>
            </w:pPr>
            <w:r>
              <w:rPr>
                <w:rFonts w:hint="eastAsia"/>
              </w:rPr>
              <w:t>序号</w:t>
            </w:r>
          </w:p>
        </w:tc>
        <w:tc>
          <w:tcPr>
            <w:tcW w:w="1297" w:type="dxa"/>
            <w:noWrap w:val="0"/>
            <w:vAlign w:val="center"/>
          </w:tcPr>
          <w:p w14:paraId="45E6A69C">
            <w:pPr>
              <w:jc w:val="center"/>
              <w:rPr>
                <w:rFonts w:hint="eastAsia"/>
              </w:rPr>
            </w:pPr>
            <w:r>
              <w:rPr>
                <w:rFonts w:hint="eastAsia"/>
              </w:rPr>
              <w:t>仪器设备名称</w:t>
            </w:r>
          </w:p>
        </w:tc>
        <w:tc>
          <w:tcPr>
            <w:tcW w:w="1332" w:type="dxa"/>
            <w:noWrap w:val="0"/>
            <w:vAlign w:val="center"/>
          </w:tcPr>
          <w:p w14:paraId="4886F169">
            <w:pPr>
              <w:jc w:val="center"/>
              <w:rPr>
                <w:rFonts w:hint="eastAsia"/>
              </w:rPr>
            </w:pPr>
            <w:r>
              <w:rPr>
                <w:rFonts w:hint="eastAsia"/>
              </w:rPr>
              <w:t>型号规格</w:t>
            </w:r>
          </w:p>
        </w:tc>
        <w:tc>
          <w:tcPr>
            <w:tcW w:w="807" w:type="dxa"/>
            <w:noWrap w:val="0"/>
            <w:vAlign w:val="center"/>
          </w:tcPr>
          <w:p w14:paraId="34303F56">
            <w:pPr>
              <w:jc w:val="center"/>
              <w:rPr>
                <w:rFonts w:hint="eastAsia"/>
              </w:rPr>
            </w:pPr>
            <w:r>
              <w:rPr>
                <w:rFonts w:hint="eastAsia"/>
              </w:rPr>
              <w:t>数量</w:t>
            </w:r>
          </w:p>
        </w:tc>
        <w:tc>
          <w:tcPr>
            <w:tcW w:w="1383" w:type="dxa"/>
            <w:noWrap w:val="0"/>
            <w:vAlign w:val="center"/>
          </w:tcPr>
          <w:p w14:paraId="6D18CC25">
            <w:pPr>
              <w:jc w:val="center"/>
              <w:rPr>
                <w:rFonts w:hint="eastAsia"/>
              </w:rPr>
            </w:pPr>
            <w:r>
              <w:rPr>
                <w:rFonts w:hint="eastAsia"/>
              </w:rPr>
              <w:t>国别产地</w:t>
            </w:r>
          </w:p>
        </w:tc>
        <w:tc>
          <w:tcPr>
            <w:tcW w:w="1168" w:type="dxa"/>
            <w:noWrap w:val="0"/>
            <w:vAlign w:val="center"/>
          </w:tcPr>
          <w:p w14:paraId="1D4C0A08">
            <w:pPr>
              <w:jc w:val="center"/>
              <w:rPr>
                <w:rFonts w:hint="eastAsia"/>
              </w:rPr>
            </w:pPr>
            <w:r>
              <w:rPr>
                <w:rFonts w:hint="eastAsia"/>
              </w:rPr>
              <w:t>制造年份</w:t>
            </w:r>
          </w:p>
        </w:tc>
        <w:tc>
          <w:tcPr>
            <w:tcW w:w="1022" w:type="dxa"/>
            <w:noWrap w:val="0"/>
            <w:vAlign w:val="center"/>
          </w:tcPr>
          <w:p w14:paraId="380D7232">
            <w:pPr>
              <w:jc w:val="center"/>
              <w:rPr>
                <w:rFonts w:hint="eastAsia"/>
              </w:rPr>
            </w:pPr>
            <w:r>
              <w:rPr>
                <w:rFonts w:hint="eastAsia"/>
              </w:rPr>
              <w:t>已使用台时数</w:t>
            </w:r>
          </w:p>
        </w:tc>
        <w:tc>
          <w:tcPr>
            <w:tcW w:w="703" w:type="dxa"/>
            <w:noWrap w:val="0"/>
            <w:vAlign w:val="center"/>
          </w:tcPr>
          <w:p w14:paraId="736E4049">
            <w:pPr>
              <w:jc w:val="center"/>
              <w:rPr>
                <w:rFonts w:hint="eastAsia"/>
              </w:rPr>
            </w:pPr>
            <w:r>
              <w:rPr>
                <w:rFonts w:hint="eastAsia"/>
              </w:rPr>
              <w:t>用途</w:t>
            </w:r>
          </w:p>
        </w:tc>
        <w:tc>
          <w:tcPr>
            <w:tcW w:w="901" w:type="dxa"/>
            <w:noWrap w:val="0"/>
            <w:vAlign w:val="center"/>
          </w:tcPr>
          <w:p w14:paraId="1B71B3ED">
            <w:pPr>
              <w:jc w:val="center"/>
            </w:pPr>
            <w:r>
              <w:rPr>
                <w:rFonts w:hint="eastAsia"/>
              </w:rPr>
              <w:t>备注</w:t>
            </w:r>
          </w:p>
        </w:tc>
      </w:tr>
      <w:tr w14:paraId="762CC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0" w:type="dxa"/>
            <w:noWrap w:val="0"/>
            <w:vAlign w:val="center"/>
          </w:tcPr>
          <w:p w14:paraId="646BC147">
            <w:pPr>
              <w:jc w:val="center"/>
              <w:rPr>
                <w:rFonts w:hint="eastAsia"/>
              </w:rPr>
            </w:pPr>
          </w:p>
        </w:tc>
        <w:tc>
          <w:tcPr>
            <w:tcW w:w="1297" w:type="dxa"/>
            <w:noWrap w:val="0"/>
            <w:vAlign w:val="center"/>
          </w:tcPr>
          <w:p w14:paraId="552D3F9F">
            <w:pPr>
              <w:jc w:val="center"/>
              <w:rPr>
                <w:rFonts w:hint="eastAsia"/>
              </w:rPr>
            </w:pPr>
          </w:p>
        </w:tc>
        <w:tc>
          <w:tcPr>
            <w:tcW w:w="1332" w:type="dxa"/>
            <w:noWrap w:val="0"/>
            <w:vAlign w:val="center"/>
          </w:tcPr>
          <w:p w14:paraId="6C0F7B03">
            <w:pPr>
              <w:jc w:val="center"/>
              <w:rPr>
                <w:rFonts w:hint="eastAsia"/>
              </w:rPr>
            </w:pPr>
          </w:p>
        </w:tc>
        <w:tc>
          <w:tcPr>
            <w:tcW w:w="807" w:type="dxa"/>
            <w:noWrap w:val="0"/>
            <w:vAlign w:val="center"/>
          </w:tcPr>
          <w:p w14:paraId="2BE0B3A6">
            <w:pPr>
              <w:jc w:val="center"/>
              <w:rPr>
                <w:rFonts w:hint="eastAsia"/>
              </w:rPr>
            </w:pPr>
          </w:p>
        </w:tc>
        <w:tc>
          <w:tcPr>
            <w:tcW w:w="1383" w:type="dxa"/>
            <w:noWrap w:val="0"/>
            <w:vAlign w:val="center"/>
          </w:tcPr>
          <w:p w14:paraId="5B4E20AC">
            <w:pPr>
              <w:jc w:val="center"/>
              <w:rPr>
                <w:rFonts w:hint="eastAsia"/>
              </w:rPr>
            </w:pPr>
          </w:p>
        </w:tc>
        <w:tc>
          <w:tcPr>
            <w:tcW w:w="1168" w:type="dxa"/>
            <w:noWrap w:val="0"/>
            <w:vAlign w:val="center"/>
          </w:tcPr>
          <w:p w14:paraId="713C26CD">
            <w:pPr>
              <w:jc w:val="center"/>
              <w:rPr>
                <w:rFonts w:hint="eastAsia"/>
              </w:rPr>
            </w:pPr>
          </w:p>
        </w:tc>
        <w:tc>
          <w:tcPr>
            <w:tcW w:w="1022" w:type="dxa"/>
            <w:noWrap w:val="0"/>
            <w:vAlign w:val="center"/>
          </w:tcPr>
          <w:p w14:paraId="18ABBBF5">
            <w:pPr>
              <w:jc w:val="center"/>
              <w:rPr>
                <w:rFonts w:hint="eastAsia"/>
              </w:rPr>
            </w:pPr>
          </w:p>
        </w:tc>
        <w:tc>
          <w:tcPr>
            <w:tcW w:w="703" w:type="dxa"/>
            <w:noWrap w:val="0"/>
            <w:vAlign w:val="center"/>
          </w:tcPr>
          <w:p w14:paraId="08CBA37D">
            <w:pPr>
              <w:jc w:val="center"/>
              <w:rPr>
                <w:rFonts w:hint="eastAsia"/>
              </w:rPr>
            </w:pPr>
          </w:p>
        </w:tc>
        <w:tc>
          <w:tcPr>
            <w:tcW w:w="901" w:type="dxa"/>
            <w:noWrap w:val="0"/>
            <w:vAlign w:val="center"/>
          </w:tcPr>
          <w:p w14:paraId="1B4C41E6">
            <w:pPr>
              <w:jc w:val="center"/>
              <w:rPr>
                <w:rFonts w:hint="eastAsia"/>
              </w:rPr>
            </w:pPr>
          </w:p>
        </w:tc>
      </w:tr>
      <w:tr w14:paraId="0C0A2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0" w:type="dxa"/>
            <w:noWrap w:val="0"/>
            <w:vAlign w:val="center"/>
          </w:tcPr>
          <w:p w14:paraId="1E0BC857">
            <w:pPr>
              <w:jc w:val="center"/>
              <w:rPr>
                <w:rFonts w:hint="eastAsia"/>
              </w:rPr>
            </w:pPr>
          </w:p>
        </w:tc>
        <w:tc>
          <w:tcPr>
            <w:tcW w:w="1297" w:type="dxa"/>
            <w:noWrap w:val="0"/>
            <w:vAlign w:val="center"/>
          </w:tcPr>
          <w:p w14:paraId="7EA95714">
            <w:pPr>
              <w:jc w:val="center"/>
              <w:rPr>
                <w:rFonts w:hint="eastAsia"/>
              </w:rPr>
            </w:pPr>
          </w:p>
        </w:tc>
        <w:tc>
          <w:tcPr>
            <w:tcW w:w="1332" w:type="dxa"/>
            <w:noWrap w:val="0"/>
            <w:vAlign w:val="center"/>
          </w:tcPr>
          <w:p w14:paraId="05469C77">
            <w:pPr>
              <w:jc w:val="center"/>
              <w:rPr>
                <w:rFonts w:hint="eastAsia"/>
              </w:rPr>
            </w:pPr>
          </w:p>
        </w:tc>
        <w:tc>
          <w:tcPr>
            <w:tcW w:w="807" w:type="dxa"/>
            <w:noWrap w:val="0"/>
            <w:vAlign w:val="center"/>
          </w:tcPr>
          <w:p w14:paraId="77837FE0">
            <w:pPr>
              <w:jc w:val="center"/>
              <w:rPr>
                <w:rFonts w:hint="eastAsia"/>
              </w:rPr>
            </w:pPr>
          </w:p>
        </w:tc>
        <w:tc>
          <w:tcPr>
            <w:tcW w:w="1383" w:type="dxa"/>
            <w:noWrap w:val="0"/>
            <w:vAlign w:val="center"/>
          </w:tcPr>
          <w:p w14:paraId="38F00FB3">
            <w:pPr>
              <w:jc w:val="center"/>
              <w:rPr>
                <w:rFonts w:hint="eastAsia"/>
              </w:rPr>
            </w:pPr>
          </w:p>
        </w:tc>
        <w:tc>
          <w:tcPr>
            <w:tcW w:w="1168" w:type="dxa"/>
            <w:noWrap w:val="0"/>
            <w:vAlign w:val="center"/>
          </w:tcPr>
          <w:p w14:paraId="57629D09">
            <w:pPr>
              <w:jc w:val="center"/>
              <w:rPr>
                <w:rFonts w:hint="eastAsia"/>
              </w:rPr>
            </w:pPr>
          </w:p>
        </w:tc>
        <w:tc>
          <w:tcPr>
            <w:tcW w:w="1022" w:type="dxa"/>
            <w:noWrap w:val="0"/>
            <w:vAlign w:val="center"/>
          </w:tcPr>
          <w:p w14:paraId="0256D0B5">
            <w:pPr>
              <w:jc w:val="center"/>
              <w:rPr>
                <w:rFonts w:hint="eastAsia"/>
              </w:rPr>
            </w:pPr>
          </w:p>
        </w:tc>
        <w:tc>
          <w:tcPr>
            <w:tcW w:w="703" w:type="dxa"/>
            <w:noWrap w:val="0"/>
            <w:vAlign w:val="center"/>
          </w:tcPr>
          <w:p w14:paraId="3FEC0E20">
            <w:pPr>
              <w:jc w:val="center"/>
              <w:rPr>
                <w:rFonts w:hint="eastAsia"/>
              </w:rPr>
            </w:pPr>
          </w:p>
        </w:tc>
        <w:tc>
          <w:tcPr>
            <w:tcW w:w="901" w:type="dxa"/>
            <w:noWrap w:val="0"/>
            <w:vAlign w:val="center"/>
          </w:tcPr>
          <w:p w14:paraId="6AEC2669">
            <w:pPr>
              <w:jc w:val="center"/>
              <w:rPr>
                <w:rFonts w:hint="eastAsia"/>
              </w:rPr>
            </w:pPr>
          </w:p>
        </w:tc>
      </w:tr>
    </w:tbl>
    <w:p w14:paraId="33C07A62">
      <w:pPr>
        <w:rPr>
          <w:rFonts w:hint="eastAsia"/>
        </w:rPr>
      </w:pPr>
    </w:p>
    <w:p w14:paraId="30C60C99">
      <w:pPr>
        <w:rPr>
          <w:rFonts w:hint="eastAsia"/>
          <w:sz w:val="24"/>
          <w:szCs w:val="24"/>
        </w:rPr>
      </w:pPr>
      <w:r>
        <w:rPr>
          <w:rFonts w:hint="eastAsia"/>
          <w:sz w:val="24"/>
          <w:szCs w:val="24"/>
        </w:rPr>
        <w:br w:type="page"/>
      </w:r>
      <w:r>
        <w:rPr>
          <w:rFonts w:hint="eastAsia"/>
          <w:sz w:val="24"/>
          <w:szCs w:val="24"/>
        </w:rPr>
        <w:t>附件三：拟投入本标段的劳动力计划表</w:t>
      </w:r>
    </w:p>
    <w:p w14:paraId="574B89D6">
      <w:pPr>
        <w:rPr>
          <w:sz w:val="24"/>
          <w:szCs w:val="24"/>
        </w:rPr>
      </w:pPr>
    </w:p>
    <w:p w14:paraId="190CEEA4">
      <w:pPr>
        <w:jc w:val="center"/>
        <w:rPr>
          <w:sz w:val="24"/>
          <w:szCs w:val="24"/>
        </w:rPr>
      </w:pPr>
      <w:r>
        <w:rPr>
          <w:rFonts w:hint="eastAsia"/>
          <w:sz w:val="24"/>
          <w:szCs w:val="24"/>
        </w:rPr>
        <w:t>拟投入本标段的劳动力计划表</w:t>
      </w:r>
    </w:p>
    <w:p w14:paraId="360C66C6">
      <w:pPr>
        <w:jc w:val="right"/>
      </w:pPr>
      <w:r>
        <w:rPr>
          <w:rFonts w:hint="eastAsia"/>
        </w:rPr>
        <w:t>单位：人</w:t>
      </w:r>
    </w:p>
    <w:tbl>
      <w:tblPr>
        <w:tblStyle w:val="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2"/>
        <w:gridCol w:w="1204"/>
        <w:gridCol w:w="1204"/>
        <w:gridCol w:w="1203"/>
        <w:gridCol w:w="1203"/>
        <w:gridCol w:w="1203"/>
        <w:gridCol w:w="1203"/>
        <w:gridCol w:w="1031"/>
      </w:tblGrid>
      <w:tr w14:paraId="3EFCE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2" w:type="dxa"/>
            <w:noWrap w:val="0"/>
            <w:vAlign w:val="center"/>
          </w:tcPr>
          <w:p w14:paraId="39A06B78">
            <w:pPr>
              <w:jc w:val="center"/>
              <w:rPr>
                <w:rFonts w:hint="eastAsia"/>
              </w:rPr>
            </w:pPr>
            <w:r>
              <w:rPr>
                <w:rFonts w:hint="eastAsia"/>
              </w:rPr>
              <w:t>工种</w:t>
            </w:r>
          </w:p>
        </w:tc>
        <w:tc>
          <w:tcPr>
            <w:tcW w:w="8251" w:type="dxa"/>
            <w:gridSpan w:val="7"/>
            <w:noWrap w:val="0"/>
            <w:vAlign w:val="center"/>
          </w:tcPr>
          <w:p w14:paraId="75F95C8B">
            <w:pPr>
              <w:jc w:val="center"/>
              <w:rPr>
                <w:rFonts w:hint="eastAsia"/>
              </w:rPr>
            </w:pPr>
            <w:r>
              <w:rPr>
                <w:rFonts w:hint="eastAsia"/>
              </w:rPr>
              <w:t>按工程施工阶段投入劳动力情况</w:t>
            </w:r>
          </w:p>
        </w:tc>
      </w:tr>
      <w:tr w14:paraId="57C35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2" w:type="dxa"/>
            <w:noWrap w:val="0"/>
            <w:vAlign w:val="center"/>
          </w:tcPr>
          <w:p w14:paraId="673E5E11">
            <w:pPr>
              <w:jc w:val="center"/>
              <w:rPr>
                <w:rFonts w:hint="eastAsia"/>
              </w:rPr>
            </w:pPr>
          </w:p>
        </w:tc>
        <w:tc>
          <w:tcPr>
            <w:tcW w:w="1204" w:type="dxa"/>
            <w:noWrap w:val="0"/>
            <w:vAlign w:val="center"/>
          </w:tcPr>
          <w:p w14:paraId="00529DA3">
            <w:pPr>
              <w:jc w:val="center"/>
              <w:rPr>
                <w:rFonts w:hint="eastAsia"/>
              </w:rPr>
            </w:pPr>
          </w:p>
        </w:tc>
        <w:tc>
          <w:tcPr>
            <w:tcW w:w="1204" w:type="dxa"/>
            <w:noWrap w:val="0"/>
            <w:vAlign w:val="center"/>
          </w:tcPr>
          <w:p w14:paraId="7C205B04">
            <w:pPr>
              <w:jc w:val="center"/>
              <w:rPr>
                <w:rFonts w:hint="eastAsia"/>
              </w:rPr>
            </w:pPr>
          </w:p>
        </w:tc>
        <w:tc>
          <w:tcPr>
            <w:tcW w:w="1203" w:type="dxa"/>
            <w:noWrap w:val="0"/>
            <w:vAlign w:val="center"/>
          </w:tcPr>
          <w:p w14:paraId="3787B2CF">
            <w:pPr>
              <w:jc w:val="center"/>
              <w:rPr>
                <w:rFonts w:hint="eastAsia"/>
              </w:rPr>
            </w:pPr>
          </w:p>
        </w:tc>
        <w:tc>
          <w:tcPr>
            <w:tcW w:w="1203" w:type="dxa"/>
            <w:noWrap w:val="0"/>
            <w:vAlign w:val="center"/>
          </w:tcPr>
          <w:p w14:paraId="7F69F731">
            <w:pPr>
              <w:jc w:val="center"/>
              <w:rPr>
                <w:rFonts w:hint="eastAsia"/>
              </w:rPr>
            </w:pPr>
          </w:p>
        </w:tc>
        <w:tc>
          <w:tcPr>
            <w:tcW w:w="1203" w:type="dxa"/>
            <w:noWrap w:val="0"/>
            <w:vAlign w:val="center"/>
          </w:tcPr>
          <w:p w14:paraId="110130D6">
            <w:pPr>
              <w:jc w:val="center"/>
              <w:rPr>
                <w:rFonts w:hint="eastAsia"/>
              </w:rPr>
            </w:pPr>
          </w:p>
        </w:tc>
        <w:tc>
          <w:tcPr>
            <w:tcW w:w="1203" w:type="dxa"/>
            <w:noWrap w:val="0"/>
            <w:vAlign w:val="center"/>
          </w:tcPr>
          <w:p w14:paraId="3F470398">
            <w:pPr>
              <w:jc w:val="center"/>
              <w:rPr>
                <w:rFonts w:hint="eastAsia"/>
              </w:rPr>
            </w:pPr>
          </w:p>
        </w:tc>
        <w:tc>
          <w:tcPr>
            <w:tcW w:w="1031" w:type="dxa"/>
            <w:noWrap w:val="0"/>
            <w:vAlign w:val="center"/>
          </w:tcPr>
          <w:p w14:paraId="1F9AACD9">
            <w:pPr>
              <w:jc w:val="center"/>
              <w:rPr>
                <w:rFonts w:hint="eastAsia"/>
              </w:rPr>
            </w:pPr>
          </w:p>
        </w:tc>
      </w:tr>
      <w:tr w14:paraId="791B9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2" w:type="dxa"/>
            <w:noWrap w:val="0"/>
            <w:vAlign w:val="center"/>
          </w:tcPr>
          <w:p w14:paraId="38BA9693">
            <w:pPr>
              <w:jc w:val="center"/>
              <w:rPr>
                <w:rFonts w:hint="eastAsia"/>
              </w:rPr>
            </w:pPr>
          </w:p>
        </w:tc>
        <w:tc>
          <w:tcPr>
            <w:tcW w:w="1204" w:type="dxa"/>
            <w:noWrap w:val="0"/>
            <w:vAlign w:val="center"/>
          </w:tcPr>
          <w:p w14:paraId="77086849">
            <w:pPr>
              <w:jc w:val="center"/>
              <w:rPr>
                <w:rFonts w:hint="eastAsia"/>
              </w:rPr>
            </w:pPr>
          </w:p>
        </w:tc>
        <w:tc>
          <w:tcPr>
            <w:tcW w:w="1204" w:type="dxa"/>
            <w:noWrap w:val="0"/>
            <w:vAlign w:val="center"/>
          </w:tcPr>
          <w:p w14:paraId="3B947F36">
            <w:pPr>
              <w:jc w:val="center"/>
              <w:rPr>
                <w:rFonts w:hint="eastAsia"/>
              </w:rPr>
            </w:pPr>
          </w:p>
        </w:tc>
        <w:tc>
          <w:tcPr>
            <w:tcW w:w="1203" w:type="dxa"/>
            <w:noWrap w:val="0"/>
            <w:vAlign w:val="center"/>
          </w:tcPr>
          <w:p w14:paraId="06A5CBF3">
            <w:pPr>
              <w:jc w:val="center"/>
              <w:rPr>
                <w:rFonts w:hint="eastAsia"/>
              </w:rPr>
            </w:pPr>
          </w:p>
        </w:tc>
        <w:tc>
          <w:tcPr>
            <w:tcW w:w="1203" w:type="dxa"/>
            <w:noWrap w:val="0"/>
            <w:vAlign w:val="center"/>
          </w:tcPr>
          <w:p w14:paraId="3A9D5D9A">
            <w:pPr>
              <w:jc w:val="center"/>
              <w:rPr>
                <w:rFonts w:hint="eastAsia"/>
              </w:rPr>
            </w:pPr>
          </w:p>
        </w:tc>
        <w:tc>
          <w:tcPr>
            <w:tcW w:w="1203" w:type="dxa"/>
            <w:noWrap w:val="0"/>
            <w:vAlign w:val="center"/>
          </w:tcPr>
          <w:p w14:paraId="5570835C">
            <w:pPr>
              <w:jc w:val="center"/>
              <w:rPr>
                <w:rFonts w:hint="eastAsia"/>
              </w:rPr>
            </w:pPr>
          </w:p>
        </w:tc>
        <w:tc>
          <w:tcPr>
            <w:tcW w:w="1203" w:type="dxa"/>
            <w:noWrap w:val="0"/>
            <w:vAlign w:val="center"/>
          </w:tcPr>
          <w:p w14:paraId="3BB7ADD5">
            <w:pPr>
              <w:jc w:val="center"/>
              <w:rPr>
                <w:rFonts w:hint="eastAsia"/>
              </w:rPr>
            </w:pPr>
          </w:p>
        </w:tc>
        <w:tc>
          <w:tcPr>
            <w:tcW w:w="1031" w:type="dxa"/>
            <w:noWrap w:val="0"/>
            <w:vAlign w:val="center"/>
          </w:tcPr>
          <w:p w14:paraId="3CC1D05F">
            <w:pPr>
              <w:jc w:val="center"/>
              <w:rPr>
                <w:rFonts w:hint="eastAsia"/>
              </w:rPr>
            </w:pPr>
          </w:p>
        </w:tc>
      </w:tr>
    </w:tbl>
    <w:p w14:paraId="455CD192">
      <w:pPr>
        <w:rPr>
          <w:rFonts w:hint="eastAsia"/>
        </w:rPr>
      </w:pPr>
    </w:p>
    <w:p w14:paraId="04EEA0CB">
      <w:pPr>
        <w:rPr>
          <w:rFonts w:hint="eastAsia"/>
        </w:rPr>
      </w:pPr>
      <w:r>
        <w:rPr>
          <w:rFonts w:hint="eastAsia"/>
        </w:rPr>
        <w:br w:type="page"/>
      </w:r>
      <w:r>
        <w:rPr>
          <w:rFonts w:hint="eastAsia"/>
        </w:rPr>
        <w:t>附件四：计划开工日期、完工日期和施工进度网络图</w:t>
      </w:r>
    </w:p>
    <w:p w14:paraId="7581DCFC">
      <w:pPr>
        <w:spacing w:line="500" w:lineRule="exact"/>
        <w:rPr>
          <w:rFonts w:hint="eastAsia" w:ascii="宋体" w:hAnsi="宋体" w:cs="宋体"/>
          <w:sz w:val="24"/>
          <w:szCs w:val="24"/>
        </w:rPr>
      </w:pPr>
    </w:p>
    <w:p w14:paraId="6C658AA9">
      <w:pPr>
        <w:spacing w:line="500" w:lineRule="exact"/>
        <w:jc w:val="center"/>
        <w:rPr>
          <w:rFonts w:hint="eastAsia" w:ascii="宋体" w:hAnsi="宋体" w:cs="宋体"/>
          <w:sz w:val="24"/>
          <w:szCs w:val="24"/>
        </w:rPr>
      </w:pPr>
      <w:r>
        <w:rPr>
          <w:rFonts w:hint="eastAsia" w:ascii="宋体" w:hAnsi="宋体" w:cs="宋体"/>
          <w:sz w:val="24"/>
          <w:szCs w:val="24"/>
        </w:rPr>
        <w:t>计划开工日期、完工日期和施工进度网络图</w:t>
      </w:r>
    </w:p>
    <w:p w14:paraId="4B1E491F">
      <w:pPr>
        <w:spacing w:line="500" w:lineRule="exact"/>
        <w:rPr>
          <w:rFonts w:hint="eastAsia" w:ascii="宋体" w:hAnsi="宋体" w:cs="宋体"/>
          <w:sz w:val="24"/>
          <w:szCs w:val="24"/>
        </w:rPr>
      </w:pPr>
      <w:r>
        <w:rPr>
          <w:rFonts w:hint="eastAsia" w:ascii="宋体" w:hAnsi="宋体" w:cs="宋体"/>
          <w:sz w:val="24"/>
          <w:szCs w:val="24"/>
        </w:rPr>
        <w:t>　　1.投标人应递交施工进度网络图或施工进度表，说明按招标文件要求的计划工期进行施工的各个关键日期。</w:t>
      </w:r>
    </w:p>
    <w:p w14:paraId="409AF193">
      <w:pPr>
        <w:spacing w:line="500" w:lineRule="exact"/>
        <w:rPr>
          <w:rFonts w:hint="eastAsia" w:ascii="宋体" w:hAnsi="宋体" w:cs="宋体"/>
          <w:sz w:val="24"/>
          <w:szCs w:val="24"/>
        </w:rPr>
      </w:pPr>
      <w:r>
        <w:rPr>
          <w:rFonts w:hint="eastAsia" w:ascii="宋体" w:hAnsi="宋体" w:cs="宋体"/>
          <w:sz w:val="24"/>
          <w:szCs w:val="24"/>
        </w:rPr>
        <w:t>　　2.施工进度表可采用　　　　　　　　　　网络图(或横道图)表示。</w:t>
      </w:r>
    </w:p>
    <w:p w14:paraId="2D313E40">
      <w:pPr>
        <w:spacing w:line="500" w:lineRule="exact"/>
        <w:rPr>
          <w:rFonts w:hint="eastAsia" w:ascii="宋体" w:hAnsi="宋体" w:cs="宋体"/>
          <w:sz w:val="24"/>
          <w:szCs w:val="24"/>
        </w:rPr>
      </w:pPr>
    </w:p>
    <w:p w14:paraId="0CB74C24">
      <w:pPr>
        <w:spacing w:line="500" w:lineRule="exact"/>
        <w:rPr>
          <w:rFonts w:hint="eastAsia"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附件五：施工总平面图</w:t>
      </w:r>
    </w:p>
    <w:p w14:paraId="26E50C00">
      <w:pPr>
        <w:spacing w:line="500" w:lineRule="exact"/>
        <w:jc w:val="center"/>
        <w:rPr>
          <w:rFonts w:hint="eastAsia" w:ascii="宋体" w:hAnsi="宋体" w:cs="宋体"/>
          <w:sz w:val="24"/>
          <w:szCs w:val="24"/>
        </w:rPr>
      </w:pPr>
      <w:r>
        <w:rPr>
          <w:rFonts w:hint="eastAsia" w:ascii="宋体" w:hAnsi="宋体" w:cs="宋体"/>
          <w:sz w:val="24"/>
          <w:szCs w:val="24"/>
        </w:rPr>
        <w:t>施工总平面图</w:t>
      </w:r>
    </w:p>
    <w:p w14:paraId="75F1F87C">
      <w:pPr>
        <w:spacing w:line="500" w:lineRule="exact"/>
        <w:rPr>
          <w:rFonts w:hint="eastAsia" w:ascii="宋体" w:hAnsi="宋体" w:cs="宋体"/>
          <w:sz w:val="24"/>
          <w:szCs w:val="24"/>
        </w:rPr>
      </w:pPr>
      <w:r>
        <w:rPr>
          <w:rFonts w:hint="eastAsia" w:ascii="宋体" w:hAnsi="宋体" w:cs="宋体"/>
          <w:sz w:val="24"/>
          <w:szCs w:val="24"/>
        </w:rPr>
        <w:t>　　投标人应递交一份施工总平面图，绘出现场临时设施布置图及表并附文字说明，说明临时设施、加工车间、现场办公、设备及仓储、供电、供水、卫生、生活、道路、消防等设施的情况和布置。</w:t>
      </w:r>
    </w:p>
    <w:p w14:paraId="0B17606C">
      <w:pPr>
        <w:spacing w:line="500" w:lineRule="exact"/>
        <w:rPr>
          <w:rFonts w:hint="eastAsia" w:ascii="宋体" w:hAnsi="宋体" w:cs="宋体"/>
          <w:sz w:val="24"/>
          <w:szCs w:val="24"/>
        </w:rPr>
      </w:pPr>
    </w:p>
    <w:p w14:paraId="1782A026">
      <w:pPr>
        <w:spacing w:line="500" w:lineRule="exact"/>
        <w:rPr>
          <w:rFonts w:hint="eastAsia"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附件六：临时用地表</w:t>
      </w:r>
    </w:p>
    <w:p w14:paraId="0E74C265">
      <w:pPr>
        <w:spacing w:line="500" w:lineRule="exact"/>
        <w:jc w:val="center"/>
        <w:rPr>
          <w:b/>
        </w:rPr>
      </w:pPr>
      <w:r>
        <w:rPr>
          <w:rFonts w:hint="eastAsia" w:ascii="宋体" w:hAnsi="宋体" w:cs="宋体"/>
          <w:sz w:val="24"/>
          <w:szCs w:val="24"/>
        </w:rPr>
        <w:t>临时用地表</w:t>
      </w:r>
    </w:p>
    <w:tbl>
      <w:tblPr>
        <w:tblStyle w:val="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94"/>
        <w:gridCol w:w="2405"/>
        <w:gridCol w:w="2405"/>
        <w:gridCol w:w="2239"/>
      </w:tblGrid>
      <w:tr w14:paraId="52929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94" w:type="dxa"/>
            <w:noWrap w:val="0"/>
            <w:vAlign w:val="center"/>
          </w:tcPr>
          <w:p w14:paraId="67ADB3A2">
            <w:pPr>
              <w:jc w:val="center"/>
              <w:rPr>
                <w:rFonts w:hint="eastAsia"/>
              </w:rPr>
            </w:pPr>
            <w:r>
              <w:rPr>
                <w:rFonts w:hint="eastAsia"/>
              </w:rPr>
              <w:t>用途</w:t>
            </w:r>
          </w:p>
        </w:tc>
        <w:tc>
          <w:tcPr>
            <w:tcW w:w="2405" w:type="dxa"/>
            <w:noWrap w:val="0"/>
            <w:vAlign w:val="center"/>
          </w:tcPr>
          <w:p w14:paraId="4B952A23">
            <w:pPr>
              <w:jc w:val="center"/>
              <w:rPr>
                <w:rFonts w:hint="eastAsia"/>
              </w:rPr>
            </w:pPr>
            <w:r>
              <w:rPr>
                <w:rFonts w:hint="eastAsia"/>
              </w:rPr>
              <w:t>面积(m2)</w:t>
            </w:r>
          </w:p>
        </w:tc>
        <w:tc>
          <w:tcPr>
            <w:tcW w:w="2405" w:type="dxa"/>
            <w:noWrap w:val="0"/>
            <w:vAlign w:val="center"/>
          </w:tcPr>
          <w:p w14:paraId="77E57746">
            <w:pPr>
              <w:jc w:val="center"/>
              <w:rPr>
                <w:rFonts w:hint="eastAsia"/>
              </w:rPr>
            </w:pPr>
            <w:r>
              <w:rPr>
                <w:rFonts w:hint="eastAsia"/>
              </w:rPr>
              <w:t>位置</w:t>
            </w:r>
          </w:p>
        </w:tc>
        <w:tc>
          <w:tcPr>
            <w:tcW w:w="2239" w:type="dxa"/>
            <w:noWrap w:val="0"/>
            <w:vAlign w:val="center"/>
          </w:tcPr>
          <w:p w14:paraId="7A07AF6B">
            <w:pPr>
              <w:jc w:val="center"/>
            </w:pPr>
            <w:r>
              <w:rPr>
                <w:rFonts w:hint="eastAsia"/>
              </w:rPr>
              <w:t>需用时间</w:t>
            </w:r>
          </w:p>
        </w:tc>
      </w:tr>
      <w:tr w14:paraId="3285E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94" w:type="dxa"/>
            <w:noWrap w:val="0"/>
            <w:vAlign w:val="center"/>
          </w:tcPr>
          <w:p w14:paraId="1CA72973">
            <w:pPr>
              <w:jc w:val="center"/>
              <w:rPr>
                <w:rFonts w:hint="eastAsia"/>
              </w:rPr>
            </w:pPr>
          </w:p>
        </w:tc>
        <w:tc>
          <w:tcPr>
            <w:tcW w:w="2405" w:type="dxa"/>
            <w:noWrap w:val="0"/>
            <w:vAlign w:val="center"/>
          </w:tcPr>
          <w:p w14:paraId="29E119BD">
            <w:pPr>
              <w:jc w:val="center"/>
              <w:rPr>
                <w:rFonts w:hint="eastAsia"/>
              </w:rPr>
            </w:pPr>
          </w:p>
        </w:tc>
        <w:tc>
          <w:tcPr>
            <w:tcW w:w="2405" w:type="dxa"/>
            <w:noWrap w:val="0"/>
            <w:vAlign w:val="center"/>
          </w:tcPr>
          <w:p w14:paraId="3942EF95">
            <w:pPr>
              <w:jc w:val="center"/>
              <w:rPr>
                <w:rFonts w:hint="eastAsia"/>
              </w:rPr>
            </w:pPr>
          </w:p>
        </w:tc>
        <w:tc>
          <w:tcPr>
            <w:tcW w:w="2239" w:type="dxa"/>
            <w:noWrap w:val="0"/>
            <w:vAlign w:val="center"/>
          </w:tcPr>
          <w:p w14:paraId="67ADFBB0">
            <w:pPr>
              <w:jc w:val="center"/>
              <w:rPr>
                <w:rFonts w:hint="eastAsia"/>
              </w:rPr>
            </w:pPr>
          </w:p>
        </w:tc>
      </w:tr>
      <w:tr w14:paraId="10C5C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94" w:type="dxa"/>
            <w:noWrap w:val="0"/>
            <w:vAlign w:val="center"/>
          </w:tcPr>
          <w:p w14:paraId="799F9E79">
            <w:pPr>
              <w:jc w:val="center"/>
              <w:rPr>
                <w:rFonts w:hint="eastAsia"/>
              </w:rPr>
            </w:pPr>
          </w:p>
        </w:tc>
        <w:tc>
          <w:tcPr>
            <w:tcW w:w="2405" w:type="dxa"/>
            <w:noWrap w:val="0"/>
            <w:vAlign w:val="center"/>
          </w:tcPr>
          <w:p w14:paraId="24010E20">
            <w:pPr>
              <w:jc w:val="center"/>
              <w:rPr>
                <w:rFonts w:hint="eastAsia"/>
              </w:rPr>
            </w:pPr>
          </w:p>
        </w:tc>
        <w:tc>
          <w:tcPr>
            <w:tcW w:w="2405" w:type="dxa"/>
            <w:noWrap w:val="0"/>
            <w:vAlign w:val="center"/>
          </w:tcPr>
          <w:p w14:paraId="42788D52">
            <w:pPr>
              <w:jc w:val="center"/>
              <w:rPr>
                <w:rFonts w:hint="eastAsia"/>
              </w:rPr>
            </w:pPr>
          </w:p>
        </w:tc>
        <w:tc>
          <w:tcPr>
            <w:tcW w:w="2239" w:type="dxa"/>
            <w:noWrap w:val="0"/>
            <w:vAlign w:val="center"/>
          </w:tcPr>
          <w:p w14:paraId="1D215060">
            <w:pPr>
              <w:jc w:val="center"/>
              <w:rPr>
                <w:rFonts w:hint="eastAsia"/>
              </w:rPr>
            </w:pPr>
          </w:p>
        </w:tc>
      </w:tr>
      <w:tr w14:paraId="500DA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94" w:type="dxa"/>
            <w:noWrap w:val="0"/>
            <w:vAlign w:val="center"/>
          </w:tcPr>
          <w:p w14:paraId="36200E14">
            <w:pPr>
              <w:jc w:val="center"/>
              <w:rPr>
                <w:rFonts w:hint="eastAsia"/>
              </w:rPr>
            </w:pPr>
          </w:p>
        </w:tc>
        <w:tc>
          <w:tcPr>
            <w:tcW w:w="2405" w:type="dxa"/>
            <w:noWrap w:val="0"/>
            <w:vAlign w:val="center"/>
          </w:tcPr>
          <w:p w14:paraId="7E66CBF9">
            <w:pPr>
              <w:jc w:val="center"/>
              <w:rPr>
                <w:rFonts w:hint="eastAsia"/>
              </w:rPr>
            </w:pPr>
          </w:p>
        </w:tc>
        <w:tc>
          <w:tcPr>
            <w:tcW w:w="2405" w:type="dxa"/>
            <w:noWrap w:val="0"/>
            <w:vAlign w:val="center"/>
          </w:tcPr>
          <w:p w14:paraId="5E43839D">
            <w:pPr>
              <w:jc w:val="center"/>
              <w:rPr>
                <w:rFonts w:hint="eastAsia"/>
              </w:rPr>
            </w:pPr>
          </w:p>
        </w:tc>
        <w:tc>
          <w:tcPr>
            <w:tcW w:w="2239" w:type="dxa"/>
            <w:noWrap w:val="0"/>
            <w:vAlign w:val="center"/>
          </w:tcPr>
          <w:p w14:paraId="1CE50112">
            <w:pPr>
              <w:jc w:val="center"/>
              <w:rPr>
                <w:rFonts w:hint="eastAsia"/>
              </w:rPr>
            </w:pPr>
          </w:p>
        </w:tc>
      </w:tr>
    </w:tbl>
    <w:p w14:paraId="7EA4F40C"/>
    <w:p w14:paraId="5C5EEFB5">
      <w:pPr>
        <w:widowControl/>
        <w:jc w:val="left"/>
        <w:outlineLvl w:val="1"/>
        <w:rPr>
          <w:rFonts w:ascii="黑体" w:hAnsi="黑体" w:eastAsia="黑体" w:cs="黑体"/>
          <w:b/>
          <w:kern w:val="0"/>
          <w:sz w:val="32"/>
          <w:szCs w:val="24"/>
          <w:lang w:eastAsia="en-US"/>
        </w:rPr>
      </w:pPr>
      <w:r>
        <w:rPr>
          <w:rFonts w:ascii="Times New Roman" w:hAnsi="Times New Roman" w:eastAsia="Times New Roman"/>
          <w:kern w:val="0"/>
          <w:sz w:val="24"/>
          <w:szCs w:val="24"/>
          <w:lang w:eastAsia="en-US"/>
        </w:rPr>
        <w:br w:type="page"/>
      </w:r>
      <w:bookmarkStart w:id="434" w:name="_Toc256000166"/>
      <w:r>
        <w:rPr>
          <w:rFonts w:hint="eastAsia" w:ascii="黑体" w:hAnsi="黑体" w:eastAsia="黑体" w:cs="黑体"/>
          <w:b/>
          <w:kern w:val="0"/>
          <w:sz w:val="32"/>
          <w:szCs w:val="24"/>
          <w:lang w:val="en-US" w:eastAsia="zh-CN"/>
        </w:rPr>
        <w:t>十</w:t>
      </w:r>
      <w:r>
        <w:rPr>
          <w:rFonts w:ascii="黑体" w:hAnsi="黑体" w:eastAsia="黑体" w:cs="黑体"/>
          <w:b/>
          <w:kern w:val="0"/>
          <w:sz w:val="32"/>
          <w:szCs w:val="24"/>
          <w:lang w:eastAsia="en-US"/>
        </w:rPr>
        <w:t>、项目管理机构表</w:t>
      </w:r>
      <w:bookmarkEnd w:id="434"/>
    </w:p>
    <w:p w14:paraId="4E1F07AA">
      <w:pPr>
        <w:widowControl/>
        <w:jc w:val="left"/>
        <w:outlineLvl w:val="2"/>
        <w:rPr>
          <w:rFonts w:ascii="黑体" w:hAnsi="黑体" w:eastAsia="黑体" w:cs="黑体"/>
          <w:b/>
          <w:kern w:val="0"/>
          <w:sz w:val="28"/>
          <w:szCs w:val="24"/>
          <w:lang w:eastAsia="en-US"/>
        </w:rPr>
      </w:pPr>
      <w:r>
        <w:rPr>
          <w:rFonts w:ascii="Times New Roman" w:hAnsi="Times New Roman" w:eastAsia="Times New Roman"/>
          <w:kern w:val="0"/>
          <w:sz w:val="24"/>
          <w:szCs w:val="24"/>
          <w:lang w:eastAsia="en-US"/>
        </w:rPr>
        <w:br w:type="page"/>
      </w:r>
      <w:bookmarkStart w:id="435" w:name="_Toc256000168"/>
      <w:r>
        <w:rPr>
          <w:rFonts w:ascii="黑体" w:hAnsi="黑体" w:eastAsia="黑体" w:cs="黑体"/>
          <w:b/>
          <w:kern w:val="0"/>
          <w:sz w:val="28"/>
          <w:szCs w:val="24"/>
          <w:lang w:eastAsia="en-US"/>
        </w:rPr>
        <w:t>(</w:t>
      </w:r>
      <w:r>
        <w:rPr>
          <w:rFonts w:hint="eastAsia" w:ascii="黑体" w:hAnsi="黑体" w:eastAsia="黑体" w:cs="黑体"/>
          <w:b/>
          <w:kern w:val="0"/>
          <w:sz w:val="28"/>
          <w:szCs w:val="24"/>
          <w:lang w:val="en-US" w:eastAsia="zh-CN"/>
        </w:rPr>
        <w:t>一</w:t>
      </w:r>
      <w:r>
        <w:rPr>
          <w:rFonts w:ascii="黑体" w:hAnsi="黑体" w:eastAsia="黑体" w:cs="黑体"/>
          <w:b/>
          <w:kern w:val="0"/>
          <w:sz w:val="28"/>
          <w:szCs w:val="24"/>
          <w:lang w:eastAsia="en-US"/>
        </w:rPr>
        <w:t>)项目管理机构组成表</w:t>
      </w:r>
      <w:bookmarkEnd w:id="435"/>
    </w:p>
    <w:p w14:paraId="5B2BE604">
      <w:pPr>
        <w:topLinePunct/>
        <w:spacing w:before="240" w:after="240" w:line="400" w:lineRule="exact"/>
        <w:jc w:val="center"/>
        <w:rPr>
          <w:rFonts w:ascii="宋体" w:hAnsi="宋体"/>
          <w:sz w:val="24"/>
          <w:szCs w:val="24"/>
        </w:rPr>
      </w:pPr>
      <w:r>
        <w:rPr>
          <w:rFonts w:hint="eastAsia" w:ascii="宋体" w:hAnsi="宋体"/>
          <w:sz w:val="24"/>
          <w:szCs w:val="24"/>
        </w:rPr>
        <w:t>项目管理机构组成表</w:t>
      </w:r>
    </w:p>
    <w:tbl>
      <w:tblPr>
        <w:tblStyle w:val="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022"/>
        <w:gridCol w:w="1022"/>
        <w:gridCol w:w="1168"/>
        <w:gridCol w:w="729"/>
        <w:gridCol w:w="1314"/>
        <w:gridCol w:w="1022"/>
        <w:gridCol w:w="1433"/>
        <w:gridCol w:w="903"/>
      </w:tblGrid>
      <w:tr w14:paraId="7BBF6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30" w:type="dxa"/>
            <w:vMerge w:val="restart"/>
            <w:noWrap w:val="0"/>
            <w:vAlign w:val="center"/>
          </w:tcPr>
          <w:p w14:paraId="5F768929">
            <w:pPr>
              <w:jc w:val="center"/>
              <w:rPr>
                <w:rFonts w:ascii="Times New Roman" w:hAnsi="Times New Roman"/>
                <w:szCs w:val="24"/>
              </w:rPr>
            </w:pPr>
            <w:r>
              <w:rPr>
                <w:rFonts w:hint="eastAsia" w:ascii="Times New Roman" w:hAnsi="Times New Roman"/>
                <w:szCs w:val="24"/>
              </w:rPr>
              <w:t>职务</w:t>
            </w:r>
          </w:p>
        </w:tc>
        <w:tc>
          <w:tcPr>
            <w:tcW w:w="1022" w:type="dxa"/>
            <w:vMerge w:val="restart"/>
            <w:noWrap w:val="0"/>
            <w:vAlign w:val="center"/>
          </w:tcPr>
          <w:p w14:paraId="0BF8F4BE">
            <w:pPr>
              <w:jc w:val="center"/>
              <w:rPr>
                <w:rFonts w:ascii="Times New Roman" w:hAnsi="Times New Roman"/>
                <w:szCs w:val="24"/>
              </w:rPr>
            </w:pPr>
            <w:r>
              <w:rPr>
                <w:rFonts w:hint="eastAsia" w:ascii="Times New Roman" w:hAnsi="Times New Roman"/>
                <w:szCs w:val="24"/>
              </w:rPr>
              <w:t>姓名</w:t>
            </w:r>
          </w:p>
        </w:tc>
        <w:tc>
          <w:tcPr>
            <w:tcW w:w="1022" w:type="dxa"/>
            <w:vMerge w:val="restart"/>
            <w:noWrap w:val="0"/>
            <w:vAlign w:val="center"/>
          </w:tcPr>
          <w:p w14:paraId="06841807">
            <w:pPr>
              <w:jc w:val="center"/>
              <w:rPr>
                <w:rFonts w:ascii="Times New Roman" w:hAnsi="Times New Roman"/>
                <w:szCs w:val="24"/>
              </w:rPr>
            </w:pPr>
            <w:r>
              <w:rPr>
                <w:rFonts w:hint="eastAsia" w:ascii="Times New Roman" w:hAnsi="Times New Roman"/>
                <w:szCs w:val="24"/>
              </w:rPr>
              <w:t>职称</w:t>
            </w:r>
          </w:p>
        </w:tc>
        <w:tc>
          <w:tcPr>
            <w:tcW w:w="5666" w:type="dxa"/>
            <w:gridSpan w:val="5"/>
            <w:noWrap w:val="0"/>
            <w:vAlign w:val="center"/>
          </w:tcPr>
          <w:p w14:paraId="35123A6E">
            <w:pPr>
              <w:jc w:val="center"/>
              <w:rPr>
                <w:rFonts w:ascii="Times New Roman" w:hAnsi="Times New Roman"/>
                <w:szCs w:val="24"/>
              </w:rPr>
            </w:pPr>
            <w:r>
              <w:rPr>
                <w:rFonts w:hint="eastAsia" w:ascii="Times New Roman" w:hAnsi="Times New Roman"/>
                <w:szCs w:val="24"/>
              </w:rPr>
              <w:t>执业或职业资格证明</w:t>
            </w:r>
          </w:p>
        </w:tc>
        <w:tc>
          <w:tcPr>
            <w:tcW w:w="903" w:type="dxa"/>
            <w:vMerge w:val="restart"/>
            <w:noWrap w:val="0"/>
            <w:vAlign w:val="center"/>
          </w:tcPr>
          <w:p w14:paraId="792E42BB">
            <w:pPr>
              <w:jc w:val="center"/>
              <w:rPr>
                <w:rFonts w:ascii="Times New Roman" w:hAnsi="Times New Roman"/>
                <w:szCs w:val="24"/>
              </w:rPr>
            </w:pPr>
            <w:r>
              <w:rPr>
                <w:rFonts w:hint="eastAsia" w:ascii="Times New Roman" w:hAnsi="Times New Roman"/>
                <w:szCs w:val="24"/>
              </w:rPr>
              <w:t>备注</w:t>
            </w:r>
          </w:p>
        </w:tc>
      </w:tr>
      <w:tr w14:paraId="22A6F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0" w:type="dxa"/>
            <w:vMerge w:val="continue"/>
            <w:noWrap w:val="0"/>
            <w:vAlign w:val="top"/>
          </w:tcPr>
          <w:p w14:paraId="65C1847B">
            <w:pPr>
              <w:rPr>
                <w:rFonts w:ascii="Times New Roman" w:hAnsi="Times New Roman"/>
                <w:szCs w:val="24"/>
              </w:rPr>
            </w:pPr>
          </w:p>
        </w:tc>
        <w:tc>
          <w:tcPr>
            <w:tcW w:w="1022" w:type="dxa"/>
            <w:vMerge w:val="continue"/>
            <w:noWrap w:val="0"/>
            <w:vAlign w:val="top"/>
          </w:tcPr>
          <w:p w14:paraId="3B61A25B">
            <w:pPr>
              <w:rPr>
                <w:rFonts w:ascii="Times New Roman" w:hAnsi="Times New Roman"/>
                <w:szCs w:val="24"/>
              </w:rPr>
            </w:pPr>
          </w:p>
        </w:tc>
        <w:tc>
          <w:tcPr>
            <w:tcW w:w="1022" w:type="dxa"/>
            <w:vMerge w:val="continue"/>
            <w:noWrap w:val="0"/>
            <w:vAlign w:val="top"/>
          </w:tcPr>
          <w:p w14:paraId="6F82320A">
            <w:pPr>
              <w:rPr>
                <w:rFonts w:ascii="Times New Roman" w:hAnsi="Times New Roman"/>
                <w:szCs w:val="24"/>
              </w:rPr>
            </w:pPr>
          </w:p>
        </w:tc>
        <w:tc>
          <w:tcPr>
            <w:tcW w:w="1168" w:type="dxa"/>
            <w:noWrap w:val="0"/>
            <w:vAlign w:val="center"/>
          </w:tcPr>
          <w:p w14:paraId="5D1349E2">
            <w:pPr>
              <w:jc w:val="center"/>
              <w:rPr>
                <w:rFonts w:ascii="Times New Roman" w:hAnsi="Times New Roman"/>
                <w:szCs w:val="24"/>
              </w:rPr>
            </w:pPr>
            <w:r>
              <w:rPr>
                <w:rFonts w:hint="eastAsia" w:ascii="Times New Roman" w:hAnsi="Times New Roman"/>
                <w:szCs w:val="24"/>
              </w:rPr>
              <w:t>证书名称</w:t>
            </w:r>
          </w:p>
        </w:tc>
        <w:tc>
          <w:tcPr>
            <w:tcW w:w="729" w:type="dxa"/>
            <w:noWrap w:val="0"/>
            <w:vAlign w:val="center"/>
          </w:tcPr>
          <w:p w14:paraId="3B5B1CFF">
            <w:pPr>
              <w:jc w:val="center"/>
              <w:rPr>
                <w:rFonts w:ascii="Times New Roman" w:hAnsi="Times New Roman"/>
                <w:szCs w:val="24"/>
              </w:rPr>
            </w:pPr>
            <w:r>
              <w:rPr>
                <w:rFonts w:hint="eastAsia" w:ascii="Times New Roman" w:hAnsi="Times New Roman"/>
                <w:szCs w:val="24"/>
              </w:rPr>
              <w:t>级别</w:t>
            </w:r>
          </w:p>
        </w:tc>
        <w:tc>
          <w:tcPr>
            <w:tcW w:w="1314" w:type="dxa"/>
            <w:noWrap w:val="0"/>
            <w:vAlign w:val="center"/>
          </w:tcPr>
          <w:p w14:paraId="17A1D60F">
            <w:pPr>
              <w:jc w:val="center"/>
              <w:rPr>
                <w:rFonts w:ascii="Times New Roman" w:hAnsi="Times New Roman"/>
                <w:szCs w:val="24"/>
              </w:rPr>
            </w:pPr>
            <w:r>
              <w:rPr>
                <w:rFonts w:hint="eastAsia" w:ascii="Times New Roman" w:hAnsi="Times New Roman"/>
                <w:szCs w:val="24"/>
              </w:rPr>
              <w:t>证号</w:t>
            </w:r>
          </w:p>
        </w:tc>
        <w:tc>
          <w:tcPr>
            <w:tcW w:w="1022" w:type="dxa"/>
            <w:noWrap w:val="0"/>
            <w:vAlign w:val="center"/>
          </w:tcPr>
          <w:p w14:paraId="66B40E7C">
            <w:pPr>
              <w:jc w:val="center"/>
              <w:rPr>
                <w:rFonts w:ascii="Times New Roman" w:hAnsi="Times New Roman"/>
                <w:szCs w:val="24"/>
              </w:rPr>
            </w:pPr>
            <w:r>
              <w:rPr>
                <w:rFonts w:hint="eastAsia" w:ascii="Times New Roman" w:hAnsi="Times New Roman"/>
                <w:szCs w:val="24"/>
              </w:rPr>
              <w:t>专业</w:t>
            </w:r>
          </w:p>
        </w:tc>
        <w:tc>
          <w:tcPr>
            <w:tcW w:w="1433" w:type="dxa"/>
            <w:noWrap w:val="0"/>
            <w:vAlign w:val="center"/>
          </w:tcPr>
          <w:p w14:paraId="3544EBF2">
            <w:pPr>
              <w:jc w:val="center"/>
              <w:rPr>
                <w:rFonts w:ascii="Times New Roman" w:hAnsi="Times New Roman"/>
                <w:szCs w:val="24"/>
              </w:rPr>
            </w:pPr>
            <w:r>
              <w:rPr>
                <w:rFonts w:hint="eastAsia" w:ascii="Times New Roman" w:hAnsi="Times New Roman"/>
                <w:szCs w:val="24"/>
              </w:rPr>
              <w:t>社会保险</w:t>
            </w:r>
          </w:p>
        </w:tc>
        <w:tc>
          <w:tcPr>
            <w:tcW w:w="903" w:type="dxa"/>
            <w:vMerge w:val="continue"/>
            <w:noWrap w:val="0"/>
            <w:vAlign w:val="top"/>
          </w:tcPr>
          <w:p w14:paraId="2EF90F26">
            <w:pPr>
              <w:rPr>
                <w:rFonts w:ascii="Times New Roman" w:hAnsi="Times New Roman"/>
                <w:szCs w:val="24"/>
              </w:rPr>
            </w:pPr>
          </w:p>
        </w:tc>
      </w:tr>
      <w:tr w14:paraId="117B1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0" w:type="dxa"/>
            <w:noWrap w:val="0"/>
            <w:vAlign w:val="top"/>
          </w:tcPr>
          <w:p w14:paraId="426EC4FA">
            <w:pPr>
              <w:rPr>
                <w:rFonts w:ascii="Times New Roman" w:hAnsi="Times New Roman"/>
                <w:szCs w:val="24"/>
              </w:rPr>
            </w:pPr>
          </w:p>
        </w:tc>
        <w:tc>
          <w:tcPr>
            <w:tcW w:w="1022" w:type="dxa"/>
            <w:noWrap w:val="0"/>
            <w:vAlign w:val="top"/>
          </w:tcPr>
          <w:p w14:paraId="6FD7E4B0">
            <w:pPr>
              <w:rPr>
                <w:rFonts w:ascii="Times New Roman" w:hAnsi="Times New Roman"/>
                <w:szCs w:val="24"/>
              </w:rPr>
            </w:pPr>
          </w:p>
        </w:tc>
        <w:tc>
          <w:tcPr>
            <w:tcW w:w="1022" w:type="dxa"/>
            <w:noWrap w:val="0"/>
            <w:vAlign w:val="top"/>
          </w:tcPr>
          <w:p w14:paraId="1788D7E2">
            <w:pPr>
              <w:rPr>
                <w:rFonts w:ascii="Times New Roman" w:hAnsi="Times New Roman"/>
                <w:szCs w:val="24"/>
              </w:rPr>
            </w:pPr>
          </w:p>
        </w:tc>
        <w:tc>
          <w:tcPr>
            <w:tcW w:w="1168" w:type="dxa"/>
            <w:noWrap w:val="0"/>
            <w:vAlign w:val="center"/>
          </w:tcPr>
          <w:p w14:paraId="0701FADC">
            <w:pPr>
              <w:jc w:val="center"/>
              <w:rPr>
                <w:rFonts w:ascii="Times New Roman" w:hAnsi="Times New Roman"/>
                <w:szCs w:val="24"/>
              </w:rPr>
            </w:pPr>
          </w:p>
        </w:tc>
        <w:tc>
          <w:tcPr>
            <w:tcW w:w="729" w:type="dxa"/>
            <w:noWrap w:val="0"/>
            <w:vAlign w:val="center"/>
          </w:tcPr>
          <w:p w14:paraId="52AD5880">
            <w:pPr>
              <w:jc w:val="center"/>
              <w:rPr>
                <w:rFonts w:ascii="Times New Roman" w:hAnsi="Times New Roman"/>
                <w:szCs w:val="24"/>
              </w:rPr>
            </w:pPr>
          </w:p>
        </w:tc>
        <w:tc>
          <w:tcPr>
            <w:tcW w:w="1314" w:type="dxa"/>
            <w:noWrap w:val="0"/>
            <w:vAlign w:val="center"/>
          </w:tcPr>
          <w:p w14:paraId="584BD08C">
            <w:pPr>
              <w:jc w:val="center"/>
              <w:rPr>
                <w:rFonts w:ascii="Times New Roman" w:hAnsi="Times New Roman"/>
                <w:szCs w:val="24"/>
              </w:rPr>
            </w:pPr>
          </w:p>
        </w:tc>
        <w:tc>
          <w:tcPr>
            <w:tcW w:w="1022" w:type="dxa"/>
            <w:noWrap w:val="0"/>
            <w:vAlign w:val="center"/>
          </w:tcPr>
          <w:p w14:paraId="43E9F4EA">
            <w:pPr>
              <w:jc w:val="center"/>
              <w:rPr>
                <w:rFonts w:ascii="Times New Roman" w:hAnsi="Times New Roman"/>
                <w:szCs w:val="24"/>
              </w:rPr>
            </w:pPr>
          </w:p>
        </w:tc>
        <w:tc>
          <w:tcPr>
            <w:tcW w:w="1433" w:type="dxa"/>
            <w:noWrap w:val="0"/>
            <w:vAlign w:val="center"/>
          </w:tcPr>
          <w:p w14:paraId="493DEF86">
            <w:pPr>
              <w:jc w:val="center"/>
              <w:rPr>
                <w:rFonts w:ascii="Times New Roman" w:hAnsi="Times New Roman"/>
                <w:szCs w:val="24"/>
              </w:rPr>
            </w:pPr>
          </w:p>
        </w:tc>
        <w:tc>
          <w:tcPr>
            <w:tcW w:w="903" w:type="dxa"/>
            <w:noWrap w:val="0"/>
            <w:vAlign w:val="top"/>
          </w:tcPr>
          <w:p w14:paraId="744C55CE">
            <w:pPr>
              <w:rPr>
                <w:rFonts w:ascii="Times New Roman" w:hAnsi="Times New Roman"/>
                <w:szCs w:val="24"/>
              </w:rPr>
            </w:pPr>
          </w:p>
        </w:tc>
      </w:tr>
      <w:tr w14:paraId="78DB9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0" w:type="dxa"/>
            <w:noWrap w:val="0"/>
            <w:vAlign w:val="top"/>
          </w:tcPr>
          <w:p w14:paraId="57F97522">
            <w:pPr>
              <w:rPr>
                <w:rFonts w:ascii="Times New Roman" w:hAnsi="Times New Roman"/>
                <w:szCs w:val="24"/>
              </w:rPr>
            </w:pPr>
          </w:p>
        </w:tc>
        <w:tc>
          <w:tcPr>
            <w:tcW w:w="1022" w:type="dxa"/>
            <w:noWrap w:val="0"/>
            <w:vAlign w:val="top"/>
          </w:tcPr>
          <w:p w14:paraId="0E5DDC10">
            <w:pPr>
              <w:rPr>
                <w:rFonts w:ascii="Times New Roman" w:hAnsi="Times New Roman"/>
                <w:szCs w:val="24"/>
              </w:rPr>
            </w:pPr>
          </w:p>
        </w:tc>
        <w:tc>
          <w:tcPr>
            <w:tcW w:w="1022" w:type="dxa"/>
            <w:noWrap w:val="0"/>
            <w:vAlign w:val="top"/>
          </w:tcPr>
          <w:p w14:paraId="5AC662DF">
            <w:pPr>
              <w:rPr>
                <w:rFonts w:ascii="Times New Roman" w:hAnsi="Times New Roman"/>
                <w:szCs w:val="24"/>
              </w:rPr>
            </w:pPr>
          </w:p>
        </w:tc>
        <w:tc>
          <w:tcPr>
            <w:tcW w:w="1168" w:type="dxa"/>
            <w:noWrap w:val="0"/>
            <w:vAlign w:val="center"/>
          </w:tcPr>
          <w:p w14:paraId="54F0D9F1">
            <w:pPr>
              <w:jc w:val="center"/>
              <w:rPr>
                <w:rFonts w:ascii="Times New Roman" w:hAnsi="Times New Roman"/>
                <w:szCs w:val="24"/>
              </w:rPr>
            </w:pPr>
          </w:p>
        </w:tc>
        <w:tc>
          <w:tcPr>
            <w:tcW w:w="729" w:type="dxa"/>
            <w:noWrap w:val="0"/>
            <w:vAlign w:val="center"/>
          </w:tcPr>
          <w:p w14:paraId="10A0C4B8">
            <w:pPr>
              <w:jc w:val="center"/>
              <w:rPr>
                <w:rFonts w:ascii="Times New Roman" w:hAnsi="Times New Roman"/>
                <w:szCs w:val="24"/>
              </w:rPr>
            </w:pPr>
          </w:p>
        </w:tc>
        <w:tc>
          <w:tcPr>
            <w:tcW w:w="1314" w:type="dxa"/>
            <w:noWrap w:val="0"/>
            <w:vAlign w:val="center"/>
          </w:tcPr>
          <w:p w14:paraId="3431532B">
            <w:pPr>
              <w:jc w:val="center"/>
              <w:rPr>
                <w:rFonts w:ascii="Times New Roman" w:hAnsi="Times New Roman"/>
                <w:szCs w:val="24"/>
              </w:rPr>
            </w:pPr>
          </w:p>
        </w:tc>
        <w:tc>
          <w:tcPr>
            <w:tcW w:w="1022" w:type="dxa"/>
            <w:noWrap w:val="0"/>
            <w:vAlign w:val="center"/>
          </w:tcPr>
          <w:p w14:paraId="2C40C7F4">
            <w:pPr>
              <w:jc w:val="center"/>
              <w:rPr>
                <w:rFonts w:ascii="Times New Roman" w:hAnsi="Times New Roman"/>
                <w:szCs w:val="24"/>
              </w:rPr>
            </w:pPr>
          </w:p>
        </w:tc>
        <w:tc>
          <w:tcPr>
            <w:tcW w:w="1433" w:type="dxa"/>
            <w:noWrap w:val="0"/>
            <w:vAlign w:val="center"/>
          </w:tcPr>
          <w:p w14:paraId="28637D6B">
            <w:pPr>
              <w:jc w:val="center"/>
              <w:rPr>
                <w:rFonts w:ascii="Times New Roman" w:hAnsi="Times New Roman"/>
                <w:szCs w:val="24"/>
              </w:rPr>
            </w:pPr>
          </w:p>
        </w:tc>
        <w:tc>
          <w:tcPr>
            <w:tcW w:w="903" w:type="dxa"/>
            <w:noWrap w:val="0"/>
            <w:vAlign w:val="top"/>
          </w:tcPr>
          <w:p w14:paraId="1671D150">
            <w:pPr>
              <w:rPr>
                <w:rFonts w:ascii="Times New Roman" w:hAnsi="Times New Roman"/>
                <w:szCs w:val="24"/>
              </w:rPr>
            </w:pPr>
          </w:p>
        </w:tc>
      </w:tr>
      <w:tr w14:paraId="6F3C0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0" w:type="dxa"/>
            <w:noWrap w:val="0"/>
            <w:vAlign w:val="top"/>
          </w:tcPr>
          <w:p w14:paraId="22623C39">
            <w:pPr>
              <w:rPr>
                <w:rFonts w:ascii="Times New Roman" w:hAnsi="Times New Roman"/>
                <w:szCs w:val="24"/>
              </w:rPr>
            </w:pPr>
          </w:p>
        </w:tc>
        <w:tc>
          <w:tcPr>
            <w:tcW w:w="1022" w:type="dxa"/>
            <w:noWrap w:val="0"/>
            <w:vAlign w:val="top"/>
          </w:tcPr>
          <w:p w14:paraId="15CB8ED0">
            <w:pPr>
              <w:rPr>
                <w:rFonts w:ascii="Times New Roman" w:hAnsi="Times New Roman"/>
                <w:szCs w:val="24"/>
              </w:rPr>
            </w:pPr>
          </w:p>
        </w:tc>
        <w:tc>
          <w:tcPr>
            <w:tcW w:w="1022" w:type="dxa"/>
            <w:noWrap w:val="0"/>
            <w:vAlign w:val="top"/>
          </w:tcPr>
          <w:p w14:paraId="1151B903">
            <w:pPr>
              <w:rPr>
                <w:rFonts w:ascii="Times New Roman" w:hAnsi="Times New Roman"/>
                <w:szCs w:val="24"/>
              </w:rPr>
            </w:pPr>
          </w:p>
        </w:tc>
        <w:tc>
          <w:tcPr>
            <w:tcW w:w="1168" w:type="dxa"/>
            <w:noWrap w:val="0"/>
            <w:vAlign w:val="center"/>
          </w:tcPr>
          <w:p w14:paraId="15C59690">
            <w:pPr>
              <w:jc w:val="center"/>
              <w:rPr>
                <w:rFonts w:ascii="Times New Roman" w:hAnsi="Times New Roman"/>
                <w:szCs w:val="24"/>
              </w:rPr>
            </w:pPr>
          </w:p>
        </w:tc>
        <w:tc>
          <w:tcPr>
            <w:tcW w:w="729" w:type="dxa"/>
            <w:noWrap w:val="0"/>
            <w:vAlign w:val="center"/>
          </w:tcPr>
          <w:p w14:paraId="6DBF86ED">
            <w:pPr>
              <w:jc w:val="center"/>
              <w:rPr>
                <w:rFonts w:ascii="Times New Roman" w:hAnsi="Times New Roman"/>
                <w:szCs w:val="24"/>
              </w:rPr>
            </w:pPr>
          </w:p>
        </w:tc>
        <w:tc>
          <w:tcPr>
            <w:tcW w:w="1314" w:type="dxa"/>
            <w:noWrap w:val="0"/>
            <w:vAlign w:val="center"/>
          </w:tcPr>
          <w:p w14:paraId="01DF96E5">
            <w:pPr>
              <w:jc w:val="center"/>
              <w:rPr>
                <w:rFonts w:ascii="Times New Roman" w:hAnsi="Times New Roman"/>
                <w:szCs w:val="24"/>
              </w:rPr>
            </w:pPr>
          </w:p>
        </w:tc>
        <w:tc>
          <w:tcPr>
            <w:tcW w:w="1022" w:type="dxa"/>
            <w:noWrap w:val="0"/>
            <w:vAlign w:val="center"/>
          </w:tcPr>
          <w:p w14:paraId="4BEA7E50">
            <w:pPr>
              <w:jc w:val="center"/>
              <w:rPr>
                <w:rFonts w:ascii="Times New Roman" w:hAnsi="Times New Roman"/>
                <w:szCs w:val="24"/>
              </w:rPr>
            </w:pPr>
          </w:p>
        </w:tc>
        <w:tc>
          <w:tcPr>
            <w:tcW w:w="1433" w:type="dxa"/>
            <w:noWrap w:val="0"/>
            <w:vAlign w:val="center"/>
          </w:tcPr>
          <w:p w14:paraId="41A7854C">
            <w:pPr>
              <w:jc w:val="center"/>
              <w:rPr>
                <w:rFonts w:ascii="Times New Roman" w:hAnsi="Times New Roman"/>
                <w:szCs w:val="24"/>
              </w:rPr>
            </w:pPr>
          </w:p>
        </w:tc>
        <w:tc>
          <w:tcPr>
            <w:tcW w:w="903" w:type="dxa"/>
            <w:noWrap w:val="0"/>
            <w:vAlign w:val="top"/>
          </w:tcPr>
          <w:p w14:paraId="5F41C513">
            <w:pPr>
              <w:rPr>
                <w:rFonts w:ascii="Times New Roman" w:hAnsi="Times New Roman"/>
                <w:szCs w:val="24"/>
              </w:rPr>
            </w:pPr>
          </w:p>
        </w:tc>
      </w:tr>
      <w:tr w14:paraId="130E5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0" w:type="dxa"/>
            <w:noWrap w:val="0"/>
            <w:vAlign w:val="top"/>
          </w:tcPr>
          <w:p w14:paraId="692497B7">
            <w:pPr>
              <w:rPr>
                <w:rFonts w:ascii="Times New Roman" w:hAnsi="Times New Roman"/>
                <w:szCs w:val="24"/>
              </w:rPr>
            </w:pPr>
          </w:p>
        </w:tc>
        <w:tc>
          <w:tcPr>
            <w:tcW w:w="1022" w:type="dxa"/>
            <w:noWrap w:val="0"/>
            <w:vAlign w:val="top"/>
          </w:tcPr>
          <w:p w14:paraId="1EB16DB2">
            <w:pPr>
              <w:rPr>
                <w:rFonts w:ascii="Times New Roman" w:hAnsi="Times New Roman"/>
                <w:szCs w:val="24"/>
              </w:rPr>
            </w:pPr>
          </w:p>
        </w:tc>
        <w:tc>
          <w:tcPr>
            <w:tcW w:w="1022" w:type="dxa"/>
            <w:noWrap w:val="0"/>
            <w:vAlign w:val="top"/>
          </w:tcPr>
          <w:p w14:paraId="1825AAA3">
            <w:pPr>
              <w:rPr>
                <w:rFonts w:ascii="Times New Roman" w:hAnsi="Times New Roman"/>
                <w:szCs w:val="24"/>
              </w:rPr>
            </w:pPr>
          </w:p>
        </w:tc>
        <w:tc>
          <w:tcPr>
            <w:tcW w:w="1168" w:type="dxa"/>
            <w:noWrap w:val="0"/>
            <w:vAlign w:val="center"/>
          </w:tcPr>
          <w:p w14:paraId="686819EB">
            <w:pPr>
              <w:jc w:val="center"/>
              <w:rPr>
                <w:rFonts w:ascii="Times New Roman" w:hAnsi="Times New Roman"/>
                <w:szCs w:val="24"/>
              </w:rPr>
            </w:pPr>
          </w:p>
        </w:tc>
        <w:tc>
          <w:tcPr>
            <w:tcW w:w="729" w:type="dxa"/>
            <w:noWrap w:val="0"/>
            <w:vAlign w:val="center"/>
          </w:tcPr>
          <w:p w14:paraId="29552090">
            <w:pPr>
              <w:jc w:val="center"/>
              <w:rPr>
                <w:rFonts w:ascii="Times New Roman" w:hAnsi="Times New Roman"/>
                <w:szCs w:val="24"/>
              </w:rPr>
            </w:pPr>
          </w:p>
        </w:tc>
        <w:tc>
          <w:tcPr>
            <w:tcW w:w="1314" w:type="dxa"/>
            <w:noWrap w:val="0"/>
            <w:vAlign w:val="center"/>
          </w:tcPr>
          <w:p w14:paraId="4B1F7C04">
            <w:pPr>
              <w:jc w:val="center"/>
              <w:rPr>
                <w:rFonts w:ascii="Times New Roman" w:hAnsi="Times New Roman"/>
                <w:szCs w:val="24"/>
              </w:rPr>
            </w:pPr>
          </w:p>
        </w:tc>
        <w:tc>
          <w:tcPr>
            <w:tcW w:w="1022" w:type="dxa"/>
            <w:noWrap w:val="0"/>
            <w:vAlign w:val="center"/>
          </w:tcPr>
          <w:p w14:paraId="47BDE75C">
            <w:pPr>
              <w:jc w:val="center"/>
              <w:rPr>
                <w:rFonts w:ascii="Times New Roman" w:hAnsi="Times New Roman"/>
                <w:szCs w:val="24"/>
              </w:rPr>
            </w:pPr>
          </w:p>
        </w:tc>
        <w:tc>
          <w:tcPr>
            <w:tcW w:w="1433" w:type="dxa"/>
            <w:noWrap w:val="0"/>
            <w:vAlign w:val="center"/>
          </w:tcPr>
          <w:p w14:paraId="3B942402">
            <w:pPr>
              <w:jc w:val="center"/>
              <w:rPr>
                <w:rFonts w:ascii="Times New Roman" w:hAnsi="Times New Roman"/>
                <w:szCs w:val="24"/>
              </w:rPr>
            </w:pPr>
          </w:p>
        </w:tc>
        <w:tc>
          <w:tcPr>
            <w:tcW w:w="903" w:type="dxa"/>
            <w:noWrap w:val="0"/>
            <w:vAlign w:val="top"/>
          </w:tcPr>
          <w:p w14:paraId="02E74272">
            <w:pPr>
              <w:rPr>
                <w:rFonts w:ascii="Times New Roman" w:hAnsi="Times New Roman"/>
                <w:szCs w:val="24"/>
              </w:rPr>
            </w:pPr>
          </w:p>
        </w:tc>
      </w:tr>
      <w:tr w14:paraId="059EC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0" w:type="dxa"/>
            <w:noWrap w:val="0"/>
            <w:vAlign w:val="top"/>
          </w:tcPr>
          <w:p w14:paraId="397779B6">
            <w:pPr>
              <w:rPr>
                <w:rFonts w:ascii="Times New Roman" w:hAnsi="Times New Roman"/>
                <w:szCs w:val="24"/>
              </w:rPr>
            </w:pPr>
          </w:p>
        </w:tc>
        <w:tc>
          <w:tcPr>
            <w:tcW w:w="1022" w:type="dxa"/>
            <w:noWrap w:val="0"/>
            <w:vAlign w:val="top"/>
          </w:tcPr>
          <w:p w14:paraId="60F6E793">
            <w:pPr>
              <w:rPr>
                <w:rFonts w:ascii="Times New Roman" w:hAnsi="Times New Roman"/>
                <w:szCs w:val="24"/>
              </w:rPr>
            </w:pPr>
          </w:p>
        </w:tc>
        <w:tc>
          <w:tcPr>
            <w:tcW w:w="1022" w:type="dxa"/>
            <w:noWrap w:val="0"/>
            <w:vAlign w:val="top"/>
          </w:tcPr>
          <w:p w14:paraId="2447ECD0">
            <w:pPr>
              <w:rPr>
                <w:rFonts w:ascii="Times New Roman" w:hAnsi="Times New Roman"/>
                <w:szCs w:val="24"/>
              </w:rPr>
            </w:pPr>
          </w:p>
        </w:tc>
        <w:tc>
          <w:tcPr>
            <w:tcW w:w="1168" w:type="dxa"/>
            <w:noWrap w:val="0"/>
            <w:vAlign w:val="center"/>
          </w:tcPr>
          <w:p w14:paraId="1828D3FB">
            <w:pPr>
              <w:jc w:val="center"/>
              <w:rPr>
                <w:rFonts w:ascii="Times New Roman" w:hAnsi="Times New Roman"/>
                <w:szCs w:val="24"/>
              </w:rPr>
            </w:pPr>
          </w:p>
        </w:tc>
        <w:tc>
          <w:tcPr>
            <w:tcW w:w="729" w:type="dxa"/>
            <w:noWrap w:val="0"/>
            <w:vAlign w:val="center"/>
          </w:tcPr>
          <w:p w14:paraId="7D50F7B9">
            <w:pPr>
              <w:jc w:val="center"/>
              <w:rPr>
                <w:rFonts w:ascii="Times New Roman" w:hAnsi="Times New Roman"/>
                <w:szCs w:val="24"/>
              </w:rPr>
            </w:pPr>
          </w:p>
        </w:tc>
        <w:tc>
          <w:tcPr>
            <w:tcW w:w="1314" w:type="dxa"/>
            <w:noWrap w:val="0"/>
            <w:vAlign w:val="center"/>
          </w:tcPr>
          <w:p w14:paraId="1EB6163D">
            <w:pPr>
              <w:jc w:val="center"/>
              <w:rPr>
                <w:rFonts w:ascii="Times New Roman" w:hAnsi="Times New Roman"/>
                <w:szCs w:val="24"/>
              </w:rPr>
            </w:pPr>
          </w:p>
        </w:tc>
        <w:tc>
          <w:tcPr>
            <w:tcW w:w="1022" w:type="dxa"/>
            <w:noWrap w:val="0"/>
            <w:vAlign w:val="center"/>
          </w:tcPr>
          <w:p w14:paraId="797B3630">
            <w:pPr>
              <w:jc w:val="center"/>
              <w:rPr>
                <w:rFonts w:ascii="Times New Roman" w:hAnsi="Times New Roman"/>
                <w:szCs w:val="24"/>
              </w:rPr>
            </w:pPr>
          </w:p>
        </w:tc>
        <w:tc>
          <w:tcPr>
            <w:tcW w:w="1433" w:type="dxa"/>
            <w:noWrap w:val="0"/>
            <w:vAlign w:val="center"/>
          </w:tcPr>
          <w:p w14:paraId="4AD4FFA0">
            <w:pPr>
              <w:jc w:val="center"/>
              <w:rPr>
                <w:rFonts w:ascii="Times New Roman" w:hAnsi="Times New Roman"/>
                <w:szCs w:val="24"/>
              </w:rPr>
            </w:pPr>
          </w:p>
        </w:tc>
        <w:tc>
          <w:tcPr>
            <w:tcW w:w="903" w:type="dxa"/>
            <w:noWrap w:val="0"/>
            <w:vAlign w:val="top"/>
          </w:tcPr>
          <w:p w14:paraId="2AB09B81">
            <w:pPr>
              <w:rPr>
                <w:rFonts w:ascii="Times New Roman" w:hAnsi="Times New Roman"/>
                <w:szCs w:val="24"/>
              </w:rPr>
            </w:pPr>
          </w:p>
        </w:tc>
      </w:tr>
      <w:tr w14:paraId="7723E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0" w:type="dxa"/>
            <w:noWrap w:val="0"/>
            <w:vAlign w:val="top"/>
          </w:tcPr>
          <w:p w14:paraId="3133B189">
            <w:pPr>
              <w:rPr>
                <w:rFonts w:ascii="Times New Roman" w:hAnsi="Times New Roman"/>
                <w:szCs w:val="24"/>
              </w:rPr>
            </w:pPr>
          </w:p>
        </w:tc>
        <w:tc>
          <w:tcPr>
            <w:tcW w:w="1022" w:type="dxa"/>
            <w:noWrap w:val="0"/>
            <w:vAlign w:val="top"/>
          </w:tcPr>
          <w:p w14:paraId="08F759B3">
            <w:pPr>
              <w:rPr>
                <w:rFonts w:ascii="Times New Roman" w:hAnsi="Times New Roman"/>
                <w:szCs w:val="24"/>
              </w:rPr>
            </w:pPr>
          </w:p>
        </w:tc>
        <w:tc>
          <w:tcPr>
            <w:tcW w:w="1022" w:type="dxa"/>
            <w:noWrap w:val="0"/>
            <w:vAlign w:val="top"/>
          </w:tcPr>
          <w:p w14:paraId="2666AD59">
            <w:pPr>
              <w:rPr>
                <w:rFonts w:ascii="Times New Roman" w:hAnsi="Times New Roman"/>
                <w:szCs w:val="24"/>
              </w:rPr>
            </w:pPr>
          </w:p>
        </w:tc>
        <w:tc>
          <w:tcPr>
            <w:tcW w:w="1168" w:type="dxa"/>
            <w:noWrap w:val="0"/>
            <w:vAlign w:val="center"/>
          </w:tcPr>
          <w:p w14:paraId="5EA55879">
            <w:pPr>
              <w:jc w:val="center"/>
              <w:rPr>
                <w:rFonts w:ascii="Times New Roman" w:hAnsi="Times New Roman"/>
                <w:szCs w:val="24"/>
              </w:rPr>
            </w:pPr>
          </w:p>
        </w:tc>
        <w:tc>
          <w:tcPr>
            <w:tcW w:w="729" w:type="dxa"/>
            <w:noWrap w:val="0"/>
            <w:vAlign w:val="center"/>
          </w:tcPr>
          <w:p w14:paraId="6288B57C">
            <w:pPr>
              <w:jc w:val="center"/>
              <w:rPr>
                <w:rFonts w:ascii="Times New Roman" w:hAnsi="Times New Roman"/>
                <w:szCs w:val="24"/>
              </w:rPr>
            </w:pPr>
          </w:p>
        </w:tc>
        <w:tc>
          <w:tcPr>
            <w:tcW w:w="1314" w:type="dxa"/>
            <w:noWrap w:val="0"/>
            <w:vAlign w:val="center"/>
          </w:tcPr>
          <w:p w14:paraId="723E4496">
            <w:pPr>
              <w:jc w:val="center"/>
              <w:rPr>
                <w:rFonts w:ascii="Times New Roman" w:hAnsi="Times New Roman"/>
                <w:szCs w:val="24"/>
              </w:rPr>
            </w:pPr>
          </w:p>
        </w:tc>
        <w:tc>
          <w:tcPr>
            <w:tcW w:w="1022" w:type="dxa"/>
            <w:noWrap w:val="0"/>
            <w:vAlign w:val="center"/>
          </w:tcPr>
          <w:p w14:paraId="6151FAF2">
            <w:pPr>
              <w:jc w:val="center"/>
              <w:rPr>
                <w:rFonts w:ascii="Times New Roman" w:hAnsi="Times New Roman"/>
                <w:szCs w:val="24"/>
              </w:rPr>
            </w:pPr>
          </w:p>
        </w:tc>
        <w:tc>
          <w:tcPr>
            <w:tcW w:w="1433" w:type="dxa"/>
            <w:noWrap w:val="0"/>
            <w:vAlign w:val="center"/>
          </w:tcPr>
          <w:p w14:paraId="208C0BF2">
            <w:pPr>
              <w:jc w:val="center"/>
              <w:rPr>
                <w:rFonts w:ascii="Times New Roman" w:hAnsi="Times New Roman"/>
                <w:szCs w:val="24"/>
              </w:rPr>
            </w:pPr>
          </w:p>
        </w:tc>
        <w:tc>
          <w:tcPr>
            <w:tcW w:w="903" w:type="dxa"/>
            <w:noWrap w:val="0"/>
            <w:vAlign w:val="top"/>
          </w:tcPr>
          <w:p w14:paraId="3909AEB8">
            <w:pPr>
              <w:rPr>
                <w:rFonts w:ascii="Times New Roman" w:hAnsi="Times New Roman"/>
                <w:szCs w:val="24"/>
              </w:rPr>
            </w:pPr>
          </w:p>
        </w:tc>
      </w:tr>
      <w:tr w14:paraId="7766B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0" w:type="dxa"/>
            <w:noWrap w:val="0"/>
            <w:vAlign w:val="top"/>
          </w:tcPr>
          <w:p w14:paraId="16E5EB69">
            <w:pPr>
              <w:rPr>
                <w:rFonts w:ascii="Times New Roman" w:hAnsi="Times New Roman"/>
                <w:szCs w:val="24"/>
              </w:rPr>
            </w:pPr>
          </w:p>
        </w:tc>
        <w:tc>
          <w:tcPr>
            <w:tcW w:w="1022" w:type="dxa"/>
            <w:noWrap w:val="0"/>
            <w:vAlign w:val="top"/>
          </w:tcPr>
          <w:p w14:paraId="6E8E856C">
            <w:pPr>
              <w:rPr>
                <w:rFonts w:ascii="Times New Roman" w:hAnsi="Times New Roman"/>
                <w:szCs w:val="24"/>
              </w:rPr>
            </w:pPr>
          </w:p>
        </w:tc>
        <w:tc>
          <w:tcPr>
            <w:tcW w:w="1022" w:type="dxa"/>
            <w:noWrap w:val="0"/>
            <w:vAlign w:val="top"/>
          </w:tcPr>
          <w:p w14:paraId="3B05EF9B">
            <w:pPr>
              <w:rPr>
                <w:rFonts w:ascii="Times New Roman" w:hAnsi="Times New Roman"/>
                <w:szCs w:val="24"/>
              </w:rPr>
            </w:pPr>
          </w:p>
        </w:tc>
        <w:tc>
          <w:tcPr>
            <w:tcW w:w="1168" w:type="dxa"/>
            <w:noWrap w:val="0"/>
            <w:vAlign w:val="center"/>
          </w:tcPr>
          <w:p w14:paraId="441A7E7E">
            <w:pPr>
              <w:jc w:val="center"/>
              <w:rPr>
                <w:rFonts w:ascii="Times New Roman" w:hAnsi="Times New Roman"/>
                <w:szCs w:val="24"/>
              </w:rPr>
            </w:pPr>
          </w:p>
        </w:tc>
        <w:tc>
          <w:tcPr>
            <w:tcW w:w="729" w:type="dxa"/>
            <w:noWrap w:val="0"/>
            <w:vAlign w:val="center"/>
          </w:tcPr>
          <w:p w14:paraId="74A6F5DC">
            <w:pPr>
              <w:jc w:val="center"/>
              <w:rPr>
                <w:rFonts w:ascii="Times New Roman" w:hAnsi="Times New Roman"/>
                <w:szCs w:val="24"/>
              </w:rPr>
            </w:pPr>
          </w:p>
        </w:tc>
        <w:tc>
          <w:tcPr>
            <w:tcW w:w="1314" w:type="dxa"/>
            <w:noWrap w:val="0"/>
            <w:vAlign w:val="center"/>
          </w:tcPr>
          <w:p w14:paraId="1ED57179">
            <w:pPr>
              <w:jc w:val="center"/>
              <w:rPr>
                <w:rFonts w:ascii="Times New Roman" w:hAnsi="Times New Roman"/>
                <w:szCs w:val="24"/>
              </w:rPr>
            </w:pPr>
          </w:p>
        </w:tc>
        <w:tc>
          <w:tcPr>
            <w:tcW w:w="1022" w:type="dxa"/>
            <w:noWrap w:val="0"/>
            <w:vAlign w:val="center"/>
          </w:tcPr>
          <w:p w14:paraId="60FC534E">
            <w:pPr>
              <w:jc w:val="center"/>
              <w:rPr>
                <w:rFonts w:ascii="Times New Roman" w:hAnsi="Times New Roman"/>
                <w:szCs w:val="24"/>
              </w:rPr>
            </w:pPr>
          </w:p>
        </w:tc>
        <w:tc>
          <w:tcPr>
            <w:tcW w:w="1433" w:type="dxa"/>
            <w:noWrap w:val="0"/>
            <w:vAlign w:val="center"/>
          </w:tcPr>
          <w:p w14:paraId="15E93DE1">
            <w:pPr>
              <w:jc w:val="center"/>
              <w:rPr>
                <w:rFonts w:ascii="Times New Roman" w:hAnsi="Times New Roman"/>
                <w:szCs w:val="24"/>
              </w:rPr>
            </w:pPr>
          </w:p>
        </w:tc>
        <w:tc>
          <w:tcPr>
            <w:tcW w:w="903" w:type="dxa"/>
            <w:noWrap w:val="0"/>
            <w:vAlign w:val="top"/>
          </w:tcPr>
          <w:p w14:paraId="5EFFB82E">
            <w:pPr>
              <w:rPr>
                <w:rFonts w:ascii="Times New Roman" w:hAnsi="Times New Roman"/>
                <w:szCs w:val="24"/>
              </w:rPr>
            </w:pPr>
          </w:p>
        </w:tc>
      </w:tr>
      <w:tr w14:paraId="04392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0" w:type="dxa"/>
            <w:noWrap w:val="0"/>
            <w:vAlign w:val="top"/>
          </w:tcPr>
          <w:p w14:paraId="4C80EF68">
            <w:pPr>
              <w:rPr>
                <w:rFonts w:ascii="Times New Roman" w:hAnsi="Times New Roman"/>
                <w:szCs w:val="24"/>
              </w:rPr>
            </w:pPr>
          </w:p>
        </w:tc>
        <w:tc>
          <w:tcPr>
            <w:tcW w:w="1022" w:type="dxa"/>
            <w:noWrap w:val="0"/>
            <w:vAlign w:val="top"/>
          </w:tcPr>
          <w:p w14:paraId="6452FD13">
            <w:pPr>
              <w:rPr>
                <w:rFonts w:ascii="Times New Roman" w:hAnsi="Times New Roman"/>
                <w:szCs w:val="24"/>
              </w:rPr>
            </w:pPr>
          </w:p>
        </w:tc>
        <w:tc>
          <w:tcPr>
            <w:tcW w:w="1022" w:type="dxa"/>
            <w:noWrap w:val="0"/>
            <w:vAlign w:val="top"/>
          </w:tcPr>
          <w:p w14:paraId="6CFCE9DB">
            <w:pPr>
              <w:rPr>
                <w:rFonts w:ascii="Times New Roman" w:hAnsi="Times New Roman"/>
                <w:szCs w:val="24"/>
              </w:rPr>
            </w:pPr>
          </w:p>
        </w:tc>
        <w:tc>
          <w:tcPr>
            <w:tcW w:w="1168" w:type="dxa"/>
            <w:noWrap w:val="0"/>
            <w:vAlign w:val="center"/>
          </w:tcPr>
          <w:p w14:paraId="3E3D7126">
            <w:pPr>
              <w:jc w:val="center"/>
              <w:rPr>
                <w:rFonts w:ascii="Times New Roman" w:hAnsi="Times New Roman"/>
                <w:szCs w:val="24"/>
              </w:rPr>
            </w:pPr>
          </w:p>
        </w:tc>
        <w:tc>
          <w:tcPr>
            <w:tcW w:w="729" w:type="dxa"/>
            <w:noWrap w:val="0"/>
            <w:vAlign w:val="center"/>
          </w:tcPr>
          <w:p w14:paraId="1AFD9442">
            <w:pPr>
              <w:jc w:val="center"/>
              <w:rPr>
                <w:rFonts w:ascii="Times New Roman" w:hAnsi="Times New Roman"/>
                <w:szCs w:val="24"/>
              </w:rPr>
            </w:pPr>
          </w:p>
        </w:tc>
        <w:tc>
          <w:tcPr>
            <w:tcW w:w="1314" w:type="dxa"/>
            <w:noWrap w:val="0"/>
            <w:vAlign w:val="center"/>
          </w:tcPr>
          <w:p w14:paraId="19A38EA9">
            <w:pPr>
              <w:jc w:val="center"/>
              <w:rPr>
                <w:rFonts w:ascii="Times New Roman" w:hAnsi="Times New Roman"/>
                <w:szCs w:val="24"/>
              </w:rPr>
            </w:pPr>
          </w:p>
        </w:tc>
        <w:tc>
          <w:tcPr>
            <w:tcW w:w="1022" w:type="dxa"/>
            <w:noWrap w:val="0"/>
            <w:vAlign w:val="center"/>
          </w:tcPr>
          <w:p w14:paraId="31A8D600">
            <w:pPr>
              <w:jc w:val="center"/>
              <w:rPr>
                <w:rFonts w:ascii="Times New Roman" w:hAnsi="Times New Roman"/>
                <w:szCs w:val="24"/>
              </w:rPr>
            </w:pPr>
          </w:p>
        </w:tc>
        <w:tc>
          <w:tcPr>
            <w:tcW w:w="1433" w:type="dxa"/>
            <w:noWrap w:val="0"/>
            <w:vAlign w:val="center"/>
          </w:tcPr>
          <w:p w14:paraId="04F261AC">
            <w:pPr>
              <w:jc w:val="center"/>
              <w:rPr>
                <w:rFonts w:ascii="Times New Roman" w:hAnsi="Times New Roman"/>
                <w:szCs w:val="24"/>
              </w:rPr>
            </w:pPr>
          </w:p>
        </w:tc>
        <w:tc>
          <w:tcPr>
            <w:tcW w:w="903" w:type="dxa"/>
            <w:noWrap w:val="0"/>
            <w:vAlign w:val="top"/>
          </w:tcPr>
          <w:p w14:paraId="00B93C9A">
            <w:pPr>
              <w:rPr>
                <w:rFonts w:ascii="Times New Roman" w:hAnsi="Times New Roman"/>
                <w:szCs w:val="24"/>
              </w:rPr>
            </w:pPr>
          </w:p>
        </w:tc>
      </w:tr>
      <w:tr w14:paraId="56512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0" w:type="dxa"/>
            <w:noWrap w:val="0"/>
            <w:vAlign w:val="top"/>
          </w:tcPr>
          <w:p w14:paraId="07BB6B83">
            <w:pPr>
              <w:rPr>
                <w:rFonts w:ascii="Times New Roman" w:hAnsi="Times New Roman"/>
                <w:szCs w:val="24"/>
              </w:rPr>
            </w:pPr>
          </w:p>
        </w:tc>
        <w:tc>
          <w:tcPr>
            <w:tcW w:w="1022" w:type="dxa"/>
            <w:noWrap w:val="0"/>
            <w:vAlign w:val="top"/>
          </w:tcPr>
          <w:p w14:paraId="77851ADC">
            <w:pPr>
              <w:rPr>
                <w:rFonts w:ascii="Times New Roman" w:hAnsi="Times New Roman"/>
                <w:szCs w:val="24"/>
              </w:rPr>
            </w:pPr>
          </w:p>
        </w:tc>
        <w:tc>
          <w:tcPr>
            <w:tcW w:w="1022" w:type="dxa"/>
            <w:noWrap w:val="0"/>
            <w:vAlign w:val="top"/>
          </w:tcPr>
          <w:p w14:paraId="4DFE9CB9">
            <w:pPr>
              <w:rPr>
                <w:rFonts w:ascii="Times New Roman" w:hAnsi="Times New Roman"/>
                <w:szCs w:val="24"/>
              </w:rPr>
            </w:pPr>
          </w:p>
        </w:tc>
        <w:tc>
          <w:tcPr>
            <w:tcW w:w="1168" w:type="dxa"/>
            <w:noWrap w:val="0"/>
            <w:vAlign w:val="center"/>
          </w:tcPr>
          <w:p w14:paraId="4383A6C6">
            <w:pPr>
              <w:jc w:val="center"/>
              <w:rPr>
                <w:rFonts w:ascii="Times New Roman" w:hAnsi="Times New Roman"/>
                <w:szCs w:val="24"/>
              </w:rPr>
            </w:pPr>
          </w:p>
        </w:tc>
        <w:tc>
          <w:tcPr>
            <w:tcW w:w="729" w:type="dxa"/>
            <w:noWrap w:val="0"/>
            <w:vAlign w:val="center"/>
          </w:tcPr>
          <w:p w14:paraId="27BBFEF2">
            <w:pPr>
              <w:jc w:val="center"/>
              <w:rPr>
                <w:rFonts w:ascii="Times New Roman" w:hAnsi="Times New Roman"/>
                <w:szCs w:val="24"/>
              </w:rPr>
            </w:pPr>
          </w:p>
        </w:tc>
        <w:tc>
          <w:tcPr>
            <w:tcW w:w="1314" w:type="dxa"/>
            <w:noWrap w:val="0"/>
            <w:vAlign w:val="center"/>
          </w:tcPr>
          <w:p w14:paraId="720F1BF1">
            <w:pPr>
              <w:jc w:val="center"/>
              <w:rPr>
                <w:rFonts w:ascii="Times New Roman" w:hAnsi="Times New Roman"/>
                <w:szCs w:val="24"/>
              </w:rPr>
            </w:pPr>
          </w:p>
        </w:tc>
        <w:tc>
          <w:tcPr>
            <w:tcW w:w="1022" w:type="dxa"/>
            <w:noWrap w:val="0"/>
            <w:vAlign w:val="center"/>
          </w:tcPr>
          <w:p w14:paraId="5D77681A">
            <w:pPr>
              <w:jc w:val="center"/>
              <w:rPr>
                <w:rFonts w:ascii="Times New Roman" w:hAnsi="Times New Roman"/>
                <w:szCs w:val="24"/>
              </w:rPr>
            </w:pPr>
          </w:p>
        </w:tc>
        <w:tc>
          <w:tcPr>
            <w:tcW w:w="1433" w:type="dxa"/>
            <w:noWrap w:val="0"/>
            <w:vAlign w:val="center"/>
          </w:tcPr>
          <w:p w14:paraId="2409DF73">
            <w:pPr>
              <w:jc w:val="center"/>
              <w:rPr>
                <w:rFonts w:ascii="Times New Roman" w:hAnsi="Times New Roman"/>
                <w:szCs w:val="24"/>
              </w:rPr>
            </w:pPr>
          </w:p>
        </w:tc>
        <w:tc>
          <w:tcPr>
            <w:tcW w:w="903" w:type="dxa"/>
            <w:noWrap w:val="0"/>
            <w:vAlign w:val="top"/>
          </w:tcPr>
          <w:p w14:paraId="5D747E81">
            <w:pPr>
              <w:rPr>
                <w:rFonts w:ascii="Times New Roman" w:hAnsi="Times New Roman"/>
                <w:szCs w:val="24"/>
              </w:rPr>
            </w:pPr>
          </w:p>
        </w:tc>
      </w:tr>
      <w:tr w14:paraId="19449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0" w:type="dxa"/>
            <w:noWrap w:val="0"/>
            <w:vAlign w:val="top"/>
          </w:tcPr>
          <w:p w14:paraId="5EAB22E0">
            <w:pPr>
              <w:rPr>
                <w:rFonts w:ascii="Times New Roman" w:hAnsi="Times New Roman"/>
                <w:szCs w:val="24"/>
              </w:rPr>
            </w:pPr>
          </w:p>
        </w:tc>
        <w:tc>
          <w:tcPr>
            <w:tcW w:w="1022" w:type="dxa"/>
            <w:noWrap w:val="0"/>
            <w:vAlign w:val="top"/>
          </w:tcPr>
          <w:p w14:paraId="25C47804">
            <w:pPr>
              <w:rPr>
                <w:rFonts w:ascii="Times New Roman" w:hAnsi="Times New Roman"/>
                <w:szCs w:val="24"/>
              </w:rPr>
            </w:pPr>
          </w:p>
        </w:tc>
        <w:tc>
          <w:tcPr>
            <w:tcW w:w="1022" w:type="dxa"/>
            <w:noWrap w:val="0"/>
            <w:vAlign w:val="top"/>
          </w:tcPr>
          <w:p w14:paraId="249D9B1A">
            <w:pPr>
              <w:rPr>
                <w:rFonts w:ascii="Times New Roman" w:hAnsi="Times New Roman"/>
                <w:szCs w:val="24"/>
              </w:rPr>
            </w:pPr>
          </w:p>
        </w:tc>
        <w:tc>
          <w:tcPr>
            <w:tcW w:w="1168" w:type="dxa"/>
            <w:noWrap w:val="0"/>
            <w:vAlign w:val="center"/>
          </w:tcPr>
          <w:p w14:paraId="2240121F">
            <w:pPr>
              <w:jc w:val="center"/>
              <w:rPr>
                <w:rFonts w:ascii="Times New Roman" w:hAnsi="Times New Roman"/>
                <w:szCs w:val="24"/>
              </w:rPr>
            </w:pPr>
          </w:p>
        </w:tc>
        <w:tc>
          <w:tcPr>
            <w:tcW w:w="729" w:type="dxa"/>
            <w:noWrap w:val="0"/>
            <w:vAlign w:val="center"/>
          </w:tcPr>
          <w:p w14:paraId="6F6E5E19">
            <w:pPr>
              <w:jc w:val="center"/>
              <w:rPr>
                <w:rFonts w:ascii="Times New Roman" w:hAnsi="Times New Roman"/>
                <w:szCs w:val="24"/>
              </w:rPr>
            </w:pPr>
          </w:p>
        </w:tc>
        <w:tc>
          <w:tcPr>
            <w:tcW w:w="1314" w:type="dxa"/>
            <w:noWrap w:val="0"/>
            <w:vAlign w:val="center"/>
          </w:tcPr>
          <w:p w14:paraId="2690F680">
            <w:pPr>
              <w:jc w:val="center"/>
              <w:rPr>
                <w:rFonts w:ascii="Times New Roman" w:hAnsi="Times New Roman"/>
                <w:szCs w:val="24"/>
              </w:rPr>
            </w:pPr>
          </w:p>
        </w:tc>
        <w:tc>
          <w:tcPr>
            <w:tcW w:w="1022" w:type="dxa"/>
            <w:noWrap w:val="0"/>
            <w:vAlign w:val="center"/>
          </w:tcPr>
          <w:p w14:paraId="426A4D91">
            <w:pPr>
              <w:jc w:val="center"/>
              <w:rPr>
                <w:rFonts w:ascii="Times New Roman" w:hAnsi="Times New Roman"/>
                <w:szCs w:val="24"/>
              </w:rPr>
            </w:pPr>
          </w:p>
        </w:tc>
        <w:tc>
          <w:tcPr>
            <w:tcW w:w="1433" w:type="dxa"/>
            <w:noWrap w:val="0"/>
            <w:vAlign w:val="center"/>
          </w:tcPr>
          <w:p w14:paraId="094622F1">
            <w:pPr>
              <w:jc w:val="center"/>
              <w:rPr>
                <w:rFonts w:ascii="Times New Roman" w:hAnsi="Times New Roman"/>
                <w:szCs w:val="24"/>
              </w:rPr>
            </w:pPr>
          </w:p>
        </w:tc>
        <w:tc>
          <w:tcPr>
            <w:tcW w:w="903" w:type="dxa"/>
            <w:noWrap w:val="0"/>
            <w:vAlign w:val="top"/>
          </w:tcPr>
          <w:p w14:paraId="5977E846">
            <w:pPr>
              <w:rPr>
                <w:rFonts w:ascii="Times New Roman" w:hAnsi="Times New Roman"/>
                <w:szCs w:val="24"/>
              </w:rPr>
            </w:pPr>
          </w:p>
        </w:tc>
      </w:tr>
    </w:tbl>
    <w:p w14:paraId="66AECE70">
      <w:pPr>
        <w:widowControl/>
        <w:jc w:val="left"/>
        <w:outlineLvl w:val="2"/>
        <w:rPr>
          <w:rFonts w:ascii="黑体" w:hAnsi="黑体" w:eastAsia="黑体" w:cs="黑体"/>
          <w:b/>
          <w:kern w:val="0"/>
          <w:sz w:val="28"/>
          <w:szCs w:val="24"/>
          <w:lang w:eastAsia="en-US"/>
        </w:rPr>
      </w:pPr>
      <w:r>
        <w:rPr>
          <w:rFonts w:ascii="Times New Roman" w:hAnsi="Times New Roman" w:eastAsia="Times New Roman"/>
          <w:kern w:val="0"/>
          <w:sz w:val="24"/>
          <w:szCs w:val="24"/>
          <w:lang w:eastAsia="en-US"/>
        </w:rPr>
        <w:br w:type="page"/>
      </w:r>
      <w:bookmarkStart w:id="436" w:name="_Toc256000170"/>
      <w:r>
        <w:rPr>
          <w:rFonts w:ascii="黑体" w:hAnsi="黑体" w:eastAsia="黑体" w:cs="黑体"/>
          <w:b/>
          <w:kern w:val="0"/>
          <w:sz w:val="28"/>
          <w:szCs w:val="24"/>
          <w:lang w:eastAsia="en-US"/>
        </w:rPr>
        <w:t>(</w:t>
      </w:r>
      <w:r>
        <w:rPr>
          <w:rFonts w:hint="eastAsia" w:ascii="黑体" w:hAnsi="黑体" w:eastAsia="黑体" w:cs="黑体"/>
          <w:b/>
          <w:kern w:val="0"/>
          <w:sz w:val="28"/>
          <w:szCs w:val="24"/>
          <w:lang w:val="en-US" w:eastAsia="zh-CN"/>
        </w:rPr>
        <w:t>二</w:t>
      </w:r>
      <w:r>
        <w:rPr>
          <w:rFonts w:ascii="黑体" w:hAnsi="黑体" w:eastAsia="黑体" w:cs="黑体"/>
          <w:b/>
          <w:kern w:val="0"/>
          <w:sz w:val="28"/>
          <w:szCs w:val="24"/>
          <w:lang w:eastAsia="en-US"/>
        </w:rPr>
        <w:t>)主要人员简历表</w:t>
      </w:r>
      <w:bookmarkEnd w:id="436"/>
    </w:p>
    <w:p w14:paraId="73ADABD3">
      <w:pPr>
        <w:jc w:val="center"/>
        <w:rPr>
          <w:rFonts w:ascii="宋体" w:hAnsi="宋体"/>
          <w:sz w:val="28"/>
          <w:szCs w:val="28"/>
        </w:rPr>
      </w:pPr>
      <w:r>
        <w:rPr>
          <w:rFonts w:hint="eastAsia" w:ascii="宋体" w:hAnsi="宋体"/>
          <w:sz w:val="28"/>
          <w:szCs w:val="28"/>
        </w:rPr>
        <w:t>主要人员简历表</w:t>
      </w:r>
    </w:p>
    <w:tbl>
      <w:tblPr>
        <w:tblStyle w:val="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94"/>
        <w:gridCol w:w="1603"/>
        <w:gridCol w:w="1603"/>
        <w:gridCol w:w="1603"/>
        <w:gridCol w:w="1603"/>
        <w:gridCol w:w="1437"/>
      </w:tblGrid>
      <w:tr w14:paraId="51158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94" w:type="dxa"/>
            <w:noWrap w:val="0"/>
            <w:vAlign w:val="center"/>
          </w:tcPr>
          <w:p w14:paraId="164FA4DD">
            <w:pPr>
              <w:jc w:val="center"/>
              <w:rPr>
                <w:rFonts w:ascii="Times New Roman" w:hAnsi="Times New Roman"/>
                <w:szCs w:val="24"/>
              </w:rPr>
            </w:pPr>
            <w:r>
              <w:rPr>
                <w:rFonts w:hint="eastAsia" w:ascii="Times New Roman" w:hAnsi="Times New Roman"/>
                <w:szCs w:val="24"/>
              </w:rPr>
              <w:t>姓名</w:t>
            </w:r>
          </w:p>
        </w:tc>
        <w:tc>
          <w:tcPr>
            <w:tcW w:w="1603" w:type="dxa"/>
            <w:noWrap w:val="0"/>
            <w:vAlign w:val="center"/>
          </w:tcPr>
          <w:p w14:paraId="26E96ED2">
            <w:pPr>
              <w:jc w:val="center"/>
              <w:rPr>
                <w:rFonts w:ascii="Times New Roman" w:hAnsi="Times New Roman"/>
                <w:szCs w:val="24"/>
              </w:rPr>
            </w:pPr>
          </w:p>
        </w:tc>
        <w:tc>
          <w:tcPr>
            <w:tcW w:w="1603" w:type="dxa"/>
            <w:noWrap w:val="0"/>
            <w:vAlign w:val="center"/>
          </w:tcPr>
          <w:p w14:paraId="53493287">
            <w:pPr>
              <w:jc w:val="center"/>
              <w:rPr>
                <w:rFonts w:ascii="Times New Roman" w:hAnsi="Times New Roman"/>
                <w:szCs w:val="24"/>
              </w:rPr>
            </w:pPr>
            <w:r>
              <w:rPr>
                <w:rFonts w:hint="eastAsia" w:ascii="Times New Roman" w:hAnsi="Times New Roman"/>
                <w:szCs w:val="24"/>
              </w:rPr>
              <w:t>年龄</w:t>
            </w:r>
          </w:p>
        </w:tc>
        <w:tc>
          <w:tcPr>
            <w:tcW w:w="1603" w:type="dxa"/>
            <w:noWrap w:val="0"/>
            <w:vAlign w:val="center"/>
          </w:tcPr>
          <w:p w14:paraId="61AC2101">
            <w:pPr>
              <w:jc w:val="center"/>
              <w:rPr>
                <w:rFonts w:ascii="Times New Roman" w:hAnsi="Times New Roman"/>
                <w:szCs w:val="24"/>
              </w:rPr>
            </w:pPr>
          </w:p>
        </w:tc>
        <w:tc>
          <w:tcPr>
            <w:tcW w:w="1603" w:type="dxa"/>
            <w:noWrap w:val="0"/>
            <w:vAlign w:val="center"/>
          </w:tcPr>
          <w:p w14:paraId="5480F118">
            <w:pPr>
              <w:jc w:val="center"/>
              <w:rPr>
                <w:rFonts w:ascii="Times New Roman" w:hAnsi="Times New Roman"/>
                <w:szCs w:val="24"/>
              </w:rPr>
            </w:pPr>
            <w:r>
              <w:rPr>
                <w:rFonts w:hint="eastAsia" w:ascii="Times New Roman" w:hAnsi="Times New Roman"/>
                <w:szCs w:val="24"/>
              </w:rPr>
              <w:t>学历</w:t>
            </w:r>
          </w:p>
        </w:tc>
        <w:tc>
          <w:tcPr>
            <w:tcW w:w="1437" w:type="dxa"/>
            <w:noWrap w:val="0"/>
            <w:vAlign w:val="center"/>
          </w:tcPr>
          <w:p w14:paraId="24EFB9F3">
            <w:pPr>
              <w:jc w:val="center"/>
              <w:rPr>
                <w:rFonts w:ascii="Times New Roman" w:hAnsi="Times New Roman"/>
                <w:szCs w:val="24"/>
              </w:rPr>
            </w:pPr>
          </w:p>
        </w:tc>
      </w:tr>
      <w:tr w14:paraId="2A3F0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noWrap w:val="0"/>
            <w:vAlign w:val="center"/>
          </w:tcPr>
          <w:p w14:paraId="641C7198">
            <w:pPr>
              <w:jc w:val="center"/>
              <w:rPr>
                <w:rFonts w:ascii="Times New Roman" w:hAnsi="Times New Roman"/>
                <w:szCs w:val="24"/>
              </w:rPr>
            </w:pPr>
            <w:r>
              <w:rPr>
                <w:rFonts w:hint="eastAsia" w:ascii="Times New Roman" w:hAnsi="Times New Roman"/>
                <w:szCs w:val="24"/>
              </w:rPr>
              <w:t>执业资格</w:t>
            </w:r>
          </w:p>
        </w:tc>
        <w:tc>
          <w:tcPr>
            <w:tcW w:w="4809" w:type="dxa"/>
            <w:gridSpan w:val="3"/>
            <w:noWrap w:val="0"/>
            <w:vAlign w:val="center"/>
          </w:tcPr>
          <w:p w14:paraId="32E6B100">
            <w:pPr>
              <w:jc w:val="center"/>
              <w:rPr>
                <w:rFonts w:ascii="Times New Roman" w:hAnsi="Times New Roman"/>
                <w:szCs w:val="24"/>
              </w:rPr>
            </w:pPr>
          </w:p>
        </w:tc>
        <w:tc>
          <w:tcPr>
            <w:tcW w:w="1603" w:type="dxa"/>
            <w:noWrap w:val="0"/>
            <w:vAlign w:val="center"/>
          </w:tcPr>
          <w:p w14:paraId="6345F6C4">
            <w:pPr>
              <w:jc w:val="center"/>
              <w:rPr>
                <w:rFonts w:ascii="Times New Roman" w:hAnsi="Times New Roman"/>
                <w:szCs w:val="24"/>
              </w:rPr>
            </w:pPr>
            <w:r>
              <w:rPr>
                <w:rFonts w:hint="eastAsia" w:ascii="Times New Roman" w:hAnsi="Times New Roman"/>
                <w:szCs w:val="24"/>
              </w:rPr>
              <w:t>安全生产考核合格证书</w:t>
            </w:r>
          </w:p>
        </w:tc>
        <w:tc>
          <w:tcPr>
            <w:tcW w:w="1437" w:type="dxa"/>
            <w:noWrap w:val="0"/>
            <w:vAlign w:val="center"/>
          </w:tcPr>
          <w:p w14:paraId="0B7DD079">
            <w:pPr>
              <w:jc w:val="center"/>
              <w:rPr>
                <w:rFonts w:ascii="Times New Roman" w:hAnsi="Times New Roman"/>
                <w:szCs w:val="24"/>
              </w:rPr>
            </w:pPr>
          </w:p>
        </w:tc>
      </w:tr>
      <w:tr w14:paraId="5C5FF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noWrap w:val="0"/>
            <w:vAlign w:val="center"/>
          </w:tcPr>
          <w:p w14:paraId="6B32290B">
            <w:pPr>
              <w:jc w:val="center"/>
              <w:rPr>
                <w:rFonts w:ascii="Times New Roman" w:hAnsi="Times New Roman"/>
                <w:szCs w:val="24"/>
              </w:rPr>
            </w:pPr>
            <w:r>
              <w:rPr>
                <w:rFonts w:hint="eastAsia" w:ascii="Times New Roman" w:hAnsi="Times New Roman"/>
                <w:szCs w:val="24"/>
              </w:rPr>
              <w:t>职称</w:t>
            </w:r>
          </w:p>
        </w:tc>
        <w:tc>
          <w:tcPr>
            <w:tcW w:w="1603" w:type="dxa"/>
            <w:noWrap w:val="0"/>
            <w:vAlign w:val="center"/>
          </w:tcPr>
          <w:p w14:paraId="3A567360">
            <w:pPr>
              <w:jc w:val="center"/>
              <w:rPr>
                <w:rFonts w:ascii="Times New Roman" w:hAnsi="Times New Roman"/>
                <w:szCs w:val="24"/>
              </w:rPr>
            </w:pPr>
          </w:p>
        </w:tc>
        <w:tc>
          <w:tcPr>
            <w:tcW w:w="1603" w:type="dxa"/>
            <w:noWrap w:val="0"/>
            <w:vAlign w:val="center"/>
          </w:tcPr>
          <w:p w14:paraId="15DE3568">
            <w:pPr>
              <w:jc w:val="center"/>
              <w:rPr>
                <w:rFonts w:ascii="Times New Roman" w:hAnsi="Times New Roman"/>
                <w:szCs w:val="24"/>
              </w:rPr>
            </w:pPr>
            <w:r>
              <w:rPr>
                <w:rFonts w:hint="eastAsia" w:ascii="Times New Roman" w:hAnsi="Times New Roman"/>
                <w:szCs w:val="24"/>
              </w:rPr>
              <w:t>职务</w:t>
            </w:r>
          </w:p>
        </w:tc>
        <w:tc>
          <w:tcPr>
            <w:tcW w:w="1603" w:type="dxa"/>
            <w:noWrap w:val="0"/>
            <w:vAlign w:val="center"/>
          </w:tcPr>
          <w:p w14:paraId="17A2A17C">
            <w:pPr>
              <w:jc w:val="center"/>
              <w:rPr>
                <w:rFonts w:ascii="Times New Roman" w:hAnsi="Times New Roman"/>
                <w:szCs w:val="24"/>
              </w:rPr>
            </w:pPr>
          </w:p>
        </w:tc>
        <w:tc>
          <w:tcPr>
            <w:tcW w:w="1603" w:type="dxa"/>
            <w:noWrap w:val="0"/>
            <w:vAlign w:val="center"/>
          </w:tcPr>
          <w:p w14:paraId="5BD820FA">
            <w:pPr>
              <w:jc w:val="center"/>
              <w:rPr>
                <w:rFonts w:ascii="Times New Roman" w:hAnsi="Times New Roman"/>
                <w:szCs w:val="24"/>
              </w:rPr>
            </w:pPr>
            <w:r>
              <w:rPr>
                <w:rFonts w:hint="eastAsia" w:ascii="Times New Roman" w:hAnsi="Times New Roman"/>
                <w:szCs w:val="24"/>
              </w:rPr>
              <w:t>拟在本合同任职</w:t>
            </w:r>
          </w:p>
        </w:tc>
        <w:tc>
          <w:tcPr>
            <w:tcW w:w="1437" w:type="dxa"/>
            <w:noWrap w:val="0"/>
            <w:vAlign w:val="center"/>
          </w:tcPr>
          <w:p w14:paraId="377CE502">
            <w:pPr>
              <w:jc w:val="center"/>
              <w:rPr>
                <w:rFonts w:ascii="Times New Roman" w:hAnsi="Times New Roman"/>
                <w:szCs w:val="24"/>
              </w:rPr>
            </w:pPr>
          </w:p>
        </w:tc>
      </w:tr>
      <w:tr w14:paraId="162A3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noWrap w:val="0"/>
            <w:vAlign w:val="center"/>
          </w:tcPr>
          <w:p w14:paraId="30823F50">
            <w:pPr>
              <w:jc w:val="center"/>
              <w:rPr>
                <w:rFonts w:ascii="Times New Roman" w:hAnsi="Times New Roman"/>
                <w:szCs w:val="24"/>
              </w:rPr>
            </w:pPr>
            <w:r>
              <w:rPr>
                <w:rFonts w:hint="eastAsia" w:ascii="Times New Roman" w:hAnsi="Times New Roman"/>
                <w:szCs w:val="24"/>
              </w:rPr>
              <w:t>毕业学校</w:t>
            </w:r>
          </w:p>
        </w:tc>
        <w:tc>
          <w:tcPr>
            <w:tcW w:w="7849" w:type="dxa"/>
            <w:gridSpan w:val="5"/>
            <w:noWrap w:val="0"/>
            <w:vAlign w:val="center"/>
          </w:tcPr>
          <w:p w14:paraId="68C12867">
            <w:pPr>
              <w:jc w:val="center"/>
              <w:rPr>
                <w:rFonts w:ascii="Times New Roman" w:hAnsi="Times New Roman"/>
                <w:szCs w:val="24"/>
              </w:rPr>
            </w:pPr>
            <w:r>
              <w:rPr>
                <w:rFonts w:hint="eastAsia" w:ascii="Times New Roman" w:hAnsi="Times New Roman"/>
                <w:szCs w:val="24"/>
              </w:rPr>
              <w:t>　　　　年毕业于　　　学校　　　专业</w:t>
            </w:r>
          </w:p>
        </w:tc>
      </w:tr>
      <w:tr w14:paraId="3D062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43" w:type="dxa"/>
            <w:gridSpan w:val="6"/>
            <w:noWrap w:val="0"/>
            <w:vAlign w:val="center"/>
          </w:tcPr>
          <w:p w14:paraId="592E7304">
            <w:pPr>
              <w:jc w:val="center"/>
              <w:rPr>
                <w:rFonts w:ascii="Times New Roman" w:hAnsi="Times New Roman"/>
                <w:szCs w:val="24"/>
              </w:rPr>
            </w:pPr>
            <w:r>
              <w:rPr>
                <w:rFonts w:hint="eastAsia" w:ascii="Times New Roman" w:hAnsi="Times New Roman"/>
                <w:szCs w:val="24"/>
              </w:rPr>
              <w:t>主要施工管理经历</w:t>
            </w:r>
          </w:p>
        </w:tc>
      </w:tr>
      <w:tr w14:paraId="4CE5B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noWrap w:val="0"/>
            <w:vAlign w:val="center"/>
          </w:tcPr>
          <w:p w14:paraId="05EDF0C7">
            <w:pPr>
              <w:jc w:val="center"/>
              <w:rPr>
                <w:rFonts w:ascii="Times New Roman" w:hAnsi="Times New Roman"/>
                <w:szCs w:val="24"/>
              </w:rPr>
            </w:pPr>
            <w:r>
              <w:rPr>
                <w:rFonts w:hint="eastAsia" w:ascii="Times New Roman" w:hAnsi="Times New Roman"/>
                <w:szCs w:val="24"/>
              </w:rPr>
              <w:t>时间</w:t>
            </w:r>
          </w:p>
        </w:tc>
        <w:tc>
          <w:tcPr>
            <w:tcW w:w="4809" w:type="dxa"/>
            <w:gridSpan w:val="3"/>
            <w:noWrap w:val="0"/>
            <w:vAlign w:val="center"/>
          </w:tcPr>
          <w:p w14:paraId="225EE249">
            <w:pPr>
              <w:jc w:val="center"/>
              <w:rPr>
                <w:rFonts w:ascii="Times New Roman" w:hAnsi="Times New Roman"/>
                <w:szCs w:val="24"/>
              </w:rPr>
            </w:pPr>
            <w:r>
              <w:rPr>
                <w:rFonts w:hint="eastAsia" w:ascii="Times New Roman" w:hAnsi="Times New Roman"/>
                <w:szCs w:val="24"/>
              </w:rPr>
              <w:t>参加过的类似项目</w:t>
            </w:r>
          </w:p>
        </w:tc>
        <w:tc>
          <w:tcPr>
            <w:tcW w:w="1603" w:type="dxa"/>
            <w:noWrap w:val="0"/>
            <w:vAlign w:val="center"/>
          </w:tcPr>
          <w:p w14:paraId="6A6A2623">
            <w:pPr>
              <w:jc w:val="center"/>
              <w:rPr>
                <w:rFonts w:ascii="Times New Roman" w:hAnsi="Times New Roman"/>
                <w:szCs w:val="24"/>
              </w:rPr>
            </w:pPr>
            <w:r>
              <w:rPr>
                <w:rFonts w:hint="eastAsia" w:ascii="Times New Roman" w:hAnsi="Times New Roman"/>
                <w:szCs w:val="24"/>
              </w:rPr>
              <w:t>担任职务</w:t>
            </w:r>
          </w:p>
        </w:tc>
        <w:tc>
          <w:tcPr>
            <w:tcW w:w="1437" w:type="dxa"/>
            <w:noWrap w:val="0"/>
            <w:vAlign w:val="center"/>
          </w:tcPr>
          <w:p w14:paraId="1EBC86AE">
            <w:pPr>
              <w:jc w:val="center"/>
              <w:rPr>
                <w:rFonts w:ascii="Times New Roman" w:hAnsi="Times New Roman"/>
                <w:szCs w:val="24"/>
              </w:rPr>
            </w:pPr>
            <w:r>
              <w:rPr>
                <w:rFonts w:hint="eastAsia" w:ascii="Times New Roman" w:hAnsi="Times New Roman"/>
                <w:szCs w:val="24"/>
              </w:rPr>
              <w:t>发包人及联系电话</w:t>
            </w:r>
          </w:p>
        </w:tc>
      </w:tr>
      <w:tr w14:paraId="3957F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noWrap w:val="0"/>
            <w:vAlign w:val="center"/>
          </w:tcPr>
          <w:p w14:paraId="798DA4C9">
            <w:pPr>
              <w:jc w:val="center"/>
              <w:rPr>
                <w:rFonts w:ascii="Times New Roman" w:hAnsi="Times New Roman"/>
                <w:szCs w:val="24"/>
              </w:rPr>
            </w:pPr>
          </w:p>
        </w:tc>
        <w:tc>
          <w:tcPr>
            <w:tcW w:w="4809" w:type="dxa"/>
            <w:gridSpan w:val="3"/>
            <w:noWrap w:val="0"/>
            <w:vAlign w:val="center"/>
          </w:tcPr>
          <w:p w14:paraId="7E42E2C9">
            <w:pPr>
              <w:jc w:val="center"/>
              <w:rPr>
                <w:rFonts w:ascii="Times New Roman" w:hAnsi="Times New Roman"/>
                <w:szCs w:val="24"/>
              </w:rPr>
            </w:pPr>
          </w:p>
        </w:tc>
        <w:tc>
          <w:tcPr>
            <w:tcW w:w="1603" w:type="dxa"/>
            <w:noWrap w:val="0"/>
            <w:vAlign w:val="center"/>
          </w:tcPr>
          <w:p w14:paraId="39ACFC0D">
            <w:pPr>
              <w:jc w:val="center"/>
              <w:rPr>
                <w:rFonts w:ascii="Times New Roman" w:hAnsi="Times New Roman"/>
                <w:szCs w:val="24"/>
              </w:rPr>
            </w:pPr>
          </w:p>
        </w:tc>
        <w:tc>
          <w:tcPr>
            <w:tcW w:w="1437" w:type="dxa"/>
            <w:noWrap w:val="0"/>
            <w:vAlign w:val="center"/>
          </w:tcPr>
          <w:p w14:paraId="3213F51F">
            <w:pPr>
              <w:jc w:val="center"/>
              <w:rPr>
                <w:rFonts w:ascii="Times New Roman" w:hAnsi="Times New Roman"/>
                <w:szCs w:val="24"/>
              </w:rPr>
            </w:pPr>
          </w:p>
        </w:tc>
      </w:tr>
      <w:tr w14:paraId="657D2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noWrap w:val="0"/>
            <w:vAlign w:val="center"/>
          </w:tcPr>
          <w:p w14:paraId="23C488BE">
            <w:pPr>
              <w:jc w:val="center"/>
              <w:rPr>
                <w:rFonts w:ascii="Times New Roman" w:hAnsi="Times New Roman"/>
                <w:szCs w:val="24"/>
              </w:rPr>
            </w:pPr>
          </w:p>
        </w:tc>
        <w:tc>
          <w:tcPr>
            <w:tcW w:w="4809" w:type="dxa"/>
            <w:gridSpan w:val="3"/>
            <w:noWrap w:val="0"/>
            <w:vAlign w:val="center"/>
          </w:tcPr>
          <w:p w14:paraId="0D3BA7E8">
            <w:pPr>
              <w:jc w:val="center"/>
              <w:rPr>
                <w:rFonts w:ascii="Times New Roman" w:hAnsi="Times New Roman"/>
                <w:szCs w:val="24"/>
              </w:rPr>
            </w:pPr>
          </w:p>
        </w:tc>
        <w:tc>
          <w:tcPr>
            <w:tcW w:w="1603" w:type="dxa"/>
            <w:noWrap w:val="0"/>
            <w:vAlign w:val="center"/>
          </w:tcPr>
          <w:p w14:paraId="0450B620">
            <w:pPr>
              <w:jc w:val="center"/>
              <w:rPr>
                <w:rFonts w:ascii="Times New Roman" w:hAnsi="Times New Roman"/>
                <w:szCs w:val="24"/>
              </w:rPr>
            </w:pPr>
          </w:p>
        </w:tc>
        <w:tc>
          <w:tcPr>
            <w:tcW w:w="1437" w:type="dxa"/>
            <w:noWrap w:val="0"/>
            <w:vAlign w:val="center"/>
          </w:tcPr>
          <w:p w14:paraId="1351CAFC">
            <w:pPr>
              <w:jc w:val="center"/>
              <w:rPr>
                <w:rFonts w:ascii="Times New Roman" w:hAnsi="Times New Roman"/>
                <w:szCs w:val="24"/>
              </w:rPr>
            </w:pPr>
          </w:p>
        </w:tc>
      </w:tr>
      <w:tr w14:paraId="1D2D4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noWrap w:val="0"/>
            <w:vAlign w:val="center"/>
          </w:tcPr>
          <w:p w14:paraId="65C1AC0E">
            <w:pPr>
              <w:jc w:val="center"/>
              <w:rPr>
                <w:rFonts w:ascii="Times New Roman" w:hAnsi="Times New Roman"/>
                <w:szCs w:val="24"/>
              </w:rPr>
            </w:pPr>
          </w:p>
        </w:tc>
        <w:tc>
          <w:tcPr>
            <w:tcW w:w="4809" w:type="dxa"/>
            <w:gridSpan w:val="3"/>
            <w:noWrap w:val="0"/>
            <w:vAlign w:val="center"/>
          </w:tcPr>
          <w:p w14:paraId="4F8732D1">
            <w:pPr>
              <w:jc w:val="center"/>
              <w:rPr>
                <w:rFonts w:ascii="Times New Roman" w:hAnsi="Times New Roman"/>
                <w:szCs w:val="24"/>
              </w:rPr>
            </w:pPr>
          </w:p>
        </w:tc>
        <w:tc>
          <w:tcPr>
            <w:tcW w:w="1603" w:type="dxa"/>
            <w:noWrap w:val="0"/>
            <w:vAlign w:val="center"/>
          </w:tcPr>
          <w:p w14:paraId="7FB49186">
            <w:pPr>
              <w:jc w:val="center"/>
              <w:rPr>
                <w:rFonts w:ascii="Times New Roman" w:hAnsi="Times New Roman"/>
                <w:szCs w:val="24"/>
              </w:rPr>
            </w:pPr>
          </w:p>
        </w:tc>
        <w:tc>
          <w:tcPr>
            <w:tcW w:w="1437" w:type="dxa"/>
            <w:noWrap w:val="0"/>
            <w:vAlign w:val="center"/>
          </w:tcPr>
          <w:p w14:paraId="32B52A07">
            <w:pPr>
              <w:jc w:val="center"/>
              <w:rPr>
                <w:rFonts w:ascii="Times New Roman" w:hAnsi="Times New Roman"/>
                <w:szCs w:val="24"/>
              </w:rPr>
            </w:pPr>
          </w:p>
        </w:tc>
      </w:tr>
      <w:tr w14:paraId="11572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noWrap w:val="0"/>
            <w:vAlign w:val="center"/>
          </w:tcPr>
          <w:p w14:paraId="7008B1FF">
            <w:pPr>
              <w:jc w:val="center"/>
              <w:rPr>
                <w:rFonts w:ascii="Times New Roman" w:hAnsi="Times New Roman"/>
                <w:szCs w:val="24"/>
              </w:rPr>
            </w:pPr>
          </w:p>
        </w:tc>
        <w:tc>
          <w:tcPr>
            <w:tcW w:w="4809" w:type="dxa"/>
            <w:gridSpan w:val="3"/>
            <w:noWrap w:val="0"/>
            <w:vAlign w:val="center"/>
          </w:tcPr>
          <w:p w14:paraId="59203166">
            <w:pPr>
              <w:jc w:val="center"/>
              <w:rPr>
                <w:rFonts w:ascii="Times New Roman" w:hAnsi="Times New Roman"/>
                <w:szCs w:val="24"/>
              </w:rPr>
            </w:pPr>
          </w:p>
        </w:tc>
        <w:tc>
          <w:tcPr>
            <w:tcW w:w="1603" w:type="dxa"/>
            <w:noWrap w:val="0"/>
            <w:vAlign w:val="center"/>
          </w:tcPr>
          <w:p w14:paraId="638068D9">
            <w:pPr>
              <w:jc w:val="center"/>
              <w:rPr>
                <w:rFonts w:ascii="Times New Roman" w:hAnsi="Times New Roman"/>
                <w:szCs w:val="24"/>
              </w:rPr>
            </w:pPr>
          </w:p>
        </w:tc>
        <w:tc>
          <w:tcPr>
            <w:tcW w:w="1437" w:type="dxa"/>
            <w:noWrap w:val="0"/>
            <w:vAlign w:val="center"/>
          </w:tcPr>
          <w:p w14:paraId="6B68367C">
            <w:pPr>
              <w:jc w:val="center"/>
              <w:rPr>
                <w:rFonts w:ascii="Times New Roman" w:hAnsi="Times New Roman"/>
                <w:szCs w:val="24"/>
              </w:rPr>
            </w:pPr>
          </w:p>
        </w:tc>
      </w:tr>
      <w:tr w14:paraId="68903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noWrap w:val="0"/>
            <w:vAlign w:val="center"/>
          </w:tcPr>
          <w:p w14:paraId="713784BB">
            <w:pPr>
              <w:jc w:val="center"/>
              <w:rPr>
                <w:rFonts w:ascii="Times New Roman" w:hAnsi="Times New Roman"/>
                <w:szCs w:val="24"/>
              </w:rPr>
            </w:pPr>
          </w:p>
        </w:tc>
        <w:tc>
          <w:tcPr>
            <w:tcW w:w="4809" w:type="dxa"/>
            <w:gridSpan w:val="3"/>
            <w:noWrap w:val="0"/>
            <w:vAlign w:val="center"/>
          </w:tcPr>
          <w:p w14:paraId="036C3B76">
            <w:pPr>
              <w:jc w:val="center"/>
              <w:rPr>
                <w:rFonts w:ascii="Times New Roman" w:hAnsi="Times New Roman"/>
                <w:szCs w:val="24"/>
              </w:rPr>
            </w:pPr>
          </w:p>
        </w:tc>
        <w:tc>
          <w:tcPr>
            <w:tcW w:w="1603" w:type="dxa"/>
            <w:noWrap w:val="0"/>
            <w:vAlign w:val="center"/>
          </w:tcPr>
          <w:p w14:paraId="6B401581">
            <w:pPr>
              <w:jc w:val="center"/>
              <w:rPr>
                <w:rFonts w:ascii="Times New Roman" w:hAnsi="Times New Roman"/>
                <w:szCs w:val="24"/>
              </w:rPr>
            </w:pPr>
          </w:p>
        </w:tc>
        <w:tc>
          <w:tcPr>
            <w:tcW w:w="1437" w:type="dxa"/>
            <w:noWrap w:val="0"/>
            <w:vAlign w:val="center"/>
          </w:tcPr>
          <w:p w14:paraId="3E1662D9">
            <w:pPr>
              <w:jc w:val="center"/>
              <w:rPr>
                <w:rFonts w:ascii="Times New Roman" w:hAnsi="Times New Roman"/>
                <w:szCs w:val="24"/>
              </w:rPr>
            </w:pPr>
          </w:p>
        </w:tc>
      </w:tr>
      <w:tr w14:paraId="73CAB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noWrap w:val="0"/>
            <w:vAlign w:val="center"/>
          </w:tcPr>
          <w:p w14:paraId="5503C5F3">
            <w:pPr>
              <w:jc w:val="center"/>
              <w:rPr>
                <w:rFonts w:ascii="Times New Roman" w:hAnsi="Times New Roman"/>
                <w:szCs w:val="24"/>
              </w:rPr>
            </w:pPr>
          </w:p>
        </w:tc>
        <w:tc>
          <w:tcPr>
            <w:tcW w:w="4809" w:type="dxa"/>
            <w:gridSpan w:val="3"/>
            <w:noWrap w:val="0"/>
            <w:vAlign w:val="center"/>
          </w:tcPr>
          <w:p w14:paraId="3003D35E">
            <w:pPr>
              <w:jc w:val="center"/>
              <w:rPr>
                <w:rFonts w:ascii="Times New Roman" w:hAnsi="Times New Roman"/>
                <w:szCs w:val="24"/>
              </w:rPr>
            </w:pPr>
          </w:p>
        </w:tc>
        <w:tc>
          <w:tcPr>
            <w:tcW w:w="1603" w:type="dxa"/>
            <w:noWrap w:val="0"/>
            <w:vAlign w:val="center"/>
          </w:tcPr>
          <w:p w14:paraId="636E2AF7">
            <w:pPr>
              <w:jc w:val="center"/>
              <w:rPr>
                <w:rFonts w:ascii="Times New Roman" w:hAnsi="Times New Roman"/>
                <w:szCs w:val="24"/>
              </w:rPr>
            </w:pPr>
          </w:p>
        </w:tc>
        <w:tc>
          <w:tcPr>
            <w:tcW w:w="1437" w:type="dxa"/>
            <w:noWrap w:val="0"/>
            <w:vAlign w:val="center"/>
          </w:tcPr>
          <w:p w14:paraId="65439043">
            <w:pPr>
              <w:jc w:val="center"/>
              <w:rPr>
                <w:rFonts w:ascii="Times New Roman" w:hAnsi="Times New Roman"/>
                <w:szCs w:val="24"/>
              </w:rPr>
            </w:pPr>
          </w:p>
        </w:tc>
      </w:tr>
    </w:tbl>
    <w:p w14:paraId="4F4A18C1">
      <w:pPr>
        <w:rPr>
          <w:rFonts w:ascii="Times New Roman" w:hAnsi="Times New Roman"/>
          <w:szCs w:val="24"/>
        </w:rPr>
      </w:pPr>
      <w:r>
        <w:rPr>
          <w:rFonts w:hint="eastAsia" w:ascii="Times New Roman" w:hAnsi="Times New Roman"/>
          <w:szCs w:val="24"/>
        </w:rPr>
        <w:t>　　注　主要人员指项目经理、技术负责人、安全管理人员(专职安全生产管理人员)、质量管理人员、财务负责人及其它主要人员。</w:t>
      </w:r>
    </w:p>
    <w:p w14:paraId="13CCFF08">
      <w:pPr>
        <w:widowControl/>
        <w:jc w:val="left"/>
        <w:outlineLvl w:val="1"/>
        <w:rPr>
          <w:rFonts w:ascii="黑体" w:hAnsi="黑体" w:eastAsia="黑体" w:cs="黑体"/>
          <w:b/>
          <w:kern w:val="0"/>
          <w:sz w:val="32"/>
          <w:szCs w:val="24"/>
          <w:lang w:eastAsia="en-US"/>
        </w:rPr>
      </w:pPr>
      <w:r>
        <w:rPr>
          <w:rFonts w:ascii="Times New Roman" w:hAnsi="Times New Roman" w:eastAsia="Times New Roman"/>
          <w:kern w:val="0"/>
          <w:sz w:val="24"/>
          <w:szCs w:val="24"/>
          <w:lang w:eastAsia="en-US"/>
        </w:rPr>
        <w:br w:type="page"/>
      </w:r>
      <w:bookmarkStart w:id="437" w:name="_Toc256000173"/>
      <w:r>
        <w:rPr>
          <w:rFonts w:ascii="黑体" w:hAnsi="黑体" w:eastAsia="黑体" w:cs="黑体"/>
          <w:b/>
          <w:kern w:val="0"/>
          <w:sz w:val="32"/>
          <w:szCs w:val="24"/>
          <w:lang w:eastAsia="en-US"/>
        </w:rPr>
        <w:t>十</w:t>
      </w:r>
      <w:r>
        <w:rPr>
          <w:rFonts w:hint="eastAsia" w:ascii="黑体" w:hAnsi="黑体" w:eastAsia="黑体" w:cs="黑体"/>
          <w:b/>
          <w:kern w:val="0"/>
          <w:sz w:val="32"/>
          <w:szCs w:val="24"/>
          <w:lang w:val="en-US" w:eastAsia="zh-CN"/>
        </w:rPr>
        <w:t>一</w:t>
      </w:r>
      <w:r>
        <w:rPr>
          <w:rFonts w:ascii="黑体" w:hAnsi="黑体" w:eastAsia="黑体" w:cs="黑体"/>
          <w:b/>
          <w:kern w:val="0"/>
          <w:sz w:val="32"/>
          <w:szCs w:val="24"/>
          <w:lang w:eastAsia="en-US"/>
        </w:rPr>
        <w:t>、拟分包计划表</w:t>
      </w:r>
      <w:bookmarkEnd w:id="437"/>
    </w:p>
    <w:p w14:paraId="0A71A1E7"/>
    <w:tbl>
      <w:tblPr>
        <w:tblStyle w:val="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94"/>
        <w:gridCol w:w="2405"/>
        <w:gridCol w:w="2405"/>
        <w:gridCol w:w="2239"/>
      </w:tblGrid>
      <w:tr w14:paraId="399A1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94" w:type="dxa"/>
            <w:noWrap w:val="0"/>
            <w:vAlign w:val="center"/>
          </w:tcPr>
          <w:p w14:paraId="1329AC4C">
            <w:pPr>
              <w:jc w:val="center"/>
              <w:rPr>
                <w:rFonts w:hint="eastAsia"/>
              </w:rPr>
            </w:pPr>
            <w:r>
              <w:rPr>
                <w:rFonts w:hint="eastAsia"/>
              </w:rPr>
              <w:t>分包人名称</w:t>
            </w:r>
          </w:p>
        </w:tc>
        <w:tc>
          <w:tcPr>
            <w:tcW w:w="2405" w:type="dxa"/>
            <w:noWrap w:val="0"/>
            <w:vAlign w:val="center"/>
          </w:tcPr>
          <w:p w14:paraId="63C753FF">
            <w:pPr>
              <w:jc w:val="center"/>
              <w:rPr>
                <w:rFonts w:hint="eastAsia"/>
              </w:rPr>
            </w:pPr>
          </w:p>
        </w:tc>
        <w:tc>
          <w:tcPr>
            <w:tcW w:w="2405" w:type="dxa"/>
            <w:noWrap w:val="0"/>
            <w:vAlign w:val="center"/>
          </w:tcPr>
          <w:p w14:paraId="630F35B3">
            <w:pPr>
              <w:jc w:val="center"/>
              <w:rPr>
                <w:rFonts w:hint="eastAsia"/>
              </w:rPr>
            </w:pPr>
            <w:r>
              <w:rPr>
                <w:rFonts w:hint="eastAsia"/>
              </w:rPr>
              <w:t>地址</w:t>
            </w:r>
          </w:p>
        </w:tc>
        <w:tc>
          <w:tcPr>
            <w:tcW w:w="2239" w:type="dxa"/>
            <w:noWrap w:val="0"/>
            <w:vAlign w:val="center"/>
          </w:tcPr>
          <w:p w14:paraId="2997801C">
            <w:pPr>
              <w:jc w:val="center"/>
              <w:rPr>
                <w:rFonts w:hint="eastAsia"/>
              </w:rPr>
            </w:pPr>
          </w:p>
        </w:tc>
      </w:tr>
      <w:tr w14:paraId="66E03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94" w:type="dxa"/>
            <w:noWrap w:val="0"/>
            <w:vAlign w:val="center"/>
          </w:tcPr>
          <w:p w14:paraId="620E6194">
            <w:pPr>
              <w:jc w:val="center"/>
              <w:rPr>
                <w:rFonts w:hint="eastAsia"/>
              </w:rPr>
            </w:pPr>
            <w:r>
              <w:rPr>
                <w:rFonts w:hint="eastAsia"/>
              </w:rPr>
              <w:t>法定代表人</w:t>
            </w:r>
          </w:p>
        </w:tc>
        <w:tc>
          <w:tcPr>
            <w:tcW w:w="2405" w:type="dxa"/>
            <w:noWrap w:val="0"/>
            <w:vAlign w:val="center"/>
          </w:tcPr>
          <w:p w14:paraId="645CA998">
            <w:pPr>
              <w:jc w:val="center"/>
              <w:rPr>
                <w:rFonts w:hint="eastAsia"/>
              </w:rPr>
            </w:pPr>
          </w:p>
        </w:tc>
        <w:tc>
          <w:tcPr>
            <w:tcW w:w="2405" w:type="dxa"/>
            <w:noWrap w:val="0"/>
            <w:vAlign w:val="center"/>
          </w:tcPr>
          <w:p w14:paraId="0EFF79B2">
            <w:pPr>
              <w:jc w:val="center"/>
              <w:rPr>
                <w:rFonts w:hint="eastAsia"/>
              </w:rPr>
            </w:pPr>
            <w:r>
              <w:rPr>
                <w:rFonts w:hint="eastAsia"/>
              </w:rPr>
              <w:t>电话</w:t>
            </w:r>
          </w:p>
        </w:tc>
        <w:tc>
          <w:tcPr>
            <w:tcW w:w="2239" w:type="dxa"/>
            <w:noWrap w:val="0"/>
            <w:vAlign w:val="center"/>
          </w:tcPr>
          <w:p w14:paraId="11C357AD">
            <w:pPr>
              <w:jc w:val="center"/>
              <w:rPr>
                <w:rFonts w:hint="eastAsia"/>
              </w:rPr>
            </w:pPr>
          </w:p>
        </w:tc>
      </w:tr>
      <w:tr w14:paraId="59B8C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94" w:type="dxa"/>
            <w:noWrap w:val="0"/>
            <w:vAlign w:val="center"/>
          </w:tcPr>
          <w:p w14:paraId="129205AB">
            <w:pPr>
              <w:jc w:val="center"/>
              <w:rPr>
                <w:rFonts w:hint="eastAsia"/>
              </w:rPr>
            </w:pPr>
            <w:r>
              <w:rPr>
                <w:rFonts w:hint="eastAsia"/>
              </w:rPr>
              <w:t>营业执照号码</w:t>
            </w:r>
          </w:p>
        </w:tc>
        <w:tc>
          <w:tcPr>
            <w:tcW w:w="2405" w:type="dxa"/>
            <w:noWrap w:val="0"/>
            <w:vAlign w:val="center"/>
          </w:tcPr>
          <w:p w14:paraId="25E7BA52">
            <w:pPr>
              <w:jc w:val="center"/>
              <w:rPr>
                <w:rFonts w:hint="eastAsia"/>
              </w:rPr>
            </w:pPr>
          </w:p>
        </w:tc>
        <w:tc>
          <w:tcPr>
            <w:tcW w:w="2405" w:type="dxa"/>
            <w:noWrap w:val="0"/>
            <w:vAlign w:val="center"/>
          </w:tcPr>
          <w:p w14:paraId="10C1A907">
            <w:pPr>
              <w:jc w:val="center"/>
              <w:rPr>
                <w:rFonts w:hint="eastAsia"/>
              </w:rPr>
            </w:pPr>
            <w:r>
              <w:rPr>
                <w:rFonts w:hint="eastAsia"/>
              </w:rPr>
              <w:t>资质等级</w:t>
            </w:r>
          </w:p>
        </w:tc>
        <w:tc>
          <w:tcPr>
            <w:tcW w:w="2239" w:type="dxa"/>
            <w:noWrap w:val="0"/>
            <w:vAlign w:val="center"/>
          </w:tcPr>
          <w:p w14:paraId="028A1B13">
            <w:pPr>
              <w:jc w:val="center"/>
              <w:rPr>
                <w:rFonts w:hint="eastAsia"/>
              </w:rPr>
            </w:pPr>
          </w:p>
        </w:tc>
      </w:tr>
      <w:tr w14:paraId="5C32E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94" w:type="dxa"/>
            <w:noWrap w:val="0"/>
            <w:vAlign w:val="center"/>
          </w:tcPr>
          <w:p w14:paraId="1D312587">
            <w:pPr>
              <w:jc w:val="center"/>
              <w:rPr>
                <w:rFonts w:hint="eastAsia"/>
              </w:rPr>
            </w:pPr>
            <w:r>
              <w:rPr>
                <w:rFonts w:hint="eastAsia"/>
              </w:rPr>
              <w:t>拟分包的工程项目</w:t>
            </w:r>
          </w:p>
        </w:tc>
        <w:tc>
          <w:tcPr>
            <w:tcW w:w="2405" w:type="dxa"/>
            <w:noWrap w:val="0"/>
            <w:vAlign w:val="center"/>
          </w:tcPr>
          <w:p w14:paraId="43BA2700">
            <w:pPr>
              <w:jc w:val="center"/>
              <w:rPr>
                <w:rFonts w:hint="eastAsia"/>
              </w:rPr>
            </w:pPr>
            <w:r>
              <w:rPr>
                <w:rFonts w:hint="eastAsia"/>
              </w:rPr>
              <w:t>主要内容</w:t>
            </w:r>
          </w:p>
        </w:tc>
        <w:tc>
          <w:tcPr>
            <w:tcW w:w="2405" w:type="dxa"/>
            <w:noWrap w:val="0"/>
            <w:vAlign w:val="center"/>
          </w:tcPr>
          <w:p w14:paraId="7377A67C">
            <w:pPr>
              <w:jc w:val="center"/>
              <w:rPr>
                <w:rFonts w:hint="eastAsia"/>
              </w:rPr>
            </w:pPr>
            <w:r>
              <w:rPr>
                <w:rFonts w:hint="eastAsia"/>
              </w:rPr>
              <w:t>预计造价(万元)</w:t>
            </w:r>
          </w:p>
        </w:tc>
        <w:tc>
          <w:tcPr>
            <w:tcW w:w="2239" w:type="dxa"/>
            <w:noWrap w:val="0"/>
            <w:vAlign w:val="center"/>
          </w:tcPr>
          <w:p w14:paraId="54068833">
            <w:pPr>
              <w:jc w:val="center"/>
              <w:rPr>
                <w:rFonts w:hint="eastAsia"/>
              </w:rPr>
            </w:pPr>
            <w:r>
              <w:rPr>
                <w:rFonts w:hint="eastAsia"/>
              </w:rPr>
              <w:t>已经做过的类似项目</w:t>
            </w:r>
          </w:p>
        </w:tc>
      </w:tr>
      <w:tr w14:paraId="0A780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94" w:type="dxa"/>
            <w:noWrap w:val="0"/>
            <w:vAlign w:val="center"/>
          </w:tcPr>
          <w:p w14:paraId="62B2BAA1">
            <w:pPr>
              <w:jc w:val="center"/>
              <w:rPr>
                <w:rFonts w:hint="eastAsia"/>
              </w:rPr>
            </w:pPr>
          </w:p>
        </w:tc>
        <w:tc>
          <w:tcPr>
            <w:tcW w:w="2405" w:type="dxa"/>
            <w:noWrap w:val="0"/>
            <w:vAlign w:val="center"/>
          </w:tcPr>
          <w:p w14:paraId="7DA8C025">
            <w:pPr>
              <w:jc w:val="center"/>
              <w:rPr>
                <w:rFonts w:hint="eastAsia"/>
              </w:rPr>
            </w:pPr>
          </w:p>
        </w:tc>
        <w:tc>
          <w:tcPr>
            <w:tcW w:w="2405" w:type="dxa"/>
            <w:noWrap w:val="0"/>
            <w:vAlign w:val="center"/>
          </w:tcPr>
          <w:p w14:paraId="08FFFDB8">
            <w:pPr>
              <w:jc w:val="center"/>
              <w:rPr>
                <w:rFonts w:hint="eastAsia"/>
              </w:rPr>
            </w:pPr>
          </w:p>
        </w:tc>
        <w:tc>
          <w:tcPr>
            <w:tcW w:w="2239" w:type="dxa"/>
            <w:vMerge w:val="restart"/>
            <w:noWrap w:val="0"/>
            <w:vAlign w:val="center"/>
          </w:tcPr>
          <w:p w14:paraId="212C0D0C">
            <w:pPr>
              <w:jc w:val="center"/>
              <w:rPr>
                <w:rFonts w:hint="eastAsia"/>
              </w:rPr>
            </w:pPr>
          </w:p>
        </w:tc>
      </w:tr>
      <w:tr w14:paraId="37365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94" w:type="dxa"/>
            <w:noWrap w:val="0"/>
            <w:vAlign w:val="center"/>
          </w:tcPr>
          <w:p w14:paraId="3B065A37">
            <w:pPr>
              <w:jc w:val="center"/>
              <w:rPr>
                <w:rFonts w:hint="eastAsia"/>
              </w:rPr>
            </w:pPr>
          </w:p>
        </w:tc>
        <w:tc>
          <w:tcPr>
            <w:tcW w:w="2405" w:type="dxa"/>
            <w:noWrap w:val="0"/>
            <w:vAlign w:val="center"/>
          </w:tcPr>
          <w:p w14:paraId="51B55CA1">
            <w:pPr>
              <w:jc w:val="center"/>
              <w:rPr>
                <w:rFonts w:hint="eastAsia"/>
              </w:rPr>
            </w:pPr>
          </w:p>
        </w:tc>
        <w:tc>
          <w:tcPr>
            <w:tcW w:w="2405" w:type="dxa"/>
            <w:noWrap w:val="0"/>
            <w:vAlign w:val="center"/>
          </w:tcPr>
          <w:p w14:paraId="6F254FED">
            <w:pPr>
              <w:jc w:val="center"/>
              <w:rPr>
                <w:rFonts w:hint="eastAsia"/>
              </w:rPr>
            </w:pPr>
          </w:p>
        </w:tc>
        <w:tc>
          <w:tcPr>
            <w:tcW w:w="2239" w:type="dxa"/>
            <w:vMerge w:val="continue"/>
            <w:noWrap w:val="0"/>
            <w:vAlign w:val="top"/>
          </w:tcPr>
          <w:p w14:paraId="574B6C6B">
            <w:pPr>
              <w:rPr>
                <w:rFonts w:hint="eastAsia"/>
              </w:rPr>
            </w:pPr>
          </w:p>
        </w:tc>
      </w:tr>
    </w:tbl>
    <w:p w14:paraId="3A18C860"/>
    <w:p w14:paraId="49184600">
      <w:pPr>
        <w:rPr>
          <w:rFonts w:hint="eastAsia"/>
        </w:rPr>
      </w:pPr>
    </w:p>
    <w:p w14:paraId="04392729">
      <w:pPr>
        <w:widowControl/>
        <w:jc w:val="left"/>
        <w:outlineLvl w:val="1"/>
        <w:rPr>
          <w:rFonts w:ascii="黑体" w:hAnsi="黑体" w:eastAsia="黑体" w:cs="黑体"/>
          <w:b/>
          <w:kern w:val="0"/>
          <w:sz w:val="32"/>
          <w:szCs w:val="24"/>
          <w:lang w:eastAsia="en-US"/>
        </w:rPr>
      </w:pPr>
      <w:r>
        <w:rPr>
          <w:rFonts w:ascii="Times New Roman" w:hAnsi="Times New Roman" w:eastAsia="Times New Roman"/>
          <w:kern w:val="0"/>
          <w:sz w:val="24"/>
          <w:szCs w:val="24"/>
          <w:lang w:eastAsia="en-US"/>
        </w:rPr>
        <w:br w:type="page"/>
      </w:r>
      <w:bookmarkStart w:id="438" w:name="_Toc256000175"/>
      <w:r>
        <w:rPr>
          <w:rFonts w:ascii="黑体" w:hAnsi="黑体" w:eastAsia="黑体" w:cs="黑体"/>
          <w:b/>
          <w:kern w:val="0"/>
          <w:sz w:val="32"/>
          <w:szCs w:val="24"/>
          <w:lang w:eastAsia="en-US"/>
        </w:rPr>
        <w:t>十</w:t>
      </w:r>
      <w:r>
        <w:rPr>
          <w:rFonts w:hint="eastAsia" w:ascii="黑体" w:hAnsi="黑体" w:eastAsia="黑体" w:cs="黑体"/>
          <w:b/>
          <w:kern w:val="0"/>
          <w:sz w:val="32"/>
          <w:szCs w:val="24"/>
          <w:lang w:val="en-US" w:eastAsia="zh-CN"/>
        </w:rPr>
        <w:t>二</w:t>
      </w:r>
      <w:r>
        <w:rPr>
          <w:rFonts w:ascii="黑体" w:hAnsi="黑体" w:eastAsia="黑体" w:cs="黑体"/>
          <w:b/>
          <w:kern w:val="0"/>
          <w:sz w:val="32"/>
          <w:szCs w:val="24"/>
          <w:lang w:eastAsia="en-US"/>
        </w:rPr>
        <w:t>、资格审查资料</w:t>
      </w:r>
      <w:bookmarkEnd w:id="438"/>
    </w:p>
    <w:p w14:paraId="5098411F">
      <w:pPr>
        <w:widowControl/>
        <w:jc w:val="left"/>
        <w:outlineLvl w:val="2"/>
        <w:rPr>
          <w:rFonts w:ascii="黑体" w:hAnsi="黑体" w:eastAsia="黑体" w:cs="黑体"/>
          <w:b/>
          <w:kern w:val="0"/>
          <w:sz w:val="28"/>
          <w:szCs w:val="24"/>
          <w:lang w:eastAsia="en-US"/>
        </w:rPr>
      </w:pPr>
      <w:r>
        <w:rPr>
          <w:rFonts w:ascii="Times New Roman" w:hAnsi="Times New Roman" w:eastAsia="Times New Roman"/>
          <w:kern w:val="0"/>
          <w:sz w:val="24"/>
          <w:szCs w:val="24"/>
          <w:lang w:eastAsia="en-US"/>
        </w:rPr>
        <w:br w:type="page"/>
      </w:r>
      <w:bookmarkStart w:id="439" w:name="_Toc256000176"/>
      <w:r>
        <w:rPr>
          <w:rFonts w:ascii="黑体" w:hAnsi="黑体" w:eastAsia="黑体" w:cs="黑体"/>
          <w:b/>
          <w:kern w:val="0"/>
          <w:sz w:val="28"/>
          <w:szCs w:val="24"/>
          <w:lang w:eastAsia="en-US"/>
        </w:rPr>
        <w:t>(一)投标人基本情况表</w:t>
      </w:r>
      <w:bookmarkEnd w:id="439"/>
    </w:p>
    <w:p w14:paraId="71D39AB1">
      <w:pPr>
        <w:rPr>
          <w:rFonts w:ascii="Times New Roman" w:hAnsi="Times New Roman"/>
          <w:szCs w:val="24"/>
        </w:rPr>
      </w:pPr>
    </w:p>
    <w:p w14:paraId="65CDFB29">
      <w:pPr>
        <w:jc w:val="center"/>
        <w:rPr>
          <w:rFonts w:ascii="宋体" w:hAnsi="宋体"/>
          <w:sz w:val="28"/>
          <w:szCs w:val="28"/>
        </w:rPr>
      </w:pPr>
      <w:r>
        <w:rPr>
          <w:rFonts w:hint="eastAsia" w:ascii="宋体" w:hAnsi="宋体"/>
          <w:sz w:val="28"/>
          <w:szCs w:val="28"/>
        </w:rPr>
        <w:t>投标人基本情况表</w:t>
      </w:r>
    </w:p>
    <w:tbl>
      <w:tblPr>
        <w:tblStyle w:val="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62"/>
        <w:gridCol w:w="1022"/>
        <w:gridCol w:w="1529"/>
        <w:gridCol w:w="953"/>
        <w:gridCol w:w="422"/>
        <w:gridCol w:w="1375"/>
        <w:gridCol w:w="1375"/>
        <w:gridCol w:w="1205"/>
      </w:tblGrid>
      <w:tr w14:paraId="68025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84" w:type="dxa"/>
            <w:gridSpan w:val="2"/>
            <w:noWrap w:val="0"/>
            <w:vAlign w:val="center"/>
          </w:tcPr>
          <w:p w14:paraId="6709DEDC">
            <w:pPr>
              <w:jc w:val="center"/>
              <w:rPr>
                <w:rFonts w:ascii="Times New Roman" w:hAnsi="Times New Roman"/>
                <w:szCs w:val="24"/>
              </w:rPr>
            </w:pPr>
            <w:r>
              <w:rPr>
                <w:rFonts w:hint="eastAsia" w:ascii="Times New Roman" w:hAnsi="Times New Roman"/>
                <w:szCs w:val="24"/>
              </w:rPr>
              <w:t>投标人名称</w:t>
            </w:r>
          </w:p>
        </w:tc>
        <w:tc>
          <w:tcPr>
            <w:tcW w:w="6859" w:type="dxa"/>
            <w:gridSpan w:val="6"/>
            <w:noWrap w:val="0"/>
            <w:vAlign w:val="center"/>
          </w:tcPr>
          <w:p w14:paraId="65A4133B">
            <w:pPr>
              <w:jc w:val="center"/>
              <w:rPr>
                <w:rFonts w:ascii="Times New Roman" w:hAnsi="Times New Roman"/>
                <w:szCs w:val="24"/>
              </w:rPr>
            </w:pPr>
          </w:p>
        </w:tc>
      </w:tr>
      <w:tr w14:paraId="329EC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84" w:type="dxa"/>
            <w:gridSpan w:val="2"/>
            <w:noWrap w:val="0"/>
            <w:vAlign w:val="center"/>
          </w:tcPr>
          <w:p w14:paraId="4747583B">
            <w:pPr>
              <w:jc w:val="center"/>
              <w:rPr>
                <w:rFonts w:ascii="Times New Roman" w:hAnsi="Times New Roman"/>
                <w:szCs w:val="24"/>
              </w:rPr>
            </w:pPr>
            <w:r>
              <w:rPr>
                <w:rFonts w:hint="eastAsia" w:ascii="Times New Roman" w:hAnsi="Times New Roman"/>
                <w:szCs w:val="24"/>
              </w:rPr>
              <w:t>注册地址</w:t>
            </w:r>
          </w:p>
        </w:tc>
        <w:tc>
          <w:tcPr>
            <w:tcW w:w="2904" w:type="dxa"/>
            <w:gridSpan w:val="3"/>
            <w:noWrap w:val="0"/>
            <w:vAlign w:val="center"/>
          </w:tcPr>
          <w:p w14:paraId="6C5BEDAC">
            <w:pPr>
              <w:jc w:val="center"/>
              <w:rPr>
                <w:rFonts w:ascii="Times New Roman" w:hAnsi="Times New Roman"/>
                <w:szCs w:val="24"/>
              </w:rPr>
            </w:pPr>
          </w:p>
        </w:tc>
        <w:tc>
          <w:tcPr>
            <w:tcW w:w="1375" w:type="dxa"/>
            <w:noWrap w:val="0"/>
            <w:vAlign w:val="center"/>
          </w:tcPr>
          <w:p w14:paraId="435AA205">
            <w:pPr>
              <w:jc w:val="center"/>
              <w:rPr>
                <w:rFonts w:ascii="Times New Roman" w:hAnsi="Times New Roman"/>
                <w:szCs w:val="24"/>
              </w:rPr>
            </w:pPr>
            <w:r>
              <w:rPr>
                <w:rFonts w:hint="eastAsia" w:ascii="Times New Roman" w:hAnsi="Times New Roman"/>
                <w:szCs w:val="24"/>
              </w:rPr>
              <w:t>邮政编码</w:t>
            </w:r>
          </w:p>
        </w:tc>
        <w:tc>
          <w:tcPr>
            <w:tcW w:w="2580" w:type="dxa"/>
            <w:gridSpan w:val="2"/>
            <w:noWrap w:val="0"/>
            <w:vAlign w:val="center"/>
          </w:tcPr>
          <w:p w14:paraId="52443E0C">
            <w:pPr>
              <w:jc w:val="center"/>
              <w:rPr>
                <w:rFonts w:ascii="Times New Roman" w:hAnsi="Times New Roman"/>
                <w:szCs w:val="24"/>
              </w:rPr>
            </w:pPr>
          </w:p>
        </w:tc>
      </w:tr>
      <w:tr w14:paraId="62D61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84" w:type="dxa"/>
            <w:gridSpan w:val="2"/>
            <w:vMerge w:val="restart"/>
            <w:noWrap w:val="0"/>
            <w:vAlign w:val="center"/>
          </w:tcPr>
          <w:p w14:paraId="3B222450">
            <w:pPr>
              <w:jc w:val="center"/>
              <w:rPr>
                <w:rFonts w:ascii="Times New Roman" w:hAnsi="Times New Roman"/>
                <w:szCs w:val="24"/>
              </w:rPr>
            </w:pPr>
            <w:r>
              <w:rPr>
                <w:rFonts w:hint="eastAsia" w:ascii="Times New Roman" w:hAnsi="Times New Roman"/>
                <w:szCs w:val="24"/>
              </w:rPr>
              <w:t>联系方式</w:t>
            </w:r>
          </w:p>
        </w:tc>
        <w:tc>
          <w:tcPr>
            <w:tcW w:w="1529" w:type="dxa"/>
            <w:noWrap w:val="0"/>
            <w:vAlign w:val="center"/>
          </w:tcPr>
          <w:p w14:paraId="0BE26196">
            <w:pPr>
              <w:jc w:val="center"/>
              <w:rPr>
                <w:rFonts w:ascii="Times New Roman" w:hAnsi="Times New Roman"/>
                <w:szCs w:val="24"/>
              </w:rPr>
            </w:pPr>
            <w:r>
              <w:rPr>
                <w:rFonts w:hint="eastAsia" w:ascii="Times New Roman" w:hAnsi="Times New Roman"/>
                <w:szCs w:val="24"/>
              </w:rPr>
              <w:t>联系人</w:t>
            </w:r>
          </w:p>
        </w:tc>
        <w:tc>
          <w:tcPr>
            <w:tcW w:w="1375" w:type="dxa"/>
            <w:gridSpan w:val="2"/>
            <w:noWrap w:val="0"/>
            <w:vAlign w:val="center"/>
          </w:tcPr>
          <w:p w14:paraId="38BE91C7">
            <w:pPr>
              <w:jc w:val="center"/>
              <w:rPr>
                <w:rFonts w:ascii="Times New Roman" w:hAnsi="Times New Roman"/>
                <w:szCs w:val="24"/>
              </w:rPr>
            </w:pPr>
          </w:p>
        </w:tc>
        <w:tc>
          <w:tcPr>
            <w:tcW w:w="1375" w:type="dxa"/>
            <w:noWrap w:val="0"/>
            <w:vAlign w:val="center"/>
          </w:tcPr>
          <w:p w14:paraId="0EE97FDE">
            <w:pPr>
              <w:jc w:val="center"/>
              <w:rPr>
                <w:rFonts w:ascii="Times New Roman" w:hAnsi="Times New Roman"/>
                <w:szCs w:val="24"/>
              </w:rPr>
            </w:pPr>
            <w:r>
              <w:rPr>
                <w:rFonts w:hint="eastAsia" w:ascii="Times New Roman" w:hAnsi="Times New Roman"/>
                <w:szCs w:val="24"/>
              </w:rPr>
              <w:t>电话</w:t>
            </w:r>
          </w:p>
        </w:tc>
        <w:tc>
          <w:tcPr>
            <w:tcW w:w="2580" w:type="dxa"/>
            <w:gridSpan w:val="2"/>
            <w:noWrap w:val="0"/>
            <w:vAlign w:val="center"/>
          </w:tcPr>
          <w:p w14:paraId="6562ACBF">
            <w:pPr>
              <w:jc w:val="center"/>
              <w:rPr>
                <w:rFonts w:ascii="Times New Roman" w:hAnsi="Times New Roman"/>
                <w:szCs w:val="24"/>
              </w:rPr>
            </w:pPr>
          </w:p>
        </w:tc>
      </w:tr>
      <w:tr w14:paraId="07B3F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84" w:type="dxa"/>
            <w:gridSpan w:val="2"/>
            <w:vMerge w:val="continue"/>
            <w:noWrap w:val="0"/>
            <w:vAlign w:val="center"/>
          </w:tcPr>
          <w:p w14:paraId="36279C03">
            <w:pPr>
              <w:jc w:val="center"/>
              <w:rPr>
                <w:rFonts w:ascii="Times New Roman" w:hAnsi="Times New Roman"/>
                <w:szCs w:val="24"/>
              </w:rPr>
            </w:pPr>
          </w:p>
        </w:tc>
        <w:tc>
          <w:tcPr>
            <w:tcW w:w="1529" w:type="dxa"/>
            <w:noWrap w:val="0"/>
            <w:vAlign w:val="center"/>
          </w:tcPr>
          <w:p w14:paraId="4068E240">
            <w:pPr>
              <w:jc w:val="center"/>
              <w:rPr>
                <w:rFonts w:ascii="Times New Roman" w:hAnsi="Times New Roman"/>
                <w:szCs w:val="24"/>
              </w:rPr>
            </w:pPr>
            <w:r>
              <w:rPr>
                <w:rFonts w:hint="eastAsia" w:ascii="Times New Roman" w:hAnsi="Times New Roman"/>
                <w:szCs w:val="24"/>
              </w:rPr>
              <w:t>传真</w:t>
            </w:r>
          </w:p>
        </w:tc>
        <w:tc>
          <w:tcPr>
            <w:tcW w:w="1375" w:type="dxa"/>
            <w:gridSpan w:val="2"/>
            <w:noWrap w:val="0"/>
            <w:vAlign w:val="center"/>
          </w:tcPr>
          <w:p w14:paraId="63ED9321">
            <w:pPr>
              <w:jc w:val="center"/>
              <w:rPr>
                <w:rFonts w:ascii="Times New Roman" w:hAnsi="Times New Roman"/>
                <w:szCs w:val="24"/>
              </w:rPr>
            </w:pPr>
          </w:p>
        </w:tc>
        <w:tc>
          <w:tcPr>
            <w:tcW w:w="1375" w:type="dxa"/>
            <w:noWrap w:val="0"/>
            <w:vAlign w:val="center"/>
          </w:tcPr>
          <w:p w14:paraId="137B525C">
            <w:pPr>
              <w:jc w:val="center"/>
              <w:rPr>
                <w:rFonts w:ascii="Times New Roman" w:hAnsi="Times New Roman"/>
                <w:szCs w:val="24"/>
              </w:rPr>
            </w:pPr>
            <w:r>
              <w:rPr>
                <w:rFonts w:hint="eastAsia" w:ascii="Times New Roman" w:hAnsi="Times New Roman"/>
                <w:szCs w:val="24"/>
              </w:rPr>
              <w:t>网址</w:t>
            </w:r>
          </w:p>
        </w:tc>
        <w:tc>
          <w:tcPr>
            <w:tcW w:w="2580" w:type="dxa"/>
            <w:gridSpan w:val="2"/>
            <w:noWrap w:val="0"/>
            <w:vAlign w:val="center"/>
          </w:tcPr>
          <w:p w14:paraId="24393763">
            <w:pPr>
              <w:jc w:val="center"/>
              <w:rPr>
                <w:rFonts w:ascii="Times New Roman" w:hAnsi="Times New Roman"/>
                <w:szCs w:val="24"/>
              </w:rPr>
            </w:pPr>
          </w:p>
        </w:tc>
      </w:tr>
      <w:tr w14:paraId="7C449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84" w:type="dxa"/>
            <w:gridSpan w:val="2"/>
            <w:noWrap w:val="0"/>
            <w:vAlign w:val="center"/>
          </w:tcPr>
          <w:p w14:paraId="4AAA42B5">
            <w:pPr>
              <w:jc w:val="center"/>
              <w:rPr>
                <w:rFonts w:ascii="Times New Roman" w:hAnsi="Times New Roman"/>
                <w:szCs w:val="24"/>
              </w:rPr>
            </w:pPr>
            <w:r>
              <w:rPr>
                <w:rFonts w:hint="eastAsia" w:ascii="Times New Roman" w:hAnsi="Times New Roman"/>
                <w:szCs w:val="24"/>
              </w:rPr>
              <w:t>组织结构</w:t>
            </w:r>
          </w:p>
        </w:tc>
        <w:tc>
          <w:tcPr>
            <w:tcW w:w="6859" w:type="dxa"/>
            <w:gridSpan w:val="6"/>
            <w:noWrap w:val="0"/>
            <w:vAlign w:val="center"/>
          </w:tcPr>
          <w:p w14:paraId="7382B9A6">
            <w:pPr>
              <w:jc w:val="center"/>
              <w:rPr>
                <w:rFonts w:ascii="Times New Roman" w:hAnsi="Times New Roman"/>
                <w:szCs w:val="24"/>
              </w:rPr>
            </w:pPr>
          </w:p>
        </w:tc>
      </w:tr>
      <w:tr w14:paraId="5BA09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62" w:type="dxa"/>
            <w:noWrap w:val="0"/>
            <w:vAlign w:val="center"/>
          </w:tcPr>
          <w:p w14:paraId="73F93639">
            <w:pPr>
              <w:jc w:val="center"/>
              <w:rPr>
                <w:rFonts w:ascii="Times New Roman" w:hAnsi="Times New Roman"/>
                <w:szCs w:val="24"/>
              </w:rPr>
            </w:pPr>
            <w:r>
              <w:rPr>
                <w:rFonts w:hint="eastAsia" w:ascii="Times New Roman" w:hAnsi="Times New Roman"/>
                <w:szCs w:val="24"/>
              </w:rPr>
              <w:t>法定代表人</w:t>
            </w:r>
          </w:p>
        </w:tc>
        <w:tc>
          <w:tcPr>
            <w:tcW w:w="1022" w:type="dxa"/>
            <w:noWrap w:val="0"/>
            <w:vAlign w:val="center"/>
          </w:tcPr>
          <w:p w14:paraId="4321ACFC">
            <w:pPr>
              <w:jc w:val="center"/>
              <w:rPr>
                <w:rFonts w:ascii="Times New Roman" w:hAnsi="Times New Roman"/>
                <w:szCs w:val="24"/>
              </w:rPr>
            </w:pPr>
            <w:r>
              <w:rPr>
                <w:rFonts w:hint="eastAsia" w:ascii="Times New Roman" w:hAnsi="Times New Roman"/>
                <w:szCs w:val="24"/>
              </w:rPr>
              <w:t>姓名</w:t>
            </w:r>
          </w:p>
        </w:tc>
        <w:tc>
          <w:tcPr>
            <w:tcW w:w="1529" w:type="dxa"/>
            <w:noWrap w:val="0"/>
            <w:vAlign w:val="center"/>
          </w:tcPr>
          <w:p w14:paraId="3B5C7678">
            <w:pPr>
              <w:jc w:val="center"/>
              <w:rPr>
                <w:rFonts w:ascii="Times New Roman" w:hAnsi="Times New Roman"/>
                <w:szCs w:val="24"/>
              </w:rPr>
            </w:pPr>
          </w:p>
        </w:tc>
        <w:tc>
          <w:tcPr>
            <w:tcW w:w="1375" w:type="dxa"/>
            <w:gridSpan w:val="2"/>
            <w:noWrap w:val="0"/>
            <w:vAlign w:val="center"/>
          </w:tcPr>
          <w:p w14:paraId="7F6ED586">
            <w:pPr>
              <w:jc w:val="center"/>
              <w:rPr>
                <w:rFonts w:ascii="Times New Roman" w:hAnsi="Times New Roman"/>
                <w:szCs w:val="24"/>
              </w:rPr>
            </w:pPr>
            <w:r>
              <w:rPr>
                <w:rFonts w:hint="eastAsia" w:ascii="Times New Roman" w:hAnsi="Times New Roman"/>
                <w:szCs w:val="24"/>
              </w:rPr>
              <w:t>技术职称</w:t>
            </w:r>
          </w:p>
        </w:tc>
        <w:tc>
          <w:tcPr>
            <w:tcW w:w="1375" w:type="dxa"/>
            <w:noWrap w:val="0"/>
            <w:vAlign w:val="center"/>
          </w:tcPr>
          <w:p w14:paraId="2A70CC77">
            <w:pPr>
              <w:jc w:val="center"/>
              <w:rPr>
                <w:rFonts w:ascii="Times New Roman" w:hAnsi="Times New Roman"/>
                <w:szCs w:val="24"/>
              </w:rPr>
            </w:pPr>
          </w:p>
        </w:tc>
        <w:tc>
          <w:tcPr>
            <w:tcW w:w="1375" w:type="dxa"/>
            <w:noWrap w:val="0"/>
            <w:vAlign w:val="center"/>
          </w:tcPr>
          <w:p w14:paraId="18DFFCF7">
            <w:pPr>
              <w:jc w:val="center"/>
              <w:rPr>
                <w:rFonts w:ascii="Times New Roman" w:hAnsi="Times New Roman"/>
                <w:szCs w:val="24"/>
              </w:rPr>
            </w:pPr>
            <w:r>
              <w:rPr>
                <w:rFonts w:hint="eastAsia" w:ascii="Times New Roman" w:hAnsi="Times New Roman"/>
                <w:szCs w:val="24"/>
              </w:rPr>
              <w:t>电话</w:t>
            </w:r>
          </w:p>
        </w:tc>
        <w:tc>
          <w:tcPr>
            <w:tcW w:w="1205" w:type="dxa"/>
            <w:noWrap w:val="0"/>
            <w:vAlign w:val="center"/>
          </w:tcPr>
          <w:p w14:paraId="33EACE52">
            <w:pPr>
              <w:jc w:val="center"/>
              <w:rPr>
                <w:rFonts w:ascii="Times New Roman" w:hAnsi="Times New Roman"/>
                <w:szCs w:val="24"/>
              </w:rPr>
            </w:pPr>
          </w:p>
        </w:tc>
      </w:tr>
      <w:tr w14:paraId="0F7A3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62" w:type="dxa"/>
            <w:noWrap w:val="0"/>
            <w:vAlign w:val="center"/>
          </w:tcPr>
          <w:p w14:paraId="390800B0">
            <w:pPr>
              <w:jc w:val="center"/>
              <w:rPr>
                <w:rFonts w:ascii="Times New Roman" w:hAnsi="Times New Roman"/>
                <w:szCs w:val="24"/>
              </w:rPr>
            </w:pPr>
            <w:r>
              <w:rPr>
                <w:rFonts w:hint="eastAsia" w:ascii="Times New Roman" w:hAnsi="Times New Roman"/>
                <w:szCs w:val="24"/>
              </w:rPr>
              <w:t>技术负责人</w:t>
            </w:r>
          </w:p>
        </w:tc>
        <w:tc>
          <w:tcPr>
            <w:tcW w:w="1022" w:type="dxa"/>
            <w:noWrap w:val="0"/>
            <w:vAlign w:val="center"/>
          </w:tcPr>
          <w:p w14:paraId="485C035D">
            <w:pPr>
              <w:jc w:val="center"/>
              <w:rPr>
                <w:rFonts w:ascii="Times New Roman" w:hAnsi="Times New Roman"/>
                <w:szCs w:val="24"/>
              </w:rPr>
            </w:pPr>
            <w:r>
              <w:rPr>
                <w:rFonts w:hint="eastAsia" w:ascii="Times New Roman" w:hAnsi="Times New Roman"/>
                <w:szCs w:val="24"/>
              </w:rPr>
              <w:t>姓名</w:t>
            </w:r>
          </w:p>
        </w:tc>
        <w:tc>
          <w:tcPr>
            <w:tcW w:w="1529" w:type="dxa"/>
            <w:noWrap w:val="0"/>
            <w:vAlign w:val="center"/>
          </w:tcPr>
          <w:p w14:paraId="6B7E8300">
            <w:pPr>
              <w:jc w:val="center"/>
              <w:rPr>
                <w:rFonts w:ascii="Times New Roman" w:hAnsi="Times New Roman"/>
                <w:szCs w:val="24"/>
              </w:rPr>
            </w:pPr>
          </w:p>
        </w:tc>
        <w:tc>
          <w:tcPr>
            <w:tcW w:w="1375" w:type="dxa"/>
            <w:gridSpan w:val="2"/>
            <w:noWrap w:val="0"/>
            <w:vAlign w:val="center"/>
          </w:tcPr>
          <w:p w14:paraId="63DE352C">
            <w:pPr>
              <w:jc w:val="center"/>
              <w:rPr>
                <w:rFonts w:ascii="Times New Roman" w:hAnsi="Times New Roman"/>
                <w:szCs w:val="24"/>
              </w:rPr>
            </w:pPr>
            <w:r>
              <w:rPr>
                <w:rFonts w:hint="eastAsia" w:ascii="Times New Roman" w:hAnsi="Times New Roman"/>
                <w:szCs w:val="24"/>
              </w:rPr>
              <w:t>技术职称</w:t>
            </w:r>
          </w:p>
        </w:tc>
        <w:tc>
          <w:tcPr>
            <w:tcW w:w="1375" w:type="dxa"/>
            <w:noWrap w:val="0"/>
            <w:vAlign w:val="center"/>
          </w:tcPr>
          <w:p w14:paraId="64A1685B">
            <w:pPr>
              <w:jc w:val="center"/>
              <w:rPr>
                <w:rFonts w:ascii="Times New Roman" w:hAnsi="Times New Roman"/>
                <w:szCs w:val="24"/>
              </w:rPr>
            </w:pPr>
          </w:p>
        </w:tc>
        <w:tc>
          <w:tcPr>
            <w:tcW w:w="1375" w:type="dxa"/>
            <w:noWrap w:val="0"/>
            <w:vAlign w:val="center"/>
          </w:tcPr>
          <w:p w14:paraId="31EDABCF">
            <w:pPr>
              <w:jc w:val="center"/>
              <w:rPr>
                <w:rFonts w:ascii="Times New Roman" w:hAnsi="Times New Roman"/>
                <w:szCs w:val="24"/>
              </w:rPr>
            </w:pPr>
            <w:r>
              <w:rPr>
                <w:rFonts w:hint="eastAsia" w:ascii="Times New Roman" w:hAnsi="Times New Roman"/>
                <w:szCs w:val="24"/>
              </w:rPr>
              <w:t>电话</w:t>
            </w:r>
          </w:p>
        </w:tc>
        <w:tc>
          <w:tcPr>
            <w:tcW w:w="1205" w:type="dxa"/>
            <w:noWrap w:val="0"/>
            <w:vAlign w:val="center"/>
          </w:tcPr>
          <w:p w14:paraId="59E719B0">
            <w:pPr>
              <w:jc w:val="center"/>
              <w:rPr>
                <w:rFonts w:ascii="Times New Roman" w:hAnsi="Times New Roman"/>
                <w:szCs w:val="24"/>
              </w:rPr>
            </w:pPr>
          </w:p>
        </w:tc>
      </w:tr>
      <w:tr w14:paraId="4627D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84" w:type="dxa"/>
            <w:gridSpan w:val="2"/>
            <w:noWrap w:val="0"/>
            <w:vAlign w:val="center"/>
          </w:tcPr>
          <w:p w14:paraId="70BDEB5F">
            <w:pPr>
              <w:jc w:val="center"/>
              <w:rPr>
                <w:rFonts w:ascii="Times New Roman" w:hAnsi="Times New Roman"/>
                <w:szCs w:val="24"/>
              </w:rPr>
            </w:pPr>
            <w:r>
              <w:rPr>
                <w:rFonts w:hint="eastAsia" w:ascii="Times New Roman" w:hAnsi="Times New Roman"/>
                <w:szCs w:val="24"/>
              </w:rPr>
              <w:t>成立时间</w:t>
            </w:r>
          </w:p>
        </w:tc>
        <w:tc>
          <w:tcPr>
            <w:tcW w:w="1529" w:type="dxa"/>
            <w:noWrap w:val="0"/>
            <w:vAlign w:val="center"/>
          </w:tcPr>
          <w:p w14:paraId="3EF7AF30">
            <w:pPr>
              <w:jc w:val="center"/>
              <w:rPr>
                <w:rFonts w:ascii="Times New Roman" w:hAnsi="Times New Roman"/>
                <w:szCs w:val="24"/>
              </w:rPr>
            </w:pPr>
          </w:p>
        </w:tc>
        <w:tc>
          <w:tcPr>
            <w:tcW w:w="2750" w:type="dxa"/>
            <w:gridSpan w:val="3"/>
            <w:noWrap w:val="0"/>
            <w:vAlign w:val="center"/>
          </w:tcPr>
          <w:p w14:paraId="3FDF972D">
            <w:pPr>
              <w:jc w:val="center"/>
              <w:rPr>
                <w:rFonts w:ascii="Times New Roman" w:hAnsi="Times New Roman"/>
                <w:szCs w:val="24"/>
              </w:rPr>
            </w:pPr>
            <w:r>
              <w:rPr>
                <w:rFonts w:hint="eastAsia" w:ascii="Times New Roman" w:hAnsi="Times New Roman"/>
                <w:szCs w:val="24"/>
              </w:rPr>
              <w:t>员工总人数</w:t>
            </w:r>
          </w:p>
        </w:tc>
        <w:tc>
          <w:tcPr>
            <w:tcW w:w="2580" w:type="dxa"/>
            <w:gridSpan w:val="2"/>
            <w:noWrap w:val="0"/>
            <w:vAlign w:val="center"/>
          </w:tcPr>
          <w:p w14:paraId="4BA2F59C">
            <w:pPr>
              <w:jc w:val="center"/>
              <w:rPr>
                <w:rFonts w:ascii="Times New Roman" w:hAnsi="Times New Roman"/>
                <w:szCs w:val="24"/>
              </w:rPr>
            </w:pPr>
          </w:p>
        </w:tc>
      </w:tr>
      <w:tr w14:paraId="6C866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84" w:type="dxa"/>
            <w:gridSpan w:val="2"/>
            <w:noWrap w:val="0"/>
            <w:vAlign w:val="center"/>
          </w:tcPr>
          <w:p w14:paraId="061A42AD">
            <w:pPr>
              <w:jc w:val="center"/>
              <w:rPr>
                <w:rFonts w:ascii="Times New Roman" w:hAnsi="Times New Roman"/>
                <w:szCs w:val="24"/>
              </w:rPr>
            </w:pPr>
            <w:r>
              <w:rPr>
                <w:rFonts w:hint="eastAsia" w:ascii="Times New Roman" w:hAnsi="Times New Roman"/>
                <w:szCs w:val="24"/>
              </w:rPr>
              <w:t>企业资质等级</w:t>
            </w:r>
          </w:p>
        </w:tc>
        <w:tc>
          <w:tcPr>
            <w:tcW w:w="1529" w:type="dxa"/>
            <w:noWrap w:val="0"/>
            <w:vAlign w:val="center"/>
          </w:tcPr>
          <w:p w14:paraId="4C8A619E">
            <w:pPr>
              <w:jc w:val="center"/>
              <w:rPr>
                <w:rFonts w:ascii="Times New Roman" w:hAnsi="Times New Roman"/>
                <w:szCs w:val="24"/>
              </w:rPr>
            </w:pPr>
          </w:p>
        </w:tc>
        <w:tc>
          <w:tcPr>
            <w:tcW w:w="953" w:type="dxa"/>
            <w:vMerge w:val="restart"/>
            <w:noWrap w:val="0"/>
            <w:vAlign w:val="center"/>
          </w:tcPr>
          <w:p w14:paraId="25507783">
            <w:pPr>
              <w:jc w:val="center"/>
              <w:rPr>
                <w:rFonts w:ascii="Times New Roman" w:hAnsi="Times New Roman"/>
                <w:szCs w:val="24"/>
              </w:rPr>
            </w:pPr>
            <w:r>
              <w:rPr>
                <w:rFonts w:hint="eastAsia" w:ascii="Times New Roman" w:hAnsi="Times New Roman"/>
                <w:szCs w:val="24"/>
              </w:rPr>
              <w:t>其中</w:t>
            </w:r>
          </w:p>
        </w:tc>
        <w:tc>
          <w:tcPr>
            <w:tcW w:w="1797" w:type="dxa"/>
            <w:gridSpan w:val="2"/>
            <w:noWrap w:val="0"/>
            <w:vAlign w:val="center"/>
          </w:tcPr>
          <w:p w14:paraId="57558E3D">
            <w:pPr>
              <w:jc w:val="center"/>
              <w:rPr>
                <w:rFonts w:ascii="Times New Roman" w:hAnsi="Times New Roman"/>
                <w:szCs w:val="24"/>
              </w:rPr>
            </w:pPr>
            <w:r>
              <w:rPr>
                <w:rFonts w:hint="eastAsia" w:ascii="Times New Roman" w:hAnsi="Times New Roman"/>
                <w:szCs w:val="24"/>
              </w:rPr>
              <w:t>项目经理</w:t>
            </w:r>
          </w:p>
        </w:tc>
        <w:tc>
          <w:tcPr>
            <w:tcW w:w="2580" w:type="dxa"/>
            <w:gridSpan w:val="2"/>
            <w:noWrap w:val="0"/>
            <w:vAlign w:val="center"/>
          </w:tcPr>
          <w:p w14:paraId="18EF3BFD">
            <w:pPr>
              <w:jc w:val="center"/>
              <w:rPr>
                <w:rFonts w:ascii="Times New Roman" w:hAnsi="Times New Roman"/>
                <w:szCs w:val="24"/>
              </w:rPr>
            </w:pPr>
          </w:p>
        </w:tc>
      </w:tr>
      <w:tr w14:paraId="0DD26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84" w:type="dxa"/>
            <w:gridSpan w:val="2"/>
            <w:noWrap w:val="0"/>
            <w:vAlign w:val="center"/>
          </w:tcPr>
          <w:p w14:paraId="2D90AF4C">
            <w:pPr>
              <w:jc w:val="center"/>
              <w:rPr>
                <w:rFonts w:ascii="Times New Roman" w:hAnsi="Times New Roman"/>
                <w:szCs w:val="24"/>
              </w:rPr>
            </w:pPr>
            <w:r>
              <w:rPr>
                <w:rFonts w:hint="eastAsia" w:ascii="Times New Roman" w:hAnsi="Times New Roman"/>
                <w:szCs w:val="24"/>
              </w:rPr>
              <w:t>营业执照号</w:t>
            </w:r>
          </w:p>
        </w:tc>
        <w:tc>
          <w:tcPr>
            <w:tcW w:w="1529" w:type="dxa"/>
            <w:noWrap w:val="0"/>
            <w:vAlign w:val="center"/>
          </w:tcPr>
          <w:p w14:paraId="3960E585">
            <w:pPr>
              <w:jc w:val="center"/>
              <w:rPr>
                <w:rFonts w:ascii="Times New Roman" w:hAnsi="Times New Roman"/>
                <w:szCs w:val="24"/>
              </w:rPr>
            </w:pPr>
          </w:p>
        </w:tc>
        <w:tc>
          <w:tcPr>
            <w:tcW w:w="953" w:type="dxa"/>
            <w:vMerge w:val="continue"/>
            <w:noWrap w:val="0"/>
            <w:vAlign w:val="center"/>
          </w:tcPr>
          <w:p w14:paraId="0D23297D">
            <w:pPr>
              <w:jc w:val="center"/>
              <w:rPr>
                <w:rFonts w:ascii="Times New Roman" w:hAnsi="Times New Roman"/>
                <w:szCs w:val="24"/>
              </w:rPr>
            </w:pPr>
          </w:p>
        </w:tc>
        <w:tc>
          <w:tcPr>
            <w:tcW w:w="1797" w:type="dxa"/>
            <w:gridSpan w:val="2"/>
            <w:noWrap w:val="0"/>
            <w:vAlign w:val="center"/>
          </w:tcPr>
          <w:p w14:paraId="6AED920E">
            <w:pPr>
              <w:jc w:val="center"/>
              <w:rPr>
                <w:rFonts w:ascii="Times New Roman" w:hAnsi="Times New Roman"/>
                <w:szCs w:val="24"/>
              </w:rPr>
            </w:pPr>
            <w:r>
              <w:rPr>
                <w:rFonts w:hint="eastAsia" w:ascii="Times New Roman" w:hAnsi="Times New Roman"/>
                <w:szCs w:val="24"/>
              </w:rPr>
              <w:t>高级职称人员</w:t>
            </w:r>
          </w:p>
        </w:tc>
        <w:tc>
          <w:tcPr>
            <w:tcW w:w="2580" w:type="dxa"/>
            <w:gridSpan w:val="2"/>
            <w:noWrap w:val="0"/>
            <w:vAlign w:val="center"/>
          </w:tcPr>
          <w:p w14:paraId="049A22E0">
            <w:pPr>
              <w:jc w:val="center"/>
              <w:rPr>
                <w:rFonts w:ascii="Times New Roman" w:hAnsi="Times New Roman"/>
                <w:szCs w:val="24"/>
              </w:rPr>
            </w:pPr>
          </w:p>
        </w:tc>
      </w:tr>
      <w:tr w14:paraId="7DC5B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84" w:type="dxa"/>
            <w:gridSpan w:val="2"/>
            <w:noWrap w:val="0"/>
            <w:vAlign w:val="center"/>
          </w:tcPr>
          <w:p w14:paraId="1FAF9705">
            <w:pPr>
              <w:jc w:val="center"/>
              <w:rPr>
                <w:rFonts w:ascii="Times New Roman" w:hAnsi="Times New Roman"/>
                <w:szCs w:val="24"/>
              </w:rPr>
            </w:pPr>
            <w:r>
              <w:rPr>
                <w:rFonts w:hint="eastAsia" w:ascii="Times New Roman" w:hAnsi="Times New Roman"/>
                <w:szCs w:val="24"/>
              </w:rPr>
              <w:t>注册资金</w:t>
            </w:r>
          </w:p>
        </w:tc>
        <w:tc>
          <w:tcPr>
            <w:tcW w:w="1529" w:type="dxa"/>
            <w:noWrap w:val="0"/>
            <w:vAlign w:val="center"/>
          </w:tcPr>
          <w:p w14:paraId="4FD8B3A7">
            <w:pPr>
              <w:jc w:val="center"/>
              <w:rPr>
                <w:rFonts w:ascii="Times New Roman" w:hAnsi="Times New Roman"/>
                <w:szCs w:val="24"/>
              </w:rPr>
            </w:pPr>
          </w:p>
        </w:tc>
        <w:tc>
          <w:tcPr>
            <w:tcW w:w="953" w:type="dxa"/>
            <w:vMerge w:val="continue"/>
            <w:noWrap w:val="0"/>
            <w:vAlign w:val="center"/>
          </w:tcPr>
          <w:p w14:paraId="3C56AEA6">
            <w:pPr>
              <w:jc w:val="center"/>
              <w:rPr>
                <w:rFonts w:ascii="Times New Roman" w:hAnsi="Times New Roman"/>
                <w:szCs w:val="24"/>
              </w:rPr>
            </w:pPr>
          </w:p>
        </w:tc>
        <w:tc>
          <w:tcPr>
            <w:tcW w:w="1797" w:type="dxa"/>
            <w:gridSpan w:val="2"/>
            <w:noWrap w:val="0"/>
            <w:vAlign w:val="center"/>
          </w:tcPr>
          <w:p w14:paraId="6F3F2D41">
            <w:pPr>
              <w:jc w:val="center"/>
              <w:rPr>
                <w:rFonts w:ascii="Times New Roman" w:hAnsi="Times New Roman"/>
                <w:szCs w:val="24"/>
              </w:rPr>
            </w:pPr>
            <w:r>
              <w:rPr>
                <w:rFonts w:hint="eastAsia" w:ascii="Times New Roman" w:hAnsi="Times New Roman"/>
                <w:szCs w:val="24"/>
              </w:rPr>
              <w:t>中级职称人员</w:t>
            </w:r>
          </w:p>
        </w:tc>
        <w:tc>
          <w:tcPr>
            <w:tcW w:w="2580" w:type="dxa"/>
            <w:gridSpan w:val="2"/>
            <w:noWrap w:val="0"/>
            <w:vAlign w:val="center"/>
          </w:tcPr>
          <w:p w14:paraId="6C76C491">
            <w:pPr>
              <w:jc w:val="center"/>
              <w:rPr>
                <w:rFonts w:ascii="Times New Roman" w:hAnsi="Times New Roman"/>
                <w:szCs w:val="24"/>
              </w:rPr>
            </w:pPr>
          </w:p>
        </w:tc>
      </w:tr>
      <w:tr w14:paraId="467E4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84" w:type="dxa"/>
            <w:gridSpan w:val="2"/>
            <w:noWrap w:val="0"/>
            <w:vAlign w:val="center"/>
          </w:tcPr>
          <w:p w14:paraId="42EC0FB8">
            <w:pPr>
              <w:jc w:val="center"/>
              <w:rPr>
                <w:rFonts w:ascii="Times New Roman" w:hAnsi="Times New Roman"/>
                <w:szCs w:val="24"/>
              </w:rPr>
            </w:pPr>
            <w:r>
              <w:rPr>
                <w:rFonts w:hint="eastAsia" w:ascii="Times New Roman" w:hAnsi="Times New Roman"/>
                <w:szCs w:val="24"/>
              </w:rPr>
              <w:t>开户银行</w:t>
            </w:r>
          </w:p>
        </w:tc>
        <w:tc>
          <w:tcPr>
            <w:tcW w:w="1529" w:type="dxa"/>
            <w:noWrap w:val="0"/>
            <w:vAlign w:val="center"/>
          </w:tcPr>
          <w:p w14:paraId="5D078A64">
            <w:pPr>
              <w:jc w:val="center"/>
              <w:rPr>
                <w:rFonts w:ascii="Times New Roman" w:hAnsi="Times New Roman"/>
                <w:szCs w:val="24"/>
              </w:rPr>
            </w:pPr>
          </w:p>
        </w:tc>
        <w:tc>
          <w:tcPr>
            <w:tcW w:w="953" w:type="dxa"/>
            <w:vMerge w:val="continue"/>
            <w:noWrap w:val="0"/>
            <w:vAlign w:val="center"/>
          </w:tcPr>
          <w:p w14:paraId="17411682">
            <w:pPr>
              <w:jc w:val="center"/>
              <w:rPr>
                <w:rFonts w:ascii="Times New Roman" w:hAnsi="Times New Roman"/>
                <w:szCs w:val="24"/>
              </w:rPr>
            </w:pPr>
          </w:p>
        </w:tc>
        <w:tc>
          <w:tcPr>
            <w:tcW w:w="1797" w:type="dxa"/>
            <w:gridSpan w:val="2"/>
            <w:noWrap w:val="0"/>
            <w:vAlign w:val="center"/>
          </w:tcPr>
          <w:p w14:paraId="32555330">
            <w:pPr>
              <w:jc w:val="center"/>
              <w:rPr>
                <w:rFonts w:ascii="Times New Roman" w:hAnsi="Times New Roman"/>
                <w:szCs w:val="24"/>
              </w:rPr>
            </w:pPr>
            <w:r>
              <w:rPr>
                <w:rFonts w:hint="eastAsia" w:ascii="Times New Roman" w:hAnsi="Times New Roman"/>
                <w:szCs w:val="24"/>
              </w:rPr>
              <w:t>初级职称人员</w:t>
            </w:r>
          </w:p>
        </w:tc>
        <w:tc>
          <w:tcPr>
            <w:tcW w:w="2580" w:type="dxa"/>
            <w:gridSpan w:val="2"/>
            <w:noWrap w:val="0"/>
            <w:vAlign w:val="center"/>
          </w:tcPr>
          <w:p w14:paraId="39AC43B9">
            <w:pPr>
              <w:jc w:val="center"/>
              <w:rPr>
                <w:rFonts w:ascii="Times New Roman" w:hAnsi="Times New Roman"/>
                <w:szCs w:val="24"/>
              </w:rPr>
            </w:pPr>
          </w:p>
        </w:tc>
      </w:tr>
      <w:tr w14:paraId="3E7D5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84" w:type="dxa"/>
            <w:gridSpan w:val="2"/>
            <w:noWrap w:val="0"/>
            <w:vAlign w:val="center"/>
          </w:tcPr>
          <w:p w14:paraId="62464666">
            <w:pPr>
              <w:jc w:val="center"/>
              <w:rPr>
                <w:rFonts w:ascii="Times New Roman" w:hAnsi="Times New Roman"/>
                <w:szCs w:val="24"/>
              </w:rPr>
            </w:pPr>
            <w:r>
              <w:rPr>
                <w:rFonts w:hint="eastAsia" w:ascii="Times New Roman" w:hAnsi="Times New Roman"/>
                <w:szCs w:val="24"/>
              </w:rPr>
              <w:t>账号</w:t>
            </w:r>
          </w:p>
        </w:tc>
        <w:tc>
          <w:tcPr>
            <w:tcW w:w="1529" w:type="dxa"/>
            <w:noWrap w:val="0"/>
            <w:vAlign w:val="center"/>
          </w:tcPr>
          <w:p w14:paraId="607ADF4F">
            <w:pPr>
              <w:jc w:val="center"/>
              <w:rPr>
                <w:rFonts w:ascii="Times New Roman" w:hAnsi="Times New Roman"/>
                <w:szCs w:val="24"/>
              </w:rPr>
            </w:pPr>
          </w:p>
        </w:tc>
        <w:tc>
          <w:tcPr>
            <w:tcW w:w="953" w:type="dxa"/>
            <w:vMerge w:val="continue"/>
            <w:noWrap w:val="0"/>
            <w:vAlign w:val="center"/>
          </w:tcPr>
          <w:p w14:paraId="3C49DED6">
            <w:pPr>
              <w:jc w:val="center"/>
              <w:rPr>
                <w:rFonts w:ascii="Times New Roman" w:hAnsi="Times New Roman"/>
                <w:szCs w:val="24"/>
              </w:rPr>
            </w:pPr>
          </w:p>
        </w:tc>
        <w:tc>
          <w:tcPr>
            <w:tcW w:w="1797" w:type="dxa"/>
            <w:gridSpan w:val="2"/>
            <w:noWrap w:val="0"/>
            <w:vAlign w:val="center"/>
          </w:tcPr>
          <w:p w14:paraId="43AF6E88">
            <w:pPr>
              <w:jc w:val="center"/>
              <w:rPr>
                <w:rFonts w:ascii="Times New Roman" w:hAnsi="Times New Roman"/>
                <w:szCs w:val="24"/>
              </w:rPr>
            </w:pPr>
            <w:r>
              <w:rPr>
                <w:rFonts w:hint="eastAsia" w:ascii="Times New Roman" w:hAnsi="Times New Roman"/>
                <w:szCs w:val="24"/>
              </w:rPr>
              <w:t>技工</w:t>
            </w:r>
          </w:p>
        </w:tc>
        <w:tc>
          <w:tcPr>
            <w:tcW w:w="2580" w:type="dxa"/>
            <w:gridSpan w:val="2"/>
            <w:noWrap w:val="0"/>
            <w:vAlign w:val="center"/>
          </w:tcPr>
          <w:p w14:paraId="2C2A7B55">
            <w:pPr>
              <w:jc w:val="center"/>
              <w:rPr>
                <w:rFonts w:ascii="Times New Roman" w:hAnsi="Times New Roman"/>
                <w:szCs w:val="24"/>
              </w:rPr>
            </w:pPr>
          </w:p>
        </w:tc>
      </w:tr>
      <w:tr w14:paraId="38536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84" w:type="dxa"/>
            <w:gridSpan w:val="2"/>
            <w:noWrap w:val="0"/>
            <w:vAlign w:val="center"/>
          </w:tcPr>
          <w:p w14:paraId="3F1E045C">
            <w:pPr>
              <w:jc w:val="center"/>
              <w:rPr>
                <w:rFonts w:ascii="Times New Roman" w:hAnsi="Times New Roman"/>
                <w:szCs w:val="24"/>
              </w:rPr>
            </w:pPr>
            <w:r>
              <w:rPr>
                <w:rFonts w:hint="eastAsia" w:ascii="Times New Roman" w:hAnsi="Times New Roman"/>
                <w:szCs w:val="24"/>
              </w:rPr>
              <w:t>经营范围</w:t>
            </w:r>
          </w:p>
        </w:tc>
        <w:tc>
          <w:tcPr>
            <w:tcW w:w="6859" w:type="dxa"/>
            <w:gridSpan w:val="6"/>
            <w:noWrap w:val="0"/>
            <w:vAlign w:val="center"/>
          </w:tcPr>
          <w:p w14:paraId="1902E187">
            <w:pPr>
              <w:jc w:val="center"/>
              <w:rPr>
                <w:rFonts w:ascii="Times New Roman" w:hAnsi="Times New Roman"/>
                <w:szCs w:val="24"/>
              </w:rPr>
            </w:pPr>
          </w:p>
        </w:tc>
      </w:tr>
      <w:tr w14:paraId="0A373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84" w:type="dxa"/>
            <w:gridSpan w:val="2"/>
            <w:noWrap w:val="0"/>
            <w:vAlign w:val="center"/>
          </w:tcPr>
          <w:p w14:paraId="5E8E2A62">
            <w:pPr>
              <w:jc w:val="center"/>
              <w:rPr>
                <w:rFonts w:ascii="Times New Roman" w:hAnsi="Times New Roman"/>
                <w:szCs w:val="24"/>
              </w:rPr>
            </w:pPr>
            <w:r>
              <w:rPr>
                <w:rFonts w:hint="eastAsia" w:ascii="Times New Roman" w:hAnsi="Times New Roman"/>
                <w:szCs w:val="24"/>
              </w:rPr>
              <w:t>备注</w:t>
            </w:r>
          </w:p>
        </w:tc>
        <w:tc>
          <w:tcPr>
            <w:tcW w:w="6859" w:type="dxa"/>
            <w:gridSpan w:val="6"/>
            <w:noWrap w:val="0"/>
            <w:vAlign w:val="center"/>
          </w:tcPr>
          <w:p w14:paraId="19417B42">
            <w:pPr>
              <w:jc w:val="center"/>
              <w:rPr>
                <w:rFonts w:ascii="Times New Roman" w:hAnsi="Times New Roman"/>
                <w:szCs w:val="24"/>
              </w:rPr>
            </w:pPr>
          </w:p>
        </w:tc>
      </w:tr>
    </w:tbl>
    <w:p w14:paraId="02FAE94A">
      <w:pPr>
        <w:rPr>
          <w:rFonts w:ascii="Times New Roman" w:hAnsi="Times New Roman"/>
          <w:szCs w:val="24"/>
        </w:rPr>
      </w:pPr>
      <w:r>
        <w:rPr>
          <w:rFonts w:hint="eastAsia" w:ascii="Times New Roman" w:hAnsi="Times New Roman"/>
          <w:szCs w:val="24"/>
        </w:rPr>
        <w:t>　　注　相关材料复印件在“十、原件的复印件”中提供。</w:t>
      </w:r>
    </w:p>
    <w:p w14:paraId="5DFDA565">
      <w:pPr>
        <w:widowControl/>
        <w:jc w:val="left"/>
        <w:outlineLvl w:val="2"/>
        <w:rPr>
          <w:rFonts w:ascii="黑体" w:hAnsi="黑体" w:eastAsia="黑体" w:cs="黑体"/>
          <w:b/>
          <w:kern w:val="0"/>
          <w:sz w:val="28"/>
          <w:szCs w:val="24"/>
          <w:lang w:eastAsia="en-US"/>
        </w:rPr>
      </w:pPr>
      <w:r>
        <w:rPr>
          <w:rFonts w:ascii="Times New Roman" w:hAnsi="Times New Roman" w:eastAsia="Times New Roman"/>
          <w:kern w:val="0"/>
          <w:sz w:val="24"/>
          <w:szCs w:val="24"/>
          <w:lang w:eastAsia="en-US"/>
        </w:rPr>
        <w:br w:type="page"/>
      </w:r>
      <w:bookmarkStart w:id="440" w:name="_Toc256000177"/>
      <w:r>
        <w:rPr>
          <w:rFonts w:ascii="黑体" w:hAnsi="黑体" w:eastAsia="黑体" w:cs="黑体"/>
          <w:b/>
          <w:kern w:val="0"/>
          <w:sz w:val="28"/>
          <w:szCs w:val="24"/>
          <w:lang w:eastAsia="en-US"/>
        </w:rPr>
        <w:t>(二)近3年财务状况表</w:t>
      </w:r>
      <w:bookmarkEnd w:id="440"/>
    </w:p>
    <w:p w14:paraId="4B632B23">
      <w:pPr>
        <w:rPr>
          <w:rFonts w:ascii="宋体" w:hAnsi="宋体"/>
          <w:sz w:val="28"/>
          <w:szCs w:val="28"/>
        </w:rPr>
      </w:pPr>
      <w:r>
        <w:rPr>
          <w:rFonts w:hint="eastAsia" w:ascii="宋体" w:hAnsi="宋体"/>
          <w:sz w:val="28"/>
          <w:szCs w:val="28"/>
        </w:rPr>
        <w:t>近3年财务状况表</w:t>
      </w:r>
    </w:p>
    <w:p w14:paraId="4279040F">
      <w:pPr>
        <w:jc w:val="center"/>
        <w:rPr>
          <w:rFonts w:ascii="Times New Roman" w:hAnsi="Times New Roman"/>
          <w:szCs w:val="24"/>
        </w:rPr>
      </w:pPr>
      <w:r>
        <w:rPr>
          <w:rFonts w:hint="eastAsia" w:ascii="Times New Roman" w:hAnsi="Times New Roman"/>
          <w:szCs w:val="24"/>
        </w:rPr>
        <w:t>(近3年指　　　　年　　月至　　　　年　　月)</w:t>
      </w:r>
    </w:p>
    <w:p w14:paraId="3B392BA4">
      <w:pPr>
        <w:rPr>
          <w:rFonts w:ascii="宋体" w:hAnsi="宋体" w:cs="宋体"/>
          <w:sz w:val="24"/>
          <w:szCs w:val="24"/>
        </w:rPr>
      </w:pPr>
      <w:r>
        <w:rPr>
          <w:rFonts w:hint="eastAsia" w:ascii="Times New Roman" w:hAnsi="Times New Roman"/>
          <w:szCs w:val="24"/>
        </w:rPr>
        <w:t>　　</w:t>
      </w:r>
      <w:r>
        <w:rPr>
          <w:rFonts w:hint="eastAsia" w:ascii="宋体" w:hAnsi="宋体" w:cs="宋体"/>
          <w:sz w:val="24"/>
          <w:szCs w:val="24"/>
        </w:rPr>
        <w:t>1.财务状况表</w:t>
      </w:r>
    </w:p>
    <w:p w14:paraId="763A53D8">
      <w:pPr>
        <w:jc w:val="center"/>
        <w:rPr>
          <w:rFonts w:ascii="Times New Roman" w:hAnsi="Times New Roman"/>
          <w:bCs/>
          <w:sz w:val="24"/>
          <w:szCs w:val="24"/>
        </w:rPr>
      </w:pPr>
      <w:r>
        <w:rPr>
          <w:rFonts w:hint="eastAsia" w:ascii="宋体" w:hAnsi="宋体" w:cs="宋体"/>
          <w:bCs/>
          <w:sz w:val="24"/>
          <w:szCs w:val="24"/>
        </w:rPr>
        <w:t>财务状况表</w:t>
      </w:r>
    </w:p>
    <w:tbl>
      <w:tblPr>
        <w:tblStyle w:val="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12"/>
        <w:gridCol w:w="1925"/>
        <w:gridCol w:w="1925"/>
        <w:gridCol w:w="1925"/>
        <w:gridCol w:w="1756"/>
      </w:tblGrid>
      <w:tr w14:paraId="09AFE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2" w:type="dxa"/>
            <w:noWrap w:val="0"/>
            <w:vAlign w:val="center"/>
          </w:tcPr>
          <w:p w14:paraId="0AD7A8BC">
            <w:pPr>
              <w:jc w:val="center"/>
              <w:rPr>
                <w:rFonts w:ascii="Times New Roman" w:hAnsi="Times New Roman"/>
                <w:szCs w:val="24"/>
              </w:rPr>
            </w:pPr>
            <w:r>
              <w:rPr>
                <w:rFonts w:hint="eastAsia" w:ascii="Times New Roman" w:hAnsi="Times New Roman"/>
                <w:szCs w:val="24"/>
              </w:rPr>
              <w:t>名称</w:t>
            </w:r>
          </w:p>
        </w:tc>
        <w:tc>
          <w:tcPr>
            <w:tcW w:w="1925" w:type="dxa"/>
            <w:noWrap w:val="0"/>
            <w:vAlign w:val="center"/>
          </w:tcPr>
          <w:p w14:paraId="2966DE6A">
            <w:pPr>
              <w:jc w:val="center"/>
              <w:rPr>
                <w:rFonts w:ascii="Times New Roman" w:hAnsi="Times New Roman"/>
                <w:szCs w:val="24"/>
              </w:rPr>
            </w:pPr>
            <w:r>
              <w:rPr>
                <w:rFonts w:hint="eastAsia" w:ascii="Times New Roman" w:hAnsi="Times New Roman"/>
                <w:szCs w:val="24"/>
              </w:rPr>
              <w:t>单位</w:t>
            </w:r>
          </w:p>
        </w:tc>
        <w:tc>
          <w:tcPr>
            <w:tcW w:w="1925" w:type="dxa"/>
            <w:noWrap w:val="0"/>
            <w:vAlign w:val="center"/>
          </w:tcPr>
          <w:p w14:paraId="538B342B">
            <w:pPr>
              <w:jc w:val="center"/>
              <w:rPr>
                <w:rFonts w:ascii="Times New Roman" w:hAnsi="Times New Roman"/>
                <w:szCs w:val="24"/>
              </w:rPr>
            </w:pPr>
            <w:r>
              <w:rPr>
                <w:rFonts w:hint="eastAsia" w:ascii="Times New Roman" w:hAnsi="Times New Roman"/>
                <w:szCs w:val="24"/>
              </w:rPr>
              <w:t>　　年</w:t>
            </w:r>
          </w:p>
        </w:tc>
        <w:tc>
          <w:tcPr>
            <w:tcW w:w="1925" w:type="dxa"/>
            <w:noWrap w:val="0"/>
            <w:vAlign w:val="center"/>
          </w:tcPr>
          <w:p w14:paraId="75668CB5">
            <w:pPr>
              <w:jc w:val="center"/>
              <w:rPr>
                <w:rFonts w:ascii="Times New Roman" w:hAnsi="Times New Roman"/>
                <w:szCs w:val="24"/>
              </w:rPr>
            </w:pPr>
            <w:r>
              <w:rPr>
                <w:rFonts w:hint="eastAsia" w:ascii="Times New Roman" w:hAnsi="Times New Roman"/>
                <w:szCs w:val="24"/>
              </w:rPr>
              <w:t>　　年</w:t>
            </w:r>
          </w:p>
        </w:tc>
        <w:tc>
          <w:tcPr>
            <w:tcW w:w="1756" w:type="dxa"/>
            <w:noWrap w:val="0"/>
            <w:vAlign w:val="center"/>
          </w:tcPr>
          <w:p w14:paraId="656DDB96">
            <w:pPr>
              <w:jc w:val="center"/>
              <w:rPr>
                <w:rFonts w:ascii="Times New Roman" w:hAnsi="Times New Roman"/>
                <w:szCs w:val="24"/>
              </w:rPr>
            </w:pPr>
            <w:r>
              <w:rPr>
                <w:rFonts w:hint="eastAsia" w:ascii="Times New Roman" w:hAnsi="Times New Roman"/>
                <w:szCs w:val="24"/>
              </w:rPr>
              <w:t>　　年</w:t>
            </w:r>
          </w:p>
        </w:tc>
      </w:tr>
      <w:tr w14:paraId="526BF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2" w:type="dxa"/>
            <w:noWrap w:val="0"/>
            <w:vAlign w:val="center"/>
          </w:tcPr>
          <w:p w14:paraId="00CE7884">
            <w:pPr>
              <w:jc w:val="center"/>
              <w:rPr>
                <w:rFonts w:ascii="Times New Roman" w:hAnsi="Times New Roman"/>
                <w:szCs w:val="24"/>
              </w:rPr>
            </w:pPr>
            <w:r>
              <w:rPr>
                <w:rFonts w:hint="eastAsia" w:ascii="Times New Roman" w:hAnsi="Times New Roman"/>
                <w:szCs w:val="24"/>
              </w:rPr>
              <w:t>一、注册资金</w:t>
            </w:r>
          </w:p>
        </w:tc>
        <w:tc>
          <w:tcPr>
            <w:tcW w:w="1925" w:type="dxa"/>
            <w:noWrap w:val="0"/>
            <w:vAlign w:val="center"/>
          </w:tcPr>
          <w:p w14:paraId="01FB2F09">
            <w:pPr>
              <w:jc w:val="center"/>
              <w:rPr>
                <w:rFonts w:ascii="Times New Roman" w:hAnsi="Times New Roman"/>
                <w:szCs w:val="24"/>
              </w:rPr>
            </w:pPr>
          </w:p>
        </w:tc>
        <w:tc>
          <w:tcPr>
            <w:tcW w:w="1925" w:type="dxa"/>
            <w:noWrap w:val="0"/>
            <w:vAlign w:val="center"/>
          </w:tcPr>
          <w:p w14:paraId="66FAE17E">
            <w:pPr>
              <w:jc w:val="center"/>
              <w:rPr>
                <w:rFonts w:ascii="Times New Roman" w:hAnsi="Times New Roman"/>
                <w:szCs w:val="24"/>
              </w:rPr>
            </w:pPr>
          </w:p>
        </w:tc>
        <w:tc>
          <w:tcPr>
            <w:tcW w:w="1925" w:type="dxa"/>
            <w:noWrap w:val="0"/>
            <w:vAlign w:val="center"/>
          </w:tcPr>
          <w:p w14:paraId="73C03272">
            <w:pPr>
              <w:jc w:val="center"/>
              <w:rPr>
                <w:rFonts w:ascii="Times New Roman" w:hAnsi="Times New Roman"/>
                <w:szCs w:val="24"/>
              </w:rPr>
            </w:pPr>
          </w:p>
        </w:tc>
        <w:tc>
          <w:tcPr>
            <w:tcW w:w="1756" w:type="dxa"/>
            <w:noWrap w:val="0"/>
            <w:vAlign w:val="center"/>
          </w:tcPr>
          <w:p w14:paraId="5876229A">
            <w:pPr>
              <w:jc w:val="center"/>
              <w:rPr>
                <w:rFonts w:ascii="Times New Roman" w:hAnsi="Times New Roman"/>
                <w:szCs w:val="24"/>
              </w:rPr>
            </w:pPr>
          </w:p>
        </w:tc>
      </w:tr>
      <w:tr w14:paraId="107C3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2" w:type="dxa"/>
            <w:noWrap w:val="0"/>
            <w:vAlign w:val="center"/>
          </w:tcPr>
          <w:p w14:paraId="38E62843">
            <w:pPr>
              <w:jc w:val="center"/>
              <w:rPr>
                <w:rFonts w:ascii="Times New Roman" w:hAnsi="Times New Roman"/>
                <w:szCs w:val="24"/>
              </w:rPr>
            </w:pPr>
            <w:r>
              <w:rPr>
                <w:rFonts w:hint="eastAsia" w:ascii="Times New Roman" w:hAnsi="Times New Roman"/>
                <w:szCs w:val="24"/>
              </w:rPr>
              <w:t>二、净资产</w:t>
            </w:r>
          </w:p>
        </w:tc>
        <w:tc>
          <w:tcPr>
            <w:tcW w:w="1925" w:type="dxa"/>
            <w:noWrap w:val="0"/>
            <w:vAlign w:val="center"/>
          </w:tcPr>
          <w:p w14:paraId="178E029C">
            <w:pPr>
              <w:jc w:val="center"/>
              <w:rPr>
                <w:rFonts w:ascii="Times New Roman" w:hAnsi="Times New Roman"/>
                <w:szCs w:val="24"/>
              </w:rPr>
            </w:pPr>
          </w:p>
        </w:tc>
        <w:tc>
          <w:tcPr>
            <w:tcW w:w="1925" w:type="dxa"/>
            <w:noWrap w:val="0"/>
            <w:vAlign w:val="center"/>
          </w:tcPr>
          <w:p w14:paraId="561B3683">
            <w:pPr>
              <w:jc w:val="center"/>
              <w:rPr>
                <w:rFonts w:ascii="Times New Roman" w:hAnsi="Times New Roman"/>
                <w:szCs w:val="24"/>
              </w:rPr>
            </w:pPr>
          </w:p>
        </w:tc>
        <w:tc>
          <w:tcPr>
            <w:tcW w:w="1925" w:type="dxa"/>
            <w:noWrap w:val="0"/>
            <w:vAlign w:val="center"/>
          </w:tcPr>
          <w:p w14:paraId="1182FAFB">
            <w:pPr>
              <w:jc w:val="center"/>
              <w:rPr>
                <w:rFonts w:ascii="Times New Roman" w:hAnsi="Times New Roman"/>
                <w:szCs w:val="24"/>
              </w:rPr>
            </w:pPr>
          </w:p>
        </w:tc>
        <w:tc>
          <w:tcPr>
            <w:tcW w:w="1756" w:type="dxa"/>
            <w:noWrap w:val="0"/>
            <w:vAlign w:val="center"/>
          </w:tcPr>
          <w:p w14:paraId="28953F9C">
            <w:pPr>
              <w:jc w:val="center"/>
              <w:rPr>
                <w:rFonts w:ascii="Times New Roman" w:hAnsi="Times New Roman"/>
                <w:szCs w:val="24"/>
              </w:rPr>
            </w:pPr>
          </w:p>
        </w:tc>
      </w:tr>
      <w:tr w14:paraId="0EA43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2" w:type="dxa"/>
            <w:noWrap w:val="0"/>
            <w:vAlign w:val="center"/>
          </w:tcPr>
          <w:p w14:paraId="3CA87D85">
            <w:pPr>
              <w:jc w:val="center"/>
              <w:rPr>
                <w:rFonts w:ascii="Times New Roman" w:hAnsi="Times New Roman"/>
                <w:szCs w:val="24"/>
              </w:rPr>
            </w:pPr>
            <w:r>
              <w:rPr>
                <w:rFonts w:hint="eastAsia" w:ascii="Times New Roman" w:hAnsi="Times New Roman"/>
                <w:szCs w:val="24"/>
              </w:rPr>
              <w:t>三、总资产</w:t>
            </w:r>
          </w:p>
        </w:tc>
        <w:tc>
          <w:tcPr>
            <w:tcW w:w="1925" w:type="dxa"/>
            <w:noWrap w:val="0"/>
            <w:vAlign w:val="center"/>
          </w:tcPr>
          <w:p w14:paraId="15A7DB0E">
            <w:pPr>
              <w:jc w:val="center"/>
              <w:rPr>
                <w:rFonts w:ascii="Times New Roman" w:hAnsi="Times New Roman"/>
                <w:szCs w:val="24"/>
              </w:rPr>
            </w:pPr>
          </w:p>
        </w:tc>
        <w:tc>
          <w:tcPr>
            <w:tcW w:w="1925" w:type="dxa"/>
            <w:noWrap w:val="0"/>
            <w:vAlign w:val="center"/>
          </w:tcPr>
          <w:p w14:paraId="23376F0D">
            <w:pPr>
              <w:jc w:val="center"/>
              <w:rPr>
                <w:rFonts w:ascii="Times New Roman" w:hAnsi="Times New Roman"/>
                <w:szCs w:val="24"/>
              </w:rPr>
            </w:pPr>
          </w:p>
        </w:tc>
        <w:tc>
          <w:tcPr>
            <w:tcW w:w="1925" w:type="dxa"/>
            <w:noWrap w:val="0"/>
            <w:vAlign w:val="center"/>
          </w:tcPr>
          <w:p w14:paraId="40D98FCC">
            <w:pPr>
              <w:jc w:val="center"/>
              <w:rPr>
                <w:rFonts w:ascii="Times New Roman" w:hAnsi="Times New Roman"/>
                <w:szCs w:val="24"/>
              </w:rPr>
            </w:pPr>
          </w:p>
        </w:tc>
        <w:tc>
          <w:tcPr>
            <w:tcW w:w="1756" w:type="dxa"/>
            <w:noWrap w:val="0"/>
            <w:vAlign w:val="center"/>
          </w:tcPr>
          <w:p w14:paraId="20DC6C1E">
            <w:pPr>
              <w:jc w:val="center"/>
              <w:rPr>
                <w:rFonts w:ascii="Times New Roman" w:hAnsi="Times New Roman"/>
                <w:szCs w:val="24"/>
              </w:rPr>
            </w:pPr>
          </w:p>
        </w:tc>
      </w:tr>
      <w:tr w14:paraId="4EE59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2" w:type="dxa"/>
            <w:noWrap w:val="0"/>
            <w:vAlign w:val="center"/>
          </w:tcPr>
          <w:p w14:paraId="0D481428">
            <w:pPr>
              <w:jc w:val="center"/>
              <w:rPr>
                <w:rFonts w:ascii="Times New Roman" w:hAnsi="Times New Roman"/>
                <w:szCs w:val="24"/>
              </w:rPr>
            </w:pPr>
            <w:r>
              <w:rPr>
                <w:rFonts w:hint="eastAsia" w:ascii="Times New Roman" w:hAnsi="Times New Roman"/>
                <w:szCs w:val="24"/>
              </w:rPr>
              <w:t>四、固定资产</w:t>
            </w:r>
          </w:p>
        </w:tc>
        <w:tc>
          <w:tcPr>
            <w:tcW w:w="1925" w:type="dxa"/>
            <w:noWrap w:val="0"/>
            <w:vAlign w:val="center"/>
          </w:tcPr>
          <w:p w14:paraId="01A9DF46">
            <w:pPr>
              <w:jc w:val="center"/>
              <w:rPr>
                <w:rFonts w:ascii="Times New Roman" w:hAnsi="Times New Roman"/>
                <w:szCs w:val="24"/>
              </w:rPr>
            </w:pPr>
          </w:p>
        </w:tc>
        <w:tc>
          <w:tcPr>
            <w:tcW w:w="1925" w:type="dxa"/>
            <w:noWrap w:val="0"/>
            <w:vAlign w:val="center"/>
          </w:tcPr>
          <w:p w14:paraId="028B41A7">
            <w:pPr>
              <w:jc w:val="center"/>
              <w:rPr>
                <w:rFonts w:ascii="Times New Roman" w:hAnsi="Times New Roman"/>
                <w:szCs w:val="24"/>
              </w:rPr>
            </w:pPr>
          </w:p>
        </w:tc>
        <w:tc>
          <w:tcPr>
            <w:tcW w:w="1925" w:type="dxa"/>
            <w:noWrap w:val="0"/>
            <w:vAlign w:val="center"/>
          </w:tcPr>
          <w:p w14:paraId="3D87925B">
            <w:pPr>
              <w:jc w:val="center"/>
              <w:rPr>
                <w:rFonts w:ascii="Times New Roman" w:hAnsi="Times New Roman"/>
                <w:szCs w:val="24"/>
              </w:rPr>
            </w:pPr>
          </w:p>
        </w:tc>
        <w:tc>
          <w:tcPr>
            <w:tcW w:w="1756" w:type="dxa"/>
            <w:noWrap w:val="0"/>
            <w:vAlign w:val="center"/>
          </w:tcPr>
          <w:p w14:paraId="30E3C681">
            <w:pPr>
              <w:jc w:val="center"/>
              <w:rPr>
                <w:rFonts w:ascii="Times New Roman" w:hAnsi="Times New Roman"/>
                <w:szCs w:val="24"/>
              </w:rPr>
            </w:pPr>
          </w:p>
        </w:tc>
      </w:tr>
      <w:tr w14:paraId="60C80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2" w:type="dxa"/>
            <w:noWrap w:val="0"/>
            <w:vAlign w:val="center"/>
          </w:tcPr>
          <w:p w14:paraId="1B4FB429">
            <w:pPr>
              <w:jc w:val="center"/>
              <w:rPr>
                <w:rFonts w:ascii="Times New Roman" w:hAnsi="Times New Roman"/>
                <w:szCs w:val="24"/>
              </w:rPr>
            </w:pPr>
            <w:r>
              <w:rPr>
                <w:rFonts w:hint="eastAsia" w:ascii="Times New Roman" w:hAnsi="Times New Roman"/>
                <w:szCs w:val="24"/>
              </w:rPr>
              <w:t>五、流动资产</w:t>
            </w:r>
          </w:p>
        </w:tc>
        <w:tc>
          <w:tcPr>
            <w:tcW w:w="1925" w:type="dxa"/>
            <w:noWrap w:val="0"/>
            <w:vAlign w:val="center"/>
          </w:tcPr>
          <w:p w14:paraId="6BBF8CB6">
            <w:pPr>
              <w:jc w:val="center"/>
              <w:rPr>
                <w:rFonts w:ascii="Times New Roman" w:hAnsi="Times New Roman"/>
                <w:szCs w:val="24"/>
              </w:rPr>
            </w:pPr>
          </w:p>
        </w:tc>
        <w:tc>
          <w:tcPr>
            <w:tcW w:w="1925" w:type="dxa"/>
            <w:noWrap w:val="0"/>
            <w:vAlign w:val="center"/>
          </w:tcPr>
          <w:p w14:paraId="6CD08694">
            <w:pPr>
              <w:jc w:val="center"/>
              <w:rPr>
                <w:rFonts w:ascii="Times New Roman" w:hAnsi="Times New Roman"/>
                <w:szCs w:val="24"/>
              </w:rPr>
            </w:pPr>
          </w:p>
        </w:tc>
        <w:tc>
          <w:tcPr>
            <w:tcW w:w="1925" w:type="dxa"/>
            <w:noWrap w:val="0"/>
            <w:vAlign w:val="center"/>
          </w:tcPr>
          <w:p w14:paraId="118432C1">
            <w:pPr>
              <w:jc w:val="center"/>
              <w:rPr>
                <w:rFonts w:ascii="Times New Roman" w:hAnsi="Times New Roman"/>
                <w:szCs w:val="24"/>
              </w:rPr>
            </w:pPr>
          </w:p>
        </w:tc>
        <w:tc>
          <w:tcPr>
            <w:tcW w:w="1756" w:type="dxa"/>
            <w:noWrap w:val="0"/>
            <w:vAlign w:val="center"/>
          </w:tcPr>
          <w:p w14:paraId="7E300CAA">
            <w:pPr>
              <w:jc w:val="center"/>
              <w:rPr>
                <w:rFonts w:ascii="Times New Roman" w:hAnsi="Times New Roman"/>
                <w:szCs w:val="24"/>
              </w:rPr>
            </w:pPr>
          </w:p>
        </w:tc>
      </w:tr>
      <w:tr w14:paraId="4DD13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12" w:type="dxa"/>
            <w:noWrap w:val="0"/>
            <w:vAlign w:val="center"/>
          </w:tcPr>
          <w:p w14:paraId="2F181506">
            <w:pPr>
              <w:jc w:val="center"/>
              <w:rPr>
                <w:rFonts w:ascii="Times New Roman" w:hAnsi="Times New Roman"/>
                <w:szCs w:val="24"/>
              </w:rPr>
            </w:pPr>
            <w:r>
              <w:rPr>
                <w:rFonts w:hint="eastAsia" w:ascii="Times New Roman" w:hAnsi="Times New Roman"/>
                <w:szCs w:val="24"/>
              </w:rPr>
              <w:t>六、流动负债</w:t>
            </w:r>
          </w:p>
        </w:tc>
        <w:tc>
          <w:tcPr>
            <w:tcW w:w="1925" w:type="dxa"/>
            <w:noWrap w:val="0"/>
            <w:vAlign w:val="center"/>
          </w:tcPr>
          <w:p w14:paraId="05042919">
            <w:pPr>
              <w:jc w:val="center"/>
              <w:rPr>
                <w:rFonts w:ascii="Times New Roman" w:hAnsi="Times New Roman"/>
                <w:szCs w:val="24"/>
              </w:rPr>
            </w:pPr>
          </w:p>
        </w:tc>
        <w:tc>
          <w:tcPr>
            <w:tcW w:w="1925" w:type="dxa"/>
            <w:noWrap w:val="0"/>
            <w:vAlign w:val="center"/>
          </w:tcPr>
          <w:p w14:paraId="51700F00">
            <w:pPr>
              <w:jc w:val="center"/>
              <w:rPr>
                <w:rFonts w:ascii="Times New Roman" w:hAnsi="Times New Roman"/>
                <w:szCs w:val="24"/>
              </w:rPr>
            </w:pPr>
          </w:p>
        </w:tc>
        <w:tc>
          <w:tcPr>
            <w:tcW w:w="1925" w:type="dxa"/>
            <w:noWrap w:val="0"/>
            <w:vAlign w:val="center"/>
          </w:tcPr>
          <w:p w14:paraId="6E55A0DC">
            <w:pPr>
              <w:jc w:val="center"/>
              <w:rPr>
                <w:rFonts w:ascii="Times New Roman" w:hAnsi="Times New Roman"/>
                <w:szCs w:val="24"/>
              </w:rPr>
            </w:pPr>
          </w:p>
        </w:tc>
        <w:tc>
          <w:tcPr>
            <w:tcW w:w="1756" w:type="dxa"/>
            <w:noWrap w:val="0"/>
            <w:vAlign w:val="center"/>
          </w:tcPr>
          <w:p w14:paraId="51812083">
            <w:pPr>
              <w:jc w:val="center"/>
              <w:rPr>
                <w:rFonts w:ascii="Times New Roman" w:hAnsi="Times New Roman"/>
                <w:szCs w:val="24"/>
              </w:rPr>
            </w:pPr>
          </w:p>
        </w:tc>
      </w:tr>
      <w:tr w14:paraId="26920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2" w:type="dxa"/>
            <w:noWrap w:val="0"/>
            <w:vAlign w:val="center"/>
          </w:tcPr>
          <w:p w14:paraId="475DD210">
            <w:pPr>
              <w:jc w:val="center"/>
              <w:rPr>
                <w:rFonts w:ascii="Times New Roman" w:hAnsi="Times New Roman"/>
                <w:szCs w:val="24"/>
              </w:rPr>
            </w:pPr>
            <w:r>
              <w:rPr>
                <w:rFonts w:hint="eastAsia" w:ascii="Times New Roman" w:hAnsi="Times New Roman"/>
                <w:szCs w:val="24"/>
              </w:rPr>
              <w:t>七、负债合计</w:t>
            </w:r>
          </w:p>
        </w:tc>
        <w:tc>
          <w:tcPr>
            <w:tcW w:w="1925" w:type="dxa"/>
            <w:noWrap w:val="0"/>
            <w:vAlign w:val="center"/>
          </w:tcPr>
          <w:p w14:paraId="15BA3DFA">
            <w:pPr>
              <w:jc w:val="center"/>
              <w:rPr>
                <w:rFonts w:ascii="Times New Roman" w:hAnsi="Times New Roman"/>
                <w:szCs w:val="24"/>
              </w:rPr>
            </w:pPr>
          </w:p>
        </w:tc>
        <w:tc>
          <w:tcPr>
            <w:tcW w:w="1925" w:type="dxa"/>
            <w:noWrap w:val="0"/>
            <w:vAlign w:val="center"/>
          </w:tcPr>
          <w:p w14:paraId="1ABEF15C">
            <w:pPr>
              <w:jc w:val="center"/>
              <w:rPr>
                <w:rFonts w:ascii="Times New Roman" w:hAnsi="Times New Roman"/>
                <w:szCs w:val="24"/>
              </w:rPr>
            </w:pPr>
          </w:p>
        </w:tc>
        <w:tc>
          <w:tcPr>
            <w:tcW w:w="1925" w:type="dxa"/>
            <w:noWrap w:val="0"/>
            <w:vAlign w:val="center"/>
          </w:tcPr>
          <w:p w14:paraId="2D366ACF">
            <w:pPr>
              <w:jc w:val="center"/>
              <w:rPr>
                <w:rFonts w:ascii="Times New Roman" w:hAnsi="Times New Roman"/>
                <w:szCs w:val="24"/>
              </w:rPr>
            </w:pPr>
          </w:p>
        </w:tc>
        <w:tc>
          <w:tcPr>
            <w:tcW w:w="1756" w:type="dxa"/>
            <w:noWrap w:val="0"/>
            <w:vAlign w:val="center"/>
          </w:tcPr>
          <w:p w14:paraId="2CAB7498">
            <w:pPr>
              <w:jc w:val="center"/>
              <w:rPr>
                <w:rFonts w:ascii="Times New Roman" w:hAnsi="Times New Roman"/>
                <w:szCs w:val="24"/>
              </w:rPr>
            </w:pPr>
          </w:p>
        </w:tc>
      </w:tr>
      <w:tr w14:paraId="115C5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2" w:type="dxa"/>
            <w:noWrap w:val="0"/>
            <w:vAlign w:val="center"/>
          </w:tcPr>
          <w:p w14:paraId="6D2F284E">
            <w:pPr>
              <w:jc w:val="center"/>
              <w:rPr>
                <w:rFonts w:ascii="Times New Roman" w:hAnsi="Times New Roman"/>
                <w:szCs w:val="24"/>
              </w:rPr>
            </w:pPr>
            <w:r>
              <w:rPr>
                <w:rFonts w:hint="eastAsia" w:ascii="Times New Roman" w:hAnsi="Times New Roman"/>
                <w:szCs w:val="24"/>
              </w:rPr>
              <w:t>八、营业收入</w:t>
            </w:r>
          </w:p>
        </w:tc>
        <w:tc>
          <w:tcPr>
            <w:tcW w:w="1925" w:type="dxa"/>
            <w:noWrap w:val="0"/>
            <w:vAlign w:val="center"/>
          </w:tcPr>
          <w:p w14:paraId="09DA80D0">
            <w:pPr>
              <w:jc w:val="center"/>
              <w:rPr>
                <w:rFonts w:ascii="Times New Roman" w:hAnsi="Times New Roman"/>
                <w:szCs w:val="24"/>
              </w:rPr>
            </w:pPr>
          </w:p>
        </w:tc>
        <w:tc>
          <w:tcPr>
            <w:tcW w:w="1925" w:type="dxa"/>
            <w:noWrap w:val="0"/>
            <w:vAlign w:val="center"/>
          </w:tcPr>
          <w:p w14:paraId="3DFCE42D">
            <w:pPr>
              <w:jc w:val="center"/>
              <w:rPr>
                <w:rFonts w:ascii="Times New Roman" w:hAnsi="Times New Roman"/>
                <w:szCs w:val="24"/>
              </w:rPr>
            </w:pPr>
          </w:p>
        </w:tc>
        <w:tc>
          <w:tcPr>
            <w:tcW w:w="1925" w:type="dxa"/>
            <w:noWrap w:val="0"/>
            <w:vAlign w:val="center"/>
          </w:tcPr>
          <w:p w14:paraId="36F04257">
            <w:pPr>
              <w:jc w:val="center"/>
              <w:rPr>
                <w:rFonts w:ascii="Times New Roman" w:hAnsi="Times New Roman"/>
                <w:szCs w:val="24"/>
              </w:rPr>
            </w:pPr>
          </w:p>
        </w:tc>
        <w:tc>
          <w:tcPr>
            <w:tcW w:w="1756" w:type="dxa"/>
            <w:noWrap w:val="0"/>
            <w:vAlign w:val="center"/>
          </w:tcPr>
          <w:p w14:paraId="2521C05C">
            <w:pPr>
              <w:jc w:val="center"/>
              <w:rPr>
                <w:rFonts w:ascii="Times New Roman" w:hAnsi="Times New Roman"/>
                <w:szCs w:val="24"/>
              </w:rPr>
            </w:pPr>
          </w:p>
        </w:tc>
      </w:tr>
      <w:tr w14:paraId="74953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12" w:type="dxa"/>
            <w:noWrap w:val="0"/>
            <w:vAlign w:val="center"/>
          </w:tcPr>
          <w:p w14:paraId="007404F7">
            <w:pPr>
              <w:jc w:val="center"/>
              <w:rPr>
                <w:rFonts w:ascii="Times New Roman" w:hAnsi="Times New Roman"/>
                <w:szCs w:val="24"/>
              </w:rPr>
            </w:pPr>
            <w:r>
              <w:rPr>
                <w:rFonts w:hint="eastAsia" w:ascii="Times New Roman" w:hAnsi="Times New Roman"/>
                <w:szCs w:val="24"/>
              </w:rPr>
              <w:t>九、净利润</w:t>
            </w:r>
          </w:p>
        </w:tc>
        <w:tc>
          <w:tcPr>
            <w:tcW w:w="1925" w:type="dxa"/>
            <w:noWrap w:val="0"/>
            <w:vAlign w:val="center"/>
          </w:tcPr>
          <w:p w14:paraId="4C2820B6">
            <w:pPr>
              <w:jc w:val="center"/>
              <w:rPr>
                <w:rFonts w:ascii="Times New Roman" w:hAnsi="Times New Roman"/>
                <w:szCs w:val="24"/>
              </w:rPr>
            </w:pPr>
          </w:p>
        </w:tc>
        <w:tc>
          <w:tcPr>
            <w:tcW w:w="1925" w:type="dxa"/>
            <w:noWrap w:val="0"/>
            <w:vAlign w:val="center"/>
          </w:tcPr>
          <w:p w14:paraId="63154140">
            <w:pPr>
              <w:jc w:val="center"/>
              <w:rPr>
                <w:rFonts w:ascii="Times New Roman" w:hAnsi="Times New Roman"/>
                <w:szCs w:val="24"/>
              </w:rPr>
            </w:pPr>
          </w:p>
        </w:tc>
        <w:tc>
          <w:tcPr>
            <w:tcW w:w="1925" w:type="dxa"/>
            <w:noWrap w:val="0"/>
            <w:vAlign w:val="center"/>
          </w:tcPr>
          <w:p w14:paraId="01B34650">
            <w:pPr>
              <w:jc w:val="center"/>
              <w:rPr>
                <w:rFonts w:ascii="Times New Roman" w:hAnsi="Times New Roman"/>
                <w:szCs w:val="24"/>
              </w:rPr>
            </w:pPr>
          </w:p>
        </w:tc>
        <w:tc>
          <w:tcPr>
            <w:tcW w:w="1756" w:type="dxa"/>
            <w:noWrap w:val="0"/>
            <w:vAlign w:val="center"/>
          </w:tcPr>
          <w:p w14:paraId="472C6C18">
            <w:pPr>
              <w:jc w:val="center"/>
              <w:rPr>
                <w:rFonts w:ascii="Times New Roman" w:hAnsi="Times New Roman"/>
                <w:szCs w:val="24"/>
              </w:rPr>
            </w:pPr>
          </w:p>
        </w:tc>
      </w:tr>
      <w:tr w14:paraId="4E895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2" w:type="dxa"/>
            <w:noWrap w:val="0"/>
            <w:vAlign w:val="center"/>
          </w:tcPr>
          <w:p w14:paraId="49756C3E">
            <w:pPr>
              <w:jc w:val="center"/>
              <w:rPr>
                <w:rFonts w:ascii="Times New Roman" w:hAnsi="Times New Roman"/>
                <w:szCs w:val="24"/>
              </w:rPr>
            </w:pPr>
          </w:p>
        </w:tc>
        <w:tc>
          <w:tcPr>
            <w:tcW w:w="1925" w:type="dxa"/>
            <w:noWrap w:val="0"/>
            <w:vAlign w:val="center"/>
          </w:tcPr>
          <w:p w14:paraId="505E1B0A">
            <w:pPr>
              <w:jc w:val="center"/>
              <w:rPr>
                <w:rFonts w:ascii="Times New Roman" w:hAnsi="Times New Roman"/>
                <w:szCs w:val="24"/>
              </w:rPr>
            </w:pPr>
          </w:p>
        </w:tc>
        <w:tc>
          <w:tcPr>
            <w:tcW w:w="1925" w:type="dxa"/>
            <w:noWrap w:val="0"/>
            <w:vAlign w:val="center"/>
          </w:tcPr>
          <w:p w14:paraId="2092FA97">
            <w:pPr>
              <w:jc w:val="center"/>
              <w:rPr>
                <w:rFonts w:ascii="Times New Roman" w:hAnsi="Times New Roman"/>
                <w:szCs w:val="24"/>
              </w:rPr>
            </w:pPr>
          </w:p>
        </w:tc>
        <w:tc>
          <w:tcPr>
            <w:tcW w:w="1925" w:type="dxa"/>
            <w:noWrap w:val="0"/>
            <w:vAlign w:val="center"/>
          </w:tcPr>
          <w:p w14:paraId="5124AA49">
            <w:pPr>
              <w:jc w:val="center"/>
              <w:rPr>
                <w:rFonts w:ascii="Times New Roman" w:hAnsi="Times New Roman"/>
                <w:szCs w:val="24"/>
              </w:rPr>
            </w:pPr>
          </w:p>
        </w:tc>
        <w:tc>
          <w:tcPr>
            <w:tcW w:w="1756" w:type="dxa"/>
            <w:noWrap w:val="0"/>
            <w:vAlign w:val="center"/>
          </w:tcPr>
          <w:p w14:paraId="637A1659">
            <w:pPr>
              <w:jc w:val="center"/>
              <w:rPr>
                <w:rFonts w:ascii="Times New Roman" w:hAnsi="Times New Roman"/>
                <w:szCs w:val="24"/>
              </w:rPr>
            </w:pPr>
          </w:p>
        </w:tc>
      </w:tr>
    </w:tbl>
    <w:p w14:paraId="359D1B04">
      <w:pPr>
        <w:rPr>
          <w:rFonts w:ascii="Times New Roman" w:hAnsi="Times New Roman"/>
          <w:szCs w:val="24"/>
        </w:rPr>
      </w:pPr>
    </w:p>
    <w:p w14:paraId="390CD96B">
      <w:pPr>
        <w:rPr>
          <w:rFonts w:ascii="宋体" w:hAnsi="宋体" w:cs="宋体"/>
          <w:sz w:val="24"/>
          <w:szCs w:val="24"/>
        </w:rPr>
      </w:pPr>
      <w:r>
        <w:rPr>
          <w:rFonts w:hint="eastAsia" w:ascii="Times New Roman" w:hAnsi="Times New Roman"/>
          <w:szCs w:val="24"/>
        </w:rPr>
        <w:t>　</w:t>
      </w:r>
      <w:r>
        <w:rPr>
          <w:rFonts w:hint="eastAsia" w:ascii="宋体" w:hAnsi="宋体" w:cs="宋体"/>
          <w:sz w:val="24"/>
          <w:szCs w:val="24"/>
        </w:rPr>
        <w:t>　2.拟投入本项目的流动资金函</w:t>
      </w:r>
    </w:p>
    <w:p w14:paraId="649EA2BB">
      <w:pPr>
        <w:jc w:val="center"/>
        <w:rPr>
          <w:rFonts w:ascii="宋体" w:hAnsi="宋体" w:cs="宋体"/>
          <w:bCs/>
          <w:sz w:val="24"/>
          <w:szCs w:val="24"/>
        </w:rPr>
      </w:pPr>
      <w:r>
        <w:rPr>
          <w:rFonts w:hint="eastAsia" w:ascii="宋体" w:hAnsi="宋体" w:cs="宋体"/>
          <w:bCs/>
          <w:sz w:val="24"/>
          <w:szCs w:val="24"/>
        </w:rPr>
        <w:t>拟投入本项目的流动资金函(格式)</w:t>
      </w:r>
    </w:p>
    <w:p w14:paraId="6537111D">
      <w:pPr>
        <w:spacing w:line="500" w:lineRule="exact"/>
        <w:rPr>
          <w:rFonts w:ascii="宋体" w:hAnsi="宋体" w:cs="宋体"/>
          <w:sz w:val="24"/>
          <w:szCs w:val="24"/>
        </w:rPr>
      </w:pPr>
      <w:r>
        <w:rPr>
          <w:rFonts w:hint="eastAsia" w:ascii="宋体" w:hAnsi="宋体" w:cs="宋体"/>
          <w:sz w:val="24"/>
          <w:szCs w:val="24"/>
        </w:rPr>
        <w:t>　　　　　　　　　　　　　(招标人名称)：</w:t>
      </w:r>
    </w:p>
    <w:p w14:paraId="200B0A98">
      <w:pPr>
        <w:spacing w:line="500" w:lineRule="exact"/>
        <w:rPr>
          <w:rFonts w:ascii="宋体" w:hAnsi="宋体" w:cs="宋体"/>
          <w:sz w:val="24"/>
          <w:szCs w:val="24"/>
        </w:rPr>
      </w:pPr>
      <w:r>
        <w:rPr>
          <w:rFonts w:hint="eastAsia" w:ascii="Times New Roman" w:hAnsi="Times New Roman"/>
          <w:szCs w:val="24"/>
        </w:rPr>
        <w:t>　　</w:t>
      </w:r>
      <w:r>
        <w:rPr>
          <w:rFonts w:hint="eastAsia" w:ascii="宋体" w:hAnsi="宋体" w:cs="宋体"/>
          <w:sz w:val="24"/>
          <w:szCs w:val="24"/>
        </w:rPr>
        <w:t>我方拟投入　　　　(项目名称)　　　　(标段名称)的流动资金为　　　　万元，资金来源于　　　　　，资金来源证明文件附后。</w:t>
      </w:r>
    </w:p>
    <w:p w14:paraId="00AC1F98">
      <w:pPr>
        <w:spacing w:line="500" w:lineRule="exact"/>
        <w:rPr>
          <w:rFonts w:ascii="宋体" w:hAnsi="宋体" w:cs="宋体"/>
          <w:sz w:val="24"/>
          <w:szCs w:val="24"/>
        </w:rPr>
      </w:pPr>
      <w:r>
        <w:rPr>
          <w:rFonts w:hint="eastAsia" w:ascii="宋体" w:hAnsi="宋体" w:cs="宋体"/>
          <w:sz w:val="24"/>
          <w:szCs w:val="24"/>
        </w:rPr>
        <w:t>　　　　　　　　　　　　　　　　　　　　　投标人：　　　　　　　　(盖单位章)</w:t>
      </w:r>
    </w:p>
    <w:p w14:paraId="46638EC0">
      <w:pPr>
        <w:spacing w:line="500" w:lineRule="exact"/>
        <w:rPr>
          <w:rFonts w:ascii="宋体" w:hAnsi="宋体" w:cs="宋体"/>
          <w:sz w:val="24"/>
          <w:szCs w:val="24"/>
        </w:rPr>
      </w:pPr>
      <w:r>
        <w:rPr>
          <w:rFonts w:hint="eastAsia" w:ascii="宋体" w:hAnsi="宋体" w:cs="宋体"/>
          <w:sz w:val="24"/>
          <w:szCs w:val="24"/>
        </w:rPr>
        <w:t>　　　　　　　　　　　　　　　　　　　　　　　　　　　　　年　　月　　日</w:t>
      </w:r>
    </w:p>
    <w:p w14:paraId="1A01F08B">
      <w:pPr>
        <w:spacing w:line="500" w:lineRule="exact"/>
        <w:rPr>
          <w:rFonts w:ascii="Times New Roman" w:hAnsi="Times New Roman"/>
          <w:szCs w:val="24"/>
        </w:rPr>
      </w:pPr>
      <w:r>
        <w:rPr>
          <w:rFonts w:hint="eastAsia" w:ascii="Times New Roman" w:hAnsi="Times New Roman"/>
          <w:szCs w:val="24"/>
        </w:rPr>
        <w:t>　　注：相关材料复印件在“十、原件的复印件”中提供。资金来源填写银行存款、银行信贷或其它形式。</w:t>
      </w:r>
    </w:p>
    <w:p w14:paraId="45F7BD43">
      <w:pPr>
        <w:widowControl/>
        <w:jc w:val="left"/>
        <w:outlineLvl w:val="2"/>
        <w:rPr>
          <w:rFonts w:ascii="黑体" w:hAnsi="黑体" w:eastAsia="黑体" w:cs="黑体"/>
          <w:b/>
          <w:kern w:val="0"/>
          <w:sz w:val="28"/>
          <w:szCs w:val="24"/>
          <w:lang w:eastAsia="en-US"/>
        </w:rPr>
      </w:pPr>
      <w:r>
        <w:rPr>
          <w:rFonts w:ascii="Times New Roman" w:hAnsi="Times New Roman" w:eastAsia="Times New Roman"/>
          <w:kern w:val="0"/>
          <w:sz w:val="24"/>
          <w:szCs w:val="24"/>
          <w:lang w:eastAsia="en-US"/>
        </w:rPr>
        <w:br w:type="page"/>
      </w:r>
      <w:bookmarkStart w:id="441" w:name="_Toc256000178"/>
      <w:r>
        <w:rPr>
          <w:rFonts w:ascii="黑体" w:hAnsi="黑体" w:eastAsia="黑体" w:cs="黑体"/>
          <w:b/>
          <w:kern w:val="0"/>
          <w:sz w:val="28"/>
          <w:szCs w:val="24"/>
          <w:lang w:eastAsia="en-US"/>
        </w:rPr>
        <w:t>(三)近3年完成的类似项目情况表</w:t>
      </w:r>
      <w:bookmarkEnd w:id="441"/>
    </w:p>
    <w:p w14:paraId="0321E9DB">
      <w:pPr>
        <w:rPr>
          <w:rFonts w:ascii="宋体" w:hAnsi="宋体"/>
          <w:sz w:val="28"/>
          <w:szCs w:val="28"/>
        </w:rPr>
      </w:pPr>
      <w:r>
        <w:rPr>
          <w:rFonts w:hint="eastAsia" w:ascii="宋体" w:hAnsi="宋体"/>
          <w:sz w:val="28"/>
          <w:szCs w:val="28"/>
        </w:rPr>
        <w:t>近3年完成的类似项目情况表</w:t>
      </w:r>
    </w:p>
    <w:p w14:paraId="3E828DB5">
      <w:pPr>
        <w:jc w:val="center"/>
        <w:rPr>
          <w:rFonts w:ascii="Times New Roman" w:hAnsi="Times New Roman"/>
          <w:szCs w:val="24"/>
        </w:rPr>
      </w:pPr>
      <w:r>
        <w:rPr>
          <w:rFonts w:hint="eastAsia" w:ascii="Times New Roman" w:hAnsi="Times New Roman"/>
          <w:szCs w:val="24"/>
        </w:rPr>
        <w:t>(近3年指　　　　年　　月至　　　　年　　月)</w:t>
      </w:r>
    </w:p>
    <w:tbl>
      <w:tblPr>
        <w:tblStyle w:val="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82"/>
        <w:gridCol w:w="6861"/>
      </w:tblGrid>
      <w:tr w14:paraId="1FE63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82" w:type="dxa"/>
            <w:noWrap w:val="0"/>
            <w:vAlign w:val="center"/>
          </w:tcPr>
          <w:p w14:paraId="36AB2464">
            <w:pPr>
              <w:jc w:val="center"/>
              <w:rPr>
                <w:rFonts w:ascii="Times New Roman" w:hAnsi="Times New Roman"/>
                <w:szCs w:val="24"/>
              </w:rPr>
            </w:pPr>
            <w:r>
              <w:rPr>
                <w:rFonts w:hint="eastAsia" w:ascii="Times New Roman" w:hAnsi="Times New Roman"/>
                <w:szCs w:val="24"/>
              </w:rPr>
              <w:t>合同名称</w:t>
            </w:r>
          </w:p>
        </w:tc>
        <w:tc>
          <w:tcPr>
            <w:tcW w:w="6861" w:type="dxa"/>
            <w:noWrap w:val="0"/>
            <w:vAlign w:val="top"/>
          </w:tcPr>
          <w:p w14:paraId="54D6D6AC">
            <w:pPr>
              <w:rPr>
                <w:rFonts w:ascii="Times New Roman" w:hAnsi="Times New Roman"/>
                <w:szCs w:val="24"/>
              </w:rPr>
            </w:pPr>
          </w:p>
        </w:tc>
      </w:tr>
      <w:tr w14:paraId="622BC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82" w:type="dxa"/>
            <w:noWrap w:val="0"/>
            <w:vAlign w:val="center"/>
          </w:tcPr>
          <w:p w14:paraId="27937B68">
            <w:pPr>
              <w:jc w:val="center"/>
              <w:rPr>
                <w:rFonts w:ascii="Times New Roman" w:hAnsi="Times New Roman"/>
                <w:szCs w:val="24"/>
              </w:rPr>
            </w:pPr>
            <w:r>
              <w:rPr>
                <w:rFonts w:hint="eastAsia" w:ascii="Times New Roman" w:hAnsi="Times New Roman"/>
                <w:szCs w:val="24"/>
              </w:rPr>
              <w:t>合同项目所在地</w:t>
            </w:r>
          </w:p>
        </w:tc>
        <w:tc>
          <w:tcPr>
            <w:tcW w:w="6861" w:type="dxa"/>
            <w:noWrap w:val="0"/>
            <w:vAlign w:val="top"/>
          </w:tcPr>
          <w:p w14:paraId="74DA597A">
            <w:pPr>
              <w:rPr>
                <w:rFonts w:ascii="Times New Roman" w:hAnsi="Times New Roman"/>
                <w:szCs w:val="24"/>
              </w:rPr>
            </w:pPr>
          </w:p>
        </w:tc>
      </w:tr>
      <w:tr w14:paraId="70DD6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82" w:type="dxa"/>
            <w:noWrap w:val="0"/>
            <w:vAlign w:val="center"/>
          </w:tcPr>
          <w:p w14:paraId="6B7A6F6D">
            <w:pPr>
              <w:jc w:val="center"/>
              <w:rPr>
                <w:rFonts w:ascii="Times New Roman" w:hAnsi="Times New Roman"/>
                <w:szCs w:val="24"/>
              </w:rPr>
            </w:pPr>
            <w:r>
              <w:rPr>
                <w:rFonts w:hint="eastAsia" w:ascii="Times New Roman" w:hAnsi="Times New Roman"/>
                <w:szCs w:val="24"/>
              </w:rPr>
              <w:t>发包人名称</w:t>
            </w:r>
          </w:p>
        </w:tc>
        <w:tc>
          <w:tcPr>
            <w:tcW w:w="6861" w:type="dxa"/>
            <w:noWrap w:val="0"/>
            <w:vAlign w:val="top"/>
          </w:tcPr>
          <w:p w14:paraId="166DEAC1">
            <w:pPr>
              <w:rPr>
                <w:rFonts w:ascii="Times New Roman" w:hAnsi="Times New Roman"/>
                <w:szCs w:val="24"/>
              </w:rPr>
            </w:pPr>
          </w:p>
        </w:tc>
      </w:tr>
      <w:tr w14:paraId="45581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82" w:type="dxa"/>
            <w:noWrap w:val="0"/>
            <w:vAlign w:val="center"/>
          </w:tcPr>
          <w:p w14:paraId="458FA7E2">
            <w:pPr>
              <w:jc w:val="center"/>
              <w:rPr>
                <w:rFonts w:ascii="Times New Roman" w:hAnsi="Times New Roman"/>
                <w:szCs w:val="24"/>
              </w:rPr>
            </w:pPr>
            <w:r>
              <w:rPr>
                <w:rFonts w:hint="eastAsia" w:ascii="Times New Roman" w:hAnsi="Times New Roman"/>
                <w:szCs w:val="24"/>
              </w:rPr>
              <w:t>发包人地址</w:t>
            </w:r>
          </w:p>
        </w:tc>
        <w:tc>
          <w:tcPr>
            <w:tcW w:w="6861" w:type="dxa"/>
            <w:noWrap w:val="0"/>
            <w:vAlign w:val="top"/>
          </w:tcPr>
          <w:p w14:paraId="73860BF7">
            <w:pPr>
              <w:rPr>
                <w:rFonts w:ascii="Times New Roman" w:hAnsi="Times New Roman"/>
                <w:szCs w:val="24"/>
              </w:rPr>
            </w:pPr>
          </w:p>
        </w:tc>
      </w:tr>
      <w:tr w14:paraId="0738C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82" w:type="dxa"/>
            <w:noWrap w:val="0"/>
            <w:vAlign w:val="center"/>
          </w:tcPr>
          <w:p w14:paraId="0AF6336A">
            <w:pPr>
              <w:jc w:val="center"/>
              <w:rPr>
                <w:rFonts w:ascii="Times New Roman" w:hAnsi="Times New Roman"/>
                <w:szCs w:val="24"/>
              </w:rPr>
            </w:pPr>
            <w:r>
              <w:rPr>
                <w:rFonts w:hint="eastAsia" w:ascii="Times New Roman" w:hAnsi="Times New Roman"/>
                <w:szCs w:val="24"/>
              </w:rPr>
              <w:t>发包人电话</w:t>
            </w:r>
          </w:p>
        </w:tc>
        <w:tc>
          <w:tcPr>
            <w:tcW w:w="6861" w:type="dxa"/>
            <w:noWrap w:val="0"/>
            <w:vAlign w:val="top"/>
          </w:tcPr>
          <w:p w14:paraId="47B362BD">
            <w:pPr>
              <w:rPr>
                <w:rFonts w:ascii="Times New Roman" w:hAnsi="Times New Roman"/>
                <w:szCs w:val="24"/>
              </w:rPr>
            </w:pPr>
          </w:p>
        </w:tc>
      </w:tr>
      <w:tr w14:paraId="3CCFF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82" w:type="dxa"/>
            <w:noWrap w:val="0"/>
            <w:vAlign w:val="center"/>
          </w:tcPr>
          <w:p w14:paraId="2AE99B3A">
            <w:pPr>
              <w:jc w:val="center"/>
              <w:rPr>
                <w:rFonts w:ascii="Times New Roman" w:hAnsi="Times New Roman"/>
                <w:szCs w:val="24"/>
              </w:rPr>
            </w:pPr>
            <w:r>
              <w:rPr>
                <w:rFonts w:hint="eastAsia" w:ascii="Times New Roman" w:hAnsi="Times New Roman"/>
                <w:szCs w:val="24"/>
              </w:rPr>
              <w:t>签约合同价</w:t>
            </w:r>
          </w:p>
        </w:tc>
        <w:tc>
          <w:tcPr>
            <w:tcW w:w="6861" w:type="dxa"/>
            <w:noWrap w:val="0"/>
            <w:vAlign w:val="top"/>
          </w:tcPr>
          <w:p w14:paraId="56B6E629">
            <w:pPr>
              <w:rPr>
                <w:rFonts w:ascii="Times New Roman" w:hAnsi="Times New Roman"/>
                <w:szCs w:val="24"/>
              </w:rPr>
            </w:pPr>
          </w:p>
        </w:tc>
      </w:tr>
      <w:tr w14:paraId="145F0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82" w:type="dxa"/>
            <w:noWrap w:val="0"/>
            <w:vAlign w:val="center"/>
          </w:tcPr>
          <w:p w14:paraId="5A27CFB7">
            <w:pPr>
              <w:jc w:val="center"/>
              <w:rPr>
                <w:rFonts w:ascii="Times New Roman" w:hAnsi="Times New Roman"/>
                <w:szCs w:val="24"/>
              </w:rPr>
            </w:pPr>
            <w:r>
              <w:rPr>
                <w:rFonts w:hint="eastAsia" w:ascii="Times New Roman" w:hAnsi="Times New Roman"/>
                <w:szCs w:val="24"/>
              </w:rPr>
              <w:t>开工日期</w:t>
            </w:r>
          </w:p>
        </w:tc>
        <w:tc>
          <w:tcPr>
            <w:tcW w:w="6861" w:type="dxa"/>
            <w:noWrap w:val="0"/>
            <w:vAlign w:val="top"/>
          </w:tcPr>
          <w:p w14:paraId="7E42C3D5">
            <w:pPr>
              <w:rPr>
                <w:rFonts w:ascii="Times New Roman" w:hAnsi="Times New Roman"/>
                <w:szCs w:val="24"/>
              </w:rPr>
            </w:pPr>
          </w:p>
        </w:tc>
      </w:tr>
      <w:tr w14:paraId="6743C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82" w:type="dxa"/>
            <w:noWrap w:val="0"/>
            <w:vAlign w:val="center"/>
          </w:tcPr>
          <w:p w14:paraId="08DD4C69">
            <w:pPr>
              <w:jc w:val="center"/>
              <w:rPr>
                <w:rFonts w:ascii="Times New Roman" w:hAnsi="Times New Roman"/>
                <w:szCs w:val="24"/>
              </w:rPr>
            </w:pPr>
            <w:r>
              <w:rPr>
                <w:rFonts w:hint="eastAsia" w:ascii="Times New Roman" w:hAnsi="Times New Roman"/>
                <w:szCs w:val="24"/>
              </w:rPr>
              <w:t>完工日期</w:t>
            </w:r>
          </w:p>
        </w:tc>
        <w:tc>
          <w:tcPr>
            <w:tcW w:w="6861" w:type="dxa"/>
            <w:noWrap w:val="0"/>
            <w:vAlign w:val="top"/>
          </w:tcPr>
          <w:p w14:paraId="48D8CA40">
            <w:pPr>
              <w:rPr>
                <w:rFonts w:ascii="Times New Roman" w:hAnsi="Times New Roman"/>
                <w:szCs w:val="24"/>
              </w:rPr>
            </w:pPr>
          </w:p>
        </w:tc>
      </w:tr>
      <w:tr w14:paraId="17280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82" w:type="dxa"/>
            <w:noWrap w:val="0"/>
            <w:vAlign w:val="center"/>
          </w:tcPr>
          <w:p w14:paraId="7ABEC0B1">
            <w:pPr>
              <w:jc w:val="center"/>
              <w:rPr>
                <w:rFonts w:ascii="Times New Roman" w:hAnsi="Times New Roman"/>
                <w:szCs w:val="24"/>
              </w:rPr>
            </w:pPr>
            <w:r>
              <w:rPr>
                <w:rFonts w:hint="eastAsia" w:ascii="Times New Roman" w:hAnsi="Times New Roman"/>
                <w:szCs w:val="24"/>
              </w:rPr>
              <w:t>承担的工作</w:t>
            </w:r>
          </w:p>
        </w:tc>
        <w:tc>
          <w:tcPr>
            <w:tcW w:w="6861" w:type="dxa"/>
            <w:noWrap w:val="0"/>
            <w:vAlign w:val="top"/>
          </w:tcPr>
          <w:p w14:paraId="5D7B6FC4">
            <w:pPr>
              <w:rPr>
                <w:rFonts w:ascii="Times New Roman" w:hAnsi="Times New Roman"/>
                <w:szCs w:val="24"/>
              </w:rPr>
            </w:pPr>
          </w:p>
        </w:tc>
      </w:tr>
      <w:tr w14:paraId="3D310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82" w:type="dxa"/>
            <w:noWrap w:val="0"/>
            <w:vAlign w:val="center"/>
          </w:tcPr>
          <w:p w14:paraId="39F6091D">
            <w:pPr>
              <w:jc w:val="center"/>
              <w:rPr>
                <w:rFonts w:ascii="Times New Roman" w:hAnsi="Times New Roman"/>
                <w:szCs w:val="24"/>
              </w:rPr>
            </w:pPr>
            <w:r>
              <w:rPr>
                <w:rFonts w:hint="eastAsia" w:ascii="Times New Roman" w:hAnsi="Times New Roman"/>
                <w:szCs w:val="24"/>
              </w:rPr>
              <w:t>工程质量</w:t>
            </w:r>
          </w:p>
        </w:tc>
        <w:tc>
          <w:tcPr>
            <w:tcW w:w="6861" w:type="dxa"/>
            <w:noWrap w:val="0"/>
            <w:vAlign w:val="top"/>
          </w:tcPr>
          <w:p w14:paraId="647304B7">
            <w:pPr>
              <w:rPr>
                <w:rFonts w:ascii="Times New Roman" w:hAnsi="Times New Roman"/>
                <w:szCs w:val="24"/>
              </w:rPr>
            </w:pPr>
          </w:p>
        </w:tc>
      </w:tr>
      <w:tr w14:paraId="12931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82" w:type="dxa"/>
            <w:noWrap w:val="0"/>
            <w:vAlign w:val="center"/>
          </w:tcPr>
          <w:p w14:paraId="79E856DF">
            <w:pPr>
              <w:jc w:val="center"/>
              <w:rPr>
                <w:rFonts w:ascii="Times New Roman" w:hAnsi="Times New Roman"/>
                <w:szCs w:val="24"/>
              </w:rPr>
            </w:pPr>
            <w:r>
              <w:rPr>
                <w:rFonts w:hint="eastAsia" w:ascii="Times New Roman" w:hAnsi="Times New Roman"/>
                <w:szCs w:val="24"/>
              </w:rPr>
              <w:t>项目经理</w:t>
            </w:r>
          </w:p>
        </w:tc>
        <w:tc>
          <w:tcPr>
            <w:tcW w:w="6861" w:type="dxa"/>
            <w:noWrap w:val="0"/>
            <w:vAlign w:val="top"/>
          </w:tcPr>
          <w:p w14:paraId="46CF44E4">
            <w:pPr>
              <w:rPr>
                <w:rFonts w:ascii="Times New Roman" w:hAnsi="Times New Roman"/>
                <w:szCs w:val="24"/>
              </w:rPr>
            </w:pPr>
          </w:p>
        </w:tc>
      </w:tr>
      <w:tr w14:paraId="2C4FF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82" w:type="dxa"/>
            <w:noWrap w:val="0"/>
            <w:vAlign w:val="center"/>
          </w:tcPr>
          <w:p w14:paraId="57F26A9E">
            <w:pPr>
              <w:jc w:val="center"/>
              <w:rPr>
                <w:rFonts w:ascii="Times New Roman" w:hAnsi="Times New Roman"/>
                <w:szCs w:val="24"/>
              </w:rPr>
            </w:pPr>
            <w:r>
              <w:rPr>
                <w:rFonts w:hint="eastAsia" w:ascii="Times New Roman" w:hAnsi="Times New Roman"/>
                <w:szCs w:val="24"/>
              </w:rPr>
              <w:t>技术负责人</w:t>
            </w:r>
          </w:p>
        </w:tc>
        <w:tc>
          <w:tcPr>
            <w:tcW w:w="6861" w:type="dxa"/>
            <w:noWrap w:val="0"/>
            <w:vAlign w:val="top"/>
          </w:tcPr>
          <w:p w14:paraId="5988D0F7">
            <w:pPr>
              <w:rPr>
                <w:rFonts w:ascii="Times New Roman" w:hAnsi="Times New Roman"/>
                <w:szCs w:val="24"/>
              </w:rPr>
            </w:pPr>
          </w:p>
        </w:tc>
      </w:tr>
      <w:tr w14:paraId="7972C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82" w:type="dxa"/>
            <w:noWrap w:val="0"/>
            <w:vAlign w:val="center"/>
          </w:tcPr>
          <w:p w14:paraId="38203729">
            <w:pPr>
              <w:jc w:val="center"/>
              <w:rPr>
                <w:rFonts w:ascii="Times New Roman" w:hAnsi="Times New Roman"/>
                <w:szCs w:val="24"/>
              </w:rPr>
            </w:pPr>
            <w:r>
              <w:rPr>
                <w:rFonts w:hint="eastAsia" w:ascii="Times New Roman" w:hAnsi="Times New Roman"/>
                <w:szCs w:val="24"/>
              </w:rPr>
              <w:t>监理人和总监理工程师以及电话</w:t>
            </w:r>
          </w:p>
        </w:tc>
        <w:tc>
          <w:tcPr>
            <w:tcW w:w="6861" w:type="dxa"/>
            <w:noWrap w:val="0"/>
            <w:vAlign w:val="top"/>
          </w:tcPr>
          <w:p w14:paraId="49E7587F">
            <w:pPr>
              <w:rPr>
                <w:rFonts w:ascii="Times New Roman" w:hAnsi="Times New Roman"/>
                <w:szCs w:val="24"/>
              </w:rPr>
            </w:pPr>
          </w:p>
        </w:tc>
      </w:tr>
      <w:tr w14:paraId="35CC3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82" w:type="dxa"/>
            <w:noWrap w:val="0"/>
            <w:vAlign w:val="center"/>
          </w:tcPr>
          <w:p w14:paraId="772125D6">
            <w:pPr>
              <w:jc w:val="center"/>
              <w:rPr>
                <w:rFonts w:ascii="Times New Roman" w:hAnsi="Times New Roman"/>
                <w:szCs w:val="24"/>
              </w:rPr>
            </w:pPr>
            <w:r>
              <w:rPr>
                <w:rFonts w:hint="eastAsia" w:ascii="Times New Roman" w:hAnsi="Times New Roman"/>
                <w:szCs w:val="24"/>
              </w:rPr>
              <w:t>合同项目描述</w:t>
            </w:r>
          </w:p>
        </w:tc>
        <w:tc>
          <w:tcPr>
            <w:tcW w:w="6861" w:type="dxa"/>
            <w:noWrap w:val="0"/>
            <w:vAlign w:val="top"/>
          </w:tcPr>
          <w:p w14:paraId="200FA094">
            <w:pPr>
              <w:rPr>
                <w:rFonts w:ascii="Times New Roman" w:hAnsi="Times New Roman"/>
                <w:szCs w:val="24"/>
              </w:rPr>
            </w:pPr>
          </w:p>
        </w:tc>
      </w:tr>
      <w:tr w14:paraId="6FDA5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82" w:type="dxa"/>
            <w:noWrap w:val="0"/>
            <w:vAlign w:val="center"/>
          </w:tcPr>
          <w:p w14:paraId="702C5DF1">
            <w:pPr>
              <w:jc w:val="center"/>
              <w:rPr>
                <w:rFonts w:ascii="Times New Roman" w:hAnsi="Times New Roman"/>
                <w:szCs w:val="24"/>
              </w:rPr>
            </w:pPr>
            <w:r>
              <w:rPr>
                <w:rFonts w:hint="eastAsia" w:ascii="Times New Roman" w:hAnsi="Times New Roman"/>
                <w:szCs w:val="24"/>
              </w:rPr>
              <w:t>备注</w:t>
            </w:r>
          </w:p>
        </w:tc>
        <w:tc>
          <w:tcPr>
            <w:tcW w:w="6861" w:type="dxa"/>
            <w:noWrap w:val="0"/>
            <w:vAlign w:val="top"/>
          </w:tcPr>
          <w:p w14:paraId="0447047E">
            <w:pPr>
              <w:rPr>
                <w:rFonts w:ascii="Times New Roman" w:hAnsi="Times New Roman"/>
                <w:szCs w:val="24"/>
              </w:rPr>
            </w:pPr>
            <w:r>
              <w:rPr>
                <w:rFonts w:hint="eastAsia" w:ascii="Times New Roman" w:hAnsi="Times New Roman"/>
                <w:szCs w:val="24"/>
              </w:rPr>
              <w:t>　　合同项目描述内容至少包括项目概况、本合同在项目中的地位(部位、合同价格所占比例)和合同工程完工验收鉴定书有关验收结论</w:t>
            </w:r>
          </w:p>
        </w:tc>
      </w:tr>
    </w:tbl>
    <w:p w14:paraId="74079543">
      <w:pPr>
        <w:rPr>
          <w:rFonts w:ascii="Times New Roman" w:hAnsi="Times New Roman"/>
          <w:szCs w:val="24"/>
        </w:rPr>
      </w:pPr>
      <w:r>
        <w:rPr>
          <w:rFonts w:hint="eastAsia" w:ascii="Times New Roman" w:hAnsi="Times New Roman"/>
          <w:szCs w:val="24"/>
        </w:rPr>
        <w:t>　　注　相关材料复印件在“十、原件的复印件”中提供。</w:t>
      </w:r>
    </w:p>
    <w:p w14:paraId="6E681239">
      <w:pPr>
        <w:widowControl/>
        <w:jc w:val="left"/>
        <w:outlineLvl w:val="2"/>
        <w:rPr>
          <w:rFonts w:ascii="黑体" w:hAnsi="黑体" w:eastAsia="黑体" w:cs="黑体"/>
          <w:b/>
          <w:kern w:val="0"/>
          <w:sz w:val="28"/>
          <w:szCs w:val="24"/>
          <w:lang w:eastAsia="en-US"/>
        </w:rPr>
      </w:pPr>
      <w:r>
        <w:rPr>
          <w:rFonts w:ascii="Times New Roman" w:hAnsi="Times New Roman" w:eastAsia="Times New Roman"/>
          <w:kern w:val="0"/>
          <w:sz w:val="24"/>
          <w:szCs w:val="24"/>
          <w:lang w:eastAsia="en-US"/>
        </w:rPr>
        <w:br w:type="page"/>
      </w:r>
      <w:bookmarkStart w:id="442" w:name="_Toc256000179"/>
      <w:r>
        <w:rPr>
          <w:rFonts w:ascii="黑体" w:hAnsi="黑体" w:eastAsia="黑体" w:cs="黑体"/>
          <w:b/>
          <w:kern w:val="0"/>
          <w:sz w:val="28"/>
          <w:szCs w:val="24"/>
          <w:lang w:eastAsia="en-US"/>
        </w:rPr>
        <w:t>(四)正在施工的和新承接的项目情况表</w:t>
      </w:r>
      <w:bookmarkEnd w:id="442"/>
    </w:p>
    <w:p w14:paraId="052B2118">
      <w:pPr>
        <w:rPr>
          <w:rFonts w:ascii="宋体" w:hAnsi="宋体"/>
          <w:sz w:val="28"/>
          <w:szCs w:val="28"/>
        </w:rPr>
      </w:pPr>
      <w:r>
        <w:rPr>
          <w:rFonts w:hint="eastAsia" w:ascii="宋体" w:hAnsi="宋体"/>
          <w:sz w:val="28"/>
          <w:szCs w:val="28"/>
        </w:rPr>
        <w:t>正在施工的和新承接的项目情况表</w:t>
      </w:r>
    </w:p>
    <w:tbl>
      <w:tblPr>
        <w:tblStyle w:val="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82"/>
        <w:gridCol w:w="6861"/>
      </w:tblGrid>
      <w:tr w14:paraId="7DB6D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82" w:type="dxa"/>
            <w:noWrap w:val="0"/>
            <w:vAlign w:val="center"/>
          </w:tcPr>
          <w:p w14:paraId="14AB9F2E">
            <w:pPr>
              <w:jc w:val="center"/>
              <w:rPr>
                <w:rFonts w:ascii="Times New Roman" w:hAnsi="Times New Roman"/>
                <w:szCs w:val="24"/>
              </w:rPr>
            </w:pPr>
            <w:r>
              <w:rPr>
                <w:rFonts w:hint="eastAsia" w:ascii="Times New Roman" w:hAnsi="Times New Roman"/>
                <w:szCs w:val="24"/>
              </w:rPr>
              <w:t>合同名称</w:t>
            </w:r>
          </w:p>
        </w:tc>
        <w:tc>
          <w:tcPr>
            <w:tcW w:w="6861" w:type="dxa"/>
            <w:noWrap w:val="0"/>
            <w:vAlign w:val="top"/>
          </w:tcPr>
          <w:p w14:paraId="7C97BE11">
            <w:pPr>
              <w:rPr>
                <w:rFonts w:ascii="Times New Roman" w:hAnsi="Times New Roman"/>
                <w:szCs w:val="24"/>
              </w:rPr>
            </w:pPr>
          </w:p>
        </w:tc>
      </w:tr>
      <w:tr w14:paraId="6E55C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82" w:type="dxa"/>
            <w:noWrap w:val="0"/>
            <w:vAlign w:val="center"/>
          </w:tcPr>
          <w:p w14:paraId="5A2D87D6">
            <w:pPr>
              <w:jc w:val="center"/>
              <w:rPr>
                <w:rFonts w:ascii="Times New Roman" w:hAnsi="Times New Roman"/>
                <w:szCs w:val="24"/>
              </w:rPr>
            </w:pPr>
            <w:r>
              <w:rPr>
                <w:rFonts w:hint="eastAsia" w:ascii="Times New Roman" w:hAnsi="Times New Roman"/>
                <w:szCs w:val="24"/>
              </w:rPr>
              <w:t>合同项目所在地</w:t>
            </w:r>
          </w:p>
        </w:tc>
        <w:tc>
          <w:tcPr>
            <w:tcW w:w="6861" w:type="dxa"/>
            <w:noWrap w:val="0"/>
            <w:vAlign w:val="top"/>
          </w:tcPr>
          <w:p w14:paraId="68F31E7C">
            <w:pPr>
              <w:rPr>
                <w:rFonts w:ascii="Times New Roman" w:hAnsi="Times New Roman"/>
                <w:szCs w:val="24"/>
              </w:rPr>
            </w:pPr>
          </w:p>
        </w:tc>
      </w:tr>
      <w:tr w14:paraId="2F688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82" w:type="dxa"/>
            <w:noWrap w:val="0"/>
            <w:vAlign w:val="center"/>
          </w:tcPr>
          <w:p w14:paraId="4B760E9A">
            <w:pPr>
              <w:jc w:val="center"/>
              <w:rPr>
                <w:rFonts w:ascii="Times New Roman" w:hAnsi="Times New Roman"/>
                <w:szCs w:val="24"/>
              </w:rPr>
            </w:pPr>
            <w:r>
              <w:rPr>
                <w:rFonts w:hint="eastAsia" w:ascii="Times New Roman" w:hAnsi="Times New Roman"/>
                <w:szCs w:val="24"/>
              </w:rPr>
              <w:t>发包人名称</w:t>
            </w:r>
          </w:p>
        </w:tc>
        <w:tc>
          <w:tcPr>
            <w:tcW w:w="6861" w:type="dxa"/>
            <w:noWrap w:val="0"/>
            <w:vAlign w:val="top"/>
          </w:tcPr>
          <w:p w14:paraId="41453B0B">
            <w:pPr>
              <w:rPr>
                <w:rFonts w:ascii="Times New Roman" w:hAnsi="Times New Roman"/>
                <w:szCs w:val="24"/>
              </w:rPr>
            </w:pPr>
          </w:p>
        </w:tc>
      </w:tr>
      <w:tr w14:paraId="65E1A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82" w:type="dxa"/>
            <w:noWrap w:val="0"/>
            <w:vAlign w:val="center"/>
          </w:tcPr>
          <w:p w14:paraId="504E7E76">
            <w:pPr>
              <w:jc w:val="center"/>
              <w:rPr>
                <w:rFonts w:ascii="Times New Roman" w:hAnsi="Times New Roman"/>
                <w:szCs w:val="24"/>
              </w:rPr>
            </w:pPr>
            <w:r>
              <w:rPr>
                <w:rFonts w:hint="eastAsia" w:ascii="Times New Roman" w:hAnsi="Times New Roman"/>
                <w:szCs w:val="24"/>
              </w:rPr>
              <w:t>发包人地址</w:t>
            </w:r>
          </w:p>
        </w:tc>
        <w:tc>
          <w:tcPr>
            <w:tcW w:w="6861" w:type="dxa"/>
            <w:noWrap w:val="0"/>
            <w:vAlign w:val="top"/>
          </w:tcPr>
          <w:p w14:paraId="2B3F6255">
            <w:pPr>
              <w:rPr>
                <w:rFonts w:ascii="Times New Roman" w:hAnsi="Times New Roman"/>
                <w:szCs w:val="24"/>
              </w:rPr>
            </w:pPr>
          </w:p>
        </w:tc>
      </w:tr>
      <w:tr w14:paraId="62990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82" w:type="dxa"/>
            <w:noWrap w:val="0"/>
            <w:vAlign w:val="center"/>
          </w:tcPr>
          <w:p w14:paraId="37BF4381">
            <w:pPr>
              <w:jc w:val="center"/>
              <w:rPr>
                <w:rFonts w:ascii="Times New Roman" w:hAnsi="Times New Roman"/>
                <w:szCs w:val="24"/>
              </w:rPr>
            </w:pPr>
            <w:r>
              <w:rPr>
                <w:rFonts w:hint="eastAsia" w:ascii="Times New Roman" w:hAnsi="Times New Roman"/>
                <w:szCs w:val="24"/>
              </w:rPr>
              <w:t>发包人电话</w:t>
            </w:r>
          </w:p>
        </w:tc>
        <w:tc>
          <w:tcPr>
            <w:tcW w:w="6861" w:type="dxa"/>
            <w:noWrap w:val="0"/>
            <w:vAlign w:val="top"/>
          </w:tcPr>
          <w:p w14:paraId="05687D02">
            <w:pPr>
              <w:rPr>
                <w:rFonts w:ascii="Times New Roman" w:hAnsi="Times New Roman"/>
                <w:szCs w:val="24"/>
              </w:rPr>
            </w:pPr>
          </w:p>
        </w:tc>
      </w:tr>
      <w:tr w14:paraId="355FC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82" w:type="dxa"/>
            <w:noWrap w:val="0"/>
            <w:vAlign w:val="center"/>
          </w:tcPr>
          <w:p w14:paraId="5CBDF538">
            <w:pPr>
              <w:jc w:val="center"/>
              <w:rPr>
                <w:rFonts w:ascii="Times New Roman" w:hAnsi="Times New Roman"/>
                <w:szCs w:val="24"/>
              </w:rPr>
            </w:pPr>
            <w:r>
              <w:rPr>
                <w:rFonts w:hint="eastAsia" w:ascii="Times New Roman" w:hAnsi="Times New Roman"/>
                <w:szCs w:val="24"/>
              </w:rPr>
              <w:t>签约合同价</w:t>
            </w:r>
          </w:p>
        </w:tc>
        <w:tc>
          <w:tcPr>
            <w:tcW w:w="6861" w:type="dxa"/>
            <w:noWrap w:val="0"/>
            <w:vAlign w:val="top"/>
          </w:tcPr>
          <w:p w14:paraId="48427259">
            <w:pPr>
              <w:rPr>
                <w:rFonts w:ascii="Times New Roman" w:hAnsi="Times New Roman"/>
                <w:szCs w:val="24"/>
              </w:rPr>
            </w:pPr>
          </w:p>
        </w:tc>
      </w:tr>
      <w:tr w14:paraId="70E77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82" w:type="dxa"/>
            <w:noWrap w:val="0"/>
            <w:vAlign w:val="center"/>
          </w:tcPr>
          <w:p w14:paraId="3D7366DD">
            <w:pPr>
              <w:jc w:val="center"/>
              <w:rPr>
                <w:rFonts w:ascii="Times New Roman" w:hAnsi="Times New Roman"/>
                <w:szCs w:val="24"/>
              </w:rPr>
            </w:pPr>
            <w:r>
              <w:rPr>
                <w:rFonts w:hint="eastAsia" w:ascii="Times New Roman" w:hAnsi="Times New Roman"/>
                <w:szCs w:val="24"/>
              </w:rPr>
              <w:t>开工日期</w:t>
            </w:r>
          </w:p>
        </w:tc>
        <w:tc>
          <w:tcPr>
            <w:tcW w:w="6861" w:type="dxa"/>
            <w:noWrap w:val="0"/>
            <w:vAlign w:val="top"/>
          </w:tcPr>
          <w:p w14:paraId="19FF0219">
            <w:pPr>
              <w:rPr>
                <w:rFonts w:ascii="Times New Roman" w:hAnsi="Times New Roman"/>
                <w:szCs w:val="24"/>
              </w:rPr>
            </w:pPr>
          </w:p>
        </w:tc>
      </w:tr>
      <w:tr w14:paraId="39B8E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82" w:type="dxa"/>
            <w:noWrap w:val="0"/>
            <w:vAlign w:val="center"/>
          </w:tcPr>
          <w:p w14:paraId="3C5173B0">
            <w:pPr>
              <w:jc w:val="center"/>
              <w:rPr>
                <w:rFonts w:ascii="Times New Roman" w:hAnsi="Times New Roman"/>
                <w:szCs w:val="24"/>
              </w:rPr>
            </w:pPr>
            <w:r>
              <w:rPr>
                <w:rFonts w:hint="eastAsia" w:ascii="Times New Roman" w:hAnsi="Times New Roman"/>
                <w:szCs w:val="24"/>
              </w:rPr>
              <w:t>计划完工日期</w:t>
            </w:r>
          </w:p>
        </w:tc>
        <w:tc>
          <w:tcPr>
            <w:tcW w:w="6861" w:type="dxa"/>
            <w:noWrap w:val="0"/>
            <w:vAlign w:val="top"/>
          </w:tcPr>
          <w:p w14:paraId="11B82DB9">
            <w:pPr>
              <w:rPr>
                <w:rFonts w:ascii="Times New Roman" w:hAnsi="Times New Roman"/>
                <w:szCs w:val="24"/>
              </w:rPr>
            </w:pPr>
          </w:p>
        </w:tc>
      </w:tr>
      <w:tr w14:paraId="08D50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82" w:type="dxa"/>
            <w:noWrap w:val="0"/>
            <w:vAlign w:val="center"/>
          </w:tcPr>
          <w:p w14:paraId="6A702D5E">
            <w:pPr>
              <w:jc w:val="center"/>
              <w:rPr>
                <w:rFonts w:ascii="Times New Roman" w:hAnsi="Times New Roman"/>
                <w:szCs w:val="24"/>
              </w:rPr>
            </w:pPr>
            <w:r>
              <w:rPr>
                <w:rFonts w:hint="eastAsia" w:ascii="Times New Roman" w:hAnsi="Times New Roman"/>
                <w:szCs w:val="24"/>
              </w:rPr>
              <w:t>承担的工作</w:t>
            </w:r>
          </w:p>
        </w:tc>
        <w:tc>
          <w:tcPr>
            <w:tcW w:w="6861" w:type="dxa"/>
            <w:noWrap w:val="0"/>
            <w:vAlign w:val="top"/>
          </w:tcPr>
          <w:p w14:paraId="50AC00F4">
            <w:pPr>
              <w:rPr>
                <w:rFonts w:ascii="Times New Roman" w:hAnsi="Times New Roman"/>
                <w:szCs w:val="24"/>
              </w:rPr>
            </w:pPr>
          </w:p>
        </w:tc>
      </w:tr>
      <w:tr w14:paraId="7C5EA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82" w:type="dxa"/>
            <w:noWrap w:val="0"/>
            <w:vAlign w:val="center"/>
          </w:tcPr>
          <w:p w14:paraId="4F361713">
            <w:pPr>
              <w:jc w:val="center"/>
              <w:rPr>
                <w:rFonts w:ascii="Times New Roman" w:hAnsi="Times New Roman"/>
                <w:szCs w:val="24"/>
              </w:rPr>
            </w:pPr>
            <w:r>
              <w:rPr>
                <w:rFonts w:hint="eastAsia" w:ascii="Times New Roman" w:hAnsi="Times New Roman"/>
                <w:szCs w:val="24"/>
              </w:rPr>
              <w:t>工程质量</w:t>
            </w:r>
          </w:p>
        </w:tc>
        <w:tc>
          <w:tcPr>
            <w:tcW w:w="6861" w:type="dxa"/>
            <w:noWrap w:val="0"/>
            <w:vAlign w:val="top"/>
          </w:tcPr>
          <w:p w14:paraId="0F1477C1">
            <w:pPr>
              <w:rPr>
                <w:rFonts w:ascii="Times New Roman" w:hAnsi="Times New Roman"/>
                <w:szCs w:val="24"/>
              </w:rPr>
            </w:pPr>
          </w:p>
        </w:tc>
      </w:tr>
      <w:tr w14:paraId="69426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82" w:type="dxa"/>
            <w:noWrap w:val="0"/>
            <w:vAlign w:val="center"/>
          </w:tcPr>
          <w:p w14:paraId="4F44A1C3">
            <w:pPr>
              <w:jc w:val="center"/>
              <w:rPr>
                <w:rFonts w:ascii="Times New Roman" w:hAnsi="Times New Roman"/>
                <w:szCs w:val="24"/>
              </w:rPr>
            </w:pPr>
            <w:r>
              <w:rPr>
                <w:rFonts w:hint="eastAsia" w:ascii="Times New Roman" w:hAnsi="Times New Roman"/>
                <w:szCs w:val="24"/>
              </w:rPr>
              <w:t>项目经理</w:t>
            </w:r>
          </w:p>
        </w:tc>
        <w:tc>
          <w:tcPr>
            <w:tcW w:w="6861" w:type="dxa"/>
            <w:noWrap w:val="0"/>
            <w:vAlign w:val="top"/>
          </w:tcPr>
          <w:p w14:paraId="12221B8F">
            <w:pPr>
              <w:rPr>
                <w:rFonts w:ascii="Times New Roman" w:hAnsi="Times New Roman"/>
                <w:szCs w:val="24"/>
              </w:rPr>
            </w:pPr>
          </w:p>
        </w:tc>
      </w:tr>
      <w:tr w14:paraId="02A7E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82" w:type="dxa"/>
            <w:noWrap w:val="0"/>
            <w:vAlign w:val="center"/>
          </w:tcPr>
          <w:p w14:paraId="2714E767">
            <w:pPr>
              <w:jc w:val="center"/>
              <w:rPr>
                <w:rFonts w:ascii="Times New Roman" w:hAnsi="Times New Roman"/>
                <w:szCs w:val="24"/>
              </w:rPr>
            </w:pPr>
            <w:r>
              <w:rPr>
                <w:rFonts w:hint="eastAsia" w:ascii="Times New Roman" w:hAnsi="Times New Roman"/>
                <w:szCs w:val="24"/>
              </w:rPr>
              <w:t>技术负责人</w:t>
            </w:r>
          </w:p>
        </w:tc>
        <w:tc>
          <w:tcPr>
            <w:tcW w:w="6861" w:type="dxa"/>
            <w:noWrap w:val="0"/>
            <w:vAlign w:val="top"/>
          </w:tcPr>
          <w:p w14:paraId="70EAF4CB">
            <w:pPr>
              <w:rPr>
                <w:rFonts w:ascii="Times New Roman" w:hAnsi="Times New Roman"/>
                <w:szCs w:val="24"/>
              </w:rPr>
            </w:pPr>
          </w:p>
        </w:tc>
      </w:tr>
      <w:tr w14:paraId="3170F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82" w:type="dxa"/>
            <w:noWrap w:val="0"/>
            <w:vAlign w:val="center"/>
          </w:tcPr>
          <w:p w14:paraId="610FFDC4">
            <w:pPr>
              <w:jc w:val="center"/>
              <w:rPr>
                <w:rFonts w:ascii="Times New Roman" w:hAnsi="Times New Roman"/>
                <w:szCs w:val="24"/>
              </w:rPr>
            </w:pPr>
            <w:r>
              <w:rPr>
                <w:rFonts w:hint="eastAsia" w:ascii="Times New Roman" w:hAnsi="Times New Roman"/>
                <w:szCs w:val="24"/>
              </w:rPr>
              <w:t>监理人和总监理工程师以及电话</w:t>
            </w:r>
          </w:p>
        </w:tc>
        <w:tc>
          <w:tcPr>
            <w:tcW w:w="6861" w:type="dxa"/>
            <w:noWrap w:val="0"/>
            <w:vAlign w:val="top"/>
          </w:tcPr>
          <w:p w14:paraId="5B57B6F6">
            <w:pPr>
              <w:rPr>
                <w:rFonts w:ascii="Times New Roman" w:hAnsi="Times New Roman"/>
                <w:szCs w:val="24"/>
              </w:rPr>
            </w:pPr>
          </w:p>
        </w:tc>
      </w:tr>
      <w:tr w14:paraId="22A9C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82" w:type="dxa"/>
            <w:noWrap w:val="0"/>
            <w:vAlign w:val="center"/>
          </w:tcPr>
          <w:p w14:paraId="5C7D1901">
            <w:pPr>
              <w:jc w:val="center"/>
              <w:rPr>
                <w:rFonts w:ascii="Times New Roman" w:hAnsi="Times New Roman"/>
                <w:szCs w:val="24"/>
              </w:rPr>
            </w:pPr>
            <w:r>
              <w:rPr>
                <w:rFonts w:hint="eastAsia" w:ascii="Times New Roman" w:hAnsi="Times New Roman"/>
                <w:szCs w:val="24"/>
              </w:rPr>
              <w:t>项目描述</w:t>
            </w:r>
          </w:p>
        </w:tc>
        <w:tc>
          <w:tcPr>
            <w:tcW w:w="6861" w:type="dxa"/>
            <w:noWrap w:val="0"/>
            <w:vAlign w:val="top"/>
          </w:tcPr>
          <w:p w14:paraId="7697E949">
            <w:pPr>
              <w:rPr>
                <w:rFonts w:ascii="Times New Roman" w:hAnsi="Times New Roman"/>
                <w:szCs w:val="24"/>
              </w:rPr>
            </w:pPr>
          </w:p>
        </w:tc>
      </w:tr>
      <w:tr w14:paraId="541AC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82" w:type="dxa"/>
            <w:noWrap w:val="0"/>
            <w:vAlign w:val="center"/>
          </w:tcPr>
          <w:p w14:paraId="7556B3F5">
            <w:pPr>
              <w:jc w:val="center"/>
              <w:rPr>
                <w:rFonts w:ascii="Times New Roman" w:hAnsi="Times New Roman"/>
                <w:szCs w:val="24"/>
              </w:rPr>
            </w:pPr>
            <w:r>
              <w:rPr>
                <w:rFonts w:hint="eastAsia" w:ascii="Times New Roman" w:hAnsi="Times New Roman"/>
                <w:szCs w:val="24"/>
              </w:rPr>
              <w:t>备注</w:t>
            </w:r>
          </w:p>
        </w:tc>
        <w:tc>
          <w:tcPr>
            <w:tcW w:w="6861" w:type="dxa"/>
            <w:noWrap w:val="0"/>
            <w:vAlign w:val="top"/>
          </w:tcPr>
          <w:p w14:paraId="732F48CD">
            <w:pPr>
              <w:rPr>
                <w:rFonts w:ascii="Times New Roman" w:hAnsi="Times New Roman"/>
                <w:szCs w:val="24"/>
              </w:rPr>
            </w:pPr>
            <w:r>
              <w:rPr>
                <w:rFonts w:hint="eastAsia" w:ascii="Times New Roman" w:hAnsi="Times New Roman"/>
                <w:szCs w:val="24"/>
              </w:rPr>
              <w:t>　　合同所属项目描述内容至少包括项目概况、本合同在项目中的地位(部位、合同价格所占比例)</w:t>
            </w:r>
          </w:p>
        </w:tc>
      </w:tr>
    </w:tbl>
    <w:p w14:paraId="4590BF4E">
      <w:pPr>
        <w:rPr>
          <w:rFonts w:ascii="Times New Roman" w:hAnsi="Times New Roman"/>
          <w:szCs w:val="24"/>
        </w:rPr>
      </w:pPr>
      <w:r>
        <w:rPr>
          <w:rFonts w:hint="eastAsia" w:ascii="Times New Roman" w:hAnsi="Times New Roman"/>
          <w:szCs w:val="24"/>
        </w:rPr>
        <w:t>　　注　相关材料复印件在“十、原件的复印件”中提供。</w:t>
      </w:r>
    </w:p>
    <w:p w14:paraId="5BF4E98C">
      <w:pPr>
        <w:widowControl/>
        <w:jc w:val="left"/>
        <w:outlineLvl w:val="2"/>
        <w:rPr>
          <w:rFonts w:ascii="黑体" w:hAnsi="黑体" w:eastAsia="黑体" w:cs="黑体"/>
          <w:b/>
          <w:kern w:val="0"/>
          <w:sz w:val="28"/>
          <w:szCs w:val="24"/>
          <w:lang w:eastAsia="en-US"/>
        </w:rPr>
      </w:pPr>
      <w:r>
        <w:rPr>
          <w:rFonts w:ascii="Times New Roman" w:hAnsi="Times New Roman" w:eastAsia="Times New Roman"/>
          <w:kern w:val="0"/>
          <w:sz w:val="24"/>
          <w:szCs w:val="24"/>
          <w:lang w:eastAsia="en-US"/>
        </w:rPr>
        <w:br w:type="page"/>
      </w:r>
      <w:bookmarkStart w:id="443" w:name="_Toc256000180"/>
      <w:r>
        <w:rPr>
          <w:rFonts w:ascii="黑体" w:hAnsi="黑体" w:eastAsia="黑体" w:cs="黑体"/>
          <w:b/>
          <w:kern w:val="0"/>
          <w:sz w:val="28"/>
          <w:szCs w:val="24"/>
          <w:lang w:eastAsia="en-US"/>
        </w:rPr>
        <w:t>(五)近3年发生的诉讼和仲裁情况</w:t>
      </w:r>
      <w:bookmarkEnd w:id="443"/>
    </w:p>
    <w:p w14:paraId="6B55AAD4">
      <w:pPr>
        <w:rPr>
          <w:rFonts w:ascii="宋体" w:hAnsi="宋体"/>
          <w:sz w:val="28"/>
          <w:szCs w:val="28"/>
        </w:rPr>
      </w:pPr>
      <w:r>
        <w:rPr>
          <w:rFonts w:hint="eastAsia" w:ascii="宋体" w:hAnsi="宋体"/>
          <w:sz w:val="28"/>
          <w:szCs w:val="28"/>
        </w:rPr>
        <w:t>近3年发生的诉讼及仲裁情况表</w:t>
      </w:r>
    </w:p>
    <w:p w14:paraId="62D36656">
      <w:pPr>
        <w:jc w:val="center"/>
        <w:rPr>
          <w:rFonts w:ascii="Times New Roman" w:hAnsi="Times New Roman"/>
          <w:szCs w:val="24"/>
        </w:rPr>
      </w:pPr>
      <w:r>
        <w:rPr>
          <w:rFonts w:hint="eastAsia" w:ascii="Times New Roman" w:hAnsi="Times New Roman"/>
          <w:szCs w:val="24"/>
        </w:rPr>
        <w:t>(近3年指　　　　年　　月至　　　　年　　月)</w:t>
      </w:r>
    </w:p>
    <w:tbl>
      <w:tblPr>
        <w:tblStyle w:val="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220"/>
        <w:gridCol w:w="2599"/>
        <w:gridCol w:w="1314"/>
        <w:gridCol w:w="1314"/>
        <w:gridCol w:w="1020"/>
      </w:tblGrid>
      <w:tr w14:paraId="55E92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0"/>
            <w:vAlign w:val="center"/>
          </w:tcPr>
          <w:p w14:paraId="033B3B9F">
            <w:pPr>
              <w:jc w:val="center"/>
              <w:rPr>
                <w:rFonts w:ascii="Times New Roman" w:hAnsi="Times New Roman"/>
                <w:szCs w:val="24"/>
              </w:rPr>
            </w:pPr>
            <w:r>
              <w:rPr>
                <w:rFonts w:hint="eastAsia" w:ascii="Times New Roman" w:hAnsi="Times New Roman"/>
                <w:szCs w:val="24"/>
              </w:rPr>
              <w:t>序号</w:t>
            </w:r>
          </w:p>
        </w:tc>
        <w:tc>
          <w:tcPr>
            <w:tcW w:w="2220" w:type="dxa"/>
            <w:noWrap w:val="0"/>
            <w:vAlign w:val="center"/>
          </w:tcPr>
          <w:p w14:paraId="248318CF">
            <w:pPr>
              <w:jc w:val="center"/>
              <w:rPr>
                <w:rFonts w:ascii="Times New Roman" w:hAnsi="Times New Roman"/>
                <w:szCs w:val="24"/>
              </w:rPr>
            </w:pPr>
            <w:r>
              <w:rPr>
                <w:rFonts w:hint="eastAsia" w:ascii="Times New Roman" w:hAnsi="Times New Roman"/>
                <w:szCs w:val="24"/>
              </w:rPr>
              <w:t>诉讼或仲裁事项</w:t>
            </w:r>
          </w:p>
        </w:tc>
        <w:tc>
          <w:tcPr>
            <w:tcW w:w="2599" w:type="dxa"/>
            <w:noWrap w:val="0"/>
            <w:vAlign w:val="center"/>
          </w:tcPr>
          <w:p w14:paraId="68F57644">
            <w:pPr>
              <w:jc w:val="center"/>
              <w:rPr>
                <w:rFonts w:ascii="Times New Roman" w:hAnsi="Times New Roman"/>
                <w:szCs w:val="24"/>
              </w:rPr>
            </w:pPr>
            <w:r>
              <w:rPr>
                <w:rFonts w:hint="eastAsia" w:ascii="Times New Roman" w:hAnsi="Times New Roman"/>
                <w:szCs w:val="24"/>
              </w:rPr>
              <w:t>诉讼或仲裁中的地位</w:t>
            </w:r>
          </w:p>
        </w:tc>
        <w:tc>
          <w:tcPr>
            <w:tcW w:w="1314" w:type="dxa"/>
            <w:noWrap w:val="0"/>
            <w:vAlign w:val="center"/>
          </w:tcPr>
          <w:p w14:paraId="188B2353">
            <w:pPr>
              <w:jc w:val="center"/>
              <w:rPr>
                <w:rFonts w:ascii="Times New Roman" w:hAnsi="Times New Roman"/>
                <w:szCs w:val="24"/>
              </w:rPr>
            </w:pPr>
            <w:r>
              <w:rPr>
                <w:rFonts w:hint="eastAsia" w:ascii="Times New Roman" w:hAnsi="Times New Roman"/>
                <w:szCs w:val="24"/>
              </w:rPr>
              <w:t>缘由</w:t>
            </w:r>
          </w:p>
        </w:tc>
        <w:tc>
          <w:tcPr>
            <w:tcW w:w="1314" w:type="dxa"/>
            <w:noWrap w:val="0"/>
            <w:vAlign w:val="center"/>
          </w:tcPr>
          <w:p w14:paraId="44A4224E">
            <w:pPr>
              <w:jc w:val="center"/>
              <w:rPr>
                <w:rFonts w:ascii="Times New Roman" w:hAnsi="Times New Roman"/>
                <w:szCs w:val="24"/>
              </w:rPr>
            </w:pPr>
            <w:r>
              <w:rPr>
                <w:rFonts w:hint="eastAsia" w:ascii="Times New Roman" w:hAnsi="Times New Roman"/>
                <w:szCs w:val="24"/>
              </w:rPr>
              <w:t>结果</w:t>
            </w:r>
          </w:p>
        </w:tc>
        <w:tc>
          <w:tcPr>
            <w:tcW w:w="1020" w:type="dxa"/>
            <w:noWrap w:val="0"/>
            <w:vAlign w:val="center"/>
          </w:tcPr>
          <w:p w14:paraId="3CE2C8A1">
            <w:pPr>
              <w:jc w:val="center"/>
              <w:rPr>
                <w:rFonts w:ascii="Times New Roman" w:hAnsi="Times New Roman"/>
                <w:szCs w:val="24"/>
              </w:rPr>
            </w:pPr>
            <w:r>
              <w:rPr>
                <w:rFonts w:hint="eastAsia" w:ascii="Times New Roman" w:hAnsi="Times New Roman"/>
                <w:szCs w:val="24"/>
              </w:rPr>
              <w:t>备注</w:t>
            </w:r>
          </w:p>
        </w:tc>
      </w:tr>
      <w:tr w14:paraId="5EE4E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6" w:type="dxa"/>
            <w:noWrap w:val="0"/>
            <w:vAlign w:val="center"/>
          </w:tcPr>
          <w:p w14:paraId="0AAF4DCE">
            <w:pPr>
              <w:jc w:val="center"/>
              <w:rPr>
                <w:rFonts w:ascii="Times New Roman" w:hAnsi="Times New Roman"/>
                <w:szCs w:val="24"/>
              </w:rPr>
            </w:pPr>
            <w:r>
              <w:rPr>
                <w:rFonts w:hint="eastAsia" w:ascii="Times New Roman" w:hAnsi="Times New Roman"/>
                <w:szCs w:val="24"/>
              </w:rPr>
              <w:t>一</w:t>
            </w:r>
          </w:p>
        </w:tc>
        <w:tc>
          <w:tcPr>
            <w:tcW w:w="2220" w:type="dxa"/>
            <w:noWrap w:val="0"/>
            <w:vAlign w:val="center"/>
          </w:tcPr>
          <w:p w14:paraId="6E7DFF83">
            <w:pPr>
              <w:jc w:val="center"/>
              <w:rPr>
                <w:rFonts w:ascii="Times New Roman" w:hAnsi="Times New Roman"/>
                <w:szCs w:val="24"/>
              </w:rPr>
            </w:pPr>
            <w:r>
              <w:rPr>
                <w:rFonts w:hint="eastAsia" w:ascii="Times New Roman" w:hAnsi="Times New Roman"/>
                <w:szCs w:val="24"/>
              </w:rPr>
              <w:t>诉讼事项</w:t>
            </w:r>
          </w:p>
        </w:tc>
        <w:tc>
          <w:tcPr>
            <w:tcW w:w="2599" w:type="dxa"/>
            <w:noWrap w:val="0"/>
            <w:vAlign w:val="center"/>
          </w:tcPr>
          <w:p w14:paraId="4F11D924">
            <w:pPr>
              <w:jc w:val="center"/>
              <w:rPr>
                <w:rFonts w:ascii="Times New Roman" w:hAnsi="Times New Roman"/>
                <w:szCs w:val="24"/>
              </w:rPr>
            </w:pPr>
          </w:p>
        </w:tc>
        <w:tc>
          <w:tcPr>
            <w:tcW w:w="1314" w:type="dxa"/>
            <w:noWrap w:val="0"/>
            <w:vAlign w:val="center"/>
          </w:tcPr>
          <w:p w14:paraId="2129D4E8">
            <w:pPr>
              <w:jc w:val="center"/>
              <w:rPr>
                <w:rFonts w:ascii="Times New Roman" w:hAnsi="Times New Roman"/>
                <w:szCs w:val="24"/>
              </w:rPr>
            </w:pPr>
          </w:p>
        </w:tc>
        <w:tc>
          <w:tcPr>
            <w:tcW w:w="1314" w:type="dxa"/>
            <w:noWrap w:val="0"/>
            <w:vAlign w:val="center"/>
          </w:tcPr>
          <w:p w14:paraId="09508B68">
            <w:pPr>
              <w:jc w:val="center"/>
              <w:rPr>
                <w:rFonts w:ascii="Times New Roman" w:hAnsi="Times New Roman"/>
                <w:szCs w:val="24"/>
              </w:rPr>
            </w:pPr>
          </w:p>
        </w:tc>
        <w:tc>
          <w:tcPr>
            <w:tcW w:w="1020" w:type="dxa"/>
            <w:noWrap w:val="0"/>
            <w:vAlign w:val="center"/>
          </w:tcPr>
          <w:p w14:paraId="1D5D1868">
            <w:pPr>
              <w:jc w:val="center"/>
              <w:rPr>
                <w:rFonts w:ascii="Times New Roman" w:hAnsi="Times New Roman"/>
                <w:szCs w:val="24"/>
              </w:rPr>
            </w:pPr>
          </w:p>
        </w:tc>
      </w:tr>
      <w:tr w14:paraId="36CB4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6" w:type="dxa"/>
            <w:noWrap w:val="0"/>
            <w:vAlign w:val="center"/>
          </w:tcPr>
          <w:p w14:paraId="5581D08B">
            <w:pPr>
              <w:jc w:val="center"/>
              <w:rPr>
                <w:rFonts w:ascii="Times New Roman" w:hAnsi="Times New Roman"/>
                <w:szCs w:val="24"/>
              </w:rPr>
            </w:pPr>
          </w:p>
        </w:tc>
        <w:tc>
          <w:tcPr>
            <w:tcW w:w="2220" w:type="dxa"/>
            <w:noWrap w:val="0"/>
            <w:vAlign w:val="center"/>
          </w:tcPr>
          <w:p w14:paraId="10026C58">
            <w:pPr>
              <w:jc w:val="center"/>
              <w:rPr>
                <w:rFonts w:ascii="Times New Roman" w:hAnsi="Times New Roman"/>
                <w:szCs w:val="24"/>
              </w:rPr>
            </w:pPr>
          </w:p>
        </w:tc>
        <w:tc>
          <w:tcPr>
            <w:tcW w:w="2599" w:type="dxa"/>
            <w:noWrap w:val="0"/>
            <w:vAlign w:val="center"/>
          </w:tcPr>
          <w:p w14:paraId="6D74566E">
            <w:pPr>
              <w:jc w:val="center"/>
              <w:rPr>
                <w:rFonts w:ascii="Times New Roman" w:hAnsi="Times New Roman"/>
                <w:szCs w:val="24"/>
              </w:rPr>
            </w:pPr>
          </w:p>
        </w:tc>
        <w:tc>
          <w:tcPr>
            <w:tcW w:w="1314" w:type="dxa"/>
            <w:noWrap w:val="0"/>
            <w:vAlign w:val="center"/>
          </w:tcPr>
          <w:p w14:paraId="64EA493A">
            <w:pPr>
              <w:jc w:val="center"/>
              <w:rPr>
                <w:rFonts w:ascii="Times New Roman" w:hAnsi="Times New Roman"/>
                <w:szCs w:val="24"/>
              </w:rPr>
            </w:pPr>
          </w:p>
        </w:tc>
        <w:tc>
          <w:tcPr>
            <w:tcW w:w="1314" w:type="dxa"/>
            <w:noWrap w:val="0"/>
            <w:vAlign w:val="center"/>
          </w:tcPr>
          <w:p w14:paraId="3E369BF9">
            <w:pPr>
              <w:jc w:val="center"/>
              <w:rPr>
                <w:rFonts w:ascii="Times New Roman" w:hAnsi="Times New Roman"/>
                <w:szCs w:val="24"/>
              </w:rPr>
            </w:pPr>
          </w:p>
        </w:tc>
        <w:tc>
          <w:tcPr>
            <w:tcW w:w="1020" w:type="dxa"/>
            <w:noWrap w:val="0"/>
            <w:vAlign w:val="center"/>
          </w:tcPr>
          <w:p w14:paraId="706FA5C9">
            <w:pPr>
              <w:jc w:val="center"/>
              <w:rPr>
                <w:rFonts w:ascii="Times New Roman" w:hAnsi="Times New Roman"/>
                <w:szCs w:val="24"/>
              </w:rPr>
            </w:pPr>
          </w:p>
        </w:tc>
      </w:tr>
      <w:tr w14:paraId="229F6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6" w:type="dxa"/>
            <w:noWrap w:val="0"/>
            <w:vAlign w:val="center"/>
          </w:tcPr>
          <w:p w14:paraId="286B5F82">
            <w:pPr>
              <w:jc w:val="center"/>
              <w:rPr>
                <w:rFonts w:ascii="Times New Roman" w:hAnsi="Times New Roman"/>
                <w:szCs w:val="24"/>
              </w:rPr>
            </w:pPr>
            <w:r>
              <w:rPr>
                <w:rFonts w:hint="eastAsia" w:ascii="Times New Roman" w:hAnsi="Times New Roman"/>
                <w:szCs w:val="24"/>
              </w:rPr>
              <w:t>二</w:t>
            </w:r>
          </w:p>
        </w:tc>
        <w:tc>
          <w:tcPr>
            <w:tcW w:w="2220" w:type="dxa"/>
            <w:noWrap w:val="0"/>
            <w:vAlign w:val="center"/>
          </w:tcPr>
          <w:p w14:paraId="56201A18">
            <w:pPr>
              <w:jc w:val="center"/>
              <w:rPr>
                <w:rFonts w:ascii="Times New Roman" w:hAnsi="Times New Roman"/>
                <w:szCs w:val="24"/>
              </w:rPr>
            </w:pPr>
            <w:r>
              <w:rPr>
                <w:rFonts w:hint="eastAsia" w:ascii="Times New Roman" w:hAnsi="Times New Roman"/>
                <w:szCs w:val="24"/>
              </w:rPr>
              <w:t>仲裁事项</w:t>
            </w:r>
          </w:p>
        </w:tc>
        <w:tc>
          <w:tcPr>
            <w:tcW w:w="2599" w:type="dxa"/>
            <w:noWrap w:val="0"/>
            <w:vAlign w:val="center"/>
          </w:tcPr>
          <w:p w14:paraId="4E87D76B">
            <w:pPr>
              <w:jc w:val="center"/>
              <w:rPr>
                <w:rFonts w:ascii="Times New Roman" w:hAnsi="Times New Roman"/>
                <w:szCs w:val="24"/>
              </w:rPr>
            </w:pPr>
          </w:p>
        </w:tc>
        <w:tc>
          <w:tcPr>
            <w:tcW w:w="1314" w:type="dxa"/>
            <w:noWrap w:val="0"/>
            <w:vAlign w:val="center"/>
          </w:tcPr>
          <w:p w14:paraId="2AE606A2">
            <w:pPr>
              <w:jc w:val="center"/>
              <w:rPr>
                <w:rFonts w:ascii="Times New Roman" w:hAnsi="Times New Roman"/>
                <w:szCs w:val="24"/>
              </w:rPr>
            </w:pPr>
          </w:p>
        </w:tc>
        <w:tc>
          <w:tcPr>
            <w:tcW w:w="1314" w:type="dxa"/>
            <w:noWrap w:val="0"/>
            <w:vAlign w:val="center"/>
          </w:tcPr>
          <w:p w14:paraId="43C51E90">
            <w:pPr>
              <w:jc w:val="center"/>
              <w:rPr>
                <w:rFonts w:ascii="Times New Roman" w:hAnsi="Times New Roman"/>
                <w:szCs w:val="24"/>
              </w:rPr>
            </w:pPr>
          </w:p>
        </w:tc>
        <w:tc>
          <w:tcPr>
            <w:tcW w:w="1020" w:type="dxa"/>
            <w:noWrap w:val="0"/>
            <w:vAlign w:val="center"/>
          </w:tcPr>
          <w:p w14:paraId="425D0F4F">
            <w:pPr>
              <w:jc w:val="center"/>
              <w:rPr>
                <w:rFonts w:ascii="Times New Roman" w:hAnsi="Times New Roman"/>
                <w:szCs w:val="24"/>
              </w:rPr>
            </w:pPr>
          </w:p>
        </w:tc>
      </w:tr>
      <w:tr w14:paraId="24E0D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6" w:type="dxa"/>
            <w:noWrap w:val="0"/>
            <w:vAlign w:val="center"/>
          </w:tcPr>
          <w:p w14:paraId="7432A298">
            <w:pPr>
              <w:jc w:val="center"/>
              <w:rPr>
                <w:rFonts w:ascii="Times New Roman" w:hAnsi="Times New Roman"/>
                <w:szCs w:val="24"/>
              </w:rPr>
            </w:pPr>
          </w:p>
        </w:tc>
        <w:tc>
          <w:tcPr>
            <w:tcW w:w="2220" w:type="dxa"/>
            <w:noWrap w:val="0"/>
            <w:vAlign w:val="center"/>
          </w:tcPr>
          <w:p w14:paraId="3A34B849">
            <w:pPr>
              <w:jc w:val="center"/>
              <w:rPr>
                <w:rFonts w:ascii="Times New Roman" w:hAnsi="Times New Roman"/>
                <w:szCs w:val="24"/>
              </w:rPr>
            </w:pPr>
          </w:p>
        </w:tc>
        <w:tc>
          <w:tcPr>
            <w:tcW w:w="2599" w:type="dxa"/>
            <w:noWrap w:val="0"/>
            <w:vAlign w:val="center"/>
          </w:tcPr>
          <w:p w14:paraId="54CE0555">
            <w:pPr>
              <w:jc w:val="center"/>
              <w:rPr>
                <w:rFonts w:ascii="Times New Roman" w:hAnsi="Times New Roman"/>
                <w:szCs w:val="24"/>
              </w:rPr>
            </w:pPr>
          </w:p>
        </w:tc>
        <w:tc>
          <w:tcPr>
            <w:tcW w:w="1314" w:type="dxa"/>
            <w:noWrap w:val="0"/>
            <w:vAlign w:val="center"/>
          </w:tcPr>
          <w:p w14:paraId="2028CDA5">
            <w:pPr>
              <w:jc w:val="center"/>
              <w:rPr>
                <w:rFonts w:ascii="Times New Roman" w:hAnsi="Times New Roman"/>
                <w:szCs w:val="24"/>
              </w:rPr>
            </w:pPr>
          </w:p>
        </w:tc>
        <w:tc>
          <w:tcPr>
            <w:tcW w:w="1314" w:type="dxa"/>
            <w:noWrap w:val="0"/>
            <w:vAlign w:val="center"/>
          </w:tcPr>
          <w:p w14:paraId="370487F2">
            <w:pPr>
              <w:jc w:val="center"/>
              <w:rPr>
                <w:rFonts w:ascii="Times New Roman" w:hAnsi="Times New Roman"/>
                <w:szCs w:val="24"/>
              </w:rPr>
            </w:pPr>
          </w:p>
        </w:tc>
        <w:tc>
          <w:tcPr>
            <w:tcW w:w="1020" w:type="dxa"/>
            <w:noWrap w:val="0"/>
            <w:vAlign w:val="center"/>
          </w:tcPr>
          <w:p w14:paraId="44BE08F9">
            <w:pPr>
              <w:jc w:val="center"/>
              <w:rPr>
                <w:rFonts w:ascii="Times New Roman" w:hAnsi="Times New Roman"/>
                <w:szCs w:val="24"/>
              </w:rPr>
            </w:pPr>
          </w:p>
        </w:tc>
      </w:tr>
    </w:tbl>
    <w:p w14:paraId="02FAED89">
      <w:pPr>
        <w:rPr>
          <w:rFonts w:ascii="Times New Roman" w:hAnsi="Times New Roman"/>
          <w:szCs w:val="24"/>
        </w:rPr>
      </w:pPr>
      <w:r>
        <w:rPr>
          <w:rFonts w:hint="eastAsia" w:ascii="Times New Roman" w:hAnsi="Times New Roman"/>
          <w:szCs w:val="24"/>
        </w:rPr>
        <w:t>　　注　相关材料复印件在“十、原件的复印件”中提供。</w:t>
      </w:r>
    </w:p>
    <w:p w14:paraId="2915AB76">
      <w:pPr>
        <w:rPr>
          <w:rFonts w:ascii="Times New Roman" w:hAnsi="Times New Roman"/>
          <w:szCs w:val="24"/>
        </w:rPr>
      </w:pPr>
    </w:p>
    <w:p w14:paraId="037354D4">
      <w:pPr>
        <w:rPr>
          <w:rFonts w:ascii="Times New Roman" w:hAnsi="Times New Roman"/>
          <w:b/>
          <w:szCs w:val="24"/>
        </w:rPr>
      </w:pPr>
      <w:r>
        <w:rPr>
          <w:rFonts w:hint="eastAsia" w:ascii="Times New Roman" w:hAnsi="Times New Roman"/>
          <w:b/>
          <w:szCs w:val="24"/>
        </w:rPr>
        <w:t>　　</w:t>
      </w:r>
    </w:p>
    <w:p w14:paraId="3AE43AEE">
      <w:pPr>
        <w:rPr>
          <w:rFonts w:ascii="Times New Roman" w:hAnsi="Times New Roman"/>
          <w:b/>
          <w:szCs w:val="24"/>
        </w:rPr>
      </w:pPr>
    </w:p>
    <w:p w14:paraId="1B63257B">
      <w:pPr>
        <w:widowControl/>
        <w:jc w:val="left"/>
        <w:outlineLvl w:val="1"/>
        <w:rPr>
          <w:rFonts w:ascii="黑体" w:hAnsi="黑体" w:eastAsia="黑体" w:cs="黑体"/>
          <w:b/>
          <w:kern w:val="0"/>
          <w:sz w:val="32"/>
          <w:szCs w:val="24"/>
          <w:lang w:eastAsia="en-US"/>
        </w:rPr>
      </w:pPr>
      <w:r>
        <w:rPr>
          <w:rFonts w:ascii="Times New Roman" w:hAnsi="Times New Roman" w:eastAsia="Times New Roman"/>
          <w:kern w:val="0"/>
          <w:sz w:val="24"/>
          <w:szCs w:val="24"/>
          <w:lang w:eastAsia="en-US"/>
        </w:rPr>
        <w:br w:type="page"/>
      </w:r>
      <w:bookmarkStart w:id="444" w:name="_Toc256000182"/>
      <w:r>
        <w:rPr>
          <w:rFonts w:ascii="黑体" w:hAnsi="黑体" w:eastAsia="黑体" w:cs="黑体"/>
          <w:b/>
          <w:kern w:val="0"/>
          <w:sz w:val="32"/>
          <w:szCs w:val="24"/>
          <w:lang w:eastAsia="en-US"/>
        </w:rPr>
        <w:t>十</w:t>
      </w:r>
      <w:r>
        <w:rPr>
          <w:rFonts w:hint="eastAsia" w:ascii="黑体" w:hAnsi="黑体" w:eastAsia="黑体" w:cs="黑体"/>
          <w:b/>
          <w:kern w:val="0"/>
          <w:sz w:val="32"/>
          <w:szCs w:val="24"/>
          <w:lang w:val="en-US" w:eastAsia="zh-CN"/>
        </w:rPr>
        <w:t>三</w:t>
      </w:r>
      <w:r>
        <w:rPr>
          <w:rFonts w:ascii="黑体" w:hAnsi="黑体" w:eastAsia="黑体" w:cs="黑体"/>
          <w:b/>
          <w:kern w:val="0"/>
          <w:sz w:val="32"/>
          <w:szCs w:val="24"/>
          <w:lang w:eastAsia="en-US"/>
        </w:rPr>
        <w:t>、资格审查自审表</w:t>
      </w:r>
      <w:bookmarkEnd w:id="444"/>
    </w:p>
    <w:p w14:paraId="5348F283">
      <w:pPr>
        <w:widowControl/>
        <w:jc w:val="left"/>
        <w:outlineLvl w:val="1"/>
        <w:rPr>
          <w:rFonts w:ascii="黑体" w:hAnsi="黑体" w:eastAsia="黑体" w:cs="黑体"/>
          <w:b/>
          <w:kern w:val="0"/>
          <w:sz w:val="32"/>
          <w:szCs w:val="24"/>
          <w:lang w:eastAsia="en-US"/>
        </w:rPr>
      </w:pPr>
      <w:r>
        <w:rPr>
          <w:rFonts w:ascii="Times New Roman" w:hAnsi="Times New Roman" w:eastAsia="Times New Roman"/>
          <w:kern w:val="0"/>
          <w:sz w:val="24"/>
          <w:szCs w:val="24"/>
          <w:lang w:eastAsia="en-US"/>
        </w:rPr>
        <w:br w:type="page"/>
      </w:r>
      <w:bookmarkStart w:id="445" w:name="_Toc256000183"/>
      <w:r>
        <w:rPr>
          <w:rFonts w:ascii="黑体" w:hAnsi="黑体" w:eastAsia="黑体" w:cs="黑体"/>
          <w:b/>
          <w:kern w:val="0"/>
          <w:sz w:val="32"/>
          <w:szCs w:val="24"/>
          <w:lang w:eastAsia="en-US"/>
        </w:rPr>
        <w:t>十</w:t>
      </w:r>
      <w:r>
        <w:rPr>
          <w:rFonts w:hint="eastAsia" w:ascii="黑体" w:hAnsi="黑体" w:eastAsia="黑体" w:cs="黑体"/>
          <w:b/>
          <w:kern w:val="0"/>
          <w:sz w:val="32"/>
          <w:szCs w:val="24"/>
          <w:lang w:val="en-US" w:eastAsia="zh-CN"/>
        </w:rPr>
        <w:t>四</w:t>
      </w:r>
      <w:r>
        <w:rPr>
          <w:rFonts w:ascii="黑体" w:hAnsi="黑体" w:eastAsia="黑体" w:cs="黑体"/>
          <w:b/>
          <w:kern w:val="0"/>
          <w:sz w:val="32"/>
          <w:szCs w:val="24"/>
          <w:lang w:eastAsia="en-US"/>
        </w:rPr>
        <w:t>、原件的复印件</w:t>
      </w:r>
      <w:bookmarkEnd w:id="445"/>
    </w:p>
    <w:p w14:paraId="7576BBC9">
      <w:pPr>
        <w:rPr>
          <w:b/>
        </w:rPr>
      </w:pPr>
    </w:p>
    <w:tbl>
      <w:tblPr>
        <w:tblStyle w:val="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7"/>
        <w:gridCol w:w="5426"/>
        <w:gridCol w:w="3040"/>
      </w:tblGrid>
      <w:tr w14:paraId="45C01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877" w:type="dxa"/>
            <w:noWrap w:val="0"/>
            <w:vAlign w:val="center"/>
          </w:tcPr>
          <w:p w14:paraId="05D4282E">
            <w:pPr>
              <w:jc w:val="center"/>
              <w:rPr>
                <w:rFonts w:hint="eastAsia"/>
              </w:rPr>
            </w:pPr>
            <w:r>
              <w:rPr>
                <w:rFonts w:hint="eastAsia"/>
              </w:rPr>
              <w:t>序号</w:t>
            </w:r>
          </w:p>
        </w:tc>
        <w:tc>
          <w:tcPr>
            <w:tcW w:w="5426" w:type="dxa"/>
            <w:noWrap w:val="0"/>
            <w:vAlign w:val="center"/>
          </w:tcPr>
          <w:p w14:paraId="188AC1DE">
            <w:pPr>
              <w:jc w:val="center"/>
              <w:rPr>
                <w:rFonts w:hint="eastAsia"/>
              </w:rPr>
            </w:pPr>
            <w:r>
              <w:rPr>
                <w:rFonts w:hint="eastAsia"/>
              </w:rPr>
              <w:t>名称</w:t>
            </w:r>
          </w:p>
        </w:tc>
        <w:tc>
          <w:tcPr>
            <w:tcW w:w="3040" w:type="dxa"/>
            <w:noWrap w:val="0"/>
            <w:vAlign w:val="center"/>
          </w:tcPr>
          <w:p w14:paraId="50B9AE61">
            <w:pPr>
              <w:jc w:val="center"/>
            </w:pPr>
            <w:r>
              <w:rPr>
                <w:rFonts w:hint="eastAsia"/>
              </w:rPr>
              <w:t>备注</w:t>
            </w:r>
          </w:p>
        </w:tc>
      </w:tr>
      <w:tr w14:paraId="11EA5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877" w:type="dxa"/>
            <w:noWrap w:val="0"/>
            <w:vAlign w:val="center"/>
          </w:tcPr>
          <w:p w14:paraId="13346622">
            <w:pPr>
              <w:jc w:val="center"/>
              <w:rPr>
                <w:rFonts w:hint="eastAsia"/>
              </w:rPr>
            </w:pPr>
          </w:p>
        </w:tc>
        <w:tc>
          <w:tcPr>
            <w:tcW w:w="5426" w:type="dxa"/>
            <w:noWrap w:val="0"/>
            <w:vAlign w:val="center"/>
          </w:tcPr>
          <w:p w14:paraId="283C2FD8">
            <w:pPr>
              <w:jc w:val="left"/>
              <w:rPr>
                <w:rFonts w:hint="default" w:eastAsia="宋体"/>
                <w:lang w:val="en-US" w:eastAsia="zh-CN"/>
              </w:rPr>
            </w:pPr>
            <w:r>
              <w:rPr>
                <w:rFonts w:hint="eastAsia"/>
              </w:rPr>
              <w:t>信用等级</w:t>
            </w:r>
            <w:r>
              <w:rPr>
                <w:rFonts w:hint="eastAsia"/>
                <w:lang w:eastAsia="zh-CN"/>
              </w:rPr>
              <w:t>（</w:t>
            </w:r>
            <w:r>
              <w:rPr>
                <w:rFonts w:hint="eastAsia"/>
                <w:lang w:val="en-US" w:eastAsia="zh-CN"/>
              </w:rPr>
              <w:t>如有）</w:t>
            </w:r>
          </w:p>
        </w:tc>
        <w:tc>
          <w:tcPr>
            <w:tcW w:w="3040" w:type="dxa"/>
            <w:noWrap w:val="0"/>
            <w:vAlign w:val="center"/>
          </w:tcPr>
          <w:p w14:paraId="0D462641">
            <w:pPr>
              <w:jc w:val="center"/>
              <w:rPr>
                <w:rFonts w:hint="eastAsia"/>
              </w:rPr>
            </w:pPr>
          </w:p>
        </w:tc>
      </w:tr>
      <w:tr w14:paraId="7310A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877" w:type="dxa"/>
            <w:noWrap w:val="0"/>
            <w:vAlign w:val="center"/>
          </w:tcPr>
          <w:p w14:paraId="22FD7098">
            <w:pPr>
              <w:jc w:val="center"/>
              <w:rPr>
                <w:rFonts w:hint="eastAsia"/>
              </w:rPr>
            </w:pPr>
          </w:p>
        </w:tc>
        <w:tc>
          <w:tcPr>
            <w:tcW w:w="5426" w:type="dxa"/>
            <w:noWrap w:val="0"/>
            <w:vAlign w:val="center"/>
          </w:tcPr>
          <w:p w14:paraId="49093335">
            <w:pPr>
              <w:jc w:val="left"/>
              <w:rPr>
                <w:rFonts w:hint="default" w:eastAsia="宋体"/>
                <w:lang w:val="en-US" w:eastAsia="zh-CN"/>
              </w:rPr>
            </w:pPr>
            <w:r>
              <w:rPr>
                <w:rFonts w:hint="eastAsia"/>
              </w:rPr>
              <w:t>安全生产标准化</w:t>
            </w:r>
            <w:r>
              <w:rPr>
                <w:rFonts w:hint="eastAsia"/>
                <w:lang w:eastAsia="zh-CN"/>
              </w:rPr>
              <w:t>（</w:t>
            </w:r>
            <w:r>
              <w:rPr>
                <w:rFonts w:hint="eastAsia"/>
                <w:lang w:val="en-US" w:eastAsia="zh-CN"/>
              </w:rPr>
              <w:t>如有）</w:t>
            </w:r>
          </w:p>
        </w:tc>
        <w:tc>
          <w:tcPr>
            <w:tcW w:w="3040" w:type="dxa"/>
            <w:noWrap w:val="0"/>
            <w:vAlign w:val="center"/>
          </w:tcPr>
          <w:p w14:paraId="6281482C">
            <w:pPr>
              <w:jc w:val="center"/>
              <w:rPr>
                <w:rFonts w:hint="eastAsia"/>
              </w:rPr>
            </w:pPr>
          </w:p>
        </w:tc>
      </w:tr>
      <w:tr w14:paraId="18D85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 w:type="dxa"/>
            <w:noWrap w:val="0"/>
            <w:vAlign w:val="center"/>
          </w:tcPr>
          <w:p w14:paraId="40F0195A">
            <w:pPr>
              <w:jc w:val="center"/>
              <w:rPr>
                <w:rFonts w:hint="eastAsia"/>
              </w:rPr>
            </w:pPr>
          </w:p>
        </w:tc>
        <w:tc>
          <w:tcPr>
            <w:tcW w:w="5426" w:type="dxa"/>
            <w:noWrap w:val="0"/>
            <w:vAlign w:val="center"/>
          </w:tcPr>
          <w:p w14:paraId="0A6C5BE8">
            <w:pPr>
              <w:jc w:val="left"/>
              <w:rPr>
                <w:rFonts w:hint="eastAsia"/>
              </w:rPr>
            </w:pPr>
            <w:r>
              <w:rPr>
                <w:rFonts w:hint="eastAsia"/>
              </w:rPr>
              <w:t>营业执照</w:t>
            </w:r>
          </w:p>
        </w:tc>
        <w:tc>
          <w:tcPr>
            <w:tcW w:w="3040" w:type="dxa"/>
            <w:noWrap w:val="0"/>
            <w:vAlign w:val="center"/>
          </w:tcPr>
          <w:p w14:paraId="455AE022">
            <w:pPr>
              <w:jc w:val="center"/>
              <w:rPr>
                <w:rFonts w:hint="eastAsia"/>
              </w:rPr>
            </w:pPr>
          </w:p>
        </w:tc>
      </w:tr>
      <w:tr w14:paraId="41C26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 w:type="dxa"/>
            <w:noWrap w:val="0"/>
            <w:vAlign w:val="center"/>
          </w:tcPr>
          <w:p w14:paraId="50948833">
            <w:pPr>
              <w:jc w:val="center"/>
              <w:rPr>
                <w:rFonts w:hint="eastAsia"/>
              </w:rPr>
            </w:pPr>
          </w:p>
        </w:tc>
        <w:tc>
          <w:tcPr>
            <w:tcW w:w="5426" w:type="dxa"/>
            <w:noWrap w:val="0"/>
            <w:vAlign w:val="center"/>
          </w:tcPr>
          <w:p w14:paraId="24FFE0BD">
            <w:pPr>
              <w:jc w:val="left"/>
              <w:rPr>
                <w:rFonts w:hint="eastAsia"/>
              </w:rPr>
            </w:pPr>
            <w:r>
              <w:rPr>
                <w:rFonts w:hint="eastAsia"/>
              </w:rPr>
              <w:t>安全生产许可证</w:t>
            </w:r>
          </w:p>
        </w:tc>
        <w:tc>
          <w:tcPr>
            <w:tcW w:w="3040" w:type="dxa"/>
            <w:noWrap w:val="0"/>
            <w:vAlign w:val="center"/>
          </w:tcPr>
          <w:p w14:paraId="1B0F378F">
            <w:pPr>
              <w:jc w:val="center"/>
              <w:rPr>
                <w:rFonts w:hint="eastAsia"/>
              </w:rPr>
            </w:pPr>
          </w:p>
        </w:tc>
      </w:tr>
      <w:tr w14:paraId="6E408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 w:type="dxa"/>
            <w:noWrap w:val="0"/>
            <w:vAlign w:val="center"/>
          </w:tcPr>
          <w:p w14:paraId="24217040">
            <w:pPr>
              <w:jc w:val="center"/>
              <w:rPr>
                <w:rFonts w:hint="eastAsia"/>
              </w:rPr>
            </w:pPr>
          </w:p>
        </w:tc>
        <w:tc>
          <w:tcPr>
            <w:tcW w:w="5426" w:type="dxa"/>
            <w:noWrap w:val="0"/>
            <w:vAlign w:val="center"/>
          </w:tcPr>
          <w:p w14:paraId="273E40F9">
            <w:pPr>
              <w:jc w:val="left"/>
              <w:rPr>
                <w:rFonts w:hint="eastAsia"/>
              </w:rPr>
            </w:pPr>
            <w:r>
              <w:rPr>
                <w:rFonts w:hint="eastAsia"/>
              </w:rPr>
              <w:t>资质证书</w:t>
            </w:r>
          </w:p>
        </w:tc>
        <w:tc>
          <w:tcPr>
            <w:tcW w:w="3040" w:type="dxa"/>
            <w:noWrap w:val="0"/>
            <w:vAlign w:val="center"/>
          </w:tcPr>
          <w:p w14:paraId="30FF46F9">
            <w:pPr>
              <w:jc w:val="center"/>
              <w:rPr>
                <w:rFonts w:hint="eastAsia"/>
              </w:rPr>
            </w:pPr>
          </w:p>
        </w:tc>
      </w:tr>
      <w:tr w14:paraId="371D3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 w:type="dxa"/>
            <w:noWrap w:val="0"/>
            <w:vAlign w:val="center"/>
          </w:tcPr>
          <w:p w14:paraId="5DDAEF0D">
            <w:pPr>
              <w:jc w:val="center"/>
              <w:rPr>
                <w:rFonts w:hint="eastAsia"/>
              </w:rPr>
            </w:pPr>
          </w:p>
        </w:tc>
        <w:tc>
          <w:tcPr>
            <w:tcW w:w="5426" w:type="dxa"/>
            <w:noWrap w:val="0"/>
            <w:vAlign w:val="center"/>
          </w:tcPr>
          <w:p w14:paraId="4F664ED2">
            <w:pPr>
              <w:jc w:val="left"/>
              <w:rPr>
                <w:rFonts w:hint="eastAsia"/>
              </w:rPr>
            </w:pPr>
            <w:r>
              <w:rPr>
                <w:rFonts w:hint="eastAsia"/>
              </w:rPr>
              <w:t>近3年经审计的财务会计报表</w:t>
            </w:r>
          </w:p>
        </w:tc>
        <w:tc>
          <w:tcPr>
            <w:tcW w:w="3040" w:type="dxa"/>
            <w:noWrap w:val="0"/>
            <w:vAlign w:val="center"/>
          </w:tcPr>
          <w:p w14:paraId="126D9E6C">
            <w:pPr>
              <w:jc w:val="center"/>
              <w:rPr>
                <w:rFonts w:hint="eastAsia"/>
              </w:rPr>
            </w:pPr>
            <w:r>
              <w:rPr>
                <w:rFonts w:hint="eastAsia"/>
              </w:rPr>
              <w:t>含流动资金来源证明</w:t>
            </w:r>
          </w:p>
        </w:tc>
      </w:tr>
      <w:tr w14:paraId="4FF57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 w:type="dxa"/>
            <w:noWrap w:val="0"/>
            <w:vAlign w:val="center"/>
          </w:tcPr>
          <w:p w14:paraId="6911988B">
            <w:pPr>
              <w:jc w:val="center"/>
              <w:rPr>
                <w:rFonts w:hint="eastAsia"/>
              </w:rPr>
            </w:pPr>
          </w:p>
        </w:tc>
        <w:tc>
          <w:tcPr>
            <w:tcW w:w="5426" w:type="dxa"/>
            <w:noWrap w:val="0"/>
            <w:vAlign w:val="center"/>
          </w:tcPr>
          <w:p w14:paraId="2992D4F2">
            <w:pPr>
              <w:jc w:val="left"/>
              <w:rPr>
                <w:rFonts w:hint="eastAsia"/>
              </w:rPr>
            </w:pPr>
            <w:r>
              <w:rPr>
                <w:rFonts w:hint="eastAsia"/>
              </w:rPr>
              <w:t>近3年已完成的类似项目业绩(中标通知书</w:t>
            </w:r>
            <w:r>
              <w:rPr>
                <w:rFonts w:hint="eastAsia"/>
                <w:lang w:eastAsia="zh-CN"/>
              </w:rPr>
              <w:t>（</w:t>
            </w:r>
            <w:r>
              <w:rPr>
                <w:rFonts w:hint="eastAsia"/>
                <w:lang w:val="en-US" w:eastAsia="zh-CN"/>
              </w:rPr>
              <w:t>发包通知书或其他材料）</w:t>
            </w:r>
            <w:r>
              <w:rPr>
                <w:rFonts w:hint="eastAsia"/>
              </w:rPr>
              <w:t>、合同协议书、合同工程完工证书或工程竣工证书副本、合同工程完工验收鉴定书有关验收结论)</w:t>
            </w:r>
          </w:p>
        </w:tc>
        <w:tc>
          <w:tcPr>
            <w:tcW w:w="3040" w:type="dxa"/>
            <w:noWrap w:val="0"/>
            <w:vAlign w:val="center"/>
          </w:tcPr>
          <w:p w14:paraId="689E6530">
            <w:pPr>
              <w:jc w:val="center"/>
              <w:rPr>
                <w:rFonts w:hint="eastAsia"/>
              </w:rPr>
            </w:pPr>
          </w:p>
        </w:tc>
      </w:tr>
      <w:tr w14:paraId="4EDA3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 w:type="dxa"/>
            <w:noWrap w:val="0"/>
            <w:vAlign w:val="center"/>
          </w:tcPr>
          <w:p w14:paraId="7845D11D">
            <w:pPr>
              <w:jc w:val="center"/>
              <w:rPr>
                <w:rFonts w:hint="eastAsia"/>
              </w:rPr>
            </w:pPr>
          </w:p>
        </w:tc>
        <w:tc>
          <w:tcPr>
            <w:tcW w:w="5426" w:type="dxa"/>
            <w:noWrap w:val="0"/>
            <w:vAlign w:val="center"/>
          </w:tcPr>
          <w:p w14:paraId="2682E1EA">
            <w:pPr>
              <w:jc w:val="left"/>
              <w:rPr>
                <w:rFonts w:hint="eastAsia"/>
              </w:rPr>
            </w:pPr>
            <w:r>
              <w:rPr>
                <w:rFonts w:hint="eastAsia"/>
              </w:rPr>
              <w:t>项目经理注册建造师证、身份证、职称证、学历证、业绩证明材料、社会保险证明、安全生产考核合格证书</w:t>
            </w:r>
          </w:p>
        </w:tc>
        <w:tc>
          <w:tcPr>
            <w:tcW w:w="3040" w:type="dxa"/>
            <w:noWrap w:val="0"/>
            <w:vAlign w:val="center"/>
          </w:tcPr>
          <w:p w14:paraId="035BDAC5">
            <w:pPr>
              <w:jc w:val="center"/>
              <w:rPr>
                <w:rFonts w:hint="eastAsia"/>
              </w:rPr>
            </w:pPr>
          </w:p>
        </w:tc>
      </w:tr>
      <w:tr w14:paraId="7E377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 w:type="dxa"/>
            <w:noWrap w:val="0"/>
            <w:vAlign w:val="center"/>
          </w:tcPr>
          <w:p w14:paraId="77BED8DA">
            <w:pPr>
              <w:jc w:val="center"/>
              <w:rPr>
                <w:rFonts w:hint="eastAsia"/>
              </w:rPr>
            </w:pPr>
          </w:p>
        </w:tc>
        <w:tc>
          <w:tcPr>
            <w:tcW w:w="5426" w:type="dxa"/>
            <w:noWrap w:val="0"/>
            <w:vAlign w:val="center"/>
          </w:tcPr>
          <w:p w14:paraId="5C0FAE81">
            <w:pPr>
              <w:jc w:val="left"/>
              <w:rPr>
                <w:rFonts w:hint="eastAsia"/>
              </w:rPr>
            </w:pPr>
            <w:r>
              <w:rPr>
                <w:rFonts w:hint="eastAsia"/>
              </w:rPr>
              <w:t>联合体(如有)的有关证明材料</w:t>
            </w:r>
          </w:p>
        </w:tc>
        <w:tc>
          <w:tcPr>
            <w:tcW w:w="3040" w:type="dxa"/>
            <w:noWrap w:val="0"/>
            <w:vAlign w:val="center"/>
          </w:tcPr>
          <w:p w14:paraId="13860743">
            <w:pPr>
              <w:jc w:val="center"/>
              <w:rPr>
                <w:rFonts w:hint="eastAsia"/>
              </w:rPr>
            </w:pPr>
          </w:p>
        </w:tc>
      </w:tr>
      <w:tr w14:paraId="20562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 w:type="dxa"/>
            <w:noWrap w:val="0"/>
            <w:vAlign w:val="center"/>
          </w:tcPr>
          <w:p w14:paraId="32CB2F0F">
            <w:pPr>
              <w:jc w:val="center"/>
              <w:rPr>
                <w:rFonts w:hint="eastAsia"/>
              </w:rPr>
            </w:pPr>
          </w:p>
        </w:tc>
        <w:tc>
          <w:tcPr>
            <w:tcW w:w="5426" w:type="dxa"/>
            <w:noWrap w:val="0"/>
            <w:vAlign w:val="center"/>
          </w:tcPr>
          <w:p w14:paraId="1F0D5039">
            <w:pPr>
              <w:jc w:val="left"/>
              <w:rPr>
                <w:rFonts w:hint="eastAsia"/>
              </w:rPr>
            </w:pPr>
            <w:r>
              <w:rPr>
                <w:rFonts w:hint="eastAsia"/>
              </w:rPr>
              <w:t>企业主要负责人安全生产考核合格证书</w:t>
            </w:r>
          </w:p>
        </w:tc>
        <w:tc>
          <w:tcPr>
            <w:tcW w:w="3040" w:type="dxa"/>
            <w:noWrap w:val="0"/>
            <w:vAlign w:val="center"/>
          </w:tcPr>
          <w:p w14:paraId="3C7C675B">
            <w:pPr>
              <w:jc w:val="center"/>
              <w:rPr>
                <w:rFonts w:hint="eastAsia"/>
              </w:rPr>
            </w:pPr>
          </w:p>
        </w:tc>
      </w:tr>
      <w:tr w14:paraId="6D717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 w:type="dxa"/>
            <w:noWrap w:val="0"/>
            <w:vAlign w:val="center"/>
          </w:tcPr>
          <w:p w14:paraId="6A80C2CF">
            <w:pPr>
              <w:jc w:val="center"/>
              <w:rPr>
                <w:rFonts w:hint="eastAsia"/>
              </w:rPr>
            </w:pPr>
          </w:p>
        </w:tc>
        <w:tc>
          <w:tcPr>
            <w:tcW w:w="5426" w:type="dxa"/>
            <w:noWrap w:val="0"/>
            <w:vAlign w:val="center"/>
          </w:tcPr>
          <w:p w14:paraId="76615DAF">
            <w:pPr>
              <w:jc w:val="left"/>
              <w:rPr>
                <w:rFonts w:hint="eastAsia"/>
              </w:rPr>
            </w:pPr>
            <w:r>
              <w:rPr>
                <w:rFonts w:hint="eastAsia"/>
              </w:rPr>
              <w:t>委托代理人身份证及社会保险证明</w:t>
            </w:r>
          </w:p>
        </w:tc>
        <w:tc>
          <w:tcPr>
            <w:tcW w:w="3040" w:type="dxa"/>
            <w:noWrap w:val="0"/>
            <w:vAlign w:val="center"/>
          </w:tcPr>
          <w:p w14:paraId="1FB304C9">
            <w:pPr>
              <w:jc w:val="center"/>
              <w:rPr>
                <w:rFonts w:hint="eastAsia"/>
              </w:rPr>
            </w:pPr>
          </w:p>
        </w:tc>
      </w:tr>
      <w:tr w14:paraId="62800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 w:type="dxa"/>
            <w:noWrap w:val="0"/>
            <w:vAlign w:val="center"/>
          </w:tcPr>
          <w:p w14:paraId="19E98FE8">
            <w:pPr>
              <w:jc w:val="center"/>
              <w:rPr>
                <w:rFonts w:hint="eastAsia"/>
              </w:rPr>
            </w:pPr>
          </w:p>
        </w:tc>
        <w:tc>
          <w:tcPr>
            <w:tcW w:w="5426" w:type="dxa"/>
            <w:noWrap w:val="0"/>
            <w:vAlign w:val="center"/>
          </w:tcPr>
          <w:p w14:paraId="3C60BFD6">
            <w:pPr>
              <w:jc w:val="left"/>
              <w:rPr>
                <w:rFonts w:hint="eastAsia" w:eastAsia="宋体"/>
                <w:lang w:val="en-US" w:eastAsia="zh-CN"/>
              </w:rPr>
            </w:pPr>
            <w:r>
              <w:rPr>
                <w:rFonts w:hint="eastAsia"/>
              </w:rPr>
              <w:t>技术负责人身份证、职称证、学历证、业绩证明材料、社会保险证明、安全生产考核合格证书</w:t>
            </w:r>
            <w:r>
              <w:rPr>
                <w:rFonts w:hint="eastAsia"/>
                <w:lang w:val="en-US" w:eastAsia="zh-CN"/>
              </w:rPr>
              <w:t>等</w:t>
            </w:r>
          </w:p>
        </w:tc>
        <w:tc>
          <w:tcPr>
            <w:tcW w:w="3040" w:type="dxa"/>
            <w:noWrap w:val="0"/>
            <w:vAlign w:val="center"/>
          </w:tcPr>
          <w:p w14:paraId="34B208E3">
            <w:pPr>
              <w:jc w:val="center"/>
              <w:rPr>
                <w:rFonts w:hint="eastAsia"/>
              </w:rPr>
            </w:pPr>
          </w:p>
        </w:tc>
      </w:tr>
      <w:tr w14:paraId="772FE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7" w:type="dxa"/>
            <w:noWrap w:val="0"/>
            <w:vAlign w:val="center"/>
          </w:tcPr>
          <w:p w14:paraId="505A78F5">
            <w:pPr>
              <w:jc w:val="center"/>
              <w:rPr>
                <w:rFonts w:hint="eastAsia"/>
              </w:rPr>
            </w:pPr>
          </w:p>
        </w:tc>
        <w:tc>
          <w:tcPr>
            <w:tcW w:w="5426" w:type="dxa"/>
            <w:noWrap w:val="0"/>
            <w:vAlign w:val="center"/>
          </w:tcPr>
          <w:p w14:paraId="0D0F0D20">
            <w:pPr>
              <w:jc w:val="left"/>
              <w:rPr>
                <w:rFonts w:hint="eastAsia"/>
              </w:rPr>
            </w:pPr>
            <w:r>
              <w:rPr>
                <w:rFonts w:hint="eastAsia"/>
              </w:rPr>
              <w:t>安全管理人员(专职安全生产管理人员)身份证、职称证、学历证、业绩证明材料、社会保险证明、安全生产考核合格证书</w:t>
            </w:r>
          </w:p>
        </w:tc>
        <w:tc>
          <w:tcPr>
            <w:tcW w:w="3040" w:type="dxa"/>
            <w:noWrap w:val="0"/>
            <w:vAlign w:val="center"/>
          </w:tcPr>
          <w:p w14:paraId="7745FE51">
            <w:pPr>
              <w:jc w:val="center"/>
              <w:rPr>
                <w:rFonts w:hint="eastAsia"/>
              </w:rPr>
            </w:pPr>
          </w:p>
        </w:tc>
      </w:tr>
      <w:tr w14:paraId="6722B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 w:type="dxa"/>
            <w:noWrap w:val="0"/>
            <w:vAlign w:val="center"/>
          </w:tcPr>
          <w:p w14:paraId="64AA3AAC">
            <w:pPr>
              <w:jc w:val="center"/>
              <w:rPr>
                <w:rFonts w:hint="eastAsia"/>
              </w:rPr>
            </w:pPr>
          </w:p>
        </w:tc>
        <w:tc>
          <w:tcPr>
            <w:tcW w:w="5426" w:type="dxa"/>
            <w:noWrap w:val="0"/>
            <w:vAlign w:val="center"/>
          </w:tcPr>
          <w:p w14:paraId="38B37212">
            <w:pPr>
              <w:jc w:val="left"/>
              <w:rPr>
                <w:rFonts w:hint="eastAsia"/>
              </w:rPr>
            </w:pPr>
            <w:r>
              <w:rPr>
                <w:rFonts w:hint="eastAsia"/>
              </w:rPr>
              <w:t>质量管理人员身份证、职称证、学历证、业绩证明材料、社会保险证明</w:t>
            </w:r>
          </w:p>
        </w:tc>
        <w:tc>
          <w:tcPr>
            <w:tcW w:w="3040" w:type="dxa"/>
            <w:noWrap w:val="0"/>
            <w:vAlign w:val="center"/>
          </w:tcPr>
          <w:p w14:paraId="5937D5DC">
            <w:pPr>
              <w:jc w:val="center"/>
              <w:rPr>
                <w:rFonts w:hint="eastAsia"/>
              </w:rPr>
            </w:pPr>
          </w:p>
        </w:tc>
      </w:tr>
      <w:tr w14:paraId="036FB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 w:type="dxa"/>
            <w:noWrap w:val="0"/>
            <w:vAlign w:val="center"/>
          </w:tcPr>
          <w:p w14:paraId="30F49F91">
            <w:pPr>
              <w:jc w:val="center"/>
              <w:rPr>
                <w:rFonts w:hint="eastAsia"/>
              </w:rPr>
            </w:pPr>
          </w:p>
        </w:tc>
        <w:tc>
          <w:tcPr>
            <w:tcW w:w="5426" w:type="dxa"/>
            <w:noWrap w:val="0"/>
            <w:vAlign w:val="center"/>
          </w:tcPr>
          <w:p w14:paraId="7C2B1C0E">
            <w:pPr>
              <w:jc w:val="left"/>
              <w:rPr>
                <w:rFonts w:hint="eastAsia"/>
              </w:rPr>
            </w:pPr>
            <w:r>
              <w:rPr>
                <w:rFonts w:hint="eastAsia"/>
              </w:rPr>
              <w:t>财务负责人身份证、职称证、学历证、业绩证明材料、社会保险证明</w:t>
            </w:r>
          </w:p>
        </w:tc>
        <w:tc>
          <w:tcPr>
            <w:tcW w:w="3040" w:type="dxa"/>
            <w:noWrap w:val="0"/>
            <w:vAlign w:val="center"/>
          </w:tcPr>
          <w:p w14:paraId="55DA07FE">
            <w:pPr>
              <w:jc w:val="center"/>
              <w:rPr>
                <w:rFonts w:hint="eastAsia"/>
              </w:rPr>
            </w:pPr>
          </w:p>
        </w:tc>
      </w:tr>
      <w:tr w14:paraId="23BF6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 w:type="dxa"/>
            <w:noWrap w:val="0"/>
            <w:vAlign w:val="center"/>
          </w:tcPr>
          <w:p w14:paraId="2BD366CE">
            <w:pPr>
              <w:jc w:val="center"/>
              <w:rPr>
                <w:rFonts w:hint="eastAsia"/>
              </w:rPr>
            </w:pPr>
          </w:p>
        </w:tc>
        <w:tc>
          <w:tcPr>
            <w:tcW w:w="5426" w:type="dxa"/>
            <w:noWrap w:val="0"/>
            <w:vAlign w:val="center"/>
          </w:tcPr>
          <w:p w14:paraId="79DA90D4">
            <w:pPr>
              <w:jc w:val="left"/>
              <w:rPr>
                <w:rFonts w:hint="eastAsia"/>
              </w:rPr>
            </w:pPr>
            <w:r>
              <w:rPr>
                <w:rFonts w:hint="eastAsia"/>
              </w:rPr>
              <w:t>法律文书</w:t>
            </w:r>
          </w:p>
        </w:tc>
        <w:tc>
          <w:tcPr>
            <w:tcW w:w="3040" w:type="dxa"/>
            <w:noWrap w:val="0"/>
            <w:vAlign w:val="center"/>
          </w:tcPr>
          <w:p w14:paraId="4957D1C9">
            <w:pPr>
              <w:jc w:val="center"/>
              <w:rPr>
                <w:rFonts w:hint="eastAsia"/>
              </w:rPr>
            </w:pPr>
          </w:p>
        </w:tc>
      </w:tr>
      <w:tr w14:paraId="5C449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 w:type="dxa"/>
            <w:noWrap w:val="0"/>
            <w:vAlign w:val="center"/>
          </w:tcPr>
          <w:p w14:paraId="47975219">
            <w:pPr>
              <w:jc w:val="center"/>
              <w:rPr>
                <w:rFonts w:hint="eastAsia"/>
              </w:rPr>
            </w:pPr>
          </w:p>
        </w:tc>
        <w:tc>
          <w:tcPr>
            <w:tcW w:w="5426" w:type="dxa"/>
            <w:noWrap w:val="0"/>
            <w:vAlign w:val="center"/>
          </w:tcPr>
          <w:p w14:paraId="37B28DE9">
            <w:pPr>
              <w:jc w:val="left"/>
              <w:rPr>
                <w:rFonts w:hint="eastAsia"/>
              </w:rPr>
            </w:pPr>
            <w:r>
              <w:rPr>
                <w:rFonts w:hint="eastAsia"/>
              </w:rPr>
              <w:t>正在施工的和新承接的项目(中标通知书、合同协议书)</w:t>
            </w:r>
          </w:p>
        </w:tc>
        <w:tc>
          <w:tcPr>
            <w:tcW w:w="3040" w:type="dxa"/>
            <w:noWrap w:val="0"/>
            <w:vAlign w:val="center"/>
          </w:tcPr>
          <w:p w14:paraId="46E34A3E">
            <w:pPr>
              <w:jc w:val="center"/>
              <w:rPr>
                <w:rFonts w:hint="eastAsia"/>
              </w:rPr>
            </w:pPr>
          </w:p>
        </w:tc>
      </w:tr>
      <w:tr w14:paraId="3E00F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 w:type="dxa"/>
            <w:noWrap w:val="0"/>
            <w:vAlign w:val="center"/>
          </w:tcPr>
          <w:p w14:paraId="66236567">
            <w:pPr>
              <w:jc w:val="center"/>
              <w:rPr>
                <w:rFonts w:hint="eastAsia"/>
              </w:rPr>
            </w:pPr>
          </w:p>
        </w:tc>
        <w:tc>
          <w:tcPr>
            <w:tcW w:w="5426" w:type="dxa"/>
            <w:noWrap w:val="0"/>
            <w:vAlign w:val="center"/>
          </w:tcPr>
          <w:p w14:paraId="73A9D54E">
            <w:pPr>
              <w:jc w:val="left"/>
              <w:rPr>
                <w:rFonts w:hint="eastAsia"/>
              </w:rPr>
            </w:pPr>
            <w:r>
              <w:rPr>
                <w:rFonts w:hint="eastAsia"/>
              </w:rPr>
              <w:t>认证体系证书</w:t>
            </w:r>
          </w:p>
        </w:tc>
        <w:tc>
          <w:tcPr>
            <w:tcW w:w="3040" w:type="dxa"/>
            <w:noWrap w:val="0"/>
            <w:vAlign w:val="center"/>
          </w:tcPr>
          <w:p w14:paraId="244D63B9">
            <w:pPr>
              <w:jc w:val="center"/>
              <w:rPr>
                <w:rFonts w:hint="eastAsia"/>
              </w:rPr>
            </w:pPr>
          </w:p>
        </w:tc>
      </w:tr>
      <w:tr w14:paraId="66189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 w:type="dxa"/>
            <w:noWrap w:val="0"/>
            <w:vAlign w:val="center"/>
          </w:tcPr>
          <w:p w14:paraId="5CBA2275">
            <w:pPr>
              <w:jc w:val="center"/>
              <w:rPr>
                <w:rFonts w:hint="eastAsia"/>
              </w:rPr>
            </w:pPr>
          </w:p>
        </w:tc>
        <w:tc>
          <w:tcPr>
            <w:tcW w:w="5426" w:type="dxa"/>
            <w:noWrap w:val="0"/>
            <w:vAlign w:val="center"/>
          </w:tcPr>
          <w:p w14:paraId="750B2AEA">
            <w:pPr>
              <w:jc w:val="left"/>
              <w:rPr>
                <w:rFonts w:hint="eastAsia"/>
              </w:rPr>
            </w:pPr>
            <w:r>
              <w:rPr>
                <w:rFonts w:hint="eastAsia"/>
              </w:rPr>
              <w:t>其它</w:t>
            </w:r>
          </w:p>
        </w:tc>
        <w:tc>
          <w:tcPr>
            <w:tcW w:w="3040" w:type="dxa"/>
            <w:noWrap w:val="0"/>
            <w:vAlign w:val="center"/>
          </w:tcPr>
          <w:p w14:paraId="130ECE25">
            <w:pPr>
              <w:jc w:val="center"/>
              <w:rPr>
                <w:rFonts w:hint="eastAsia"/>
              </w:rPr>
            </w:pPr>
          </w:p>
        </w:tc>
      </w:tr>
    </w:tbl>
    <w:p w14:paraId="6DC5A7AF">
      <w:pPr>
        <w:rPr>
          <w:rFonts w:hint="eastAsia"/>
        </w:rPr>
      </w:pPr>
    </w:p>
    <w:p w14:paraId="0938DA22">
      <w:pPr>
        <w:widowControl/>
        <w:jc w:val="left"/>
        <w:outlineLvl w:val="1"/>
        <w:rPr>
          <w:rFonts w:ascii="黑体" w:hAnsi="黑体" w:eastAsia="黑体" w:cs="黑体"/>
          <w:b/>
          <w:kern w:val="0"/>
          <w:sz w:val="32"/>
          <w:szCs w:val="24"/>
          <w:lang w:eastAsia="en-US"/>
        </w:rPr>
      </w:pPr>
      <w:r>
        <w:rPr>
          <w:rFonts w:ascii="Times New Roman" w:hAnsi="Times New Roman" w:eastAsia="Times New Roman"/>
          <w:kern w:val="0"/>
          <w:sz w:val="24"/>
          <w:szCs w:val="24"/>
          <w:lang w:eastAsia="en-US"/>
        </w:rPr>
        <w:br w:type="page"/>
      </w:r>
      <w:bookmarkStart w:id="446" w:name="_Toc256000185"/>
      <w:r>
        <w:rPr>
          <w:rFonts w:ascii="黑体" w:hAnsi="黑体" w:eastAsia="黑体" w:cs="黑体"/>
          <w:b/>
          <w:kern w:val="0"/>
          <w:sz w:val="32"/>
          <w:szCs w:val="24"/>
          <w:lang w:eastAsia="en-US"/>
        </w:rPr>
        <w:t>十</w:t>
      </w:r>
      <w:r>
        <w:rPr>
          <w:rFonts w:hint="eastAsia" w:ascii="黑体" w:hAnsi="黑体" w:eastAsia="黑体" w:cs="黑体"/>
          <w:b/>
          <w:kern w:val="0"/>
          <w:sz w:val="32"/>
          <w:szCs w:val="24"/>
          <w:lang w:val="en-US" w:eastAsia="zh-CN"/>
        </w:rPr>
        <w:t>五</w:t>
      </w:r>
      <w:r>
        <w:rPr>
          <w:rFonts w:ascii="黑体" w:hAnsi="黑体" w:eastAsia="黑体" w:cs="黑体"/>
          <w:b/>
          <w:kern w:val="0"/>
          <w:sz w:val="32"/>
          <w:szCs w:val="24"/>
          <w:lang w:eastAsia="en-US"/>
        </w:rPr>
        <w:t>、投标文件的其他材料</w:t>
      </w:r>
      <w:bookmarkEnd w:id="446"/>
    </w:p>
    <w:p w14:paraId="1D35439B">
      <w:pPr>
        <w:widowControl/>
        <w:spacing w:line="380" w:lineRule="exact"/>
        <w:jc w:val="center"/>
        <w:rPr>
          <w:rFonts w:hint="eastAsia" w:ascii="黑体" w:hAnsi="宋体" w:eastAsia="黑体"/>
          <w:b/>
          <w:sz w:val="24"/>
          <w:szCs w:val="24"/>
        </w:rPr>
      </w:pPr>
      <w:r>
        <w:rPr>
          <w:rFonts w:hint="eastAsia" w:ascii="黑体" w:hAnsi="黑体" w:eastAsia="黑体"/>
          <w:b/>
          <w:sz w:val="24"/>
          <w:szCs w:val="24"/>
        </w:rPr>
        <w:t>（一）主要施工设备投入承诺书</w:t>
      </w:r>
    </w:p>
    <w:p w14:paraId="26B19E44">
      <w:pPr>
        <w:widowControl/>
        <w:spacing w:line="380" w:lineRule="exact"/>
        <w:jc w:val="left"/>
        <w:rPr>
          <w:rFonts w:ascii="Trebuchet MS" w:hAnsi="新宋体" w:eastAsia="新宋体"/>
          <w:szCs w:val="24"/>
          <w:u w:val="single"/>
        </w:rPr>
      </w:pPr>
    </w:p>
    <w:p w14:paraId="1A985A31">
      <w:pPr>
        <w:widowControl/>
        <w:spacing w:line="380" w:lineRule="exact"/>
        <w:jc w:val="left"/>
        <w:rPr>
          <w:rFonts w:ascii="Trebuchet MS" w:hAnsi="Trebuchet MS" w:eastAsia="新宋体"/>
          <w:szCs w:val="24"/>
        </w:rPr>
      </w:pPr>
      <w:r>
        <w:rPr>
          <w:rFonts w:ascii="Trebuchet MS" w:hAnsi="新宋体" w:eastAsia="新宋体"/>
          <w:szCs w:val="24"/>
          <w:u w:val="single"/>
        </w:rPr>
        <w:t xml:space="preserve">         </w:t>
      </w:r>
      <w:r>
        <w:rPr>
          <w:rFonts w:hint="eastAsia" w:ascii="新宋体" w:hAnsi="新宋体" w:eastAsia="新宋体"/>
          <w:szCs w:val="24"/>
          <w:u w:val="single"/>
        </w:rPr>
        <w:t>（招标人名称）</w:t>
      </w:r>
      <w:r>
        <w:rPr>
          <w:rFonts w:ascii="Trebuchet MS" w:hAnsi="新宋体" w:eastAsia="新宋体"/>
          <w:szCs w:val="24"/>
          <w:u w:val="single"/>
        </w:rPr>
        <w:t xml:space="preserve">          </w:t>
      </w:r>
      <w:r>
        <w:rPr>
          <w:rFonts w:hint="eastAsia" w:ascii="新宋体" w:hAnsi="新宋体" w:eastAsia="新宋体"/>
          <w:szCs w:val="24"/>
        </w:rPr>
        <w:t>：</w:t>
      </w:r>
    </w:p>
    <w:p w14:paraId="0B38468A">
      <w:pPr>
        <w:widowControl/>
        <w:spacing w:line="380" w:lineRule="exact"/>
        <w:ind w:firstLine="420" w:firstLineChars="200"/>
        <w:jc w:val="left"/>
        <w:rPr>
          <w:rFonts w:ascii="Trebuchet MS" w:hAnsi="新宋体" w:eastAsia="新宋体"/>
          <w:szCs w:val="24"/>
        </w:rPr>
      </w:pPr>
      <w:r>
        <w:rPr>
          <w:rFonts w:ascii="Trebuchet MS" w:hAnsi="新宋体" w:eastAsia="新宋体"/>
          <w:szCs w:val="24"/>
        </w:rPr>
        <w:t xml:space="preserve"> </w:t>
      </w:r>
    </w:p>
    <w:p w14:paraId="65ECBDED">
      <w:pPr>
        <w:widowControl/>
        <w:spacing w:line="380" w:lineRule="exact"/>
        <w:ind w:firstLine="420" w:firstLineChars="200"/>
        <w:jc w:val="left"/>
        <w:rPr>
          <w:rFonts w:ascii="Trebuchet MS" w:hAnsi="Trebuchet MS" w:eastAsia="新宋体" w:cs="宋体"/>
          <w:kern w:val="0"/>
          <w:szCs w:val="21"/>
        </w:rPr>
      </w:pPr>
      <w:r>
        <w:rPr>
          <w:rFonts w:hint="eastAsia" w:ascii="新宋体" w:hAnsi="新宋体" w:eastAsia="新宋体"/>
          <w:szCs w:val="24"/>
        </w:rPr>
        <w:t>若我单位</w:t>
      </w:r>
      <w:r>
        <w:rPr>
          <w:rFonts w:hint="eastAsia" w:ascii="新宋体" w:hAnsi="新宋体" w:eastAsia="新宋体" w:cs="宋体"/>
          <w:kern w:val="0"/>
          <w:szCs w:val="21"/>
        </w:rPr>
        <w:t>有幸获取中标，我单位郑重承诺：在接到开工通知后，响应招标文件的相关规定和要求，并严格按投标文件中的承诺，将完好的、能随时投入施工的各种主要施工设备按施工进度计划的要求进场，满足施工需要，确保不因施工设备而影响施工进度，并自愿、无条件的承担因违反承诺而造成的一切责任和后果！保证严格按设计文件、国家及行业的有关技术要求和质量标准，在合同约定的完工期限内完成并移交全部合格的合同工程。</w:t>
      </w:r>
    </w:p>
    <w:p w14:paraId="6E19F07B">
      <w:pPr>
        <w:widowControl/>
        <w:spacing w:line="380" w:lineRule="exact"/>
        <w:jc w:val="left"/>
        <w:rPr>
          <w:rFonts w:ascii="Trebuchet MS" w:hAnsi="Trebuchet MS" w:eastAsia="新宋体" w:cs="宋体"/>
          <w:kern w:val="0"/>
          <w:szCs w:val="21"/>
        </w:rPr>
      </w:pPr>
      <w:r>
        <w:rPr>
          <w:rFonts w:ascii="Trebuchet MS" w:hAnsi="Trebuchet MS" w:eastAsia="新宋体" w:cs="宋体"/>
          <w:kern w:val="0"/>
          <w:szCs w:val="21"/>
        </w:rPr>
        <w:t xml:space="preserve"> </w:t>
      </w:r>
    </w:p>
    <w:p w14:paraId="121A2B91">
      <w:pPr>
        <w:widowControl/>
        <w:spacing w:line="380" w:lineRule="exact"/>
        <w:jc w:val="left"/>
        <w:rPr>
          <w:rFonts w:ascii="Trebuchet MS" w:hAnsi="Trebuchet MS" w:eastAsia="新宋体" w:cs="宋体"/>
          <w:kern w:val="0"/>
          <w:szCs w:val="21"/>
        </w:rPr>
      </w:pPr>
      <w:r>
        <w:rPr>
          <w:rFonts w:ascii="Trebuchet MS" w:hAnsi="Trebuchet MS" w:eastAsia="新宋体" w:cs="宋体"/>
          <w:kern w:val="0"/>
          <w:szCs w:val="21"/>
        </w:rPr>
        <w:t xml:space="preserve"> </w:t>
      </w:r>
    </w:p>
    <w:p w14:paraId="1EAD3F78">
      <w:pPr>
        <w:widowControl/>
        <w:spacing w:line="380" w:lineRule="exact"/>
        <w:ind w:firstLine="420" w:firstLineChars="200"/>
        <w:jc w:val="left"/>
        <w:rPr>
          <w:rFonts w:ascii="Trebuchet MS" w:hAnsi="Trebuchet MS" w:eastAsia="新宋体" w:cs="宋体"/>
          <w:kern w:val="0"/>
          <w:szCs w:val="21"/>
        </w:rPr>
      </w:pPr>
      <w:r>
        <w:rPr>
          <w:rFonts w:hint="eastAsia" w:ascii="新宋体" w:hAnsi="新宋体" w:eastAsia="新宋体" w:cs="宋体"/>
          <w:kern w:val="0"/>
          <w:szCs w:val="21"/>
        </w:rPr>
        <w:t>特此承诺！</w:t>
      </w:r>
    </w:p>
    <w:p w14:paraId="2E5FB5EC">
      <w:pPr>
        <w:spacing w:line="380" w:lineRule="exact"/>
        <w:ind w:firstLine="4410" w:firstLineChars="2100"/>
        <w:rPr>
          <w:rFonts w:ascii="Trebuchet MS" w:hAnsi="新宋体" w:eastAsia="新宋体" w:cs="Calibri"/>
          <w:szCs w:val="21"/>
        </w:rPr>
      </w:pPr>
      <w:r>
        <w:rPr>
          <w:rFonts w:ascii="Trebuchet MS" w:hAnsi="新宋体" w:eastAsia="新宋体"/>
          <w:szCs w:val="24"/>
        </w:rPr>
        <w:t xml:space="preserve"> </w:t>
      </w:r>
    </w:p>
    <w:p w14:paraId="440FAC88">
      <w:pPr>
        <w:spacing w:line="380" w:lineRule="exact"/>
        <w:ind w:firstLine="4410" w:firstLineChars="2100"/>
        <w:rPr>
          <w:rFonts w:ascii="Trebuchet MS" w:hAnsi="新宋体" w:eastAsia="新宋体"/>
          <w:szCs w:val="24"/>
        </w:rPr>
      </w:pPr>
      <w:r>
        <w:rPr>
          <w:rFonts w:ascii="Trebuchet MS" w:hAnsi="新宋体" w:eastAsia="新宋体"/>
          <w:szCs w:val="24"/>
        </w:rPr>
        <w:t xml:space="preserve"> </w:t>
      </w:r>
    </w:p>
    <w:p w14:paraId="53E61907">
      <w:pPr>
        <w:spacing w:line="380" w:lineRule="exact"/>
        <w:ind w:firstLine="4410" w:firstLineChars="2100"/>
        <w:rPr>
          <w:rFonts w:ascii="Trebuchet MS" w:hAnsi="Trebuchet MS" w:eastAsia="新宋体"/>
          <w:szCs w:val="24"/>
          <w:u w:val="single"/>
        </w:rPr>
      </w:pPr>
      <w:r>
        <w:rPr>
          <w:rFonts w:hint="eastAsia" w:ascii="新宋体" w:hAnsi="新宋体" w:eastAsia="新宋体"/>
          <w:szCs w:val="24"/>
        </w:rPr>
        <w:t>投标人：</w:t>
      </w:r>
      <w:r>
        <w:rPr>
          <w:rFonts w:ascii="Trebuchet MS" w:hAnsi="Trebuchet MS" w:eastAsia="新宋体"/>
          <w:szCs w:val="24"/>
          <w:u w:val="single"/>
        </w:rPr>
        <w:t xml:space="preserve">  </w:t>
      </w:r>
      <w:r>
        <w:rPr>
          <w:rFonts w:hint="eastAsia" w:ascii="新宋体" w:hAnsi="新宋体" w:eastAsia="新宋体"/>
          <w:szCs w:val="24"/>
          <w:u w:val="single"/>
        </w:rPr>
        <w:t xml:space="preserve"> </w:t>
      </w:r>
      <w:r>
        <w:rPr>
          <w:rFonts w:ascii="Trebuchet MS" w:hAnsi="新宋体" w:eastAsia="新宋体"/>
          <w:szCs w:val="24"/>
          <w:u w:val="single"/>
        </w:rPr>
        <w:t xml:space="preserve">  </w:t>
      </w:r>
      <w:r>
        <w:rPr>
          <w:rFonts w:hint="eastAsia" w:ascii="新宋体" w:hAnsi="新宋体" w:eastAsia="新宋体"/>
          <w:szCs w:val="24"/>
          <w:u w:val="single"/>
        </w:rPr>
        <w:t>（盖投标人公章）</w:t>
      </w:r>
      <w:r>
        <w:rPr>
          <w:rFonts w:ascii="Trebuchet MS" w:hAnsi="Trebuchet MS" w:eastAsia="新宋体"/>
          <w:szCs w:val="24"/>
          <w:u w:val="single"/>
        </w:rPr>
        <w:t xml:space="preserve">      </w:t>
      </w:r>
    </w:p>
    <w:p w14:paraId="3411C49E">
      <w:pPr>
        <w:spacing w:line="380" w:lineRule="exact"/>
        <w:ind w:firstLine="2205" w:firstLineChars="1050"/>
        <w:rPr>
          <w:rFonts w:ascii="Trebuchet MS" w:hAnsi="Trebuchet MS" w:eastAsia="新宋体"/>
          <w:szCs w:val="24"/>
        </w:rPr>
      </w:pPr>
      <w:r>
        <w:rPr>
          <w:rFonts w:ascii="Trebuchet MS" w:hAnsi="Trebuchet MS" w:eastAsia="新宋体"/>
          <w:szCs w:val="24"/>
        </w:rPr>
        <w:t xml:space="preserve"> </w:t>
      </w:r>
    </w:p>
    <w:p w14:paraId="7D09CFCB">
      <w:pPr>
        <w:spacing w:line="380" w:lineRule="exact"/>
        <w:ind w:firstLine="4410" w:firstLineChars="2100"/>
        <w:rPr>
          <w:rFonts w:ascii="Trebuchet MS" w:hAnsi="Trebuchet MS" w:eastAsia="新宋体"/>
          <w:szCs w:val="24"/>
        </w:rPr>
      </w:pPr>
      <w:r>
        <w:rPr>
          <w:rFonts w:hint="eastAsia" w:ascii="新宋体" w:hAnsi="新宋体" w:eastAsia="新宋体"/>
          <w:szCs w:val="24"/>
        </w:rPr>
        <w:t>法定代表人：</w:t>
      </w:r>
      <w:r>
        <w:rPr>
          <w:rFonts w:ascii="Trebuchet MS" w:hAnsi="Trebuchet MS" w:eastAsia="新宋体"/>
          <w:szCs w:val="24"/>
          <w:u w:val="single"/>
        </w:rPr>
        <w:t xml:space="preserve">     </w:t>
      </w:r>
      <w:r>
        <w:rPr>
          <w:rFonts w:hint="eastAsia" w:ascii="新宋体" w:hAnsi="新宋体" w:eastAsia="新宋体"/>
          <w:szCs w:val="24"/>
          <w:u w:val="single"/>
        </w:rPr>
        <w:t>（签字或盖章）</w:t>
      </w:r>
      <w:r>
        <w:rPr>
          <w:rFonts w:ascii="Trebuchet MS" w:hAnsi="Trebuchet MS" w:eastAsia="新宋体"/>
          <w:szCs w:val="24"/>
          <w:u w:val="single"/>
        </w:rPr>
        <w:t xml:space="preserve">     </w:t>
      </w:r>
    </w:p>
    <w:p w14:paraId="604F651A">
      <w:pPr>
        <w:spacing w:line="380" w:lineRule="exact"/>
        <w:ind w:firstLine="4725" w:firstLineChars="2250"/>
        <w:rPr>
          <w:rFonts w:ascii="Trebuchet MS" w:hAnsi="Trebuchet MS" w:eastAsia="新宋体"/>
          <w:szCs w:val="24"/>
          <w:u w:val="single"/>
        </w:rPr>
      </w:pPr>
    </w:p>
    <w:p w14:paraId="20A3CE7E">
      <w:pPr>
        <w:spacing w:line="380" w:lineRule="exact"/>
        <w:ind w:firstLine="5355" w:firstLineChars="2550"/>
        <w:rPr>
          <w:rFonts w:ascii="Trebuchet MS" w:hAnsi="Trebuchet MS" w:eastAsia="新宋体"/>
          <w:szCs w:val="24"/>
        </w:rPr>
      </w:pPr>
      <w:r>
        <w:rPr>
          <w:rFonts w:ascii="Trebuchet MS" w:hAnsi="Trebuchet MS" w:eastAsia="新宋体"/>
          <w:szCs w:val="24"/>
          <w:u w:val="single"/>
        </w:rPr>
        <w:t xml:space="preserve">         </w:t>
      </w:r>
      <w:r>
        <w:rPr>
          <w:rFonts w:hint="eastAsia" w:ascii="新宋体" w:hAnsi="新宋体" w:eastAsia="新宋体"/>
          <w:szCs w:val="24"/>
        </w:rPr>
        <w:t>年</w:t>
      </w:r>
      <w:r>
        <w:rPr>
          <w:rFonts w:ascii="Trebuchet MS" w:hAnsi="Trebuchet MS" w:eastAsia="新宋体"/>
          <w:szCs w:val="24"/>
          <w:u w:val="single"/>
        </w:rPr>
        <w:t xml:space="preserve">     </w:t>
      </w:r>
      <w:r>
        <w:rPr>
          <w:rFonts w:hint="eastAsia" w:ascii="新宋体" w:hAnsi="新宋体" w:eastAsia="新宋体"/>
          <w:szCs w:val="24"/>
        </w:rPr>
        <w:t>月</w:t>
      </w:r>
      <w:r>
        <w:rPr>
          <w:rFonts w:ascii="Trebuchet MS" w:hAnsi="Trebuchet MS" w:eastAsia="新宋体"/>
          <w:szCs w:val="24"/>
          <w:u w:val="single"/>
        </w:rPr>
        <w:t xml:space="preserve">    </w:t>
      </w:r>
      <w:r>
        <w:rPr>
          <w:rFonts w:hint="eastAsia" w:ascii="新宋体" w:hAnsi="新宋体" w:eastAsia="新宋体"/>
          <w:szCs w:val="24"/>
        </w:rPr>
        <w:t>日</w:t>
      </w:r>
    </w:p>
    <w:p w14:paraId="0CC7F9BA">
      <w:pPr>
        <w:widowControl/>
        <w:spacing w:line="380" w:lineRule="exact"/>
        <w:jc w:val="center"/>
        <w:rPr>
          <w:rFonts w:ascii="Trebuchet MS" w:hAnsi="Trebuchet MS" w:eastAsia="新宋体"/>
          <w:b/>
          <w:sz w:val="30"/>
          <w:szCs w:val="24"/>
        </w:rPr>
      </w:pPr>
      <w:r>
        <w:rPr>
          <w:rFonts w:ascii="Trebuchet MS" w:hAnsi="Trebuchet MS" w:eastAsia="新宋体"/>
          <w:b/>
          <w:sz w:val="30"/>
          <w:szCs w:val="24"/>
        </w:rPr>
        <w:t xml:space="preserve"> </w:t>
      </w:r>
    </w:p>
    <w:p w14:paraId="1F574653">
      <w:pPr>
        <w:widowControl/>
        <w:spacing w:line="380" w:lineRule="exact"/>
        <w:jc w:val="center"/>
        <w:rPr>
          <w:rFonts w:ascii="Trebuchet MS" w:hAnsi="新宋体" w:eastAsia="新宋体"/>
          <w:b/>
          <w:sz w:val="24"/>
          <w:szCs w:val="24"/>
        </w:rPr>
      </w:pPr>
      <w:r>
        <w:rPr>
          <w:rFonts w:ascii="Trebuchet MS" w:hAnsi="新宋体" w:eastAsia="新宋体"/>
          <w:b/>
          <w:sz w:val="24"/>
          <w:szCs w:val="24"/>
        </w:rPr>
        <w:t xml:space="preserve"> </w:t>
      </w:r>
    </w:p>
    <w:p w14:paraId="6DE19780">
      <w:pPr>
        <w:widowControl/>
        <w:spacing w:line="380" w:lineRule="exact"/>
        <w:jc w:val="center"/>
        <w:rPr>
          <w:rFonts w:ascii="Trebuchet MS" w:hAnsi="新宋体" w:eastAsia="新宋体"/>
          <w:b/>
          <w:sz w:val="24"/>
          <w:szCs w:val="24"/>
        </w:rPr>
      </w:pPr>
      <w:r>
        <w:rPr>
          <w:rFonts w:ascii="Trebuchet MS" w:hAnsi="新宋体" w:eastAsia="新宋体"/>
          <w:b/>
          <w:sz w:val="24"/>
          <w:szCs w:val="24"/>
        </w:rPr>
        <w:t xml:space="preserve"> </w:t>
      </w:r>
    </w:p>
    <w:p w14:paraId="0EA053B5">
      <w:pPr>
        <w:widowControl/>
        <w:spacing w:line="380" w:lineRule="exact"/>
        <w:jc w:val="center"/>
        <w:rPr>
          <w:rFonts w:ascii="Trebuchet MS" w:hAnsi="新宋体" w:eastAsia="新宋体"/>
          <w:b/>
          <w:sz w:val="24"/>
          <w:szCs w:val="24"/>
        </w:rPr>
      </w:pPr>
      <w:r>
        <w:rPr>
          <w:rFonts w:ascii="Trebuchet MS" w:hAnsi="新宋体" w:eastAsia="新宋体"/>
          <w:b/>
          <w:sz w:val="24"/>
          <w:szCs w:val="24"/>
        </w:rPr>
        <w:t xml:space="preserve"> </w:t>
      </w:r>
    </w:p>
    <w:p w14:paraId="0B5FE16C">
      <w:pPr>
        <w:widowControl/>
        <w:spacing w:line="380" w:lineRule="exact"/>
        <w:jc w:val="center"/>
        <w:rPr>
          <w:rFonts w:ascii="Trebuchet MS" w:hAnsi="新宋体" w:eastAsia="新宋体"/>
          <w:b/>
          <w:sz w:val="24"/>
          <w:szCs w:val="24"/>
        </w:rPr>
      </w:pPr>
      <w:r>
        <w:rPr>
          <w:rFonts w:ascii="Trebuchet MS" w:hAnsi="新宋体" w:eastAsia="新宋体"/>
          <w:b/>
          <w:sz w:val="24"/>
          <w:szCs w:val="24"/>
        </w:rPr>
        <w:t xml:space="preserve"> </w:t>
      </w:r>
    </w:p>
    <w:p w14:paraId="4EA7F3FC">
      <w:pPr>
        <w:widowControl/>
        <w:spacing w:line="380" w:lineRule="exact"/>
        <w:jc w:val="center"/>
        <w:rPr>
          <w:rFonts w:ascii="Trebuchet MS" w:hAnsi="新宋体" w:eastAsia="新宋体"/>
          <w:b/>
          <w:sz w:val="24"/>
          <w:szCs w:val="24"/>
        </w:rPr>
      </w:pPr>
      <w:r>
        <w:rPr>
          <w:rFonts w:ascii="Trebuchet MS" w:hAnsi="新宋体" w:eastAsia="新宋体"/>
          <w:b/>
          <w:sz w:val="24"/>
          <w:szCs w:val="24"/>
        </w:rPr>
        <w:t xml:space="preserve"> </w:t>
      </w:r>
    </w:p>
    <w:p w14:paraId="724D7501">
      <w:pPr>
        <w:widowControl/>
        <w:spacing w:line="380" w:lineRule="exact"/>
        <w:jc w:val="center"/>
        <w:rPr>
          <w:rFonts w:ascii="Trebuchet MS" w:hAnsi="新宋体" w:eastAsia="新宋体"/>
          <w:b/>
          <w:sz w:val="24"/>
          <w:szCs w:val="24"/>
        </w:rPr>
      </w:pPr>
      <w:r>
        <w:rPr>
          <w:rFonts w:ascii="Trebuchet MS" w:hAnsi="新宋体" w:eastAsia="新宋体"/>
          <w:b/>
          <w:sz w:val="24"/>
          <w:szCs w:val="24"/>
        </w:rPr>
        <w:t xml:space="preserve"> </w:t>
      </w:r>
    </w:p>
    <w:p w14:paraId="4FE897DB">
      <w:pPr>
        <w:widowControl/>
        <w:spacing w:line="380" w:lineRule="exact"/>
        <w:jc w:val="center"/>
        <w:rPr>
          <w:rFonts w:ascii="Trebuchet MS" w:hAnsi="新宋体" w:eastAsia="新宋体"/>
          <w:b/>
          <w:sz w:val="24"/>
          <w:szCs w:val="24"/>
        </w:rPr>
      </w:pPr>
      <w:r>
        <w:rPr>
          <w:rFonts w:ascii="Trebuchet MS" w:hAnsi="新宋体" w:eastAsia="新宋体"/>
          <w:b/>
          <w:sz w:val="24"/>
          <w:szCs w:val="24"/>
        </w:rPr>
        <w:t xml:space="preserve"> </w:t>
      </w:r>
    </w:p>
    <w:p w14:paraId="7661B975">
      <w:pPr>
        <w:widowControl/>
        <w:spacing w:line="380" w:lineRule="exact"/>
        <w:jc w:val="center"/>
        <w:rPr>
          <w:rFonts w:ascii="Trebuchet MS" w:hAnsi="新宋体" w:eastAsia="新宋体"/>
          <w:b/>
          <w:sz w:val="24"/>
          <w:szCs w:val="24"/>
        </w:rPr>
      </w:pPr>
      <w:r>
        <w:rPr>
          <w:rFonts w:ascii="Trebuchet MS" w:hAnsi="新宋体" w:eastAsia="新宋体"/>
          <w:b/>
          <w:sz w:val="24"/>
          <w:szCs w:val="24"/>
        </w:rPr>
        <w:t xml:space="preserve"> </w:t>
      </w:r>
    </w:p>
    <w:p w14:paraId="330F9303">
      <w:pPr>
        <w:widowControl/>
        <w:spacing w:line="380" w:lineRule="exact"/>
        <w:jc w:val="center"/>
        <w:rPr>
          <w:rFonts w:ascii="Trebuchet MS" w:hAnsi="新宋体" w:eastAsia="新宋体"/>
          <w:b/>
          <w:sz w:val="24"/>
          <w:szCs w:val="24"/>
        </w:rPr>
      </w:pPr>
      <w:r>
        <w:rPr>
          <w:rFonts w:ascii="Trebuchet MS" w:hAnsi="新宋体" w:eastAsia="新宋体"/>
          <w:b/>
          <w:sz w:val="24"/>
          <w:szCs w:val="24"/>
        </w:rPr>
        <w:t xml:space="preserve"> </w:t>
      </w:r>
    </w:p>
    <w:p w14:paraId="784F7D04">
      <w:pPr>
        <w:widowControl/>
        <w:spacing w:line="380" w:lineRule="exact"/>
        <w:jc w:val="center"/>
        <w:rPr>
          <w:rFonts w:hint="eastAsia" w:ascii="黑体" w:hAnsi="宋体" w:eastAsia="黑体"/>
          <w:b/>
          <w:sz w:val="24"/>
          <w:szCs w:val="24"/>
        </w:rPr>
      </w:pPr>
      <w:r>
        <w:rPr>
          <w:rFonts w:ascii="Trebuchet MS" w:hAnsi="新宋体" w:eastAsia="新宋体"/>
          <w:b/>
          <w:sz w:val="24"/>
          <w:szCs w:val="24"/>
        </w:rPr>
        <w:t xml:space="preserve"> </w:t>
      </w:r>
      <w:r>
        <w:rPr>
          <w:rFonts w:hint="eastAsia" w:ascii="黑体" w:hAnsi="宋体" w:eastAsia="黑体"/>
          <w:b/>
          <w:sz w:val="24"/>
          <w:szCs w:val="24"/>
        </w:rPr>
        <w:t xml:space="preserve">  </w:t>
      </w:r>
    </w:p>
    <w:p w14:paraId="76B85CB7">
      <w:pPr>
        <w:widowControl/>
        <w:spacing w:line="380" w:lineRule="exact"/>
        <w:jc w:val="center"/>
        <w:rPr>
          <w:rFonts w:hint="eastAsia" w:ascii="黑体" w:hAnsi="黑体" w:eastAsia="黑体"/>
          <w:b/>
          <w:sz w:val="24"/>
          <w:szCs w:val="24"/>
        </w:rPr>
      </w:pPr>
    </w:p>
    <w:p w14:paraId="1CB79834">
      <w:pPr>
        <w:widowControl/>
        <w:spacing w:line="380" w:lineRule="exact"/>
        <w:jc w:val="center"/>
        <w:rPr>
          <w:rFonts w:hint="eastAsia" w:ascii="黑体" w:hAnsi="黑体" w:eastAsia="黑体"/>
          <w:b/>
          <w:sz w:val="24"/>
          <w:szCs w:val="24"/>
        </w:rPr>
      </w:pPr>
    </w:p>
    <w:p w14:paraId="56E6A921">
      <w:pPr>
        <w:widowControl/>
        <w:spacing w:line="380" w:lineRule="exact"/>
        <w:jc w:val="center"/>
        <w:rPr>
          <w:rFonts w:hint="eastAsia" w:ascii="黑体" w:hAnsi="黑体" w:eastAsia="黑体"/>
          <w:b/>
          <w:sz w:val="24"/>
          <w:szCs w:val="24"/>
        </w:rPr>
      </w:pPr>
    </w:p>
    <w:p w14:paraId="14AF3CFE">
      <w:pPr>
        <w:widowControl/>
        <w:spacing w:line="380" w:lineRule="exact"/>
        <w:jc w:val="center"/>
        <w:rPr>
          <w:rFonts w:hint="eastAsia" w:ascii="黑体" w:hAnsi="黑体" w:eastAsia="黑体"/>
          <w:b/>
          <w:sz w:val="24"/>
          <w:szCs w:val="24"/>
        </w:rPr>
      </w:pPr>
    </w:p>
    <w:p w14:paraId="7F3EE351">
      <w:pPr>
        <w:widowControl/>
        <w:spacing w:line="380" w:lineRule="exact"/>
        <w:rPr>
          <w:rFonts w:hint="eastAsia" w:ascii="黑体" w:hAnsi="黑体" w:eastAsia="黑体"/>
          <w:b/>
          <w:sz w:val="24"/>
          <w:szCs w:val="24"/>
        </w:rPr>
      </w:pPr>
    </w:p>
    <w:p w14:paraId="6627A2E0">
      <w:pPr>
        <w:widowControl/>
        <w:spacing w:line="380" w:lineRule="exact"/>
        <w:jc w:val="center"/>
        <w:rPr>
          <w:rFonts w:hint="eastAsia" w:ascii="黑体" w:hAnsi="黑体" w:eastAsia="黑体"/>
          <w:b/>
          <w:sz w:val="24"/>
          <w:szCs w:val="24"/>
        </w:rPr>
      </w:pPr>
    </w:p>
    <w:p w14:paraId="77EC130A">
      <w:pPr>
        <w:widowControl/>
        <w:spacing w:line="380" w:lineRule="exact"/>
        <w:jc w:val="center"/>
        <w:rPr>
          <w:rFonts w:hint="eastAsia" w:ascii="黑体" w:hAnsi="宋体" w:eastAsia="黑体"/>
          <w:b/>
          <w:sz w:val="24"/>
          <w:szCs w:val="24"/>
        </w:rPr>
      </w:pPr>
      <w:r>
        <w:rPr>
          <w:rFonts w:hint="eastAsia" w:ascii="黑体" w:hAnsi="黑体" w:eastAsia="黑体"/>
          <w:b/>
          <w:sz w:val="24"/>
          <w:szCs w:val="24"/>
        </w:rPr>
        <w:t>（二）主要人员投入承诺书</w:t>
      </w:r>
    </w:p>
    <w:p w14:paraId="3B435961">
      <w:pPr>
        <w:widowControl/>
        <w:spacing w:line="380" w:lineRule="exact"/>
        <w:jc w:val="center"/>
        <w:rPr>
          <w:rFonts w:hint="eastAsia" w:ascii="Trebuchet MS" w:hAnsi="Trebuchet MS" w:eastAsia="新宋体"/>
          <w:b/>
          <w:sz w:val="24"/>
          <w:szCs w:val="24"/>
        </w:rPr>
      </w:pPr>
      <w:r>
        <w:rPr>
          <w:rFonts w:ascii="Trebuchet MS" w:hAnsi="Trebuchet MS" w:eastAsia="新宋体"/>
          <w:b/>
          <w:sz w:val="24"/>
          <w:szCs w:val="24"/>
        </w:rPr>
        <w:t xml:space="preserve"> </w:t>
      </w:r>
    </w:p>
    <w:p w14:paraId="1120B848">
      <w:pPr>
        <w:widowControl/>
        <w:spacing w:line="380" w:lineRule="exact"/>
        <w:jc w:val="left"/>
        <w:rPr>
          <w:rFonts w:ascii="Trebuchet MS" w:hAnsi="新宋体" w:eastAsia="新宋体"/>
          <w:szCs w:val="24"/>
          <w:u w:val="single"/>
        </w:rPr>
      </w:pPr>
    </w:p>
    <w:p w14:paraId="71F5EACA">
      <w:pPr>
        <w:widowControl/>
        <w:spacing w:line="380" w:lineRule="exact"/>
        <w:jc w:val="left"/>
        <w:rPr>
          <w:rFonts w:ascii="Trebuchet MS" w:hAnsi="Trebuchet MS" w:eastAsia="新宋体"/>
          <w:szCs w:val="24"/>
        </w:rPr>
      </w:pPr>
      <w:r>
        <w:rPr>
          <w:rFonts w:ascii="Trebuchet MS" w:hAnsi="新宋体" w:eastAsia="新宋体"/>
          <w:szCs w:val="24"/>
          <w:u w:val="single"/>
        </w:rPr>
        <w:t xml:space="preserve">        </w:t>
      </w:r>
      <w:r>
        <w:rPr>
          <w:rFonts w:hint="eastAsia" w:ascii="新宋体" w:hAnsi="新宋体" w:eastAsia="新宋体"/>
          <w:szCs w:val="24"/>
          <w:u w:val="single"/>
        </w:rPr>
        <w:t>（招标人名称）</w:t>
      </w:r>
      <w:r>
        <w:rPr>
          <w:rFonts w:ascii="Trebuchet MS" w:hAnsi="新宋体" w:eastAsia="新宋体"/>
          <w:szCs w:val="24"/>
          <w:u w:val="single"/>
        </w:rPr>
        <w:t xml:space="preserve">          </w:t>
      </w:r>
      <w:r>
        <w:rPr>
          <w:rFonts w:hint="eastAsia" w:ascii="新宋体" w:hAnsi="新宋体" w:eastAsia="新宋体"/>
          <w:szCs w:val="24"/>
        </w:rPr>
        <w:t>：</w:t>
      </w:r>
    </w:p>
    <w:p w14:paraId="274A94A6">
      <w:pPr>
        <w:widowControl/>
        <w:spacing w:line="380" w:lineRule="exact"/>
        <w:ind w:firstLine="420" w:firstLineChars="200"/>
        <w:jc w:val="left"/>
        <w:rPr>
          <w:rFonts w:ascii="Trebuchet MS" w:hAnsi="新宋体" w:eastAsia="新宋体"/>
          <w:szCs w:val="24"/>
        </w:rPr>
      </w:pPr>
      <w:r>
        <w:rPr>
          <w:rFonts w:ascii="Trebuchet MS" w:hAnsi="新宋体" w:eastAsia="新宋体"/>
          <w:szCs w:val="24"/>
        </w:rPr>
        <w:t xml:space="preserve"> </w:t>
      </w:r>
    </w:p>
    <w:p w14:paraId="7891918B">
      <w:pPr>
        <w:widowControl/>
        <w:spacing w:line="380" w:lineRule="exact"/>
        <w:ind w:firstLine="420" w:firstLineChars="200"/>
        <w:jc w:val="left"/>
        <w:rPr>
          <w:rFonts w:ascii="Trebuchet MS" w:hAnsi="Trebuchet MS" w:eastAsia="新宋体" w:cs="宋体"/>
          <w:kern w:val="0"/>
          <w:szCs w:val="21"/>
        </w:rPr>
      </w:pPr>
      <w:r>
        <w:rPr>
          <w:rFonts w:hint="eastAsia" w:ascii="新宋体" w:hAnsi="新宋体" w:eastAsia="新宋体"/>
          <w:szCs w:val="24"/>
        </w:rPr>
        <w:t>若我单位</w:t>
      </w:r>
      <w:r>
        <w:rPr>
          <w:rFonts w:hint="eastAsia" w:ascii="新宋体" w:hAnsi="新宋体" w:eastAsia="新宋体" w:cs="宋体"/>
          <w:kern w:val="0"/>
          <w:szCs w:val="21"/>
        </w:rPr>
        <w:t>有幸获取中标，我单位郑重承诺：在接到中标通知后，立即完成项目管理机构的组建，并按招标文件的要求和投标文件中的承诺，派遣能完全满足本合同工程管理、施工组织、工程技术和质量等要求所需的项目经理；能完全满足本合同工程技术和复杂程度要求的技术负责人；能完全满足合同工期完工的施工进度计划要求的施工技术和质量管理人员；以及能完全满足本合同工程各项管理要求所需的各类主要管理人员，并自愿、无条件的承担因违反承诺而造成的一切责任和后果！保证严格按设计文件、国家及行业的有关技术要求和质量标准，在合同约定的完工期限内完成并移交全部合格的合同工程。</w:t>
      </w:r>
    </w:p>
    <w:p w14:paraId="07E2FBF2">
      <w:pPr>
        <w:widowControl/>
        <w:spacing w:line="380" w:lineRule="exact"/>
        <w:jc w:val="left"/>
        <w:rPr>
          <w:rFonts w:ascii="Trebuchet MS" w:hAnsi="Trebuchet MS" w:eastAsia="新宋体" w:cs="宋体"/>
          <w:kern w:val="0"/>
          <w:szCs w:val="21"/>
        </w:rPr>
      </w:pPr>
      <w:r>
        <w:rPr>
          <w:rFonts w:ascii="Trebuchet MS" w:hAnsi="Trebuchet MS" w:eastAsia="新宋体" w:cs="宋体"/>
          <w:kern w:val="0"/>
          <w:szCs w:val="21"/>
        </w:rPr>
        <w:t xml:space="preserve"> </w:t>
      </w:r>
    </w:p>
    <w:p w14:paraId="401209BA">
      <w:pPr>
        <w:widowControl/>
        <w:spacing w:line="380" w:lineRule="exact"/>
        <w:jc w:val="left"/>
        <w:rPr>
          <w:rFonts w:ascii="Trebuchet MS" w:hAnsi="Trebuchet MS" w:eastAsia="新宋体" w:cs="宋体"/>
          <w:kern w:val="0"/>
          <w:szCs w:val="21"/>
        </w:rPr>
      </w:pPr>
      <w:r>
        <w:rPr>
          <w:rFonts w:ascii="Trebuchet MS" w:hAnsi="Trebuchet MS" w:eastAsia="新宋体" w:cs="宋体"/>
          <w:kern w:val="0"/>
          <w:szCs w:val="21"/>
        </w:rPr>
        <w:t xml:space="preserve"> </w:t>
      </w:r>
    </w:p>
    <w:p w14:paraId="3ED381DE">
      <w:pPr>
        <w:widowControl/>
        <w:spacing w:line="380" w:lineRule="exact"/>
        <w:ind w:firstLine="525" w:firstLineChars="250"/>
        <w:jc w:val="left"/>
        <w:rPr>
          <w:rFonts w:ascii="Trebuchet MS" w:hAnsi="Trebuchet MS" w:eastAsia="新宋体" w:cs="宋体"/>
          <w:kern w:val="0"/>
          <w:szCs w:val="21"/>
        </w:rPr>
      </w:pPr>
      <w:r>
        <w:rPr>
          <w:rFonts w:hint="eastAsia" w:ascii="新宋体" w:hAnsi="新宋体" w:eastAsia="新宋体" w:cs="宋体"/>
          <w:kern w:val="0"/>
          <w:szCs w:val="21"/>
        </w:rPr>
        <w:t>特此承诺！</w:t>
      </w:r>
    </w:p>
    <w:p w14:paraId="5FB3A2D9">
      <w:pPr>
        <w:spacing w:line="380" w:lineRule="exact"/>
        <w:ind w:firstLine="4410" w:firstLineChars="2100"/>
        <w:rPr>
          <w:rFonts w:ascii="Trebuchet MS" w:hAnsi="新宋体" w:eastAsia="新宋体" w:cs="Calibri"/>
          <w:szCs w:val="21"/>
        </w:rPr>
      </w:pPr>
      <w:r>
        <w:rPr>
          <w:rFonts w:ascii="Trebuchet MS" w:hAnsi="新宋体" w:eastAsia="新宋体"/>
          <w:szCs w:val="24"/>
        </w:rPr>
        <w:t xml:space="preserve"> </w:t>
      </w:r>
    </w:p>
    <w:p w14:paraId="733F8F8A">
      <w:pPr>
        <w:spacing w:line="380" w:lineRule="exact"/>
        <w:ind w:firstLine="4410" w:firstLineChars="2100"/>
        <w:rPr>
          <w:rFonts w:ascii="Trebuchet MS" w:hAnsi="新宋体" w:eastAsia="新宋体"/>
          <w:szCs w:val="24"/>
        </w:rPr>
      </w:pPr>
      <w:r>
        <w:rPr>
          <w:rFonts w:ascii="Trebuchet MS" w:hAnsi="新宋体" w:eastAsia="新宋体"/>
          <w:szCs w:val="24"/>
        </w:rPr>
        <w:t xml:space="preserve"> </w:t>
      </w:r>
    </w:p>
    <w:p w14:paraId="3DEEF059">
      <w:pPr>
        <w:spacing w:line="380" w:lineRule="exact"/>
        <w:ind w:firstLine="4410" w:firstLineChars="2100"/>
        <w:rPr>
          <w:rFonts w:ascii="Trebuchet MS" w:hAnsi="Trebuchet MS" w:eastAsia="新宋体"/>
          <w:szCs w:val="24"/>
          <w:u w:val="single"/>
        </w:rPr>
      </w:pPr>
      <w:r>
        <w:rPr>
          <w:rFonts w:hint="eastAsia" w:ascii="新宋体" w:hAnsi="新宋体" w:eastAsia="新宋体"/>
          <w:szCs w:val="24"/>
        </w:rPr>
        <w:t>投标人：</w:t>
      </w:r>
      <w:r>
        <w:rPr>
          <w:rFonts w:ascii="Trebuchet MS" w:hAnsi="Trebuchet MS" w:eastAsia="新宋体"/>
          <w:szCs w:val="24"/>
          <w:u w:val="single"/>
        </w:rPr>
        <w:t xml:space="preserve">  </w:t>
      </w:r>
      <w:r>
        <w:rPr>
          <w:rFonts w:hint="eastAsia" w:ascii="新宋体" w:hAnsi="新宋体" w:eastAsia="新宋体"/>
          <w:szCs w:val="24"/>
          <w:u w:val="single"/>
        </w:rPr>
        <w:t xml:space="preserve"> </w:t>
      </w:r>
      <w:r>
        <w:rPr>
          <w:rFonts w:ascii="Trebuchet MS" w:hAnsi="新宋体" w:eastAsia="新宋体"/>
          <w:szCs w:val="24"/>
          <w:u w:val="single"/>
        </w:rPr>
        <w:t xml:space="preserve">   </w:t>
      </w:r>
      <w:r>
        <w:rPr>
          <w:rFonts w:hint="eastAsia" w:ascii="新宋体" w:hAnsi="新宋体" w:eastAsia="新宋体"/>
          <w:szCs w:val="24"/>
          <w:u w:val="single"/>
        </w:rPr>
        <w:t>（盖投标人公章）</w:t>
      </w:r>
      <w:r>
        <w:rPr>
          <w:rFonts w:ascii="Trebuchet MS" w:hAnsi="Trebuchet MS" w:eastAsia="新宋体"/>
          <w:szCs w:val="24"/>
          <w:u w:val="single"/>
        </w:rPr>
        <w:t xml:space="preserve">       </w:t>
      </w:r>
    </w:p>
    <w:p w14:paraId="7C0FF5AF">
      <w:pPr>
        <w:spacing w:line="380" w:lineRule="exact"/>
        <w:ind w:firstLine="2205" w:firstLineChars="1050"/>
        <w:rPr>
          <w:rFonts w:ascii="Trebuchet MS" w:hAnsi="Trebuchet MS" w:eastAsia="新宋体"/>
          <w:szCs w:val="24"/>
        </w:rPr>
      </w:pPr>
      <w:r>
        <w:rPr>
          <w:rFonts w:ascii="Trebuchet MS" w:hAnsi="Trebuchet MS" w:eastAsia="新宋体"/>
          <w:szCs w:val="24"/>
        </w:rPr>
        <w:t xml:space="preserve"> </w:t>
      </w:r>
    </w:p>
    <w:p w14:paraId="3D0D6E55">
      <w:pPr>
        <w:spacing w:line="380" w:lineRule="exact"/>
        <w:ind w:firstLine="4410" w:firstLineChars="2100"/>
        <w:rPr>
          <w:rFonts w:ascii="Trebuchet MS" w:hAnsi="Trebuchet MS" w:eastAsia="新宋体"/>
          <w:szCs w:val="24"/>
        </w:rPr>
      </w:pPr>
      <w:r>
        <w:rPr>
          <w:rFonts w:hint="eastAsia" w:ascii="新宋体" w:hAnsi="新宋体" w:eastAsia="新宋体"/>
          <w:szCs w:val="24"/>
        </w:rPr>
        <w:t>法定代表人：</w:t>
      </w:r>
      <w:r>
        <w:rPr>
          <w:rFonts w:ascii="Trebuchet MS" w:hAnsi="Trebuchet MS" w:eastAsia="新宋体"/>
          <w:szCs w:val="24"/>
          <w:u w:val="single"/>
        </w:rPr>
        <w:t xml:space="preserve">      </w:t>
      </w:r>
      <w:r>
        <w:rPr>
          <w:rFonts w:hint="eastAsia" w:ascii="新宋体" w:hAnsi="新宋体" w:eastAsia="新宋体"/>
          <w:szCs w:val="24"/>
          <w:u w:val="single"/>
        </w:rPr>
        <w:t>（签字或盖章）</w:t>
      </w:r>
      <w:r>
        <w:rPr>
          <w:rFonts w:ascii="Trebuchet MS" w:hAnsi="Trebuchet MS" w:eastAsia="新宋体"/>
          <w:szCs w:val="24"/>
          <w:u w:val="single"/>
        </w:rPr>
        <w:t xml:space="preserve">      </w:t>
      </w:r>
    </w:p>
    <w:p w14:paraId="218C7258">
      <w:pPr>
        <w:spacing w:line="380" w:lineRule="exact"/>
        <w:ind w:firstLine="4725" w:firstLineChars="2250"/>
        <w:rPr>
          <w:rFonts w:ascii="Trebuchet MS" w:hAnsi="Trebuchet MS" w:eastAsia="新宋体"/>
          <w:szCs w:val="24"/>
          <w:u w:val="single"/>
        </w:rPr>
      </w:pPr>
    </w:p>
    <w:p w14:paraId="373886B1">
      <w:pPr>
        <w:spacing w:line="380" w:lineRule="exact"/>
        <w:ind w:firstLine="5355" w:firstLineChars="2550"/>
        <w:rPr>
          <w:rFonts w:ascii="Trebuchet MS" w:hAnsi="Trebuchet MS" w:eastAsia="新宋体"/>
          <w:szCs w:val="24"/>
        </w:rPr>
      </w:pPr>
      <w:r>
        <w:rPr>
          <w:rFonts w:ascii="Trebuchet MS" w:hAnsi="Trebuchet MS" w:eastAsia="新宋体"/>
          <w:szCs w:val="24"/>
          <w:u w:val="single"/>
        </w:rPr>
        <w:t xml:space="preserve">          </w:t>
      </w:r>
      <w:r>
        <w:rPr>
          <w:rFonts w:hint="eastAsia" w:ascii="新宋体" w:hAnsi="新宋体" w:eastAsia="新宋体"/>
          <w:szCs w:val="24"/>
        </w:rPr>
        <w:t>年</w:t>
      </w:r>
      <w:r>
        <w:rPr>
          <w:rFonts w:ascii="Trebuchet MS" w:hAnsi="Trebuchet MS" w:eastAsia="新宋体"/>
          <w:szCs w:val="24"/>
          <w:u w:val="single"/>
        </w:rPr>
        <w:t xml:space="preserve">     </w:t>
      </w:r>
      <w:r>
        <w:rPr>
          <w:rFonts w:hint="eastAsia" w:ascii="新宋体" w:hAnsi="新宋体" w:eastAsia="新宋体"/>
          <w:szCs w:val="24"/>
        </w:rPr>
        <w:t>月</w:t>
      </w:r>
      <w:r>
        <w:rPr>
          <w:rFonts w:ascii="Trebuchet MS" w:hAnsi="Trebuchet MS" w:eastAsia="新宋体"/>
          <w:szCs w:val="24"/>
          <w:u w:val="single"/>
        </w:rPr>
        <w:t xml:space="preserve">    </w:t>
      </w:r>
      <w:r>
        <w:rPr>
          <w:rFonts w:hint="eastAsia" w:ascii="新宋体" w:hAnsi="新宋体" w:eastAsia="新宋体"/>
          <w:szCs w:val="24"/>
        </w:rPr>
        <w:t>日</w:t>
      </w:r>
    </w:p>
    <w:p w14:paraId="6660AC1E">
      <w:pPr>
        <w:widowControl/>
        <w:spacing w:line="380" w:lineRule="exact"/>
        <w:jc w:val="center"/>
        <w:rPr>
          <w:rFonts w:ascii="Trebuchet MS" w:hAnsi="新宋体" w:eastAsia="新宋体"/>
          <w:b/>
          <w:szCs w:val="24"/>
        </w:rPr>
      </w:pPr>
      <w:r>
        <w:rPr>
          <w:rFonts w:ascii="Trebuchet MS" w:hAnsi="新宋体" w:eastAsia="新宋体"/>
          <w:b/>
          <w:szCs w:val="24"/>
        </w:rPr>
        <w:t xml:space="preserve"> </w:t>
      </w:r>
    </w:p>
    <w:p w14:paraId="798259A0">
      <w:pPr>
        <w:widowControl/>
        <w:spacing w:line="380" w:lineRule="exact"/>
        <w:jc w:val="center"/>
        <w:rPr>
          <w:rFonts w:ascii="Trebuchet MS" w:hAnsi="新宋体" w:eastAsia="新宋体"/>
          <w:b/>
          <w:sz w:val="24"/>
          <w:szCs w:val="24"/>
        </w:rPr>
      </w:pPr>
      <w:r>
        <w:rPr>
          <w:rFonts w:ascii="Trebuchet MS" w:hAnsi="新宋体" w:eastAsia="新宋体"/>
          <w:b/>
          <w:sz w:val="24"/>
          <w:szCs w:val="24"/>
        </w:rPr>
        <w:t xml:space="preserve"> </w:t>
      </w:r>
    </w:p>
    <w:p w14:paraId="35E8D6B3">
      <w:pPr>
        <w:widowControl/>
        <w:spacing w:line="380" w:lineRule="exact"/>
        <w:jc w:val="center"/>
        <w:rPr>
          <w:rFonts w:ascii="Trebuchet MS" w:hAnsi="新宋体" w:eastAsia="新宋体"/>
          <w:b/>
          <w:sz w:val="24"/>
          <w:szCs w:val="24"/>
        </w:rPr>
      </w:pPr>
      <w:r>
        <w:rPr>
          <w:rFonts w:ascii="Trebuchet MS" w:hAnsi="新宋体" w:eastAsia="新宋体"/>
          <w:b/>
          <w:sz w:val="24"/>
          <w:szCs w:val="24"/>
        </w:rPr>
        <w:t xml:space="preserve"> </w:t>
      </w:r>
    </w:p>
    <w:p w14:paraId="1797274B">
      <w:pPr>
        <w:widowControl/>
        <w:spacing w:line="380" w:lineRule="exact"/>
        <w:jc w:val="center"/>
        <w:rPr>
          <w:rFonts w:ascii="Trebuchet MS" w:hAnsi="新宋体" w:eastAsia="新宋体"/>
          <w:b/>
          <w:sz w:val="24"/>
          <w:szCs w:val="24"/>
        </w:rPr>
      </w:pPr>
      <w:r>
        <w:rPr>
          <w:rFonts w:ascii="Trebuchet MS" w:hAnsi="新宋体" w:eastAsia="新宋体"/>
          <w:b/>
          <w:sz w:val="24"/>
          <w:szCs w:val="24"/>
        </w:rPr>
        <w:t xml:space="preserve"> </w:t>
      </w:r>
    </w:p>
    <w:p w14:paraId="68229EF8">
      <w:pPr>
        <w:widowControl/>
        <w:spacing w:line="380" w:lineRule="exact"/>
        <w:jc w:val="center"/>
        <w:rPr>
          <w:rFonts w:ascii="Trebuchet MS" w:hAnsi="新宋体" w:eastAsia="新宋体"/>
          <w:b/>
          <w:sz w:val="24"/>
          <w:szCs w:val="24"/>
        </w:rPr>
      </w:pPr>
      <w:r>
        <w:rPr>
          <w:rFonts w:ascii="Trebuchet MS" w:hAnsi="新宋体" w:eastAsia="新宋体"/>
          <w:b/>
          <w:sz w:val="24"/>
          <w:szCs w:val="24"/>
        </w:rPr>
        <w:t xml:space="preserve"> </w:t>
      </w:r>
    </w:p>
    <w:p w14:paraId="7953718B">
      <w:pPr>
        <w:widowControl/>
        <w:spacing w:line="380" w:lineRule="exact"/>
        <w:jc w:val="center"/>
        <w:rPr>
          <w:rFonts w:ascii="Trebuchet MS" w:hAnsi="新宋体" w:eastAsia="新宋体"/>
          <w:b/>
          <w:sz w:val="24"/>
          <w:szCs w:val="24"/>
        </w:rPr>
      </w:pPr>
      <w:r>
        <w:rPr>
          <w:rFonts w:ascii="Trebuchet MS" w:hAnsi="新宋体" w:eastAsia="新宋体"/>
          <w:b/>
          <w:sz w:val="24"/>
          <w:szCs w:val="24"/>
        </w:rPr>
        <w:t xml:space="preserve"> </w:t>
      </w:r>
    </w:p>
    <w:p w14:paraId="738EB050">
      <w:pPr>
        <w:widowControl/>
        <w:spacing w:line="380" w:lineRule="exact"/>
        <w:jc w:val="center"/>
        <w:rPr>
          <w:rFonts w:ascii="Trebuchet MS" w:hAnsi="新宋体" w:eastAsia="新宋体"/>
          <w:b/>
          <w:sz w:val="24"/>
          <w:szCs w:val="24"/>
        </w:rPr>
      </w:pPr>
      <w:r>
        <w:rPr>
          <w:rFonts w:ascii="Trebuchet MS" w:hAnsi="新宋体" w:eastAsia="新宋体"/>
          <w:b/>
          <w:sz w:val="24"/>
          <w:szCs w:val="24"/>
        </w:rPr>
        <w:t xml:space="preserve"> </w:t>
      </w:r>
    </w:p>
    <w:p w14:paraId="6EC98BCE">
      <w:pPr>
        <w:widowControl/>
        <w:spacing w:line="380" w:lineRule="exact"/>
        <w:jc w:val="center"/>
        <w:rPr>
          <w:rFonts w:ascii="Trebuchet MS" w:hAnsi="新宋体" w:eastAsia="新宋体"/>
          <w:b/>
          <w:sz w:val="24"/>
          <w:szCs w:val="24"/>
        </w:rPr>
      </w:pPr>
      <w:r>
        <w:rPr>
          <w:rFonts w:ascii="Trebuchet MS" w:hAnsi="新宋体" w:eastAsia="新宋体"/>
          <w:b/>
          <w:sz w:val="24"/>
          <w:szCs w:val="24"/>
        </w:rPr>
        <w:t xml:space="preserve"> </w:t>
      </w:r>
    </w:p>
    <w:p w14:paraId="4AFC70C9">
      <w:pPr>
        <w:widowControl/>
        <w:spacing w:line="380" w:lineRule="exact"/>
        <w:jc w:val="center"/>
        <w:rPr>
          <w:rFonts w:ascii="Trebuchet MS" w:hAnsi="新宋体" w:eastAsia="新宋体"/>
          <w:b/>
          <w:sz w:val="24"/>
          <w:szCs w:val="24"/>
        </w:rPr>
      </w:pPr>
      <w:r>
        <w:rPr>
          <w:rFonts w:ascii="Trebuchet MS" w:hAnsi="新宋体" w:eastAsia="新宋体"/>
          <w:b/>
          <w:sz w:val="24"/>
          <w:szCs w:val="24"/>
        </w:rPr>
        <w:t xml:space="preserve"> </w:t>
      </w:r>
    </w:p>
    <w:p w14:paraId="111290C9">
      <w:pPr>
        <w:widowControl/>
        <w:spacing w:line="380" w:lineRule="exact"/>
        <w:jc w:val="center"/>
        <w:rPr>
          <w:rFonts w:ascii="Trebuchet MS" w:hAnsi="新宋体" w:eastAsia="新宋体"/>
          <w:b/>
          <w:sz w:val="24"/>
          <w:szCs w:val="24"/>
        </w:rPr>
      </w:pPr>
      <w:r>
        <w:rPr>
          <w:rFonts w:ascii="Trebuchet MS" w:hAnsi="新宋体" w:eastAsia="新宋体"/>
          <w:b/>
          <w:sz w:val="24"/>
          <w:szCs w:val="24"/>
        </w:rPr>
        <w:t xml:space="preserve"> </w:t>
      </w:r>
    </w:p>
    <w:p w14:paraId="7A2A8FD4">
      <w:pPr>
        <w:widowControl/>
        <w:spacing w:line="380" w:lineRule="exact"/>
        <w:jc w:val="center"/>
        <w:rPr>
          <w:rFonts w:ascii="Trebuchet MS" w:hAnsi="新宋体" w:eastAsia="新宋体"/>
          <w:b/>
          <w:sz w:val="24"/>
          <w:szCs w:val="24"/>
        </w:rPr>
      </w:pPr>
    </w:p>
    <w:p w14:paraId="028694CB">
      <w:pPr>
        <w:widowControl/>
        <w:spacing w:line="380" w:lineRule="exact"/>
        <w:jc w:val="center"/>
        <w:rPr>
          <w:rFonts w:ascii="Trebuchet MS" w:hAnsi="新宋体" w:eastAsia="新宋体"/>
          <w:b/>
          <w:sz w:val="24"/>
          <w:szCs w:val="24"/>
        </w:rPr>
      </w:pPr>
    </w:p>
    <w:p w14:paraId="0AA74C1F">
      <w:pPr>
        <w:widowControl/>
        <w:spacing w:line="380" w:lineRule="exact"/>
        <w:jc w:val="center"/>
        <w:rPr>
          <w:rFonts w:ascii="Trebuchet MS" w:hAnsi="新宋体" w:eastAsia="新宋体"/>
          <w:b/>
          <w:sz w:val="24"/>
          <w:szCs w:val="24"/>
        </w:rPr>
      </w:pPr>
      <w:r>
        <w:rPr>
          <w:rFonts w:ascii="Trebuchet MS" w:hAnsi="新宋体" w:eastAsia="新宋体"/>
          <w:b/>
          <w:sz w:val="24"/>
          <w:szCs w:val="24"/>
        </w:rPr>
        <w:t xml:space="preserve"> </w:t>
      </w:r>
    </w:p>
    <w:p w14:paraId="64619F6A">
      <w:pPr>
        <w:widowControl/>
        <w:spacing w:line="380" w:lineRule="exact"/>
        <w:jc w:val="center"/>
        <w:rPr>
          <w:rFonts w:hint="eastAsia" w:ascii="黑体" w:hAnsi="宋体" w:eastAsia="黑体"/>
          <w:b/>
          <w:sz w:val="24"/>
          <w:szCs w:val="24"/>
        </w:rPr>
      </w:pPr>
      <w:r>
        <w:rPr>
          <w:rFonts w:ascii="Trebuchet MS" w:hAnsi="新宋体" w:eastAsia="新宋体"/>
          <w:b/>
          <w:sz w:val="24"/>
          <w:szCs w:val="24"/>
        </w:rPr>
        <w:t xml:space="preserve"> </w:t>
      </w:r>
      <w:r>
        <w:rPr>
          <w:rFonts w:hint="eastAsia" w:ascii="黑体" w:hAnsi="宋体" w:eastAsia="黑体"/>
          <w:b/>
          <w:sz w:val="24"/>
          <w:szCs w:val="24"/>
        </w:rPr>
        <w:t xml:space="preserve">  </w:t>
      </w:r>
    </w:p>
    <w:p w14:paraId="4178F672">
      <w:pPr>
        <w:widowControl/>
        <w:spacing w:line="440" w:lineRule="exact"/>
        <w:jc w:val="center"/>
        <w:rPr>
          <w:rFonts w:hint="eastAsia" w:ascii="黑体" w:hAnsi="黑体" w:eastAsia="黑体" w:cs="黑体"/>
          <w:b/>
          <w:sz w:val="24"/>
          <w:szCs w:val="24"/>
        </w:rPr>
      </w:pPr>
      <w:r>
        <w:rPr>
          <w:rFonts w:hint="eastAsia" w:ascii="黑体" w:hAnsi="黑体" w:eastAsia="黑体" w:cs="黑体"/>
          <w:b/>
          <w:sz w:val="24"/>
          <w:szCs w:val="24"/>
        </w:rPr>
        <w:t>（三）不拖欠农民工工资承诺书</w:t>
      </w:r>
    </w:p>
    <w:p w14:paraId="262052D3">
      <w:pPr>
        <w:widowControl/>
        <w:spacing w:line="380" w:lineRule="exact"/>
        <w:jc w:val="left"/>
        <w:rPr>
          <w:rFonts w:hint="eastAsia" w:ascii="Trebuchet MS" w:hAnsi="Trebuchet MS" w:eastAsia="新宋体"/>
          <w:sz w:val="24"/>
          <w:szCs w:val="24"/>
        </w:rPr>
      </w:pPr>
      <w:r>
        <w:rPr>
          <w:rFonts w:ascii="Trebuchet MS" w:hAnsi="Trebuchet MS" w:eastAsia="新宋体"/>
          <w:sz w:val="24"/>
          <w:szCs w:val="24"/>
        </w:rPr>
        <w:t xml:space="preserve"> </w:t>
      </w:r>
    </w:p>
    <w:p w14:paraId="1F1E60BA">
      <w:pPr>
        <w:widowControl/>
        <w:spacing w:line="380" w:lineRule="exact"/>
        <w:jc w:val="left"/>
        <w:rPr>
          <w:rFonts w:ascii="Trebuchet MS" w:hAnsi="Trebuchet MS" w:eastAsia="新宋体"/>
          <w:szCs w:val="24"/>
        </w:rPr>
      </w:pPr>
      <w:r>
        <w:rPr>
          <w:rFonts w:ascii="Trebuchet MS" w:hAnsi="新宋体" w:eastAsia="新宋体"/>
          <w:szCs w:val="24"/>
          <w:u w:val="single"/>
        </w:rPr>
        <w:t xml:space="preserve">           </w:t>
      </w:r>
      <w:r>
        <w:rPr>
          <w:rFonts w:hint="eastAsia" w:ascii="新宋体" w:hAnsi="新宋体" w:eastAsia="新宋体"/>
          <w:szCs w:val="24"/>
          <w:u w:val="single"/>
        </w:rPr>
        <w:t>（招标人名称）</w:t>
      </w:r>
      <w:r>
        <w:rPr>
          <w:rFonts w:ascii="Trebuchet MS" w:hAnsi="新宋体" w:eastAsia="新宋体"/>
          <w:szCs w:val="24"/>
          <w:u w:val="single"/>
        </w:rPr>
        <w:t xml:space="preserve">           </w:t>
      </w:r>
      <w:r>
        <w:rPr>
          <w:rFonts w:hint="eastAsia" w:ascii="新宋体" w:hAnsi="新宋体" w:eastAsia="新宋体"/>
          <w:szCs w:val="24"/>
        </w:rPr>
        <w:t>：</w:t>
      </w:r>
    </w:p>
    <w:p w14:paraId="1EEE3CCE">
      <w:pPr>
        <w:widowControl/>
        <w:spacing w:line="380" w:lineRule="exact"/>
        <w:ind w:firstLine="420" w:firstLineChars="200"/>
        <w:jc w:val="left"/>
        <w:rPr>
          <w:rFonts w:ascii="Trebuchet MS" w:hAnsi="新宋体" w:eastAsia="新宋体"/>
          <w:szCs w:val="24"/>
        </w:rPr>
      </w:pPr>
      <w:r>
        <w:rPr>
          <w:rFonts w:ascii="Trebuchet MS" w:hAnsi="新宋体" w:eastAsia="新宋体"/>
          <w:szCs w:val="24"/>
        </w:rPr>
        <w:t xml:space="preserve"> </w:t>
      </w:r>
    </w:p>
    <w:p w14:paraId="4875CDF8">
      <w:pPr>
        <w:widowControl/>
        <w:spacing w:line="380" w:lineRule="exact"/>
        <w:ind w:firstLine="420" w:firstLineChars="200"/>
        <w:jc w:val="left"/>
        <w:rPr>
          <w:rFonts w:ascii="Trebuchet MS" w:hAnsi="Trebuchet MS" w:eastAsia="新宋体" w:cs="宋体"/>
          <w:kern w:val="0"/>
          <w:szCs w:val="21"/>
        </w:rPr>
      </w:pPr>
      <w:r>
        <w:rPr>
          <w:rFonts w:hint="eastAsia" w:ascii="新宋体" w:hAnsi="新宋体" w:eastAsia="新宋体"/>
          <w:szCs w:val="24"/>
        </w:rPr>
        <w:t>若我单位</w:t>
      </w:r>
      <w:r>
        <w:rPr>
          <w:rFonts w:hint="eastAsia" w:ascii="新宋体" w:hAnsi="新宋体" w:eastAsia="新宋体" w:cs="宋体"/>
          <w:kern w:val="0"/>
          <w:szCs w:val="21"/>
        </w:rPr>
        <w:t>有幸获取中标，将严格执行自治区关于保障农民工工资的规定，我单位郑重承诺：保证足额按时付清农民工工资，不以任何理由拖欠。</w:t>
      </w:r>
      <w:r>
        <w:rPr>
          <w:rFonts w:hint="eastAsia" w:ascii="宋体" w:hAnsi="宋体" w:cs="Tahoma"/>
          <w:szCs w:val="21"/>
        </w:rPr>
        <w:t>在该工程施工过程若存在拖欠农民工工资行为的，愿按照拖欠农民工工资额的</w:t>
      </w:r>
      <w:r>
        <w:rPr>
          <w:rFonts w:hint="eastAsia" w:ascii="宋体" w:hAnsi="宋体" w:cs="Tahoma"/>
          <w:szCs w:val="21"/>
          <w:u w:val="single"/>
        </w:rPr>
        <w:t xml:space="preserve"> </w:t>
      </w:r>
      <w:r>
        <w:rPr>
          <w:rFonts w:ascii="宋体" w:hAnsi="宋体" w:cs="Tahoma"/>
          <w:szCs w:val="21"/>
          <w:u w:val="single"/>
        </w:rPr>
        <w:t xml:space="preserve">          </w:t>
      </w:r>
      <w:r>
        <w:rPr>
          <w:rFonts w:hint="eastAsia" w:ascii="宋体" w:hAnsi="宋体" w:cs="Tahoma"/>
          <w:szCs w:val="21"/>
        </w:rPr>
        <w:t>接受处罚。</w:t>
      </w:r>
    </w:p>
    <w:p w14:paraId="08F12D04">
      <w:pPr>
        <w:widowControl/>
        <w:spacing w:line="380" w:lineRule="exact"/>
        <w:jc w:val="left"/>
        <w:rPr>
          <w:rFonts w:ascii="Trebuchet MS" w:hAnsi="Trebuchet MS" w:eastAsia="新宋体" w:cs="宋体"/>
          <w:kern w:val="0"/>
          <w:szCs w:val="21"/>
        </w:rPr>
      </w:pPr>
      <w:r>
        <w:rPr>
          <w:rFonts w:ascii="Trebuchet MS" w:hAnsi="Trebuchet MS" w:eastAsia="新宋体" w:cs="宋体"/>
          <w:kern w:val="0"/>
          <w:szCs w:val="21"/>
        </w:rPr>
        <w:t xml:space="preserve"> </w:t>
      </w:r>
    </w:p>
    <w:p w14:paraId="7D47050B">
      <w:pPr>
        <w:widowControl/>
        <w:spacing w:line="380" w:lineRule="exact"/>
        <w:jc w:val="left"/>
        <w:rPr>
          <w:rFonts w:ascii="Trebuchet MS" w:hAnsi="Trebuchet MS" w:eastAsia="新宋体" w:cs="宋体"/>
          <w:kern w:val="0"/>
          <w:szCs w:val="21"/>
        </w:rPr>
      </w:pPr>
      <w:r>
        <w:rPr>
          <w:rFonts w:ascii="Trebuchet MS" w:hAnsi="Trebuchet MS" w:eastAsia="新宋体" w:cs="宋体"/>
          <w:kern w:val="0"/>
          <w:szCs w:val="21"/>
        </w:rPr>
        <w:t xml:space="preserve"> </w:t>
      </w:r>
    </w:p>
    <w:p w14:paraId="6D37B139">
      <w:pPr>
        <w:widowControl/>
        <w:spacing w:line="380" w:lineRule="exact"/>
        <w:ind w:firstLine="525" w:firstLineChars="250"/>
        <w:jc w:val="left"/>
        <w:rPr>
          <w:rFonts w:ascii="Trebuchet MS" w:hAnsi="Trebuchet MS" w:eastAsia="新宋体" w:cs="宋体"/>
          <w:kern w:val="0"/>
          <w:szCs w:val="21"/>
        </w:rPr>
      </w:pPr>
      <w:r>
        <w:rPr>
          <w:rFonts w:hint="eastAsia" w:ascii="新宋体" w:hAnsi="新宋体" w:eastAsia="新宋体" w:cs="宋体"/>
          <w:kern w:val="0"/>
          <w:szCs w:val="21"/>
        </w:rPr>
        <w:t>特此承诺！</w:t>
      </w:r>
    </w:p>
    <w:p w14:paraId="1BDED08B">
      <w:pPr>
        <w:spacing w:line="380" w:lineRule="exact"/>
        <w:ind w:firstLine="4410" w:firstLineChars="2100"/>
        <w:rPr>
          <w:rFonts w:ascii="Trebuchet MS" w:hAnsi="新宋体" w:eastAsia="新宋体" w:cs="Calibri"/>
          <w:szCs w:val="21"/>
        </w:rPr>
      </w:pPr>
      <w:r>
        <w:rPr>
          <w:rFonts w:ascii="Trebuchet MS" w:hAnsi="新宋体" w:eastAsia="新宋体"/>
          <w:szCs w:val="24"/>
        </w:rPr>
        <w:t xml:space="preserve"> </w:t>
      </w:r>
    </w:p>
    <w:p w14:paraId="563DF39E">
      <w:pPr>
        <w:spacing w:line="380" w:lineRule="exact"/>
        <w:ind w:firstLine="4410" w:firstLineChars="2100"/>
        <w:rPr>
          <w:rFonts w:ascii="Trebuchet MS" w:hAnsi="新宋体" w:eastAsia="新宋体"/>
          <w:szCs w:val="24"/>
        </w:rPr>
      </w:pPr>
      <w:r>
        <w:rPr>
          <w:rFonts w:ascii="Trebuchet MS" w:hAnsi="新宋体" w:eastAsia="新宋体"/>
          <w:szCs w:val="24"/>
        </w:rPr>
        <w:t xml:space="preserve"> </w:t>
      </w:r>
    </w:p>
    <w:p w14:paraId="781A68EB">
      <w:pPr>
        <w:spacing w:line="380" w:lineRule="exact"/>
        <w:ind w:firstLine="4410" w:firstLineChars="2100"/>
        <w:rPr>
          <w:rFonts w:ascii="Trebuchet MS" w:hAnsi="Trebuchet MS" w:eastAsia="新宋体"/>
          <w:szCs w:val="24"/>
          <w:u w:val="single"/>
        </w:rPr>
      </w:pPr>
      <w:r>
        <w:rPr>
          <w:rFonts w:hint="eastAsia" w:ascii="新宋体" w:hAnsi="新宋体" w:eastAsia="新宋体"/>
          <w:szCs w:val="24"/>
        </w:rPr>
        <w:t>投标人：</w:t>
      </w:r>
      <w:r>
        <w:rPr>
          <w:rFonts w:ascii="Trebuchet MS" w:hAnsi="Trebuchet MS" w:eastAsia="新宋体"/>
          <w:szCs w:val="24"/>
          <w:u w:val="single"/>
        </w:rPr>
        <w:t xml:space="preserve">  </w:t>
      </w:r>
      <w:r>
        <w:rPr>
          <w:rFonts w:hint="eastAsia" w:ascii="新宋体" w:hAnsi="新宋体" w:eastAsia="新宋体"/>
          <w:szCs w:val="24"/>
          <w:u w:val="single"/>
        </w:rPr>
        <w:t xml:space="preserve"> </w:t>
      </w:r>
      <w:r>
        <w:rPr>
          <w:rFonts w:ascii="Trebuchet MS" w:hAnsi="新宋体" w:eastAsia="新宋体"/>
          <w:szCs w:val="24"/>
          <w:u w:val="single"/>
        </w:rPr>
        <w:t xml:space="preserve">   </w:t>
      </w:r>
      <w:r>
        <w:rPr>
          <w:rFonts w:hint="eastAsia" w:ascii="新宋体" w:hAnsi="新宋体" w:eastAsia="新宋体"/>
          <w:szCs w:val="24"/>
          <w:u w:val="single"/>
        </w:rPr>
        <w:t>（盖投标人公章）</w:t>
      </w:r>
      <w:r>
        <w:rPr>
          <w:rFonts w:ascii="Trebuchet MS" w:hAnsi="Trebuchet MS" w:eastAsia="新宋体"/>
          <w:szCs w:val="24"/>
          <w:u w:val="single"/>
        </w:rPr>
        <w:t xml:space="preserve">       </w:t>
      </w:r>
    </w:p>
    <w:p w14:paraId="0C0CD92B">
      <w:pPr>
        <w:spacing w:line="380" w:lineRule="exact"/>
        <w:ind w:firstLine="2205" w:firstLineChars="1050"/>
        <w:rPr>
          <w:rFonts w:ascii="Trebuchet MS" w:hAnsi="Trebuchet MS" w:eastAsia="新宋体"/>
          <w:szCs w:val="24"/>
        </w:rPr>
      </w:pPr>
      <w:r>
        <w:rPr>
          <w:rFonts w:ascii="Trebuchet MS" w:hAnsi="Trebuchet MS" w:eastAsia="新宋体"/>
          <w:szCs w:val="24"/>
        </w:rPr>
        <w:t xml:space="preserve"> </w:t>
      </w:r>
    </w:p>
    <w:p w14:paraId="10FE818E">
      <w:pPr>
        <w:spacing w:line="380" w:lineRule="exact"/>
        <w:ind w:firstLine="4410" w:firstLineChars="2100"/>
        <w:rPr>
          <w:rFonts w:ascii="Trebuchet MS" w:hAnsi="Trebuchet MS" w:eastAsia="新宋体"/>
          <w:szCs w:val="24"/>
        </w:rPr>
      </w:pPr>
      <w:r>
        <w:rPr>
          <w:rFonts w:hint="eastAsia" w:ascii="新宋体" w:hAnsi="新宋体" w:eastAsia="新宋体"/>
          <w:szCs w:val="24"/>
        </w:rPr>
        <w:t>法定代表人：</w:t>
      </w:r>
      <w:r>
        <w:rPr>
          <w:rFonts w:ascii="Trebuchet MS" w:hAnsi="Trebuchet MS" w:eastAsia="新宋体"/>
          <w:szCs w:val="24"/>
          <w:u w:val="single"/>
        </w:rPr>
        <w:t xml:space="preserve">      </w:t>
      </w:r>
      <w:r>
        <w:rPr>
          <w:rFonts w:hint="eastAsia" w:ascii="新宋体" w:hAnsi="新宋体" w:eastAsia="新宋体"/>
          <w:szCs w:val="24"/>
          <w:u w:val="single"/>
        </w:rPr>
        <w:t>（签字或盖章）</w:t>
      </w:r>
      <w:r>
        <w:rPr>
          <w:rFonts w:ascii="Trebuchet MS" w:hAnsi="Trebuchet MS" w:eastAsia="新宋体"/>
          <w:szCs w:val="24"/>
          <w:u w:val="single"/>
        </w:rPr>
        <w:t xml:space="preserve">     </w:t>
      </w:r>
    </w:p>
    <w:p w14:paraId="72BD0069">
      <w:pPr>
        <w:spacing w:line="380" w:lineRule="exact"/>
        <w:ind w:firstLine="4725" w:firstLineChars="2250"/>
        <w:rPr>
          <w:rFonts w:ascii="Trebuchet MS" w:hAnsi="Trebuchet MS" w:eastAsia="新宋体"/>
          <w:szCs w:val="24"/>
          <w:u w:val="single"/>
        </w:rPr>
      </w:pPr>
    </w:p>
    <w:p w14:paraId="433470CF">
      <w:pPr>
        <w:spacing w:line="380" w:lineRule="exact"/>
        <w:ind w:firstLine="5355" w:firstLineChars="2550"/>
        <w:rPr>
          <w:rFonts w:ascii="Trebuchet MS" w:hAnsi="Trebuchet MS" w:eastAsia="新宋体"/>
          <w:szCs w:val="24"/>
        </w:rPr>
      </w:pPr>
      <w:r>
        <w:rPr>
          <w:rFonts w:ascii="Trebuchet MS" w:hAnsi="Trebuchet MS" w:eastAsia="新宋体"/>
          <w:szCs w:val="24"/>
          <w:u w:val="single"/>
        </w:rPr>
        <w:t xml:space="preserve">         </w:t>
      </w:r>
      <w:r>
        <w:rPr>
          <w:rFonts w:hint="eastAsia" w:ascii="新宋体" w:hAnsi="新宋体" w:eastAsia="新宋体"/>
          <w:szCs w:val="24"/>
        </w:rPr>
        <w:t>年</w:t>
      </w:r>
      <w:r>
        <w:rPr>
          <w:rFonts w:ascii="Trebuchet MS" w:hAnsi="Trebuchet MS" w:eastAsia="新宋体"/>
          <w:szCs w:val="24"/>
          <w:u w:val="single"/>
        </w:rPr>
        <w:t xml:space="preserve">     </w:t>
      </w:r>
      <w:r>
        <w:rPr>
          <w:rFonts w:hint="eastAsia" w:ascii="新宋体" w:hAnsi="新宋体" w:eastAsia="新宋体"/>
          <w:szCs w:val="24"/>
        </w:rPr>
        <w:t>月</w:t>
      </w:r>
      <w:r>
        <w:rPr>
          <w:rFonts w:ascii="Trebuchet MS" w:hAnsi="Trebuchet MS" w:eastAsia="新宋体"/>
          <w:szCs w:val="24"/>
          <w:u w:val="single"/>
        </w:rPr>
        <w:t xml:space="preserve">    </w:t>
      </w:r>
      <w:r>
        <w:rPr>
          <w:rFonts w:hint="eastAsia" w:ascii="新宋体" w:hAnsi="新宋体" w:eastAsia="新宋体"/>
          <w:szCs w:val="24"/>
        </w:rPr>
        <w:t>日</w:t>
      </w:r>
    </w:p>
    <w:p w14:paraId="12F45B3D">
      <w:pPr>
        <w:widowControl/>
        <w:shd w:val="clear" w:color="auto" w:fill="FFFFFF"/>
        <w:snapToGrid w:val="0"/>
        <w:spacing w:line="380" w:lineRule="exact"/>
        <w:jc w:val="center"/>
        <w:outlineLvl w:val="0"/>
        <w:rPr>
          <w:rFonts w:hint="eastAsia" w:ascii="黑体" w:hAnsi="宋体" w:eastAsia="黑体" w:cs="宋体"/>
          <w:b/>
          <w:kern w:val="36"/>
          <w:sz w:val="32"/>
          <w:szCs w:val="32"/>
          <w:shd w:val="clear" w:color="auto" w:fill="FFFFFF"/>
        </w:rPr>
      </w:pPr>
      <w:r>
        <w:rPr>
          <w:rFonts w:hint="eastAsia" w:ascii="黑体" w:hAnsi="宋体" w:eastAsia="黑体" w:cs="宋体"/>
          <w:b/>
          <w:kern w:val="36"/>
          <w:sz w:val="32"/>
          <w:szCs w:val="32"/>
          <w:shd w:val="clear" w:color="auto" w:fill="FFFFFF"/>
        </w:rPr>
        <w:t xml:space="preserve"> </w:t>
      </w:r>
    </w:p>
    <w:p w14:paraId="34B54433">
      <w:pPr>
        <w:widowControl/>
        <w:shd w:val="clear" w:color="auto" w:fill="FFFFFF"/>
        <w:snapToGrid w:val="0"/>
        <w:spacing w:line="380" w:lineRule="exact"/>
        <w:jc w:val="center"/>
        <w:outlineLvl w:val="0"/>
        <w:rPr>
          <w:rFonts w:hint="eastAsia" w:ascii="黑体" w:hAnsi="宋体" w:eastAsia="黑体" w:cs="宋体"/>
          <w:b/>
          <w:kern w:val="36"/>
          <w:sz w:val="32"/>
          <w:szCs w:val="32"/>
          <w:shd w:val="clear" w:color="auto" w:fill="FFFFFF"/>
        </w:rPr>
      </w:pPr>
      <w:r>
        <w:rPr>
          <w:rFonts w:hint="eastAsia" w:ascii="黑体" w:hAnsi="宋体" w:eastAsia="黑体" w:cs="宋体"/>
          <w:b/>
          <w:kern w:val="36"/>
          <w:sz w:val="32"/>
          <w:szCs w:val="32"/>
          <w:shd w:val="clear" w:color="auto" w:fill="FFFFFF"/>
        </w:rPr>
        <w:t xml:space="preserve"> </w:t>
      </w:r>
    </w:p>
    <w:p w14:paraId="41F1F4A2">
      <w:pPr>
        <w:widowControl/>
        <w:shd w:val="clear" w:color="auto" w:fill="FFFFFF"/>
        <w:snapToGrid w:val="0"/>
        <w:spacing w:line="380" w:lineRule="exact"/>
        <w:jc w:val="center"/>
        <w:outlineLvl w:val="0"/>
        <w:rPr>
          <w:rFonts w:hint="eastAsia" w:ascii="黑体" w:hAnsi="宋体" w:eastAsia="黑体" w:cs="宋体"/>
          <w:b/>
          <w:kern w:val="36"/>
          <w:sz w:val="32"/>
          <w:szCs w:val="32"/>
          <w:shd w:val="clear" w:color="auto" w:fill="FFFFFF"/>
        </w:rPr>
      </w:pPr>
      <w:r>
        <w:rPr>
          <w:rFonts w:hint="eastAsia" w:ascii="黑体" w:hAnsi="宋体" w:eastAsia="黑体" w:cs="宋体"/>
          <w:b/>
          <w:kern w:val="36"/>
          <w:sz w:val="32"/>
          <w:szCs w:val="32"/>
          <w:shd w:val="clear" w:color="auto" w:fill="FFFFFF"/>
        </w:rPr>
        <w:t xml:space="preserve"> </w:t>
      </w:r>
    </w:p>
    <w:p w14:paraId="28608AA4">
      <w:pPr>
        <w:widowControl/>
        <w:shd w:val="clear" w:color="auto" w:fill="FFFFFF"/>
        <w:snapToGrid w:val="0"/>
        <w:spacing w:line="380" w:lineRule="exact"/>
        <w:jc w:val="center"/>
        <w:outlineLvl w:val="0"/>
        <w:rPr>
          <w:rFonts w:hint="eastAsia" w:ascii="黑体" w:hAnsi="宋体" w:eastAsia="黑体" w:cs="宋体"/>
          <w:b/>
          <w:kern w:val="36"/>
          <w:sz w:val="32"/>
          <w:szCs w:val="32"/>
          <w:shd w:val="clear" w:color="auto" w:fill="FFFFFF"/>
        </w:rPr>
      </w:pPr>
      <w:r>
        <w:rPr>
          <w:rFonts w:hint="eastAsia" w:ascii="黑体" w:hAnsi="宋体" w:eastAsia="黑体" w:cs="宋体"/>
          <w:b/>
          <w:kern w:val="36"/>
          <w:sz w:val="32"/>
          <w:szCs w:val="32"/>
          <w:shd w:val="clear" w:color="auto" w:fill="FFFFFF"/>
        </w:rPr>
        <w:t xml:space="preserve"> </w:t>
      </w:r>
    </w:p>
    <w:p w14:paraId="461BE5AB">
      <w:pPr>
        <w:widowControl/>
        <w:shd w:val="clear" w:color="auto" w:fill="FFFFFF"/>
        <w:snapToGrid w:val="0"/>
        <w:spacing w:line="380" w:lineRule="exact"/>
        <w:jc w:val="center"/>
        <w:outlineLvl w:val="0"/>
        <w:rPr>
          <w:rFonts w:hint="eastAsia" w:ascii="黑体" w:hAnsi="宋体" w:eastAsia="黑体" w:cs="宋体"/>
          <w:b/>
          <w:kern w:val="36"/>
          <w:sz w:val="32"/>
          <w:szCs w:val="32"/>
          <w:shd w:val="clear" w:color="auto" w:fill="FFFFFF"/>
        </w:rPr>
      </w:pPr>
      <w:r>
        <w:rPr>
          <w:rFonts w:hint="eastAsia" w:ascii="黑体" w:hAnsi="宋体" w:eastAsia="黑体" w:cs="宋体"/>
          <w:b/>
          <w:kern w:val="36"/>
          <w:sz w:val="32"/>
          <w:szCs w:val="32"/>
          <w:shd w:val="clear" w:color="auto" w:fill="FFFFFF"/>
        </w:rPr>
        <w:t xml:space="preserve"> </w:t>
      </w:r>
    </w:p>
    <w:p w14:paraId="502547A0">
      <w:pPr>
        <w:widowControl/>
        <w:shd w:val="clear" w:color="auto" w:fill="FFFFFF"/>
        <w:snapToGrid w:val="0"/>
        <w:spacing w:line="380" w:lineRule="exact"/>
        <w:jc w:val="center"/>
        <w:outlineLvl w:val="0"/>
        <w:rPr>
          <w:rFonts w:hint="eastAsia" w:ascii="黑体" w:hAnsi="宋体" w:eastAsia="黑体" w:cs="宋体"/>
          <w:b/>
          <w:kern w:val="36"/>
          <w:sz w:val="32"/>
          <w:szCs w:val="32"/>
          <w:shd w:val="clear" w:color="auto" w:fill="FFFFFF"/>
        </w:rPr>
      </w:pPr>
      <w:r>
        <w:rPr>
          <w:rFonts w:hint="eastAsia" w:ascii="黑体" w:hAnsi="宋体" w:eastAsia="黑体" w:cs="宋体"/>
          <w:b/>
          <w:kern w:val="36"/>
          <w:sz w:val="32"/>
          <w:szCs w:val="32"/>
          <w:shd w:val="clear" w:color="auto" w:fill="FFFFFF"/>
        </w:rPr>
        <w:t xml:space="preserve"> </w:t>
      </w:r>
    </w:p>
    <w:p w14:paraId="73DD5C8B">
      <w:pPr>
        <w:widowControl/>
        <w:shd w:val="clear" w:color="auto" w:fill="FFFFFF"/>
        <w:snapToGrid w:val="0"/>
        <w:spacing w:line="380" w:lineRule="exact"/>
        <w:jc w:val="center"/>
        <w:outlineLvl w:val="0"/>
        <w:rPr>
          <w:rFonts w:hint="eastAsia" w:ascii="黑体" w:hAnsi="宋体" w:eastAsia="黑体" w:cs="宋体"/>
          <w:b/>
          <w:kern w:val="36"/>
          <w:sz w:val="32"/>
          <w:szCs w:val="32"/>
          <w:shd w:val="clear" w:color="auto" w:fill="FFFFFF"/>
        </w:rPr>
      </w:pPr>
      <w:r>
        <w:rPr>
          <w:rFonts w:hint="eastAsia" w:ascii="黑体" w:hAnsi="宋体" w:eastAsia="黑体" w:cs="宋体"/>
          <w:b/>
          <w:kern w:val="36"/>
          <w:sz w:val="32"/>
          <w:szCs w:val="32"/>
          <w:shd w:val="clear" w:color="auto" w:fill="FFFFFF"/>
        </w:rPr>
        <w:t xml:space="preserve"> </w:t>
      </w:r>
    </w:p>
    <w:p w14:paraId="50DC182A">
      <w:pPr>
        <w:widowControl/>
        <w:shd w:val="clear" w:color="auto" w:fill="FFFFFF"/>
        <w:snapToGrid w:val="0"/>
        <w:spacing w:line="380" w:lineRule="exact"/>
        <w:jc w:val="center"/>
        <w:outlineLvl w:val="0"/>
        <w:rPr>
          <w:rFonts w:hint="eastAsia" w:ascii="黑体" w:hAnsi="宋体" w:eastAsia="黑体" w:cs="宋体"/>
          <w:b/>
          <w:kern w:val="36"/>
          <w:sz w:val="32"/>
          <w:szCs w:val="32"/>
          <w:shd w:val="clear" w:color="auto" w:fill="FFFFFF"/>
        </w:rPr>
      </w:pPr>
      <w:r>
        <w:rPr>
          <w:rFonts w:hint="eastAsia" w:ascii="黑体" w:hAnsi="宋体" w:eastAsia="黑体" w:cs="宋体"/>
          <w:b/>
          <w:kern w:val="36"/>
          <w:sz w:val="32"/>
          <w:szCs w:val="32"/>
          <w:shd w:val="clear" w:color="auto" w:fill="FFFFFF"/>
        </w:rPr>
        <w:t xml:space="preserve"> </w:t>
      </w:r>
    </w:p>
    <w:p w14:paraId="0E563EE9">
      <w:pPr>
        <w:widowControl/>
        <w:shd w:val="clear" w:color="auto" w:fill="FFFFFF"/>
        <w:snapToGrid w:val="0"/>
        <w:spacing w:line="380" w:lineRule="exact"/>
        <w:jc w:val="center"/>
        <w:outlineLvl w:val="0"/>
        <w:rPr>
          <w:rFonts w:hint="eastAsia" w:ascii="黑体" w:hAnsi="宋体" w:eastAsia="黑体" w:cs="宋体"/>
          <w:b/>
          <w:kern w:val="36"/>
          <w:sz w:val="32"/>
          <w:szCs w:val="32"/>
          <w:shd w:val="clear" w:color="auto" w:fill="FFFFFF"/>
        </w:rPr>
      </w:pPr>
      <w:r>
        <w:rPr>
          <w:rFonts w:hint="eastAsia" w:ascii="黑体" w:hAnsi="宋体" w:eastAsia="黑体" w:cs="宋体"/>
          <w:b/>
          <w:kern w:val="36"/>
          <w:sz w:val="32"/>
          <w:szCs w:val="32"/>
          <w:shd w:val="clear" w:color="auto" w:fill="FFFFFF"/>
        </w:rPr>
        <w:t xml:space="preserve"> </w:t>
      </w:r>
    </w:p>
    <w:p w14:paraId="62708DE4">
      <w:pPr>
        <w:widowControl/>
        <w:shd w:val="clear" w:color="auto" w:fill="FFFFFF"/>
        <w:snapToGrid w:val="0"/>
        <w:spacing w:line="380" w:lineRule="exact"/>
        <w:jc w:val="center"/>
        <w:outlineLvl w:val="0"/>
        <w:rPr>
          <w:rFonts w:hint="eastAsia" w:ascii="黑体" w:hAnsi="宋体" w:eastAsia="黑体" w:cs="宋体"/>
          <w:b/>
          <w:kern w:val="36"/>
          <w:sz w:val="32"/>
          <w:szCs w:val="32"/>
          <w:shd w:val="clear" w:color="auto" w:fill="FFFFFF"/>
        </w:rPr>
      </w:pPr>
      <w:r>
        <w:rPr>
          <w:rFonts w:hint="eastAsia" w:ascii="黑体" w:hAnsi="宋体" w:eastAsia="黑体" w:cs="宋体"/>
          <w:b/>
          <w:kern w:val="36"/>
          <w:sz w:val="32"/>
          <w:szCs w:val="32"/>
          <w:shd w:val="clear" w:color="auto" w:fill="FFFFFF"/>
        </w:rPr>
        <w:t xml:space="preserve"> </w:t>
      </w:r>
    </w:p>
    <w:p w14:paraId="12EE22C5">
      <w:pPr>
        <w:widowControl/>
        <w:shd w:val="clear" w:color="auto" w:fill="FFFFFF"/>
        <w:snapToGrid w:val="0"/>
        <w:spacing w:line="380" w:lineRule="exact"/>
        <w:jc w:val="center"/>
        <w:outlineLvl w:val="0"/>
        <w:rPr>
          <w:rFonts w:hint="eastAsia" w:ascii="黑体" w:hAnsi="宋体" w:eastAsia="黑体" w:cs="宋体"/>
          <w:b/>
          <w:kern w:val="36"/>
          <w:sz w:val="32"/>
          <w:szCs w:val="32"/>
          <w:shd w:val="clear" w:color="auto" w:fill="FFFFFF"/>
        </w:rPr>
      </w:pPr>
      <w:r>
        <w:rPr>
          <w:rFonts w:hint="eastAsia" w:ascii="黑体" w:hAnsi="宋体" w:eastAsia="黑体" w:cs="宋体"/>
          <w:b/>
          <w:kern w:val="36"/>
          <w:sz w:val="32"/>
          <w:szCs w:val="32"/>
          <w:shd w:val="clear" w:color="auto" w:fill="FFFFFF"/>
        </w:rPr>
        <w:t xml:space="preserve"> </w:t>
      </w:r>
    </w:p>
    <w:p w14:paraId="126093FC">
      <w:pPr>
        <w:widowControl/>
        <w:shd w:val="clear" w:color="auto" w:fill="FFFFFF"/>
        <w:snapToGrid w:val="0"/>
        <w:spacing w:line="380" w:lineRule="exact"/>
        <w:jc w:val="center"/>
        <w:outlineLvl w:val="0"/>
        <w:rPr>
          <w:rFonts w:hint="eastAsia" w:ascii="黑体" w:hAnsi="宋体" w:eastAsia="黑体" w:cs="宋体"/>
          <w:b/>
          <w:kern w:val="36"/>
          <w:sz w:val="32"/>
          <w:szCs w:val="32"/>
          <w:shd w:val="clear" w:color="auto" w:fill="FFFFFF"/>
        </w:rPr>
      </w:pPr>
      <w:r>
        <w:rPr>
          <w:rFonts w:hint="eastAsia" w:ascii="黑体" w:hAnsi="宋体" w:eastAsia="黑体" w:cs="宋体"/>
          <w:b/>
          <w:kern w:val="36"/>
          <w:sz w:val="32"/>
          <w:szCs w:val="32"/>
          <w:shd w:val="clear" w:color="auto" w:fill="FFFFFF"/>
        </w:rPr>
        <w:t xml:space="preserve"> </w:t>
      </w:r>
    </w:p>
    <w:p w14:paraId="29024116">
      <w:pPr>
        <w:widowControl/>
        <w:shd w:val="clear" w:color="auto" w:fill="FFFFFF"/>
        <w:snapToGrid w:val="0"/>
        <w:spacing w:line="380" w:lineRule="exact"/>
        <w:jc w:val="center"/>
        <w:outlineLvl w:val="0"/>
        <w:rPr>
          <w:rFonts w:hint="eastAsia" w:ascii="黑体" w:hAnsi="宋体" w:eastAsia="黑体" w:cs="宋体"/>
          <w:b/>
          <w:kern w:val="36"/>
          <w:sz w:val="32"/>
          <w:szCs w:val="32"/>
          <w:shd w:val="clear" w:color="auto" w:fill="FFFFFF"/>
        </w:rPr>
      </w:pPr>
      <w:r>
        <w:rPr>
          <w:rFonts w:hint="eastAsia" w:ascii="黑体" w:hAnsi="宋体" w:eastAsia="黑体" w:cs="宋体"/>
          <w:b/>
          <w:kern w:val="36"/>
          <w:sz w:val="32"/>
          <w:szCs w:val="32"/>
          <w:shd w:val="clear" w:color="auto" w:fill="FFFFFF"/>
        </w:rPr>
        <w:t xml:space="preserve"> </w:t>
      </w:r>
    </w:p>
    <w:p w14:paraId="7B18A945">
      <w:pPr>
        <w:widowControl/>
        <w:shd w:val="clear" w:color="auto" w:fill="FFFFFF"/>
        <w:snapToGrid w:val="0"/>
        <w:spacing w:line="380" w:lineRule="exact"/>
        <w:jc w:val="center"/>
        <w:outlineLvl w:val="0"/>
        <w:rPr>
          <w:rFonts w:hint="eastAsia" w:ascii="黑体" w:hAnsi="宋体" w:eastAsia="黑体" w:cs="宋体"/>
          <w:b/>
          <w:kern w:val="36"/>
          <w:sz w:val="32"/>
          <w:szCs w:val="32"/>
          <w:shd w:val="clear" w:color="auto" w:fill="FFFFFF"/>
        </w:rPr>
      </w:pPr>
    </w:p>
    <w:p w14:paraId="6154EA06">
      <w:pPr>
        <w:widowControl/>
        <w:shd w:val="clear" w:color="auto" w:fill="FFFFFF"/>
        <w:snapToGrid w:val="0"/>
        <w:spacing w:line="380" w:lineRule="exact"/>
        <w:jc w:val="center"/>
        <w:outlineLvl w:val="0"/>
        <w:rPr>
          <w:rFonts w:hint="eastAsia" w:ascii="黑体" w:hAnsi="宋体" w:eastAsia="黑体" w:cs="宋体"/>
          <w:b/>
          <w:kern w:val="36"/>
          <w:sz w:val="32"/>
          <w:szCs w:val="32"/>
          <w:shd w:val="clear" w:color="auto" w:fill="FFFFFF"/>
        </w:rPr>
      </w:pPr>
    </w:p>
    <w:p w14:paraId="4161A255">
      <w:pPr>
        <w:widowControl/>
        <w:shd w:val="clear" w:color="auto" w:fill="FFFFFF"/>
        <w:snapToGrid w:val="0"/>
        <w:spacing w:line="380" w:lineRule="exact"/>
        <w:jc w:val="center"/>
        <w:outlineLvl w:val="0"/>
        <w:rPr>
          <w:rFonts w:hint="eastAsia" w:ascii="黑体" w:hAnsi="宋体" w:eastAsia="黑体" w:cs="宋体"/>
          <w:b/>
          <w:kern w:val="36"/>
          <w:sz w:val="32"/>
          <w:szCs w:val="32"/>
          <w:shd w:val="clear" w:color="auto" w:fill="FFFFFF"/>
        </w:rPr>
      </w:pPr>
    </w:p>
    <w:p w14:paraId="7CC0EF08">
      <w:pPr>
        <w:widowControl/>
        <w:shd w:val="clear" w:color="auto" w:fill="FFFFFF"/>
        <w:snapToGrid w:val="0"/>
        <w:spacing w:line="380" w:lineRule="exact"/>
        <w:jc w:val="center"/>
        <w:outlineLvl w:val="0"/>
        <w:rPr>
          <w:rFonts w:hint="eastAsia" w:ascii="黑体" w:hAnsi="宋体" w:eastAsia="黑体" w:cs="宋体"/>
          <w:b/>
          <w:kern w:val="36"/>
          <w:sz w:val="32"/>
          <w:szCs w:val="32"/>
          <w:shd w:val="clear" w:color="auto" w:fill="FFFFFF"/>
        </w:rPr>
      </w:pPr>
      <w:r>
        <w:rPr>
          <w:rFonts w:hint="eastAsia" w:ascii="黑体" w:hAnsi="宋体" w:eastAsia="黑体" w:cs="宋体"/>
          <w:b/>
          <w:kern w:val="36"/>
          <w:sz w:val="32"/>
          <w:szCs w:val="32"/>
          <w:shd w:val="clear" w:color="auto" w:fill="FFFFFF"/>
        </w:rPr>
        <w:t xml:space="preserve"> </w:t>
      </w:r>
    </w:p>
    <w:p w14:paraId="6DE0CC7D">
      <w:pPr>
        <w:widowControl/>
        <w:shd w:val="clear" w:color="auto" w:fill="FFFFFF"/>
        <w:snapToGrid w:val="0"/>
        <w:spacing w:line="380" w:lineRule="exact"/>
        <w:jc w:val="center"/>
        <w:outlineLvl w:val="0"/>
        <w:rPr>
          <w:rFonts w:hint="eastAsia" w:ascii="黑体" w:hAnsi="宋体" w:eastAsia="黑体" w:cs="宋体"/>
          <w:b/>
          <w:kern w:val="36"/>
          <w:sz w:val="32"/>
          <w:szCs w:val="32"/>
          <w:shd w:val="clear" w:color="auto" w:fill="FFFFFF"/>
        </w:rPr>
      </w:pPr>
      <w:r>
        <w:rPr>
          <w:rFonts w:hint="eastAsia" w:ascii="黑体" w:hAnsi="宋体" w:eastAsia="黑体" w:cs="宋体"/>
          <w:b/>
          <w:kern w:val="36"/>
          <w:sz w:val="32"/>
          <w:szCs w:val="32"/>
          <w:shd w:val="clear" w:color="auto" w:fill="FFFFFF"/>
        </w:rPr>
        <w:t xml:space="preserve"> </w:t>
      </w:r>
    </w:p>
    <w:p w14:paraId="1795CF22">
      <w:pPr>
        <w:widowControl/>
        <w:shd w:val="clear" w:color="auto" w:fill="FFFFFF"/>
        <w:snapToGrid w:val="0"/>
        <w:spacing w:line="380" w:lineRule="exact"/>
        <w:jc w:val="center"/>
        <w:outlineLvl w:val="0"/>
        <w:rPr>
          <w:rFonts w:hint="eastAsia" w:ascii="黑体" w:hAnsi="宋体" w:eastAsia="黑体"/>
          <w:b/>
          <w:sz w:val="24"/>
          <w:szCs w:val="24"/>
        </w:rPr>
      </w:pPr>
      <w:r>
        <w:rPr>
          <w:rFonts w:hint="eastAsia" w:ascii="黑体" w:hAnsi="宋体" w:eastAsia="黑体" w:cs="宋体"/>
          <w:b/>
          <w:kern w:val="36"/>
          <w:sz w:val="32"/>
          <w:szCs w:val="32"/>
          <w:shd w:val="clear" w:color="auto" w:fill="FFFFFF"/>
        </w:rPr>
        <w:t xml:space="preserve"> </w:t>
      </w:r>
      <w:r>
        <w:rPr>
          <w:rFonts w:hint="eastAsia" w:ascii="黑体" w:hAnsi="宋体" w:eastAsia="黑体"/>
          <w:b/>
          <w:sz w:val="24"/>
          <w:szCs w:val="24"/>
        </w:rPr>
        <w:t xml:space="preserve"> </w:t>
      </w:r>
    </w:p>
    <w:p w14:paraId="4AEF43F1">
      <w:pPr>
        <w:widowControl/>
        <w:shd w:val="clear" w:color="auto" w:fill="FFFFFF"/>
        <w:snapToGrid w:val="0"/>
        <w:spacing w:line="450" w:lineRule="atLeast"/>
        <w:jc w:val="center"/>
        <w:rPr>
          <w:rFonts w:hint="eastAsia" w:ascii="黑体" w:hAnsi="宋体" w:eastAsia="黑体" w:cs="宋体"/>
          <w:b/>
          <w:kern w:val="0"/>
          <w:sz w:val="28"/>
          <w:szCs w:val="28"/>
          <w:shd w:val="clear" w:color="auto" w:fill="FFFFFF"/>
        </w:rPr>
      </w:pPr>
      <w:r>
        <w:rPr>
          <w:rFonts w:hint="eastAsia" w:ascii="黑体" w:hAnsi="黑体" w:eastAsia="黑体" w:cs="宋体"/>
          <w:b/>
          <w:kern w:val="0"/>
          <w:sz w:val="28"/>
          <w:szCs w:val="28"/>
          <w:shd w:val="clear" w:color="auto" w:fill="FFFFFF"/>
        </w:rPr>
        <w:t>（四）履约保证金缴纳承诺书</w:t>
      </w:r>
    </w:p>
    <w:p w14:paraId="40455DF6">
      <w:pPr>
        <w:widowControl/>
        <w:shd w:val="clear" w:color="auto" w:fill="FFFFFF"/>
        <w:snapToGrid w:val="0"/>
        <w:spacing w:line="360" w:lineRule="auto"/>
        <w:jc w:val="left"/>
        <w:rPr>
          <w:rFonts w:hint="eastAsia" w:ascii="Trebuchet MS" w:hAnsi="Trebuchet MS" w:eastAsia="新宋体" w:cs="宋体"/>
          <w:kern w:val="0"/>
          <w:szCs w:val="21"/>
          <w:u w:val="single"/>
          <w:shd w:val="clear" w:color="auto" w:fill="FFFFFF"/>
        </w:rPr>
      </w:pPr>
    </w:p>
    <w:p w14:paraId="3593BF10">
      <w:pPr>
        <w:widowControl/>
        <w:shd w:val="clear" w:color="auto" w:fill="FFFFFF"/>
        <w:snapToGrid w:val="0"/>
        <w:spacing w:line="360" w:lineRule="auto"/>
        <w:jc w:val="left"/>
        <w:rPr>
          <w:rFonts w:ascii="Trebuchet MS" w:hAnsi="Trebuchet MS" w:eastAsia="新宋体" w:cs="宋体"/>
          <w:kern w:val="0"/>
          <w:szCs w:val="21"/>
          <w:shd w:val="clear" w:color="auto" w:fill="FFFFFF"/>
        </w:rPr>
      </w:pPr>
      <w:r>
        <w:rPr>
          <w:rFonts w:ascii="Trebuchet MS" w:hAnsi="Trebuchet MS" w:eastAsia="新宋体" w:cs="宋体"/>
          <w:kern w:val="0"/>
          <w:szCs w:val="21"/>
          <w:u w:val="single"/>
          <w:shd w:val="clear" w:color="auto" w:fill="FFFFFF"/>
        </w:rPr>
        <w:t xml:space="preserve">         </w:t>
      </w:r>
      <w:r>
        <w:rPr>
          <w:rFonts w:hint="eastAsia" w:ascii="新宋体" w:hAnsi="新宋体" w:eastAsia="新宋体" w:cs="宋体"/>
          <w:kern w:val="0"/>
          <w:szCs w:val="21"/>
          <w:u w:val="single"/>
          <w:shd w:val="clear" w:color="auto" w:fill="FFFFFF"/>
        </w:rPr>
        <w:t>（招标人名称）</w:t>
      </w:r>
      <w:r>
        <w:rPr>
          <w:rFonts w:ascii="Trebuchet MS" w:hAnsi="新宋体" w:eastAsia="新宋体" w:cs="宋体"/>
          <w:kern w:val="0"/>
          <w:szCs w:val="21"/>
          <w:u w:val="single"/>
          <w:shd w:val="clear" w:color="auto" w:fill="FFFFFF"/>
        </w:rPr>
        <w:t xml:space="preserve">         </w:t>
      </w:r>
      <w:r>
        <w:rPr>
          <w:rFonts w:hint="eastAsia" w:ascii="新宋体" w:hAnsi="新宋体" w:eastAsia="新宋体" w:cs="宋体"/>
          <w:kern w:val="0"/>
          <w:szCs w:val="21"/>
          <w:shd w:val="clear" w:color="auto" w:fill="FFFFFF"/>
        </w:rPr>
        <w:t>（以下称</w:t>
      </w:r>
      <w:r>
        <w:rPr>
          <w:rFonts w:hint="eastAsia" w:ascii="宋体" w:hAnsi="宋体"/>
          <w:kern w:val="0"/>
          <w:szCs w:val="24"/>
          <w:shd w:val="clear" w:color="auto" w:fill="FFFFFF"/>
        </w:rPr>
        <w:t>“你方”</w:t>
      </w:r>
      <w:r>
        <w:rPr>
          <w:rFonts w:hint="eastAsia" w:ascii="新宋体" w:hAnsi="新宋体" w:eastAsia="新宋体" w:cs="宋体"/>
          <w:kern w:val="0"/>
          <w:szCs w:val="21"/>
          <w:shd w:val="clear" w:color="auto" w:fill="FFFFFF"/>
        </w:rPr>
        <w:t>）</w:t>
      </w:r>
      <w:r>
        <w:rPr>
          <w:rFonts w:ascii="Trebuchet MS" w:hAnsi="Trebuchet MS" w:eastAsia="新宋体" w:cs="宋体"/>
          <w:kern w:val="0"/>
          <w:szCs w:val="21"/>
          <w:shd w:val="clear" w:color="auto" w:fill="FFFFFF"/>
        </w:rPr>
        <w:t xml:space="preserve">: </w:t>
      </w:r>
    </w:p>
    <w:p w14:paraId="158014B8">
      <w:pPr>
        <w:widowControl/>
        <w:shd w:val="clear" w:color="auto" w:fill="FFFFFF"/>
        <w:snapToGrid w:val="0"/>
        <w:spacing w:line="360" w:lineRule="auto"/>
        <w:ind w:firstLine="420" w:firstLineChars="200"/>
        <w:jc w:val="left"/>
        <w:rPr>
          <w:rFonts w:ascii="Trebuchet MS" w:hAnsi="新宋体" w:eastAsia="新宋体" w:cs="宋体"/>
          <w:kern w:val="0"/>
          <w:szCs w:val="21"/>
          <w:shd w:val="clear" w:color="auto" w:fill="FFFFFF"/>
        </w:rPr>
      </w:pPr>
      <w:r>
        <w:rPr>
          <w:rFonts w:hint="eastAsia" w:ascii="新宋体" w:hAnsi="新宋体" w:eastAsia="新宋体" w:cs="宋体"/>
          <w:kern w:val="0"/>
          <w:szCs w:val="21"/>
          <w:shd w:val="clear" w:color="auto" w:fill="FFFFFF"/>
        </w:rPr>
        <w:t>鉴于</w:t>
      </w:r>
      <w:r>
        <w:rPr>
          <w:rFonts w:ascii="Trebuchet MS" w:hAnsi="Trebuchet MS" w:eastAsia="新宋体" w:cs="宋体"/>
          <w:kern w:val="0"/>
          <w:szCs w:val="21"/>
          <w:u w:val="single"/>
          <w:shd w:val="clear" w:color="auto" w:fill="FFFFFF"/>
        </w:rPr>
        <w:t xml:space="preserve">        </w:t>
      </w:r>
      <w:r>
        <w:rPr>
          <w:rFonts w:hint="eastAsia" w:ascii="新宋体" w:hAnsi="新宋体" w:eastAsia="新宋体" w:cs="宋体"/>
          <w:kern w:val="0"/>
          <w:szCs w:val="21"/>
          <w:u w:val="single"/>
          <w:shd w:val="clear" w:color="auto" w:fill="FFFFFF"/>
        </w:rPr>
        <w:t>（投标人名称）</w:t>
      </w:r>
      <w:r>
        <w:rPr>
          <w:rFonts w:ascii="Trebuchet MS" w:hAnsi="新宋体" w:eastAsia="新宋体" w:cs="宋体"/>
          <w:kern w:val="0"/>
          <w:szCs w:val="21"/>
          <w:u w:val="single"/>
          <w:shd w:val="clear" w:color="auto" w:fill="FFFFFF"/>
        </w:rPr>
        <w:t xml:space="preserve">          </w:t>
      </w:r>
      <w:r>
        <w:rPr>
          <w:rFonts w:hint="eastAsia" w:ascii="新宋体" w:hAnsi="新宋体" w:eastAsia="新宋体" w:cs="宋体"/>
          <w:kern w:val="0"/>
          <w:szCs w:val="21"/>
          <w:shd w:val="clear" w:color="auto" w:fill="FFFFFF"/>
        </w:rPr>
        <w:t>（以下称</w:t>
      </w:r>
      <w:r>
        <w:rPr>
          <w:rFonts w:hint="eastAsia" w:ascii="宋体" w:hAnsi="宋体"/>
          <w:kern w:val="0"/>
          <w:szCs w:val="24"/>
          <w:shd w:val="clear" w:color="auto" w:fill="FFFFFF"/>
        </w:rPr>
        <w:t>“我方”</w:t>
      </w:r>
      <w:r>
        <w:rPr>
          <w:rFonts w:hint="eastAsia" w:ascii="新宋体" w:hAnsi="新宋体" w:eastAsia="新宋体" w:cs="宋体"/>
          <w:kern w:val="0"/>
          <w:szCs w:val="21"/>
          <w:shd w:val="clear" w:color="auto" w:fill="FFFFFF"/>
        </w:rPr>
        <w:t>）于</w:t>
      </w:r>
      <w:r>
        <w:rPr>
          <w:rFonts w:ascii="Trebuchet MS" w:hAnsi="Trebuchet MS" w:eastAsia="新宋体" w:cs="宋体"/>
          <w:kern w:val="0"/>
          <w:szCs w:val="21"/>
          <w:u w:val="single"/>
          <w:shd w:val="clear" w:color="auto" w:fill="FFFFFF"/>
        </w:rPr>
        <w:t xml:space="preserve">      </w:t>
      </w:r>
      <w:r>
        <w:rPr>
          <w:rFonts w:hint="eastAsia" w:ascii="新宋体" w:hAnsi="新宋体" w:eastAsia="新宋体" w:cs="宋体"/>
          <w:kern w:val="0"/>
          <w:szCs w:val="21"/>
          <w:shd w:val="clear" w:color="auto" w:fill="FFFFFF"/>
        </w:rPr>
        <w:t>年＿月＿日参加</w:t>
      </w:r>
      <w:r>
        <w:rPr>
          <w:rFonts w:ascii="Trebuchet MS" w:hAnsi="Trebuchet MS" w:eastAsia="新宋体" w:cs="宋体"/>
          <w:kern w:val="0"/>
          <w:szCs w:val="21"/>
          <w:u w:val="single"/>
          <w:shd w:val="clear" w:color="auto" w:fill="FFFFFF"/>
        </w:rPr>
        <w:t xml:space="preserve">           </w:t>
      </w:r>
      <w:r>
        <w:rPr>
          <w:rFonts w:hint="eastAsia" w:ascii="新宋体" w:hAnsi="新宋体" w:eastAsia="新宋体" w:cs="宋体"/>
          <w:kern w:val="0"/>
          <w:szCs w:val="21"/>
          <w:u w:val="single"/>
          <w:shd w:val="clear" w:color="auto" w:fill="FFFFFF"/>
        </w:rPr>
        <w:t>（项目名称）</w:t>
      </w:r>
      <w:r>
        <w:rPr>
          <w:rFonts w:ascii="Trebuchet MS" w:hAnsi="新宋体" w:eastAsia="新宋体" w:cs="宋体"/>
          <w:kern w:val="0"/>
          <w:szCs w:val="21"/>
          <w:u w:val="single"/>
          <w:shd w:val="clear" w:color="auto" w:fill="FFFFFF"/>
        </w:rPr>
        <w:t xml:space="preserve">      </w:t>
      </w:r>
      <w:r>
        <w:rPr>
          <w:rFonts w:ascii="Trebuchet MS" w:hAnsi="Trebuchet MS" w:eastAsia="新宋体" w:cs="宋体"/>
          <w:kern w:val="0"/>
          <w:szCs w:val="21"/>
          <w:u w:val="single"/>
          <w:shd w:val="clear" w:color="auto" w:fill="FFFFFF"/>
        </w:rPr>
        <w:t xml:space="preserve">     </w:t>
      </w:r>
      <w:r>
        <w:rPr>
          <w:rFonts w:hint="eastAsia" w:ascii="新宋体" w:hAnsi="新宋体" w:eastAsia="新宋体" w:cs="宋体"/>
          <w:kern w:val="0"/>
          <w:szCs w:val="21"/>
          <w:shd w:val="clear" w:color="auto" w:fill="FFFFFF"/>
        </w:rPr>
        <w:t>标段的投标，已接受了中标结果。</w:t>
      </w:r>
      <w:r>
        <w:rPr>
          <w:rFonts w:hint="eastAsia" w:ascii="新宋体" w:hAnsi="新宋体" w:eastAsia="新宋体" w:cs="宋体"/>
          <w:b/>
          <w:kern w:val="0"/>
          <w:szCs w:val="21"/>
          <w:shd w:val="clear" w:color="auto" w:fill="FFFFFF"/>
        </w:rPr>
        <w:t>我单位在此郑重承诺：</w:t>
      </w:r>
    </w:p>
    <w:p w14:paraId="033D9E87">
      <w:pPr>
        <w:widowControl/>
        <w:spacing w:line="360" w:lineRule="auto"/>
        <w:ind w:firstLine="422" w:firstLineChars="200"/>
        <w:rPr>
          <w:rFonts w:ascii="Tahoma" w:hAnsi="Tahoma" w:cs="Tahoma"/>
          <w:b/>
          <w:szCs w:val="21"/>
        </w:rPr>
      </w:pPr>
      <w:bookmarkStart w:id="447" w:name="_Hlk123041903"/>
      <w:r>
        <w:rPr>
          <w:rFonts w:ascii="Tahoma" w:hAnsi="Tahoma" w:eastAsia="新宋体" w:cs="Tahoma"/>
          <w:b/>
          <w:kern w:val="0"/>
          <w:szCs w:val="21"/>
        </w:rPr>
        <w:t>1</w:t>
      </w:r>
      <w:r>
        <w:rPr>
          <w:rFonts w:hint="eastAsia" w:ascii="新宋体" w:hAnsi="新宋体" w:eastAsia="新宋体" w:cs="Tahoma"/>
          <w:b/>
          <w:kern w:val="0"/>
          <w:szCs w:val="21"/>
        </w:rPr>
        <w:t>、</w:t>
      </w:r>
      <w:r>
        <w:rPr>
          <w:rFonts w:hint="eastAsia" w:ascii="新宋体" w:hAnsi="新宋体" w:eastAsia="新宋体" w:cs="宋体"/>
          <w:b/>
          <w:kern w:val="0"/>
          <w:szCs w:val="21"/>
        </w:rPr>
        <w:t>我方承诺</w:t>
      </w:r>
      <w:r>
        <w:rPr>
          <w:rFonts w:hint="eastAsia" w:ascii="新宋体" w:hAnsi="新宋体" w:eastAsia="新宋体" w:cs="Tahoma"/>
          <w:b/>
          <w:kern w:val="0"/>
          <w:szCs w:val="21"/>
        </w:rPr>
        <w:t>在获取</w:t>
      </w:r>
      <w:r>
        <w:rPr>
          <w:rFonts w:hint="eastAsia" w:ascii="新宋体" w:hAnsi="新宋体" w:eastAsia="新宋体" w:cs="宋体"/>
          <w:b/>
          <w:kern w:val="0"/>
          <w:szCs w:val="21"/>
        </w:rPr>
        <w:t>中标通知书后的三个工作日内按投标人须知前附表规定的形式和金额提交履约保证金，</w:t>
      </w:r>
      <w:r>
        <w:rPr>
          <w:rFonts w:hint="eastAsia" w:ascii="宋体" w:hAnsi="宋体" w:cs="Tahoma"/>
          <w:b/>
          <w:szCs w:val="21"/>
        </w:rPr>
        <w:t>未按时缴纳的，</w:t>
      </w:r>
      <w:r>
        <w:rPr>
          <w:rFonts w:hint="eastAsia" w:ascii="新宋体" w:hAnsi="新宋体" w:eastAsia="新宋体" w:cs="宋体"/>
          <w:b/>
          <w:kern w:val="0"/>
          <w:szCs w:val="21"/>
        </w:rPr>
        <w:t>我方无条件地、不可撤销地承诺，同意招标人（发包人）</w:t>
      </w:r>
      <w:r>
        <w:rPr>
          <w:rFonts w:hint="eastAsia" w:ascii="宋体" w:hAnsi="宋体" w:cs="Tahoma"/>
          <w:b/>
          <w:szCs w:val="21"/>
        </w:rPr>
        <w:t>取消我方的中标资格，同时，由招标人按评标委员会提出的第二中标候选人确定为中标人，以此类推。</w:t>
      </w:r>
    </w:p>
    <w:p w14:paraId="0602D194">
      <w:pPr>
        <w:widowControl/>
        <w:shd w:val="clear" w:color="auto" w:fill="FFFFFF"/>
        <w:snapToGrid w:val="0"/>
        <w:spacing w:line="360" w:lineRule="auto"/>
        <w:ind w:firstLine="422" w:firstLineChars="200"/>
        <w:jc w:val="left"/>
        <w:rPr>
          <w:rFonts w:ascii="Trebuchet MS" w:hAnsi="新宋体" w:eastAsia="新宋体" w:cs="宋体"/>
          <w:b/>
          <w:kern w:val="0"/>
          <w:szCs w:val="21"/>
          <w:shd w:val="clear" w:color="auto" w:fill="FFFFFF"/>
        </w:rPr>
      </w:pPr>
      <w:r>
        <w:rPr>
          <w:rFonts w:ascii="Tahoma" w:hAnsi="Tahoma" w:eastAsia="新宋体" w:cs="Tahoma"/>
          <w:b/>
          <w:kern w:val="0"/>
          <w:szCs w:val="21"/>
          <w:shd w:val="clear" w:color="auto" w:fill="FFFFFF"/>
        </w:rPr>
        <w:t>2</w:t>
      </w:r>
      <w:r>
        <w:rPr>
          <w:rFonts w:hint="eastAsia" w:ascii="新宋体" w:hAnsi="新宋体" w:eastAsia="新宋体" w:cs="宋体"/>
          <w:b/>
          <w:kern w:val="0"/>
          <w:szCs w:val="21"/>
          <w:shd w:val="clear" w:color="auto" w:fill="FFFFFF"/>
        </w:rPr>
        <w:t>、我方承诺在收到招标人发出的取消中标结果通知书后，我方无条件同意你方没收我方已提交的投标保证金人民币（大写）</w:t>
      </w:r>
      <w:r>
        <w:rPr>
          <w:rFonts w:ascii="Trebuchet MS" w:hAnsi="Trebuchet MS" w:eastAsia="新宋体" w:cs="宋体"/>
          <w:b/>
          <w:kern w:val="0"/>
          <w:szCs w:val="21"/>
          <w:u w:val="single"/>
          <w:shd w:val="clear" w:color="auto" w:fill="FFFFFF"/>
        </w:rPr>
        <w:t xml:space="preserve">              </w:t>
      </w:r>
      <w:r>
        <w:rPr>
          <w:rFonts w:hint="eastAsia" w:ascii="新宋体" w:hAnsi="新宋体" w:eastAsia="新宋体" w:cs="宋体"/>
          <w:b/>
          <w:kern w:val="0"/>
          <w:szCs w:val="21"/>
          <w:shd w:val="clear" w:color="auto" w:fill="FFFFFF"/>
        </w:rPr>
        <w:t>元。</w:t>
      </w:r>
    </w:p>
    <w:p w14:paraId="7F3C2290">
      <w:pPr>
        <w:widowControl/>
        <w:shd w:val="clear" w:color="auto" w:fill="FFFFFF"/>
        <w:snapToGrid w:val="0"/>
        <w:spacing w:line="360" w:lineRule="auto"/>
        <w:ind w:firstLine="422" w:firstLineChars="200"/>
        <w:jc w:val="left"/>
        <w:rPr>
          <w:rFonts w:ascii="Trebuchet MS" w:hAnsi="Trebuchet MS" w:eastAsia="新宋体" w:cs="宋体"/>
          <w:b/>
          <w:kern w:val="0"/>
          <w:szCs w:val="21"/>
          <w:shd w:val="clear" w:color="auto" w:fill="FFFFFF"/>
        </w:rPr>
      </w:pPr>
      <w:r>
        <w:rPr>
          <w:rFonts w:ascii="Tahoma" w:hAnsi="Tahoma" w:eastAsia="新宋体" w:cs="Tahoma"/>
          <w:b/>
          <w:kern w:val="0"/>
          <w:szCs w:val="21"/>
          <w:shd w:val="clear" w:color="auto" w:fill="FFFFFF"/>
        </w:rPr>
        <w:t>3</w:t>
      </w:r>
      <w:r>
        <w:rPr>
          <w:rFonts w:hint="eastAsia" w:ascii="新宋体" w:hAnsi="新宋体" w:eastAsia="新宋体" w:cs="宋体"/>
          <w:b/>
          <w:kern w:val="0"/>
          <w:szCs w:val="21"/>
          <w:shd w:val="clear" w:color="auto" w:fill="FFFFFF"/>
        </w:rPr>
        <w:t>、我方承诺在工程施工过程中直至工程竣工验收前，存在拖欠农民工工资行为，并在发包人责令期限内不能按时结清农民工工资的，我方无条件同意你方从履约保证金中扣除拖欠农民工工资部分的金额，用于发放拖欠的农民工工资。直至全额扣除履约保证金仍不足以结清拖欠的农民工工资的，我方无条件同意你方将我方记不良行为一次，在一年内不得参加民丰县水利工程的招投标市场，并承担我方未全部履行其合同和招标文件规定的义务及相应的违约责任和由此引起的一切责任。</w:t>
      </w:r>
    </w:p>
    <w:p w14:paraId="5D3602F1">
      <w:pPr>
        <w:widowControl/>
        <w:shd w:val="clear" w:color="auto" w:fill="FFFFFF"/>
        <w:snapToGrid w:val="0"/>
        <w:spacing w:line="360" w:lineRule="auto"/>
        <w:ind w:firstLine="420" w:firstLineChars="200"/>
        <w:jc w:val="left"/>
        <w:rPr>
          <w:rFonts w:ascii="Trebuchet MS" w:hAnsi="Trebuchet MS" w:eastAsia="新宋体" w:cs="宋体"/>
          <w:kern w:val="0"/>
          <w:szCs w:val="21"/>
          <w:shd w:val="clear" w:color="auto" w:fill="FFFFFF"/>
        </w:rPr>
      </w:pPr>
      <w:r>
        <w:rPr>
          <w:rFonts w:hint="eastAsia" w:ascii="新宋体" w:hAnsi="新宋体" w:eastAsia="新宋体" w:cs="宋体"/>
          <w:kern w:val="0"/>
          <w:szCs w:val="21"/>
          <w:shd w:val="clear" w:color="auto" w:fill="FFFFFF"/>
        </w:rPr>
        <w:t>本承诺在工程竣工验收前一直保持有效。</w:t>
      </w:r>
    </w:p>
    <w:p w14:paraId="0CB3D767">
      <w:pPr>
        <w:widowControl/>
        <w:shd w:val="clear" w:color="auto" w:fill="FFFFFF"/>
        <w:snapToGrid w:val="0"/>
        <w:spacing w:line="360" w:lineRule="auto"/>
        <w:ind w:firstLine="420" w:firstLineChars="200"/>
        <w:jc w:val="left"/>
        <w:rPr>
          <w:rFonts w:ascii="Trebuchet MS" w:hAnsi="Trebuchet MS" w:eastAsia="新宋体" w:cs="宋体"/>
          <w:kern w:val="0"/>
          <w:szCs w:val="21"/>
          <w:shd w:val="clear" w:color="auto" w:fill="FFFFFF"/>
        </w:rPr>
      </w:pPr>
      <w:r>
        <w:rPr>
          <w:rFonts w:ascii="Trebuchet MS" w:hAnsi="Trebuchet MS" w:eastAsia="新宋体" w:cs="宋体"/>
          <w:kern w:val="0"/>
          <w:szCs w:val="21"/>
          <w:shd w:val="clear" w:color="auto" w:fill="FFFFFF"/>
        </w:rPr>
        <w:t xml:space="preserve"> </w:t>
      </w:r>
    </w:p>
    <w:p w14:paraId="3C89C50F">
      <w:pPr>
        <w:widowControl/>
        <w:shd w:val="clear" w:color="auto" w:fill="FFFFFF"/>
        <w:snapToGrid w:val="0"/>
        <w:spacing w:line="480" w:lineRule="auto"/>
        <w:ind w:firstLine="3215" w:firstLineChars="1531"/>
        <w:jc w:val="left"/>
        <w:rPr>
          <w:rFonts w:ascii="Trebuchet MS" w:hAnsi="Trebuchet MS" w:eastAsia="新宋体" w:cs="宋体"/>
          <w:kern w:val="0"/>
          <w:szCs w:val="21"/>
          <w:shd w:val="clear" w:color="auto" w:fill="FFFFFF"/>
        </w:rPr>
      </w:pPr>
      <w:r>
        <w:rPr>
          <w:rFonts w:hint="eastAsia" w:ascii="新宋体" w:hAnsi="新宋体" w:eastAsia="新宋体" w:cs="宋体"/>
          <w:kern w:val="0"/>
          <w:szCs w:val="21"/>
          <w:shd w:val="clear" w:color="auto" w:fill="FFFFFF"/>
        </w:rPr>
        <w:t>投标人名称：</w:t>
      </w:r>
      <w:r>
        <w:rPr>
          <w:rFonts w:ascii="Trebuchet MS" w:hAnsi="Trebuchet MS" w:eastAsia="新宋体" w:cs="宋体"/>
          <w:kern w:val="0"/>
          <w:szCs w:val="21"/>
          <w:u w:val="single"/>
          <w:shd w:val="clear" w:color="auto" w:fill="FFFFFF"/>
        </w:rPr>
        <w:t xml:space="preserve">             </w:t>
      </w:r>
      <w:r>
        <w:rPr>
          <w:rFonts w:hint="eastAsia" w:ascii="新宋体" w:hAnsi="新宋体" w:eastAsia="新宋体" w:cs="宋体"/>
          <w:kern w:val="0"/>
          <w:szCs w:val="21"/>
          <w:u w:val="single"/>
          <w:shd w:val="clear" w:color="auto" w:fill="FFFFFF"/>
        </w:rPr>
        <w:t>（盖单位章）</w:t>
      </w:r>
      <w:r>
        <w:rPr>
          <w:rFonts w:ascii="Trebuchet MS" w:hAnsi="新宋体" w:eastAsia="新宋体" w:cs="宋体"/>
          <w:kern w:val="0"/>
          <w:szCs w:val="21"/>
          <w:u w:val="single"/>
          <w:shd w:val="clear" w:color="auto" w:fill="FFFFFF"/>
        </w:rPr>
        <w:t xml:space="preserve">            </w:t>
      </w:r>
      <w:r>
        <w:rPr>
          <w:rFonts w:ascii="Trebuchet MS" w:hAnsi="Trebuchet MS" w:eastAsia="新宋体" w:cs="宋体"/>
          <w:kern w:val="0"/>
          <w:szCs w:val="21"/>
          <w:u w:val="single"/>
          <w:shd w:val="clear" w:color="auto" w:fill="FFFFFF"/>
        </w:rPr>
        <w:t xml:space="preserve">  </w:t>
      </w:r>
    </w:p>
    <w:p w14:paraId="3F0B04C4">
      <w:pPr>
        <w:widowControl/>
        <w:shd w:val="clear" w:color="auto" w:fill="FFFFFF"/>
        <w:snapToGrid w:val="0"/>
        <w:spacing w:line="480" w:lineRule="auto"/>
        <w:ind w:firstLine="3215" w:firstLineChars="1531"/>
        <w:jc w:val="left"/>
        <w:rPr>
          <w:rFonts w:ascii="Trebuchet MS" w:hAnsi="Trebuchet MS" w:eastAsia="新宋体" w:cs="宋体"/>
          <w:kern w:val="0"/>
          <w:szCs w:val="21"/>
          <w:shd w:val="clear" w:color="auto" w:fill="FFFFFF"/>
        </w:rPr>
      </w:pPr>
      <w:r>
        <w:rPr>
          <w:rFonts w:hint="eastAsia" w:ascii="新宋体" w:hAnsi="新宋体" w:eastAsia="新宋体" w:cs="宋体"/>
          <w:kern w:val="0"/>
          <w:szCs w:val="21"/>
          <w:shd w:val="clear" w:color="auto" w:fill="FFFFFF"/>
        </w:rPr>
        <w:t>法定代表人或其委托代理人：</w:t>
      </w:r>
      <w:r>
        <w:rPr>
          <w:rFonts w:ascii="Trebuchet MS" w:hAnsi="Trebuchet MS" w:eastAsia="新宋体" w:cs="宋体"/>
          <w:kern w:val="0"/>
          <w:szCs w:val="21"/>
          <w:u w:val="single"/>
          <w:shd w:val="clear" w:color="auto" w:fill="FFFFFF"/>
        </w:rPr>
        <w:t xml:space="preserve">        </w:t>
      </w:r>
      <w:r>
        <w:rPr>
          <w:rFonts w:hint="eastAsia" w:ascii="新宋体" w:hAnsi="新宋体" w:eastAsia="新宋体" w:cs="宋体"/>
          <w:kern w:val="0"/>
          <w:szCs w:val="21"/>
          <w:u w:val="single"/>
          <w:shd w:val="clear" w:color="auto" w:fill="FFFFFF"/>
        </w:rPr>
        <w:t>（签字）</w:t>
      </w:r>
      <w:r>
        <w:rPr>
          <w:rFonts w:ascii="Trebuchet MS" w:hAnsi="新宋体" w:eastAsia="新宋体" w:cs="宋体"/>
          <w:kern w:val="0"/>
          <w:szCs w:val="21"/>
          <w:u w:val="single"/>
          <w:shd w:val="clear" w:color="auto" w:fill="FFFFFF"/>
        </w:rPr>
        <w:t xml:space="preserve">        </w:t>
      </w:r>
    </w:p>
    <w:p w14:paraId="132311CA">
      <w:pPr>
        <w:widowControl/>
        <w:shd w:val="clear" w:color="auto" w:fill="FFFFFF"/>
        <w:snapToGrid w:val="0"/>
        <w:spacing w:line="480" w:lineRule="auto"/>
        <w:ind w:firstLine="3215" w:firstLineChars="1531"/>
        <w:jc w:val="left"/>
        <w:rPr>
          <w:rFonts w:ascii="Trebuchet MS" w:hAnsi="Trebuchet MS" w:eastAsia="新宋体" w:cs="宋体"/>
          <w:kern w:val="0"/>
          <w:szCs w:val="21"/>
          <w:shd w:val="clear" w:color="auto" w:fill="FFFFFF"/>
        </w:rPr>
      </w:pPr>
      <w:r>
        <w:rPr>
          <w:rFonts w:hint="eastAsia" w:ascii="新宋体" w:hAnsi="新宋体" w:eastAsia="新宋体" w:cs="宋体"/>
          <w:kern w:val="0"/>
          <w:szCs w:val="21"/>
          <w:shd w:val="clear" w:color="auto" w:fill="FFFFFF"/>
        </w:rPr>
        <w:t>地址：</w:t>
      </w:r>
      <w:r>
        <w:rPr>
          <w:rFonts w:ascii="Trebuchet MS" w:hAnsi="Trebuchet MS" w:eastAsia="新宋体" w:cs="宋体"/>
          <w:kern w:val="0"/>
          <w:szCs w:val="21"/>
          <w:u w:val="single"/>
          <w:shd w:val="clear" w:color="auto" w:fill="FFFFFF"/>
        </w:rPr>
        <w:t xml:space="preserve">                                            </w:t>
      </w:r>
    </w:p>
    <w:p w14:paraId="44EBFC1E">
      <w:pPr>
        <w:widowControl/>
        <w:shd w:val="clear" w:color="auto" w:fill="FFFFFF"/>
        <w:snapToGrid w:val="0"/>
        <w:spacing w:line="480" w:lineRule="auto"/>
        <w:ind w:firstLine="3215" w:firstLineChars="1531"/>
        <w:jc w:val="left"/>
        <w:rPr>
          <w:rFonts w:ascii="Trebuchet MS" w:hAnsi="Trebuchet MS" w:eastAsia="新宋体" w:cs="宋体"/>
          <w:kern w:val="0"/>
          <w:szCs w:val="21"/>
          <w:shd w:val="clear" w:color="auto" w:fill="FFFFFF"/>
        </w:rPr>
      </w:pPr>
      <w:r>
        <w:rPr>
          <w:rFonts w:hint="eastAsia" w:ascii="新宋体" w:hAnsi="新宋体" w:eastAsia="新宋体" w:cs="宋体"/>
          <w:kern w:val="0"/>
          <w:szCs w:val="21"/>
          <w:shd w:val="clear" w:color="auto" w:fill="FFFFFF"/>
        </w:rPr>
        <w:t>邮政编码：</w:t>
      </w:r>
      <w:r>
        <w:rPr>
          <w:rFonts w:ascii="Trebuchet MS" w:hAnsi="Trebuchet MS" w:eastAsia="新宋体" w:cs="宋体"/>
          <w:kern w:val="0"/>
          <w:szCs w:val="21"/>
          <w:u w:val="single"/>
          <w:shd w:val="clear" w:color="auto" w:fill="FFFFFF"/>
        </w:rPr>
        <w:t xml:space="preserve">                                        </w:t>
      </w:r>
    </w:p>
    <w:p w14:paraId="57CD6E18">
      <w:pPr>
        <w:widowControl/>
        <w:shd w:val="clear" w:color="auto" w:fill="FFFFFF"/>
        <w:snapToGrid w:val="0"/>
        <w:spacing w:line="480" w:lineRule="auto"/>
        <w:ind w:firstLine="3215" w:firstLineChars="1531"/>
        <w:jc w:val="left"/>
        <w:rPr>
          <w:rFonts w:ascii="Trebuchet MS" w:hAnsi="Trebuchet MS" w:eastAsia="新宋体" w:cs="宋体"/>
          <w:kern w:val="0"/>
          <w:szCs w:val="21"/>
          <w:shd w:val="clear" w:color="auto" w:fill="FFFFFF"/>
        </w:rPr>
      </w:pPr>
      <w:r>
        <w:rPr>
          <w:rFonts w:hint="eastAsia" w:ascii="新宋体" w:hAnsi="新宋体" w:eastAsia="新宋体" w:cs="宋体"/>
          <w:kern w:val="0"/>
          <w:szCs w:val="21"/>
          <w:shd w:val="clear" w:color="auto" w:fill="FFFFFF"/>
        </w:rPr>
        <w:t>电话：</w:t>
      </w:r>
      <w:r>
        <w:rPr>
          <w:rFonts w:ascii="Trebuchet MS" w:hAnsi="Trebuchet MS" w:eastAsia="新宋体" w:cs="宋体"/>
          <w:kern w:val="0"/>
          <w:szCs w:val="21"/>
          <w:u w:val="single"/>
          <w:shd w:val="clear" w:color="auto" w:fill="FFFFFF"/>
        </w:rPr>
        <w:t xml:space="preserve">                                            </w:t>
      </w:r>
    </w:p>
    <w:p w14:paraId="458E1036">
      <w:pPr>
        <w:widowControl/>
        <w:shd w:val="clear" w:color="auto" w:fill="FFFFFF"/>
        <w:snapToGrid w:val="0"/>
        <w:spacing w:line="480" w:lineRule="auto"/>
        <w:ind w:firstLine="3215" w:firstLineChars="1531"/>
        <w:jc w:val="left"/>
        <w:rPr>
          <w:rFonts w:ascii="Trebuchet MS" w:hAnsi="Trebuchet MS" w:eastAsia="新宋体" w:cs="宋体"/>
          <w:kern w:val="0"/>
          <w:szCs w:val="21"/>
          <w:u w:val="single"/>
          <w:shd w:val="clear" w:color="auto" w:fill="FFFFFF"/>
        </w:rPr>
      </w:pPr>
      <w:r>
        <w:rPr>
          <w:rFonts w:hint="eastAsia" w:ascii="新宋体" w:hAnsi="新宋体" w:eastAsia="新宋体" w:cs="宋体"/>
          <w:kern w:val="0"/>
          <w:szCs w:val="21"/>
          <w:shd w:val="clear" w:color="auto" w:fill="FFFFFF"/>
        </w:rPr>
        <w:t>传真：</w:t>
      </w:r>
      <w:r>
        <w:rPr>
          <w:rFonts w:ascii="Trebuchet MS" w:hAnsi="Trebuchet MS" w:eastAsia="新宋体" w:cs="宋体"/>
          <w:kern w:val="0"/>
          <w:szCs w:val="21"/>
          <w:u w:val="single"/>
          <w:shd w:val="clear" w:color="auto" w:fill="FFFFFF"/>
        </w:rPr>
        <w:t xml:space="preserve">                                            </w:t>
      </w:r>
    </w:p>
    <w:p w14:paraId="7D397FF3">
      <w:pPr>
        <w:widowControl/>
        <w:shd w:val="clear" w:color="auto" w:fill="FFFFFF"/>
        <w:snapToGrid w:val="0"/>
        <w:spacing w:line="480" w:lineRule="auto"/>
        <w:ind w:firstLine="5733" w:firstLineChars="2730"/>
        <w:jc w:val="left"/>
        <w:rPr>
          <w:rFonts w:ascii="Trebuchet MS" w:hAnsi="Trebuchet MS" w:eastAsia="新宋体" w:cs="宋体"/>
          <w:kern w:val="0"/>
          <w:sz w:val="24"/>
          <w:szCs w:val="24"/>
          <w:shd w:val="clear" w:color="auto" w:fill="FFFFFF"/>
        </w:rPr>
      </w:pPr>
      <w:r>
        <w:rPr>
          <w:rFonts w:ascii="Trebuchet MS" w:hAnsi="Trebuchet MS" w:eastAsia="新宋体" w:cs="宋体"/>
          <w:kern w:val="0"/>
          <w:szCs w:val="21"/>
          <w:u w:val="single"/>
          <w:shd w:val="clear" w:color="auto" w:fill="FFFFFF"/>
        </w:rPr>
        <w:t xml:space="preserve">         </w:t>
      </w:r>
      <w:r>
        <w:rPr>
          <w:rFonts w:hint="eastAsia" w:ascii="新宋体" w:hAnsi="新宋体" w:eastAsia="新宋体" w:cs="宋体"/>
          <w:kern w:val="0"/>
          <w:szCs w:val="21"/>
          <w:shd w:val="clear" w:color="auto" w:fill="FFFFFF"/>
        </w:rPr>
        <w:t>年</w:t>
      </w:r>
      <w:r>
        <w:rPr>
          <w:rFonts w:ascii="Trebuchet MS" w:hAnsi="Trebuchet MS" w:eastAsia="新宋体" w:cs="宋体"/>
          <w:kern w:val="0"/>
          <w:szCs w:val="21"/>
          <w:u w:val="single"/>
          <w:shd w:val="clear" w:color="auto" w:fill="FFFFFF"/>
        </w:rPr>
        <w:t xml:space="preserve">    </w:t>
      </w:r>
      <w:r>
        <w:rPr>
          <w:rFonts w:hint="eastAsia" w:ascii="新宋体" w:hAnsi="新宋体" w:eastAsia="新宋体" w:cs="宋体"/>
          <w:kern w:val="0"/>
          <w:szCs w:val="21"/>
          <w:shd w:val="clear" w:color="auto" w:fill="FFFFFF"/>
        </w:rPr>
        <w:t>月</w:t>
      </w:r>
      <w:r>
        <w:rPr>
          <w:rFonts w:ascii="Trebuchet MS" w:hAnsi="Trebuchet MS" w:eastAsia="新宋体" w:cs="宋体"/>
          <w:kern w:val="0"/>
          <w:szCs w:val="21"/>
          <w:u w:val="single"/>
          <w:shd w:val="clear" w:color="auto" w:fill="FFFFFF"/>
        </w:rPr>
        <w:t xml:space="preserve">    </w:t>
      </w:r>
      <w:r>
        <w:rPr>
          <w:rFonts w:hint="eastAsia" w:ascii="新宋体" w:hAnsi="新宋体" w:eastAsia="新宋体" w:cs="宋体"/>
          <w:kern w:val="0"/>
          <w:szCs w:val="21"/>
          <w:shd w:val="clear" w:color="auto" w:fill="FFFFFF"/>
        </w:rPr>
        <w:t>日</w:t>
      </w:r>
    </w:p>
    <w:p w14:paraId="33127AAF">
      <w:pPr>
        <w:widowControl/>
        <w:shd w:val="clear" w:color="auto" w:fill="FFFFFF"/>
        <w:snapToGrid w:val="0"/>
        <w:spacing w:line="360" w:lineRule="auto"/>
        <w:jc w:val="center"/>
        <w:rPr>
          <w:rFonts w:hint="eastAsia" w:ascii="黑体" w:hAnsi="宋体" w:eastAsia="黑体" w:cs="宋体"/>
          <w:b/>
          <w:kern w:val="36"/>
          <w:sz w:val="28"/>
          <w:szCs w:val="28"/>
          <w:shd w:val="clear" w:color="auto" w:fill="FFFFFF"/>
        </w:rPr>
      </w:pPr>
    </w:p>
    <w:p w14:paraId="3A40A0DA">
      <w:pPr>
        <w:widowControl/>
        <w:shd w:val="clear" w:color="auto" w:fill="FFFFFF"/>
        <w:snapToGrid w:val="0"/>
        <w:spacing w:line="360" w:lineRule="auto"/>
        <w:jc w:val="center"/>
        <w:rPr>
          <w:rFonts w:hint="eastAsia" w:ascii="黑体" w:hAnsi="宋体" w:eastAsia="黑体" w:cs="宋体"/>
          <w:b/>
          <w:kern w:val="36"/>
          <w:sz w:val="28"/>
          <w:szCs w:val="28"/>
          <w:shd w:val="clear" w:color="auto" w:fill="FFFFFF"/>
        </w:rPr>
      </w:pPr>
    </w:p>
    <w:bookmarkEnd w:id="447"/>
    <w:p w14:paraId="7CBBB557">
      <w:pPr>
        <w:widowControl/>
        <w:shd w:val="clear" w:color="auto" w:fill="FFFFFF"/>
        <w:snapToGrid w:val="0"/>
        <w:spacing w:line="360" w:lineRule="auto"/>
        <w:jc w:val="center"/>
        <w:rPr>
          <w:rFonts w:hint="eastAsia" w:ascii="黑体" w:hAnsi="宋体" w:eastAsia="黑体" w:cs="宋体"/>
          <w:b/>
          <w:kern w:val="36"/>
          <w:sz w:val="28"/>
          <w:szCs w:val="28"/>
          <w:shd w:val="clear" w:color="auto" w:fill="FFFFFF"/>
        </w:rPr>
      </w:pPr>
      <w:r>
        <w:rPr>
          <w:rFonts w:hint="eastAsia" w:ascii="黑体" w:hAnsi="宋体" w:eastAsia="黑体" w:cs="宋体"/>
          <w:b/>
          <w:kern w:val="36"/>
          <w:sz w:val="28"/>
          <w:szCs w:val="28"/>
          <w:shd w:val="clear" w:color="auto" w:fill="FFFFFF"/>
        </w:rPr>
        <w:t xml:space="preserve"> </w:t>
      </w:r>
    </w:p>
    <w:p w14:paraId="1178547E">
      <w:pPr>
        <w:spacing w:line="360" w:lineRule="exact"/>
        <w:jc w:val="both"/>
        <w:rPr>
          <w:rFonts w:hint="eastAsia" w:ascii="黑体" w:hAnsi="黑体" w:eastAsia="黑体"/>
          <w:b/>
          <w:sz w:val="24"/>
          <w:szCs w:val="24"/>
        </w:rPr>
      </w:pPr>
    </w:p>
    <w:p w14:paraId="4F9D862C">
      <w:pPr>
        <w:spacing w:line="360" w:lineRule="exact"/>
        <w:rPr>
          <w:rFonts w:hint="eastAsia" w:ascii="黑体" w:hAnsi="黑体" w:eastAsia="黑体"/>
          <w:b/>
          <w:sz w:val="24"/>
          <w:szCs w:val="24"/>
        </w:rPr>
      </w:pPr>
    </w:p>
    <w:p w14:paraId="492FF19E">
      <w:pPr>
        <w:spacing w:line="360" w:lineRule="exact"/>
        <w:jc w:val="center"/>
        <w:rPr>
          <w:rFonts w:hint="eastAsia" w:ascii="黑体" w:hAnsi="宋体" w:eastAsia="黑体" w:cs="Calibri"/>
          <w:b/>
          <w:sz w:val="24"/>
          <w:szCs w:val="24"/>
        </w:rPr>
      </w:pPr>
      <w:r>
        <w:rPr>
          <w:rFonts w:hint="eastAsia" w:ascii="黑体" w:hAnsi="黑体" w:eastAsia="黑体"/>
          <w:b/>
          <w:sz w:val="24"/>
          <w:szCs w:val="24"/>
        </w:rPr>
        <w:t>（</w:t>
      </w:r>
      <w:r>
        <w:rPr>
          <w:rFonts w:hint="eastAsia" w:ascii="黑体" w:hAnsi="黑体" w:eastAsia="黑体"/>
          <w:b/>
          <w:sz w:val="24"/>
          <w:szCs w:val="24"/>
          <w:lang w:val="en-US" w:eastAsia="zh-CN"/>
        </w:rPr>
        <w:t>五</w:t>
      </w:r>
      <w:r>
        <w:rPr>
          <w:rFonts w:hint="eastAsia" w:ascii="黑体" w:hAnsi="黑体" w:eastAsia="黑体"/>
          <w:b/>
          <w:sz w:val="24"/>
          <w:szCs w:val="24"/>
        </w:rPr>
        <w:t>）项目经理业绩完工证明及未同时担任两个及以上在建工程项目经理证明及承诺书</w:t>
      </w:r>
    </w:p>
    <w:p w14:paraId="7ADF70B6">
      <w:pPr>
        <w:spacing w:line="360" w:lineRule="auto"/>
        <w:rPr>
          <w:rFonts w:hint="eastAsia"/>
          <w:szCs w:val="24"/>
        </w:rPr>
      </w:pPr>
      <w:r>
        <w:rPr>
          <w:szCs w:val="24"/>
        </w:rPr>
        <w:t xml:space="preserve"> </w:t>
      </w:r>
    </w:p>
    <w:p w14:paraId="1A585151">
      <w:pPr>
        <w:spacing w:line="360" w:lineRule="auto"/>
        <w:ind w:firstLine="211" w:firstLineChars="100"/>
        <w:rPr>
          <w:rFonts w:ascii="Tahoma" w:hAnsi="Tahoma" w:cs="Tahoma"/>
          <w:b/>
          <w:szCs w:val="21"/>
        </w:rPr>
      </w:pPr>
      <w:r>
        <w:rPr>
          <w:rFonts w:hint="eastAsia" w:ascii="宋体" w:hAnsi="宋体" w:cs="Tahoma"/>
          <w:b/>
          <w:szCs w:val="21"/>
        </w:rPr>
        <w:t>（</w:t>
      </w:r>
      <w:r>
        <w:rPr>
          <w:rFonts w:ascii="Tahoma" w:hAnsi="Tahoma" w:cs="Tahoma"/>
          <w:b/>
          <w:szCs w:val="21"/>
        </w:rPr>
        <w:t>1</w:t>
      </w:r>
      <w:r>
        <w:rPr>
          <w:rFonts w:hint="eastAsia" w:ascii="宋体" w:hAnsi="宋体" w:cs="Tahoma"/>
          <w:b/>
          <w:szCs w:val="21"/>
        </w:rPr>
        <w:t>）、项目经理业绩完工证明：</w:t>
      </w:r>
      <w:r>
        <w:rPr>
          <w:rFonts w:hint="eastAsia" w:ascii="宋体" w:hAnsi="宋体" w:cs="Tahoma"/>
          <w:szCs w:val="21"/>
        </w:rPr>
        <w:t>拟任本项目经理需提供近期在中标项目（如有）中担任项目经理的单位工程验收鉴定书或工程所在地的县（市）级水利部门出具的项目已完工的证明文件为准（未提供的视为项目在建，在此提供完工证明的复印件或影印件）。</w:t>
      </w:r>
      <w:r>
        <w:rPr>
          <w:rFonts w:hint="eastAsia" w:ascii="宋体" w:hAnsi="宋体" w:cs="Tahoma"/>
          <w:b/>
          <w:szCs w:val="21"/>
        </w:rPr>
        <w:t>提供虚假资料的，其投标将被否决！</w:t>
      </w:r>
    </w:p>
    <w:p w14:paraId="6277A4D4">
      <w:pPr>
        <w:spacing w:line="360" w:lineRule="auto"/>
        <w:ind w:firstLine="211" w:firstLineChars="100"/>
        <w:rPr>
          <w:rFonts w:ascii="Tahoma" w:hAnsi="Tahoma" w:cs="Tahoma"/>
          <w:szCs w:val="21"/>
        </w:rPr>
      </w:pPr>
      <w:r>
        <w:rPr>
          <w:rFonts w:hint="eastAsia" w:ascii="宋体" w:hAnsi="宋体" w:cs="Tahoma"/>
          <w:b/>
          <w:szCs w:val="21"/>
        </w:rPr>
        <w:t>（</w:t>
      </w:r>
      <w:r>
        <w:rPr>
          <w:rFonts w:ascii="Tahoma" w:hAnsi="Tahoma" w:cs="Tahoma"/>
          <w:b/>
          <w:szCs w:val="21"/>
        </w:rPr>
        <w:t>2</w:t>
      </w:r>
      <w:r>
        <w:rPr>
          <w:rFonts w:hint="eastAsia" w:ascii="宋体" w:hAnsi="宋体" w:cs="Tahoma"/>
          <w:b/>
          <w:szCs w:val="21"/>
        </w:rPr>
        <w:t>）、未同时担任两个及以上在建工程项目经理证明：</w:t>
      </w:r>
      <w:r>
        <w:rPr>
          <w:rFonts w:hint="eastAsia" w:ascii="宋体" w:hAnsi="宋体" w:cs="Tahoma"/>
          <w:szCs w:val="21"/>
        </w:rPr>
        <w:t>拟任本项目经理未同时担任两个及以上在建工程项目经理证明，在此提供证明的原件。</w:t>
      </w:r>
    </w:p>
    <w:p w14:paraId="79AB9FE0">
      <w:pPr>
        <w:widowControl/>
        <w:spacing w:line="360" w:lineRule="auto"/>
        <w:ind w:firstLine="211" w:firstLineChars="100"/>
        <w:jc w:val="left"/>
        <w:rPr>
          <w:rFonts w:ascii="Trebuchet MS" w:hAnsi="Trebuchet MS" w:eastAsia="新宋体" w:cs="宋体"/>
          <w:kern w:val="0"/>
          <w:szCs w:val="21"/>
        </w:rPr>
      </w:pPr>
      <w:r>
        <w:rPr>
          <w:rFonts w:hint="eastAsia" w:ascii="宋体" w:hAnsi="宋体" w:cs="Tahoma"/>
          <w:b/>
          <w:szCs w:val="21"/>
        </w:rPr>
        <w:t>（3）、</w:t>
      </w:r>
      <w:r>
        <w:rPr>
          <w:rFonts w:hint="eastAsia" w:ascii="黑体" w:hAnsi="黑体" w:eastAsia="黑体" w:cs="Tahoma"/>
          <w:b/>
          <w:kern w:val="36"/>
          <w:szCs w:val="21"/>
        </w:rPr>
        <w:t>我方在此作出</w:t>
      </w:r>
      <w:r>
        <w:rPr>
          <w:rFonts w:hint="eastAsia" w:ascii="黑体" w:hAnsi="黑体" w:eastAsia="黑体" w:cs="宋体"/>
          <w:b/>
          <w:kern w:val="0"/>
          <w:szCs w:val="21"/>
        </w:rPr>
        <w:t>郑重承诺：</w:t>
      </w:r>
      <w:r>
        <w:rPr>
          <w:rFonts w:hint="eastAsia" w:ascii="新宋体" w:hAnsi="新宋体" w:eastAsia="新宋体" w:cs="宋体"/>
          <w:kern w:val="0"/>
          <w:szCs w:val="21"/>
        </w:rPr>
        <w:t>保证在本项目中投入的项目经理</w:t>
      </w:r>
      <w:r>
        <w:rPr>
          <w:rFonts w:ascii="Trebuchet MS" w:hAnsi="新宋体" w:eastAsia="新宋体" w:cs="宋体"/>
          <w:kern w:val="0"/>
          <w:szCs w:val="21"/>
          <w:u w:val="single"/>
        </w:rPr>
        <w:t xml:space="preserve">       </w:t>
      </w:r>
      <w:r>
        <w:rPr>
          <w:rFonts w:hint="eastAsia" w:ascii="新宋体" w:hAnsi="新宋体" w:eastAsia="新宋体" w:cs="宋体"/>
          <w:kern w:val="0"/>
          <w:szCs w:val="21"/>
          <w:u w:val="single"/>
        </w:rPr>
        <w:t>（姓名）</w:t>
      </w:r>
      <w:r>
        <w:rPr>
          <w:rFonts w:ascii="Trebuchet MS" w:hAnsi="新宋体" w:eastAsia="新宋体" w:cs="宋体"/>
          <w:kern w:val="0"/>
          <w:szCs w:val="21"/>
          <w:u w:val="single"/>
        </w:rPr>
        <w:t xml:space="preserve">         </w:t>
      </w:r>
      <w:r>
        <w:rPr>
          <w:rFonts w:hint="eastAsia" w:ascii="新宋体" w:hAnsi="新宋体" w:eastAsia="新宋体" w:cs="宋体"/>
          <w:kern w:val="0"/>
          <w:szCs w:val="21"/>
        </w:rPr>
        <w:t>未在任何在建工程项目中担任项目经理，经查实，一旦我方拟投入的项目经理存在上述</w:t>
      </w:r>
      <w:r>
        <w:rPr>
          <w:rFonts w:hint="eastAsia" w:ascii="宋体" w:hAnsi="宋体" w:cs="Tahoma"/>
          <w:szCs w:val="21"/>
        </w:rPr>
        <w:t>行为的</w:t>
      </w:r>
      <w:r>
        <w:rPr>
          <w:rFonts w:hint="eastAsia" w:ascii="新宋体" w:hAnsi="新宋体" w:eastAsia="新宋体" w:cs="宋体"/>
          <w:kern w:val="0"/>
          <w:szCs w:val="21"/>
        </w:rPr>
        <w:t>，我方无条件的、不以任何理由</w:t>
      </w:r>
      <w:r>
        <w:rPr>
          <w:rFonts w:hint="eastAsia" w:ascii="宋体" w:hAnsi="宋体" w:cs="Tahoma"/>
          <w:szCs w:val="21"/>
        </w:rPr>
        <w:t>愿按照已缴纳投标保证金金额的</w:t>
      </w:r>
      <w:r>
        <w:rPr>
          <w:rFonts w:ascii="Tahoma" w:hAnsi="宋体" w:cs="Tahoma"/>
          <w:szCs w:val="21"/>
          <w:u w:val="single"/>
        </w:rPr>
        <w:t xml:space="preserve"> </w:t>
      </w:r>
      <w:r>
        <w:rPr>
          <w:rFonts w:ascii="Tahoma" w:hAnsi="Tahoma" w:cs="Tahoma"/>
          <w:szCs w:val="21"/>
          <w:u w:val="single"/>
        </w:rPr>
        <w:t xml:space="preserve">50 </w:t>
      </w:r>
      <w:r>
        <w:rPr>
          <w:rFonts w:ascii="Tahoma" w:hAnsi="Tahoma" w:cs="Tahoma"/>
          <w:szCs w:val="21"/>
        </w:rPr>
        <w:t>%</w:t>
      </w:r>
      <w:r>
        <w:rPr>
          <w:rFonts w:hint="eastAsia" w:ascii="宋体" w:hAnsi="宋体" w:cs="Tahoma"/>
          <w:szCs w:val="21"/>
        </w:rPr>
        <w:t>接受处罚，并在招标人规定的时间内主动缴纳处罚罚金。否则，我方已缴纳的投标保证金招标人有权不予退回。</w:t>
      </w:r>
    </w:p>
    <w:p w14:paraId="11E93EC2">
      <w:pPr>
        <w:widowControl/>
        <w:shd w:val="clear" w:color="auto" w:fill="FFFFFF"/>
        <w:snapToGrid w:val="0"/>
        <w:spacing w:line="360" w:lineRule="auto"/>
        <w:ind w:firstLine="211" w:firstLineChars="100"/>
        <w:jc w:val="left"/>
        <w:outlineLvl w:val="0"/>
        <w:rPr>
          <w:rFonts w:ascii="Tahoma" w:hAnsi="Tahoma" w:eastAsia="黑体" w:cs="Tahoma"/>
          <w:b/>
          <w:kern w:val="36"/>
          <w:szCs w:val="21"/>
          <w:shd w:val="clear" w:color="auto" w:fill="FFFFFF"/>
        </w:rPr>
      </w:pPr>
      <w:r>
        <w:rPr>
          <w:rFonts w:ascii="Tahoma" w:hAnsi="Tahoma" w:eastAsia="黑体" w:cs="Tahoma"/>
          <w:b/>
          <w:kern w:val="36"/>
          <w:szCs w:val="21"/>
          <w:shd w:val="clear" w:color="auto" w:fill="FFFFFF"/>
        </w:rPr>
        <w:t xml:space="preserve"> </w:t>
      </w:r>
    </w:p>
    <w:p w14:paraId="0C99A615">
      <w:pPr>
        <w:widowControl/>
        <w:shd w:val="clear" w:color="auto" w:fill="FFFFFF"/>
        <w:snapToGrid w:val="0"/>
        <w:spacing w:line="480" w:lineRule="auto"/>
        <w:ind w:firstLine="3843" w:firstLineChars="1830"/>
        <w:jc w:val="left"/>
        <w:rPr>
          <w:rFonts w:hint="eastAsia" w:ascii="宋体" w:hAnsi="宋体" w:cs="Calibri"/>
          <w:kern w:val="0"/>
          <w:szCs w:val="21"/>
          <w:shd w:val="clear" w:color="auto" w:fill="FFFFFF"/>
        </w:rPr>
      </w:pPr>
      <w:r>
        <w:rPr>
          <w:rFonts w:hint="eastAsia" w:ascii="宋体" w:hAnsi="宋体"/>
          <w:kern w:val="0"/>
          <w:szCs w:val="24"/>
          <w:shd w:val="clear" w:color="auto" w:fill="FFFFFF"/>
        </w:rPr>
        <w:t>投标人名称：</w:t>
      </w:r>
      <w:r>
        <w:rPr>
          <w:rFonts w:hint="eastAsia" w:ascii="宋体" w:hAnsi="宋体"/>
          <w:kern w:val="0"/>
          <w:szCs w:val="24"/>
          <w:u w:val="single"/>
          <w:shd w:val="clear" w:color="auto" w:fill="FFFFFF"/>
        </w:rPr>
        <w:t xml:space="preserve">             （盖单位章）              </w:t>
      </w:r>
    </w:p>
    <w:p w14:paraId="080D35E5">
      <w:pPr>
        <w:widowControl/>
        <w:shd w:val="clear" w:color="auto" w:fill="FFFFFF"/>
        <w:snapToGrid w:val="0"/>
        <w:spacing w:line="480" w:lineRule="auto"/>
        <w:ind w:firstLine="3843" w:firstLineChars="1830"/>
        <w:jc w:val="left"/>
        <w:rPr>
          <w:rFonts w:hint="eastAsia" w:ascii="宋体" w:hAnsi="宋体"/>
          <w:kern w:val="0"/>
          <w:szCs w:val="24"/>
          <w:shd w:val="clear" w:color="auto" w:fill="FFFFFF"/>
        </w:rPr>
      </w:pPr>
      <w:r>
        <w:rPr>
          <w:rFonts w:hint="eastAsia" w:ascii="宋体" w:hAnsi="宋体"/>
          <w:kern w:val="0"/>
          <w:szCs w:val="24"/>
          <w:shd w:val="clear" w:color="auto" w:fill="FFFFFF"/>
        </w:rPr>
        <w:t>项目经理：</w:t>
      </w:r>
      <w:r>
        <w:rPr>
          <w:rFonts w:hint="eastAsia" w:ascii="宋体" w:hAnsi="宋体"/>
          <w:kern w:val="0"/>
          <w:szCs w:val="24"/>
          <w:u w:val="single"/>
          <w:shd w:val="clear" w:color="auto" w:fill="FFFFFF"/>
        </w:rPr>
        <w:t xml:space="preserve">                （签字）                 </w:t>
      </w:r>
    </w:p>
    <w:p w14:paraId="6549BDAB">
      <w:pPr>
        <w:widowControl/>
        <w:shd w:val="clear" w:color="auto" w:fill="FFFFFF"/>
        <w:snapToGrid w:val="0"/>
        <w:spacing w:line="480" w:lineRule="auto"/>
        <w:ind w:firstLine="3843" w:firstLineChars="1830"/>
        <w:jc w:val="left"/>
        <w:rPr>
          <w:rFonts w:hint="eastAsia" w:ascii="宋体" w:hAnsi="宋体"/>
          <w:kern w:val="0"/>
          <w:szCs w:val="24"/>
          <w:shd w:val="clear" w:color="auto" w:fill="FFFFFF"/>
        </w:rPr>
      </w:pPr>
      <w:r>
        <w:rPr>
          <w:rFonts w:hint="eastAsia" w:ascii="宋体" w:hAnsi="宋体"/>
          <w:kern w:val="0"/>
          <w:szCs w:val="24"/>
          <w:shd w:val="clear" w:color="auto" w:fill="FFFFFF"/>
        </w:rPr>
        <w:t>地址：</w:t>
      </w:r>
      <w:r>
        <w:rPr>
          <w:rFonts w:hint="eastAsia" w:ascii="宋体" w:hAnsi="宋体"/>
          <w:kern w:val="0"/>
          <w:szCs w:val="24"/>
          <w:u w:val="single"/>
          <w:shd w:val="clear" w:color="auto" w:fill="FFFFFF"/>
        </w:rPr>
        <w:t xml:space="preserve">                                            </w:t>
      </w:r>
    </w:p>
    <w:p w14:paraId="455217BE">
      <w:pPr>
        <w:widowControl/>
        <w:shd w:val="clear" w:color="auto" w:fill="FFFFFF"/>
        <w:snapToGrid w:val="0"/>
        <w:spacing w:line="480" w:lineRule="auto"/>
        <w:ind w:firstLine="3843" w:firstLineChars="1830"/>
        <w:jc w:val="left"/>
        <w:rPr>
          <w:rFonts w:hint="eastAsia" w:ascii="宋体" w:hAnsi="宋体"/>
          <w:kern w:val="0"/>
          <w:szCs w:val="24"/>
          <w:shd w:val="clear" w:color="auto" w:fill="FFFFFF"/>
        </w:rPr>
      </w:pPr>
      <w:r>
        <w:rPr>
          <w:rFonts w:hint="eastAsia" w:ascii="宋体" w:hAnsi="宋体"/>
          <w:kern w:val="0"/>
          <w:szCs w:val="24"/>
          <w:shd w:val="clear" w:color="auto" w:fill="FFFFFF"/>
        </w:rPr>
        <w:t>邮政编码：</w:t>
      </w:r>
      <w:r>
        <w:rPr>
          <w:rFonts w:hint="eastAsia" w:ascii="宋体" w:hAnsi="宋体"/>
          <w:kern w:val="0"/>
          <w:szCs w:val="24"/>
          <w:u w:val="single"/>
          <w:shd w:val="clear" w:color="auto" w:fill="FFFFFF"/>
        </w:rPr>
        <w:t xml:space="preserve">                                        </w:t>
      </w:r>
    </w:p>
    <w:p w14:paraId="646D2EE2">
      <w:pPr>
        <w:widowControl/>
        <w:shd w:val="clear" w:color="auto" w:fill="FFFFFF"/>
        <w:snapToGrid w:val="0"/>
        <w:spacing w:line="480" w:lineRule="auto"/>
        <w:ind w:firstLine="3843" w:firstLineChars="1830"/>
        <w:jc w:val="left"/>
        <w:rPr>
          <w:rFonts w:hint="eastAsia" w:ascii="宋体" w:hAnsi="宋体"/>
          <w:kern w:val="0"/>
          <w:szCs w:val="24"/>
          <w:shd w:val="clear" w:color="auto" w:fill="FFFFFF"/>
        </w:rPr>
      </w:pPr>
      <w:r>
        <w:rPr>
          <w:rFonts w:hint="eastAsia" w:ascii="宋体" w:hAnsi="宋体"/>
          <w:kern w:val="0"/>
          <w:szCs w:val="24"/>
          <w:shd w:val="clear" w:color="auto" w:fill="FFFFFF"/>
        </w:rPr>
        <w:t>电话：</w:t>
      </w:r>
      <w:r>
        <w:rPr>
          <w:rFonts w:hint="eastAsia" w:ascii="宋体" w:hAnsi="宋体"/>
          <w:kern w:val="0"/>
          <w:szCs w:val="24"/>
          <w:u w:val="single"/>
          <w:shd w:val="clear" w:color="auto" w:fill="FFFFFF"/>
        </w:rPr>
        <w:t xml:space="preserve">                                            </w:t>
      </w:r>
    </w:p>
    <w:p w14:paraId="29F247F1">
      <w:pPr>
        <w:widowControl/>
        <w:shd w:val="clear" w:color="auto" w:fill="FFFFFF"/>
        <w:snapToGrid w:val="0"/>
        <w:spacing w:line="480" w:lineRule="auto"/>
        <w:ind w:firstLine="3843" w:firstLineChars="1830"/>
        <w:jc w:val="left"/>
        <w:rPr>
          <w:rFonts w:hint="eastAsia" w:ascii="宋体" w:hAnsi="宋体"/>
          <w:kern w:val="0"/>
          <w:szCs w:val="24"/>
          <w:u w:val="single"/>
          <w:shd w:val="clear" w:color="auto" w:fill="FFFFFF"/>
        </w:rPr>
      </w:pPr>
      <w:r>
        <w:rPr>
          <w:rFonts w:hint="eastAsia" w:ascii="宋体" w:hAnsi="宋体"/>
          <w:kern w:val="0"/>
          <w:szCs w:val="24"/>
          <w:shd w:val="clear" w:color="auto" w:fill="FFFFFF"/>
        </w:rPr>
        <w:t>传真：</w:t>
      </w:r>
      <w:r>
        <w:rPr>
          <w:rFonts w:hint="eastAsia" w:ascii="宋体" w:hAnsi="宋体"/>
          <w:kern w:val="0"/>
          <w:szCs w:val="24"/>
          <w:u w:val="single"/>
          <w:shd w:val="clear" w:color="auto" w:fill="FFFFFF"/>
        </w:rPr>
        <w:t xml:space="preserve">                                            </w:t>
      </w:r>
    </w:p>
    <w:p w14:paraId="54E71772">
      <w:pPr>
        <w:widowControl/>
        <w:shd w:val="clear" w:color="auto" w:fill="FFFFFF"/>
        <w:snapToGrid w:val="0"/>
        <w:spacing w:line="480" w:lineRule="auto"/>
        <w:ind w:firstLine="5733" w:firstLineChars="2730"/>
        <w:jc w:val="left"/>
        <w:rPr>
          <w:rFonts w:hint="eastAsia" w:ascii="Trebuchet MS" w:hAnsi="Trebuchet MS" w:eastAsia="新宋体" w:cs="宋体"/>
          <w:kern w:val="0"/>
          <w:szCs w:val="21"/>
          <w:shd w:val="clear" w:color="auto" w:fill="FFFFFF"/>
        </w:rPr>
      </w:pPr>
      <w:r>
        <w:rPr>
          <w:rFonts w:hint="eastAsia" w:ascii="宋体" w:hAnsi="宋体"/>
          <w:kern w:val="0"/>
          <w:szCs w:val="24"/>
          <w:u w:val="single"/>
          <w:shd w:val="clear" w:color="auto" w:fill="FFFFFF"/>
        </w:rPr>
        <w:t xml:space="preserve">        </w:t>
      </w:r>
      <w:r>
        <w:rPr>
          <w:rFonts w:hint="eastAsia" w:ascii="宋体" w:hAnsi="宋体"/>
          <w:kern w:val="0"/>
          <w:szCs w:val="24"/>
          <w:shd w:val="clear" w:color="auto" w:fill="FFFFFF"/>
        </w:rPr>
        <w:t>年</w:t>
      </w:r>
      <w:r>
        <w:rPr>
          <w:rFonts w:hint="eastAsia" w:ascii="宋体" w:hAnsi="宋体"/>
          <w:kern w:val="0"/>
          <w:szCs w:val="24"/>
          <w:u w:val="single"/>
          <w:shd w:val="clear" w:color="auto" w:fill="FFFFFF"/>
        </w:rPr>
        <w:t xml:space="preserve">    </w:t>
      </w:r>
      <w:r>
        <w:rPr>
          <w:rFonts w:hint="eastAsia" w:ascii="宋体" w:hAnsi="宋体"/>
          <w:kern w:val="0"/>
          <w:szCs w:val="24"/>
          <w:shd w:val="clear" w:color="auto" w:fill="FFFFFF"/>
        </w:rPr>
        <w:t>月</w:t>
      </w:r>
      <w:r>
        <w:rPr>
          <w:rFonts w:hint="eastAsia" w:ascii="宋体" w:hAnsi="宋体"/>
          <w:kern w:val="0"/>
          <w:szCs w:val="24"/>
          <w:u w:val="single"/>
          <w:shd w:val="clear" w:color="auto" w:fill="FFFFFF"/>
        </w:rPr>
        <w:t xml:space="preserve">    </w:t>
      </w:r>
      <w:r>
        <w:rPr>
          <w:rFonts w:hint="eastAsia" w:ascii="宋体" w:hAnsi="宋体"/>
          <w:kern w:val="0"/>
          <w:szCs w:val="24"/>
          <w:shd w:val="clear" w:color="auto" w:fill="FFFFFF"/>
        </w:rPr>
        <w:t>日</w:t>
      </w:r>
    </w:p>
    <w:p w14:paraId="43A456D9">
      <w:pPr>
        <w:widowControl/>
        <w:shd w:val="clear" w:color="auto" w:fill="FFFFFF"/>
        <w:snapToGrid w:val="0"/>
        <w:spacing w:line="360" w:lineRule="auto"/>
        <w:jc w:val="left"/>
        <w:outlineLvl w:val="0"/>
        <w:rPr>
          <w:rFonts w:ascii="Trebuchet MS" w:hAnsi="新宋体" w:eastAsia="新宋体" w:cs="宋体"/>
          <w:b/>
          <w:kern w:val="0"/>
          <w:szCs w:val="21"/>
          <w:shd w:val="clear" w:color="auto" w:fill="FFFFFF"/>
        </w:rPr>
      </w:pPr>
      <w:bookmarkStart w:id="448" w:name="_Toc256000226"/>
      <w:bookmarkStart w:id="449" w:name="_Toc256000243"/>
      <w:bookmarkStart w:id="450" w:name="_Toc256000174"/>
      <w:bookmarkStart w:id="451" w:name="_Toc256000214"/>
      <w:bookmarkStart w:id="452" w:name="_Toc256000171"/>
      <w:bookmarkStart w:id="453" w:name="_Toc256000202"/>
      <w:bookmarkStart w:id="454" w:name="_Toc256000245"/>
      <w:bookmarkStart w:id="455" w:name="_Toc256000253"/>
      <w:bookmarkStart w:id="456" w:name="_Toc256000167"/>
      <w:r>
        <w:rPr>
          <w:rFonts w:hint="eastAsia" w:ascii="新宋体" w:hAnsi="新宋体" w:eastAsia="新宋体" w:cs="宋体"/>
          <w:b/>
          <w:kern w:val="0"/>
          <w:szCs w:val="21"/>
          <w:shd w:val="clear" w:color="auto" w:fill="FFFFFF"/>
        </w:rPr>
        <w:t>注：本项目经理承诺函中项目经理应与本项目拟派项目经理一致。</w:t>
      </w:r>
      <w:bookmarkEnd w:id="448"/>
      <w:bookmarkEnd w:id="449"/>
      <w:bookmarkEnd w:id="450"/>
      <w:bookmarkEnd w:id="451"/>
      <w:bookmarkEnd w:id="452"/>
      <w:bookmarkEnd w:id="453"/>
      <w:bookmarkEnd w:id="454"/>
      <w:bookmarkEnd w:id="455"/>
      <w:bookmarkEnd w:id="456"/>
    </w:p>
    <w:p w14:paraId="7B899278">
      <w:pPr>
        <w:widowControl/>
        <w:shd w:val="clear" w:color="auto" w:fill="FFFFFF"/>
        <w:snapToGrid w:val="0"/>
        <w:spacing w:line="360" w:lineRule="auto"/>
        <w:jc w:val="left"/>
        <w:outlineLvl w:val="0"/>
        <w:rPr>
          <w:rFonts w:hint="eastAsia" w:ascii="黑体" w:hAnsi="宋体" w:eastAsia="黑体" w:cs="宋体"/>
          <w:b/>
          <w:kern w:val="36"/>
          <w:sz w:val="28"/>
          <w:szCs w:val="28"/>
          <w:shd w:val="clear" w:color="auto" w:fill="FFFFFF"/>
        </w:rPr>
      </w:pPr>
      <w:r>
        <w:rPr>
          <w:rFonts w:hint="eastAsia" w:ascii="黑体" w:hAnsi="宋体" w:eastAsia="黑体" w:cs="宋体"/>
          <w:b/>
          <w:kern w:val="36"/>
          <w:sz w:val="28"/>
          <w:szCs w:val="28"/>
          <w:shd w:val="clear" w:color="auto" w:fill="FFFFFF"/>
        </w:rPr>
        <w:t xml:space="preserve"> </w:t>
      </w:r>
    </w:p>
    <w:p w14:paraId="4160D832">
      <w:pPr>
        <w:widowControl/>
        <w:shd w:val="clear" w:color="auto" w:fill="FFFFFF"/>
        <w:snapToGrid w:val="0"/>
        <w:spacing w:line="360" w:lineRule="auto"/>
        <w:jc w:val="center"/>
        <w:outlineLvl w:val="0"/>
        <w:rPr>
          <w:rFonts w:hint="eastAsia" w:ascii="黑体" w:hAnsi="宋体" w:eastAsia="黑体" w:cs="宋体"/>
          <w:b/>
          <w:kern w:val="36"/>
          <w:sz w:val="28"/>
          <w:szCs w:val="28"/>
          <w:shd w:val="clear" w:color="auto" w:fill="FFFFFF"/>
        </w:rPr>
      </w:pPr>
      <w:r>
        <w:rPr>
          <w:rFonts w:hint="eastAsia" w:ascii="黑体" w:hAnsi="宋体" w:eastAsia="黑体" w:cs="宋体"/>
          <w:b/>
          <w:kern w:val="36"/>
          <w:sz w:val="28"/>
          <w:szCs w:val="28"/>
          <w:shd w:val="clear" w:color="auto" w:fill="FFFFFF"/>
        </w:rPr>
        <w:t xml:space="preserve"> </w:t>
      </w:r>
    </w:p>
    <w:p w14:paraId="1D4F6342">
      <w:pPr>
        <w:widowControl/>
        <w:shd w:val="clear" w:color="auto" w:fill="FFFFFF"/>
        <w:snapToGrid w:val="0"/>
        <w:spacing w:line="360" w:lineRule="auto"/>
        <w:jc w:val="center"/>
        <w:outlineLvl w:val="0"/>
        <w:rPr>
          <w:rFonts w:hint="eastAsia" w:ascii="黑体" w:hAnsi="宋体" w:eastAsia="黑体" w:cs="宋体"/>
          <w:b/>
          <w:kern w:val="36"/>
          <w:sz w:val="28"/>
          <w:szCs w:val="28"/>
          <w:shd w:val="clear" w:color="auto" w:fill="FFFFFF"/>
        </w:rPr>
      </w:pPr>
    </w:p>
    <w:p w14:paraId="20675A9A">
      <w:pPr>
        <w:widowControl/>
        <w:shd w:val="clear" w:color="auto" w:fill="FFFFFF"/>
        <w:snapToGrid w:val="0"/>
        <w:spacing w:line="360" w:lineRule="auto"/>
        <w:jc w:val="center"/>
        <w:outlineLvl w:val="0"/>
        <w:rPr>
          <w:rFonts w:hint="eastAsia" w:ascii="黑体" w:hAnsi="宋体" w:eastAsia="黑体" w:cs="宋体"/>
          <w:b/>
          <w:kern w:val="36"/>
          <w:sz w:val="28"/>
          <w:szCs w:val="28"/>
          <w:shd w:val="clear" w:color="auto" w:fill="FFFFFF"/>
        </w:rPr>
      </w:pPr>
    </w:p>
    <w:p w14:paraId="14BE7E60">
      <w:pPr>
        <w:widowControl/>
        <w:shd w:val="clear" w:color="auto" w:fill="FFFFFF"/>
        <w:snapToGrid w:val="0"/>
        <w:spacing w:line="360" w:lineRule="auto"/>
        <w:jc w:val="center"/>
        <w:outlineLvl w:val="0"/>
        <w:rPr>
          <w:rFonts w:hint="eastAsia" w:ascii="黑体" w:hAnsi="宋体" w:eastAsia="黑体" w:cs="宋体"/>
          <w:b/>
          <w:kern w:val="36"/>
          <w:sz w:val="28"/>
          <w:szCs w:val="28"/>
          <w:shd w:val="clear" w:color="auto" w:fill="FFFFFF"/>
        </w:rPr>
      </w:pPr>
      <w:r>
        <w:rPr>
          <w:rFonts w:hint="eastAsia" w:ascii="黑体" w:hAnsi="宋体" w:eastAsia="黑体" w:cs="宋体"/>
          <w:b/>
          <w:kern w:val="36"/>
          <w:sz w:val="28"/>
          <w:szCs w:val="28"/>
          <w:shd w:val="clear" w:color="auto" w:fill="FFFFFF"/>
        </w:rPr>
        <w:t xml:space="preserve"> </w:t>
      </w:r>
    </w:p>
    <w:p w14:paraId="7535722C">
      <w:pPr>
        <w:widowControl/>
        <w:shd w:val="clear" w:color="auto" w:fill="FFFFFF"/>
        <w:snapToGrid w:val="0"/>
        <w:spacing w:line="360" w:lineRule="auto"/>
        <w:jc w:val="center"/>
        <w:outlineLvl w:val="0"/>
        <w:rPr>
          <w:rFonts w:hint="eastAsia" w:ascii="黑体" w:hAnsi="宋体" w:eastAsia="黑体" w:cs="宋体"/>
          <w:b/>
          <w:kern w:val="36"/>
          <w:sz w:val="28"/>
          <w:szCs w:val="28"/>
          <w:shd w:val="clear" w:color="auto" w:fill="FFFFFF"/>
        </w:rPr>
      </w:pPr>
    </w:p>
    <w:p w14:paraId="50A1774A">
      <w:pPr>
        <w:widowControl/>
        <w:shd w:val="clear" w:color="auto" w:fill="FFFFFF"/>
        <w:snapToGrid w:val="0"/>
        <w:spacing w:line="360" w:lineRule="auto"/>
        <w:jc w:val="center"/>
        <w:outlineLvl w:val="0"/>
        <w:rPr>
          <w:rFonts w:hint="eastAsia" w:ascii="黑体" w:hAnsi="黑体" w:eastAsia="黑体"/>
          <w:b/>
          <w:kern w:val="0"/>
          <w:sz w:val="28"/>
          <w:szCs w:val="24"/>
        </w:rPr>
      </w:pPr>
      <w:r>
        <w:rPr>
          <w:rFonts w:hint="eastAsia" w:ascii="黑体" w:hAnsi="宋体" w:eastAsia="黑体" w:cs="宋体"/>
          <w:b/>
          <w:kern w:val="36"/>
          <w:sz w:val="28"/>
          <w:szCs w:val="28"/>
          <w:shd w:val="clear" w:color="auto" w:fill="FFFFFF"/>
        </w:rPr>
        <w:t xml:space="preserve"> </w:t>
      </w:r>
    </w:p>
    <w:p w14:paraId="674A4C54">
      <w:pPr>
        <w:widowControl/>
        <w:jc w:val="center"/>
        <w:rPr>
          <w:rFonts w:hint="eastAsia" w:ascii="黑体" w:hAnsi="黑体" w:eastAsia="黑体"/>
          <w:b/>
          <w:kern w:val="0"/>
          <w:sz w:val="28"/>
          <w:szCs w:val="24"/>
        </w:rPr>
      </w:pPr>
      <w:r>
        <w:rPr>
          <w:rFonts w:hint="eastAsia" w:ascii="黑体" w:hAnsi="黑体" w:eastAsia="黑体"/>
          <w:b/>
          <w:kern w:val="0"/>
          <w:sz w:val="28"/>
          <w:szCs w:val="24"/>
        </w:rPr>
        <w:t>（</w:t>
      </w:r>
      <w:r>
        <w:rPr>
          <w:rFonts w:hint="eastAsia" w:ascii="黑体" w:hAnsi="黑体" w:eastAsia="黑体"/>
          <w:b/>
          <w:kern w:val="0"/>
          <w:sz w:val="28"/>
          <w:szCs w:val="24"/>
          <w:lang w:val="en-US" w:eastAsia="zh-CN"/>
        </w:rPr>
        <w:t>六</w:t>
      </w:r>
      <w:r>
        <w:rPr>
          <w:rFonts w:hint="eastAsia" w:ascii="黑体" w:hAnsi="黑体" w:eastAsia="黑体"/>
          <w:b/>
          <w:kern w:val="0"/>
          <w:sz w:val="28"/>
          <w:szCs w:val="24"/>
        </w:rPr>
        <w:t>）施工单位项目技术负责人工程质量终身责任承诺书</w:t>
      </w:r>
    </w:p>
    <w:p w14:paraId="27D4AAA5">
      <w:pPr>
        <w:widowControl/>
        <w:jc w:val="center"/>
        <w:rPr>
          <w:rFonts w:hint="eastAsia" w:ascii="仿宋" w:hAnsi="仿宋" w:eastAsia="仿宋"/>
          <w:kern w:val="0"/>
          <w:sz w:val="44"/>
          <w:szCs w:val="24"/>
        </w:rPr>
      </w:pPr>
      <w:r>
        <w:rPr>
          <w:rFonts w:hint="eastAsia" w:ascii="仿宋" w:hAnsi="仿宋" w:eastAsia="仿宋"/>
          <w:kern w:val="0"/>
          <w:sz w:val="44"/>
          <w:szCs w:val="24"/>
        </w:rPr>
        <w:t xml:space="preserve"> </w:t>
      </w:r>
    </w:p>
    <w:p w14:paraId="57AB6940">
      <w:pPr>
        <w:widowControl/>
        <w:spacing w:line="340" w:lineRule="exact"/>
        <w:ind w:firstLine="640"/>
        <w:jc w:val="left"/>
        <w:rPr>
          <w:rFonts w:hint="eastAsia" w:ascii="Tahoma" w:hAnsi="Tahoma" w:cs="Tahoma"/>
          <w:kern w:val="0"/>
          <w:szCs w:val="21"/>
          <w:u w:val="single"/>
        </w:rPr>
      </w:pPr>
      <w:r>
        <w:rPr>
          <w:rFonts w:hint="eastAsia" w:ascii="宋体" w:hAnsi="宋体" w:cs="Tahoma"/>
          <w:kern w:val="0"/>
          <w:szCs w:val="21"/>
        </w:rPr>
        <w:t>本人受</w:t>
      </w:r>
      <w:r>
        <w:rPr>
          <w:rFonts w:ascii="Tahoma" w:hAnsi="Tahoma" w:cs="Tahoma"/>
          <w:kern w:val="0"/>
          <w:szCs w:val="21"/>
          <w:u w:val="single"/>
        </w:rPr>
        <w:t xml:space="preserve">                          </w:t>
      </w:r>
      <w:r>
        <w:rPr>
          <w:rFonts w:hint="eastAsia" w:ascii="宋体" w:hAnsi="宋体" w:cs="Tahoma"/>
          <w:kern w:val="0"/>
          <w:szCs w:val="21"/>
        </w:rPr>
        <w:t>单位（法定代表人</w:t>
      </w:r>
      <w:r>
        <w:rPr>
          <w:rFonts w:ascii="Tahoma" w:hAnsi="Tahoma" w:cs="Tahoma"/>
          <w:kern w:val="0"/>
          <w:szCs w:val="21"/>
          <w:u w:val="single"/>
        </w:rPr>
        <w:t xml:space="preserve">             </w:t>
      </w:r>
      <w:r>
        <w:rPr>
          <w:rFonts w:hint="eastAsia" w:ascii="宋体" w:hAnsi="宋体" w:cs="Tahoma"/>
          <w:kern w:val="0"/>
          <w:szCs w:val="21"/>
        </w:rPr>
        <w:t>）授权，在</w:t>
      </w:r>
      <w:r>
        <w:rPr>
          <w:rFonts w:ascii="Tahoma" w:hAnsi="Tahoma" w:cs="Tahoma"/>
          <w:kern w:val="0"/>
          <w:szCs w:val="21"/>
          <w:u w:val="single"/>
        </w:rPr>
        <w:t xml:space="preserve">                               </w:t>
      </w:r>
    </w:p>
    <w:p w14:paraId="081A47E9">
      <w:pPr>
        <w:spacing w:line="340" w:lineRule="exact"/>
        <w:jc w:val="left"/>
        <w:rPr>
          <w:rFonts w:ascii="Tahoma" w:hAnsi="Tahoma" w:cs="Tahoma"/>
          <w:szCs w:val="21"/>
        </w:rPr>
      </w:pPr>
      <w:r>
        <w:rPr>
          <w:rFonts w:ascii="Tahoma" w:hAnsi="Tahoma" w:cs="Tahoma"/>
          <w:szCs w:val="21"/>
          <w:u w:val="single"/>
        </w:rPr>
        <w:t xml:space="preserve">             </w:t>
      </w:r>
      <w:r>
        <w:rPr>
          <w:rFonts w:hint="eastAsia" w:ascii="宋体" w:hAnsi="宋体" w:cs="Tahoma"/>
          <w:szCs w:val="21"/>
        </w:rPr>
        <w:t>工程项目中担任施工单位项目技术负责人，对该工程项目的建设工程质量实施组织管理。本人承诺在工程质量管理中将严格执行以下规定，并对设计使用年限内的工程质量依法承担终身责任。</w:t>
      </w:r>
    </w:p>
    <w:p w14:paraId="36F6F625">
      <w:pPr>
        <w:spacing w:line="340" w:lineRule="exact"/>
        <w:ind w:firstLine="420" w:firstLineChars="200"/>
        <w:rPr>
          <w:rFonts w:ascii="Tahoma" w:hAnsi="Tahoma" w:cs="Tahoma"/>
          <w:szCs w:val="21"/>
        </w:rPr>
      </w:pPr>
      <w:r>
        <w:rPr>
          <w:rFonts w:ascii="Tahoma" w:hAnsi="Tahoma" w:cs="Tahoma"/>
          <w:szCs w:val="21"/>
        </w:rPr>
        <w:t>1</w:t>
      </w:r>
      <w:r>
        <w:rPr>
          <w:rFonts w:hint="eastAsia" w:ascii="宋体" w:hAnsi="宋体" w:cs="Tahoma"/>
          <w:szCs w:val="21"/>
        </w:rPr>
        <w:t>、在资质等级许可的范围内承揽工程，不以其他施工单位的名义承揽工程，不转包或者违法分包工程。</w:t>
      </w:r>
    </w:p>
    <w:p w14:paraId="6C58A925">
      <w:pPr>
        <w:spacing w:line="340" w:lineRule="exact"/>
        <w:ind w:firstLine="420" w:firstLineChars="200"/>
        <w:rPr>
          <w:rFonts w:ascii="Tahoma" w:hAnsi="Tahoma" w:cs="Tahoma"/>
          <w:szCs w:val="21"/>
        </w:rPr>
      </w:pPr>
      <w:r>
        <w:rPr>
          <w:rFonts w:ascii="Tahoma" w:hAnsi="Tahoma" w:cs="Tahoma"/>
          <w:szCs w:val="21"/>
        </w:rPr>
        <w:t>2</w:t>
      </w:r>
      <w:r>
        <w:rPr>
          <w:rFonts w:hint="eastAsia" w:ascii="宋体" w:hAnsi="宋体" w:cs="Tahoma"/>
          <w:szCs w:val="21"/>
        </w:rPr>
        <w:t>、按规定时间落实领导带班制度，按规定在相关施工文件上签字，并按照注册人员规定在相关施工文件上盖注册章。</w:t>
      </w:r>
    </w:p>
    <w:p w14:paraId="1F790E6B">
      <w:pPr>
        <w:spacing w:line="340" w:lineRule="exact"/>
        <w:rPr>
          <w:rFonts w:ascii="Tahoma" w:hAnsi="Tahoma" w:cs="Tahoma"/>
          <w:szCs w:val="21"/>
        </w:rPr>
      </w:pPr>
      <w:r>
        <w:rPr>
          <w:rFonts w:hint="eastAsia" w:ascii="宋体" w:hAnsi="宋体" w:cs="Tahoma"/>
          <w:szCs w:val="21"/>
        </w:rPr>
        <w:t xml:space="preserve"> </w:t>
      </w:r>
      <w:r>
        <w:rPr>
          <w:rFonts w:ascii="Tahoma" w:hAnsi="Tahoma" w:cs="Tahoma"/>
          <w:szCs w:val="21"/>
        </w:rPr>
        <w:t xml:space="preserve">  </w:t>
      </w:r>
      <w:r>
        <w:rPr>
          <w:rFonts w:hint="eastAsia" w:ascii="Tahoma" w:hAnsi="Tahoma" w:cs="Tahoma"/>
          <w:szCs w:val="21"/>
        </w:rPr>
        <w:t xml:space="preserve"> </w:t>
      </w:r>
      <w:r>
        <w:rPr>
          <w:rFonts w:ascii="Tahoma" w:hAnsi="Tahoma" w:cs="Tahoma"/>
          <w:szCs w:val="21"/>
        </w:rPr>
        <w:t>3</w:t>
      </w:r>
      <w:r>
        <w:rPr>
          <w:rFonts w:hint="eastAsia" w:ascii="宋体" w:hAnsi="宋体" w:cs="Tahoma"/>
          <w:szCs w:val="21"/>
        </w:rPr>
        <w:t>、组织编制施工组织设计，建立质量管理人员体系、质量责任制度、教育培训制度、技术交底等项目质量管理制度，明确项目技术负责人、施工质量管理负责人和检验人员。未经教育培训或者考核不合格的人员，不上岗作业。</w:t>
      </w:r>
    </w:p>
    <w:p w14:paraId="163A9024">
      <w:pPr>
        <w:spacing w:line="340" w:lineRule="exact"/>
        <w:ind w:firstLine="420" w:firstLineChars="200"/>
        <w:rPr>
          <w:rFonts w:ascii="Tahoma" w:hAnsi="Tahoma" w:cs="Tahoma"/>
          <w:szCs w:val="21"/>
        </w:rPr>
      </w:pPr>
      <w:r>
        <w:rPr>
          <w:rFonts w:ascii="Tahoma" w:hAnsi="Tahoma" w:cs="Tahoma"/>
          <w:szCs w:val="21"/>
        </w:rPr>
        <w:t>4</w:t>
      </w:r>
      <w:r>
        <w:rPr>
          <w:rFonts w:hint="eastAsia" w:ascii="宋体" w:hAnsi="宋体" w:cs="Tahoma"/>
          <w:szCs w:val="21"/>
        </w:rPr>
        <w:t>、按照工程设计文件和施工技术标准组织施工，不擅自修改工程设计，不偷工减料。采购的设备的符合设计、合同和质量标准。</w:t>
      </w:r>
    </w:p>
    <w:p w14:paraId="00C59831">
      <w:pPr>
        <w:spacing w:line="340" w:lineRule="exact"/>
        <w:rPr>
          <w:rFonts w:ascii="Tahoma" w:hAnsi="Tahoma" w:cs="Tahoma"/>
          <w:szCs w:val="21"/>
        </w:rPr>
      </w:pPr>
      <w:r>
        <w:rPr>
          <w:rFonts w:hint="eastAsia" w:ascii="宋体" w:hAnsi="宋体" w:cs="Tahoma"/>
          <w:szCs w:val="21"/>
        </w:rPr>
        <w:t xml:space="preserve"> </w:t>
      </w:r>
      <w:r>
        <w:rPr>
          <w:rFonts w:ascii="Tahoma" w:hAnsi="Tahoma" w:cs="Tahoma"/>
          <w:szCs w:val="21"/>
        </w:rPr>
        <w:t xml:space="preserve"> </w:t>
      </w:r>
      <w:r>
        <w:rPr>
          <w:rFonts w:hint="eastAsia" w:ascii="Tahoma" w:hAnsi="Tahoma" w:cs="Tahoma"/>
          <w:szCs w:val="21"/>
        </w:rPr>
        <w:t xml:space="preserve"> </w:t>
      </w:r>
      <w:r>
        <w:rPr>
          <w:rFonts w:ascii="Tahoma" w:hAnsi="Tahoma" w:cs="Tahoma"/>
          <w:szCs w:val="21"/>
        </w:rPr>
        <w:t>5</w:t>
      </w:r>
      <w:r>
        <w:rPr>
          <w:rFonts w:hint="eastAsia" w:ascii="宋体" w:hAnsi="宋体" w:cs="Tahoma"/>
          <w:szCs w:val="21"/>
        </w:rPr>
        <w:t>、按照工程设计要求、施工技术标准和合同约定，组织对建筑材料、建筑构配件、设备和商品混凝土进行检验，未经检验或者检验不合格的，不使用。</w:t>
      </w:r>
    </w:p>
    <w:p w14:paraId="3E72FE5C">
      <w:pPr>
        <w:spacing w:line="340" w:lineRule="exact"/>
        <w:ind w:firstLine="315" w:firstLineChars="150"/>
        <w:rPr>
          <w:rFonts w:ascii="Tahoma" w:hAnsi="Tahoma" w:cs="Tahoma"/>
          <w:szCs w:val="21"/>
        </w:rPr>
      </w:pPr>
      <w:r>
        <w:rPr>
          <w:rFonts w:ascii="Tahoma" w:hAnsi="Tahoma" w:cs="Tahoma"/>
          <w:szCs w:val="21"/>
        </w:rPr>
        <w:t>6</w:t>
      </w:r>
      <w:r>
        <w:rPr>
          <w:rFonts w:hint="eastAsia" w:ascii="宋体" w:hAnsi="宋体" w:cs="Tahoma"/>
          <w:szCs w:val="21"/>
        </w:rPr>
        <w:t>、组织作好隐蔽工程的质量检查和记录，在隐蔽前，及时通知建设单位和建设工程质量监督机构。</w:t>
      </w:r>
    </w:p>
    <w:p w14:paraId="2440CF03">
      <w:pPr>
        <w:spacing w:line="340" w:lineRule="exact"/>
        <w:ind w:firstLine="315" w:firstLineChars="150"/>
        <w:rPr>
          <w:rFonts w:ascii="Tahoma" w:hAnsi="Tahoma" w:cs="Tahoma"/>
          <w:szCs w:val="21"/>
        </w:rPr>
      </w:pPr>
      <w:r>
        <w:rPr>
          <w:rFonts w:ascii="Tahoma" w:hAnsi="Tahoma" w:cs="Tahoma"/>
          <w:szCs w:val="21"/>
        </w:rPr>
        <w:t>7</w:t>
      </w:r>
      <w:r>
        <w:rPr>
          <w:rFonts w:hint="eastAsia" w:ascii="宋体" w:hAnsi="宋体" w:cs="Tahoma"/>
          <w:szCs w:val="21"/>
        </w:rPr>
        <w:t>、组织对涉及结构安全的试块、试件以及有关材料，在建设单位或者工程监理单位监督下按规范标准现场取样，并送具有相应资质的质量检测单位进行检测。送检试件不弄虚作假，不篡改或者伪造检测报告，不明示或暗示检测机构出具虚假检测报告。</w:t>
      </w:r>
    </w:p>
    <w:p w14:paraId="49A309E1">
      <w:pPr>
        <w:widowControl/>
        <w:spacing w:line="340" w:lineRule="exact"/>
        <w:ind w:firstLine="315" w:firstLineChars="150"/>
        <w:rPr>
          <w:rFonts w:ascii="Tahoma" w:hAnsi="Tahoma" w:cs="Tahoma"/>
          <w:kern w:val="0"/>
          <w:szCs w:val="21"/>
        </w:rPr>
      </w:pPr>
      <w:r>
        <w:rPr>
          <w:rFonts w:ascii="Tahoma" w:hAnsi="Tahoma" w:cs="Tahoma"/>
          <w:kern w:val="0"/>
          <w:szCs w:val="21"/>
        </w:rPr>
        <w:t>8</w:t>
      </w:r>
      <w:r>
        <w:rPr>
          <w:rFonts w:hint="eastAsia" w:ascii="宋体" w:hAnsi="宋体" w:cs="Tahoma"/>
          <w:kern w:val="0"/>
          <w:szCs w:val="21"/>
        </w:rPr>
        <w:t>、按规定参加地基、基础、主体和工程竣工验收，不签署虚假文件。对施工中出现质量问题的或者竣工验收不合格的建设工程组织返修。</w:t>
      </w:r>
      <w:r>
        <w:rPr>
          <w:rFonts w:ascii="Tahoma" w:hAnsi="Tahoma" w:cs="Tahoma"/>
          <w:kern w:val="0"/>
          <w:szCs w:val="21"/>
        </w:rPr>
        <w:t xml:space="preserve"> </w:t>
      </w:r>
    </w:p>
    <w:p w14:paraId="19C2EC3F">
      <w:pPr>
        <w:spacing w:line="340" w:lineRule="exact"/>
        <w:ind w:firstLine="315" w:firstLineChars="150"/>
        <w:rPr>
          <w:rFonts w:ascii="Tahoma" w:hAnsi="Tahoma" w:cs="Tahoma"/>
          <w:szCs w:val="21"/>
        </w:rPr>
      </w:pPr>
      <w:r>
        <w:rPr>
          <w:rFonts w:ascii="Tahoma" w:hAnsi="Tahoma" w:cs="Tahoma"/>
          <w:szCs w:val="21"/>
        </w:rPr>
        <w:t>9</w:t>
      </w:r>
      <w:r>
        <w:rPr>
          <w:rFonts w:hint="eastAsia" w:ascii="宋体" w:hAnsi="宋体" w:cs="Tahoma"/>
          <w:szCs w:val="21"/>
        </w:rPr>
        <w:t>、严格执行国家有关法律法规及标准规范规定的其他工程质量行为。</w:t>
      </w:r>
    </w:p>
    <w:p w14:paraId="779781FF">
      <w:pPr>
        <w:spacing w:line="340" w:lineRule="exact"/>
        <w:rPr>
          <w:rFonts w:ascii="Tahoma" w:hAnsi="Tahoma" w:cs="Tahoma"/>
          <w:szCs w:val="21"/>
        </w:rPr>
      </w:pPr>
      <w:r>
        <w:rPr>
          <w:rFonts w:ascii="Tahoma" w:hAnsi="Tahoma" w:cs="Tahoma"/>
          <w:szCs w:val="21"/>
        </w:rPr>
        <w:t xml:space="preserve"> </w:t>
      </w:r>
    </w:p>
    <w:p w14:paraId="5154DF36">
      <w:pPr>
        <w:widowControl/>
        <w:spacing w:line="340" w:lineRule="exact"/>
        <w:ind w:firstLine="4200" w:firstLineChars="2000"/>
        <w:jc w:val="left"/>
        <w:rPr>
          <w:rFonts w:ascii="Tahoma" w:hAnsi="Tahoma" w:cs="Tahoma"/>
          <w:kern w:val="0"/>
          <w:szCs w:val="21"/>
          <w:u w:val="single"/>
        </w:rPr>
      </w:pPr>
      <w:r>
        <w:rPr>
          <w:rFonts w:hint="eastAsia" w:ascii="宋体" w:hAnsi="宋体" w:cs="Tahoma"/>
          <w:kern w:val="0"/>
          <w:szCs w:val="21"/>
        </w:rPr>
        <w:t>承诺人签字：</w:t>
      </w:r>
      <w:r>
        <w:rPr>
          <w:rFonts w:ascii="Tahoma" w:hAnsi="Tahoma" w:cs="Tahoma"/>
          <w:kern w:val="0"/>
          <w:szCs w:val="21"/>
          <w:u w:val="single"/>
        </w:rPr>
        <w:t xml:space="preserve">                     </w:t>
      </w:r>
    </w:p>
    <w:p w14:paraId="2A660381">
      <w:pPr>
        <w:widowControl/>
        <w:spacing w:line="340" w:lineRule="exact"/>
        <w:ind w:firstLine="4200" w:firstLineChars="2000"/>
        <w:jc w:val="left"/>
        <w:rPr>
          <w:rFonts w:ascii="Tahoma" w:hAnsi="Tahoma" w:cs="Tahoma"/>
          <w:kern w:val="0"/>
          <w:szCs w:val="21"/>
          <w:u w:val="single"/>
        </w:rPr>
      </w:pPr>
      <w:r>
        <w:rPr>
          <w:rFonts w:hint="eastAsia" w:ascii="宋体" w:hAnsi="宋体" w:cs="Tahoma"/>
          <w:kern w:val="0"/>
          <w:szCs w:val="21"/>
        </w:rPr>
        <w:t>身份证号：</w:t>
      </w:r>
      <w:r>
        <w:rPr>
          <w:rFonts w:ascii="Tahoma" w:hAnsi="Tahoma" w:cs="Tahoma"/>
          <w:kern w:val="0"/>
          <w:szCs w:val="21"/>
          <w:u w:val="single"/>
        </w:rPr>
        <w:t xml:space="preserve">                       </w:t>
      </w:r>
    </w:p>
    <w:p w14:paraId="07F77FD5">
      <w:pPr>
        <w:widowControl/>
        <w:spacing w:line="340" w:lineRule="exact"/>
        <w:ind w:firstLine="4200" w:firstLineChars="2000"/>
        <w:jc w:val="left"/>
        <w:rPr>
          <w:rFonts w:ascii="Tahoma" w:hAnsi="Tahoma" w:cs="Tahoma"/>
          <w:kern w:val="0"/>
          <w:szCs w:val="21"/>
          <w:u w:val="single"/>
        </w:rPr>
      </w:pPr>
      <w:r>
        <w:rPr>
          <w:rFonts w:hint="eastAsia" w:ascii="宋体" w:hAnsi="宋体" w:cs="Tahoma"/>
          <w:kern w:val="0"/>
          <w:szCs w:val="21"/>
        </w:rPr>
        <w:t>职称（或注册执业资格）：</w:t>
      </w:r>
      <w:r>
        <w:rPr>
          <w:rFonts w:ascii="Tahoma" w:hAnsi="Tahoma" w:cs="Tahoma"/>
          <w:kern w:val="0"/>
          <w:szCs w:val="21"/>
          <w:u w:val="single"/>
        </w:rPr>
        <w:t xml:space="preserve">         </w:t>
      </w:r>
    </w:p>
    <w:p w14:paraId="1BCBEE65">
      <w:pPr>
        <w:widowControl/>
        <w:spacing w:line="340" w:lineRule="exact"/>
        <w:ind w:firstLine="4200" w:firstLineChars="2000"/>
        <w:jc w:val="left"/>
        <w:rPr>
          <w:rFonts w:ascii="Tahoma" w:hAnsi="Tahoma" w:cs="Tahoma"/>
          <w:kern w:val="0"/>
          <w:szCs w:val="21"/>
          <w:u w:val="single"/>
        </w:rPr>
      </w:pPr>
      <w:r>
        <w:rPr>
          <w:rFonts w:hint="eastAsia" w:ascii="宋体" w:hAnsi="宋体" w:cs="Tahoma"/>
          <w:kern w:val="0"/>
          <w:szCs w:val="21"/>
        </w:rPr>
        <w:t>职称（或注册执业）证号：</w:t>
      </w:r>
      <w:r>
        <w:rPr>
          <w:rFonts w:ascii="Tahoma" w:hAnsi="Tahoma" w:cs="Tahoma"/>
          <w:kern w:val="0"/>
          <w:szCs w:val="21"/>
          <w:u w:val="single"/>
        </w:rPr>
        <w:t xml:space="preserve">         </w:t>
      </w:r>
    </w:p>
    <w:p w14:paraId="125E584A">
      <w:pPr>
        <w:widowControl/>
        <w:spacing w:line="340" w:lineRule="exact"/>
        <w:ind w:firstLine="4200" w:firstLineChars="2000"/>
        <w:jc w:val="left"/>
        <w:rPr>
          <w:rFonts w:ascii="Tahoma" w:hAnsi="Tahoma" w:cs="Tahoma"/>
          <w:kern w:val="0"/>
          <w:szCs w:val="21"/>
          <w:u w:val="single"/>
        </w:rPr>
      </w:pPr>
      <w:r>
        <w:rPr>
          <w:rFonts w:hint="eastAsia" w:ascii="宋体" w:hAnsi="宋体" w:cs="Tahoma"/>
          <w:kern w:val="0"/>
          <w:szCs w:val="21"/>
        </w:rPr>
        <w:t>签字日期：</w:t>
      </w:r>
      <w:r>
        <w:rPr>
          <w:rFonts w:ascii="Tahoma" w:hAnsi="Tahoma" w:cs="Tahoma"/>
          <w:kern w:val="0"/>
          <w:szCs w:val="21"/>
        </w:rPr>
        <w:t xml:space="preserve"> </w:t>
      </w:r>
      <w:r>
        <w:rPr>
          <w:rFonts w:ascii="Tahoma" w:hAnsi="Tahoma" w:cs="Tahoma"/>
          <w:kern w:val="0"/>
          <w:szCs w:val="21"/>
          <w:u w:val="single"/>
        </w:rPr>
        <w:t xml:space="preserve">         </w:t>
      </w:r>
      <w:r>
        <w:rPr>
          <w:rFonts w:hint="eastAsia" w:ascii="宋体" w:hAnsi="宋体" w:cs="Tahoma"/>
          <w:kern w:val="0"/>
          <w:szCs w:val="21"/>
        </w:rPr>
        <w:t>年</w:t>
      </w:r>
      <w:r>
        <w:rPr>
          <w:rFonts w:ascii="Tahoma" w:hAnsi="Tahoma" w:cs="Tahoma"/>
          <w:kern w:val="0"/>
          <w:szCs w:val="21"/>
          <w:u w:val="single"/>
        </w:rPr>
        <w:t xml:space="preserve">   </w:t>
      </w:r>
      <w:r>
        <w:rPr>
          <w:rFonts w:hint="eastAsia" w:ascii="宋体" w:hAnsi="宋体" w:cs="Tahoma"/>
          <w:kern w:val="0"/>
          <w:szCs w:val="21"/>
        </w:rPr>
        <w:t>月</w:t>
      </w:r>
      <w:r>
        <w:rPr>
          <w:rFonts w:ascii="Tahoma" w:hAnsi="Tahoma" w:cs="Tahoma"/>
          <w:kern w:val="0"/>
          <w:szCs w:val="21"/>
          <w:u w:val="single"/>
        </w:rPr>
        <w:t xml:space="preserve">   </w:t>
      </w:r>
      <w:r>
        <w:rPr>
          <w:rFonts w:hint="eastAsia" w:ascii="宋体" w:hAnsi="宋体" w:cs="Tahoma"/>
          <w:kern w:val="0"/>
          <w:szCs w:val="21"/>
        </w:rPr>
        <w:t>日</w:t>
      </w:r>
    </w:p>
    <w:p w14:paraId="4572B138">
      <w:pPr>
        <w:widowControl/>
        <w:spacing w:line="340" w:lineRule="exact"/>
        <w:ind w:firstLine="4200" w:firstLineChars="2000"/>
        <w:jc w:val="left"/>
        <w:rPr>
          <w:rFonts w:ascii="Tahoma" w:hAnsi="Tahoma" w:cs="Tahoma"/>
          <w:kern w:val="0"/>
          <w:szCs w:val="21"/>
        </w:rPr>
      </w:pPr>
      <w:r>
        <w:rPr>
          <w:rFonts w:hint="eastAsia" w:ascii="宋体" w:hAnsi="宋体" w:cs="Tahoma"/>
          <w:kern w:val="0"/>
          <w:szCs w:val="21"/>
        </w:rPr>
        <w:t>鉴证人（公司法人）签字：</w:t>
      </w:r>
      <w:r>
        <w:rPr>
          <w:rFonts w:ascii="Tahoma" w:hAnsi="Tahoma" w:cs="Tahoma"/>
          <w:kern w:val="0"/>
          <w:szCs w:val="21"/>
          <w:u w:val="single"/>
        </w:rPr>
        <w:t xml:space="preserve">         </w:t>
      </w:r>
    </w:p>
    <w:p w14:paraId="05924097">
      <w:pPr>
        <w:widowControl/>
        <w:spacing w:line="340" w:lineRule="exact"/>
        <w:ind w:firstLine="2730" w:firstLineChars="1300"/>
        <w:rPr>
          <w:rFonts w:ascii="Tahoma" w:hAnsi="Tahoma" w:cs="Tahoma"/>
          <w:kern w:val="0"/>
          <w:szCs w:val="21"/>
        </w:rPr>
      </w:pPr>
      <w:r>
        <w:rPr>
          <w:rFonts w:ascii="Tahoma" w:hAnsi="Tahoma" w:cs="Tahoma"/>
          <w:kern w:val="0"/>
          <w:szCs w:val="21"/>
        </w:rPr>
        <w:t xml:space="preserve">                              </w:t>
      </w:r>
    </w:p>
    <w:p w14:paraId="682DE7BC">
      <w:pPr>
        <w:widowControl/>
        <w:spacing w:line="340" w:lineRule="exact"/>
        <w:ind w:firstLine="4620" w:firstLineChars="2200"/>
        <w:rPr>
          <w:rFonts w:ascii="Tahoma" w:hAnsi="Tahoma" w:cs="Tahoma"/>
          <w:kern w:val="0"/>
          <w:szCs w:val="21"/>
        </w:rPr>
      </w:pPr>
      <w:r>
        <w:rPr>
          <w:rFonts w:ascii="Tahoma" w:hAnsi="Tahoma" w:cs="Tahoma"/>
          <w:kern w:val="0"/>
          <w:szCs w:val="21"/>
          <w:u w:val="single"/>
        </w:rPr>
        <w:t xml:space="preserve">       </w:t>
      </w:r>
      <w:r>
        <w:rPr>
          <w:rFonts w:hint="eastAsia" w:ascii="宋体" w:hAnsi="宋体" w:cs="Tahoma"/>
          <w:kern w:val="0"/>
          <w:szCs w:val="21"/>
        </w:rPr>
        <w:t>年</w:t>
      </w:r>
      <w:r>
        <w:rPr>
          <w:rFonts w:ascii="Tahoma" w:hAnsi="Tahoma" w:cs="Tahoma"/>
          <w:kern w:val="0"/>
          <w:szCs w:val="21"/>
          <w:u w:val="single"/>
        </w:rPr>
        <w:t xml:space="preserve">   </w:t>
      </w:r>
      <w:r>
        <w:rPr>
          <w:rFonts w:hint="eastAsia" w:ascii="宋体" w:hAnsi="宋体" w:cs="Tahoma"/>
          <w:kern w:val="0"/>
          <w:szCs w:val="21"/>
        </w:rPr>
        <w:t>月</w:t>
      </w:r>
      <w:r>
        <w:rPr>
          <w:rFonts w:ascii="Tahoma" w:hAnsi="Tahoma" w:cs="Tahoma"/>
          <w:kern w:val="0"/>
          <w:szCs w:val="21"/>
          <w:u w:val="single"/>
        </w:rPr>
        <w:t xml:space="preserve">   </w:t>
      </w:r>
      <w:r>
        <w:rPr>
          <w:rFonts w:hint="eastAsia" w:ascii="宋体" w:hAnsi="宋体" w:cs="Tahoma"/>
          <w:kern w:val="0"/>
          <w:szCs w:val="21"/>
        </w:rPr>
        <w:t>日</w:t>
      </w:r>
    </w:p>
    <w:p w14:paraId="46BE8C3F">
      <w:pPr>
        <w:rPr>
          <w:rFonts w:hint="eastAsia" w:ascii="等线 Light" w:hAnsi="等线 Light" w:eastAsia="等线 Light"/>
          <w:sz w:val="24"/>
          <w:szCs w:val="24"/>
        </w:rPr>
      </w:pPr>
      <w:r>
        <w:rPr>
          <w:rFonts w:hint="eastAsia" w:ascii="等线 Light" w:hAnsi="等线 Light" w:eastAsia="等线 Light"/>
          <w:sz w:val="24"/>
          <w:szCs w:val="24"/>
        </w:rPr>
        <w:t xml:space="preserve"> </w:t>
      </w:r>
    </w:p>
    <w:p w14:paraId="353B4F27">
      <w:pPr>
        <w:rPr>
          <w:rFonts w:hint="eastAsia" w:ascii="等线 Light" w:hAnsi="等线 Light" w:eastAsia="等线 Light"/>
          <w:sz w:val="24"/>
          <w:szCs w:val="24"/>
        </w:rPr>
      </w:pPr>
    </w:p>
    <w:p w14:paraId="096B6320">
      <w:pPr>
        <w:rPr>
          <w:rFonts w:hint="eastAsia" w:ascii="等线 Light" w:hAnsi="等线 Light" w:eastAsia="等线 Light"/>
          <w:sz w:val="24"/>
          <w:szCs w:val="24"/>
        </w:rPr>
      </w:pPr>
    </w:p>
    <w:p w14:paraId="085AE44D">
      <w:pPr>
        <w:widowControl/>
        <w:jc w:val="center"/>
        <w:rPr>
          <w:rFonts w:hint="eastAsia" w:ascii="黑体" w:hAnsi="黑体" w:eastAsia="黑体"/>
          <w:b/>
          <w:kern w:val="0"/>
          <w:sz w:val="28"/>
          <w:szCs w:val="24"/>
        </w:rPr>
      </w:pPr>
    </w:p>
    <w:p w14:paraId="6ECCE5C9">
      <w:pPr>
        <w:widowControl/>
        <w:jc w:val="center"/>
        <w:rPr>
          <w:rFonts w:hint="eastAsia" w:ascii="黑体" w:hAnsi="黑体" w:eastAsia="黑体"/>
          <w:b/>
          <w:kern w:val="0"/>
          <w:sz w:val="28"/>
          <w:szCs w:val="24"/>
        </w:rPr>
      </w:pPr>
    </w:p>
    <w:p w14:paraId="6C66EE4E">
      <w:pPr>
        <w:widowControl/>
        <w:jc w:val="center"/>
        <w:rPr>
          <w:rFonts w:hint="eastAsia" w:ascii="黑体" w:hAnsi="黑体" w:eastAsia="黑体"/>
          <w:b/>
          <w:kern w:val="0"/>
          <w:sz w:val="28"/>
          <w:szCs w:val="24"/>
        </w:rPr>
      </w:pPr>
    </w:p>
    <w:p w14:paraId="3F1317BE">
      <w:pPr>
        <w:widowControl/>
        <w:jc w:val="center"/>
        <w:rPr>
          <w:rFonts w:hint="eastAsia" w:ascii="黑体" w:hAnsi="黑体" w:eastAsia="黑体"/>
          <w:b/>
          <w:kern w:val="0"/>
          <w:sz w:val="28"/>
          <w:szCs w:val="24"/>
        </w:rPr>
      </w:pPr>
      <w:r>
        <w:rPr>
          <w:rFonts w:hint="eastAsia" w:ascii="黑体" w:hAnsi="黑体" w:eastAsia="黑体"/>
          <w:b/>
          <w:kern w:val="0"/>
          <w:sz w:val="28"/>
          <w:szCs w:val="24"/>
        </w:rPr>
        <w:t>（</w:t>
      </w:r>
      <w:r>
        <w:rPr>
          <w:rFonts w:hint="eastAsia" w:ascii="黑体" w:hAnsi="黑体" w:eastAsia="黑体"/>
          <w:b/>
          <w:kern w:val="0"/>
          <w:sz w:val="28"/>
          <w:szCs w:val="24"/>
          <w:lang w:val="en-US" w:eastAsia="zh-CN"/>
        </w:rPr>
        <w:t>七</w:t>
      </w:r>
      <w:r>
        <w:rPr>
          <w:rFonts w:hint="eastAsia" w:ascii="黑体" w:hAnsi="黑体" w:eastAsia="黑体"/>
          <w:b/>
          <w:kern w:val="0"/>
          <w:sz w:val="28"/>
          <w:szCs w:val="24"/>
        </w:rPr>
        <w:t>）项目经理法人授权书</w:t>
      </w:r>
    </w:p>
    <w:p w14:paraId="24873192">
      <w:pPr>
        <w:widowControl/>
        <w:rPr>
          <w:rFonts w:hint="eastAsia" w:ascii="黑体" w:hAnsi="黑体" w:eastAsia="黑体"/>
          <w:b/>
          <w:kern w:val="0"/>
          <w:sz w:val="28"/>
          <w:szCs w:val="24"/>
        </w:rPr>
      </w:pPr>
    </w:p>
    <w:p w14:paraId="7D0E66B0">
      <w:pPr>
        <w:widowControl/>
        <w:spacing w:line="360" w:lineRule="auto"/>
        <w:ind w:firstLine="640"/>
        <w:rPr>
          <w:rFonts w:hint="eastAsia" w:ascii="宋体" w:hAnsi="宋体"/>
          <w:kern w:val="0"/>
          <w:szCs w:val="24"/>
          <w:u w:val="single"/>
        </w:rPr>
      </w:pPr>
      <w:r>
        <w:rPr>
          <w:rFonts w:hint="eastAsia" w:ascii="宋体" w:hAnsi="宋体"/>
          <w:kern w:val="0"/>
          <w:szCs w:val="24"/>
        </w:rPr>
        <w:t>兹授权我单位</w:t>
      </w:r>
      <w:r>
        <w:rPr>
          <w:rFonts w:hint="eastAsia" w:ascii="宋体" w:hAnsi="宋体"/>
          <w:kern w:val="0"/>
          <w:szCs w:val="24"/>
          <w:u w:val="single"/>
        </w:rPr>
        <w:t xml:space="preserve">          （姓名）</w:t>
      </w:r>
      <w:r>
        <w:rPr>
          <w:rFonts w:hint="eastAsia" w:ascii="宋体" w:hAnsi="宋体"/>
          <w:kern w:val="0"/>
          <w:szCs w:val="24"/>
        </w:rPr>
        <w:t>担任</w:t>
      </w:r>
      <w:r>
        <w:rPr>
          <w:rFonts w:hint="eastAsia" w:ascii="宋体" w:hAnsi="宋体"/>
          <w:kern w:val="0"/>
          <w:szCs w:val="24"/>
          <w:u w:val="single"/>
        </w:rPr>
        <w:t xml:space="preserve">                                    </w:t>
      </w:r>
      <w:r>
        <w:rPr>
          <w:rFonts w:hint="eastAsia" w:ascii="宋体" w:hAnsi="宋体"/>
          <w:kern w:val="0"/>
          <w:szCs w:val="24"/>
        </w:rPr>
        <w:t>工程项目的(施工)项目负责人（项目经理），对该工程项目的实施进行全面的组织管理，依据国家有关法律法规及标准规范履行职责，并依法对设计使用年限内的工程质量承担相应终身责任。</w:t>
      </w:r>
    </w:p>
    <w:p w14:paraId="7AC7A76F">
      <w:pPr>
        <w:widowControl/>
        <w:spacing w:line="360" w:lineRule="auto"/>
        <w:ind w:firstLine="640"/>
        <w:rPr>
          <w:rFonts w:hint="eastAsia" w:ascii="宋体" w:hAnsi="宋体"/>
          <w:kern w:val="0"/>
          <w:szCs w:val="24"/>
        </w:rPr>
      </w:pPr>
      <w:r>
        <w:rPr>
          <w:rFonts w:hint="eastAsia" w:ascii="宋体" w:hAnsi="宋体"/>
          <w:kern w:val="0"/>
          <w:szCs w:val="24"/>
        </w:rPr>
        <w:t>本授权书自授权之日起生效。</w:t>
      </w:r>
    </w:p>
    <w:p w14:paraId="029F75E8">
      <w:pPr>
        <w:widowControl/>
        <w:spacing w:line="360" w:lineRule="auto"/>
        <w:ind w:firstLine="640"/>
        <w:rPr>
          <w:rFonts w:hint="eastAsia" w:ascii="宋体" w:hAnsi="宋体"/>
          <w:kern w:val="0"/>
          <w:szCs w:val="24"/>
        </w:rPr>
      </w:pPr>
      <w:r>
        <w:rPr>
          <w:rFonts w:hint="eastAsia" w:ascii="宋体" w:hAnsi="宋体"/>
          <w:kern w:val="0"/>
          <w:szCs w:val="24"/>
        </w:rPr>
        <w:t xml:space="preserve"> </w:t>
      </w:r>
    </w:p>
    <w:tbl>
      <w:tblPr>
        <w:tblStyle w:val="17"/>
        <w:tblW w:w="9780" w:type="dxa"/>
        <w:jc w:val="center"/>
        <w:tblLayout w:type="fixed"/>
        <w:tblCellMar>
          <w:top w:w="0" w:type="dxa"/>
          <w:left w:w="108" w:type="dxa"/>
          <w:bottom w:w="0" w:type="dxa"/>
          <w:right w:w="108" w:type="dxa"/>
        </w:tblCellMar>
      </w:tblPr>
      <w:tblGrid>
        <w:gridCol w:w="2444"/>
        <w:gridCol w:w="2445"/>
        <w:gridCol w:w="2445"/>
        <w:gridCol w:w="2446"/>
      </w:tblGrid>
      <w:tr w14:paraId="1109DF36">
        <w:tblPrEx>
          <w:tblCellMar>
            <w:top w:w="0" w:type="dxa"/>
            <w:left w:w="108" w:type="dxa"/>
            <w:bottom w:w="0" w:type="dxa"/>
            <w:right w:w="108" w:type="dxa"/>
          </w:tblCellMar>
        </w:tblPrEx>
        <w:trPr>
          <w:trHeight w:val="464" w:hRule="atLeast"/>
          <w:jc w:val="center"/>
        </w:trPr>
        <w:tc>
          <w:tcPr>
            <w:tcW w:w="9781" w:type="dxa"/>
            <w:gridSpan w:val="4"/>
            <w:tcBorders>
              <w:top w:val="single" w:color="000000" w:sz="4" w:space="0"/>
              <w:left w:val="single" w:color="000000" w:sz="4" w:space="0"/>
              <w:bottom w:val="single" w:color="000000" w:sz="4" w:space="0"/>
              <w:right w:val="single" w:color="000000" w:sz="4" w:space="0"/>
            </w:tcBorders>
            <w:noWrap w:val="0"/>
            <w:vAlign w:val="center"/>
          </w:tcPr>
          <w:p w14:paraId="0788653C">
            <w:pPr>
              <w:spacing w:line="280" w:lineRule="exact"/>
              <w:jc w:val="center"/>
              <w:rPr>
                <w:rFonts w:hint="eastAsia"/>
                <w:szCs w:val="24"/>
              </w:rPr>
            </w:pPr>
            <w:r>
              <w:rPr>
                <w:rFonts w:hint="eastAsia"/>
                <w:szCs w:val="24"/>
              </w:rPr>
              <w:t>被授权人基本情况</w:t>
            </w:r>
          </w:p>
        </w:tc>
      </w:tr>
      <w:tr w14:paraId="2B0B81F9">
        <w:tblPrEx>
          <w:tblCellMar>
            <w:top w:w="0" w:type="dxa"/>
            <w:left w:w="108" w:type="dxa"/>
            <w:bottom w:w="0" w:type="dxa"/>
            <w:right w:w="108" w:type="dxa"/>
          </w:tblCellMar>
        </w:tblPrEx>
        <w:trPr>
          <w:trHeight w:val="464" w:hRule="atLeast"/>
          <w:jc w:val="center"/>
        </w:trPr>
        <w:tc>
          <w:tcPr>
            <w:tcW w:w="2445" w:type="dxa"/>
            <w:tcBorders>
              <w:top w:val="single" w:color="000000" w:sz="4" w:space="0"/>
              <w:left w:val="single" w:color="000000" w:sz="4" w:space="0"/>
              <w:bottom w:val="single" w:color="000000" w:sz="4" w:space="0"/>
              <w:right w:val="single" w:color="000000" w:sz="4" w:space="0"/>
            </w:tcBorders>
            <w:noWrap w:val="0"/>
            <w:vAlign w:val="center"/>
          </w:tcPr>
          <w:p w14:paraId="288EE048">
            <w:pPr>
              <w:widowControl/>
              <w:spacing w:line="280" w:lineRule="exact"/>
              <w:jc w:val="center"/>
              <w:rPr>
                <w:rFonts w:hint="eastAsia" w:ascii="宋体" w:hAnsi="宋体"/>
                <w:kern w:val="0"/>
                <w:szCs w:val="24"/>
              </w:rPr>
            </w:pPr>
            <w:r>
              <w:rPr>
                <w:rFonts w:hint="eastAsia" w:ascii="宋体" w:hAnsi="宋体"/>
                <w:kern w:val="0"/>
                <w:szCs w:val="24"/>
              </w:rPr>
              <w:t>姓  名</w:t>
            </w:r>
          </w:p>
        </w:tc>
        <w:tc>
          <w:tcPr>
            <w:tcW w:w="2445" w:type="dxa"/>
            <w:tcBorders>
              <w:top w:val="single" w:color="000000" w:sz="4" w:space="0"/>
              <w:left w:val="nil"/>
              <w:bottom w:val="single" w:color="000000" w:sz="4" w:space="0"/>
              <w:right w:val="single" w:color="000000" w:sz="4" w:space="0"/>
            </w:tcBorders>
            <w:noWrap w:val="0"/>
            <w:vAlign w:val="center"/>
          </w:tcPr>
          <w:p w14:paraId="7FE3C873">
            <w:pPr>
              <w:widowControl/>
              <w:spacing w:line="280" w:lineRule="exact"/>
              <w:jc w:val="center"/>
              <w:rPr>
                <w:rFonts w:hint="eastAsia" w:ascii="宋体" w:hAnsi="宋体"/>
                <w:kern w:val="0"/>
                <w:szCs w:val="24"/>
              </w:rPr>
            </w:pPr>
          </w:p>
        </w:tc>
        <w:tc>
          <w:tcPr>
            <w:tcW w:w="2445" w:type="dxa"/>
            <w:tcBorders>
              <w:top w:val="single" w:color="000000" w:sz="4" w:space="0"/>
              <w:left w:val="nil"/>
              <w:bottom w:val="single" w:color="000000" w:sz="4" w:space="0"/>
              <w:right w:val="single" w:color="000000" w:sz="4" w:space="0"/>
            </w:tcBorders>
            <w:noWrap w:val="0"/>
            <w:vAlign w:val="center"/>
          </w:tcPr>
          <w:p w14:paraId="41D01546">
            <w:pPr>
              <w:spacing w:line="280" w:lineRule="exact"/>
              <w:jc w:val="center"/>
              <w:rPr>
                <w:rFonts w:hint="eastAsia"/>
                <w:szCs w:val="24"/>
              </w:rPr>
            </w:pPr>
            <w:r>
              <w:rPr>
                <w:rFonts w:hint="eastAsia"/>
                <w:szCs w:val="24"/>
              </w:rPr>
              <w:t>身份证号</w:t>
            </w:r>
          </w:p>
        </w:tc>
        <w:tc>
          <w:tcPr>
            <w:tcW w:w="2446" w:type="dxa"/>
            <w:tcBorders>
              <w:top w:val="single" w:color="000000" w:sz="4" w:space="0"/>
              <w:left w:val="nil"/>
              <w:bottom w:val="single" w:color="000000" w:sz="4" w:space="0"/>
              <w:right w:val="single" w:color="000000" w:sz="4" w:space="0"/>
            </w:tcBorders>
            <w:noWrap w:val="0"/>
            <w:vAlign w:val="center"/>
          </w:tcPr>
          <w:p w14:paraId="1D2496EE">
            <w:pPr>
              <w:spacing w:line="280" w:lineRule="exact"/>
              <w:rPr>
                <w:szCs w:val="24"/>
              </w:rPr>
            </w:pPr>
          </w:p>
        </w:tc>
      </w:tr>
      <w:tr w14:paraId="5D97A8AD">
        <w:tblPrEx>
          <w:tblCellMar>
            <w:top w:w="0" w:type="dxa"/>
            <w:left w:w="108" w:type="dxa"/>
            <w:bottom w:w="0" w:type="dxa"/>
            <w:right w:w="108" w:type="dxa"/>
          </w:tblCellMar>
        </w:tblPrEx>
        <w:trPr>
          <w:trHeight w:val="464" w:hRule="atLeast"/>
          <w:jc w:val="center"/>
        </w:trPr>
        <w:tc>
          <w:tcPr>
            <w:tcW w:w="2445" w:type="dxa"/>
            <w:tcBorders>
              <w:top w:val="single" w:color="000000" w:sz="4" w:space="0"/>
              <w:left w:val="single" w:color="000000" w:sz="4" w:space="0"/>
              <w:bottom w:val="single" w:color="000000" w:sz="4" w:space="0"/>
              <w:right w:val="single" w:color="000000" w:sz="4" w:space="0"/>
            </w:tcBorders>
            <w:noWrap w:val="0"/>
            <w:vAlign w:val="center"/>
          </w:tcPr>
          <w:p w14:paraId="7392163E">
            <w:pPr>
              <w:widowControl/>
              <w:spacing w:line="280" w:lineRule="exact"/>
              <w:jc w:val="center"/>
              <w:rPr>
                <w:rFonts w:hint="eastAsia" w:ascii="宋体" w:hAnsi="宋体"/>
                <w:kern w:val="0"/>
                <w:szCs w:val="24"/>
              </w:rPr>
            </w:pPr>
            <w:r>
              <w:rPr>
                <w:rFonts w:hint="eastAsia" w:ascii="宋体" w:hAnsi="宋体"/>
                <w:kern w:val="0"/>
                <w:szCs w:val="24"/>
              </w:rPr>
              <w:t>注册执业资格</w:t>
            </w:r>
          </w:p>
        </w:tc>
        <w:tc>
          <w:tcPr>
            <w:tcW w:w="2445" w:type="dxa"/>
            <w:tcBorders>
              <w:top w:val="single" w:color="000000" w:sz="4" w:space="0"/>
              <w:left w:val="nil"/>
              <w:bottom w:val="single" w:color="000000" w:sz="4" w:space="0"/>
              <w:right w:val="single" w:color="000000" w:sz="4" w:space="0"/>
            </w:tcBorders>
            <w:noWrap w:val="0"/>
            <w:vAlign w:val="center"/>
          </w:tcPr>
          <w:p w14:paraId="06F949F3">
            <w:pPr>
              <w:widowControl/>
              <w:spacing w:line="280" w:lineRule="exact"/>
              <w:jc w:val="center"/>
              <w:rPr>
                <w:rFonts w:hint="eastAsia" w:ascii="宋体" w:hAnsi="宋体"/>
                <w:kern w:val="0"/>
                <w:szCs w:val="24"/>
              </w:rPr>
            </w:pPr>
          </w:p>
        </w:tc>
        <w:tc>
          <w:tcPr>
            <w:tcW w:w="2445" w:type="dxa"/>
            <w:tcBorders>
              <w:top w:val="single" w:color="000000" w:sz="4" w:space="0"/>
              <w:left w:val="nil"/>
              <w:bottom w:val="single" w:color="000000" w:sz="4" w:space="0"/>
              <w:right w:val="single" w:color="000000" w:sz="4" w:space="0"/>
            </w:tcBorders>
            <w:noWrap w:val="0"/>
            <w:vAlign w:val="center"/>
          </w:tcPr>
          <w:p w14:paraId="4596247B">
            <w:pPr>
              <w:spacing w:line="280" w:lineRule="exact"/>
              <w:jc w:val="center"/>
              <w:rPr>
                <w:rFonts w:hint="eastAsia"/>
                <w:szCs w:val="24"/>
              </w:rPr>
            </w:pPr>
            <w:r>
              <w:rPr>
                <w:rFonts w:hint="eastAsia"/>
                <w:szCs w:val="24"/>
              </w:rPr>
              <w:t>注册执业证号</w:t>
            </w:r>
          </w:p>
        </w:tc>
        <w:tc>
          <w:tcPr>
            <w:tcW w:w="2446" w:type="dxa"/>
            <w:tcBorders>
              <w:top w:val="single" w:color="000000" w:sz="4" w:space="0"/>
              <w:left w:val="nil"/>
              <w:bottom w:val="single" w:color="000000" w:sz="4" w:space="0"/>
              <w:right w:val="single" w:color="000000" w:sz="4" w:space="0"/>
            </w:tcBorders>
            <w:noWrap w:val="0"/>
            <w:vAlign w:val="center"/>
          </w:tcPr>
          <w:p w14:paraId="75005736">
            <w:pPr>
              <w:spacing w:line="280" w:lineRule="exact"/>
              <w:rPr>
                <w:szCs w:val="24"/>
              </w:rPr>
            </w:pPr>
          </w:p>
        </w:tc>
      </w:tr>
      <w:tr w14:paraId="4C52782E">
        <w:tblPrEx>
          <w:tblCellMar>
            <w:top w:w="0" w:type="dxa"/>
            <w:left w:w="108" w:type="dxa"/>
            <w:bottom w:w="0" w:type="dxa"/>
            <w:right w:w="108" w:type="dxa"/>
          </w:tblCellMar>
        </w:tblPrEx>
        <w:trPr>
          <w:trHeight w:val="464" w:hRule="atLeast"/>
          <w:jc w:val="center"/>
        </w:trPr>
        <w:tc>
          <w:tcPr>
            <w:tcW w:w="4890" w:type="dxa"/>
            <w:gridSpan w:val="2"/>
            <w:tcBorders>
              <w:top w:val="single" w:color="000000" w:sz="4" w:space="0"/>
              <w:left w:val="single" w:color="000000" w:sz="4" w:space="0"/>
              <w:bottom w:val="single" w:color="000000" w:sz="4" w:space="0"/>
              <w:right w:val="single" w:color="000000" w:sz="4" w:space="0"/>
            </w:tcBorders>
            <w:noWrap w:val="0"/>
            <w:vAlign w:val="center"/>
          </w:tcPr>
          <w:p w14:paraId="3057F3C2">
            <w:pPr>
              <w:spacing w:line="280" w:lineRule="exact"/>
              <w:jc w:val="center"/>
              <w:rPr>
                <w:szCs w:val="24"/>
              </w:rPr>
            </w:pPr>
            <w:r>
              <w:rPr>
                <w:rFonts w:hint="eastAsia"/>
                <w:szCs w:val="24"/>
              </w:rPr>
              <w:t>被授权人签字：</w:t>
            </w:r>
          </w:p>
        </w:tc>
        <w:tc>
          <w:tcPr>
            <w:tcW w:w="4891" w:type="dxa"/>
            <w:gridSpan w:val="2"/>
            <w:tcBorders>
              <w:top w:val="single" w:color="000000" w:sz="4" w:space="0"/>
              <w:left w:val="nil"/>
              <w:bottom w:val="single" w:color="000000" w:sz="4" w:space="0"/>
              <w:right w:val="single" w:color="000000" w:sz="4" w:space="0"/>
            </w:tcBorders>
            <w:noWrap w:val="0"/>
            <w:vAlign w:val="center"/>
          </w:tcPr>
          <w:p w14:paraId="7EC52CF5">
            <w:pPr>
              <w:spacing w:line="280" w:lineRule="exact"/>
              <w:rPr>
                <w:szCs w:val="24"/>
              </w:rPr>
            </w:pPr>
          </w:p>
        </w:tc>
      </w:tr>
    </w:tbl>
    <w:p w14:paraId="3D8C6959">
      <w:pPr>
        <w:widowControl/>
        <w:spacing w:line="360" w:lineRule="auto"/>
        <w:ind w:firstLine="640"/>
        <w:rPr>
          <w:rFonts w:hint="eastAsia" w:ascii="宋体" w:hAnsi="宋体"/>
          <w:kern w:val="0"/>
          <w:szCs w:val="24"/>
        </w:rPr>
      </w:pPr>
      <w:r>
        <w:rPr>
          <w:rFonts w:hint="eastAsia" w:ascii="宋体" w:hAnsi="宋体"/>
          <w:kern w:val="0"/>
          <w:szCs w:val="24"/>
        </w:rPr>
        <w:t xml:space="preserve"> </w:t>
      </w:r>
    </w:p>
    <w:p w14:paraId="6FDC3F09">
      <w:pPr>
        <w:widowControl/>
        <w:spacing w:line="360" w:lineRule="auto"/>
        <w:ind w:firstLine="640"/>
        <w:rPr>
          <w:rFonts w:hint="eastAsia" w:ascii="宋体" w:hAnsi="宋体"/>
          <w:kern w:val="0"/>
          <w:szCs w:val="24"/>
        </w:rPr>
      </w:pPr>
      <w:r>
        <w:rPr>
          <w:rFonts w:hint="eastAsia" w:ascii="宋体" w:hAnsi="宋体"/>
          <w:kern w:val="0"/>
          <w:szCs w:val="24"/>
        </w:rPr>
        <w:t xml:space="preserve">                                </w:t>
      </w:r>
    </w:p>
    <w:p w14:paraId="183DE8F5">
      <w:pPr>
        <w:widowControl/>
        <w:spacing w:line="360" w:lineRule="auto"/>
        <w:ind w:firstLine="3990" w:firstLineChars="1900"/>
        <w:rPr>
          <w:rFonts w:hint="eastAsia" w:ascii="宋体" w:hAnsi="宋体"/>
          <w:kern w:val="0"/>
          <w:szCs w:val="24"/>
          <w:u w:val="single"/>
        </w:rPr>
      </w:pPr>
      <w:r>
        <w:rPr>
          <w:rFonts w:hint="eastAsia" w:ascii="宋体" w:hAnsi="宋体"/>
          <w:kern w:val="0"/>
          <w:szCs w:val="24"/>
        </w:rPr>
        <w:t>授权单位（盖章）：</w:t>
      </w:r>
      <w:r>
        <w:rPr>
          <w:rFonts w:hint="eastAsia" w:ascii="宋体" w:hAnsi="宋体"/>
          <w:kern w:val="0"/>
          <w:szCs w:val="24"/>
          <w:u w:val="single"/>
        </w:rPr>
        <w:t xml:space="preserve">                                  </w:t>
      </w:r>
    </w:p>
    <w:p w14:paraId="41AFB978">
      <w:pPr>
        <w:widowControl/>
        <w:spacing w:line="360" w:lineRule="auto"/>
        <w:ind w:firstLine="640"/>
        <w:rPr>
          <w:rFonts w:hint="eastAsia" w:ascii="宋体" w:hAnsi="宋体"/>
          <w:kern w:val="0"/>
          <w:szCs w:val="24"/>
          <w:u w:val="single"/>
        </w:rPr>
      </w:pPr>
      <w:r>
        <w:rPr>
          <w:rFonts w:hint="eastAsia" w:ascii="宋体" w:hAnsi="宋体"/>
          <w:kern w:val="0"/>
          <w:szCs w:val="24"/>
        </w:rPr>
        <w:t xml:space="preserve">                                法定代表人（签字）：</w:t>
      </w:r>
      <w:r>
        <w:rPr>
          <w:rFonts w:hint="eastAsia" w:ascii="宋体" w:hAnsi="宋体"/>
          <w:kern w:val="0"/>
          <w:szCs w:val="24"/>
          <w:u w:val="single"/>
        </w:rPr>
        <w:t xml:space="preserve">                                </w:t>
      </w:r>
    </w:p>
    <w:p w14:paraId="23899E6C">
      <w:pPr>
        <w:widowControl/>
        <w:spacing w:line="360" w:lineRule="auto"/>
        <w:ind w:firstLine="640"/>
        <w:rPr>
          <w:rFonts w:hint="eastAsia" w:ascii="宋体" w:hAnsi="宋体"/>
          <w:kern w:val="0"/>
          <w:szCs w:val="24"/>
        </w:rPr>
      </w:pPr>
      <w:r>
        <w:rPr>
          <w:rFonts w:hint="eastAsia" w:ascii="宋体" w:hAnsi="宋体"/>
          <w:kern w:val="0"/>
          <w:szCs w:val="24"/>
        </w:rPr>
        <w:t xml:space="preserve">         </w:t>
      </w:r>
    </w:p>
    <w:p w14:paraId="48431675">
      <w:pPr>
        <w:widowControl/>
        <w:spacing w:line="360" w:lineRule="auto"/>
        <w:ind w:firstLine="3990" w:firstLineChars="1900"/>
        <w:rPr>
          <w:rFonts w:hint="eastAsia" w:ascii="宋体" w:hAnsi="宋体"/>
          <w:kern w:val="0"/>
          <w:szCs w:val="24"/>
        </w:rPr>
      </w:pPr>
      <w:r>
        <w:rPr>
          <w:rFonts w:hint="eastAsia" w:ascii="宋体" w:hAnsi="宋体"/>
          <w:kern w:val="0"/>
          <w:szCs w:val="24"/>
        </w:rPr>
        <w:t>授权日期</w:t>
      </w:r>
      <w:r>
        <w:rPr>
          <w:rFonts w:hint="eastAsia" w:ascii="宋体" w:hAnsi="宋体"/>
          <w:spacing w:val="21"/>
          <w:kern w:val="0"/>
          <w:szCs w:val="24"/>
        </w:rPr>
        <w:t>：</w:t>
      </w:r>
      <w:r>
        <w:rPr>
          <w:rFonts w:hint="eastAsia" w:ascii="宋体" w:hAnsi="宋体"/>
          <w:kern w:val="0"/>
          <w:szCs w:val="24"/>
          <w:u w:val="single"/>
        </w:rPr>
        <w:t xml:space="preserve">          </w:t>
      </w:r>
      <w:r>
        <w:rPr>
          <w:rFonts w:hint="eastAsia" w:ascii="宋体" w:hAnsi="宋体"/>
          <w:kern w:val="0"/>
          <w:szCs w:val="24"/>
        </w:rPr>
        <w:t>年</w:t>
      </w:r>
      <w:r>
        <w:rPr>
          <w:rFonts w:hint="eastAsia" w:ascii="宋体" w:hAnsi="宋体"/>
          <w:kern w:val="0"/>
          <w:szCs w:val="24"/>
          <w:u w:val="single"/>
        </w:rPr>
        <w:t xml:space="preserve">      </w:t>
      </w:r>
      <w:r>
        <w:rPr>
          <w:rFonts w:hint="eastAsia" w:ascii="宋体" w:hAnsi="宋体"/>
          <w:kern w:val="0"/>
          <w:szCs w:val="24"/>
        </w:rPr>
        <w:t>月</w:t>
      </w:r>
      <w:r>
        <w:rPr>
          <w:rFonts w:hint="eastAsia" w:ascii="宋体" w:hAnsi="宋体"/>
          <w:kern w:val="0"/>
          <w:szCs w:val="24"/>
          <w:u w:val="single"/>
        </w:rPr>
        <w:t xml:space="preserve">      </w:t>
      </w:r>
      <w:r>
        <w:rPr>
          <w:rFonts w:hint="eastAsia" w:ascii="宋体" w:hAnsi="宋体"/>
          <w:kern w:val="0"/>
          <w:szCs w:val="24"/>
        </w:rPr>
        <w:t>日</w:t>
      </w:r>
    </w:p>
    <w:p w14:paraId="7E7E34F1">
      <w:pPr>
        <w:spacing w:line="360" w:lineRule="auto"/>
        <w:rPr>
          <w:rFonts w:hint="eastAsia" w:ascii="宋体" w:hAnsi="宋体"/>
          <w:szCs w:val="24"/>
        </w:rPr>
      </w:pPr>
      <w:r>
        <w:rPr>
          <w:rFonts w:hint="eastAsia" w:ascii="宋体" w:hAnsi="宋体"/>
          <w:szCs w:val="24"/>
        </w:rPr>
        <w:t xml:space="preserve"> </w:t>
      </w:r>
    </w:p>
    <w:p w14:paraId="7D66075F">
      <w:pPr>
        <w:rPr>
          <w:rFonts w:hint="eastAsia" w:ascii="等线 Light" w:hAnsi="等线 Light" w:eastAsia="等线 Light"/>
          <w:sz w:val="24"/>
          <w:szCs w:val="24"/>
        </w:rPr>
      </w:pPr>
      <w:r>
        <w:rPr>
          <w:rFonts w:hint="eastAsia" w:ascii="等线 Light" w:hAnsi="等线 Light" w:eastAsia="等线 Light"/>
          <w:sz w:val="24"/>
          <w:szCs w:val="24"/>
        </w:rPr>
        <w:t xml:space="preserve"> </w:t>
      </w:r>
    </w:p>
    <w:p w14:paraId="37386C78">
      <w:pPr>
        <w:widowControl/>
        <w:jc w:val="center"/>
        <w:rPr>
          <w:rFonts w:hint="eastAsia" w:ascii="宋体" w:hAnsi="宋体"/>
          <w:b/>
          <w:kern w:val="0"/>
          <w:sz w:val="44"/>
          <w:szCs w:val="24"/>
        </w:rPr>
      </w:pPr>
      <w:r>
        <w:rPr>
          <w:rFonts w:hint="eastAsia" w:ascii="宋体" w:hAnsi="宋体"/>
          <w:b/>
          <w:kern w:val="0"/>
          <w:sz w:val="44"/>
          <w:szCs w:val="24"/>
        </w:rPr>
        <w:t xml:space="preserve"> </w:t>
      </w:r>
    </w:p>
    <w:p w14:paraId="31C96C95">
      <w:pPr>
        <w:widowControl/>
        <w:jc w:val="center"/>
        <w:rPr>
          <w:rFonts w:hint="eastAsia" w:ascii="宋体" w:hAnsi="宋体"/>
          <w:b/>
          <w:kern w:val="0"/>
          <w:sz w:val="44"/>
          <w:szCs w:val="24"/>
        </w:rPr>
      </w:pPr>
      <w:r>
        <w:rPr>
          <w:rFonts w:hint="eastAsia" w:ascii="宋体" w:hAnsi="宋体"/>
          <w:b/>
          <w:kern w:val="0"/>
          <w:sz w:val="44"/>
          <w:szCs w:val="24"/>
        </w:rPr>
        <w:t xml:space="preserve"> </w:t>
      </w:r>
    </w:p>
    <w:p w14:paraId="3198CF06">
      <w:pPr>
        <w:widowControl/>
        <w:jc w:val="center"/>
        <w:rPr>
          <w:rFonts w:hint="eastAsia" w:ascii="宋体" w:hAnsi="宋体"/>
          <w:b/>
          <w:kern w:val="0"/>
          <w:sz w:val="44"/>
          <w:szCs w:val="24"/>
        </w:rPr>
      </w:pPr>
      <w:r>
        <w:rPr>
          <w:rFonts w:hint="eastAsia" w:ascii="宋体" w:hAnsi="宋体"/>
          <w:b/>
          <w:kern w:val="0"/>
          <w:sz w:val="44"/>
          <w:szCs w:val="24"/>
        </w:rPr>
        <w:t xml:space="preserve"> </w:t>
      </w:r>
    </w:p>
    <w:p w14:paraId="5A1A4522">
      <w:pPr>
        <w:widowControl/>
        <w:jc w:val="both"/>
        <w:rPr>
          <w:rFonts w:hint="eastAsia" w:ascii="黑体" w:hAnsi="黑体" w:eastAsia="黑体"/>
          <w:b/>
          <w:kern w:val="0"/>
          <w:sz w:val="28"/>
          <w:szCs w:val="24"/>
        </w:rPr>
      </w:pPr>
    </w:p>
    <w:p w14:paraId="0381D24D">
      <w:pPr>
        <w:widowControl/>
        <w:jc w:val="center"/>
        <w:rPr>
          <w:rFonts w:hint="eastAsia" w:ascii="黑体" w:hAnsi="黑体" w:eastAsia="黑体"/>
          <w:b/>
          <w:kern w:val="0"/>
          <w:sz w:val="28"/>
          <w:szCs w:val="24"/>
        </w:rPr>
      </w:pPr>
    </w:p>
    <w:p w14:paraId="72379FA7">
      <w:pPr>
        <w:widowControl/>
        <w:jc w:val="center"/>
        <w:rPr>
          <w:rFonts w:hint="eastAsia" w:ascii="黑体" w:hAnsi="黑体" w:eastAsia="黑体"/>
          <w:b/>
          <w:kern w:val="0"/>
          <w:sz w:val="28"/>
          <w:szCs w:val="24"/>
        </w:rPr>
      </w:pPr>
    </w:p>
    <w:p w14:paraId="1E53039D">
      <w:pPr>
        <w:widowControl/>
        <w:jc w:val="center"/>
        <w:rPr>
          <w:rFonts w:hint="eastAsia" w:ascii="黑体" w:hAnsi="黑体" w:eastAsia="黑体"/>
          <w:b/>
          <w:kern w:val="0"/>
          <w:sz w:val="28"/>
          <w:szCs w:val="24"/>
        </w:rPr>
      </w:pPr>
    </w:p>
    <w:p w14:paraId="5936B672">
      <w:pPr>
        <w:widowControl/>
        <w:jc w:val="center"/>
        <w:rPr>
          <w:rFonts w:hint="eastAsia" w:ascii="黑体" w:hAnsi="黑体" w:eastAsia="黑体"/>
          <w:b/>
          <w:kern w:val="0"/>
          <w:sz w:val="28"/>
          <w:szCs w:val="24"/>
        </w:rPr>
      </w:pPr>
    </w:p>
    <w:p w14:paraId="5E6B5543">
      <w:pPr>
        <w:widowControl/>
        <w:jc w:val="center"/>
        <w:rPr>
          <w:rFonts w:hint="eastAsia" w:ascii="黑体" w:hAnsi="黑体" w:eastAsia="黑体"/>
          <w:b/>
          <w:kern w:val="0"/>
          <w:sz w:val="28"/>
          <w:szCs w:val="24"/>
        </w:rPr>
      </w:pPr>
    </w:p>
    <w:p w14:paraId="751EFE3F">
      <w:pPr>
        <w:widowControl/>
        <w:jc w:val="center"/>
        <w:rPr>
          <w:rFonts w:hint="eastAsia" w:ascii="黑体" w:hAnsi="黑体" w:eastAsia="黑体"/>
          <w:b/>
          <w:kern w:val="0"/>
          <w:sz w:val="28"/>
          <w:szCs w:val="24"/>
        </w:rPr>
      </w:pPr>
    </w:p>
    <w:p w14:paraId="16D60454">
      <w:pPr>
        <w:widowControl/>
        <w:jc w:val="center"/>
        <w:rPr>
          <w:rFonts w:hint="eastAsia" w:ascii="黑体" w:hAnsi="黑体" w:eastAsia="黑体"/>
          <w:b/>
          <w:kern w:val="0"/>
          <w:sz w:val="28"/>
          <w:szCs w:val="24"/>
        </w:rPr>
      </w:pPr>
    </w:p>
    <w:p w14:paraId="64EA228B">
      <w:pPr>
        <w:widowControl/>
        <w:jc w:val="center"/>
        <w:rPr>
          <w:rFonts w:hint="eastAsia" w:ascii="黑体" w:hAnsi="黑体" w:eastAsia="黑体"/>
          <w:b/>
          <w:kern w:val="0"/>
          <w:sz w:val="28"/>
          <w:szCs w:val="24"/>
        </w:rPr>
      </w:pPr>
    </w:p>
    <w:p w14:paraId="0D66F545">
      <w:pPr>
        <w:widowControl/>
        <w:jc w:val="center"/>
        <w:rPr>
          <w:rFonts w:hint="eastAsia" w:ascii="黑体" w:hAnsi="黑体" w:eastAsia="黑体"/>
          <w:b/>
          <w:kern w:val="0"/>
          <w:sz w:val="28"/>
          <w:szCs w:val="24"/>
        </w:rPr>
      </w:pPr>
    </w:p>
    <w:p w14:paraId="2E84BD3E">
      <w:pPr>
        <w:widowControl/>
        <w:jc w:val="center"/>
        <w:rPr>
          <w:rFonts w:hint="eastAsia" w:ascii="黑体" w:hAnsi="黑体" w:eastAsia="黑体"/>
          <w:b/>
          <w:kern w:val="0"/>
          <w:sz w:val="28"/>
          <w:szCs w:val="24"/>
        </w:rPr>
      </w:pPr>
      <w:r>
        <w:rPr>
          <w:rFonts w:hint="eastAsia" w:ascii="黑体" w:hAnsi="黑体" w:eastAsia="黑体"/>
          <w:b/>
          <w:kern w:val="0"/>
          <w:sz w:val="28"/>
          <w:szCs w:val="24"/>
        </w:rPr>
        <w:t>（</w:t>
      </w:r>
      <w:r>
        <w:rPr>
          <w:rFonts w:hint="eastAsia" w:ascii="黑体" w:hAnsi="黑体" w:eastAsia="黑体"/>
          <w:b/>
          <w:kern w:val="0"/>
          <w:sz w:val="28"/>
          <w:szCs w:val="24"/>
          <w:lang w:val="en-US" w:eastAsia="zh-CN"/>
        </w:rPr>
        <w:t>八</w:t>
      </w:r>
      <w:r>
        <w:rPr>
          <w:rFonts w:hint="eastAsia" w:ascii="黑体" w:hAnsi="黑体" w:eastAsia="黑体"/>
          <w:b/>
          <w:kern w:val="0"/>
          <w:sz w:val="28"/>
          <w:szCs w:val="24"/>
        </w:rPr>
        <w:t>）技术负责人法定代表人授权书</w:t>
      </w:r>
    </w:p>
    <w:p w14:paraId="31CFEC25">
      <w:pPr>
        <w:widowControl/>
        <w:jc w:val="center"/>
        <w:rPr>
          <w:rFonts w:hint="eastAsia" w:ascii="黑体" w:hAnsi="黑体" w:eastAsia="黑体"/>
          <w:b/>
          <w:kern w:val="0"/>
          <w:sz w:val="28"/>
          <w:szCs w:val="24"/>
        </w:rPr>
      </w:pPr>
    </w:p>
    <w:p w14:paraId="686237C6">
      <w:pPr>
        <w:widowControl/>
        <w:spacing w:line="360" w:lineRule="auto"/>
        <w:ind w:firstLine="640"/>
        <w:rPr>
          <w:rFonts w:hint="eastAsia" w:ascii="宋体" w:hAnsi="宋体"/>
          <w:kern w:val="0"/>
          <w:szCs w:val="24"/>
          <w:u w:val="single"/>
        </w:rPr>
      </w:pPr>
      <w:r>
        <w:rPr>
          <w:rFonts w:hint="eastAsia" w:ascii="宋体" w:hAnsi="宋体"/>
          <w:kern w:val="0"/>
          <w:szCs w:val="24"/>
        </w:rPr>
        <w:t>兹授权我单位</w:t>
      </w:r>
      <w:r>
        <w:rPr>
          <w:rFonts w:hint="eastAsia" w:ascii="宋体" w:hAnsi="宋体"/>
          <w:kern w:val="0"/>
          <w:szCs w:val="24"/>
          <w:u w:val="single"/>
        </w:rPr>
        <w:t xml:space="preserve">       （姓名）      </w:t>
      </w:r>
      <w:r>
        <w:rPr>
          <w:rFonts w:hint="eastAsia" w:ascii="宋体" w:hAnsi="宋体"/>
          <w:kern w:val="0"/>
          <w:szCs w:val="24"/>
        </w:rPr>
        <w:t>担任</w:t>
      </w:r>
      <w:r>
        <w:rPr>
          <w:rFonts w:hint="eastAsia" w:ascii="宋体" w:hAnsi="宋体"/>
          <w:kern w:val="0"/>
          <w:szCs w:val="24"/>
          <w:u w:val="single"/>
        </w:rPr>
        <w:t xml:space="preserve">                                    </w:t>
      </w:r>
      <w:r>
        <w:rPr>
          <w:rFonts w:hint="eastAsia" w:ascii="宋体" w:hAnsi="宋体"/>
          <w:kern w:val="0"/>
          <w:szCs w:val="24"/>
        </w:rPr>
        <w:t>工程项目的（施工）项目技术负责人，</w:t>
      </w:r>
      <w:r>
        <w:rPr>
          <w:rFonts w:hint="eastAsia" w:ascii="宋体" w:hAnsi="宋体" w:cs="Tahoma"/>
          <w:szCs w:val="21"/>
        </w:rPr>
        <w:t>对该工程项目的建设工程质量实施全面的组织管理</w:t>
      </w:r>
      <w:r>
        <w:rPr>
          <w:rFonts w:hint="eastAsia" w:ascii="宋体" w:hAnsi="宋体"/>
          <w:kern w:val="0"/>
          <w:szCs w:val="24"/>
        </w:rPr>
        <w:t>，依据国家有关法律法规及标准规范履行职责，并依法对设计使用年限内的工程质量承担相应终身责任。</w:t>
      </w:r>
    </w:p>
    <w:p w14:paraId="7776B5FD">
      <w:pPr>
        <w:widowControl/>
        <w:spacing w:line="360" w:lineRule="auto"/>
        <w:ind w:firstLine="640"/>
        <w:rPr>
          <w:rFonts w:hint="eastAsia" w:ascii="宋体" w:hAnsi="宋体"/>
          <w:kern w:val="0"/>
          <w:szCs w:val="24"/>
        </w:rPr>
      </w:pPr>
      <w:r>
        <w:rPr>
          <w:rFonts w:hint="eastAsia" w:ascii="宋体" w:hAnsi="宋体"/>
          <w:kern w:val="0"/>
          <w:szCs w:val="24"/>
        </w:rPr>
        <w:t>本授权书自授权之日起生效。</w:t>
      </w:r>
    </w:p>
    <w:p w14:paraId="508D7117">
      <w:pPr>
        <w:widowControl/>
        <w:spacing w:line="360" w:lineRule="auto"/>
        <w:ind w:firstLine="640"/>
        <w:rPr>
          <w:rFonts w:hint="eastAsia" w:ascii="宋体" w:hAnsi="宋体"/>
          <w:kern w:val="0"/>
          <w:szCs w:val="24"/>
        </w:rPr>
      </w:pPr>
      <w:r>
        <w:rPr>
          <w:rFonts w:hint="eastAsia" w:ascii="宋体" w:hAnsi="宋体"/>
          <w:kern w:val="0"/>
          <w:szCs w:val="24"/>
        </w:rPr>
        <w:t xml:space="preserve"> </w:t>
      </w:r>
    </w:p>
    <w:tbl>
      <w:tblPr>
        <w:tblStyle w:val="17"/>
        <w:tblW w:w="9780" w:type="dxa"/>
        <w:jc w:val="center"/>
        <w:tblLayout w:type="fixed"/>
        <w:tblCellMar>
          <w:top w:w="0" w:type="dxa"/>
          <w:left w:w="108" w:type="dxa"/>
          <w:bottom w:w="0" w:type="dxa"/>
          <w:right w:w="108" w:type="dxa"/>
        </w:tblCellMar>
      </w:tblPr>
      <w:tblGrid>
        <w:gridCol w:w="2551"/>
        <w:gridCol w:w="2338"/>
        <w:gridCol w:w="2623"/>
        <w:gridCol w:w="2268"/>
      </w:tblGrid>
      <w:tr w14:paraId="1EF00A83">
        <w:tblPrEx>
          <w:tblCellMar>
            <w:top w:w="0" w:type="dxa"/>
            <w:left w:w="108" w:type="dxa"/>
            <w:bottom w:w="0" w:type="dxa"/>
            <w:right w:w="108" w:type="dxa"/>
          </w:tblCellMar>
        </w:tblPrEx>
        <w:trPr>
          <w:trHeight w:val="464" w:hRule="atLeast"/>
          <w:jc w:val="center"/>
        </w:trPr>
        <w:tc>
          <w:tcPr>
            <w:tcW w:w="9781" w:type="dxa"/>
            <w:gridSpan w:val="4"/>
            <w:tcBorders>
              <w:top w:val="single" w:color="000000" w:sz="4" w:space="0"/>
              <w:left w:val="single" w:color="000000" w:sz="4" w:space="0"/>
              <w:bottom w:val="single" w:color="000000" w:sz="4" w:space="0"/>
              <w:right w:val="single" w:color="000000" w:sz="4" w:space="0"/>
            </w:tcBorders>
            <w:noWrap w:val="0"/>
            <w:vAlign w:val="center"/>
          </w:tcPr>
          <w:p w14:paraId="1A7E0936">
            <w:pPr>
              <w:spacing w:line="280" w:lineRule="exact"/>
              <w:jc w:val="center"/>
              <w:rPr>
                <w:rFonts w:hint="eastAsia"/>
                <w:szCs w:val="24"/>
              </w:rPr>
            </w:pPr>
            <w:r>
              <w:rPr>
                <w:rFonts w:hint="eastAsia"/>
                <w:szCs w:val="24"/>
              </w:rPr>
              <w:t>被授权人基本情况</w:t>
            </w:r>
          </w:p>
        </w:tc>
      </w:tr>
      <w:tr w14:paraId="0539FAD7">
        <w:tblPrEx>
          <w:tblCellMar>
            <w:top w:w="0" w:type="dxa"/>
            <w:left w:w="108" w:type="dxa"/>
            <w:bottom w:w="0" w:type="dxa"/>
            <w:right w:w="108" w:type="dxa"/>
          </w:tblCellMar>
        </w:tblPrEx>
        <w:trPr>
          <w:trHeight w:val="464" w:hRule="atLeast"/>
          <w:jc w:val="center"/>
        </w:trPr>
        <w:tc>
          <w:tcPr>
            <w:tcW w:w="2552" w:type="dxa"/>
            <w:tcBorders>
              <w:top w:val="single" w:color="000000" w:sz="4" w:space="0"/>
              <w:left w:val="single" w:color="000000" w:sz="4" w:space="0"/>
              <w:bottom w:val="single" w:color="000000" w:sz="4" w:space="0"/>
              <w:right w:val="single" w:color="000000" w:sz="4" w:space="0"/>
            </w:tcBorders>
            <w:noWrap w:val="0"/>
            <w:vAlign w:val="center"/>
          </w:tcPr>
          <w:p w14:paraId="74CC0B4C">
            <w:pPr>
              <w:widowControl/>
              <w:spacing w:line="280" w:lineRule="exact"/>
              <w:jc w:val="center"/>
              <w:rPr>
                <w:rFonts w:hint="eastAsia" w:ascii="宋体" w:hAnsi="宋体"/>
                <w:kern w:val="0"/>
                <w:szCs w:val="24"/>
              </w:rPr>
            </w:pPr>
            <w:r>
              <w:rPr>
                <w:rFonts w:hint="eastAsia" w:ascii="宋体" w:hAnsi="宋体"/>
                <w:kern w:val="0"/>
                <w:szCs w:val="24"/>
              </w:rPr>
              <w:t>姓  名</w:t>
            </w:r>
          </w:p>
        </w:tc>
        <w:tc>
          <w:tcPr>
            <w:tcW w:w="2338" w:type="dxa"/>
            <w:tcBorders>
              <w:top w:val="single" w:color="000000" w:sz="4" w:space="0"/>
              <w:left w:val="nil"/>
              <w:bottom w:val="single" w:color="000000" w:sz="4" w:space="0"/>
              <w:right w:val="single" w:color="000000" w:sz="4" w:space="0"/>
            </w:tcBorders>
            <w:noWrap w:val="0"/>
            <w:vAlign w:val="center"/>
          </w:tcPr>
          <w:p w14:paraId="2D2C05AB">
            <w:pPr>
              <w:widowControl/>
              <w:spacing w:line="280" w:lineRule="exact"/>
              <w:jc w:val="center"/>
              <w:rPr>
                <w:rFonts w:hint="eastAsia" w:ascii="宋体" w:hAnsi="宋体"/>
                <w:kern w:val="0"/>
                <w:szCs w:val="24"/>
              </w:rPr>
            </w:pPr>
          </w:p>
        </w:tc>
        <w:tc>
          <w:tcPr>
            <w:tcW w:w="2623" w:type="dxa"/>
            <w:tcBorders>
              <w:top w:val="single" w:color="000000" w:sz="4" w:space="0"/>
              <w:left w:val="nil"/>
              <w:bottom w:val="single" w:color="000000" w:sz="4" w:space="0"/>
              <w:right w:val="single" w:color="000000" w:sz="4" w:space="0"/>
            </w:tcBorders>
            <w:noWrap w:val="0"/>
            <w:vAlign w:val="center"/>
          </w:tcPr>
          <w:p w14:paraId="529F740B">
            <w:pPr>
              <w:spacing w:line="280" w:lineRule="exact"/>
              <w:jc w:val="center"/>
              <w:rPr>
                <w:rFonts w:hint="eastAsia"/>
                <w:szCs w:val="24"/>
              </w:rPr>
            </w:pPr>
            <w:r>
              <w:rPr>
                <w:rFonts w:hint="eastAsia"/>
                <w:szCs w:val="24"/>
              </w:rPr>
              <w:t>身份证号</w:t>
            </w:r>
          </w:p>
        </w:tc>
        <w:tc>
          <w:tcPr>
            <w:tcW w:w="2268" w:type="dxa"/>
            <w:tcBorders>
              <w:top w:val="single" w:color="000000" w:sz="4" w:space="0"/>
              <w:left w:val="nil"/>
              <w:bottom w:val="single" w:color="000000" w:sz="4" w:space="0"/>
              <w:right w:val="single" w:color="000000" w:sz="4" w:space="0"/>
            </w:tcBorders>
            <w:noWrap w:val="0"/>
            <w:vAlign w:val="center"/>
          </w:tcPr>
          <w:p w14:paraId="2F0C33FE">
            <w:pPr>
              <w:spacing w:line="280" w:lineRule="exact"/>
              <w:rPr>
                <w:szCs w:val="24"/>
              </w:rPr>
            </w:pPr>
          </w:p>
        </w:tc>
      </w:tr>
      <w:tr w14:paraId="33480972">
        <w:tblPrEx>
          <w:tblCellMar>
            <w:top w:w="0" w:type="dxa"/>
            <w:left w:w="108" w:type="dxa"/>
            <w:bottom w:w="0" w:type="dxa"/>
            <w:right w:w="108" w:type="dxa"/>
          </w:tblCellMar>
        </w:tblPrEx>
        <w:trPr>
          <w:trHeight w:val="464" w:hRule="atLeast"/>
          <w:jc w:val="center"/>
        </w:trPr>
        <w:tc>
          <w:tcPr>
            <w:tcW w:w="2552" w:type="dxa"/>
            <w:tcBorders>
              <w:top w:val="single" w:color="000000" w:sz="4" w:space="0"/>
              <w:left w:val="single" w:color="000000" w:sz="4" w:space="0"/>
              <w:bottom w:val="single" w:color="000000" w:sz="4" w:space="0"/>
              <w:right w:val="single" w:color="000000" w:sz="4" w:space="0"/>
            </w:tcBorders>
            <w:noWrap w:val="0"/>
            <w:vAlign w:val="center"/>
          </w:tcPr>
          <w:p w14:paraId="29CF9B02">
            <w:pPr>
              <w:widowControl/>
              <w:spacing w:line="280" w:lineRule="exact"/>
              <w:jc w:val="center"/>
              <w:rPr>
                <w:rFonts w:hint="eastAsia" w:ascii="宋体" w:hAnsi="宋体"/>
                <w:kern w:val="0"/>
                <w:szCs w:val="24"/>
              </w:rPr>
            </w:pPr>
            <w:r>
              <w:rPr>
                <w:rFonts w:hint="eastAsia" w:ascii="宋体" w:hAnsi="宋体"/>
                <w:kern w:val="0"/>
                <w:szCs w:val="24"/>
              </w:rPr>
              <w:t>职称（或注册执业资格）</w:t>
            </w:r>
          </w:p>
        </w:tc>
        <w:tc>
          <w:tcPr>
            <w:tcW w:w="2338" w:type="dxa"/>
            <w:tcBorders>
              <w:top w:val="single" w:color="000000" w:sz="4" w:space="0"/>
              <w:left w:val="nil"/>
              <w:bottom w:val="single" w:color="000000" w:sz="4" w:space="0"/>
              <w:right w:val="single" w:color="000000" w:sz="4" w:space="0"/>
            </w:tcBorders>
            <w:noWrap w:val="0"/>
            <w:vAlign w:val="center"/>
          </w:tcPr>
          <w:p w14:paraId="1A98FD92">
            <w:pPr>
              <w:widowControl/>
              <w:spacing w:line="280" w:lineRule="exact"/>
              <w:jc w:val="center"/>
              <w:rPr>
                <w:rFonts w:hint="eastAsia" w:ascii="宋体" w:hAnsi="宋体"/>
                <w:kern w:val="0"/>
                <w:szCs w:val="24"/>
              </w:rPr>
            </w:pPr>
          </w:p>
        </w:tc>
        <w:tc>
          <w:tcPr>
            <w:tcW w:w="2623" w:type="dxa"/>
            <w:tcBorders>
              <w:top w:val="single" w:color="000000" w:sz="4" w:space="0"/>
              <w:left w:val="nil"/>
              <w:bottom w:val="single" w:color="000000" w:sz="4" w:space="0"/>
              <w:right w:val="single" w:color="000000" w:sz="4" w:space="0"/>
            </w:tcBorders>
            <w:noWrap w:val="0"/>
            <w:vAlign w:val="center"/>
          </w:tcPr>
          <w:p w14:paraId="3EFF2075">
            <w:pPr>
              <w:spacing w:line="280" w:lineRule="exact"/>
              <w:jc w:val="center"/>
              <w:rPr>
                <w:rFonts w:hint="eastAsia"/>
                <w:szCs w:val="24"/>
              </w:rPr>
            </w:pPr>
            <w:r>
              <w:rPr>
                <w:rFonts w:hint="eastAsia" w:ascii="宋体" w:hAnsi="宋体"/>
                <w:kern w:val="0"/>
                <w:szCs w:val="24"/>
              </w:rPr>
              <w:t>职称（或</w:t>
            </w:r>
            <w:r>
              <w:rPr>
                <w:rFonts w:hint="eastAsia"/>
                <w:szCs w:val="24"/>
              </w:rPr>
              <w:t>注册执业</w:t>
            </w:r>
            <w:r>
              <w:rPr>
                <w:rFonts w:hint="eastAsia" w:ascii="宋体" w:hAnsi="宋体"/>
                <w:kern w:val="0"/>
                <w:szCs w:val="24"/>
              </w:rPr>
              <w:t>）</w:t>
            </w:r>
            <w:r>
              <w:rPr>
                <w:rFonts w:hint="eastAsia"/>
                <w:szCs w:val="24"/>
              </w:rPr>
              <w:t>证号</w:t>
            </w:r>
          </w:p>
        </w:tc>
        <w:tc>
          <w:tcPr>
            <w:tcW w:w="2268" w:type="dxa"/>
            <w:tcBorders>
              <w:top w:val="single" w:color="000000" w:sz="4" w:space="0"/>
              <w:left w:val="nil"/>
              <w:bottom w:val="single" w:color="000000" w:sz="4" w:space="0"/>
              <w:right w:val="single" w:color="000000" w:sz="4" w:space="0"/>
            </w:tcBorders>
            <w:noWrap w:val="0"/>
            <w:vAlign w:val="center"/>
          </w:tcPr>
          <w:p w14:paraId="1253D9C1">
            <w:pPr>
              <w:spacing w:line="280" w:lineRule="exact"/>
              <w:rPr>
                <w:szCs w:val="24"/>
              </w:rPr>
            </w:pPr>
          </w:p>
        </w:tc>
      </w:tr>
      <w:tr w14:paraId="4FE574B3">
        <w:tblPrEx>
          <w:tblCellMar>
            <w:top w:w="0" w:type="dxa"/>
            <w:left w:w="108" w:type="dxa"/>
            <w:bottom w:w="0" w:type="dxa"/>
            <w:right w:w="108" w:type="dxa"/>
          </w:tblCellMar>
        </w:tblPrEx>
        <w:trPr>
          <w:trHeight w:val="464" w:hRule="atLeast"/>
          <w:jc w:val="center"/>
        </w:trPr>
        <w:tc>
          <w:tcPr>
            <w:tcW w:w="4890" w:type="dxa"/>
            <w:gridSpan w:val="2"/>
            <w:tcBorders>
              <w:top w:val="single" w:color="000000" w:sz="4" w:space="0"/>
              <w:left w:val="single" w:color="000000" w:sz="4" w:space="0"/>
              <w:bottom w:val="single" w:color="000000" w:sz="4" w:space="0"/>
              <w:right w:val="single" w:color="000000" w:sz="4" w:space="0"/>
            </w:tcBorders>
            <w:noWrap w:val="0"/>
            <w:vAlign w:val="center"/>
          </w:tcPr>
          <w:p w14:paraId="3F447034">
            <w:pPr>
              <w:spacing w:line="280" w:lineRule="exact"/>
              <w:jc w:val="center"/>
              <w:rPr>
                <w:szCs w:val="24"/>
              </w:rPr>
            </w:pPr>
            <w:r>
              <w:rPr>
                <w:rFonts w:hint="eastAsia"/>
                <w:szCs w:val="24"/>
              </w:rPr>
              <w:t>被授权人签字：</w:t>
            </w:r>
          </w:p>
        </w:tc>
        <w:tc>
          <w:tcPr>
            <w:tcW w:w="4891" w:type="dxa"/>
            <w:gridSpan w:val="2"/>
            <w:tcBorders>
              <w:top w:val="single" w:color="000000" w:sz="4" w:space="0"/>
              <w:left w:val="nil"/>
              <w:bottom w:val="single" w:color="000000" w:sz="4" w:space="0"/>
              <w:right w:val="single" w:color="000000" w:sz="4" w:space="0"/>
            </w:tcBorders>
            <w:noWrap w:val="0"/>
            <w:vAlign w:val="center"/>
          </w:tcPr>
          <w:p w14:paraId="0A1E1391">
            <w:pPr>
              <w:spacing w:line="280" w:lineRule="exact"/>
              <w:rPr>
                <w:szCs w:val="24"/>
              </w:rPr>
            </w:pPr>
          </w:p>
        </w:tc>
      </w:tr>
    </w:tbl>
    <w:p w14:paraId="6346EC31">
      <w:pPr>
        <w:widowControl/>
        <w:spacing w:line="360" w:lineRule="auto"/>
        <w:ind w:firstLine="640"/>
        <w:rPr>
          <w:rFonts w:hint="eastAsia" w:ascii="宋体" w:hAnsi="宋体"/>
          <w:kern w:val="0"/>
          <w:szCs w:val="24"/>
        </w:rPr>
      </w:pPr>
      <w:r>
        <w:rPr>
          <w:rFonts w:hint="eastAsia" w:ascii="宋体" w:hAnsi="宋体"/>
          <w:kern w:val="0"/>
          <w:szCs w:val="24"/>
        </w:rPr>
        <w:t xml:space="preserve"> </w:t>
      </w:r>
    </w:p>
    <w:p w14:paraId="19010A73">
      <w:pPr>
        <w:widowControl/>
        <w:spacing w:line="360" w:lineRule="auto"/>
        <w:ind w:firstLine="640"/>
        <w:rPr>
          <w:rFonts w:hint="eastAsia" w:ascii="宋体" w:hAnsi="宋体"/>
          <w:kern w:val="0"/>
          <w:szCs w:val="24"/>
        </w:rPr>
      </w:pPr>
      <w:r>
        <w:rPr>
          <w:rFonts w:hint="eastAsia" w:ascii="宋体" w:hAnsi="宋体"/>
          <w:kern w:val="0"/>
          <w:szCs w:val="24"/>
        </w:rPr>
        <w:t xml:space="preserve">                                </w:t>
      </w:r>
    </w:p>
    <w:p w14:paraId="3E2D2ACC">
      <w:pPr>
        <w:widowControl/>
        <w:spacing w:line="360" w:lineRule="auto"/>
        <w:ind w:firstLine="3990" w:firstLineChars="1900"/>
        <w:rPr>
          <w:rFonts w:hint="eastAsia" w:ascii="宋体" w:hAnsi="宋体"/>
          <w:kern w:val="0"/>
          <w:szCs w:val="24"/>
          <w:u w:val="single"/>
        </w:rPr>
      </w:pPr>
      <w:r>
        <w:rPr>
          <w:rFonts w:hint="eastAsia" w:ascii="宋体" w:hAnsi="宋体"/>
          <w:kern w:val="0"/>
          <w:szCs w:val="24"/>
        </w:rPr>
        <w:t>授权单位（盖章）：</w:t>
      </w:r>
      <w:r>
        <w:rPr>
          <w:rFonts w:hint="eastAsia" w:ascii="宋体" w:hAnsi="宋体"/>
          <w:kern w:val="0"/>
          <w:szCs w:val="24"/>
          <w:u w:val="single"/>
        </w:rPr>
        <w:t xml:space="preserve">                                  </w:t>
      </w:r>
    </w:p>
    <w:p w14:paraId="0E2F418B">
      <w:pPr>
        <w:widowControl/>
        <w:spacing w:line="360" w:lineRule="auto"/>
        <w:ind w:firstLine="640"/>
        <w:rPr>
          <w:rFonts w:hint="eastAsia" w:ascii="宋体" w:hAnsi="宋体"/>
          <w:kern w:val="0"/>
          <w:szCs w:val="24"/>
          <w:u w:val="single"/>
        </w:rPr>
      </w:pPr>
      <w:r>
        <w:rPr>
          <w:rFonts w:hint="eastAsia" w:ascii="宋体" w:hAnsi="宋体"/>
          <w:kern w:val="0"/>
          <w:szCs w:val="24"/>
        </w:rPr>
        <w:t xml:space="preserve">                                法定代表人（签字）：</w:t>
      </w:r>
      <w:r>
        <w:rPr>
          <w:rFonts w:hint="eastAsia" w:ascii="宋体" w:hAnsi="宋体"/>
          <w:kern w:val="0"/>
          <w:szCs w:val="24"/>
          <w:u w:val="single"/>
        </w:rPr>
        <w:t xml:space="preserve">                                </w:t>
      </w:r>
    </w:p>
    <w:p w14:paraId="70D5CFC5">
      <w:pPr>
        <w:widowControl/>
        <w:spacing w:line="360" w:lineRule="auto"/>
        <w:ind w:firstLine="640"/>
        <w:rPr>
          <w:rFonts w:hint="eastAsia" w:ascii="宋体" w:hAnsi="宋体"/>
          <w:kern w:val="0"/>
          <w:szCs w:val="24"/>
        </w:rPr>
      </w:pPr>
      <w:r>
        <w:rPr>
          <w:rFonts w:hint="eastAsia" w:ascii="宋体" w:hAnsi="宋体"/>
          <w:kern w:val="0"/>
          <w:szCs w:val="24"/>
        </w:rPr>
        <w:t xml:space="preserve">         </w:t>
      </w:r>
    </w:p>
    <w:p w14:paraId="11CFB000">
      <w:pPr>
        <w:ind w:firstLine="3990" w:firstLineChars="1900"/>
        <w:rPr>
          <w:rFonts w:hint="eastAsia" w:ascii="宋体" w:hAnsi="宋体"/>
          <w:kern w:val="0"/>
          <w:szCs w:val="24"/>
        </w:rPr>
      </w:pPr>
      <w:r>
        <w:rPr>
          <w:rFonts w:hint="eastAsia" w:ascii="宋体" w:hAnsi="宋体"/>
          <w:kern w:val="0"/>
          <w:szCs w:val="24"/>
        </w:rPr>
        <w:t>授权日期</w:t>
      </w:r>
      <w:r>
        <w:rPr>
          <w:rFonts w:hint="eastAsia" w:ascii="宋体" w:hAnsi="宋体"/>
          <w:spacing w:val="21"/>
          <w:kern w:val="0"/>
          <w:szCs w:val="24"/>
        </w:rPr>
        <w:t>：</w:t>
      </w:r>
      <w:r>
        <w:rPr>
          <w:rFonts w:hint="eastAsia" w:ascii="宋体" w:hAnsi="宋体"/>
          <w:kern w:val="0"/>
          <w:szCs w:val="24"/>
          <w:u w:val="single"/>
        </w:rPr>
        <w:t xml:space="preserve">          </w:t>
      </w:r>
      <w:r>
        <w:rPr>
          <w:rFonts w:hint="eastAsia" w:ascii="宋体" w:hAnsi="宋体"/>
          <w:kern w:val="0"/>
          <w:szCs w:val="24"/>
        </w:rPr>
        <w:t>年</w:t>
      </w:r>
      <w:r>
        <w:rPr>
          <w:rFonts w:hint="eastAsia" w:ascii="宋体" w:hAnsi="宋体"/>
          <w:kern w:val="0"/>
          <w:szCs w:val="24"/>
          <w:u w:val="single"/>
        </w:rPr>
        <w:t xml:space="preserve">      </w:t>
      </w:r>
      <w:r>
        <w:rPr>
          <w:rFonts w:hint="eastAsia" w:ascii="宋体" w:hAnsi="宋体"/>
          <w:kern w:val="0"/>
          <w:szCs w:val="24"/>
        </w:rPr>
        <w:t>月</w:t>
      </w:r>
      <w:r>
        <w:rPr>
          <w:rFonts w:hint="eastAsia" w:ascii="宋体" w:hAnsi="宋体"/>
          <w:kern w:val="0"/>
          <w:szCs w:val="24"/>
          <w:u w:val="single"/>
        </w:rPr>
        <w:t xml:space="preserve">      </w:t>
      </w:r>
      <w:r>
        <w:rPr>
          <w:rFonts w:hint="eastAsia" w:ascii="宋体" w:hAnsi="宋体"/>
          <w:kern w:val="0"/>
          <w:szCs w:val="24"/>
        </w:rPr>
        <w:t>日</w:t>
      </w:r>
    </w:p>
    <w:p w14:paraId="6FD816AA">
      <w:pPr>
        <w:widowControl/>
        <w:shd w:val="clear" w:color="auto" w:fill="FFFFFF"/>
        <w:snapToGrid w:val="0"/>
        <w:spacing w:line="360" w:lineRule="auto"/>
        <w:jc w:val="center"/>
        <w:outlineLvl w:val="0"/>
        <w:rPr>
          <w:rFonts w:hint="eastAsia" w:ascii="黑体" w:hAnsi="宋体" w:eastAsia="黑体" w:cs="宋体"/>
          <w:b/>
          <w:kern w:val="36"/>
          <w:sz w:val="28"/>
          <w:szCs w:val="28"/>
          <w:shd w:val="clear" w:color="auto" w:fill="FFFFFF"/>
        </w:rPr>
      </w:pPr>
      <w:r>
        <w:rPr>
          <w:rFonts w:hint="eastAsia" w:ascii="黑体" w:hAnsi="宋体" w:eastAsia="黑体" w:cs="宋体"/>
          <w:b/>
          <w:kern w:val="36"/>
          <w:sz w:val="28"/>
          <w:szCs w:val="28"/>
          <w:shd w:val="clear" w:color="auto" w:fill="FFFFFF"/>
        </w:rPr>
        <w:t xml:space="preserve"> </w:t>
      </w:r>
    </w:p>
    <w:p w14:paraId="6182284D">
      <w:pPr>
        <w:widowControl/>
        <w:shd w:val="clear" w:color="auto" w:fill="FFFFFF"/>
        <w:snapToGrid w:val="0"/>
        <w:spacing w:line="360" w:lineRule="auto"/>
        <w:jc w:val="center"/>
        <w:outlineLvl w:val="0"/>
        <w:rPr>
          <w:rFonts w:hint="eastAsia" w:ascii="黑体" w:hAnsi="宋体" w:eastAsia="黑体" w:cs="宋体"/>
          <w:b/>
          <w:kern w:val="36"/>
          <w:sz w:val="28"/>
          <w:szCs w:val="28"/>
          <w:shd w:val="clear" w:color="auto" w:fill="FFFFFF"/>
        </w:rPr>
      </w:pPr>
      <w:r>
        <w:rPr>
          <w:rFonts w:hint="eastAsia" w:ascii="黑体" w:hAnsi="宋体" w:eastAsia="黑体" w:cs="宋体"/>
          <w:b/>
          <w:kern w:val="36"/>
          <w:sz w:val="28"/>
          <w:szCs w:val="28"/>
          <w:shd w:val="clear" w:color="auto" w:fill="FFFFFF"/>
        </w:rPr>
        <w:t xml:space="preserve"> </w:t>
      </w:r>
    </w:p>
    <w:p w14:paraId="15EF6D37">
      <w:pPr>
        <w:widowControl/>
        <w:shd w:val="clear" w:color="auto" w:fill="FFFFFF"/>
        <w:snapToGrid w:val="0"/>
        <w:spacing w:line="360" w:lineRule="auto"/>
        <w:jc w:val="center"/>
        <w:outlineLvl w:val="0"/>
        <w:rPr>
          <w:rFonts w:hint="eastAsia" w:ascii="黑体" w:hAnsi="宋体" w:eastAsia="黑体" w:cs="宋体"/>
          <w:b/>
          <w:kern w:val="36"/>
          <w:sz w:val="28"/>
          <w:szCs w:val="28"/>
          <w:shd w:val="clear" w:color="auto" w:fill="FFFFFF"/>
        </w:rPr>
      </w:pPr>
      <w:r>
        <w:rPr>
          <w:rFonts w:hint="eastAsia" w:ascii="黑体" w:hAnsi="宋体" w:eastAsia="黑体" w:cs="宋体"/>
          <w:b/>
          <w:kern w:val="36"/>
          <w:sz w:val="28"/>
          <w:szCs w:val="28"/>
          <w:shd w:val="clear" w:color="auto" w:fill="FFFFFF"/>
        </w:rPr>
        <w:t xml:space="preserve"> </w:t>
      </w:r>
    </w:p>
    <w:p w14:paraId="7CAD537E">
      <w:pPr>
        <w:widowControl/>
        <w:shd w:val="clear" w:color="auto" w:fill="FFFFFF"/>
        <w:snapToGrid w:val="0"/>
        <w:spacing w:line="360" w:lineRule="auto"/>
        <w:jc w:val="center"/>
        <w:outlineLvl w:val="0"/>
        <w:rPr>
          <w:rFonts w:hint="eastAsia" w:ascii="黑体" w:hAnsi="宋体" w:eastAsia="黑体" w:cs="宋体"/>
          <w:b/>
          <w:kern w:val="36"/>
          <w:sz w:val="28"/>
          <w:szCs w:val="28"/>
          <w:shd w:val="clear" w:color="auto" w:fill="FFFFFF"/>
        </w:rPr>
      </w:pPr>
      <w:r>
        <w:rPr>
          <w:rFonts w:hint="eastAsia" w:ascii="黑体" w:hAnsi="宋体" w:eastAsia="黑体" w:cs="宋体"/>
          <w:b/>
          <w:kern w:val="36"/>
          <w:sz w:val="28"/>
          <w:szCs w:val="28"/>
          <w:shd w:val="clear" w:color="auto" w:fill="FFFFFF"/>
        </w:rPr>
        <w:t xml:space="preserve"> </w:t>
      </w:r>
    </w:p>
    <w:p w14:paraId="4FEC4074">
      <w:pPr>
        <w:widowControl/>
        <w:shd w:val="clear" w:color="auto" w:fill="FFFFFF"/>
        <w:snapToGrid w:val="0"/>
        <w:spacing w:line="360" w:lineRule="auto"/>
        <w:jc w:val="center"/>
        <w:outlineLvl w:val="0"/>
        <w:rPr>
          <w:rFonts w:hint="eastAsia" w:ascii="黑体" w:hAnsi="宋体" w:eastAsia="黑体" w:cs="宋体"/>
          <w:b/>
          <w:kern w:val="36"/>
          <w:sz w:val="28"/>
          <w:szCs w:val="28"/>
          <w:shd w:val="clear" w:color="auto" w:fill="FFFFFF"/>
        </w:rPr>
      </w:pPr>
      <w:r>
        <w:rPr>
          <w:rFonts w:hint="eastAsia" w:ascii="黑体" w:hAnsi="宋体" w:eastAsia="黑体" w:cs="宋体"/>
          <w:b/>
          <w:kern w:val="36"/>
          <w:sz w:val="28"/>
          <w:szCs w:val="28"/>
          <w:shd w:val="clear" w:color="auto" w:fill="FFFFFF"/>
        </w:rPr>
        <w:t xml:space="preserve"> </w:t>
      </w:r>
    </w:p>
    <w:p w14:paraId="675343DC">
      <w:pPr>
        <w:widowControl/>
        <w:shd w:val="clear" w:color="auto" w:fill="FFFFFF"/>
        <w:snapToGrid w:val="0"/>
        <w:spacing w:line="360" w:lineRule="auto"/>
        <w:jc w:val="center"/>
        <w:outlineLvl w:val="0"/>
        <w:rPr>
          <w:rFonts w:hint="eastAsia" w:ascii="黑体" w:hAnsi="宋体" w:eastAsia="黑体" w:cs="宋体"/>
          <w:b/>
          <w:kern w:val="36"/>
          <w:sz w:val="28"/>
          <w:szCs w:val="28"/>
          <w:shd w:val="clear" w:color="auto" w:fill="FFFFFF"/>
        </w:rPr>
      </w:pPr>
      <w:r>
        <w:rPr>
          <w:rFonts w:hint="eastAsia" w:ascii="黑体" w:hAnsi="宋体" w:eastAsia="黑体" w:cs="宋体"/>
          <w:b/>
          <w:kern w:val="36"/>
          <w:sz w:val="28"/>
          <w:szCs w:val="28"/>
          <w:shd w:val="clear" w:color="auto" w:fill="FFFFFF"/>
        </w:rPr>
        <w:t xml:space="preserve"> </w:t>
      </w:r>
    </w:p>
    <w:p w14:paraId="62B0D4B7">
      <w:pPr>
        <w:widowControl/>
        <w:shd w:val="clear" w:color="auto" w:fill="FFFFFF"/>
        <w:snapToGrid w:val="0"/>
        <w:spacing w:line="360" w:lineRule="auto"/>
        <w:jc w:val="center"/>
        <w:outlineLvl w:val="0"/>
        <w:rPr>
          <w:rFonts w:hint="eastAsia" w:ascii="黑体" w:hAnsi="黑体" w:eastAsia="黑体" w:cs="宋体"/>
          <w:b/>
          <w:kern w:val="36"/>
          <w:sz w:val="28"/>
          <w:szCs w:val="28"/>
          <w:shd w:val="clear" w:color="auto" w:fill="FFFFFF"/>
        </w:rPr>
      </w:pPr>
      <w:r>
        <w:rPr>
          <w:rFonts w:hint="eastAsia" w:ascii="黑体" w:hAnsi="宋体" w:eastAsia="黑体" w:cs="宋体"/>
          <w:b/>
          <w:kern w:val="36"/>
          <w:sz w:val="28"/>
          <w:szCs w:val="28"/>
          <w:shd w:val="clear" w:color="auto" w:fill="FFFFFF"/>
        </w:rPr>
        <w:t xml:space="preserve">  </w:t>
      </w:r>
      <w:bookmarkStart w:id="457" w:name="_Toc256000242"/>
    </w:p>
    <w:p w14:paraId="2398E533">
      <w:pPr>
        <w:widowControl/>
        <w:shd w:val="clear" w:color="auto" w:fill="FFFFFF"/>
        <w:snapToGrid w:val="0"/>
        <w:spacing w:line="360" w:lineRule="auto"/>
        <w:jc w:val="center"/>
        <w:outlineLvl w:val="0"/>
        <w:rPr>
          <w:rFonts w:hint="eastAsia" w:ascii="黑体" w:hAnsi="黑体" w:eastAsia="黑体" w:cs="宋体"/>
          <w:b/>
          <w:kern w:val="36"/>
          <w:sz w:val="28"/>
          <w:szCs w:val="28"/>
          <w:shd w:val="clear" w:color="auto" w:fill="FFFFFF"/>
        </w:rPr>
      </w:pPr>
      <w:bookmarkStart w:id="458" w:name="_Toc256000233"/>
      <w:bookmarkStart w:id="459" w:name="_Toc256000221"/>
      <w:bookmarkStart w:id="460" w:name="_Toc256000181"/>
    </w:p>
    <w:p w14:paraId="5DEFC489">
      <w:pPr>
        <w:widowControl/>
        <w:shd w:val="clear" w:color="auto" w:fill="FFFFFF"/>
        <w:snapToGrid w:val="0"/>
        <w:spacing w:line="360" w:lineRule="auto"/>
        <w:jc w:val="center"/>
        <w:outlineLvl w:val="0"/>
        <w:rPr>
          <w:rFonts w:hint="eastAsia" w:ascii="黑体" w:hAnsi="黑体" w:eastAsia="黑体" w:cs="宋体"/>
          <w:b/>
          <w:kern w:val="36"/>
          <w:sz w:val="28"/>
          <w:szCs w:val="28"/>
          <w:shd w:val="clear" w:color="auto" w:fill="FFFFFF"/>
        </w:rPr>
      </w:pPr>
    </w:p>
    <w:p w14:paraId="3A9FE4C0">
      <w:pPr>
        <w:widowControl/>
        <w:shd w:val="clear" w:color="auto" w:fill="FFFFFF"/>
        <w:snapToGrid w:val="0"/>
        <w:spacing w:line="360" w:lineRule="auto"/>
        <w:jc w:val="center"/>
        <w:outlineLvl w:val="0"/>
        <w:rPr>
          <w:rFonts w:hint="eastAsia" w:ascii="黑体" w:hAnsi="黑体" w:eastAsia="黑体" w:cs="宋体"/>
          <w:b/>
          <w:kern w:val="36"/>
          <w:sz w:val="28"/>
          <w:szCs w:val="28"/>
          <w:shd w:val="clear" w:color="auto" w:fill="FFFFFF"/>
        </w:rPr>
      </w:pPr>
    </w:p>
    <w:p w14:paraId="11985549">
      <w:pPr>
        <w:widowControl/>
        <w:shd w:val="clear" w:color="auto" w:fill="FFFFFF"/>
        <w:snapToGrid w:val="0"/>
        <w:spacing w:line="360" w:lineRule="auto"/>
        <w:jc w:val="center"/>
        <w:outlineLvl w:val="0"/>
        <w:rPr>
          <w:rFonts w:hint="eastAsia" w:ascii="黑体" w:hAnsi="黑体" w:eastAsia="黑体" w:cs="宋体"/>
          <w:b/>
          <w:kern w:val="36"/>
          <w:sz w:val="28"/>
          <w:szCs w:val="28"/>
          <w:shd w:val="clear" w:color="auto" w:fill="FFFFFF"/>
        </w:rPr>
      </w:pPr>
    </w:p>
    <w:p w14:paraId="416A602E">
      <w:pPr>
        <w:widowControl/>
        <w:shd w:val="clear" w:color="auto" w:fill="FFFFFF"/>
        <w:snapToGrid w:val="0"/>
        <w:spacing w:line="360" w:lineRule="auto"/>
        <w:jc w:val="center"/>
        <w:outlineLvl w:val="0"/>
        <w:rPr>
          <w:rFonts w:hint="eastAsia" w:ascii="黑体" w:hAnsi="黑体" w:eastAsia="黑体" w:cs="宋体"/>
          <w:b/>
          <w:kern w:val="36"/>
          <w:sz w:val="28"/>
          <w:szCs w:val="28"/>
          <w:shd w:val="clear" w:color="auto" w:fill="FFFFFF"/>
        </w:rPr>
      </w:pPr>
      <w:bookmarkStart w:id="461" w:name="_Toc256000263"/>
      <w:bookmarkStart w:id="462" w:name="_Toc256000266"/>
      <w:bookmarkStart w:id="463" w:name="_Toc256000193"/>
      <w:bookmarkStart w:id="464" w:name="_Toc256000302"/>
      <w:bookmarkStart w:id="465" w:name="_Toc256000194"/>
    </w:p>
    <w:p w14:paraId="40A3D98C">
      <w:pPr>
        <w:widowControl/>
        <w:shd w:val="clear" w:color="auto" w:fill="FFFFFF"/>
        <w:snapToGrid w:val="0"/>
        <w:spacing w:line="360" w:lineRule="auto"/>
        <w:jc w:val="center"/>
        <w:outlineLvl w:val="0"/>
        <w:rPr>
          <w:rFonts w:hint="eastAsia" w:ascii="黑体" w:hAnsi="宋体" w:eastAsia="黑体" w:cs="宋体"/>
          <w:b/>
          <w:kern w:val="36"/>
          <w:sz w:val="28"/>
          <w:szCs w:val="28"/>
          <w:shd w:val="clear" w:color="auto" w:fill="FFFFFF"/>
        </w:rPr>
      </w:pPr>
      <w:r>
        <w:rPr>
          <w:rFonts w:hint="eastAsia" w:ascii="黑体" w:hAnsi="黑体" w:eastAsia="黑体" w:cs="宋体"/>
          <w:b/>
          <w:kern w:val="36"/>
          <w:sz w:val="28"/>
          <w:szCs w:val="28"/>
          <w:shd w:val="clear" w:color="auto" w:fill="FFFFFF"/>
        </w:rPr>
        <w:t>（</w:t>
      </w:r>
      <w:r>
        <w:rPr>
          <w:rFonts w:hint="eastAsia" w:ascii="黑体" w:hAnsi="黑体" w:eastAsia="黑体" w:cs="宋体"/>
          <w:b/>
          <w:kern w:val="36"/>
          <w:sz w:val="28"/>
          <w:szCs w:val="28"/>
          <w:u w:val="dotted"/>
          <w:shd w:val="clear" w:color="auto" w:fill="FFFFFF"/>
          <w:lang w:val="en-US" w:eastAsia="zh-CN"/>
        </w:rPr>
        <w:t>九</w:t>
      </w:r>
      <w:r>
        <w:rPr>
          <w:rFonts w:hint="eastAsia" w:ascii="黑体" w:hAnsi="黑体" w:eastAsia="黑体" w:cs="宋体"/>
          <w:b/>
          <w:kern w:val="36"/>
          <w:sz w:val="28"/>
          <w:szCs w:val="28"/>
          <w:shd w:val="clear" w:color="auto" w:fill="FFFFFF"/>
        </w:rPr>
        <w:t>）关于设立农民工工资专户的承诺书</w:t>
      </w:r>
      <w:bookmarkEnd w:id="457"/>
      <w:bookmarkEnd w:id="458"/>
      <w:bookmarkEnd w:id="459"/>
      <w:bookmarkEnd w:id="460"/>
      <w:bookmarkEnd w:id="461"/>
      <w:bookmarkEnd w:id="462"/>
      <w:bookmarkEnd w:id="463"/>
      <w:bookmarkEnd w:id="464"/>
      <w:bookmarkEnd w:id="465"/>
    </w:p>
    <w:p w14:paraId="33DA063B">
      <w:pPr>
        <w:widowControl/>
        <w:shd w:val="clear" w:color="auto" w:fill="FFFFFF"/>
        <w:snapToGrid w:val="0"/>
        <w:spacing w:line="360" w:lineRule="auto"/>
        <w:jc w:val="left"/>
        <w:rPr>
          <w:rFonts w:hint="eastAsia" w:ascii="Trebuchet MS" w:hAnsi="Trebuchet MS" w:eastAsia="新宋体" w:cs="宋体"/>
          <w:kern w:val="0"/>
          <w:szCs w:val="21"/>
          <w:u w:val="single"/>
          <w:shd w:val="clear" w:color="auto" w:fill="FFFFFF"/>
        </w:rPr>
      </w:pPr>
    </w:p>
    <w:p w14:paraId="685AB77D">
      <w:pPr>
        <w:widowControl/>
        <w:shd w:val="clear" w:color="auto" w:fill="FFFFFF"/>
        <w:snapToGrid w:val="0"/>
        <w:spacing w:line="360" w:lineRule="auto"/>
        <w:jc w:val="left"/>
        <w:rPr>
          <w:rFonts w:ascii="Trebuchet MS" w:hAnsi="Trebuchet MS" w:eastAsia="新宋体" w:cs="宋体"/>
          <w:kern w:val="0"/>
          <w:szCs w:val="21"/>
          <w:shd w:val="clear" w:color="auto" w:fill="FFFFFF"/>
        </w:rPr>
      </w:pPr>
      <w:r>
        <w:rPr>
          <w:rFonts w:ascii="Trebuchet MS" w:hAnsi="Trebuchet MS" w:eastAsia="新宋体" w:cs="宋体"/>
          <w:kern w:val="0"/>
          <w:szCs w:val="21"/>
          <w:u w:val="single"/>
          <w:shd w:val="clear" w:color="auto" w:fill="FFFFFF"/>
        </w:rPr>
        <w:t xml:space="preserve">         </w:t>
      </w:r>
      <w:r>
        <w:rPr>
          <w:rFonts w:hint="eastAsia" w:ascii="新宋体" w:hAnsi="新宋体" w:eastAsia="新宋体" w:cs="宋体"/>
          <w:kern w:val="0"/>
          <w:szCs w:val="21"/>
          <w:u w:val="single"/>
          <w:shd w:val="clear" w:color="auto" w:fill="FFFFFF"/>
        </w:rPr>
        <w:t>（招标人名称）</w:t>
      </w:r>
      <w:r>
        <w:rPr>
          <w:rFonts w:ascii="Trebuchet MS" w:hAnsi="新宋体" w:eastAsia="新宋体" w:cs="宋体"/>
          <w:kern w:val="0"/>
          <w:szCs w:val="21"/>
          <w:u w:val="single"/>
          <w:shd w:val="clear" w:color="auto" w:fill="FFFFFF"/>
        </w:rPr>
        <w:t xml:space="preserve">         </w:t>
      </w:r>
      <w:r>
        <w:rPr>
          <w:rFonts w:hint="eastAsia" w:ascii="新宋体" w:hAnsi="新宋体" w:eastAsia="新宋体" w:cs="宋体"/>
          <w:kern w:val="0"/>
          <w:szCs w:val="21"/>
          <w:shd w:val="clear" w:color="auto" w:fill="FFFFFF"/>
        </w:rPr>
        <w:t>（以下称</w:t>
      </w:r>
      <w:r>
        <w:rPr>
          <w:rFonts w:hint="eastAsia" w:ascii="宋体" w:hAnsi="宋体"/>
          <w:kern w:val="0"/>
          <w:szCs w:val="24"/>
          <w:shd w:val="clear" w:color="auto" w:fill="FFFFFF"/>
        </w:rPr>
        <w:t>“你方”</w:t>
      </w:r>
      <w:r>
        <w:rPr>
          <w:rFonts w:hint="eastAsia" w:ascii="新宋体" w:hAnsi="新宋体" w:eastAsia="新宋体" w:cs="宋体"/>
          <w:kern w:val="0"/>
          <w:szCs w:val="21"/>
          <w:shd w:val="clear" w:color="auto" w:fill="FFFFFF"/>
        </w:rPr>
        <w:t>）</w:t>
      </w:r>
      <w:r>
        <w:rPr>
          <w:rFonts w:ascii="Trebuchet MS" w:hAnsi="Trebuchet MS" w:eastAsia="新宋体" w:cs="宋体"/>
          <w:kern w:val="0"/>
          <w:szCs w:val="21"/>
          <w:shd w:val="clear" w:color="auto" w:fill="FFFFFF"/>
        </w:rPr>
        <w:t xml:space="preserve">: </w:t>
      </w:r>
    </w:p>
    <w:p w14:paraId="380881C8">
      <w:pPr>
        <w:widowControl/>
        <w:shd w:val="clear" w:color="auto" w:fill="FFFFFF"/>
        <w:snapToGrid w:val="0"/>
        <w:spacing w:line="360" w:lineRule="auto"/>
        <w:ind w:firstLine="420" w:firstLineChars="200"/>
        <w:jc w:val="left"/>
        <w:rPr>
          <w:rFonts w:ascii="Trebuchet MS" w:hAnsi="新宋体" w:eastAsia="新宋体" w:cs="宋体"/>
          <w:kern w:val="0"/>
          <w:szCs w:val="21"/>
          <w:shd w:val="clear" w:color="auto" w:fill="FFFFFF"/>
        </w:rPr>
      </w:pPr>
      <w:r>
        <w:rPr>
          <w:rFonts w:hint="eastAsia" w:ascii="新宋体" w:hAnsi="新宋体" w:eastAsia="新宋体" w:cs="宋体"/>
          <w:kern w:val="0"/>
          <w:szCs w:val="21"/>
          <w:shd w:val="clear" w:color="auto" w:fill="FFFFFF"/>
        </w:rPr>
        <w:t>鉴于</w:t>
      </w:r>
      <w:r>
        <w:rPr>
          <w:rFonts w:ascii="Trebuchet MS" w:hAnsi="Trebuchet MS" w:eastAsia="新宋体" w:cs="宋体"/>
          <w:kern w:val="0"/>
          <w:szCs w:val="21"/>
          <w:u w:val="single"/>
          <w:shd w:val="clear" w:color="auto" w:fill="FFFFFF"/>
        </w:rPr>
        <w:t xml:space="preserve">        </w:t>
      </w:r>
      <w:r>
        <w:rPr>
          <w:rFonts w:hint="eastAsia" w:ascii="新宋体" w:hAnsi="新宋体" w:eastAsia="新宋体" w:cs="宋体"/>
          <w:kern w:val="0"/>
          <w:szCs w:val="21"/>
          <w:u w:val="single"/>
          <w:shd w:val="clear" w:color="auto" w:fill="FFFFFF"/>
        </w:rPr>
        <w:t>（投标人名称）</w:t>
      </w:r>
      <w:r>
        <w:rPr>
          <w:rFonts w:ascii="Trebuchet MS" w:hAnsi="新宋体" w:eastAsia="新宋体" w:cs="宋体"/>
          <w:kern w:val="0"/>
          <w:szCs w:val="21"/>
          <w:u w:val="single"/>
          <w:shd w:val="clear" w:color="auto" w:fill="FFFFFF"/>
        </w:rPr>
        <w:t xml:space="preserve">          </w:t>
      </w:r>
      <w:r>
        <w:rPr>
          <w:rFonts w:hint="eastAsia" w:ascii="新宋体" w:hAnsi="新宋体" w:eastAsia="新宋体" w:cs="宋体"/>
          <w:kern w:val="0"/>
          <w:szCs w:val="21"/>
          <w:shd w:val="clear" w:color="auto" w:fill="FFFFFF"/>
        </w:rPr>
        <w:t>（以下称</w:t>
      </w:r>
      <w:r>
        <w:rPr>
          <w:rFonts w:hint="eastAsia" w:ascii="宋体" w:hAnsi="宋体"/>
          <w:kern w:val="0"/>
          <w:szCs w:val="24"/>
          <w:shd w:val="clear" w:color="auto" w:fill="FFFFFF"/>
        </w:rPr>
        <w:t>“我方”</w:t>
      </w:r>
      <w:r>
        <w:rPr>
          <w:rFonts w:hint="eastAsia" w:ascii="新宋体" w:hAnsi="新宋体" w:eastAsia="新宋体" w:cs="宋体"/>
          <w:kern w:val="0"/>
          <w:szCs w:val="21"/>
          <w:shd w:val="clear" w:color="auto" w:fill="FFFFFF"/>
        </w:rPr>
        <w:t>）于</w:t>
      </w:r>
      <w:r>
        <w:rPr>
          <w:rFonts w:ascii="Trebuchet MS" w:hAnsi="Trebuchet MS" w:eastAsia="新宋体" w:cs="宋体"/>
          <w:kern w:val="0"/>
          <w:szCs w:val="21"/>
          <w:u w:val="single"/>
          <w:shd w:val="clear" w:color="auto" w:fill="FFFFFF"/>
        </w:rPr>
        <w:t xml:space="preserve">      </w:t>
      </w:r>
      <w:r>
        <w:rPr>
          <w:rFonts w:hint="eastAsia" w:ascii="新宋体" w:hAnsi="新宋体" w:eastAsia="新宋体" w:cs="宋体"/>
          <w:kern w:val="0"/>
          <w:szCs w:val="21"/>
          <w:shd w:val="clear" w:color="auto" w:fill="FFFFFF"/>
        </w:rPr>
        <w:t>年</w:t>
      </w:r>
      <w:r>
        <w:rPr>
          <w:rFonts w:ascii="Trebuchet MS" w:hAnsi="新宋体" w:eastAsia="新宋体" w:cs="宋体"/>
          <w:kern w:val="0"/>
          <w:szCs w:val="21"/>
          <w:u w:val="single"/>
          <w:shd w:val="clear" w:color="auto" w:fill="FFFFFF"/>
        </w:rPr>
        <w:t xml:space="preserve">    </w:t>
      </w:r>
      <w:r>
        <w:rPr>
          <w:rFonts w:hint="eastAsia" w:ascii="新宋体" w:hAnsi="新宋体" w:eastAsia="新宋体" w:cs="宋体"/>
          <w:kern w:val="0"/>
          <w:szCs w:val="21"/>
          <w:shd w:val="clear" w:color="auto" w:fill="FFFFFF"/>
        </w:rPr>
        <w:t>月</w:t>
      </w:r>
      <w:r>
        <w:rPr>
          <w:rFonts w:ascii="Trebuchet MS" w:hAnsi="新宋体" w:eastAsia="新宋体" w:cs="宋体"/>
          <w:kern w:val="0"/>
          <w:szCs w:val="21"/>
          <w:u w:val="single"/>
          <w:shd w:val="clear" w:color="auto" w:fill="FFFFFF"/>
        </w:rPr>
        <w:t xml:space="preserve">    </w:t>
      </w:r>
      <w:r>
        <w:rPr>
          <w:rFonts w:hint="eastAsia" w:ascii="新宋体" w:hAnsi="新宋体" w:eastAsia="新宋体" w:cs="宋体"/>
          <w:kern w:val="0"/>
          <w:szCs w:val="21"/>
          <w:shd w:val="clear" w:color="auto" w:fill="FFFFFF"/>
        </w:rPr>
        <w:t>日参加</w:t>
      </w:r>
      <w:r>
        <w:rPr>
          <w:rFonts w:ascii="Trebuchet MS" w:hAnsi="Trebuchet MS" w:eastAsia="新宋体" w:cs="宋体"/>
          <w:kern w:val="0"/>
          <w:szCs w:val="21"/>
          <w:u w:val="single"/>
          <w:shd w:val="clear" w:color="auto" w:fill="FFFFFF"/>
        </w:rPr>
        <w:t xml:space="preserve">   </w:t>
      </w:r>
      <w:r>
        <w:rPr>
          <w:rFonts w:hint="eastAsia" w:ascii="新宋体" w:hAnsi="新宋体" w:eastAsia="新宋体" w:cs="宋体"/>
          <w:kern w:val="0"/>
          <w:szCs w:val="21"/>
          <w:u w:val="single"/>
          <w:shd w:val="clear" w:color="auto" w:fill="FFFFFF"/>
        </w:rPr>
        <w:t>（项目名称）</w:t>
      </w:r>
      <w:r>
        <w:rPr>
          <w:rFonts w:ascii="Trebuchet MS" w:hAnsi="新宋体" w:eastAsia="新宋体" w:cs="宋体"/>
          <w:kern w:val="0"/>
          <w:szCs w:val="21"/>
          <w:u w:val="single"/>
          <w:shd w:val="clear" w:color="auto" w:fill="FFFFFF"/>
        </w:rPr>
        <w:t xml:space="preserve">           </w:t>
      </w:r>
      <w:r>
        <w:rPr>
          <w:rFonts w:ascii="Trebuchet MS" w:hAnsi="Trebuchet MS" w:eastAsia="新宋体" w:cs="宋体"/>
          <w:kern w:val="0"/>
          <w:szCs w:val="21"/>
          <w:u w:val="single"/>
          <w:shd w:val="clear" w:color="auto" w:fill="FFFFFF"/>
        </w:rPr>
        <w:t xml:space="preserve">     </w:t>
      </w:r>
      <w:r>
        <w:rPr>
          <w:rFonts w:hint="eastAsia" w:ascii="新宋体" w:hAnsi="新宋体" w:eastAsia="新宋体" w:cs="宋体"/>
          <w:kern w:val="0"/>
          <w:szCs w:val="21"/>
          <w:shd w:val="clear" w:color="auto" w:fill="FFFFFF"/>
        </w:rPr>
        <w:t>标段的投标，已接受了中标结果。</w:t>
      </w:r>
      <w:r>
        <w:rPr>
          <w:rFonts w:hint="eastAsia" w:ascii="新宋体" w:hAnsi="新宋体" w:eastAsia="新宋体" w:cs="宋体"/>
          <w:b/>
          <w:kern w:val="0"/>
          <w:szCs w:val="21"/>
          <w:shd w:val="clear" w:color="auto" w:fill="FFFFFF"/>
        </w:rPr>
        <w:t>我单位在此郑重承诺：</w:t>
      </w:r>
    </w:p>
    <w:p w14:paraId="2CBCB8FB">
      <w:pPr>
        <w:widowControl/>
        <w:spacing w:line="360" w:lineRule="auto"/>
        <w:ind w:firstLine="422" w:firstLineChars="200"/>
        <w:rPr>
          <w:rFonts w:ascii="Tahoma" w:hAnsi="Tahoma" w:cs="Tahoma"/>
          <w:b/>
          <w:szCs w:val="21"/>
        </w:rPr>
      </w:pPr>
      <w:r>
        <w:rPr>
          <w:rFonts w:ascii="Tahoma" w:hAnsi="Tahoma" w:eastAsia="新宋体" w:cs="Tahoma"/>
          <w:b/>
          <w:kern w:val="0"/>
          <w:szCs w:val="21"/>
        </w:rPr>
        <w:t>1</w:t>
      </w:r>
      <w:r>
        <w:rPr>
          <w:rFonts w:hint="eastAsia" w:ascii="新宋体" w:hAnsi="新宋体" w:eastAsia="新宋体" w:cs="Tahoma"/>
          <w:b/>
          <w:kern w:val="0"/>
          <w:szCs w:val="21"/>
        </w:rPr>
        <w:t>、</w:t>
      </w:r>
      <w:r>
        <w:rPr>
          <w:rFonts w:hint="eastAsia" w:ascii="新宋体" w:hAnsi="新宋体" w:eastAsia="新宋体" w:cs="宋体"/>
          <w:b/>
          <w:kern w:val="0"/>
          <w:szCs w:val="21"/>
        </w:rPr>
        <w:t>我方承诺</w:t>
      </w:r>
      <w:r>
        <w:rPr>
          <w:rFonts w:hint="eastAsia" w:ascii="新宋体" w:hAnsi="新宋体" w:eastAsia="新宋体" w:cs="Tahoma"/>
          <w:b/>
          <w:kern w:val="0"/>
          <w:szCs w:val="21"/>
        </w:rPr>
        <w:t>在获取</w:t>
      </w:r>
      <w:r>
        <w:rPr>
          <w:rFonts w:hint="eastAsia" w:ascii="新宋体" w:hAnsi="新宋体" w:eastAsia="新宋体" w:cs="宋体"/>
          <w:b/>
          <w:kern w:val="0"/>
          <w:szCs w:val="21"/>
        </w:rPr>
        <w:t>中标通知书后的七个工作日内按劳动监察部门的要求在指定的银行设立农民工工资专户，并在发包人规定的时间内按规定的金额足额将农民工工资保证金交存至专户上。</w:t>
      </w:r>
      <w:r>
        <w:rPr>
          <w:rFonts w:hint="eastAsia" w:ascii="宋体" w:hAnsi="宋体" w:cs="Tahoma"/>
          <w:b/>
          <w:szCs w:val="21"/>
        </w:rPr>
        <w:t>未按时</w:t>
      </w:r>
      <w:r>
        <w:rPr>
          <w:rFonts w:hint="eastAsia" w:ascii="新宋体" w:hAnsi="新宋体" w:eastAsia="新宋体" w:cs="宋体"/>
          <w:b/>
          <w:kern w:val="0"/>
          <w:szCs w:val="21"/>
        </w:rPr>
        <w:t>设立并</w:t>
      </w:r>
      <w:r>
        <w:rPr>
          <w:rFonts w:hint="eastAsia" w:ascii="宋体" w:hAnsi="宋体" w:cs="Tahoma"/>
          <w:b/>
          <w:szCs w:val="21"/>
        </w:rPr>
        <w:t>足额缴纳的，</w:t>
      </w:r>
      <w:r>
        <w:rPr>
          <w:rFonts w:hint="eastAsia" w:ascii="新宋体" w:hAnsi="新宋体" w:eastAsia="新宋体" w:cs="宋体"/>
          <w:b/>
          <w:kern w:val="0"/>
          <w:szCs w:val="21"/>
        </w:rPr>
        <w:t>我方无条件地、不可撤销地承诺，同意招标人（发包人）</w:t>
      </w:r>
      <w:r>
        <w:rPr>
          <w:rFonts w:hint="eastAsia" w:ascii="宋体" w:hAnsi="宋体" w:cs="Tahoma"/>
          <w:b/>
          <w:szCs w:val="21"/>
        </w:rPr>
        <w:t>取消我方的中标资格，同时，由招标人按评标委员会提出的第二中标候选人确定为中标人，以此类推。</w:t>
      </w:r>
    </w:p>
    <w:p w14:paraId="6DB206B2">
      <w:pPr>
        <w:widowControl/>
        <w:shd w:val="clear" w:color="auto" w:fill="FFFFFF"/>
        <w:snapToGrid w:val="0"/>
        <w:spacing w:line="360" w:lineRule="auto"/>
        <w:ind w:firstLine="422" w:firstLineChars="200"/>
        <w:jc w:val="left"/>
        <w:rPr>
          <w:rFonts w:ascii="Trebuchet MS" w:hAnsi="新宋体" w:eastAsia="新宋体" w:cs="宋体"/>
          <w:b/>
          <w:kern w:val="0"/>
          <w:szCs w:val="21"/>
          <w:shd w:val="clear" w:color="auto" w:fill="FFFFFF"/>
        </w:rPr>
      </w:pPr>
      <w:r>
        <w:rPr>
          <w:rFonts w:ascii="Tahoma" w:hAnsi="Tahoma" w:eastAsia="新宋体" w:cs="Tahoma"/>
          <w:b/>
          <w:kern w:val="0"/>
          <w:szCs w:val="21"/>
          <w:shd w:val="clear" w:color="auto" w:fill="FFFFFF"/>
        </w:rPr>
        <w:t>2</w:t>
      </w:r>
      <w:r>
        <w:rPr>
          <w:rFonts w:hint="eastAsia" w:ascii="新宋体" w:hAnsi="新宋体" w:eastAsia="新宋体" w:cs="宋体"/>
          <w:b/>
          <w:kern w:val="0"/>
          <w:szCs w:val="21"/>
          <w:shd w:val="clear" w:color="auto" w:fill="FFFFFF"/>
        </w:rPr>
        <w:t>、我方承诺将自觉按工程施工进度款的拨付情况，及时将农民工工资足额交存至专户上，用于保证农民工工资的按时足额发放。</w:t>
      </w:r>
    </w:p>
    <w:p w14:paraId="79FB2D24">
      <w:pPr>
        <w:widowControl/>
        <w:shd w:val="clear" w:color="auto" w:fill="FFFFFF"/>
        <w:snapToGrid w:val="0"/>
        <w:spacing w:line="360" w:lineRule="auto"/>
        <w:ind w:firstLine="422" w:firstLineChars="200"/>
        <w:jc w:val="left"/>
        <w:rPr>
          <w:rFonts w:ascii="Trebuchet MS" w:hAnsi="新宋体" w:eastAsia="新宋体" w:cs="宋体"/>
          <w:b/>
          <w:kern w:val="0"/>
          <w:szCs w:val="21"/>
          <w:shd w:val="clear" w:color="auto" w:fill="FFFFFF"/>
        </w:rPr>
      </w:pPr>
      <w:r>
        <w:rPr>
          <w:rFonts w:ascii="Tahoma" w:hAnsi="Tahoma" w:eastAsia="新宋体" w:cs="Tahoma"/>
          <w:b/>
          <w:kern w:val="0"/>
          <w:szCs w:val="21"/>
          <w:shd w:val="clear" w:color="auto" w:fill="FFFFFF"/>
        </w:rPr>
        <w:t>3</w:t>
      </w:r>
      <w:r>
        <w:rPr>
          <w:rFonts w:hint="eastAsia" w:ascii="新宋体" w:hAnsi="新宋体" w:eastAsia="新宋体" w:cs="宋体"/>
          <w:b/>
          <w:kern w:val="0"/>
          <w:szCs w:val="21"/>
          <w:shd w:val="clear" w:color="auto" w:fill="FFFFFF"/>
        </w:rPr>
        <w:t>、我方承诺将自觉随时接受劳动监察部门、发包人及有关部门对农民工工资的交存及发放情况进行监督检查。</w:t>
      </w:r>
    </w:p>
    <w:p w14:paraId="4E587939">
      <w:pPr>
        <w:widowControl/>
        <w:shd w:val="clear" w:color="auto" w:fill="FFFFFF"/>
        <w:snapToGrid w:val="0"/>
        <w:spacing w:line="360" w:lineRule="auto"/>
        <w:ind w:firstLine="422" w:firstLineChars="200"/>
        <w:jc w:val="left"/>
        <w:rPr>
          <w:rFonts w:ascii="Trebuchet MS" w:hAnsi="新宋体" w:eastAsia="新宋体" w:cs="宋体"/>
          <w:b/>
          <w:kern w:val="0"/>
          <w:szCs w:val="21"/>
          <w:shd w:val="clear" w:color="auto" w:fill="FFFFFF"/>
        </w:rPr>
      </w:pPr>
      <w:r>
        <w:rPr>
          <w:rFonts w:ascii="Tahoma" w:hAnsi="Tahoma" w:eastAsia="新宋体" w:cs="Tahoma"/>
          <w:b/>
          <w:kern w:val="0"/>
          <w:szCs w:val="21"/>
          <w:shd w:val="clear" w:color="auto" w:fill="FFFFFF"/>
        </w:rPr>
        <w:t>4</w:t>
      </w:r>
      <w:r>
        <w:rPr>
          <w:rFonts w:hint="eastAsia" w:ascii="新宋体" w:hAnsi="新宋体" w:eastAsia="新宋体" w:cs="宋体"/>
          <w:b/>
          <w:kern w:val="0"/>
          <w:szCs w:val="21"/>
          <w:shd w:val="clear" w:color="auto" w:fill="FFFFFF"/>
        </w:rPr>
        <w:t>、我方承诺在工程施工过程中直至工程竣工验收前，存在拖欠农民工工资行为，我方无条件同意由劳动监察部门、发包人及有关部门对我方按规定作出的一切处罚，和承担由此引起的一切责任。</w:t>
      </w:r>
    </w:p>
    <w:p w14:paraId="608F0137">
      <w:pPr>
        <w:widowControl/>
        <w:shd w:val="clear" w:color="auto" w:fill="FFFFFF"/>
        <w:snapToGrid w:val="0"/>
        <w:spacing w:line="360" w:lineRule="auto"/>
        <w:ind w:firstLine="420" w:firstLineChars="200"/>
        <w:jc w:val="left"/>
        <w:rPr>
          <w:rFonts w:ascii="Trebuchet MS" w:hAnsi="Trebuchet MS" w:eastAsia="新宋体" w:cs="宋体"/>
          <w:kern w:val="0"/>
          <w:szCs w:val="21"/>
          <w:shd w:val="clear" w:color="auto" w:fill="FFFFFF"/>
        </w:rPr>
      </w:pPr>
      <w:r>
        <w:rPr>
          <w:rFonts w:hint="eastAsia" w:ascii="新宋体" w:hAnsi="新宋体" w:eastAsia="新宋体" w:cs="宋体"/>
          <w:kern w:val="0"/>
          <w:szCs w:val="21"/>
          <w:shd w:val="clear" w:color="auto" w:fill="FFFFFF"/>
        </w:rPr>
        <w:t>本承诺在工程竣工验收前一直保持有效。</w:t>
      </w:r>
    </w:p>
    <w:p w14:paraId="29406E24">
      <w:pPr>
        <w:widowControl/>
        <w:shd w:val="clear" w:color="auto" w:fill="FFFFFF"/>
        <w:snapToGrid w:val="0"/>
        <w:spacing w:line="360" w:lineRule="auto"/>
        <w:ind w:firstLine="420" w:firstLineChars="200"/>
        <w:jc w:val="left"/>
        <w:rPr>
          <w:rFonts w:ascii="Trebuchet MS" w:hAnsi="Trebuchet MS" w:eastAsia="新宋体" w:cs="宋体"/>
          <w:kern w:val="0"/>
          <w:szCs w:val="21"/>
          <w:shd w:val="clear" w:color="auto" w:fill="FFFFFF"/>
        </w:rPr>
      </w:pPr>
      <w:r>
        <w:rPr>
          <w:rFonts w:ascii="Trebuchet MS" w:hAnsi="Trebuchet MS" w:eastAsia="新宋体" w:cs="宋体"/>
          <w:kern w:val="0"/>
          <w:szCs w:val="21"/>
          <w:shd w:val="clear" w:color="auto" w:fill="FFFFFF"/>
        </w:rPr>
        <w:t xml:space="preserve"> </w:t>
      </w:r>
    </w:p>
    <w:p w14:paraId="1F495B93">
      <w:pPr>
        <w:widowControl/>
        <w:shd w:val="clear" w:color="auto" w:fill="FFFFFF"/>
        <w:snapToGrid w:val="0"/>
        <w:spacing w:line="480" w:lineRule="auto"/>
        <w:ind w:firstLine="3215" w:firstLineChars="1531"/>
        <w:jc w:val="left"/>
        <w:rPr>
          <w:rFonts w:ascii="Trebuchet MS" w:hAnsi="Trebuchet MS" w:eastAsia="新宋体" w:cs="宋体"/>
          <w:kern w:val="0"/>
          <w:szCs w:val="21"/>
          <w:shd w:val="clear" w:color="auto" w:fill="FFFFFF"/>
        </w:rPr>
      </w:pPr>
      <w:r>
        <w:rPr>
          <w:rFonts w:hint="eastAsia" w:ascii="新宋体" w:hAnsi="新宋体" w:eastAsia="新宋体" w:cs="宋体"/>
          <w:kern w:val="0"/>
          <w:szCs w:val="21"/>
          <w:shd w:val="clear" w:color="auto" w:fill="FFFFFF"/>
        </w:rPr>
        <w:t>投标人名称：</w:t>
      </w:r>
      <w:r>
        <w:rPr>
          <w:rFonts w:ascii="Trebuchet MS" w:hAnsi="Trebuchet MS" w:eastAsia="新宋体" w:cs="宋体"/>
          <w:kern w:val="0"/>
          <w:szCs w:val="21"/>
          <w:u w:val="single"/>
          <w:shd w:val="clear" w:color="auto" w:fill="FFFFFF"/>
        </w:rPr>
        <w:t xml:space="preserve">             </w:t>
      </w:r>
      <w:r>
        <w:rPr>
          <w:rFonts w:hint="eastAsia" w:ascii="新宋体" w:hAnsi="新宋体" w:eastAsia="新宋体" w:cs="宋体"/>
          <w:kern w:val="0"/>
          <w:szCs w:val="21"/>
          <w:u w:val="single"/>
          <w:shd w:val="clear" w:color="auto" w:fill="FFFFFF"/>
        </w:rPr>
        <w:t>（盖单位章）</w:t>
      </w:r>
      <w:r>
        <w:rPr>
          <w:rFonts w:ascii="Trebuchet MS" w:hAnsi="新宋体" w:eastAsia="新宋体" w:cs="宋体"/>
          <w:kern w:val="0"/>
          <w:szCs w:val="21"/>
          <w:u w:val="single"/>
          <w:shd w:val="clear" w:color="auto" w:fill="FFFFFF"/>
        </w:rPr>
        <w:t xml:space="preserve">            </w:t>
      </w:r>
      <w:r>
        <w:rPr>
          <w:rFonts w:ascii="Trebuchet MS" w:hAnsi="Trebuchet MS" w:eastAsia="新宋体" w:cs="宋体"/>
          <w:kern w:val="0"/>
          <w:szCs w:val="21"/>
          <w:u w:val="single"/>
          <w:shd w:val="clear" w:color="auto" w:fill="FFFFFF"/>
        </w:rPr>
        <w:t xml:space="preserve">  </w:t>
      </w:r>
    </w:p>
    <w:p w14:paraId="307DE208">
      <w:pPr>
        <w:widowControl/>
        <w:shd w:val="clear" w:color="auto" w:fill="FFFFFF"/>
        <w:snapToGrid w:val="0"/>
        <w:spacing w:line="480" w:lineRule="auto"/>
        <w:ind w:firstLine="3215" w:firstLineChars="1531"/>
        <w:jc w:val="left"/>
        <w:rPr>
          <w:rFonts w:ascii="Trebuchet MS" w:hAnsi="Trebuchet MS" w:eastAsia="新宋体" w:cs="宋体"/>
          <w:kern w:val="0"/>
          <w:szCs w:val="21"/>
          <w:shd w:val="clear" w:color="auto" w:fill="FFFFFF"/>
        </w:rPr>
      </w:pPr>
      <w:r>
        <w:rPr>
          <w:rFonts w:hint="eastAsia" w:ascii="新宋体" w:hAnsi="新宋体" w:eastAsia="新宋体" w:cs="宋体"/>
          <w:kern w:val="0"/>
          <w:szCs w:val="21"/>
          <w:shd w:val="clear" w:color="auto" w:fill="FFFFFF"/>
        </w:rPr>
        <w:t>法定代表人或其委托代理人：</w:t>
      </w:r>
      <w:r>
        <w:rPr>
          <w:rFonts w:ascii="Trebuchet MS" w:hAnsi="Trebuchet MS" w:eastAsia="新宋体" w:cs="宋体"/>
          <w:kern w:val="0"/>
          <w:szCs w:val="21"/>
          <w:u w:val="single"/>
          <w:shd w:val="clear" w:color="auto" w:fill="FFFFFF"/>
        </w:rPr>
        <w:t xml:space="preserve">        </w:t>
      </w:r>
      <w:r>
        <w:rPr>
          <w:rFonts w:hint="eastAsia" w:ascii="新宋体" w:hAnsi="新宋体" w:eastAsia="新宋体" w:cs="宋体"/>
          <w:kern w:val="0"/>
          <w:szCs w:val="21"/>
          <w:u w:val="single"/>
          <w:shd w:val="clear" w:color="auto" w:fill="FFFFFF"/>
        </w:rPr>
        <w:t>（签字）</w:t>
      </w:r>
      <w:r>
        <w:rPr>
          <w:rFonts w:ascii="Trebuchet MS" w:hAnsi="新宋体" w:eastAsia="新宋体" w:cs="宋体"/>
          <w:kern w:val="0"/>
          <w:szCs w:val="21"/>
          <w:u w:val="single"/>
          <w:shd w:val="clear" w:color="auto" w:fill="FFFFFF"/>
        </w:rPr>
        <w:t xml:space="preserve">        </w:t>
      </w:r>
    </w:p>
    <w:p w14:paraId="198DF8CB">
      <w:pPr>
        <w:widowControl/>
        <w:shd w:val="clear" w:color="auto" w:fill="FFFFFF"/>
        <w:snapToGrid w:val="0"/>
        <w:spacing w:line="480" w:lineRule="auto"/>
        <w:ind w:firstLine="3215" w:firstLineChars="1531"/>
        <w:jc w:val="left"/>
        <w:rPr>
          <w:rFonts w:ascii="Trebuchet MS" w:hAnsi="Trebuchet MS" w:eastAsia="新宋体" w:cs="宋体"/>
          <w:kern w:val="0"/>
          <w:szCs w:val="21"/>
          <w:shd w:val="clear" w:color="auto" w:fill="FFFFFF"/>
        </w:rPr>
      </w:pPr>
      <w:r>
        <w:rPr>
          <w:rFonts w:hint="eastAsia" w:ascii="新宋体" w:hAnsi="新宋体" w:eastAsia="新宋体" w:cs="宋体"/>
          <w:kern w:val="0"/>
          <w:szCs w:val="21"/>
          <w:shd w:val="clear" w:color="auto" w:fill="FFFFFF"/>
        </w:rPr>
        <w:t>地址：</w:t>
      </w:r>
      <w:r>
        <w:rPr>
          <w:rFonts w:ascii="Trebuchet MS" w:hAnsi="Trebuchet MS" w:eastAsia="新宋体" w:cs="宋体"/>
          <w:kern w:val="0"/>
          <w:szCs w:val="21"/>
          <w:u w:val="single"/>
          <w:shd w:val="clear" w:color="auto" w:fill="FFFFFF"/>
        </w:rPr>
        <w:t xml:space="preserve">                                            </w:t>
      </w:r>
    </w:p>
    <w:p w14:paraId="25F6675D">
      <w:pPr>
        <w:widowControl/>
        <w:shd w:val="clear" w:color="auto" w:fill="FFFFFF"/>
        <w:snapToGrid w:val="0"/>
        <w:spacing w:line="480" w:lineRule="auto"/>
        <w:ind w:firstLine="3215" w:firstLineChars="1531"/>
        <w:jc w:val="left"/>
        <w:rPr>
          <w:rFonts w:ascii="Trebuchet MS" w:hAnsi="Trebuchet MS" w:eastAsia="新宋体" w:cs="宋体"/>
          <w:kern w:val="0"/>
          <w:szCs w:val="21"/>
          <w:shd w:val="clear" w:color="auto" w:fill="FFFFFF"/>
        </w:rPr>
      </w:pPr>
      <w:r>
        <w:rPr>
          <w:rFonts w:hint="eastAsia" w:ascii="新宋体" w:hAnsi="新宋体" w:eastAsia="新宋体" w:cs="宋体"/>
          <w:kern w:val="0"/>
          <w:szCs w:val="21"/>
          <w:shd w:val="clear" w:color="auto" w:fill="FFFFFF"/>
        </w:rPr>
        <w:t>邮政编码：</w:t>
      </w:r>
      <w:r>
        <w:rPr>
          <w:rFonts w:ascii="Trebuchet MS" w:hAnsi="Trebuchet MS" w:eastAsia="新宋体" w:cs="宋体"/>
          <w:kern w:val="0"/>
          <w:szCs w:val="21"/>
          <w:u w:val="single"/>
          <w:shd w:val="clear" w:color="auto" w:fill="FFFFFF"/>
        </w:rPr>
        <w:t xml:space="preserve">                                        </w:t>
      </w:r>
    </w:p>
    <w:p w14:paraId="455D9DBF">
      <w:pPr>
        <w:widowControl/>
        <w:shd w:val="clear" w:color="auto" w:fill="FFFFFF"/>
        <w:snapToGrid w:val="0"/>
        <w:spacing w:line="480" w:lineRule="auto"/>
        <w:ind w:firstLine="3215" w:firstLineChars="1531"/>
        <w:jc w:val="left"/>
        <w:rPr>
          <w:rFonts w:ascii="Trebuchet MS" w:hAnsi="Trebuchet MS" w:eastAsia="新宋体" w:cs="宋体"/>
          <w:kern w:val="0"/>
          <w:szCs w:val="21"/>
          <w:shd w:val="clear" w:color="auto" w:fill="FFFFFF"/>
        </w:rPr>
      </w:pPr>
      <w:r>
        <w:rPr>
          <w:rFonts w:hint="eastAsia" w:ascii="新宋体" w:hAnsi="新宋体" w:eastAsia="新宋体" w:cs="宋体"/>
          <w:kern w:val="0"/>
          <w:szCs w:val="21"/>
          <w:shd w:val="clear" w:color="auto" w:fill="FFFFFF"/>
        </w:rPr>
        <w:t>电话：</w:t>
      </w:r>
      <w:r>
        <w:rPr>
          <w:rFonts w:ascii="Trebuchet MS" w:hAnsi="Trebuchet MS" w:eastAsia="新宋体" w:cs="宋体"/>
          <w:kern w:val="0"/>
          <w:szCs w:val="21"/>
          <w:u w:val="single"/>
          <w:shd w:val="clear" w:color="auto" w:fill="FFFFFF"/>
        </w:rPr>
        <w:t xml:space="preserve">                                            </w:t>
      </w:r>
    </w:p>
    <w:p w14:paraId="42518D8E">
      <w:pPr>
        <w:widowControl/>
        <w:shd w:val="clear" w:color="auto" w:fill="FFFFFF"/>
        <w:snapToGrid w:val="0"/>
        <w:spacing w:line="480" w:lineRule="auto"/>
        <w:ind w:firstLine="3215" w:firstLineChars="1531"/>
        <w:jc w:val="left"/>
        <w:rPr>
          <w:rFonts w:ascii="Trebuchet MS" w:hAnsi="Trebuchet MS" w:eastAsia="新宋体" w:cs="宋体"/>
          <w:kern w:val="0"/>
          <w:szCs w:val="21"/>
          <w:u w:val="single"/>
          <w:shd w:val="clear" w:color="auto" w:fill="FFFFFF"/>
        </w:rPr>
      </w:pPr>
      <w:r>
        <w:rPr>
          <w:rFonts w:hint="eastAsia" w:ascii="新宋体" w:hAnsi="新宋体" w:eastAsia="新宋体" w:cs="宋体"/>
          <w:kern w:val="0"/>
          <w:szCs w:val="21"/>
          <w:shd w:val="clear" w:color="auto" w:fill="FFFFFF"/>
        </w:rPr>
        <w:t>传真：</w:t>
      </w:r>
      <w:r>
        <w:rPr>
          <w:rFonts w:ascii="Trebuchet MS" w:hAnsi="Trebuchet MS" w:eastAsia="新宋体" w:cs="宋体"/>
          <w:kern w:val="0"/>
          <w:szCs w:val="21"/>
          <w:u w:val="single"/>
          <w:shd w:val="clear" w:color="auto" w:fill="FFFFFF"/>
        </w:rPr>
        <w:t xml:space="preserve">                                            </w:t>
      </w:r>
    </w:p>
    <w:p w14:paraId="5046622D">
      <w:pPr>
        <w:widowControl/>
        <w:shd w:val="clear" w:color="auto" w:fill="FFFFFF"/>
        <w:snapToGrid w:val="0"/>
        <w:spacing w:line="480" w:lineRule="auto"/>
        <w:ind w:firstLine="5733" w:firstLineChars="2730"/>
        <w:jc w:val="left"/>
        <w:rPr>
          <w:rFonts w:ascii="Trebuchet MS" w:hAnsi="Trebuchet MS" w:eastAsia="新宋体" w:cs="宋体"/>
          <w:kern w:val="0"/>
          <w:sz w:val="24"/>
          <w:szCs w:val="24"/>
          <w:shd w:val="clear" w:color="auto" w:fill="FFFFFF"/>
        </w:rPr>
      </w:pPr>
      <w:r>
        <w:rPr>
          <w:rFonts w:ascii="Trebuchet MS" w:hAnsi="Trebuchet MS" w:eastAsia="新宋体" w:cs="宋体"/>
          <w:kern w:val="0"/>
          <w:szCs w:val="21"/>
          <w:u w:val="single"/>
          <w:shd w:val="clear" w:color="auto" w:fill="FFFFFF"/>
        </w:rPr>
        <w:t xml:space="preserve">        </w:t>
      </w:r>
      <w:r>
        <w:rPr>
          <w:rFonts w:hint="eastAsia" w:ascii="新宋体" w:hAnsi="新宋体" w:eastAsia="新宋体" w:cs="宋体"/>
          <w:kern w:val="0"/>
          <w:szCs w:val="21"/>
          <w:shd w:val="clear" w:color="auto" w:fill="FFFFFF"/>
        </w:rPr>
        <w:t>年</w:t>
      </w:r>
      <w:r>
        <w:rPr>
          <w:rFonts w:ascii="Trebuchet MS" w:hAnsi="Trebuchet MS" w:eastAsia="新宋体" w:cs="宋体"/>
          <w:kern w:val="0"/>
          <w:szCs w:val="21"/>
          <w:u w:val="single"/>
          <w:shd w:val="clear" w:color="auto" w:fill="FFFFFF"/>
        </w:rPr>
        <w:t xml:space="preserve">    </w:t>
      </w:r>
      <w:r>
        <w:rPr>
          <w:rFonts w:hint="eastAsia" w:ascii="新宋体" w:hAnsi="新宋体" w:eastAsia="新宋体" w:cs="宋体"/>
          <w:kern w:val="0"/>
          <w:szCs w:val="21"/>
          <w:shd w:val="clear" w:color="auto" w:fill="FFFFFF"/>
        </w:rPr>
        <w:t>月</w:t>
      </w:r>
      <w:r>
        <w:rPr>
          <w:rFonts w:ascii="Trebuchet MS" w:hAnsi="Trebuchet MS" w:eastAsia="新宋体" w:cs="宋体"/>
          <w:kern w:val="0"/>
          <w:szCs w:val="21"/>
          <w:u w:val="single"/>
          <w:shd w:val="clear" w:color="auto" w:fill="FFFFFF"/>
        </w:rPr>
        <w:t xml:space="preserve">    </w:t>
      </w:r>
      <w:r>
        <w:rPr>
          <w:rFonts w:hint="eastAsia" w:ascii="新宋体" w:hAnsi="新宋体" w:eastAsia="新宋体" w:cs="宋体"/>
          <w:kern w:val="0"/>
          <w:szCs w:val="21"/>
          <w:shd w:val="clear" w:color="auto" w:fill="FFFFFF"/>
        </w:rPr>
        <w:t>日</w:t>
      </w:r>
    </w:p>
    <w:p w14:paraId="4679EB56">
      <w:pPr>
        <w:widowControl/>
        <w:shd w:val="clear" w:color="auto" w:fill="FFFFFF"/>
        <w:snapToGrid w:val="0"/>
        <w:spacing w:line="360" w:lineRule="auto"/>
        <w:jc w:val="center"/>
        <w:outlineLvl w:val="0"/>
        <w:rPr>
          <w:rFonts w:hint="eastAsia" w:ascii="黑体" w:hAnsi="黑体" w:eastAsia="黑体" w:cs="宋体"/>
          <w:b/>
          <w:kern w:val="36"/>
          <w:sz w:val="28"/>
          <w:szCs w:val="28"/>
          <w:shd w:val="clear" w:color="auto" w:fill="FFFFFF"/>
        </w:rPr>
      </w:pPr>
      <w:r>
        <w:rPr>
          <w:rFonts w:hint="eastAsia" w:ascii="黑体" w:hAnsi="宋体" w:eastAsia="黑体" w:cs="宋体"/>
          <w:b/>
          <w:kern w:val="36"/>
          <w:sz w:val="28"/>
          <w:szCs w:val="28"/>
          <w:shd w:val="clear" w:color="auto" w:fill="FFFFFF"/>
        </w:rPr>
        <w:t xml:space="preserve"> </w:t>
      </w:r>
      <w:bookmarkStart w:id="466" w:name="_Toc256000246"/>
    </w:p>
    <w:p w14:paraId="70A8E600">
      <w:pPr>
        <w:widowControl/>
        <w:shd w:val="clear" w:color="auto" w:fill="FFFFFF"/>
        <w:snapToGrid w:val="0"/>
        <w:spacing w:line="360" w:lineRule="auto"/>
        <w:outlineLvl w:val="0"/>
        <w:rPr>
          <w:rFonts w:hint="eastAsia" w:ascii="黑体" w:hAnsi="黑体" w:eastAsia="黑体" w:cs="宋体"/>
          <w:b/>
          <w:kern w:val="36"/>
          <w:sz w:val="28"/>
          <w:szCs w:val="28"/>
          <w:shd w:val="clear" w:color="auto" w:fill="FFFFFF"/>
        </w:rPr>
      </w:pPr>
    </w:p>
    <w:p w14:paraId="5657DE89">
      <w:pPr>
        <w:widowControl/>
        <w:shd w:val="clear" w:color="auto" w:fill="FFFFFF"/>
        <w:snapToGrid w:val="0"/>
        <w:spacing w:line="360" w:lineRule="auto"/>
        <w:outlineLvl w:val="0"/>
        <w:rPr>
          <w:rFonts w:hint="eastAsia" w:ascii="黑体" w:hAnsi="黑体" w:eastAsia="黑体" w:cs="宋体"/>
          <w:b/>
          <w:kern w:val="36"/>
          <w:sz w:val="28"/>
          <w:szCs w:val="28"/>
          <w:shd w:val="clear" w:color="auto" w:fill="FFFFFF"/>
        </w:rPr>
      </w:pPr>
    </w:p>
    <w:p w14:paraId="6594D287">
      <w:pPr>
        <w:widowControl/>
        <w:shd w:val="clear" w:color="auto" w:fill="FFFFFF"/>
        <w:snapToGrid w:val="0"/>
        <w:spacing w:line="360" w:lineRule="auto"/>
        <w:jc w:val="center"/>
        <w:outlineLvl w:val="0"/>
        <w:rPr>
          <w:rFonts w:hint="eastAsia" w:ascii="黑体" w:hAnsi="宋体" w:eastAsia="黑体" w:cs="宋体"/>
          <w:b/>
          <w:kern w:val="36"/>
          <w:sz w:val="28"/>
          <w:szCs w:val="28"/>
          <w:shd w:val="clear" w:color="auto" w:fill="FFFFFF"/>
        </w:rPr>
      </w:pPr>
      <w:bookmarkStart w:id="467" w:name="_Toc256000269"/>
      <w:bookmarkStart w:id="468" w:name="_Toc256000198"/>
      <w:bookmarkStart w:id="469" w:name="_Toc256000207"/>
      <w:bookmarkStart w:id="470" w:name="_Toc256000184"/>
      <w:bookmarkStart w:id="471" w:name="_Toc256000308"/>
      <w:bookmarkStart w:id="472" w:name="_Toc256000227"/>
      <w:bookmarkStart w:id="473" w:name="_Toc256000286"/>
      <w:bookmarkStart w:id="474" w:name="_Toc256000237"/>
      <w:r>
        <w:rPr>
          <w:rFonts w:hint="eastAsia" w:ascii="黑体" w:hAnsi="黑体" w:eastAsia="黑体" w:cs="宋体"/>
          <w:b/>
          <w:kern w:val="36"/>
          <w:sz w:val="28"/>
          <w:szCs w:val="28"/>
          <w:shd w:val="clear" w:color="auto" w:fill="FFFFFF"/>
        </w:rPr>
        <w:t>（十）关于对本投标文件中提供资料真实性的承诺</w:t>
      </w:r>
      <w:bookmarkEnd w:id="466"/>
      <w:bookmarkEnd w:id="467"/>
      <w:bookmarkEnd w:id="468"/>
      <w:bookmarkEnd w:id="469"/>
      <w:bookmarkEnd w:id="470"/>
      <w:bookmarkEnd w:id="471"/>
      <w:bookmarkEnd w:id="472"/>
      <w:bookmarkEnd w:id="473"/>
      <w:bookmarkEnd w:id="474"/>
    </w:p>
    <w:p w14:paraId="17C62EFF">
      <w:pPr>
        <w:widowControl/>
        <w:jc w:val="left"/>
        <w:rPr>
          <w:rFonts w:hint="eastAsia" w:cs="Calibri"/>
          <w:b/>
          <w:sz w:val="28"/>
          <w:szCs w:val="28"/>
        </w:rPr>
      </w:pPr>
      <w:r>
        <w:rPr>
          <w:b/>
          <w:sz w:val="28"/>
          <w:szCs w:val="24"/>
        </w:rPr>
        <w:t xml:space="preserve"> </w:t>
      </w:r>
    </w:p>
    <w:p w14:paraId="1526FC9C">
      <w:pPr>
        <w:widowControl/>
        <w:spacing w:line="360" w:lineRule="auto"/>
        <w:jc w:val="left"/>
        <w:rPr>
          <w:b/>
          <w:szCs w:val="24"/>
        </w:rPr>
      </w:pPr>
      <w:r>
        <w:rPr>
          <w:b/>
          <w:szCs w:val="24"/>
        </w:rPr>
        <w:t xml:space="preserve"> </w:t>
      </w:r>
    </w:p>
    <w:p w14:paraId="25B29B13">
      <w:pPr>
        <w:widowControl/>
        <w:spacing w:line="360" w:lineRule="auto"/>
        <w:jc w:val="left"/>
        <w:rPr>
          <w:b/>
          <w:szCs w:val="24"/>
          <w:u w:val="single"/>
        </w:rPr>
      </w:pPr>
      <w:r>
        <w:rPr>
          <w:rFonts w:hint="eastAsia" w:ascii="宋体" w:hAnsi="宋体"/>
          <w:b/>
          <w:szCs w:val="24"/>
          <w:u w:val="single"/>
        </w:rPr>
        <w:t>至：</w:t>
      </w:r>
      <w:r>
        <w:rPr>
          <w:b/>
          <w:szCs w:val="24"/>
          <w:u w:val="single"/>
        </w:rPr>
        <w:t xml:space="preserve"> </w:t>
      </w:r>
      <w:r>
        <w:rPr>
          <w:rFonts w:hint="eastAsia" w:ascii="宋体" w:hAnsi="宋体"/>
          <w:b/>
          <w:szCs w:val="24"/>
          <w:u w:val="single"/>
        </w:rPr>
        <w:t>（招标人名称）及（项目、标段名称）评标委员会</w:t>
      </w:r>
      <w:r>
        <w:rPr>
          <w:b/>
          <w:szCs w:val="24"/>
          <w:u w:val="single"/>
        </w:rPr>
        <w:t xml:space="preserve">  </w:t>
      </w:r>
    </w:p>
    <w:p w14:paraId="44F4C7D0">
      <w:pPr>
        <w:widowControl/>
        <w:spacing w:line="360" w:lineRule="auto"/>
        <w:ind w:firstLine="630" w:firstLineChars="300"/>
        <w:jc w:val="left"/>
        <w:rPr>
          <w:szCs w:val="24"/>
        </w:rPr>
      </w:pPr>
      <w:r>
        <w:rPr>
          <w:rFonts w:hint="eastAsia" w:ascii="宋体" w:hAnsi="宋体"/>
          <w:szCs w:val="24"/>
        </w:rPr>
        <w:t>根据《中华人民共和国招标投标法》、《中华人民共和国招标投标法实施条例》等有关法律、法规的规定和</w:t>
      </w:r>
      <w:r>
        <w:rPr>
          <w:rFonts w:hint="eastAsia"/>
          <w:szCs w:val="24"/>
          <w:u w:val="single"/>
        </w:rPr>
        <w:t>  </w:t>
      </w:r>
      <w:r>
        <w:rPr>
          <w:szCs w:val="24"/>
          <w:u w:val="single"/>
        </w:rPr>
        <w:t xml:space="preserve">  </w:t>
      </w:r>
      <w:r>
        <w:rPr>
          <w:rFonts w:hint="eastAsia" w:ascii="宋体" w:hAnsi="宋体"/>
          <w:szCs w:val="24"/>
          <w:u w:val="single"/>
        </w:rPr>
        <w:t>（项目、标段名称）</w:t>
      </w:r>
      <w:r>
        <w:rPr>
          <w:szCs w:val="24"/>
          <w:u w:val="single"/>
        </w:rPr>
        <w:t xml:space="preserve">  </w:t>
      </w:r>
      <w:r>
        <w:rPr>
          <w:rFonts w:hint="eastAsia"/>
          <w:szCs w:val="24"/>
          <w:u w:val="single"/>
        </w:rPr>
        <w:t>  </w:t>
      </w:r>
      <w:r>
        <w:rPr>
          <w:rFonts w:hint="eastAsia" w:ascii="宋体" w:hAnsi="宋体"/>
          <w:szCs w:val="24"/>
        </w:rPr>
        <w:t>的招标文件的要求，我公司在</w:t>
      </w:r>
      <w:r>
        <w:rPr>
          <w:rFonts w:hint="eastAsia"/>
          <w:szCs w:val="24"/>
          <w:u w:val="single"/>
        </w:rPr>
        <w:t>  </w:t>
      </w:r>
      <w:r>
        <w:rPr>
          <w:szCs w:val="24"/>
          <w:u w:val="single"/>
        </w:rPr>
        <w:t xml:space="preserve"> </w:t>
      </w:r>
      <w:r>
        <w:rPr>
          <w:rFonts w:hint="eastAsia" w:ascii="宋体" w:hAnsi="宋体"/>
          <w:szCs w:val="24"/>
          <w:u w:val="single"/>
        </w:rPr>
        <w:t>（项目、标段名称）</w:t>
      </w:r>
      <w:r>
        <w:rPr>
          <w:szCs w:val="24"/>
          <w:u w:val="single"/>
        </w:rPr>
        <w:t xml:space="preserve"> </w:t>
      </w:r>
      <w:r>
        <w:rPr>
          <w:rFonts w:hint="eastAsia"/>
          <w:szCs w:val="24"/>
          <w:u w:val="single"/>
        </w:rPr>
        <w:t>  </w:t>
      </w:r>
      <w:r>
        <w:rPr>
          <w:rFonts w:hint="eastAsia" w:ascii="宋体" w:hAnsi="宋体"/>
          <w:szCs w:val="24"/>
        </w:rPr>
        <w:t>投标文件中所提供资料真实性作如下承诺：</w:t>
      </w:r>
    </w:p>
    <w:p w14:paraId="63BBCE28">
      <w:pPr>
        <w:widowControl/>
        <w:spacing w:line="360" w:lineRule="auto"/>
        <w:ind w:firstLine="630" w:firstLineChars="300"/>
        <w:jc w:val="left"/>
        <w:rPr>
          <w:szCs w:val="24"/>
        </w:rPr>
      </w:pPr>
      <w:r>
        <w:rPr>
          <w:rFonts w:hint="eastAsia" w:ascii="宋体" w:hAnsi="宋体"/>
          <w:szCs w:val="24"/>
        </w:rPr>
        <w:t>我公司将严格按招标文件要求，在编制本投标文件时，投标文件中所提供的资料全部真实和准确，并对提供的所有资料（资格、业绩、其他材料等）的真实性负责！</w:t>
      </w:r>
      <w:r>
        <w:rPr>
          <w:szCs w:val="24"/>
        </w:rPr>
        <w:t xml:space="preserve"> </w:t>
      </w:r>
    </w:p>
    <w:p w14:paraId="5CE0F1DC">
      <w:pPr>
        <w:widowControl/>
        <w:spacing w:line="360" w:lineRule="auto"/>
        <w:ind w:firstLine="630" w:firstLineChars="300"/>
        <w:jc w:val="left"/>
        <w:rPr>
          <w:szCs w:val="24"/>
        </w:rPr>
      </w:pPr>
      <w:r>
        <w:rPr>
          <w:rFonts w:hint="eastAsia" w:ascii="宋体" w:hAnsi="宋体"/>
          <w:szCs w:val="24"/>
        </w:rPr>
        <w:t>如提供的全部资料中有存在不真实（伪造、或租借等虚假资料）情形的，将无条件按有关的法律、法规的规定接受任何处罚，自行承担由此引起的一切责任！</w:t>
      </w:r>
    </w:p>
    <w:p w14:paraId="208CC9B7">
      <w:pPr>
        <w:widowControl/>
        <w:spacing w:line="360" w:lineRule="auto"/>
        <w:ind w:firstLine="632" w:firstLineChars="300"/>
        <w:jc w:val="left"/>
        <w:rPr>
          <w:b/>
          <w:szCs w:val="24"/>
        </w:rPr>
      </w:pPr>
      <w:r>
        <w:rPr>
          <w:b/>
          <w:szCs w:val="24"/>
        </w:rPr>
        <w:t xml:space="preserve"> </w:t>
      </w:r>
    </w:p>
    <w:p w14:paraId="7740300D">
      <w:pPr>
        <w:widowControl/>
        <w:spacing w:line="360" w:lineRule="auto"/>
        <w:ind w:firstLine="632" w:firstLineChars="300"/>
        <w:jc w:val="left"/>
        <w:rPr>
          <w:b/>
          <w:szCs w:val="24"/>
        </w:rPr>
      </w:pPr>
      <w:r>
        <w:rPr>
          <w:rFonts w:hint="eastAsia" w:ascii="宋体" w:hAnsi="宋体"/>
          <w:b/>
          <w:szCs w:val="24"/>
        </w:rPr>
        <w:t>特此承诺</w:t>
      </w:r>
    </w:p>
    <w:p w14:paraId="4BA5758A">
      <w:pPr>
        <w:widowControl/>
        <w:spacing w:line="360" w:lineRule="auto"/>
        <w:ind w:firstLine="632" w:firstLineChars="300"/>
        <w:jc w:val="left"/>
        <w:rPr>
          <w:b/>
          <w:szCs w:val="24"/>
        </w:rPr>
      </w:pPr>
      <w:r>
        <w:rPr>
          <w:b/>
          <w:szCs w:val="24"/>
        </w:rPr>
        <w:t xml:space="preserve"> </w:t>
      </w:r>
    </w:p>
    <w:p w14:paraId="399D5BD8">
      <w:pPr>
        <w:widowControl/>
        <w:spacing w:line="480" w:lineRule="auto"/>
        <w:ind w:firstLine="3373" w:firstLineChars="1600"/>
        <w:jc w:val="left"/>
        <w:rPr>
          <w:b/>
          <w:szCs w:val="24"/>
        </w:rPr>
      </w:pPr>
      <w:r>
        <w:rPr>
          <w:rFonts w:hint="eastAsia" w:ascii="宋体" w:hAnsi="宋体"/>
          <w:b/>
          <w:szCs w:val="24"/>
        </w:rPr>
        <w:t>投标人（全称）：</w:t>
      </w:r>
      <w:r>
        <w:rPr>
          <w:b/>
          <w:szCs w:val="24"/>
          <w:u w:val="single"/>
        </w:rPr>
        <w:t xml:space="preserve">                     </w:t>
      </w:r>
      <w:r>
        <w:rPr>
          <w:rFonts w:hint="eastAsia" w:ascii="宋体" w:hAnsi="宋体"/>
          <w:b/>
          <w:szCs w:val="24"/>
        </w:rPr>
        <w:t>（盖单位章）</w:t>
      </w:r>
    </w:p>
    <w:p w14:paraId="26C39C17">
      <w:pPr>
        <w:widowControl/>
        <w:spacing w:line="480" w:lineRule="auto"/>
        <w:ind w:firstLine="3373" w:firstLineChars="1600"/>
        <w:jc w:val="left"/>
        <w:rPr>
          <w:b/>
          <w:szCs w:val="24"/>
        </w:rPr>
      </w:pPr>
      <w:r>
        <w:rPr>
          <w:rFonts w:hint="eastAsia" w:ascii="宋体" w:hAnsi="宋体"/>
          <w:b/>
          <w:szCs w:val="24"/>
        </w:rPr>
        <w:t>法定代表人：</w:t>
      </w:r>
      <w:r>
        <w:rPr>
          <w:b/>
          <w:szCs w:val="24"/>
          <w:u w:val="single"/>
        </w:rPr>
        <w:t xml:space="preserve">                           </w:t>
      </w:r>
      <w:r>
        <w:rPr>
          <w:rFonts w:hint="eastAsia" w:ascii="宋体" w:hAnsi="宋体"/>
          <w:b/>
          <w:szCs w:val="24"/>
        </w:rPr>
        <w:t>（签字）</w:t>
      </w:r>
    </w:p>
    <w:p w14:paraId="048FB7F0">
      <w:pPr>
        <w:widowControl/>
        <w:spacing w:line="480" w:lineRule="auto"/>
        <w:ind w:firstLine="3373" w:firstLineChars="1600"/>
        <w:jc w:val="left"/>
        <w:rPr>
          <w:b/>
          <w:szCs w:val="24"/>
        </w:rPr>
      </w:pPr>
      <w:r>
        <w:rPr>
          <w:rFonts w:hint="eastAsia" w:ascii="宋体" w:hAnsi="宋体"/>
          <w:b/>
          <w:szCs w:val="24"/>
        </w:rPr>
        <w:t>有效的联系方式：</w:t>
      </w:r>
      <w:r>
        <w:rPr>
          <w:b/>
          <w:szCs w:val="24"/>
          <w:u w:val="single"/>
        </w:rPr>
        <w:t xml:space="preserve">               </w:t>
      </w:r>
      <w:r>
        <w:rPr>
          <w:rFonts w:hint="eastAsia" w:ascii="宋体" w:hAnsi="宋体"/>
          <w:b/>
          <w:szCs w:val="24"/>
        </w:rPr>
        <w:t>（单位固定电话）</w:t>
      </w:r>
    </w:p>
    <w:p w14:paraId="23509559">
      <w:pPr>
        <w:widowControl/>
        <w:spacing w:line="480" w:lineRule="auto"/>
        <w:ind w:firstLine="4849" w:firstLineChars="2300"/>
        <w:jc w:val="left"/>
        <w:rPr>
          <w:b/>
          <w:szCs w:val="24"/>
        </w:rPr>
      </w:pPr>
      <w:r>
        <w:rPr>
          <w:b/>
          <w:szCs w:val="24"/>
        </w:rPr>
        <w:t xml:space="preserve"> </w:t>
      </w:r>
    </w:p>
    <w:p w14:paraId="3E1FC093">
      <w:pPr>
        <w:widowControl/>
        <w:spacing w:line="480" w:lineRule="auto"/>
        <w:ind w:firstLine="4849" w:firstLineChars="2300"/>
        <w:jc w:val="left"/>
        <w:rPr>
          <w:b/>
          <w:szCs w:val="24"/>
        </w:rPr>
      </w:pPr>
      <w:r>
        <w:rPr>
          <w:rFonts w:hint="eastAsia" w:ascii="宋体" w:hAnsi="宋体"/>
          <w:b/>
          <w:szCs w:val="24"/>
        </w:rPr>
        <w:t>年</w:t>
      </w:r>
      <w:r>
        <w:rPr>
          <w:b/>
          <w:szCs w:val="24"/>
        </w:rPr>
        <w:t xml:space="preserve">      </w:t>
      </w:r>
      <w:r>
        <w:rPr>
          <w:rFonts w:hint="eastAsia" w:ascii="宋体" w:hAnsi="宋体"/>
          <w:b/>
          <w:szCs w:val="24"/>
        </w:rPr>
        <w:t>月</w:t>
      </w:r>
      <w:r>
        <w:rPr>
          <w:b/>
          <w:szCs w:val="24"/>
        </w:rPr>
        <w:t xml:space="preserve">       </w:t>
      </w:r>
      <w:r>
        <w:rPr>
          <w:rFonts w:hint="eastAsia" w:ascii="宋体" w:hAnsi="宋体"/>
          <w:b/>
          <w:szCs w:val="24"/>
        </w:rPr>
        <w:t>日</w:t>
      </w:r>
    </w:p>
    <w:p w14:paraId="12CC2D6B">
      <w:pPr>
        <w:widowControl/>
        <w:spacing w:line="360" w:lineRule="auto"/>
        <w:jc w:val="left"/>
        <w:rPr>
          <w:rFonts w:hint="eastAsia" w:ascii="宋体" w:hAnsi="宋体"/>
          <w:b/>
          <w:szCs w:val="24"/>
        </w:rPr>
      </w:pPr>
      <w:r>
        <w:rPr>
          <w:b/>
          <w:szCs w:val="24"/>
        </w:rPr>
        <w:t xml:space="preserve"> </w:t>
      </w:r>
      <w:r>
        <w:rPr>
          <w:rFonts w:hint="eastAsia" w:ascii="宋体" w:hAnsi="宋体"/>
          <w:b/>
          <w:szCs w:val="24"/>
        </w:rPr>
        <w:t>说明：投标人未提供此承诺的，或未按照上述要求内容填写的，其投标将被拒绝！</w:t>
      </w:r>
      <w:bookmarkStart w:id="475" w:name="_Hlk123041133"/>
    </w:p>
    <w:p w14:paraId="0416448C">
      <w:pPr>
        <w:widowControl/>
        <w:spacing w:line="360" w:lineRule="auto"/>
        <w:jc w:val="left"/>
        <w:rPr>
          <w:rFonts w:hint="eastAsia" w:ascii="黑体" w:hAnsi="黑体" w:eastAsia="黑体"/>
          <w:b/>
          <w:sz w:val="28"/>
          <w:szCs w:val="24"/>
        </w:rPr>
      </w:pPr>
    </w:p>
    <w:p w14:paraId="48A8EC82">
      <w:pPr>
        <w:widowControl/>
        <w:spacing w:line="360" w:lineRule="auto"/>
        <w:jc w:val="left"/>
        <w:rPr>
          <w:rFonts w:hint="eastAsia" w:ascii="黑体" w:hAnsi="黑体" w:eastAsia="黑体"/>
          <w:b/>
          <w:sz w:val="28"/>
          <w:szCs w:val="24"/>
        </w:rPr>
      </w:pPr>
    </w:p>
    <w:p w14:paraId="58EDF50B">
      <w:pPr>
        <w:widowControl/>
        <w:spacing w:line="360" w:lineRule="auto"/>
        <w:jc w:val="left"/>
        <w:rPr>
          <w:rFonts w:hint="eastAsia" w:ascii="黑体" w:hAnsi="黑体" w:eastAsia="黑体"/>
          <w:b/>
          <w:sz w:val="28"/>
          <w:szCs w:val="24"/>
        </w:rPr>
      </w:pPr>
    </w:p>
    <w:p w14:paraId="115ECB08">
      <w:pPr>
        <w:widowControl/>
        <w:spacing w:line="360" w:lineRule="auto"/>
        <w:jc w:val="left"/>
        <w:rPr>
          <w:rFonts w:hint="eastAsia" w:ascii="黑体" w:hAnsi="黑体" w:eastAsia="黑体"/>
          <w:b/>
          <w:sz w:val="28"/>
          <w:szCs w:val="24"/>
        </w:rPr>
      </w:pPr>
    </w:p>
    <w:p w14:paraId="04C40B36">
      <w:pPr>
        <w:widowControl/>
        <w:spacing w:line="360" w:lineRule="auto"/>
        <w:jc w:val="left"/>
        <w:rPr>
          <w:rFonts w:hint="eastAsia" w:ascii="黑体" w:hAnsi="黑体" w:eastAsia="黑体"/>
          <w:b/>
          <w:sz w:val="28"/>
          <w:szCs w:val="24"/>
        </w:rPr>
      </w:pPr>
    </w:p>
    <w:p w14:paraId="07C23BF0">
      <w:pPr>
        <w:widowControl/>
        <w:spacing w:line="360" w:lineRule="auto"/>
        <w:jc w:val="left"/>
        <w:rPr>
          <w:rFonts w:hint="eastAsia" w:ascii="黑体" w:hAnsi="黑体" w:eastAsia="黑体"/>
          <w:b/>
          <w:sz w:val="28"/>
          <w:szCs w:val="24"/>
        </w:rPr>
      </w:pPr>
    </w:p>
    <w:p w14:paraId="46D5DECB">
      <w:pPr>
        <w:widowControl/>
        <w:spacing w:line="360" w:lineRule="auto"/>
        <w:jc w:val="left"/>
        <w:rPr>
          <w:rFonts w:hint="eastAsia" w:ascii="黑体" w:hAnsi="黑体" w:eastAsia="黑体"/>
          <w:b/>
          <w:sz w:val="28"/>
          <w:szCs w:val="24"/>
        </w:rPr>
      </w:pPr>
    </w:p>
    <w:p w14:paraId="7887A199">
      <w:pPr>
        <w:widowControl/>
        <w:spacing w:line="360" w:lineRule="auto"/>
        <w:jc w:val="left"/>
        <w:rPr>
          <w:rFonts w:hint="eastAsia" w:ascii="黑体" w:hAnsi="黑体" w:eastAsia="黑体"/>
          <w:b/>
          <w:sz w:val="28"/>
          <w:szCs w:val="24"/>
        </w:rPr>
      </w:pPr>
    </w:p>
    <w:p w14:paraId="5CA5DF19">
      <w:pPr>
        <w:widowControl/>
        <w:spacing w:line="360" w:lineRule="auto"/>
        <w:jc w:val="left"/>
        <w:rPr>
          <w:rFonts w:hint="eastAsia" w:ascii="黑体" w:hAnsi="黑体" w:eastAsia="黑体"/>
          <w:b/>
          <w:sz w:val="28"/>
          <w:szCs w:val="24"/>
        </w:rPr>
      </w:pPr>
    </w:p>
    <w:p w14:paraId="4F757970">
      <w:pPr>
        <w:widowControl/>
        <w:spacing w:line="360" w:lineRule="auto"/>
        <w:jc w:val="left"/>
        <w:rPr>
          <w:rFonts w:hint="eastAsia" w:ascii="黑体" w:hAnsi="黑体" w:eastAsia="黑体"/>
          <w:b/>
          <w:sz w:val="28"/>
          <w:szCs w:val="24"/>
        </w:rPr>
      </w:pPr>
      <w:r>
        <w:rPr>
          <w:rFonts w:hint="eastAsia" w:ascii="黑体" w:hAnsi="黑体" w:eastAsia="黑体"/>
          <w:b/>
          <w:sz w:val="28"/>
          <w:szCs w:val="24"/>
        </w:rPr>
        <w:t>（十</w:t>
      </w:r>
      <w:r>
        <w:rPr>
          <w:rFonts w:hint="eastAsia" w:ascii="黑体" w:hAnsi="黑体" w:eastAsia="黑体"/>
          <w:b/>
          <w:sz w:val="28"/>
          <w:szCs w:val="24"/>
          <w:lang w:val="en-US" w:eastAsia="zh-CN"/>
        </w:rPr>
        <w:t>一</w:t>
      </w:r>
      <w:r>
        <w:rPr>
          <w:rFonts w:hint="eastAsia" w:ascii="黑体" w:hAnsi="黑体" w:eastAsia="黑体"/>
          <w:b/>
          <w:sz w:val="28"/>
          <w:szCs w:val="24"/>
        </w:rPr>
        <w:t>）、投标人不参与围、串标等有关要求（规定）的承诺书</w:t>
      </w:r>
    </w:p>
    <w:p w14:paraId="72225F3A">
      <w:pPr>
        <w:widowControl/>
        <w:spacing w:line="360" w:lineRule="auto"/>
        <w:jc w:val="center"/>
        <w:rPr>
          <w:rFonts w:hint="eastAsia" w:ascii="黑体" w:hAnsi="宋体" w:eastAsia="黑体"/>
          <w:b/>
          <w:sz w:val="24"/>
          <w:szCs w:val="24"/>
        </w:rPr>
      </w:pPr>
      <w:r>
        <w:rPr>
          <w:rFonts w:hint="eastAsia" w:ascii="黑体" w:hAnsi="黑体" w:eastAsia="黑体"/>
          <w:b/>
          <w:sz w:val="24"/>
          <w:szCs w:val="24"/>
        </w:rPr>
        <w:t>（未提供此承诺的，其投标将被否决）</w:t>
      </w:r>
    </w:p>
    <w:bookmarkEnd w:id="475"/>
    <w:p w14:paraId="0ECE8A5C">
      <w:pPr>
        <w:widowControl/>
        <w:spacing w:line="380" w:lineRule="exact"/>
        <w:jc w:val="left"/>
        <w:rPr>
          <w:rFonts w:hint="eastAsia" w:ascii="Trebuchet MS" w:hAnsi="新宋体" w:eastAsia="新宋体"/>
          <w:szCs w:val="24"/>
          <w:u w:val="single"/>
        </w:rPr>
      </w:pPr>
    </w:p>
    <w:p w14:paraId="1B98A881">
      <w:pPr>
        <w:widowControl/>
        <w:spacing w:line="380" w:lineRule="exact"/>
        <w:jc w:val="left"/>
        <w:rPr>
          <w:rFonts w:ascii="Trebuchet MS" w:hAnsi="Trebuchet MS" w:eastAsia="新宋体"/>
          <w:szCs w:val="24"/>
        </w:rPr>
      </w:pPr>
      <w:bookmarkStart w:id="476" w:name="_Hlk123041950"/>
      <w:r>
        <w:rPr>
          <w:rFonts w:ascii="Trebuchet MS" w:hAnsi="新宋体" w:eastAsia="新宋体"/>
          <w:szCs w:val="24"/>
          <w:u w:val="single"/>
        </w:rPr>
        <w:t xml:space="preserve">         </w:t>
      </w:r>
      <w:r>
        <w:rPr>
          <w:rFonts w:hint="eastAsia" w:ascii="新宋体" w:hAnsi="新宋体" w:eastAsia="新宋体"/>
          <w:szCs w:val="24"/>
          <w:u w:val="single"/>
        </w:rPr>
        <w:t>（招标人名称）</w:t>
      </w:r>
      <w:r>
        <w:rPr>
          <w:rFonts w:ascii="Trebuchet MS" w:hAnsi="新宋体" w:eastAsia="新宋体"/>
          <w:szCs w:val="24"/>
          <w:u w:val="single"/>
        </w:rPr>
        <w:t xml:space="preserve">          </w:t>
      </w:r>
      <w:r>
        <w:rPr>
          <w:rFonts w:hint="eastAsia" w:ascii="新宋体" w:hAnsi="新宋体" w:eastAsia="新宋体"/>
          <w:szCs w:val="24"/>
        </w:rPr>
        <w:t>：</w:t>
      </w:r>
    </w:p>
    <w:bookmarkEnd w:id="476"/>
    <w:p w14:paraId="75EB628C">
      <w:pPr>
        <w:widowControl/>
        <w:spacing w:line="380" w:lineRule="exact"/>
        <w:jc w:val="left"/>
        <w:rPr>
          <w:rFonts w:ascii="Trebuchet MS" w:hAnsi="新宋体" w:eastAsia="新宋体"/>
          <w:szCs w:val="24"/>
        </w:rPr>
      </w:pPr>
      <w:r>
        <w:rPr>
          <w:rFonts w:ascii="Trebuchet MS" w:hAnsi="新宋体" w:eastAsia="新宋体"/>
          <w:szCs w:val="24"/>
        </w:rPr>
        <w:t xml:space="preserve"> </w:t>
      </w:r>
    </w:p>
    <w:p w14:paraId="212EA519">
      <w:pPr>
        <w:widowControl/>
        <w:spacing w:line="380" w:lineRule="exact"/>
        <w:ind w:firstLine="420" w:firstLineChars="200"/>
        <w:jc w:val="left"/>
        <w:rPr>
          <w:rFonts w:ascii="Trebuchet MS" w:hAnsi="新宋体" w:eastAsia="新宋体" w:cs="宋体"/>
          <w:kern w:val="0"/>
          <w:szCs w:val="21"/>
        </w:rPr>
      </w:pPr>
      <w:r>
        <w:rPr>
          <w:rFonts w:hint="eastAsia" w:ascii="新宋体" w:hAnsi="新宋体" w:eastAsia="新宋体"/>
          <w:szCs w:val="24"/>
        </w:rPr>
        <w:t>因本工程地质条件复杂、工程结构技术要求高，施工难度大、工期紧，因此若我单位</w:t>
      </w:r>
      <w:r>
        <w:rPr>
          <w:rFonts w:hint="eastAsia" w:ascii="新宋体" w:hAnsi="新宋体" w:eastAsia="新宋体" w:cs="宋体"/>
          <w:kern w:val="0"/>
          <w:szCs w:val="21"/>
        </w:rPr>
        <w:t>有幸获取中标，</w:t>
      </w:r>
      <w:bookmarkStart w:id="477" w:name="_Hlk123042144"/>
      <w:r>
        <w:rPr>
          <w:rFonts w:hint="eastAsia" w:ascii="新宋体" w:hAnsi="新宋体" w:eastAsia="新宋体" w:cs="宋体"/>
          <w:kern w:val="0"/>
          <w:szCs w:val="21"/>
        </w:rPr>
        <w:t>我单位郑重承诺：</w:t>
      </w:r>
      <w:bookmarkEnd w:id="477"/>
    </w:p>
    <w:p w14:paraId="751C9D56">
      <w:pPr>
        <w:widowControl/>
        <w:spacing w:line="380" w:lineRule="exact"/>
        <w:jc w:val="left"/>
        <w:rPr>
          <w:rFonts w:ascii="Trebuchet MS" w:hAnsi="新宋体" w:eastAsia="新宋体" w:cs="宋体"/>
          <w:kern w:val="0"/>
          <w:szCs w:val="21"/>
        </w:rPr>
      </w:pPr>
      <w:r>
        <w:rPr>
          <w:rFonts w:hint="eastAsia" w:ascii="新宋体" w:hAnsi="新宋体" w:eastAsia="新宋体" w:cs="宋体"/>
          <w:b/>
          <w:kern w:val="0"/>
          <w:szCs w:val="21"/>
        </w:rPr>
        <w:t>一、</w:t>
      </w:r>
      <w:r>
        <w:rPr>
          <w:rFonts w:hint="eastAsia" w:ascii="新宋体" w:hAnsi="新宋体" w:eastAsia="新宋体" w:cs="宋体"/>
          <w:kern w:val="0"/>
          <w:szCs w:val="21"/>
        </w:rPr>
        <w:t>在接到中标通知后的</w:t>
      </w:r>
      <w:r>
        <w:rPr>
          <w:rFonts w:ascii="Trebuchet MS" w:hAnsi="Trebuchet MS" w:eastAsia="新宋体" w:cs="宋体"/>
          <w:kern w:val="0"/>
          <w:szCs w:val="21"/>
        </w:rPr>
        <w:t>3</w:t>
      </w:r>
      <w:r>
        <w:rPr>
          <w:rFonts w:hint="eastAsia" w:ascii="新宋体" w:hAnsi="新宋体" w:eastAsia="新宋体" w:cs="宋体"/>
          <w:kern w:val="0"/>
          <w:szCs w:val="21"/>
        </w:rPr>
        <w:t>个工作日内，持中标通知书并按投标文件</w:t>
      </w:r>
      <w:r>
        <w:rPr>
          <w:rFonts w:hint="eastAsia" w:ascii="Trebuchet MS" w:hAnsi="新宋体" w:eastAsia="新宋体" w:cs="宋体"/>
          <w:kern w:val="0"/>
          <w:szCs w:val="21"/>
        </w:rPr>
        <w:t>“项目管理机构组成表”</w:t>
      </w:r>
      <w:r>
        <w:rPr>
          <w:rFonts w:ascii="Trebuchet MS" w:hAnsi="新宋体" w:eastAsia="新宋体" w:cs="宋体"/>
          <w:kern w:val="0"/>
          <w:szCs w:val="21"/>
        </w:rPr>
        <w:t xml:space="preserve"> </w:t>
      </w:r>
      <w:r>
        <w:rPr>
          <w:rFonts w:hint="eastAsia" w:ascii="新宋体" w:hAnsi="新宋体" w:eastAsia="新宋体" w:cs="宋体"/>
          <w:kern w:val="0"/>
          <w:szCs w:val="21"/>
        </w:rPr>
        <w:t>中承诺的本项目拟派人员持本人身份证全部到场后签订施工承包合同。至</w:t>
      </w:r>
      <w:r>
        <w:rPr>
          <w:rFonts w:ascii="Trebuchet MS" w:hAnsi="Trebuchet MS" w:eastAsia="新宋体" w:cs="宋体"/>
          <w:kern w:val="0"/>
          <w:szCs w:val="21"/>
        </w:rPr>
        <w:t>3</w:t>
      </w:r>
      <w:r>
        <w:rPr>
          <w:rFonts w:hint="eastAsia" w:ascii="新宋体" w:hAnsi="新宋体" w:eastAsia="新宋体" w:cs="宋体"/>
          <w:kern w:val="0"/>
          <w:szCs w:val="21"/>
        </w:rPr>
        <w:t>个工作日止若投标文件“项目管理机构组成表” 承诺的人员中有一人未能在上述规定的时间内到场或到场人员与投标文件“项目管理机构组成表” 中本项目拟派人员不一致的，视为我方自动放弃中标结果，同时，按评标委员会提出的第二中标候选人确定为中标人，并以此类推。所造成的一切后果由我方自行承担。</w:t>
      </w:r>
    </w:p>
    <w:p w14:paraId="169AF39D">
      <w:pPr>
        <w:widowControl/>
        <w:spacing w:line="380" w:lineRule="exact"/>
        <w:jc w:val="left"/>
        <w:rPr>
          <w:rFonts w:ascii="Trebuchet MS" w:hAnsi="新宋体" w:eastAsia="新宋体" w:cs="宋体"/>
          <w:kern w:val="0"/>
          <w:szCs w:val="21"/>
        </w:rPr>
      </w:pPr>
      <w:r>
        <w:rPr>
          <w:rFonts w:hint="eastAsia" w:ascii="新宋体" w:hAnsi="新宋体" w:eastAsia="新宋体" w:cs="宋体"/>
          <w:b/>
          <w:kern w:val="0"/>
          <w:szCs w:val="21"/>
        </w:rPr>
        <w:t>二、</w:t>
      </w:r>
      <w:r>
        <w:rPr>
          <w:rFonts w:hint="eastAsia" w:ascii="新宋体" w:hAnsi="新宋体" w:eastAsia="新宋体" w:cs="宋体"/>
          <w:kern w:val="0"/>
          <w:szCs w:val="21"/>
        </w:rPr>
        <w:t>按招标人要求立即完成项目管理机构的组建，并按招标文件的要求和投标文件中的承诺，所派遣的项目经理完全能满足本合同工程管理、施工组织、工程技术和质量等要求所需；技术负责人完全能满足本合同工程技术和复杂程度的要求；施工技术和质量管理人员完全能满足合同工期完工的施工进度计划要求的施工技术及质量管理；各类主要管理人员完全能满足本合同工程各项管理要求所需。将严格按设计文件、国家及行业现行的有关规范、规程的技术要求和质量标准，在合同约定的完工期限内完成并移交全部合格的合同工程。若未能在规定的合同工期内完成和移交的，除承担应未按期完工所引起的一切额外费用和责任外，愿无条件接受有关部门对此作出的任何处罚。</w:t>
      </w:r>
    </w:p>
    <w:p w14:paraId="2A0E22F0">
      <w:pPr>
        <w:widowControl/>
        <w:spacing w:line="380" w:lineRule="exact"/>
        <w:jc w:val="left"/>
        <w:rPr>
          <w:rFonts w:ascii="Trebuchet MS" w:hAnsi="新宋体" w:eastAsia="新宋体" w:cs="宋体"/>
          <w:kern w:val="0"/>
          <w:szCs w:val="21"/>
        </w:rPr>
      </w:pPr>
      <w:r>
        <w:rPr>
          <w:rFonts w:hint="eastAsia" w:ascii="新宋体" w:hAnsi="新宋体" w:eastAsia="新宋体" w:cs="宋体"/>
          <w:b/>
          <w:kern w:val="0"/>
          <w:szCs w:val="21"/>
        </w:rPr>
        <w:t>三、</w:t>
      </w:r>
      <w:r>
        <w:rPr>
          <w:rFonts w:hint="eastAsia" w:ascii="新宋体" w:hAnsi="新宋体" w:eastAsia="新宋体" w:cs="宋体"/>
          <w:kern w:val="0"/>
          <w:szCs w:val="21"/>
        </w:rPr>
        <w:t>严格遵守《中华人民共和国招标投标法》、《中华人民共和国招标投标法实施条例》中有关对投标人的法律法规的规定，保证不发生《中华人民共和国招标投标法实施条例》第四十条、第四十一条、第四十二条的有关串通投标：违规挂靠等违法情形的发生。一旦发生愿无条件接受按有关部门按《中华人民共和国招标投标法》、《中华人民共和国招标投标法实施条例》等法律法规的有关规定所作出的处罚决定。</w:t>
      </w:r>
    </w:p>
    <w:p w14:paraId="48882F86">
      <w:pPr>
        <w:widowControl/>
        <w:spacing w:line="380" w:lineRule="exact"/>
        <w:jc w:val="left"/>
        <w:rPr>
          <w:rFonts w:ascii="Trebuchet MS" w:hAnsi="新宋体" w:eastAsia="新宋体" w:cs="宋体"/>
          <w:kern w:val="0"/>
          <w:szCs w:val="21"/>
        </w:rPr>
      </w:pPr>
      <w:r>
        <w:rPr>
          <w:rFonts w:hint="eastAsia" w:ascii="新宋体" w:hAnsi="新宋体" w:eastAsia="新宋体" w:cs="宋体"/>
          <w:kern w:val="0"/>
          <w:szCs w:val="21"/>
        </w:rPr>
        <w:t>四、若在投标或施工过程中出现违法、违规等情形的，将无条件接受有关部门按有关法律法规及</w:t>
      </w:r>
      <w:r>
        <w:rPr>
          <w:rFonts w:hint="eastAsia" w:ascii="宋体" w:hAnsi="宋体" w:cs="Tahoma"/>
          <w:kern w:val="0"/>
          <w:szCs w:val="21"/>
        </w:rPr>
        <w:t>《新疆维吾尔自治区水利建设市场主体信用信息管理实施细则》的有关规定对我单位作出的一切处罚。</w:t>
      </w:r>
      <w:r>
        <w:rPr>
          <w:rFonts w:ascii="Trebuchet MS" w:hAnsi="新宋体" w:eastAsia="新宋体" w:cs="宋体"/>
          <w:kern w:val="0"/>
          <w:szCs w:val="21"/>
        </w:rPr>
        <w:t xml:space="preserve"> </w:t>
      </w:r>
    </w:p>
    <w:p w14:paraId="50717895">
      <w:pPr>
        <w:widowControl/>
        <w:spacing w:line="380" w:lineRule="exact"/>
        <w:jc w:val="left"/>
        <w:rPr>
          <w:rFonts w:ascii="Trebuchet MS" w:hAnsi="Trebuchet MS" w:eastAsia="新宋体" w:cs="宋体"/>
          <w:kern w:val="0"/>
          <w:szCs w:val="21"/>
        </w:rPr>
      </w:pPr>
      <w:r>
        <w:rPr>
          <w:rFonts w:hint="eastAsia" w:ascii="新宋体" w:hAnsi="新宋体" w:eastAsia="新宋体" w:cs="宋体"/>
          <w:kern w:val="0"/>
          <w:szCs w:val="21"/>
        </w:rPr>
        <w:t>特此承诺！</w:t>
      </w:r>
    </w:p>
    <w:p w14:paraId="7D4F036D">
      <w:pPr>
        <w:spacing w:line="380" w:lineRule="exact"/>
        <w:jc w:val="right"/>
        <w:rPr>
          <w:rFonts w:ascii="Trebuchet MS" w:hAnsi="Trebuchet MS" w:eastAsia="新宋体"/>
          <w:szCs w:val="24"/>
        </w:rPr>
      </w:pPr>
      <w:r>
        <w:rPr>
          <w:rFonts w:hint="eastAsia" w:ascii="新宋体" w:hAnsi="新宋体" w:eastAsia="新宋体"/>
          <w:szCs w:val="24"/>
        </w:rPr>
        <w:t>投标人：</w:t>
      </w:r>
      <w:r>
        <w:rPr>
          <w:rFonts w:ascii="Trebuchet MS" w:hAnsi="Trebuchet MS" w:eastAsia="新宋体"/>
          <w:szCs w:val="24"/>
          <w:u w:val="single"/>
        </w:rPr>
        <w:t xml:space="preserve">  </w:t>
      </w:r>
      <w:r>
        <w:rPr>
          <w:rFonts w:hint="eastAsia" w:ascii="新宋体" w:hAnsi="新宋体" w:eastAsia="新宋体"/>
          <w:szCs w:val="24"/>
          <w:u w:val="single"/>
        </w:rPr>
        <w:t xml:space="preserve"> </w:t>
      </w:r>
      <w:r>
        <w:rPr>
          <w:rFonts w:ascii="Trebuchet MS" w:hAnsi="新宋体" w:eastAsia="新宋体"/>
          <w:szCs w:val="24"/>
          <w:u w:val="single"/>
        </w:rPr>
        <w:t xml:space="preserve">   </w:t>
      </w:r>
      <w:r>
        <w:rPr>
          <w:rFonts w:hint="eastAsia" w:ascii="新宋体" w:hAnsi="新宋体" w:eastAsia="新宋体"/>
          <w:szCs w:val="24"/>
          <w:u w:val="single"/>
        </w:rPr>
        <w:t>（盖投标人公章）</w:t>
      </w:r>
      <w:r>
        <w:rPr>
          <w:rFonts w:ascii="Trebuchet MS" w:hAnsi="Trebuchet MS" w:eastAsia="新宋体"/>
          <w:szCs w:val="24"/>
          <w:u w:val="single"/>
        </w:rPr>
        <w:t xml:space="preserve">       </w:t>
      </w:r>
      <w:r>
        <w:rPr>
          <w:rFonts w:ascii="Trebuchet MS" w:hAnsi="Trebuchet MS" w:eastAsia="新宋体"/>
          <w:szCs w:val="24"/>
        </w:rPr>
        <w:t xml:space="preserve"> </w:t>
      </w:r>
    </w:p>
    <w:p w14:paraId="426FCC1B">
      <w:pPr>
        <w:spacing w:line="380" w:lineRule="exact"/>
        <w:jc w:val="right"/>
        <w:rPr>
          <w:rFonts w:ascii="Trebuchet MS" w:hAnsi="Trebuchet MS" w:eastAsia="新宋体"/>
          <w:szCs w:val="24"/>
          <w:u w:val="single"/>
        </w:rPr>
      </w:pPr>
      <w:r>
        <w:rPr>
          <w:rFonts w:hint="eastAsia" w:ascii="新宋体" w:hAnsi="新宋体" w:eastAsia="新宋体"/>
          <w:szCs w:val="24"/>
        </w:rPr>
        <w:t>法定代表人：</w:t>
      </w:r>
      <w:r>
        <w:rPr>
          <w:rFonts w:ascii="Trebuchet MS" w:hAnsi="Trebuchet MS" w:eastAsia="新宋体"/>
          <w:szCs w:val="24"/>
          <w:u w:val="single"/>
        </w:rPr>
        <w:t xml:space="preserve">      </w:t>
      </w:r>
      <w:r>
        <w:rPr>
          <w:rFonts w:hint="eastAsia" w:ascii="新宋体" w:hAnsi="新宋体" w:eastAsia="新宋体"/>
          <w:szCs w:val="24"/>
          <w:u w:val="single"/>
        </w:rPr>
        <w:t>（签字或盖章）</w:t>
      </w:r>
      <w:r>
        <w:rPr>
          <w:rFonts w:ascii="Trebuchet MS" w:hAnsi="Trebuchet MS" w:eastAsia="新宋体"/>
          <w:szCs w:val="24"/>
          <w:u w:val="single"/>
        </w:rPr>
        <w:t xml:space="preserve">      </w:t>
      </w:r>
    </w:p>
    <w:p w14:paraId="0146F09C">
      <w:pPr>
        <w:spacing w:line="380" w:lineRule="exact"/>
        <w:jc w:val="right"/>
        <w:rPr>
          <w:rFonts w:hint="eastAsia" w:ascii="黑体" w:hAnsi="黑体" w:eastAsia="黑体"/>
          <w:b/>
          <w:sz w:val="32"/>
          <w:szCs w:val="24"/>
        </w:rPr>
      </w:pPr>
      <w:r>
        <w:rPr>
          <w:rFonts w:ascii="Trebuchet MS" w:hAnsi="Trebuchet MS" w:eastAsia="新宋体"/>
          <w:szCs w:val="24"/>
          <w:u w:val="single"/>
        </w:rPr>
        <w:t xml:space="preserve">          </w:t>
      </w:r>
      <w:r>
        <w:rPr>
          <w:rFonts w:hint="eastAsia" w:ascii="新宋体" w:hAnsi="新宋体" w:eastAsia="新宋体"/>
          <w:szCs w:val="24"/>
        </w:rPr>
        <w:t>年</w:t>
      </w:r>
      <w:r>
        <w:rPr>
          <w:rFonts w:ascii="Trebuchet MS" w:hAnsi="Trebuchet MS" w:eastAsia="新宋体"/>
          <w:szCs w:val="24"/>
          <w:u w:val="single"/>
        </w:rPr>
        <w:t xml:space="preserve">     </w:t>
      </w:r>
      <w:r>
        <w:rPr>
          <w:rFonts w:hint="eastAsia" w:ascii="新宋体" w:hAnsi="新宋体" w:eastAsia="新宋体"/>
          <w:szCs w:val="24"/>
        </w:rPr>
        <w:t>月</w:t>
      </w:r>
      <w:r>
        <w:rPr>
          <w:rFonts w:ascii="Trebuchet MS" w:hAnsi="Trebuchet MS" w:eastAsia="新宋体"/>
          <w:szCs w:val="24"/>
          <w:u w:val="single"/>
        </w:rPr>
        <w:t xml:space="preserve">    </w:t>
      </w:r>
      <w:r>
        <w:rPr>
          <w:rFonts w:hint="eastAsia" w:ascii="新宋体" w:hAnsi="新宋体" w:eastAsia="新宋体"/>
          <w:szCs w:val="24"/>
        </w:rPr>
        <w:t>日</w:t>
      </w:r>
    </w:p>
    <w:p w14:paraId="7B991CC5">
      <w:pPr>
        <w:widowControl/>
        <w:jc w:val="center"/>
        <w:outlineLvl w:val="1"/>
        <w:rPr>
          <w:rFonts w:hint="eastAsia" w:ascii="黑体" w:hAnsi="黑体" w:eastAsia="黑体"/>
          <w:b/>
          <w:sz w:val="28"/>
          <w:szCs w:val="24"/>
        </w:rPr>
      </w:pPr>
      <w:r>
        <w:rPr>
          <w:rFonts w:ascii="Times New Roman" w:hAnsi="Times New Roman" w:eastAsia="Times New Roman"/>
          <w:kern w:val="0"/>
          <w:sz w:val="24"/>
          <w:szCs w:val="24"/>
        </w:rPr>
        <w:br w:type="page"/>
      </w:r>
      <w:bookmarkStart w:id="478" w:name="_Toc256000309"/>
      <w:bookmarkStart w:id="479" w:name="_Toc256000287"/>
      <w:bookmarkStart w:id="480" w:name="_Toc256000270"/>
      <w:bookmarkStart w:id="481" w:name="_Toc256000199"/>
      <w:bookmarkStart w:id="482" w:name="_Toc256000217"/>
      <w:r>
        <w:rPr>
          <w:rFonts w:hint="eastAsia" w:ascii="黑体" w:hAnsi="黑体" w:eastAsia="黑体"/>
          <w:b/>
          <w:sz w:val="28"/>
          <w:szCs w:val="24"/>
        </w:rPr>
        <w:t>（十</w:t>
      </w:r>
      <w:r>
        <w:rPr>
          <w:rFonts w:hint="eastAsia" w:ascii="黑体" w:hAnsi="黑体" w:eastAsia="黑体"/>
          <w:b/>
          <w:sz w:val="28"/>
          <w:szCs w:val="24"/>
          <w:lang w:val="en-US" w:eastAsia="zh-CN"/>
        </w:rPr>
        <w:t>二</w:t>
      </w:r>
      <w:r>
        <w:rPr>
          <w:rFonts w:hint="eastAsia" w:ascii="黑体" w:hAnsi="黑体" w:eastAsia="黑体"/>
          <w:b/>
          <w:sz w:val="28"/>
          <w:szCs w:val="24"/>
        </w:rPr>
        <w:t>）、关于投标人在应规定提供投标资料的承诺书</w:t>
      </w:r>
      <w:bookmarkEnd w:id="478"/>
      <w:bookmarkEnd w:id="479"/>
      <w:bookmarkEnd w:id="480"/>
      <w:bookmarkEnd w:id="481"/>
      <w:bookmarkEnd w:id="482"/>
    </w:p>
    <w:p w14:paraId="1290922F">
      <w:pPr>
        <w:widowControl/>
        <w:jc w:val="center"/>
        <w:outlineLvl w:val="1"/>
        <w:rPr>
          <w:rFonts w:ascii="黑体" w:hAnsi="黑体" w:eastAsia="黑体"/>
          <w:b/>
          <w:sz w:val="28"/>
          <w:szCs w:val="24"/>
        </w:rPr>
      </w:pPr>
      <w:bookmarkStart w:id="483" w:name="_Toc256000271"/>
      <w:bookmarkStart w:id="484" w:name="_Toc256000218"/>
      <w:bookmarkStart w:id="485" w:name="_Toc256000310"/>
      <w:bookmarkStart w:id="486" w:name="_Toc256000288"/>
      <w:bookmarkStart w:id="487" w:name="_Toc256000201"/>
      <w:r>
        <w:rPr>
          <w:rFonts w:hint="eastAsia" w:ascii="黑体" w:hAnsi="黑体" w:eastAsia="黑体"/>
          <w:b/>
          <w:sz w:val="28"/>
          <w:szCs w:val="24"/>
        </w:rPr>
        <w:t>（未提供此承诺的，其投标将被否决）</w:t>
      </w:r>
      <w:bookmarkEnd w:id="483"/>
      <w:bookmarkEnd w:id="484"/>
      <w:bookmarkEnd w:id="485"/>
      <w:bookmarkEnd w:id="486"/>
      <w:bookmarkEnd w:id="487"/>
    </w:p>
    <w:p w14:paraId="46F56CBE">
      <w:pPr>
        <w:widowControl/>
        <w:spacing w:line="360" w:lineRule="auto"/>
        <w:outlineLvl w:val="1"/>
        <w:rPr>
          <w:rFonts w:hint="eastAsia" w:ascii="宋体" w:hAnsi="宋体"/>
          <w:bCs/>
          <w:szCs w:val="21"/>
        </w:rPr>
      </w:pPr>
      <w:r>
        <w:rPr>
          <w:rFonts w:hint="eastAsia" w:ascii="黑体" w:hAnsi="黑体" w:eastAsia="黑体"/>
          <w:b/>
          <w:szCs w:val="21"/>
        </w:rPr>
        <w:t xml:space="preserve"> </w:t>
      </w:r>
      <w:r>
        <w:rPr>
          <w:rFonts w:hint="eastAsia" w:ascii="宋体" w:hAnsi="宋体"/>
          <w:bCs/>
          <w:szCs w:val="21"/>
          <w:u w:val="single"/>
        </w:rPr>
        <w:t xml:space="preserve">        </w:t>
      </w:r>
      <w:bookmarkStart w:id="488" w:name="_Toc256000203"/>
      <w:bookmarkStart w:id="489" w:name="_Toc256000289"/>
      <w:bookmarkStart w:id="490" w:name="_Toc256000272"/>
      <w:bookmarkStart w:id="491" w:name="_Toc256000311"/>
      <w:bookmarkStart w:id="492" w:name="_Toc256000219"/>
      <w:r>
        <w:rPr>
          <w:rFonts w:hint="eastAsia" w:ascii="宋体" w:hAnsi="宋体"/>
          <w:bCs/>
          <w:szCs w:val="21"/>
          <w:u w:val="single"/>
        </w:rPr>
        <w:t xml:space="preserve">（招标代理人名称）          </w:t>
      </w:r>
      <w:r>
        <w:rPr>
          <w:rFonts w:hint="eastAsia" w:ascii="宋体" w:hAnsi="宋体"/>
          <w:bCs/>
          <w:szCs w:val="21"/>
        </w:rPr>
        <w:t>：</w:t>
      </w:r>
      <w:bookmarkEnd w:id="488"/>
      <w:bookmarkEnd w:id="489"/>
      <w:bookmarkEnd w:id="490"/>
      <w:bookmarkEnd w:id="491"/>
      <w:bookmarkEnd w:id="492"/>
    </w:p>
    <w:p w14:paraId="44003CA2">
      <w:pPr>
        <w:widowControl/>
        <w:spacing w:line="360" w:lineRule="auto"/>
        <w:outlineLvl w:val="1"/>
        <w:rPr>
          <w:rFonts w:ascii="宋体" w:hAnsi="宋体"/>
          <w:bCs/>
          <w:szCs w:val="21"/>
        </w:rPr>
      </w:pPr>
      <w:bookmarkStart w:id="493" w:name="_Toc256000290"/>
      <w:bookmarkStart w:id="494" w:name="_Toc256000312"/>
      <w:bookmarkStart w:id="495" w:name="_Toc256000273"/>
      <w:bookmarkStart w:id="496" w:name="_Toc256000204"/>
      <w:bookmarkStart w:id="497" w:name="_Toc256000220"/>
      <w:r>
        <w:rPr>
          <w:rFonts w:hint="eastAsia" w:ascii="宋体" w:hAnsi="宋体"/>
          <w:bCs/>
          <w:szCs w:val="21"/>
        </w:rPr>
        <w:t>我单位郑重承诺：</w:t>
      </w:r>
      <w:bookmarkEnd w:id="493"/>
      <w:bookmarkEnd w:id="494"/>
      <w:bookmarkEnd w:id="495"/>
      <w:bookmarkEnd w:id="496"/>
      <w:bookmarkEnd w:id="497"/>
    </w:p>
    <w:p w14:paraId="6414AB9E">
      <w:pPr>
        <w:spacing w:line="360" w:lineRule="auto"/>
        <w:ind w:firstLine="420" w:firstLineChars="200"/>
        <w:rPr>
          <w:rFonts w:hint="eastAsia" w:ascii="宋体" w:hAnsi="宋体"/>
          <w:bCs/>
          <w:szCs w:val="21"/>
        </w:rPr>
      </w:pPr>
      <w:r>
        <w:rPr>
          <w:rFonts w:hint="eastAsia" w:ascii="宋体" w:hAnsi="宋体"/>
          <w:bCs/>
          <w:szCs w:val="21"/>
        </w:rPr>
        <w:t>1、为避免投标资料的缺失，保证投标资料的完整性，以及保证今后对招投标审计工作的顺利进行，在评标工作结束后的7天内，严格按</w:t>
      </w:r>
      <w:bookmarkStart w:id="498" w:name="_Hlk123042552"/>
      <w:r>
        <w:rPr>
          <w:rFonts w:hint="eastAsia" w:ascii="宋体" w:hAnsi="宋体"/>
          <w:bCs/>
          <w:szCs w:val="21"/>
        </w:rPr>
        <w:t>招标文件投标人须知10.8.2款规定</w:t>
      </w:r>
      <w:bookmarkEnd w:id="498"/>
      <w:r>
        <w:rPr>
          <w:rFonts w:hint="eastAsia" w:ascii="宋体" w:hAnsi="宋体"/>
          <w:bCs/>
          <w:szCs w:val="21"/>
        </w:rPr>
        <w:t>的份数要求向招标代理人提供投标资料（要求）：中标人应提供投标文件正本1</w:t>
      </w:r>
      <w:bookmarkStart w:id="499" w:name="_Hlk123042383"/>
      <w:r>
        <w:rPr>
          <w:rFonts w:hint="eastAsia" w:ascii="宋体" w:hAnsi="宋体"/>
          <w:bCs/>
          <w:szCs w:val="21"/>
        </w:rPr>
        <w:t>份</w:t>
      </w:r>
      <w:bookmarkEnd w:id="499"/>
      <w:r>
        <w:rPr>
          <w:rFonts w:hint="eastAsia" w:ascii="宋体" w:hAnsi="宋体"/>
          <w:bCs/>
          <w:szCs w:val="21"/>
        </w:rPr>
        <w:t xml:space="preserve">，副本4份，未中标人应提供投标文件正本1份，并均提供电子版 U 盘或者光盘一份。投标文件（应带水印）并封面加盖鲜章。 </w:t>
      </w:r>
    </w:p>
    <w:p w14:paraId="3C510821">
      <w:pPr>
        <w:widowControl/>
        <w:spacing w:line="360" w:lineRule="auto"/>
        <w:ind w:firstLine="420" w:firstLineChars="200"/>
        <w:outlineLvl w:val="1"/>
        <w:rPr>
          <w:rFonts w:hint="eastAsia" w:ascii="宋体" w:hAnsi="宋体"/>
          <w:bCs/>
          <w:szCs w:val="21"/>
        </w:rPr>
      </w:pPr>
      <w:bookmarkStart w:id="500" w:name="_Toc256000222"/>
      <w:bookmarkStart w:id="501" w:name="_Toc256000205"/>
      <w:bookmarkStart w:id="502" w:name="_Toc256000291"/>
      <w:bookmarkStart w:id="503" w:name="_Toc256000313"/>
      <w:bookmarkStart w:id="504" w:name="_Toc256000274"/>
      <w:r>
        <w:rPr>
          <w:rFonts w:ascii="宋体" w:hAnsi="宋体"/>
          <w:bCs/>
          <w:szCs w:val="21"/>
        </w:rPr>
        <w:t>2</w:t>
      </w:r>
      <w:r>
        <w:rPr>
          <w:rFonts w:hint="eastAsia" w:ascii="宋体" w:hAnsi="宋体"/>
          <w:bCs/>
          <w:szCs w:val="21"/>
        </w:rPr>
        <w:t>、我方承诺：如果未按招标文件投标人须知10.8.2款规定向招标代理人提供投标资料并保证提供资料的完整性，我方无条件同意由招标代理向招标人提交的未提供完整资料证明文件将我方记不良行为一次，在一年内不得参加民丰县水利工程的招投标市场，并承担我方由此引起的一切责任和后果。</w:t>
      </w:r>
      <w:bookmarkEnd w:id="500"/>
      <w:bookmarkEnd w:id="501"/>
      <w:bookmarkEnd w:id="502"/>
      <w:bookmarkEnd w:id="503"/>
      <w:bookmarkEnd w:id="504"/>
    </w:p>
    <w:p w14:paraId="230FDB29">
      <w:pPr>
        <w:widowControl/>
        <w:spacing w:line="360" w:lineRule="auto"/>
        <w:ind w:firstLine="420" w:firstLineChars="200"/>
        <w:outlineLvl w:val="1"/>
        <w:rPr>
          <w:rFonts w:hint="eastAsia" w:ascii="宋体" w:hAnsi="宋体"/>
          <w:bCs/>
          <w:szCs w:val="21"/>
        </w:rPr>
      </w:pPr>
      <w:bookmarkStart w:id="505" w:name="_Toc256000223"/>
      <w:bookmarkStart w:id="506" w:name="_Toc256000314"/>
      <w:bookmarkStart w:id="507" w:name="_Toc256000292"/>
      <w:bookmarkStart w:id="508" w:name="_Toc256000275"/>
      <w:bookmarkStart w:id="509" w:name="_Toc256000206"/>
      <w:r>
        <w:rPr>
          <w:rFonts w:ascii="宋体" w:hAnsi="宋体"/>
          <w:bCs/>
          <w:szCs w:val="21"/>
        </w:rPr>
        <w:t>3</w:t>
      </w:r>
      <w:r>
        <w:rPr>
          <w:rFonts w:hint="eastAsia" w:ascii="宋体" w:hAnsi="宋体"/>
          <w:bCs/>
          <w:szCs w:val="21"/>
        </w:rPr>
        <w:t>、本承诺在我方未给招标代理人提供完整投标资料前一直保持有效。</w:t>
      </w:r>
      <w:bookmarkEnd w:id="505"/>
      <w:bookmarkEnd w:id="506"/>
      <w:bookmarkEnd w:id="507"/>
      <w:bookmarkEnd w:id="508"/>
      <w:bookmarkEnd w:id="509"/>
    </w:p>
    <w:p w14:paraId="7C952835">
      <w:pPr>
        <w:widowControl/>
        <w:spacing w:line="360" w:lineRule="auto"/>
        <w:outlineLvl w:val="1"/>
        <w:rPr>
          <w:rFonts w:ascii="宋体" w:hAnsi="宋体"/>
          <w:bCs/>
          <w:szCs w:val="21"/>
        </w:rPr>
      </w:pPr>
      <w:r>
        <w:rPr>
          <w:rFonts w:ascii="宋体" w:hAnsi="宋体"/>
          <w:bCs/>
          <w:szCs w:val="21"/>
        </w:rPr>
        <w:t xml:space="preserve"> </w:t>
      </w:r>
    </w:p>
    <w:p w14:paraId="1D2257BC">
      <w:pPr>
        <w:widowControl/>
        <w:spacing w:line="360" w:lineRule="auto"/>
        <w:ind w:firstLine="3780" w:firstLineChars="1800"/>
        <w:outlineLvl w:val="1"/>
        <w:rPr>
          <w:rFonts w:hint="eastAsia" w:ascii="宋体" w:hAnsi="宋体"/>
          <w:bCs/>
          <w:szCs w:val="21"/>
        </w:rPr>
      </w:pPr>
      <w:bookmarkStart w:id="510" w:name="_Toc256000228"/>
      <w:bookmarkStart w:id="511" w:name="_Toc256000316"/>
      <w:bookmarkStart w:id="512" w:name="_Toc256000294"/>
      <w:bookmarkStart w:id="513" w:name="_Toc256000277"/>
      <w:bookmarkStart w:id="514" w:name="_Toc256000208"/>
      <w:r>
        <w:rPr>
          <w:rFonts w:hint="eastAsia" w:ascii="宋体" w:hAnsi="宋体"/>
          <w:bCs/>
          <w:szCs w:val="21"/>
        </w:rPr>
        <w:t>投标人名称（盖单位章）：</w:t>
      </w:r>
      <w:bookmarkEnd w:id="510"/>
      <w:bookmarkEnd w:id="511"/>
      <w:bookmarkEnd w:id="512"/>
      <w:bookmarkEnd w:id="513"/>
      <w:bookmarkEnd w:id="514"/>
      <w:r>
        <w:rPr>
          <w:rFonts w:hint="eastAsia" w:ascii="宋体" w:hAnsi="宋体"/>
          <w:bCs/>
          <w:szCs w:val="21"/>
        </w:rPr>
        <w:t xml:space="preserve">                           </w:t>
      </w:r>
    </w:p>
    <w:p w14:paraId="2E229799">
      <w:pPr>
        <w:widowControl/>
        <w:spacing w:line="360" w:lineRule="auto"/>
        <w:ind w:firstLine="3780" w:firstLineChars="1800"/>
        <w:outlineLvl w:val="1"/>
        <w:rPr>
          <w:rFonts w:hint="eastAsia" w:ascii="宋体" w:hAnsi="宋体"/>
          <w:bCs/>
          <w:szCs w:val="21"/>
        </w:rPr>
      </w:pPr>
      <w:bookmarkStart w:id="515" w:name="_Toc256000278"/>
      <w:bookmarkStart w:id="516" w:name="_Toc256000295"/>
      <w:bookmarkStart w:id="517" w:name="_Toc256000317"/>
      <w:bookmarkStart w:id="518" w:name="_Toc256000229"/>
      <w:bookmarkStart w:id="519" w:name="_Toc256000209"/>
      <w:r>
        <w:rPr>
          <w:rFonts w:hint="eastAsia" w:ascii="宋体" w:hAnsi="宋体"/>
          <w:bCs/>
          <w:szCs w:val="21"/>
        </w:rPr>
        <w:t>法定代表人或其委托代理人（签字）：</w:t>
      </w:r>
      <w:bookmarkEnd w:id="515"/>
      <w:bookmarkEnd w:id="516"/>
      <w:bookmarkEnd w:id="517"/>
      <w:bookmarkEnd w:id="518"/>
      <w:bookmarkEnd w:id="519"/>
      <w:r>
        <w:rPr>
          <w:rFonts w:hint="eastAsia" w:ascii="宋体" w:hAnsi="宋体"/>
          <w:bCs/>
          <w:szCs w:val="21"/>
        </w:rPr>
        <w:t xml:space="preserve">                </w:t>
      </w:r>
    </w:p>
    <w:p w14:paraId="62850E81">
      <w:pPr>
        <w:widowControl/>
        <w:spacing w:line="360" w:lineRule="auto"/>
        <w:ind w:firstLine="3780" w:firstLineChars="1800"/>
        <w:outlineLvl w:val="1"/>
        <w:rPr>
          <w:rFonts w:hint="eastAsia" w:ascii="宋体" w:hAnsi="宋体"/>
          <w:bCs/>
          <w:szCs w:val="21"/>
        </w:rPr>
      </w:pPr>
      <w:bookmarkStart w:id="520" w:name="_Toc256000296"/>
      <w:bookmarkStart w:id="521" w:name="_Toc256000279"/>
      <w:bookmarkStart w:id="522" w:name="_Toc256000318"/>
      <w:bookmarkStart w:id="523" w:name="_Toc256000210"/>
      <w:bookmarkStart w:id="524" w:name="_Toc256000230"/>
      <w:r>
        <w:rPr>
          <w:rFonts w:hint="eastAsia" w:ascii="宋体" w:hAnsi="宋体"/>
          <w:bCs/>
          <w:szCs w:val="21"/>
        </w:rPr>
        <w:t>投标人地址：</w:t>
      </w:r>
      <w:bookmarkEnd w:id="520"/>
      <w:bookmarkEnd w:id="521"/>
      <w:bookmarkEnd w:id="522"/>
      <w:bookmarkEnd w:id="523"/>
      <w:bookmarkEnd w:id="524"/>
      <w:r>
        <w:rPr>
          <w:rFonts w:hint="eastAsia" w:ascii="宋体" w:hAnsi="宋体"/>
          <w:bCs/>
          <w:szCs w:val="21"/>
        </w:rPr>
        <w:t xml:space="preserve">                                            </w:t>
      </w:r>
    </w:p>
    <w:p w14:paraId="724733E7">
      <w:pPr>
        <w:widowControl/>
        <w:spacing w:line="360" w:lineRule="auto"/>
        <w:ind w:firstLine="3780" w:firstLineChars="1800"/>
        <w:outlineLvl w:val="1"/>
        <w:rPr>
          <w:rFonts w:hint="eastAsia" w:ascii="宋体" w:hAnsi="宋体"/>
          <w:bCs/>
          <w:szCs w:val="21"/>
        </w:rPr>
      </w:pPr>
      <w:bookmarkStart w:id="525" w:name="_Toc256000280"/>
      <w:bookmarkStart w:id="526" w:name="_Toc256000231"/>
      <w:bookmarkStart w:id="527" w:name="_Toc256000211"/>
      <w:bookmarkStart w:id="528" w:name="_Toc256000297"/>
      <w:bookmarkStart w:id="529" w:name="_Toc256000319"/>
      <w:r>
        <w:rPr>
          <w:rFonts w:hint="eastAsia" w:ascii="宋体" w:hAnsi="宋体"/>
          <w:bCs/>
          <w:szCs w:val="21"/>
        </w:rPr>
        <w:t>邮政编码：</w:t>
      </w:r>
      <w:bookmarkEnd w:id="525"/>
      <w:bookmarkEnd w:id="526"/>
      <w:bookmarkEnd w:id="527"/>
      <w:bookmarkEnd w:id="528"/>
      <w:bookmarkEnd w:id="529"/>
      <w:r>
        <w:rPr>
          <w:rFonts w:hint="eastAsia" w:ascii="宋体" w:hAnsi="宋体"/>
          <w:bCs/>
          <w:szCs w:val="21"/>
        </w:rPr>
        <w:t xml:space="preserve">                                        </w:t>
      </w:r>
    </w:p>
    <w:p w14:paraId="145CE37B">
      <w:pPr>
        <w:widowControl/>
        <w:spacing w:line="360" w:lineRule="auto"/>
        <w:ind w:firstLine="3780" w:firstLineChars="1800"/>
        <w:outlineLvl w:val="1"/>
        <w:rPr>
          <w:rFonts w:hint="eastAsia" w:ascii="宋体" w:hAnsi="宋体"/>
          <w:bCs/>
          <w:szCs w:val="21"/>
        </w:rPr>
      </w:pPr>
      <w:bookmarkStart w:id="530" w:name="_Toc256000213"/>
      <w:bookmarkStart w:id="531" w:name="_Toc256000298"/>
      <w:bookmarkStart w:id="532" w:name="_Toc256000232"/>
      <w:bookmarkStart w:id="533" w:name="_Toc256000320"/>
      <w:bookmarkStart w:id="534" w:name="_Toc256000281"/>
      <w:r>
        <w:rPr>
          <w:rFonts w:hint="eastAsia" w:ascii="宋体" w:hAnsi="宋体"/>
          <w:bCs/>
          <w:szCs w:val="21"/>
        </w:rPr>
        <w:t>联系电话：</w:t>
      </w:r>
      <w:bookmarkEnd w:id="530"/>
      <w:bookmarkEnd w:id="531"/>
      <w:bookmarkEnd w:id="532"/>
      <w:bookmarkEnd w:id="533"/>
      <w:bookmarkEnd w:id="534"/>
      <w:r>
        <w:rPr>
          <w:rFonts w:hint="eastAsia" w:ascii="宋体" w:hAnsi="宋体"/>
          <w:bCs/>
          <w:szCs w:val="21"/>
        </w:rPr>
        <w:t xml:space="preserve">                                            </w:t>
      </w:r>
    </w:p>
    <w:p w14:paraId="1CDCDCD9">
      <w:pPr>
        <w:widowControl/>
        <w:spacing w:line="360" w:lineRule="auto"/>
        <w:ind w:firstLine="3780" w:firstLineChars="1800"/>
        <w:outlineLvl w:val="1"/>
        <w:rPr>
          <w:rFonts w:hint="eastAsia" w:ascii="宋体" w:hAnsi="宋体"/>
          <w:bCs/>
          <w:szCs w:val="21"/>
        </w:rPr>
      </w:pPr>
      <w:bookmarkStart w:id="535" w:name="_Toc256000299"/>
      <w:bookmarkStart w:id="536" w:name="_Toc256000321"/>
      <w:bookmarkStart w:id="537" w:name="_Toc256000215"/>
      <w:bookmarkStart w:id="538" w:name="_Toc256000282"/>
      <w:bookmarkStart w:id="539" w:name="_Toc256000234"/>
      <w:r>
        <w:rPr>
          <w:rFonts w:hint="eastAsia" w:ascii="宋体" w:hAnsi="宋体"/>
          <w:bCs/>
          <w:szCs w:val="21"/>
        </w:rPr>
        <w:t>电子邮箱：</w:t>
      </w:r>
      <w:bookmarkEnd w:id="535"/>
      <w:bookmarkEnd w:id="536"/>
      <w:bookmarkEnd w:id="537"/>
      <w:bookmarkEnd w:id="538"/>
      <w:bookmarkEnd w:id="539"/>
      <w:r>
        <w:rPr>
          <w:rFonts w:hint="eastAsia" w:ascii="宋体" w:hAnsi="宋体"/>
          <w:bCs/>
          <w:szCs w:val="21"/>
        </w:rPr>
        <w:t xml:space="preserve">                                            </w:t>
      </w:r>
    </w:p>
    <w:p w14:paraId="78068C62">
      <w:pPr>
        <w:widowControl/>
        <w:spacing w:line="360" w:lineRule="auto"/>
        <w:outlineLvl w:val="1"/>
        <w:rPr>
          <w:rFonts w:hint="eastAsia" w:ascii="宋体" w:hAnsi="宋体"/>
          <w:bCs/>
          <w:szCs w:val="21"/>
        </w:rPr>
      </w:pPr>
      <w:r>
        <w:rPr>
          <w:rFonts w:hint="eastAsia" w:ascii="宋体" w:hAnsi="宋体"/>
          <w:bCs/>
          <w:szCs w:val="21"/>
        </w:rPr>
        <w:t xml:space="preserve">         </w:t>
      </w:r>
      <w:r>
        <w:rPr>
          <w:rFonts w:ascii="宋体" w:hAnsi="宋体"/>
          <w:bCs/>
          <w:szCs w:val="21"/>
        </w:rPr>
        <w:t xml:space="preserve">                                                     </w:t>
      </w:r>
      <w:bookmarkStart w:id="540" w:name="_Toc256000216"/>
      <w:bookmarkStart w:id="541" w:name="_Toc256000235"/>
      <w:bookmarkStart w:id="542" w:name="_Toc256000300"/>
      <w:bookmarkStart w:id="543" w:name="_Toc256000322"/>
      <w:bookmarkStart w:id="544" w:name="_Toc256000283"/>
      <w:r>
        <w:rPr>
          <w:rFonts w:hint="eastAsia" w:ascii="宋体" w:hAnsi="宋体"/>
          <w:bCs/>
          <w:szCs w:val="21"/>
        </w:rPr>
        <w:t>年    月    日</w:t>
      </w:r>
      <w:bookmarkEnd w:id="540"/>
      <w:bookmarkEnd w:id="541"/>
      <w:bookmarkEnd w:id="542"/>
      <w:bookmarkEnd w:id="543"/>
      <w:bookmarkEnd w:id="544"/>
    </w:p>
    <w:p w14:paraId="114F0344"/>
    <w:p w14:paraId="222079B8"/>
    <w:p w14:paraId="2E8E8BC1"/>
    <w:p w14:paraId="27CC347F"/>
    <w:p w14:paraId="6B3040E0"/>
    <w:p w14:paraId="7D8E1098"/>
    <w:p w14:paraId="14A4B5D6"/>
    <w:p w14:paraId="088DC9E5"/>
    <w:p w14:paraId="419C7E27"/>
    <w:p w14:paraId="27D43E82"/>
    <w:p w14:paraId="3D2052FE">
      <w:pPr>
        <w:spacing w:line="429" w:lineRule="exact"/>
        <w:ind w:left="618"/>
        <w:outlineLvl w:val="4"/>
        <w:rPr>
          <w:rFonts w:hint="eastAsia" w:ascii="黑体" w:hAnsi="黑体" w:eastAsia="黑体"/>
          <w:b/>
          <w:sz w:val="28"/>
          <w:szCs w:val="24"/>
          <w:lang w:val="zh-CN"/>
        </w:rPr>
      </w:pPr>
    </w:p>
    <w:p w14:paraId="5A072A73">
      <w:pPr>
        <w:spacing w:line="429" w:lineRule="exact"/>
        <w:ind w:left="618"/>
        <w:outlineLvl w:val="4"/>
        <w:rPr>
          <w:rFonts w:hint="eastAsia" w:ascii="黑体" w:hAnsi="黑体" w:eastAsia="黑体"/>
          <w:b/>
          <w:sz w:val="28"/>
          <w:szCs w:val="24"/>
          <w:lang w:val="zh-CN"/>
        </w:rPr>
      </w:pPr>
    </w:p>
    <w:p w14:paraId="48D06FEE">
      <w:pPr>
        <w:spacing w:line="429" w:lineRule="exact"/>
        <w:ind w:left="618"/>
        <w:outlineLvl w:val="4"/>
        <w:rPr>
          <w:rFonts w:hint="eastAsia" w:ascii="黑体" w:hAnsi="黑体" w:eastAsia="黑体"/>
          <w:b/>
          <w:sz w:val="28"/>
          <w:szCs w:val="24"/>
          <w:lang w:val="zh-CN"/>
        </w:rPr>
      </w:pPr>
    </w:p>
    <w:p w14:paraId="3257572A">
      <w:pPr>
        <w:spacing w:line="429" w:lineRule="exact"/>
        <w:ind w:left="618"/>
        <w:outlineLvl w:val="4"/>
        <w:rPr>
          <w:rFonts w:hint="eastAsia" w:ascii="黑体" w:hAnsi="黑体" w:eastAsia="黑体"/>
          <w:b/>
          <w:sz w:val="28"/>
          <w:szCs w:val="24"/>
          <w:lang w:val="zh-CN"/>
        </w:rPr>
      </w:pPr>
    </w:p>
    <w:p w14:paraId="358FC171">
      <w:pPr>
        <w:spacing w:line="429" w:lineRule="exact"/>
        <w:ind w:left="618"/>
        <w:outlineLvl w:val="4"/>
        <w:rPr>
          <w:rFonts w:hint="eastAsia" w:ascii="黑体" w:hAnsi="黑体" w:eastAsia="黑体"/>
          <w:b/>
          <w:sz w:val="28"/>
          <w:szCs w:val="24"/>
          <w:lang w:val="zh-CN"/>
        </w:rPr>
      </w:pPr>
    </w:p>
    <w:p w14:paraId="02E787C2">
      <w:pPr>
        <w:spacing w:line="429" w:lineRule="exact"/>
        <w:ind w:left="618"/>
        <w:outlineLvl w:val="4"/>
        <w:rPr>
          <w:rFonts w:hint="eastAsia" w:ascii="黑体" w:hAnsi="黑体" w:eastAsia="黑体"/>
          <w:b/>
          <w:sz w:val="28"/>
          <w:szCs w:val="24"/>
          <w:lang w:val="zh-CN"/>
        </w:rPr>
      </w:pPr>
    </w:p>
    <w:p w14:paraId="264E52B0">
      <w:pPr>
        <w:spacing w:line="429" w:lineRule="exact"/>
        <w:ind w:left="618"/>
        <w:outlineLvl w:val="4"/>
        <w:rPr>
          <w:rFonts w:hint="eastAsia" w:ascii="黑体" w:hAnsi="黑体" w:eastAsia="黑体"/>
          <w:b/>
          <w:sz w:val="28"/>
          <w:szCs w:val="24"/>
        </w:rPr>
      </w:pPr>
      <w:r>
        <w:rPr>
          <w:rFonts w:hint="eastAsia" w:ascii="黑体" w:hAnsi="黑体" w:eastAsia="黑体"/>
          <w:b/>
          <w:sz w:val="28"/>
          <w:szCs w:val="24"/>
          <w:lang w:val="zh-CN"/>
        </w:rPr>
        <w:t>（十</w:t>
      </w:r>
      <w:r>
        <w:rPr>
          <w:rFonts w:hint="eastAsia" w:ascii="黑体" w:hAnsi="黑体" w:eastAsia="黑体"/>
          <w:b/>
          <w:sz w:val="28"/>
          <w:szCs w:val="24"/>
          <w:lang w:val="en-US" w:eastAsia="zh-CN"/>
        </w:rPr>
        <w:t>三</w:t>
      </w:r>
      <w:r>
        <w:rPr>
          <w:rFonts w:hint="eastAsia" w:ascii="黑体" w:hAnsi="黑体" w:eastAsia="黑体"/>
          <w:b/>
          <w:sz w:val="28"/>
          <w:szCs w:val="24"/>
          <w:lang w:val="zh-CN"/>
        </w:rPr>
        <w:t>）</w:t>
      </w:r>
      <w:r>
        <w:rPr>
          <w:rFonts w:hint="eastAsia" w:ascii="黑体" w:hAnsi="黑体" w:eastAsia="黑体"/>
          <w:b/>
          <w:sz w:val="28"/>
          <w:szCs w:val="24"/>
        </w:rPr>
        <w:t>关于在水利工程固定资产投资项目中使用本地劳动力的承诺书</w:t>
      </w:r>
    </w:p>
    <w:p w14:paraId="33904332">
      <w:pPr>
        <w:spacing w:before="5"/>
        <w:rPr>
          <w:rFonts w:hint="eastAsia" w:ascii="宋体" w:hAnsi="宋体" w:cs="宋体"/>
          <w:b/>
          <w:sz w:val="24"/>
          <w:szCs w:val="24"/>
          <w:lang w:val="zh-CN" w:bidi="zh-CN"/>
        </w:rPr>
      </w:pPr>
    </w:p>
    <w:p w14:paraId="2C07D642">
      <w:pPr>
        <w:tabs>
          <w:tab w:val="left" w:pos="1775"/>
          <w:tab w:val="left" w:pos="4399"/>
        </w:tabs>
        <w:ind w:left="618"/>
        <w:jc w:val="left"/>
        <w:rPr>
          <w:rFonts w:hint="eastAsia"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pacing w:val="-3"/>
          <w:sz w:val="24"/>
          <w:szCs w:val="24"/>
          <w:u w:val="single"/>
        </w:rPr>
        <w:t>（</w:t>
      </w:r>
      <w:r>
        <w:rPr>
          <w:rFonts w:hint="eastAsia" w:ascii="宋体" w:hAnsi="宋体" w:cs="宋体"/>
          <w:sz w:val="24"/>
          <w:szCs w:val="24"/>
          <w:u w:val="single"/>
        </w:rPr>
        <w:t>招</w:t>
      </w:r>
      <w:r>
        <w:rPr>
          <w:rFonts w:hint="eastAsia" w:ascii="宋体" w:hAnsi="宋体" w:cs="宋体"/>
          <w:spacing w:val="-3"/>
          <w:sz w:val="24"/>
          <w:szCs w:val="24"/>
          <w:u w:val="single"/>
        </w:rPr>
        <w:t>标</w:t>
      </w:r>
      <w:r>
        <w:rPr>
          <w:rFonts w:hint="eastAsia" w:ascii="宋体" w:hAnsi="宋体" w:cs="宋体"/>
          <w:sz w:val="24"/>
          <w:szCs w:val="24"/>
          <w:u w:val="single"/>
        </w:rPr>
        <w:t>人</w:t>
      </w:r>
      <w:r>
        <w:rPr>
          <w:rFonts w:hint="eastAsia" w:ascii="宋体" w:hAnsi="宋体" w:cs="宋体"/>
          <w:spacing w:val="-3"/>
          <w:sz w:val="24"/>
          <w:szCs w:val="24"/>
          <w:u w:val="single"/>
        </w:rPr>
        <w:t>名称</w:t>
      </w:r>
      <w:r>
        <w:rPr>
          <w:rFonts w:hint="eastAsia" w:ascii="宋体" w:hAnsi="宋体" w:cs="宋体"/>
          <w:sz w:val="24"/>
          <w:szCs w:val="24"/>
          <w:u w:val="single"/>
        </w:rPr>
        <w:t>）</w:t>
      </w:r>
      <w:r>
        <w:rPr>
          <w:rFonts w:hint="eastAsia" w:ascii="宋体" w:hAnsi="宋体" w:cs="宋体"/>
          <w:sz w:val="24"/>
          <w:szCs w:val="24"/>
          <w:u w:val="single"/>
        </w:rPr>
        <w:tab/>
      </w:r>
      <w:r>
        <w:rPr>
          <w:rFonts w:hint="eastAsia" w:ascii="宋体" w:hAnsi="宋体" w:cs="宋体"/>
          <w:sz w:val="24"/>
          <w:szCs w:val="24"/>
        </w:rPr>
        <w:t>：</w:t>
      </w:r>
    </w:p>
    <w:p w14:paraId="208373BF">
      <w:pPr>
        <w:spacing w:before="4"/>
        <w:rPr>
          <w:rFonts w:hint="eastAsia" w:ascii="宋体" w:hAnsi="宋体" w:cs="宋体"/>
          <w:sz w:val="24"/>
          <w:szCs w:val="24"/>
          <w:lang w:val="zh-CN" w:bidi="zh-CN"/>
        </w:rPr>
      </w:pPr>
    </w:p>
    <w:p w14:paraId="1A39AE5F">
      <w:pPr>
        <w:spacing w:before="72" w:line="364" w:lineRule="auto"/>
        <w:ind w:left="618" w:right="1447" w:firstLine="420"/>
        <w:jc w:val="left"/>
        <w:rPr>
          <w:rFonts w:hint="eastAsia" w:ascii="宋体" w:hAnsi="宋体" w:cs="宋体"/>
          <w:sz w:val="24"/>
          <w:szCs w:val="24"/>
        </w:rPr>
      </w:pPr>
      <w:r>
        <w:rPr>
          <w:rFonts w:hint="eastAsia" w:ascii="宋体" w:hAnsi="宋体" w:cs="宋体"/>
          <w:spacing w:val="-3"/>
          <w:sz w:val="24"/>
          <w:szCs w:val="24"/>
        </w:rPr>
        <w:t>若我单位中标，将积极响应并贯彻落实自治区人民政府办公厅《关于开展固定资产投资项目促</w:t>
      </w:r>
      <w:r>
        <w:rPr>
          <w:rFonts w:hint="eastAsia" w:ascii="宋体" w:hAnsi="宋体" w:cs="宋体"/>
          <w:spacing w:val="-10"/>
          <w:sz w:val="24"/>
          <w:szCs w:val="24"/>
        </w:rPr>
        <w:t>进农村劳动力技能培训工作的通知》</w:t>
      </w:r>
      <w:r>
        <w:rPr>
          <w:rFonts w:hint="eastAsia" w:ascii="宋体" w:hAnsi="宋体" w:cs="宋体"/>
          <w:sz w:val="24"/>
          <w:szCs w:val="24"/>
        </w:rPr>
        <w:t>（</w:t>
      </w:r>
      <w:r>
        <w:rPr>
          <w:rFonts w:hint="eastAsia" w:ascii="宋体" w:hAnsi="宋体" w:cs="宋体"/>
          <w:spacing w:val="-3"/>
          <w:sz w:val="24"/>
          <w:szCs w:val="24"/>
        </w:rPr>
        <w:t>新政办法〔</w:t>
      </w:r>
      <w:r>
        <w:rPr>
          <w:rFonts w:hint="eastAsia" w:ascii="宋体" w:hAnsi="宋体" w:cs="宋体"/>
          <w:sz w:val="24"/>
          <w:szCs w:val="24"/>
        </w:rPr>
        <w:t>2017〕36 号</w:t>
      </w:r>
      <w:r>
        <w:rPr>
          <w:rFonts w:hint="eastAsia" w:ascii="宋体" w:hAnsi="宋体" w:cs="宋体"/>
          <w:spacing w:val="-108"/>
          <w:sz w:val="24"/>
          <w:szCs w:val="24"/>
        </w:rPr>
        <w:t>）</w:t>
      </w:r>
      <w:r>
        <w:rPr>
          <w:rFonts w:hint="eastAsia" w:ascii="宋体" w:hAnsi="宋体" w:cs="宋体"/>
          <w:spacing w:val="-3"/>
          <w:sz w:val="24"/>
          <w:szCs w:val="24"/>
        </w:rPr>
        <w:t>、新疆水利厅《关于在我区水利建设中使用新疆籍劳动力有关问题的通知</w:t>
      </w:r>
      <w:r>
        <w:rPr>
          <w:rFonts w:hint="eastAsia" w:ascii="宋体" w:hAnsi="宋体" w:cs="宋体"/>
          <w:spacing w:val="-168"/>
          <w:sz w:val="24"/>
          <w:szCs w:val="24"/>
        </w:rPr>
        <w:t>》</w:t>
      </w:r>
      <w:r>
        <w:rPr>
          <w:rFonts w:hint="eastAsia" w:ascii="宋体" w:hAnsi="宋体" w:cs="宋体"/>
          <w:spacing w:val="-3"/>
          <w:sz w:val="24"/>
          <w:szCs w:val="24"/>
        </w:rPr>
        <w:t>（</w:t>
      </w:r>
      <w:r>
        <w:rPr>
          <w:rFonts w:hint="eastAsia" w:ascii="宋体" w:hAnsi="宋体" w:cs="宋体"/>
          <w:spacing w:val="-13"/>
          <w:sz w:val="24"/>
          <w:szCs w:val="24"/>
        </w:rPr>
        <w:t>新水办建管〔</w:t>
      </w:r>
      <w:r>
        <w:rPr>
          <w:rFonts w:hint="eastAsia" w:ascii="宋体" w:hAnsi="宋体" w:cs="宋体"/>
          <w:sz w:val="24"/>
          <w:szCs w:val="24"/>
        </w:rPr>
        <w:t>2017</w:t>
      </w:r>
      <w:r>
        <w:rPr>
          <w:rFonts w:hint="eastAsia" w:ascii="宋体" w:hAnsi="宋体" w:cs="宋体"/>
          <w:spacing w:val="-63"/>
          <w:sz w:val="24"/>
          <w:szCs w:val="24"/>
        </w:rPr>
        <w:t>〕</w:t>
      </w:r>
      <w:r>
        <w:rPr>
          <w:rFonts w:hint="eastAsia" w:ascii="宋体" w:hAnsi="宋体" w:cs="宋体"/>
          <w:sz w:val="24"/>
          <w:szCs w:val="24"/>
        </w:rPr>
        <w:t xml:space="preserve">32 </w:t>
      </w:r>
      <w:r>
        <w:rPr>
          <w:rFonts w:hint="eastAsia" w:ascii="宋体" w:hAnsi="宋体" w:cs="宋体"/>
          <w:spacing w:val="-3"/>
          <w:sz w:val="24"/>
          <w:szCs w:val="24"/>
        </w:rPr>
        <w:t>号</w:t>
      </w:r>
      <w:r>
        <w:rPr>
          <w:rFonts w:hint="eastAsia" w:ascii="宋体" w:hAnsi="宋体" w:cs="宋体"/>
          <w:spacing w:val="-63"/>
          <w:sz w:val="24"/>
          <w:szCs w:val="24"/>
        </w:rPr>
        <w:t>）</w:t>
      </w:r>
      <w:r>
        <w:rPr>
          <w:rFonts w:hint="eastAsia" w:ascii="宋体" w:hAnsi="宋体" w:cs="宋体"/>
          <w:spacing w:val="-13"/>
          <w:sz w:val="24"/>
          <w:szCs w:val="24"/>
        </w:rPr>
        <w:t>有关规定，圆满完成我县2024</w:t>
      </w:r>
      <w:r>
        <w:rPr>
          <w:rFonts w:hint="eastAsia" w:ascii="宋体" w:hAnsi="宋体" w:cs="宋体"/>
          <w:spacing w:val="-3"/>
          <w:sz w:val="24"/>
          <w:szCs w:val="24"/>
        </w:rPr>
        <w:t>年城乡劳动力转移就业和技能培训工作目标任务。规范施工劳务用工行为，保障劳务工合法权益， 促进水利项目健康有序发展。</w:t>
      </w:r>
    </w:p>
    <w:p w14:paraId="1774FBD0">
      <w:pPr>
        <w:tabs>
          <w:tab w:val="left" w:pos="3035"/>
          <w:tab w:val="left" w:pos="5450"/>
        </w:tabs>
        <w:spacing w:line="269" w:lineRule="exact"/>
        <w:ind w:left="1038"/>
        <w:jc w:val="left"/>
        <w:rPr>
          <w:rFonts w:hint="eastAsia" w:ascii="宋体" w:hAnsi="宋体" w:cs="宋体"/>
          <w:sz w:val="24"/>
          <w:szCs w:val="24"/>
        </w:rPr>
      </w:pPr>
      <w:r>
        <w:rPr>
          <w:rFonts w:hint="eastAsia" w:ascii="宋体" w:hAnsi="宋体" w:cs="宋体"/>
          <w:sz w:val="24"/>
          <w:szCs w:val="24"/>
        </w:rPr>
        <w:t>我单</w:t>
      </w:r>
      <w:r>
        <w:rPr>
          <w:rFonts w:hint="eastAsia" w:ascii="宋体" w:hAnsi="宋体" w:cs="宋体"/>
          <w:spacing w:val="-3"/>
          <w:sz w:val="24"/>
          <w:szCs w:val="24"/>
        </w:rPr>
        <w:t>位</w:t>
      </w:r>
      <w:r>
        <w:rPr>
          <w:rFonts w:hint="eastAsia" w:ascii="宋体" w:hAnsi="宋体" w:cs="宋体"/>
          <w:sz w:val="24"/>
          <w:szCs w:val="24"/>
        </w:rPr>
        <w:t>对</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pacing w:val="-3"/>
          <w:sz w:val="24"/>
          <w:szCs w:val="24"/>
          <w:u w:val="single"/>
        </w:rPr>
        <w:t>（项</w:t>
      </w:r>
      <w:r>
        <w:rPr>
          <w:rFonts w:hint="eastAsia" w:ascii="宋体" w:hAnsi="宋体" w:cs="宋体"/>
          <w:sz w:val="24"/>
          <w:szCs w:val="24"/>
          <w:u w:val="single"/>
        </w:rPr>
        <w:t>目名</w:t>
      </w:r>
      <w:r>
        <w:rPr>
          <w:rFonts w:hint="eastAsia" w:ascii="宋体" w:hAnsi="宋体" w:cs="宋体"/>
          <w:spacing w:val="-3"/>
          <w:sz w:val="24"/>
          <w:szCs w:val="24"/>
          <w:u w:val="single"/>
        </w:rPr>
        <w:t>称</w:t>
      </w:r>
      <w:r>
        <w:rPr>
          <w:rFonts w:hint="eastAsia" w:ascii="宋体" w:hAnsi="宋体" w:cs="宋体"/>
          <w:sz w:val="24"/>
          <w:szCs w:val="24"/>
          <w:u w:val="single"/>
        </w:rPr>
        <w:t>）</w:t>
      </w:r>
      <w:r>
        <w:rPr>
          <w:rFonts w:hint="eastAsia" w:ascii="宋体" w:hAnsi="宋体" w:cs="宋体"/>
          <w:sz w:val="24"/>
          <w:szCs w:val="24"/>
          <w:u w:val="single"/>
        </w:rPr>
        <w:tab/>
      </w:r>
      <w:r>
        <w:rPr>
          <w:rFonts w:hint="eastAsia" w:ascii="宋体" w:hAnsi="宋体" w:cs="宋体"/>
          <w:spacing w:val="-3"/>
          <w:sz w:val="24"/>
          <w:szCs w:val="24"/>
        </w:rPr>
        <w:t>的施</w:t>
      </w:r>
      <w:r>
        <w:rPr>
          <w:rFonts w:hint="eastAsia" w:ascii="宋体" w:hAnsi="宋体" w:cs="宋体"/>
          <w:sz w:val="24"/>
          <w:szCs w:val="24"/>
        </w:rPr>
        <w:t>工使</w:t>
      </w:r>
      <w:r>
        <w:rPr>
          <w:rFonts w:hint="eastAsia" w:ascii="宋体" w:hAnsi="宋体" w:cs="宋体"/>
          <w:spacing w:val="-3"/>
          <w:sz w:val="24"/>
          <w:szCs w:val="24"/>
        </w:rPr>
        <w:t>用</w:t>
      </w:r>
      <w:r>
        <w:rPr>
          <w:rFonts w:hint="eastAsia" w:ascii="宋体" w:hAnsi="宋体" w:cs="宋体"/>
          <w:sz w:val="24"/>
          <w:szCs w:val="24"/>
        </w:rPr>
        <w:t>劳</w:t>
      </w:r>
      <w:r>
        <w:rPr>
          <w:rFonts w:hint="eastAsia" w:ascii="宋体" w:hAnsi="宋体" w:cs="宋体"/>
          <w:spacing w:val="-3"/>
          <w:sz w:val="24"/>
          <w:szCs w:val="24"/>
        </w:rPr>
        <w:t>务</w:t>
      </w:r>
      <w:r>
        <w:rPr>
          <w:rFonts w:hint="eastAsia" w:ascii="宋体" w:hAnsi="宋体" w:cs="宋体"/>
          <w:sz w:val="24"/>
          <w:szCs w:val="24"/>
        </w:rPr>
        <w:t>用</w:t>
      </w:r>
      <w:r>
        <w:rPr>
          <w:rFonts w:hint="eastAsia" w:ascii="宋体" w:hAnsi="宋体" w:cs="宋体"/>
          <w:spacing w:val="-3"/>
          <w:sz w:val="24"/>
          <w:szCs w:val="24"/>
        </w:rPr>
        <w:t>工</w:t>
      </w:r>
      <w:r>
        <w:rPr>
          <w:rFonts w:hint="eastAsia" w:ascii="宋体" w:hAnsi="宋体" w:cs="宋体"/>
          <w:sz w:val="24"/>
          <w:szCs w:val="24"/>
        </w:rPr>
        <w:t>作</w:t>
      </w:r>
      <w:r>
        <w:rPr>
          <w:rFonts w:hint="eastAsia" w:ascii="宋体" w:hAnsi="宋体" w:cs="宋体"/>
          <w:spacing w:val="-3"/>
          <w:sz w:val="24"/>
          <w:szCs w:val="24"/>
        </w:rPr>
        <w:t>下</w:t>
      </w:r>
      <w:r>
        <w:rPr>
          <w:rFonts w:hint="eastAsia" w:ascii="宋体" w:hAnsi="宋体" w:cs="宋体"/>
          <w:sz w:val="24"/>
          <w:szCs w:val="24"/>
        </w:rPr>
        <w:t>列</w:t>
      </w:r>
      <w:r>
        <w:rPr>
          <w:rFonts w:hint="eastAsia" w:ascii="宋体" w:hAnsi="宋体" w:cs="宋体"/>
          <w:spacing w:val="-3"/>
          <w:sz w:val="24"/>
          <w:szCs w:val="24"/>
        </w:rPr>
        <w:t>郑</w:t>
      </w:r>
      <w:r>
        <w:rPr>
          <w:rFonts w:hint="eastAsia" w:ascii="宋体" w:hAnsi="宋体" w:cs="宋体"/>
          <w:sz w:val="24"/>
          <w:szCs w:val="24"/>
        </w:rPr>
        <w:t>重承</w:t>
      </w:r>
      <w:r>
        <w:rPr>
          <w:rFonts w:hint="eastAsia" w:ascii="宋体" w:hAnsi="宋体" w:cs="宋体"/>
          <w:spacing w:val="-3"/>
          <w:sz w:val="24"/>
          <w:szCs w:val="24"/>
        </w:rPr>
        <w:t>诺</w:t>
      </w:r>
      <w:r>
        <w:rPr>
          <w:rFonts w:hint="eastAsia" w:ascii="宋体" w:hAnsi="宋体" w:cs="宋体"/>
          <w:sz w:val="24"/>
          <w:szCs w:val="24"/>
        </w:rPr>
        <w:t>：</w:t>
      </w:r>
    </w:p>
    <w:p w14:paraId="0BE493FC">
      <w:pPr>
        <w:spacing w:before="139" w:line="364" w:lineRule="auto"/>
        <w:ind w:left="618" w:right="1447" w:firstLine="420"/>
        <w:rPr>
          <w:rFonts w:hint="eastAsia" w:ascii="宋体" w:hAnsi="宋体" w:cs="宋体"/>
          <w:sz w:val="24"/>
          <w:szCs w:val="24"/>
        </w:rPr>
      </w:pPr>
      <w:r>
        <w:rPr>
          <w:rFonts w:hint="eastAsia" w:ascii="宋体" w:hAnsi="宋体" w:cs="宋体"/>
          <w:spacing w:val="-5"/>
          <w:sz w:val="24"/>
          <w:szCs w:val="24"/>
        </w:rPr>
        <w:t>本工程征用新疆域内</w:t>
      </w:r>
      <w:r>
        <w:rPr>
          <w:rFonts w:hint="eastAsia" w:ascii="宋体" w:hAnsi="宋体" w:cs="宋体"/>
          <w:sz w:val="24"/>
          <w:szCs w:val="24"/>
        </w:rPr>
        <w:t>（民丰</w:t>
      </w:r>
      <w:r>
        <w:rPr>
          <w:rFonts w:hint="eastAsia" w:ascii="宋体" w:hAnsi="宋体" w:cs="宋体"/>
          <w:spacing w:val="-3"/>
          <w:sz w:val="24"/>
          <w:szCs w:val="24"/>
        </w:rPr>
        <w:t>籍</w:t>
      </w:r>
      <w:r>
        <w:rPr>
          <w:rFonts w:hint="eastAsia" w:ascii="宋体" w:hAnsi="宋体" w:cs="宋体"/>
          <w:spacing w:val="-17"/>
          <w:sz w:val="24"/>
          <w:szCs w:val="24"/>
        </w:rPr>
        <w:t>）</w:t>
      </w:r>
      <w:r>
        <w:rPr>
          <w:rFonts w:hint="eastAsia" w:ascii="宋体" w:hAnsi="宋体" w:cs="宋体"/>
          <w:spacing w:val="-5"/>
          <w:sz w:val="24"/>
          <w:szCs w:val="24"/>
        </w:rPr>
        <w:t xml:space="preserve">人员就业比例不少于 </w:t>
      </w:r>
      <w:r>
        <w:rPr>
          <w:rFonts w:hint="eastAsia" w:ascii="宋体" w:hAnsi="宋体" w:cs="宋体"/>
          <w:spacing w:val="-6"/>
          <w:sz w:val="24"/>
          <w:szCs w:val="24"/>
        </w:rPr>
        <w:t>70%，其中：普通基础工作岗位吸纳民丰</w:t>
      </w:r>
      <w:r>
        <w:rPr>
          <w:rFonts w:hint="eastAsia" w:ascii="宋体" w:hAnsi="宋体" w:cs="宋体"/>
          <w:spacing w:val="-5"/>
          <w:sz w:val="24"/>
          <w:szCs w:val="24"/>
        </w:rPr>
        <w:t xml:space="preserve">县籍劳动力就业比例不少于 </w:t>
      </w:r>
      <w:r>
        <w:rPr>
          <w:rFonts w:hint="eastAsia" w:ascii="宋体" w:hAnsi="宋体" w:cs="宋体"/>
          <w:spacing w:val="-10"/>
          <w:sz w:val="24"/>
          <w:szCs w:val="24"/>
        </w:rPr>
        <w:t>90%</w:t>
      </w:r>
      <w:r>
        <w:rPr>
          <w:rFonts w:hint="eastAsia" w:ascii="宋体" w:hAnsi="宋体" w:cs="宋体"/>
          <w:spacing w:val="-7"/>
          <w:sz w:val="24"/>
          <w:szCs w:val="24"/>
        </w:rPr>
        <w:t>；不搞挂靠和接受挂靠，不使用小包工对和未培训的社会闲散人员。</w:t>
      </w:r>
    </w:p>
    <w:p w14:paraId="48AEFCCD">
      <w:pPr>
        <w:rPr>
          <w:rFonts w:hint="eastAsia" w:ascii="宋体" w:hAnsi="宋体" w:cs="宋体"/>
          <w:b/>
          <w:sz w:val="24"/>
          <w:szCs w:val="24"/>
          <w:lang w:val="zh-CN" w:bidi="zh-CN"/>
        </w:rPr>
      </w:pPr>
    </w:p>
    <w:p w14:paraId="7B37DDD7">
      <w:pPr>
        <w:spacing w:before="4"/>
        <w:rPr>
          <w:rFonts w:hint="eastAsia" w:ascii="宋体" w:hAnsi="宋体" w:cs="宋体"/>
          <w:b/>
          <w:sz w:val="24"/>
          <w:szCs w:val="24"/>
          <w:lang w:val="zh-CN" w:bidi="zh-CN"/>
        </w:rPr>
      </w:pPr>
    </w:p>
    <w:p w14:paraId="3AB6A059">
      <w:pPr>
        <w:spacing w:before="1"/>
        <w:ind w:left="1038"/>
        <w:jc w:val="left"/>
        <w:rPr>
          <w:rFonts w:hint="eastAsia" w:ascii="宋体" w:hAnsi="宋体" w:cs="宋体"/>
          <w:sz w:val="24"/>
          <w:szCs w:val="24"/>
        </w:rPr>
      </w:pPr>
      <w:r>
        <w:rPr>
          <w:rFonts w:hint="eastAsia" w:ascii="宋体" w:hAnsi="宋体" w:cs="宋体"/>
          <w:sz w:val="24"/>
          <w:szCs w:val="24"/>
        </w:rPr>
        <w:t>特此承诺！</w:t>
      </w:r>
    </w:p>
    <w:p w14:paraId="2B04598D">
      <w:pPr>
        <w:rPr>
          <w:rFonts w:hint="eastAsia" w:ascii="宋体" w:hAnsi="宋体" w:cs="宋体"/>
          <w:sz w:val="24"/>
          <w:szCs w:val="24"/>
          <w:lang w:val="zh-CN" w:bidi="zh-CN"/>
        </w:rPr>
      </w:pPr>
    </w:p>
    <w:p w14:paraId="799D5D3D">
      <w:pPr>
        <w:spacing w:before="9"/>
        <w:rPr>
          <w:rFonts w:hint="eastAsia" w:ascii="宋体" w:hAnsi="宋体" w:cs="宋体"/>
          <w:sz w:val="24"/>
          <w:szCs w:val="24"/>
          <w:lang w:val="zh-CN" w:bidi="zh-CN"/>
        </w:rPr>
      </w:pPr>
    </w:p>
    <w:p w14:paraId="4A5FC8E8">
      <w:pPr>
        <w:ind w:left="712" w:right="389"/>
        <w:jc w:val="center"/>
        <w:rPr>
          <w:rFonts w:hint="eastAsia" w:ascii="宋体" w:hAnsi="宋体" w:cs="宋体"/>
          <w:sz w:val="24"/>
          <w:szCs w:val="24"/>
        </w:rPr>
      </w:pPr>
      <w:r>
        <w:rPr>
          <w:rFonts w:hint="eastAsia" w:ascii="宋体" w:hAnsi="宋体" w:cs="宋体"/>
          <w:spacing w:val="-3"/>
          <w:sz w:val="24"/>
          <w:szCs w:val="24"/>
        </w:rPr>
        <w:t>承诺单位（</w:t>
      </w:r>
      <w:r>
        <w:rPr>
          <w:rFonts w:hint="eastAsia" w:ascii="宋体" w:hAnsi="宋体" w:cs="宋体"/>
          <w:spacing w:val="-2"/>
          <w:sz w:val="24"/>
          <w:szCs w:val="24"/>
        </w:rPr>
        <w:t>盖章</w:t>
      </w:r>
      <w:r>
        <w:rPr>
          <w:rFonts w:hint="eastAsia" w:ascii="宋体" w:hAnsi="宋体" w:cs="宋体"/>
          <w:spacing w:val="-106"/>
          <w:sz w:val="24"/>
          <w:szCs w:val="24"/>
        </w:rPr>
        <w:t>）</w:t>
      </w:r>
      <w:r>
        <w:rPr>
          <w:rFonts w:hint="eastAsia" w:ascii="宋体" w:hAnsi="宋体" w:cs="宋体"/>
          <w:sz w:val="24"/>
          <w:szCs w:val="24"/>
        </w:rPr>
        <w:t>：</w:t>
      </w:r>
    </w:p>
    <w:p w14:paraId="1BDF262D">
      <w:pPr>
        <w:rPr>
          <w:rFonts w:hint="eastAsia" w:ascii="宋体" w:hAnsi="宋体" w:cs="宋体"/>
          <w:sz w:val="24"/>
          <w:szCs w:val="24"/>
          <w:lang w:val="zh-CN" w:bidi="zh-CN"/>
        </w:rPr>
      </w:pPr>
    </w:p>
    <w:p w14:paraId="428F8835">
      <w:pPr>
        <w:spacing w:before="3"/>
        <w:rPr>
          <w:rFonts w:hint="eastAsia" w:ascii="宋体" w:hAnsi="宋体" w:cs="宋体"/>
          <w:sz w:val="24"/>
          <w:szCs w:val="24"/>
          <w:lang w:val="zh-CN" w:bidi="zh-CN"/>
        </w:rPr>
      </w:pPr>
    </w:p>
    <w:p w14:paraId="49C9F6AD">
      <w:pPr>
        <w:ind w:right="3867"/>
        <w:jc w:val="right"/>
        <w:rPr>
          <w:rFonts w:hint="eastAsia" w:ascii="宋体" w:hAnsi="宋体" w:cs="宋体"/>
          <w:sz w:val="24"/>
          <w:szCs w:val="24"/>
        </w:rPr>
      </w:pPr>
      <w:r>
        <w:rPr>
          <w:rFonts w:hint="eastAsia" w:ascii="宋体" w:hAnsi="宋体" w:cs="宋体"/>
          <w:spacing w:val="-3"/>
          <w:sz w:val="24"/>
          <w:szCs w:val="24"/>
        </w:rPr>
        <w:t>企业法定代表人（</w:t>
      </w:r>
      <w:r>
        <w:rPr>
          <w:rFonts w:hint="eastAsia" w:ascii="宋体" w:hAnsi="宋体" w:cs="宋体"/>
          <w:spacing w:val="-2"/>
          <w:sz w:val="24"/>
          <w:szCs w:val="24"/>
        </w:rPr>
        <w:t>签字</w:t>
      </w:r>
      <w:r>
        <w:rPr>
          <w:rFonts w:hint="eastAsia" w:ascii="宋体" w:hAnsi="宋体" w:cs="宋体"/>
          <w:spacing w:val="-106"/>
          <w:sz w:val="24"/>
          <w:szCs w:val="24"/>
        </w:rPr>
        <w:t>）</w:t>
      </w:r>
      <w:r>
        <w:rPr>
          <w:rFonts w:hint="eastAsia" w:ascii="宋体" w:hAnsi="宋体" w:cs="宋体"/>
          <w:sz w:val="24"/>
          <w:szCs w:val="24"/>
        </w:rPr>
        <w:t>：</w:t>
      </w:r>
    </w:p>
    <w:p w14:paraId="24AB38E6">
      <w:pPr>
        <w:spacing w:before="112"/>
        <w:ind w:right="3867"/>
        <w:jc w:val="right"/>
        <w:rPr>
          <w:rFonts w:hint="eastAsia" w:ascii="宋体" w:hAnsi="宋体" w:cs="宋体"/>
          <w:sz w:val="24"/>
          <w:szCs w:val="24"/>
        </w:rPr>
      </w:pPr>
      <w:r>
        <w:rPr>
          <w:rFonts w:hint="eastAsia" w:ascii="宋体" w:hAnsi="宋体" w:cs="宋体"/>
          <w:spacing w:val="-3"/>
          <w:sz w:val="24"/>
          <w:szCs w:val="24"/>
        </w:rPr>
        <w:t>联系电话：</w:t>
      </w:r>
    </w:p>
    <w:p w14:paraId="7AB793BE">
      <w:pPr>
        <w:rPr>
          <w:rFonts w:hint="eastAsia" w:ascii="宋体" w:hAnsi="宋体" w:cs="宋体"/>
          <w:sz w:val="24"/>
          <w:szCs w:val="24"/>
          <w:lang w:val="zh-CN" w:bidi="zh-CN"/>
        </w:rPr>
      </w:pPr>
    </w:p>
    <w:p w14:paraId="575C4325">
      <w:pPr>
        <w:spacing w:before="3"/>
        <w:rPr>
          <w:rFonts w:hint="eastAsia" w:ascii="宋体" w:hAnsi="宋体" w:cs="宋体"/>
          <w:sz w:val="24"/>
          <w:szCs w:val="24"/>
          <w:lang w:val="zh-CN" w:bidi="zh-CN"/>
        </w:rPr>
      </w:pPr>
    </w:p>
    <w:p w14:paraId="5B9C03DE">
      <w:pPr>
        <w:ind w:left="712" w:right="185"/>
        <w:jc w:val="center"/>
        <w:rPr>
          <w:rFonts w:hint="eastAsia" w:ascii="宋体" w:hAnsi="宋体" w:cs="宋体"/>
          <w:sz w:val="24"/>
          <w:szCs w:val="24"/>
        </w:rPr>
      </w:pPr>
      <w:r>
        <w:rPr>
          <w:rFonts w:hint="eastAsia" w:ascii="宋体" w:hAnsi="宋体" w:cs="宋体"/>
          <w:spacing w:val="-3"/>
          <w:sz w:val="24"/>
          <w:szCs w:val="24"/>
        </w:rPr>
        <w:t>承诺人：本工程项目经理（</w:t>
      </w:r>
      <w:r>
        <w:rPr>
          <w:rFonts w:hint="eastAsia" w:ascii="宋体" w:hAnsi="宋体" w:cs="宋体"/>
          <w:spacing w:val="-2"/>
          <w:sz w:val="24"/>
          <w:szCs w:val="24"/>
        </w:rPr>
        <w:t>签字</w:t>
      </w:r>
      <w:r>
        <w:rPr>
          <w:rFonts w:hint="eastAsia" w:ascii="宋体" w:hAnsi="宋体" w:cs="宋体"/>
          <w:spacing w:val="-106"/>
          <w:sz w:val="24"/>
          <w:szCs w:val="24"/>
        </w:rPr>
        <w:t>）</w:t>
      </w:r>
      <w:r>
        <w:rPr>
          <w:rFonts w:hint="eastAsia" w:ascii="宋体" w:hAnsi="宋体" w:cs="宋体"/>
          <w:sz w:val="24"/>
          <w:szCs w:val="24"/>
        </w:rPr>
        <w:t>：</w:t>
      </w:r>
    </w:p>
    <w:p w14:paraId="18FE9403">
      <w:pPr>
        <w:spacing w:before="112"/>
        <w:ind w:left="3115" w:right="800"/>
        <w:jc w:val="center"/>
        <w:rPr>
          <w:rFonts w:hint="eastAsia" w:ascii="宋体" w:hAnsi="宋体" w:cs="宋体"/>
          <w:sz w:val="24"/>
          <w:szCs w:val="24"/>
        </w:rPr>
      </w:pPr>
      <w:r>
        <w:rPr>
          <w:rFonts w:hint="eastAsia" w:ascii="宋体" w:hAnsi="宋体" w:cs="宋体"/>
          <w:sz w:val="24"/>
          <w:szCs w:val="24"/>
        </w:rPr>
        <w:t>联系电话：</w:t>
      </w:r>
    </w:p>
    <w:p w14:paraId="38C96594">
      <w:pPr>
        <w:spacing w:before="9"/>
        <w:rPr>
          <w:rFonts w:hint="eastAsia" w:ascii="宋体" w:hAnsi="宋体" w:cs="宋体"/>
          <w:sz w:val="24"/>
          <w:szCs w:val="24"/>
          <w:lang w:val="zh-CN" w:bidi="zh-CN"/>
        </w:rPr>
      </w:pPr>
      <w:r>
        <w:rPr>
          <w:rFonts w:hint="eastAsia" w:ascii="宋体" w:hAnsi="宋体" w:eastAsia="宋体" w:cs="宋体"/>
          <w:sz w:val="24"/>
          <w:szCs w:val="24"/>
        </w:rPr>
        <mc:AlternateContent>
          <mc:Choice Requires="wps">
            <w:drawing>
              <wp:anchor distT="0" distB="0" distL="114300" distR="114300" simplePos="0" relativeHeight="251659264" behindDoc="1" locked="0" layoutInCell="1" allowOverlap="1">
                <wp:simplePos x="0" y="0"/>
                <wp:positionH relativeFrom="page">
                  <wp:posOffset>4542155</wp:posOffset>
                </wp:positionH>
                <wp:positionV relativeFrom="paragraph">
                  <wp:posOffset>217170</wp:posOffset>
                </wp:positionV>
                <wp:extent cx="66675" cy="6985"/>
                <wp:effectExtent l="0" t="0" r="0" b="0"/>
                <wp:wrapTopAndBottom/>
                <wp:docPr id="2" name="矩形 2"/>
                <wp:cNvGraphicFramePr/>
                <a:graphic xmlns:a="http://schemas.openxmlformats.org/drawingml/2006/main">
                  <a:graphicData uri="http://schemas.microsoft.com/office/word/2010/wordprocessingShape">
                    <wps:wsp>
                      <wps:cNvSpPr/>
                      <wps:spPr>
                        <a:xfrm>
                          <a:off x="0" y="0"/>
                          <a:ext cx="66675" cy="698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357.65pt;margin-top:17.1pt;height:0.55pt;width:5.25pt;mso-position-horizontal-relative:page;mso-wrap-distance-bottom:0pt;mso-wrap-distance-top:0pt;z-index:-251657216;mso-width-relative:page;mso-height-relative:page;" fillcolor="#000000" filled="t" stroked="f" coordsize="21600,21600" o:gfxdata="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BHLUW2AAA&#10;AAkBAAAPAAAAAAAAAAEAIAAAACIAAABkcnMvZG93bnJldi54bWxQSwECFAAUAAAACACHTuJADMhF&#10;vawBAABbAwAADgAAAAAAAAABACAAAAAnAQAAZHJzL2Uyb0RvYy54bWxQSwUGAAAAAAYABgBZAQAA&#10;RQUAAAAA&#10;">
                <v:fill on="t" focussize="0,0"/>
                <v:stroke on="f"/>
                <v:imagedata o:title=""/>
                <o:lock v:ext="edit" aspectratio="f"/>
                <w10:wrap type="topAndBottom"/>
              </v:rect>
            </w:pict>
          </mc:Fallback>
        </mc:AlternateContent>
      </w:r>
    </w:p>
    <w:p w14:paraId="542259EE">
      <w:pPr>
        <w:spacing w:before="1"/>
        <w:rPr>
          <w:rFonts w:hint="eastAsia" w:ascii="宋体" w:hAnsi="宋体" w:cs="宋体"/>
          <w:sz w:val="24"/>
          <w:szCs w:val="24"/>
          <w:lang w:val="zh-CN" w:bidi="zh-CN"/>
        </w:rPr>
      </w:pPr>
    </w:p>
    <w:p w14:paraId="72397C1C">
      <w:pPr>
        <w:tabs>
          <w:tab w:val="left" w:pos="7236"/>
          <w:tab w:val="left" w:pos="7865"/>
          <w:tab w:val="left" w:pos="8497"/>
        </w:tabs>
        <w:spacing w:before="72"/>
        <w:ind w:left="6082"/>
        <w:jc w:val="left"/>
        <w:rPr>
          <w:rFonts w:hint="eastAsia"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pacing w:val="-3"/>
          <w:sz w:val="24"/>
          <w:szCs w:val="24"/>
        </w:rPr>
        <w:t>年</w:t>
      </w:r>
      <w:r>
        <w:rPr>
          <w:rFonts w:hint="eastAsia" w:ascii="宋体" w:hAnsi="宋体" w:cs="宋体"/>
          <w:spacing w:val="-3"/>
          <w:sz w:val="24"/>
          <w:szCs w:val="24"/>
          <w:u w:val="single"/>
        </w:rPr>
        <w:t xml:space="preserve"> </w:t>
      </w:r>
      <w:r>
        <w:rPr>
          <w:rFonts w:hint="eastAsia" w:ascii="宋体" w:hAnsi="宋体" w:cs="宋体"/>
          <w:spacing w:val="-3"/>
          <w:sz w:val="24"/>
          <w:szCs w:val="24"/>
          <w:u w:val="single"/>
        </w:rPr>
        <w:tab/>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rPr>
        <w:t>日</w:t>
      </w:r>
    </w:p>
    <w:p w14:paraId="045C2CF5">
      <w:pPr>
        <w:tabs>
          <w:tab w:val="left" w:pos="7236"/>
          <w:tab w:val="left" w:pos="7865"/>
          <w:tab w:val="left" w:pos="8497"/>
        </w:tabs>
        <w:spacing w:before="72"/>
        <w:ind w:left="6082"/>
        <w:jc w:val="left"/>
        <w:rPr>
          <w:rFonts w:hint="eastAsia" w:ascii="宋体" w:hAnsi="宋体" w:cs="宋体"/>
          <w:sz w:val="24"/>
          <w:szCs w:val="24"/>
        </w:rPr>
      </w:pPr>
    </w:p>
    <w:p w14:paraId="1EB01B01">
      <w:pPr>
        <w:pStyle w:val="7"/>
        <w:tabs>
          <w:tab w:val="left" w:pos="9214"/>
        </w:tabs>
        <w:ind w:right="-57" w:firstLine="0"/>
        <w:outlineLvl w:val="1"/>
        <w:rPr>
          <w:rFonts w:hint="eastAsia" w:ascii="宋体" w:hAnsi="宋体" w:eastAsia="宋体" w:cs="宋体"/>
          <w:b/>
          <w:sz w:val="21"/>
          <w:szCs w:val="21"/>
        </w:rPr>
      </w:pPr>
      <w:r>
        <w:rPr>
          <w:rFonts w:hint="eastAsia" w:ascii="宋体" w:hAnsi="宋体" w:eastAsia="宋体" w:cs="宋体"/>
          <w:b/>
          <w:sz w:val="21"/>
          <w:szCs w:val="21"/>
        </w:rPr>
        <w:t>各类声明函</w:t>
      </w:r>
    </w:p>
    <w:p w14:paraId="690EF9A5">
      <w:pPr>
        <w:pStyle w:val="34"/>
        <w:spacing w:line="360" w:lineRule="auto"/>
        <w:jc w:val="both"/>
        <w:outlineLvl w:val="2"/>
        <w:rPr>
          <w:rFonts w:hint="eastAsia" w:ascii="宋体" w:hAnsi="宋体" w:eastAsia="宋体" w:cs="宋体"/>
          <w:b/>
          <w:sz w:val="21"/>
          <w:szCs w:val="21"/>
        </w:rPr>
      </w:pPr>
      <w:bookmarkStart w:id="545" w:name="_Toc114589543"/>
      <w:bookmarkStart w:id="546" w:name="_Toc13400"/>
      <w:bookmarkStart w:id="547" w:name="_Toc24019"/>
      <w:bookmarkStart w:id="548" w:name="_Toc16588"/>
      <w:bookmarkStart w:id="549" w:name="_Toc115436135"/>
      <w:r>
        <w:rPr>
          <w:rFonts w:hint="eastAsia" w:ascii="宋体" w:hAnsi="宋体" w:eastAsia="宋体" w:cs="宋体"/>
          <w:b/>
          <w:sz w:val="21"/>
          <w:szCs w:val="21"/>
        </w:rPr>
        <w:t>附件8-1</w:t>
      </w:r>
      <w:bookmarkStart w:id="550" w:name="_Toc71631935"/>
      <w:r>
        <w:rPr>
          <w:rFonts w:hint="eastAsia" w:ascii="宋体" w:hAnsi="宋体" w:eastAsia="宋体" w:cs="宋体"/>
          <w:b/>
          <w:sz w:val="21"/>
          <w:szCs w:val="21"/>
        </w:rPr>
        <w:t xml:space="preserve"> 中小企业声明函</w:t>
      </w:r>
      <w:bookmarkEnd w:id="550"/>
      <w:r>
        <w:rPr>
          <w:rFonts w:hint="eastAsia" w:ascii="宋体" w:hAnsi="宋体" w:eastAsia="宋体" w:cs="宋体"/>
          <w:b/>
          <w:sz w:val="21"/>
          <w:szCs w:val="21"/>
        </w:rPr>
        <w:t>（如是）</w:t>
      </w:r>
      <w:bookmarkEnd w:id="545"/>
      <w:bookmarkEnd w:id="546"/>
      <w:bookmarkEnd w:id="547"/>
      <w:bookmarkEnd w:id="548"/>
      <w:bookmarkEnd w:id="549"/>
    </w:p>
    <w:p w14:paraId="4B86987E">
      <w:pPr>
        <w:adjustRightInd w:val="0"/>
        <w:snapToGrid w:val="0"/>
        <w:spacing w:line="360" w:lineRule="auto"/>
        <w:ind w:hanging="540"/>
        <w:jc w:val="center"/>
        <w:rPr>
          <w:rFonts w:hint="eastAsia" w:ascii="宋体" w:hAnsi="宋体" w:eastAsia="宋体" w:cs="宋体"/>
          <w:b/>
          <w:kern w:val="0"/>
          <w:sz w:val="21"/>
          <w:szCs w:val="21"/>
        </w:rPr>
      </w:pPr>
    </w:p>
    <w:p w14:paraId="6D039015">
      <w:pPr>
        <w:pStyle w:val="9"/>
        <w:tabs>
          <w:tab w:val="left" w:pos="5580"/>
        </w:tabs>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本公司（联合体）郑重声明，根据《政府采购促进中小企业发展管理办法》（财库﹝2020﹞46 号）的规定，本公司（联合体）参加</w:t>
      </w:r>
      <w:r>
        <w:rPr>
          <w:rFonts w:hint="eastAsia" w:ascii="宋体" w:hAnsi="宋体" w:eastAsia="宋体" w:cs="宋体"/>
          <w:i w:val="0"/>
          <w:sz w:val="21"/>
          <w:szCs w:val="21"/>
          <w:u w:val="none"/>
        </w:rPr>
        <w:t>（单位名称）</w:t>
      </w:r>
      <w:r>
        <w:rPr>
          <w:rFonts w:hint="eastAsia" w:ascii="宋体" w:hAnsi="宋体" w:eastAsia="宋体" w:cs="宋体"/>
          <w:sz w:val="21"/>
          <w:szCs w:val="21"/>
        </w:rPr>
        <w:t>的</w:t>
      </w:r>
      <w:r>
        <w:rPr>
          <w:rFonts w:hint="eastAsia" w:ascii="宋体" w:hAnsi="宋体" w:eastAsia="宋体" w:cs="宋体"/>
          <w:i w:val="0"/>
          <w:sz w:val="21"/>
          <w:szCs w:val="21"/>
          <w:u w:val="none"/>
        </w:rPr>
        <w:t>（项目名称）</w:t>
      </w:r>
      <w:r>
        <w:rPr>
          <w:rFonts w:hint="eastAsia" w:ascii="宋体" w:hAnsi="宋体" w:eastAsia="宋体" w:cs="宋体"/>
          <w:sz w:val="21"/>
          <w:szCs w:val="21"/>
        </w:rPr>
        <w:t>采购活动，提供的货物全部由符合政策要求的中小企业制造。相关企业（含联合体中的中小企业、签订分包意向协议的中小企业）的具体情况如下：</w:t>
      </w:r>
    </w:p>
    <w:p w14:paraId="4E88ECAA">
      <w:pPr>
        <w:pStyle w:val="9"/>
        <w:tabs>
          <w:tab w:val="left" w:pos="5580"/>
        </w:tabs>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1. </w:t>
      </w:r>
      <w:r>
        <w:rPr>
          <w:rFonts w:hint="eastAsia" w:ascii="宋体" w:hAnsi="宋体" w:eastAsia="宋体" w:cs="宋体"/>
          <w:i w:val="0"/>
          <w:sz w:val="21"/>
          <w:szCs w:val="21"/>
          <w:u w:val="none"/>
        </w:rPr>
        <w:t>（标的名称）</w:t>
      </w:r>
      <w:r>
        <w:rPr>
          <w:rFonts w:hint="eastAsia" w:ascii="宋体" w:hAnsi="宋体" w:eastAsia="宋体" w:cs="宋体"/>
          <w:sz w:val="21"/>
          <w:szCs w:val="21"/>
        </w:rPr>
        <w:t xml:space="preserve"> ，属于</w:t>
      </w:r>
      <w:r>
        <w:rPr>
          <w:rFonts w:hint="eastAsia" w:ascii="宋体" w:hAnsi="宋体" w:eastAsia="宋体" w:cs="宋体"/>
          <w:i w:val="0"/>
          <w:sz w:val="21"/>
          <w:szCs w:val="21"/>
          <w:u w:val="single"/>
        </w:rPr>
        <w:t>（采购文件中明确的所属行业）</w:t>
      </w:r>
      <w:r>
        <w:rPr>
          <w:rFonts w:hint="eastAsia" w:ascii="宋体" w:hAnsi="宋体" w:eastAsia="宋体" w:cs="宋体"/>
          <w:sz w:val="21"/>
          <w:szCs w:val="21"/>
        </w:rPr>
        <w:t>行业；制造商为</w:t>
      </w:r>
      <w:r>
        <w:rPr>
          <w:rFonts w:hint="eastAsia" w:ascii="宋体" w:hAnsi="宋体" w:eastAsia="宋体" w:cs="宋体"/>
          <w:i w:val="0"/>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xml:space="preserve">      </w:t>
      </w:r>
      <w:r>
        <w:rPr>
          <w:rFonts w:hint="eastAsia" w:ascii="宋体" w:hAnsi="宋体" w:eastAsia="宋体" w:cs="宋体"/>
          <w:sz w:val="21"/>
          <w:szCs w:val="21"/>
        </w:rPr>
        <w:t>人，营业收入为</w:t>
      </w:r>
      <w:r>
        <w:rPr>
          <w:rFonts w:hint="eastAsia" w:ascii="宋体" w:hAnsi="宋体" w:eastAsia="宋体" w:cs="宋体"/>
          <w:sz w:val="21"/>
          <w:szCs w:val="21"/>
          <w:u w:val="single"/>
        </w:rPr>
        <w:t xml:space="preserve">      </w:t>
      </w:r>
      <w:r>
        <w:rPr>
          <w:rFonts w:hint="eastAsia" w:ascii="宋体" w:hAnsi="宋体" w:eastAsia="宋体" w:cs="宋体"/>
          <w:sz w:val="21"/>
          <w:szCs w:val="21"/>
        </w:rPr>
        <w:t>万元，资产总额为</w:t>
      </w:r>
      <w:r>
        <w:rPr>
          <w:rFonts w:hint="eastAsia" w:ascii="宋体" w:hAnsi="宋体" w:eastAsia="宋体" w:cs="宋体"/>
          <w:sz w:val="21"/>
          <w:szCs w:val="21"/>
          <w:u w:val="single"/>
        </w:rPr>
        <w:t xml:space="preserve">    </w:t>
      </w:r>
      <w:r>
        <w:rPr>
          <w:rFonts w:hint="eastAsia" w:ascii="宋体" w:hAnsi="宋体" w:eastAsia="宋体" w:cs="宋体"/>
          <w:sz w:val="21"/>
          <w:szCs w:val="21"/>
        </w:rPr>
        <w:t>万元，属于</w:t>
      </w:r>
      <w:r>
        <w:rPr>
          <w:rFonts w:hint="eastAsia" w:ascii="宋体" w:hAnsi="宋体" w:eastAsia="宋体" w:cs="宋体"/>
          <w:i w:val="0"/>
          <w:sz w:val="21"/>
          <w:szCs w:val="21"/>
          <w:u w:val="none"/>
        </w:rPr>
        <w:t>（中型企业、小型企业、微型企业）</w:t>
      </w:r>
      <w:r>
        <w:rPr>
          <w:rFonts w:hint="eastAsia" w:ascii="宋体" w:hAnsi="宋体" w:eastAsia="宋体" w:cs="宋体"/>
          <w:sz w:val="21"/>
          <w:szCs w:val="21"/>
        </w:rPr>
        <w:t>；</w:t>
      </w:r>
    </w:p>
    <w:p w14:paraId="1190B092">
      <w:pPr>
        <w:pStyle w:val="9"/>
        <w:tabs>
          <w:tab w:val="left" w:pos="5580"/>
        </w:tabs>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2. </w:t>
      </w:r>
      <w:r>
        <w:rPr>
          <w:rFonts w:hint="eastAsia" w:ascii="宋体" w:hAnsi="宋体" w:eastAsia="宋体" w:cs="宋体"/>
          <w:sz w:val="21"/>
          <w:szCs w:val="21"/>
          <w:u w:val="none"/>
        </w:rPr>
        <w:t>（</w:t>
      </w:r>
      <w:r>
        <w:rPr>
          <w:rFonts w:hint="eastAsia" w:ascii="宋体" w:hAnsi="宋体" w:eastAsia="宋体" w:cs="宋体"/>
          <w:i w:val="0"/>
          <w:sz w:val="21"/>
          <w:szCs w:val="21"/>
          <w:u w:val="none"/>
        </w:rPr>
        <w:t>标的名称）</w:t>
      </w:r>
      <w:r>
        <w:rPr>
          <w:rFonts w:hint="eastAsia" w:ascii="宋体" w:hAnsi="宋体" w:eastAsia="宋体" w:cs="宋体"/>
          <w:sz w:val="21"/>
          <w:szCs w:val="21"/>
        </w:rPr>
        <w:t xml:space="preserve"> ，属于</w:t>
      </w:r>
      <w:r>
        <w:rPr>
          <w:rFonts w:hint="eastAsia" w:ascii="宋体" w:hAnsi="宋体" w:eastAsia="宋体" w:cs="宋体"/>
          <w:i w:val="0"/>
          <w:sz w:val="21"/>
          <w:szCs w:val="21"/>
          <w:u w:val="single"/>
        </w:rPr>
        <w:t>（采购文件中明确的所属行业）</w:t>
      </w:r>
      <w:r>
        <w:rPr>
          <w:rFonts w:hint="eastAsia" w:ascii="宋体" w:hAnsi="宋体" w:eastAsia="宋体" w:cs="宋体"/>
          <w:sz w:val="21"/>
          <w:szCs w:val="21"/>
        </w:rPr>
        <w:t>行业；制造商为</w:t>
      </w:r>
      <w:r>
        <w:rPr>
          <w:rFonts w:hint="eastAsia" w:ascii="宋体" w:hAnsi="宋体" w:eastAsia="宋体" w:cs="宋体"/>
          <w:i w:val="0"/>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xml:space="preserve">      </w:t>
      </w:r>
      <w:r>
        <w:rPr>
          <w:rFonts w:hint="eastAsia" w:ascii="宋体" w:hAnsi="宋体" w:eastAsia="宋体" w:cs="宋体"/>
          <w:sz w:val="21"/>
          <w:szCs w:val="21"/>
        </w:rPr>
        <w:t>人，营业收入为</w:t>
      </w:r>
      <w:r>
        <w:rPr>
          <w:rFonts w:hint="eastAsia" w:ascii="宋体" w:hAnsi="宋体" w:eastAsia="宋体" w:cs="宋体"/>
          <w:sz w:val="21"/>
          <w:szCs w:val="21"/>
          <w:u w:val="single"/>
        </w:rPr>
        <w:t xml:space="preserve">      </w:t>
      </w:r>
      <w:r>
        <w:rPr>
          <w:rFonts w:hint="eastAsia" w:ascii="宋体" w:hAnsi="宋体" w:eastAsia="宋体" w:cs="宋体"/>
          <w:sz w:val="21"/>
          <w:szCs w:val="21"/>
        </w:rPr>
        <w:t>万元，资产总额为</w:t>
      </w:r>
      <w:r>
        <w:rPr>
          <w:rFonts w:hint="eastAsia" w:ascii="宋体" w:hAnsi="宋体" w:eastAsia="宋体" w:cs="宋体"/>
          <w:sz w:val="21"/>
          <w:szCs w:val="21"/>
          <w:u w:val="single"/>
        </w:rPr>
        <w:t xml:space="preserve">    </w:t>
      </w:r>
      <w:r>
        <w:rPr>
          <w:rFonts w:hint="eastAsia" w:ascii="宋体" w:hAnsi="宋体" w:eastAsia="宋体" w:cs="宋体"/>
          <w:sz w:val="21"/>
          <w:szCs w:val="21"/>
        </w:rPr>
        <w:t>万元，属于</w:t>
      </w:r>
      <w:r>
        <w:rPr>
          <w:rFonts w:hint="eastAsia" w:ascii="宋体" w:hAnsi="宋体" w:eastAsia="宋体" w:cs="宋体"/>
          <w:i w:val="0"/>
          <w:sz w:val="21"/>
          <w:szCs w:val="21"/>
          <w:u w:val="none"/>
        </w:rPr>
        <w:t>（中型企业、小型企业、微型企业）</w:t>
      </w:r>
      <w:r>
        <w:rPr>
          <w:rFonts w:hint="eastAsia" w:ascii="宋体" w:hAnsi="宋体" w:eastAsia="宋体" w:cs="宋体"/>
          <w:sz w:val="21"/>
          <w:szCs w:val="21"/>
        </w:rPr>
        <w:t>；</w:t>
      </w:r>
    </w:p>
    <w:p w14:paraId="4F4D6469">
      <w:pPr>
        <w:pStyle w:val="9"/>
        <w:tabs>
          <w:tab w:val="left" w:pos="5580"/>
        </w:tabs>
        <w:adjustRightInd w:val="0"/>
        <w:snapToGrid w:val="0"/>
        <w:spacing w:line="360" w:lineRule="auto"/>
        <w:ind w:left="46" w:hanging="39" w:hangingChars="19"/>
        <w:rPr>
          <w:rFonts w:hint="eastAsia" w:ascii="宋体" w:hAnsi="宋体" w:eastAsia="宋体" w:cs="宋体"/>
          <w:sz w:val="21"/>
          <w:szCs w:val="21"/>
        </w:rPr>
      </w:pPr>
      <w:r>
        <w:rPr>
          <w:rFonts w:hint="eastAsia" w:ascii="宋体" w:hAnsi="宋体" w:eastAsia="宋体" w:cs="宋体"/>
          <w:sz w:val="21"/>
          <w:szCs w:val="21"/>
        </w:rPr>
        <w:t>……</w:t>
      </w:r>
    </w:p>
    <w:p w14:paraId="0B4C6BF9">
      <w:pPr>
        <w:pStyle w:val="9"/>
        <w:tabs>
          <w:tab w:val="left" w:pos="5580"/>
        </w:tabs>
        <w:adjustRightInd w:val="0"/>
        <w:snapToGrid w:val="0"/>
        <w:spacing w:line="360" w:lineRule="auto"/>
        <w:ind w:firstLine="430" w:firstLineChars="205"/>
        <w:rPr>
          <w:rFonts w:hint="eastAsia" w:ascii="宋体" w:hAnsi="宋体" w:eastAsia="宋体" w:cs="宋体"/>
          <w:sz w:val="21"/>
          <w:szCs w:val="21"/>
        </w:rPr>
      </w:pPr>
      <w:r>
        <w:rPr>
          <w:rFonts w:hint="eastAsia" w:ascii="宋体" w:hAnsi="宋体" w:eastAsia="宋体" w:cs="宋体"/>
          <w:sz w:val="21"/>
          <w:szCs w:val="21"/>
        </w:rPr>
        <w:t>以上企业，不属于大企业的分支机构，不存在控股股东为大企业的情形，也不存在与大企业的负责人为同一人的情形。</w:t>
      </w:r>
    </w:p>
    <w:p w14:paraId="0704DAD8">
      <w:pPr>
        <w:pStyle w:val="9"/>
        <w:tabs>
          <w:tab w:val="left" w:pos="5580"/>
        </w:tabs>
        <w:adjustRightInd w:val="0"/>
        <w:snapToGrid w:val="0"/>
        <w:spacing w:line="360" w:lineRule="auto"/>
        <w:ind w:firstLine="430" w:firstLineChars="205"/>
        <w:rPr>
          <w:rFonts w:hint="eastAsia" w:ascii="宋体" w:hAnsi="宋体" w:eastAsia="宋体" w:cs="宋体"/>
          <w:sz w:val="21"/>
          <w:szCs w:val="21"/>
        </w:rPr>
      </w:pPr>
      <w:r>
        <w:rPr>
          <w:rFonts w:hint="eastAsia" w:ascii="宋体" w:hAnsi="宋体" w:eastAsia="宋体" w:cs="宋体"/>
          <w:sz w:val="21"/>
          <w:szCs w:val="21"/>
        </w:rPr>
        <w:t>本企业对上述声明内容的真实性负责。如有虚假，将依法承担相应责任。</w:t>
      </w:r>
    </w:p>
    <w:p w14:paraId="0E5A928D">
      <w:pPr>
        <w:pStyle w:val="9"/>
        <w:tabs>
          <w:tab w:val="left" w:pos="5580"/>
        </w:tabs>
        <w:adjustRightInd w:val="0"/>
        <w:snapToGrid w:val="0"/>
        <w:spacing w:line="360" w:lineRule="auto"/>
        <w:ind w:hanging="527"/>
        <w:rPr>
          <w:rFonts w:hint="eastAsia" w:ascii="宋体" w:hAnsi="宋体" w:eastAsia="宋体" w:cs="宋体"/>
          <w:sz w:val="21"/>
          <w:szCs w:val="21"/>
        </w:rPr>
      </w:pPr>
    </w:p>
    <w:p w14:paraId="22692182">
      <w:pPr>
        <w:pStyle w:val="9"/>
        <w:tabs>
          <w:tab w:val="left" w:pos="5580"/>
        </w:tabs>
        <w:adjustRightInd w:val="0"/>
        <w:snapToGrid w:val="0"/>
        <w:spacing w:line="360" w:lineRule="auto"/>
        <w:ind w:hanging="527"/>
        <w:rPr>
          <w:rFonts w:hint="eastAsia" w:ascii="宋体" w:hAnsi="宋体" w:eastAsia="宋体" w:cs="宋体"/>
          <w:sz w:val="21"/>
          <w:szCs w:val="21"/>
        </w:rPr>
      </w:pPr>
    </w:p>
    <w:p w14:paraId="7347BBD0">
      <w:pPr>
        <w:pStyle w:val="9"/>
        <w:tabs>
          <w:tab w:val="left" w:pos="5580"/>
        </w:tabs>
        <w:adjustRightInd w:val="0"/>
        <w:snapToGrid w:val="0"/>
        <w:spacing w:line="360" w:lineRule="auto"/>
        <w:ind w:firstLine="4095" w:firstLineChars="1950"/>
        <w:rPr>
          <w:rFonts w:hint="eastAsia" w:ascii="宋体" w:hAnsi="宋体" w:eastAsia="宋体" w:cs="宋体"/>
          <w:sz w:val="21"/>
          <w:szCs w:val="21"/>
        </w:rPr>
      </w:pPr>
      <w:r>
        <w:rPr>
          <w:rFonts w:hint="eastAsia" w:ascii="宋体" w:hAnsi="宋体" w:eastAsia="宋体" w:cs="宋体"/>
          <w:sz w:val="21"/>
          <w:szCs w:val="21"/>
        </w:rPr>
        <w:t>企业名称（盖章）：</w:t>
      </w:r>
    </w:p>
    <w:p w14:paraId="6CC549A6">
      <w:pPr>
        <w:pStyle w:val="9"/>
        <w:tabs>
          <w:tab w:val="left" w:pos="5580"/>
        </w:tabs>
        <w:adjustRightInd w:val="0"/>
        <w:snapToGrid w:val="0"/>
        <w:spacing w:line="360" w:lineRule="auto"/>
        <w:ind w:firstLine="4095" w:firstLineChars="1950"/>
        <w:rPr>
          <w:rFonts w:hint="eastAsia" w:ascii="宋体" w:hAnsi="宋体" w:eastAsia="宋体" w:cs="宋体"/>
          <w:sz w:val="21"/>
          <w:szCs w:val="21"/>
        </w:rPr>
      </w:pPr>
      <w:r>
        <w:rPr>
          <w:rFonts w:hint="eastAsia" w:ascii="宋体" w:hAnsi="宋体" w:eastAsia="宋体" w:cs="宋体"/>
          <w:sz w:val="21"/>
          <w:szCs w:val="21"/>
        </w:rPr>
        <w:t>日期：</w:t>
      </w:r>
    </w:p>
    <w:p w14:paraId="13E72A14">
      <w:pPr>
        <w:pStyle w:val="9"/>
        <w:tabs>
          <w:tab w:val="left" w:pos="5580"/>
        </w:tabs>
        <w:adjustRightInd w:val="0"/>
        <w:snapToGrid w:val="0"/>
        <w:spacing w:line="360" w:lineRule="auto"/>
        <w:ind w:hanging="527"/>
        <w:rPr>
          <w:rFonts w:hint="eastAsia" w:ascii="宋体" w:hAnsi="宋体" w:eastAsia="宋体" w:cs="宋体"/>
          <w:sz w:val="21"/>
          <w:szCs w:val="21"/>
        </w:rPr>
      </w:pPr>
    </w:p>
    <w:p w14:paraId="4EA654E1">
      <w:pPr>
        <w:pStyle w:val="9"/>
        <w:tabs>
          <w:tab w:val="left" w:pos="5580"/>
        </w:tabs>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注1、从业人员、营业收入、资产总额填报上一年度数据，无上一年度数据的新成立企业可不填报。</w:t>
      </w:r>
    </w:p>
    <w:p w14:paraId="43430773">
      <w:pPr>
        <w:pStyle w:val="9"/>
        <w:tabs>
          <w:tab w:val="left" w:pos="5580"/>
        </w:tabs>
        <w:adjustRightInd w:val="0"/>
        <w:snapToGrid w:val="0"/>
        <w:spacing w:line="360" w:lineRule="auto"/>
        <w:outlineLvl w:val="1"/>
        <w:rPr>
          <w:rFonts w:hint="eastAsia" w:ascii="宋体" w:hAnsi="宋体" w:eastAsia="宋体" w:cs="宋体"/>
          <w:sz w:val="21"/>
          <w:szCs w:val="21"/>
        </w:rPr>
      </w:pPr>
      <w:r>
        <w:rPr>
          <w:rFonts w:hint="eastAsia" w:ascii="宋体" w:hAnsi="宋体" w:eastAsia="宋体" w:cs="宋体"/>
          <w:sz w:val="21"/>
          <w:szCs w:val="21"/>
        </w:rPr>
        <w:t>2、请在本表中填写</w:t>
      </w:r>
      <w:r>
        <w:rPr>
          <w:rFonts w:hint="eastAsia" w:ascii="宋体" w:hAnsi="宋体" w:eastAsia="宋体" w:cs="宋体"/>
          <w:sz w:val="21"/>
          <w:szCs w:val="21"/>
          <w:u w:val="single"/>
        </w:rPr>
        <w:t>供应商须知前附表</w:t>
      </w:r>
      <w:r>
        <w:rPr>
          <w:rFonts w:hint="eastAsia" w:ascii="宋体" w:hAnsi="宋体" w:eastAsia="宋体" w:cs="宋体"/>
          <w:sz w:val="21"/>
          <w:szCs w:val="21"/>
        </w:rPr>
        <w:t>中写明的中小企业行业类别。</w:t>
      </w:r>
    </w:p>
    <w:p w14:paraId="51D18CFE">
      <w:pPr>
        <w:pStyle w:val="34"/>
        <w:adjustRightInd w:val="0"/>
        <w:snapToGrid w:val="0"/>
        <w:spacing w:before="0" w:after="0" w:line="360" w:lineRule="auto"/>
        <w:rPr>
          <w:rFonts w:hint="eastAsia" w:ascii="宋体" w:hAnsi="宋体" w:eastAsia="宋体" w:cs="宋体"/>
          <w:sz w:val="21"/>
          <w:szCs w:val="21"/>
        </w:rPr>
      </w:pPr>
      <w:r>
        <w:rPr>
          <w:rFonts w:hint="eastAsia" w:ascii="宋体" w:hAnsi="宋体" w:eastAsia="宋体" w:cs="宋体"/>
          <w:sz w:val="21"/>
          <w:szCs w:val="21"/>
        </w:rPr>
        <w:t>3、制造商如为监狱企业或残疾人福利性单位的，视同为小型、微型企业，请填写此声明函，并需要出具相应的声明函和证明文件（格式后附）。</w:t>
      </w:r>
    </w:p>
    <w:p w14:paraId="0820EF3B">
      <w:pPr>
        <w:rPr>
          <w:rFonts w:hint="eastAsia" w:ascii="宋体" w:hAnsi="宋体" w:eastAsia="宋体" w:cs="宋体"/>
          <w:sz w:val="21"/>
          <w:szCs w:val="21"/>
        </w:rPr>
      </w:pPr>
      <w:r>
        <w:rPr>
          <w:rFonts w:hint="eastAsia" w:ascii="宋体" w:hAnsi="宋体" w:eastAsia="宋体" w:cs="宋体"/>
          <w:sz w:val="21"/>
          <w:szCs w:val="21"/>
        </w:rPr>
        <w:br w:type="page"/>
      </w:r>
    </w:p>
    <w:p w14:paraId="7B7C2A51">
      <w:pPr>
        <w:pStyle w:val="34"/>
        <w:spacing w:line="360" w:lineRule="auto"/>
        <w:jc w:val="both"/>
        <w:outlineLvl w:val="2"/>
        <w:rPr>
          <w:rFonts w:hint="eastAsia" w:ascii="宋体" w:hAnsi="宋体" w:eastAsia="宋体" w:cs="宋体"/>
          <w:b/>
          <w:sz w:val="21"/>
          <w:szCs w:val="21"/>
        </w:rPr>
      </w:pPr>
      <w:bookmarkStart w:id="551" w:name="_Toc71631936"/>
      <w:bookmarkStart w:id="552" w:name="_Toc114589544"/>
      <w:bookmarkStart w:id="553" w:name="_Toc12969"/>
      <w:bookmarkStart w:id="554" w:name="_Toc7552"/>
      <w:bookmarkStart w:id="555" w:name="_Toc5109"/>
      <w:bookmarkStart w:id="556" w:name="_Toc115436136"/>
      <w:bookmarkStart w:id="557" w:name="_Toc30616"/>
      <w:r>
        <w:rPr>
          <w:rFonts w:hint="eastAsia" w:ascii="宋体" w:hAnsi="宋体" w:eastAsia="宋体" w:cs="宋体"/>
          <w:b/>
          <w:sz w:val="21"/>
          <w:szCs w:val="21"/>
        </w:rPr>
        <w:t>附件8-2  监狱企业声明函</w:t>
      </w:r>
      <w:bookmarkEnd w:id="551"/>
      <w:r>
        <w:rPr>
          <w:rFonts w:hint="eastAsia" w:ascii="宋体" w:hAnsi="宋体" w:eastAsia="宋体" w:cs="宋体"/>
          <w:b/>
          <w:sz w:val="21"/>
          <w:szCs w:val="21"/>
        </w:rPr>
        <w:t>（如是）</w:t>
      </w:r>
      <w:bookmarkEnd w:id="552"/>
      <w:bookmarkEnd w:id="553"/>
      <w:bookmarkEnd w:id="554"/>
      <w:bookmarkEnd w:id="555"/>
      <w:bookmarkEnd w:id="556"/>
      <w:bookmarkEnd w:id="557"/>
    </w:p>
    <w:p w14:paraId="5501225B">
      <w:pPr>
        <w:adjustRightInd w:val="0"/>
        <w:snapToGrid w:val="0"/>
        <w:spacing w:line="360" w:lineRule="auto"/>
        <w:rPr>
          <w:rFonts w:hint="eastAsia" w:ascii="宋体" w:hAnsi="宋体" w:eastAsia="宋体" w:cs="宋体"/>
          <w:b/>
          <w:kern w:val="0"/>
          <w:sz w:val="21"/>
          <w:szCs w:val="21"/>
        </w:rPr>
      </w:pPr>
    </w:p>
    <w:p w14:paraId="03A166A3">
      <w:pPr>
        <w:widowControl/>
        <w:adjustRightInd w:val="0"/>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本单位郑重声明，本单位在参加</w:t>
      </w:r>
      <w:r>
        <w:rPr>
          <w:rFonts w:hint="eastAsia" w:ascii="宋体" w:hAnsi="宋体" w:eastAsia="宋体" w:cs="宋体"/>
          <w:kern w:val="0"/>
          <w:sz w:val="21"/>
          <w:szCs w:val="21"/>
          <w:u w:val="single"/>
        </w:rPr>
        <w:t>（采购人名称）</w:t>
      </w:r>
      <w:r>
        <w:rPr>
          <w:rFonts w:hint="eastAsia" w:ascii="宋体" w:hAnsi="宋体" w:eastAsia="宋体" w:cs="宋体"/>
          <w:kern w:val="0"/>
          <w:sz w:val="21"/>
          <w:szCs w:val="21"/>
        </w:rPr>
        <w:t>的</w:t>
      </w:r>
      <w:r>
        <w:rPr>
          <w:rFonts w:hint="eastAsia" w:ascii="宋体" w:hAnsi="宋体" w:eastAsia="宋体" w:cs="宋体"/>
          <w:kern w:val="0"/>
          <w:sz w:val="21"/>
          <w:szCs w:val="21"/>
          <w:u w:val="single"/>
        </w:rPr>
        <w:t>（招标项目名称）</w:t>
      </w:r>
      <w:r>
        <w:rPr>
          <w:rFonts w:hint="eastAsia" w:ascii="宋体" w:hAnsi="宋体" w:eastAsia="宋体" w:cs="宋体"/>
          <w:kern w:val="0"/>
          <w:sz w:val="21"/>
          <w:szCs w:val="21"/>
        </w:rPr>
        <w:t>项目采购活动提供以下监狱企业制造的货物（或监狱企业承担的工程或监狱企业承接的服务），具体情况如下：（按照实际情况勾选或填空）</w:t>
      </w:r>
    </w:p>
    <w:p w14:paraId="2EED9E30">
      <w:pPr>
        <w:widowControl/>
        <w:adjustRightInd w:val="0"/>
        <w:snapToGrid w:val="0"/>
        <w:spacing w:line="360" w:lineRule="auto"/>
        <w:ind w:firstLine="315" w:firstLineChars="150"/>
        <w:jc w:val="left"/>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u w:val="single"/>
        </w:rPr>
        <w:t>（制造商名称）</w:t>
      </w:r>
      <w:r>
        <w:rPr>
          <w:rFonts w:hint="eastAsia" w:ascii="宋体" w:hAnsi="宋体" w:eastAsia="宋体" w:cs="宋体"/>
          <w:kern w:val="0"/>
          <w:sz w:val="21"/>
          <w:szCs w:val="21"/>
        </w:rPr>
        <w:t>属于监狱企业，后附省级以上监狱管理局、戒毒管理局（含新疆生产建设兵团）出具的属于监狱企业的证明文件。</w:t>
      </w:r>
    </w:p>
    <w:p w14:paraId="7055A017">
      <w:pPr>
        <w:widowControl/>
        <w:adjustRightInd w:val="0"/>
        <w:snapToGrid w:val="0"/>
        <w:spacing w:line="360" w:lineRule="auto"/>
        <w:ind w:firstLine="420"/>
        <w:jc w:val="left"/>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kern w:val="0"/>
          <w:sz w:val="21"/>
          <w:szCs w:val="21"/>
          <w:u w:val="single"/>
        </w:rPr>
        <w:t>（制造商名称）</w:t>
      </w:r>
      <w:r>
        <w:rPr>
          <w:rFonts w:hint="eastAsia" w:ascii="宋体" w:hAnsi="宋体" w:eastAsia="宋体" w:cs="宋体"/>
          <w:kern w:val="0"/>
          <w:sz w:val="21"/>
          <w:szCs w:val="21"/>
        </w:rPr>
        <w:t>属于监狱企业并作为联合体一方，其提供协议合同金额占到共同投标协议合同总金额的比例为</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。后附省级以上监狱管理局、戒毒管理局（含新疆生产建设兵团）出具的属于监狱企业的证明文件。</w:t>
      </w:r>
    </w:p>
    <w:p w14:paraId="27CC1628">
      <w:pPr>
        <w:widowControl/>
        <w:adjustRightInd w:val="0"/>
        <w:snapToGrid w:val="0"/>
        <w:spacing w:line="360" w:lineRule="auto"/>
        <w:ind w:firstLine="420"/>
        <w:jc w:val="left"/>
        <w:rPr>
          <w:rFonts w:hint="eastAsia" w:ascii="宋体" w:hAnsi="宋体" w:eastAsia="宋体" w:cs="宋体"/>
          <w:kern w:val="0"/>
          <w:sz w:val="21"/>
          <w:szCs w:val="21"/>
        </w:rPr>
      </w:pPr>
      <w:r>
        <w:rPr>
          <w:rFonts w:hint="eastAsia" w:ascii="宋体" w:hAnsi="宋体" w:eastAsia="宋体" w:cs="宋体"/>
          <w:kern w:val="0"/>
          <w:sz w:val="21"/>
          <w:szCs w:val="21"/>
        </w:rPr>
        <w:t>（3）□</w:t>
      </w:r>
      <w:r>
        <w:rPr>
          <w:rFonts w:hint="eastAsia" w:ascii="宋体" w:hAnsi="宋体" w:eastAsia="宋体" w:cs="宋体"/>
          <w:kern w:val="0"/>
          <w:sz w:val="21"/>
          <w:szCs w:val="21"/>
          <w:u w:val="single"/>
        </w:rPr>
        <w:t>（制造商名称）</w:t>
      </w:r>
      <w:r>
        <w:rPr>
          <w:rFonts w:hint="eastAsia" w:ascii="宋体" w:hAnsi="宋体" w:eastAsia="宋体" w:cs="宋体"/>
          <w:kern w:val="0"/>
          <w:sz w:val="21"/>
          <w:szCs w:val="21"/>
        </w:rPr>
        <w:t>属于监狱企业并作为分包方，其提供协议合同金额占到分包意向协议合同总金额的比例为</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。后附省级以上监狱管理局、戒毒管理局（含新疆生产建设兵团）出具的属于监狱企业的证明文件。</w:t>
      </w:r>
    </w:p>
    <w:p w14:paraId="7A2549A0">
      <w:pPr>
        <w:widowControl/>
        <w:adjustRightInd w:val="0"/>
        <w:snapToGrid w:val="0"/>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本单位对上述声明的真实性负责。如有虚假，将依法承担相应责任。</w:t>
      </w:r>
    </w:p>
    <w:p w14:paraId="24BF85BB">
      <w:pPr>
        <w:widowControl/>
        <w:adjustRightInd w:val="0"/>
        <w:snapToGrid w:val="0"/>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p w14:paraId="4FD6C653">
      <w:pPr>
        <w:widowControl/>
        <w:adjustRightInd w:val="0"/>
        <w:snapToGrid w:val="0"/>
        <w:spacing w:line="360" w:lineRule="auto"/>
        <w:jc w:val="left"/>
        <w:rPr>
          <w:rFonts w:hint="eastAsia" w:ascii="宋体" w:hAnsi="宋体" w:eastAsia="宋体" w:cs="宋体"/>
          <w:kern w:val="0"/>
          <w:sz w:val="21"/>
          <w:szCs w:val="21"/>
        </w:rPr>
      </w:pPr>
    </w:p>
    <w:p w14:paraId="67483639">
      <w:pPr>
        <w:widowControl/>
        <w:adjustRightInd w:val="0"/>
        <w:snapToGrid w:val="0"/>
        <w:spacing w:line="360" w:lineRule="auto"/>
        <w:jc w:val="left"/>
        <w:rPr>
          <w:rFonts w:hint="eastAsia" w:ascii="宋体" w:hAnsi="宋体" w:eastAsia="宋体" w:cs="宋体"/>
          <w:kern w:val="0"/>
          <w:sz w:val="21"/>
          <w:szCs w:val="21"/>
        </w:rPr>
      </w:pPr>
    </w:p>
    <w:p w14:paraId="183BBEB9">
      <w:pPr>
        <w:adjustRightInd w:val="0"/>
        <w:snapToGrid w:val="0"/>
        <w:spacing w:line="360" w:lineRule="auto"/>
        <w:ind w:hanging="540"/>
        <w:jc w:val="center"/>
        <w:rPr>
          <w:rFonts w:hint="eastAsia" w:ascii="宋体" w:hAnsi="宋体" w:eastAsia="宋体" w:cs="宋体"/>
          <w:b/>
          <w:kern w:val="0"/>
          <w:sz w:val="21"/>
          <w:szCs w:val="21"/>
        </w:rPr>
      </w:pPr>
      <w:r>
        <w:rPr>
          <w:rFonts w:hint="eastAsia" w:ascii="宋体" w:hAnsi="宋体" w:eastAsia="宋体" w:cs="宋体"/>
          <w:b/>
          <w:kern w:val="0"/>
          <w:sz w:val="21"/>
          <w:szCs w:val="21"/>
        </w:rPr>
        <w:t>　</w:t>
      </w:r>
    </w:p>
    <w:p w14:paraId="2C23CF91">
      <w:pPr>
        <w:adjustRightInd w:val="0"/>
        <w:snapToGrid w:val="0"/>
        <w:spacing w:line="360" w:lineRule="auto"/>
        <w:ind w:firstLine="4620" w:firstLineChars="2200"/>
        <w:rPr>
          <w:rFonts w:hint="eastAsia" w:ascii="宋体" w:hAnsi="宋体" w:eastAsia="宋体" w:cs="宋体"/>
          <w:kern w:val="0"/>
          <w:sz w:val="21"/>
          <w:szCs w:val="21"/>
        </w:rPr>
      </w:pPr>
      <w:r>
        <w:rPr>
          <w:rFonts w:hint="eastAsia" w:ascii="宋体" w:hAnsi="宋体" w:eastAsia="宋体" w:cs="宋体"/>
          <w:kern w:val="0"/>
          <w:sz w:val="21"/>
          <w:szCs w:val="21"/>
        </w:rPr>
        <w:t>单位名称（盖章）：</w:t>
      </w:r>
    </w:p>
    <w:p w14:paraId="61B06612">
      <w:pPr>
        <w:widowControl/>
        <w:adjustRightInd w:val="0"/>
        <w:snapToGrid w:val="0"/>
        <w:spacing w:line="360" w:lineRule="auto"/>
        <w:ind w:firstLine="4620" w:firstLineChars="2200"/>
        <w:jc w:val="left"/>
        <w:rPr>
          <w:rFonts w:hint="eastAsia" w:ascii="宋体" w:hAnsi="宋体" w:eastAsia="宋体" w:cs="宋体"/>
          <w:kern w:val="0"/>
          <w:sz w:val="21"/>
          <w:szCs w:val="21"/>
        </w:rPr>
      </w:pPr>
      <w:r>
        <w:rPr>
          <w:rFonts w:hint="eastAsia" w:ascii="宋体" w:hAnsi="宋体" w:eastAsia="宋体" w:cs="宋体"/>
          <w:kern w:val="0"/>
          <w:sz w:val="21"/>
          <w:szCs w:val="21"/>
        </w:rPr>
        <w:t>日  期：</w:t>
      </w:r>
    </w:p>
    <w:p w14:paraId="1D737C48">
      <w:pPr>
        <w:rPr>
          <w:rFonts w:hint="eastAsia" w:ascii="宋体" w:hAnsi="宋体" w:eastAsia="宋体" w:cs="宋体"/>
          <w:sz w:val="21"/>
          <w:szCs w:val="21"/>
        </w:rPr>
      </w:pPr>
      <w:r>
        <w:rPr>
          <w:rFonts w:hint="eastAsia" w:ascii="宋体" w:hAnsi="宋体" w:eastAsia="宋体" w:cs="宋体"/>
          <w:sz w:val="21"/>
          <w:szCs w:val="21"/>
        </w:rPr>
        <w:br w:type="page"/>
      </w:r>
    </w:p>
    <w:p w14:paraId="3CC2AE81">
      <w:pPr>
        <w:pStyle w:val="34"/>
        <w:spacing w:line="360" w:lineRule="auto"/>
        <w:jc w:val="both"/>
        <w:outlineLvl w:val="2"/>
        <w:rPr>
          <w:rFonts w:hint="eastAsia" w:ascii="宋体" w:hAnsi="宋体" w:eastAsia="宋体" w:cs="宋体"/>
          <w:b/>
          <w:sz w:val="21"/>
          <w:szCs w:val="21"/>
        </w:rPr>
      </w:pPr>
      <w:bookmarkStart w:id="558" w:name="_Toc71631937"/>
      <w:bookmarkStart w:id="559" w:name="_Toc114589545"/>
      <w:bookmarkStart w:id="560" w:name="_Toc2819"/>
      <w:bookmarkStart w:id="561" w:name="_Toc11282"/>
      <w:bookmarkStart w:id="562" w:name="_Toc19189"/>
      <w:bookmarkStart w:id="563" w:name="_Toc115436137"/>
      <w:bookmarkStart w:id="564" w:name="_Toc22510"/>
      <w:bookmarkStart w:id="565" w:name="_Toc28543"/>
      <w:bookmarkStart w:id="566" w:name="OLE_LINK14"/>
      <w:bookmarkStart w:id="567" w:name="OLE_LINK13"/>
      <w:r>
        <w:rPr>
          <w:rFonts w:hint="eastAsia" w:ascii="宋体" w:hAnsi="宋体" w:eastAsia="宋体" w:cs="宋体"/>
          <w:b/>
          <w:sz w:val="21"/>
          <w:szCs w:val="21"/>
        </w:rPr>
        <w:t>附件8-3  残疾人福利性单位声明函</w:t>
      </w:r>
      <w:bookmarkEnd w:id="558"/>
      <w:r>
        <w:rPr>
          <w:rFonts w:hint="eastAsia" w:ascii="宋体" w:hAnsi="宋体" w:eastAsia="宋体" w:cs="宋体"/>
          <w:b/>
          <w:sz w:val="21"/>
          <w:szCs w:val="21"/>
        </w:rPr>
        <w:t>（如是）</w:t>
      </w:r>
      <w:bookmarkEnd w:id="559"/>
      <w:bookmarkEnd w:id="560"/>
      <w:bookmarkEnd w:id="561"/>
      <w:bookmarkEnd w:id="562"/>
      <w:bookmarkEnd w:id="563"/>
      <w:bookmarkEnd w:id="564"/>
      <w:bookmarkEnd w:id="565"/>
    </w:p>
    <w:bookmarkEnd w:id="566"/>
    <w:bookmarkEnd w:id="567"/>
    <w:p w14:paraId="4E9739C7">
      <w:pPr>
        <w:spacing w:line="360" w:lineRule="auto"/>
        <w:ind w:hanging="540"/>
        <w:jc w:val="center"/>
        <w:rPr>
          <w:rFonts w:hint="eastAsia" w:ascii="宋体" w:hAnsi="宋体" w:eastAsia="宋体" w:cs="宋体"/>
          <w:kern w:val="0"/>
          <w:sz w:val="21"/>
          <w:szCs w:val="21"/>
        </w:rPr>
      </w:pPr>
    </w:p>
    <w:p w14:paraId="1678B4CB">
      <w:pPr>
        <w:spacing w:line="360" w:lineRule="auto"/>
        <w:ind w:firstLine="567"/>
        <w:rPr>
          <w:rFonts w:hint="eastAsia" w:ascii="宋体" w:hAnsi="宋体" w:eastAsia="宋体" w:cs="宋体"/>
          <w:kern w:val="0"/>
          <w:sz w:val="21"/>
          <w:szCs w:val="21"/>
        </w:rPr>
      </w:pPr>
    </w:p>
    <w:p w14:paraId="688FDA50">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8361C5A">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本单位对上述声明的真实性负责。如有虚假，将依法承担相应责任。</w:t>
      </w:r>
    </w:p>
    <w:p w14:paraId="6B6CE528">
      <w:pPr>
        <w:spacing w:line="360" w:lineRule="auto"/>
        <w:ind w:firstLine="420" w:firstLineChars="200"/>
        <w:rPr>
          <w:rFonts w:hint="eastAsia" w:ascii="宋体" w:hAnsi="宋体" w:eastAsia="宋体" w:cs="宋体"/>
          <w:kern w:val="0"/>
          <w:sz w:val="21"/>
          <w:szCs w:val="21"/>
        </w:rPr>
      </w:pPr>
    </w:p>
    <w:p w14:paraId="10E08050">
      <w:pPr>
        <w:spacing w:line="360" w:lineRule="auto"/>
        <w:ind w:firstLine="444" w:firstLineChars="200"/>
        <w:rPr>
          <w:rFonts w:hint="eastAsia" w:ascii="宋体" w:hAnsi="宋体" w:eastAsia="宋体" w:cs="宋体"/>
          <w:spacing w:val="6"/>
          <w:sz w:val="21"/>
          <w:szCs w:val="21"/>
        </w:rPr>
      </w:pPr>
    </w:p>
    <w:p w14:paraId="6BA66024">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 xml:space="preserve">                                     单位名称（盖章）：</w:t>
      </w:r>
    </w:p>
    <w:p w14:paraId="7F51B5E2">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 xml:space="preserve">                                     日  期：</w:t>
      </w:r>
    </w:p>
    <w:p w14:paraId="0928C3A3">
      <w:pPr>
        <w:spacing w:line="360" w:lineRule="auto"/>
        <w:ind w:left="1080" w:leftChars="257" w:hanging="540"/>
        <w:jc w:val="center"/>
        <w:rPr>
          <w:rFonts w:hint="eastAsia" w:ascii="宋体" w:hAnsi="宋体" w:eastAsia="宋体" w:cs="宋体"/>
          <w:b/>
          <w:kern w:val="0"/>
          <w:sz w:val="21"/>
          <w:szCs w:val="21"/>
        </w:rPr>
      </w:pPr>
    </w:p>
    <w:p w14:paraId="4799F94C">
      <w:pPr>
        <w:tabs>
          <w:tab w:val="left" w:pos="7236"/>
          <w:tab w:val="left" w:pos="7865"/>
          <w:tab w:val="left" w:pos="8497"/>
        </w:tabs>
        <w:spacing w:before="72"/>
        <w:jc w:val="left"/>
        <w:rPr>
          <w:rFonts w:hint="eastAsia" w:ascii="宋体" w:hAnsi="宋体" w:cs="宋体"/>
          <w:sz w:val="24"/>
          <w:szCs w:val="24"/>
        </w:rPr>
      </w:pPr>
    </w:p>
    <w:p w14:paraId="443681FC">
      <w:pPr>
        <w:tabs>
          <w:tab w:val="left" w:pos="7236"/>
          <w:tab w:val="left" w:pos="7865"/>
          <w:tab w:val="left" w:pos="8497"/>
        </w:tabs>
        <w:spacing w:before="72"/>
        <w:jc w:val="left"/>
        <w:rPr>
          <w:rFonts w:hint="eastAsia" w:ascii="宋体" w:hAnsi="宋体" w:cs="宋体"/>
          <w:sz w:val="24"/>
          <w:szCs w:val="24"/>
        </w:rPr>
      </w:pPr>
    </w:p>
    <w:p w14:paraId="27D677E9">
      <w:pPr>
        <w:tabs>
          <w:tab w:val="left" w:pos="7236"/>
          <w:tab w:val="left" w:pos="7865"/>
          <w:tab w:val="left" w:pos="8497"/>
        </w:tabs>
        <w:spacing w:before="72"/>
        <w:jc w:val="left"/>
        <w:rPr>
          <w:rFonts w:hint="eastAsia" w:ascii="宋体" w:hAnsi="宋体" w:cs="宋体"/>
          <w:sz w:val="24"/>
          <w:szCs w:val="24"/>
        </w:rPr>
      </w:pPr>
    </w:p>
    <w:p w14:paraId="6B9ED846">
      <w:pPr>
        <w:tabs>
          <w:tab w:val="left" w:pos="7236"/>
          <w:tab w:val="left" w:pos="7865"/>
          <w:tab w:val="left" w:pos="8497"/>
        </w:tabs>
        <w:spacing w:before="72"/>
        <w:jc w:val="left"/>
        <w:rPr>
          <w:rFonts w:hint="eastAsia" w:ascii="宋体" w:hAnsi="宋体" w:cs="宋体"/>
          <w:sz w:val="24"/>
          <w:szCs w:val="24"/>
        </w:rPr>
      </w:pPr>
    </w:p>
    <w:p w14:paraId="6B3C431B">
      <w:pPr>
        <w:tabs>
          <w:tab w:val="left" w:pos="7236"/>
          <w:tab w:val="left" w:pos="7865"/>
          <w:tab w:val="left" w:pos="8497"/>
        </w:tabs>
        <w:spacing w:before="72"/>
        <w:jc w:val="left"/>
        <w:rPr>
          <w:rFonts w:hint="eastAsia" w:ascii="宋体" w:hAnsi="宋体" w:cs="宋体"/>
          <w:sz w:val="24"/>
          <w:szCs w:val="24"/>
        </w:rPr>
      </w:pPr>
    </w:p>
    <w:p w14:paraId="594721EE">
      <w:pPr>
        <w:tabs>
          <w:tab w:val="left" w:pos="7236"/>
          <w:tab w:val="left" w:pos="7865"/>
          <w:tab w:val="left" w:pos="8497"/>
        </w:tabs>
        <w:spacing w:before="72"/>
        <w:jc w:val="left"/>
        <w:rPr>
          <w:rFonts w:hint="eastAsia" w:ascii="宋体" w:hAnsi="宋体" w:cs="宋体"/>
          <w:sz w:val="24"/>
          <w:szCs w:val="24"/>
        </w:rPr>
      </w:pPr>
    </w:p>
    <w:p w14:paraId="3E4087C6">
      <w:pPr>
        <w:tabs>
          <w:tab w:val="left" w:pos="7236"/>
          <w:tab w:val="left" w:pos="7865"/>
          <w:tab w:val="left" w:pos="8497"/>
        </w:tabs>
        <w:spacing w:before="72"/>
        <w:jc w:val="left"/>
        <w:rPr>
          <w:rFonts w:hint="eastAsia" w:ascii="宋体" w:hAnsi="宋体" w:cs="宋体"/>
          <w:sz w:val="24"/>
          <w:szCs w:val="24"/>
        </w:rPr>
      </w:pPr>
    </w:p>
    <w:p w14:paraId="41334615">
      <w:pPr>
        <w:tabs>
          <w:tab w:val="left" w:pos="7236"/>
          <w:tab w:val="left" w:pos="7865"/>
          <w:tab w:val="left" w:pos="8497"/>
        </w:tabs>
        <w:spacing w:before="72"/>
        <w:jc w:val="left"/>
        <w:rPr>
          <w:rFonts w:hint="eastAsia" w:ascii="宋体" w:hAnsi="宋体" w:cs="宋体"/>
          <w:sz w:val="24"/>
          <w:szCs w:val="24"/>
        </w:rPr>
      </w:pPr>
    </w:p>
    <w:p w14:paraId="561BBF2E">
      <w:pPr>
        <w:tabs>
          <w:tab w:val="left" w:pos="7236"/>
          <w:tab w:val="left" w:pos="7865"/>
          <w:tab w:val="left" w:pos="8497"/>
        </w:tabs>
        <w:spacing w:before="72"/>
        <w:jc w:val="left"/>
        <w:rPr>
          <w:rFonts w:hint="eastAsia" w:ascii="宋体" w:hAnsi="宋体" w:cs="宋体"/>
          <w:sz w:val="24"/>
          <w:szCs w:val="24"/>
        </w:rPr>
      </w:pPr>
    </w:p>
    <w:p w14:paraId="06F4ABB8">
      <w:pPr>
        <w:tabs>
          <w:tab w:val="left" w:pos="7236"/>
          <w:tab w:val="left" w:pos="7865"/>
          <w:tab w:val="left" w:pos="8497"/>
        </w:tabs>
        <w:spacing w:before="72"/>
        <w:jc w:val="left"/>
        <w:rPr>
          <w:rFonts w:hint="eastAsia" w:ascii="宋体" w:hAnsi="宋体" w:cs="宋体"/>
          <w:sz w:val="24"/>
          <w:szCs w:val="24"/>
        </w:rPr>
      </w:pPr>
    </w:p>
    <w:p w14:paraId="488032BF">
      <w:pPr>
        <w:tabs>
          <w:tab w:val="left" w:pos="7236"/>
          <w:tab w:val="left" w:pos="7865"/>
          <w:tab w:val="left" w:pos="8497"/>
        </w:tabs>
        <w:spacing w:before="72"/>
        <w:jc w:val="left"/>
        <w:rPr>
          <w:rFonts w:hint="eastAsia" w:ascii="宋体" w:hAnsi="宋体" w:cs="宋体"/>
          <w:sz w:val="24"/>
          <w:szCs w:val="24"/>
        </w:rPr>
      </w:pPr>
    </w:p>
    <w:p w14:paraId="31FB376E">
      <w:pPr>
        <w:tabs>
          <w:tab w:val="left" w:pos="7236"/>
          <w:tab w:val="left" w:pos="7865"/>
          <w:tab w:val="left" w:pos="8497"/>
        </w:tabs>
        <w:spacing w:before="72"/>
        <w:jc w:val="left"/>
        <w:rPr>
          <w:rFonts w:hint="eastAsia" w:ascii="宋体" w:hAnsi="宋体" w:cs="宋体"/>
          <w:sz w:val="24"/>
          <w:szCs w:val="24"/>
        </w:rPr>
      </w:pPr>
    </w:p>
    <w:p w14:paraId="0863E936">
      <w:pPr>
        <w:tabs>
          <w:tab w:val="left" w:pos="7236"/>
          <w:tab w:val="left" w:pos="7865"/>
          <w:tab w:val="left" w:pos="8497"/>
        </w:tabs>
        <w:spacing w:before="72"/>
        <w:jc w:val="left"/>
        <w:rPr>
          <w:rFonts w:hint="eastAsia" w:ascii="宋体" w:hAnsi="宋体" w:cs="宋体"/>
          <w:sz w:val="24"/>
          <w:szCs w:val="24"/>
        </w:rPr>
      </w:pPr>
    </w:p>
    <w:p w14:paraId="780C0830">
      <w:pPr>
        <w:tabs>
          <w:tab w:val="left" w:pos="7236"/>
          <w:tab w:val="left" w:pos="7865"/>
          <w:tab w:val="left" w:pos="8497"/>
        </w:tabs>
        <w:spacing w:before="72"/>
        <w:jc w:val="left"/>
        <w:rPr>
          <w:rFonts w:hint="eastAsia" w:ascii="宋体" w:hAnsi="宋体" w:cs="宋体"/>
          <w:sz w:val="24"/>
          <w:szCs w:val="24"/>
        </w:rPr>
      </w:pPr>
    </w:p>
    <w:p w14:paraId="708B96BE">
      <w:pPr>
        <w:tabs>
          <w:tab w:val="left" w:pos="7236"/>
          <w:tab w:val="left" w:pos="7865"/>
          <w:tab w:val="left" w:pos="8497"/>
        </w:tabs>
        <w:spacing w:before="72"/>
        <w:jc w:val="left"/>
        <w:rPr>
          <w:rFonts w:hint="eastAsia" w:ascii="宋体" w:hAnsi="宋体" w:cs="宋体"/>
          <w:sz w:val="24"/>
          <w:szCs w:val="24"/>
        </w:rPr>
      </w:pPr>
    </w:p>
    <w:p w14:paraId="44727796">
      <w:pPr>
        <w:tabs>
          <w:tab w:val="left" w:pos="7236"/>
          <w:tab w:val="left" w:pos="7865"/>
          <w:tab w:val="left" w:pos="8497"/>
        </w:tabs>
        <w:spacing w:before="72"/>
        <w:jc w:val="left"/>
        <w:rPr>
          <w:rFonts w:hint="eastAsia" w:ascii="宋体" w:hAnsi="宋体" w:cs="宋体"/>
          <w:sz w:val="24"/>
          <w:szCs w:val="24"/>
        </w:rPr>
      </w:pPr>
    </w:p>
    <w:p w14:paraId="2671EC33">
      <w:pPr>
        <w:tabs>
          <w:tab w:val="left" w:pos="7236"/>
          <w:tab w:val="left" w:pos="7865"/>
          <w:tab w:val="left" w:pos="8497"/>
        </w:tabs>
        <w:spacing w:before="72"/>
        <w:jc w:val="left"/>
        <w:rPr>
          <w:rFonts w:hint="eastAsia" w:ascii="宋体" w:hAnsi="宋体" w:cs="宋体"/>
          <w:sz w:val="24"/>
          <w:szCs w:val="24"/>
        </w:rPr>
      </w:pPr>
    </w:p>
    <w:p w14:paraId="63406423">
      <w:pPr>
        <w:tabs>
          <w:tab w:val="left" w:pos="7236"/>
          <w:tab w:val="left" w:pos="7865"/>
          <w:tab w:val="left" w:pos="8497"/>
        </w:tabs>
        <w:spacing w:before="72"/>
        <w:jc w:val="left"/>
        <w:rPr>
          <w:rFonts w:hint="eastAsia" w:ascii="宋体" w:hAnsi="宋体" w:cs="宋体"/>
          <w:sz w:val="24"/>
          <w:szCs w:val="24"/>
        </w:rPr>
      </w:pPr>
    </w:p>
    <w:p w14:paraId="020056A1">
      <w:pPr>
        <w:tabs>
          <w:tab w:val="left" w:pos="7236"/>
          <w:tab w:val="left" w:pos="7865"/>
          <w:tab w:val="left" w:pos="8497"/>
        </w:tabs>
        <w:spacing w:before="72"/>
        <w:jc w:val="left"/>
        <w:rPr>
          <w:rFonts w:hint="eastAsia" w:ascii="宋体" w:hAnsi="宋体" w:cs="宋体"/>
          <w:sz w:val="24"/>
          <w:szCs w:val="24"/>
        </w:rPr>
      </w:pPr>
    </w:p>
    <w:p w14:paraId="2E56A30B">
      <w:pPr>
        <w:pStyle w:val="3"/>
        <w:numPr>
          <w:ilvl w:val="0"/>
          <w:numId w:val="0"/>
        </w:numPr>
        <w:tabs>
          <w:tab w:val="left" w:pos="5852"/>
        </w:tabs>
        <w:ind w:leftChars="0"/>
        <w:jc w:val="center"/>
        <w:outlineLvl w:val="0"/>
        <w:rPr>
          <w:rFonts w:hint="eastAsia" w:ascii="宋体" w:hAnsi="宋体" w:eastAsia="宋体" w:cs="宋体"/>
          <w:sz w:val="21"/>
          <w:szCs w:val="21"/>
        </w:rPr>
      </w:pPr>
      <w:bookmarkStart w:id="568" w:name="_Toc16557"/>
      <w:bookmarkStart w:id="569" w:name="_Toc12869"/>
      <w:bookmarkStart w:id="570" w:name="_Toc28928"/>
      <w:bookmarkStart w:id="571" w:name="_Toc8722"/>
      <w:bookmarkStart w:id="572" w:name="_Toc9878"/>
      <w:r>
        <w:rPr>
          <w:rFonts w:hint="eastAsia" w:ascii="宋体" w:hAnsi="宋体" w:eastAsia="宋体" w:cs="宋体"/>
          <w:sz w:val="21"/>
          <w:szCs w:val="21"/>
        </w:rPr>
        <w:t>中小企业划分标准</w:t>
      </w:r>
      <w:bookmarkEnd w:id="568"/>
      <w:bookmarkEnd w:id="569"/>
      <w:bookmarkEnd w:id="570"/>
      <w:bookmarkEnd w:id="571"/>
      <w:bookmarkEnd w:id="572"/>
    </w:p>
    <w:p w14:paraId="46CA8D1D">
      <w:pPr>
        <w:ind w:firstLine="420" w:firstLineChars="200"/>
        <w:rPr>
          <w:rFonts w:hint="eastAsia" w:ascii="宋体" w:hAnsi="宋体" w:eastAsia="宋体" w:cs="宋体"/>
          <w:sz w:val="21"/>
          <w:szCs w:val="21"/>
        </w:rPr>
      </w:pPr>
      <w:r>
        <w:rPr>
          <w:rFonts w:hint="eastAsia" w:ascii="宋体" w:hAnsi="宋体" w:eastAsia="宋体" w:cs="宋体"/>
          <w:sz w:val="21"/>
          <w:szCs w:val="21"/>
        </w:rPr>
        <w:t>工业和信息化部、国家统计局、发展改革委、财政部等四部门《关于印发中小企业划型标准规定的通知》（工信部联企业〔2011〕300号）规定中小企业划型标准如表所示：</w:t>
      </w:r>
    </w:p>
    <w:tbl>
      <w:tblPr>
        <w:tblStyle w:val="17"/>
        <w:tblW w:w="58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442"/>
        <w:gridCol w:w="1828"/>
        <w:gridCol w:w="6523"/>
      </w:tblGrid>
      <w:tr w14:paraId="258DB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restart"/>
            <w:shd w:val="clear" w:color="auto" w:fill="FFFFFF"/>
            <w:noWrap w:val="0"/>
            <w:vAlign w:val="center"/>
          </w:tcPr>
          <w:p w14:paraId="12C543FA">
            <w:pPr>
              <w:pStyle w:val="36"/>
              <w:keepNext w:val="0"/>
              <w:keepLines w:val="0"/>
              <w:suppressLineNumbers w:val="0"/>
              <w:shd w:val="clear" w:color="auto" w:fill="auto"/>
              <w:spacing w:before="0" w:beforeAutospacing="0" w:after="0" w:afterAutospacing="0" w:line="240" w:lineRule="auto"/>
              <w:ind w:left="0" w:right="0" w:firstLine="240"/>
              <w:jc w:val="center"/>
              <w:rPr>
                <w:rFonts w:hint="eastAsia" w:ascii="宋体" w:hAnsi="宋体" w:eastAsia="宋体" w:cs="宋体"/>
                <w:sz w:val="21"/>
                <w:szCs w:val="21"/>
              </w:rPr>
            </w:pPr>
            <w:r>
              <w:rPr>
                <w:rFonts w:hint="eastAsia" w:ascii="宋体" w:hAnsi="宋体" w:eastAsia="宋体" w:cs="宋体"/>
                <w:color w:val="000000"/>
                <w:sz w:val="21"/>
                <w:szCs w:val="21"/>
              </w:rPr>
              <w:t>农、林、牧、渔业</w:t>
            </w:r>
          </w:p>
        </w:tc>
        <w:tc>
          <w:tcPr>
            <w:tcW w:w="4263" w:type="pct"/>
            <w:gridSpan w:val="2"/>
            <w:shd w:val="clear" w:color="auto" w:fill="FFFFFF"/>
            <w:noWrap w:val="0"/>
            <w:vAlign w:val="center"/>
          </w:tcPr>
          <w:p w14:paraId="5D2F9AC8">
            <w:pPr>
              <w:pStyle w:val="36"/>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营业收入20000万元以下的为中小微型企业。</w:t>
            </w:r>
          </w:p>
        </w:tc>
      </w:tr>
      <w:tr w14:paraId="4E8A2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continue"/>
            <w:shd w:val="clear" w:color="auto" w:fill="FFFFFF"/>
            <w:noWrap w:val="0"/>
            <w:vAlign w:val="center"/>
          </w:tcPr>
          <w:p w14:paraId="4A674664">
            <w:pPr>
              <w:keepNext w:val="0"/>
              <w:keepLines w:val="0"/>
              <w:suppressLineNumbers w:val="0"/>
              <w:spacing w:before="0" w:beforeAutospacing="0" w:after="0" w:afterAutospacing="0" w:line="240" w:lineRule="auto"/>
              <w:ind w:left="0" w:right="0"/>
              <w:jc w:val="center"/>
              <w:rPr>
                <w:rFonts w:hint="eastAsia" w:ascii="宋体" w:hAnsi="宋体" w:eastAsia="宋体" w:cs="宋体"/>
                <w:sz w:val="21"/>
                <w:szCs w:val="21"/>
              </w:rPr>
            </w:pPr>
          </w:p>
        </w:tc>
        <w:tc>
          <w:tcPr>
            <w:tcW w:w="933" w:type="pct"/>
            <w:shd w:val="clear" w:color="auto" w:fill="FFFFFF"/>
            <w:noWrap w:val="0"/>
            <w:vAlign w:val="center"/>
          </w:tcPr>
          <w:p w14:paraId="6FE535DA">
            <w:pPr>
              <w:pStyle w:val="36"/>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中型</w:t>
            </w:r>
          </w:p>
        </w:tc>
        <w:tc>
          <w:tcPr>
            <w:tcW w:w="3330" w:type="pct"/>
            <w:shd w:val="clear" w:color="auto" w:fill="FFFFFF"/>
            <w:noWrap w:val="0"/>
            <w:vAlign w:val="center"/>
          </w:tcPr>
          <w:p w14:paraId="724EE599">
            <w:pPr>
              <w:pStyle w:val="36"/>
              <w:keepNext w:val="0"/>
              <w:keepLines w:val="0"/>
              <w:suppressLineNumbers w:val="0"/>
              <w:shd w:val="clear" w:color="auto" w:fill="auto"/>
              <w:tabs>
                <w:tab w:val="left" w:pos="1930"/>
              </w:tabs>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500万元</w:t>
            </w:r>
            <w:r>
              <w:rPr>
                <w:rFonts w:hint="eastAsia" w:ascii="宋体" w:hAnsi="宋体" w:eastAsia="宋体" w:cs="宋体"/>
                <w:color w:val="000000"/>
                <w:sz w:val="21"/>
                <w:szCs w:val="21"/>
                <w:lang w:val="en-US"/>
              </w:rPr>
              <w:t>-</w:t>
            </w:r>
            <w:r>
              <w:rPr>
                <w:rFonts w:hint="eastAsia" w:ascii="宋体" w:hAnsi="宋体" w:eastAsia="宋体" w:cs="宋体"/>
                <w:color w:val="000000"/>
                <w:sz w:val="21"/>
                <w:szCs w:val="21"/>
              </w:rPr>
              <w:t>20 000万元</w:t>
            </w:r>
          </w:p>
        </w:tc>
      </w:tr>
      <w:tr w14:paraId="19547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continue"/>
            <w:shd w:val="clear" w:color="auto" w:fill="FFFFFF"/>
            <w:noWrap w:val="0"/>
            <w:vAlign w:val="center"/>
          </w:tcPr>
          <w:p w14:paraId="2AFAA497">
            <w:pPr>
              <w:keepNext w:val="0"/>
              <w:keepLines w:val="0"/>
              <w:suppressLineNumbers w:val="0"/>
              <w:spacing w:before="0" w:beforeAutospacing="0" w:after="0" w:afterAutospacing="0" w:line="240" w:lineRule="auto"/>
              <w:ind w:left="0" w:right="0"/>
              <w:jc w:val="center"/>
              <w:rPr>
                <w:rFonts w:hint="eastAsia" w:ascii="宋体" w:hAnsi="宋体" w:eastAsia="宋体" w:cs="宋体"/>
                <w:sz w:val="21"/>
                <w:szCs w:val="21"/>
              </w:rPr>
            </w:pPr>
          </w:p>
        </w:tc>
        <w:tc>
          <w:tcPr>
            <w:tcW w:w="933" w:type="pct"/>
            <w:shd w:val="clear" w:color="auto" w:fill="FFFFFF"/>
            <w:noWrap w:val="0"/>
            <w:vAlign w:val="center"/>
          </w:tcPr>
          <w:p w14:paraId="39C0FD0F">
            <w:pPr>
              <w:pStyle w:val="36"/>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小型</w:t>
            </w:r>
          </w:p>
        </w:tc>
        <w:tc>
          <w:tcPr>
            <w:tcW w:w="3330" w:type="pct"/>
            <w:shd w:val="clear" w:color="auto" w:fill="FFFFFF"/>
            <w:noWrap w:val="0"/>
            <w:vAlign w:val="center"/>
          </w:tcPr>
          <w:p w14:paraId="0E7FA686">
            <w:pPr>
              <w:pStyle w:val="36"/>
              <w:keepNext w:val="0"/>
              <w:keepLines w:val="0"/>
              <w:suppressLineNumbers w:val="0"/>
              <w:shd w:val="clear" w:color="auto" w:fill="auto"/>
              <w:tabs>
                <w:tab w:val="left" w:pos="1752"/>
              </w:tabs>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50万元</w:t>
            </w:r>
            <w:r>
              <w:rPr>
                <w:rFonts w:hint="eastAsia" w:ascii="宋体" w:hAnsi="宋体" w:eastAsia="宋体" w:cs="宋体"/>
                <w:color w:val="000000"/>
                <w:sz w:val="21"/>
                <w:szCs w:val="21"/>
                <w:lang w:val="en-US"/>
              </w:rPr>
              <w:t>-</w:t>
            </w:r>
            <w:r>
              <w:rPr>
                <w:rFonts w:hint="eastAsia" w:ascii="宋体" w:hAnsi="宋体" w:eastAsia="宋体" w:cs="宋体"/>
                <w:color w:val="000000"/>
                <w:sz w:val="21"/>
                <w:szCs w:val="21"/>
              </w:rPr>
              <w:t>500万元</w:t>
            </w:r>
          </w:p>
        </w:tc>
      </w:tr>
      <w:tr w14:paraId="3CCAA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continue"/>
            <w:shd w:val="clear" w:color="auto" w:fill="FFFFFF"/>
            <w:noWrap w:val="0"/>
            <w:vAlign w:val="center"/>
          </w:tcPr>
          <w:p w14:paraId="2F60821E">
            <w:pPr>
              <w:keepNext w:val="0"/>
              <w:keepLines w:val="0"/>
              <w:suppressLineNumbers w:val="0"/>
              <w:spacing w:before="0" w:beforeAutospacing="0" w:after="0" w:afterAutospacing="0" w:line="240" w:lineRule="auto"/>
              <w:ind w:left="0" w:right="0"/>
              <w:jc w:val="center"/>
              <w:rPr>
                <w:rFonts w:hint="eastAsia" w:ascii="宋体" w:hAnsi="宋体" w:eastAsia="宋体" w:cs="宋体"/>
                <w:sz w:val="21"/>
                <w:szCs w:val="21"/>
              </w:rPr>
            </w:pPr>
          </w:p>
        </w:tc>
        <w:tc>
          <w:tcPr>
            <w:tcW w:w="933" w:type="pct"/>
            <w:shd w:val="clear" w:color="auto" w:fill="FFFFFF"/>
            <w:noWrap w:val="0"/>
            <w:vAlign w:val="center"/>
          </w:tcPr>
          <w:p w14:paraId="6B990F85">
            <w:pPr>
              <w:pStyle w:val="36"/>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微型</w:t>
            </w:r>
          </w:p>
        </w:tc>
        <w:tc>
          <w:tcPr>
            <w:tcW w:w="3330" w:type="pct"/>
            <w:shd w:val="clear" w:color="auto" w:fill="FFFFFF"/>
            <w:noWrap w:val="0"/>
            <w:vAlign w:val="center"/>
          </w:tcPr>
          <w:p w14:paraId="4AB4C155">
            <w:pPr>
              <w:pStyle w:val="36"/>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50万元以下</w:t>
            </w:r>
          </w:p>
        </w:tc>
      </w:tr>
      <w:tr w14:paraId="47BF8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restart"/>
            <w:shd w:val="clear" w:color="auto" w:fill="FFFFFF"/>
            <w:noWrap w:val="0"/>
            <w:vAlign w:val="center"/>
          </w:tcPr>
          <w:p w14:paraId="0ECA93AD">
            <w:pPr>
              <w:pStyle w:val="36"/>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工业</w:t>
            </w:r>
          </w:p>
          <w:p w14:paraId="3D6C2138">
            <w:pPr>
              <w:pStyle w:val="36"/>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（包括采矿业，制造业，电力、热力、燃气及水生产和供应</w:t>
            </w:r>
          </w:p>
          <w:p w14:paraId="1DA02513">
            <w:pPr>
              <w:pStyle w:val="36"/>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业）</w:t>
            </w:r>
          </w:p>
        </w:tc>
        <w:tc>
          <w:tcPr>
            <w:tcW w:w="4263" w:type="pct"/>
            <w:gridSpan w:val="2"/>
            <w:shd w:val="clear" w:color="auto" w:fill="FFFFFF"/>
            <w:noWrap w:val="0"/>
            <w:vAlign w:val="center"/>
          </w:tcPr>
          <w:p w14:paraId="560A77D5">
            <w:pPr>
              <w:pStyle w:val="36"/>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从业人员1 000人以下或营业收入 40000万元以下的为中小微型企业。</w:t>
            </w:r>
          </w:p>
        </w:tc>
      </w:tr>
      <w:tr w14:paraId="4BD0B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continue"/>
            <w:shd w:val="clear" w:color="auto" w:fill="FFFFFF"/>
            <w:noWrap w:val="0"/>
            <w:vAlign w:val="center"/>
          </w:tcPr>
          <w:p w14:paraId="02B54101">
            <w:pPr>
              <w:keepNext w:val="0"/>
              <w:keepLines w:val="0"/>
              <w:suppressLineNumbers w:val="0"/>
              <w:spacing w:before="0" w:beforeAutospacing="0" w:after="0" w:afterAutospacing="0" w:line="240" w:lineRule="auto"/>
              <w:ind w:left="0" w:right="0"/>
              <w:jc w:val="center"/>
              <w:rPr>
                <w:rFonts w:hint="eastAsia" w:ascii="宋体" w:hAnsi="宋体" w:eastAsia="宋体" w:cs="宋体"/>
                <w:sz w:val="21"/>
                <w:szCs w:val="21"/>
              </w:rPr>
            </w:pPr>
          </w:p>
        </w:tc>
        <w:tc>
          <w:tcPr>
            <w:tcW w:w="933" w:type="pct"/>
            <w:shd w:val="clear" w:color="auto" w:fill="FFFFFF"/>
            <w:noWrap w:val="0"/>
            <w:vAlign w:val="center"/>
          </w:tcPr>
          <w:p w14:paraId="64C0429A">
            <w:pPr>
              <w:pStyle w:val="36"/>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中型</w:t>
            </w:r>
          </w:p>
        </w:tc>
        <w:tc>
          <w:tcPr>
            <w:tcW w:w="3330" w:type="pct"/>
            <w:shd w:val="clear" w:color="auto" w:fill="FFFFFF"/>
            <w:noWrap w:val="0"/>
            <w:vAlign w:val="center"/>
          </w:tcPr>
          <w:p w14:paraId="2E97EA2B">
            <w:pPr>
              <w:pStyle w:val="36"/>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从业人员 300人一1 000人，且营业收入 2 000万元一40 000万元</w:t>
            </w:r>
          </w:p>
        </w:tc>
      </w:tr>
      <w:tr w14:paraId="4A97E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continue"/>
            <w:shd w:val="clear" w:color="auto" w:fill="FFFFFF"/>
            <w:noWrap w:val="0"/>
            <w:vAlign w:val="center"/>
          </w:tcPr>
          <w:p w14:paraId="36B6DC0F">
            <w:pPr>
              <w:keepNext w:val="0"/>
              <w:keepLines w:val="0"/>
              <w:suppressLineNumbers w:val="0"/>
              <w:spacing w:before="0" w:beforeAutospacing="0" w:after="0" w:afterAutospacing="0" w:line="240" w:lineRule="auto"/>
              <w:ind w:left="0" w:right="0"/>
              <w:jc w:val="center"/>
              <w:rPr>
                <w:rFonts w:hint="eastAsia" w:ascii="宋体" w:hAnsi="宋体" w:eastAsia="宋体" w:cs="宋体"/>
                <w:sz w:val="21"/>
                <w:szCs w:val="21"/>
              </w:rPr>
            </w:pPr>
          </w:p>
        </w:tc>
        <w:tc>
          <w:tcPr>
            <w:tcW w:w="933" w:type="pct"/>
            <w:shd w:val="clear" w:color="auto" w:fill="FFFFFF"/>
            <w:noWrap w:val="0"/>
            <w:vAlign w:val="center"/>
          </w:tcPr>
          <w:p w14:paraId="53D3B4CE">
            <w:pPr>
              <w:pStyle w:val="36"/>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小型</w:t>
            </w:r>
          </w:p>
        </w:tc>
        <w:tc>
          <w:tcPr>
            <w:tcW w:w="3330" w:type="pct"/>
            <w:shd w:val="clear" w:color="auto" w:fill="FFFFFF"/>
            <w:noWrap w:val="0"/>
            <w:vAlign w:val="center"/>
          </w:tcPr>
          <w:p w14:paraId="4F05DC0C">
            <w:pPr>
              <w:pStyle w:val="36"/>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从业人员20人一300人，且营业收入 300万元一2 000万元</w:t>
            </w:r>
          </w:p>
        </w:tc>
      </w:tr>
      <w:tr w14:paraId="08F91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continue"/>
            <w:shd w:val="clear" w:color="auto" w:fill="FFFFFF"/>
            <w:noWrap w:val="0"/>
            <w:vAlign w:val="center"/>
          </w:tcPr>
          <w:p w14:paraId="71B428BB">
            <w:pPr>
              <w:keepNext w:val="0"/>
              <w:keepLines w:val="0"/>
              <w:suppressLineNumbers w:val="0"/>
              <w:spacing w:before="0" w:beforeAutospacing="0" w:after="0" w:afterAutospacing="0" w:line="240" w:lineRule="auto"/>
              <w:ind w:left="0" w:right="0"/>
              <w:jc w:val="center"/>
              <w:rPr>
                <w:rFonts w:hint="eastAsia" w:ascii="宋体" w:hAnsi="宋体" w:eastAsia="宋体" w:cs="宋体"/>
                <w:sz w:val="21"/>
                <w:szCs w:val="21"/>
              </w:rPr>
            </w:pPr>
          </w:p>
        </w:tc>
        <w:tc>
          <w:tcPr>
            <w:tcW w:w="933" w:type="pct"/>
            <w:shd w:val="clear" w:color="auto" w:fill="FFFFFF"/>
            <w:noWrap w:val="0"/>
            <w:vAlign w:val="center"/>
          </w:tcPr>
          <w:p w14:paraId="3277C0F8">
            <w:pPr>
              <w:pStyle w:val="36"/>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微型</w:t>
            </w:r>
          </w:p>
        </w:tc>
        <w:tc>
          <w:tcPr>
            <w:tcW w:w="3330" w:type="pct"/>
            <w:shd w:val="clear" w:color="auto" w:fill="FFFFFF"/>
            <w:noWrap w:val="0"/>
            <w:vAlign w:val="center"/>
          </w:tcPr>
          <w:p w14:paraId="767D6A79">
            <w:pPr>
              <w:pStyle w:val="36"/>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从业人员20人以下或营业收入 300万元以下</w:t>
            </w:r>
          </w:p>
        </w:tc>
      </w:tr>
      <w:tr w14:paraId="65043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restart"/>
            <w:shd w:val="clear" w:color="auto" w:fill="FFFFFF"/>
            <w:noWrap w:val="0"/>
            <w:vAlign w:val="center"/>
          </w:tcPr>
          <w:p w14:paraId="50174521">
            <w:pPr>
              <w:pStyle w:val="36"/>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建筑业</w:t>
            </w:r>
          </w:p>
        </w:tc>
        <w:tc>
          <w:tcPr>
            <w:tcW w:w="4263" w:type="pct"/>
            <w:gridSpan w:val="2"/>
            <w:shd w:val="clear" w:color="auto" w:fill="FFFFFF"/>
            <w:noWrap w:val="0"/>
            <w:vAlign w:val="center"/>
          </w:tcPr>
          <w:p w14:paraId="447DBE9E">
            <w:pPr>
              <w:pStyle w:val="36"/>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营业收入80000万元以下或资产总额 80000万元以下的为中小微型企业。</w:t>
            </w:r>
          </w:p>
        </w:tc>
      </w:tr>
      <w:tr w14:paraId="6BD19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continue"/>
            <w:shd w:val="clear" w:color="auto" w:fill="FFFFFF"/>
            <w:noWrap w:val="0"/>
            <w:vAlign w:val="center"/>
          </w:tcPr>
          <w:p w14:paraId="6C4236B0">
            <w:pPr>
              <w:keepNext w:val="0"/>
              <w:keepLines w:val="0"/>
              <w:suppressLineNumbers w:val="0"/>
              <w:spacing w:before="0" w:beforeAutospacing="0" w:after="0" w:afterAutospacing="0" w:line="240" w:lineRule="auto"/>
              <w:ind w:left="0" w:right="0"/>
              <w:jc w:val="center"/>
              <w:rPr>
                <w:rFonts w:hint="eastAsia" w:ascii="宋体" w:hAnsi="宋体" w:eastAsia="宋体" w:cs="宋体"/>
                <w:sz w:val="21"/>
                <w:szCs w:val="21"/>
              </w:rPr>
            </w:pPr>
          </w:p>
        </w:tc>
        <w:tc>
          <w:tcPr>
            <w:tcW w:w="933" w:type="pct"/>
            <w:shd w:val="clear" w:color="auto" w:fill="FFFFFF"/>
            <w:noWrap w:val="0"/>
            <w:vAlign w:val="center"/>
          </w:tcPr>
          <w:p w14:paraId="3C3B4B29">
            <w:pPr>
              <w:pStyle w:val="36"/>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中型</w:t>
            </w:r>
          </w:p>
        </w:tc>
        <w:tc>
          <w:tcPr>
            <w:tcW w:w="3330" w:type="pct"/>
            <w:shd w:val="clear" w:color="auto" w:fill="FFFFFF"/>
            <w:noWrap w:val="0"/>
            <w:vAlign w:val="center"/>
          </w:tcPr>
          <w:p w14:paraId="1CF267E4">
            <w:pPr>
              <w:pStyle w:val="36"/>
              <w:keepNext w:val="0"/>
              <w:keepLines w:val="0"/>
              <w:suppressLineNumbers w:val="0"/>
              <w:shd w:val="clear" w:color="auto" w:fill="auto"/>
              <w:spacing w:before="0" w:beforeAutospacing="0" w:after="0" w:afterAutospacing="0" w:line="240" w:lineRule="auto"/>
              <w:ind w:left="0" w:right="0" w:firstLine="140"/>
              <w:jc w:val="center"/>
              <w:rPr>
                <w:rFonts w:hint="eastAsia" w:ascii="宋体" w:hAnsi="宋体" w:eastAsia="宋体" w:cs="宋体"/>
                <w:sz w:val="21"/>
                <w:szCs w:val="21"/>
              </w:rPr>
            </w:pPr>
            <w:r>
              <w:rPr>
                <w:rFonts w:hint="eastAsia" w:ascii="宋体" w:hAnsi="宋体" w:eastAsia="宋体" w:cs="宋体"/>
                <w:color w:val="000000"/>
                <w:sz w:val="21"/>
                <w:szCs w:val="21"/>
              </w:rPr>
              <w:t>营业收入6000万元一80000万元，且资产总额 5 000万元一80 000 万元</w:t>
            </w:r>
          </w:p>
        </w:tc>
      </w:tr>
      <w:tr w14:paraId="1F28A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continue"/>
            <w:shd w:val="clear" w:color="auto" w:fill="FFFFFF"/>
            <w:noWrap w:val="0"/>
            <w:vAlign w:val="center"/>
          </w:tcPr>
          <w:p w14:paraId="10135E04">
            <w:pPr>
              <w:keepNext w:val="0"/>
              <w:keepLines w:val="0"/>
              <w:suppressLineNumbers w:val="0"/>
              <w:spacing w:before="0" w:beforeAutospacing="0" w:after="0" w:afterAutospacing="0" w:line="240" w:lineRule="auto"/>
              <w:ind w:left="0" w:right="0"/>
              <w:jc w:val="center"/>
              <w:rPr>
                <w:rFonts w:hint="eastAsia" w:ascii="宋体" w:hAnsi="宋体" w:eastAsia="宋体" w:cs="宋体"/>
                <w:sz w:val="21"/>
                <w:szCs w:val="21"/>
              </w:rPr>
            </w:pPr>
          </w:p>
        </w:tc>
        <w:tc>
          <w:tcPr>
            <w:tcW w:w="933" w:type="pct"/>
            <w:shd w:val="clear" w:color="auto" w:fill="FFFFFF"/>
            <w:noWrap w:val="0"/>
            <w:vAlign w:val="center"/>
          </w:tcPr>
          <w:p w14:paraId="2A67C209">
            <w:pPr>
              <w:pStyle w:val="36"/>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小型</w:t>
            </w:r>
          </w:p>
        </w:tc>
        <w:tc>
          <w:tcPr>
            <w:tcW w:w="3330" w:type="pct"/>
            <w:shd w:val="clear" w:color="auto" w:fill="FFFFFF"/>
            <w:noWrap w:val="0"/>
            <w:vAlign w:val="center"/>
          </w:tcPr>
          <w:p w14:paraId="415493E8">
            <w:pPr>
              <w:pStyle w:val="36"/>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营业收入 300万元一6 000万元，且资产总额 300万一5 000万元</w:t>
            </w:r>
          </w:p>
        </w:tc>
      </w:tr>
      <w:tr w14:paraId="17541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continue"/>
            <w:shd w:val="clear" w:color="auto" w:fill="FFFFFF"/>
            <w:noWrap w:val="0"/>
            <w:vAlign w:val="center"/>
          </w:tcPr>
          <w:p w14:paraId="36DDDB79">
            <w:pPr>
              <w:keepNext w:val="0"/>
              <w:keepLines w:val="0"/>
              <w:suppressLineNumbers w:val="0"/>
              <w:spacing w:before="0" w:beforeAutospacing="0" w:after="0" w:afterAutospacing="0" w:line="240" w:lineRule="auto"/>
              <w:ind w:left="0" w:right="0"/>
              <w:jc w:val="center"/>
              <w:rPr>
                <w:rFonts w:hint="eastAsia" w:ascii="宋体" w:hAnsi="宋体" w:eastAsia="宋体" w:cs="宋体"/>
                <w:sz w:val="21"/>
                <w:szCs w:val="21"/>
              </w:rPr>
            </w:pPr>
          </w:p>
        </w:tc>
        <w:tc>
          <w:tcPr>
            <w:tcW w:w="933" w:type="pct"/>
            <w:shd w:val="clear" w:color="auto" w:fill="FFFFFF"/>
            <w:noWrap w:val="0"/>
            <w:vAlign w:val="center"/>
          </w:tcPr>
          <w:p w14:paraId="020E401A">
            <w:pPr>
              <w:pStyle w:val="36"/>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微型</w:t>
            </w:r>
          </w:p>
        </w:tc>
        <w:tc>
          <w:tcPr>
            <w:tcW w:w="3330" w:type="pct"/>
            <w:shd w:val="clear" w:color="auto" w:fill="FFFFFF"/>
            <w:noWrap w:val="0"/>
            <w:vAlign w:val="center"/>
          </w:tcPr>
          <w:p w14:paraId="6A326B2A">
            <w:pPr>
              <w:pStyle w:val="36"/>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营业收入300万元以下或资产总额 300万元以下</w:t>
            </w:r>
          </w:p>
        </w:tc>
      </w:tr>
      <w:tr w14:paraId="1EB30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restart"/>
            <w:shd w:val="clear" w:color="auto" w:fill="FFFFFF"/>
            <w:noWrap w:val="0"/>
            <w:vAlign w:val="center"/>
          </w:tcPr>
          <w:p w14:paraId="79D01235">
            <w:pPr>
              <w:pStyle w:val="36"/>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批发业</w:t>
            </w:r>
          </w:p>
        </w:tc>
        <w:tc>
          <w:tcPr>
            <w:tcW w:w="4263" w:type="pct"/>
            <w:gridSpan w:val="2"/>
            <w:shd w:val="clear" w:color="auto" w:fill="FFFFFF"/>
            <w:noWrap w:val="0"/>
            <w:vAlign w:val="center"/>
          </w:tcPr>
          <w:p w14:paraId="2F47F28D">
            <w:pPr>
              <w:pStyle w:val="36"/>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从业人员200人以下或营业收入 40 000万元以下的为中小微型企业。</w:t>
            </w:r>
          </w:p>
        </w:tc>
      </w:tr>
      <w:tr w14:paraId="5A835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continue"/>
            <w:shd w:val="clear" w:color="auto" w:fill="FFFFFF"/>
            <w:noWrap w:val="0"/>
            <w:vAlign w:val="center"/>
          </w:tcPr>
          <w:p w14:paraId="16D2D475">
            <w:pPr>
              <w:keepNext w:val="0"/>
              <w:keepLines w:val="0"/>
              <w:suppressLineNumbers w:val="0"/>
              <w:spacing w:before="0" w:beforeAutospacing="0" w:after="0" w:afterAutospacing="0" w:line="240" w:lineRule="auto"/>
              <w:ind w:left="0" w:right="0"/>
              <w:jc w:val="center"/>
              <w:rPr>
                <w:rFonts w:hint="eastAsia" w:ascii="宋体" w:hAnsi="宋体" w:eastAsia="宋体" w:cs="宋体"/>
                <w:sz w:val="21"/>
                <w:szCs w:val="21"/>
              </w:rPr>
            </w:pPr>
          </w:p>
        </w:tc>
        <w:tc>
          <w:tcPr>
            <w:tcW w:w="933" w:type="pct"/>
            <w:shd w:val="clear" w:color="auto" w:fill="FFFFFF"/>
            <w:noWrap w:val="0"/>
            <w:vAlign w:val="center"/>
          </w:tcPr>
          <w:p w14:paraId="540BF3E1">
            <w:pPr>
              <w:pStyle w:val="36"/>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中型</w:t>
            </w:r>
          </w:p>
        </w:tc>
        <w:tc>
          <w:tcPr>
            <w:tcW w:w="3330" w:type="pct"/>
            <w:shd w:val="clear" w:color="auto" w:fill="FFFFFF"/>
            <w:noWrap w:val="0"/>
            <w:vAlign w:val="center"/>
          </w:tcPr>
          <w:p w14:paraId="5B5E60F3">
            <w:pPr>
              <w:pStyle w:val="36"/>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从业人员20人一200人，且营业收入 5 000万元一40 000万元</w:t>
            </w:r>
          </w:p>
        </w:tc>
      </w:tr>
      <w:tr w14:paraId="16556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continue"/>
            <w:shd w:val="clear" w:color="auto" w:fill="FFFFFF"/>
            <w:noWrap w:val="0"/>
            <w:vAlign w:val="center"/>
          </w:tcPr>
          <w:p w14:paraId="7CAD8C5E">
            <w:pPr>
              <w:keepNext w:val="0"/>
              <w:keepLines w:val="0"/>
              <w:suppressLineNumbers w:val="0"/>
              <w:spacing w:before="0" w:beforeAutospacing="0" w:after="0" w:afterAutospacing="0" w:line="240" w:lineRule="auto"/>
              <w:ind w:left="0" w:right="0"/>
              <w:jc w:val="center"/>
              <w:rPr>
                <w:rFonts w:hint="eastAsia" w:ascii="宋体" w:hAnsi="宋体" w:eastAsia="宋体" w:cs="宋体"/>
                <w:sz w:val="21"/>
                <w:szCs w:val="21"/>
              </w:rPr>
            </w:pPr>
          </w:p>
        </w:tc>
        <w:tc>
          <w:tcPr>
            <w:tcW w:w="933" w:type="pct"/>
            <w:shd w:val="clear" w:color="auto" w:fill="FFFFFF"/>
            <w:noWrap w:val="0"/>
            <w:vAlign w:val="center"/>
          </w:tcPr>
          <w:p w14:paraId="742DFDE0">
            <w:pPr>
              <w:pStyle w:val="36"/>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小型</w:t>
            </w:r>
          </w:p>
        </w:tc>
        <w:tc>
          <w:tcPr>
            <w:tcW w:w="3330" w:type="pct"/>
            <w:shd w:val="clear" w:color="auto" w:fill="FFFFFF"/>
            <w:noWrap w:val="0"/>
            <w:vAlign w:val="center"/>
          </w:tcPr>
          <w:p w14:paraId="16A3DA9E">
            <w:pPr>
              <w:pStyle w:val="36"/>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从业人员5人一20人，且营业收入 1 000万元一5 000万元</w:t>
            </w:r>
          </w:p>
        </w:tc>
      </w:tr>
      <w:tr w14:paraId="4D1F5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continue"/>
            <w:shd w:val="clear" w:color="auto" w:fill="FFFFFF"/>
            <w:noWrap w:val="0"/>
            <w:vAlign w:val="center"/>
          </w:tcPr>
          <w:p w14:paraId="34A48C39">
            <w:pPr>
              <w:keepNext w:val="0"/>
              <w:keepLines w:val="0"/>
              <w:suppressLineNumbers w:val="0"/>
              <w:spacing w:before="0" w:beforeAutospacing="0" w:after="0" w:afterAutospacing="0" w:line="240" w:lineRule="auto"/>
              <w:ind w:left="0" w:right="0"/>
              <w:jc w:val="center"/>
              <w:rPr>
                <w:rFonts w:hint="eastAsia" w:ascii="宋体" w:hAnsi="宋体" w:eastAsia="宋体" w:cs="宋体"/>
                <w:sz w:val="21"/>
                <w:szCs w:val="21"/>
              </w:rPr>
            </w:pPr>
          </w:p>
        </w:tc>
        <w:tc>
          <w:tcPr>
            <w:tcW w:w="933" w:type="pct"/>
            <w:shd w:val="clear" w:color="auto" w:fill="FFFFFF"/>
            <w:noWrap w:val="0"/>
            <w:vAlign w:val="center"/>
          </w:tcPr>
          <w:p w14:paraId="3C3CBAEE">
            <w:pPr>
              <w:pStyle w:val="36"/>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微型</w:t>
            </w:r>
          </w:p>
        </w:tc>
        <w:tc>
          <w:tcPr>
            <w:tcW w:w="3330" w:type="pct"/>
            <w:shd w:val="clear" w:color="auto" w:fill="FFFFFF"/>
            <w:noWrap w:val="0"/>
            <w:vAlign w:val="center"/>
          </w:tcPr>
          <w:p w14:paraId="7E218EBC">
            <w:pPr>
              <w:pStyle w:val="36"/>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从业人员5人以下或营业收入 1 000万元以下</w:t>
            </w:r>
          </w:p>
        </w:tc>
      </w:tr>
      <w:tr w14:paraId="31009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restart"/>
            <w:shd w:val="clear" w:color="auto" w:fill="FFFFFF"/>
            <w:noWrap w:val="0"/>
            <w:vAlign w:val="center"/>
          </w:tcPr>
          <w:p w14:paraId="211107F8">
            <w:pPr>
              <w:pStyle w:val="36"/>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零售业</w:t>
            </w:r>
          </w:p>
        </w:tc>
        <w:tc>
          <w:tcPr>
            <w:tcW w:w="4263" w:type="pct"/>
            <w:gridSpan w:val="2"/>
            <w:shd w:val="clear" w:color="auto" w:fill="FFFFFF"/>
            <w:noWrap w:val="0"/>
            <w:vAlign w:val="center"/>
          </w:tcPr>
          <w:p w14:paraId="690C6B6A">
            <w:pPr>
              <w:pStyle w:val="36"/>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从业人员300人以下或营业收入 20 000万元以下的为中小微型企业。</w:t>
            </w:r>
          </w:p>
        </w:tc>
      </w:tr>
      <w:tr w14:paraId="11B9A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continue"/>
            <w:shd w:val="clear" w:color="auto" w:fill="FFFFFF"/>
            <w:noWrap w:val="0"/>
            <w:vAlign w:val="center"/>
          </w:tcPr>
          <w:p w14:paraId="05D2616A">
            <w:pPr>
              <w:keepNext w:val="0"/>
              <w:keepLines w:val="0"/>
              <w:suppressLineNumbers w:val="0"/>
              <w:spacing w:before="0" w:beforeAutospacing="0" w:after="0" w:afterAutospacing="0" w:line="240" w:lineRule="auto"/>
              <w:ind w:left="0" w:right="0"/>
              <w:jc w:val="center"/>
              <w:rPr>
                <w:rFonts w:hint="eastAsia" w:ascii="宋体" w:hAnsi="宋体" w:eastAsia="宋体" w:cs="宋体"/>
                <w:sz w:val="21"/>
                <w:szCs w:val="21"/>
              </w:rPr>
            </w:pPr>
          </w:p>
        </w:tc>
        <w:tc>
          <w:tcPr>
            <w:tcW w:w="933" w:type="pct"/>
            <w:shd w:val="clear" w:color="auto" w:fill="FFFFFF"/>
            <w:noWrap w:val="0"/>
            <w:vAlign w:val="center"/>
          </w:tcPr>
          <w:p w14:paraId="0871A952">
            <w:pPr>
              <w:pStyle w:val="36"/>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中型</w:t>
            </w:r>
          </w:p>
        </w:tc>
        <w:tc>
          <w:tcPr>
            <w:tcW w:w="3330" w:type="pct"/>
            <w:shd w:val="clear" w:color="auto" w:fill="FFFFFF"/>
            <w:noWrap w:val="0"/>
            <w:vAlign w:val="center"/>
          </w:tcPr>
          <w:p w14:paraId="78DD2929">
            <w:pPr>
              <w:pStyle w:val="36"/>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从业人员 50人一300人，且营业收入 500万元一20 000万元</w:t>
            </w:r>
          </w:p>
        </w:tc>
      </w:tr>
      <w:tr w14:paraId="3F461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continue"/>
            <w:shd w:val="clear" w:color="auto" w:fill="FFFFFF"/>
            <w:noWrap w:val="0"/>
            <w:vAlign w:val="center"/>
          </w:tcPr>
          <w:p w14:paraId="6BF68395">
            <w:pPr>
              <w:keepNext w:val="0"/>
              <w:keepLines w:val="0"/>
              <w:suppressLineNumbers w:val="0"/>
              <w:spacing w:before="0" w:beforeAutospacing="0" w:after="0" w:afterAutospacing="0" w:line="240" w:lineRule="auto"/>
              <w:ind w:left="0" w:right="0"/>
              <w:jc w:val="center"/>
              <w:rPr>
                <w:rFonts w:hint="eastAsia" w:ascii="宋体" w:hAnsi="宋体" w:eastAsia="宋体" w:cs="宋体"/>
                <w:sz w:val="21"/>
                <w:szCs w:val="21"/>
              </w:rPr>
            </w:pPr>
          </w:p>
        </w:tc>
        <w:tc>
          <w:tcPr>
            <w:tcW w:w="933" w:type="pct"/>
            <w:shd w:val="clear" w:color="auto" w:fill="FFFFFF"/>
            <w:noWrap w:val="0"/>
            <w:vAlign w:val="center"/>
          </w:tcPr>
          <w:p w14:paraId="7BE1E28B">
            <w:pPr>
              <w:pStyle w:val="36"/>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小型</w:t>
            </w:r>
          </w:p>
        </w:tc>
        <w:tc>
          <w:tcPr>
            <w:tcW w:w="3330" w:type="pct"/>
            <w:shd w:val="clear" w:color="auto" w:fill="FFFFFF"/>
            <w:noWrap w:val="0"/>
            <w:vAlign w:val="center"/>
          </w:tcPr>
          <w:p w14:paraId="1196F15C">
            <w:pPr>
              <w:pStyle w:val="36"/>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从业人员10人一50人，且营业收入 100万元一500万元</w:t>
            </w:r>
          </w:p>
        </w:tc>
      </w:tr>
      <w:tr w14:paraId="68B92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continue"/>
            <w:shd w:val="clear" w:color="auto" w:fill="FFFFFF"/>
            <w:noWrap w:val="0"/>
            <w:vAlign w:val="center"/>
          </w:tcPr>
          <w:p w14:paraId="30E6F7B1">
            <w:pPr>
              <w:keepNext w:val="0"/>
              <w:keepLines w:val="0"/>
              <w:suppressLineNumbers w:val="0"/>
              <w:spacing w:before="0" w:beforeAutospacing="0" w:after="0" w:afterAutospacing="0" w:line="240" w:lineRule="auto"/>
              <w:ind w:left="0" w:right="0"/>
              <w:jc w:val="center"/>
              <w:rPr>
                <w:rFonts w:hint="eastAsia" w:ascii="宋体" w:hAnsi="宋体" w:eastAsia="宋体" w:cs="宋体"/>
                <w:sz w:val="21"/>
                <w:szCs w:val="21"/>
              </w:rPr>
            </w:pPr>
          </w:p>
        </w:tc>
        <w:tc>
          <w:tcPr>
            <w:tcW w:w="933" w:type="pct"/>
            <w:shd w:val="clear" w:color="auto" w:fill="FFFFFF"/>
            <w:noWrap w:val="0"/>
            <w:vAlign w:val="center"/>
          </w:tcPr>
          <w:p w14:paraId="4B664568">
            <w:pPr>
              <w:pStyle w:val="36"/>
              <w:keepNext w:val="0"/>
              <w:keepLines w:val="0"/>
              <w:suppressLineNumbers w:val="0"/>
              <w:shd w:val="clear" w:color="auto" w:fill="auto"/>
              <w:spacing w:before="8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微型</w:t>
            </w:r>
          </w:p>
        </w:tc>
        <w:tc>
          <w:tcPr>
            <w:tcW w:w="3330" w:type="pct"/>
            <w:shd w:val="clear" w:color="auto" w:fill="FFFFFF"/>
            <w:noWrap w:val="0"/>
            <w:vAlign w:val="center"/>
          </w:tcPr>
          <w:p w14:paraId="3AAB6EC0">
            <w:pPr>
              <w:pStyle w:val="36"/>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从业人员10人以下或营业收入 100万元以下</w:t>
            </w:r>
          </w:p>
        </w:tc>
      </w:tr>
      <w:tr w14:paraId="065E8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restart"/>
            <w:shd w:val="clear" w:color="auto" w:fill="FFFFFF"/>
            <w:noWrap w:val="0"/>
            <w:vAlign w:val="center"/>
          </w:tcPr>
          <w:p w14:paraId="45386578">
            <w:pPr>
              <w:pStyle w:val="36"/>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交通运输业 （不含铁路运输业）</w:t>
            </w:r>
          </w:p>
        </w:tc>
        <w:tc>
          <w:tcPr>
            <w:tcW w:w="4263" w:type="pct"/>
            <w:gridSpan w:val="2"/>
            <w:shd w:val="clear" w:color="auto" w:fill="FFFFFF"/>
            <w:noWrap w:val="0"/>
            <w:vAlign w:val="center"/>
          </w:tcPr>
          <w:p w14:paraId="207AD798">
            <w:pPr>
              <w:pStyle w:val="36"/>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从业人员1 000人以下或营业收入 30 000万元以下的为中小微型企业。</w:t>
            </w:r>
          </w:p>
        </w:tc>
      </w:tr>
      <w:tr w14:paraId="74EA1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continue"/>
            <w:shd w:val="clear" w:color="auto" w:fill="FFFFFF"/>
            <w:noWrap w:val="0"/>
            <w:vAlign w:val="center"/>
          </w:tcPr>
          <w:p w14:paraId="3F30760E">
            <w:pPr>
              <w:keepNext w:val="0"/>
              <w:keepLines w:val="0"/>
              <w:suppressLineNumbers w:val="0"/>
              <w:spacing w:before="0" w:beforeAutospacing="0" w:after="0" w:afterAutospacing="0" w:line="240" w:lineRule="auto"/>
              <w:ind w:left="0" w:right="0"/>
              <w:jc w:val="center"/>
              <w:rPr>
                <w:rFonts w:hint="eastAsia" w:ascii="宋体" w:hAnsi="宋体" w:eastAsia="宋体" w:cs="宋体"/>
                <w:sz w:val="21"/>
                <w:szCs w:val="21"/>
              </w:rPr>
            </w:pPr>
          </w:p>
        </w:tc>
        <w:tc>
          <w:tcPr>
            <w:tcW w:w="933" w:type="pct"/>
            <w:shd w:val="clear" w:color="auto" w:fill="FFFFFF"/>
            <w:noWrap w:val="0"/>
            <w:vAlign w:val="center"/>
          </w:tcPr>
          <w:p w14:paraId="6BE89887">
            <w:pPr>
              <w:pStyle w:val="36"/>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中型</w:t>
            </w:r>
          </w:p>
        </w:tc>
        <w:tc>
          <w:tcPr>
            <w:tcW w:w="3330" w:type="pct"/>
            <w:shd w:val="clear" w:color="auto" w:fill="FFFFFF"/>
            <w:noWrap w:val="0"/>
            <w:vAlign w:val="center"/>
          </w:tcPr>
          <w:p w14:paraId="567BBFA7">
            <w:pPr>
              <w:pStyle w:val="36"/>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从业人员 300人一1 000人，且营业收入 3 000万元一30 000万元</w:t>
            </w:r>
          </w:p>
        </w:tc>
      </w:tr>
      <w:tr w14:paraId="77753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continue"/>
            <w:shd w:val="clear" w:color="auto" w:fill="FFFFFF"/>
            <w:noWrap w:val="0"/>
            <w:vAlign w:val="center"/>
          </w:tcPr>
          <w:p w14:paraId="3FAB374A">
            <w:pPr>
              <w:keepNext w:val="0"/>
              <w:keepLines w:val="0"/>
              <w:suppressLineNumbers w:val="0"/>
              <w:spacing w:before="0" w:beforeAutospacing="0" w:after="0" w:afterAutospacing="0" w:line="240" w:lineRule="auto"/>
              <w:ind w:left="0" w:right="0"/>
              <w:jc w:val="center"/>
              <w:rPr>
                <w:rFonts w:hint="eastAsia" w:ascii="宋体" w:hAnsi="宋体" w:eastAsia="宋体" w:cs="宋体"/>
                <w:sz w:val="21"/>
                <w:szCs w:val="21"/>
              </w:rPr>
            </w:pPr>
          </w:p>
        </w:tc>
        <w:tc>
          <w:tcPr>
            <w:tcW w:w="933" w:type="pct"/>
            <w:shd w:val="clear" w:color="auto" w:fill="FFFFFF"/>
            <w:noWrap w:val="0"/>
            <w:vAlign w:val="center"/>
          </w:tcPr>
          <w:p w14:paraId="5AB12487">
            <w:pPr>
              <w:pStyle w:val="36"/>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小型</w:t>
            </w:r>
          </w:p>
        </w:tc>
        <w:tc>
          <w:tcPr>
            <w:tcW w:w="3330" w:type="pct"/>
            <w:shd w:val="clear" w:color="auto" w:fill="FFFFFF"/>
            <w:noWrap w:val="0"/>
            <w:vAlign w:val="center"/>
          </w:tcPr>
          <w:p w14:paraId="085C30D9">
            <w:pPr>
              <w:pStyle w:val="36"/>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从业人员20人一300人，且营业收入 200万元一3 000万元</w:t>
            </w:r>
          </w:p>
        </w:tc>
      </w:tr>
      <w:tr w14:paraId="6CE80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continue"/>
            <w:shd w:val="clear" w:color="auto" w:fill="FFFFFF"/>
            <w:noWrap w:val="0"/>
            <w:vAlign w:val="center"/>
          </w:tcPr>
          <w:p w14:paraId="6F1C287C">
            <w:pPr>
              <w:keepNext w:val="0"/>
              <w:keepLines w:val="0"/>
              <w:suppressLineNumbers w:val="0"/>
              <w:spacing w:before="0" w:beforeAutospacing="0" w:after="0" w:afterAutospacing="0" w:line="240" w:lineRule="auto"/>
              <w:ind w:left="0" w:right="0"/>
              <w:jc w:val="center"/>
              <w:rPr>
                <w:rFonts w:hint="eastAsia" w:ascii="宋体" w:hAnsi="宋体" w:eastAsia="宋体" w:cs="宋体"/>
                <w:sz w:val="21"/>
                <w:szCs w:val="21"/>
              </w:rPr>
            </w:pPr>
          </w:p>
        </w:tc>
        <w:tc>
          <w:tcPr>
            <w:tcW w:w="933" w:type="pct"/>
            <w:shd w:val="clear" w:color="auto" w:fill="FFFFFF"/>
            <w:noWrap w:val="0"/>
            <w:vAlign w:val="center"/>
          </w:tcPr>
          <w:p w14:paraId="4E46FE50">
            <w:pPr>
              <w:pStyle w:val="36"/>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微型</w:t>
            </w:r>
          </w:p>
        </w:tc>
        <w:tc>
          <w:tcPr>
            <w:tcW w:w="3330" w:type="pct"/>
            <w:shd w:val="clear" w:color="auto" w:fill="FFFFFF"/>
            <w:noWrap w:val="0"/>
            <w:vAlign w:val="center"/>
          </w:tcPr>
          <w:p w14:paraId="4454658C">
            <w:pPr>
              <w:pStyle w:val="36"/>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从业人员20人以下或营业收入 200万元以下</w:t>
            </w:r>
          </w:p>
        </w:tc>
      </w:tr>
      <w:tr w14:paraId="72A12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restart"/>
            <w:shd w:val="clear" w:color="auto" w:fill="FFFFFF"/>
            <w:noWrap w:val="0"/>
            <w:vAlign w:val="center"/>
          </w:tcPr>
          <w:p w14:paraId="681717EE">
            <w:pPr>
              <w:pStyle w:val="36"/>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仓储业</w:t>
            </w:r>
          </w:p>
        </w:tc>
        <w:tc>
          <w:tcPr>
            <w:tcW w:w="4263" w:type="pct"/>
            <w:gridSpan w:val="2"/>
            <w:shd w:val="clear" w:color="auto" w:fill="FFFFFF"/>
            <w:noWrap w:val="0"/>
            <w:vAlign w:val="center"/>
          </w:tcPr>
          <w:p w14:paraId="56F802B7">
            <w:pPr>
              <w:pStyle w:val="36"/>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从业人员200人以下或营业收入 30 000万元以下的为中小微型企业。</w:t>
            </w:r>
          </w:p>
        </w:tc>
      </w:tr>
      <w:tr w14:paraId="5AEFC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continue"/>
            <w:shd w:val="clear" w:color="auto" w:fill="FFFFFF"/>
            <w:noWrap w:val="0"/>
            <w:vAlign w:val="center"/>
          </w:tcPr>
          <w:p w14:paraId="2CA4DB44">
            <w:pPr>
              <w:keepNext w:val="0"/>
              <w:keepLines w:val="0"/>
              <w:suppressLineNumbers w:val="0"/>
              <w:spacing w:before="0" w:beforeAutospacing="0" w:after="0" w:afterAutospacing="0" w:line="240" w:lineRule="auto"/>
              <w:ind w:left="0" w:right="0"/>
              <w:jc w:val="center"/>
              <w:rPr>
                <w:rFonts w:hint="eastAsia" w:ascii="宋体" w:hAnsi="宋体" w:eastAsia="宋体" w:cs="宋体"/>
                <w:sz w:val="21"/>
                <w:szCs w:val="21"/>
              </w:rPr>
            </w:pPr>
          </w:p>
        </w:tc>
        <w:tc>
          <w:tcPr>
            <w:tcW w:w="933" w:type="pct"/>
            <w:shd w:val="clear" w:color="auto" w:fill="FFFFFF"/>
            <w:noWrap w:val="0"/>
            <w:vAlign w:val="center"/>
          </w:tcPr>
          <w:p w14:paraId="03E46D14">
            <w:pPr>
              <w:pStyle w:val="36"/>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中型</w:t>
            </w:r>
          </w:p>
        </w:tc>
        <w:tc>
          <w:tcPr>
            <w:tcW w:w="3330" w:type="pct"/>
            <w:shd w:val="clear" w:color="auto" w:fill="FFFFFF"/>
            <w:noWrap w:val="0"/>
            <w:vAlign w:val="center"/>
          </w:tcPr>
          <w:p w14:paraId="5A0D41F4">
            <w:pPr>
              <w:pStyle w:val="36"/>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从业人员100人一200人，且营业收入 1 000万元一30 000万元</w:t>
            </w:r>
          </w:p>
        </w:tc>
      </w:tr>
      <w:tr w14:paraId="3D004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continue"/>
            <w:shd w:val="clear" w:color="auto" w:fill="FFFFFF"/>
            <w:noWrap w:val="0"/>
            <w:vAlign w:val="center"/>
          </w:tcPr>
          <w:p w14:paraId="22784AC0">
            <w:pPr>
              <w:keepNext w:val="0"/>
              <w:keepLines w:val="0"/>
              <w:suppressLineNumbers w:val="0"/>
              <w:spacing w:before="0" w:beforeAutospacing="0" w:after="0" w:afterAutospacing="0" w:line="240" w:lineRule="auto"/>
              <w:ind w:left="0" w:right="0"/>
              <w:jc w:val="center"/>
              <w:rPr>
                <w:rFonts w:hint="eastAsia" w:ascii="宋体" w:hAnsi="宋体" w:eastAsia="宋体" w:cs="宋体"/>
                <w:sz w:val="21"/>
                <w:szCs w:val="21"/>
              </w:rPr>
            </w:pPr>
          </w:p>
        </w:tc>
        <w:tc>
          <w:tcPr>
            <w:tcW w:w="933" w:type="pct"/>
            <w:shd w:val="clear" w:color="auto" w:fill="FFFFFF"/>
            <w:noWrap w:val="0"/>
            <w:vAlign w:val="center"/>
          </w:tcPr>
          <w:p w14:paraId="6E5E212A">
            <w:pPr>
              <w:pStyle w:val="36"/>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小型</w:t>
            </w:r>
          </w:p>
        </w:tc>
        <w:tc>
          <w:tcPr>
            <w:tcW w:w="3330" w:type="pct"/>
            <w:shd w:val="clear" w:color="auto" w:fill="FFFFFF"/>
            <w:noWrap w:val="0"/>
            <w:vAlign w:val="center"/>
          </w:tcPr>
          <w:p w14:paraId="76E4CF2D">
            <w:pPr>
              <w:pStyle w:val="36"/>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从业人员20人一100人，且营业收入 100万元一1 000万元</w:t>
            </w:r>
          </w:p>
        </w:tc>
      </w:tr>
      <w:tr w14:paraId="0F93C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continue"/>
            <w:shd w:val="clear" w:color="auto" w:fill="FFFFFF"/>
            <w:noWrap w:val="0"/>
            <w:vAlign w:val="center"/>
          </w:tcPr>
          <w:p w14:paraId="48B07D3C">
            <w:pPr>
              <w:keepNext w:val="0"/>
              <w:keepLines w:val="0"/>
              <w:suppressLineNumbers w:val="0"/>
              <w:spacing w:before="0" w:beforeAutospacing="0" w:after="0" w:afterAutospacing="0" w:line="240" w:lineRule="auto"/>
              <w:ind w:left="0" w:right="0"/>
              <w:jc w:val="center"/>
              <w:rPr>
                <w:rFonts w:hint="eastAsia" w:ascii="宋体" w:hAnsi="宋体" w:eastAsia="宋体" w:cs="宋体"/>
                <w:sz w:val="21"/>
                <w:szCs w:val="21"/>
              </w:rPr>
            </w:pPr>
          </w:p>
        </w:tc>
        <w:tc>
          <w:tcPr>
            <w:tcW w:w="933" w:type="pct"/>
            <w:shd w:val="clear" w:color="auto" w:fill="FFFFFF"/>
            <w:noWrap w:val="0"/>
            <w:vAlign w:val="center"/>
          </w:tcPr>
          <w:p w14:paraId="3426C6DF">
            <w:pPr>
              <w:pStyle w:val="36"/>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微型</w:t>
            </w:r>
          </w:p>
        </w:tc>
        <w:tc>
          <w:tcPr>
            <w:tcW w:w="3330" w:type="pct"/>
            <w:shd w:val="clear" w:color="auto" w:fill="FFFFFF"/>
            <w:noWrap w:val="0"/>
            <w:vAlign w:val="center"/>
          </w:tcPr>
          <w:p w14:paraId="143B5DE8">
            <w:pPr>
              <w:pStyle w:val="36"/>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从业人员20人以下或营业收入 100万元以下</w:t>
            </w:r>
          </w:p>
        </w:tc>
      </w:tr>
      <w:tr w14:paraId="55703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restart"/>
            <w:shd w:val="clear" w:color="auto" w:fill="FFFFFF"/>
            <w:noWrap w:val="0"/>
            <w:vAlign w:val="center"/>
          </w:tcPr>
          <w:p w14:paraId="173D5067">
            <w:pPr>
              <w:pStyle w:val="36"/>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邮政业</w:t>
            </w:r>
          </w:p>
        </w:tc>
        <w:tc>
          <w:tcPr>
            <w:tcW w:w="4263" w:type="pct"/>
            <w:gridSpan w:val="2"/>
            <w:shd w:val="clear" w:color="auto" w:fill="FFFFFF"/>
            <w:noWrap w:val="0"/>
            <w:vAlign w:val="center"/>
          </w:tcPr>
          <w:p w14:paraId="11A96B63">
            <w:pPr>
              <w:pStyle w:val="36"/>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从业人员1 000人以下或营业收入 30 000万元以下的为中小微型企业。</w:t>
            </w:r>
          </w:p>
        </w:tc>
      </w:tr>
      <w:tr w14:paraId="31894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continue"/>
            <w:shd w:val="clear" w:color="auto" w:fill="FFFFFF"/>
            <w:noWrap w:val="0"/>
            <w:vAlign w:val="center"/>
          </w:tcPr>
          <w:p w14:paraId="0889BA2A">
            <w:pPr>
              <w:keepNext w:val="0"/>
              <w:keepLines w:val="0"/>
              <w:suppressLineNumbers w:val="0"/>
              <w:spacing w:before="0" w:beforeAutospacing="0" w:after="0" w:afterAutospacing="0" w:line="240" w:lineRule="auto"/>
              <w:ind w:left="0" w:right="0"/>
              <w:jc w:val="center"/>
              <w:rPr>
                <w:rFonts w:hint="eastAsia" w:ascii="宋体" w:hAnsi="宋体" w:eastAsia="宋体" w:cs="宋体"/>
                <w:sz w:val="21"/>
                <w:szCs w:val="21"/>
              </w:rPr>
            </w:pPr>
          </w:p>
        </w:tc>
        <w:tc>
          <w:tcPr>
            <w:tcW w:w="933" w:type="pct"/>
            <w:shd w:val="clear" w:color="auto" w:fill="FFFFFF"/>
            <w:noWrap w:val="0"/>
            <w:vAlign w:val="center"/>
          </w:tcPr>
          <w:p w14:paraId="1EE958F4">
            <w:pPr>
              <w:pStyle w:val="36"/>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中型</w:t>
            </w:r>
          </w:p>
        </w:tc>
        <w:tc>
          <w:tcPr>
            <w:tcW w:w="3330" w:type="pct"/>
            <w:shd w:val="clear" w:color="auto" w:fill="FFFFFF"/>
            <w:noWrap w:val="0"/>
            <w:vAlign w:val="center"/>
          </w:tcPr>
          <w:p w14:paraId="5F3870FB">
            <w:pPr>
              <w:pStyle w:val="36"/>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从业人员 300人一1 000人，且营业收入 2 000万元一30 000万元</w:t>
            </w:r>
          </w:p>
        </w:tc>
      </w:tr>
      <w:tr w14:paraId="49690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continue"/>
            <w:shd w:val="clear" w:color="auto" w:fill="FFFFFF"/>
            <w:noWrap w:val="0"/>
            <w:vAlign w:val="center"/>
          </w:tcPr>
          <w:p w14:paraId="4C39E6C8">
            <w:pPr>
              <w:keepNext w:val="0"/>
              <w:keepLines w:val="0"/>
              <w:suppressLineNumbers w:val="0"/>
              <w:spacing w:before="0" w:beforeAutospacing="0" w:after="0" w:afterAutospacing="0" w:line="240" w:lineRule="auto"/>
              <w:ind w:left="0" w:right="0"/>
              <w:jc w:val="center"/>
              <w:rPr>
                <w:rFonts w:hint="eastAsia" w:ascii="宋体" w:hAnsi="宋体" w:eastAsia="宋体" w:cs="宋体"/>
                <w:sz w:val="21"/>
                <w:szCs w:val="21"/>
              </w:rPr>
            </w:pPr>
          </w:p>
        </w:tc>
        <w:tc>
          <w:tcPr>
            <w:tcW w:w="933" w:type="pct"/>
            <w:shd w:val="clear" w:color="auto" w:fill="FFFFFF"/>
            <w:noWrap w:val="0"/>
            <w:vAlign w:val="center"/>
          </w:tcPr>
          <w:p w14:paraId="2FCC01A1">
            <w:pPr>
              <w:pStyle w:val="36"/>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小型</w:t>
            </w:r>
          </w:p>
        </w:tc>
        <w:tc>
          <w:tcPr>
            <w:tcW w:w="3330" w:type="pct"/>
            <w:shd w:val="clear" w:color="auto" w:fill="FFFFFF"/>
            <w:noWrap w:val="0"/>
            <w:vAlign w:val="center"/>
          </w:tcPr>
          <w:p w14:paraId="23047120">
            <w:pPr>
              <w:pStyle w:val="36"/>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从业人员20人一300人，且营业收入 100万元一2 000万元</w:t>
            </w:r>
          </w:p>
        </w:tc>
      </w:tr>
      <w:tr w14:paraId="3FC03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continue"/>
            <w:shd w:val="clear" w:color="auto" w:fill="FFFFFF"/>
            <w:noWrap w:val="0"/>
            <w:vAlign w:val="center"/>
          </w:tcPr>
          <w:p w14:paraId="6784D64B">
            <w:pPr>
              <w:keepNext w:val="0"/>
              <w:keepLines w:val="0"/>
              <w:suppressLineNumbers w:val="0"/>
              <w:spacing w:before="0" w:beforeAutospacing="0" w:after="0" w:afterAutospacing="0" w:line="240" w:lineRule="auto"/>
              <w:ind w:left="0" w:right="0"/>
              <w:jc w:val="center"/>
              <w:rPr>
                <w:rFonts w:hint="eastAsia" w:ascii="宋体" w:hAnsi="宋体" w:eastAsia="宋体" w:cs="宋体"/>
                <w:sz w:val="21"/>
                <w:szCs w:val="21"/>
              </w:rPr>
            </w:pPr>
          </w:p>
        </w:tc>
        <w:tc>
          <w:tcPr>
            <w:tcW w:w="933" w:type="pct"/>
            <w:shd w:val="clear" w:color="auto" w:fill="FFFFFF"/>
            <w:noWrap w:val="0"/>
            <w:vAlign w:val="center"/>
          </w:tcPr>
          <w:p w14:paraId="2646A6D9">
            <w:pPr>
              <w:pStyle w:val="36"/>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微型</w:t>
            </w:r>
          </w:p>
        </w:tc>
        <w:tc>
          <w:tcPr>
            <w:tcW w:w="3330" w:type="pct"/>
            <w:shd w:val="clear" w:color="auto" w:fill="FFFFFF"/>
            <w:noWrap w:val="0"/>
            <w:vAlign w:val="center"/>
          </w:tcPr>
          <w:p w14:paraId="6668FA84">
            <w:pPr>
              <w:pStyle w:val="36"/>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从业人员20人以下或营业收入 100万元以下</w:t>
            </w:r>
          </w:p>
        </w:tc>
      </w:tr>
    </w:tbl>
    <w:p w14:paraId="387FFC21">
      <w:pPr>
        <w:spacing w:line="1" w:lineRule="exact"/>
        <w:jc w:val="center"/>
        <w:rPr>
          <w:rFonts w:hint="eastAsia" w:ascii="宋体" w:hAnsi="宋体" w:eastAsia="宋体" w:cs="宋体"/>
          <w:sz w:val="21"/>
          <w:szCs w:val="21"/>
        </w:rPr>
      </w:pPr>
    </w:p>
    <w:tbl>
      <w:tblPr>
        <w:tblStyle w:val="17"/>
        <w:tblW w:w="9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440"/>
        <w:gridCol w:w="1173"/>
        <w:gridCol w:w="7181"/>
      </w:tblGrid>
      <w:tr w14:paraId="45EC1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restart"/>
            <w:shd w:val="clear" w:color="auto" w:fill="FFFFFF"/>
            <w:noWrap w:val="0"/>
            <w:vAlign w:val="center"/>
          </w:tcPr>
          <w:p w14:paraId="6E2B43E5">
            <w:pPr>
              <w:pStyle w:val="36"/>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住宿业</w:t>
            </w:r>
          </w:p>
        </w:tc>
        <w:tc>
          <w:tcPr>
            <w:tcW w:w="8354" w:type="dxa"/>
            <w:gridSpan w:val="2"/>
            <w:shd w:val="clear" w:color="auto" w:fill="FFFFFF"/>
            <w:noWrap w:val="0"/>
            <w:vAlign w:val="center"/>
          </w:tcPr>
          <w:p w14:paraId="5532C5EB">
            <w:pPr>
              <w:pStyle w:val="36"/>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从业人员300人以下或营业收入 10000万元以下的为中小微型企业。</w:t>
            </w:r>
          </w:p>
        </w:tc>
      </w:tr>
      <w:tr w14:paraId="09268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continue"/>
            <w:shd w:val="clear" w:color="auto" w:fill="FFFFFF"/>
            <w:noWrap w:val="0"/>
            <w:vAlign w:val="center"/>
          </w:tcPr>
          <w:p w14:paraId="7AAD08F7">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173" w:type="dxa"/>
            <w:shd w:val="clear" w:color="auto" w:fill="FFFFFF"/>
            <w:noWrap w:val="0"/>
            <w:vAlign w:val="center"/>
          </w:tcPr>
          <w:p w14:paraId="690CC6F8">
            <w:pPr>
              <w:pStyle w:val="36"/>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中型</w:t>
            </w:r>
          </w:p>
        </w:tc>
        <w:tc>
          <w:tcPr>
            <w:tcW w:w="7181" w:type="dxa"/>
            <w:shd w:val="clear" w:color="auto" w:fill="FFFFFF"/>
            <w:noWrap w:val="0"/>
            <w:vAlign w:val="center"/>
          </w:tcPr>
          <w:p w14:paraId="7F0038A8">
            <w:pPr>
              <w:pStyle w:val="36"/>
              <w:keepNext w:val="0"/>
              <w:keepLines w:val="0"/>
              <w:suppressLineNumbers w:val="0"/>
              <w:shd w:val="clear" w:color="auto" w:fill="auto"/>
              <w:spacing w:before="0" w:beforeAutospacing="0" w:after="0" w:afterAutospacing="0"/>
              <w:ind w:left="0" w:right="0" w:firstLine="140"/>
              <w:jc w:val="center"/>
              <w:rPr>
                <w:rFonts w:hint="eastAsia" w:ascii="宋体" w:hAnsi="宋体" w:eastAsia="宋体" w:cs="宋体"/>
                <w:sz w:val="21"/>
                <w:szCs w:val="21"/>
              </w:rPr>
            </w:pPr>
            <w:r>
              <w:rPr>
                <w:rFonts w:hint="eastAsia" w:ascii="宋体" w:hAnsi="宋体" w:eastAsia="宋体" w:cs="宋体"/>
                <w:color w:val="000000"/>
                <w:sz w:val="21"/>
                <w:szCs w:val="21"/>
              </w:rPr>
              <w:t>从业人员100人一300人，且营业收入 2 000万元一10 000万元</w:t>
            </w:r>
          </w:p>
        </w:tc>
      </w:tr>
      <w:tr w14:paraId="10299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continue"/>
            <w:shd w:val="clear" w:color="auto" w:fill="FFFFFF"/>
            <w:noWrap w:val="0"/>
            <w:vAlign w:val="center"/>
          </w:tcPr>
          <w:p w14:paraId="0B7DC0AD">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173" w:type="dxa"/>
            <w:shd w:val="clear" w:color="auto" w:fill="FFFFFF"/>
            <w:noWrap w:val="0"/>
            <w:vAlign w:val="center"/>
          </w:tcPr>
          <w:p w14:paraId="197480ED">
            <w:pPr>
              <w:pStyle w:val="36"/>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小型</w:t>
            </w:r>
          </w:p>
        </w:tc>
        <w:tc>
          <w:tcPr>
            <w:tcW w:w="7181" w:type="dxa"/>
            <w:shd w:val="clear" w:color="auto" w:fill="FFFFFF"/>
            <w:noWrap w:val="0"/>
            <w:vAlign w:val="center"/>
          </w:tcPr>
          <w:p w14:paraId="25F43725">
            <w:pPr>
              <w:pStyle w:val="36"/>
              <w:keepNext w:val="0"/>
              <w:keepLines w:val="0"/>
              <w:suppressLineNumbers w:val="0"/>
              <w:shd w:val="clear" w:color="auto" w:fill="auto"/>
              <w:spacing w:before="0" w:beforeAutospacing="0" w:after="0" w:afterAutospacing="0"/>
              <w:ind w:left="0" w:right="0" w:firstLine="140"/>
              <w:jc w:val="center"/>
              <w:rPr>
                <w:rFonts w:hint="eastAsia" w:ascii="宋体" w:hAnsi="宋体" w:eastAsia="宋体" w:cs="宋体"/>
                <w:sz w:val="21"/>
                <w:szCs w:val="21"/>
              </w:rPr>
            </w:pPr>
            <w:r>
              <w:rPr>
                <w:rFonts w:hint="eastAsia" w:ascii="宋体" w:hAnsi="宋体" w:eastAsia="宋体" w:cs="宋体"/>
                <w:color w:val="000000"/>
                <w:sz w:val="21"/>
                <w:szCs w:val="21"/>
              </w:rPr>
              <w:t>从业人员10人一100人，且营业收入 100万元一2 000万元</w:t>
            </w:r>
          </w:p>
        </w:tc>
      </w:tr>
      <w:tr w14:paraId="34767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continue"/>
            <w:shd w:val="clear" w:color="auto" w:fill="FFFFFF"/>
            <w:noWrap w:val="0"/>
            <w:vAlign w:val="center"/>
          </w:tcPr>
          <w:p w14:paraId="5B2A6769">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173" w:type="dxa"/>
            <w:shd w:val="clear" w:color="auto" w:fill="FFFFFF"/>
            <w:noWrap w:val="0"/>
            <w:vAlign w:val="center"/>
          </w:tcPr>
          <w:p w14:paraId="59594CC0">
            <w:pPr>
              <w:pStyle w:val="36"/>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微型</w:t>
            </w:r>
          </w:p>
        </w:tc>
        <w:tc>
          <w:tcPr>
            <w:tcW w:w="7181" w:type="dxa"/>
            <w:shd w:val="clear" w:color="auto" w:fill="FFFFFF"/>
            <w:noWrap w:val="0"/>
            <w:vAlign w:val="center"/>
          </w:tcPr>
          <w:p w14:paraId="5FE48A1D">
            <w:pPr>
              <w:pStyle w:val="36"/>
              <w:keepNext w:val="0"/>
              <w:keepLines w:val="0"/>
              <w:suppressLineNumbers w:val="0"/>
              <w:shd w:val="clear" w:color="auto" w:fill="auto"/>
              <w:spacing w:before="0" w:beforeAutospacing="0" w:after="0" w:afterAutospacing="0"/>
              <w:ind w:left="0" w:right="0" w:firstLine="140"/>
              <w:jc w:val="center"/>
              <w:rPr>
                <w:rFonts w:hint="eastAsia" w:ascii="宋体" w:hAnsi="宋体" w:eastAsia="宋体" w:cs="宋体"/>
                <w:sz w:val="21"/>
                <w:szCs w:val="21"/>
              </w:rPr>
            </w:pPr>
            <w:r>
              <w:rPr>
                <w:rFonts w:hint="eastAsia" w:ascii="宋体" w:hAnsi="宋体" w:eastAsia="宋体" w:cs="宋体"/>
                <w:color w:val="000000"/>
                <w:sz w:val="21"/>
                <w:szCs w:val="21"/>
              </w:rPr>
              <w:t>从业人员10人以下或营业收入 100万元以下</w:t>
            </w:r>
          </w:p>
        </w:tc>
      </w:tr>
      <w:tr w14:paraId="5C05B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restart"/>
            <w:shd w:val="clear" w:color="auto" w:fill="FFFFFF"/>
            <w:noWrap w:val="0"/>
            <w:vAlign w:val="center"/>
          </w:tcPr>
          <w:p w14:paraId="4502B8BE">
            <w:pPr>
              <w:pStyle w:val="36"/>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餐饮业</w:t>
            </w:r>
          </w:p>
        </w:tc>
        <w:tc>
          <w:tcPr>
            <w:tcW w:w="8354" w:type="dxa"/>
            <w:gridSpan w:val="2"/>
            <w:shd w:val="clear" w:color="auto" w:fill="FFFFFF"/>
            <w:noWrap w:val="0"/>
            <w:vAlign w:val="center"/>
          </w:tcPr>
          <w:p w14:paraId="610EF268">
            <w:pPr>
              <w:pStyle w:val="36"/>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从业人员300人以下或营业收入 10 000万元以下的为中小微型企业。</w:t>
            </w:r>
          </w:p>
        </w:tc>
      </w:tr>
      <w:tr w14:paraId="2C754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continue"/>
            <w:shd w:val="clear" w:color="auto" w:fill="FFFFFF"/>
            <w:noWrap w:val="0"/>
            <w:vAlign w:val="center"/>
          </w:tcPr>
          <w:p w14:paraId="2E47C1CB">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173" w:type="dxa"/>
            <w:shd w:val="clear" w:color="auto" w:fill="FFFFFF"/>
            <w:noWrap w:val="0"/>
            <w:vAlign w:val="center"/>
          </w:tcPr>
          <w:p w14:paraId="25AD32B8">
            <w:pPr>
              <w:pStyle w:val="36"/>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中型</w:t>
            </w:r>
          </w:p>
        </w:tc>
        <w:tc>
          <w:tcPr>
            <w:tcW w:w="7181" w:type="dxa"/>
            <w:shd w:val="clear" w:color="auto" w:fill="FFFFFF"/>
            <w:noWrap w:val="0"/>
            <w:vAlign w:val="center"/>
          </w:tcPr>
          <w:p w14:paraId="69156ED0">
            <w:pPr>
              <w:pStyle w:val="36"/>
              <w:keepNext w:val="0"/>
              <w:keepLines w:val="0"/>
              <w:suppressLineNumbers w:val="0"/>
              <w:shd w:val="clear" w:color="auto" w:fill="auto"/>
              <w:spacing w:before="0" w:beforeAutospacing="0" w:after="0" w:afterAutospacing="0"/>
              <w:ind w:left="0" w:right="0" w:firstLine="140"/>
              <w:jc w:val="center"/>
              <w:rPr>
                <w:rFonts w:hint="eastAsia" w:ascii="宋体" w:hAnsi="宋体" w:eastAsia="宋体" w:cs="宋体"/>
                <w:sz w:val="21"/>
                <w:szCs w:val="21"/>
              </w:rPr>
            </w:pPr>
            <w:r>
              <w:rPr>
                <w:rFonts w:hint="eastAsia" w:ascii="宋体" w:hAnsi="宋体" w:eastAsia="宋体" w:cs="宋体"/>
                <w:color w:val="000000"/>
                <w:sz w:val="21"/>
                <w:szCs w:val="21"/>
              </w:rPr>
              <w:t>从业人员100— 300人，且营业收入 2 000万元一10 000万元</w:t>
            </w:r>
          </w:p>
        </w:tc>
      </w:tr>
      <w:tr w14:paraId="78853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continue"/>
            <w:shd w:val="clear" w:color="auto" w:fill="FFFFFF"/>
            <w:noWrap w:val="0"/>
            <w:vAlign w:val="center"/>
          </w:tcPr>
          <w:p w14:paraId="16FE1412">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173" w:type="dxa"/>
            <w:shd w:val="clear" w:color="auto" w:fill="FFFFFF"/>
            <w:noWrap w:val="0"/>
            <w:vAlign w:val="center"/>
          </w:tcPr>
          <w:p w14:paraId="4DAAF122">
            <w:pPr>
              <w:pStyle w:val="36"/>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小型</w:t>
            </w:r>
          </w:p>
        </w:tc>
        <w:tc>
          <w:tcPr>
            <w:tcW w:w="7181" w:type="dxa"/>
            <w:shd w:val="clear" w:color="auto" w:fill="FFFFFF"/>
            <w:noWrap w:val="0"/>
            <w:vAlign w:val="center"/>
          </w:tcPr>
          <w:p w14:paraId="4E2AC322">
            <w:pPr>
              <w:pStyle w:val="36"/>
              <w:keepNext w:val="0"/>
              <w:keepLines w:val="0"/>
              <w:suppressLineNumbers w:val="0"/>
              <w:shd w:val="clear" w:color="auto" w:fill="auto"/>
              <w:spacing w:before="0" w:beforeAutospacing="0" w:after="0" w:afterAutospacing="0"/>
              <w:ind w:left="0" w:right="0" w:firstLine="140"/>
              <w:jc w:val="center"/>
              <w:rPr>
                <w:rFonts w:hint="eastAsia" w:ascii="宋体" w:hAnsi="宋体" w:eastAsia="宋体" w:cs="宋体"/>
                <w:sz w:val="21"/>
                <w:szCs w:val="21"/>
              </w:rPr>
            </w:pPr>
            <w:r>
              <w:rPr>
                <w:rFonts w:hint="eastAsia" w:ascii="宋体" w:hAnsi="宋体" w:eastAsia="宋体" w:cs="宋体"/>
                <w:color w:val="000000"/>
                <w:sz w:val="21"/>
                <w:szCs w:val="21"/>
              </w:rPr>
              <w:t>从业人员10人一100人，且营业收入 100万元一2 000万元</w:t>
            </w:r>
          </w:p>
        </w:tc>
      </w:tr>
      <w:tr w14:paraId="17767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continue"/>
            <w:shd w:val="clear" w:color="auto" w:fill="FFFFFF"/>
            <w:noWrap w:val="0"/>
            <w:vAlign w:val="center"/>
          </w:tcPr>
          <w:p w14:paraId="4DA672DD">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173" w:type="dxa"/>
            <w:shd w:val="clear" w:color="auto" w:fill="FFFFFF"/>
            <w:noWrap w:val="0"/>
            <w:vAlign w:val="center"/>
          </w:tcPr>
          <w:p w14:paraId="213DBE18">
            <w:pPr>
              <w:pStyle w:val="36"/>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微型</w:t>
            </w:r>
          </w:p>
        </w:tc>
        <w:tc>
          <w:tcPr>
            <w:tcW w:w="7181" w:type="dxa"/>
            <w:shd w:val="clear" w:color="auto" w:fill="FFFFFF"/>
            <w:noWrap w:val="0"/>
            <w:vAlign w:val="center"/>
          </w:tcPr>
          <w:p w14:paraId="62808945">
            <w:pPr>
              <w:pStyle w:val="36"/>
              <w:keepNext w:val="0"/>
              <w:keepLines w:val="0"/>
              <w:suppressLineNumbers w:val="0"/>
              <w:shd w:val="clear" w:color="auto" w:fill="auto"/>
              <w:spacing w:before="0" w:beforeAutospacing="0" w:after="0" w:afterAutospacing="0"/>
              <w:ind w:left="0" w:right="0" w:firstLine="140"/>
              <w:jc w:val="center"/>
              <w:rPr>
                <w:rFonts w:hint="eastAsia" w:ascii="宋体" w:hAnsi="宋体" w:eastAsia="宋体" w:cs="宋体"/>
                <w:sz w:val="21"/>
                <w:szCs w:val="21"/>
              </w:rPr>
            </w:pPr>
            <w:r>
              <w:rPr>
                <w:rFonts w:hint="eastAsia" w:ascii="宋体" w:hAnsi="宋体" w:eastAsia="宋体" w:cs="宋体"/>
                <w:color w:val="000000"/>
                <w:sz w:val="21"/>
                <w:szCs w:val="21"/>
              </w:rPr>
              <w:t>从业人员10人以下或营业收入 100万元以下</w:t>
            </w:r>
          </w:p>
        </w:tc>
      </w:tr>
      <w:tr w14:paraId="42B32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restart"/>
            <w:shd w:val="clear" w:color="auto" w:fill="FFFFFF"/>
            <w:noWrap w:val="0"/>
            <w:vAlign w:val="center"/>
          </w:tcPr>
          <w:p w14:paraId="3AAD5A80">
            <w:pPr>
              <w:pStyle w:val="36"/>
              <w:keepNext w:val="0"/>
              <w:keepLines w:val="0"/>
              <w:suppressLineNumbers w:val="0"/>
              <w:shd w:val="clear" w:color="auto" w:fill="auto"/>
              <w:spacing w:before="0" w:beforeAutospacing="0" w:after="0" w:afterAutospacing="0" w:line="492" w:lineRule="exact"/>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信息传输业 （包括电信、互联网 和相关服务）</w:t>
            </w:r>
          </w:p>
        </w:tc>
        <w:tc>
          <w:tcPr>
            <w:tcW w:w="8354" w:type="dxa"/>
            <w:gridSpan w:val="2"/>
            <w:shd w:val="clear" w:color="auto" w:fill="FFFFFF"/>
            <w:noWrap w:val="0"/>
            <w:vAlign w:val="center"/>
          </w:tcPr>
          <w:p w14:paraId="59E78A76">
            <w:pPr>
              <w:pStyle w:val="36"/>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从业人员2 000人以下或营业收入 100 000万元以下的为中小微型企业。</w:t>
            </w:r>
          </w:p>
        </w:tc>
      </w:tr>
      <w:tr w14:paraId="61EE5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continue"/>
            <w:shd w:val="clear" w:color="auto" w:fill="FFFFFF"/>
            <w:noWrap w:val="0"/>
            <w:vAlign w:val="center"/>
          </w:tcPr>
          <w:p w14:paraId="37BD914D">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173" w:type="dxa"/>
            <w:shd w:val="clear" w:color="auto" w:fill="FFFFFF"/>
            <w:noWrap w:val="0"/>
            <w:vAlign w:val="center"/>
          </w:tcPr>
          <w:p w14:paraId="3FF4BEA9">
            <w:pPr>
              <w:pStyle w:val="36"/>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中型</w:t>
            </w:r>
          </w:p>
        </w:tc>
        <w:tc>
          <w:tcPr>
            <w:tcW w:w="7181" w:type="dxa"/>
            <w:shd w:val="clear" w:color="auto" w:fill="FFFFFF"/>
            <w:noWrap w:val="0"/>
            <w:vAlign w:val="center"/>
          </w:tcPr>
          <w:p w14:paraId="63DA5D53">
            <w:pPr>
              <w:pStyle w:val="36"/>
              <w:keepNext w:val="0"/>
              <w:keepLines w:val="0"/>
              <w:suppressLineNumbers w:val="0"/>
              <w:shd w:val="clear" w:color="auto" w:fill="auto"/>
              <w:spacing w:before="0" w:beforeAutospacing="0" w:after="0" w:afterAutospacing="0"/>
              <w:ind w:left="0" w:right="0" w:firstLine="140"/>
              <w:jc w:val="center"/>
              <w:rPr>
                <w:rFonts w:hint="eastAsia" w:ascii="宋体" w:hAnsi="宋体" w:eastAsia="宋体" w:cs="宋体"/>
                <w:sz w:val="21"/>
                <w:szCs w:val="21"/>
              </w:rPr>
            </w:pPr>
            <w:r>
              <w:rPr>
                <w:rFonts w:hint="eastAsia" w:ascii="宋体" w:hAnsi="宋体" w:eastAsia="宋体" w:cs="宋体"/>
                <w:color w:val="000000"/>
                <w:sz w:val="21"/>
                <w:szCs w:val="21"/>
              </w:rPr>
              <w:t>从业人员100人一2 000人，且营业收入 1 000万元一10 000万元</w:t>
            </w:r>
          </w:p>
        </w:tc>
      </w:tr>
      <w:tr w14:paraId="59A08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continue"/>
            <w:shd w:val="clear" w:color="auto" w:fill="FFFFFF"/>
            <w:noWrap w:val="0"/>
            <w:vAlign w:val="center"/>
          </w:tcPr>
          <w:p w14:paraId="5431E26E">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173" w:type="dxa"/>
            <w:shd w:val="clear" w:color="auto" w:fill="FFFFFF"/>
            <w:noWrap w:val="0"/>
            <w:vAlign w:val="center"/>
          </w:tcPr>
          <w:p w14:paraId="37D792F8">
            <w:pPr>
              <w:pStyle w:val="36"/>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小型</w:t>
            </w:r>
          </w:p>
        </w:tc>
        <w:tc>
          <w:tcPr>
            <w:tcW w:w="7181" w:type="dxa"/>
            <w:shd w:val="clear" w:color="auto" w:fill="FFFFFF"/>
            <w:noWrap w:val="0"/>
            <w:vAlign w:val="center"/>
          </w:tcPr>
          <w:p w14:paraId="327A6A05">
            <w:pPr>
              <w:pStyle w:val="36"/>
              <w:keepNext w:val="0"/>
              <w:keepLines w:val="0"/>
              <w:suppressLineNumbers w:val="0"/>
              <w:shd w:val="clear" w:color="auto" w:fill="auto"/>
              <w:spacing w:before="0" w:beforeAutospacing="0" w:after="0" w:afterAutospacing="0"/>
              <w:ind w:left="0" w:right="0" w:firstLine="140"/>
              <w:jc w:val="center"/>
              <w:rPr>
                <w:rFonts w:hint="eastAsia" w:ascii="宋体" w:hAnsi="宋体" w:eastAsia="宋体" w:cs="宋体"/>
                <w:sz w:val="21"/>
                <w:szCs w:val="21"/>
              </w:rPr>
            </w:pPr>
            <w:r>
              <w:rPr>
                <w:rFonts w:hint="eastAsia" w:ascii="宋体" w:hAnsi="宋体" w:eastAsia="宋体" w:cs="宋体"/>
                <w:color w:val="000000"/>
                <w:sz w:val="21"/>
                <w:szCs w:val="21"/>
              </w:rPr>
              <w:t>从业人员10人一100人，且营业收入 100万元一1 000万元</w:t>
            </w:r>
          </w:p>
        </w:tc>
      </w:tr>
      <w:tr w14:paraId="74F9F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continue"/>
            <w:shd w:val="clear" w:color="auto" w:fill="FFFFFF"/>
            <w:noWrap w:val="0"/>
            <w:vAlign w:val="center"/>
          </w:tcPr>
          <w:p w14:paraId="62B1D665">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173" w:type="dxa"/>
            <w:shd w:val="clear" w:color="auto" w:fill="FFFFFF"/>
            <w:noWrap w:val="0"/>
            <w:vAlign w:val="center"/>
          </w:tcPr>
          <w:p w14:paraId="4957A79D">
            <w:pPr>
              <w:pStyle w:val="36"/>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微型</w:t>
            </w:r>
          </w:p>
        </w:tc>
        <w:tc>
          <w:tcPr>
            <w:tcW w:w="7181" w:type="dxa"/>
            <w:shd w:val="clear" w:color="auto" w:fill="FFFFFF"/>
            <w:noWrap w:val="0"/>
            <w:vAlign w:val="center"/>
          </w:tcPr>
          <w:p w14:paraId="1D60E6DB">
            <w:pPr>
              <w:pStyle w:val="36"/>
              <w:keepNext w:val="0"/>
              <w:keepLines w:val="0"/>
              <w:suppressLineNumbers w:val="0"/>
              <w:shd w:val="clear" w:color="auto" w:fill="auto"/>
              <w:spacing w:before="0" w:beforeAutospacing="0" w:after="0" w:afterAutospacing="0"/>
              <w:ind w:left="0" w:right="0" w:firstLine="140"/>
              <w:jc w:val="center"/>
              <w:rPr>
                <w:rFonts w:hint="eastAsia" w:ascii="宋体" w:hAnsi="宋体" w:eastAsia="宋体" w:cs="宋体"/>
                <w:sz w:val="21"/>
                <w:szCs w:val="21"/>
              </w:rPr>
            </w:pPr>
            <w:r>
              <w:rPr>
                <w:rFonts w:hint="eastAsia" w:ascii="宋体" w:hAnsi="宋体" w:eastAsia="宋体" w:cs="宋体"/>
                <w:color w:val="000000"/>
                <w:sz w:val="21"/>
                <w:szCs w:val="21"/>
              </w:rPr>
              <w:t>从业人员10人以下或营业收入 100万元以下</w:t>
            </w:r>
          </w:p>
        </w:tc>
      </w:tr>
      <w:tr w14:paraId="6180E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restart"/>
            <w:shd w:val="clear" w:color="auto" w:fill="FFFFFF"/>
            <w:noWrap w:val="0"/>
            <w:vAlign w:val="center"/>
          </w:tcPr>
          <w:p w14:paraId="5D3A73EB">
            <w:pPr>
              <w:pStyle w:val="36"/>
              <w:keepNext w:val="0"/>
              <w:keepLines w:val="0"/>
              <w:suppressLineNumbers w:val="0"/>
              <w:shd w:val="clear" w:color="auto" w:fill="auto"/>
              <w:spacing w:before="0" w:beforeAutospacing="0" w:after="0" w:afterAutospacing="0" w:line="509" w:lineRule="exact"/>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软件和信息技术服务业</w:t>
            </w:r>
          </w:p>
        </w:tc>
        <w:tc>
          <w:tcPr>
            <w:tcW w:w="8354" w:type="dxa"/>
            <w:gridSpan w:val="2"/>
            <w:shd w:val="clear" w:color="auto" w:fill="FFFFFF"/>
            <w:noWrap w:val="0"/>
            <w:vAlign w:val="center"/>
          </w:tcPr>
          <w:p w14:paraId="64A7F94F">
            <w:pPr>
              <w:pStyle w:val="36"/>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从业人员300人以下或营业收入 10 000万元以下的为中小微型企业。</w:t>
            </w:r>
          </w:p>
        </w:tc>
      </w:tr>
      <w:tr w14:paraId="58978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continue"/>
            <w:shd w:val="clear" w:color="auto" w:fill="FFFFFF"/>
            <w:noWrap w:val="0"/>
            <w:vAlign w:val="center"/>
          </w:tcPr>
          <w:p w14:paraId="325B8565">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173" w:type="dxa"/>
            <w:shd w:val="clear" w:color="auto" w:fill="FFFFFF"/>
            <w:noWrap w:val="0"/>
            <w:vAlign w:val="center"/>
          </w:tcPr>
          <w:p w14:paraId="30FFFF19">
            <w:pPr>
              <w:pStyle w:val="36"/>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中型</w:t>
            </w:r>
          </w:p>
        </w:tc>
        <w:tc>
          <w:tcPr>
            <w:tcW w:w="7181" w:type="dxa"/>
            <w:shd w:val="clear" w:color="auto" w:fill="FFFFFF"/>
            <w:noWrap w:val="0"/>
            <w:vAlign w:val="center"/>
          </w:tcPr>
          <w:p w14:paraId="34161B01">
            <w:pPr>
              <w:pStyle w:val="36"/>
              <w:keepNext w:val="0"/>
              <w:keepLines w:val="0"/>
              <w:suppressLineNumbers w:val="0"/>
              <w:shd w:val="clear" w:color="auto" w:fill="auto"/>
              <w:spacing w:before="0" w:beforeAutospacing="0" w:after="0" w:afterAutospacing="0"/>
              <w:ind w:left="0" w:right="0" w:firstLine="140"/>
              <w:jc w:val="center"/>
              <w:rPr>
                <w:rFonts w:hint="eastAsia" w:ascii="宋体" w:hAnsi="宋体" w:eastAsia="宋体" w:cs="宋体"/>
                <w:sz w:val="21"/>
                <w:szCs w:val="21"/>
              </w:rPr>
            </w:pPr>
            <w:r>
              <w:rPr>
                <w:rFonts w:hint="eastAsia" w:ascii="宋体" w:hAnsi="宋体" w:eastAsia="宋体" w:cs="宋体"/>
                <w:color w:val="000000"/>
                <w:sz w:val="21"/>
                <w:szCs w:val="21"/>
              </w:rPr>
              <w:t>从业人员100— 300人，且营业收入 1 000万元一10 000万元</w:t>
            </w:r>
          </w:p>
        </w:tc>
      </w:tr>
      <w:tr w14:paraId="1BB7F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continue"/>
            <w:shd w:val="clear" w:color="auto" w:fill="FFFFFF"/>
            <w:noWrap w:val="0"/>
            <w:vAlign w:val="center"/>
          </w:tcPr>
          <w:p w14:paraId="06C17400">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173" w:type="dxa"/>
            <w:shd w:val="clear" w:color="auto" w:fill="FFFFFF"/>
            <w:noWrap w:val="0"/>
            <w:vAlign w:val="center"/>
          </w:tcPr>
          <w:p w14:paraId="4F083CB5">
            <w:pPr>
              <w:pStyle w:val="36"/>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小型</w:t>
            </w:r>
          </w:p>
        </w:tc>
        <w:tc>
          <w:tcPr>
            <w:tcW w:w="7181" w:type="dxa"/>
            <w:shd w:val="clear" w:color="auto" w:fill="FFFFFF"/>
            <w:noWrap w:val="0"/>
            <w:vAlign w:val="center"/>
          </w:tcPr>
          <w:p w14:paraId="37E67709">
            <w:pPr>
              <w:pStyle w:val="36"/>
              <w:keepNext w:val="0"/>
              <w:keepLines w:val="0"/>
              <w:suppressLineNumbers w:val="0"/>
              <w:shd w:val="clear" w:color="auto" w:fill="auto"/>
              <w:spacing w:before="0" w:beforeAutospacing="0" w:after="0" w:afterAutospacing="0"/>
              <w:ind w:left="0" w:right="0" w:firstLine="140"/>
              <w:jc w:val="center"/>
              <w:rPr>
                <w:rFonts w:hint="eastAsia" w:ascii="宋体" w:hAnsi="宋体" w:eastAsia="宋体" w:cs="宋体"/>
                <w:sz w:val="21"/>
                <w:szCs w:val="21"/>
              </w:rPr>
            </w:pPr>
            <w:r>
              <w:rPr>
                <w:rFonts w:hint="eastAsia" w:ascii="宋体" w:hAnsi="宋体" w:eastAsia="宋体" w:cs="宋体"/>
                <w:color w:val="000000"/>
                <w:sz w:val="21"/>
                <w:szCs w:val="21"/>
              </w:rPr>
              <w:t>从业人员10人一100人，且营业收入 50万元一1 000万元</w:t>
            </w:r>
          </w:p>
        </w:tc>
      </w:tr>
      <w:tr w14:paraId="1BA10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continue"/>
            <w:shd w:val="clear" w:color="auto" w:fill="FFFFFF"/>
            <w:noWrap w:val="0"/>
            <w:vAlign w:val="center"/>
          </w:tcPr>
          <w:p w14:paraId="34E4747E">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173" w:type="dxa"/>
            <w:shd w:val="clear" w:color="auto" w:fill="FFFFFF"/>
            <w:noWrap w:val="0"/>
            <w:vAlign w:val="center"/>
          </w:tcPr>
          <w:p w14:paraId="51EE5134">
            <w:pPr>
              <w:pStyle w:val="36"/>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微型</w:t>
            </w:r>
          </w:p>
        </w:tc>
        <w:tc>
          <w:tcPr>
            <w:tcW w:w="7181" w:type="dxa"/>
            <w:shd w:val="clear" w:color="auto" w:fill="FFFFFF"/>
            <w:noWrap w:val="0"/>
            <w:vAlign w:val="center"/>
          </w:tcPr>
          <w:p w14:paraId="478BE1B5">
            <w:pPr>
              <w:pStyle w:val="36"/>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从业人员10人以下或营业收入 50万元以下</w:t>
            </w:r>
          </w:p>
        </w:tc>
      </w:tr>
      <w:tr w14:paraId="619A7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restart"/>
            <w:shd w:val="clear" w:color="auto" w:fill="FFFFFF"/>
            <w:noWrap w:val="0"/>
            <w:vAlign w:val="center"/>
          </w:tcPr>
          <w:p w14:paraId="3DA01ADB">
            <w:pPr>
              <w:pStyle w:val="36"/>
              <w:keepNext w:val="0"/>
              <w:keepLines w:val="0"/>
              <w:suppressLineNumbers w:val="0"/>
              <w:shd w:val="clear" w:color="auto" w:fill="auto"/>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color w:val="000000"/>
                <w:sz w:val="21"/>
                <w:szCs w:val="21"/>
              </w:rPr>
              <w:t>房地产开发经营</w:t>
            </w:r>
          </w:p>
        </w:tc>
        <w:tc>
          <w:tcPr>
            <w:tcW w:w="8354" w:type="dxa"/>
            <w:gridSpan w:val="2"/>
            <w:shd w:val="clear" w:color="auto" w:fill="FFFFFF"/>
            <w:noWrap w:val="0"/>
            <w:vAlign w:val="center"/>
          </w:tcPr>
          <w:p w14:paraId="5C650953">
            <w:pPr>
              <w:pStyle w:val="36"/>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营业收入200 000万元以下或资产总额 10 000万元以下的为中小微型企业。</w:t>
            </w:r>
          </w:p>
        </w:tc>
      </w:tr>
      <w:tr w14:paraId="5EFB7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continue"/>
            <w:shd w:val="clear" w:color="auto" w:fill="FFFFFF"/>
            <w:noWrap w:val="0"/>
            <w:vAlign w:val="center"/>
          </w:tcPr>
          <w:p w14:paraId="34E962D8">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173" w:type="dxa"/>
            <w:shd w:val="clear" w:color="auto" w:fill="FFFFFF"/>
            <w:noWrap w:val="0"/>
            <w:vAlign w:val="center"/>
          </w:tcPr>
          <w:p w14:paraId="04350A7C">
            <w:pPr>
              <w:pStyle w:val="36"/>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中型</w:t>
            </w:r>
          </w:p>
        </w:tc>
        <w:tc>
          <w:tcPr>
            <w:tcW w:w="7181" w:type="dxa"/>
            <w:shd w:val="clear" w:color="auto" w:fill="FFFFFF"/>
            <w:noWrap w:val="0"/>
            <w:vAlign w:val="center"/>
          </w:tcPr>
          <w:p w14:paraId="2579E027">
            <w:pPr>
              <w:pStyle w:val="36"/>
              <w:keepNext w:val="0"/>
              <w:keepLines w:val="0"/>
              <w:suppressLineNumbers w:val="0"/>
              <w:shd w:val="clear" w:color="auto" w:fill="auto"/>
              <w:spacing w:before="0" w:beforeAutospacing="0" w:after="120" w:afterAutospacing="0"/>
              <w:ind w:left="0" w:right="0" w:firstLine="140"/>
              <w:jc w:val="center"/>
              <w:rPr>
                <w:rFonts w:hint="eastAsia" w:ascii="宋体" w:hAnsi="宋体" w:eastAsia="宋体" w:cs="宋体"/>
                <w:sz w:val="21"/>
                <w:szCs w:val="21"/>
              </w:rPr>
            </w:pPr>
            <w:r>
              <w:rPr>
                <w:rFonts w:hint="eastAsia" w:ascii="宋体" w:hAnsi="宋体" w:eastAsia="宋体" w:cs="宋体"/>
                <w:color w:val="000000"/>
                <w:sz w:val="21"/>
                <w:szCs w:val="21"/>
              </w:rPr>
              <w:t>营业收入1 000万元一200 000万元，且资产总额 5 000万元一10000万元</w:t>
            </w:r>
          </w:p>
        </w:tc>
      </w:tr>
      <w:tr w14:paraId="68D34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continue"/>
            <w:shd w:val="clear" w:color="auto" w:fill="FFFFFF"/>
            <w:noWrap w:val="0"/>
            <w:vAlign w:val="center"/>
          </w:tcPr>
          <w:p w14:paraId="507C1F3A">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173" w:type="dxa"/>
            <w:shd w:val="clear" w:color="auto" w:fill="FFFFFF"/>
            <w:noWrap w:val="0"/>
            <w:vAlign w:val="center"/>
          </w:tcPr>
          <w:p w14:paraId="5FF079BC">
            <w:pPr>
              <w:pStyle w:val="36"/>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小型</w:t>
            </w:r>
          </w:p>
        </w:tc>
        <w:tc>
          <w:tcPr>
            <w:tcW w:w="7181" w:type="dxa"/>
            <w:shd w:val="clear" w:color="auto" w:fill="FFFFFF"/>
            <w:noWrap w:val="0"/>
            <w:vAlign w:val="center"/>
          </w:tcPr>
          <w:p w14:paraId="43339096">
            <w:pPr>
              <w:pStyle w:val="36"/>
              <w:keepNext w:val="0"/>
              <w:keepLines w:val="0"/>
              <w:suppressLineNumbers w:val="0"/>
              <w:shd w:val="clear" w:color="auto" w:fill="auto"/>
              <w:spacing w:before="0" w:beforeAutospacing="0" w:after="0" w:afterAutospacing="0" w:line="240" w:lineRule="auto"/>
              <w:ind w:left="140" w:right="0"/>
              <w:jc w:val="center"/>
              <w:rPr>
                <w:rFonts w:hint="eastAsia" w:ascii="宋体" w:hAnsi="宋体" w:eastAsia="宋体" w:cs="宋体"/>
                <w:sz w:val="21"/>
                <w:szCs w:val="21"/>
              </w:rPr>
            </w:pPr>
            <w:r>
              <w:rPr>
                <w:rFonts w:hint="eastAsia" w:ascii="宋体" w:hAnsi="宋体" w:eastAsia="宋体" w:cs="宋体"/>
                <w:color w:val="000000"/>
                <w:sz w:val="21"/>
                <w:szCs w:val="21"/>
              </w:rPr>
              <w:t>营业收入100万元一1 000万元，且资产总额 2 000万元一5 000 万元</w:t>
            </w:r>
          </w:p>
        </w:tc>
      </w:tr>
      <w:tr w14:paraId="7DE80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continue"/>
            <w:shd w:val="clear" w:color="auto" w:fill="FFFFFF"/>
            <w:noWrap w:val="0"/>
            <w:vAlign w:val="center"/>
          </w:tcPr>
          <w:p w14:paraId="269073B7">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173" w:type="dxa"/>
            <w:shd w:val="clear" w:color="auto" w:fill="FFFFFF"/>
            <w:noWrap w:val="0"/>
            <w:vAlign w:val="center"/>
          </w:tcPr>
          <w:p w14:paraId="51541C37">
            <w:pPr>
              <w:pStyle w:val="36"/>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微型</w:t>
            </w:r>
          </w:p>
        </w:tc>
        <w:tc>
          <w:tcPr>
            <w:tcW w:w="7181" w:type="dxa"/>
            <w:shd w:val="clear" w:color="auto" w:fill="FFFFFF"/>
            <w:noWrap w:val="0"/>
            <w:vAlign w:val="center"/>
          </w:tcPr>
          <w:p w14:paraId="2064A666">
            <w:pPr>
              <w:pStyle w:val="36"/>
              <w:keepNext w:val="0"/>
              <w:keepLines w:val="0"/>
              <w:suppressLineNumbers w:val="0"/>
              <w:shd w:val="clear" w:color="auto" w:fill="auto"/>
              <w:tabs>
                <w:tab w:val="left" w:pos="5256"/>
              </w:tabs>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营业收入100万元以下或资产总额2 000万元以下的为微型企业</w:t>
            </w:r>
          </w:p>
        </w:tc>
      </w:tr>
      <w:tr w14:paraId="171E1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restart"/>
            <w:shd w:val="clear" w:color="auto" w:fill="FFFFFF"/>
            <w:noWrap w:val="0"/>
            <w:vAlign w:val="center"/>
          </w:tcPr>
          <w:p w14:paraId="18F4AF31">
            <w:pPr>
              <w:pStyle w:val="36"/>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物业管理</w:t>
            </w:r>
          </w:p>
        </w:tc>
        <w:tc>
          <w:tcPr>
            <w:tcW w:w="8354" w:type="dxa"/>
            <w:gridSpan w:val="2"/>
            <w:shd w:val="clear" w:color="auto" w:fill="FFFFFF"/>
            <w:noWrap w:val="0"/>
            <w:vAlign w:val="center"/>
          </w:tcPr>
          <w:p w14:paraId="4B6E52CA">
            <w:pPr>
              <w:pStyle w:val="36"/>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从业人员1 000人以下或营业收入 5 000万元以下的为中小微型企业。</w:t>
            </w:r>
          </w:p>
        </w:tc>
      </w:tr>
      <w:tr w14:paraId="6A6D3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continue"/>
            <w:shd w:val="clear" w:color="auto" w:fill="FFFFFF"/>
            <w:noWrap w:val="0"/>
            <w:vAlign w:val="center"/>
          </w:tcPr>
          <w:p w14:paraId="432D2A37">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173" w:type="dxa"/>
            <w:shd w:val="clear" w:color="auto" w:fill="FFFFFF"/>
            <w:noWrap w:val="0"/>
            <w:vAlign w:val="center"/>
          </w:tcPr>
          <w:p w14:paraId="74EA259F">
            <w:pPr>
              <w:pStyle w:val="36"/>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中型</w:t>
            </w:r>
          </w:p>
        </w:tc>
        <w:tc>
          <w:tcPr>
            <w:tcW w:w="7181" w:type="dxa"/>
            <w:shd w:val="clear" w:color="auto" w:fill="FFFFFF"/>
            <w:noWrap w:val="0"/>
            <w:vAlign w:val="center"/>
          </w:tcPr>
          <w:p w14:paraId="4B3AD361">
            <w:pPr>
              <w:pStyle w:val="36"/>
              <w:keepNext w:val="0"/>
              <w:keepLines w:val="0"/>
              <w:suppressLineNumbers w:val="0"/>
              <w:shd w:val="clear" w:color="auto" w:fill="auto"/>
              <w:spacing w:before="0" w:beforeAutospacing="0" w:after="0" w:afterAutospacing="0"/>
              <w:ind w:left="0" w:right="0" w:firstLine="140"/>
              <w:jc w:val="center"/>
              <w:rPr>
                <w:rFonts w:hint="eastAsia" w:ascii="宋体" w:hAnsi="宋体" w:eastAsia="宋体" w:cs="宋体"/>
                <w:sz w:val="21"/>
                <w:szCs w:val="21"/>
              </w:rPr>
            </w:pPr>
            <w:r>
              <w:rPr>
                <w:rFonts w:hint="eastAsia" w:ascii="宋体" w:hAnsi="宋体" w:eastAsia="宋体" w:cs="宋体"/>
                <w:color w:val="000000"/>
                <w:sz w:val="21"/>
                <w:szCs w:val="21"/>
              </w:rPr>
              <w:t>从业人员 300人一1 000人，且营业收入 1000万元一5 000万元</w:t>
            </w:r>
          </w:p>
        </w:tc>
      </w:tr>
      <w:tr w14:paraId="313DE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continue"/>
            <w:shd w:val="clear" w:color="auto" w:fill="FFFFFF"/>
            <w:noWrap w:val="0"/>
            <w:vAlign w:val="center"/>
          </w:tcPr>
          <w:p w14:paraId="445BD368">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173" w:type="dxa"/>
            <w:shd w:val="clear" w:color="auto" w:fill="FFFFFF"/>
            <w:noWrap w:val="0"/>
            <w:vAlign w:val="center"/>
          </w:tcPr>
          <w:p w14:paraId="081DA3BC">
            <w:pPr>
              <w:pStyle w:val="36"/>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小型</w:t>
            </w:r>
          </w:p>
        </w:tc>
        <w:tc>
          <w:tcPr>
            <w:tcW w:w="7181" w:type="dxa"/>
            <w:shd w:val="clear" w:color="auto" w:fill="FFFFFF"/>
            <w:noWrap w:val="0"/>
            <w:vAlign w:val="center"/>
          </w:tcPr>
          <w:p w14:paraId="445D55A1">
            <w:pPr>
              <w:pStyle w:val="36"/>
              <w:keepNext w:val="0"/>
              <w:keepLines w:val="0"/>
              <w:suppressLineNumbers w:val="0"/>
              <w:shd w:val="clear" w:color="auto" w:fill="auto"/>
              <w:spacing w:before="0" w:beforeAutospacing="0" w:after="0" w:afterAutospacing="0"/>
              <w:ind w:left="0" w:right="0" w:firstLine="140"/>
              <w:jc w:val="center"/>
              <w:rPr>
                <w:rFonts w:hint="eastAsia" w:ascii="宋体" w:hAnsi="宋体" w:eastAsia="宋体" w:cs="宋体"/>
                <w:sz w:val="21"/>
                <w:szCs w:val="21"/>
              </w:rPr>
            </w:pPr>
            <w:r>
              <w:rPr>
                <w:rFonts w:hint="eastAsia" w:ascii="宋体" w:hAnsi="宋体" w:eastAsia="宋体" w:cs="宋体"/>
                <w:color w:val="000000"/>
                <w:sz w:val="21"/>
                <w:szCs w:val="21"/>
              </w:rPr>
              <w:t>从业人员100人一300人，且营业收入 500万元一1 000万元</w:t>
            </w:r>
          </w:p>
        </w:tc>
      </w:tr>
      <w:tr w14:paraId="34E37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continue"/>
            <w:shd w:val="clear" w:color="auto" w:fill="FFFFFF"/>
            <w:noWrap w:val="0"/>
            <w:vAlign w:val="center"/>
          </w:tcPr>
          <w:p w14:paraId="31F4EBD5">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173" w:type="dxa"/>
            <w:shd w:val="clear" w:color="auto" w:fill="FFFFFF"/>
            <w:noWrap w:val="0"/>
            <w:vAlign w:val="center"/>
          </w:tcPr>
          <w:p w14:paraId="76B240B6">
            <w:pPr>
              <w:pStyle w:val="36"/>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微型</w:t>
            </w:r>
          </w:p>
        </w:tc>
        <w:tc>
          <w:tcPr>
            <w:tcW w:w="7181" w:type="dxa"/>
            <w:shd w:val="clear" w:color="auto" w:fill="FFFFFF"/>
            <w:noWrap w:val="0"/>
            <w:vAlign w:val="center"/>
          </w:tcPr>
          <w:p w14:paraId="2DBE22DF">
            <w:pPr>
              <w:pStyle w:val="36"/>
              <w:keepNext w:val="0"/>
              <w:keepLines w:val="0"/>
              <w:suppressLineNumbers w:val="0"/>
              <w:shd w:val="clear" w:color="auto" w:fill="auto"/>
              <w:spacing w:before="0" w:beforeAutospacing="0" w:after="0" w:afterAutospacing="0"/>
              <w:ind w:left="0" w:right="0" w:firstLine="140"/>
              <w:jc w:val="center"/>
              <w:rPr>
                <w:rFonts w:hint="eastAsia" w:ascii="宋体" w:hAnsi="宋体" w:eastAsia="宋体" w:cs="宋体"/>
                <w:sz w:val="21"/>
                <w:szCs w:val="21"/>
              </w:rPr>
            </w:pPr>
            <w:r>
              <w:rPr>
                <w:rFonts w:hint="eastAsia" w:ascii="宋体" w:hAnsi="宋体" w:eastAsia="宋体" w:cs="宋体"/>
                <w:color w:val="000000"/>
                <w:sz w:val="21"/>
                <w:szCs w:val="21"/>
              </w:rPr>
              <w:t>从业人员100人以下或营业收入 500万元以下</w:t>
            </w:r>
          </w:p>
        </w:tc>
      </w:tr>
      <w:tr w14:paraId="146D1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restart"/>
            <w:shd w:val="clear" w:color="auto" w:fill="FFFFFF"/>
            <w:noWrap w:val="0"/>
            <w:vAlign w:val="center"/>
          </w:tcPr>
          <w:p w14:paraId="1D5E7555">
            <w:pPr>
              <w:pStyle w:val="36"/>
              <w:keepNext w:val="0"/>
              <w:keepLines w:val="0"/>
              <w:suppressLineNumbers w:val="0"/>
              <w:shd w:val="clear" w:color="auto" w:fill="auto"/>
              <w:spacing w:before="0" w:beforeAutospacing="0" w:after="0" w:afterAutospacing="0"/>
              <w:ind w:left="0" w:right="0" w:firstLine="240"/>
              <w:jc w:val="center"/>
              <w:rPr>
                <w:rFonts w:hint="eastAsia" w:ascii="宋体" w:hAnsi="宋体" w:eastAsia="宋体" w:cs="宋体"/>
                <w:sz w:val="21"/>
                <w:szCs w:val="21"/>
              </w:rPr>
            </w:pPr>
            <w:r>
              <w:rPr>
                <w:rFonts w:hint="eastAsia" w:ascii="宋体" w:hAnsi="宋体" w:eastAsia="宋体" w:cs="宋体"/>
                <w:color w:val="000000"/>
                <w:sz w:val="21"/>
                <w:szCs w:val="21"/>
              </w:rPr>
              <w:t>租赁和商务服务业</w:t>
            </w:r>
          </w:p>
        </w:tc>
        <w:tc>
          <w:tcPr>
            <w:tcW w:w="8354" w:type="dxa"/>
            <w:gridSpan w:val="2"/>
            <w:shd w:val="clear" w:color="auto" w:fill="FFFFFF"/>
            <w:noWrap w:val="0"/>
            <w:vAlign w:val="center"/>
          </w:tcPr>
          <w:p w14:paraId="2C03DE7C">
            <w:pPr>
              <w:pStyle w:val="36"/>
              <w:keepNext w:val="0"/>
              <w:keepLines w:val="0"/>
              <w:suppressLineNumbers w:val="0"/>
              <w:shd w:val="clear" w:color="auto" w:fill="auto"/>
              <w:tabs>
                <w:tab w:val="left" w:pos="10666"/>
              </w:tabs>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从业人员300人以下或资产总额 120 000万元以下的为中小微型企业。 其中， 从业人员100人及以上，且资产总额 8 000万元及以上的为中型企业；从业 人员10人及以上，且资产总额 100万元及以上的为小型企业；从业人员</w:t>
            </w:r>
            <w:r>
              <w:rPr>
                <w:rFonts w:hint="eastAsia" w:ascii="宋体" w:hAnsi="宋体" w:eastAsia="宋体" w:cs="宋体"/>
                <w:color w:val="000000"/>
                <w:sz w:val="21"/>
                <w:szCs w:val="21"/>
                <w:lang w:val="en-US"/>
              </w:rPr>
              <w:t>10</w:t>
            </w:r>
            <w:r>
              <w:rPr>
                <w:rFonts w:hint="eastAsia" w:ascii="宋体" w:hAnsi="宋体" w:eastAsia="宋体" w:cs="宋体"/>
                <w:color w:val="000000"/>
                <w:sz w:val="21"/>
                <w:szCs w:val="21"/>
              </w:rPr>
              <w:t>人以下或资产总额 100万元以下的为微型企业。</w:t>
            </w:r>
          </w:p>
        </w:tc>
      </w:tr>
      <w:tr w14:paraId="4CD4C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continue"/>
            <w:shd w:val="clear" w:color="auto" w:fill="FFFFFF"/>
            <w:noWrap w:val="0"/>
            <w:vAlign w:val="center"/>
          </w:tcPr>
          <w:p w14:paraId="138E4985">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173" w:type="dxa"/>
            <w:shd w:val="clear" w:color="auto" w:fill="FFFFFF"/>
            <w:noWrap w:val="0"/>
            <w:vAlign w:val="center"/>
          </w:tcPr>
          <w:p w14:paraId="39323543">
            <w:pPr>
              <w:pStyle w:val="36"/>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中型</w:t>
            </w:r>
          </w:p>
        </w:tc>
        <w:tc>
          <w:tcPr>
            <w:tcW w:w="7181" w:type="dxa"/>
            <w:shd w:val="clear" w:color="auto" w:fill="FFFFFF"/>
            <w:noWrap w:val="0"/>
            <w:vAlign w:val="center"/>
          </w:tcPr>
          <w:p w14:paraId="49290E52">
            <w:pPr>
              <w:pStyle w:val="36"/>
              <w:keepNext w:val="0"/>
              <w:keepLines w:val="0"/>
              <w:suppressLineNumbers w:val="0"/>
              <w:shd w:val="clear" w:color="auto" w:fill="auto"/>
              <w:spacing w:before="0" w:beforeAutospacing="0" w:after="0" w:afterAutospacing="0"/>
              <w:ind w:left="0" w:right="0" w:firstLine="140"/>
              <w:jc w:val="center"/>
              <w:rPr>
                <w:rFonts w:hint="eastAsia" w:ascii="宋体" w:hAnsi="宋体" w:eastAsia="宋体" w:cs="宋体"/>
                <w:sz w:val="21"/>
                <w:szCs w:val="21"/>
              </w:rPr>
            </w:pPr>
            <w:r>
              <w:rPr>
                <w:rFonts w:hint="eastAsia" w:ascii="宋体" w:hAnsi="宋体" w:eastAsia="宋体" w:cs="宋体"/>
                <w:color w:val="000000"/>
                <w:sz w:val="21"/>
                <w:szCs w:val="21"/>
              </w:rPr>
              <w:t>从业人员100人一300人，且资产总额 8 000万元一120 000万元</w:t>
            </w:r>
          </w:p>
        </w:tc>
      </w:tr>
      <w:tr w14:paraId="2CA84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continue"/>
            <w:shd w:val="clear" w:color="auto" w:fill="FFFFFF"/>
            <w:noWrap w:val="0"/>
            <w:vAlign w:val="center"/>
          </w:tcPr>
          <w:p w14:paraId="4CEFC402">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173" w:type="dxa"/>
            <w:shd w:val="clear" w:color="auto" w:fill="FFFFFF"/>
            <w:noWrap w:val="0"/>
            <w:vAlign w:val="center"/>
          </w:tcPr>
          <w:p w14:paraId="433330A4">
            <w:pPr>
              <w:pStyle w:val="36"/>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小型</w:t>
            </w:r>
          </w:p>
        </w:tc>
        <w:tc>
          <w:tcPr>
            <w:tcW w:w="7181" w:type="dxa"/>
            <w:shd w:val="clear" w:color="auto" w:fill="FFFFFF"/>
            <w:noWrap w:val="0"/>
            <w:vAlign w:val="center"/>
          </w:tcPr>
          <w:p w14:paraId="7B069886">
            <w:pPr>
              <w:pStyle w:val="36"/>
              <w:keepNext w:val="0"/>
              <w:keepLines w:val="0"/>
              <w:suppressLineNumbers w:val="0"/>
              <w:shd w:val="clear" w:color="auto" w:fill="auto"/>
              <w:spacing w:before="0" w:beforeAutospacing="0" w:after="0" w:afterAutospacing="0"/>
              <w:ind w:left="0" w:right="0" w:firstLine="140"/>
              <w:jc w:val="center"/>
              <w:rPr>
                <w:rFonts w:hint="eastAsia" w:ascii="宋体" w:hAnsi="宋体" w:eastAsia="宋体" w:cs="宋体"/>
                <w:sz w:val="21"/>
                <w:szCs w:val="21"/>
              </w:rPr>
            </w:pPr>
            <w:r>
              <w:rPr>
                <w:rFonts w:hint="eastAsia" w:ascii="宋体" w:hAnsi="宋体" w:eastAsia="宋体" w:cs="宋体"/>
                <w:color w:val="000000"/>
                <w:sz w:val="21"/>
                <w:szCs w:val="21"/>
              </w:rPr>
              <w:t>从业人员10人一100人，且资产总额 100万元一8 000万元</w:t>
            </w:r>
          </w:p>
        </w:tc>
      </w:tr>
      <w:tr w14:paraId="3B601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continue"/>
            <w:shd w:val="clear" w:color="auto" w:fill="FFFFFF"/>
            <w:noWrap w:val="0"/>
            <w:vAlign w:val="center"/>
          </w:tcPr>
          <w:p w14:paraId="5C3C6932">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173" w:type="dxa"/>
            <w:shd w:val="clear" w:color="auto" w:fill="FFFFFF"/>
            <w:noWrap w:val="0"/>
            <w:vAlign w:val="center"/>
          </w:tcPr>
          <w:p w14:paraId="17FC79E3">
            <w:pPr>
              <w:pStyle w:val="36"/>
              <w:keepNext w:val="0"/>
              <w:keepLines w:val="0"/>
              <w:suppressLineNumbers w:val="0"/>
              <w:shd w:val="clear" w:color="auto" w:fill="auto"/>
              <w:spacing w:before="10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微型</w:t>
            </w:r>
          </w:p>
        </w:tc>
        <w:tc>
          <w:tcPr>
            <w:tcW w:w="7181" w:type="dxa"/>
            <w:shd w:val="clear" w:color="auto" w:fill="FFFFFF"/>
            <w:noWrap w:val="0"/>
            <w:vAlign w:val="center"/>
          </w:tcPr>
          <w:p w14:paraId="6049B132">
            <w:pPr>
              <w:pStyle w:val="36"/>
              <w:keepNext w:val="0"/>
              <w:keepLines w:val="0"/>
              <w:suppressLineNumbers w:val="0"/>
              <w:shd w:val="clear" w:color="auto" w:fill="auto"/>
              <w:spacing w:before="0" w:beforeAutospacing="0" w:after="0" w:afterAutospacing="0"/>
              <w:ind w:left="0" w:right="0" w:firstLine="140"/>
              <w:jc w:val="center"/>
              <w:rPr>
                <w:rFonts w:hint="eastAsia" w:ascii="宋体" w:hAnsi="宋体" w:eastAsia="宋体" w:cs="宋体"/>
                <w:sz w:val="21"/>
                <w:szCs w:val="21"/>
              </w:rPr>
            </w:pPr>
            <w:r>
              <w:rPr>
                <w:rFonts w:hint="eastAsia" w:ascii="宋体" w:hAnsi="宋体" w:eastAsia="宋体" w:cs="宋体"/>
                <w:color w:val="000000"/>
                <w:sz w:val="21"/>
                <w:szCs w:val="21"/>
              </w:rPr>
              <w:t>从业人员10人以下或资产总额 100万元以下</w:t>
            </w:r>
          </w:p>
        </w:tc>
      </w:tr>
      <w:tr w14:paraId="1C19C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restart"/>
            <w:shd w:val="clear" w:color="auto" w:fill="FFFFFF"/>
            <w:noWrap w:val="0"/>
            <w:vAlign w:val="center"/>
          </w:tcPr>
          <w:p w14:paraId="5229D670">
            <w:pPr>
              <w:pStyle w:val="36"/>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其他未列明行业</w:t>
            </w:r>
          </w:p>
        </w:tc>
        <w:tc>
          <w:tcPr>
            <w:tcW w:w="8354" w:type="dxa"/>
            <w:gridSpan w:val="2"/>
            <w:shd w:val="clear" w:color="auto" w:fill="FFFFFF"/>
            <w:noWrap w:val="0"/>
            <w:vAlign w:val="center"/>
          </w:tcPr>
          <w:p w14:paraId="12238371">
            <w:pPr>
              <w:pStyle w:val="36"/>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从业人员300人以下的为中小微型企业。</w:t>
            </w:r>
          </w:p>
        </w:tc>
      </w:tr>
      <w:tr w14:paraId="61AC1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continue"/>
            <w:shd w:val="clear" w:color="auto" w:fill="FFFFFF"/>
            <w:noWrap w:val="0"/>
            <w:vAlign w:val="center"/>
          </w:tcPr>
          <w:p w14:paraId="3844F6BE">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173" w:type="dxa"/>
            <w:shd w:val="clear" w:color="auto" w:fill="FFFFFF"/>
            <w:noWrap w:val="0"/>
            <w:vAlign w:val="center"/>
          </w:tcPr>
          <w:p w14:paraId="1621595F">
            <w:pPr>
              <w:pStyle w:val="36"/>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中型</w:t>
            </w:r>
          </w:p>
        </w:tc>
        <w:tc>
          <w:tcPr>
            <w:tcW w:w="7181" w:type="dxa"/>
            <w:shd w:val="clear" w:color="auto" w:fill="FFFFFF"/>
            <w:noWrap w:val="0"/>
            <w:vAlign w:val="center"/>
          </w:tcPr>
          <w:p w14:paraId="3F92BB49">
            <w:pPr>
              <w:pStyle w:val="36"/>
              <w:keepNext w:val="0"/>
              <w:keepLines w:val="0"/>
              <w:suppressLineNumbers w:val="0"/>
              <w:shd w:val="clear" w:color="auto" w:fill="auto"/>
              <w:spacing w:before="0" w:beforeAutospacing="0" w:after="0" w:afterAutospacing="0"/>
              <w:ind w:left="0" w:right="0" w:firstLine="140"/>
              <w:jc w:val="center"/>
              <w:rPr>
                <w:rFonts w:hint="eastAsia" w:ascii="宋体" w:hAnsi="宋体" w:eastAsia="宋体" w:cs="宋体"/>
                <w:sz w:val="21"/>
                <w:szCs w:val="21"/>
              </w:rPr>
            </w:pPr>
            <w:r>
              <w:rPr>
                <w:rFonts w:hint="eastAsia" w:ascii="宋体" w:hAnsi="宋体" w:eastAsia="宋体" w:cs="宋体"/>
                <w:color w:val="000000"/>
                <w:sz w:val="21"/>
                <w:szCs w:val="21"/>
              </w:rPr>
              <w:t>从业人员100— 300人</w:t>
            </w:r>
          </w:p>
        </w:tc>
      </w:tr>
      <w:tr w14:paraId="7D97F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continue"/>
            <w:shd w:val="clear" w:color="auto" w:fill="FFFFFF"/>
            <w:noWrap w:val="0"/>
            <w:vAlign w:val="center"/>
          </w:tcPr>
          <w:p w14:paraId="10783FF2">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173" w:type="dxa"/>
            <w:shd w:val="clear" w:color="auto" w:fill="FFFFFF"/>
            <w:noWrap w:val="0"/>
            <w:vAlign w:val="center"/>
          </w:tcPr>
          <w:p w14:paraId="112596F5">
            <w:pPr>
              <w:pStyle w:val="36"/>
              <w:keepNext w:val="0"/>
              <w:keepLines w:val="0"/>
              <w:suppressLineNumbers w:val="0"/>
              <w:shd w:val="clear" w:color="auto" w:fill="auto"/>
              <w:spacing w:before="8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小型</w:t>
            </w:r>
          </w:p>
        </w:tc>
        <w:tc>
          <w:tcPr>
            <w:tcW w:w="7181" w:type="dxa"/>
            <w:shd w:val="clear" w:color="auto" w:fill="FFFFFF"/>
            <w:noWrap w:val="0"/>
            <w:vAlign w:val="center"/>
          </w:tcPr>
          <w:p w14:paraId="1CD01178">
            <w:pPr>
              <w:pStyle w:val="36"/>
              <w:keepNext w:val="0"/>
              <w:keepLines w:val="0"/>
              <w:suppressLineNumbers w:val="0"/>
              <w:shd w:val="clear" w:color="auto" w:fill="auto"/>
              <w:spacing w:before="0" w:beforeAutospacing="0" w:after="0" w:afterAutospacing="0"/>
              <w:ind w:left="0" w:right="0" w:firstLine="140"/>
              <w:jc w:val="center"/>
              <w:rPr>
                <w:rFonts w:hint="eastAsia" w:ascii="宋体" w:hAnsi="宋体" w:eastAsia="宋体" w:cs="宋体"/>
                <w:sz w:val="21"/>
                <w:szCs w:val="21"/>
              </w:rPr>
            </w:pPr>
            <w:r>
              <w:rPr>
                <w:rFonts w:hint="eastAsia" w:ascii="宋体" w:hAnsi="宋体" w:eastAsia="宋体" w:cs="宋体"/>
                <w:color w:val="000000"/>
                <w:sz w:val="21"/>
                <w:szCs w:val="21"/>
              </w:rPr>
              <w:t>从业人员10人一100人</w:t>
            </w:r>
          </w:p>
        </w:tc>
      </w:tr>
      <w:tr w14:paraId="309A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continue"/>
            <w:shd w:val="clear" w:color="auto" w:fill="FFFFFF"/>
            <w:noWrap w:val="0"/>
            <w:vAlign w:val="center"/>
          </w:tcPr>
          <w:p w14:paraId="6FD912A0">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173" w:type="dxa"/>
            <w:shd w:val="clear" w:color="auto" w:fill="FFFFFF"/>
            <w:noWrap w:val="0"/>
            <w:vAlign w:val="center"/>
          </w:tcPr>
          <w:p w14:paraId="6D6359BB">
            <w:pPr>
              <w:pStyle w:val="36"/>
              <w:keepNext w:val="0"/>
              <w:keepLines w:val="0"/>
              <w:suppressLineNumbers w:val="0"/>
              <w:shd w:val="clear" w:color="auto" w:fill="auto"/>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微型</w:t>
            </w:r>
          </w:p>
        </w:tc>
        <w:tc>
          <w:tcPr>
            <w:tcW w:w="7181" w:type="dxa"/>
            <w:shd w:val="clear" w:color="auto" w:fill="FFFFFF"/>
            <w:noWrap w:val="0"/>
            <w:vAlign w:val="center"/>
          </w:tcPr>
          <w:p w14:paraId="1E89916B">
            <w:pPr>
              <w:pStyle w:val="36"/>
              <w:keepNext w:val="0"/>
              <w:keepLines w:val="0"/>
              <w:suppressLineNumbers w:val="0"/>
              <w:shd w:val="clear" w:color="auto" w:fill="auto"/>
              <w:spacing w:before="0" w:beforeAutospacing="0" w:after="0" w:afterAutospacing="0"/>
              <w:ind w:left="0" w:right="0" w:firstLine="140"/>
              <w:jc w:val="center"/>
              <w:rPr>
                <w:rFonts w:hint="eastAsia" w:ascii="宋体" w:hAnsi="宋体" w:eastAsia="宋体" w:cs="宋体"/>
                <w:sz w:val="21"/>
                <w:szCs w:val="21"/>
              </w:rPr>
            </w:pPr>
            <w:r>
              <w:rPr>
                <w:rFonts w:hint="eastAsia" w:ascii="宋体" w:hAnsi="宋体" w:eastAsia="宋体" w:cs="宋体"/>
                <w:color w:val="000000"/>
                <w:sz w:val="21"/>
                <w:szCs w:val="21"/>
              </w:rPr>
              <w:t>从业人员10人以下</w:t>
            </w:r>
          </w:p>
        </w:tc>
      </w:tr>
    </w:tbl>
    <w:p w14:paraId="52008B0D">
      <w:pPr>
        <w:pStyle w:val="5"/>
        <w:rPr>
          <w:rFonts w:hint="eastAsia" w:ascii="宋体" w:hAnsi="宋体" w:eastAsia="宋体" w:cs="宋体"/>
          <w:sz w:val="21"/>
          <w:szCs w:val="21"/>
        </w:rPr>
        <w:sectPr>
          <w:headerReference r:id="rId7" w:type="default"/>
          <w:pgSz w:w="11906" w:h="16838"/>
          <w:pgMar w:top="1440" w:right="1797" w:bottom="1440" w:left="1797" w:header="851" w:footer="992" w:gutter="0"/>
          <w:cols w:space="720" w:num="1"/>
          <w:docGrid w:linePitch="312" w:charSpace="0"/>
        </w:sectPr>
      </w:pPr>
    </w:p>
    <w:p w14:paraId="2601ACAA">
      <w:pPr>
        <w:rPr>
          <w:rFonts w:hint="eastAsia" w:ascii="宋体" w:hAnsi="宋体" w:eastAsia="宋体" w:cs="宋体"/>
          <w:color w:val="000000" w:themeColor="text1"/>
          <w:sz w:val="28"/>
          <w:szCs w:val="28"/>
          <w:highlight w:val="none"/>
          <w14:textFill>
            <w14:solidFill>
              <w14:schemeClr w14:val="tx1"/>
            </w14:solidFill>
          </w14:textFill>
        </w:rPr>
      </w:pPr>
    </w:p>
    <w:sectPr>
      <w:footerReference r:id="rId8"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
    <w:altName w:val="宋体"/>
    <w:panose1 w:val="00000000000000000000"/>
    <w:charset w:val="81"/>
    <w:family w:val="auto"/>
    <w:pitch w:val="default"/>
    <w:sig w:usb0="00000000" w:usb1="00000000" w:usb2="00000010" w:usb3="00000000" w:csb0="00080000"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B3A76">
    <w:pPr>
      <w:pStyle w:val="11"/>
      <w:rPr>
        <w:rFonts w:hint="eastAsia" w:ascii="宋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273BA">
    <w:pPr>
      <w:pStyle w:val="11"/>
      <w:rPr>
        <w:rFonts w:hint="eastAsia" w:ascii="宋体" w:hAnsi="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2A9803">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A2A9803">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37E54">
    <w:pPr>
      <w:pStyle w:val="11"/>
      <w:tabs>
        <w:tab w:val="center" w:pos="4873"/>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98C14B">
                          <w:pPr>
                            <w:pStyle w:val="11"/>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698C14B">
                    <w:pPr>
                      <w:pStyle w:val="11"/>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D6F3C">
    <w:pPr>
      <w:spacing w:line="176" w:lineRule="auto"/>
      <w:ind w:left="469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AB1C5">
                          <w:pPr>
                            <w:pStyle w:val="11"/>
                          </w:pPr>
                          <w:r>
                            <w:fldChar w:fldCharType="begin"/>
                          </w:r>
                          <w:r>
                            <w:instrText xml:space="preserve"> PAGE  \* MERGEFORMAT </w:instrText>
                          </w:r>
                          <w:r>
                            <w:fldChar w:fldCharType="separate"/>
                          </w:r>
                          <w:r>
                            <w:t>147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EEAB1C5">
                    <w:pPr>
                      <w:pStyle w:val="11"/>
                    </w:pPr>
                    <w:r>
                      <w:fldChar w:fldCharType="begin"/>
                    </w:r>
                    <w:r>
                      <w:instrText xml:space="preserve"> PAGE  \* MERGEFORMAT </w:instrText>
                    </w:r>
                    <w:r>
                      <w:fldChar w:fldCharType="separate"/>
                    </w:r>
                    <w:r>
                      <w:t>147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5AB7C">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15B59">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8AC0F8"/>
    <w:multiLevelType w:val="singleLevel"/>
    <w:tmpl w:val="C58AC0F8"/>
    <w:lvl w:ilvl="0" w:tentative="0">
      <w:start w:val="5"/>
      <w:numFmt w:val="chineseCounting"/>
      <w:suff w:val="space"/>
      <w:lvlText w:val="第%1章"/>
      <w:lvlJc w:val="left"/>
      <w:rPr>
        <w:rFonts w:hint="eastAsia"/>
      </w:rPr>
    </w:lvl>
  </w:abstractNum>
  <w:abstractNum w:abstractNumId="1">
    <w:nsid w:val="E6518C76"/>
    <w:multiLevelType w:val="singleLevel"/>
    <w:tmpl w:val="E6518C76"/>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2MDRlY2VmNmQ2NDlkY2FmYWNmZmM5Mzk1ODNiNjcifQ=="/>
  </w:docVars>
  <w:rsids>
    <w:rsidRoot w:val="4AC75B3B"/>
    <w:rsid w:val="00016D8E"/>
    <w:rsid w:val="001612B1"/>
    <w:rsid w:val="0026154C"/>
    <w:rsid w:val="0031535E"/>
    <w:rsid w:val="00437D78"/>
    <w:rsid w:val="007E79DC"/>
    <w:rsid w:val="007F0A1D"/>
    <w:rsid w:val="009269A2"/>
    <w:rsid w:val="009C779F"/>
    <w:rsid w:val="00B34633"/>
    <w:rsid w:val="00DF677C"/>
    <w:rsid w:val="00E84B06"/>
    <w:rsid w:val="00FC02AA"/>
    <w:rsid w:val="00FF4772"/>
    <w:rsid w:val="011F1764"/>
    <w:rsid w:val="012C687B"/>
    <w:rsid w:val="01330404"/>
    <w:rsid w:val="015B73CA"/>
    <w:rsid w:val="015E4ACC"/>
    <w:rsid w:val="01692E5D"/>
    <w:rsid w:val="016E4D66"/>
    <w:rsid w:val="017546F1"/>
    <w:rsid w:val="019C23B2"/>
    <w:rsid w:val="019C51DF"/>
    <w:rsid w:val="01C35AF5"/>
    <w:rsid w:val="01CB21A9"/>
    <w:rsid w:val="01E22B26"/>
    <w:rsid w:val="01F30850"/>
    <w:rsid w:val="02012E78"/>
    <w:rsid w:val="02182C5B"/>
    <w:rsid w:val="02215E8E"/>
    <w:rsid w:val="026C7207"/>
    <w:rsid w:val="028B7ABC"/>
    <w:rsid w:val="02A27609"/>
    <w:rsid w:val="02E234DD"/>
    <w:rsid w:val="02FE1FF9"/>
    <w:rsid w:val="030D350D"/>
    <w:rsid w:val="037A3B41"/>
    <w:rsid w:val="038C50E0"/>
    <w:rsid w:val="03A42787"/>
    <w:rsid w:val="03BC36B1"/>
    <w:rsid w:val="03E147EA"/>
    <w:rsid w:val="03F5128D"/>
    <w:rsid w:val="04117BDE"/>
    <w:rsid w:val="04152967"/>
    <w:rsid w:val="044E739D"/>
    <w:rsid w:val="04762AE0"/>
    <w:rsid w:val="047E5D41"/>
    <w:rsid w:val="04B8484E"/>
    <w:rsid w:val="04B96A4C"/>
    <w:rsid w:val="04DC0AA0"/>
    <w:rsid w:val="050339C8"/>
    <w:rsid w:val="050B14B3"/>
    <w:rsid w:val="05145E61"/>
    <w:rsid w:val="05336716"/>
    <w:rsid w:val="056B7B7D"/>
    <w:rsid w:val="05781409"/>
    <w:rsid w:val="05AB50DB"/>
    <w:rsid w:val="05B9677F"/>
    <w:rsid w:val="05BD667A"/>
    <w:rsid w:val="05DC680B"/>
    <w:rsid w:val="060E737E"/>
    <w:rsid w:val="061F2E9B"/>
    <w:rsid w:val="063A14C7"/>
    <w:rsid w:val="06755013"/>
    <w:rsid w:val="067B1F30"/>
    <w:rsid w:val="06D80A8A"/>
    <w:rsid w:val="06EB44E8"/>
    <w:rsid w:val="06F63309"/>
    <w:rsid w:val="072858CC"/>
    <w:rsid w:val="072C44ED"/>
    <w:rsid w:val="07362663"/>
    <w:rsid w:val="07B11FAD"/>
    <w:rsid w:val="07C531CC"/>
    <w:rsid w:val="07CD046F"/>
    <w:rsid w:val="07CD2038"/>
    <w:rsid w:val="07DC6674"/>
    <w:rsid w:val="07E0507A"/>
    <w:rsid w:val="07E55674"/>
    <w:rsid w:val="07EF7893"/>
    <w:rsid w:val="08130D4D"/>
    <w:rsid w:val="08215AE4"/>
    <w:rsid w:val="08257D6D"/>
    <w:rsid w:val="083F0917"/>
    <w:rsid w:val="0866222B"/>
    <w:rsid w:val="08805332"/>
    <w:rsid w:val="08986A27"/>
    <w:rsid w:val="08AD034C"/>
    <w:rsid w:val="08F700C6"/>
    <w:rsid w:val="08FD1FCF"/>
    <w:rsid w:val="090E7CEB"/>
    <w:rsid w:val="091E160B"/>
    <w:rsid w:val="095216D9"/>
    <w:rsid w:val="095F2F6D"/>
    <w:rsid w:val="09697100"/>
    <w:rsid w:val="09773E97"/>
    <w:rsid w:val="098269A5"/>
    <w:rsid w:val="09D771D4"/>
    <w:rsid w:val="09DF42DA"/>
    <w:rsid w:val="09F91B56"/>
    <w:rsid w:val="0A1E6855"/>
    <w:rsid w:val="0A2574B3"/>
    <w:rsid w:val="0A4F2875"/>
    <w:rsid w:val="0A9B4EF3"/>
    <w:rsid w:val="0ACB34C4"/>
    <w:rsid w:val="0B056A0E"/>
    <w:rsid w:val="0B090DAA"/>
    <w:rsid w:val="0B32416D"/>
    <w:rsid w:val="0B385646"/>
    <w:rsid w:val="0B8B368D"/>
    <w:rsid w:val="0B94510B"/>
    <w:rsid w:val="0B971913"/>
    <w:rsid w:val="0BC26BCB"/>
    <w:rsid w:val="0BC301D9"/>
    <w:rsid w:val="0BD95C00"/>
    <w:rsid w:val="0BFD70B9"/>
    <w:rsid w:val="0C1237DB"/>
    <w:rsid w:val="0C2C7C08"/>
    <w:rsid w:val="0CB41A4E"/>
    <w:rsid w:val="0CF85DDF"/>
    <w:rsid w:val="0D010EE5"/>
    <w:rsid w:val="0D1A078A"/>
    <w:rsid w:val="0D3D54C7"/>
    <w:rsid w:val="0D4940E8"/>
    <w:rsid w:val="0D5A5442"/>
    <w:rsid w:val="0D5E59FB"/>
    <w:rsid w:val="0D787914"/>
    <w:rsid w:val="0E244D27"/>
    <w:rsid w:val="0E247D43"/>
    <w:rsid w:val="0E573A15"/>
    <w:rsid w:val="0E677F50"/>
    <w:rsid w:val="0E6C0137"/>
    <w:rsid w:val="0E9F2797"/>
    <w:rsid w:val="0EDD16F0"/>
    <w:rsid w:val="0EFA6AA1"/>
    <w:rsid w:val="0F075DB7"/>
    <w:rsid w:val="0F37761E"/>
    <w:rsid w:val="0F4D0AAA"/>
    <w:rsid w:val="0F5F5CA1"/>
    <w:rsid w:val="0F634E4C"/>
    <w:rsid w:val="0FA35C35"/>
    <w:rsid w:val="0FF137B6"/>
    <w:rsid w:val="100D7863"/>
    <w:rsid w:val="1018101F"/>
    <w:rsid w:val="101F3001"/>
    <w:rsid w:val="1023499A"/>
    <w:rsid w:val="103B4960"/>
    <w:rsid w:val="104222BC"/>
    <w:rsid w:val="104A18C6"/>
    <w:rsid w:val="10616837"/>
    <w:rsid w:val="10B81C0F"/>
    <w:rsid w:val="10CB7841"/>
    <w:rsid w:val="10D17073"/>
    <w:rsid w:val="10E67546"/>
    <w:rsid w:val="10EE01D6"/>
    <w:rsid w:val="110C1984"/>
    <w:rsid w:val="113A6FD0"/>
    <w:rsid w:val="11501174"/>
    <w:rsid w:val="11614964"/>
    <w:rsid w:val="118947D1"/>
    <w:rsid w:val="11915461"/>
    <w:rsid w:val="11A976A8"/>
    <w:rsid w:val="11CE5105"/>
    <w:rsid w:val="11DE1CDD"/>
    <w:rsid w:val="121C2E46"/>
    <w:rsid w:val="12483364"/>
    <w:rsid w:val="127A31E0"/>
    <w:rsid w:val="12EB6997"/>
    <w:rsid w:val="12F7414E"/>
    <w:rsid w:val="130B33CC"/>
    <w:rsid w:val="13103353"/>
    <w:rsid w:val="13324B8D"/>
    <w:rsid w:val="134F44BD"/>
    <w:rsid w:val="135350C1"/>
    <w:rsid w:val="135E3453"/>
    <w:rsid w:val="13876815"/>
    <w:rsid w:val="13A74B4C"/>
    <w:rsid w:val="13B860EB"/>
    <w:rsid w:val="13CE4A0B"/>
    <w:rsid w:val="13DE7224"/>
    <w:rsid w:val="13E25670"/>
    <w:rsid w:val="140F6AF9"/>
    <w:rsid w:val="1430702E"/>
    <w:rsid w:val="145E6879"/>
    <w:rsid w:val="147A2925"/>
    <w:rsid w:val="14935A4E"/>
    <w:rsid w:val="14A50B30"/>
    <w:rsid w:val="14AE78FC"/>
    <w:rsid w:val="14C41AA0"/>
    <w:rsid w:val="14F831F4"/>
    <w:rsid w:val="150A4793"/>
    <w:rsid w:val="152F37AA"/>
    <w:rsid w:val="15305B2B"/>
    <w:rsid w:val="154148ED"/>
    <w:rsid w:val="155223BE"/>
    <w:rsid w:val="1559227C"/>
    <w:rsid w:val="15AF4F21"/>
    <w:rsid w:val="15B06226"/>
    <w:rsid w:val="15B44C2C"/>
    <w:rsid w:val="15C31468"/>
    <w:rsid w:val="15D05455"/>
    <w:rsid w:val="15F1340C"/>
    <w:rsid w:val="15FD2AA2"/>
    <w:rsid w:val="160114A8"/>
    <w:rsid w:val="162B5273"/>
    <w:rsid w:val="162F4575"/>
    <w:rsid w:val="163946DF"/>
    <w:rsid w:val="16822CFB"/>
    <w:rsid w:val="16880487"/>
    <w:rsid w:val="16946498"/>
    <w:rsid w:val="16D0087B"/>
    <w:rsid w:val="16D23D7F"/>
    <w:rsid w:val="16E834C7"/>
    <w:rsid w:val="16FD0446"/>
    <w:rsid w:val="171F3B6A"/>
    <w:rsid w:val="175D6F94"/>
    <w:rsid w:val="175E0F34"/>
    <w:rsid w:val="1782733C"/>
    <w:rsid w:val="17856554"/>
    <w:rsid w:val="17A13152"/>
    <w:rsid w:val="18022764"/>
    <w:rsid w:val="18052E77"/>
    <w:rsid w:val="183E4110"/>
    <w:rsid w:val="18833745"/>
    <w:rsid w:val="188B43D5"/>
    <w:rsid w:val="189F77F2"/>
    <w:rsid w:val="18A74BFE"/>
    <w:rsid w:val="18D36D47"/>
    <w:rsid w:val="18DF1F83"/>
    <w:rsid w:val="18ED6A14"/>
    <w:rsid w:val="18FC27B3"/>
    <w:rsid w:val="18FD340F"/>
    <w:rsid w:val="190F4D31"/>
    <w:rsid w:val="19173FB9"/>
    <w:rsid w:val="193B777F"/>
    <w:rsid w:val="1955189F"/>
    <w:rsid w:val="19717B4A"/>
    <w:rsid w:val="19722F3E"/>
    <w:rsid w:val="197752D7"/>
    <w:rsid w:val="197E72DA"/>
    <w:rsid w:val="198B3467"/>
    <w:rsid w:val="19923902"/>
    <w:rsid w:val="19A54B21"/>
    <w:rsid w:val="19AA0FA9"/>
    <w:rsid w:val="19C608D9"/>
    <w:rsid w:val="19CF1023"/>
    <w:rsid w:val="19F50124"/>
    <w:rsid w:val="19FC5530"/>
    <w:rsid w:val="1A1409D8"/>
    <w:rsid w:val="1A18186E"/>
    <w:rsid w:val="1A1A4AE0"/>
    <w:rsid w:val="1A306C84"/>
    <w:rsid w:val="1A387913"/>
    <w:rsid w:val="1A4F7538"/>
    <w:rsid w:val="1A5F77D3"/>
    <w:rsid w:val="1A6E148E"/>
    <w:rsid w:val="1AAC1FB7"/>
    <w:rsid w:val="1B0537E4"/>
    <w:rsid w:val="1B342696"/>
    <w:rsid w:val="1B4F4EDD"/>
    <w:rsid w:val="1B59326E"/>
    <w:rsid w:val="1B697C85"/>
    <w:rsid w:val="1B6B3188"/>
    <w:rsid w:val="1B710915"/>
    <w:rsid w:val="1B753A98"/>
    <w:rsid w:val="1B803B6F"/>
    <w:rsid w:val="1B8371BB"/>
    <w:rsid w:val="1BD56F23"/>
    <w:rsid w:val="1BE069CA"/>
    <w:rsid w:val="1BEF11E3"/>
    <w:rsid w:val="1C174926"/>
    <w:rsid w:val="1C27133D"/>
    <w:rsid w:val="1C322F51"/>
    <w:rsid w:val="1C3276CE"/>
    <w:rsid w:val="1C3560D4"/>
    <w:rsid w:val="1C3B45AA"/>
    <w:rsid w:val="1C823FD5"/>
    <w:rsid w:val="1C8242BD"/>
    <w:rsid w:val="1CA3450A"/>
    <w:rsid w:val="1CA5548E"/>
    <w:rsid w:val="1CA74072"/>
    <w:rsid w:val="1CAC4E19"/>
    <w:rsid w:val="1CB02068"/>
    <w:rsid w:val="1CFE5B1D"/>
    <w:rsid w:val="1D0B4E33"/>
    <w:rsid w:val="1D1075D0"/>
    <w:rsid w:val="1D3C18D5"/>
    <w:rsid w:val="1D3F091B"/>
    <w:rsid w:val="1D441B15"/>
    <w:rsid w:val="1D715E5C"/>
    <w:rsid w:val="1DE06110"/>
    <w:rsid w:val="1DF05690"/>
    <w:rsid w:val="1E004446"/>
    <w:rsid w:val="1E1B2A71"/>
    <w:rsid w:val="1E392382"/>
    <w:rsid w:val="1E6C6310"/>
    <w:rsid w:val="1E76134C"/>
    <w:rsid w:val="1E990AA4"/>
    <w:rsid w:val="1E9B1B6C"/>
    <w:rsid w:val="1EA13FCF"/>
    <w:rsid w:val="1EA33C4F"/>
    <w:rsid w:val="1EB25197"/>
    <w:rsid w:val="1F1A7472"/>
    <w:rsid w:val="1F262C04"/>
    <w:rsid w:val="1F31221E"/>
    <w:rsid w:val="1F5339F5"/>
    <w:rsid w:val="1F59377E"/>
    <w:rsid w:val="1F5F50E4"/>
    <w:rsid w:val="1F794B99"/>
    <w:rsid w:val="1F8232BD"/>
    <w:rsid w:val="1F865547"/>
    <w:rsid w:val="1FAC1F03"/>
    <w:rsid w:val="1FE110D8"/>
    <w:rsid w:val="1FE424EF"/>
    <w:rsid w:val="1FEA4231"/>
    <w:rsid w:val="1FEB3115"/>
    <w:rsid w:val="20185475"/>
    <w:rsid w:val="202D3756"/>
    <w:rsid w:val="20512691"/>
    <w:rsid w:val="20731CCC"/>
    <w:rsid w:val="209854B7"/>
    <w:rsid w:val="2099410A"/>
    <w:rsid w:val="20AE4CDA"/>
    <w:rsid w:val="20BB20C0"/>
    <w:rsid w:val="20BC7B42"/>
    <w:rsid w:val="20C5639C"/>
    <w:rsid w:val="20D14264"/>
    <w:rsid w:val="20DC5E78"/>
    <w:rsid w:val="20EB4E0E"/>
    <w:rsid w:val="21295BFA"/>
    <w:rsid w:val="213977FF"/>
    <w:rsid w:val="21690F5F"/>
    <w:rsid w:val="21725FEC"/>
    <w:rsid w:val="217C1966"/>
    <w:rsid w:val="21AC2CCE"/>
    <w:rsid w:val="21B6105F"/>
    <w:rsid w:val="21C969FA"/>
    <w:rsid w:val="21E253A6"/>
    <w:rsid w:val="21E45026"/>
    <w:rsid w:val="21E5632B"/>
    <w:rsid w:val="21EC1E61"/>
    <w:rsid w:val="21F97134"/>
    <w:rsid w:val="21FF6ED4"/>
    <w:rsid w:val="220E74EF"/>
    <w:rsid w:val="226E080D"/>
    <w:rsid w:val="2284712E"/>
    <w:rsid w:val="229067C3"/>
    <w:rsid w:val="22993850"/>
    <w:rsid w:val="229E2B2D"/>
    <w:rsid w:val="22A10C5C"/>
    <w:rsid w:val="22AE547D"/>
    <w:rsid w:val="22B456FE"/>
    <w:rsid w:val="22B91B86"/>
    <w:rsid w:val="22C55A01"/>
    <w:rsid w:val="22FD5263"/>
    <w:rsid w:val="2308452D"/>
    <w:rsid w:val="23092BD5"/>
    <w:rsid w:val="23225D32"/>
    <w:rsid w:val="23431AEA"/>
    <w:rsid w:val="23682C23"/>
    <w:rsid w:val="23726DB6"/>
    <w:rsid w:val="23A25387"/>
    <w:rsid w:val="23AC5C96"/>
    <w:rsid w:val="23AD3718"/>
    <w:rsid w:val="23AD7E95"/>
    <w:rsid w:val="23BF2431"/>
    <w:rsid w:val="24102138"/>
    <w:rsid w:val="24383C3C"/>
    <w:rsid w:val="243C1D02"/>
    <w:rsid w:val="245A12B2"/>
    <w:rsid w:val="24610C3D"/>
    <w:rsid w:val="246B6FCE"/>
    <w:rsid w:val="24952391"/>
    <w:rsid w:val="24AB4534"/>
    <w:rsid w:val="24B74494"/>
    <w:rsid w:val="24BA4B4F"/>
    <w:rsid w:val="24C97368"/>
    <w:rsid w:val="24D01560"/>
    <w:rsid w:val="24DA5084"/>
    <w:rsid w:val="24EB0BA1"/>
    <w:rsid w:val="25251434"/>
    <w:rsid w:val="25275183"/>
    <w:rsid w:val="25300011"/>
    <w:rsid w:val="25370A70"/>
    <w:rsid w:val="253C76A7"/>
    <w:rsid w:val="254856B7"/>
    <w:rsid w:val="256162F1"/>
    <w:rsid w:val="256776B8"/>
    <w:rsid w:val="25805811"/>
    <w:rsid w:val="25A4254E"/>
    <w:rsid w:val="25D52D1D"/>
    <w:rsid w:val="2607472D"/>
    <w:rsid w:val="26257624"/>
    <w:rsid w:val="26290229"/>
    <w:rsid w:val="26683591"/>
    <w:rsid w:val="26AB74FD"/>
    <w:rsid w:val="26B11081"/>
    <w:rsid w:val="26DC1351"/>
    <w:rsid w:val="2702378F"/>
    <w:rsid w:val="27052538"/>
    <w:rsid w:val="270F17A0"/>
    <w:rsid w:val="271B64E8"/>
    <w:rsid w:val="271B7152"/>
    <w:rsid w:val="274A0DD4"/>
    <w:rsid w:val="27520F90"/>
    <w:rsid w:val="27544493"/>
    <w:rsid w:val="2785737E"/>
    <w:rsid w:val="278A496D"/>
    <w:rsid w:val="27943258"/>
    <w:rsid w:val="27B0758A"/>
    <w:rsid w:val="27C869D0"/>
    <w:rsid w:val="27E0001A"/>
    <w:rsid w:val="27F5667A"/>
    <w:rsid w:val="280E3605"/>
    <w:rsid w:val="2814104E"/>
    <w:rsid w:val="281C69CE"/>
    <w:rsid w:val="285E01C8"/>
    <w:rsid w:val="28696559"/>
    <w:rsid w:val="289B47AA"/>
    <w:rsid w:val="28AE59C9"/>
    <w:rsid w:val="28C2758B"/>
    <w:rsid w:val="28F57442"/>
    <w:rsid w:val="28F72945"/>
    <w:rsid w:val="29146F70"/>
    <w:rsid w:val="29181DA8"/>
    <w:rsid w:val="294F0C22"/>
    <w:rsid w:val="29550782"/>
    <w:rsid w:val="2967011C"/>
    <w:rsid w:val="29997F50"/>
    <w:rsid w:val="29A0362E"/>
    <w:rsid w:val="29B4657B"/>
    <w:rsid w:val="29E37333"/>
    <w:rsid w:val="29EF765A"/>
    <w:rsid w:val="2A1F73DE"/>
    <w:rsid w:val="2A340855"/>
    <w:rsid w:val="2A475AEA"/>
    <w:rsid w:val="2A5A31E3"/>
    <w:rsid w:val="2A600C13"/>
    <w:rsid w:val="2A982071"/>
    <w:rsid w:val="2A9D4251"/>
    <w:rsid w:val="2A9D64F9"/>
    <w:rsid w:val="2AA50082"/>
    <w:rsid w:val="2AA9450A"/>
    <w:rsid w:val="2AB37D82"/>
    <w:rsid w:val="2AE01395"/>
    <w:rsid w:val="2AE17EE7"/>
    <w:rsid w:val="2AE2376A"/>
    <w:rsid w:val="2AE5754B"/>
    <w:rsid w:val="2B3134E9"/>
    <w:rsid w:val="2B357971"/>
    <w:rsid w:val="2B3F744B"/>
    <w:rsid w:val="2B642A3F"/>
    <w:rsid w:val="2B742CD9"/>
    <w:rsid w:val="2BB74A47"/>
    <w:rsid w:val="2BE77795"/>
    <w:rsid w:val="2BF65BCF"/>
    <w:rsid w:val="2BFD736F"/>
    <w:rsid w:val="2C6A1AAC"/>
    <w:rsid w:val="2C6B57F0"/>
    <w:rsid w:val="2C6E074E"/>
    <w:rsid w:val="2C921E2C"/>
    <w:rsid w:val="2CA43B3A"/>
    <w:rsid w:val="2CBF201D"/>
    <w:rsid w:val="2CE3551B"/>
    <w:rsid w:val="2CF352A8"/>
    <w:rsid w:val="2D0B1F79"/>
    <w:rsid w:val="2D1D7D25"/>
    <w:rsid w:val="2D2D6159"/>
    <w:rsid w:val="2D3816C0"/>
    <w:rsid w:val="2D637F86"/>
    <w:rsid w:val="2D697572"/>
    <w:rsid w:val="2D6C2E14"/>
    <w:rsid w:val="2D8A23C4"/>
    <w:rsid w:val="2D974F5D"/>
    <w:rsid w:val="2DA509EF"/>
    <w:rsid w:val="2DB81C0E"/>
    <w:rsid w:val="2DB94CBF"/>
    <w:rsid w:val="2DED4667"/>
    <w:rsid w:val="2E02460C"/>
    <w:rsid w:val="2E036815"/>
    <w:rsid w:val="2E3D248B"/>
    <w:rsid w:val="2E6049A6"/>
    <w:rsid w:val="2E994780"/>
    <w:rsid w:val="2EA46A38"/>
    <w:rsid w:val="2EC92D50"/>
    <w:rsid w:val="2EDA686E"/>
    <w:rsid w:val="2EE6487F"/>
    <w:rsid w:val="2EF23F15"/>
    <w:rsid w:val="2EFD22A6"/>
    <w:rsid w:val="2F1034C5"/>
    <w:rsid w:val="2F120BC6"/>
    <w:rsid w:val="2F46011B"/>
    <w:rsid w:val="2F54283A"/>
    <w:rsid w:val="2F5716BB"/>
    <w:rsid w:val="2FFB6945"/>
    <w:rsid w:val="30234286"/>
    <w:rsid w:val="3028070E"/>
    <w:rsid w:val="303B192D"/>
    <w:rsid w:val="304212B8"/>
    <w:rsid w:val="3091013E"/>
    <w:rsid w:val="309148BA"/>
    <w:rsid w:val="30CF21A1"/>
    <w:rsid w:val="30EC3CCF"/>
    <w:rsid w:val="30EF096B"/>
    <w:rsid w:val="30F2145C"/>
    <w:rsid w:val="30F524B2"/>
    <w:rsid w:val="312915B6"/>
    <w:rsid w:val="31362CC3"/>
    <w:rsid w:val="31561180"/>
    <w:rsid w:val="31A002FB"/>
    <w:rsid w:val="31A428EC"/>
    <w:rsid w:val="31A77C86"/>
    <w:rsid w:val="31BF532C"/>
    <w:rsid w:val="31F521F9"/>
    <w:rsid w:val="32005D96"/>
    <w:rsid w:val="32390A1C"/>
    <w:rsid w:val="325E19B3"/>
    <w:rsid w:val="325E612F"/>
    <w:rsid w:val="32674029"/>
    <w:rsid w:val="326F3E4B"/>
    <w:rsid w:val="327526A5"/>
    <w:rsid w:val="328A65D8"/>
    <w:rsid w:val="328B33A1"/>
    <w:rsid w:val="32A92D2C"/>
    <w:rsid w:val="32AA07AD"/>
    <w:rsid w:val="32C600DD"/>
    <w:rsid w:val="32C91062"/>
    <w:rsid w:val="32E5510F"/>
    <w:rsid w:val="32FC1801"/>
    <w:rsid w:val="32FF5CB9"/>
    <w:rsid w:val="33126ED8"/>
    <w:rsid w:val="331E076C"/>
    <w:rsid w:val="332A7E02"/>
    <w:rsid w:val="336D6FF1"/>
    <w:rsid w:val="337C76E9"/>
    <w:rsid w:val="33964F33"/>
    <w:rsid w:val="33A367C7"/>
    <w:rsid w:val="33B61BE4"/>
    <w:rsid w:val="33BF05E4"/>
    <w:rsid w:val="33FB0DE1"/>
    <w:rsid w:val="340D5E76"/>
    <w:rsid w:val="341D068F"/>
    <w:rsid w:val="341E6110"/>
    <w:rsid w:val="34473235"/>
    <w:rsid w:val="345D6EFA"/>
    <w:rsid w:val="34881F3C"/>
    <w:rsid w:val="34902BCC"/>
    <w:rsid w:val="349C315B"/>
    <w:rsid w:val="352B2EEF"/>
    <w:rsid w:val="352E7146"/>
    <w:rsid w:val="353436DA"/>
    <w:rsid w:val="3537465F"/>
    <w:rsid w:val="354A587E"/>
    <w:rsid w:val="35584B93"/>
    <w:rsid w:val="355D1673"/>
    <w:rsid w:val="35825586"/>
    <w:rsid w:val="35A47211"/>
    <w:rsid w:val="35BD6AB6"/>
    <w:rsid w:val="35C16A85"/>
    <w:rsid w:val="35E05D71"/>
    <w:rsid w:val="35FD3123"/>
    <w:rsid w:val="360A6FB9"/>
    <w:rsid w:val="361374C5"/>
    <w:rsid w:val="366053C6"/>
    <w:rsid w:val="366672CF"/>
    <w:rsid w:val="3673637F"/>
    <w:rsid w:val="36820DFD"/>
    <w:rsid w:val="368653F6"/>
    <w:rsid w:val="3696201C"/>
    <w:rsid w:val="36E561CA"/>
    <w:rsid w:val="373566A3"/>
    <w:rsid w:val="374878C2"/>
    <w:rsid w:val="37907CB6"/>
    <w:rsid w:val="3791016F"/>
    <w:rsid w:val="37910FBB"/>
    <w:rsid w:val="37BD2706"/>
    <w:rsid w:val="37C157A0"/>
    <w:rsid w:val="37E706C5"/>
    <w:rsid w:val="38157F0F"/>
    <w:rsid w:val="38196F8C"/>
    <w:rsid w:val="382F2686"/>
    <w:rsid w:val="38604B0B"/>
    <w:rsid w:val="38674496"/>
    <w:rsid w:val="3875702F"/>
    <w:rsid w:val="38866F49"/>
    <w:rsid w:val="38A5396D"/>
    <w:rsid w:val="38C05E29"/>
    <w:rsid w:val="38C95049"/>
    <w:rsid w:val="38E23715"/>
    <w:rsid w:val="391C2CC0"/>
    <w:rsid w:val="39224BC9"/>
    <w:rsid w:val="392F7192"/>
    <w:rsid w:val="396F4CC8"/>
    <w:rsid w:val="39855933"/>
    <w:rsid w:val="398B750F"/>
    <w:rsid w:val="39900A80"/>
    <w:rsid w:val="39923F83"/>
    <w:rsid w:val="39926182"/>
    <w:rsid w:val="39AB70AC"/>
    <w:rsid w:val="39BE4A47"/>
    <w:rsid w:val="39C932AF"/>
    <w:rsid w:val="39D620EE"/>
    <w:rsid w:val="39E06281"/>
    <w:rsid w:val="3A0D004A"/>
    <w:rsid w:val="3A1F37E7"/>
    <w:rsid w:val="3A235A71"/>
    <w:rsid w:val="3A6E6DEA"/>
    <w:rsid w:val="3A8E5120"/>
    <w:rsid w:val="3A9934B1"/>
    <w:rsid w:val="3AA70248"/>
    <w:rsid w:val="3AAA11CD"/>
    <w:rsid w:val="3AE17129"/>
    <w:rsid w:val="3AEB54BA"/>
    <w:rsid w:val="3AEF063D"/>
    <w:rsid w:val="3B105364"/>
    <w:rsid w:val="3B3A1CDA"/>
    <w:rsid w:val="3B3B2CBA"/>
    <w:rsid w:val="3B7905A1"/>
    <w:rsid w:val="3B7E29F9"/>
    <w:rsid w:val="3B82342F"/>
    <w:rsid w:val="3B9A0AD5"/>
    <w:rsid w:val="3BB52F69"/>
    <w:rsid w:val="3BB60406"/>
    <w:rsid w:val="3BB653A8"/>
    <w:rsid w:val="3BBC1BB7"/>
    <w:rsid w:val="3BE321CE"/>
    <w:rsid w:val="3BEC505C"/>
    <w:rsid w:val="3C0F6516"/>
    <w:rsid w:val="3C134F1C"/>
    <w:rsid w:val="3C1952EA"/>
    <w:rsid w:val="3C57218D"/>
    <w:rsid w:val="3CB13B21"/>
    <w:rsid w:val="3CBD7933"/>
    <w:rsid w:val="3CD11E57"/>
    <w:rsid w:val="3CD334F8"/>
    <w:rsid w:val="3CEC4BFF"/>
    <w:rsid w:val="3D1228C0"/>
    <w:rsid w:val="3D212EDB"/>
    <w:rsid w:val="3D2D1ADF"/>
    <w:rsid w:val="3D54160E"/>
    <w:rsid w:val="3D550DAB"/>
    <w:rsid w:val="3D5620B0"/>
    <w:rsid w:val="3D613ED0"/>
    <w:rsid w:val="3D806841"/>
    <w:rsid w:val="3DC966B3"/>
    <w:rsid w:val="3DF05AD0"/>
    <w:rsid w:val="3DF83E38"/>
    <w:rsid w:val="3DFC0389"/>
    <w:rsid w:val="3E1D0E70"/>
    <w:rsid w:val="3E3B3627"/>
    <w:rsid w:val="3E605DE6"/>
    <w:rsid w:val="3E721583"/>
    <w:rsid w:val="3E9B4013"/>
    <w:rsid w:val="3EBC7066"/>
    <w:rsid w:val="3EE250BA"/>
    <w:rsid w:val="3EE65CBF"/>
    <w:rsid w:val="3EF1768B"/>
    <w:rsid w:val="3F0110BB"/>
    <w:rsid w:val="3F341641"/>
    <w:rsid w:val="3F5A3A7F"/>
    <w:rsid w:val="3F64438F"/>
    <w:rsid w:val="3F6C708F"/>
    <w:rsid w:val="3F916157"/>
    <w:rsid w:val="3FCD6F0E"/>
    <w:rsid w:val="3FD55947"/>
    <w:rsid w:val="3FE01600"/>
    <w:rsid w:val="3FE15239"/>
    <w:rsid w:val="3FE24C5D"/>
    <w:rsid w:val="3FF27622"/>
    <w:rsid w:val="3FFE458D"/>
    <w:rsid w:val="401541B2"/>
    <w:rsid w:val="402F14D9"/>
    <w:rsid w:val="40374E6F"/>
    <w:rsid w:val="404F780F"/>
    <w:rsid w:val="405145CB"/>
    <w:rsid w:val="405B10A3"/>
    <w:rsid w:val="405B6EA5"/>
    <w:rsid w:val="40A06315"/>
    <w:rsid w:val="40BE58C5"/>
    <w:rsid w:val="40CE13E2"/>
    <w:rsid w:val="41323600"/>
    <w:rsid w:val="41872D8F"/>
    <w:rsid w:val="41D81894"/>
    <w:rsid w:val="41DD1898"/>
    <w:rsid w:val="41F45941"/>
    <w:rsid w:val="41F91DC9"/>
    <w:rsid w:val="41FC07CF"/>
    <w:rsid w:val="421D3391"/>
    <w:rsid w:val="4230600B"/>
    <w:rsid w:val="42311ECC"/>
    <w:rsid w:val="42625F75"/>
    <w:rsid w:val="426E780A"/>
    <w:rsid w:val="42726210"/>
    <w:rsid w:val="42744F96"/>
    <w:rsid w:val="428A38B6"/>
    <w:rsid w:val="42941C47"/>
    <w:rsid w:val="42947A49"/>
    <w:rsid w:val="42B70F03"/>
    <w:rsid w:val="42CE346F"/>
    <w:rsid w:val="42E73C50"/>
    <w:rsid w:val="42EA29D6"/>
    <w:rsid w:val="42F26851"/>
    <w:rsid w:val="43274A3A"/>
    <w:rsid w:val="43275583"/>
    <w:rsid w:val="432B3B11"/>
    <w:rsid w:val="434C3974"/>
    <w:rsid w:val="434D13F6"/>
    <w:rsid w:val="434D4C79"/>
    <w:rsid w:val="434E26FB"/>
    <w:rsid w:val="434F7125"/>
    <w:rsid w:val="43BD29AF"/>
    <w:rsid w:val="43C12820"/>
    <w:rsid w:val="43D55E57"/>
    <w:rsid w:val="44027C20"/>
    <w:rsid w:val="442B6866"/>
    <w:rsid w:val="44357175"/>
    <w:rsid w:val="444E3361"/>
    <w:rsid w:val="44722BFE"/>
    <w:rsid w:val="44865C7B"/>
    <w:rsid w:val="448A687F"/>
    <w:rsid w:val="448E07FB"/>
    <w:rsid w:val="44B042CE"/>
    <w:rsid w:val="44E36014"/>
    <w:rsid w:val="451467E3"/>
    <w:rsid w:val="45787E3F"/>
    <w:rsid w:val="4585361F"/>
    <w:rsid w:val="45A96EDA"/>
    <w:rsid w:val="45CC270F"/>
    <w:rsid w:val="45E8203F"/>
    <w:rsid w:val="45EA3344"/>
    <w:rsid w:val="45F509A8"/>
    <w:rsid w:val="45FC0CDF"/>
    <w:rsid w:val="463446BC"/>
    <w:rsid w:val="46540183"/>
    <w:rsid w:val="46610A04"/>
    <w:rsid w:val="46655126"/>
    <w:rsid w:val="4667038F"/>
    <w:rsid w:val="467B6B5D"/>
    <w:rsid w:val="467E5DB6"/>
    <w:rsid w:val="469F0A9E"/>
    <w:rsid w:val="46C40B3F"/>
    <w:rsid w:val="46D74E6D"/>
    <w:rsid w:val="46D9157A"/>
    <w:rsid w:val="46E86601"/>
    <w:rsid w:val="47193A36"/>
    <w:rsid w:val="471B6F39"/>
    <w:rsid w:val="472A5ECE"/>
    <w:rsid w:val="47446A78"/>
    <w:rsid w:val="47580F9C"/>
    <w:rsid w:val="476A6CB8"/>
    <w:rsid w:val="47B265AF"/>
    <w:rsid w:val="47DC4A34"/>
    <w:rsid w:val="47E66258"/>
    <w:rsid w:val="480E2235"/>
    <w:rsid w:val="4811150C"/>
    <w:rsid w:val="48264E6C"/>
    <w:rsid w:val="483B158F"/>
    <w:rsid w:val="48584940"/>
    <w:rsid w:val="48B06F92"/>
    <w:rsid w:val="48B57FD2"/>
    <w:rsid w:val="48BF75E9"/>
    <w:rsid w:val="48C308D3"/>
    <w:rsid w:val="48D82712"/>
    <w:rsid w:val="48F80521"/>
    <w:rsid w:val="491017DF"/>
    <w:rsid w:val="49260006"/>
    <w:rsid w:val="49264A0F"/>
    <w:rsid w:val="493A36B0"/>
    <w:rsid w:val="493C2BF3"/>
    <w:rsid w:val="494707C7"/>
    <w:rsid w:val="495E03EC"/>
    <w:rsid w:val="497E0921"/>
    <w:rsid w:val="498C7C37"/>
    <w:rsid w:val="4A3B0ADD"/>
    <w:rsid w:val="4A3F5E22"/>
    <w:rsid w:val="4A4A12EF"/>
    <w:rsid w:val="4A542F03"/>
    <w:rsid w:val="4A6A5635"/>
    <w:rsid w:val="4A7224B3"/>
    <w:rsid w:val="4A722DBC"/>
    <w:rsid w:val="4A8449B6"/>
    <w:rsid w:val="4AA155CF"/>
    <w:rsid w:val="4AC431B7"/>
    <w:rsid w:val="4AC75B3B"/>
    <w:rsid w:val="4ACF1232"/>
    <w:rsid w:val="4AE11B0D"/>
    <w:rsid w:val="4B32706E"/>
    <w:rsid w:val="4B434D8A"/>
    <w:rsid w:val="4B746E6A"/>
    <w:rsid w:val="4B96350F"/>
    <w:rsid w:val="4B963A09"/>
    <w:rsid w:val="4C190454"/>
    <w:rsid w:val="4C1922D7"/>
    <w:rsid w:val="4C1F59F2"/>
    <w:rsid w:val="4C204934"/>
    <w:rsid w:val="4C31118F"/>
    <w:rsid w:val="4C4E2CBD"/>
    <w:rsid w:val="4C5A1917"/>
    <w:rsid w:val="4C626ABB"/>
    <w:rsid w:val="4C812213"/>
    <w:rsid w:val="4C9F13C1"/>
    <w:rsid w:val="4CB12D62"/>
    <w:rsid w:val="4CC01CF8"/>
    <w:rsid w:val="4CC22C7C"/>
    <w:rsid w:val="4CC82987"/>
    <w:rsid w:val="4CCE2DC3"/>
    <w:rsid w:val="4CEC7977"/>
    <w:rsid w:val="4CF40329"/>
    <w:rsid w:val="4D0C2FE6"/>
    <w:rsid w:val="4D19148D"/>
    <w:rsid w:val="4D1C4610"/>
    <w:rsid w:val="4D252D21"/>
    <w:rsid w:val="4D42484F"/>
    <w:rsid w:val="4D773A25"/>
    <w:rsid w:val="4D836E49"/>
    <w:rsid w:val="4D9C1893"/>
    <w:rsid w:val="4DA25B6E"/>
    <w:rsid w:val="4DB07082"/>
    <w:rsid w:val="4DD90246"/>
    <w:rsid w:val="4DF26BF1"/>
    <w:rsid w:val="4E1835AE"/>
    <w:rsid w:val="4E19102F"/>
    <w:rsid w:val="4E545991"/>
    <w:rsid w:val="4E703C3C"/>
    <w:rsid w:val="4EB04A26"/>
    <w:rsid w:val="4EC3779A"/>
    <w:rsid w:val="4EC436C7"/>
    <w:rsid w:val="4ED70169"/>
    <w:rsid w:val="4ED901C0"/>
    <w:rsid w:val="4EDE7AF4"/>
    <w:rsid w:val="4EE41DF2"/>
    <w:rsid w:val="4EFE2294"/>
    <w:rsid w:val="4F0444B0"/>
    <w:rsid w:val="4F1D2E5C"/>
    <w:rsid w:val="4F1E452A"/>
    <w:rsid w:val="4F2F38E7"/>
    <w:rsid w:val="4F4C4F97"/>
    <w:rsid w:val="4F560A37"/>
    <w:rsid w:val="4F9827A5"/>
    <w:rsid w:val="4F9E0E2B"/>
    <w:rsid w:val="4F9E46AF"/>
    <w:rsid w:val="4FE70901"/>
    <w:rsid w:val="4FF053B2"/>
    <w:rsid w:val="4FF24139"/>
    <w:rsid w:val="4FF86042"/>
    <w:rsid w:val="4FF95CC2"/>
    <w:rsid w:val="500F5C67"/>
    <w:rsid w:val="5012466D"/>
    <w:rsid w:val="501442ED"/>
    <w:rsid w:val="503C7A30"/>
    <w:rsid w:val="504812C4"/>
    <w:rsid w:val="506C277D"/>
    <w:rsid w:val="5078079B"/>
    <w:rsid w:val="507D3D1D"/>
    <w:rsid w:val="50816EA0"/>
    <w:rsid w:val="509B32CD"/>
    <w:rsid w:val="50B25872"/>
    <w:rsid w:val="50B618F8"/>
    <w:rsid w:val="50C05A8B"/>
    <w:rsid w:val="50E449C6"/>
    <w:rsid w:val="50FD6AED"/>
    <w:rsid w:val="5108417B"/>
    <w:rsid w:val="51160A18"/>
    <w:rsid w:val="511C4B20"/>
    <w:rsid w:val="512963B4"/>
    <w:rsid w:val="512A76B9"/>
    <w:rsid w:val="51326CC3"/>
    <w:rsid w:val="513E6359"/>
    <w:rsid w:val="515F5A90"/>
    <w:rsid w:val="51630526"/>
    <w:rsid w:val="516C5BA3"/>
    <w:rsid w:val="517045AA"/>
    <w:rsid w:val="517664B3"/>
    <w:rsid w:val="517E7143"/>
    <w:rsid w:val="51850CCC"/>
    <w:rsid w:val="51CE23C5"/>
    <w:rsid w:val="51DE4BDE"/>
    <w:rsid w:val="51E647F0"/>
    <w:rsid w:val="51E909F0"/>
    <w:rsid w:val="521550D7"/>
    <w:rsid w:val="52190FE2"/>
    <w:rsid w:val="52466B8B"/>
    <w:rsid w:val="524D2C93"/>
    <w:rsid w:val="524D4C50"/>
    <w:rsid w:val="525C54AC"/>
    <w:rsid w:val="52722ED3"/>
    <w:rsid w:val="52765273"/>
    <w:rsid w:val="52AB07CA"/>
    <w:rsid w:val="52BA32C7"/>
    <w:rsid w:val="52D576F4"/>
    <w:rsid w:val="52FE6B4C"/>
    <w:rsid w:val="531F2FEB"/>
    <w:rsid w:val="533B291C"/>
    <w:rsid w:val="536F1AF1"/>
    <w:rsid w:val="538D1507"/>
    <w:rsid w:val="539D474F"/>
    <w:rsid w:val="53E917BB"/>
    <w:rsid w:val="53F66B23"/>
    <w:rsid w:val="540F0375"/>
    <w:rsid w:val="543108C8"/>
    <w:rsid w:val="545220E4"/>
    <w:rsid w:val="54540E6A"/>
    <w:rsid w:val="54570EE0"/>
    <w:rsid w:val="54C855A5"/>
    <w:rsid w:val="54DB67C4"/>
    <w:rsid w:val="54E603D9"/>
    <w:rsid w:val="55000F83"/>
    <w:rsid w:val="550C3CB1"/>
    <w:rsid w:val="551A792E"/>
    <w:rsid w:val="552104C7"/>
    <w:rsid w:val="55390642"/>
    <w:rsid w:val="553A77E5"/>
    <w:rsid w:val="55413F6A"/>
    <w:rsid w:val="55517A88"/>
    <w:rsid w:val="559612BE"/>
    <w:rsid w:val="559F5609"/>
    <w:rsid w:val="55B55BE8"/>
    <w:rsid w:val="55CE28D5"/>
    <w:rsid w:val="55E23AF4"/>
    <w:rsid w:val="55EC6455"/>
    <w:rsid w:val="56062A2F"/>
    <w:rsid w:val="562A2FA0"/>
    <w:rsid w:val="56501BA9"/>
    <w:rsid w:val="566045E6"/>
    <w:rsid w:val="567120DE"/>
    <w:rsid w:val="567D5EF0"/>
    <w:rsid w:val="56AB0FBE"/>
    <w:rsid w:val="56B77B9A"/>
    <w:rsid w:val="56CA1873"/>
    <w:rsid w:val="56D20E7E"/>
    <w:rsid w:val="571A38C4"/>
    <w:rsid w:val="571A57FF"/>
    <w:rsid w:val="572949E5"/>
    <w:rsid w:val="576047D5"/>
    <w:rsid w:val="57622CEB"/>
    <w:rsid w:val="576E23B2"/>
    <w:rsid w:val="57722F85"/>
    <w:rsid w:val="577E6D98"/>
    <w:rsid w:val="57833220"/>
    <w:rsid w:val="57871C26"/>
    <w:rsid w:val="57990C47"/>
    <w:rsid w:val="57A62B2B"/>
    <w:rsid w:val="57C65F30"/>
    <w:rsid w:val="57F325DA"/>
    <w:rsid w:val="57FC2B10"/>
    <w:rsid w:val="58055D78"/>
    <w:rsid w:val="58175C92"/>
    <w:rsid w:val="582B3909"/>
    <w:rsid w:val="58657096"/>
    <w:rsid w:val="587E21BE"/>
    <w:rsid w:val="58851B49"/>
    <w:rsid w:val="58A6596B"/>
    <w:rsid w:val="58B24ED6"/>
    <w:rsid w:val="58BB67A0"/>
    <w:rsid w:val="58C02C27"/>
    <w:rsid w:val="58CD5B48"/>
    <w:rsid w:val="58FC5041"/>
    <w:rsid w:val="591304B3"/>
    <w:rsid w:val="59281352"/>
    <w:rsid w:val="59301FE2"/>
    <w:rsid w:val="594B280B"/>
    <w:rsid w:val="59525A19"/>
    <w:rsid w:val="59564420"/>
    <w:rsid w:val="59632FFE"/>
    <w:rsid w:val="599D4019"/>
    <w:rsid w:val="59B30962"/>
    <w:rsid w:val="59C77C98"/>
    <w:rsid w:val="59DE0E81"/>
    <w:rsid w:val="5A5E0BC1"/>
    <w:rsid w:val="5A647BDD"/>
    <w:rsid w:val="5A7C4951"/>
    <w:rsid w:val="5A7E1904"/>
    <w:rsid w:val="5A7F2D94"/>
    <w:rsid w:val="5A874791"/>
    <w:rsid w:val="5AAF3758"/>
    <w:rsid w:val="5ACD7484"/>
    <w:rsid w:val="5AE7002E"/>
    <w:rsid w:val="5BC94934"/>
    <w:rsid w:val="5BEA43D9"/>
    <w:rsid w:val="5BF32AEA"/>
    <w:rsid w:val="5BFB5978"/>
    <w:rsid w:val="5C0A1B37"/>
    <w:rsid w:val="5C2344D8"/>
    <w:rsid w:val="5C5F565F"/>
    <w:rsid w:val="5C617A1B"/>
    <w:rsid w:val="5C6A7BC1"/>
    <w:rsid w:val="5C732359"/>
    <w:rsid w:val="5C7E485A"/>
    <w:rsid w:val="5C8561D7"/>
    <w:rsid w:val="5C915E6B"/>
    <w:rsid w:val="5CB149B1"/>
    <w:rsid w:val="5CB14C2F"/>
    <w:rsid w:val="5CC62AC2"/>
    <w:rsid w:val="5CDB71E4"/>
    <w:rsid w:val="5CF00EE7"/>
    <w:rsid w:val="5D120EA2"/>
    <w:rsid w:val="5D3665F9"/>
    <w:rsid w:val="5D3F1487"/>
    <w:rsid w:val="5D4F1722"/>
    <w:rsid w:val="5D5339AB"/>
    <w:rsid w:val="5D7C12EC"/>
    <w:rsid w:val="5D826A79"/>
    <w:rsid w:val="5D84417A"/>
    <w:rsid w:val="5DA311AC"/>
    <w:rsid w:val="5DAB1E3B"/>
    <w:rsid w:val="5DAB65B8"/>
    <w:rsid w:val="5DBD6E2E"/>
    <w:rsid w:val="5DD3777C"/>
    <w:rsid w:val="5DD923CF"/>
    <w:rsid w:val="5E007347"/>
    <w:rsid w:val="5E497F75"/>
    <w:rsid w:val="5E823228"/>
    <w:rsid w:val="5EB016E9"/>
    <w:rsid w:val="5EBB7A7A"/>
    <w:rsid w:val="5EBC76FA"/>
    <w:rsid w:val="5EC609A8"/>
    <w:rsid w:val="5ED276B4"/>
    <w:rsid w:val="5EE52114"/>
    <w:rsid w:val="5EF81ADD"/>
    <w:rsid w:val="5EFA4FE0"/>
    <w:rsid w:val="5F0223ED"/>
    <w:rsid w:val="5F0B0AFE"/>
    <w:rsid w:val="5F292A9E"/>
    <w:rsid w:val="5F5A4218"/>
    <w:rsid w:val="5F6D1A9C"/>
    <w:rsid w:val="5F7239A5"/>
    <w:rsid w:val="5F79590E"/>
    <w:rsid w:val="5F8D4FB7"/>
    <w:rsid w:val="5FD903D8"/>
    <w:rsid w:val="5FE22D60"/>
    <w:rsid w:val="604D575A"/>
    <w:rsid w:val="60526922"/>
    <w:rsid w:val="60AD7EAA"/>
    <w:rsid w:val="60AF5A9D"/>
    <w:rsid w:val="60B3076C"/>
    <w:rsid w:val="60CC4EDB"/>
    <w:rsid w:val="60D1526D"/>
    <w:rsid w:val="60D422E8"/>
    <w:rsid w:val="61107F4E"/>
    <w:rsid w:val="611778D9"/>
    <w:rsid w:val="614D49C5"/>
    <w:rsid w:val="61656152"/>
    <w:rsid w:val="61770BF8"/>
    <w:rsid w:val="61907BF0"/>
    <w:rsid w:val="619D5782"/>
    <w:rsid w:val="619D77B2"/>
    <w:rsid w:val="61AB234B"/>
    <w:rsid w:val="61B606DC"/>
    <w:rsid w:val="61D03DA9"/>
    <w:rsid w:val="61D1258B"/>
    <w:rsid w:val="61E01520"/>
    <w:rsid w:val="61ED6638"/>
    <w:rsid w:val="61F12AC0"/>
    <w:rsid w:val="62007857"/>
    <w:rsid w:val="62142C74"/>
    <w:rsid w:val="621625BE"/>
    <w:rsid w:val="62221901"/>
    <w:rsid w:val="62487C4B"/>
    <w:rsid w:val="62542147"/>
    <w:rsid w:val="62703611"/>
    <w:rsid w:val="6279041A"/>
    <w:rsid w:val="627A5E9C"/>
    <w:rsid w:val="62960B4F"/>
    <w:rsid w:val="62AA7CF0"/>
    <w:rsid w:val="62D853C1"/>
    <w:rsid w:val="62E62FCC"/>
    <w:rsid w:val="63246334"/>
    <w:rsid w:val="635A680F"/>
    <w:rsid w:val="63755831"/>
    <w:rsid w:val="63806A4E"/>
    <w:rsid w:val="639D4CF9"/>
    <w:rsid w:val="63E46773"/>
    <w:rsid w:val="640843A9"/>
    <w:rsid w:val="642D3F0B"/>
    <w:rsid w:val="642F7AEC"/>
    <w:rsid w:val="643C1380"/>
    <w:rsid w:val="646E75D0"/>
    <w:rsid w:val="64952D13"/>
    <w:rsid w:val="64AE5E3B"/>
    <w:rsid w:val="64BA54D1"/>
    <w:rsid w:val="64C45DE1"/>
    <w:rsid w:val="64CD66F0"/>
    <w:rsid w:val="64D811FE"/>
    <w:rsid w:val="64F94FB6"/>
    <w:rsid w:val="654F0B24"/>
    <w:rsid w:val="656A1DF2"/>
    <w:rsid w:val="656C52F5"/>
    <w:rsid w:val="65950765"/>
    <w:rsid w:val="659C2241"/>
    <w:rsid w:val="65B31E66"/>
    <w:rsid w:val="65B56D12"/>
    <w:rsid w:val="65C24246"/>
    <w:rsid w:val="65D76BA2"/>
    <w:rsid w:val="65FB005C"/>
    <w:rsid w:val="65FB63B1"/>
    <w:rsid w:val="664571D6"/>
    <w:rsid w:val="665242EE"/>
    <w:rsid w:val="66533F6E"/>
    <w:rsid w:val="665B6338"/>
    <w:rsid w:val="665E1442"/>
    <w:rsid w:val="66696111"/>
    <w:rsid w:val="667D7330"/>
    <w:rsid w:val="667F2833"/>
    <w:rsid w:val="6687372F"/>
    <w:rsid w:val="66B40B0F"/>
    <w:rsid w:val="66BA1819"/>
    <w:rsid w:val="66D07A5D"/>
    <w:rsid w:val="66D87F7E"/>
    <w:rsid w:val="66DE4873"/>
    <w:rsid w:val="66ED66EB"/>
    <w:rsid w:val="67261D48"/>
    <w:rsid w:val="673100D9"/>
    <w:rsid w:val="674572F5"/>
    <w:rsid w:val="67547394"/>
    <w:rsid w:val="676B283C"/>
    <w:rsid w:val="67A04E78"/>
    <w:rsid w:val="67A21691"/>
    <w:rsid w:val="67A55E99"/>
    <w:rsid w:val="67D516F5"/>
    <w:rsid w:val="67D80844"/>
    <w:rsid w:val="68077114"/>
    <w:rsid w:val="681F3F15"/>
    <w:rsid w:val="684F16FD"/>
    <w:rsid w:val="685B0BE7"/>
    <w:rsid w:val="685E5C6B"/>
    <w:rsid w:val="68AF3DCD"/>
    <w:rsid w:val="68BA7FE1"/>
    <w:rsid w:val="68FD3ECC"/>
    <w:rsid w:val="690833DF"/>
    <w:rsid w:val="69110044"/>
    <w:rsid w:val="6924760F"/>
    <w:rsid w:val="692D6C1A"/>
    <w:rsid w:val="69394E1A"/>
    <w:rsid w:val="693C1432"/>
    <w:rsid w:val="69587D8B"/>
    <w:rsid w:val="696B7D83"/>
    <w:rsid w:val="69725190"/>
    <w:rsid w:val="69726A30"/>
    <w:rsid w:val="69891532"/>
    <w:rsid w:val="69B610FC"/>
    <w:rsid w:val="6A12254A"/>
    <w:rsid w:val="6A1A14DF"/>
    <w:rsid w:val="6A2664C8"/>
    <w:rsid w:val="6A333F49"/>
    <w:rsid w:val="6A586707"/>
    <w:rsid w:val="6AA33303"/>
    <w:rsid w:val="6ABA2F28"/>
    <w:rsid w:val="6AEA1A38"/>
    <w:rsid w:val="6AEC1C54"/>
    <w:rsid w:val="6B205734"/>
    <w:rsid w:val="6B601138"/>
    <w:rsid w:val="6B8270EE"/>
    <w:rsid w:val="6B8538F6"/>
    <w:rsid w:val="6B877C81"/>
    <w:rsid w:val="6B8B57FF"/>
    <w:rsid w:val="6BA0061E"/>
    <w:rsid w:val="6BDC4305"/>
    <w:rsid w:val="6BDF7488"/>
    <w:rsid w:val="6BF419AB"/>
    <w:rsid w:val="6BF670AD"/>
    <w:rsid w:val="6C050FB1"/>
    <w:rsid w:val="6C302F5A"/>
    <w:rsid w:val="6C303E6B"/>
    <w:rsid w:val="6C371207"/>
    <w:rsid w:val="6C88441D"/>
    <w:rsid w:val="6CA82754"/>
    <w:rsid w:val="6D0E20F8"/>
    <w:rsid w:val="6D170809"/>
    <w:rsid w:val="6D3C4D14"/>
    <w:rsid w:val="6D4B1F5D"/>
    <w:rsid w:val="6D7917A7"/>
    <w:rsid w:val="6D8952C5"/>
    <w:rsid w:val="6DBE449A"/>
    <w:rsid w:val="6E016208"/>
    <w:rsid w:val="6E1F083E"/>
    <w:rsid w:val="6E34430C"/>
    <w:rsid w:val="6E675BAD"/>
    <w:rsid w:val="6EDC1FE0"/>
    <w:rsid w:val="6EFB592F"/>
    <w:rsid w:val="6F000329"/>
    <w:rsid w:val="6F131548"/>
    <w:rsid w:val="6F1D1E58"/>
    <w:rsid w:val="6F3B6D06"/>
    <w:rsid w:val="6F4319DE"/>
    <w:rsid w:val="6F5F0D3C"/>
    <w:rsid w:val="6F6822D7"/>
    <w:rsid w:val="6F792572"/>
    <w:rsid w:val="6FC87D72"/>
    <w:rsid w:val="6FC935F6"/>
    <w:rsid w:val="6FCE54FF"/>
    <w:rsid w:val="6FE0321B"/>
    <w:rsid w:val="6FEA3942"/>
    <w:rsid w:val="6FF82AC0"/>
    <w:rsid w:val="70077857"/>
    <w:rsid w:val="70095F02"/>
    <w:rsid w:val="70B0226E"/>
    <w:rsid w:val="70B2624B"/>
    <w:rsid w:val="70C62A65"/>
    <w:rsid w:val="70E67D8E"/>
    <w:rsid w:val="71016B75"/>
    <w:rsid w:val="71072C7D"/>
    <w:rsid w:val="710E2608"/>
    <w:rsid w:val="713524C7"/>
    <w:rsid w:val="71386CCF"/>
    <w:rsid w:val="71411B5D"/>
    <w:rsid w:val="715C343B"/>
    <w:rsid w:val="717C1858"/>
    <w:rsid w:val="718A5018"/>
    <w:rsid w:val="718B5455"/>
    <w:rsid w:val="7198476A"/>
    <w:rsid w:val="719A5A6F"/>
    <w:rsid w:val="719C3171"/>
    <w:rsid w:val="71B7463E"/>
    <w:rsid w:val="72031C1B"/>
    <w:rsid w:val="721C4D44"/>
    <w:rsid w:val="722A0C5E"/>
    <w:rsid w:val="7237336F"/>
    <w:rsid w:val="72671940"/>
    <w:rsid w:val="728743F3"/>
    <w:rsid w:val="72AC3695"/>
    <w:rsid w:val="72D16F0C"/>
    <w:rsid w:val="72ED6E1D"/>
    <w:rsid w:val="72FD3671"/>
    <w:rsid w:val="730168D6"/>
    <w:rsid w:val="73214147"/>
    <w:rsid w:val="732C4B81"/>
    <w:rsid w:val="734967EC"/>
    <w:rsid w:val="735238B8"/>
    <w:rsid w:val="73866514"/>
    <w:rsid w:val="7387590E"/>
    <w:rsid w:val="73974BA2"/>
    <w:rsid w:val="73A81F4C"/>
    <w:rsid w:val="73C019B4"/>
    <w:rsid w:val="73C86084"/>
    <w:rsid w:val="73E73BB3"/>
    <w:rsid w:val="740C41EF"/>
    <w:rsid w:val="740D1C70"/>
    <w:rsid w:val="740D76F2"/>
    <w:rsid w:val="743957DE"/>
    <w:rsid w:val="74822F34"/>
    <w:rsid w:val="749C18DF"/>
    <w:rsid w:val="74BF7515"/>
    <w:rsid w:val="74C8762A"/>
    <w:rsid w:val="74D516B9"/>
    <w:rsid w:val="74E8615B"/>
    <w:rsid w:val="74F27AE5"/>
    <w:rsid w:val="75003802"/>
    <w:rsid w:val="753C2362"/>
    <w:rsid w:val="754E0E15"/>
    <w:rsid w:val="756844AB"/>
    <w:rsid w:val="756C4D79"/>
    <w:rsid w:val="75707935"/>
    <w:rsid w:val="75895CE5"/>
    <w:rsid w:val="75A426F4"/>
    <w:rsid w:val="75C96ACE"/>
    <w:rsid w:val="75D15764"/>
    <w:rsid w:val="75D77FE2"/>
    <w:rsid w:val="75DE31F0"/>
    <w:rsid w:val="75EB6C83"/>
    <w:rsid w:val="76203C5A"/>
    <w:rsid w:val="764F753B"/>
    <w:rsid w:val="76637BC6"/>
    <w:rsid w:val="767D3FF3"/>
    <w:rsid w:val="76B344CD"/>
    <w:rsid w:val="76BB697E"/>
    <w:rsid w:val="76C46966"/>
    <w:rsid w:val="76E6342A"/>
    <w:rsid w:val="76EA1012"/>
    <w:rsid w:val="76FC5BC6"/>
    <w:rsid w:val="771801CC"/>
    <w:rsid w:val="771F15FE"/>
    <w:rsid w:val="77230004"/>
    <w:rsid w:val="774C33C7"/>
    <w:rsid w:val="775D6EE5"/>
    <w:rsid w:val="77850FA2"/>
    <w:rsid w:val="778F5135"/>
    <w:rsid w:val="77935205"/>
    <w:rsid w:val="779F1B4C"/>
    <w:rsid w:val="77AC46E5"/>
    <w:rsid w:val="77B27390"/>
    <w:rsid w:val="77DA1086"/>
    <w:rsid w:val="78361F07"/>
    <w:rsid w:val="783A77CC"/>
    <w:rsid w:val="784C2F6A"/>
    <w:rsid w:val="787231A9"/>
    <w:rsid w:val="78795E14"/>
    <w:rsid w:val="788354A1"/>
    <w:rsid w:val="788A0850"/>
    <w:rsid w:val="789939B6"/>
    <w:rsid w:val="78C101A2"/>
    <w:rsid w:val="78C806DE"/>
    <w:rsid w:val="78DB3308"/>
    <w:rsid w:val="78E0065C"/>
    <w:rsid w:val="78E916F5"/>
    <w:rsid w:val="78FF6291"/>
    <w:rsid w:val="790A4622"/>
    <w:rsid w:val="793E15F9"/>
    <w:rsid w:val="79676F3A"/>
    <w:rsid w:val="797030CC"/>
    <w:rsid w:val="79924194"/>
    <w:rsid w:val="799E4E95"/>
    <w:rsid w:val="79C31852"/>
    <w:rsid w:val="7A011336"/>
    <w:rsid w:val="7A124E54"/>
    <w:rsid w:val="7A284DF9"/>
    <w:rsid w:val="7A2C76EB"/>
    <w:rsid w:val="7A30316D"/>
    <w:rsid w:val="7A417F22"/>
    <w:rsid w:val="7A430EA6"/>
    <w:rsid w:val="7A48123C"/>
    <w:rsid w:val="7A527E3C"/>
    <w:rsid w:val="7A6300D6"/>
    <w:rsid w:val="7A851910"/>
    <w:rsid w:val="7AB968E7"/>
    <w:rsid w:val="7ABB6566"/>
    <w:rsid w:val="7AF763CB"/>
    <w:rsid w:val="7B5909EE"/>
    <w:rsid w:val="7B646D7F"/>
    <w:rsid w:val="7B676A54"/>
    <w:rsid w:val="7B6B1DB3"/>
    <w:rsid w:val="7B8149EA"/>
    <w:rsid w:val="7BFF6BFE"/>
    <w:rsid w:val="7C287DC2"/>
    <w:rsid w:val="7C4D6CFD"/>
    <w:rsid w:val="7C544109"/>
    <w:rsid w:val="7C582B10"/>
    <w:rsid w:val="7C5E6C17"/>
    <w:rsid w:val="7C60211A"/>
    <w:rsid w:val="7C662EE9"/>
    <w:rsid w:val="7C8F0C60"/>
    <w:rsid w:val="7CAF571D"/>
    <w:rsid w:val="7D077714"/>
    <w:rsid w:val="7D1D3B52"/>
    <w:rsid w:val="7D707253"/>
    <w:rsid w:val="7D99311C"/>
    <w:rsid w:val="7DA44D30"/>
    <w:rsid w:val="7DAA3C87"/>
    <w:rsid w:val="7DAE1029"/>
    <w:rsid w:val="7DF228B1"/>
    <w:rsid w:val="7DFC793D"/>
    <w:rsid w:val="7DFE2E40"/>
    <w:rsid w:val="7E01184C"/>
    <w:rsid w:val="7E11407B"/>
    <w:rsid w:val="7E244E09"/>
    <w:rsid w:val="7E3F4F2E"/>
    <w:rsid w:val="7E5B6A5D"/>
    <w:rsid w:val="7E5C0C5B"/>
    <w:rsid w:val="7E84439E"/>
    <w:rsid w:val="7E9136B4"/>
    <w:rsid w:val="7E93243A"/>
    <w:rsid w:val="7E970E40"/>
    <w:rsid w:val="7EA82F2C"/>
    <w:rsid w:val="7ED421CF"/>
    <w:rsid w:val="7EEF18BB"/>
    <w:rsid w:val="7EFE38AC"/>
    <w:rsid w:val="7F080287"/>
    <w:rsid w:val="7F190115"/>
    <w:rsid w:val="7F194892"/>
    <w:rsid w:val="7F4853E1"/>
    <w:rsid w:val="7F525CF0"/>
    <w:rsid w:val="7F742637"/>
    <w:rsid w:val="7F975160"/>
    <w:rsid w:val="7FAB531A"/>
    <w:rsid w:val="7FB73496"/>
    <w:rsid w:val="7FC65CAF"/>
    <w:rsid w:val="7FD06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6" w:lineRule="auto"/>
      <w:jc w:val="center"/>
      <w:outlineLvl w:val="1"/>
    </w:pPr>
    <w:rPr>
      <w:rFonts w:ascii="Arial" w:hAnsi="Arial" w:eastAsia="黑体"/>
      <w:b/>
      <w:bCs/>
      <w:sz w:val="52"/>
      <w:szCs w:val="32"/>
    </w:rPr>
  </w:style>
  <w:style w:type="paragraph" w:styleId="3">
    <w:name w:val="heading 3"/>
    <w:basedOn w:val="1"/>
    <w:next w:val="1"/>
    <w:autoRedefine/>
    <w:qFormat/>
    <w:uiPriority w:val="0"/>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1"/>
    <w:autoRedefine/>
    <w:qFormat/>
    <w:uiPriority w:val="0"/>
    <w:pPr>
      <w:ind w:firstLine="420" w:firstLineChars="200"/>
    </w:pPr>
  </w:style>
  <w:style w:type="paragraph" w:styleId="6">
    <w:name w:val="index 5"/>
    <w:basedOn w:val="1"/>
    <w:next w:val="1"/>
    <w:autoRedefine/>
    <w:qFormat/>
    <w:uiPriority w:val="0"/>
    <w:pPr>
      <w:ind w:left="800" w:leftChars="800"/>
    </w:pPr>
  </w:style>
  <w:style w:type="paragraph" w:styleId="7">
    <w:name w:val="Body Text"/>
    <w:basedOn w:val="1"/>
    <w:autoRedefine/>
    <w:semiHidden/>
    <w:qFormat/>
    <w:uiPriority w:val="0"/>
    <w:pPr>
      <w:autoSpaceDE w:val="0"/>
      <w:autoSpaceDN w:val="0"/>
      <w:adjustRightInd w:val="0"/>
      <w:spacing w:before="40" w:beforeLines="0" w:after="40" w:afterLines="0" w:line="320" w:lineRule="atLeast"/>
      <w:ind w:firstLine="357"/>
      <w:textAlignment w:val="baseline"/>
    </w:pPr>
    <w:rPr>
      <w:sz w:val="18"/>
    </w:rPr>
  </w:style>
  <w:style w:type="paragraph" w:styleId="8">
    <w:name w:val="Body Text Indent"/>
    <w:basedOn w:val="1"/>
    <w:next w:val="4"/>
    <w:autoRedefine/>
    <w:qFormat/>
    <w:uiPriority w:val="0"/>
    <w:pPr>
      <w:spacing w:after="120"/>
      <w:ind w:left="420" w:leftChars="200"/>
    </w:pPr>
    <w:rPr>
      <w:rFonts w:ascii="Times New Roman" w:hAnsi="Times New Roman" w:eastAsia="Times New Roman"/>
      <w:kern w:val="0"/>
      <w:sz w:val="20"/>
      <w:szCs w:val="21"/>
    </w:rPr>
  </w:style>
  <w:style w:type="paragraph" w:styleId="9">
    <w:name w:val="Plain Text"/>
    <w:basedOn w:val="1"/>
    <w:next w:val="1"/>
    <w:autoRedefine/>
    <w:qFormat/>
    <w:uiPriority w:val="0"/>
    <w:rPr>
      <w:rFonts w:ascii="宋体" w:hAnsi="Courier New" w:eastAsia="宋体" w:cs="Times New Roman"/>
      <w:szCs w:val="22"/>
    </w:rPr>
  </w:style>
  <w:style w:type="paragraph" w:styleId="10">
    <w:name w:val="Body Text Indent 2"/>
    <w:basedOn w:val="1"/>
    <w:autoRedefine/>
    <w:qFormat/>
    <w:uiPriority w:val="0"/>
    <w:pPr>
      <w:widowControl/>
      <w:overflowPunct w:val="0"/>
      <w:autoSpaceDE w:val="0"/>
      <w:autoSpaceDN w:val="0"/>
      <w:adjustRightInd w:val="0"/>
      <w:spacing w:line="360" w:lineRule="auto"/>
      <w:ind w:firstLine="555"/>
      <w:textAlignment w:val="baseline"/>
    </w:pPr>
    <w:rPr>
      <w:rFonts w:ascii="宋体" w:hAnsi="MS Sans Serif"/>
      <w:spacing w:val="12"/>
      <w:sz w:val="24"/>
      <w:szCs w:val="20"/>
    </w:rPr>
  </w:style>
  <w:style w:type="paragraph" w:styleId="11">
    <w:name w:val="footer"/>
    <w:basedOn w:val="1"/>
    <w:autoRedefine/>
    <w:unhideWhenUsed/>
    <w:qFormat/>
    <w:uiPriority w:val="99"/>
    <w:pPr>
      <w:tabs>
        <w:tab w:val="center" w:pos="4153"/>
        <w:tab w:val="right" w:pos="8306"/>
      </w:tabs>
      <w:snapToGrid w:val="0"/>
      <w:jc w:val="left"/>
    </w:pPr>
    <w:rPr>
      <w:sz w:val="18"/>
      <w:szCs w:val="18"/>
    </w:rPr>
  </w:style>
  <w:style w:type="paragraph" w:styleId="12">
    <w:name w:val="header"/>
    <w:basedOn w:val="1"/>
    <w:next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next w:val="6"/>
    <w:autoRedefine/>
    <w:qFormat/>
    <w:uiPriority w:val="0"/>
    <w:pPr>
      <w:snapToGrid w:val="0"/>
      <w:jc w:val="left"/>
    </w:pPr>
    <w:rPr>
      <w:sz w:val="18"/>
    </w:rPr>
  </w:style>
  <w:style w:type="paragraph" w:styleId="14">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5">
    <w:name w:val="Body Text First Indent"/>
    <w:basedOn w:val="7"/>
    <w:autoRedefine/>
    <w:qFormat/>
    <w:uiPriority w:val="99"/>
    <w:pPr>
      <w:ind w:firstLine="420" w:firstLineChars="100"/>
    </w:pPr>
    <w:rPr>
      <w:rFonts w:eastAsia="仿宋_GB2312"/>
      <w:sz w:val="28"/>
      <w:szCs w:val="20"/>
    </w:rPr>
  </w:style>
  <w:style w:type="paragraph" w:styleId="16">
    <w:name w:val="Body Text First Indent 2"/>
    <w:basedOn w:val="8"/>
    <w:autoRedefine/>
    <w:qFormat/>
    <w:uiPriority w:val="0"/>
    <w:pPr>
      <w:ind w:firstLine="420" w:firstLineChars="200"/>
    </w:pPr>
    <w:rPr>
      <w:rFonts w:ascii="Times New Roman" w:hAnsi="Times New Roman" w:eastAsia="宋?"/>
      <w:szCs w:val="20"/>
    </w:rPr>
  </w:style>
  <w:style w:type="table" w:styleId="18">
    <w:name w:val="Table Grid"/>
    <w:basedOn w:val="1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autoRedefine/>
    <w:qFormat/>
    <w:uiPriority w:val="0"/>
    <w:rPr>
      <w:color w:val="0000FF"/>
      <w:u w:val="single"/>
    </w:rPr>
  </w:style>
  <w:style w:type="paragraph" w:customStyle="1" w:styleId="21">
    <w:name w:val="NormalIndent"/>
    <w:basedOn w:val="1"/>
    <w:next w:val="1"/>
    <w:autoRedefine/>
    <w:qFormat/>
    <w:uiPriority w:val="0"/>
    <w:pPr>
      <w:ind w:firstLine="420" w:firstLineChars="200"/>
    </w:pPr>
    <w:rPr>
      <w:sz w:val="24"/>
      <w:szCs w:val="20"/>
    </w:rPr>
  </w:style>
  <w:style w:type="character" w:customStyle="1" w:styleId="22">
    <w:name w:val="样式 仿宋"/>
    <w:autoRedefine/>
    <w:qFormat/>
    <w:uiPriority w:val="0"/>
    <w:rPr>
      <w:rFonts w:ascii="仿宋" w:hAnsi="仿宋" w:eastAsia="仿宋"/>
      <w:kern w:val="1"/>
    </w:rPr>
  </w:style>
  <w:style w:type="table" w:customStyle="1" w:styleId="23">
    <w:name w:val="Table Normal"/>
    <w:autoRedefine/>
    <w:unhideWhenUsed/>
    <w:qFormat/>
    <w:uiPriority w:val="0"/>
    <w:tblPr>
      <w:tblCellMar>
        <w:top w:w="0" w:type="dxa"/>
        <w:left w:w="0" w:type="dxa"/>
        <w:bottom w:w="0" w:type="dxa"/>
        <w:right w:w="0" w:type="dxa"/>
      </w:tblCellMar>
    </w:tblPr>
  </w:style>
  <w:style w:type="paragraph" w:customStyle="1" w:styleId="24">
    <w:name w:val="样式 仿宋 行距: 1.5 倍行距"/>
    <w:basedOn w:val="1"/>
    <w:autoRedefine/>
    <w:qFormat/>
    <w:uiPriority w:val="0"/>
    <w:pPr>
      <w:spacing w:line="360" w:lineRule="auto"/>
    </w:pPr>
    <w:rPr>
      <w:rFonts w:ascii="仿宋" w:hAnsi="仿宋" w:eastAsia="仿宋" w:cs="宋体"/>
      <w:sz w:val="24"/>
      <w:szCs w:val="20"/>
    </w:rPr>
  </w:style>
  <w:style w:type="paragraph" w:customStyle="1" w:styleId="25">
    <w:name w:val="样式 宋体 四号 居中 行距: 1.5 倍行距"/>
    <w:basedOn w:val="1"/>
    <w:autoRedefine/>
    <w:qFormat/>
    <w:uiPriority w:val="0"/>
    <w:pPr>
      <w:spacing w:line="360" w:lineRule="auto"/>
      <w:jc w:val="center"/>
    </w:pPr>
    <w:rPr>
      <w:rFonts w:ascii="宋体" w:hAnsi="Cambria" w:cs="宋体"/>
      <w:sz w:val="28"/>
      <w:szCs w:val="20"/>
    </w:rPr>
  </w:style>
  <w:style w:type="paragraph" w:customStyle="1" w:styleId="26">
    <w:name w:val="UserStyle_0"/>
    <w:basedOn w:val="1"/>
    <w:autoRedefine/>
    <w:qFormat/>
    <w:uiPriority w:val="0"/>
    <w:pPr>
      <w:widowControl/>
      <w:spacing w:before="100" w:beforeAutospacing="1" w:after="100" w:afterAutospacing="1"/>
      <w:jc w:val="left"/>
      <w:textAlignment w:val="baseline"/>
    </w:pPr>
    <w:rPr>
      <w:rFonts w:ascii="宋体" w:hAnsi="Calibri" w:eastAsia="宋体"/>
      <w:kern w:val="0"/>
      <w:sz w:val="24"/>
      <w:szCs w:val="24"/>
      <w:lang w:val="en-US" w:eastAsia="zh-CN" w:bidi="ar-SA"/>
    </w:rPr>
  </w:style>
  <w:style w:type="character" w:customStyle="1" w:styleId="27">
    <w:name w:val="NormalCharacter"/>
    <w:autoRedefine/>
    <w:qFormat/>
    <w:uiPriority w:val="0"/>
    <w:rPr>
      <w:rFonts w:ascii="Times New Roman" w:hAnsi="Times New Roman" w:eastAsia="宋体" w:cs="Times New Roman"/>
      <w:kern w:val="2"/>
      <w:sz w:val="21"/>
      <w:szCs w:val="24"/>
      <w:lang w:val="en-US" w:eastAsia="zh-CN" w:bidi="ar-SA"/>
    </w:rPr>
  </w:style>
  <w:style w:type="paragraph" w:customStyle="1" w:styleId="28">
    <w:name w:val="Normal_10"/>
    <w:autoRedefine/>
    <w:qFormat/>
    <w:uiPriority w:val="0"/>
    <w:rPr>
      <w:rFonts w:ascii="黑体" w:hAnsi="黑体" w:eastAsia="黑体" w:cs="Times New Roman"/>
      <w:b/>
      <w:sz w:val="32"/>
      <w:szCs w:val="24"/>
      <w:lang w:val="en-US" w:eastAsia="zh-CN" w:bidi="ar-SA"/>
    </w:rPr>
  </w:style>
  <w:style w:type="paragraph" w:customStyle="1" w:styleId="29">
    <w:name w:val="样式 标题 2 + Times New Roman 四号 非加粗 段前: 5 磅 段后: 0 磅 行距: 固定值 20..."/>
    <w:basedOn w:val="2"/>
    <w:autoRedefine/>
    <w:qFormat/>
    <w:uiPriority w:val="0"/>
    <w:pPr>
      <w:spacing w:before="100" w:after="0" w:line="400" w:lineRule="exact"/>
    </w:pPr>
    <w:rPr>
      <w:rFonts w:ascii="Times New Roman" w:hAnsi="Times New Roman" w:cs="宋体"/>
      <w:b w:val="0"/>
      <w:sz w:val="28"/>
      <w:szCs w:val="20"/>
    </w:rPr>
  </w:style>
  <w:style w:type="paragraph" w:customStyle="1" w:styleId="3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_Style 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WPSOffice手动目录 1"/>
    <w:autoRedefine/>
    <w:qFormat/>
    <w:uiPriority w:val="0"/>
    <w:pPr>
      <w:ind w:leftChars="0"/>
    </w:pPr>
    <w:rPr>
      <w:rFonts w:ascii="Times New Roman" w:hAnsi="Times New Roman" w:eastAsia="宋体" w:cs="Times New Roman"/>
      <w:sz w:val="20"/>
      <w:szCs w:val="20"/>
    </w:rPr>
  </w:style>
  <w:style w:type="paragraph" w:customStyle="1" w:styleId="33">
    <w:name w:val="正文_0"/>
    <w:unhideWhenUsed/>
    <w:qFormat/>
    <w:uiPriority w:val="0"/>
    <w:pPr>
      <w:widowControl w:val="0"/>
      <w:jc w:val="both"/>
    </w:pPr>
    <w:rPr>
      <w:rFonts w:ascii="Calibri" w:hAnsi="Calibri" w:eastAsia="宋体" w:cs="Times New Roman"/>
      <w:kern w:val="2"/>
      <w:sz w:val="21"/>
      <w:szCs w:val="24"/>
      <w:lang w:eastAsia="en-US"/>
    </w:rPr>
  </w:style>
  <w:style w:type="paragraph" w:customStyle="1" w:styleId="34">
    <w:name w:val="表格文字2"/>
    <w:basedOn w:val="35"/>
    <w:qFormat/>
    <w:uiPriority w:val="99"/>
    <w:pPr>
      <w:widowControl/>
      <w:spacing w:before="25" w:after="25" w:line="240" w:lineRule="auto"/>
      <w:ind w:firstLine="0"/>
      <w:jc w:val="left"/>
    </w:pPr>
    <w:rPr>
      <w:rFonts w:ascii="Times New Roman" w:hAnsi="Times New Roman"/>
      <w:bCs/>
      <w:spacing w:val="10"/>
      <w:kern w:val="0"/>
      <w:sz w:val="21"/>
      <w:szCs w:val="21"/>
    </w:rPr>
  </w:style>
  <w:style w:type="paragraph" w:customStyle="1" w:styleId="35">
    <w:name w:val="正文1"/>
    <w:basedOn w:val="1"/>
    <w:qFormat/>
    <w:uiPriority w:val="0"/>
    <w:pPr>
      <w:spacing w:before="156" w:beforeLines="50" w:line="360" w:lineRule="auto"/>
      <w:ind w:firstLine="420" w:firstLineChars="200"/>
    </w:pPr>
    <w:rPr>
      <w:rFonts w:ascii="宋体" w:hAnsi="宋体"/>
      <w:iCs/>
      <w:szCs w:val="21"/>
    </w:rPr>
  </w:style>
  <w:style w:type="paragraph" w:customStyle="1" w:styleId="36">
    <w:name w:val="其他"/>
    <w:basedOn w:val="1"/>
    <w:qFormat/>
    <w:uiPriority w:val="0"/>
    <w:pPr>
      <w:widowControl w:val="0"/>
      <w:shd w:val="clear" w:color="auto" w:fill="FFFFFF"/>
    </w:pPr>
    <w:rPr>
      <w:rFonts w:ascii="新宋体" w:hAnsi="新宋体" w:eastAsia="新宋体" w:cs="新宋体"/>
      <w:sz w:val="30"/>
      <w:szCs w:val="30"/>
      <w:u w:val="none"/>
      <w:lang w:val="zh-CN" w:eastAsia="zh-CN" w:bidi="zh-CN"/>
    </w:rPr>
  </w:style>
  <w:style w:type="character" w:customStyle="1" w:styleId="37">
    <w:name w:val="font31"/>
    <w:basedOn w:val="19"/>
    <w:uiPriority w:val="0"/>
    <w:rPr>
      <w:rFonts w:hint="eastAsia" w:ascii="宋体" w:hAnsi="宋体" w:eastAsia="宋体" w:cs="宋体"/>
      <w:b/>
      <w:bCs/>
      <w:color w:val="000000"/>
      <w:sz w:val="20"/>
      <w:szCs w:val="20"/>
      <w:u w:val="none"/>
    </w:rPr>
  </w:style>
  <w:style w:type="character" w:customStyle="1" w:styleId="38">
    <w:name w:val="font51"/>
    <w:basedOn w:val="19"/>
    <w:uiPriority w:val="0"/>
    <w:rPr>
      <w:rFonts w:hint="default" w:ascii="Times New Roman" w:hAnsi="Times New Roman" w:cs="Times New Roman"/>
      <w:b/>
      <w:bCs/>
      <w:color w:val="000000"/>
      <w:sz w:val="20"/>
      <w:szCs w:val="20"/>
      <w:u w:val="none"/>
    </w:rPr>
  </w:style>
  <w:style w:type="character" w:customStyle="1" w:styleId="39">
    <w:name w:val="font71"/>
    <w:basedOn w:val="19"/>
    <w:qFormat/>
    <w:uiPriority w:val="0"/>
    <w:rPr>
      <w:rFonts w:hint="eastAsia" w:ascii="宋体" w:hAnsi="宋体" w:eastAsia="宋体" w:cs="宋体"/>
      <w:color w:val="000000"/>
      <w:sz w:val="20"/>
      <w:szCs w:val="20"/>
      <w:u w:val="none"/>
    </w:rPr>
  </w:style>
  <w:style w:type="character" w:customStyle="1" w:styleId="40">
    <w:name w:val="font61"/>
    <w:basedOn w:val="19"/>
    <w:qFormat/>
    <w:uiPriority w:val="0"/>
    <w:rPr>
      <w:rFonts w:hint="default" w:ascii="Times New Roman" w:hAnsi="Times New Roman" w:cs="Times New Roman"/>
      <w:color w:val="000000"/>
      <w:sz w:val="20"/>
      <w:szCs w:val="20"/>
      <w:u w:val="none"/>
    </w:rPr>
  </w:style>
  <w:style w:type="character" w:customStyle="1" w:styleId="41">
    <w:name w:val="font81"/>
    <w:basedOn w:val="19"/>
    <w:qFormat/>
    <w:uiPriority w:val="0"/>
    <w:rPr>
      <w:rFonts w:hint="eastAsia" w:ascii="微软雅黑" w:hAnsi="微软雅黑" w:eastAsia="微软雅黑" w:cs="微软雅黑"/>
      <w:color w:val="000000"/>
      <w:sz w:val="20"/>
      <w:szCs w:val="20"/>
      <w:u w:val="none"/>
    </w:rPr>
  </w:style>
  <w:style w:type="character" w:customStyle="1" w:styleId="42">
    <w:name w:val="font111"/>
    <w:basedOn w:val="19"/>
    <w:qFormat/>
    <w:uiPriority w:val="0"/>
    <w:rPr>
      <w:rFonts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172</Pages>
  <Words>59108</Words>
  <Characters>63869</Characters>
  <Lines>0</Lines>
  <Paragraphs>0</Paragraphs>
  <TotalTime>1</TotalTime>
  <ScaleCrop>false</ScaleCrop>
  <LinksUpToDate>false</LinksUpToDate>
  <CharactersWithSpaces>65193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2023-12-01T07:59:00Z</dcterms:created>
  <dc:creator>别动我的糖</dc:creator>
  <cp:lastModifiedBy>傲娇菇凉ꫛꫀꪝ</cp:lastModifiedBy>
  <cp:lastPrinted>2025-02-07T10:48:00Z</cp:lastPrinted>
  <dcterms:modified xsi:type="dcterms:W3CDTF">2025-02-19T08:37:27Z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92032EDACC3B414AACEC35D9966E7151_13</vt:lpwstr>
  </property>
  <property fmtid="{D5CDD505-2E9C-101B-9397-08002B2CF9AE}" pid="4" name="KSOTemplateDocerSaveRecord">
    <vt:lpwstr>eyJoZGlkIjoiOTA5ZmIwYjMxYTRhOGJiNjk1M2FiM2Q2OWFjMjFkNzkiLCJ1c2VySWQiOiIxMDUwMjA1NjA1In0=</vt:lpwstr>
  </property>
</Properties>
</file>