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61121">
      <w:pPr>
        <w:pStyle w:val="14"/>
        <w:spacing w:line="720" w:lineRule="exact"/>
        <w:ind w:firstLine="0" w:firstLineChars="0"/>
        <w:jc w:val="left"/>
        <w:rPr>
          <w:rFonts w:hint="eastAsia" w:asciiTheme="minorEastAsia" w:hAnsiTheme="minorEastAsia" w:eastAsiaTheme="minorEastAsia" w:cstheme="minorEastAsia"/>
          <w:b/>
          <w:color w:val="000000" w:themeColor="text1"/>
          <w:sz w:val="32"/>
          <w:highlight w:val="yellow"/>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项目编号：</w:t>
      </w:r>
      <w:r>
        <w:rPr>
          <w:rFonts w:hint="eastAsia" w:asciiTheme="minorEastAsia" w:hAnsiTheme="minorEastAsia" w:eastAsiaTheme="minorEastAsia" w:cstheme="minorEastAsia"/>
          <w:b/>
          <w:color w:val="auto"/>
          <w:sz w:val="30"/>
          <w:szCs w:val="30"/>
        </w:rPr>
        <w:t>PSXZC202</w:t>
      </w:r>
      <w:r>
        <w:rPr>
          <w:rFonts w:hint="eastAsia" w:asciiTheme="minorEastAsia" w:hAnsiTheme="minorEastAsia" w:eastAsiaTheme="minorEastAsia" w:cstheme="minorEastAsia"/>
          <w:b/>
          <w:color w:val="auto"/>
          <w:sz w:val="30"/>
          <w:szCs w:val="30"/>
          <w:lang w:val="en-US" w:eastAsia="zh-CN"/>
        </w:rPr>
        <w:t>5</w:t>
      </w:r>
      <w:r>
        <w:rPr>
          <w:rFonts w:hint="eastAsia" w:asciiTheme="minorEastAsia" w:hAnsiTheme="minorEastAsia" w:eastAsiaTheme="minorEastAsia" w:cstheme="minorEastAsia"/>
          <w:b/>
          <w:color w:val="auto"/>
          <w:sz w:val="30"/>
          <w:szCs w:val="30"/>
        </w:rPr>
        <w:t>-</w:t>
      </w:r>
      <w:r>
        <w:rPr>
          <w:rFonts w:hint="eastAsia" w:asciiTheme="minorEastAsia" w:hAnsiTheme="minorEastAsia" w:eastAsiaTheme="minorEastAsia" w:cstheme="minorEastAsia"/>
          <w:b/>
          <w:color w:val="auto"/>
          <w:sz w:val="30"/>
          <w:szCs w:val="30"/>
          <w:lang w:val="en-US" w:eastAsia="zh-CN"/>
        </w:rPr>
        <w:t>005</w:t>
      </w:r>
      <w:r>
        <w:rPr>
          <w:rFonts w:hint="eastAsia" w:asciiTheme="minorEastAsia" w:hAnsiTheme="minorEastAsia" w:eastAsiaTheme="minorEastAsia" w:cstheme="minorEastAsia"/>
          <w:b/>
          <w:color w:val="auto"/>
          <w:sz w:val="30"/>
          <w:szCs w:val="30"/>
        </w:rPr>
        <w:t>号</w:t>
      </w:r>
    </w:p>
    <w:p w14:paraId="51CA55F4">
      <w:pPr>
        <w:pStyle w:val="36"/>
        <w:numPr>
          <w:ilvl w:val="0"/>
          <w:numId w:val="0"/>
        </w:numPr>
        <w:rPr>
          <w:rFonts w:hint="eastAsia" w:asciiTheme="minorEastAsia" w:hAnsiTheme="minorEastAsia" w:eastAsiaTheme="minorEastAsia" w:cstheme="minorEastAsia"/>
          <w:b/>
          <w:sz w:val="30"/>
          <w:szCs w:val="30"/>
        </w:rPr>
      </w:pPr>
    </w:p>
    <w:p w14:paraId="5B3ADC6B">
      <w:pPr>
        <w:pStyle w:val="7"/>
        <w:numPr>
          <w:ilvl w:val="3"/>
          <w:numId w:val="0"/>
        </w:numPr>
        <w:ind w:left="1260"/>
        <w:rPr>
          <w:rFonts w:hint="eastAsia" w:asciiTheme="minorEastAsia" w:hAnsiTheme="minorEastAsia" w:eastAsiaTheme="minorEastAsia" w:cstheme="minorEastAsia"/>
        </w:rPr>
      </w:pPr>
    </w:p>
    <w:p w14:paraId="46BA8522">
      <w:pPr>
        <w:tabs>
          <w:tab w:val="left" w:pos="1134"/>
          <w:tab w:val="left" w:pos="5481"/>
          <w:tab w:val="left" w:pos="5859"/>
        </w:tabs>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皮山县民政局2025年养老福利机构集中供养人员照料护理购买服务项目</w:t>
      </w:r>
    </w:p>
    <w:p w14:paraId="066CB4B3">
      <w:pPr>
        <w:tabs>
          <w:tab w:val="left" w:pos="1134"/>
          <w:tab w:val="left" w:pos="5481"/>
          <w:tab w:val="left" w:pos="5859"/>
        </w:tabs>
        <w:jc w:val="center"/>
        <w:rPr>
          <w:rFonts w:hint="eastAsia" w:asciiTheme="minorEastAsia" w:hAnsiTheme="minorEastAsia" w:eastAsiaTheme="minorEastAsia" w:cstheme="minorEastAsia"/>
          <w:b/>
          <w:bCs/>
          <w:sz w:val="72"/>
          <w:szCs w:val="72"/>
        </w:rPr>
      </w:pPr>
    </w:p>
    <w:p w14:paraId="659C367B">
      <w:pPr>
        <w:tabs>
          <w:tab w:val="left" w:pos="1134"/>
          <w:tab w:val="left" w:pos="5481"/>
          <w:tab w:val="left" w:pos="5859"/>
        </w:tabs>
        <w:jc w:val="center"/>
        <w:rPr>
          <w:rFonts w:hint="eastAsia" w:asciiTheme="minorEastAsia" w:hAnsiTheme="minorEastAsia" w:eastAsiaTheme="minorEastAsia" w:cstheme="minorEastAsia"/>
          <w:b/>
          <w:bCs/>
          <w:sz w:val="72"/>
          <w:szCs w:val="72"/>
        </w:rPr>
      </w:pPr>
    </w:p>
    <w:p w14:paraId="6D03B17A">
      <w:pPr>
        <w:rPr>
          <w:rFonts w:hint="eastAsia" w:asciiTheme="minorEastAsia" w:hAnsiTheme="minorEastAsia" w:eastAsiaTheme="minorEastAsia" w:cstheme="minorEastAsia"/>
        </w:rPr>
      </w:pPr>
    </w:p>
    <w:p w14:paraId="5E564E0E">
      <w:pPr>
        <w:tabs>
          <w:tab w:val="left" w:pos="1134"/>
          <w:tab w:val="left" w:pos="5481"/>
          <w:tab w:val="left" w:pos="5859"/>
        </w:tabs>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招 标 文 件</w:t>
      </w:r>
    </w:p>
    <w:p w14:paraId="028599B0">
      <w:pPr>
        <w:tabs>
          <w:tab w:val="left" w:pos="1134"/>
          <w:tab w:val="left" w:pos="5481"/>
          <w:tab w:val="left" w:pos="5859"/>
        </w:tabs>
        <w:jc w:val="center"/>
        <w:rPr>
          <w:rFonts w:hint="eastAsia" w:asciiTheme="minorEastAsia" w:hAnsiTheme="minorEastAsia" w:eastAsiaTheme="minorEastAsia" w:cstheme="minorEastAsia"/>
          <w:sz w:val="72"/>
          <w:szCs w:val="72"/>
        </w:rPr>
      </w:pPr>
    </w:p>
    <w:p w14:paraId="592468A8">
      <w:pPr>
        <w:tabs>
          <w:tab w:val="left" w:pos="1134"/>
          <w:tab w:val="left" w:pos="5481"/>
          <w:tab w:val="left" w:pos="5859"/>
        </w:tabs>
        <w:jc w:val="center"/>
        <w:rPr>
          <w:rFonts w:hint="eastAsia" w:asciiTheme="minorEastAsia" w:hAnsiTheme="minorEastAsia" w:eastAsiaTheme="minorEastAsia" w:cstheme="minorEastAsia"/>
          <w:b/>
          <w:sz w:val="36"/>
          <w:szCs w:val="36"/>
        </w:rPr>
      </w:pPr>
    </w:p>
    <w:p w14:paraId="2D88E54C">
      <w:pPr>
        <w:tabs>
          <w:tab w:val="left" w:pos="1134"/>
          <w:tab w:val="left" w:pos="5481"/>
          <w:tab w:val="left" w:pos="5859"/>
        </w:tabs>
        <w:jc w:val="both"/>
        <w:rPr>
          <w:rFonts w:hint="eastAsia" w:asciiTheme="minorEastAsia" w:hAnsiTheme="minorEastAsia" w:eastAsiaTheme="minorEastAsia" w:cstheme="minorEastAsia"/>
          <w:b/>
          <w:sz w:val="32"/>
        </w:rPr>
      </w:pPr>
    </w:p>
    <w:p w14:paraId="6F4CD706">
      <w:pPr>
        <w:pStyle w:val="14"/>
        <w:spacing w:line="720" w:lineRule="exact"/>
        <w:ind w:firstLine="0" w:firstLineChars="0"/>
        <w:rPr>
          <w:rFonts w:hint="eastAsia" w:asciiTheme="minorEastAsia" w:hAnsiTheme="minorEastAsia" w:eastAsiaTheme="minorEastAsia" w:cstheme="minorEastAsia"/>
          <w:b/>
          <w:sz w:val="32"/>
        </w:rPr>
      </w:pPr>
    </w:p>
    <w:p w14:paraId="7D21099E">
      <w:pPr>
        <w:pStyle w:val="14"/>
        <w:spacing w:line="720" w:lineRule="exact"/>
        <w:ind w:firstLine="0" w:firstLineChars="0"/>
        <w:jc w:val="center"/>
        <w:rPr>
          <w:rFonts w:hint="eastAsia" w:asciiTheme="minorEastAsia" w:hAnsiTheme="minorEastAsia" w:eastAsiaTheme="minorEastAsia" w:cstheme="minorEastAsia"/>
          <w:b/>
          <w:sz w:val="32"/>
          <w:szCs w:val="22"/>
          <w:lang w:eastAsia="zh-CN"/>
        </w:rPr>
      </w:pPr>
      <w:r>
        <w:rPr>
          <w:rFonts w:hint="eastAsia" w:asciiTheme="minorEastAsia" w:hAnsiTheme="minorEastAsia" w:eastAsiaTheme="minorEastAsia" w:cstheme="minorEastAsia"/>
          <w:b/>
          <w:sz w:val="32"/>
          <w:szCs w:val="22"/>
          <w:lang w:val="en-US" w:eastAsia="zh-CN"/>
        </w:rPr>
        <w:t>采购人</w:t>
      </w:r>
      <w:r>
        <w:rPr>
          <w:rFonts w:hint="eastAsia" w:asciiTheme="minorEastAsia" w:hAnsiTheme="minorEastAsia" w:eastAsiaTheme="minorEastAsia" w:cstheme="minorEastAsia"/>
          <w:b/>
          <w:sz w:val="32"/>
          <w:szCs w:val="22"/>
        </w:rPr>
        <w:t>：</w:t>
      </w:r>
      <w:r>
        <w:rPr>
          <w:rFonts w:hint="eastAsia" w:asciiTheme="minorEastAsia" w:hAnsiTheme="minorEastAsia" w:eastAsiaTheme="minorEastAsia" w:cstheme="minorEastAsia"/>
          <w:b/>
          <w:sz w:val="32"/>
          <w:szCs w:val="22"/>
          <w:lang w:eastAsia="zh-CN"/>
        </w:rPr>
        <w:t>皮山县民政局</w:t>
      </w:r>
    </w:p>
    <w:p w14:paraId="6B67BDD7">
      <w:pPr>
        <w:pStyle w:val="14"/>
        <w:spacing w:line="720" w:lineRule="exact"/>
        <w:ind w:firstLine="0" w:firstLineChars="0"/>
        <w:jc w:val="center"/>
        <w:rPr>
          <w:rFonts w:hint="eastAsia" w:asciiTheme="minorEastAsia" w:hAnsiTheme="minorEastAsia" w:eastAsiaTheme="minorEastAsia" w:cstheme="minorEastAsia"/>
          <w:b/>
          <w:sz w:val="32"/>
          <w:u w:val="single"/>
        </w:rPr>
      </w:pPr>
      <w:r>
        <w:rPr>
          <w:rFonts w:hint="eastAsia" w:asciiTheme="minorEastAsia" w:hAnsiTheme="minorEastAsia" w:eastAsiaTheme="minorEastAsia" w:cstheme="minorEastAsia"/>
          <w:b/>
          <w:sz w:val="32"/>
        </w:rPr>
        <w:t>代理机构：和田锦荣工程项目管理有限公司</w:t>
      </w:r>
    </w:p>
    <w:p w14:paraId="6902B2E6">
      <w:pPr>
        <w:pStyle w:val="14"/>
        <w:spacing w:line="720" w:lineRule="exact"/>
        <w:ind w:firstLine="0" w:firstLineChars="0"/>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2"/>
        </w:rPr>
        <w:t>日期：</w:t>
      </w:r>
      <w:r>
        <w:rPr>
          <w:rFonts w:hint="eastAsia" w:asciiTheme="minorEastAsia" w:hAnsiTheme="minorEastAsia" w:eastAsiaTheme="minorEastAsia" w:cstheme="minorEastAsia"/>
          <w:b/>
          <w:sz w:val="32"/>
          <w:lang w:val="en-US" w:eastAsia="zh-CN"/>
        </w:rPr>
        <w:t>2025</w:t>
      </w:r>
      <w:r>
        <w:rPr>
          <w:rFonts w:hint="eastAsia" w:asciiTheme="minorEastAsia" w:hAnsiTheme="minorEastAsia" w:eastAsiaTheme="minorEastAsia" w:cstheme="minorEastAsia"/>
          <w:b/>
          <w:sz w:val="32"/>
        </w:rPr>
        <w:t>年0</w:t>
      </w:r>
      <w:r>
        <w:rPr>
          <w:rFonts w:hint="eastAsia" w:asciiTheme="minorEastAsia" w:hAnsiTheme="minorEastAsia" w:eastAsiaTheme="minorEastAsia" w:cstheme="minorEastAsia"/>
          <w:b/>
          <w:sz w:val="32"/>
          <w:lang w:val="en-US" w:eastAsia="zh-CN"/>
        </w:rPr>
        <w:t>2</w:t>
      </w:r>
      <w:r>
        <w:rPr>
          <w:rFonts w:hint="eastAsia" w:asciiTheme="minorEastAsia" w:hAnsiTheme="minorEastAsia" w:eastAsiaTheme="minorEastAsia" w:cstheme="minorEastAsia"/>
          <w:b/>
          <w:sz w:val="32"/>
        </w:rPr>
        <w:t>月</w:t>
      </w:r>
    </w:p>
    <w:p w14:paraId="1541F358">
      <w:pPr>
        <w:spacing w:line="360" w:lineRule="auto"/>
        <w:rPr>
          <w:rFonts w:hint="eastAsia" w:asciiTheme="minorEastAsia" w:hAnsiTheme="minorEastAsia" w:eastAsiaTheme="minorEastAsia" w:cstheme="minorEastAsia"/>
        </w:rPr>
      </w:pPr>
    </w:p>
    <w:p w14:paraId="5CE38CFA">
      <w:pPr>
        <w:ind w:left="1077" w:leftChars="513"/>
        <w:rPr>
          <w:rFonts w:hint="eastAsia" w:asciiTheme="minorEastAsia" w:hAnsiTheme="minorEastAsia" w:eastAsiaTheme="minorEastAsia" w:cstheme="minorEastAsia"/>
          <w:sz w:val="32"/>
          <w:szCs w:val="32"/>
        </w:rPr>
      </w:pPr>
    </w:p>
    <w:p w14:paraId="4F359C6D">
      <w:pPr>
        <w:rPr>
          <w:rFonts w:hint="eastAsia" w:asciiTheme="minorEastAsia" w:hAnsiTheme="minorEastAsia" w:eastAsiaTheme="minorEastAsia" w:cstheme="minorEastAsia"/>
          <w:sz w:val="48"/>
          <w:szCs w:val="48"/>
        </w:rPr>
      </w:pPr>
    </w:p>
    <w:p w14:paraId="722A13C1">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48"/>
          <w:szCs w:val="48"/>
        </w:rPr>
        <w:t>招标文件</w:t>
      </w:r>
    </w:p>
    <w:p w14:paraId="586875FC">
      <w:pPr>
        <w:ind w:left="-141" w:leftChars="-95" w:hanging="58" w:hangingChars="21"/>
        <w:jc w:val="left"/>
        <w:rPr>
          <w:rFonts w:hint="eastAsia" w:asciiTheme="minorEastAsia" w:hAnsiTheme="minorEastAsia" w:eastAsiaTheme="minorEastAsia" w:cstheme="minorEastAsia"/>
          <w:bCs/>
          <w:sz w:val="28"/>
          <w:szCs w:val="28"/>
        </w:rPr>
      </w:pPr>
    </w:p>
    <w:p w14:paraId="1CFF4F59">
      <w:pPr>
        <w:pStyle w:val="29"/>
        <w:ind w:left="1747" w:firstLine="540"/>
        <w:rPr>
          <w:rFonts w:hint="eastAsia" w:asciiTheme="minorEastAsia" w:hAnsiTheme="minorEastAsia" w:eastAsiaTheme="minorEastAsia" w:cstheme="minorEastAsia"/>
        </w:rPr>
      </w:pPr>
    </w:p>
    <w:p w14:paraId="3C8235B3">
      <w:pPr>
        <w:snapToGrid w:val="0"/>
        <w:spacing w:line="800" w:lineRule="exact"/>
        <w:ind w:left="1366" w:leftChars="-95" w:hanging="1565" w:hangingChars="559"/>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皮山县民政局2025年养老福利机构集中供养人员照料护理购买服务项目</w:t>
      </w:r>
    </w:p>
    <w:p w14:paraId="661366B4">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联系人： </w:t>
      </w:r>
      <w:r>
        <w:rPr>
          <w:rFonts w:hint="eastAsia" w:asciiTheme="minorEastAsia" w:hAnsiTheme="minorEastAsia" w:eastAsiaTheme="minorEastAsia" w:cstheme="minorEastAsia"/>
          <w:bCs/>
          <w:sz w:val="28"/>
          <w:szCs w:val="28"/>
          <w:lang w:val="zh-CN"/>
        </w:rPr>
        <w:t xml:space="preserve">艾科热木江·阿卜来提  </w:t>
      </w:r>
    </w:p>
    <w:p w14:paraId="7839BA15">
      <w:pPr>
        <w:snapToGrid w:val="0"/>
        <w:spacing w:line="800" w:lineRule="exact"/>
        <w:ind w:left="-26" w:leftChars="-95" w:hanging="173" w:hangingChars="62"/>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sz w:val="28"/>
          <w:szCs w:val="28"/>
        </w:rPr>
        <w:t>联系电话：</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0903</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6422474</w:t>
      </w:r>
    </w:p>
    <w:p w14:paraId="02B2D433">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地址：皮山县社会福利园区</w:t>
      </w:r>
    </w:p>
    <w:p w14:paraId="3ACDBFE3">
      <w:pPr>
        <w:autoSpaceDE w:val="0"/>
        <w:autoSpaceDN w:val="0"/>
        <w:adjustRightInd w:val="0"/>
        <w:spacing w:line="8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30"/>
          <w:szCs w:val="30"/>
        </w:rPr>
        <w:t>-------------------------------------------------------</w:t>
      </w:r>
    </w:p>
    <w:p w14:paraId="1D8FE98E">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招标代理机构（盖章）:和田锦荣工程项目管理有限公司</w:t>
      </w:r>
    </w:p>
    <w:p w14:paraId="015FD613">
      <w:pPr>
        <w:pStyle w:val="9"/>
        <w:rPr>
          <w:rFonts w:hint="eastAsia" w:asciiTheme="minorEastAsia" w:hAnsiTheme="minorEastAsia" w:eastAsiaTheme="minorEastAsia" w:cstheme="minorEastAsia"/>
        </w:rPr>
      </w:pPr>
    </w:p>
    <w:p w14:paraId="180654F8">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项目负责人：王慧珍</w:t>
      </w:r>
    </w:p>
    <w:p w14:paraId="015F7D2D">
      <w:pPr>
        <w:pStyle w:val="9"/>
        <w:rPr>
          <w:rFonts w:hint="eastAsia" w:asciiTheme="minorEastAsia" w:hAnsiTheme="minorEastAsia" w:eastAsiaTheme="minorEastAsia" w:cstheme="minorEastAsia"/>
        </w:rPr>
      </w:pPr>
    </w:p>
    <w:p w14:paraId="015958F7">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电话：0903-2515565</w:t>
      </w:r>
    </w:p>
    <w:p w14:paraId="1F75BA51">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详细地址：新疆和田地区和田市古勒巴格街道凯旋路57号川亿凯旋公馆B区19栋</w:t>
      </w:r>
    </w:p>
    <w:p w14:paraId="49D3BA71">
      <w:pPr>
        <w:pStyle w:val="6"/>
        <w:rPr>
          <w:rFonts w:hint="eastAsia" w:asciiTheme="minorEastAsia" w:hAnsiTheme="minorEastAsia" w:eastAsiaTheme="minorEastAsia" w:cstheme="minorEastAsia"/>
        </w:rPr>
      </w:pPr>
    </w:p>
    <w:p w14:paraId="7471E9D5">
      <w:pPr>
        <w:rPr>
          <w:rFonts w:hint="eastAsia" w:asciiTheme="minorEastAsia" w:hAnsiTheme="minorEastAsia" w:eastAsiaTheme="minorEastAsia" w:cstheme="minorEastAsia"/>
        </w:rPr>
      </w:pPr>
    </w:p>
    <w:p w14:paraId="002667B1">
      <w:pPr>
        <w:rPr>
          <w:rFonts w:hint="eastAsia" w:asciiTheme="minorEastAsia" w:hAnsiTheme="minorEastAsia" w:eastAsiaTheme="minorEastAsia" w:cstheme="minorEastAsia"/>
        </w:rPr>
      </w:pPr>
    </w:p>
    <w:p w14:paraId="184EE1B6">
      <w:pPr>
        <w:rPr>
          <w:rFonts w:hint="eastAsia" w:asciiTheme="minorEastAsia" w:hAnsiTheme="minorEastAsia" w:eastAsiaTheme="minorEastAsia" w:cstheme="minorEastAsia"/>
        </w:rPr>
      </w:pPr>
    </w:p>
    <w:p w14:paraId="555DE17E">
      <w:pPr>
        <w:rPr>
          <w:rFonts w:hint="eastAsia" w:asciiTheme="minorEastAsia" w:hAnsiTheme="minorEastAsia" w:eastAsiaTheme="minorEastAsia" w:cstheme="minorEastAsia"/>
        </w:rPr>
      </w:pPr>
    </w:p>
    <w:p w14:paraId="6AFDF62E">
      <w:pPr>
        <w:autoSpaceDE w:val="0"/>
        <w:autoSpaceDN w:val="0"/>
        <w:adjustRightInd w:val="0"/>
        <w:spacing w:line="600" w:lineRule="auto"/>
        <w:jc w:val="center"/>
        <w:rPr>
          <w:rFonts w:hint="eastAsia"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目  录</w:t>
      </w:r>
    </w:p>
    <w:p w14:paraId="079D3E9F">
      <w:pPr>
        <w:pStyle w:val="20"/>
        <w:tabs>
          <w:tab w:val="right" w:leader="dot" w:pos="9240"/>
        </w:tabs>
        <w:spacing w:line="7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"1-9" \f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"_Toc31121"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rPr>
        <w:t>第一部分   招标公告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p>
    <w:p w14:paraId="06976C57">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第二部分   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p>
    <w:p w14:paraId="4BCAE5B2">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"_Toc10179"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投标人须知前附表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p>
    <w:p w14:paraId="722AD539">
      <w:pPr>
        <w:pStyle w:val="24"/>
        <w:tabs>
          <w:tab w:val="right" w:leader="dot" w:pos="9240"/>
        </w:tabs>
        <w:spacing w:line="720" w:lineRule="exact"/>
        <w:ind w:left="0" w:lef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第一章 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rPr>
        <w:fldChar w:fldCharType="end"/>
      </w:r>
    </w:p>
    <w:p w14:paraId="7102882B">
      <w:pPr>
        <w:pStyle w:val="24"/>
        <w:tabs>
          <w:tab w:val="right" w:leader="dot" w:pos="9240"/>
        </w:tabs>
        <w:spacing w:line="720" w:lineRule="exact"/>
        <w:ind w:left="0" w:lef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第二章 采购需求、技术参数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6</w:t>
      </w:r>
    </w:p>
    <w:p w14:paraId="125CC267">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rPr>
        <w:t>第三部 采购合同范本（仅供参考）</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9</w:t>
      </w:r>
    </w:p>
    <w:p w14:paraId="17331F9D">
      <w:pPr>
        <w:pStyle w:val="20"/>
        <w:tabs>
          <w:tab w:val="right" w:leader="dot" w:pos="9240"/>
        </w:tabs>
        <w:spacing w:line="72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第四章 投标文件内容及格式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3</w:t>
      </w:r>
    </w:p>
    <w:p w14:paraId="0AA48CFD">
      <w:pPr>
        <w:pStyle w:val="20"/>
        <w:tabs>
          <w:tab w:val="right" w:leader="dot" w:pos="9240"/>
        </w:tabs>
        <w:spacing w:line="72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第五章 评标办法及标准</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5</w:t>
      </w:r>
    </w:p>
    <w:p w14:paraId="651C10C0">
      <w:pPr>
        <w:jc w:val="left"/>
        <w:rPr>
          <w:rFonts w:hint="eastAsia" w:asciiTheme="minorEastAsia" w:hAnsiTheme="minorEastAsia" w:eastAsiaTheme="minorEastAsia" w:cstheme="minorEastAsia"/>
        </w:rPr>
      </w:pPr>
    </w:p>
    <w:p w14:paraId="02BE6043">
      <w:pPr>
        <w:pStyle w:val="13"/>
        <w:rPr>
          <w:rFonts w:hint="eastAsia" w:asciiTheme="minorEastAsia" w:hAnsiTheme="minorEastAsia" w:eastAsiaTheme="minorEastAsia" w:cstheme="minorEastAsia"/>
        </w:rPr>
      </w:pPr>
    </w:p>
    <w:p w14:paraId="2D6AB3BC">
      <w:pPr>
        <w:rPr>
          <w:rFonts w:hint="eastAsia" w:asciiTheme="minorEastAsia" w:hAnsiTheme="minorEastAsia" w:eastAsiaTheme="minorEastAsia" w:cstheme="minorEastAsia"/>
        </w:rPr>
      </w:pPr>
    </w:p>
    <w:p w14:paraId="4294EEEE">
      <w:pPr>
        <w:pStyle w:val="13"/>
        <w:rPr>
          <w:rFonts w:hint="eastAsia" w:asciiTheme="minorEastAsia" w:hAnsiTheme="minorEastAsia" w:eastAsiaTheme="minorEastAsia" w:cstheme="minorEastAsia"/>
        </w:rPr>
      </w:pPr>
    </w:p>
    <w:p w14:paraId="4CFB72BC">
      <w:pPr>
        <w:rPr>
          <w:rFonts w:hint="eastAsia" w:asciiTheme="minorEastAsia" w:hAnsiTheme="minorEastAsia" w:eastAsiaTheme="minorEastAsia" w:cstheme="minorEastAsia"/>
        </w:rPr>
      </w:pPr>
    </w:p>
    <w:p w14:paraId="74331724">
      <w:pPr>
        <w:pStyle w:val="13"/>
        <w:rPr>
          <w:rFonts w:hint="eastAsia" w:asciiTheme="minorEastAsia" w:hAnsiTheme="minorEastAsia" w:eastAsiaTheme="minorEastAsia" w:cstheme="minorEastAsia"/>
        </w:rPr>
      </w:pPr>
    </w:p>
    <w:p w14:paraId="0CEED863">
      <w:pPr>
        <w:rPr>
          <w:rFonts w:hint="eastAsia" w:asciiTheme="minorEastAsia" w:hAnsiTheme="minorEastAsia" w:eastAsiaTheme="minorEastAsia" w:cstheme="minorEastAsia"/>
        </w:rPr>
      </w:pPr>
    </w:p>
    <w:p w14:paraId="0B6B7FF9">
      <w:pPr>
        <w:pStyle w:val="13"/>
        <w:rPr>
          <w:rFonts w:hint="eastAsia" w:asciiTheme="minorEastAsia" w:hAnsiTheme="minorEastAsia" w:eastAsiaTheme="minorEastAsia" w:cstheme="minorEastAsia"/>
        </w:rPr>
      </w:pPr>
    </w:p>
    <w:p w14:paraId="2D5B910D">
      <w:pPr>
        <w:rPr>
          <w:rFonts w:hint="eastAsia" w:asciiTheme="minorEastAsia" w:hAnsiTheme="minorEastAsia" w:eastAsiaTheme="minorEastAsia" w:cstheme="minorEastAsia"/>
        </w:rPr>
      </w:pPr>
    </w:p>
    <w:p w14:paraId="32ABF14E">
      <w:pPr>
        <w:pStyle w:val="13"/>
        <w:rPr>
          <w:rFonts w:hint="eastAsia" w:asciiTheme="minorEastAsia" w:hAnsiTheme="minorEastAsia" w:eastAsiaTheme="minorEastAsia" w:cstheme="minorEastAsia"/>
        </w:rPr>
      </w:pPr>
    </w:p>
    <w:p w14:paraId="6D3387FD">
      <w:pPr>
        <w:rPr>
          <w:rFonts w:hint="eastAsia" w:asciiTheme="minorEastAsia" w:hAnsiTheme="minorEastAsia" w:eastAsiaTheme="minorEastAsia" w:cstheme="minorEastAsia"/>
        </w:rPr>
      </w:pPr>
    </w:p>
    <w:p w14:paraId="079207FB">
      <w:pPr>
        <w:pStyle w:val="13"/>
        <w:rPr>
          <w:rFonts w:hint="eastAsia" w:asciiTheme="minorEastAsia" w:hAnsiTheme="minorEastAsia" w:eastAsiaTheme="minorEastAsia" w:cstheme="minorEastAsia"/>
        </w:rPr>
      </w:pPr>
    </w:p>
    <w:p w14:paraId="07CCB518">
      <w:pPr>
        <w:rPr>
          <w:rFonts w:hint="eastAsia" w:asciiTheme="minorEastAsia" w:hAnsiTheme="minorEastAsia" w:eastAsiaTheme="minorEastAsia" w:cstheme="minorEastAsia"/>
        </w:rPr>
      </w:pPr>
    </w:p>
    <w:p w14:paraId="556243D2">
      <w:pPr>
        <w:pStyle w:val="13"/>
        <w:rPr>
          <w:rFonts w:hint="eastAsia" w:asciiTheme="minorEastAsia" w:hAnsiTheme="minorEastAsia" w:eastAsiaTheme="minorEastAsia" w:cstheme="minorEastAsia"/>
        </w:rPr>
      </w:pPr>
    </w:p>
    <w:p w14:paraId="04DD0134">
      <w:pPr>
        <w:rPr>
          <w:rFonts w:hint="eastAsia" w:asciiTheme="minorEastAsia" w:hAnsiTheme="minorEastAsia" w:eastAsiaTheme="minorEastAsia" w:cstheme="minorEastAsia"/>
        </w:rPr>
      </w:pPr>
    </w:p>
    <w:p w14:paraId="1051637B">
      <w:pPr>
        <w:pStyle w:val="13"/>
        <w:rPr>
          <w:rFonts w:hint="eastAsia" w:asciiTheme="minorEastAsia" w:hAnsiTheme="minorEastAsia" w:eastAsiaTheme="minorEastAsia" w:cstheme="minorEastAsia"/>
        </w:rPr>
      </w:pPr>
    </w:p>
    <w:p w14:paraId="60330EFE">
      <w:pPr>
        <w:pStyle w:val="5"/>
        <w:tabs>
          <w:tab w:val="left" w:pos="0"/>
          <w:tab w:val="left" w:pos="3165"/>
          <w:tab w:val="center" w:pos="4153"/>
        </w:tabs>
        <w:autoSpaceDE w:val="0"/>
        <w:autoSpaceDN w:val="0"/>
        <w:adjustRightInd w:val="0"/>
        <w:spacing w:before="0" w:after="0" w:line="360" w:lineRule="auto"/>
        <w:jc w:val="both"/>
        <w:rPr>
          <w:rFonts w:hint="eastAsia" w:asciiTheme="minorEastAsia" w:hAnsiTheme="minorEastAsia" w:eastAsiaTheme="minorEastAsia" w:cstheme="minorEastAsia"/>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Toc32415"/>
    </w:p>
    <w:p w14:paraId="4D99EB08">
      <w:pPr>
        <w:pStyle w:val="5"/>
        <w:numPr>
          <w:ilvl w:val="0"/>
          <w:numId w:val="2"/>
        </w:numPr>
        <w:tabs>
          <w:tab w:val="left" w:pos="0"/>
          <w:tab w:val="left" w:pos="3165"/>
          <w:tab w:val="center" w:pos="4153"/>
        </w:tabs>
        <w:autoSpaceDE w:val="0"/>
        <w:autoSpaceDN w:val="0"/>
        <w:adjustRightInd w:val="0"/>
        <w:spacing w:before="0" w:after="0" w:line="360" w:lineRule="auto"/>
        <w:ind w:left="73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招标公告</w:t>
      </w:r>
      <w:bookmarkEnd w:id="0"/>
    </w:p>
    <w:p w14:paraId="51026143">
      <w:pPr>
        <w:widowControl w:val="0"/>
        <w:numPr>
          <w:ilvl w:val="0"/>
          <w:numId w:val="0"/>
        </w:numPr>
        <w:jc w:val="both"/>
        <w:rPr>
          <w:rFonts w:hint="eastAsia"/>
        </w:rPr>
      </w:pPr>
    </w:p>
    <w:p w14:paraId="17F657EE">
      <w:pPr>
        <w:pStyle w:val="5"/>
        <w:tabs>
          <w:tab w:val="left" w:pos="0"/>
          <w:tab w:val="left" w:pos="3165"/>
          <w:tab w:val="center" w:pos="4153"/>
        </w:tabs>
        <w:autoSpaceDE w:val="0"/>
        <w:autoSpaceDN w:val="0"/>
        <w:adjustRightInd w:val="0"/>
        <w:spacing w:before="0" w:after="0" w:line="360" w:lineRule="auto"/>
        <w:ind w:left="2891" w:hanging="2891" w:hangingChars="9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皮山县民政局2025年养老福利机构集中供养人员照料护理购买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服务项目的公开招标公告</w:t>
      </w:r>
    </w:p>
    <w:p w14:paraId="13AB36E8">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bookmarkStart w:id="1" w:name="_Toc28359079"/>
      <w:bookmarkStart w:id="2" w:name="_Toc28359002"/>
      <w:bookmarkStart w:id="3" w:name="_Hlk24379207"/>
      <w:bookmarkStart w:id="4" w:name="_Toc35393621"/>
      <w:bookmarkStart w:id="5" w:name="_Toc35393790"/>
      <w:r>
        <w:rPr>
          <w:rFonts w:hint="eastAsia" w:asciiTheme="minorEastAsia" w:hAnsiTheme="minorEastAsia" w:eastAsiaTheme="minorEastAsia" w:cstheme="minorEastAsia"/>
          <w:sz w:val="24"/>
          <w:szCs w:val="24"/>
        </w:rPr>
        <w:t>项目概况</w:t>
      </w:r>
    </w:p>
    <w:p w14:paraId="53625A04">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皮山县民政局2025年养老福利机构集中供养人员照料护理购买服务项目招标项目的潜在投标人应在政采云平台线上获取招标文件，</w:t>
      </w:r>
      <w:r>
        <w:rPr>
          <w:rFonts w:hint="eastAsia" w:asciiTheme="minorEastAsia" w:hAnsiTheme="minorEastAsia" w:eastAsiaTheme="minorEastAsia" w:cstheme="minorEastAsia"/>
          <w:color w:val="auto"/>
          <w:sz w:val="24"/>
          <w:szCs w:val="24"/>
        </w:rPr>
        <w:t>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日11:00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sz w:val="24"/>
          <w:szCs w:val="24"/>
        </w:rPr>
        <w:t>）前递交投标文件。</w:t>
      </w:r>
    </w:p>
    <w:bookmarkEnd w:id="1"/>
    <w:bookmarkEnd w:id="2"/>
    <w:bookmarkEnd w:id="3"/>
    <w:bookmarkEnd w:id="4"/>
    <w:bookmarkEnd w:id="5"/>
    <w:p w14:paraId="0B21F3EC">
      <w:pPr>
        <w:pStyle w:val="5"/>
        <w:spacing w:line="240" w:lineRule="auto"/>
        <w:rPr>
          <w:rFonts w:hint="eastAsia" w:asciiTheme="minorEastAsia" w:hAnsiTheme="minorEastAsia" w:eastAsiaTheme="minorEastAsia" w:cstheme="minorEastAsia"/>
          <w:b w:val="0"/>
          <w:sz w:val="24"/>
          <w:szCs w:val="24"/>
        </w:rPr>
      </w:pPr>
      <w:bookmarkStart w:id="6" w:name="_Toc8181"/>
      <w:bookmarkStart w:id="7" w:name="_Toc17129"/>
      <w:bookmarkStart w:id="8" w:name="_Toc31021"/>
      <w:bookmarkStart w:id="9" w:name="_Toc17685"/>
      <w:bookmarkStart w:id="10" w:name="_Toc28359003"/>
      <w:bookmarkStart w:id="11" w:name="_Toc35393791"/>
      <w:bookmarkStart w:id="12" w:name="_Toc28359080"/>
      <w:bookmarkStart w:id="13" w:name="_Toc31185"/>
      <w:bookmarkStart w:id="14" w:name="_Toc35393622"/>
      <w:bookmarkStart w:id="15" w:name="_Toc14454"/>
      <w:r>
        <w:rPr>
          <w:rFonts w:hint="eastAsia" w:asciiTheme="minorEastAsia" w:hAnsiTheme="minorEastAsia" w:eastAsiaTheme="minorEastAsia" w:cstheme="minorEastAsia"/>
          <w:b w:val="0"/>
          <w:sz w:val="24"/>
          <w:szCs w:val="24"/>
        </w:rPr>
        <w:t>一、项目基本情况</w:t>
      </w:r>
      <w:bookmarkEnd w:id="6"/>
      <w:bookmarkEnd w:id="7"/>
      <w:bookmarkEnd w:id="8"/>
    </w:p>
    <w:p w14:paraId="69C2B3C9">
      <w:pPr>
        <w:spacing w:line="400" w:lineRule="exact"/>
        <w:ind w:firstLine="480" w:firstLineChars="200"/>
        <w:rPr>
          <w:rFonts w:hint="eastAsia" w:asciiTheme="minorEastAsia" w:hAnsiTheme="minorEastAsia" w:eastAsiaTheme="minorEastAsia" w:cstheme="minorEastAsia"/>
          <w:color w:val="0000FF"/>
          <w:sz w:val="24"/>
          <w:szCs w:val="24"/>
          <w:highlight w:val="red"/>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auto"/>
          <w:sz w:val="24"/>
          <w:szCs w:val="24"/>
        </w:rPr>
        <w:t>PSXZC202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005</w:t>
      </w:r>
      <w:r>
        <w:rPr>
          <w:rFonts w:hint="eastAsia" w:asciiTheme="minorEastAsia" w:hAnsiTheme="minorEastAsia" w:eastAsiaTheme="minorEastAsia" w:cstheme="minorEastAsia"/>
          <w:color w:val="auto"/>
          <w:sz w:val="24"/>
          <w:szCs w:val="24"/>
        </w:rPr>
        <w:t>号</w:t>
      </w:r>
    </w:p>
    <w:p w14:paraId="638C471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项目名称：皮山县民政局2025年养老福利机构集中供养人员照料护理购买服务项目</w:t>
      </w:r>
    </w:p>
    <w:p w14:paraId="021C7009">
      <w:pPr>
        <w:pStyle w:val="12"/>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采购方式：公开招标</w:t>
      </w:r>
    </w:p>
    <w:p w14:paraId="16664F1D">
      <w:pPr>
        <w:ind w:firstLine="480"/>
        <w:rPr>
          <w:rFonts w:hint="default"/>
          <w:lang w:val="en-US" w:eastAsia="zh-CN"/>
        </w:rPr>
      </w:pPr>
      <w:r>
        <w:rPr>
          <w:rFonts w:hint="eastAsia" w:asciiTheme="minorEastAsia" w:hAnsiTheme="minorEastAsia" w:eastAsiaTheme="minorEastAsia" w:cstheme="minorEastAsia"/>
          <w:kern w:val="2"/>
          <w:sz w:val="24"/>
          <w:szCs w:val="24"/>
          <w:lang w:val="en-US" w:eastAsia="zh-CN" w:bidi="ar-SA"/>
        </w:rPr>
        <w:t>预算金额（元）：2636400</w:t>
      </w:r>
    </w:p>
    <w:p w14:paraId="50860093">
      <w:pPr>
        <w:spacing w:line="40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最高限价（元）：</w:t>
      </w:r>
      <w:r>
        <w:rPr>
          <w:rFonts w:hint="eastAsia" w:asciiTheme="minorEastAsia" w:hAnsiTheme="minorEastAsia" w:eastAsiaTheme="minorEastAsia" w:cstheme="minorEastAsia"/>
          <w:kern w:val="2"/>
          <w:sz w:val="24"/>
          <w:szCs w:val="24"/>
          <w:lang w:val="en-US" w:eastAsia="zh-CN" w:bidi="ar-SA"/>
        </w:rPr>
        <w:t>2636400</w:t>
      </w:r>
    </w:p>
    <w:p w14:paraId="487396E7">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采购需求：</w:t>
      </w:r>
    </w:p>
    <w:p w14:paraId="00CC0D05">
      <w:pPr>
        <w:spacing w:line="400" w:lineRule="exact"/>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标项名称：</w:t>
      </w:r>
      <w:r>
        <w:rPr>
          <w:rFonts w:hint="eastAsia" w:asciiTheme="minorEastAsia" w:hAnsiTheme="minorEastAsia" w:eastAsiaTheme="minorEastAsia" w:cstheme="minorEastAsia"/>
          <w:sz w:val="24"/>
          <w:szCs w:val="24"/>
        </w:rPr>
        <w:t>皮山县民政局2025年养老福利机构集中供养人员照料护理购买服务项目</w:t>
      </w:r>
    </w:p>
    <w:p w14:paraId="27BA4142">
      <w:pPr>
        <w:spacing w:line="400" w:lineRule="exact"/>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数量:1</w:t>
      </w:r>
    </w:p>
    <w:p w14:paraId="2EA78EF9">
      <w:pPr>
        <w:spacing w:line="40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预算金额（元）:</w:t>
      </w:r>
      <w:r>
        <w:rPr>
          <w:rFonts w:hint="eastAsia" w:asciiTheme="minorEastAsia" w:hAnsiTheme="minorEastAsia" w:eastAsiaTheme="minorEastAsia" w:cstheme="minorEastAsia"/>
          <w:kern w:val="2"/>
          <w:sz w:val="24"/>
          <w:szCs w:val="24"/>
          <w:lang w:val="en-US" w:eastAsia="zh-CN" w:bidi="ar-SA"/>
        </w:rPr>
        <w:t>2636400</w:t>
      </w:r>
    </w:p>
    <w:p w14:paraId="7C285A2A">
      <w:pPr>
        <w:spacing w:line="400" w:lineRule="exact"/>
        <w:ind w:firstLine="480" w:firstLineChars="2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简要规格描述或项目基本概况介绍、用途：基本照料护理服务、残疾老年人服务、送医陪护服务、心理疏导服务、社会融入服务等（具体服务要求详见招标文件）</w:t>
      </w:r>
    </w:p>
    <w:p w14:paraId="42264CF2">
      <w:pPr>
        <w:spacing w:line="400" w:lineRule="exact"/>
        <w:ind w:firstLine="480" w:firstLineChars="2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备注：</w:t>
      </w:r>
    </w:p>
    <w:p w14:paraId="691B87D2">
      <w:pPr>
        <w:spacing w:line="40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标项1，12个月</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（具体时间以签订合同为准）</w:t>
      </w:r>
    </w:p>
    <w:p w14:paraId="5C02F66F">
      <w:pPr>
        <w:pStyle w:val="13"/>
        <w:spacing w:after="0"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p w14:paraId="02DF7E74">
      <w:pPr>
        <w:numPr>
          <w:ilvl w:val="0"/>
          <w:numId w:val="3"/>
        </w:numPr>
        <w:spacing w:line="400" w:lineRule="exac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申请人的资格要求：</w:t>
      </w:r>
      <w:bookmarkEnd w:id="9"/>
      <w:bookmarkEnd w:id="10"/>
      <w:bookmarkEnd w:id="11"/>
      <w:bookmarkEnd w:id="12"/>
      <w:bookmarkEnd w:id="13"/>
      <w:bookmarkEnd w:id="14"/>
      <w:bookmarkEnd w:id="15"/>
      <w:bookmarkStart w:id="16" w:name="_Toc28359081"/>
      <w:bookmarkStart w:id="17" w:name="_Toc28359004"/>
    </w:p>
    <w:p w14:paraId="13725827">
      <w:pPr>
        <w:numPr>
          <w:ilvl w:val="0"/>
          <w:numId w:val="4"/>
        </w:numPr>
        <w:spacing w:line="400" w:lineRule="exact"/>
        <w:ind w:firstLine="480" w:firstLineChars="200"/>
        <w:rPr>
          <w:rFonts w:hint="eastAsia" w:asciiTheme="minorEastAsia" w:hAnsiTheme="minorEastAsia" w:eastAsiaTheme="minorEastAsia" w:cstheme="minorEastAsia"/>
        </w:rPr>
      </w:pPr>
      <w:bookmarkStart w:id="18" w:name="_Toc12439"/>
      <w:bookmarkStart w:id="19" w:name="_Toc14160"/>
      <w:bookmarkStart w:id="20" w:name="_Toc35393623"/>
      <w:bookmarkStart w:id="21" w:name="_Toc35393792"/>
      <w:bookmarkStart w:id="22" w:name="_Toc24117"/>
      <w:r>
        <w:rPr>
          <w:rFonts w:hint="eastAsia" w:asciiTheme="minorEastAsia" w:hAnsiTheme="minorEastAsia" w:eastAsiaTheme="minorEastAsia" w:cstheme="minorEastAsia"/>
          <w:kern w:val="0"/>
          <w:sz w:val="24"/>
          <w:szCs w:val="24"/>
        </w:rPr>
        <w:t>满足《中华人民共和国政府采购法》第二十二条规定；</w:t>
      </w:r>
    </w:p>
    <w:p w14:paraId="1C66ABA0">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eastAsiaTheme="minorEastAsia" w:cstheme="minorEastAsia"/>
          <w:i w:val="0"/>
          <w:iCs w:val="0"/>
          <w:caps w:val="0"/>
          <w:color w:val="000000"/>
          <w:spacing w:val="0"/>
          <w:sz w:val="24"/>
          <w:szCs w:val="24"/>
          <w:lang w:val="en-US" w:eastAsia="zh-CN"/>
        </w:rPr>
        <w:t>2、落实政府采购政策需满足的资格要求：</w:t>
      </w:r>
    </w:p>
    <w:p w14:paraId="03D1CF6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2.1 中小企业政策</w:t>
      </w:r>
    </w:p>
    <w:p w14:paraId="5BE1CC4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□本项目不专门面向中小企业预留采购份额。</w:t>
      </w:r>
    </w:p>
    <w:p w14:paraId="72F4783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☑本项目专门面向中小企业预留采购份额。对于预留份额，提供的货物由符合政策要求的中小企业制造、服务由符合政策要求的中小企业承接。预留份额通过以下措施进行：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kern w:val="0"/>
          <w:sz w:val="24"/>
          <w:szCs w:val="24"/>
          <w:u w:val="single"/>
          <w:lang w:val="en-US" w:eastAsia="zh-CN" w:bidi="ar-SA"/>
        </w:rPr>
        <w:t>不分包</w:t>
      </w:r>
      <w:r>
        <w:rPr>
          <w:rFonts w:hint="eastAsia" w:asciiTheme="minorEastAsia" w:hAnsiTheme="minorEastAsia" w:eastAsiaTheme="minorEastAsia" w:cstheme="minorEastAsia"/>
          <w:kern w:val="0"/>
          <w:sz w:val="24"/>
          <w:szCs w:val="24"/>
          <w:lang w:val="en-US" w:eastAsia="zh-CN" w:bidi="ar-SA"/>
        </w:rPr>
        <w:t>。</w:t>
      </w:r>
    </w:p>
    <w:p w14:paraId="0F789F92">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2.2 其它落实政府采购政策的资格要求</w:t>
      </w:r>
    </w:p>
    <w:p w14:paraId="7C9B76F1">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（1）财政部、国家发展改革委、生态环境部、市场监管总局《关于调整优化节能产品、环境标志产品政府采购执行机制的通知》（财库[2019]9号文）；  </w:t>
      </w:r>
    </w:p>
    <w:p w14:paraId="1E4313F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（2）财政部、生态环境部《关于印发环境标志产品政府采购品目清单的通知》（财库[2019]18号文）； </w:t>
      </w:r>
    </w:p>
    <w:p w14:paraId="2A397349">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（3）财政部、发展改革委《关于印发节能产品政府采购品目清单的通知》（财库[2019]19号文）； </w:t>
      </w:r>
    </w:p>
    <w:p w14:paraId="7E4434C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（4）市场监管总局《市场监管总局关于发布参与实施政府采购节能产品、环境标志产品认证机构名录的公告》（2019年第16号）；  </w:t>
      </w:r>
    </w:p>
    <w:p w14:paraId="5CCA1B6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6087D503">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（6）财政部、民政部、中国残疾人联合会《关于促进残疾人就业政府采购政策的通知》（财库[2017]141号）；  </w:t>
      </w:r>
    </w:p>
    <w:p w14:paraId="60EFC38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（7）财政部、司法部《关于政府采购支持监狱企业发展有关问题的通知》（财库[2014]68号文）； </w:t>
      </w:r>
    </w:p>
    <w:p w14:paraId="3355D656">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（8）财政部、生态环境部、国家邮政局《关于印发《商品包装政府采购需求标准（试行）》、 《快递包装政府采购需求标准（试行）》的通知》（财办库〔2020〕123号）。</w:t>
      </w:r>
    </w:p>
    <w:p w14:paraId="3A10CE5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标项1：</w:t>
      </w:r>
    </w:p>
    <w:p w14:paraId="2B184446">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B8C5B4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（2）法定代表人的需提供法定代表人证明书（须附法人身份证复印件正反面）或委托代理人需提供法定代表人授权委托书（授权书需附法人身份证复印件及委托人身份证复印件正反面）；</w:t>
      </w:r>
    </w:p>
    <w:p w14:paraId="728D6A49">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48B8DE67">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（4）具有良好的商业信誉和健全的财务会计制度（需单独提供）：提供2023年由第三方审计机构</w:t>
      </w:r>
      <w:r>
        <w:rPr>
          <w:rFonts w:ascii="微软雅黑" w:hAnsi="微软雅黑" w:eastAsia="微软雅黑" w:cs="微软雅黑"/>
          <w:i w:val="0"/>
          <w:iCs w:val="0"/>
          <w:caps w:val="0"/>
          <w:color w:val="232323"/>
          <w:spacing w:val="0"/>
          <w:sz w:val="21"/>
          <w:szCs w:val="21"/>
          <w:shd w:val="clear" w:fill="FAFAFA"/>
        </w:rPr>
        <w:t>出</w:t>
      </w:r>
      <w:r>
        <w:rPr>
          <w:rFonts w:hint="eastAsia" w:asciiTheme="minorEastAsia" w:hAnsiTheme="minorEastAsia" w:eastAsiaTheme="minorEastAsia" w:cstheme="minorEastAsia"/>
          <w:kern w:val="0"/>
          <w:sz w:val="24"/>
          <w:szCs w:val="24"/>
          <w:lang w:val="en-US" w:eastAsia="zh-CN" w:bidi="ar-SA"/>
        </w:rPr>
        <w:t>具及备案赋码的审计报告（2024年新成立的公司按实际发生的情况提供银行出具的资信证明）和健全的财务会计制度；</w:t>
      </w:r>
    </w:p>
    <w:p w14:paraId="0CCCE0A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（5）履行合同所必需的设备和专业技术能力：提供《投标人资格声明函》；</w:t>
      </w:r>
    </w:p>
    <w:p w14:paraId="6A74797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4A8BA4">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AEF4228">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（8）企业负责人为同一人或者存在直接控股、管理关系的不同投标人，不得参加同一合同项下的政府采购活动。否则，皆取消投标资格；</w:t>
      </w:r>
    </w:p>
    <w:p w14:paraId="15826818">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（9）投标保证金或电子保函：20000.00元（大写：贰万元整）。</w:t>
      </w:r>
    </w:p>
    <w:p w14:paraId="4C3BCC98">
      <w:pPr>
        <w:pStyle w:val="15"/>
        <w:numPr>
          <w:ilvl w:val="0"/>
          <w:numId w:val="0"/>
        </w:numPr>
        <w:snapToGrid w:val="0"/>
        <w:spacing w:line="360" w:lineRule="auto"/>
        <w:ind w:firstLine="480" w:firstLineChars="200"/>
        <w:outlineLvl w:val="2"/>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（10）本项目不接受联合体投标。</w:t>
      </w:r>
    </w:p>
    <w:p w14:paraId="4B533C3B">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bookmarkStart w:id="23" w:name="_Toc5294"/>
      <w:r>
        <w:rPr>
          <w:rFonts w:hint="eastAsia" w:asciiTheme="minorEastAsia" w:hAnsiTheme="minorEastAsia" w:eastAsiaTheme="minorEastAsia" w:cstheme="minorEastAsia"/>
          <w:kern w:val="0"/>
          <w:sz w:val="24"/>
          <w:szCs w:val="24"/>
          <w:lang w:val="en-US" w:eastAsia="zh-CN" w:bidi="ar-SA"/>
        </w:rPr>
        <w:t>3.本项目的特定资格要求：</w:t>
      </w:r>
      <w:bookmarkEnd w:id="23"/>
    </w:p>
    <w:p w14:paraId="299DE1A3">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w:t>
      </w:r>
      <w:r>
        <w:rPr>
          <w:rFonts w:hint="default" w:asciiTheme="minorEastAsia" w:hAnsiTheme="minorEastAsia" w:eastAsiaTheme="minorEastAsia" w:cstheme="minorEastAsia"/>
          <w:kern w:val="0"/>
          <w:sz w:val="24"/>
          <w:szCs w:val="24"/>
          <w:lang w:val="en-US" w:eastAsia="zh-CN" w:bidi="ar-SA"/>
        </w:rPr>
        <w:t>社会组织获评3A级</w:t>
      </w:r>
      <w:r>
        <w:rPr>
          <w:rFonts w:hint="eastAsia" w:asciiTheme="minorEastAsia" w:hAnsiTheme="minorEastAsia" w:eastAsiaTheme="minorEastAsia" w:cstheme="minorEastAsia"/>
          <w:kern w:val="0"/>
          <w:sz w:val="24"/>
          <w:szCs w:val="24"/>
          <w:lang w:val="en-US" w:eastAsia="zh-CN" w:bidi="ar-SA"/>
        </w:rPr>
        <w:t>及</w:t>
      </w:r>
      <w:r>
        <w:rPr>
          <w:rFonts w:hint="default" w:asciiTheme="minorEastAsia" w:hAnsiTheme="minorEastAsia" w:eastAsiaTheme="minorEastAsia" w:cstheme="minorEastAsia"/>
          <w:kern w:val="0"/>
          <w:sz w:val="24"/>
          <w:szCs w:val="24"/>
          <w:lang w:val="en-US" w:eastAsia="zh-CN" w:bidi="ar-SA"/>
        </w:rPr>
        <w:t>以上</w:t>
      </w:r>
      <w:r>
        <w:rPr>
          <w:rFonts w:hint="eastAsia" w:asciiTheme="minorEastAsia" w:hAnsiTheme="minorEastAsia" w:eastAsiaTheme="minorEastAsia" w:cstheme="minorEastAsia"/>
          <w:kern w:val="0"/>
          <w:sz w:val="24"/>
          <w:szCs w:val="24"/>
          <w:lang w:val="en-US" w:eastAsia="zh-CN" w:bidi="ar-SA"/>
        </w:rPr>
        <w:t>评价；</w:t>
      </w:r>
    </w:p>
    <w:p w14:paraId="7B604994">
      <w:pPr>
        <w:pStyle w:val="15"/>
        <w:numPr>
          <w:ilvl w:val="0"/>
          <w:numId w:val="0"/>
        </w:numPr>
        <w:snapToGrid w:val="0"/>
        <w:spacing w:line="360" w:lineRule="auto"/>
        <w:ind w:firstLine="480" w:firstLineChars="200"/>
        <w:outlineLvl w:val="2"/>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（2）供应商须</w:t>
      </w:r>
      <w:r>
        <w:rPr>
          <w:rFonts w:hint="default" w:asciiTheme="minorEastAsia" w:hAnsiTheme="minorEastAsia" w:eastAsiaTheme="minorEastAsia" w:cstheme="minorEastAsia"/>
          <w:kern w:val="0"/>
          <w:sz w:val="24"/>
          <w:szCs w:val="24"/>
          <w:lang w:val="en-US" w:eastAsia="zh-CN" w:bidi="ar-SA"/>
        </w:rPr>
        <w:t>具备提供社会救助服务所必需的固定办公场所、设施、人员和专业技术能力，具有健全的法人管理结构，完善的内部管理和信息公开、民监督制度</w:t>
      </w:r>
      <w:r>
        <w:rPr>
          <w:rFonts w:hint="eastAsia" w:asciiTheme="minorEastAsia" w:hAnsiTheme="minorEastAsia" w:eastAsiaTheme="minorEastAsia" w:cstheme="minorEastAsia"/>
          <w:kern w:val="0"/>
          <w:sz w:val="24"/>
          <w:szCs w:val="24"/>
          <w:lang w:val="en-US" w:eastAsia="zh-CN" w:bidi="ar-SA"/>
        </w:rPr>
        <w:t>；</w:t>
      </w:r>
    </w:p>
    <w:p w14:paraId="197DA6DE">
      <w:pPr>
        <w:numPr>
          <w:ilvl w:val="0"/>
          <w:numId w:val="0"/>
        </w:numPr>
        <w:spacing w:line="400" w:lineRule="exact"/>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三、获取招标文件</w:t>
      </w:r>
      <w:bookmarkEnd w:id="16"/>
      <w:bookmarkEnd w:id="17"/>
      <w:bookmarkEnd w:id="18"/>
      <w:bookmarkEnd w:id="19"/>
      <w:bookmarkEnd w:id="20"/>
      <w:bookmarkEnd w:id="21"/>
      <w:bookmarkEnd w:id="22"/>
    </w:p>
    <w:p w14:paraId="5080BF2A">
      <w:pPr>
        <w:spacing w:line="400" w:lineRule="exact"/>
        <w:ind w:firstLine="540"/>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每天上午00:00至12:00，下午12:00至23:59（北京时间，法定节假日除外）</w:t>
      </w:r>
    </w:p>
    <w:p w14:paraId="3284A4C1">
      <w:pPr>
        <w:spacing w:line="400" w:lineRule="exact"/>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地点：政采云平台线上</w:t>
      </w:r>
    </w:p>
    <w:p w14:paraId="632C76F1">
      <w:pPr>
        <w:spacing w:line="400" w:lineRule="exact"/>
        <w:ind w:firstLine="5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2D82403">
      <w:pPr>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文件售价：</w:t>
      </w:r>
      <w:bookmarkStart w:id="24" w:name="_Toc28359082"/>
      <w:bookmarkStart w:id="25" w:name="_Toc28359005"/>
      <w:bookmarkStart w:id="26" w:name="_Toc35393793"/>
      <w:bookmarkStart w:id="27" w:name="_Toc16029"/>
      <w:bookmarkStart w:id="28" w:name="_Toc7609"/>
      <w:bookmarkStart w:id="29" w:name="_Toc35393624"/>
      <w:bookmarkStart w:id="30" w:name="_Toc21441"/>
      <w:r>
        <w:rPr>
          <w:rFonts w:hint="eastAsia" w:asciiTheme="minorEastAsia" w:hAnsiTheme="minorEastAsia" w:eastAsiaTheme="minorEastAsia" w:cstheme="minorEastAsia"/>
          <w:sz w:val="24"/>
          <w:szCs w:val="24"/>
        </w:rPr>
        <w:t>0</w:t>
      </w:r>
    </w:p>
    <w:p w14:paraId="5FC28C83">
      <w:pPr>
        <w:pStyle w:val="8"/>
        <w:rPr>
          <w:rFonts w:hint="eastAsia" w:asciiTheme="minorEastAsia" w:hAnsiTheme="minorEastAsia" w:eastAsiaTheme="minorEastAsia" w:cstheme="minorEastAsia"/>
          <w:sz w:val="24"/>
          <w:szCs w:val="24"/>
        </w:rPr>
      </w:pPr>
    </w:p>
    <w:p w14:paraId="234C393B">
      <w:pPr>
        <w:pStyle w:val="5"/>
        <w:spacing w:before="0" w:after="0" w:line="240" w:lineRule="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四、提交投标文件截止时间、开标时间和地点</w:t>
      </w:r>
    </w:p>
    <w:p w14:paraId="78A06256">
      <w:pPr>
        <w:widowControl/>
        <w:spacing w:before="75" w:after="75"/>
        <w:ind w:firstLine="480"/>
        <w:jc w:val="left"/>
        <w:rPr>
          <w:rFonts w:hint="eastAsia" w:asciiTheme="minorEastAsia" w:hAnsiTheme="minorEastAsia" w:eastAsiaTheme="minorEastAsia" w:cstheme="minorEastAsia"/>
          <w:color w:val="auto"/>
          <w:kern w:val="0"/>
          <w:sz w:val="24"/>
          <w:szCs w:val="24"/>
        </w:rPr>
      </w:pPr>
      <w:bookmarkStart w:id="31" w:name="_Toc35393794"/>
      <w:bookmarkStart w:id="32" w:name="_Toc28359007"/>
      <w:bookmarkStart w:id="33" w:name="_Toc28359084"/>
      <w:bookmarkStart w:id="34" w:name="_Toc35393625"/>
      <w:r>
        <w:rPr>
          <w:rFonts w:hint="eastAsia" w:asciiTheme="minorEastAsia" w:hAnsiTheme="minorEastAsia" w:eastAsiaTheme="minorEastAsia" w:cstheme="minorEastAsia"/>
          <w:color w:val="auto"/>
          <w:kern w:val="0"/>
          <w:sz w:val="24"/>
          <w:szCs w:val="24"/>
        </w:rPr>
        <w:t>提交投标文件截止时间：</w:t>
      </w:r>
      <w:r>
        <w:rPr>
          <w:rFonts w:hint="eastAsia" w:asciiTheme="minorEastAsia" w:hAnsiTheme="minorEastAsia" w:eastAsiaTheme="minorEastAsia" w:cstheme="minorEastAsia"/>
          <w:color w:val="auto"/>
          <w:kern w:val="0"/>
          <w:sz w:val="24"/>
          <w:szCs w:val="24"/>
          <w:lang w:val="en-US" w:eastAsia="zh-CN"/>
        </w:rPr>
        <w:t>2025年03月05日</w:t>
      </w:r>
      <w:r>
        <w:rPr>
          <w:rFonts w:hint="eastAsia" w:asciiTheme="minorEastAsia" w:hAnsiTheme="minorEastAsia" w:eastAsiaTheme="minorEastAsia" w:cstheme="minorEastAsia"/>
          <w:color w:val="auto"/>
          <w:kern w:val="0"/>
          <w:sz w:val="24"/>
          <w:szCs w:val="24"/>
        </w:rPr>
        <w:t xml:space="preserve"> 11:00（北京时间）</w:t>
      </w:r>
    </w:p>
    <w:p w14:paraId="6DFDBE87">
      <w:pPr>
        <w:widowControl/>
        <w:spacing w:before="75" w:after="75"/>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投标地点：请登录政采云投标客户端投标。</w:t>
      </w:r>
    </w:p>
    <w:p w14:paraId="46376E31">
      <w:pPr>
        <w:widowControl/>
        <w:spacing w:before="75" w:after="75"/>
        <w:ind w:firstLine="48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开标时间</w:t>
      </w:r>
      <w:r>
        <w:rPr>
          <w:rFonts w:hint="eastAsia" w:asciiTheme="minorEastAsia" w:hAnsiTheme="minorEastAsia" w:eastAsiaTheme="minorEastAsia" w:cstheme="minorEastAsia"/>
          <w:color w:val="auto"/>
          <w:kern w:val="0"/>
          <w:sz w:val="24"/>
          <w:szCs w:val="24"/>
          <w:lang w:val="en-US" w:eastAsia="zh-CN"/>
        </w:rPr>
        <w:t>：2025年03月05日 11:00(北京时间）</w:t>
      </w:r>
    </w:p>
    <w:p w14:paraId="7424215A">
      <w:pPr>
        <w:widowControl/>
        <w:spacing w:before="75" w:after="75"/>
        <w:ind w:firstLine="48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开标地点：投标人登录政采云平台https://www.zcygov.cn/，进入“项目采购-开标评标-右边选择对应项目点击“进入项目”进入开标大厅。</w:t>
      </w:r>
    </w:p>
    <w:p w14:paraId="1C295D10">
      <w:pPr>
        <w:pStyle w:val="5"/>
        <w:spacing w:line="240" w:lineRule="auto"/>
        <w:rPr>
          <w:rFonts w:hint="eastAsia" w:asciiTheme="minorEastAsia" w:hAnsiTheme="minorEastAsia" w:eastAsiaTheme="minorEastAsia" w:cstheme="minorEastAsia"/>
          <w:b w:val="0"/>
          <w:sz w:val="24"/>
          <w:szCs w:val="24"/>
        </w:rPr>
      </w:pPr>
      <w:bookmarkStart w:id="35" w:name="_Toc14845"/>
      <w:bookmarkStart w:id="36" w:name="_Toc18038"/>
      <w:bookmarkStart w:id="37" w:name="_Toc1554"/>
      <w:r>
        <w:rPr>
          <w:rFonts w:hint="eastAsia" w:asciiTheme="minorEastAsia" w:hAnsiTheme="minorEastAsia" w:eastAsiaTheme="minorEastAsia" w:cstheme="minorEastAsia"/>
          <w:b w:val="0"/>
          <w:sz w:val="24"/>
          <w:szCs w:val="24"/>
        </w:rPr>
        <w:t>五、公告期限</w:t>
      </w:r>
      <w:bookmarkEnd w:id="31"/>
      <w:bookmarkEnd w:id="32"/>
      <w:bookmarkEnd w:id="33"/>
      <w:bookmarkEnd w:id="34"/>
      <w:bookmarkEnd w:id="35"/>
      <w:bookmarkEnd w:id="36"/>
      <w:bookmarkEnd w:id="37"/>
    </w:p>
    <w:p w14:paraId="71C073F7">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35F417F1">
      <w:pPr>
        <w:pStyle w:val="5"/>
        <w:numPr>
          <w:ilvl w:val="0"/>
          <w:numId w:val="5"/>
        </w:numPr>
        <w:spacing w:line="240" w:lineRule="auto"/>
        <w:rPr>
          <w:rFonts w:hint="eastAsia" w:asciiTheme="minorEastAsia" w:hAnsiTheme="minorEastAsia" w:eastAsiaTheme="minorEastAsia" w:cstheme="minorEastAsia"/>
          <w:b w:val="0"/>
          <w:sz w:val="24"/>
          <w:szCs w:val="24"/>
        </w:rPr>
      </w:pPr>
      <w:bookmarkStart w:id="38" w:name="_Toc1253"/>
      <w:bookmarkStart w:id="39" w:name="_Toc35393626"/>
      <w:bookmarkStart w:id="40" w:name="_Toc21056"/>
      <w:bookmarkStart w:id="41" w:name="_Toc27078"/>
      <w:bookmarkStart w:id="42" w:name="_Toc35393795"/>
      <w:r>
        <w:rPr>
          <w:rFonts w:hint="eastAsia" w:asciiTheme="minorEastAsia" w:hAnsiTheme="minorEastAsia" w:eastAsiaTheme="minorEastAsia" w:cstheme="minorEastAsia"/>
          <w:b w:val="0"/>
          <w:sz w:val="24"/>
          <w:szCs w:val="24"/>
        </w:rPr>
        <w:t>其他补充事宜</w:t>
      </w:r>
      <w:bookmarkEnd w:id="38"/>
      <w:bookmarkEnd w:id="39"/>
      <w:bookmarkEnd w:id="40"/>
      <w:bookmarkEnd w:id="41"/>
      <w:bookmarkEnd w:id="42"/>
    </w:p>
    <w:p w14:paraId="6C7EFA3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bookmarkStart w:id="43" w:name="_Toc28359085"/>
      <w:bookmarkStart w:id="44" w:name="_Toc28359008"/>
      <w:bookmarkStart w:id="45" w:name="_Toc35393796"/>
      <w:bookmarkStart w:id="46" w:name="_Toc35393627"/>
      <w:r>
        <w:rPr>
          <w:rFonts w:hint="eastAsia" w:asciiTheme="minorEastAsia" w:hAnsiTheme="minorEastAsia" w:eastAsiaTheme="minorEastAsia" w:cstheme="minorEastAsia"/>
          <w:kern w:val="0"/>
          <w:sz w:val="24"/>
          <w:szCs w:val="24"/>
        </w:rPr>
        <w:t>1、本项目实行网上投标，采用电子投标文件。若供应商参与投标，自行承担投标一切费用。</w:t>
      </w:r>
    </w:p>
    <w:p w14:paraId="471CEE7D">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913377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A14E1A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4、有意向参与新疆区域电子开评标的供应商，可访问新疆数字证书认证中心官方网站（https://www.xjca.com.cn/）或下载“新疆政务通”APP自行进行申领。如需咨询，请联系新疆CA服务热线0991-2819290</w:t>
      </w:r>
    </w:p>
    <w:p w14:paraId="0E811382">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kern w:val="0"/>
          <w:sz w:val="24"/>
          <w:szCs w:val="24"/>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14:paraId="4C249054">
      <w:pPr>
        <w:numPr>
          <w:ilvl w:val="0"/>
          <w:numId w:val="0"/>
        </w:numPr>
        <w:adjustRightInd w:val="0"/>
        <w:snapToGrid w:val="0"/>
        <w:spacing w:line="400" w:lineRule="exact"/>
        <w:ind w:firstLine="482" w:firstLineChars="200"/>
        <w:jc w:val="left"/>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特别强调：</w:t>
      </w:r>
    </w:p>
    <w:p w14:paraId="4E9B73F4">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1、采购限额标准以上，200万元以下的货物和服务采购项目、400万元以下的工程采购项目，适宜由中小企业提供的，采购人应当专门面向中小企业采购。</w:t>
      </w:r>
    </w:p>
    <w:p w14:paraId="12FDA415">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2、超过200万元的货物和服务采购项目，预留该部分采购项目预算总额的30%以上专门面向中小企业采购，其中预留给小微企业的比例不低于60%。</w:t>
      </w:r>
    </w:p>
    <w:p w14:paraId="07E6AA2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6F778863">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7B5351E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37C94AD">
      <w:pPr>
        <w:pStyle w:val="5"/>
        <w:spacing w:line="240" w:lineRule="auto"/>
        <w:rPr>
          <w:rFonts w:hint="eastAsia" w:asciiTheme="minorEastAsia" w:hAnsiTheme="minorEastAsia" w:eastAsiaTheme="minorEastAsia" w:cstheme="minorEastAsia"/>
          <w:kern w:val="0"/>
          <w:sz w:val="24"/>
          <w:szCs w:val="24"/>
          <w:lang w:val="en-US" w:eastAsia="zh-CN" w:bidi="ar-SA"/>
        </w:rPr>
      </w:pPr>
      <w:bookmarkStart w:id="47" w:name="_Toc2501"/>
      <w:bookmarkStart w:id="48" w:name="_Toc266"/>
      <w:bookmarkStart w:id="49" w:name="_Toc7535"/>
      <w:r>
        <w:rPr>
          <w:rFonts w:hint="eastAsia" w:asciiTheme="minorEastAsia" w:hAnsiTheme="minorEastAsia" w:eastAsiaTheme="minorEastAsia" w:cstheme="minorEastAsia"/>
          <w:b w:val="0"/>
          <w:sz w:val="24"/>
          <w:szCs w:val="24"/>
          <w:lang w:val="en-US" w:eastAsia="zh-CN"/>
        </w:rPr>
        <w:t>七</w:t>
      </w:r>
      <w:r>
        <w:rPr>
          <w:rFonts w:hint="eastAsia" w:asciiTheme="minorEastAsia" w:hAnsiTheme="minorEastAsia" w:eastAsiaTheme="minorEastAsia" w:cstheme="minorEastAsia"/>
          <w:b w:val="0"/>
          <w:sz w:val="24"/>
          <w:szCs w:val="24"/>
        </w:rPr>
        <w:t>、对本次采购提出询问，请按以下方式联系。</w:t>
      </w:r>
      <w:bookmarkEnd w:id="43"/>
      <w:bookmarkEnd w:id="44"/>
      <w:bookmarkEnd w:id="45"/>
      <w:bookmarkEnd w:id="46"/>
      <w:bookmarkEnd w:id="47"/>
      <w:bookmarkEnd w:id="48"/>
      <w:bookmarkEnd w:id="49"/>
    </w:p>
    <w:p w14:paraId="7C05DE58">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1.采购人信息</w:t>
      </w:r>
    </w:p>
    <w:p w14:paraId="43370A18">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名 称：皮山县民政局</w:t>
      </w:r>
    </w:p>
    <w:p w14:paraId="3686A59B">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地 址：皮山县社会福利园区</w:t>
      </w:r>
    </w:p>
    <w:p w14:paraId="1AB8700D">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联系方式：0903-6422474</w:t>
      </w:r>
    </w:p>
    <w:p w14:paraId="7AD69DD0">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2.采购代理机构信息</w:t>
      </w:r>
    </w:p>
    <w:p w14:paraId="0FE2DBB7">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名 称：和田锦荣工程项目管理有限公司</w:t>
      </w:r>
    </w:p>
    <w:p w14:paraId="2D118849">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地 址：新疆和田地区和田市古勒巴格街道凯旋路57号川亿凯旋公馆B区19栋</w:t>
      </w:r>
    </w:p>
    <w:p w14:paraId="1FC1338E">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联系方式：0903-2515565</w:t>
      </w:r>
    </w:p>
    <w:p w14:paraId="49AFD4AF">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3.项目联系方式</w:t>
      </w:r>
    </w:p>
    <w:p w14:paraId="74B38FC7">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项目联系人：王慧珍</w:t>
      </w:r>
    </w:p>
    <w:p w14:paraId="2538DE9B">
      <w:r>
        <w:rPr>
          <w:rFonts w:hint="eastAsia" w:asciiTheme="minorEastAsia" w:hAnsiTheme="minorEastAsia" w:eastAsiaTheme="minorEastAsia" w:cstheme="minorEastAsia"/>
          <w:kern w:val="0"/>
          <w:sz w:val="24"/>
          <w:szCs w:val="24"/>
          <w:lang w:val="en-US" w:eastAsia="zh-CN" w:bidi="ar-SA"/>
        </w:rPr>
        <w:t>电 话：0903-2515565</w:t>
      </w:r>
      <w:bookmarkEnd w:id="24"/>
      <w:bookmarkEnd w:id="25"/>
      <w:bookmarkEnd w:id="26"/>
      <w:bookmarkEnd w:id="27"/>
      <w:bookmarkEnd w:id="28"/>
      <w:bookmarkEnd w:id="29"/>
      <w:bookmarkEnd w:id="30"/>
    </w:p>
    <w:p w14:paraId="2A5E108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3888F9C">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D99AB9F">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1CB048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4A59E4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6A5BBB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09E96A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5091DC1">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2C25C57">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5923CD7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32471BE">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37B747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D7388A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9E5979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860553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0DD6B0F">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51ACD39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6FA4F2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D07311C">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特别提醒：</w:t>
      </w:r>
    </w:p>
    <w:p w14:paraId="1E4AB69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1、投标企业采用银行转账或电汇的方式的，投标保证金由投标人基本账户汇出（投标保证金需一笔汇出，分笔汇出银行系统将不予统计），且不得以分公司的名义转账，投标保证金需在</w:t>
      </w:r>
      <w:r>
        <w:rPr>
          <w:rStyle w:val="37"/>
          <w:rFonts w:hint="eastAsia" w:asciiTheme="minorEastAsia" w:hAnsiTheme="minorEastAsia" w:eastAsiaTheme="minorEastAsia" w:cstheme="minorEastAsia"/>
          <w:b/>
          <w:bCs/>
          <w:color w:val="auto"/>
          <w:sz w:val="28"/>
          <w:szCs w:val="18"/>
          <w:lang w:val="en-US" w:eastAsia="zh-CN"/>
        </w:rPr>
        <w:t>2025</w:t>
      </w:r>
      <w:r>
        <w:rPr>
          <w:rStyle w:val="37"/>
          <w:rFonts w:hint="eastAsia" w:asciiTheme="minorEastAsia" w:hAnsiTheme="minorEastAsia" w:eastAsiaTheme="minorEastAsia" w:cstheme="minorEastAsia"/>
          <w:b/>
          <w:color w:val="auto"/>
          <w:sz w:val="28"/>
          <w:szCs w:val="22"/>
        </w:rPr>
        <w:t>年</w:t>
      </w:r>
      <w:r>
        <w:rPr>
          <w:rStyle w:val="37"/>
          <w:rFonts w:hint="eastAsia" w:asciiTheme="minorEastAsia" w:hAnsiTheme="minorEastAsia" w:eastAsiaTheme="minorEastAsia" w:cstheme="minorEastAsia"/>
          <w:b/>
          <w:color w:val="auto"/>
          <w:sz w:val="28"/>
          <w:szCs w:val="22"/>
          <w:lang w:val="en-US" w:eastAsia="zh-CN"/>
        </w:rPr>
        <w:t>03月04日20</w:t>
      </w:r>
      <w:r>
        <w:rPr>
          <w:rStyle w:val="37"/>
          <w:rFonts w:hint="eastAsia" w:asciiTheme="minorEastAsia" w:hAnsiTheme="minorEastAsia" w:eastAsiaTheme="minorEastAsia" w:cstheme="minorEastAsia"/>
          <w:b/>
          <w:color w:val="auto"/>
          <w:sz w:val="28"/>
          <w:szCs w:val="22"/>
        </w:rPr>
        <w:t>：</w:t>
      </w:r>
      <w:r>
        <w:rPr>
          <w:rStyle w:val="37"/>
          <w:rFonts w:hint="eastAsia" w:asciiTheme="minorEastAsia" w:hAnsiTheme="minorEastAsia" w:eastAsiaTheme="minorEastAsia" w:cstheme="minorEastAsia"/>
          <w:b/>
          <w:color w:val="auto"/>
          <w:sz w:val="28"/>
          <w:szCs w:val="22"/>
          <w:lang w:val="en-US" w:eastAsia="zh-CN"/>
        </w:rPr>
        <w:t>00</w:t>
      </w:r>
      <w:r>
        <w:rPr>
          <w:rStyle w:val="37"/>
          <w:rFonts w:hint="eastAsia" w:asciiTheme="minorEastAsia" w:hAnsiTheme="minorEastAsia" w:eastAsiaTheme="minorEastAsia" w:cstheme="minorEastAsia"/>
          <w:b/>
          <w:color w:val="000000" w:themeColor="text1"/>
          <w:sz w:val="28"/>
          <w:szCs w:val="22"/>
          <w14:textFill>
            <w14:solidFill>
              <w14:schemeClr w14:val="tx1"/>
            </w14:solidFill>
          </w14:textFill>
        </w:rPr>
        <w:t>前到账，</w:t>
      </w: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60B93F3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2、投标企业下载招标文件后请仔细阅读，如对招标文件内容有质疑，投标人应在投标截止7日前按招标文件中载明的邮箱</w:t>
      </w:r>
      <w:r>
        <w:rPr>
          <w:rStyle w:val="37"/>
          <w:rFonts w:hint="eastAsia" w:asciiTheme="minorEastAsia" w:hAnsiTheme="minorEastAsia" w:eastAsiaTheme="minorEastAsia" w:cstheme="minorEastAsia"/>
          <w:b/>
          <w:bCs/>
          <w:color w:val="000000" w:themeColor="text1"/>
          <w:sz w:val="28"/>
          <w:szCs w:val="18"/>
          <w:lang w:eastAsia="zh-CN"/>
          <w14:textFill>
            <w14:solidFill>
              <w14:schemeClr w14:val="tx1"/>
            </w14:solidFill>
          </w14:textFill>
        </w:rPr>
        <w:t>：</w:t>
      </w:r>
      <w:r>
        <w:rPr>
          <w:rStyle w:val="37"/>
          <w:rFonts w:hint="eastAsia" w:asciiTheme="minorEastAsia" w:hAnsiTheme="minorEastAsia" w:eastAsiaTheme="minorEastAsia" w:cstheme="minorEastAsia"/>
          <w:b/>
          <w:color w:val="000000" w:themeColor="text1"/>
          <w:sz w:val="28"/>
          <w:szCs w:val="22"/>
          <w14:textFill>
            <w14:solidFill>
              <w14:schemeClr w14:val="tx1"/>
            </w14:solidFill>
          </w14:textFill>
        </w:rPr>
        <w:t>918263649@qq.com</w:t>
      </w:r>
      <w:r>
        <w:rPr>
          <w:rStyle w:val="37"/>
          <w:rFonts w:hint="eastAsia" w:asciiTheme="minorEastAsia" w:hAnsiTheme="minorEastAsia" w:eastAsiaTheme="minorEastAsia" w:cstheme="minorEastAsia"/>
          <w:b/>
          <w:color w:val="000000" w:themeColor="text1"/>
          <w:sz w:val="28"/>
          <w:szCs w:val="22"/>
          <w:lang w:eastAsia="zh-CN"/>
          <w14:textFill>
            <w14:solidFill>
              <w14:schemeClr w14:val="tx1"/>
            </w14:solidFill>
          </w14:textFill>
        </w:rPr>
        <w:t>，</w:t>
      </w: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2D26F829">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3、投标保证金退还：自中标、成交通知书发出之日起5个工作日内退还未中标（成交）供应商的投标（响应）保证金（原路退回，无需提供材料），自政府采购合同签订之日起5个工作日内退还中标（成交）供应商的投标（响应）保证金（原路退回，需提供合同原件一份）。（财务联系电话：0903-6422474）</w:t>
      </w:r>
    </w:p>
    <w:p w14:paraId="3AD2570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对于符合政府采购政策和采购文件规定不予退还的保证金，我单位按照财政非税收入管理等规定上缴采购人同级预算级次国库。</w:t>
      </w:r>
    </w:p>
    <w:p w14:paraId="72398D9A">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54F10B8D">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2672B36C">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3260624C">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3909189">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2CF961E">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88EA4AF">
      <w:pPr>
        <w:pStyle w:val="6"/>
        <w:jc w:val="center"/>
        <w:rPr>
          <w:rFonts w:hint="eastAsia" w:asciiTheme="minorEastAsia" w:hAnsiTheme="minorEastAsia" w:eastAsiaTheme="minorEastAsia" w:cstheme="minorEastAsia"/>
          <w:b/>
          <w:sz w:val="28"/>
          <w:szCs w:val="28"/>
        </w:rPr>
      </w:pPr>
      <w:bookmarkStart w:id="50" w:name="_Toc19282"/>
      <w:bookmarkStart w:id="51" w:name="_Toc1277"/>
      <w:bookmarkStart w:id="52" w:name="_Toc30559"/>
      <w:bookmarkStart w:id="53" w:name="_Toc25035"/>
      <w:bookmarkStart w:id="54" w:name="_Toc15231"/>
      <w:bookmarkStart w:id="55" w:name="_Toc15770"/>
      <w:bookmarkStart w:id="56" w:name="_Toc5064"/>
      <w:r>
        <w:rPr>
          <w:rFonts w:hint="eastAsia" w:asciiTheme="minorEastAsia" w:hAnsiTheme="minorEastAsia" w:eastAsiaTheme="minorEastAsia" w:cstheme="minorEastAsia"/>
          <w:b/>
          <w:sz w:val="28"/>
          <w:szCs w:val="28"/>
        </w:rPr>
        <w:t>第二</w:t>
      </w:r>
      <w:r>
        <w:rPr>
          <w:rFonts w:hint="eastAsia" w:asciiTheme="minorEastAsia" w:hAnsiTheme="minorEastAsia" w:eastAsiaTheme="minorEastAsia" w:cstheme="minorEastAsia"/>
          <w:b/>
          <w:sz w:val="28"/>
          <w:szCs w:val="28"/>
          <w:lang w:val="en-US" w:eastAsia="zh-CN"/>
        </w:rPr>
        <w:t>章</w:t>
      </w:r>
      <w:r>
        <w:rPr>
          <w:rFonts w:hint="eastAsia" w:asciiTheme="minorEastAsia" w:hAnsiTheme="minorEastAsia" w:eastAsiaTheme="minorEastAsia" w:cstheme="minorEastAsia"/>
          <w:b/>
          <w:sz w:val="28"/>
          <w:szCs w:val="28"/>
        </w:rPr>
        <w:t xml:space="preserve">    投标人须知</w:t>
      </w:r>
      <w:bookmarkEnd w:id="50"/>
      <w:bookmarkEnd w:id="51"/>
      <w:bookmarkEnd w:id="52"/>
      <w:bookmarkEnd w:id="53"/>
      <w:bookmarkEnd w:id="54"/>
      <w:bookmarkEnd w:id="55"/>
      <w:bookmarkEnd w:id="56"/>
    </w:p>
    <w:p w14:paraId="1CDF6818">
      <w:pPr>
        <w:pStyle w:val="5"/>
        <w:numPr>
          <w:ilvl w:val="1"/>
          <w:numId w:val="0"/>
        </w:numPr>
        <w:jc w:val="center"/>
        <w:rPr>
          <w:rFonts w:hint="eastAsia" w:asciiTheme="minorEastAsia" w:hAnsiTheme="minorEastAsia" w:eastAsiaTheme="minorEastAsia" w:cstheme="minorEastAsia"/>
          <w:bCs w:val="0"/>
          <w:sz w:val="28"/>
          <w:szCs w:val="28"/>
        </w:rPr>
      </w:pPr>
      <w:bookmarkStart w:id="57" w:name="_Toc17655"/>
      <w:bookmarkStart w:id="58" w:name="_Toc8971"/>
      <w:bookmarkStart w:id="59" w:name="_Toc29111"/>
      <w:bookmarkStart w:id="60" w:name="_Toc21348_WPSOffice_Level1"/>
      <w:bookmarkStart w:id="61" w:name="_Toc14053"/>
      <w:bookmarkStart w:id="62" w:name="_Toc7237"/>
      <w:bookmarkStart w:id="63" w:name="_Toc10179"/>
      <w:bookmarkStart w:id="64" w:name="_Toc24832"/>
      <w:bookmarkStart w:id="65" w:name="_Toc18219"/>
      <w:bookmarkStart w:id="66" w:name="_Toc9144"/>
      <w:bookmarkStart w:id="67" w:name="_Toc10040"/>
      <w:bookmarkStart w:id="68" w:name="_Toc12827"/>
      <w:r>
        <w:rPr>
          <w:rFonts w:hint="eastAsia" w:asciiTheme="minorEastAsia" w:hAnsiTheme="minorEastAsia" w:eastAsiaTheme="minorEastAsia" w:cstheme="minorEastAsia"/>
          <w:bCs w:val="0"/>
          <w:sz w:val="28"/>
          <w:szCs w:val="28"/>
        </w:rPr>
        <w:t>投标人须知前附表</w:t>
      </w:r>
      <w:bookmarkEnd w:id="57"/>
      <w:bookmarkEnd w:id="58"/>
      <w:bookmarkEnd w:id="59"/>
      <w:bookmarkEnd w:id="60"/>
      <w:bookmarkEnd w:id="61"/>
      <w:bookmarkEnd w:id="62"/>
      <w:bookmarkEnd w:id="63"/>
      <w:bookmarkEnd w:id="64"/>
      <w:bookmarkEnd w:id="65"/>
      <w:bookmarkEnd w:id="66"/>
      <w:bookmarkEnd w:id="67"/>
      <w:bookmarkEnd w:id="68"/>
    </w:p>
    <w:tbl>
      <w:tblPr>
        <w:tblStyle w:val="30"/>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14:paraId="48859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14:paraId="355787DA">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序号</w:t>
            </w:r>
          </w:p>
        </w:tc>
        <w:tc>
          <w:tcPr>
            <w:tcW w:w="1497" w:type="dxa"/>
            <w:tcBorders>
              <w:top w:val="single" w:color="auto" w:sz="12" w:space="0"/>
              <w:right w:val="single" w:color="auto" w:sz="4" w:space="0"/>
            </w:tcBorders>
            <w:vAlign w:val="center"/>
          </w:tcPr>
          <w:p w14:paraId="683F9ED3">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条款名称</w:t>
            </w:r>
          </w:p>
        </w:tc>
        <w:tc>
          <w:tcPr>
            <w:tcW w:w="7708" w:type="dxa"/>
            <w:tcBorders>
              <w:top w:val="single" w:color="auto" w:sz="12" w:space="0"/>
              <w:left w:val="single" w:color="auto" w:sz="4" w:space="0"/>
            </w:tcBorders>
            <w:vAlign w:val="center"/>
          </w:tcPr>
          <w:p w14:paraId="248F6669">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说明和要求</w:t>
            </w:r>
          </w:p>
        </w:tc>
      </w:tr>
      <w:tr w14:paraId="25EA2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14:paraId="293D3A3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497" w:type="dxa"/>
            <w:tcBorders>
              <w:right w:val="single" w:color="auto" w:sz="4" w:space="0"/>
            </w:tcBorders>
            <w:vAlign w:val="center"/>
          </w:tcPr>
          <w:p w14:paraId="1FCE1DF3">
            <w:pPr>
              <w:spacing w:before="31" w:beforeLines="10" w:after="31" w:afterLines="10" w:line="360" w:lineRule="exact"/>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采购人</w:t>
            </w:r>
          </w:p>
        </w:tc>
        <w:tc>
          <w:tcPr>
            <w:tcW w:w="7708" w:type="dxa"/>
            <w:tcBorders>
              <w:left w:val="single" w:color="auto" w:sz="4" w:space="0"/>
            </w:tcBorders>
            <w:vAlign w:val="center"/>
          </w:tcPr>
          <w:p w14:paraId="338E4BE2">
            <w:pPr>
              <w:spacing w:line="35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皮山县民政局</w:t>
            </w:r>
          </w:p>
          <w:p w14:paraId="0FA3C495">
            <w:pPr>
              <w:pStyle w:val="8"/>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地址：皮山县社会福利园区</w:t>
            </w:r>
          </w:p>
          <w:p w14:paraId="4E20A759">
            <w:pPr>
              <w:spacing w:line="3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lang w:val="zh-CN"/>
              </w:rPr>
              <w:t>联系人：艾科热木江·阿卜来提 </w:t>
            </w:r>
          </w:p>
          <w:p w14:paraId="5E4C0195">
            <w:pPr>
              <w:spacing w:before="31" w:beforeLines="10" w:after="31" w:afterLines="10" w:line="360" w:lineRule="exac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bCs/>
                <w:color w:val="000000"/>
                <w:sz w:val="24"/>
                <w:szCs w:val="24"/>
                <w:lang w:val="zh-CN"/>
              </w:rPr>
              <w:t>电</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Cs/>
                <w:color w:val="000000"/>
                <w:sz w:val="24"/>
                <w:szCs w:val="24"/>
                <w:lang w:val="zh-CN"/>
              </w:rPr>
              <w:t>话：</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0903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6422474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/18197892277</w:t>
            </w:r>
          </w:p>
        </w:tc>
      </w:tr>
      <w:tr w14:paraId="6121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14:paraId="1992994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497" w:type="dxa"/>
            <w:tcBorders>
              <w:right w:val="single" w:color="auto" w:sz="4" w:space="0"/>
            </w:tcBorders>
            <w:vAlign w:val="center"/>
          </w:tcPr>
          <w:p w14:paraId="4A2E0663">
            <w:pPr>
              <w:spacing w:before="31" w:beforeLines="10" w:after="31" w:afterLines="10"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代理机构</w:t>
            </w:r>
          </w:p>
        </w:tc>
        <w:tc>
          <w:tcPr>
            <w:tcW w:w="7708" w:type="dxa"/>
            <w:tcBorders>
              <w:left w:val="single" w:color="auto" w:sz="4" w:space="0"/>
            </w:tcBorders>
            <w:vAlign w:val="center"/>
          </w:tcPr>
          <w:p w14:paraId="4D3D40AF">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称：和田锦荣工程项目管理有限公司</w:t>
            </w:r>
          </w:p>
          <w:p w14:paraId="73760E76">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址：新疆和田地区和田市古勒巴格街道凯旋路57号川亿凯旋公馆B区19栋</w:t>
            </w:r>
          </w:p>
          <w:p w14:paraId="2687EBFB">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联系人：王慧珍</w:t>
            </w:r>
          </w:p>
          <w:p w14:paraId="1212B172">
            <w:pPr>
              <w:spacing w:before="31" w:beforeLines="10" w:after="31" w:afterLines="10" w:line="360" w:lineRule="exac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szCs w:val="24"/>
              </w:rPr>
              <w:t>电  话：0903-2515565</w:t>
            </w:r>
            <w:r>
              <w:rPr>
                <w:rFonts w:hint="eastAsia" w:asciiTheme="minorEastAsia" w:hAnsiTheme="minorEastAsia" w:eastAsiaTheme="minorEastAsia" w:cstheme="minorEastAsia"/>
                <w:color w:val="000000"/>
                <w:sz w:val="24"/>
                <w:szCs w:val="24"/>
                <w:lang w:val="en-US" w:eastAsia="zh-CN"/>
              </w:rPr>
              <w:t>/13699329049</w:t>
            </w:r>
          </w:p>
        </w:tc>
      </w:tr>
      <w:tr w14:paraId="28C6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14:paraId="3117A97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497" w:type="dxa"/>
            <w:tcBorders>
              <w:right w:val="single" w:color="auto" w:sz="4" w:space="0"/>
            </w:tcBorders>
            <w:vAlign w:val="center"/>
          </w:tcPr>
          <w:p w14:paraId="37B69CEE">
            <w:pPr>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采购项目名称</w:t>
            </w:r>
          </w:p>
        </w:tc>
        <w:tc>
          <w:tcPr>
            <w:tcW w:w="7708" w:type="dxa"/>
            <w:tcBorders>
              <w:left w:val="single" w:color="auto" w:sz="4" w:space="0"/>
            </w:tcBorders>
            <w:vAlign w:val="center"/>
          </w:tcPr>
          <w:p w14:paraId="57F8D43E">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sz w:val="24"/>
                <w:szCs w:val="22"/>
                <w:lang w:eastAsia="zh-CN"/>
              </w:rPr>
            </w:pPr>
            <w:r>
              <w:rPr>
                <w:rFonts w:hint="eastAsia" w:asciiTheme="minorEastAsia" w:hAnsiTheme="minorEastAsia" w:eastAsiaTheme="minorEastAsia" w:cstheme="minorEastAsia"/>
                <w:color w:val="000000"/>
                <w:sz w:val="24"/>
                <w:szCs w:val="22"/>
                <w:lang w:eastAsia="zh-CN"/>
              </w:rPr>
              <w:t>皮山县民政局2025年养老福利机构集中供养人员照料护理购买服务项目</w:t>
            </w:r>
          </w:p>
        </w:tc>
      </w:tr>
      <w:tr w14:paraId="2A1A3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14:paraId="268FC5D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497" w:type="dxa"/>
            <w:tcBorders>
              <w:right w:val="single" w:color="auto" w:sz="4" w:space="0"/>
            </w:tcBorders>
            <w:vAlign w:val="center"/>
          </w:tcPr>
          <w:p w14:paraId="26122F9A">
            <w:pPr>
              <w:spacing w:line="360" w:lineRule="exact"/>
              <w:ind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采购内容</w:t>
            </w:r>
          </w:p>
        </w:tc>
        <w:tc>
          <w:tcPr>
            <w:tcW w:w="7708" w:type="dxa"/>
            <w:tcBorders>
              <w:left w:val="single" w:color="auto" w:sz="4" w:space="0"/>
            </w:tcBorders>
            <w:vAlign w:val="center"/>
          </w:tcPr>
          <w:p w14:paraId="70CB463E">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sz w:val="24"/>
                <w:szCs w:val="22"/>
                <w:lang w:val="en-US" w:eastAsia="zh-CN"/>
              </w:rPr>
              <w:t>购买2025年皮山</w:t>
            </w:r>
            <w:r>
              <w:rPr>
                <w:rFonts w:hint="eastAsia" w:asciiTheme="minorEastAsia" w:hAnsiTheme="minorEastAsia" w:eastAsiaTheme="minorEastAsia" w:cstheme="minorEastAsia"/>
                <w:color w:val="000000"/>
                <w:sz w:val="24"/>
                <w:szCs w:val="22"/>
                <w:lang w:eastAsia="zh-CN"/>
              </w:rPr>
              <w:t>县</w:t>
            </w:r>
            <w:r>
              <w:rPr>
                <w:rFonts w:hint="eastAsia" w:asciiTheme="minorEastAsia" w:hAnsiTheme="minorEastAsia" w:eastAsiaTheme="minorEastAsia" w:cstheme="minorEastAsia"/>
                <w:color w:val="000000"/>
                <w:sz w:val="24"/>
                <w:szCs w:val="22"/>
                <w:lang w:val="en-US" w:eastAsia="zh-CN"/>
              </w:rPr>
              <w:t>养老福利机构集中</w:t>
            </w:r>
            <w:r>
              <w:rPr>
                <w:rFonts w:hint="eastAsia" w:asciiTheme="minorEastAsia" w:hAnsiTheme="minorEastAsia" w:eastAsiaTheme="minorEastAsia" w:cstheme="minorEastAsia"/>
                <w:color w:val="000000"/>
                <w:sz w:val="24"/>
                <w:szCs w:val="22"/>
                <w:lang w:eastAsia="zh-CN"/>
              </w:rPr>
              <w:t>供养人员照料护理</w:t>
            </w:r>
            <w:r>
              <w:rPr>
                <w:rFonts w:hint="eastAsia" w:asciiTheme="minorEastAsia" w:hAnsiTheme="minorEastAsia" w:eastAsiaTheme="minorEastAsia" w:cstheme="minorEastAsia"/>
                <w:color w:val="000000"/>
                <w:sz w:val="24"/>
                <w:szCs w:val="22"/>
                <w:lang w:val="en-US" w:eastAsia="zh-CN"/>
              </w:rPr>
              <w:t>服务（基本照料护理服务、</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残疾老年人服务、</w:t>
            </w:r>
            <w:r>
              <w:rPr>
                <w:rFonts w:hint="eastAsia" w:asciiTheme="minorEastAsia" w:hAnsiTheme="minorEastAsia" w:eastAsiaTheme="minorEastAsia" w:cstheme="minorEastAsia"/>
                <w:color w:val="000000"/>
                <w:sz w:val="24"/>
                <w:szCs w:val="22"/>
                <w:lang w:val="en-US" w:eastAsia="zh-CN"/>
              </w:rPr>
              <w:t>送医陪护服务、心理疏导服务、社会融入服务等）</w:t>
            </w:r>
          </w:p>
        </w:tc>
      </w:tr>
      <w:tr w14:paraId="05C5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14:paraId="6DFEB4D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497" w:type="dxa"/>
            <w:tcBorders>
              <w:right w:val="single" w:color="auto" w:sz="4" w:space="0"/>
            </w:tcBorders>
            <w:vAlign w:val="center"/>
          </w:tcPr>
          <w:p w14:paraId="68835AFD">
            <w:pPr>
              <w:tabs>
                <w:tab w:val="left" w:pos="900"/>
              </w:tabs>
              <w:spacing w:before="31" w:beforeLines="10" w:after="31" w:afterLines="10" w:line="360" w:lineRule="exact"/>
              <w:jc w:val="center"/>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资金来源</w:t>
            </w:r>
          </w:p>
        </w:tc>
        <w:tc>
          <w:tcPr>
            <w:tcW w:w="7708" w:type="dxa"/>
            <w:tcBorders>
              <w:left w:val="single" w:color="auto" w:sz="4" w:space="0"/>
            </w:tcBorders>
            <w:vAlign w:val="bottom"/>
          </w:tcPr>
          <w:p w14:paraId="426FCA76">
            <w:pPr>
              <w:tabs>
                <w:tab w:val="left" w:pos="900"/>
              </w:tabs>
              <w:spacing w:before="31" w:beforeLines="10" w:after="31" w:afterLines="10" w:line="360" w:lineRule="exact"/>
              <w:jc w:val="left"/>
              <w:rPr>
                <w:rFonts w:hint="default" w:asciiTheme="minorEastAsia" w:hAnsiTheme="minorEastAsia" w:eastAsiaTheme="minorEastAsia" w:cstheme="minorEastAsia"/>
                <w:color w:val="000000" w:themeColor="text1"/>
                <w:sz w:val="24"/>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2"/>
                <w:lang w:val="en-US" w:eastAsia="zh-CN"/>
                <w14:textFill>
                  <w14:solidFill>
                    <w14:schemeClr w14:val="tx1"/>
                  </w14:solidFill>
                </w14:textFill>
              </w:rPr>
              <w:t>2025年中央财政困难群众救助补助资金。</w:t>
            </w:r>
          </w:p>
        </w:tc>
      </w:tr>
      <w:tr w14:paraId="0421F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14:paraId="339BDEF9">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497" w:type="dxa"/>
            <w:tcBorders>
              <w:right w:val="single" w:color="auto" w:sz="4" w:space="0"/>
            </w:tcBorders>
            <w:vAlign w:val="center"/>
          </w:tcPr>
          <w:p w14:paraId="71FA9C0C">
            <w:pPr>
              <w:tabs>
                <w:tab w:val="left" w:pos="900"/>
              </w:tabs>
              <w:spacing w:before="31" w:beforeLines="10" w:after="31" w:afterLines="10" w:line="360" w:lineRule="exact"/>
              <w:jc w:val="center"/>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采购概算价</w:t>
            </w:r>
          </w:p>
        </w:tc>
        <w:tc>
          <w:tcPr>
            <w:tcW w:w="7708" w:type="dxa"/>
            <w:tcBorders>
              <w:left w:val="single" w:color="auto" w:sz="4" w:space="0"/>
            </w:tcBorders>
            <w:vAlign w:val="center"/>
          </w:tcPr>
          <w:p w14:paraId="58270A2D">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预算总价：</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2636400元</w:t>
            </w:r>
            <w:r>
              <w:rPr>
                <w:rFonts w:hint="eastAsia" w:asciiTheme="minorEastAsia" w:hAnsiTheme="minorEastAsia" w:eastAsiaTheme="minorEastAsia" w:cstheme="minorEastAsia"/>
                <w:color w:val="000000" w:themeColor="text1"/>
                <w:sz w:val="24"/>
                <w:szCs w:val="22"/>
                <w14:textFill>
                  <w14:solidFill>
                    <w14:schemeClr w14:val="tx1"/>
                  </w14:solidFill>
                </w14:textFill>
              </w:rPr>
              <w:t>（此采购金额为最高限价，如超过预算价的报价为无效报价）</w:t>
            </w:r>
          </w:p>
          <w:p w14:paraId="06664D9D">
            <w:pPr>
              <w:tabs>
                <w:tab w:val="left" w:pos="900"/>
              </w:tabs>
              <w:spacing w:before="31" w:beforeLines="10" w:after="31" w:afterLines="10" w:line="360" w:lineRule="exact"/>
              <w:jc w:val="left"/>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投标人注意！</w:t>
            </w:r>
          </w:p>
        </w:tc>
      </w:tr>
      <w:tr w14:paraId="11560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3D690CC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497" w:type="dxa"/>
            <w:tcBorders>
              <w:right w:val="single" w:color="auto" w:sz="4" w:space="0"/>
            </w:tcBorders>
            <w:vAlign w:val="center"/>
          </w:tcPr>
          <w:p w14:paraId="70DEC835">
            <w:pPr>
              <w:spacing w:line="360" w:lineRule="exact"/>
              <w:jc w:val="center"/>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kern w:val="0"/>
                <w:sz w:val="24"/>
              </w:rPr>
              <w:t>采购方式</w:t>
            </w:r>
          </w:p>
        </w:tc>
        <w:tc>
          <w:tcPr>
            <w:tcW w:w="7708" w:type="dxa"/>
            <w:tcBorders>
              <w:left w:val="single" w:color="auto" w:sz="4" w:space="0"/>
            </w:tcBorders>
            <w:vAlign w:val="center"/>
          </w:tcPr>
          <w:p w14:paraId="6B5D7F19">
            <w:pPr>
              <w:spacing w:line="360" w:lineRule="exact"/>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kern w:val="0"/>
                <w:sz w:val="24"/>
                <w:szCs w:val="22"/>
              </w:rPr>
              <w:t>公开招标</w:t>
            </w:r>
          </w:p>
        </w:tc>
      </w:tr>
      <w:tr w14:paraId="2708B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1597A170">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497" w:type="dxa"/>
            <w:tcBorders>
              <w:right w:val="single" w:color="auto" w:sz="4" w:space="0"/>
            </w:tcBorders>
            <w:vAlign w:val="center"/>
          </w:tcPr>
          <w:p w14:paraId="0E990B46">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评标方法</w:t>
            </w:r>
          </w:p>
        </w:tc>
        <w:tc>
          <w:tcPr>
            <w:tcW w:w="7708" w:type="dxa"/>
            <w:tcBorders>
              <w:left w:val="single" w:color="auto" w:sz="4" w:space="0"/>
            </w:tcBorders>
            <w:vAlign w:val="center"/>
          </w:tcPr>
          <w:p w14:paraId="7CEF5349">
            <w:pPr>
              <w:spacing w:line="3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根据《政府采购货物和服务招标投标管理办法》（中华人民共和国财政部令第87号）规定的评审标准，采用综合评分法。</w:t>
            </w:r>
          </w:p>
        </w:tc>
      </w:tr>
      <w:tr w14:paraId="5E059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359C6BA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497" w:type="dxa"/>
            <w:tcBorders>
              <w:right w:val="single" w:color="auto" w:sz="4" w:space="0"/>
            </w:tcBorders>
            <w:vAlign w:val="center"/>
          </w:tcPr>
          <w:p w14:paraId="0F8736F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信息公告媒体</w:t>
            </w:r>
          </w:p>
        </w:tc>
        <w:tc>
          <w:tcPr>
            <w:tcW w:w="7708" w:type="dxa"/>
            <w:tcBorders>
              <w:left w:val="single" w:color="auto" w:sz="4" w:space="0"/>
            </w:tcBorders>
            <w:vAlign w:val="center"/>
          </w:tcPr>
          <w:p w14:paraId="000A942C">
            <w:pPr>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新疆政府采购网（http://www.ccgp-xinjiang.gov.cn/）</w:t>
            </w:r>
          </w:p>
        </w:tc>
      </w:tr>
      <w:tr w14:paraId="246CA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2B6B91F">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w:t>
            </w:r>
          </w:p>
        </w:tc>
        <w:tc>
          <w:tcPr>
            <w:tcW w:w="1497" w:type="dxa"/>
            <w:tcBorders>
              <w:right w:val="single" w:color="auto" w:sz="4" w:space="0"/>
            </w:tcBorders>
            <w:vAlign w:val="center"/>
          </w:tcPr>
          <w:p w14:paraId="4A91D12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资格要求</w:t>
            </w:r>
          </w:p>
        </w:tc>
        <w:tc>
          <w:tcPr>
            <w:tcW w:w="7708" w:type="dxa"/>
            <w:tcBorders>
              <w:left w:val="single" w:color="auto" w:sz="4" w:space="0"/>
            </w:tcBorders>
            <w:vAlign w:val="center"/>
          </w:tcPr>
          <w:p w14:paraId="661BABD4">
            <w:pPr>
              <w:spacing w:line="3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投标供应商资格要求:</w:t>
            </w:r>
          </w:p>
          <w:p w14:paraId="77826321">
            <w:pPr>
              <w:spacing w:line="360" w:lineRule="exact"/>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满足《中华人民共和国政府采购法》第二十二条规定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14:paraId="5DDBF5E7">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EC9188B">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（2）法定代表人的需提供法定代表人证明书（须附法人身份证复印件正反面）或委托代理人需提供法定代表人授权委托书（授权书需附法人身份证复印件及委托人身份证复印件正反面）；</w:t>
            </w:r>
          </w:p>
          <w:p w14:paraId="50D2B79E">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6740059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4）具有良好的商业信誉和健全的财务会计制度（需单独提供）：提供2023年由第三方审计机构出具及备案赋码的审计报告（2024年新成立的公司按实际发生的情况提供银行出具的资信证明）和健全的财务会计制度；</w:t>
            </w:r>
          </w:p>
          <w:p w14:paraId="0AF05CF7">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（5）履行合同所必需的设备和专业技术能力：提供《投标人资格声明函》；</w:t>
            </w:r>
          </w:p>
          <w:p w14:paraId="19480FF8">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A782E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5CC508C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（8）企业负责人为同一人或者存在直接控股、管理关系的不同投标人，不得参加同一合同项下的政府采购活动。否则，皆取消投标资格；</w:t>
            </w:r>
          </w:p>
          <w:p w14:paraId="3F1E868D">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（9）投标保证金或电子保函：20000.00元（大写：贰万元整）。</w:t>
            </w:r>
          </w:p>
          <w:p w14:paraId="3B367276">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（10）本项目不接受联合体投标。</w:t>
            </w:r>
          </w:p>
          <w:p w14:paraId="2D6A2BFA">
            <w:pPr>
              <w:pStyle w:val="15"/>
              <w:numPr>
                <w:ilvl w:val="0"/>
                <w:numId w:val="0"/>
              </w:numPr>
              <w:snapToGrid w:val="0"/>
              <w:spacing w:line="360" w:lineRule="auto"/>
              <w:ind w:firstLine="440" w:firstLineChars="200"/>
              <w:outlineLvl w:val="2"/>
              <w:rPr>
                <w:rFonts w:hint="default"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特定资格要求：</w:t>
            </w:r>
          </w:p>
          <w:p w14:paraId="35AD370F">
            <w:pPr>
              <w:pStyle w:val="15"/>
              <w:numPr>
                <w:ilvl w:val="0"/>
                <w:numId w:val="6"/>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default" w:asciiTheme="minorEastAsia" w:hAnsiTheme="minorEastAsia" w:eastAsiaTheme="minorEastAsia" w:cstheme="minorEastAsia"/>
                <w:kern w:val="0"/>
                <w:sz w:val="22"/>
                <w:szCs w:val="22"/>
                <w:lang w:val="en-US" w:eastAsia="zh-CN" w:bidi="ar-SA"/>
              </w:rPr>
              <w:t>社会组织获评3A级</w:t>
            </w:r>
            <w:r>
              <w:rPr>
                <w:rFonts w:hint="eastAsia" w:asciiTheme="minorEastAsia" w:hAnsiTheme="minorEastAsia" w:eastAsiaTheme="minorEastAsia" w:cstheme="minorEastAsia"/>
                <w:kern w:val="0"/>
                <w:sz w:val="22"/>
                <w:szCs w:val="22"/>
                <w:lang w:val="en-US" w:eastAsia="zh-CN" w:bidi="ar-SA"/>
              </w:rPr>
              <w:t>及</w:t>
            </w:r>
            <w:r>
              <w:rPr>
                <w:rFonts w:hint="default" w:asciiTheme="minorEastAsia" w:hAnsiTheme="minorEastAsia" w:eastAsiaTheme="minorEastAsia" w:cstheme="minorEastAsia"/>
                <w:kern w:val="0"/>
                <w:sz w:val="22"/>
                <w:szCs w:val="22"/>
                <w:lang w:val="en-US" w:eastAsia="zh-CN" w:bidi="ar-SA"/>
              </w:rPr>
              <w:t>以上</w:t>
            </w:r>
            <w:r>
              <w:rPr>
                <w:rFonts w:hint="eastAsia" w:asciiTheme="minorEastAsia" w:hAnsiTheme="minorEastAsia" w:eastAsiaTheme="minorEastAsia" w:cstheme="minorEastAsia"/>
                <w:kern w:val="0"/>
                <w:sz w:val="22"/>
                <w:szCs w:val="22"/>
                <w:lang w:val="en-US" w:eastAsia="zh-CN" w:bidi="ar-SA"/>
              </w:rPr>
              <w:t>评价；</w:t>
            </w:r>
          </w:p>
          <w:p w14:paraId="2C0B4E35">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（2）供应商须</w:t>
            </w:r>
            <w:r>
              <w:rPr>
                <w:rFonts w:hint="default" w:asciiTheme="minorEastAsia" w:hAnsiTheme="minorEastAsia" w:eastAsiaTheme="minorEastAsia" w:cstheme="minorEastAsia"/>
                <w:kern w:val="0"/>
                <w:sz w:val="22"/>
                <w:szCs w:val="22"/>
                <w:lang w:val="en-US" w:eastAsia="zh-CN" w:bidi="ar-SA"/>
              </w:rPr>
              <w:t>具备提供社会救助服务所必需的固定办公场所、设施、人员和专业技术能力，具有健全的法人管理结构，完善的内部管理和信息公开、民监督制度</w:t>
            </w:r>
            <w:r>
              <w:rPr>
                <w:rFonts w:hint="eastAsia" w:asciiTheme="minorEastAsia" w:hAnsiTheme="minorEastAsia" w:eastAsiaTheme="minorEastAsia" w:cstheme="minorEastAsia"/>
                <w:kern w:val="0"/>
                <w:sz w:val="22"/>
                <w:szCs w:val="22"/>
                <w:lang w:val="en-US" w:eastAsia="zh-CN" w:bidi="ar-SA"/>
              </w:rPr>
              <w:t>；</w:t>
            </w:r>
          </w:p>
        </w:tc>
      </w:tr>
      <w:tr w14:paraId="47201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B75297D">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11</w:t>
            </w:r>
          </w:p>
        </w:tc>
        <w:tc>
          <w:tcPr>
            <w:tcW w:w="1497" w:type="dxa"/>
            <w:tcBorders>
              <w:right w:val="single" w:color="auto" w:sz="4" w:space="0"/>
            </w:tcBorders>
            <w:vAlign w:val="center"/>
          </w:tcPr>
          <w:p w14:paraId="78177A5A">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服务期</w:t>
            </w:r>
          </w:p>
        </w:tc>
        <w:tc>
          <w:tcPr>
            <w:tcW w:w="7708" w:type="dxa"/>
            <w:tcBorders>
              <w:left w:val="single" w:color="auto" w:sz="4" w:space="0"/>
            </w:tcBorders>
            <w:vAlign w:val="center"/>
          </w:tcPr>
          <w:p w14:paraId="5B79E32D">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12个月（具体时间以签订合同为准）</w:t>
            </w:r>
          </w:p>
        </w:tc>
      </w:tr>
      <w:tr w14:paraId="12420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1D7D99F">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w:t>
            </w:r>
          </w:p>
        </w:tc>
        <w:tc>
          <w:tcPr>
            <w:tcW w:w="1497" w:type="dxa"/>
            <w:tcBorders>
              <w:right w:val="single" w:color="auto" w:sz="4" w:space="0"/>
            </w:tcBorders>
            <w:vAlign w:val="center"/>
          </w:tcPr>
          <w:p w14:paraId="2C1D26D9">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质量要求</w:t>
            </w:r>
          </w:p>
        </w:tc>
        <w:tc>
          <w:tcPr>
            <w:tcW w:w="7708" w:type="dxa"/>
            <w:tcBorders>
              <w:left w:val="single" w:color="auto" w:sz="4" w:space="0"/>
            </w:tcBorders>
            <w:vAlign w:val="center"/>
          </w:tcPr>
          <w:p w14:paraId="3065B657">
            <w:pPr>
              <w:spacing w:line="360" w:lineRule="exac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合格及以上</w:t>
            </w:r>
          </w:p>
        </w:tc>
      </w:tr>
      <w:tr w14:paraId="6B5D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03666DA">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13</w:t>
            </w:r>
          </w:p>
        </w:tc>
        <w:tc>
          <w:tcPr>
            <w:tcW w:w="1497" w:type="dxa"/>
            <w:tcBorders>
              <w:right w:val="single" w:color="auto" w:sz="4" w:space="0"/>
            </w:tcBorders>
            <w:vAlign w:val="center"/>
          </w:tcPr>
          <w:p w14:paraId="7483B3BB">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合同付款方式</w:t>
            </w:r>
          </w:p>
        </w:tc>
        <w:tc>
          <w:tcPr>
            <w:tcW w:w="7708" w:type="dxa"/>
            <w:tcBorders>
              <w:left w:val="single" w:color="auto" w:sz="4" w:space="0"/>
            </w:tcBorders>
            <w:vAlign w:val="center"/>
          </w:tcPr>
          <w:p w14:paraId="64A93E21">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甲乙双方签订合同后，甲方向乙方支付合同总价的80%；全部服务达标及评估合格后，甲方向乙方支付合同总价的20%。</w:t>
            </w:r>
          </w:p>
        </w:tc>
      </w:tr>
      <w:tr w14:paraId="20EB7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6E93227">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14</w:t>
            </w:r>
          </w:p>
        </w:tc>
        <w:tc>
          <w:tcPr>
            <w:tcW w:w="1497" w:type="dxa"/>
            <w:tcBorders>
              <w:right w:val="single" w:color="auto" w:sz="4" w:space="0"/>
            </w:tcBorders>
            <w:vAlign w:val="center"/>
          </w:tcPr>
          <w:p w14:paraId="3DE8FC1B">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验收要求</w:t>
            </w:r>
          </w:p>
        </w:tc>
        <w:tc>
          <w:tcPr>
            <w:tcW w:w="7708" w:type="dxa"/>
            <w:tcBorders>
              <w:left w:val="single" w:color="auto" w:sz="4" w:space="0"/>
            </w:tcBorders>
            <w:vAlign w:val="center"/>
          </w:tcPr>
          <w:p w14:paraId="43DE7579">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政府采购合同履行完毕后，收到中标人验收申请10日内组织履约验收</w:t>
            </w:r>
          </w:p>
        </w:tc>
      </w:tr>
      <w:tr w14:paraId="6CB82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898E000">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15</w:t>
            </w:r>
          </w:p>
        </w:tc>
        <w:tc>
          <w:tcPr>
            <w:tcW w:w="1497" w:type="dxa"/>
            <w:tcBorders>
              <w:right w:val="single" w:color="auto" w:sz="4" w:space="0"/>
            </w:tcBorders>
            <w:vAlign w:val="center"/>
          </w:tcPr>
          <w:p w14:paraId="6AABC8B2">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联合体投标</w:t>
            </w:r>
          </w:p>
        </w:tc>
        <w:tc>
          <w:tcPr>
            <w:tcW w:w="7708" w:type="dxa"/>
            <w:tcBorders>
              <w:left w:val="single" w:color="auto" w:sz="4" w:space="0"/>
            </w:tcBorders>
            <w:vAlign w:val="center"/>
          </w:tcPr>
          <w:p w14:paraId="3940C3A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不接受（如非专门面向中小企业采购，需要预留中小企业份额的项目建议接受联合体投标）</w:t>
            </w:r>
          </w:p>
        </w:tc>
      </w:tr>
      <w:tr w14:paraId="4420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C150875">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c>
          <w:tcPr>
            <w:tcW w:w="1497" w:type="dxa"/>
            <w:tcBorders>
              <w:right w:val="single" w:color="auto" w:sz="4" w:space="0"/>
            </w:tcBorders>
            <w:vAlign w:val="center"/>
          </w:tcPr>
          <w:p w14:paraId="281736E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踏勘现场</w:t>
            </w:r>
          </w:p>
        </w:tc>
        <w:tc>
          <w:tcPr>
            <w:tcW w:w="7708" w:type="dxa"/>
            <w:tcBorders>
              <w:left w:val="single" w:color="auto" w:sz="4" w:space="0"/>
            </w:tcBorders>
            <w:vAlign w:val="center"/>
          </w:tcPr>
          <w:p w14:paraId="7B46344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tc>
      </w:tr>
      <w:tr w14:paraId="294A4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D62EAB1">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17</w:t>
            </w:r>
          </w:p>
        </w:tc>
        <w:tc>
          <w:tcPr>
            <w:tcW w:w="1497" w:type="dxa"/>
            <w:tcBorders>
              <w:right w:val="single" w:color="auto" w:sz="4" w:space="0"/>
            </w:tcBorders>
            <w:vAlign w:val="center"/>
          </w:tcPr>
          <w:p w14:paraId="32EECD77">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分包</w:t>
            </w:r>
          </w:p>
        </w:tc>
        <w:tc>
          <w:tcPr>
            <w:tcW w:w="7708" w:type="dxa"/>
            <w:tcBorders>
              <w:left w:val="single" w:color="auto" w:sz="4" w:space="0"/>
            </w:tcBorders>
            <w:vAlign w:val="center"/>
          </w:tcPr>
          <w:p w14:paraId="3ED823B1">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14:textFill>
                  <w14:solidFill>
                    <w14:schemeClr w14:val="tx1"/>
                  </w14:solidFill>
                </w14:textFill>
              </w:rPr>
              <w:t>允许</w:t>
            </w:r>
          </w:p>
        </w:tc>
      </w:tr>
      <w:tr w14:paraId="31B9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B90D7C3">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18</w:t>
            </w:r>
          </w:p>
        </w:tc>
        <w:tc>
          <w:tcPr>
            <w:tcW w:w="1497" w:type="dxa"/>
            <w:tcBorders>
              <w:right w:val="single" w:color="auto" w:sz="4" w:space="0"/>
            </w:tcBorders>
            <w:vAlign w:val="center"/>
          </w:tcPr>
          <w:p w14:paraId="4E4F7F2A">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转包</w:t>
            </w:r>
          </w:p>
        </w:tc>
        <w:tc>
          <w:tcPr>
            <w:tcW w:w="7708" w:type="dxa"/>
            <w:tcBorders>
              <w:left w:val="single" w:color="auto" w:sz="4" w:space="0"/>
            </w:tcBorders>
            <w:vAlign w:val="center"/>
          </w:tcPr>
          <w:p w14:paraId="33242C2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14:paraId="5873E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178A29C">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19</w:t>
            </w:r>
          </w:p>
        </w:tc>
        <w:tc>
          <w:tcPr>
            <w:tcW w:w="1497" w:type="dxa"/>
            <w:tcBorders>
              <w:right w:val="single" w:color="auto" w:sz="4" w:space="0"/>
            </w:tcBorders>
            <w:vAlign w:val="center"/>
          </w:tcPr>
          <w:p w14:paraId="6D46F130">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投标人对招标文件提出质疑的时间</w:t>
            </w:r>
          </w:p>
        </w:tc>
        <w:tc>
          <w:tcPr>
            <w:tcW w:w="7708" w:type="dxa"/>
            <w:tcBorders>
              <w:left w:val="single" w:color="auto" w:sz="4" w:space="0"/>
            </w:tcBorders>
            <w:vAlign w:val="center"/>
          </w:tcPr>
          <w:p w14:paraId="3FFC247E">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招标文件、招标过程或中标结果使自己的合法权益受到损害的，应当在知道或者应知其权益受到损害之日起七个工作日内，以书面形式向招标人、招标代理机构提出质疑；质疑函的方式：将PDF格式电子版质疑文件加盖公章扫描发送至邮箱。</w:t>
            </w:r>
          </w:p>
          <w:p w14:paraId="3059E0DF">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接受质疑的单位：和田锦荣工程项目管理有限公司              </w:t>
            </w:r>
          </w:p>
          <w:p w14:paraId="51BCF6D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联系电话：0903-2515565              </w:t>
            </w:r>
          </w:p>
          <w:p w14:paraId="545259C8">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邮箱：918263649@qq.com</w:t>
            </w:r>
          </w:p>
        </w:tc>
      </w:tr>
      <w:tr w14:paraId="606E6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823" w:type="dxa"/>
            <w:vAlign w:val="center"/>
          </w:tcPr>
          <w:p w14:paraId="54562C3D">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w:t>
            </w:r>
          </w:p>
        </w:tc>
        <w:tc>
          <w:tcPr>
            <w:tcW w:w="1497" w:type="dxa"/>
            <w:tcBorders>
              <w:right w:val="single" w:color="auto" w:sz="4" w:space="0"/>
            </w:tcBorders>
            <w:vAlign w:val="center"/>
          </w:tcPr>
          <w:p w14:paraId="19551CB7">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构成招标文件的其他文件</w:t>
            </w:r>
          </w:p>
        </w:tc>
        <w:tc>
          <w:tcPr>
            <w:tcW w:w="7708" w:type="dxa"/>
            <w:tcBorders>
              <w:left w:val="single" w:color="auto" w:sz="4" w:space="0"/>
            </w:tcBorders>
            <w:vAlign w:val="center"/>
          </w:tcPr>
          <w:p w14:paraId="2C904BB4">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招标文件的澄清、修改书及有关补充通知为招标文件的有效组成部分。</w:t>
            </w:r>
          </w:p>
        </w:tc>
      </w:tr>
      <w:tr w14:paraId="2E242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2020E189">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21</w:t>
            </w:r>
          </w:p>
        </w:tc>
        <w:tc>
          <w:tcPr>
            <w:tcW w:w="1497" w:type="dxa"/>
            <w:tcBorders>
              <w:right w:val="single" w:color="auto" w:sz="4" w:space="0"/>
            </w:tcBorders>
            <w:vAlign w:val="center"/>
          </w:tcPr>
          <w:p w14:paraId="4F0A83C2">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投标截止时间</w:t>
            </w:r>
          </w:p>
        </w:tc>
        <w:tc>
          <w:tcPr>
            <w:tcW w:w="7708" w:type="dxa"/>
            <w:tcBorders>
              <w:left w:val="single" w:color="auto" w:sz="4" w:space="0"/>
            </w:tcBorders>
            <w:vAlign w:val="center"/>
          </w:tcPr>
          <w:p w14:paraId="2125EB9E">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2025年03月05日11:00分（北京时间）</w:t>
            </w:r>
          </w:p>
        </w:tc>
      </w:tr>
      <w:tr w14:paraId="3A5F1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1193244">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22</w:t>
            </w:r>
          </w:p>
        </w:tc>
        <w:tc>
          <w:tcPr>
            <w:tcW w:w="1497" w:type="dxa"/>
            <w:tcBorders>
              <w:right w:val="single" w:color="auto" w:sz="4" w:space="0"/>
            </w:tcBorders>
            <w:vAlign w:val="center"/>
          </w:tcPr>
          <w:p w14:paraId="66EF2493">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投标有效期</w:t>
            </w:r>
          </w:p>
        </w:tc>
        <w:tc>
          <w:tcPr>
            <w:tcW w:w="7708" w:type="dxa"/>
            <w:tcBorders>
              <w:left w:val="single" w:color="auto" w:sz="4" w:space="0"/>
            </w:tcBorders>
            <w:vAlign w:val="center"/>
          </w:tcPr>
          <w:p w14:paraId="3C5D986A">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90日历天（从投标截止之日算起）</w:t>
            </w:r>
          </w:p>
        </w:tc>
      </w:tr>
      <w:tr w14:paraId="59CB6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5B8114E">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23</w:t>
            </w:r>
          </w:p>
        </w:tc>
        <w:tc>
          <w:tcPr>
            <w:tcW w:w="1497" w:type="dxa"/>
            <w:tcBorders>
              <w:right w:val="single" w:color="auto" w:sz="4" w:space="0"/>
            </w:tcBorders>
            <w:vAlign w:val="center"/>
          </w:tcPr>
          <w:p w14:paraId="0BD13ED9">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投标保证金</w:t>
            </w:r>
          </w:p>
        </w:tc>
        <w:tc>
          <w:tcPr>
            <w:tcW w:w="7708" w:type="dxa"/>
            <w:tcBorders>
              <w:left w:val="single" w:color="auto" w:sz="4" w:space="0"/>
            </w:tcBorders>
            <w:vAlign w:val="center"/>
          </w:tcPr>
          <w:p w14:paraId="64B56BCE">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投标保证金的形式：转账、电汇、电子保函</w:t>
            </w:r>
          </w:p>
          <w:p w14:paraId="17037FB3">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投标保证金的金额：</w:t>
            </w:r>
            <w:r>
              <w:rPr>
                <w:rFonts w:hint="eastAsia" w:asciiTheme="minorEastAsia" w:hAnsiTheme="minorEastAsia" w:eastAsiaTheme="minorEastAsia" w:cstheme="minorEastAsia"/>
                <w:color w:val="auto"/>
                <w:sz w:val="24"/>
                <w:szCs w:val="24"/>
                <w:lang w:val="en-US" w:eastAsia="zh-CN"/>
              </w:rPr>
              <w:t>20000.00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贰万元整</w:t>
            </w:r>
            <w:r>
              <w:rPr>
                <w:rFonts w:hint="eastAsia" w:asciiTheme="minorEastAsia" w:hAnsiTheme="minorEastAsia" w:eastAsiaTheme="minorEastAsia" w:cstheme="minorEastAsia"/>
                <w:color w:val="auto"/>
                <w:sz w:val="24"/>
                <w:szCs w:val="24"/>
              </w:rPr>
              <w:t>）</w:t>
            </w:r>
          </w:p>
          <w:p w14:paraId="0B5B706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投标保证金缴纳账户：</w:t>
            </w:r>
          </w:p>
          <w:p w14:paraId="71A75CE8">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账户名称：皮山县民政局</w:t>
            </w:r>
          </w:p>
          <w:p w14:paraId="633C9D2F">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帐号：8781010001201100066513</w:t>
            </w:r>
          </w:p>
          <w:p w14:paraId="3A96165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开户银行：皮山县农村信用合作联社</w:t>
            </w:r>
          </w:p>
          <w:p w14:paraId="2713F629">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highlight w:val="none"/>
              </w:rPr>
              <w:t xml:space="preserve">号：402896400017 </w:t>
            </w:r>
          </w:p>
          <w:p w14:paraId="1AD9BF08">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注：1.采用银行转账或电汇的方式的，由报名单位基本账户于</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日20：00（北京时间）前汇至皮山县民政局专用账户，不得以现金和其他形式缴纳，不得以分公司、办事处或其他机构的名义缴纳，报名单位在缴纳保证金时，需在进账凭证上明确资金用途、项目名称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，以便查对核实。投标保证金缴纳截止时间为递交投标文件截止时间，无须到皮山县民政局换取收据。</w:t>
            </w:r>
          </w:p>
          <w:p w14:paraId="551A0735">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2CC8B3B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保函投保金额(元)：</w:t>
            </w:r>
            <w:r>
              <w:rPr>
                <w:rFonts w:hint="eastAsia" w:asciiTheme="minorEastAsia" w:hAnsiTheme="minorEastAsia" w:eastAsiaTheme="minorEastAsia" w:cstheme="minorEastAsia"/>
                <w:color w:val="auto"/>
                <w:sz w:val="24"/>
                <w:szCs w:val="24"/>
                <w:lang w:val="en-US" w:eastAsia="zh-CN"/>
              </w:rPr>
              <w:t>20000.00元（贰万元整）</w:t>
            </w:r>
            <w:r>
              <w:rPr>
                <w:rFonts w:hint="eastAsia" w:asciiTheme="minorEastAsia" w:hAnsiTheme="minorEastAsia" w:eastAsiaTheme="minorEastAsia" w:cstheme="minorEastAsia"/>
                <w:color w:val="auto"/>
                <w:sz w:val="24"/>
                <w:szCs w:val="24"/>
              </w:rPr>
              <w:t xml:space="preserve">           </w:t>
            </w:r>
          </w:p>
          <w:p w14:paraId="10239ABE">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保函承保期限：</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至2025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02</w:t>
            </w:r>
            <w:r>
              <w:rPr>
                <w:rFonts w:hint="eastAsia" w:asciiTheme="minorEastAsia" w:hAnsiTheme="minorEastAsia" w:eastAsiaTheme="minorEastAsia" w:cstheme="minorEastAsia"/>
                <w:color w:val="auto"/>
                <w:sz w:val="24"/>
                <w:szCs w:val="24"/>
              </w:rPr>
              <w:t xml:space="preserve">日（90日历天）  </w:t>
            </w:r>
          </w:p>
        </w:tc>
      </w:tr>
      <w:tr w14:paraId="4599E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E37B0D5">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24</w:t>
            </w:r>
          </w:p>
        </w:tc>
        <w:tc>
          <w:tcPr>
            <w:tcW w:w="1497" w:type="dxa"/>
            <w:tcBorders>
              <w:right w:val="single" w:color="auto" w:sz="4" w:space="0"/>
            </w:tcBorders>
            <w:vAlign w:val="center"/>
          </w:tcPr>
          <w:p w14:paraId="4B70ACAC">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签字盖章</w:t>
            </w:r>
          </w:p>
        </w:tc>
        <w:tc>
          <w:tcPr>
            <w:tcW w:w="7708" w:type="dxa"/>
            <w:tcBorders>
              <w:left w:val="single" w:color="auto" w:sz="4" w:space="0"/>
            </w:tcBorders>
            <w:vAlign w:val="center"/>
          </w:tcPr>
          <w:p w14:paraId="0239A7BC">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投标人必须按照招标文件的规定和要求签字、盖章</w:t>
            </w:r>
          </w:p>
        </w:tc>
      </w:tr>
      <w:tr w14:paraId="21F72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40D0E77E">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25</w:t>
            </w:r>
          </w:p>
        </w:tc>
        <w:tc>
          <w:tcPr>
            <w:tcW w:w="1497" w:type="dxa"/>
            <w:tcBorders>
              <w:right w:val="single" w:color="auto" w:sz="4" w:space="0"/>
            </w:tcBorders>
            <w:vAlign w:val="center"/>
          </w:tcPr>
          <w:p w14:paraId="1F2F44B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递交投标文件的地点及方式</w:t>
            </w:r>
          </w:p>
        </w:tc>
        <w:tc>
          <w:tcPr>
            <w:tcW w:w="7708" w:type="dxa"/>
            <w:tcBorders>
              <w:left w:val="single" w:color="auto" w:sz="4" w:space="0"/>
            </w:tcBorders>
            <w:vAlign w:val="center"/>
          </w:tcPr>
          <w:p w14:paraId="10574132">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开标地点：皮山县政府投资交易中心四楼（新城区东经二路南端）</w:t>
            </w:r>
          </w:p>
          <w:p w14:paraId="660782D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递交投标文件的地点及方式：投标人应</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点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或95763。</w:t>
            </w:r>
          </w:p>
          <w:p w14:paraId="750BCBA6">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投标文件：开标结束后各投标人将上传政府采购网的投标文件使用A4纸胶装成册（1正2副）递交或邮寄至新疆和田地区和田市古勒巴格街道凯旋路57号川亿凯旋公馆B区19栋。</w:t>
            </w:r>
          </w:p>
        </w:tc>
      </w:tr>
      <w:tr w14:paraId="2C3A4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2A0037A8">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26</w:t>
            </w:r>
          </w:p>
        </w:tc>
        <w:tc>
          <w:tcPr>
            <w:tcW w:w="1497" w:type="dxa"/>
            <w:tcBorders>
              <w:right w:val="single" w:color="auto" w:sz="4" w:space="0"/>
            </w:tcBorders>
            <w:vAlign w:val="center"/>
          </w:tcPr>
          <w:p w14:paraId="4FB2CDF4">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标前准备</w:t>
            </w:r>
          </w:p>
        </w:tc>
        <w:tc>
          <w:tcPr>
            <w:tcW w:w="7708" w:type="dxa"/>
            <w:tcBorders>
              <w:left w:val="single" w:color="auto" w:sz="4" w:space="0"/>
            </w:tcBorders>
            <w:vAlign w:val="center"/>
          </w:tcPr>
          <w:p w14:paraId="054E490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1、本项目实行网上投标，采用电子投标文件。供应商应按照相关格式要求上传投标文件即可，无需到现场开标。若供应商参与投标，自行承担投标一切费用。</w:t>
            </w:r>
          </w:p>
          <w:p w14:paraId="42A33C09">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479C1E86">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6D86041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5C1A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176C616">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27</w:t>
            </w:r>
          </w:p>
        </w:tc>
        <w:tc>
          <w:tcPr>
            <w:tcW w:w="1497" w:type="dxa"/>
            <w:tcBorders>
              <w:right w:val="single" w:color="auto" w:sz="4" w:space="0"/>
            </w:tcBorders>
            <w:vAlign w:val="center"/>
          </w:tcPr>
          <w:p w14:paraId="1C314EDB">
            <w:pPr>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招标文件解密时间</w:t>
            </w:r>
          </w:p>
          <w:p w14:paraId="61694DD6">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7708" w:type="dxa"/>
            <w:tcBorders>
              <w:left w:val="single" w:color="auto" w:sz="4" w:space="0"/>
            </w:tcBorders>
            <w:vAlign w:val="center"/>
          </w:tcPr>
          <w:p w14:paraId="51057AC2">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日11：00-12：00（北京时间）前供应商可以登录“政采云”平台，用“项目采购-开标评标”功能进行解密投标文件。若供应商在规定时间内（</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日上午12:00前）未按时解密的，视为投标文件撤回。</w:t>
            </w:r>
          </w:p>
        </w:tc>
      </w:tr>
      <w:tr w14:paraId="115CE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6ED9CF6">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28</w:t>
            </w:r>
          </w:p>
        </w:tc>
        <w:tc>
          <w:tcPr>
            <w:tcW w:w="1497" w:type="dxa"/>
            <w:tcBorders>
              <w:right w:val="single" w:color="auto" w:sz="4" w:space="0"/>
            </w:tcBorders>
            <w:vAlign w:val="center"/>
          </w:tcPr>
          <w:p w14:paraId="08240FF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招标代理服务费</w:t>
            </w:r>
          </w:p>
        </w:tc>
        <w:tc>
          <w:tcPr>
            <w:tcW w:w="7708" w:type="dxa"/>
            <w:tcBorders>
              <w:left w:val="single" w:color="auto" w:sz="4" w:space="0"/>
            </w:tcBorders>
            <w:vAlign w:val="center"/>
          </w:tcPr>
          <w:p w14:paraId="5DF1386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代理费用收取方式及标准，采用以下方式：</w:t>
            </w:r>
          </w:p>
          <w:p w14:paraId="04D73CD7">
            <w:pPr>
              <w:spacing w:line="3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参照国家发改委［2011］534号文、［2015］299号文作为协商价格的基础收取。</w:t>
            </w:r>
          </w:p>
          <w:p w14:paraId="4AAE9826">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本项目招标代理服务费：由中标供应商支付。</w:t>
            </w:r>
          </w:p>
        </w:tc>
      </w:tr>
      <w:tr w14:paraId="4886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A22327B">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29</w:t>
            </w:r>
          </w:p>
        </w:tc>
        <w:tc>
          <w:tcPr>
            <w:tcW w:w="1497" w:type="dxa"/>
            <w:tcBorders>
              <w:right w:val="single" w:color="auto" w:sz="4" w:space="0"/>
            </w:tcBorders>
            <w:vAlign w:val="center"/>
          </w:tcPr>
          <w:p w14:paraId="6D7C57E6">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代理服务费付款方式</w:t>
            </w:r>
          </w:p>
        </w:tc>
        <w:tc>
          <w:tcPr>
            <w:tcW w:w="7708" w:type="dxa"/>
            <w:tcBorders>
              <w:left w:val="single" w:color="auto" w:sz="4" w:space="0"/>
            </w:tcBorders>
            <w:vAlign w:val="center"/>
          </w:tcPr>
          <w:p w14:paraId="55FAC4E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公对公转账或电汇</w:t>
            </w:r>
          </w:p>
        </w:tc>
      </w:tr>
      <w:tr w14:paraId="436A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9B81A19">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30</w:t>
            </w:r>
          </w:p>
        </w:tc>
        <w:tc>
          <w:tcPr>
            <w:tcW w:w="1497" w:type="dxa"/>
            <w:tcBorders>
              <w:right w:val="single" w:color="auto" w:sz="4" w:space="0"/>
            </w:tcBorders>
            <w:vAlign w:val="center"/>
          </w:tcPr>
          <w:p w14:paraId="3DEDDB6A">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评标委员的组建</w:t>
            </w:r>
          </w:p>
        </w:tc>
        <w:tc>
          <w:tcPr>
            <w:tcW w:w="7708" w:type="dxa"/>
            <w:tcBorders>
              <w:left w:val="single" w:color="auto" w:sz="4" w:space="0"/>
            </w:tcBorders>
            <w:vAlign w:val="center"/>
          </w:tcPr>
          <w:p w14:paraId="7C0A4566">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评标委员会构成：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p>
          <w:p w14:paraId="67E8A85F">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评标专家确定方式：由招标代理在开标前48小时在新疆政府采购专家库中随机抽取此次评标专家。</w:t>
            </w:r>
          </w:p>
        </w:tc>
      </w:tr>
      <w:tr w14:paraId="3AE9D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0DDD88C">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31</w:t>
            </w:r>
          </w:p>
        </w:tc>
        <w:tc>
          <w:tcPr>
            <w:tcW w:w="1497" w:type="dxa"/>
            <w:tcBorders>
              <w:right w:val="single" w:color="auto" w:sz="4" w:space="0"/>
            </w:tcBorders>
            <w:vAlign w:val="center"/>
          </w:tcPr>
          <w:p w14:paraId="59C6C4BC">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履约保证金</w:t>
            </w:r>
          </w:p>
        </w:tc>
        <w:tc>
          <w:tcPr>
            <w:tcW w:w="7708" w:type="dxa"/>
            <w:tcBorders>
              <w:left w:val="single" w:color="auto" w:sz="4" w:space="0"/>
            </w:tcBorders>
            <w:vAlign w:val="center"/>
          </w:tcPr>
          <w:p w14:paraId="1AA44B00">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合同总价的　10%　，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6367FEF6">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履约保证金形式：支票、汇票、本票、或者金融机构、担保机构出具的保函、等非现金形式提交（履约赔付地点为项目所在地）</w:t>
            </w:r>
          </w:p>
        </w:tc>
      </w:tr>
      <w:tr w14:paraId="6CA58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40CD2184">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32</w:t>
            </w:r>
          </w:p>
        </w:tc>
        <w:tc>
          <w:tcPr>
            <w:tcW w:w="1497" w:type="dxa"/>
            <w:tcBorders>
              <w:right w:val="single" w:color="auto" w:sz="4" w:space="0"/>
            </w:tcBorders>
            <w:vAlign w:val="center"/>
          </w:tcPr>
          <w:p w14:paraId="30686BA3">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政府采购政策支持</w:t>
            </w:r>
          </w:p>
        </w:tc>
        <w:tc>
          <w:tcPr>
            <w:tcW w:w="7708" w:type="dxa"/>
            <w:tcBorders>
              <w:left w:val="single" w:color="auto" w:sz="4" w:space="0"/>
            </w:tcBorders>
            <w:vAlign w:val="top"/>
          </w:tcPr>
          <w:p w14:paraId="433D8CD9">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5D12A216">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价格扣除幅度：货物服务采购项目给予小微企业的价格扣除优惠，由财库〔2020〕46 号文件规定的 6%—10%提高至 10%—20%。大中型企业与小微企业组成联合体或者大中型企业向小微企业分包的，评审优惠幅度由 2%—3%提高至 4%—6%。政府采购工程的价格评审优惠按照财库〔2020〕46 号文件的规定执行。</w:t>
            </w:r>
          </w:p>
          <w:p w14:paraId="3394F27F">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注：供应商应当对《中小企业声明函》、监狱企业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4BF73AB5">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本项目所属行业：其他未列明行业。                    </w:t>
            </w:r>
          </w:p>
        </w:tc>
      </w:tr>
      <w:tr w14:paraId="68687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370A753">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w:t>
            </w:r>
          </w:p>
        </w:tc>
        <w:tc>
          <w:tcPr>
            <w:tcW w:w="1497" w:type="dxa"/>
            <w:tcBorders>
              <w:right w:val="single" w:color="auto" w:sz="4" w:space="0"/>
            </w:tcBorders>
            <w:vAlign w:val="center"/>
          </w:tcPr>
          <w:p w14:paraId="0F181A7A">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关于小微企业报价扣除比例说明</w:t>
            </w:r>
          </w:p>
        </w:tc>
        <w:tc>
          <w:tcPr>
            <w:tcW w:w="7708" w:type="dxa"/>
            <w:tcBorders>
              <w:left w:val="single" w:color="auto" w:sz="4" w:space="0"/>
            </w:tcBorders>
            <w:vAlign w:val="top"/>
          </w:tcPr>
          <w:p w14:paraId="3D3C35C4">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1.投标人为非联合体投标的，对其投标货物的制造商为小微型企业的给予10%的扣除，以扣除后的报价参与评审。</w:t>
            </w:r>
          </w:p>
          <w:p w14:paraId="0747C424">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由采购人在幅度范围内确定）的扣除，用扣除后的价格参加评审。</w:t>
            </w:r>
          </w:p>
          <w:p w14:paraId="2746F199">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3.监狱企业、残疾人福利性单位视同小型、微型企业。</w:t>
            </w:r>
          </w:p>
          <w:p w14:paraId="3BB9B2D6">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color w:va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4.如专门面向中小企业的采购项目，不再享受价格扣除。</w:t>
            </w:r>
          </w:p>
        </w:tc>
      </w:tr>
      <w:tr w14:paraId="2A304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8E9C2C0">
            <w:pPr>
              <w:spacing w:line="36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34</w:t>
            </w:r>
          </w:p>
        </w:tc>
        <w:tc>
          <w:tcPr>
            <w:tcW w:w="1497" w:type="dxa"/>
            <w:tcBorders>
              <w:right w:val="single" w:color="auto" w:sz="4" w:space="0"/>
            </w:tcBorders>
            <w:vAlign w:val="center"/>
          </w:tcPr>
          <w:p w14:paraId="6BC22C06">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服务期及服务地点</w:t>
            </w:r>
          </w:p>
        </w:tc>
        <w:tc>
          <w:tcPr>
            <w:tcW w:w="7708" w:type="dxa"/>
            <w:tcBorders>
              <w:left w:val="single" w:color="auto" w:sz="4" w:space="0"/>
            </w:tcBorders>
            <w:vAlign w:val="top"/>
          </w:tcPr>
          <w:p w14:paraId="7E447D80">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服务期：中标结果公示期1个工作日后3个日历日内中标单位与甲方签订合同。</w:t>
            </w:r>
          </w:p>
          <w:p w14:paraId="488B2E8D">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服务地点：最终按甲方指定地点验收、服务。</w:t>
            </w:r>
          </w:p>
        </w:tc>
      </w:tr>
      <w:tr w14:paraId="04500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704287D">
            <w:pPr>
              <w:spacing w:line="36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w:t>
            </w:r>
          </w:p>
        </w:tc>
        <w:tc>
          <w:tcPr>
            <w:tcW w:w="1497" w:type="dxa"/>
            <w:tcBorders>
              <w:right w:val="single" w:color="auto" w:sz="4" w:space="0"/>
            </w:tcBorders>
            <w:vAlign w:val="center"/>
          </w:tcPr>
          <w:p w14:paraId="4F504C24">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不予退还保证金的情形</w:t>
            </w:r>
          </w:p>
        </w:tc>
        <w:tc>
          <w:tcPr>
            <w:tcW w:w="7708" w:type="dxa"/>
            <w:tcBorders>
              <w:left w:val="single" w:color="auto" w:sz="4" w:space="0"/>
            </w:tcBorders>
            <w:vAlign w:val="top"/>
          </w:tcPr>
          <w:p w14:paraId="09FD6FB5">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有下列情形之一的，保证金不予退还：</w:t>
            </w:r>
          </w:p>
          <w:p w14:paraId="5934677E">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（1）供应商在提交投标文件截止时间后撤回投标文件的；</w:t>
            </w:r>
          </w:p>
          <w:p w14:paraId="30ED1FEA">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（2）供应商在投标文件中提供虚假材料的；</w:t>
            </w:r>
          </w:p>
          <w:p w14:paraId="3FCC0AA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（3）除因不可抗力或招标文件认可的情形以外，成交供应商不与采购人签订合同的；</w:t>
            </w:r>
          </w:p>
          <w:p w14:paraId="2F4E6BD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（4）供应商与采购人、其他供应商或者采购代理机构恶意串通的；</w:t>
            </w:r>
          </w:p>
          <w:p w14:paraId="0632A28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（5）招标文件规定的其他情形。</w:t>
            </w:r>
          </w:p>
        </w:tc>
      </w:tr>
      <w:tr w14:paraId="2C5C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04F5B20">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36</w:t>
            </w:r>
          </w:p>
        </w:tc>
        <w:tc>
          <w:tcPr>
            <w:tcW w:w="1497" w:type="dxa"/>
            <w:tcBorders>
              <w:right w:val="single" w:color="auto" w:sz="4" w:space="0"/>
            </w:tcBorders>
            <w:vAlign w:val="center"/>
          </w:tcPr>
          <w:p w14:paraId="030C8FE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其他说明</w:t>
            </w:r>
            <w:r>
              <w:rPr>
                <w:rFonts w:hint="eastAsia" w:asciiTheme="minorEastAsia" w:hAnsiTheme="minorEastAsia" w:eastAsiaTheme="minorEastAsia" w:cstheme="minorEastAsia"/>
                <w:color w:val="auto"/>
                <w:sz w:val="24"/>
                <w:szCs w:val="24"/>
                <w:highlight w:val="none"/>
                <w:lang w:val="en-US" w:eastAsia="zh-CN"/>
              </w:rPr>
              <w:t>1</w:t>
            </w:r>
          </w:p>
        </w:tc>
        <w:tc>
          <w:tcPr>
            <w:tcW w:w="7708" w:type="dxa"/>
            <w:tcBorders>
              <w:left w:val="single" w:color="auto" w:sz="4" w:space="0"/>
            </w:tcBorders>
            <w:vAlign w:val="center"/>
          </w:tcPr>
          <w:p w14:paraId="2E4D3BB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特别提醒：</w:t>
            </w:r>
          </w:p>
          <w:p w14:paraId="05AF113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1、所有投标人的报价高于本项目（标项）最高限价额度的视为无效报价（即作否决投标处理）。</w:t>
            </w:r>
          </w:p>
          <w:p w14:paraId="4F0AAD2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40C7EB8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7099E48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4、更正补充公告请自行登录新疆政府采购网查看下载。</w:t>
            </w:r>
          </w:p>
          <w:p w14:paraId="5908D4A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5、采购代理机构将拒绝接受未在政采云平台获取招标文件的投标人的投标文件。</w:t>
            </w:r>
          </w:p>
          <w:p w14:paraId="65F727C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6、所有投标单位对招标文件中所有条款如有疑问或异议请在开标以书面形式提出，否则不予受理。</w:t>
            </w:r>
          </w:p>
          <w:p w14:paraId="4B2BFEB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7、为确保投标保证金的及时退还，结果公示后投标企业需提供保证金汇款凭证、开户许可证复印件、收据并注明开户行行号、联系方式（加盖公司鲜公章）交至皮山县民政局财务室办理。（注：废标项目投标保证金在后续项目再次招标时银行系统不做统计，投标企业及时办理退款）。</w:t>
            </w:r>
          </w:p>
          <w:p w14:paraId="11659CDD">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8、本项目资格审查模块由招标代理组织进行。</w:t>
            </w:r>
          </w:p>
        </w:tc>
      </w:tr>
      <w:tr w14:paraId="15CFA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35B0138">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37</w:t>
            </w:r>
          </w:p>
        </w:tc>
        <w:tc>
          <w:tcPr>
            <w:tcW w:w="1497" w:type="dxa"/>
            <w:tcBorders>
              <w:right w:val="single" w:color="auto" w:sz="4" w:space="0"/>
            </w:tcBorders>
            <w:vAlign w:val="center"/>
          </w:tcPr>
          <w:p w14:paraId="29340EA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其他说明</w:t>
            </w:r>
            <w:r>
              <w:rPr>
                <w:rFonts w:hint="eastAsia" w:asciiTheme="minorEastAsia" w:hAnsiTheme="minorEastAsia" w:eastAsiaTheme="minorEastAsia" w:cstheme="minorEastAsia"/>
                <w:color w:val="auto"/>
                <w:sz w:val="24"/>
                <w:szCs w:val="24"/>
                <w:highlight w:val="none"/>
                <w:lang w:val="en-US" w:eastAsia="zh-CN"/>
              </w:rPr>
              <w:t>2</w:t>
            </w:r>
          </w:p>
        </w:tc>
        <w:tc>
          <w:tcPr>
            <w:tcW w:w="7708" w:type="dxa"/>
            <w:tcBorders>
              <w:left w:val="single" w:color="auto" w:sz="4" w:space="0"/>
            </w:tcBorders>
            <w:vAlign w:val="center"/>
          </w:tcPr>
          <w:p w14:paraId="5BB92D6C">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1E02A9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07C7EDF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asciiTheme="minorEastAsia" w:hAnsiTheme="minorEastAsia" w:eastAsiaTheme="minorEastAsia" w:cstheme="minorEastAsia"/>
                <w:b w:val="0"/>
                <w:bCs w:val="0"/>
                <w:color w:val="000000"/>
                <w:sz w:val="24"/>
                <w:szCs w:val="24"/>
                <w:highlight w:val="none"/>
                <w:lang w:val="zh-CN" w:eastAsia="zh-CN"/>
              </w:rPr>
              <w:t>本项目的招标投标活动以及相关当事人须接受财政监督部门依法实施的监督。</w:t>
            </w:r>
          </w:p>
          <w:p w14:paraId="5298947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647EBE9C">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F37E470">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76E9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156C9A5">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38</w:t>
            </w:r>
          </w:p>
        </w:tc>
        <w:tc>
          <w:tcPr>
            <w:tcW w:w="1497" w:type="dxa"/>
            <w:tcBorders>
              <w:right w:val="single" w:color="auto" w:sz="4" w:space="0"/>
            </w:tcBorders>
            <w:vAlign w:val="center"/>
          </w:tcPr>
          <w:p w14:paraId="302248B4">
            <w:pPr>
              <w:shd w:val="clear" w:color="auto" w:fill="auto"/>
              <w:spacing w:line="360" w:lineRule="exact"/>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重要提示</w:t>
            </w:r>
          </w:p>
        </w:tc>
        <w:tc>
          <w:tcPr>
            <w:tcW w:w="7708" w:type="dxa"/>
            <w:tcBorders>
              <w:left w:val="single" w:color="auto" w:sz="4" w:space="0"/>
            </w:tcBorders>
            <w:vAlign w:val="center"/>
          </w:tcPr>
          <w:p w14:paraId="1C5F365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5D56F5D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7D2ECFB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2FD0A49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（4）中标供应商中标后被监管部门查实存在违法行为，不满足中标条件的，由采购人取消中标资格，并做好项目后续工作； </w:t>
            </w:r>
          </w:p>
          <w:p w14:paraId="33287EB3">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437CA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4EAF825">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39</w:t>
            </w:r>
          </w:p>
        </w:tc>
        <w:tc>
          <w:tcPr>
            <w:tcW w:w="1497" w:type="dxa"/>
            <w:tcBorders>
              <w:right w:val="single" w:color="auto" w:sz="4" w:space="0"/>
            </w:tcBorders>
            <w:vAlign w:val="center"/>
          </w:tcPr>
          <w:p w14:paraId="7E13021D">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其他方式采购</w:t>
            </w:r>
          </w:p>
        </w:tc>
        <w:tc>
          <w:tcPr>
            <w:tcW w:w="7708" w:type="dxa"/>
            <w:tcBorders>
              <w:left w:val="single" w:color="auto" w:sz="4" w:space="0"/>
            </w:tcBorders>
            <w:vAlign w:val="center"/>
          </w:tcPr>
          <w:p w14:paraId="5D1B7F0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263712F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（1）招标文件存在不合理条款或者采购程序不符合规定的，采购人、采购代理机构改正后依法重新采购；</w:t>
            </w:r>
          </w:p>
          <w:p w14:paraId="00728639">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（2）招标文件没有不合理条款、采购程序符合规定，需要采用其他采购方式采购的，采购人应当依法报财政部门批准。</w:t>
            </w:r>
          </w:p>
        </w:tc>
      </w:tr>
      <w:tr w14:paraId="2890D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F872B3E">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w:t>
            </w:r>
          </w:p>
        </w:tc>
        <w:tc>
          <w:tcPr>
            <w:tcW w:w="1497" w:type="dxa"/>
            <w:tcBorders>
              <w:right w:val="single" w:color="auto" w:sz="4" w:space="0"/>
            </w:tcBorders>
            <w:vAlign w:val="center"/>
          </w:tcPr>
          <w:p w14:paraId="44182F93">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质疑</w:t>
            </w:r>
          </w:p>
        </w:tc>
        <w:tc>
          <w:tcPr>
            <w:tcW w:w="7708" w:type="dxa"/>
            <w:tcBorders>
              <w:left w:val="single" w:color="auto" w:sz="4" w:space="0"/>
            </w:tcBorders>
            <w:vAlign w:val="center"/>
          </w:tcPr>
          <w:p w14:paraId="2FB1A5D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3B459022">
            <w:pPr>
              <w:keepNext w:val="0"/>
              <w:keepLines w:val="0"/>
              <w:pageBreakBefore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color w:val="000000"/>
                <w:sz w:val="24"/>
                <w:szCs w:val="24"/>
                <w:highlight w:val="none"/>
                <w:lang w:val="en-US" w:eastAsia="zh-CN"/>
              </w:rPr>
              <w:t>注：根据《中华人民共和国政府采购法》的规定，供应商质疑不得超出公开招标文件、公开招标过程及公开招标结果的范围及时效限制。</w:t>
            </w:r>
          </w:p>
        </w:tc>
      </w:tr>
      <w:tr w14:paraId="41ED7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D256823">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41</w:t>
            </w:r>
          </w:p>
        </w:tc>
        <w:tc>
          <w:tcPr>
            <w:tcW w:w="1497" w:type="dxa"/>
            <w:tcBorders>
              <w:right w:val="single" w:color="auto" w:sz="4" w:space="0"/>
            </w:tcBorders>
            <w:vAlign w:val="center"/>
          </w:tcPr>
          <w:p w14:paraId="2CA62930">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投诉</w:t>
            </w:r>
          </w:p>
        </w:tc>
        <w:tc>
          <w:tcPr>
            <w:tcW w:w="7708" w:type="dxa"/>
            <w:tcBorders>
              <w:left w:val="single" w:color="auto" w:sz="4" w:space="0"/>
            </w:tcBorders>
            <w:vAlign w:val="center"/>
          </w:tcPr>
          <w:p w14:paraId="7C453FA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662DFD0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09378A2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注：根据《中华人民共和国政府采购法实施条例》的规定，供应商投诉事项不得超出已质疑事项的范围。</w:t>
            </w:r>
          </w:p>
          <w:p w14:paraId="047FDD36">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采购监管部门：皮山县政府采购办</w:t>
            </w:r>
          </w:p>
          <w:p w14:paraId="43461C2C">
            <w:pPr>
              <w:pStyle w:val="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联系方式：0903-6422575</w:t>
            </w:r>
          </w:p>
        </w:tc>
      </w:tr>
      <w:tr w14:paraId="784AA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10028" w:type="dxa"/>
            <w:gridSpan w:val="3"/>
            <w:vAlign w:val="center"/>
          </w:tcPr>
          <w:p w14:paraId="26F3DECA">
            <w:pPr>
              <w:spacing w:line="240" w:lineRule="auto"/>
              <w:ind w:left="0" w:right="0" w:firstLine="48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173C85A5">
            <w:pPr>
              <w:spacing w:line="240" w:lineRule="auto"/>
              <w:ind w:left="0" w:right="0" w:firstLine="48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请注意：供应商需在投标文件截止时间前，将加密投标文件上传至云平台项目采购系统，逾期上传或错误方式投递送达将导致投标无效。</w:t>
            </w:r>
          </w:p>
          <w:p w14:paraId="549B93D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kern w:val="2"/>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1D5BA193">
      <w:pPr>
        <w:spacing w:line="360" w:lineRule="auto"/>
        <w:jc w:val="both"/>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szCs w:val="24"/>
        </w:rPr>
        <w:t>备注：本须知前附表内容与招标文件的内容相对应，如有矛盾，应以投标须知前附表为准。</w:t>
      </w:r>
    </w:p>
    <w:p w14:paraId="31CD56BC">
      <w:pPr>
        <w:spacing w:line="500" w:lineRule="exact"/>
        <w:jc w:val="center"/>
        <w:rPr>
          <w:rFonts w:hint="eastAsia" w:asciiTheme="minorEastAsia" w:hAnsiTheme="minorEastAsia" w:eastAsiaTheme="minorEastAsia" w:cstheme="minorEastAsia"/>
          <w:b/>
          <w:sz w:val="28"/>
          <w:szCs w:val="28"/>
        </w:rPr>
      </w:pPr>
    </w:p>
    <w:p w14:paraId="507AA368">
      <w:pPr>
        <w:spacing w:line="500" w:lineRule="exact"/>
        <w:jc w:val="center"/>
        <w:rPr>
          <w:rFonts w:hint="eastAsia" w:asciiTheme="minorEastAsia" w:hAnsiTheme="minorEastAsia" w:eastAsiaTheme="minorEastAsia" w:cstheme="minorEastAsia"/>
          <w:b/>
          <w:sz w:val="28"/>
          <w:szCs w:val="28"/>
        </w:rPr>
      </w:pPr>
    </w:p>
    <w:p w14:paraId="05BC0964">
      <w:pPr>
        <w:spacing w:line="5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8"/>
          <w:szCs w:val="28"/>
        </w:rPr>
        <w:t>投标人须知正文部分</w:t>
      </w:r>
    </w:p>
    <w:p w14:paraId="69C2E732">
      <w:pPr>
        <w:spacing w:line="500" w:lineRule="exact"/>
        <w:ind w:left="120" w:hanging="120"/>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 xml:space="preserve"> </w:t>
      </w:r>
      <w:bookmarkStart w:id="69" w:name="_Toc17382"/>
      <w:r>
        <w:rPr>
          <w:rFonts w:hint="eastAsia" w:asciiTheme="minorEastAsia" w:hAnsiTheme="minorEastAsia" w:eastAsiaTheme="minorEastAsia" w:cstheme="minorEastAsia"/>
          <w:b/>
          <w:sz w:val="28"/>
          <w:szCs w:val="28"/>
          <w:lang w:val="en-US" w:eastAsia="zh-CN"/>
        </w:rPr>
        <w:t>（一）总则</w:t>
      </w:r>
      <w:bookmarkEnd w:id="69"/>
    </w:p>
    <w:p w14:paraId="6BF04F01">
      <w:pPr>
        <w:spacing w:line="30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（一）适用范围</w:t>
      </w:r>
    </w:p>
    <w:p w14:paraId="4482B169">
      <w:pPr>
        <w:spacing w:line="360" w:lineRule="auto"/>
        <w:ind w:left="0" w:right="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本招标文件适用于</w:t>
      </w:r>
      <w:r>
        <w:rPr>
          <w:rFonts w:hint="eastAsia" w:asciiTheme="minorEastAsia" w:hAnsiTheme="minorEastAsia" w:eastAsiaTheme="minorEastAsia" w:cstheme="minorEastAsia"/>
          <w:sz w:val="24"/>
          <w:szCs w:val="24"/>
          <w:highlight w:val="none"/>
          <w:lang w:val="en-US" w:eastAsia="zh-CN"/>
        </w:rPr>
        <w:t>皮山县民政局2025年养老福利机构集中供养人员照料护理购买服务项目</w:t>
      </w:r>
      <w:r>
        <w:rPr>
          <w:rFonts w:hint="eastAsia" w:asciiTheme="minorEastAsia" w:hAnsiTheme="minorEastAsia" w:eastAsiaTheme="minorEastAsia" w:cstheme="minorEastAsia"/>
          <w:sz w:val="24"/>
          <w:szCs w:val="24"/>
          <w:lang w:val="en-US" w:eastAsia="zh-CN"/>
        </w:rPr>
        <w:t>的招标、投标、评标、定标、验收、合同履约、付款等行为（法律、法规另有规定的，从其规定）。</w:t>
      </w:r>
    </w:p>
    <w:p w14:paraId="329872EC">
      <w:pPr>
        <w:spacing w:line="300" w:lineRule="auto"/>
        <w:outlineLvl w:val="1"/>
        <w:rPr>
          <w:rFonts w:hint="eastAsia" w:asciiTheme="minorEastAsia" w:hAnsiTheme="minorEastAsia" w:eastAsiaTheme="minorEastAsia" w:cstheme="minorEastAsia"/>
          <w:b/>
          <w:bCs/>
          <w:sz w:val="24"/>
          <w:szCs w:val="24"/>
          <w:lang w:val="en-US" w:eastAsia="zh-CN"/>
        </w:rPr>
      </w:pPr>
      <w:bookmarkStart w:id="70" w:name="_Toc13192"/>
      <w:bookmarkStart w:id="71" w:name="_Toc21374"/>
      <w:r>
        <w:rPr>
          <w:rFonts w:hint="eastAsia" w:asciiTheme="minorEastAsia" w:hAnsiTheme="minorEastAsia" w:eastAsiaTheme="minorEastAsia" w:cstheme="minorEastAsia"/>
          <w:b/>
          <w:bCs/>
          <w:sz w:val="24"/>
          <w:szCs w:val="24"/>
          <w:lang w:val="en-US" w:eastAsia="zh-CN"/>
        </w:rPr>
        <w:t>（二）定义</w:t>
      </w:r>
      <w:bookmarkEnd w:id="70"/>
      <w:bookmarkEnd w:id="71"/>
    </w:p>
    <w:p w14:paraId="37083CCE">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1.招标采购单位系指组织本次招标的代理机构（“招标人”）和采购单位。</w:t>
      </w:r>
    </w:p>
    <w:p w14:paraId="628148E8">
      <w:pPr>
        <w:spacing w:line="300" w:lineRule="auto"/>
        <w:ind w:left="210" w:leftChars="100" w:firstLine="120" w:firstLineChars="50"/>
        <w:outlineLvl w:val="2"/>
        <w:rPr>
          <w:rFonts w:hint="eastAsia" w:asciiTheme="minorEastAsia" w:hAnsiTheme="minorEastAsia" w:eastAsiaTheme="minorEastAsia" w:cstheme="minorEastAsia"/>
          <w:sz w:val="24"/>
          <w:szCs w:val="24"/>
          <w:lang w:val="en-US" w:eastAsia="zh-CN"/>
        </w:rPr>
      </w:pPr>
      <w:bookmarkStart w:id="72" w:name="_Toc16199"/>
      <w:r>
        <w:rPr>
          <w:rFonts w:hint="eastAsia" w:asciiTheme="minorEastAsia" w:hAnsiTheme="minorEastAsia" w:eastAsiaTheme="minorEastAsia" w:cstheme="minorEastAsia"/>
          <w:sz w:val="24"/>
          <w:szCs w:val="24"/>
          <w:lang w:val="en-US" w:eastAsia="zh-CN"/>
        </w:rPr>
        <w:t>2.“投标人”系指向招标方提交投标文件的单位或个人。</w:t>
      </w:r>
      <w:bookmarkEnd w:id="72"/>
    </w:p>
    <w:p w14:paraId="163FB40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3.“产品”系指供方按招标文件规定，须向招标人提供的一切服务及其它有关技术资料和材料。</w:t>
      </w:r>
    </w:p>
    <w:p w14:paraId="77C778D8">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4.“服务”系指招标文件规定投标人须承担的技术协助、校准、培训、技术指导以及其他类似的义务。</w:t>
      </w:r>
    </w:p>
    <w:p w14:paraId="452EF5CF">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5.“项目”系指投标人按招标文件规定向招标人提供的产品和服务。</w:t>
      </w:r>
    </w:p>
    <w:p w14:paraId="72216043">
      <w:pPr>
        <w:spacing w:line="300" w:lineRule="auto"/>
        <w:ind w:left="210" w:leftChars="100" w:firstLine="120" w:firstLineChars="50"/>
        <w:outlineLvl w:val="2"/>
        <w:rPr>
          <w:rFonts w:hint="eastAsia" w:asciiTheme="minorEastAsia" w:hAnsiTheme="minorEastAsia" w:eastAsiaTheme="minorEastAsia" w:cstheme="minorEastAsia"/>
          <w:sz w:val="24"/>
          <w:szCs w:val="24"/>
          <w:lang w:val="en-US" w:eastAsia="zh-CN"/>
        </w:rPr>
      </w:pPr>
      <w:bookmarkStart w:id="73" w:name="_Toc20586"/>
      <w:r>
        <w:rPr>
          <w:rFonts w:hint="eastAsia" w:asciiTheme="minorEastAsia" w:hAnsiTheme="minorEastAsia" w:eastAsiaTheme="minorEastAsia" w:cstheme="minorEastAsia"/>
          <w:sz w:val="24"/>
          <w:szCs w:val="24"/>
          <w:lang w:val="en-US" w:eastAsia="zh-CN"/>
        </w:rPr>
        <w:t>6.“书面形式”包括信函、传真、电报等。</w:t>
      </w:r>
      <w:bookmarkEnd w:id="73"/>
    </w:p>
    <w:p w14:paraId="62B34438">
      <w:pPr>
        <w:spacing w:line="300" w:lineRule="auto"/>
        <w:outlineLvl w:val="1"/>
        <w:rPr>
          <w:rFonts w:hint="eastAsia" w:asciiTheme="minorEastAsia" w:hAnsiTheme="minorEastAsia" w:eastAsiaTheme="minorEastAsia" w:cstheme="minorEastAsia"/>
          <w:b/>
          <w:bCs/>
          <w:sz w:val="24"/>
          <w:szCs w:val="24"/>
          <w:lang w:val="en-US" w:eastAsia="zh-CN"/>
        </w:rPr>
      </w:pPr>
      <w:bookmarkStart w:id="74" w:name="_Toc15840"/>
      <w:bookmarkStart w:id="75" w:name="_Toc14030"/>
      <w:r>
        <w:rPr>
          <w:rFonts w:hint="eastAsia" w:asciiTheme="minorEastAsia" w:hAnsiTheme="minorEastAsia" w:eastAsiaTheme="minorEastAsia" w:cstheme="minorEastAsia"/>
          <w:b/>
          <w:bCs/>
          <w:sz w:val="24"/>
          <w:szCs w:val="24"/>
          <w:lang w:val="en-US" w:eastAsia="zh-CN"/>
        </w:rPr>
        <w:t>（三）招标方式</w:t>
      </w:r>
      <w:bookmarkEnd w:id="74"/>
      <w:bookmarkEnd w:id="75"/>
    </w:p>
    <w:p w14:paraId="1A207433">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本次招标采用公开招标方式进行。</w:t>
      </w:r>
    </w:p>
    <w:p w14:paraId="215041A5">
      <w:pPr>
        <w:pStyle w:val="8"/>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（四）采购文件获取</w:t>
      </w:r>
    </w:p>
    <w:p w14:paraId="6A435684">
      <w:pPr>
        <w:spacing w:line="300" w:lineRule="auto"/>
        <w:rPr>
          <w:rFonts w:hint="eastAsia" w:asciiTheme="minorEastAsia" w:hAnsiTheme="minorEastAsia" w:eastAsiaTheme="minorEastAsia" w:cstheme="minorEastAsia"/>
          <w:sz w:val="24"/>
          <w:szCs w:val="24"/>
          <w:lang w:val="en-US" w:eastAsia="zh-CN"/>
        </w:rPr>
      </w:pPr>
      <w:bookmarkStart w:id="76" w:name="_Toc17293"/>
      <w:bookmarkStart w:id="77" w:name="_Toc1704"/>
      <w:r>
        <w:rPr>
          <w:rFonts w:hint="eastAsia" w:asciiTheme="minorEastAsia" w:hAnsiTheme="minorEastAsia" w:eastAsiaTheme="minorEastAsia" w:cstheme="minorEastAsia"/>
          <w:sz w:val="24"/>
          <w:szCs w:val="24"/>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4AFD20">
      <w:pPr>
        <w:spacing w:line="300" w:lineRule="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（五）投标费用</w:t>
      </w:r>
      <w:bookmarkEnd w:id="76"/>
      <w:bookmarkEnd w:id="77"/>
    </w:p>
    <w:p w14:paraId="0D6513E5">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不论投标结果如何，投标人均应自行承担所有与投标有关的全部费用。</w:t>
      </w:r>
    </w:p>
    <w:p w14:paraId="31C27780">
      <w:pPr>
        <w:spacing w:line="300" w:lineRule="auto"/>
        <w:outlineLvl w:val="1"/>
        <w:rPr>
          <w:rFonts w:hint="eastAsia" w:asciiTheme="minorEastAsia" w:hAnsiTheme="minorEastAsia" w:eastAsiaTheme="minorEastAsia" w:cstheme="minorEastAsia"/>
          <w:b/>
          <w:bCs/>
          <w:sz w:val="24"/>
          <w:szCs w:val="24"/>
          <w:lang w:val="en-US" w:eastAsia="zh-CN"/>
        </w:rPr>
      </w:pPr>
      <w:bookmarkStart w:id="78" w:name="_Toc19554"/>
      <w:bookmarkStart w:id="79" w:name="_Toc22117"/>
      <w:r>
        <w:rPr>
          <w:rFonts w:hint="eastAsia" w:asciiTheme="minorEastAsia" w:hAnsiTheme="minorEastAsia" w:eastAsiaTheme="minorEastAsia" w:cstheme="minorEastAsia"/>
          <w:b/>
          <w:bCs/>
          <w:sz w:val="24"/>
          <w:szCs w:val="24"/>
          <w:lang w:val="en-US" w:eastAsia="zh-CN"/>
        </w:rPr>
        <w:t>（六）联合体投标</w:t>
      </w:r>
      <w:bookmarkEnd w:id="78"/>
      <w:bookmarkEnd w:id="79"/>
    </w:p>
    <w:p w14:paraId="4BDB233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联合体各方均应当满足《中华人民共和国政府采购法》第二十二条规定的条件，并在投标文件中提供联合体各方的相关证明材料。</w:t>
      </w:r>
    </w:p>
    <w:p w14:paraId="2CF8096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EFA8BE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1F80D2D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联合体成员存在不良信用记录的，视同联合体存在不良信用记录。</w:t>
      </w:r>
    </w:p>
    <w:p w14:paraId="0D71CA7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5F19503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联合体各方应当共同与采购人签订采购合同，就合同约定的事项对采购人承担连带责任。</w:t>
      </w:r>
    </w:p>
    <w:p w14:paraId="76B96D7D">
      <w:pPr>
        <w:spacing w:line="30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本项目不接受联合体投标。</w:t>
      </w:r>
    </w:p>
    <w:p w14:paraId="318D2633">
      <w:pPr>
        <w:spacing w:line="300" w:lineRule="auto"/>
        <w:outlineLvl w:val="1"/>
        <w:rPr>
          <w:rFonts w:hint="eastAsia" w:asciiTheme="minorEastAsia" w:hAnsiTheme="minorEastAsia" w:eastAsiaTheme="minorEastAsia" w:cstheme="minorEastAsia"/>
          <w:b/>
          <w:bCs/>
          <w:sz w:val="24"/>
          <w:szCs w:val="24"/>
          <w:highlight w:val="none"/>
          <w:lang w:val="en-US" w:eastAsia="zh-CN"/>
        </w:rPr>
      </w:pPr>
      <w:bookmarkStart w:id="80" w:name="_Toc21389"/>
      <w:bookmarkStart w:id="81" w:name="_Toc11478"/>
      <w:r>
        <w:rPr>
          <w:rFonts w:hint="eastAsia" w:asciiTheme="minorEastAsia" w:hAnsiTheme="minorEastAsia" w:eastAsiaTheme="minorEastAsia" w:cstheme="minorEastAsia"/>
          <w:b/>
          <w:bCs/>
          <w:sz w:val="24"/>
          <w:szCs w:val="24"/>
          <w:highlight w:val="none"/>
          <w:lang w:val="en-US" w:eastAsia="zh-CN"/>
        </w:rPr>
        <w:t>（七）转包与分包</w:t>
      </w:r>
      <w:bookmarkEnd w:id="80"/>
      <w:bookmarkEnd w:id="81"/>
    </w:p>
    <w:p w14:paraId="4045301B">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1.本项目不允许转包。</w:t>
      </w:r>
    </w:p>
    <w:p w14:paraId="22EF97A2">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2.本项目不可以分包。</w:t>
      </w:r>
    </w:p>
    <w:p w14:paraId="2CA15F32">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3.投标人应仔细阅读招标文件的所有内容，按照招标文件的要求提交投标文件，并对所提供的全部资料的真实性承担法律责任。</w:t>
      </w:r>
    </w:p>
    <w:p w14:paraId="0E3C6CDC">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0AB859C2">
      <w:pPr>
        <w:spacing w:line="300" w:lineRule="auto"/>
        <w:outlineLvl w:val="1"/>
        <w:rPr>
          <w:rFonts w:hint="eastAsia" w:asciiTheme="minorEastAsia" w:hAnsiTheme="minorEastAsia" w:eastAsiaTheme="minorEastAsia" w:cstheme="minorEastAsia"/>
          <w:b/>
          <w:bCs/>
          <w:sz w:val="24"/>
          <w:szCs w:val="24"/>
          <w:lang w:val="en-US" w:eastAsia="zh-CN"/>
        </w:rPr>
      </w:pPr>
      <w:bookmarkStart w:id="82" w:name="_Toc4294"/>
      <w:bookmarkStart w:id="83" w:name="_Toc14774"/>
      <w:r>
        <w:rPr>
          <w:rFonts w:hint="eastAsia" w:asciiTheme="minorEastAsia" w:hAnsiTheme="minorEastAsia" w:eastAsiaTheme="minorEastAsia" w:cstheme="minorEastAsia"/>
          <w:b/>
          <w:bCs/>
          <w:sz w:val="24"/>
          <w:szCs w:val="24"/>
          <w:lang w:val="en-US" w:eastAsia="zh-CN"/>
        </w:rPr>
        <w:t>（八）质疑和投诉</w:t>
      </w:r>
      <w:bookmarkEnd w:id="82"/>
      <w:bookmarkEnd w:id="83"/>
    </w:p>
    <w:p w14:paraId="49B61ACA">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77E02BD6">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3046250">
      <w:pPr>
        <w:spacing w:line="300" w:lineRule="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（九）纪律与保密事项</w:t>
      </w:r>
    </w:p>
    <w:p w14:paraId="2ED1E6C4">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35E7F7E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在确定中标供应商之前，投标人不得与采购人就投标价格、投标方案等实质性内容进行谈判，也不得私下接触评标委员会成员。</w:t>
      </w:r>
    </w:p>
    <w:p w14:paraId="1464774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在确定中标供应商之前，投标人试图在投标文件审查、澄清、比较和评价时对评标委员会、采购人和采购代理机构施加任何影响都可能导致其投标无效。</w:t>
      </w:r>
    </w:p>
    <w:p w14:paraId="165A1B4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获得本招标文件者，须履行本项目下保密义务，不得将因本次项目获得的信息向第三人外传，不得将招标文件用作本次投标以外的任何用途。</w:t>
      </w:r>
    </w:p>
    <w:p w14:paraId="5F6A3F5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317328C5">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采购人或采购代理机构有权将供应商提供的所有资料向有关政府部门或评审小组披露。</w:t>
      </w:r>
    </w:p>
    <w:p w14:paraId="0AEC69B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3FA5F34">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Theme="minorEastAsia" w:hAnsiTheme="minorEastAsia" w:eastAsiaTheme="minorEastAsia" w:cstheme="minorEastAsia"/>
          <w:b/>
          <w:bCs/>
          <w:color w:val="000000"/>
          <w:sz w:val="24"/>
          <w:szCs w:val="24"/>
          <w:highlight w:val="none"/>
          <w:lang w:val="en-US" w:eastAsia="zh-CN"/>
        </w:rPr>
      </w:pPr>
      <w:bookmarkStart w:id="84" w:name="_Toc30350"/>
      <w:bookmarkStart w:id="85" w:name="_Toc503212209"/>
      <w:bookmarkStart w:id="86" w:name="_Toc521014777"/>
      <w:bookmarkStart w:id="87" w:name="_Toc28270"/>
      <w:bookmarkStart w:id="88" w:name="_Toc32144"/>
    </w:p>
    <w:p w14:paraId="650D9CFB">
      <w:pPr>
        <w:keepNext w:val="0"/>
        <w:keepLines w:val="0"/>
        <w:pageBreakBefore w:val="0"/>
        <w:numPr>
          <w:ilvl w:val="0"/>
          <w:numId w:val="7"/>
        </w:numPr>
        <w:kinsoku/>
        <w:wordWrap/>
        <w:overflowPunct/>
        <w:topLinePunct w:val="0"/>
        <w:autoSpaceDE/>
        <w:autoSpaceDN/>
        <w:bidi w:val="0"/>
        <w:adjustRightInd/>
        <w:snapToGrid/>
        <w:spacing w:line="300" w:lineRule="exact"/>
        <w:ind w:left="0" w:right="0" w:firstLine="482" w:firstLineChars="200"/>
        <w:jc w:val="center"/>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招标文件</w:t>
      </w:r>
      <w:bookmarkEnd w:id="84"/>
      <w:bookmarkEnd w:id="85"/>
      <w:bookmarkEnd w:id="86"/>
      <w:bookmarkEnd w:id="87"/>
      <w:bookmarkEnd w:id="88"/>
    </w:p>
    <w:p w14:paraId="7B489790">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（一）招标文件的构成。本招标文件由以下部份组成：</w:t>
      </w:r>
    </w:p>
    <w:p w14:paraId="76F50EF2">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第一章 招标公告</w:t>
      </w:r>
    </w:p>
    <w:p w14:paraId="63503EBE">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第二章 投标人须知</w:t>
      </w:r>
    </w:p>
    <w:p w14:paraId="10AAA98A">
      <w:pPr>
        <w:pStyle w:val="12"/>
        <w:ind w:left="0" w:leftChars="0" w:firstLine="240" w:firstLineChars="100"/>
        <w:rPr>
          <w:rFonts w:hint="default"/>
          <w:lang w:val="en-US" w:eastAsia="zh-CN"/>
        </w:rPr>
      </w:pPr>
      <w:r>
        <w:rPr>
          <w:rFonts w:hint="eastAsia" w:asciiTheme="minorEastAsia" w:hAnsiTheme="minorEastAsia" w:eastAsiaTheme="minorEastAsia" w:cstheme="minorEastAsia"/>
          <w:sz w:val="24"/>
          <w:szCs w:val="24"/>
          <w:lang w:val="en-US" w:eastAsia="zh-CN"/>
        </w:rPr>
        <w:t>第三章  资格审查</w:t>
      </w:r>
    </w:p>
    <w:p w14:paraId="4DFC68B2">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第四章 评标办法及标准</w:t>
      </w:r>
    </w:p>
    <w:p w14:paraId="5D97769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第五章 招标需求</w:t>
      </w:r>
    </w:p>
    <w:p w14:paraId="755969F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第六章 合同主要条款</w:t>
      </w:r>
    </w:p>
    <w:p w14:paraId="5A634C9C">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第七章 投标文件格式</w:t>
      </w:r>
    </w:p>
    <w:p w14:paraId="32C29C52">
      <w:pPr>
        <w:spacing w:line="300" w:lineRule="auto"/>
        <w:outlineLvl w:val="1"/>
        <w:rPr>
          <w:rFonts w:hint="eastAsia" w:asciiTheme="minorEastAsia" w:hAnsiTheme="minorEastAsia" w:eastAsiaTheme="minorEastAsia" w:cstheme="minorEastAsia"/>
          <w:b/>
          <w:bCs/>
          <w:sz w:val="24"/>
          <w:szCs w:val="24"/>
          <w:lang w:val="en-US" w:eastAsia="zh-CN"/>
        </w:rPr>
      </w:pPr>
      <w:bookmarkStart w:id="89" w:name="_Toc12877"/>
      <w:bookmarkStart w:id="90" w:name="_Toc18044"/>
      <w:r>
        <w:rPr>
          <w:rFonts w:hint="eastAsia" w:asciiTheme="minorEastAsia" w:hAnsiTheme="minorEastAsia" w:eastAsiaTheme="minorEastAsia" w:cstheme="minorEastAsia"/>
          <w:b/>
          <w:bCs/>
          <w:sz w:val="24"/>
          <w:szCs w:val="24"/>
          <w:lang w:val="en-US" w:eastAsia="zh-CN"/>
        </w:rPr>
        <w:t>（二）投标人的风险</w:t>
      </w:r>
      <w:bookmarkEnd w:id="89"/>
      <w:bookmarkEnd w:id="90"/>
    </w:p>
    <w:p w14:paraId="3CD4230F">
      <w:pPr>
        <w:spacing w:line="300" w:lineRule="auto"/>
        <w:ind w:left="210" w:leftChars="100"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投标人没有按照招标文件要求提供全部资料，或者投标人没有对招标文件在各方面作出实质性响应是投标人的风险，并可能导致其投标为无效标。</w:t>
      </w:r>
    </w:p>
    <w:p w14:paraId="4DF3178C">
      <w:pPr>
        <w:spacing w:line="300" w:lineRule="auto"/>
        <w:outlineLvl w:val="1"/>
        <w:rPr>
          <w:rFonts w:hint="eastAsia" w:asciiTheme="minorEastAsia" w:hAnsiTheme="minorEastAsia" w:eastAsiaTheme="minorEastAsia" w:cstheme="minorEastAsia"/>
          <w:b/>
          <w:bCs/>
          <w:sz w:val="24"/>
          <w:szCs w:val="24"/>
          <w:lang w:val="en-US" w:eastAsia="zh-CN"/>
        </w:rPr>
      </w:pPr>
      <w:bookmarkStart w:id="91" w:name="_Toc15241"/>
      <w:bookmarkStart w:id="92" w:name="_Toc27766"/>
      <w:r>
        <w:rPr>
          <w:rFonts w:hint="eastAsia" w:asciiTheme="minorEastAsia" w:hAnsiTheme="minorEastAsia" w:eastAsiaTheme="minorEastAsia" w:cstheme="minorEastAsia"/>
          <w:b/>
          <w:bCs/>
          <w:sz w:val="24"/>
          <w:szCs w:val="24"/>
          <w:lang w:val="en-US" w:eastAsia="zh-CN"/>
        </w:rPr>
        <w:t>（三）招标文件的澄清与修改</w:t>
      </w:r>
      <w:bookmarkEnd w:id="91"/>
      <w:bookmarkEnd w:id="92"/>
      <w:r>
        <w:rPr>
          <w:rFonts w:hint="eastAsia" w:asciiTheme="minorEastAsia" w:hAnsiTheme="minorEastAsia" w:eastAsiaTheme="minorEastAsia" w:cstheme="minorEastAsia"/>
          <w:b/>
          <w:bCs/>
          <w:sz w:val="24"/>
          <w:szCs w:val="24"/>
          <w:lang w:val="en-US" w:eastAsia="zh-CN"/>
        </w:rPr>
        <w:t xml:space="preserve"> </w:t>
      </w:r>
    </w:p>
    <w:p w14:paraId="7F2E694F">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315A527D">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2.招标文件澄清、答复、修改、补充的内容为招标文件的组成部分。当招标文件与招标文件的答复、澄清、修改、补充通知就同一内容的表述不一致时，以最后发出的书面文件为准。</w:t>
      </w:r>
    </w:p>
    <w:p w14:paraId="5879FD61">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3.招标文件的澄清、答复、修改或补充都应该通过本代理机构以法定形式发布，招标人非通过本机构，不得擅自澄清、答复、修改或补充招标文件。</w:t>
      </w:r>
    </w:p>
    <w:p w14:paraId="5AF79C3C">
      <w:pPr>
        <w:pStyle w:val="5"/>
        <w:numPr>
          <w:ilvl w:val="0"/>
          <w:numId w:val="0"/>
        </w:numPr>
        <w:ind w:leftChars="-50" w:right="62" w:rightChars="0"/>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bookmarkStart w:id="93" w:name="_Toc27918"/>
      <w:bookmarkStart w:id="94" w:name="_Toc12173"/>
      <w:bookmarkStart w:id="95" w:name="_Toc10814"/>
      <w:bookmarkStart w:id="96" w:name="_Toc8746"/>
      <w:bookmarkStart w:id="97" w:name="_Toc765"/>
      <w:bookmarkStart w:id="98" w:name="_Toc521014778"/>
      <w:bookmarkStart w:id="99" w:name="_Toc503212210"/>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（三）投标文件的编制</w:t>
      </w:r>
      <w:bookmarkEnd w:id="93"/>
      <w:bookmarkEnd w:id="94"/>
      <w:bookmarkEnd w:id="95"/>
      <w:bookmarkEnd w:id="96"/>
      <w:bookmarkEnd w:id="97"/>
      <w:bookmarkEnd w:id="98"/>
      <w:bookmarkEnd w:id="99"/>
    </w:p>
    <w:p w14:paraId="1E7CDAD7">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100" w:name="_Toc521014779"/>
      <w:bookmarkStart w:id="101" w:name="_Toc503212211"/>
      <w:bookmarkStart w:id="102" w:name="_Toc29977"/>
      <w:bookmarkStart w:id="103" w:name="_Toc23068"/>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投标文件的组成</w:t>
      </w:r>
      <w:bookmarkEnd w:id="100"/>
      <w:bookmarkEnd w:id="101"/>
      <w:bookmarkEnd w:id="102"/>
      <w:bookmarkEnd w:id="103"/>
    </w:p>
    <w:p w14:paraId="6B7782AF">
      <w:pPr>
        <w:spacing w:line="300" w:lineRule="auto"/>
        <w:outlineLvl w:val="2"/>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04" w:name="_Toc2134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投标文件由报价部分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技术部分组成。</w:t>
      </w:r>
      <w:bookmarkEnd w:id="104"/>
    </w:p>
    <w:p w14:paraId="39A4934E">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、投标单位应按招标文件的要求提供招标文件，并保证所有材料的真实性，以确保其投标对招标文件做出实质性的响应。</w:t>
      </w:r>
    </w:p>
    <w:p w14:paraId="6A1F1D8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、招标文件使用的计量单位，应采用国家法定的计量单位。</w:t>
      </w:r>
    </w:p>
    <w:p w14:paraId="11590880">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、投标人所递交的投标文件应包含以下文件：</w:t>
      </w:r>
    </w:p>
    <w:p w14:paraId="395CFC83">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报价部分：</w:t>
      </w:r>
    </w:p>
    <w:p w14:paraId="023658F8">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1、投标函；</w:t>
      </w:r>
    </w:p>
    <w:p w14:paraId="596B6A59">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2、开标一览表；</w:t>
      </w:r>
    </w:p>
    <w:p w14:paraId="0D2BF451">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3、投标报价明细表</w:t>
      </w:r>
    </w:p>
    <w:p w14:paraId="20D2F116">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商务部分：</w:t>
      </w:r>
    </w:p>
    <w:p w14:paraId="2AEB93C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投标单位简介，并附投标人资质证件等；</w:t>
      </w:r>
    </w:p>
    <w:p w14:paraId="5FA4D772">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出具法人营业执照函（格式见附件）；</w:t>
      </w:r>
    </w:p>
    <w:p w14:paraId="588083CE">
      <w:pPr>
        <w:spacing w:line="300" w:lineRule="auto"/>
        <w:outlineLvl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6、联合体协议书（如是）</w:t>
      </w:r>
    </w:p>
    <w:p w14:paraId="09A9292A">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法定代表人证明书及身份证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p w14:paraId="5E5CABB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法人代表授权委托书及身份证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2C2DAFB">
      <w:pPr>
        <w:spacing w:line="30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9、委托代理人身份证复印件； </w:t>
      </w:r>
    </w:p>
    <w:p w14:paraId="24F9290D">
      <w:pPr>
        <w:spacing w:line="300" w:lineRule="auto"/>
        <w:rPr>
          <w:ins w:id="0" w:author="何以忘言" w:date="2023-03-20T15:50:00Z"/>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常名录的，将拒绝其参与本次政府釆购活动，投标人自行截图并加盖公章；</w:t>
      </w:r>
    </w:p>
    <w:p w14:paraId="47A1DB79">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11、具有良好的商业信誉和健全的财务会计制度：提供2023年由第三方审计机构出具及备案赋码的审计报告（2024年新成立的公司按实际发生的情况提供银行出具的资信证明）和健全的财务会计制度；</w:t>
      </w:r>
    </w:p>
    <w:p w14:paraId="5B49D16C">
      <w:pPr>
        <w:spacing w:line="300" w:lineRule="auto"/>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12、投标保证金打款凭证或保函文件；</w:t>
      </w:r>
    </w:p>
    <w:p w14:paraId="1C1B312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 xml:space="preserve">商务偏离表（格式见附件）；  </w:t>
      </w:r>
    </w:p>
    <w:p w14:paraId="49703CEC">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反商业贿赂承诺书（格式见附件）；</w:t>
      </w:r>
    </w:p>
    <w:p w14:paraId="295B0C8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15、无围标、串标等违法违规行为承诺书</w:t>
      </w:r>
      <w:r>
        <w:rPr>
          <w:rFonts w:hint="eastAsia" w:asciiTheme="minorEastAsia" w:hAnsiTheme="minorEastAsia" w:eastAsiaTheme="minorEastAsia" w:cstheme="minorEastAsia"/>
          <w:sz w:val="24"/>
          <w:szCs w:val="24"/>
        </w:rPr>
        <w:t>（格式见附件）；</w:t>
      </w:r>
    </w:p>
    <w:p w14:paraId="2C9BAA88">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16、中小企业声明函</w:t>
      </w:r>
      <w:r>
        <w:rPr>
          <w:rFonts w:hint="eastAsia" w:asciiTheme="minorEastAsia" w:hAnsiTheme="minorEastAsia" w:eastAsiaTheme="minorEastAsia" w:cstheme="minorEastAsia"/>
          <w:sz w:val="24"/>
          <w:szCs w:val="24"/>
        </w:rPr>
        <w:t>；</w:t>
      </w:r>
    </w:p>
    <w:p w14:paraId="5F9CE21C">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投标人认为有必要提供的声明及文件资料。</w:t>
      </w:r>
    </w:p>
    <w:p w14:paraId="488329BA">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技术部分：</w:t>
      </w:r>
    </w:p>
    <w:p w14:paraId="7B163131">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18、对本次投标项目的技术方案(投标人视需要自行编写)；</w:t>
      </w:r>
    </w:p>
    <w:p w14:paraId="1E8A3470">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19、技术偏离表（格式见附件）</w:t>
      </w:r>
      <w:r>
        <w:rPr>
          <w:rFonts w:hint="eastAsia" w:asciiTheme="minorEastAsia" w:hAnsiTheme="minorEastAsia" w:eastAsiaTheme="minorEastAsia" w:cstheme="minorEastAsia"/>
          <w:sz w:val="24"/>
          <w:szCs w:val="24"/>
          <w:lang w:eastAsia="zh-CN"/>
        </w:rPr>
        <w:t>；</w:t>
      </w:r>
    </w:p>
    <w:p w14:paraId="7B2D85E5">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20、服务承诺书</w:t>
      </w:r>
    </w:p>
    <w:p w14:paraId="001BBFE2">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21、分包协议书(本项目不适用）</w:t>
      </w:r>
    </w:p>
    <w:p w14:paraId="4CFBBC6B">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22、其他有利</w:t>
      </w:r>
      <w:r>
        <w:rPr>
          <w:rFonts w:hint="eastAsia" w:asciiTheme="minorEastAsia" w:hAnsiTheme="minorEastAsia" w:eastAsiaTheme="minorEastAsia" w:cstheme="minorEastAsia"/>
          <w:sz w:val="21"/>
          <w:szCs w:val="21"/>
          <w:highlight w:val="none"/>
          <w:lang w:val="en-US" w:eastAsia="zh-CN"/>
        </w:rPr>
        <w:t>于</w:t>
      </w:r>
      <w:r>
        <w:rPr>
          <w:rFonts w:hint="eastAsia" w:asciiTheme="minorEastAsia" w:hAnsiTheme="minorEastAsia" w:eastAsiaTheme="minorEastAsia" w:cstheme="minorEastAsia"/>
          <w:sz w:val="24"/>
          <w:szCs w:val="24"/>
          <w:highlight w:val="none"/>
          <w:lang w:val="en-US" w:eastAsia="zh-CN"/>
        </w:rPr>
        <w:t>投标人的资料（如有）</w:t>
      </w:r>
    </w:p>
    <w:p w14:paraId="7C7C5641">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▲注：法定代表人授权委托书、投标声明书、投标函、投标报价一览表必须由法定代表人签名</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盖章并加盖单位公章。</w:t>
      </w:r>
    </w:p>
    <w:p w14:paraId="155AD1F9">
      <w:pPr>
        <w:spacing w:line="300" w:lineRule="auto"/>
        <w:outlineLvl w:val="1"/>
        <w:rPr>
          <w:rFonts w:hint="eastAsia" w:asciiTheme="minorEastAsia" w:hAnsiTheme="minorEastAsia" w:eastAsiaTheme="minorEastAsia" w:cstheme="minorEastAsia"/>
          <w:b/>
          <w:bCs/>
          <w:sz w:val="24"/>
          <w:szCs w:val="24"/>
        </w:rPr>
      </w:pPr>
      <w:bookmarkStart w:id="105" w:name="_Toc521014780"/>
      <w:bookmarkStart w:id="106" w:name="_Toc503212212"/>
      <w:bookmarkStart w:id="107" w:name="_Toc28971"/>
      <w:bookmarkStart w:id="108" w:name="_Toc14838"/>
      <w:bookmarkStart w:id="109" w:name="_Toc24112"/>
      <w:bookmarkStart w:id="110" w:name="_Toc18015"/>
      <w:r>
        <w:rPr>
          <w:rFonts w:hint="eastAsia" w:asciiTheme="minorEastAsia" w:hAnsiTheme="minorEastAsia" w:eastAsiaTheme="minorEastAsia" w:cstheme="minorEastAsia"/>
          <w:b/>
          <w:bCs/>
          <w:sz w:val="24"/>
          <w:szCs w:val="24"/>
        </w:rPr>
        <w:t>投标文件的语言及计量</w:t>
      </w:r>
      <w:bookmarkEnd w:id="105"/>
      <w:bookmarkEnd w:id="106"/>
      <w:bookmarkEnd w:id="107"/>
      <w:bookmarkEnd w:id="108"/>
      <w:bookmarkEnd w:id="109"/>
      <w:bookmarkEnd w:id="110"/>
    </w:p>
    <w:p w14:paraId="6DF9E736">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2ECBD78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A83A559">
      <w:pPr>
        <w:spacing w:line="300" w:lineRule="auto"/>
        <w:rPr>
          <w:rFonts w:hint="eastAsia" w:asciiTheme="minorEastAsia" w:hAnsiTheme="minorEastAsia" w:eastAsiaTheme="minorEastAsia" w:cstheme="minorEastAsia"/>
          <w:b/>
          <w:bCs/>
          <w:sz w:val="24"/>
          <w:szCs w:val="24"/>
        </w:rPr>
      </w:pPr>
      <w:bookmarkStart w:id="111" w:name="_Toc503212213"/>
      <w:bookmarkStart w:id="112" w:name="_Toc6985"/>
      <w:bookmarkStart w:id="113" w:name="_Toc3970"/>
      <w:bookmarkStart w:id="114" w:name="_Toc521014781"/>
      <w:r>
        <w:rPr>
          <w:rFonts w:hint="eastAsia" w:asciiTheme="minorEastAsia" w:hAnsiTheme="minorEastAsia" w:eastAsiaTheme="minorEastAsia" w:cstheme="minorEastAsia"/>
          <w:b/>
          <w:bCs/>
          <w:sz w:val="24"/>
          <w:szCs w:val="24"/>
        </w:rPr>
        <w:t>投标报价</w:t>
      </w:r>
      <w:bookmarkEnd w:id="111"/>
      <w:bookmarkEnd w:id="112"/>
      <w:bookmarkEnd w:id="113"/>
      <w:bookmarkEnd w:id="114"/>
    </w:p>
    <w:p w14:paraId="2F5EBC5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报价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7FC40AE">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（一）投标文件中开标一览表（报价表）内容与投标文件中相应内容不一致的，以开标一览表（报价表）为准；</w:t>
      </w:r>
    </w:p>
    <w:p w14:paraId="5F7BB105">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（二）大写金额和小写金额不一致的，以大写金额为准；</w:t>
      </w:r>
    </w:p>
    <w:p w14:paraId="43E85E9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（三）单价金额小数点或者百分比有明显错位的，以开标一览表的总价为准，并修改单价；</w:t>
      </w:r>
    </w:p>
    <w:p w14:paraId="161A4DDC">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（四）总价金额与单价汇总金额不一致的，以单价金额计算结果为准。</w:t>
      </w:r>
    </w:p>
    <w:p w14:paraId="7D7B700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供应商应在投标报价表中标明其提供的所有货物及其相关工作范围内所在费用的总价，不接受有任何选择性报价。</w:t>
      </w:r>
    </w:p>
    <w:p w14:paraId="39E5C8F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▲3报价时应对下列几点特别注明：</w:t>
      </w:r>
    </w:p>
    <w:p w14:paraId="4FA6F570">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3.1招标文件中特别要求的备品备件、易损件和专用工具的费用；</w:t>
      </w:r>
    </w:p>
    <w:p w14:paraId="57E51290">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3.2招标文件中特别要求的货物、运输、装卸、验收、税费和相关售后服务等费用及其它附带服务的全部费用；</w:t>
      </w:r>
    </w:p>
    <w:p w14:paraId="402B292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64B4F1C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算术性修正。算术性修正是指对招标响应文件的报价明细进行校核，并对其算术上和运算上的差错给予修正。修正的原则如下：</w:t>
      </w:r>
    </w:p>
    <w:p w14:paraId="6F45C07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当以数字表示的金额与文字表示的金额有差异时，以文字表示的金额为准；</w:t>
      </w:r>
    </w:p>
    <w:p w14:paraId="0632B4B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当单价与数量相乘不等于合价时，以单价计算为准。如果单价有明显的小数点位置差错，应以标出的合价为准，同时对单价予以修正；</w:t>
      </w:r>
    </w:p>
    <w:p w14:paraId="4510EF5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当各明细部分的价格累计不等于合价时，应以各明细的累计计数为准，修正合价。</w:t>
      </w:r>
    </w:p>
    <w:p w14:paraId="6721E67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按以上原则对算术性差错修正，应取得供应商的同意，并确认修正后最终招标报价。如果供应商拒绝确认，则其招标响应文件将不予以评审并按废标处理，没收其投标担保。</w:t>
      </w:r>
    </w:p>
    <w:p w14:paraId="609EE39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投标文件只允许有一个报价，有选择的或有条件的报价将不予接受。</w:t>
      </w:r>
    </w:p>
    <w:p w14:paraId="0C6C9CD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rPr>
        <w:t>招标代理服</w:t>
      </w:r>
      <w:r>
        <w:rPr>
          <w:rFonts w:hint="eastAsia" w:asciiTheme="minorEastAsia" w:hAnsiTheme="minorEastAsia" w:eastAsiaTheme="minorEastAsia" w:cstheme="minorEastAsia"/>
          <w:sz w:val="24"/>
          <w:szCs w:val="24"/>
          <w:highlight w:val="none"/>
        </w:rPr>
        <w:t>务费由中标单位支付，投</w:t>
      </w:r>
      <w:r>
        <w:rPr>
          <w:rFonts w:hint="eastAsia" w:asciiTheme="minorEastAsia" w:hAnsiTheme="minorEastAsia" w:eastAsiaTheme="minorEastAsia" w:cstheme="minorEastAsia"/>
          <w:sz w:val="24"/>
          <w:szCs w:val="24"/>
        </w:rPr>
        <w:t>标单位在报价时请考虑。</w:t>
      </w:r>
    </w:p>
    <w:p w14:paraId="13A3A6A6">
      <w:pPr>
        <w:spacing w:line="300" w:lineRule="auto"/>
        <w:rPr>
          <w:rFonts w:hint="eastAsia" w:asciiTheme="minorEastAsia" w:hAnsiTheme="minorEastAsia" w:eastAsiaTheme="minorEastAsia" w:cstheme="minorEastAsia"/>
          <w:b/>
          <w:bCs/>
          <w:sz w:val="24"/>
          <w:szCs w:val="24"/>
        </w:rPr>
      </w:pPr>
      <w:bookmarkStart w:id="115" w:name="_Toc503212214"/>
      <w:bookmarkStart w:id="116" w:name="_Toc21800"/>
      <w:bookmarkStart w:id="117" w:name="_Toc21211"/>
      <w:bookmarkStart w:id="118" w:name="_Toc521014782"/>
      <w:r>
        <w:rPr>
          <w:rFonts w:hint="eastAsia" w:asciiTheme="minorEastAsia" w:hAnsiTheme="minorEastAsia" w:eastAsiaTheme="minorEastAsia" w:cstheme="minorEastAsia"/>
          <w:b/>
          <w:bCs/>
          <w:sz w:val="24"/>
          <w:szCs w:val="24"/>
        </w:rPr>
        <w:t>投标文件的有效期</w:t>
      </w:r>
      <w:bookmarkEnd w:id="115"/>
      <w:bookmarkEnd w:id="116"/>
      <w:bookmarkEnd w:id="117"/>
      <w:bookmarkEnd w:id="118"/>
    </w:p>
    <w:p w14:paraId="30E59AE4">
      <w:pPr>
        <w:spacing w:line="30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▲1.自投标截止日起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天投标文件应保持有效。有效期不足的投标文件将被拒绝。</w:t>
      </w:r>
    </w:p>
    <w:p w14:paraId="27AC875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2.在特殊情况下，招标人可与投标人协商延长投标书的有效期，这种要求和答复均以书面形式进行。</w:t>
      </w:r>
    </w:p>
    <w:p w14:paraId="401DF23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3.投标人可拒绝接受延期要求而不会导致投标保证金被没收。同意延长有效期的投标人需要相应延长投标保证金的有效期，但不能修改投标文件。 </w:t>
      </w:r>
    </w:p>
    <w:p w14:paraId="2F384BD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4.中标人的投标文件自开标之日起至合同履行完毕止均应保持有效。</w:t>
      </w:r>
    </w:p>
    <w:p w14:paraId="102BBF9A">
      <w:pPr>
        <w:spacing w:line="300" w:lineRule="auto"/>
        <w:rPr>
          <w:rFonts w:hint="eastAsia" w:asciiTheme="minorEastAsia" w:hAnsiTheme="minorEastAsia" w:eastAsiaTheme="minorEastAsia" w:cstheme="minorEastAsia"/>
          <w:b/>
          <w:bCs/>
          <w:sz w:val="24"/>
          <w:szCs w:val="24"/>
        </w:rPr>
      </w:pPr>
      <w:bookmarkStart w:id="119" w:name="_Toc503212215"/>
      <w:bookmarkStart w:id="120" w:name="_Toc16117"/>
      <w:bookmarkStart w:id="121" w:name="_Toc521014783"/>
      <w:bookmarkStart w:id="122" w:name="_Toc22838"/>
      <w:r>
        <w:rPr>
          <w:rFonts w:hint="eastAsia" w:asciiTheme="minorEastAsia" w:hAnsiTheme="minorEastAsia" w:eastAsiaTheme="minorEastAsia" w:cstheme="minorEastAsia"/>
          <w:b/>
          <w:bCs/>
          <w:sz w:val="24"/>
          <w:szCs w:val="24"/>
        </w:rPr>
        <w:t>投标保证金</w:t>
      </w:r>
      <w:bookmarkEnd w:id="119"/>
      <w:bookmarkEnd w:id="120"/>
      <w:bookmarkEnd w:id="121"/>
      <w:bookmarkEnd w:id="122"/>
    </w:p>
    <w:p w14:paraId="6FEDCF82">
      <w:pPr>
        <w:spacing w:line="30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▲1.投标人须按规定提交投标保证金</w:t>
      </w:r>
      <w:r>
        <w:rPr>
          <w:rFonts w:hint="eastAsia" w:asciiTheme="minorEastAsia" w:hAnsiTheme="minorEastAsia" w:eastAsiaTheme="minorEastAsia" w:cstheme="minorEastAsia"/>
          <w:sz w:val="24"/>
          <w:szCs w:val="24"/>
          <w:lang w:val="en-US" w:eastAsia="zh-CN"/>
        </w:rPr>
        <w:t>或电子保函</w:t>
      </w:r>
      <w:r>
        <w:rPr>
          <w:rFonts w:hint="eastAsia" w:asciiTheme="minorEastAsia" w:hAnsiTheme="minorEastAsia" w:eastAsiaTheme="minorEastAsia" w:cstheme="minorEastAsia"/>
          <w:sz w:val="24"/>
          <w:szCs w:val="24"/>
        </w:rPr>
        <w:t>。否则，其投标将被拒绝。</w:t>
      </w:r>
    </w:p>
    <w:p w14:paraId="25F11034">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2.保证金形式：</w:t>
      </w:r>
      <w:r>
        <w:rPr>
          <w:rFonts w:hint="eastAsia" w:asciiTheme="minorEastAsia" w:hAnsiTheme="minorEastAsia" w:eastAsiaTheme="minorEastAsia" w:cstheme="minorEastAsia"/>
          <w:sz w:val="24"/>
          <w:szCs w:val="24"/>
          <w:lang w:val="en-US" w:eastAsia="zh-CN"/>
        </w:rPr>
        <w:t>转账、汇款</w:t>
      </w:r>
      <w:r>
        <w:rPr>
          <w:rFonts w:hint="eastAsia" w:asciiTheme="minorEastAsia" w:hAnsiTheme="minorEastAsia" w:eastAsiaTheme="minorEastAsia" w:cstheme="minorEastAsia"/>
          <w:sz w:val="24"/>
          <w:szCs w:val="24"/>
        </w:rPr>
        <w:t>（必须从基本账户转出）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电子保函</w:t>
      </w:r>
      <w:r>
        <w:rPr>
          <w:rFonts w:hint="eastAsia" w:asciiTheme="minorEastAsia" w:hAnsiTheme="minorEastAsia" w:eastAsiaTheme="minorEastAsia" w:cstheme="minorEastAsia"/>
          <w:sz w:val="24"/>
          <w:szCs w:val="24"/>
        </w:rPr>
        <w:t xml:space="preserve">。 </w:t>
      </w:r>
    </w:p>
    <w:p w14:paraId="680D4387">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3.未中标人的投标保证金在公示期截止后退还。</w:t>
      </w:r>
    </w:p>
    <w:p w14:paraId="7E95F26F">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4.中标人的投标保证金在中标通知书发出签订正式采购合同，</w:t>
      </w:r>
      <w:r>
        <w:rPr>
          <w:rFonts w:hint="eastAsia" w:asciiTheme="minorEastAsia" w:hAnsiTheme="minorEastAsia" w:eastAsiaTheme="minorEastAsia" w:cstheme="minorEastAsia"/>
          <w:sz w:val="24"/>
          <w:szCs w:val="24"/>
          <w:lang w:val="en-US" w:eastAsia="zh-CN"/>
        </w:rPr>
        <w:t>需提供一份合同原件及相关材料办理退还投标保证金事宜</w:t>
      </w:r>
      <w:r>
        <w:rPr>
          <w:rFonts w:hint="eastAsia" w:asciiTheme="minorEastAsia" w:hAnsiTheme="minorEastAsia" w:eastAsiaTheme="minorEastAsia" w:cstheme="minorEastAsia"/>
          <w:sz w:val="24"/>
          <w:szCs w:val="24"/>
        </w:rPr>
        <w:t>。</w:t>
      </w:r>
    </w:p>
    <w:p w14:paraId="20FE5280">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5.保证金不计息。</w:t>
      </w:r>
    </w:p>
    <w:p w14:paraId="66B9F5D3">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6.投标人有下列情形之一的，投标保证金将不予退还：</w:t>
      </w:r>
    </w:p>
    <w:p w14:paraId="205BDF9F">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（1）投标人在投标有效期内撤回投标文件的；</w:t>
      </w:r>
    </w:p>
    <w:p w14:paraId="12A08B9B">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（2）投标人在投标过程中弄虚作假，提供虚假材料的；</w:t>
      </w:r>
    </w:p>
    <w:p w14:paraId="3D55E8F1">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（3）中标人无正当理由不与招标人签订合同的；</w:t>
      </w:r>
    </w:p>
    <w:p w14:paraId="07448142">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（4）其他严重扰乱招投标程序的。</w:t>
      </w:r>
    </w:p>
    <w:p w14:paraId="31FEC2BC">
      <w:pPr>
        <w:spacing w:line="300" w:lineRule="auto"/>
        <w:rPr>
          <w:rFonts w:hint="eastAsia" w:asciiTheme="minorEastAsia" w:hAnsiTheme="minorEastAsia" w:eastAsiaTheme="minorEastAsia" w:cstheme="minorEastAsia"/>
          <w:b/>
          <w:bCs/>
          <w:sz w:val="24"/>
          <w:szCs w:val="24"/>
        </w:rPr>
      </w:pPr>
      <w:bookmarkStart w:id="123" w:name="_Toc521014784"/>
      <w:bookmarkStart w:id="124" w:name="_Toc503212216"/>
      <w:bookmarkStart w:id="125" w:name="_Toc4584"/>
      <w:bookmarkStart w:id="126" w:name="_Toc25982"/>
      <w:r>
        <w:rPr>
          <w:rFonts w:hint="eastAsia" w:asciiTheme="minorEastAsia" w:hAnsiTheme="minorEastAsia" w:eastAsiaTheme="minorEastAsia" w:cstheme="minorEastAsia"/>
          <w:b/>
          <w:bCs/>
          <w:sz w:val="24"/>
          <w:szCs w:val="24"/>
        </w:rPr>
        <w:t>投标文件的签署和</w:t>
      </w:r>
      <w:bookmarkEnd w:id="123"/>
      <w:bookmarkEnd w:id="124"/>
      <w:bookmarkEnd w:id="125"/>
      <w:bookmarkEnd w:id="126"/>
      <w:r>
        <w:rPr>
          <w:rFonts w:hint="eastAsia" w:asciiTheme="minorEastAsia" w:hAnsiTheme="minorEastAsia" w:eastAsiaTheme="minorEastAsia" w:cstheme="minorEastAsia"/>
          <w:b/>
          <w:bCs/>
          <w:sz w:val="24"/>
          <w:szCs w:val="24"/>
          <w:lang w:eastAsia="zh-CN"/>
        </w:rPr>
        <w:t>递交</w:t>
      </w:r>
    </w:p>
    <w:p w14:paraId="049594B8">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投标人应按本招标文件规定的格式和顺序编制、装订投标文件并标注页码，投标文件内容不完整、编排混乱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上传不完整</w:t>
      </w:r>
      <w:r>
        <w:rPr>
          <w:rFonts w:hint="eastAsia" w:asciiTheme="minorEastAsia" w:hAnsiTheme="minorEastAsia" w:eastAsiaTheme="minorEastAsia" w:cstheme="minorEastAsia"/>
          <w:sz w:val="24"/>
          <w:szCs w:val="24"/>
        </w:rPr>
        <w:t>导致投标文件被误读、漏读或者查找不到相关内容的，是投标人的责任。</w:t>
      </w:r>
    </w:p>
    <w:p w14:paraId="53865BF5">
      <w:pPr>
        <w:spacing w:line="300" w:lineRule="auto"/>
        <w:ind w:left="210" w:leftChars="100"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color w:val="auto"/>
          <w:sz w:val="24"/>
          <w:szCs w:val="24"/>
          <w:highlight w:val="none"/>
        </w:rPr>
        <w:t>应于</w:t>
      </w:r>
      <w:r>
        <w:rPr>
          <w:rFonts w:hint="eastAsia" w:asciiTheme="minorEastAsia" w:hAnsiTheme="minorEastAsia" w:eastAsiaTheme="minorEastAsia" w:cstheme="minorEastAsia"/>
          <w:color w:val="auto"/>
          <w:sz w:val="24"/>
          <w:szCs w:val="24"/>
          <w:highlight w:val="non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03</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日1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前将电</w:t>
      </w:r>
      <w:r>
        <w:rPr>
          <w:rFonts w:hint="eastAsia" w:asciiTheme="minorEastAsia" w:hAnsiTheme="minorEastAsia" w:eastAsiaTheme="minorEastAsia" w:cstheme="minorEastAsia"/>
          <w:sz w:val="24"/>
          <w:szCs w:val="24"/>
          <w:highlight w:val="none"/>
        </w:rPr>
        <w:t>子投标文件上传到“</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”平台。应按照本项目招标文件和</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平台的要求编制、加密传输投标文件。供应商在使用系统进行投标的过程中遇到涉及平台使用的任何问题，可致电</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平台技术支持热线咨询，联系方式：</w:t>
      </w:r>
      <w:r>
        <w:rPr>
          <w:rFonts w:hint="eastAsia" w:asciiTheme="minorEastAsia" w:hAnsiTheme="minorEastAsia" w:eastAsiaTheme="minorEastAsia" w:cstheme="minorEastAsia"/>
          <w:sz w:val="24"/>
          <w:szCs w:val="24"/>
          <w:highlight w:val="none"/>
          <w:lang w:val="en-US" w:eastAsia="zh-CN"/>
        </w:rPr>
        <w:t>95763</w:t>
      </w:r>
      <w:r>
        <w:rPr>
          <w:rFonts w:hint="eastAsia" w:asciiTheme="minorEastAsia" w:hAnsiTheme="minorEastAsia" w:eastAsiaTheme="minorEastAsia" w:cstheme="minorEastAsia"/>
          <w:sz w:val="24"/>
          <w:szCs w:val="24"/>
          <w:highlight w:val="none"/>
        </w:rPr>
        <w:t>。</w:t>
      </w:r>
    </w:p>
    <w:p w14:paraId="1ABB216A">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.投标文件须由投标人在规定位置盖章并由法定代表人或法定代表人的授权委托人签署，投标人应写全称。</w:t>
      </w:r>
    </w:p>
    <w:p w14:paraId="0A5C698D">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应严格响应招标文件要求，有表述</w:t>
      </w:r>
      <w:r>
        <w:rPr>
          <w:rFonts w:hint="eastAsia" w:asciiTheme="minorEastAsia" w:hAnsiTheme="minorEastAsia" w:eastAsiaTheme="minorEastAsia" w:cstheme="minorEastAsia"/>
          <w:sz w:val="24"/>
          <w:szCs w:val="24"/>
        </w:rPr>
        <w:t>不清所引起的后果由投标人负责。</w:t>
      </w:r>
      <w:bookmarkStart w:id="127" w:name="_Toc9280"/>
      <w:bookmarkStart w:id="128" w:name="_Toc28926"/>
    </w:p>
    <w:p w14:paraId="1647DDF7">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 xml:space="preserve">、本项目实行网上投标，采用电子投标文件。若供应商参与投标，自行承担投标一切费用。 </w:t>
      </w:r>
    </w:p>
    <w:p w14:paraId="2886FA60">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 xml:space="preserve">、各供应商应在开标前应确保成为正式注册入库供应商，并完成CA数字证书申领。因未注册入库、未办理CA数字证书等原因造成无法投标或投标失败等后果由供应商自行承担。 </w:t>
      </w:r>
    </w:p>
    <w:p w14:paraId="753DD544">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516EB5B">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b/>
          <w:bCs/>
          <w:sz w:val="24"/>
          <w:szCs w:val="24"/>
          <w:highlight w:val="none"/>
          <w:lang w:eastAsia="zh-CN"/>
        </w:rPr>
        <w:t>http://www.ccgp-xinjiang.gov.cn/</w:t>
      </w:r>
      <w:r>
        <w:rPr>
          <w:rFonts w:hint="eastAsia" w:asciiTheme="minorEastAsia" w:hAnsiTheme="minorEastAsia" w:eastAsiaTheme="minorEastAsia" w:cstheme="minorEastAsia"/>
          <w:b/>
          <w:bCs/>
          <w:sz w:val="24"/>
          <w:szCs w:val="24"/>
          <w:highlight w:val="none"/>
        </w:rPr>
        <w:t>/）下载专区查看，如有问题可拨打政采云客户服务热线400-881-7190进行咨询。</w:t>
      </w:r>
    </w:p>
    <w:p w14:paraId="5EB621B6">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9、</w:t>
      </w:r>
      <w:r>
        <w:rPr>
          <w:rFonts w:hint="eastAsia" w:asciiTheme="minorEastAsia" w:hAnsiTheme="minorEastAsia" w:eastAsiaTheme="minorEastAsia" w:cstheme="minorEastAsia"/>
          <w:b/>
          <w:bCs/>
          <w:sz w:val="24"/>
          <w:szCs w:val="24"/>
          <w:highlight w:val="none"/>
          <w:lang w:eastAsia="zh-CN"/>
        </w:rPr>
        <w:t>开标时间后60分钟内</w:t>
      </w:r>
      <w:r>
        <w:rPr>
          <w:rFonts w:hint="eastAsia" w:asciiTheme="minorEastAsia" w:hAnsiTheme="minorEastAsia" w:eastAsiaTheme="minorEastAsia" w:cstheme="minorEastAsia"/>
          <w:b/>
          <w:bCs/>
          <w:sz w:val="24"/>
          <w:szCs w:val="24"/>
          <w:highlight w:val="none"/>
        </w:rPr>
        <w:t>供应商可以登录“政采云”平台，用“项目采购-开标评标”功能进行解密投标文件。若供应商在规定时间内未按时解密的，视为投标文件撤回。</w:t>
      </w:r>
    </w:p>
    <w:p w14:paraId="5350052C">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10、</w:t>
      </w:r>
      <w:r>
        <w:rPr>
          <w:rFonts w:hint="eastAsia" w:asciiTheme="minorEastAsia" w:hAnsiTheme="minorEastAsia" w:eastAsiaTheme="minorEastAsia" w:cstheme="minorEastAsia"/>
          <w:b/>
          <w:bCs/>
          <w:sz w:val="24"/>
          <w:szCs w:val="24"/>
          <w:highlight w:val="none"/>
        </w:rPr>
        <w:t>因系统（非投标供应商行为）的原因，造成投标供应商未能在规定的解密时限内解密的，请及时与招标代理机构或与新疆政府采购网投标客户端进行联系。</w:t>
      </w:r>
    </w:p>
    <w:p w14:paraId="06D4DEE6">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11、</w:t>
      </w:r>
      <w:r>
        <w:rPr>
          <w:rFonts w:hint="eastAsia" w:asciiTheme="minorEastAsia" w:hAnsiTheme="minorEastAsia" w:eastAsiaTheme="minorEastAsia" w:cstheme="minorEastAsia"/>
          <w:b/>
          <w:bCs/>
          <w:sz w:val="24"/>
          <w:szCs w:val="24"/>
          <w:highlight w:val="none"/>
        </w:rPr>
        <w:t>投标文件未按规定上传的，视为其自动放弃投标。</w:t>
      </w:r>
    </w:p>
    <w:bookmarkEnd w:id="127"/>
    <w:bookmarkEnd w:id="128"/>
    <w:p w14:paraId="56C981E5">
      <w:pPr>
        <w:spacing w:line="300" w:lineRule="auto"/>
        <w:rPr>
          <w:rFonts w:hint="eastAsia" w:asciiTheme="minorEastAsia" w:hAnsiTheme="minorEastAsia" w:eastAsiaTheme="minorEastAsia" w:cstheme="minorEastAsia"/>
          <w:b/>
          <w:bCs/>
          <w:sz w:val="24"/>
          <w:szCs w:val="24"/>
        </w:rPr>
      </w:pPr>
      <w:bookmarkStart w:id="129" w:name="_Toc4197"/>
      <w:bookmarkStart w:id="130" w:name="_Toc6355"/>
      <w:bookmarkStart w:id="131" w:name="_Toc503212218"/>
      <w:bookmarkStart w:id="132" w:name="_Toc521014786"/>
      <w:r>
        <w:rPr>
          <w:rFonts w:hint="eastAsia" w:asciiTheme="minorEastAsia" w:hAnsiTheme="minorEastAsia" w:eastAsiaTheme="minorEastAsia" w:cstheme="minorEastAsia"/>
          <w:b/>
          <w:bCs/>
          <w:sz w:val="24"/>
          <w:szCs w:val="24"/>
        </w:rPr>
        <w:t>投标文件的修改、撤回与撤销</w:t>
      </w:r>
    </w:p>
    <w:p w14:paraId="6D6F1A63">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B288BAB">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2投标人在投标截止期后不得修改、撤回投标文件。投标人在投标截止期后修改投标文件的，其投标无效。</w:t>
      </w:r>
    </w:p>
    <w:p w14:paraId="2DE119FF">
      <w:pPr>
        <w:spacing w:line="30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3若供应商在规定的时间内（“投标人须知前附表”的中规定）未能解密的，也将被视为供应商对其投标文件的撤回。</w:t>
      </w:r>
    </w:p>
    <w:p w14:paraId="0884F8B1">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投标文件的解密</w:t>
      </w:r>
    </w:p>
    <w:p w14:paraId="207380B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236731DC">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投标有效期</w:t>
      </w:r>
    </w:p>
    <w:p w14:paraId="1E6DDF1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1投标有效期内投标人撤销投标文件的，采购人或者采购代理机构可以不退还投标保证金（如有）。采用投标保函方式替代保证金的，采购人或者采购代理机构可以向担保机构索赔保证金。</w:t>
      </w:r>
    </w:p>
    <w:p w14:paraId="44A12A6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44157410">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投标无效的情形</w:t>
      </w:r>
      <w:bookmarkEnd w:id="129"/>
      <w:bookmarkEnd w:id="130"/>
      <w:bookmarkEnd w:id="131"/>
      <w:bookmarkEnd w:id="132"/>
    </w:p>
    <w:p w14:paraId="72954C6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133" w:name="_Toc13224"/>
      <w:bookmarkStart w:id="134" w:name="_Toc4280"/>
    </w:p>
    <w:p w14:paraId="3E71198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1投标文件未按照招标文件要求签署、盖章；</w:t>
      </w:r>
    </w:p>
    <w:p w14:paraId="77FF922F">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14:paraId="52DFDFD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14:paraId="074B2D6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4投标文件含有采购人不能接受的附加条件；</w:t>
      </w:r>
    </w:p>
    <w:p w14:paraId="1540258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14:paraId="61601C8E">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bookmarkStart w:id="135" w:name="_Toc503212219"/>
      <w:bookmarkStart w:id="136" w:name="_Toc3022"/>
      <w:bookmarkStart w:id="137" w:name="_Toc521014787"/>
      <w:bookmarkStart w:id="138" w:name="_Toc31877"/>
      <w:bookmarkStart w:id="139" w:name="_Toc11270"/>
      <w:r>
        <w:rPr>
          <w:rFonts w:hint="eastAsia" w:asciiTheme="minorEastAsia" w:hAnsiTheme="minorEastAsia" w:eastAsiaTheme="minorEastAsia" w:cstheme="minorEastAsia"/>
          <w:b/>
          <w:bCs/>
          <w:color w:val="000000"/>
          <w:kern w:val="2"/>
          <w:sz w:val="24"/>
          <w:szCs w:val="24"/>
          <w:highlight w:val="none"/>
          <w:lang w:val="en-US" w:eastAsia="zh-CN" w:bidi="ar-SA"/>
        </w:rPr>
        <w:t>（四）开标</w:t>
      </w:r>
      <w:bookmarkEnd w:id="133"/>
      <w:bookmarkEnd w:id="134"/>
      <w:bookmarkEnd w:id="135"/>
      <w:bookmarkEnd w:id="136"/>
      <w:bookmarkEnd w:id="137"/>
      <w:bookmarkEnd w:id="138"/>
      <w:bookmarkEnd w:id="139"/>
    </w:p>
    <w:p w14:paraId="2D33BDCD">
      <w:pPr>
        <w:pStyle w:val="15"/>
        <w:snapToGrid w:val="0"/>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（一）开标准备</w:t>
      </w:r>
    </w:p>
    <w:p w14:paraId="5D3F08D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"http://www.ccgp-xinjiang.gov.cn/"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http://www.ccgp-xinjiang.gov.cn/</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）下载专区查看，如有问题可拨打新疆政府采购客户服务热线95763进行咨询。）</w:t>
      </w:r>
    </w:p>
    <w:p w14:paraId="42E7D2B5">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40" w:name="_Toc24853"/>
      <w:bookmarkStart w:id="141" w:name="_Toc1875"/>
      <w:r>
        <w:rPr>
          <w:rFonts w:hint="eastAsia" w:asciiTheme="minorEastAsia" w:hAnsiTheme="minorEastAsia" w:eastAsiaTheme="minorEastAsia" w:cstheme="minorEastAsia"/>
          <w:b/>
          <w:bCs/>
          <w:kern w:val="2"/>
          <w:sz w:val="24"/>
          <w:szCs w:val="24"/>
          <w:lang w:val="en-US" w:eastAsia="zh-CN" w:bidi="ar-SA"/>
        </w:rPr>
        <w:t>（二） 开标程序：</w:t>
      </w:r>
      <w:bookmarkEnd w:id="140"/>
      <w:bookmarkEnd w:id="141"/>
    </w:p>
    <w:p w14:paraId="4FAEFD2B">
      <w:pPr>
        <w:spacing w:line="360" w:lineRule="auto"/>
        <w:ind w:firstLine="480"/>
        <w:rPr>
          <w:rFonts w:hint="eastAsia" w:asciiTheme="minorEastAsia" w:hAnsiTheme="minorEastAsia" w:eastAsiaTheme="minorEastAsia" w:cstheme="minorEastAsia"/>
          <w:sz w:val="24"/>
          <w:szCs w:val="24"/>
        </w:rPr>
      </w:pPr>
      <w:bookmarkStart w:id="142" w:name="_Toc20288"/>
      <w:bookmarkStart w:id="143" w:name="_Toc20065"/>
      <w:bookmarkStart w:id="144" w:name="_Toc521014788"/>
      <w:bookmarkStart w:id="145" w:name="_Toc503212220"/>
      <w:bookmarkStart w:id="146" w:name="_Toc3024"/>
      <w:bookmarkStart w:id="147" w:name="_Toc24288"/>
      <w:bookmarkStart w:id="148" w:name="_Toc12263"/>
      <w:r>
        <w:rPr>
          <w:rFonts w:hint="eastAsia" w:asciiTheme="minorEastAsia" w:hAnsiTheme="minorEastAsia" w:eastAsiaTheme="minorEastAsia" w:cstheme="minorEastAsia"/>
          <w:sz w:val="24"/>
          <w:szCs w:val="24"/>
        </w:rPr>
        <w:t>1.1 开标程序</w:t>
      </w:r>
    </w:p>
    <w:p w14:paraId="1F2666C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61794B2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426878B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04826DF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1C53282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1.2开标异议</w:t>
      </w:r>
    </w:p>
    <w:p w14:paraId="4096683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投标人代表对开标过程和开标记录有疑义，以及认为采购人、采购代理机构相关工作人员有需要回避的情形的，应当场提出询问或者回避申请。投标人未参加开标的，视同认可开标结果。</w:t>
      </w:r>
    </w:p>
    <w:p w14:paraId="5000A820">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投标截止时间后，投标人不足须知前附表中约定的有效供应商家数的，不得开标。同时，本次采购活动结束。</w:t>
      </w:r>
    </w:p>
    <w:p w14:paraId="1DEF65A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1.4开标时出现下列情况的，视为投标无效处理：</w:t>
      </w:r>
    </w:p>
    <w:p w14:paraId="040AFEAE">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（1）经检查数字证书无效的；</w:t>
      </w:r>
    </w:p>
    <w:p w14:paraId="6F35891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（2）因投标人自身原因，未在规定时间内完成电子投标文件解密的；</w:t>
      </w:r>
    </w:p>
    <w:p w14:paraId="55F776B5">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65225BEB">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（五）评标</w:t>
      </w:r>
      <w:bookmarkEnd w:id="142"/>
      <w:bookmarkEnd w:id="143"/>
      <w:bookmarkEnd w:id="144"/>
      <w:bookmarkEnd w:id="145"/>
      <w:bookmarkEnd w:id="146"/>
      <w:bookmarkEnd w:id="147"/>
      <w:bookmarkEnd w:id="148"/>
    </w:p>
    <w:p w14:paraId="480495BE">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（一）组建评标委员会</w:t>
      </w:r>
    </w:p>
    <w:p w14:paraId="4F27149C">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评标委员会或评标小组（以下简称评标委员会）的评标工作由招标单位负责组织，具体评标事务由评标委员会负责，并独立履行其法规规定的职责。</w:t>
      </w:r>
    </w:p>
    <w:p w14:paraId="79388BE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本项目评标委员会由评审</w:t>
      </w:r>
      <w:r>
        <w:rPr>
          <w:rFonts w:hint="eastAsia" w:asciiTheme="minorEastAsia" w:hAnsiTheme="minorEastAsia" w:eastAsiaTheme="minorEastAsia" w:cstheme="minorEastAsia"/>
          <w:kern w:val="2"/>
          <w:sz w:val="24"/>
          <w:szCs w:val="24"/>
          <w:highlight w:val="none"/>
          <w:lang w:val="en-US" w:eastAsia="zh-CN" w:bidi="ar-SA"/>
        </w:rPr>
        <w:t>专家5人</w:t>
      </w:r>
      <w:r>
        <w:rPr>
          <w:rFonts w:hint="eastAsia" w:asciiTheme="minorEastAsia" w:hAnsiTheme="minorEastAsia" w:eastAsiaTheme="minorEastAsia" w:cstheme="minorEastAsia"/>
          <w:kern w:val="2"/>
          <w:sz w:val="24"/>
          <w:szCs w:val="24"/>
          <w:lang w:val="en-US" w:eastAsia="zh-CN" w:bidi="ar-SA"/>
        </w:rPr>
        <w:t>组成；专家由招标代理机构在开标前48小时在新疆政府采购专家中随机抽取。其中熟悉相关技术方面的专家不得少于成员总数的三之二。并对投标文件进行审查、评估和比较，并做出授予合同的建议。</w:t>
      </w:r>
    </w:p>
    <w:p w14:paraId="4C2C8288">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49" w:name="_Toc26886"/>
      <w:bookmarkStart w:id="150" w:name="_Toc27271"/>
      <w:r>
        <w:rPr>
          <w:rFonts w:hint="eastAsia" w:asciiTheme="minorEastAsia" w:hAnsiTheme="minorEastAsia" w:eastAsiaTheme="minorEastAsia" w:cstheme="minorEastAsia"/>
          <w:b/>
          <w:bCs/>
          <w:kern w:val="2"/>
          <w:sz w:val="24"/>
          <w:szCs w:val="24"/>
          <w:lang w:val="en-US" w:eastAsia="zh-CN" w:bidi="ar-SA"/>
        </w:rPr>
        <w:t>（二）评标的方式</w:t>
      </w:r>
      <w:bookmarkEnd w:id="149"/>
      <w:bookmarkEnd w:id="150"/>
    </w:p>
    <w:p w14:paraId="4F810A6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本项目采用不公开方式评标，评标的依据为《中华人民共和国招标投标法》《中华人民共和国政府采购法》、《中华人民共和国财政部令第87号--政府采购货物和服务招标投标管理办法》及招标文件。</w:t>
      </w:r>
    </w:p>
    <w:p w14:paraId="02524191">
      <w:pPr>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（三）评标原则</w:t>
      </w:r>
    </w:p>
    <w:p w14:paraId="1C550140">
      <w:pPr>
        <w:pStyle w:val="15"/>
        <w:snapToGrid w:val="0"/>
        <w:spacing w:line="360" w:lineRule="auto"/>
        <w:ind w:left="0" w:leftChars="0" w:firstLine="420" w:firstLineChars="200"/>
        <w:outlineLvl w:val="2"/>
        <w:rPr>
          <w:rFonts w:hint="eastAsia" w:asciiTheme="minorEastAsia" w:hAnsiTheme="minorEastAsia" w:eastAsiaTheme="minorEastAsia" w:cstheme="minorEastAsia"/>
          <w:kern w:val="2"/>
          <w:sz w:val="24"/>
          <w:szCs w:val="24"/>
          <w:lang w:val="en-US" w:eastAsia="zh-CN" w:bidi="ar-SA"/>
        </w:rPr>
        <w:pPrChange w:id="1" w:author="何以忘言" w:date="2023-03-20T16:08:00Z">
          <w:pPr>
            <w:pStyle w:val="15"/>
            <w:snapToGrid w:val="0"/>
            <w:spacing w:line="360" w:lineRule="auto"/>
            <w:ind w:left="0" w:leftChars="0" w:firstLine="420" w:firstLineChars="200"/>
            <w:outlineLvl w:val="2"/>
          </w:pPr>
        </w:pPrChange>
      </w:pPr>
      <w:r>
        <w:rPr>
          <w:rFonts w:hint="eastAsia" w:asciiTheme="minorEastAsia" w:hAnsiTheme="minorEastAsia" w:eastAsiaTheme="minorEastAsia" w:cstheme="minorEastAsia"/>
          <w:kern w:val="2"/>
          <w:sz w:val="24"/>
          <w:szCs w:val="24"/>
          <w:lang w:val="en-US" w:eastAsia="zh-CN" w:bidi="ar-SA"/>
        </w:rPr>
        <w:t>1评标活动遵循公平、公正、科学和择优的原则，以招标文件和投标文件为评标的基本依据，并按照招标文件规定的评标方法和评标标准进行评标。</w:t>
      </w:r>
    </w:p>
    <w:p w14:paraId="7B687CC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lang w:val="en-US" w:eastAsia="zh-CN" w:bidi="ar-SA"/>
        </w:rPr>
        <w:t>2评标委员会必须公平、公正、客观，不带任何倾向性和启发性；不得向外界透露任何与评标有关的内容；任何单位和个人不得干扰、影响评标的正常进行；评标委员会及有关工作人</w:t>
      </w:r>
      <w:r>
        <w:rPr>
          <w:rFonts w:hint="eastAsia" w:asciiTheme="minorEastAsia" w:hAnsiTheme="minorEastAsia" w:eastAsiaTheme="minorEastAsia" w:cstheme="minorEastAsia"/>
          <w:kern w:val="2"/>
          <w:sz w:val="24"/>
          <w:szCs w:val="24"/>
          <w:u w:val="none"/>
          <w:lang w:val="en-US" w:eastAsia="zh-CN" w:bidi="ar-SA"/>
        </w:rPr>
        <w:t>员不得私下与投标人接触。</w:t>
      </w:r>
    </w:p>
    <w:p w14:paraId="441C8531">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u w:val="none"/>
          <w:lang w:val="en-US" w:eastAsia="zh-CN" w:bidi="ar-SA"/>
        </w:rPr>
        <w:t>3具体评标事项由评标委员会负责，并按招标文件的规定办法进行评审。</w:t>
      </w:r>
    </w:p>
    <w:p w14:paraId="01670C8F">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u w:val="none"/>
          <w:lang w:val="en-US" w:eastAsia="zh-CN" w:bidi="ar-SA"/>
        </w:rPr>
        <w:t>4合格投</w:t>
      </w:r>
      <w:r>
        <w:rPr>
          <w:rFonts w:hint="eastAsia" w:asciiTheme="minorEastAsia" w:hAnsiTheme="minorEastAsia" w:eastAsiaTheme="minorEastAsia" w:cstheme="minorEastAsia"/>
          <w:kern w:val="2"/>
          <w:sz w:val="24"/>
          <w:szCs w:val="24"/>
          <w:lang w:val="en-US" w:eastAsia="zh-CN" w:bidi="ar-SA"/>
        </w:rPr>
        <w:t>标人不足须知前附表中约定的有效供应商家数的，不得评标。</w:t>
      </w:r>
    </w:p>
    <w:p w14:paraId="1B29C60E">
      <w:pPr>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（四）评标应遵守下列评标纪律：</w:t>
      </w:r>
    </w:p>
    <w:p w14:paraId="0D1BFC1E">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（1）评标情况不得私自外泄，有关信息由和田锦荣工程项目管理有限公司统一对外发布。</w:t>
      </w:r>
    </w:p>
    <w:p w14:paraId="1334D1C3">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（2）对和田锦荣工程项目管理有限公司或投标人提供的要求保密的资料，不得摘记翻印和外传。</w:t>
      </w:r>
    </w:p>
    <w:p w14:paraId="36A90378">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（3）不得收受投标供应商或有关人员的任何礼物，不得串联鼓动其他人袒护某投标人。若与投标人存在利害关系，则应主动声明并回避。</w:t>
      </w:r>
    </w:p>
    <w:p w14:paraId="4D17852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（4）全体评委应按照招标文件规定进行评标，一切认定事项应查有实据且不得弄虚作假。</w:t>
      </w:r>
    </w:p>
    <w:p w14:paraId="310AE8B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（5）评标委员会各成员应当独立对每个投标人的投标文件进行评价，并对评价意见承担个人责任。评审过程中，不得发表倾向性言论。</w:t>
      </w:r>
    </w:p>
    <w:p w14:paraId="38A23DF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※对违反评标纪律的评委，将取消其评委资格，对评标工作造成严重损失者将予以通报批评乃至追究法律责任。</w:t>
      </w:r>
    </w:p>
    <w:p w14:paraId="4F038D30">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1" w:name="_Toc4747"/>
      <w:bookmarkStart w:id="152" w:name="_Toc13223"/>
      <w:r>
        <w:rPr>
          <w:rFonts w:hint="eastAsia" w:asciiTheme="minorEastAsia" w:hAnsiTheme="minorEastAsia" w:eastAsiaTheme="minorEastAsia" w:cstheme="minorEastAsia"/>
          <w:b/>
          <w:bCs/>
          <w:kern w:val="2"/>
          <w:sz w:val="24"/>
          <w:szCs w:val="24"/>
          <w:lang w:val="en-US" w:eastAsia="zh-CN" w:bidi="ar-SA"/>
        </w:rPr>
        <w:t>（五）评标程序</w:t>
      </w:r>
      <w:bookmarkEnd w:id="151"/>
      <w:bookmarkEnd w:id="152"/>
    </w:p>
    <w:p w14:paraId="1DD5238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本项目采</w:t>
      </w:r>
      <w:r>
        <w:rPr>
          <w:rFonts w:hint="eastAsia" w:asciiTheme="minorEastAsia" w:hAnsiTheme="minorEastAsia" w:eastAsiaTheme="minorEastAsia" w:cstheme="minorEastAsia"/>
          <w:kern w:val="2"/>
          <w:sz w:val="24"/>
          <w:szCs w:val="24"/>
          <w:highlight w:val="none"/>
          <w:lang w:val="en-US" w:eastAsia="zh-CN" w:bidi="ar-SA"/>
        </w:rPr>
        <w:t>用</w:t>
      </w:r>
      <w:r>
        <w:rPr>
          <w:rFonts w:hint="eastAsia" w:asciiTheme="minorEastAsia" w:hAnsiTheme="minorEastAsia" w:eastAsiaTheme="minorEastAsia" w:cstheme="minorEastAsia"/>
          <w:sz w:val="24"/>
          <w:szCs w:val="24"/>
          <w:highlight w:val="none"/>
        </w:rPr>
        <w:t>综合评分法,是指</w:t>
      </w:r>
      <w:r>
        <w:rPr>
          <w:rFonts w:hint="eastAsia" w:asciiTheme="minorEastAsia" w:hAnsiTheme="minorEastAsia" w:eastAsiaTheme="minorEastAsia" w:cstheme="minorEastAsia"/>
          <w:sz w:val="24"/>
          <w:szCs w:val="24"/>
        </w:rPr>
        <w:t>投标文件满足招标文件全部实质性要求，且按照评审因素的量化指标评审得分最高的投标人为中标候选人的评标方法。（最低报价不是中标的唯一依据。）</w:t>
      </w:r>
    </w:p>
    <w:p w14:paraId="09C84943">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3" w:name="_Toc17462"/>
      <w:r>
        <w:rPr>
          <w:rFonts w:hint="eastAsia" w:asciiTheme="minorEastAsia" w:hAnsiTheme="minorEastAsia" w:eastAsiaTheme="minorEastAsia" w:cstheme="minorEastAsia"/>
          <w:kern w:val="2"/>
          <w:sz w:val="24"/>
          <w:szCs w:val="24"/>
          <w:lang w:val="en-US" w:eastAsia="zh-CN" w:bidi="ar-SA"/>
        </w:rPr>
        <w:t>2. 评标的依据为招标文件和投标文件。</w:t>
      </w:r>
      <w:bookmarkEnd w:id="153"/>
    </w:p>
    <w:p w14:paraId="0A56120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评标过程的保密性。开标后，直到授予投标人合同为止，凡是属于审查、澄清、评价和比较的有关资料以及授标建议等均不得向投标人或其他无关的人员透露。</w:t>
      </w:r>
    </w:p>
    <w:p w14:paraId="5FA800F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投标人在评标过程中所进行的试图影响评标结果、有悖于招标规则的活动，可能导致取消其中标资格。</w:t>
      </w:r>
    </w:p>
    <w:p w14:paraId="3512A00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与招标文件有重大偏离的投标文件将被拒绝。且此重大偏离在开标后不许修改。</w:t>
      </w:r>
    </w:p>
    <w:p w14:paraId="79F9C676">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根据国家计委等七部委颁发的《评标委员会和评标方法暂行规定》以下为重大偏离：</w:t>
      </w:r>
    </w:p>
    <w:p w14:paraId="7527BA7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（一）投标保证金的缴纳主体与投标人不一致的，没有按照招标文件要求提供投标担保，或者所提供的投标担保有瑕疵的；</w:t>
      </w:r>
    </w:p>
    <w:p w14:paraId="741CD6A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（二）投标文件没有投标人法定代表人或其授权代表签字（章）和加盖投标单位公章的；</w:t>
      </w:r>
    </w:p>
    <w:p w14:paraId="3721B89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（三）投标文件记载的招标项目完成期限超过招标文件规定的完成期限；</w:t>
      </w:r>
    </w:p>
    <w:p w14:paraId="18E6DCA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（四）明显不符合技术规格和技术标准（技术规格、合同条款有偏离情况的）；</w:t>
      </w:r>
    </w:p>
    <w:p w14:paraId="54F53A4E">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（五）商务条款有偏离情况的；</w:t>
      </w:r>
    </w:p>
    <w:p w14:paraId="30205AC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（六）投标附有招标人不能接受的条件；</w:t>
      </w:r>
    </w:p>
    <w:p w14:paraId="29CAAA4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（七）不符合招标文件中规定的其他实质性要求。</w:t>
      </w:r>
    </w:p>
    <w:p w14:paraId="1BB6CAD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 投标报价不符合招标文件规定的要求。</w:t>
      </w:r>
    </w:p>
    <w:p w14:paraId="12AC36F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投标文件有上述情形之一的，视为非实质性响应招标，并按规定作废标处理。招标文件对重大偏差另有规定的，从其规定。</w:t>
      </w:r>
    </w:p>
    <w:p w14:paraId="1EC09A3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评标委员会应当审查每一投标文件是否对招标文件提出的所有实质性要求和条件作出响应。未能在实质上响应招标的投标，将作废标处理。</w:t>
      </w:r>
    </w:p>
    <w:p w14:paraId="49563D89">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4" w:name="_Toc3963"/>
      <w:r>
        <w:rPr>
          <w:rFonts w:hint="eastAsia" w:asciiTheme="minorEastAsia" w:hAnsiTheme="minorEastAsia" w:eastAsiaTheme="minorEastAsia" w:cstheme="minorEastAsia"/>
          <w:kern w:val="2"/>
          <w:sz w:val="24"/>
          <w:szCs w:val="24"/>
          <w:lang w:val="en-US" w:eastAsia="zh-CN" w:bidi="ar-SA"/>
        </w:rPr>
        <w:t>7.对投标文件的初步审查和响应性确定</w:t>
      </w:r>
      <w:bookmarkEnd w:id="154"/>
    </w:p>
    <w:p w14:paraId="61E73DB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2C0C02E1">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4F8607F1">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10.招标人判断投标文件的响应性是基于投标文件本身而不靠外部证据。</w:t>
      </w:r>
    </w:p>
    <w:p w14:paraId="45A540AD">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11.招标人将拒绝被定为非响应性的投标，投标人不能通过修正或撤消不符之处而使其投标成为响应性投标。</w:t>
      </w:r>
    </w:p>
    <w:p w14:paraId="2666B395">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5" w:name="_Toc32133"/>
      <w:bookmarkStart w:id="156" w:name="_Toc13450"/>
      <w:r>
        <w:rPr>
          <w:rFonts w:hint="eastAsia" w:asciiTheme="minorEastAsia" w:hAnsiTheme="minorEastAsia" w:eastAsiaTheme="minorEastAsia" w:cstheme="minorEastAsia"/>
          <w:b/>
          <w:bCs/>
          <w:kern w:val="2"/>
          <w:sz w:val="24"/>
          <w:szCs w:val="24"/>
          <w:lang w:val="en-US" w:eastAsia="zh-CN" w:bidi="ar-SA"/>
        </w:rPr>
        <w:t>（六）澄清问题的形式</w:t>
      </w:r>
      <w:bookmarkEnd w:id="155"/>
      <w:bookmarkEnd w:id="156"/>
    </w:p>
    <w:p w14:paraId="04B05FD2">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5C390F3">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7" w:name="_Toc30297"/>
      <w:bookmarkStart w:id="158" w:name="_Toc31156"/>
      <w:r>
        <w:rPr>
          <w:rFonts w:hint="eastAsia" w:asciiTheme="minorEastAsia" w:hAnsiTheme="minorEastAsia" w:eastAsiaTheme="minorEastAsia" w:cstheme="minorEastAsia"/>
          <w:b/>
          <w:bCs/>
          <w:kern w:val="2"/>
          <w:sz w:val="24"/>
          <w:szCs w:val="24"/>
          <w:lang w:val="en-US" w:eastAsia="zh-CN" w:bidi="ar-SA"/>
        </w:rPr>
        <w:t>（七）错误修正</w:t>
      </w:r>
      <w:bookmarkEnd w:id="157"/>
      <w:bookmarkEnd w:id="158"/>
    </w:p>
    <w:p w14:paraId="1E474C6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投标文件如果出现计算或表达上的错误，修正错误的原则如下：</w:t>
      </w:r>
    </w:p>
    <w:p w14:paraId="7CEA899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1.投标报价一览表总价与投标报价明细表汇总数不一致的，以投标报价一览表为准；</w:t>
      </w:r>
    </w:p>
    <w:p w14:paraId="6155D77F">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9" w:name="_Toc29280"/>
      <w:r>
        <w:rPr>
          <w:rFonts w:hint="eastAsia" w:asciiTheme="minorEastAsia" w:hAnsiTheme="minorEastAsia" w:eastAsiaTheme="minorEastAsia" w:cstheme="minorEastAsia"/>
          <w:kern w:val="2"/>
          <w:sz w:val="24"/>
          <w:szCs w:val="24"/>
          <w:lang w:val="en-US" w:eastAsia="zh-CN" w:bidi="ar-SA"/>
        </w:rPr>
        <w:t>2.投标文件的大写金额和小写金额不一致的，以大写金额为准；</w:t>
      </w:r>
      <w:bookmarkEnd w:id="159"/>
    </w:p>
    <w:p w14:paraId="17C0953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3.总价金额与按单价汇总金额不一致的，以单价金额计算结果为准；</w:t>
      </w:r>
    </w:p>
    <w:p w14:paraId="5D76459D">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60" w:name="_Toc16465"/>
      <w:r>
        <w:rPr>
          <w:rFonts w:hint="eastAsia" w:asciiTheme="minorEastAsia" w:hAnsiTheme="minorEastAsia" w:eastAsiaTheme="minorEastAsia" w:cstheme="minorEastAsia"/>
          <w:kern w:val="2"/>
          <w:sz w:val="24"/>
          <w:szCs w:val="24"/>
          <w:lang w:val="en-US" w:eastAsia="zh-CN" w:bidi="ar-SA"/>
        </w:rPr>
        <w:t>4.对不同文字文本投标文件的解释发生异议的，以中文文本为准。</w:t>
      </w:r>
      <w:bookmarkEnd w:id="160"/>
    </w:p>
    <w:p w14:paraId="4CC374D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4C39C773">
      <w:pPr>
        <w:pStyle w:val="15"/>
        <w:snapToGrid w:val="0"/>
        <w:spacing w:line="360" w:lineRule="auto"/>
        <w:ind w:left="0" w:leftChars="0" w:firstLine="0" w:firstLineChars="0"/>
        <w:outlineLvl w:val="1"/>
        <w:rPr>
          <w:rFonts w:hint="eastAsia" w:asciiTheme="minorEastAsia" w:hAnsiTheme="minorEastAsia" w:eastAsiaTheme="minorEastAsia" w:cstheme="minorEastAsia"/>
          <w:b/>
          <w:bCs/>
          <w:kern w:val="2"/>
          <w:sz w:val="24"/>
          <w:szCs w:val="24"/>
          <w:lang w:val="en-US" w:eastAsia="zh-CN" w:bidi="ar-SA"/>
        </w:rPr>
      </w:pPr>
      <w:bookmarkStart w:id="161" w:name="_Toc15699"/>
      <w:bookmarkStart w:id="162" w:name="_Toc19846"/>
      <w:r>
        <w:rPr>
          <w:rFonts w:hint="eastAsia" w:asciiTheme="minorEastAsia" w:hAnsiTheme="minorEastAsia" w:eastAsiaTheme="minorEastAsia" w:cstheme="minorEastAsia"/>
          <w:b/>
          <w:bCs/>
          <w:kern w:val="2"/>
          <w:sz w:val="24"/>
          <w:szCs w:val="24"/>
          <w:lang w:val="en-US" w:eastAsia="zh-CN" w:bidi="ar-SA"/>
        </w:rPr>
        <w:t>（八）</w:t>
      </w:r>
      <w:bookmarkEnd w:id="161"/>
      <w:bookmarkEnd w:id="162"/>
      <w:r>
        <w:rPr>
          <w:rFonts w:hint="eastAsia" w:asciiTheme="minorEastAsia" w:hAnsiTheme="minorEastAsia" w:eastAsiaTheme="minorEastAsia" w:cstheme="minorEastAsia"/>
          <w:b/>
          <w:bCs/>
          <w:kern w:val="2"/>
          <w:sz w:val="24"/>
          <w:szCs w:val="24"/>
          <w:lang w:val="en-US" w:eastAsia="zh-CN" w:bidi="ar-SA"/>
        </w:rPr>
        <w:t>有下列情形之一的，视为投标人串通投标，其投标无效</w:t>
      </w:r>
    </w:p>
    <w:p w14:paraId="2932D4A2">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bookmarkStart w:id="163" w:name="_Toc29743"/>
      <w:bookmarkStart w:id="164" w:name="_Toc9664"/>
      <w:r>
        <w:rPr>
          <w:rFonts w:hint="eastAsia" w:asciiTheme="minorEastAsia" w:hAnsiTheme="minorEastAsia" w:eastAsiaTheme="minorEastAsia" w:cstheme="minorEastAsia"/>
          <w:kern w:val="2"/>
          <w:sz w:val="24"/>
          <w:szCs w:val="24"/>
          <w:lang w:val="en-US" w:eastAsia="zh-CN" w:bidi="ar-SA"/>
        </w:rPr>
        <w:t>1不同投标人的投标文件由同一单位或者个人编制；</w:t>
      </w:r>
    </w:p>
    <w:p w14:paraId="64FFD46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2不同投标人委托同一单位或者个人办理投标事宜；</w:t>
      </w:r>
    </w:p>
    <w:p w14:paraId="707C87F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3不同投标人的投标文件载明的项目管理成员或者联系人员为同一人；</w:t>
      </w:r>
    </w:p>
    <w:p w14:paraId="3CA1012B">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4不同投标人的投标文件异常一致或者投标报价呈规律性差异；</w:t>
      </w:r>
    </w:p>
    <w:p w14:paraId="737D073C">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5不同投标人的投标文件相互混装；</w:t>
      </w:r>
    </w:p>
    <w:p w14:paraId="1A529D5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6不同投标人的投标保证金或购买电子保函支付款为从同一单位或个人的账户转出；</w:t>
      </w:r>
    </w:p>
    <w:p w14:paraId="431E1F8B">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7投标人上传的电子投标文件使用该项目其他投标人的数字证书加密的或加盖该项目的其他投标人的电子印章的。</w:t>
      </w:r>
    </w:p>
    <w:p w14:paraId="0C7BD3C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说明：在评标过程中发现投标人有上述情形的，评标委员会应当认定其投标无效。同时，项目评审时被认定为串通投标的投标人不得参加该合同项下的采购活动。</w:t>
      </w:r>
    </w:p>
    <w:p w14:paraId="2A59965F">
      <w:pPr>
        <w:pStyle w:val="15"/>
        <w:snapToGrid w:val="0"/>
        <w:spacing w:line="360" w:lineRule="auto"/>
        <w:ind w:left="0" w:leftChars="0" w:firstLine="0" w:firstLine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（九）评标过程的监控</w:t>
      </w:r>
      <w:bookmarkEnd w:id="163"/>
      <w:bookmarkEnd w:id="164"/>
    </w:p>
    <w:p w14:paraId="5998ABE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本项目评标过程实行录像监控、照片记录，且由监标人员进行现场监督，评标过程中所发生的试图影响评标结果的不公正活动，可能导致其投标被拒绝。</w:t>
      </w:r>
    </w:p>
    <w:p w14:paraId="4A1BC419">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bookmarkStart w:id="165" w:name="_Toc21069"/>
      <w:bookmarkStart w:id="166" w:name="_Toc521014789"/>
      <w:bookmarkStart w:id="167" w:name="_Toc2497"/>
      <w:bookmarkStart w:id="168" w:name="_Toc26644"/>
      <w:bookmarkStart w:id="169" w:name="_Toc503212221"/>
      <w:bookmarkStart w:id="170" w:name="_Toc10823"/>
      <w:bookmarkStart w:id="171" w:name="_Toc28372"/>
    </w:p>
    <w:p w14:paraId="0529A63B">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（六）定标</w:t>
      </w:r>
      <w:bookmarkEnd w:id="165"/>
      <w:bookmarkEnd w:id="166"/>
      <w:bookmarkEnd w:id="167"/>
      <w:bookmarkEnd w:id="168"/>
      <w:bookmarkEnd w:id="169"/>
      <w:bookmarkEnd w:id="170"/>
      <w:bookmarkEnd w:id="171"/>
    </w:p>
    <w:p w14:paraId="29F93136">
      <w:pPr>
        <w:snapToGrid w:val="0"/>
        <w:spacing w:line="360" w:lineRule="auto"/>
        <w:ind w:left="10" w:leftChars="0" w:hanging="1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确定中标人：</w:t>
      </w:r>
      <w:r>
        <w:rPr>
          <w:rFonts w:hint="eastAsia" w:asciiTheme="minorEastAsia" w:hAnsiTheme="minorEastAsia" w:eastAsiaTheme="minorEastAsia" w:cstheme="minorEastAsia"/>
          <w:kern w:val="2"/>
          <w:sz w:val="24"/>
          <w:szCs w:val="24"/>
          <w:lang w:val="en-US" w:eastAsia="zh-CN" w:bidi="ar-SA"/>
        </w:rPr>
        <w:t>本项目由招标人根据评标结果排名第一位的候选人为中标人。</w:t>
      </w:r>
    </w:p>
    <w:p w14:paraId="4F1B8A73">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中标公告：</w:t>
      </w:r>
      <w:r>
        <w:rPr>
          <w:rFonts w:hint="eastAsia" w:asciiTheme="minorEastAsia" w:hAnsiTheme="minorEastAsia" w:eastAsiaTheme="minorEastAsia" w:cstheme="minorEastAsia"/>
          <w:sz w:val="24"/>
          <w:szCs w:val="24"/>
        </w:rPr>
        <w:t>中标供应商确定之日起2个工作日内，采购人或采购代理机构将在中国政府采购网(www.ccgp.gov.cn)、新疆政府采购网(http://www.ccgp-xinjiang.gov.cn/)上以公告的形式发布中标结果，中标公告的公告期限为 1个工作日。中标公告同时作为采购代理机构通知除中标供应商外的其他投标人没有中标的书面形式，采购代理机构不再以其它方式另行通知。</w:t>
      </w:r>
    </w:p>
    <w:p w14:paraId="04E742C1">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中标通知书：</w:t>
      </w:r>
      <w:r>
        <w:rPr>
          <w:rFonts w:hint="eastAsia" w:asciiTheme="minorEastAsia" w:hAnsiTheme="minorEastAsia" w:eastAsiaTheme="minorEastAsia" w:cstheme="minorEastAsia"/>
          <w:sz w:val="24"/>
          <w:szCs w:val="24"/>
        </w:rPr>
        <w:t>中标通知书在发布中标公告时，同步发除中标通知书至中标供应商。中标通知书发出后，采购人不得违法改变中标结果，中标供应商不得放弃中标。中标供应商放弃中标的，应当依法承担相应的法律责任。</w:t>
      </w:r>
    </w:p>
    <w:p w14:paraId="2166BD94">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项目废标处理：</w:t>
      </w:r>
      <w:r>
        <w:rPr>
          <w:rFonts w:hint="eastAsia" w:asciiTheme="minorEastAsia" w:hAnsiTheme="minorEastAsia" w:eastAsiaTheme="minorEastAsia" w:cstheme="minorEastAsia"/>
          <w:sz w:val="24"/>
          <w:szCs w:val="24"/>
        </w:rPr>
        <w:t>根据《中华人民共和国政府采购法》第三十六条及招标文件的约定，本项目或分包下列情况出现将作废标处理：</w:t>
      </w:r>
    </w:p>
    <w:p w14:paraId="005A7C2C">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7BF98EE2">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14:paraId="30E531B2">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（3）投标人的报价均超过了采购预算，采购人不能支付的。</w:t>
      </w:r>
    </w:p>
    <w:p w14:paraId="7D905685">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4B0E930C">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对废标的采购项目，评标委员会应出具采购文件是否存在不合理条款的论证意见。</w:t>
      </w:r>
    </w:p>
    <w:p w14:paraId="345A7C30">
      <w:pPr>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终止公告：</w:t>
      </w:r>
      <w:r>
        <w:rPr>
          <w:rFonts w:hint="eastAsia" w:asciiTheme="minorEastAsia" w:hAnsiTheme="minorEastAsia" w:eastAsiaTheme="minorEastAsia" w:cstheme="minorEastAsia"/>
          <w:sz w:val="24"/>
          <w:szCs w:val="24"/>
        </w:rPr>
        <w:t>项目废标后，采购人或采购代理机构将在中国政府采购网(www.ccgp.gov.cn)、新疆政府采购网(http://www.ccgp-xinjiang.gov.cn/)、上发布终止公告，终止公告的公告期限为1个工作日。</w:t>
      </w:r>
    </w:p>
    <w:p w14:paraId="04B4C85E">
      <w:pPr>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bookmarkStart w:id="172" w:name="_Toc20063"/>
      <w:bookmarkStart w:id="173" w:name="_Toc15327"/>
      <w:bookmarkStart w:id="174" w:name="_Toc521014790"/>
      <w:bookmarkStart w:id="175" w:name="_Toc11259"/>
      <w:bookmarkStart w:id="176" w:name="_Toc503212222"/>
    </w:p>
    <w:p w14:paraId="18E24C9D">
      <w:pPr>
        <w:snapToGrid w:val="0"/>
        <w:spacing w:line="360" w:lineRule="auto"/>
        <w:ind w:firstLine="482" w:firstLineChars="200"/>
        <w:jc w:val="center"/>
        <w:outlineLvl w:val="1"/>
        <w:rPr>
          <w:rFonts w:hint="eastAsia" w:asciiTheme="minorEastAsia" w:hAnsiTheme="minorEastAsia" w:eastAsiaTheme="minorEastAsia" w:cstheme="minorEastAsia"/>
          <w:color w:val="000000"/>
          <w:sz w:val="24"/>
          <w:szCs w:val="24"/>
        </w:rPr>
      </w:pPr>
      <w:bookmarkStart w:id="177" w:name="_Toc20117"/>
      <w:bookmarkStart w:id="178" w:name="_Toc20345"/>
      <w:r>
        <w:rPr>
          <w:rFonts w:hint="eastAsia" w:asciiTheme="minorEastAsia" w:hAnsiTheme="minorEastAsia" w:eastAsiaTheme="minorEastAsia" w:cstheme="minorEastAsia"/>
          <w:b/>
          <w:bCs/>
          <w:color w:val="000000"/>
          <w:kern w:val="2"/>
          <w:sz w:val="24"/>
          <w:szCs w:val="24"/>
          <w:highlight w:val="none"/>
          <w:lang w:val="en-US" w:eastAsia="zh-CN" w:bidi="ar-SA"/>
        </w:rPr>
        <w:t>（七）合同授予</w:t>
      </w:r>
      <w:bookmarkEnd w:id="172"/>
      <w:bookmarkEnd w:id="173"/>
      <w:bookmarkEnd w:id="174"/>
      <w:bookmarkEnd w:id="175"/>
      <w:bookmarkEnd w:id="176"/>
      <w:bookmarkEnd w:id="177"/>
      <w:bookmarkEnd w:id="178"/>
    </w:p>
    <w:p w14:paraId="7C96DC8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1.合同签订</w:t>
      </w:r>
    </w:p>
    <w:p w14:paraId="64AD6112">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7FD2AC7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1.2采购人不得提出试用合格等任何不合理的要求作为签订合同的条件，且不得与中标供应商私下订立背离合同实质性内容的协议。</w:t>
      </w:r>
    </w:p>
    <w:p w14:paraId="4930B0DE">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1.3采购人应当自政府采购合同签订之日起2个工作日内，将政府采购合同在省级以上人民政府财政部门指定的媒体上公告，但政府采购合同中涉及国家秘密、商业秘密的内容除外。</w:t>
      </w:r>
    </w:p>
    <w:p w14:paraId="54A61C22">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30A2B5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2.合同的履行</w:t>
      </w:r>
    </w:p>
    <w:p w14:paraId="6EB346F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88604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090AEA4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2.3有融资要求的中标供应商可根据自身情况，在新疆政府采购网上自行选择金融机构及其融资产品，凭政府采购中标通知书或政府采购合同向金融机构提出融资申请。</w:t>
      </w:r>
    </w:p>
    <w:p w14:paraId="42E4BFD4">
      <w:pPr>
        <w:snapToGrid w:val="0"/>
        <w:spacing w:line="360" w:lineRule="auto"/>
        <w:ind w:firstLine="482" w:firstLineChars="200"/>
        <w:jc w:val="center"/>
        <w:outlineLvl w:val="1"/>
        <w:rPr>
          <w:rFonts w:hint="eastAsia" w:asciiTheme="minorEastAsia" w:hAnsiTheme="minorEastAsia" w:eastAsiaTheme="minorEastAsia" w:cstheme="minorEastAsia"/>
          <w:b/>
          <w:bCs/>
          <w:color w:val="000000"/>
          <w:kern w:val="2"/>
          <w:sz w:val="24"/>
          <w:szCs w:val="24"/>
          <w:highlight w:val="none"/>
          <w:lang w:val="en-US" w:eastAsia="zh-CN" w:bidi="ar-SA"/>
        </w:rPr>
      </w:pPr>
      <w:bookmarkStart w:id="179" w:name="_Toc115436070"/>
      <w:bookmarkStart w:id="180" w:name="_Toc17664"/>
      <w:r>
        <w:rPr>
          <w:rFonts w:hint="eastAsia" w:asciiTheme="minorEastAsia" w:hAnsiTheme="minorEastAsia" w:eastAsiaTheme="minorEastAsia" w:cstheme="minorEastAsia"/>
          <w:b/>
          <w:bCs/>
          <w:color w:val="000000"/>
          <w:kern w:val="2"/>
          <w:sz w:val="24"/>
          <w:szCs w:val="24"/>
          <w:highlight w:val="none"/>
          <w:lang w:val="en-US" w:eastAsia="zh-CN" w:bidi="ar-SA"/>
        </w:rPr>
        <w:t>（八）法律责任</w:t>
      </w:r>
      <w:bookmarkEnd w:id="179"/>
      <w:bookmarkEnd w:id="180"/>
    </w:p>
    <w:p w14:paraId="491B7791">
      <w:pPr>
        <w:shd w:val="clear" w:color="auto" w:fill="auto"/>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法律责任</w:t>
      </w:r>
    </w:p>
    <w:p w14:paraId="76D6EB3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6531FD2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（一）提供虚假材料谋取中标的； </w:t>
      </w:r>
    </w:p>
    <w:p w14:paraId="6560BE5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（二）采取不正当手段诋毁、排挤其他投标人的；</w:t>
      </w:r>
    </w:p>
    <w:p w14:paraId="02D32EE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（三）与招标人、采购人、其他投标人恶意串通的； </w:t>
      </w:r>
    </w:p>
    <w:p w14:paraId="23DE944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（四）向招标人、采购人行贿或者提供其他不正当利益的； </w:t>
      </w:r>
    </w:p>
    <w:p w14:paraId="76396866">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（五）在招标过程中与招标人、采购人进行协商谈判、不按照招标文件、投标文件订立合同，或者与采购人另行订立背离合同实质性内容的协议的； </w:t>
      </w:r>
    </w:p>
    <w:p w14:paraId="19158EE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（六）拒绝有关部门监督检查或者提供虚假情况的。 </w:t>
      </w:r>
    </w:p>
    <w:p w14:paraId="5C4F765F">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投标人有前款第（一）至（五）项情形之一的，中标无效。 </w:t>
      </w:r>
    </w:p>
    <w:p w14:paraId="08D292FB">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2.中标人有下列情形之一的，招标人不予退还其交纳的投标保证金；情节严重的，由财政部门将其列入不良行为记录名单，在一至三年内禁止参加政府采购活动，并予以通报：</w:t>
      </w:r>
    </w:p>
    <w:p w14:paraId="2A9AFFDB">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（一）中标后无正当理由不与采购人签订合同的；</w:t>
      </w:r>
    </w:p>
    <w:p w14:paraId="4DDFB531">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（二）将中标项目转让给他人，或者在投标文件中未说明，且未经招标人同意，将中标项目分包给他人的；</w:t>
      </w:r>
    </w:p>
    <w:p w14:paraId="045899B7">
      <w:pPr>
        <w:pStyle w:val="15"/>
        <w:snapToGrid w:val="0"/>
        <w:spacing w:line="360" w:lineRule="auto"/>
        <w:ind w:left="210" w:leftChars="100" w:firstLine="360" w:firstLineChars="1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（三）拒绝履行合同义务的。</w:t>
      </w:r>
    </w:p>
    <w:p w14:paraId="15924340">
      <w:pPr>
        <w:numPr>
          <w:ilvl w:val="0"/>
          <w:numId w:val="0"/>
        </w:numPr>
        <w:shd w:val="clear" w:color="auto" w:fill="auto"/>
        <w:spacing w:line="460" w:lineRule="exact"/>
        <w:ind w:leftChars="-50" w:right="62" w:rightChars="0"/>
        <w:jc w:val="center"/>
        <w:outlineLvl w:val="1"/>
        <w:rPr>
          <w:rFonts w:hint="eastAsia" w:asciiTheme="minorEastAsia" w:hAnsiTheme="minorEastAsia" w:eastAsiaTheme="minorEastAsia" w:cstheme="minorEastAsia"/>
          <w:b/>
          <w:color w:val="auto"/>
          <w:sz w:val="24"/>
          <w:szCs w:val="24"/>
          <w:highlight w:val="none"/>
        </w:rPr>
      </w:pPr>
      <w:bookmarkStart w:id="181" w:name="_Toc115436071"/>
      <w:bookmarkStart w:id="182" w:name="_Toc5688"/>
      <w:r>
        <w:rPr>
          <w:rFonts w:hint="eastAsia" w:asciiTheme="minorEastAsia" w:hAnsiTheme="minorEastAsia" w:eastAsiaTheme="minorEastAsia" w:cstheme="minorEastAsia"/>
          <w:b/>
          <w:bCs/>
          <w:color w:val="000000"/>
          <w:kern w:val="2"/>
          <w:sz w:val="24"/>
          <w:szCs w:val="24"/>
          <w:highlight w:val="none"/>
          <w:lang w:val="en-US" w:eastAsia="zh-CN" w:bidi="ar-SA"/>
        </w:rPr>
        <w:t>（九）</w:t>
      </w:r>
      <w:r>
        <w:rPr>
          <w:rFonts w:hint="eastAsia" w:asciiTheme="minorEastAsia" w:hAnsiTheme="minorEastAsia" w:eastAsiaTheme="minorEastAsia" w:cstheme="minorEastAsia"/>
          <w:b/>
          <w:color w:val="auto"/>
          <w:sz w:val="24"/>
          <w:szCs w:val="24"/>
          <w:highlight w:val="none"/>
        </w:rPr>
        <w:t>特别提示</w:t>
      </w:r>
      <w:bookmarkEnd w:id="181"/>
      <w:bookmarkEnd w:id="182"/>
    </w:p>
    <w:p w14:paraId="22898792">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1、投标人应认真研读招标文件，充分考虑招标文件中的技术要求和合同条款后编制投标文件。</w:t>
      </w:r>
    </w:p>
    <w:p w14:paraId="755F1253">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2、如招标文件中未提供的各类表格样式，投标人可另行设计表格样式，但力求内容完整，表达清晰、准确。</w:t>
      </w:r>
    </w:p>
    <w:p w14:paraId="7A9C333C">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3、本项目实行网上投标，采用电子投标文件。若供应商参与投标，自行承担投标一切费用。 </w:t>
      </w:r>
    </w:p>
    <w:p w14:paraId="2A3557C9">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4、各供应商应在开标前应确保成为正式注册入库供应商，并完成CA数字证书申领。因未注册入库、未办理CA数字证书等原因造成无法投标或投标失败等后果由供应商自行承担。 </w:t>
      </w:r>
    </w:p>
    <w:p w14:paraId="753A333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B35B5A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EFA0A2C">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7、本招标文件是根据《中华人民共和国招标投标法》规定编制的，解释权属和田锦荣工程项目管理有限公司。</w:t>
      </w:r>
    </w:p>
    <w:p w14:paraId="52F37E4E">
      <w:pPr>
        <w:numPr>
          <w:ilvl w:val="0"/>
          <w:numId w:val="0"/>
        </w:numPr>
        <w:shd w:val="clear" w:color="auto" w:fill="auto"/>
        <w:spacing w:line="460" w:lineRule="exact"/>
        <w:ind w:leftChars="-50" w:right="62" w:rightChars="0"/>
        <w:jc w:val="center"/>
        <w:outlineLvl w:val="1"/>
        <w:rPr>
          <w:rFonts w:hint="eastAsia" w:asciiTheme="minorEastAsia" w:hAnsiTheme="minorEastAsia" w:eastAsiaTheme="minorEastAsia" w:cstheme="minorEastAsia"/>
          <w:b/>
          <w:color w:val="auto"/>
          <w:sz w:val="24"/>
          <w:szCs w:val="24"/>
          <w:highlight w:val="none"/>
        </w:rPr>
      </w:pPr>
      <w:bookmarkStart w:id="183" w:name="_Toc4516"/>
      <w:bookmarkStart w:id="184" w:name="_Toc115436072"/>
      <w:r>
        <w:rPr>
          <w:rFonts w:hint="eastAsia" w:asciiTheme="minorEastAsia" w:hAnsiTheme="minorEastAsia" w:eastAsiaTheme="minorEastAsia" w:cstheme="minorEastAsia"/>
          <w:b/>
          <w:bCs/>
          <w:color w:val="000000"/>
          <w:kern w:val="2"/>
          <w:sz w:val="24"/>
          <w:szCs w:val="24"/>
          <w:highlight w:val="none"/>
          <w:lang w:val="en-US" w:eastAsia="zh-CN" w:bidi="ar-SA"/>
        </w:rPr>
        <w:t>（十）</w:t>
      </w:r>
      <w:r>
        <w:rPr>
          <w:rFonts w:hint="eastAsia" w:asciiTheme="minorEastAsia" w:hAnsiTheme="minorEastAsia" w:eastAsiaTheme="minorEastAsia" w:cstheme="minorEastAsia"/>
          <w:b/>
          <w:color w:val="auto"/>
          <w:sz w:val="24"/>
          <w:szCs w:val="24"/>
          <w:highlight w:val="none"/>
        </w:rPr>
        <w:t>重新招标和其他方式采购</w:t>
      </w:r>
      <w:bookmarkEnd w:id="183"/>
      <w:bookmarkEnd w:id="184"/>
    </w:p>
    <w:p w14:paraId="006568D6">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1.重新招标</w:t>
      </w:r>
    </w:p>
    <w:p w14:paraId="36D72A6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1.1在招标采购中，出现下列情形之一的，应当在废标后重新招标：</w:t>
      </w:r>
    </w:p>
    <w:p w14:paraId="5312C7FE">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（1）符合专业条件的供应商或者对招标文件作实质响应的供应商不足三家的；</w:t>
      </w:r>
    </w:p>
    <w:p w14:paraId="443E570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（2）出现影响采购公正的违法、违规行为的；</w:t>
      </w:r>
    </w:p>
    <w:p w14:paraId="769F553B">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（3）投标人的报价均超过了采购预算，采购人不能支付的；</w:t>
      </w:r>
    </w:p>
    <w:p w14:paraId="4B65E9BE">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（4）因重大变故，采购任务取消的。</w:t>
      </w:r>
    </w:p>
    <w:p w14:paraId="1382868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1.2如果排名第一、二的中标候选人，直至排名第三的中标候选人因不可抗力或自身原因放弃中标结果，本次招标宣布失败。招标人应依法按规定重新组织招标。</w:t>
      </w:r>
    </w:p>
    <w:p w14:paraId="6C5AFF81">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2其他方式采购</w:t>
      </w:r>
    </w:p>
    <w:p w14:paraId="5D83A308">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2.1需要采取其他方式采购的，应当在采购活动开始前获得设区的市、自治州以上人民政府采购监督管理部门或者政府有关部门批准。</w:t>
      </w:r>
    </w:p>
    <w:p w14:paraId="5B2CD3CE">
      <w:pPr>
        <w:shd w:val="clear" w:color="auto" w:fill="auto"/>
        <w:spacing w:line="460" w:lineRule="exact"/>
        <w:jc w:val="center"/>
        <w:outlineLvl w:val="1"/>
        <w:rPr>
          <w:rFonts w:hint="eastAsia" w:asciiTheme="minorEastAsia" w:hAnsiTheme="minorEastAsia" w:eastAsiaTheme="minorEastAsia" w:cstheme="minorEastAsia"/>
          <w:color w:val="auto"/>
          <w:sz w:val="24"/>
          <w:szCs w:val="24"/>
          <w:highlight w:val="none"/>
          <w:lang w:val="en-US" w:eastAsia="zh-CN"/>
        </w:rPr>
      </w:pPr>
      <w:bookmarkStart w:id="185" w:name="_Toc26775"/>
      <w:bookmarkStart w:id="186" w:name="_Toc115436073"/>
      <w:r>
        <w:rPr>
          <w:rFonts w:hint="eastAsia" w:asciiTheme="minorEastAsia" w:hAnsiTheme="minorEastAsia" w:eastAsiaTheme="minorEastAsia" w:cstheme="minorEastAsia"/>
          <w:b/>
          <w:bCs/>
          <w:color w:val="000000"/>
          <w:kern w:val="2"/>
          <w:sz w:val="24"/>
          <w:szCs w:val="24"/>
          <w:highlight w:val="none"/>
          <w:lang w:val="en-US" w:eastAsia="zh-CN" w:bidi="ar-SA"/>
        </w:rPr>
        <w:t>（十</w:t>
      </w: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bCs/>
          <w:color w:val="000000"/>
          <w:kern w:val="2"/>
          <w:sz w:val="24"/>
          <w:szCs w:val="24"/>
          <w:highlight w:val="none"/>
          <w:lang w:val="en-US" w:eastAsia="zh-CN" w:bidi="ar-SA"/>
        </w:rPr>
        <w:t>）</w:t>
      </w:r>
      <w:r>
        <w:rPr>
          <w:rFonts w:hint="eastAsia" w:asciiTheme="minorEastAsia" w:hAnsiTheme="minorEastAsia" w:eastAsiaTheme="minorEastAsia" w:cstheme="minorEastAsia"/>
          <w:b/>
          <w:color w:val="auto"/>
          <w:sz w:val="24"/>
          <w:szCs w:val="24"/>
          <w:highlight w:val="none"/>
        </w:rPr>
        <w:t>质疑及答复</w:t>
      </w:r>
      <w:bookmarkEnd w:id="185"/>
      <w:bookmarkEnd w:id="186"/>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投诉</w:t>
      </w:r>
    </w:p>
    <w:p w14:paraId="1618E6C0">
      <w:pPr>
        <w:shd w:val="clear" w:color="auto" w:fill="auto"/>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、质疑的提出</w:t>
      </w:r>
      <w:r>
        <w:rPr>
          <w:rFonts w:hint="eastAsia" w:asciiTheme="minorEastAsia" w:hAnsiTheme="minorEastAsia" w:eastAsiaTheme="minorEastAsia" w:cstheme="minorEastAsia"/>
          <w:color w:val="auto"/>
          <w:sz w:val="24"/>
          <w:szCs w:val="24"/>
          <w:highlight w:val="none"/>
        </w:rPr>
        <w:tab/>
      </w:r>
    </w:p>
    <w:p w14:paraId="64BEDC1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 本采购文件中所称质疑及答复，是指参加本次采购活动的供应商对政府采购活动中的采购文件、采购过程和中标结果向采购方</w:t>
      </w:r>
      <w:r>
        <w:rPr>
          <w:rFonts w:hint="eastAsia" w:asciiTheme="minorEastAsia" w:hAnsiTheme="minorEastAsia" w:eastAsiaTheme="minorEastAsia" w:cstheme="minorEastAsia"/>
          <w:color w:val="auto"/>
          <w:sz w:val="24"/>
          <w:szCs w:val="24"/>
          <w:highlight w:val="none"/>
          <w:lang w:eastAsia="zh-CN"/>
        </w:rPr>
        <w:t>一次性</w:t>
      </w:r>
      <w:r>
        <w:rPr>
          <w:rFonts w:hint="eastAsia" w:asciiTheme="minorEastAsia" w:hAnsiTheme="minorEastAsia" w:eastAsiaTheme="minorEastAsia" w:cstheme="minorEastAsia"/>
          <w:color w:val="auto"/>
          <w:sz w:val="24"/>
          <w:szCs w:val="24"/>
          <w:highlight w:val="none"/>
        </w:rPr>
        <w:t>提出质疑，采购方答复质疑的行为。</w:t>
      </w:r>
    </w:p>
    <w:p w14:paraId="5795C6E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 供应商认为采购文件、采购过程和中标结果使自己的权益受到损害的，可以在知道或者应知其权益受到损害之日起 7 个工作日内，以书面形式</w:t>
      </w:r>
      <w:r>
        <w:rPr>
          <w:rFonts w:hint="eastAsia" w:asciiTheme="minorEastAsia" w:hAnsiTheme="minorEastAsia" w:eastAsiaTheme="minorEastAsia" w:cstheme="minorEastAsia"/>
          <w:color w:val="auto"/>
          <w:sz w:val="24"/>
          <w:szCs w:val="24"/>
          <w:highlight w:val="none"/>
          <w:lang w:eastAsia="zh-CN"/>
        </w:rPr>
        <w:t>一次性</w:t>
      </w:r>
      <w:r>
        <w:rPr>
          <w:rFonts w:hint="eastAsia" w:asciiTheme="minorEastAsia" w:hAnsiTheme="minorEastAsia" w:eastAsiaTheme="minorEastAsia" w:cstheme="minorEastAsia"/>
          <w:color w:val="auto"/>
          <w:sz w:val="24"/>
          <w:szCs w:val="24"/>
          <w:highlight w:val="none"/>
        </w:rPr>
        <w:t>向采购方提出质疑。</w:t>
      </w:r>
    </w:p>
    <w:p w14:paraId="50F3433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供应商应知其权益受到损害之日，是指：</w:t>
      </w:r>
    </w:p>
    <w:p w14:paraId="404E7A04">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（一）对可以质疑的采购文件提出质疑的，为收到采购文件之日或者采购文件公告期限届满之日；</w:t>
      </w:r>
    </w:p>
    <w:p w14:paraId="03D69C6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（二）对采购过程提出质疑的，为各采购程序环节结束之日；</w:t>
      </w:r>
    </w:p>
    <w:p w14:paraId="1666A84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（三）对中标结果提出质疑的，为中标结果公告期限届满之日。</w:t>
      </w:r>
    </w:p>
    <w:p w14:paraId="5061E34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5EFC0BD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12EE27C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 xml:space="preserve">  提出质疑应当符合下列条件：</w:t>
      </w:r>
    </w:p>
    <w:p w14:paraId="76113421">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（一）质疑主体应当符合有关规定；</w:t>
      </w:r>
    </w:p>
    <w:p w14:paraId="5ADCA1D4">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（二）在质疑法定期限内提出；</w:t>
      </w:r>
    </w:p>
    <w:p w14:paraId="30C7A01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（三）属于可以提出质疑的政府采购事项受理范围和本项目采购人的管辖权范围；</w:t>
      </w:r>
    </w:p>
    <w:p w14:paraId="4B7543E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（四）政府采购法律、法规、规章规定的其他条件。</w:t>
      </w:r>
    </w:p>
    <w:p w14:paraId="10BE99C9">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24A456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 xml:space="preserve"> 质疑人所提供的证明材料应当具有真实性、合法性以及与质疑事项的关联性和证明力，否则不能作为认定该质疑事项成立的依据。</w:t>
      </w:r>
    </w:p>
    <w:p w14:paraId="3B6D457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 xml:space="preserve"> 质疑人提出质疑时应当提交质疑函。质疑函包括下列内容：</w:t>
      </w:r>
    </w:p>
    <w:p w14:paraId="76D2A7BD">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（一）提出质疑的质疑人的名称、地址、邮编、联系人及联系电话等；</w:t>
      </w:r>
    </w:p>
    <w:p w14:paraId="416DEFDD">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（二）质疑项目的名称、编号；</w:t>
      </w:r>
    </w:p>
    <w:p w14:paraId="5D25499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（三）质疑事项；</w:t>
      </w:r>
    </w:p>
    <w:p w14:paraId="2EFC3B1B">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（四）事实依据和证明材料；</w:t>
      </w:r>
    </w:p>
    <w:p w14:paraId="18E6E09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（五）法律依据；</w:t>
      </w:r>
    </w:p>
    <w:p w14:paraId="45C48C8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（六）提出质疑的日期。</w:t>
      </w:r>
    </w:p>
    <w:p w14:paraId="2093AA1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1.10</w:t>
      </w:r>
      <w:r>
        <w:rPr>
          <w:rFonts w:hint="eastAsia" w:asciiTheme="minorEastAsia" w:hAnsiTheme="minorEastAsia" w:eastAsiaTheme="minorEastAsia" w:cstheme="minorEastAsia"/>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14:paraId="03198FA7">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rPr>
        <w:t xml:space="preserve"> 质疑人可以委托代理人进行质疑。代理人应当提交授权委托书。授权委托书应当载明委托代理的具体权限、期限和相关事项。</w:t>
      </w:r>
    </w:p>
    <w:p w14:paraId="42C9B9B7">
      <w:pPr>
        <w:shd w:val="clear" w:color="auto" w:fill="auto"/>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、质疑的审查和受理</w:t>
      </w:r>
    </w:p>
    <w:p w14:paraId="0897FCC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 采购方在收到质疑函后应当及时审查是否符合质疑受理条件，对符合质疑受理条件的，及时予以受理。</w:t>
      </w:r>
    </w:p>
    <w:p w14:paraId="3731A0A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.2对不符合质疑受理条件的，分别按照下列不同情形予以处理：</w:t>
      </w:r>
    </w:p>
    <w:p w14:paraId="17CF215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98ABF1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（二）质疑主体不符合有关规定的，告知质疑人不予受理；</w:t>
      </w:r>
    </w:p>
    <w:p w14:paraId="7E07469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（三）超过质疑法定期限提出质疑的，告知质疑人不予受理；</w:t>
      </w:r>
    </w:p>
    <w:p w14:paraId="7A7DCBA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（四）对不属于可以提出质疑的政府采购事项提出质疑的，告知质疑人不予受理；</w:t>
      </w:r>
    </w:p>
    <w:p w14:paraId="6853A30F">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（五）质疑不属于本项目采购方管辖的，告知质疑人向有管辖权的采购人提出质疑；</w:t>
      </w:r>
    </w:p>
    <w:p w14:paraId="21E522B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（六）质疑不符合其他条件的，告知质疑人不予受理。</w:t>
      </w:r>
    </w:p>
    <w:p w14:paraId="7E33A4B7">
      <w:pPr>
        <w:shd w:val="clear" w:color="auto" w:fill="auto"/>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、质疑的处理和答复</w:t>
      </w:r>
    </w:p>
    <w:p w14:paraId="108AB61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 按照《政府采购质疑和投诉办法（财政部94号令）》处理及答复质疑。</w:t>
      </w:r>
    </w:p>
    <w:p w14:paraId="7E76A1A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 采购方受理质疑后，将及时把质疑函发送给被质疑人，并要求其在一定限期人提交书面答复，同时提供有关证据、依据和相关材料。</w:t>
      </w:r>
    </w:p>
    <w:p w14:paraId="7D44B1C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 对于质疑事项中涉及的问题较多、情况比较复杂的，为了全面查清事实、取得充分的证据，采购方认为有必要时，可以进行调查取证或者组织质证。</w:t>
      </w:r>
    </w:p>
    <w:p w14:paraId="765905B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.4对评审过程、中标结果提出质疑的，采购方可以组织原评审委员会协助答复质疑。</w:t>
      </w:r>
    </w:p>
    <w:p w14:paraId="25A5D9B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.5质疑处理过程中，质疑人书面申请撤回质疑的，将终止质疑处理程序。</w:t>
      </w:r>
    </w:p>
    <w:p w14:paraId="7EE7BF0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14:paraId="25EB231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14:paraId="03B7A68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.8 采购方经调查、论证、核实，认定质疑不能成立的，继续开展采购活动；认定质疑成立的，按照以下情况处理：</w:t>
      </w:r>
    </w:p>
    <w:p w14:paraId="6941FD2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18F5016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66B84B6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.9 采购方将书面答复质疑，质疑答复包括下列内容：</w:t>
      </w:r>
    </w:p>
    <w:p w14:paraId="4B25454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（一）质疑人名称；</w:t>
      </w:r>
    </w:p>
    <w:p w14:paraId="06BA768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（二）收到质疑函的日期、质疑项目名称及编号;</w:t>
      </w:r>
    </w:p>
    <w:p w14:paraId="7718C08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（三）质疑事项、质疑答复的具体内容、事实依据和法律依据；</w:t>
      </w:r>
    </w:p>
    <w:p w14:paraId="7A26C96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（四）告知质疑人依法投诉的权利；</w:t>
      </w:r>
    </w:p>
    <w:p w14:paraId="281D41D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（五）质疑答复日期。</w:t>
      </w:r>
    </w:p>
    <w:p w14:paraId="5BC10BF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.10 质疑人有下列行为之一的，属于虚假、恶意质疑，将由采购方建议财政部门将其列入不良行为记录名单，禁止其 1 至 3 年内参加政府采购活动：</w:t>
      </w:r>
    </w:p>
    <w:p w14:paraId="4F175F3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（一）受理后发现投诉不符合法定受理条件；</w:t>
      </w:r>
    </w:p>
    <w:p w14:paraId="36AA62D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（二）投诉事项缺乏事实依据，投诉事项不成立；</w:t>
      </w:r>
    </w:p>
    <w:p w14:paraId="6C684051">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（三）投诉人捏造事实或者提供虚假材料；</w:t>
      </w:r>
    </w:p>
    <w:p w14:paraId="1C77F4F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（四）投诉人以非法手段取得证明材料。证据来源的合法性存在明显疑问，投诉人无法证明其取得方式合法的，视为以非法手段取得证明材料。</w:t>
      </w:r>
    </w:p>
    <w:p w14:paraId="6924E4C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（五）法律法规规定的其他违法情形。</w:t>
      </w:r>
    </w:p>
    <w:p w14:paraId="11163CD5">
      <w:pPr>
        <w:pStyle w:val="39"/>
        <w:shd w:val="clear" w:color="auto" w:fill="auto"/>
        <w:spacing w:line="450" w:lineRule="exact"/>
        <w:jc w:val="center"/>
        <w:rPr>
          <w:rFonts w:hint="eastAsia" w:asciiTheme="minorEastAsia" w:hAnsiTheme="minorEastAsia" w:eastAsiaTheme="minorEastAsia" w:cstheme="minorEastAsia"/>
          <w:color w:val="auto"/>
          <w:sz w:val="24"/>
          <w:szCs w:val="24"/>
          <w:highlight w:val="none"/>
        </w:rPr>
      </w:pPr>
    </w:p>
    <w:p w14:paraId="390C1626">
      <w:pPr>
        <w:shd w:val="clear" w:color="auto" w:fill="auto"/>
        <w:spacing w:before="101" w:line="224" w:lineRule="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87" w:name="_Toc1224"/>
      <w:bookmarkStart w:id="188" w:name="_Toc110010424"/>
      <w:bookmarkStart w:id="189" w:name="_Toc21178"/>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件：质疑函范本</w:t>
      </w:r>
      <w:bookmarkEnd w:id="187"/>
      <w:bookmarkEnd w:id="188"/>
      <w:bookmarkEnd w:id="189"/>
    </w:p>
    <w:p w14:paraId="3725CCAF">
      <w:pPr>
        <w:shd w:val="clear" w:color="auto" w:fill="auto"/>
        <w:spacing w:line="250" w:lineRule="auto"/>
        <w:rPr>
          <w:rFonts w:hint="eastAsia" w:asciiTheme="minorEastAsia" w:hAnsiTheme="minorEastAsia" w:eastAsiaTheme="minorEastAsia" w:cstheme="minorEastAsia"/>
          <w:color w:val="auto"/>
          <w:sz w:val="24"/>
          <w:szCs w:val="24"/>
          <w:highlight w:val="none"/>
        </w:rPr>
      </w:pPr>
    </w:p>
    <w:p w14:paraId="4D093CB0">
      <w:pPr>
        <w:shd w:val="clear" w:color="auto" w:fill="auto"/>
        <w:spacing w:before="101" w:line="225" w:lineRule="auto"/>
        <w:ind w:left="365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质</w:t>
      </w:r>
      <w:r>
        <w:rPr>
          <w:rFonts w:hint="eastAsia" w:asciiTheme="minorEastAsia" w:hAnsiTheme="minorEastAsia" w:eastAsiaTheme="minorEastAsia" w:cstheme="minorEastAsia"/>
          <w:color w:val="auto"/>
          <w:spacing w:val="24"/>
          <w:sz w:val="24"/>
          <w:szCs w:val="24"/>
          <w:highlight w:val="none"/>
        </w:rPr>
        <w:t>疑函</w:t>
      </w:r>
    </w:p>
    <w:p w14:paraId="564D063C">
      <w:pPr>
        <w:shd w:val="clear" w:color="auto" w:fill="auto"/>
        <w:spacing w:before="237" w:line="468" w:lineRule="exact"/>
        <w:ind w:left="27"/>
        <w:outlineLvl w:val="2"/>
        <w:rPr>
          <w:rFonts w:hint="eastAsia" w:asciiTheme="minorEastAsia" w:hAnsiTheme="minorEastAsia" w:eastAsiaTheme="minorEastAsia" w:cstheme="minorEastAsia"/>
          <w:color w:val="auto"/>
          <w:sz w:val="24"/>
          <w:szCs w:val="24"/>
          <w:highlight w:val="none"/>
        </w:rPr>
      </w:pPr>
      <w:bookmarkStart w:id="190" w:name="_Toc25739"/>
      <w:bookmarkStart w:id="191" w:name="_Toc110010425"/>
      <w:bookmarkStart w:id="192" w:name="_Toc5896"/>
      <w:bookmarkStart w:id="193" w:name="_Toc1299"/>
      <w:r>
        <w:rPr>
          <w:rFonts w:hint="eastAsia" w:asciiTheme="minorEastAsia" w:hAnsiTheme="minorEastAsia" w:eastAsiaTheme="minorEastAsia" w:cstheme="minorEastAsia"/>
          <w:color w:val="auto"/>
          <w:spacing w:val="-2"/>
          <w:position w:val="2"/>
          <w:sz w:val="24"/>
          <w:szCs w:val="24"/>
          <w:highlight w:val="none"/>
        </w:rPr>
        <w:t>一、质</w:t>
      </w:r>
      <w:r>
        <w:rPr>
          <w:rFonts w:hint="eastAsia" w:asciiTheme="minorEastAsia" w:hAnsiTheme="minorEastAsia" w:eastAsiaTheme="minorEastAsia" w:cstheme="minorEastAsia"/>
          <w:color w:val="auto"/>
          <w:spacing w:val="-1"/>
          <w:position w:val="2"/>
          <w:sz w:val="24"/>
          <w:szCs w:val="24"/>
          <w:highlight w:val="none"/>
        </w:rPr>
        <w:t>疑供应商基本信息</w:t>
      </w:r>
      <w:bookmarkEnd w:id="190"/>
      <w:bookmarkEnd w:id="191"/>
      <w:bookmarkEnd w:id="192"/>
      <w:bookmarkEnd w:id="193"/>
    </w:p>
    <w:p w14:paraId="55FBA831">
      <w:pPr>
        <w:shd w:val="clear" w:color="auto" w:fill="auto"/>
        <w:spacing w:before="77"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疑供应商：</w:t>
      </w:r>
      <w:r>
        <w:rPr>
          <w:rFonts w:hint="eastAsia" w:asciiTheme="minorEastAsia" w:hAnsiTheme="minorEastAsia" w:eastAsiaTheme="minorEastAsia" w:cstheme="minorEastAsia"/>
          <w:color w:val="auto"/>
          <w:sz w:val="24"/>
          <w:szCs w:val="24"/>
          <w:highlight w:val="none"/>
          <w:u w:val="dotted"/>
        </w:rPr>
        <w:t xml:space="preserve">                                       </w:t>
      </w:r>
    </w:p>
    <w:p w14:paraId="45EFECFA">
      <w:pPr>
        <w:shd w:val="clear" w:color="auto" w:fill="auto"/>
        <w:spacing w:before="21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67EB86EB">
      <w:pPr>
        <w:shd w:val="clear" w:color="auto" w:fill="auto"/>
        <w:spacing w:before="211"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362BEF2">
      <w:pPr>
        <w:shd w:val="clear" w:color="auto" w:fill="auto"/>
        <w:spacing w:before="205"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授</w:t>
      </w:r>
      <w:r>
        <w:rPr>
          <w:rFonts w:hint="eastAsia" w:asciiTheme="minorEastAsia" w:hAnsiTheme="minorEastAsia" w:eastAsiaTheme="minorEastAsia" w:cstheme="minorEastAsia"/>
          <w:color w:val="auto"/>
          <w:spacing w:val="-2"/>
          <w:sz w:val="24"/>
          <w:szCs w:val="24"/>
          <w:highlight w:val="none"/>
        </w:rPr>
        <w:t>权代表：</w:t>
      </w:r>
      <w:r>
        <w:rPr>
          <w:rFonts w:hint="eastAsia" w:asciiTheme="minorEastAsia" w:hAnsiTheme="minorEastAsia" w:eastAsiaTheme="minorEastAsia" w:cstheme="minorEastAsia"/>
          <w:color w:val="auto"/>
          <w:sz w:val="24"/>
          <w:szCs w:val="24"/>
          <w:highlight w:val="none"/>
          <w:u w:val="dotted"/>
        </w:rPr>
        <w:t xml:space="preserve">                                         </w:t>
      </w:r>
    </w:p>
    <w:p w14:paraId="1512A1C8">
      <w:pPr>
        <w:shd w:val="clear" w:color="auto" w:fill="auto"/>
        <w:spacing w:before="21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30D0DA61">
      <w:pPr>
        <w:shd w:val="clear" w:color="auto" w:fill="auto"/>
        <w:spacing w:before="208"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29956A9">
      <w:pPr>
        <w:shd w:val="clear" w:color="auto" w:fill="auto"/>
        <w:spacing w:before="209" w:line="371" w:lineRule="exact"/>
        <w:ind w:left="27"/>
        <w:outlineLvl w:val="2"/>
        <w:rPr>
          <w:rFonts w:hint="eastAsia" w:asciiTheme="minorEastAsia" w:hAnsiTheme="minorEastAsia" w:eastAsiaTheme="minorEastAsia" w:cstheme="minorEastAsia"/>
          <w:color w:val="auto"/>
          <w:sz w:val="24"/>
          <w:szCs w:val="24"/>
          <w:highlight w:val="none"/>
        </w:rPr>
      </w:pPr>
      <w:bookmarkStart w:id="194" w:name="_Toc1061"/>
      <w:bookmarkStart w:id="195" w:name="_Toc15098"/>
      <w:bookmarkStart w:id="196" w:name="_Toc110010426"/>
      <w:bookmarkStart w:id="197" w:name="_Toc3585"/>
      <w:r>
        <w:rPr>
          <w:rFonts w:hint="eastAsia" w:asciiTheme="minorEastAsia" w:hAnsiTheme="minorEastAsia" w:eastAsiaTheme="minorEastAsia" w:cstheme="minorEastAsia"/>
          <w:color w:val="auto"/>
          <w:spacing w:val="-2"/>
          <w:position w:val="1"/>
          <w:sz w:val="24"/>
          <w:szCs w:val="24"/>
          <w:highlight w:val="none"/>
        </w:rPr>
        <w:t>二、质疑项</w:t>
      </w:r>
      <w:r>
        <w:rPr>
          <w:rFonts w:hint="eastAsia" w:asciiTheme="minorEastAsia" w:hAnsiTheme="minorEastAsia" w:eastAsiaTheme="minorEastAsia" w:cstheme="minorEastAsia"/>
          <w:color w:val="auto"/>
          <w:spacing w:val="-1"/>
          <w:position w:val="1"/>
          <w:sz w:val="24"/>
          <w:szCs w:val="24"/>
          <w:highlight w:val="none"/>
        </w:rPr>
        <w:t>目基本情况</w:t>
      </w:r>
      <w:bookmarkEnd w:id="194"/>
      <w:bookmarkEnd w:id="195"/>
      <w:bookmarkEnd w:id="196"/>
      <w:bookmarkEnd w:id="197"/>
    </w:p>
    <w:p w14:paraId="7A79EBEE">
      <w:pPr>
        <w:shd w:val="clear" w:color="auto" w:fill="auto"/>
        <w:spacing w:before="173"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质疑项目</w:t>
      </w:r>
      <w:r>
        <w:rPr>
          <w:rFonts w:hint="eastAsia" w:asciiTheme="minorEastAsia" w:hAnsiTheme="minorEastAsia" w:eastAsiaTheme="minorEastAsia" w:cstheme="minorEastAsia"/>
          <w:color w:val="auto"/>
          <w:spacing w:val="-1"/>
          <w:sz w:val="24"/>
          <w:szCs w:val="24"/>
          <w:highlight w:val="none"/>
        </w:rPr>
        <w:t>的名称：</w:t>
      </w:r>
      <w:r>
        <w:rPr>
          <w:rFonts w:hint="eastAsia" w:asciiTheme="minorEastAsia" w:hAnsiTheme="minorEastAsia" w:eastAsiaTheme="minorEastAsia" w:cstheme="minorEastAsia"/>
          <w:color w:val="auto"/>
          <w:sz w:val="24"/>
          <w:szCs w:val="24"/>
          <w:highlight w:val="none"/>
          <w:u w:val="dotted"/>
        </w:rPr>
        <w:t xml:space="preserve">                                         </w:t>
      </w:r>
    </w:p>
    <w:p w14:paraId="73A353A4">
      <w:pPr>
        <w:shd w:val="clear" w:color="auto" w:fill="auto"/>
        <w:spacing w:before="210"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质疑项</w:t>
      </w:r>
      <w:r>
        <w:rPr>
          <w:rFonts w:hint="eastAsia" w:asciiTheme="minorEastAsia" w:hAnsiTheme="minorEastAsia" w:eastAsiaTheme="minorEastAsia" w:cstheme="minorEastAsia"/>
          <w:color w:val="auto"/>
          <w:spacing w:val="-9"/>
          <w:sz w:val="24"/>
          <w:szCs w:val="24"/>
          <w:highlight w:val="none"/>
        </w:rPr>
        <w:t>目</w:t>
      </w:r>
      <w:r>
        <w:rPr>
          <w:rFonts w:hint="eastAsia" w:asciiTheme="minorEastAsia" w:hAnsiTheme="minorEastAsia" w:eastAsiaTheme="minorEastAsia" w:cstheme="minorEastAsia"/>
          <w:color w:val="auto"/>
          <w:spacing w:val="-5"/>
          <w:sz w:val="24"/>
          <w:szCs w:val="24"/>
          <w:highlight w:val="none"/>
        </w:rPr>
        <w:t>的编号：</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9314AD0">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3887B52B">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w:t>
      </w:r>
      <w:r>
        <w:rPr>
          <w:rFonts w:hint="eastAsia" w:asciiTheme="minorEastAsia" w:hAnsiTheme="minorEastAsia" w:eastAsiaTheme="minorEastAsia" w:cstheme="minorEastAsia"/>
          <w:color w:val="auto"/>
          <w:spacing w:val="-1"/>
          <w:sz w:val="24"/>
          <w:szCs w:val="24"/>
          <w:highlight w:val="none"/>
        </w:rPr>
        <w:t>文件获取日期：</w:t>
      </w:r>
      <w:r>
        <w:rPr>
          <w:rFonts w:hint="eastAsia" w:asciiTheme="minorEastAsia" w:hAnsiTheme="minorEastAsia" w:eastAsiaTheme="minorEastAsia" w:cstheme="minorEastAsia"/>
          <w:color w:val="auto"/>
          <w:sz w:val="24"/>
          <w:szCs w:val="24"/>
          <w:highlight w:val="none"/>
          <w:u w:val="dotted"/>
        </w:rPr>
        <w:t xml:space="preserve">                                       </w:t>
      </w:r>
    </w:p>
    <w:p w14:paraId="163CE2C7">
      <w:pPr>
        <w:shd w:val="clear" w:color="auto" w:fill="auto"/>
        <w:spacing w:before="213" w:line="237" w:lineRule="auto"/>
        <w:ind w:left="22"/>
        <w:outlineLvl w:val="2"/>
        <w:rPr>
          <w:rFonts w:hint="eastAsia" w:asciiTheme="minorEastAsia" w:hAnsiTheme="minorEastAsia" w:eastAsiaTheme="minorEastAsia" w:cstheme="minorEastAsia"/>
          <w:color w:val="auto"/>
          <w:sz w:val="24"/>
          <w:szCs w:val="24"/>
          <w:highlight w:val="none"/>
        </w:rPr>
      </w:pPr>
      <w:bookmarkStart w:id="198" w:name="_Toc22496"/>
      <w:bookmarkStart w:id="199" w:name="_Toc14686"/>
      <w:bookmarkStart w:id="200" w:name="_Toc32569"/>
      <w:bookmarkStart w:id="201" w:name="_Toc110010427"/>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color w:val="auto"/>
          <w:spacing w:val="-1"/>
          <w:sz w:val="24"/>
          <w:szCs w:val="24"/>
          <w:highlight w:val="none"/>
        </w:rPr>
        <w:t>、质疑事项具体内容</w:t>
      </w:r>
      <w:bookmarkEnd w:id="198"/>
      <w:bookmarkEnd w:id="199"/>
      <w:bookmarkEnd w:id="200"/>
      <w:bookmarkEnd w:id="201"/>
    </w:p>
    <w:p w14:paraId="7620DEB0">
      <w:pPr>
        <w:shd w:val="clear" w:color="auto" w:fill="auto"/>
        <w:spacing w:before="184"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质</w:t>
      </w:r>
      <w:r>
        <w:rPr>
          <w:rFonts w:hint="eastAsia" w:asciiTheme="minorEastAsia" w:hAnsiTheme="minorEastAsia" w:eastAsiaTheme="minorEastAsia" w:cstheme="minorEastAsia"/>
          <w:color w:val="auto"/>
          <w:spacing w:val="-11"/>
          <w:sz w:val="24"/>
          <w:szCs w:val="24"/>
          <w:highlight w:val="none"/>
        </w:rPr>
        <w:t>疑事项 1：</w:t>
      </w:r>
      <w:r>
        <w:rPr>
          <w:rFonts w:hint="eastAsia" w:asciiTheme="minorEastAsia" w:hAnsiTheme="minorEastAsia" w:eastAsiaTheme="minorEastAsia" w:cstheme="minorEastAsia"/>
          <w:color w:val="auto"/>
          <w:sz w:val="24"/>
          <w:szCs w:val="24"/>
          <w:highlight w:val="none"/>
          <w:u w:val="dotted"/>
        </w:rPr>
        <w:t xml:space="preserve">                                             </w:t>
      </w:r>
    </w:p>
    <w:p w14:paraId="093B82F5">
      <w:pPr>
        <w:shd w:val="clear" w:color="auto" w:fill="auto"/>
        <w:spacing w:before="211"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26C7E9B7">
      <w:pPr>
        <w:shd w:val="clear" w:color="auto" w:fill="auto"/>
        <w:tabs>
          <w:tab w:val="left" w:pos="8322"/>
        </w:tabs>
        <w:spacing w:before="286"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05A4243F">
      <w:pPr>
        <w:shd w:val="clear" w:color="auto" w:fill="auto"/>
        <w:spacing w:before="230"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2EC2F09F">
      <w:pPr>
        <w:shd w:val="clear" w:color="auto" w:fill="auto"/>
        <w:tabs>
          <w:tab w:val="left" w:pos="8322"/>
        </w:tabs>
        <w:spacing w:before="289"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6F1CE49C">
      <w:pPr>
        <w:shd w:val="clear" w:color="auto" w:fill="auto"/>
        <w:spacing w:before="227" w:line="545" w:lineRule="exact"/>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position w:val="19"/>
          <w:sz w:val="24"/>
          <w:szCs w:val="24"/>
          <w:highlight w:val="none"/>
        </w:rPr>
        <w:t>质</w:t>
      </w:r>
      <w:r>
        <w:rPr>
          <w:rFonts w:hint="eastAsia" w:asciiTheme="minorEastAsia" w:hAnsiTheme="minorEastAsia" w:eastAsiaTheme="minorEastAsia" w:cstheme="minorEastAsia"/>
          <w:color w:val="auto"/>
          <w:spacing w:val="-11"/>
          <w:position w:val="19"/>
          <w:sz w:val="24"/>
          <w:szCs w:val="24"/>
          <w:highlight w:val="none"/>
        </w:rPr>
        <w:t>疑事项 2</w:t>
      </w:r>
    </w:p>
    <w:p w14:paraId="38FA1066">
      <w:pPr>
        <w:shd w:val="clear" w:color="auto" w:fill="auto"/>
        <w:spacing w:line="442"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3102B3AE">
      <w:pPr>
        <w:shd w:val="clear" w:color="auto" w:fill="auto"/>
        <w:jc w:val="center"/>
        <w:rPr>
          <w:rFonts w:hint="eastAsia" w:asciiTheme="minorEastAsia" w:hAnsiTheme="minorEastAsia" w:eastAsiaTheme="minorEastAsia" w:cstheme="minorEastAsia"/>
          <w:color w:val="auto"/>
          <w:sz w:val="24"/>
          <w:szCs w:val="24"/>
          <w:highlight w:val="none"/>
        </w:rPr>
      </w:pPr>
    </w:p>
    <w:p w14:paraId="63F43FBA">
      <w:pPr>
        <w:shd w:val="clear" w:color="auto" w:fill="auto"/>
        <w:spacing w:line="442" w:lineRule="exact"/>
        <w:ind w:left="522"/>
        <w:rPr>
          <w:rFonts w:hint="eastAsia" w:asciiTheme="minorEastAsia" w:hAnsiTheme="minorEastAsia" w:eastAsiaTheme="minorEastAsia" w:cstheme="minorEastAsia"/>
          <w:color w:val="auto"/>
          <w:position w:val="3"/>
          <w:sz w:val="24"/>
          <w:szCs w:val="24"/>
          <w:highlight w:val="none"/>
        </w:rPr>
      </w:pPr>
      <w:r>
        <w:rPr>
          <w:rFonts w:hint="eastAsia" w:asciiTheme="minorEastAsia" w:hAnsiTheme="minorEastAsia" w:eastAsiaTheme="minorEastAsia" w:cstheme="minorEastAsia"/>
          <w:color w:val="auto"/>
          <w:position w:val="3"/>
          <w:sz w:val="24"/>
          <w:szCs w:val="24"/>
          <w:highlight w:val="none"/>
        </w:rPr>
        <w:t>签字(签章)：                          日期：</w:t>
      </w:r>
    </w:p>
    <w:p w14:paraId="40B5B790">
      <w:pPr>
        <w:shd w:val="clear" w:color="auto" w:fill="auto"/>
        <w:spacing w:before="56" w:line="185" w:lineRule="auto"/>
        <w:rPr>
          <w:rFonts w:hint="eastAsia" w:asciiTheme="minorEastAsia" w:hAnsiTheme="minorEastAsia" w:eastAsiaTheme="minorEastAsia" w:cstheme="minorEastAsia"/>
          <w:color w:val="auto"/>
          <w:sz w:val="24"/>
          <w:szCs w:val="24"/>
          <w:highlight w:val="none"/>
        </w:rPr>
      </w:pPr>
    </w:p>
    <w:p w14:paraId="5378C3AA">
      <w:pPr>
        <w:shd w:val="clear" w:color="auto" w:fill="auto"/>
        <w:spacing w:line="14" w:lineRule="auto"/>
        <w:rPr>
          <w:rFonts w:hint="eastAsia" w:asciiTheme="minorEastAsia" w:hAnsiTheme="minorEastAsia" w:eastAsiaTheme="minorEastAsia" w:cstheme="minorEastAsia"/>
          <w:color w:val="auto"/>
          <w:sz w:val="24"/>
          <w:szCs w:val="24"/>
          <w:highlight w:val="none"/>
        </w:rPr>
        <w:sectPr>
          <w:footerReference r:id="rId4" w:type="default"/>
          <w:type w:val="continuous"/>
          <w:pgSz w:w="11905" w:h="16838"/>
          <w:pgMar w:top="1304" w:right="964" w:bottom="1020" w:left="1191" w:header="567" w:footer="454" w:gutter="0"/>
          <w:pgNumType w:fmt="decimal"/>
          <w:cols w:space="720" w:num="1"/>
          <w:rtlGutter w:val="0"/>
          <w:docGrid w:type="lines" w:linePitch="317" w:charSpace="0"/>
        </w:sectPr>
      </w:pPr>
    </w:p>
    <w:p w14:paraId="5404E291">
      <w:pPr>
        <w:shd w:val="clear" w:color="auto" w:fill="auto"/>
        <w:rPr>
          <w:rFonts w:hint="eastAsia" w:asciiTheme="minorEastAsia" w:hAnsiTheme="minorEastAsia" w:eastAsiaTheme="minorEastAsia" w:cstheme="minorEastAsia"/>
          <w:color w:val="auto"/>
          <w:sz w:val="24"/>
          <w:szCs w:val="24"/>
          <w:highlight w:val="none"/>
        </w:rPr>
        <w:sectPr>
          <w:footerReference r:id="rId5" w:type="default"/>
          <w:type w:val="continuous"/>
          <w:pgSz w:w="11905" w:h="16838"/>
          <w:pgMar w:top="1304" w:right="964" w:bottom="1020" w:left="1191" w:header="567" w:footer="454" w:gutter="0"/>
          <w:pgNumType w:fmt="decimal"/>
          <w:cols w:space="720" w:num="1"/>
          <w:rtlGutter w:val="0"/>
          <w:docGrid w:type="lines" w:linePitch="317" w:charSpace="0"/>
        </w:sectPr>
      </w:pPr>
    </w:p>
    <w:p w14:paraId="1258B36F">
      <w:pPr>
        <w:shd w:val="clear" w:color="auto" w:fill="auto"/>
        <w:spacing w:line="478" w:lineRule="auto"/>
        <w:rPr>
          <w:rFonts w:hint="eastAsia" w:asciiTheme="minorEastAsia" w:hAnsiTheme="minorEastAsia" w:eastAsiaTheme="minorEastAsia" w:cstheme="minorEastAsia"/>
          <w:color w:val="auto"/>
          <w:sz w:val="24"/>
          <w:szCs w:val="24"/>
          <w:highlight w:val="none"/>
        </w:rPr>
      </w:pPr>
    </w:p>
    <w:p w14:paraId="3A6D61C8">
      <w:pPr>
        <w:shd w:val="clear" w:color="auto" w:fill="auto"/>
        <w:spacing w:before="91" w:line="220" w:lineRule="auto"/>
        <w:ind w:left="506"/>
        <w:rPr>
          <w:rFonts w:hint="eastAsia" w:asciiTheme="minorEastAsia" w:hAnsiTheme="minorEastAsia" w:eastAsiaTheme="minorEastAsia" w:cstheme="minorEastAsia"/>
          <w:color w:val="auto"/>
          <w:spacing w:val="-2"/>
          <w:sz w:val="24"/>
          <w:szCs w:val="24"/>
          <w:highlight w:val="none"/>
        </w:rPr>
      </w:pPr>
    </w:p>
    <w:p w14:paraId="56C95226">
      <w:pPr>
        <w:shd w:val="clear" w:color="auto" w:fill="auto"/>
        <w:spacing w:before="9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质疑函制</w:t>
      </w:r>
      <w:r>
        <w:rPr>
          <w:rFonts w:hint="eastAsia" w:asciiTheme="minorEastAsia" w:hAnsiTheme="minorEastAsia" w:eastAsiaTheme="minorEastAsia" w:cstheme="minorEastAsia"/>
          <w:color w:val="auto"/>
          <w:spacing w:val="-1"/>
          <w:sz w:val="24"/>
          <w:szCs w:val="24"/>
          <w:highlight w:val="none"/>
        </w:rPr>
        <w:t>作说明：</w:t>
      </w:r>
    </w:p>
    <w:p w14:paraId="6136A269">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1.供应商提出质疑时，应提交质疑函和必要的证明材料。</w:t>
      </w:r>
    </w:p>
    <w:p w14:paraId="24553A3A">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2ED943CA">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3.质疑供应商若对项目的某一分包进行质疑，质疑函中应列明具 体分包号。</w:t>
      </w:r>
    </w:p>
    <w:p w14:paraId="46C374B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4.质疑函的质疑事项应具体、明确，并有必要的事实依据和法律 依据。</w:t>
      </w:r>
    </w:p>
    <w:p w14:paraId="0E371A3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5.质疑函的质疑请求应与质疑事项相关。</w:t>
      </w:r>
    </w:p>
    <w:p w14:paraId="4B2B11CD">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6.质疑供应商为自然人的，质疑函应由本人签字；质疑供应商为 法人或者其他组织的，质疑函应由法定代表人、主要负责人，或者其 授权代表签字或者盖章，并加盖公章。</w:t>
      </w:r>
    </w:p>
    <w:p w14:paraId="6948521B">
      <w:pPr>
        <w:shd w:val="clear" w:color="auto" w:fill="auto"/>
        <w:spacing w:line="360" w:lineRule="auto"/>
        <w:jc w:val="center"/>
        <w:rPr>
          <w:rFonts w:hint="eastAsia" w:asciiTheme="minorEastAsia" w:hAnsiTheme="minorEastAsia" w:eastAsiaTheme="minorEastAsia" w:cstheme="minorEastAsia"/>
          <w:color w:val="auto"/>
          <w:kern w:val="0"/>
          <w:sz w:val="24"/>
          <w:szCs w:val="24"/>
          <w:highlight w:val="none"/>
        </w:rPr>
      </w:pPr>
    </w:p>
    <w:p w14:paraId="401B487F">
      <w:pPr>
        <w:shd w:val="clear" w:color="auto" w:fill="auto"/>
        <w:spacing w:before="101" w:line="224" w:lineRule="auto"/>
        <w:ind w:left="49"/>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highlight w:val="none"/>
        </w:rPr>
        <w:br w:type="page"/>
      </w:r>
      <w:bookmarkStart w:id="202" w:name="_Toc31259"/>
      <w:bookmarkStart w:id="203" w:name="_Toc22150"/>
      <w:bookmarkStart w:id="204" w:name="_Toc110010428"/>
      <w:bookmarkStart w:id="205" w:name="_Toc23110"/>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件：投诉书范本</w:t>
      </w:r>
      <w:bookmarkEnd w:id="202"/>
      <w:bookmarkEnd w:id="203"/>
      <w:bookmarkEnd w:id="204"/>
      <w:bookmarkEnd w:id="205"/>
    </w:p>
    <w:p w14:paraId="1C8788B6">
      <w:pPr>
        <w:shd w:val="clear" w:color="auto" w:fill="auto"/>
        <w:spacing w:line="393" w:lineRule="auto"/>
        <w:rPr>
          <w:rFonts w:hint="eastAsia" w:asciiTheme="minorEastAsia" w:hAnsiTheme="minorEastAsia" w:eastAsiaTheme="minorEastAsia" w:cstheme="minorEastAsia"/>
          <w:color w:val="auto"/>
          <w:sz w:val="24"/>
          <w:szCs w:val="24"/>
          <w:highlight w:val="none"/>
        </w:rPr>
      </w:pPr>
    </w:p>
    <w:p w14:paraId="547C4EBF">
      <w:pPr>
        <w:shd w:val="clear" w:color="auto" w:fill="auto"/>
        <w:spacing w:before="115" w:line="22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投诉</w:t>
      </w:r>
      <w:r>
        <w:rPr>
          <w:rFonts w:hint="eastAsia" w:asciiTheme="minorEastAsia" w:hAnsiTheme="minorEastAsia" w:eastAsiaTheme="minorEastAsia" w:cstheme="minorEastAsia"/>
          <w:color w:val="auto"/>
          <w:spacing w:val="23"/>
          <w:sz w:val="24"/>
          <w:szCs w:val="24"/>
          <w:highlight w:val="none"/>
        </w:rPr>
        <w:t>书</w:t>
      </w:r>
    </w:p>
    <w:p w14:paraId="2EF0CC9A">
      <w:pPr>
        <w:shd w:val="clear" w:color="auto" w:fill="auto"/>
        <w:spacing w:before="265" w:line="434" w:lineRule="exact"/>
        <w:ind w:left="27"/>
        <w:outlineLvl w:val="2"/>
        <w:rPr>
          <w:rFonts w:hint="eastAsia" w:asciiTheme="minorEastAsia" w:hAnsiTheme="minorEastAsia" w:eastAsiaTheme="minorEastAsia" w:cstheme="minorEastAsia"/>
          <w:color w:val="auto"/>
          <w:sz w:val="24"/>
          <w:szCs w:val="24"/>
          <w:highlight w:val="none"/>
        </w:rPr>
      </w:pPr>
      <w:bookmarkStart w:id="206" w:name="_Toc110010429"/>
      <w:bookmarkStart w:id="207" w:name="_Toc5746"/>
      <w:bookmarkStart w:id="208" w:name="_Toc21592"/>
      <w:bookmarkStart w:id="209" w:name="_Toc26371"/>
      <w:r>
        <w:rPr>
          <w:rFonts w:hint="eastAsia" w:asciiTheme="minorEastAsia" w:hAnsiTheme="minorEastAsia" w:eastAsiaTheme="minorEastAsia" w:cstheme="minorEastAsia"/>
          <w:color w:val="auto"/>
          <w:spacing w:val="-2"/>
          <w:position w:val="1"/>
          <w:sz w:val="24"/>
          <w:szCs w:val="24"/>
          <w:highlight w:val="none"/>
        </w:rPr>
        <w:t>一、投诉</w:t>
      </w:r>
      <w:r>
        <w:rPr>
          <w:rFonts w:hint="eastAsia" w:asciiTheme="minorEastAsia" w:hAnsiTheme="minorEastAsia" w:eastAsiaTheme="minorEastAsia" w:cstheme="minorEastAsia"/>
          <w:color w:val="auto"/>
          <w:spacing w:val="-1"/>
          <w:position w:val="1"/>
          <w:sz w:val="24"/>
          <w:szCs w:val="24"/>
          <w:highlight w:val="none"/>
        </w:rPr>
        <w:t>相关主体基本情况</w:t>
      </w:r>
      <w:bookmarkEnd w:id="206"/>
      <w:bookmarkEnd w:id="207"/>
      <w:bookmarkEnd w:id="208"/>
      <w:bookmarkEnd w:id="209"/>
    </w:p>
    <w:p w14:paraId="45C8FD2B">
      <w:pPr>
        <w:shd w:val="clear" w:color="auto" w:fill="auto"/>
        <w:spacing w:before="1" w:line="220"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w:t>
      </w:r>
      <w:r>
        <w:rPr>
          <w:rFonts w:hint="eastAsia" w:asciiTheme="minorEastAsia" w:hAnsiTheme="minorEastAsia" w:eastAsiaTheme="minorEastAsia" w:cstheme="minorEastAsia"/>
          <w:color w:val="auto"/>
          <w:spacing w:val="-3"/>
          <w:sz w:val="24"/>
          <w:szCs w:val="24"/>
          <w:highlight w:val="none"/>
        </w:rPr>
        <w:t>诉人：</w:t>
      </w:r>
      <w:r>
        <w:rPr>
          <w:rFonts w:hint="eastAsia" w:asciiTheme="minorEastAsia" w:hAnsiTheme="minorEastAsia" w:eastAsiaTheme="minorEastAsia" w:cstheme="minorEastAsia"/>
          <w:color w:val="auto"/>
          <w:sz w:val="24"/>
          <w:szCs w:val="24"/>
          <w:highlight w:val="none"/>
          <w:u w:val="dotted"/>
        </w:rPr>
        <w:t xml:space="preserve">                                                 </w:t>
      </w:r>
    </w:p>
    <w:p w14:paraId="77E41E11">
      <w:pPr>
        <w:shd w:val="clear" w:color="auto" w:fill="auto"/>
        <w:spacing w:before="10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BBB0534">
      <w:pPr>
        <w:shd w:val="clear" w:color="auto" w:fill="auto"/>
        <w:spacing w:before="10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法定代</w:t>
      </w:r>
      <w:r>
        <w:rPr>
          <w:rFonts w:hint="eastAsia" w:asciiTheme="minorEastAsia" w:hAnsiTheme="minorEastAsia" w:eastAsiaTheme="minorEastAsia" w:cstheme="minorEastAsia"/>
          <w:color w:val="auto"/>
          <w:spacing w:val="-1"/>
          <w:sz w:val="24"/>
          <w:szCs w:val="24"/>
          <w:highlight w:val="none"/>
        </w:rPr>
        <w:t>表人/主要负责人：</w:t>
      </w:r>
      <w:r>
        <w:rPr>
          <w:rFonts w:hint="eastAsia" w:asciiTheme="minorEastAsia" w:hAnsiTheme="minorEastAsia" w:eastAsiaTheme="minorEastAsia" w:cstheme="minorEastAsia"/>
          <w:color w:val="auto"/>
          <w:sz w:val="24"/>
          <w:szCs w:val="24"/>
          <w:highlight w:val="none"/>
          <w:u w:val="dotted"/>
        </w:rPr>
        <w:t xml:space="preserve">                                  </w:t>
      </w:r>
    </w:p>
    <w:p w14:paraId="2FFE887D">
      <w:pPr>
        <w:shd w:val="clear" w:color="auto" w:fill="auto"/>
        <w:spacing w:before="10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1C376E9B">
      <w:pPr>
        <w:shd w:val="clear" w:color="auto" w:fill="auto"/>
        <w:spacing w:before="99"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授权代表：</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14FC315">
      <w:pPr>
        <w:shd w:val="clear" w:color="auto" w:fill="auto"/>
        <w:spacing w:before="101"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9A5A13C">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被</w:t>
      </w:r>
      <w:r>
        <w:rPr>
          <w:rFonts w:hint="eastAsia" w:asciiTheme="minorEastAsia" w:hAnsiTheme="minorEastAsia" w:eastAsiaTheme="minorEastAsia" w:cstheme="minorEastAsia"/>
          <w:color w:val="auto"/>
          <w:spacing w:val="-11"/>
          <w:sz w:val="24"/>
          <w:szCs w:val="24"/>
          <w:highlight w:val="none"/>
        </w:rPr>
        <w:t>投诉人 1：</w:t>
      </w:r>
    </w:p>
    <w:p w14:paraId="2D61B6E2">
      <w:pPr>
        <w:shd w:val="clear" w:color="auto" w:fill="auto"/>
        <w:spacing w:before="101" w:line="185"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783E64BB">
      <w:pPr>
        <w:shd w:val="clear" w:color="auto" w:fill="auto"/>
        <w:rPr>
          <w:rFonts w:hint="eastAsia" w:asciiTheme="minorEastAsia" w:hAnsiTheme="minorEastAsia" w:eastAsiaTheme="minorEastAsia" w:cstheme="minorEastAsia"/>
          <w:color w:val="auto"/>
          <w:sz w:val="24"/>
          <w:szCs w:val="24"/>
          <w:highlight w:val="none"/>
        </w:rPr>
      </w:pPr>
    </w:p>
    <w:p w14:paraId="0F854231">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17"/>
          <w:sz w:val="24"/>
          <w:szCs w:val="24"/>
          <w:highlight w:val="none"/>
        </w:rPr>
        <w:t xml:space="preserve">联系电话：  </w:t>
      </w:r>
      <w:r>
        <w:rPr>
          <w:rFonts w:hint="eastAsia" w:asciiTheme="minorEastAsia" w:hAnsiTheme="minorEastAsia" w:eastAsiaTheme="minorEastAsia" w:cstheme="minorEastAsia"/>
          <w:color w:val="auto"/>
          <w:sz w:val="24"/>
          <w:szCs w:val="24"/>
          <w:highlight w:val="none"/>
          <w:u w:val="dotted"/>
        </w:rPr>
        <w:t xml:space="preserve">           </w:t>
      </w:r>
    </w:p>
    <w:p w14:paraId="71D49440">
      <w:pPr>
        <w:shd w:val="clear" w:color="auto" w:fill="auto"/>
        <w:spacing w:before="100" w:line="371" w:lineRule="exact"/>
        <w:ind w:left="27"/>
        <w:outlineLvl w:val="2"/>
        <w:rPr>
          <w:rFonts w:hint="eastAsia" w:asciiTheme="minorEastAsia" w:hAnsiTheme="minorEastAsia" w:eastAsiaTheme="minorEastAsia" w:cstheme="minorEastAsia"/>
          <w:color w:val="auto"/>
          <w:sz w:val="24"/>
          <w:szCs w:val="24"/>
          <w:highlight w:val="none"/>
        </w:rPr>
      </w:pPr>
      <w:bookmarkStart w:id="210" w:name="_Toc25199"/>
      <w:bookmarkStart w:id="211" w:name="_Toc110010430"/>
      <w:bookmarkStart w:id="212" w:name="_Toc377"/>
      <w:bookmarkStart w:id="213" w:name="_Toc27620"/>
      <w:r>
        <w:rPr>
          <w:rFonts w:hint="eastAsia" w:asciiTheme="minorEastAsia" w:hAnsiTheme="minorEastAsia" w:eastAsiaTheme="minorEastAsia" w:cstheme="minorEastAsia"/>
          <w:color w:val="auto"/>
          <w:spacing w:val="-2"/>
          <w:position w:val="1"/>
          <w:sz w:val="24"/>
          <w:szCs w:val="24"/>
          <w:highlight w:val="none"/>
        </w:rPr>
        <w:t>二、投诉项目</w:t>
      </w:r>
      <w:r>
        <w:rPr>
          <w:rFonts w:hint="eastAsia" w:asciiTheme="minorEastAsia" w:hAnsiTheme="minorEastAsia" w:eastAsiaTheme="minorEastAsia" w:cstheme="minorEastAsia"/>
          <w:color w:val="auto"/>
          <w:spacing w:val="-1"/>
          <w:position w:val="1"/>
          <w:sz w:val="24"/>
          <w:szCs w:val="24"/>
          <w:highlight w:val="none"/>
        </w:rPr>
        <w:t>基本情况</w:t>
      </w:r>
      <w:bookmarkEnd w:id="210"/>
      <w:bookmarkEnd w:id="211"/>
      <w:bookmarkEnd w:id="212"/>
      <w:bookmarkEnd w:id="213"/>
    </w:p>
    <w:p w14:paraId="5422BCB0">
      <w:pPr>
        <w:shd w:val="clear" w:color="auto" w:fill="auto"/>
        <w:spacing w:before="6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采购项</w:t>
      </w:r>
      <w:r>
        <w:rPr>
          <w:rFonts w:hint="eastAsia" w:asciiTheme="minorEastAsia" w:hAnsiTheme="minorEastAsia" w:eastAsiaTheme="minorEastAsia" w:cstheme="minorEastAsia"/>
          <w:color w:val="auto"/>
          <w:spacing w:val="-1"/>
          <w:sz w:val="24"/>
          <w:szCs w:val="24"/>
          <w:highlight w:val="none"/>
        </w:rPr>
        <w:t>目名称：</w:t>
      </w:r>
      <w:r>
        <w:rPr>
          <w:rFonts w:hint="eastAsia" w:asciiTheme="minorEastAsia" w:hAnsiTheme="minorEastAsia" w:eastAsiaTheme="minorEastAsia" w:cstheme="minorEastAsia"/>
          <w:color w:val="auto"/>
          <w:sz w:val="24"/>
          <w:szCs w:val="24"/>
          <w:highlight w:val="none"/>
          <w:u w:val="dotted"/>
        </w:rPr>
        <w:t xml:space="preserve">                                           </w:t>
      </w:r>
    </w:p>
    <w:p w14:paraId="5AAC3A1C">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采购项目</w:t>
      </w:r>
      <w:r>
        <w:rPr>
          <w:rFonts w:hint="eastAsia" w:asciiTheme="minorEastAsia" w:hAnsiTheme="minorEastAsia" w:eastAsiaTheme="minorEastAsia" w:cstheme="minorEastAsia"/>
          <w:color w:val="auto"/>
          <w:spacing w:val="-4"/>
          <w:sz w:val="24"/>
          <w:szCs w:val="24"/>
          <w:highlight w:val="none"/>
        </w:rPr>
        <w:t>编号：</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18205FBA">
      <w:pPr>
        <w:shd w:val="clear" w:color="auto" w:fill="auto"/>
        <w:spacing w:before="10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38B3E750">
      <w:pPr>
        <w:shd w:val="clear" w:color="auto" w:fill="auto"/>
        <w:spacing w:before="105"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代理机构名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53ED74A8">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采购文件公告:</w:t>
      </w:r>
      <w:r>
        <w:rPr>
          <w:rFonts w:hint="eastAsia" w:asciiTheme="minorEastAsia" w:hAnsiTheme="minorEastAsia" w:eastAsiaTheme="minorEastAsia" w:cstheme="minorEastAsia"/>
          <w:color w:val="auto"/>
          <w:spacing w:val="7"/>
          <w:sz w:val="24"/>
          <w:szCs w:val="24"/>
          <w:highlight w:val="none"/>
          <w:u w:val="single"/>
        </w:rPr>
        <w:t xml:space="preserve">  是/否 </w:t>
      </w:r>
      <w:r>
        <w:rPr>
          <w:rFonts w:hint="eastAsia" w:asciiTheme="minorEastAsia" w:hAnsiTheme="minorEastAsia" w:eastAsiaTheme="minorEastAsia" w:cstheme="minorEastAsia"/>
          <w:color w:val="auto"/>
          <w:spacing w:val="7"/>
          <w:sz w:val="24"/>
          <w:szCs w:val="24"/>
          <w:highlight w:val="none"/>
        </w:rPr>
        <w:t xml:space="preserve"> 公告期限</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u w:val="dotted"/>
        </w:rPr>
        <w:t xml:space="preserve">                        </w:t>
      </w:r>
    </w:p>
    <w:p w14:paraId="75017A7B">
      <w:pPr>
        <w:shd w:val="clear" w:color="auto" w:fill="auto"/>
        <w:spacing w:before="103" w:line="287" w:lineRule="auto"/>
        <w:ind w:left="22" w:right="12"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采购结果公告：</w:t>
      </w:r>
      <w:r>
        <w:rPr>
          <w:rFonts w:hint="eastAsia" w:asciiTheme="minorEastAsia" w:hAnsiTheme="minorEastAsia" w:eastAsiaTheme="minorEastAsia" w:cstheme="minorEastAsia"/>
          <w:color w:val="auto"/>
          <w:spacing w:val="-1"/>
          <w:sz w:val="24"/>
          <w:szCs w:val="24"/>
          <w:highlight w:val="none"/>
          <w:u w:val="single"/>
        </w:rPr>
        <w:t xml:space="preserve">  是/否 </w:t>
      </w:r>
      <w:r>
        <w:rPr>
          <w:rFonts w:hint="eastAsia" w:asciiTheme="minorEastAsia" w:hAnsiTheme="minorEastAsia" w:eastAsiaTheme="minorEastAsia" w:cstheme="minorEastAsia"/>
          <w:color w:val="auto"/>
          <w:spacing w:val="-1"/>
          <w:sz w:val="24"/>
          <w:szCs w:val="24"/>
          <w:highlight w:val="none"/>
        </w:rPr>
        <w:t xml:space="preserve"> 公告期限：</w:t>
      </w:r>
      <w:r>
        <w:rPr>
          <w:rFonts w:hint="eastAsia" w:asciiTheme="minorEastAsia" w:hAnsiTheme="minorEastAsia" w:eastAsiaTheme="minorEastAsia" w:cstheme="minorEastAsia"/>
          <w:color w:val="auto"/>
          <w:spacing w:val="-1"/>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6BFC1AC5">
      <w:pPr>
        <w:shd w:val="clear" w:color="auto" w:fill="auto"/>
        <w:spacing w:before="100" w:line="371" w:lineRule="exact"/>
        <w:ind w:left="27" w:right="0" w:firstLine="0"/>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rPr>
        <w:t>三、质疑基本情况</w:t>
      </w:r>
    </w:p>
    <w:p w14:paraId="63F25D21">
      <w:pPr>
        <w:shd w:val="clear" w:color="auto" w:fill="auto"/>
        <w:spacing w:before="1" w:line="287" w:lineRule="auto"/>
        <w:ind w:left="23" w:right="11" w:firstLine="4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投</w:t>
      </w:r>
      <w:r>
        <w:rPr>
          <w:rFonts w:hint="eastAsia" w:asciiTheme="minorEastAsia" w:hAnsiTheme="minorEastAsia" w:eastAsiaTheme="minorEastAsia" w:cstheme="minorEastAsia"/>
          <w:color w:val="auto"/>
          <w:spacing w:val="-6"/>
          <w:sz w:val="24"/>
          <w:szCs w:val="24"/>
          <w:highlight w:val="none"/>
        </w:rPr>
        <w:t>诉人于</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年</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月</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日 ，向</w:t>
      </w:r>
      <w:r>
        <w:rPr>
          <w:rFonts w:hint="eastAsia" w:asciiTheme="minorEastAsia" w:hAnsiTheme="minorEastAsia" w:eastAsiaTheme="minorEastAsia" w:cstheme="minorEastAsia"/>
          <w:color w:val="auto"/>
          <w:spacing w:val="-4"/>
          <w:sz w:val="24"/>
          <w:szCs w:val="24"/>
          <w:highlight w:val="none"/>
        </w:rPr>
        <w:t>提</w:t>
      </w:r>
      <w:r>
        <w:rPr>
          <w:rFonts w:hint="eastAsia" w:asciiTheme="minorEastAsia" w:hAnsiTheme="minorEastAsia" w:eastAsiaTheme="minorEastAsia" w:cstheme="minorEastAsia"/>
          <w:color w:val="auto"/>
          <w:spacing w:val="-2"/>
          <w:sz w:val="24"/>
          <w:szCs w:val="24"/>
          <w:highlight w:val="none"/>
        </w:rPr>
        <w:t>出质疑，</w:t>
      </w:r>
    </w:p>
    <w:p w14:paraId="32FBD889">
      <w:pPr>
        <w:shd w:val="clear" w:color="auto" w:fill="auto"/>
        <w:spacing w:before="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疑事项为：</w:t>
      </w:r>
      <w:r>
        <w:rPr>
          <w:rFonts w:hint="eastAsia" w:asciiTheme="minorEastAsia" w:hAnsiTheme="minorEastAsia" w:eastAsiaTheme="minorEastAsia" w:cstheme="minorEastAsia"/>
          <w:color w:val="auto"/>
          <w:sz w:val="24"/>
          <w:szCs w:val="24"/>
          <w:highlight w:val="none"/>
          <w:u w:val="dotted"/>
        </w:rPr>
        <w:t xml:space="preserve">                                           </w:t>
      </w:r>
    </w:p>
    <w:p w14:paraId="6E10EFD2">
      <w:pPr>
        <w:shd w:val="clear" w:color="auto" w:fill="auto"/>
        <w:spacing w:before="103" w:line="287" w:lineRule="auto"/>
        <w:ind w:left="459" w:right="11" w:firstLine="1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采购人/</w:t>
      </w:r>
      <w:r>
        <w:rPr>
          <w:rFonts w:hint="eastAsia" w:asciiTheme="minorEastAsia" w:hAnsiTheme="minorEastAsia" w:eastAsiaTheme="minorEastAsia" w:cstheme="minorEastAsia"/>
          <w:color w:val="auto"/>
          <w:spacing w:val="-2"/>
          <w:sz w:val="24"/>
          <w:szCs w:val="24"/>
          <w:highlight w:val="none"/>
        </w:rPr>
        <w:t>采购代理机构于</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年</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月</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日，就质疑</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事项做出了答复/没有在</w:t>
      </w:r>
      <w:r>
        <w:rPr>
          <w:rFonts w:hint="eastAsia" w:asciiTheme="minorEastAsia" w:hAnsiTheme="minorEastAsia" w:eastAsiaTheme="minorEastAsia" w:cstheme="minorEastAsia"/>
          <w:color w:val="auto"/>
          <w:sz w:val="24"/>
          <w:szCs w:val="24"/>
          <w:highlight w:val="none"/>
        </w:rPr>
        <w:t>法定期限内做出答复。</w:t>
      </w:r>
    </w:p>
    <w:p w14:paraId="34D15A72">
      <w:pPr>
        <w:shd w:val="clear" w:color="auto" w:fill="auto"/>
        <w:spacing w:before="100" w:line="371" w:lineRule="exact"/>
        <w:ind w:left="27"/>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lang w:val="en-US" w:eastAsia="zh-CN"/>
        </w:rPr>
        <w:t>四</w:t>
      </w:r>
      <w:r>
        <w:rPr>
          <w:rFonts w:hint="eastAsia" w:asciiTheme="minorEastAsia" w:hAnsiTheme="minorEastAsia" w:eastAsiaTheme="minorEastAsia" w:cstheme="minorEastAsia"/>
          <w:color w:val="auto"/>
          <w:spacing w:val="-2"/>
          <w:position w:val="1"/>
          <w:sz w:val="24"/>
          <w:szCs w:val="24"/>
          <w:highlight w:val="none"/>
        </w:rPr>
        <w:t>、投诉事项具体内容</w:t>
      </w:r>
    </w:p>
    <w:p w14:paraId="2A8EF375">
      <w:pPr>
        <w:shd w:val="clear" w:color="auto" w:fill="auto"/>
        <w:spacing w:before="98" w:line="221"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投</w:t>
      </w:r>
      <w:r>
        <w:rPr>
          <w:rFonts w:hint="eastAsia" w:asciiTheme="minorEastAsia" w:hAnsiTheme="minorEastAsia" w:eastAsiaTheme="minorEastAsia" w:cstheme="minorEastAsia"/>
          <w:color w:val="auto"/>
          <w:spacing w:val="-10"/>
          <w:sz w:val="24"/>
          <w:szCs w:val="24"/>
          <w:highlight w:val="none"/>
        </w:rPr>
        <w:t>诉事项 1 ：</w:t>
      </w:r>
      <w:r>
        <w:rPr>
          <w:rFonts w:hint="eastAsia" w:asciiTheme="minorEastAsia" w:hAnsiTheme="minorEastAsia" w:eastAsiaTheme="minorEastAsia" w:cstheme="minorEastAsia"/>
          <w:color w:val="auto"/>
          <w:sz w:val="24"/>
          <w:szCs w:val="24"/>
          <w:highlight w:val="none"/>
          <w:u w:val="dotted"/>
        </w:rPr>
        <w:t xml:space="preserve">                                            </w:t>
      </w:r>
    </w:p>
    <w:p w14:paraId="74475D9C">
      <w:pPr>
        <w:shd w:val="clear" w:color="auto" w:fill="auto"/>
        <w:spacing w:before="100"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53831859">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2292D880">
      <w:pPr>
        <w:shd w:val="clear" w:color="auto" w:fill="auto"/>
        <w:spacing w:before="118"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14E7688D">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67D45F2E">
      <w:pPr>
        <w:shd w:val="clear" w:color="auto" w:fill="auto"/>
        <w:spacing w:before="118" w:line="437" w:lineRule="exact"/>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position w:val="11"/>
          <w:sz w:val="24"/>
          <w:szCs w:val="24"/>
          <w:highlight w:val="none"/>
        </w:rPr>
        <w:t>投</w:t>
      </w:r>
      <w:r>
        <w:rPr>
          <w:rFonts w:hint="eastAsia" w:asciiTheme="minorEastAsia" w:hAnsiTheme="minorEastAsia" w:eastAsiaTheme="minorEastAsia" w:cstheme="minorEastAsia"/>
          <w:color w:val="auto"/>
          <w:spacing w:val="-12"/>
          <w:position w:val="11"/>
          <w:sz w:val="24"/>
          <w:szCs w:val="24"/>
          <w:highlight w:val="none"/>
        </w:rPr>
        <w:t>诉事项 2</w:t>
      </w:r>
    </w:p>
    <w:p w14:paraId="37F2E930">
      <w:pPr>
        <w:shd w:val="clear" w:color="auto" w:fill="auto"/>
        <w:spacing w:line="437"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2A84B530">
      <w:pPr>
        <w:shd w:val="clear" w:color="auto" w:fill="auto"/>
        <w:spacing w:line="239" w:lineRule="exact"/>
        <w:rPr>
          <w:rFonts w:hint="eastAsia" w:asciiTheme="minorEastAsia" w:hAnsiTheme="minorEastAsia" w:eastAsiaTheme="minorEastAsia" w:cstheme="minorEastAsia"/>
          <w:color w:val="auto"/>
          <w:sz w:val="24"/>
          <w:szCs w:val="24"/>
          <w:highlight w:val="none"/>
        </w:rPr>
      </w:pPr>
    </w:p>
    <w:p w14:paraId="433E4E0C">
      <w:pPr>
        <w:shd w:val="clear" w:color="auto" w:fill="auto"/>
        <w:spacing w:before="56" w:line="437" w:lineRule="exact"/>
        <w:ind w:left="505"/>
        <w:rPr>
          <w:rFonts w:hint="eastAsia" w:asciiTheme="minorEastAsia" w:hAnsiTheme="minorEastAsia" w:eastAsiaTheme="minorEastAsia" w:cstheme="minorEastAsia"/>
          <w:color w:val="auto"/>
          <w:spacing w:val="-1"/>
          <w:position w:val="11"/>
          <w:sz w:val="24"/>
          <w:szCs w:val="24"/>
          <w:highlight w:val="none"/>
        </w:rPr>
      </w:pPr>
      <w:r>
        <w:rPr>
          <w:rFonts w:hint="eastAsia" w:asciiTheme="minorEastAsia" w:hAnsiTheme="minorEastAsia" w:eastAsiaTheme="minorEastAsia" w:cstheme="minorEastAsia"/>
          <w:color w:val="auto"/>
          <w:spacing w:val="-2"/>
          <w:position w:val="11"/>
          <w:sz w:val="24"/>
          <w:szCs w:val="24"/>
          <w:highlight w:val="none"/>
        </w:rPr>
        <w:t>签字(签</w:t>
      </w:r>
      <w:r>
        <w:rPr>
          <w:rFonts w:hint="eastAsia" w:asciiTheme="minorEastAsia" w:hAnsiTheme="minorEastAsia" w:eastAsiaTheme="minorEastAsia" w:cstheme="minorEastAsia"/>
          <w:color w:val="auto"/>
          <w:spacing w:val="-1"/>
          <w:position w:val="11"/>
          <w:sz w:val="24"/>
          <w:szCs w:val="24"/>
          <w:highlight w:val="none"/>
        </w:rPr>
        <w:t xml:space="preserve">章)： </w:t>
      </w:r>
    </w:p>
    <w:p w14:paraId="700F000D">
      <w:pPr>
        <w:shd w:val="clear" w:color="auto" w:fill="auto"/>
        <w:spacing w:before="56" w:line="437" w:lineRule="exact"/>
        <w:ind w:left="505"/>
        <w:rPr>
          <w:rFonts w:hint="eastAsia" w:asciiTheme="minorEastAsia" w:hAnsiTheme="minorEastAsia" w:eastAsiaTheme="minorEastAsia" w:cstheme="minorEastAsia"/>
          <w:color w:val="auto"/>
          <w:spacing w:val="-1"/>
          <w:position w:val="11"/>
          <w:sz w:val="24"/>
          <w:szCs w:val="24"/>
          <w:highlight w:val="none"/>
        </w:rPr>
      </w:pPr>
      <w:r>
        <w:rPr>
          <w:rFonts w:hint="eastAsia" w:asciiTheme="minorEastAsia" w:hAnsiTheme="minorEastAsia" w:eastAsiaTheme="minorEastAsia" w:cstheme="minorEastAsia"/>
          <w:color w:val="auto"/>
          <w:spacing w:val="-20"/>
          <w:sz w:val="24"/>
          <w:szCs w:val="24"/>
          <w:highlight w:val="none"/>
        </w:rPr>
        <w:t>日</w:t>
      </w:r>
      <w:r>
        <w:rPr>
          <w:rFonts w:hint="eastAsia" w:asciiTheme="minorEastAsia" w:hAnsiTheme="minorEastAsia" w:eastAsiaTheme="minorEastAsia" w:cstheme="minorEastAsia"/>
          <w:color w:val="auto"/>
          <w:spacing w:val="-19"/>
          <w:sz w:val="24"/>
          <w:szCs w:val="24"/>
          <w:highlight w:val="none"/>
        </w:rPr>
        <w:t>期：</w:t>
      </w:r>
      <w:r>
        <w:rPr>
          <w:rFonts w:hint="eastAsia" w:asciiTheme="minorEastAsia" w:hAnsiTheme="minorEastAsia" w:eastAsiaTheme="minorEastAsia" w:cstheme="minorEastAsia"/>
          <w:color w:val="auto"/>
          <w:spacing w:val="-1"/>
          <w:position w:val="11"/>
          <w:sz w:val="24"/>
          <w:szCs w:val="24"/>
          <w:highlight w:val="none"/>
        </w:rPr>
        <w:t xml:space="preserve"> </w:t>
      </w:r>
    </w:p>
    <w:p w14:paraId="73391BF3">
      <w:pPr>
        <w:pStyle w:val="8"/>
        <w:ind w:left="0" w:leftChars="0" w:firstLine="0" w:firstLineChars="0"/>
        <w:rPr>
          <w:rFonts w:hint="eastAsia"/>
        </w:rPr>
      </w:pPr>
    </w:p>
    <w:p w14:paraId="3334A81C">
      <w:pPr>
        <w:shd w:val="clear" w:color="auto" w:fill="auto"/>
        <w:spacing w:before="91" w:line="219"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投诉书制作说</w:t>
      </w:r>
      <w:r>
        <w:rPr>
          <w:rFonts w:hint="eastAsia" w:asciiTheme="minorEastAsia" w:hAnsiTheme="minorEastAsia" w:eastAsiaTheme="minorEastAsia" w:cstheme="minorEastAsia"/>
          <w:color w:val="auto"/>
          <w:spacing w:val="-1"/>
          <w:sz w:val="24"/>
          <w:szCs w:val="24"/>
          <w:highlight w:val="none"/>
        </w:rPr>
        <w:t>明：</w:t>
      </w:r>
    </w:p>
    <w:p w14:paraId="1C560674">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1.投诉人提起投诉时，应当提交投诉书和必要的证明材料，并按 照被投诉人和与投诉事项有关的供应商数量提供投诉书副本。</w:t>
      </w:r>
    </w:p>
    <w:p w14:paraId="360B2B1E">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181CB06F">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3.投诉人若对项目的某一分包进行投诉，投诉书中应列明具体分 包号。</w:t>
      </w:r>
    </w:p>
    <w:p w14:paraId="783A87F1">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4.投诉书应简要列明质疑事项，质疑函、质疑答复等作为附件材 料提供。</w:t>
      </w:r>
    </w:p>
    <w:p w14:paraId="65D65DC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5.投诉书的投诉事项应具体、明确，并有必要的事实依据和法律 依据。</w:t>
      </w:r>
    </w:p>
    <w:p w14:paraId="17426192">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6.投诉书的投诉请求应与投诉事项相关。</w:t>
      </w:r>
    </w:p>
    <w:p w14:paraId="3820DE34">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14:paraId="70DC6B31">
      <w:pPr>
        <w:pStyle w:val="8"/>
        <w:rPr>
          <w:rFonts w:hint="eastAsia" w:asciiTheme="minorEastAsia" w:hAnsiTheme="minorEastAsia" w:eastAsiaTheme="minorEastAsia" w:cstheme="minorEastAsia"/>
          <w:sz w:val="24"/>
          <w:szCs w:val="24"/>
        </w:rPr>
      </w:pPr>
    </w:p>
    <w:p w14:paraId="36CE50C9">
      <w:pPr>
        <w:rPr>
          <w:rFonts w:hint="eastAsia" w:asciiTheme="minorEastAsia" w:hAnsiTheme="minorEastAsia" w:eastAsiaTheme="minorEastAsia" w:cstheme="minorEastAsia"/>
          <w:sz w:val="24"/>
          <w:szCs w:val="24"/>
        </w:rPr>
      </w:pPr>
    </w:p>
    <w:p w14:paraId="7AECDF91">
      <w:pPr>
        <w:pStyle w:val="8"/>
        <w:rPr>
          <w:rFonts w:hint="eastAsia" w:asciiTheme="minorEastAsia" w:hAnsiTheme="minorEastAsia" w:eastAsiaTheme="minorEastAsia" w:cstheme="minorEastAsia"/>
        </w:rPr>
      </w:pPr>
    </w:p>
    <w:p w14:paraId="4D20E187">
      <w:pPr>
        <w:rPr>
          <w:rFonts w:hint="eastAsia" w:asciiTheme="minorEastAsia" w:hAnsiTheme="minorEastAsia" w:eastAsiaTheme="minorEastAsia" w:cstheme="minorEastAsia"/>
        </w:rPr>
      </w:pPr>
    </w:p>
    <w:p w14:paraId="172DA098">
      <w:pPr>
        <w:pStyle w:val="8"/>
        <w:rPr>
          <w:rFonts w:hint="eastAsia" w:asciiTheme="minorEastAsia" w:hAnsiTheme="minorEastAsia" w:eastAsiaTheme="minorEastAsia" w:cstheme="minorEastAsia"/>
        </w:rPr>
      </w:pPr>
    </w:p>
    <w:p w14:paraId="4ACB06A8">
      <w:pPr>
        <w:rPr>
          <w:rFonts w:hint="eastAsia" w:asciiTheme="minorEastAsia" w:hAnsiTheme="minorEastAsia" w:eastAsiaTheme="minorEastAsia" w:cstheme="minorEastAsia"/>
        </w:rPr>
      </w:pPr>
    </w:p>
    <w:p w14:paraId="246AAF1E">
      <w:pPr>
        <w:pStyle w:val="8"/>
        <w:rPr>
          <w:rFonts w:hint="eastAsia" w:asciiTheme="minorEastAsia" w:hAnsiTheme="minorEastAsia" w:eastAsiaTheme="minorEastAsia" w:cstheme="minorEastAsia"/>
        </w:rPr>
      </w:pPr>
    </w:p>
    <w:p w14:paraId="5658CA73">
      <w:pPr>
        <w:rPr>
          <w:rFonts w:hint="eastAsia" w:asciiTheme="minorEastAsia" w:hAnsiTheme="minorEastAsia" w:eastAsiaTheme="minorEastAsia" w:cstheme="minorEastAsia"/>
        </w:rPr>
      </w:pPr>
    </w:p>
    <w:p w14:paraId="5DC92D43">
      <w:pPr>
        <w:pStyle w:val="8"/>
        <w:ind w:left="0" w:leftChars="0" w:firstLine="0" w:firstLineChars="0"/>
        <w:rPr>
          <w:rFonts w:hint="eastAsia" w:asciiTheme="minorEastAsia" w:hAnsiTheme="minorEastAsia" w:eastAsiaTheme="minorEastAsia" w:cstheme="minorEastAsia"/>
        </w:rPr>
      </w:pPr>
    </w:p>
    <w:p w14:paraId="40945D0C">
      <w:pPr>
        <w:rPr>
          <w:rFonts w:hint="eastAsia" w:asciiTheme="minorEastAsia" w:hAnsiTheme="minorEastAsia" w:eastAsiaTheme="minorEastAsia" w:cstheme="minorEastAsia"/>
        </w:rPr>
      </w:pPr>
    </w:p>
    <w:p w14:paraId="7B3C7539">
      <w:pPr>
        <w:rPr>
          <w:rFonts w:hint="eastAsia" w:asciiTheme="minorEastAsia" w:hAnsiTheme="minorEastAsia" w:eastAsiaTheme="minorEastAsia" w:cstheme="minorEastAsia"/>
        </w:rPr>
      </w:pPr>
    </w:p>
    <w:p w14:paraId="26FD1AFF">
      <w:pPr>
        <w:rPr>
          <w:rFonts w:hint="eastAsia" w:asciiTheme="minorEastAsia" w:hAnsiTheme="minorEastAsia" w:eastAsiaTheme="minorEastAsia" w:cstheme="minorEastAsia"/>
        </w:rPr>
      </w:pPr>
    </w:p>
    <w:p w14:paraId="332ADE00">
      <w:pPr>
        <w:rPr>
          <w:rFonts w:hint="eastAsia" w:asciiTheme="minorEastAsia" w:hAnsiTheme="minorEastAsia" w:eastAsiaTheme="minorEastAsia" w:cstheme="minorEastAsia"/>
        </w:rPr>
      </w:pPr>
    </w:p>
    <w:p w14:paraId="7DA3D02A">
      <w:pPr>
        <w:rPr>
          <w:rFonts w:hint="eastAsia" w:asciiTheme="minorEastAsia" w:hAnsiTheme="minorEastAsia" w:eastAsiaTheme="minorEastAsia" w:cstheme="minorEastAsia"/>
        </w:rPr>
      </w:pPr>
    </w:p>
    <w:p w14:paraId="4C64A383">
      <w:pPr>
        <w:rPr>
          <w:rFonts w:hint="eastAsia" w:asciiTheme="minorEastAsia" w:hAnsiTheme="minorEastAsia" w:eastAsiaTheme="minorEastAsia" w:cstheme="minorEastAsia"/>
        </w:rPr>
      </w:pPr>
    </w:p>
    <w:p w14:paraId="3C37536E">
      <w:pPr>
        <w:rPr>
          <w:rFonts w:hint="eastAsia" w:asciiTheme="minorEastAsia" w:hAnsiTheme="minorEastAsia" w:eastAsiaTheme="minorEastAsia" w:cstheme="minorEastAsia"/>
        </w:rPr>
      </w:pPr>
    </w:p>
    <w:p w14:paraId="47DA0530">
      <w:pPr>
        <w:rPr>
          <w:rFonts w:hint="eastAsia" w:asciiTheme="minorEastAsia" w:hAnsiTheme="minorEastAsia" w:eastAsiaTheme="minorEastAsia" w:cstheme="minorEastAsia"/>
        </w:rPr>
      </w:pPr>
    </w:p>
    <w:p w14:paraId="13C0E681">
      <w:pPr>
        <w:rPr>
          <w:rFonts w:hint="eastAsia" w:asciiTheme="minorEastAsia" w:hAnsiTheme="minorEastAsia" w:eastAsiaTheme="minorEastAsia" w:cstheme="minorEastAsia"/>
        </w:rPr>
      </w:pPr>
    </w:p>
    <w:p w14:paraId="010981F0">
      <w:pPr>
        <w:rPr>
          <w:rFonts w:hint="eastAsia" w:asciiTheme="minorEastAsia" w:hAnsiTheme="minorEastAsia" w:eastAsiaTheme="minorEastAsia" w:cstheme="minorEastAsia"/>
        </w:rPr>
      </w:pPr>
    </w:p>
    <w:p w14:paraId="3B83D987">
      <w:pPr>
        <w:rPr>
          <w:rFonts w:hint="eastAsia" w:asciiTheme="minorEastAsia" w:hAnsiTheme="minorEastAsia" w:eastAsiaTheme="minorEastAsia" w:cstheme="minorEastAsia"/>
        </w:rPr>
      </w:pPr>
    </w:p>
    <w:p w14:paraId="62AE1CF3">
      <w:pPr>
        <w:rPr>
          <w:rFonts w:hint="eastAsia" w:asciiTheme="minorEastAsia" w:hAnsiTheme="minorEastAsia" w:eastAsiaTheme="minorEastAsia" w:cstheme="minorEastAsia"/>
        </w:rPr>
      </w:pPr>
    </w:p>
    <w:p w14:paraId="19E54788">
      <w:pPr>
        <w:rPr>
          <w:rFonts w:hint="eastAsia" w:asciiTheme="minorEastAsia" w:hAnsiTheme="minorEastAsia" w:eastAsiaTheme="minorEastAsia" w:cstheme="minorEastAsia"/>
        </w:rPr>
      </w:pPr>
    </w:p>
    <w:p w14:paraId="29F955C7">
      <w:pPr>
        <w:pStyle w:val="2"/>
        <w:rPr>
          <w:rFonts w:hint="eastAsia"/>
        </w:rPr>
      </w:pPr>
    </w:p>
    <w:p w14:paraId="4E3C70BB">
      <w:pPr>
        <w:rPr>
          <w:rFonts w:hint="eastAsia" w:asciiTheme="minorEastAsia" w:hAnsiTheme="minorEastAsia" w:eastAsiaTheme="minorEastAsia" w:cstheme="minorEastAsia"/>
        </w:rPr>
      </w:pPr>
    </w:p>
    <w:p w14:paraId="60A4028E">
      <w:pPr>
        <w:rPr>
          <w:rFonts w:hint="eastAsia" w:asciiTheme="minorEastAsia" w:hAnsiTheme="minorEastAsia" w:eastAsiaTheme="minorEastAsia" w:cstheme="minorEastAsia"/>
        </w:rPr>
      </w:pPr>
    </w:p>
    <w:p w14:paraId="73EDAE19">
      <w:pPr>
        <w:rPr>
          <w:rFonts w:hint="eastAsia" w:asciiTheme="minorEastAsia" w:hAnsiTheme="minorEastAsia" w:eastAsiaTheme="minorEastAsia" w:cstheme="minorEastAsia"/>
        </w:rPr>
      </w:pPr>
    </w:p>
    <w:p w14:paraId="0FA4B2FC">
      <w:pPr>
        <w:rPr>
          <w:rFonts w:hint="eastAsia" w:asciiTheme="minorEastAsia" w:hAnsiTheme="minorEastAsia" w:eastAsiaTheme="minorEastAsia" w:cstheme="minorEastAsia"/>
        </w:rPr>
      </w:pPr>
    </w:p>
    <w:p w14:paraId="5923D61C">
      <w:pPr>
        <w:rPr>
          <w:rFonts w:hint="eastAsia" w:asciiTheme="minorEastAsia" w:hAnsiTheme="minorEastAsia" w:eastAsiaTheme="minorEastAsia" w:cstheme="minorEastAsia"/>
        </w:rPr>
      </w:pPr>
    </w:p>
    <w:p w14:paraId="1A86A960">
      <w:pPr>
        <w:rPr>
          <w:rFonts w:hint="eastAsia" w:asciiTheme="minorEastAsia" w:hAnsiTheme="minorEastAsia" w:eastAsiaTheme="minorEastAsia" w:cstheme="minorEastAsia"/>
        </w:rPr>
      </w:pPr>
    </w:p>
    <w:p w14:paraId="12FEB548">
      <w:pPr>
        <w:rPr>
          <w:rFonts w:hint="eastAsia" w:asciiTheme="minorEastAsia" w:hAnsiTheme="minorEastAsia" w:eastAsiaTheme="minorEastAsia" w:cstheme="minorEastAsia"/>
        </w:rPr>
      </w:pPr>
    </w:p>
    <w:p w14:paraId="64C2A69B">
      <w:pPr>
        <w:rPr>
          <w:rFonts w:hint="eastAsia" w:asciiTheme="minorEastAsia" w:hAnsiTheme="minorEastAsia" w:eastAsiaTheme="minorEastAsia" w:cstheme="minorEastAsia"/>
        </w:rPr>
      </w:pPr>
    </w:p>
    <w:p w14:paraId="11C8B7A5">
      <w:pPr>
        <w:rPr>
          <w:rFonts w:hint="eastAsia" w:asciiTheme="minorEastAsia" w:hAnsiTheme="minorEastAsia" w:eastAsiaTheme="minorEastAsia" w:cstheme="minorEastAsia"/>
        </w:rPr>
      </w:pPr>
    </w:p>
    <w:p w14:paraId="3D77D023">
      <w:pPr>
        <w:rPr>
          <w:rFonts w:hint="eastAsia" w:asciiTheme="minorEastAsia" w:hAnsiTheme="minorEastAsia" w:eastAsiaTheme="minorEastAsia" w:cstheme="minorEastAsia"/>
        </w:rPr>
      </w:pPr>
    </w:p>
    <w:p w14:paraId="6F5571E9">
      <w:pPr>
        <w:rPr>
          <w:rFonts w:hint="eastAsia" w:asciiTheme="minorEastAsia" w:hAnsiTheme="minorEastAsia" w:eastAsiaTheme="minorEastAsia" w:cstheme="minorEastAsia"/>
        </w:rPr>
      </w:pPr>
    </w:p>
    <w:p w14:paraId="00DD1EF5">
      <w:pPr>
        <w:rPr>
          <w:rFonts w:hint="eastAsia" w:asciiTheme="minorEastAsia" w:hAnsiTheme="minorEastAsia" w:eastAsiaTheme="minorEastAsia" w:cstheme="minorEastAsia"/>
        </w:rPr>
      </w:pPr>
    </w:p>
    <w:p w14:paraId="7494BEF1">
      <w:pPr>
        <w:rPr>
          <w:rFonts w:hint="eastAsia" w:asciiTheme="minorEastAsia" w:hAnsiTheme="minorEastAsia" w:eastAsiaTheme="minorEastAsia" w:cstheme="minorEastAsia"/>
        </w:rPr>
      </w:pPr>
    </w:p>
    <w:p w14:paraId="29ECEBE7">
      <w:pPr>
        <w:rPr>
          <w:rFonts w:hint="eastAsia" w:asciiTheme="minorEastAsia" w:hAnsiTheme="minorEastAsia" w:eastAsiaTheme="minorEastAsia" w:cstheme="minorEastAsia"/>
        </w:rPr>
      </w:pPr>
    </w:p>
    <w:p w14:paraId="2B93D789">
      <w:pPr>
        <w:rPr>
          <w:rFonts w:hint="eastAsia" w:asciiTheme="minorEastAsia" w:hAnsiTheme="minorEastAsia" w:eastAsiaTheme="minorEastAsia" w:cstheme="minorEastAsia"/>
        </w:rPr>
      </w:pPr>
    </w:p>
    <w:p w14:paraId="0DD00365">
      <w:pPr>
        <w:rPr>
          <w:rFonts w:hint="eastAsia" w:asciiTheme="minorEastAsia" w:hAnsiTheme="minorEastAsia" w:eastAsiaTheme="minorEastAsia" w:cstheme="minorEastAsia"/>
        </w:rPr>
      </w:pPr>
    </w:p>
    <w:p w14:paraId="21D4BE5C">
      <w:pPr>
        <w:rPr>
          <w:rFonts w:hint="eastAsia" w:asciiTheme="minorEastAsia" w:hAnsiTheme="minorEastAsia" w:eastAsiaTheme="minorEastAsia" w:cstheme="minorEastAsia"/>
        </w:rPr>
      </w:pPr>
    </w:p>
    <w:p w14:paraId="12D59300">
      <w:pPr>
        <w:rPr>
          <w:rFonts w:hint="eastAsia" w:asciiTheme="minorEastAsia" w:hAnsiTheme="minorEastAsia" w:eastAsiaTheme="minorEastAsia" w:cstheme="minorEastAsia"/>
        </w:rPr>
      </w:pPr>
    </w:p>
    <w:p w14:paraId="36CC7C0B">
      <w:pPr>
        <w:rPr>
          <w:rFonts w:hint="eastAsia" w:asciiTheme="minorEastAsia" w:hAnsiTheme="minorEastAsia" w:eastAsiaTheme="minorEastAsia" w:cstheme="minorEastAsia"/>
        </w:rPr>
      </w:pPr>
    </w:p>
    <w:p w14:paraId="506450A0">
      <w:pPr>
        <w:spacing w:line="360" w:lineRule="auto"/>
        <w:jc w:val="center"/>
        <w:outlineLvl w:val="0"/>
        <w:rPr>
          <w:rFonts w:hint="eastAsia" w:asciiTheme="minorEastAsia" w:hAnsiTheme="minorEastAsia" w:eastAsiaTheme="minorEastAsia" w:cstheme="minorEastAsia"/>
          <w:b/>
          <w:sz w:val="24"/>
          <w:szCs w:val="24"/>
        </w:rPr>
      </w:pPr>
      <w:bookmarkStart w:id="214" w:name="_Toc99301421"/>
      <w:r>
        <w:rPr>
          <w:rFonts w:hint="eastAsia" w:asciiTheme="minorEastAsia" w:hAnsiTheme="minorEastAsia" w:eastAsiaTheme="minorEastAsia" w:cstheme="minorEastAsia"/>
          <w:b/>
          <w:sz w:val="24"/>
          <w:szCs w:val="24"/>
        </w:rPr>
        <w:t>第三章   资格审查</w:t>
      </w:r>
      <w:bookmarkEnd w:id="214"/>
    </w:p>
    <w:p w14:paraId="2B180880">
      <w:pPr>
        <w:tabs>
          <w:tab w:val="left" w:pos="360"/>
          <w:tab w:val="left" w:pos="900"/>
        </w:tabs>
        <w:snapToGrid w:val="0"/>
        <w:spacing w:line="360" w:lineRule="auto"/>
        <w:jc w:val="center"/>
        <w:outlineLvl w:val="1"/>
        <w:rPr>
          <w:rFonts w:hint="eastAsia" w:asciiTheme="minorEastAsia" w:hAnsiTheme="minorEastAsia" w:eastAsiaTheme="minorEastAsia" w:cstheme="minorEastAsia"/>
          <w:b/>
          <w:sz w:val="24"/>
          <w:szCs w:val="24"/>
        </w:rPr>
      </w:pPr>
      <w:bookmarkStart w:id="215" w:name="_Toc99301422"/>
      <w:r>
        <w:rPr>
          <w:rFonts w:hint="eastAsia" w:asciiTheme="minorEastAsia" w:hAnsiTheme="minorEastAsia" w:eastAsiaTheme="minorEastAsia" w:cstheme="minorEastAsia"/>
          <w:b/>
          <w:sz w:val="24"/>
          <w:szCs w:val="24"/>
        </w:rPr>
        <w:t>一、资格审查程序</w:t>
      </w:r>
      <w:bookmarkEnd w:id="215"/>
    </w:p>
    <w:p w14:paraId="720E312A">
      <w:pPr>
        <w:numPr>
          <w:ilvl w:val="0"/>
          <w:numId w:val="8"/>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开标结束后，采购人或采购代理机构将根据《资格审查要求》中的规定，对投标人进行资格审查，并形成资格审查结果。</w:t>
      </w:r>
    </w:p>
    <w:p w14:paraId="7C1C9195">
      <w:pPr>
        <w:numPr>
          <w:ilvl w:val="0"/>
          <w:numId w:val="8"/>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《资格审查要求》中对格式有要求的，除招标文件另有规定外，均为“实质性格式”文件。</w:t>
      </w:r>
    </w:p>
    <w:p w14:paraId="341B8856">
      <w:pPr>
        <w:numPr>
          <w:ilvl w:val="0"/>
          <w:numId w:val="8"/>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投标人《资格证明文件》有任何一项不符合《资格审查要求》的，资格审查不合格，其投标无效。</w:t>
      </w:r>
    </w:p>
    <w:p w14:paraId="3776C3A1">
      <w:pPr>
        <w:numPr>
          <w:ilvl w:val="0"/>
          <w:numId w:val="8"/>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资格审查合格的投标人不足3家的，不进行评标。</w:t>
      </w:r>
    </w:p>
    <w:p w14:paraId="5608419D">
      <w:pPr>
        <w:widowControl/>
        <w:jc w:val="left"/>
        <w:rPr>
          <w:rFonts w:hint="eastAsia" w:asciiTheme="minorEastAsia" w:hAnsiTheme="minorEastAsia" w:eastAsiaTheme="minorEastAsia" w:cstheme="minorEastAsia"/>
          <w:sz w:val="24"/>
          <w:szCs w:val="24"/>
        </w:rPr>
      </w:pPr>
    </w:p>
    <w:p w14:paraId="5838B2D8">
      <w:pPr>
        <w:tabs>
          <w:tab w:val="left" w:pos="360"/>
          <w:tab w:val="left" w:pos="900"/>
        </w:tabs>
        <w:snapToGrid w:val="0"/>
        <w:spacing w:line="360" w:lineRule="auto"/>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二、资格审查要求</w:t>
      </w:r>
    </w:p>
    <w:tbl>
      <w:tblPr>
        <w:tblStyle w:val="30"/>
        <w:tblpPr w:leftFromText="180" w:rightFromText="180" w:vertAnchor="text" w:horzAnchor="page" w:tblpX="772" w:tblpY="16"/>
        <w:tblOverlap w:val="never"/>
        <w:tblW w:w="10322" w:type="dxa"/>
        <w:tblInd w:w="0" w:type="dxa"/>
        <w:tblLayout w:type="fixed"/>
        <w:tblCellMar>
          <w:top w:w="15" w:type="dxa"/>
          <w:left w:w="15" w:type="dxa"/>
          <w:bottom w:w="15" w:type="dxa"/>
          <w:right w:w="15" w:type="dxa"/>
        </w:tblCellMar>
      </w:tblPr>
      <w:tblGrid>
        <w:gridCol w:w="842"/>
        <w:gridCol w:w="5114"/>
        <w:gridCol w:w="2611"/>
        <w:gridCol w:w="1755"/>
      </w:tblGrid>
      <w:tr w14:paraId="7020AD25">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19A7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sz w:val="24"/>
                <w:szCs w:val="24"/>
              </w:rPr>
            </w:pPr>
            <w:bookmarkStart w:id="216" w:name="_Hlt487972895"/>
            <w:bookmarkEnd w:id="216"/>
            <w:r>
              <w:rPr>
                <w:rFonts w:hint="eastAsia" w:ascii="仿宋" w:hAnsi="仿宋" w:eastAsia="仿宋" w:cs="仿宋"/>
                <w:b w:val="0"/>
                <w:bCs w:val="0"/>
                <w:color w:val="auto"/>
                <w:kern w:val="0"/>
                <w:sz w:val="24"/>
                <w:szCs w:val="24"/>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3C1FF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rPr>
              <w:t>审查要求</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59EC7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要求说明</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6B9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是否通过评审</w:t>
            </w:r>
          </w:p>
          <w:p w14:paraId="14615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（注：通过的打“√”，未通过的打“×”）</w:t>
            </w:r>
          </w:p>
        </w:tc>
      </w:tr>
      <w:tr w14:paraId="33A3E640">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535D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lang w:val="en-US" w:eastAsia="zh-CN"/>
              </w:rPr>
              <w:t>1</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EEF6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08DC9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336B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1C2574F">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6CC5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9990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法定代表人的需提供法定代表人证明书（须附法人身份证复印件正反面）或委托代理人需提供法定代表人授权委托书（授权书需附法人身份证复印件及委托人身份证复印件正反面）；</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D1FC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1508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6ECFF75">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0D5D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59BF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692C1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E10F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B7BD308">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2E82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9C8B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具有良好的商业信誉和健全的财务会计制度：提供2023年由第三方审计机构出具及备案赋码的审计报告（2024年新成立的公司按实际发生的情况提供银行出具的资信证明）和健全的财务会计制度；</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059C3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69C0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54EB5123">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B856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30DB7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履行合同所必需的设备和专业技术能力：提供《投标人资格声明函》；</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30773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8CE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2797D9D5">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5E991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8B07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32ACB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3995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E1C86A7">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79D67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022B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5E8D2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符合《政府采购法》第二十二条规定：开标现场查询，投标人不用提供截图，应当就自己的诚信情况在</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pacing w:val="-2"/>
                <w:sz w:val="24"/>
                <w:szCs w:val="24"/>
                <w:highlight w:val="none"/>
                <w14:textFill>
                  <w14:solidFill>
                    <w14:schemeClr w14:val="tx1"/>
                  </w14:solidFill>
                </w14:textFill>
              </w:rPr>
              <w:t>文件中进行承诺</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66CE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53F139A">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0B837A9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EE1E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仿宋" w:hAnsi="仿宋" w:eastAsia="仿宋" w:cs="仿宋"/>
                <w:snapToGrid w:val="0"/>
                <w:color w:val="000000" w:themeColor="text1"/>
                <w:kern w:val="0"/>
                <w:sz w:val="24"/>
                <w:szCs w:val="24"/>
                <w:highlight w:val="none"/>
                <w:vertAlign w:val="baseline"/>
                <w:lang w:val="zh-CN"/>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企业负责人为同一人或者存在直接控股、管理关系的不同投标人，不得参加同一合同项下的政府采购活动。否则，皆取消投标资格；</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2066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snapToGrid w:val="0"/>
                <w:color w:val="000000" w:themeColor="text1"/>
                <w:kern w:val="0"/>
                <w:sz w:val="24"/>
                <w:szCs w:val="24"/>
                <w:highlight w:val="none"/>
                <w:vertAlign w:val="baseline"/>
                <w:lang w:val="zh-CN"/>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符合《政府采购法》第二十二条规定：请按审查要求上传承诺书</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3D5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81F1494">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7F36750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53A9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pacing w:val="-2"/>
                <w:sz w:val="24"/>
                <w:szCs w:val="24"/>
                <w:highlight w:val="none"/>
              </w:rPr>
              <w:t>本项目不接受联合体投标</w:t>
            </w:r>
            <w:r>
              <w:rPr>
                <w:rFonts w:hint="eastAsia" w:ascii="仿宋" w:hAnsi="仿宋" w:eastAsia="仿宋" w:cs="仿宋"/>
                <w:color w:val="auto"/>
                <w:spacing w:val="-2"/>
                <w:sz w:val="24"/>
                <w:szCs w:val="24"/>
                <w:highlight w:val="none"/>
                <w:lang w:eastAsia="zh-CN"/>
              </w:rPr>
              <w:t>。</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46E9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pacing w:val="-2"/>
                <w:sz w:val="24"/>
                <w:szCs w:val="24"/>
                <w:highlight w:val="none"/>
              </w:rPr>
              <w:t>请按审查要求上传承诺书</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096B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6FE14E16">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029A0A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7D4AB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both"/>
              <w:textAlignment w:val="center"/>
              <w:outlineLvl w:val="9"/>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z w:val="24"/>
                <w:szCs w:val="24"/>
                <w:highlight w:val="none"/>
                <w:lang w:val="en-US" w:eastAsia="zh-CN"/>
              </w:rPr>
              <w:t>投标保证金或电子保函：20000.00元（大写：贰万元整）。</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19FBBB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z w:val="24"/>
                <w:szCs w:val="24"/>
                <w:highlight w:val="none"/>
                <w:lang w:eastAsia="zh-CN"/>
              </w:rPr>
              <w:t>请按审查要求上传投标保证金缴纳凭证或投标保证金保函或投标保函及开户许可证复印件</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789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22C483EB">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9037D54">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vertAlign w:val="baseline"/>
                <w:lang w:val="en-US" w:eastAsia="zh-CN"/>
              </w:rPr>
            </w:pPr>
            <w:bookmarkStart w:id="217" w:name="_Toc99301423"/>
            <w:r>
              <w:rPr>
                <w:rFonts w:hint="eastAsia" w:ascii="仿宋" w:hAnsi="仿宋" w:eastAsia="仿宋" w:cs="仿宋"/>
                <w:color w:val="auto"/>
                <w:sz w:val="24"/>
                <w:szCs w:val="24"/>
                <w:highlight w:val="none"/>
                <w:vertAlign w:val="baseline"/>
                <w:lang w:val="en-US" w:eastAsia="zh-CN"/>
              </w:rPr>
              <w:t>11</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223A74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both"/>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社会组织获评3A级及以上评价； </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6B938F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请按审查要求上传相关证件材料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F5FE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0B56A066">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66D6A40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39E2D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both"/>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供应商须具备提供社会救助服务所必需的固定办公场所、设施、人员和专业技术能力，具有健全的法人管理结构，完善的内部管理和信息公开、民监督制度；</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6B3316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请按审查要求上传相关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lang w:eastAsia="zh-CN"/>
              </w:rPr>
              <w:t>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8B29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0ED6910B">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E7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13</w:t>
            </w:r>
          </w:p>
        </w:tc>
        <w:tc>
          <w:tcPr>
            <w:tcW w:w="51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68D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供应商应为中小企业</w:t>
            </w:r>
          </w:p>
        </w:tc>
        <w:tc>
          <w:tcPr>
            <w:tcW w:w="2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8D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请根据要求单独上传《中小企业声明函》。格式以采购文件要求为准。</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0E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kern w:val="0"/>
                <w:sz w:val="24"/>
                <w:szCs w:val="24"/>
                <w:lang w:val="en-US" w:eastAsia="zh-CN" w:bidi="ar-SA"/>
              </w:rPr>
            </w:pPr>
          </w:p>
        </w:tc>
      </w:tr>
    </w:tbl>
    <w:p w14:paraId="7C05D959">
      <w:pPr>
        <w:spacing w:line="360" w:lineRule="auto"/>
        <w:jc w:val="both"/>
        <w:outlineLvl w:val="0"/>
        <w:rPr>
          <w:rFonts w:hint="eastAsia" w:asciiTheme="minorEastAsia" w:hAnsiTheme="minorEastAsia" w:eastAsiaTheme="minorEastAsia" w:cstheme="minorEastAsia"/>
          <w:b/>
          <w:sz w:val="36"/>
          <w:szCs w:val="36"/>
        </w:rPr>
      </w:pPr>
    </w:p>
    <w:p w14:paraId="3A6760D6">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第四章   </w:t>
      </w:r>
      <w:bookmarkStart w:id="218" w:name="_Hlt164229061"/>
      <w:bookmarkEnd w:id="218"/>
      <w:r>
        <w:rPr>
          <w:rFonts w:hint="eastAsia" w:asciiTheme="minorEastAsia" w:hAnsiTheme="minorEastAsia" w:eastAsiaTheme="minorEastAsia" w:cstheme="minorEastAsia"/>
          <w:b/>
          <w:sz w:val="36"/>
          <w:szCs w:val="36"/>
        </w:rPr>
        <w:t>评标程序、评标方法和评标标准</w:t>
      </w:r>
      <w:bookmarkEnd w:id="217"/>
    </w:p>
    <w:p w14:paraId="1C9F8240">
      <w:pPr>
        <w:tabs>
          <w:tab w:val="left" w:pos="360"/>
          <w:tab w:val="left" w:pos="900"/>
        </w:tabs>
        <w:snapToGri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一、评标方法</w:t>
      </w:r>
    </w:p>
    <w:p w14:paraId="0E6D7958">
      <w:pPr>
        <w:numPr>
          <w:ilvl w:val="0"/>
          <w:numId w:val="9"/>
        </w:numPr>
        <w:tabs>
          <w:tab w:val="left" w:pos="360"/>
        </w:tabs>
        <w:snapToGrid w:val="0"/>
        <w:spacing w:line="360" w:lineRule="auto"/>
        <w:outlineLvl w:val="1"/>
        <w:rPr>
          <w:rFonts w:hint="eastAsia" w:asciiTheme="minorEastAsia" w:hAnsiTheme="minorEastAsia" w:eastAsiaTheme="minorEastAsia" w:cstheme="minorEastAsia"/>
          <w:sz w:val="24"/>
          <w:szCs w:val="24"/>
        </w:rPr>
      </w:pPr>
      <w:bookmarkStart w:id="219" w:name="_Toc226965814"/>
      <w:bookmarkStart w:id="220" w:name="_Toc150774641"/>
      <w:bookmarkStart w:id="221" w:name="_Toc142311043"/>
      <w:bookmarkStart w:id="222" w:name="_Toc264969231"/>
      <w:bookmarkStart w:id="223" w:name="_Toc151193639"/>
      <w:bookmarkStart w:id="224" w:name="_Toc164608655"/>
      <w:bookmarkStart w:id="225" w:name="_Toc151190168"/>
      <w:bookmarkStart w:id="226" w:name="_Toc151193855"/>
      <w:bookmarkStart w:id="227" w:name="_Toc151193711"/>
      <w:bookmarkStart w:id="228" w:name="_Toc305158809"/>
      <w:bookmarkStart w:id="229" w:name="_Toc226309785"/>
      <w:bookmarkStart w:id="230" w:name="_Toc151193783"/>
      <w:bookmarkStart w:id="231" w:name="_Toc265228379"/>
      <w:bookmarkStart w:id="232" w:name="_Toc150774746"/>
      <w:bookmarkStart w:id="233" w:name="_Toc226337237"/>
      <w:bookmarkStart w:id="234" w:name="_Toc127151742"/>
      <w:bookmarkStart w:id="235" w:name="_Toc151193929"/>
      <w:bookmarkStart w:id="236" w:name="_Toc127151541"/>
      <w:bookmarkStart w:id="237" w:name="_Toc150509292"/>
      <w:bookmarkStart w:id="238" w:name="_Toc305158883"/>
      <w:bookmarkStart w:id="239" w:name="_Toc195842906"/>
      <w:bookmarkStart w:id="240" w:name="_Toc127161455"/>
      <w:bookmarkStart w:id="241" w:name="_Toc150480779"/>
      <w:bookmarkStart w:id="242" w:name="_Toc164608810"/>
      <w:bookmarkStart w:id="243" w:name="_Toc164229236"/>
      <w:bookmarkStart w:id="244" w:name="_Toc149720834"/>
      <w:bookmarkStart w:id="245" w:name="_Toc164229382"/>
      <w:bookmarkStart w:id="246" w:name="_Toc164351635"/>
      <w:bookmarkStart w:id="247" w:name="_Toc226965731"/>
      <w:bookmarkStart w:id="248" w:name="_Toc353825551"/>
      <w:bookmarkStart w:id="249" w:name="_Toc353873941"/>
      <w:r>
        <w:rPr>
          <w:rFonts w:hint="eastAsia" w:asciiTheme="minorEastAsia" w:hAnsiTheme="minorEastAsia" w:eastAsiaTheme="minorEastAsia" w:cstheme="minorEastAsia"/>
          <w:sz w:val="24"/>
          <w:szCs w:val="24"/>
        </w:rPr>
        <w:t>投标文件的符合性审查</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2C0A748">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评标委员会对资格审查合格的投标人的投标文件进行符合性审查，以确定其是否满足招标文件的实质性要求。</w:t>
      </w:r>
      <w:bookmarkStart w:id="250" w:name="_Toc520356167"/>
    </w:p>
    <w:p w14:paraId="7A90D2D8">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50"/>
      <w:r>
        <w:rPr>
          <w:rFonts w:hint="eastAsia" w:asciiTheme="minorEastAsia" w:hAnsiTheme="minorEastAsia" w:eastAsiaTheme="minorEastAsia" w:cstheme="minorEastAsia"/>
          <w:sz w:val="24"/>
          <w:szCs w:val="24"/>
        </w:rPr>
        <w:t>要求的，</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4E9A2803">
      <w:pPr>
        <w:tabs>
          <w:tab w:val="left" w:pos="900"/>
          <w:tab w:val="left" w:pos="1080"/>
          <w:tab w:val="left" w:pos="1589"/>
        </w:tabs>
        <w:snapToGrid w:val="0"/>
        <w:spacing w:line="360" w:lineRule="auto"/>
        <w:ind w:leftChars="-170" w:hanging="357" w:hangingChars="14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符合性审查要求</w:t>
      </w:r>
    </w:p>
    <w:tbl>
      <w:tblPr>
        <w:tblStyle w:val="60"/>
        <w:tblW w:w="9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944"/>
        <w:gridCol w:w="7037"/>
      </w:tblGrid>
      <w:tr w14:paraId="7DC44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9" w:type="dxa"/>
            <w:noWrap w:val="0"/>
            <w:vAlign w:val="center"/>
          </w:tcPr>
          <w:p w14:paraId="56EF8460">
            <w:pPr>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序号</w:t>
            </w:r>
          </w:p>
        </w:tc>
        <w:tc>
          <w:tcPr>
            <w:tcW w:w="1944" w:type="dxa"/>
            <w:noWrap w:val="0"/>
            <w:vAlign w:val="center"/>
          </w:tcPr>
          <w:p w14:paraId="738652D9">
            <w:pPr>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审查因素</w:t>
            </w:r>
          </w:p>
        </w:tc>
        <w:tc>
          <w:tcPr>
            <w:tcW w:w="7037" w:type="dxa"/>
            <w:noWrap w:val="0"/>
            <w:vAlign w:val="center"/>
          </w:tcPr>
          <w:p w14:paraId="7DA74891">
            <w:pPr>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审查内容</w:t>
            </w:r>
          </w:p>
        </w:tc>
      </w:tr>
      <w:tr w14:paraId="6997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09" w:type="dxa"/>
            <w:noWrap w:val="0"/>
            <w:vAlign w:val="center"/>
          </w:tcPr>
          <w:p w14:paraId="35C51AC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1</w:t>
            </w:r>
          </w:p>
        </w:tc>
        <w:tc>
          <w:tcPr>
            <w:tcW w:w="1944" w:type="dxa"/>
            <w:noWrap w:val="0"/>
            <w:vAlign w:val="center"/>
          </w:tcPr>
          <w:p w14:paraId="4C8B269E">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签字、盖章</w:t>
            </w:r>
          </w:p>
        </w:tc>
        <w:tc>
          <w:tcPr>
            <w:tcW w:w="7037" w:type="dxa"/>
            <w:noWrap w:val="0"/>
            <w:vAlign w:val="center"/>
          </w:tcPr>
          <w:p w14:paraId="675684F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投标响应文件签字盖章是否满足招标文件要求；</w:t>
            </w:r>
          </w:p>
        </w:tc>
      </w:tr>
      <w:tr w14:paraId="6445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7FE429F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2</w:t>
            </w:r>
          </w:p>
        </w:tc>
        <w:tc>
          <w:tcPr>
            <w:tcW w:w="1944" w:type="dxa"/>
            <w:noWrap w:val="0"/>
            <w:vAlign w:val="center"/>
          </w:tcPr>
          <w:p w14:paraId="57748C9B">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响应文件编制</w:t>
            </w:r>
          </w:p>
        </w:tc>
        <w:tc>
          <w:tcPr>
            <w:tcW w:w="7037" w:type="dxa"/>
            <w:noWrap w:val="0"/>
            <w:vAlign w:val="center"/>
          </w:tcPr>
          <w:p w14:paraId="06185375">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投标响应文件是否按招标文件要求编制，内容是否全面或字迹是否模</w:t>
            </w:r>
          </w:p>
          <w:p w14:paraId="1B6AF1BF">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糊、辨认不清的；</w:t>
            </w:r>
          </w:p>
        </w:tc>
      </w:tr>
      <w:tr w14:paraId="10F7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445DBAD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3</w:t>
            </w:r>
          </w:p>
        </w:tc>
        <w:tc>
          <w:tcPr>
            <w:tcW w:w="1944" w:type="dxa"/>
            <w:noWrap w:val="0"/>
            <w:vAlign w:val="center"/>
          </w:tcPr>
          <w:p w14:paraId="50E0417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响应文件内容</w:t>
            </w:r>
          </w:p>
        </w:tc>
        <w:tc>
          <w:tcPr>
            <w:tcW w:w="7037" w:type="dxa"/>
            <w:noWrap w:val="0"/>
            <w:vAlign w:val="center"/>
          </w:tcPr>
          <w:p w14:paraId="0941E47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投标文件是否不齐全或者内容虚假的；</w:t>
            </w:r>
          </w:p>
        </w:tc>
      </w:tr>
      <w:tr w14:paraId="7C30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09" w:type="dxa"/>
            <w:noWrap w:val="0"/>
            <w:vAlign w:val="center"/>
          </w:tcPr>
          <w:p w14:paraId="0B94FC26">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4</w:t>
            </w:r>
          </w:p>
        </w:tc>
        <w:tc>
          <w:tcPr>
            <w:tcW w:w="1944" w:type="dxa"/>
            <w:noWrap w:val="0"/>
            <w:vAlign w:val="center"/>
          </w:tcPr>
          <w:p w14:paraId="764D1C0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投标报价</w:t>
            </w:r>
          </w:p>
        </w:tc>
        <w:tc>
          <w:tcPr>
            <w:tcW w:w="7037" w:type="dxa"/>
            <w:noWrap w:val="0"/>
            <w:vAlign w:val="center"/>
          </w:tcPr>
          <w:p w14:paraId="0F6CF25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投标人对同一招标项目做出两个或两个以上报价未明确效力；超出预</w:t>
            </w:r>
          </w:p>
          <w:p w14:paraId="6F0A13C9">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算总价的。</w:t>
            </w:r>
          </w:p>
        </w:tc>
      </w:tr>
      <w:tr w14:paraId="35FEE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06AB7C6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5</w:t>
            </w:r>
          </w:p>
        </w:tc>
        <w:tc>
          <w:tcPr>
            <w:tcW w:w="1944" w:type="dxa"/>
            <w:noWrap w:val="0"/>
            <w:vAlign w:val="center"/>
          </w:tcPr>
          <w:p w14:paraId="721A45A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供货期、质保期</w:t>
            </w:r>
          </w:p>
        </w:tc>
        <w:tc>
          <w:tcPr>
            <w:tcW w:w="7037" w:type="dxa"/>
            <w:noWrap w:val="0"/>
            <w:vAlign w:val="center"/>
          </w:tcPr>
          <w:p w14:paraId="5EEB1BB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投标文件记载的招标项目供货期、质保期是否满足招标文件要求；</w:t>
            </w:r>
          </w:p>
        </w:tc>
      </w:tr>
      <w:tr w14:paraId="263E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09" w:type="dxa"/>
            <w:noWrap w:val="0"/>
            <w:vAlign w:val="center"/>
          </w:tcPr>
          <w:p w14:paraId="72A5BF7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6</w:t>
            </w:r>
          </w:p>
        </w:tc>
        <w:tc>
          <w:tcPr>
            <w:tcW w:w="1944" w:type="dxa"/>
            <w:noWrap w:val="0"/>
            <w:vAlign w:val="center"/>
          </w:tcPr>
          <w:p w14:paraId="43CE047E">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投标有效期</w:t>
            </w:r>
          </w:p>
        </w:tc>
        <w:tc>
          <w:tcPr>
            <w:tcW w:w="7037" w:type="dxa"/>
            <w:noWrap w:val="0"/>
            <w:vAlign w:val="center"/>
          </w:tcPr>
          <w:p w14:paraId="5C056A3F">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投标文件中承诺的投标有效期满足招标文件中载明的投标有效期的；</w:t>
            </w:r>
          </w:p>
        </w:tc>
      </w:tr>
      <w:tr w14:paraId="5538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09" w:type="dxa"/>
            <w:noWrap w:val="0"/>
            <w:vAlign w:val="center"/>
          </w:tcPr>
          <w:p w14:paraId="282EEB1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7</w:t>
            </w:r>
          </w:p>
        </w:tc>
        <w:tc>
          <w:tcPr>
            <w:tcW w:w="1944" w:type="dxa"/>
            <w:noWrap w:val="0"/>
            <w:vAlign w:val="center"/>
          </w:tcPr>
          <w:p w14:paraId="393E7352">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商务条款</w:t>
            </w:r>
          </w:p>
        </w:tc>
        <w:tc>
          <w:tcPr>
            <w:tcW w:w="7037" w:type="dxa"/>
            <w:noWrap w:val="0"/>
            <w:vAlign w:val="center"/>
          </w:tcPr>
          <w:p w14:paraId="46CCA1B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商务条款是否有偏离情况的；</w:t>
            </w:r>
          </w:p>
        </w:tc>
      </w:tr>
      <w:tr w14:paraId="52980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09" w:type="dxa"/>
            <w:noWrap w:val="0"/>
            <w:vAlign w:val="center"/>
          </w:tcPr>
          <w:p w14:paraId="2D0157D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8</w:t>
            </w:r>
          </w:p>
        </w:tc>
        <w:tc>
          <w:tcPr>
            <w:tcW w:w="1944" w:type="dxa"/>
            <w:noWrap w:val="0"/>
            <w:vAlign w:val="center"/>
          </w:tcPr>
          <w:p w14:paraId="7792948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技术条款</w:t>
            </w:r>
          </w:p>
        </w:tc>
        <w:tc>
          <w:tcPr>
            <w:tcW w:w="7037" w:type="dxa"/>
            <w:noWrap w:val="0"/>
            <w:vAlign w:val="center"/>
          </w:tcPr>
          <w:p w14:paraId="0D9CDCC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技术条款是否有实质性偏离情况的（产品名称</w:t>
            </w:r>
            <w:r>
              <w:rPr>
                <w:rFonts w:hint="eastAsia" w:ascii="宋体" w:hAnsi="宋体" w:cs="宋体"/>
                <w:spacing w:val="6"/>
                <w:sz w:val="21"/>
                <w:szCs w:val="21"/>
                <w:lang w:val="en-US" w:eastAsia="zh-CN"/>
              </w:rPr>
              <w:t>、</w:t>
            </w:r>
            <w:r>
              <w:rPr>
                <w:rFonts w:hint="eastAsia" w:ascii="宋体" w:hAnsi="宋体" w:eastAsia="宋体" w:cs="宋体"/>
                <w:spacing w:val="6"/>
                <w:sz w:val="21"/>
                <w:szCs w:val="21"/>
                <w:lang w:val="en-US" w:eastAsia="en-US"/>
              </w:rPr>
              <w:t>产品数量</w:t>
            </w:r>
            <w:r>
              <w:rPr>
                <w:rFonts w:hint="eastAsia" w:ascii="宋体" w:hAnsi="宋体" w:cs="宋体"/>
                <w:spacing w:val="6"/>
                <w:sz w:val="21"/>
                <w:szCs w:val="21"/>
                <w:lang w:val="en-US" w:eastAsia="zh-CN"/>
              </w:rPr>
              <w:t>等</w:t>
            </w:r>
            <w:r>
              <w:rPr>
                <w:rFonts w:hint="eastAsia" w:ascii="宋体" w:hAnsi="宋体" w:eastAsia="宋体" w:cs="宋体"/>
                <w:spacing w:val="6"/>
                <w:sz w:val="21"/>
                <w:szCs w:val="21"/>
                <w:lang w:val="en-US" w:eastAsia="en-US"/>
              </w:rPr>
              <w:t>不符合招标文件要求的）；</w:t>
            </w:r>
          </w:p>
        </w:tc>
      </w:tr>
      <w:tr w14:paraId="3FC6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09" w:type="dxa"/>
            <w:noWrap w:val="0"/>
            <w:vAlign w:val="center"/>
          </w:tcPr>
          <w:p w14:paraId="56BECEB6">
            <w:pPr>
              <w:keepNext w:val="0"/>
              <w:keepLines w:val="0"/>
              <w:pageBreakBefore w:val="0"/>
              <w:widowControl w:val="0"/>
              <w:kinsoku/>
              <w:wordWrap/>
              <w:overflowPunct/>
              <w:topLinePunct w:val="0"/>
              <w:autoSpaceDE/>
              <w:autoSpaceDN/>
              <w:bidi w:val="0"/>
              <w:adjustRightInd/>
              <w:snapToGrid/>
              <w:spacing w:line="284" w:lineRule="auto"/>
              <w:ind w:left="0" w:right="0" w:firstLine="0" w:firstLineChars="0"/>
              <w:jc w:val="center"/>
              <w:textAlignment w:val="auto"/>
              <w:rPr>
                <w:rFonts w:hint="eastAsia" w:ascii="宋体" w:hAnsi="宋体" w:eastAsia="宋体" w:cs="宋体"/>
                <w:sz w:val="21"/>
                <w:szCs w:val="21"/>
              </w:rPr>
            </w:pPr>
          </w:p>
          <w:p w14:paraId="5DBB3CBC">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44" w:type="dxa"/>
            <w:noWrap w:val="0"/>
            <w:vAlign w:val="center"/>
          </w:tcPr>
          <w:p w14:paraId="5EE30EAD">
            <w:pPr>
              <w:keepNext w:val="0"/>
              <w:keepLines w:val="0"/>
              <w:pageBreakBefore w:val="0"/>
              <w:widowControl w:val="0"/>
              <w:kinsoku/>
              <w:wordWrap/>
              <w:overflowPunct/>
              <w:topLinePunct w:val="0"/>
              <w:autoSpaceDE/>
              <w:autoSpaceDN/>
              <w:bidi w:val="0"/>
              <w:adjustRightInd/>
              <w:snapToGrid/>
              <w:spacing w:line="241" w:lineRule="auto"/>
              <w:ind w:left="0" w:right="0" w:firstLine="0" w:firstLineChars="0"/>
              <w:jc w:val="center"/>
              <w:textAlignment w:val="auto"/>
              <w:rPr>
                <w:rFonts w:hint="eastAsia" w:ascii="宋体" w:hAnsi="宋体" w:eastAsia="宋体" w:cs="宋体"/>
                <w:sz w:val="21"/>
                <w:szCs w:val="21"/>
              </w:rPr>
            </w:pPr>
          </w:p>
          <w:p w14:paraId="43E6DD6F">
            <w:pPr>
              <w:keepNext w:val="0"/>
              <w:keepLines w:val="0"/>
              <w:pageBreakBefore w:val="0"/>
              <w:widowControl w:val="0"/>
              <w:kinsoku/>
              <w:wordWrap/>
              <w:overflowPunct/>
              <w:topLinePunct w:val="0"/>
              <w:autoSpaceDE/>
              <w:autoSpaceDN/>
              <w:bidi w:val="0"/>
              <w:adjustRightInd/>
              <w:snapToGrid/>
              <w:spacing w:line="226"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报价合理性</w:t>
            </w:r>
          </w:p>
        </w:tc>
        <w:tc>
          <w:tcPr>
            <w:tcW w:w="7037" w:type="dxa"/>
            <w:noWrap w:val="0"/>
            <w:vAlign w:val="center"/>
          </w:tcPr>
          <w:p w14:paraId="61048620">
            <w:pPr>
              <w:keepNext w:val="0"/>
              <w:keepLines w:val="0"/>
              <w:pageBreakBefore w:val="0"/>
              <w:widowControl w:val="0"/>
              <w:kinsoku/>
              <w:wordWrap/>
              <w:overflowPunct/>
              <w:topLinePunct w:val="0"/>
              <w:autoSpaceDE/>
              <w:autoSpaceDN/>
              <w:bidi w:val="0"/>
              <w:adjustRightInd/>
              <w:snapToGrid/>
              <w:spacing w:line="226"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投标人的报价明显低于其他通过符合性审查投标人的报价</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rPr>
              <w:t>有</w:t>
            </w:r>
            <w:r>
              <w:rPr>
                <w:rFonts w:hint="eastAsia" w:ascii="宋体" w:hAnsi="宋体" w:eastAsia="宋体" w:cs="宋体"/>
                <w:spacing w:val="7"/>
                <w:sz w:val="21"/>
                <w:szCs w:val="21"/>
              </w:rPr>
              <w:t>可能影响产品质量或者不能诚信履约的，能够应</w:t>
            </w:r>
            <w:r>
              <w:rPr>
                <w:rFonts w:hint="eastAsia" w:ascii="宋体" w:hAnsi="宋体" w:eastAsia="宋体" w:cs="宋体"/>
                <w:spacing w:val="6"/>
                <w:sz w:val="21"/>
                <w:szCs w:val="21"/>
              </w:rPr>
              <w:t>评标委员会要求在规定时间</w:t>
            </w:r>
            <w:r>
              <w:rPr>
                <w:rFonts w:hint="eastAsia" w:ascii="宋体" w:hAnsi="宋体" w:eastAsia="宋体" w:cs="宋体"/>
                <w:spacing w:val="5"/>
                <w:sz w:val="21"/>
                <w:szCs w:val="21"/>
              </w:rPr>
              <w:t>内证明其报价合理性的；</w:t>
            </w:r>
          </w:p>
        </w:tc>
      </w:tr>
      <w:tr w14:paraId="148C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09" w:type="dxa"/>
            <w:noWrap w:val="0"/>
            <w:vAlign w:val="center"/>
          </w:tcPr>
          <w:p w14:paraId="6B62F5D5">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0</w:t>
            </w:r>
          </w:p>
        </w:tc>
        <w:tc>
          <w:tcPr>
            <w:tcW w:w="1944" w:type="dxa"/>
            <w:noWrap w:val="0"/>
            <w:vAlign w:val="center"/>
          </w:tcPr>
          <w:p w14:paraId="40F65B4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公平竞争</w:t>
            </w:r>
          </w:p>
        </w:tc>
        <w:tc>
          <w:tcPr>
            <w:tcW w:w="7037" w:type="dxa"/>
            <w:noWrap w:val="0"/>
            <w:vAlign w:val="center"/>
          </w:tcPr>
          <w:p w14:paraId="562B0AB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投标人遵循公平竞争的原则，不存在恶意串通，妨碍其他投标人的竞争行为，</w:t>
            </w:r>
            <w:r>
              <w:rPr>
                <w:rFonts w:hint="eastAsia" w:ascii="宋体" w:hAnsi="宋体" w:eastAsia="宋体" w:cs="宋体"/>
                <w:spacing w:val="9"/>
                <w:sz w:val="21"/>
                <w:szCs w:val="21"/>
              </w:rPr>
              <w:t>不存在损害采购人或者其他投标人的合法权益情形的；</w:t>
            </w:r>
          </w:p>
        </w:tc>
      </w:tr>
      <w:tr w14:paraId="0BCB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09" w:type="dxa"/>
            <w:noWrap w:val="0"/>
            <w:vAlign w:val="center"/>
          </w:tcPr>
          <w:p w14:paraId="6563C813">
            <w:pPr>
              <w:keepNext w:val="0"/>
              <w:keepLines w:val="0"/>
              <w:pageBreakBefore w:val="0"/>
              <w:widowControl w:val="0"/>
              <w:kinsoku/>
              <w:wordWrap/>
              <w:overflowPunct/>
              <w:topLinePunct w:val="0"/>
              <w:autoSpaceDE/>
              <w:autoSpaceDN/>
              <w:bidi w:val="0"/>
              <w:adjustRightInd/>
              <w:snapToGrid/>
              <w:spacing w:line="345" w:lineRule="auto"/>
              <w:ind w:left="0" w:right="0" w:firstLine="0" w:firstLineChars="0"/>
              <w:jc w:val="both"/>
              <w:textAlignment w:val="auto"/>
              <w:rPr>
                <w:rFonts w:hint="eastAsia" w:ascii="宋体" w:hAnsi="宋体" w:eastAsia="宋体" w:cs="宋体"/>
                <w:sz w:val="21"/>
                <w:szCs w:val="21"/>
              </w:rPr>
            </w:pPr>
          </w:p>
          <w:p w14:paraId="22D758E0">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1</w:t>
            </w:r>
          </w:p>
        </w:tc>
        <w:tc>
          <w:tcPr>
            <w:tcW w:w="1944" w:type="dxa"/>
            <w:noWrap w:val="0"/>
            <w:vAlign w:val="center"/>
          </w:tcPr>
          <w:p w14:paraId="2155DC8D">
            <w:pPr>
              <w:keepNext w:val="0"/>
              <w:keepLines w:val="0"/>
              <w:pageBreakBefore w:val="0"/>
              <w:widowControl w:val="0"/>
              <w:kinsoku/>
              <w:wordWrap/>
              <w:overflowPunct/>
              <w:topLinePunct w:val="0"/>
              <w:autoSpaceDE/>
              <w:autoSpaceDN/>
              <w:bidi w:val="0"/>
              <w:adjustRightInd/>
              <w:snapToGrid/>
              <w:spacing w:line="322" w:lineRule="auto"/>
              <w:ind w:left="0" w:right="0" w:firstLine="0" w:firstLineChars="0"/>
              <w:jc w:val="both"/>
              <w:textAlignment w:val="auto"/>
              <w:rPr>
                <w:rFonts w:hint="eastAsia" w:ascii="宋体" w:hAnsi="宋体" w:eastAsia="宋体" w:cs="宋体"/>
                <w:sz w:val="21"/>
                <w:szCs w:val="21"/>
              </w:rPr>
            </w:pPr>
          </w:p>
          <w:p w14:paraId="5B297C6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串通投标</w:t>
            </w:r>
          </w:p>
        </w:tc>
        <w:tc>
          <w:tcPr>
            <w:tcW w:w="7037" w:type="dxa"/>
            <w:noWrap w:val="0"/>
            <w:vAlign w:val="center"/>
          </w:tcPr>
          <w:p w14:paraId="5197735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不存在《政府采购货物和服务招标投标管理办法》视为投标人串通投标的情形</w:t>
            </w:r>
          </w:p>
          <w:p w14:paraId="00BE222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（一）不同投标人的投标文件由同一单位或者个人编制；</w:t>
            </w:r>
          </w:p>
          <w:p w14:paraId="05A7B56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（二）不同投标人委托同一单位或者个人办理投标事宜；</w:t>
            </w:r>
          </w:p>
          <w:p w14:paraId="6016844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en-US"/>
              </w:rPr>
              <w:t>（三）不同投标人的投标文件载明的项目管理成员或者联系人员为同一人</w:t>
            </w:r>
            <w:r>
              <w:rPr>
                <w:rFonts w:hint="eastAsia" w:ascii="宋体" w:hAnsi="宋体" w:eastAsia="宋体" w:cs="宋体"/>
                <w:spacing w:val="6"/>
                <w:sz w:val="21"/>
                <w:szCs w:val="21"/>
                <w:lang w:val="en-US" w:eastAsia="zh-CN"/>
              </w:rPr>
              <w:t>；</w:t>
            </w:r>
          </w:p>
          <w:p w14:paraId="624D114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（四）不同投标人的投标文件异常一致或者投标报价呈规律性差异；</w:t>
            </w:r>
          </w:p>
          <w:p w14:paraId="2600BB0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（五）不同投标人的投标文件相互混装；</w:t>
            </w:r>
          </w:p>
          <w:p w14:paraId="266787A6">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（六）不同投标人的投标保证金从同一单位或者个人的账户转出；</w:t>
            </w:r>
          </w:p>
        </w:tc>
      </w:tr>
      <w:tr w14:paraId="41C1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36CFFDC0">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2</w:t>
            </w:r>
          </w:p>
        </w:tc>
        <w:tc>
          <w:tcPr>
            <w:tcW w:w="1944" w:type="dxa"/>
            <w:noWrap w:val="0"/>
            <w:vAlign w:val="center"/>
          </w:tcPr>
          <w:p w14:paraId="1F1B69C5">
            <w:pPr>
              <w:keepNext w:val="0"/>
              <w:keepLines w:val="0"/>
              <w:pageBreakBefore w:val="0"/>
              <w:widowControl w:val="0"/>
              <w:kinsoku/>
              <w:wordWrap/>
              <w:overflowPunct/>
              <w:topLinePunct w:val="0"/>
              <w:autoSpaceDE/>
              <w:autoSpaceDN/>
              <w:bidi w:val="0"/>
              <w:adjustRightInd/>
              <w:snapToGrid/>
              <w:spacing w:line="227"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附加条件</w:t>
            </w:r>
          </w:p>
        </w:tc>
        <w:tc>
          <w:tcPr>
            <w:tcW w:w="7037" w:type="dxa"/>
            <w:noWrap w:val="0"/>
            <w:vAlign w:val="center"/>
          </w:tcPr>
          <w:p w14:paraId="2EB084E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投标文件未含有采购人不能接受的附加条件的；</w:t>
            </w:r>
          </w:p>
        </w:tc>
      </w:tr>
      <w:tr w14:paraId="11F7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09" w:type="dxa"/>
            <w:noWrap w:val="0"/>
            <w:vAlign w:val="center"/>
          </w:tcPr>
          <w:p w14:paraId="6DC3F8DF">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3</w:t>
            </w:r>
          </w:p>
        </w:tc>
        <w:tc>
          <w:tcPr>
            <w:tcW w:w="1944" w:type="dxa"/>
            <w:noWrap w:val="0"/>
            <w:vAlign w:val="center"/>
          </w:tcPr>
          <w:p w14:paraId="5F2A085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其他无效情形</w:t>
            </w:r>
          </w:p>
        </w:tc>
        <w:tc>
          <w:tcPr>
            <w:tcW w:w="7037" w:type="dxa"/>
            <w:noWrap w:val="0"/>
            <w:vAlign w:val="center"/>
          </w:tcPr>
          <w:p w14:paraId="6A15224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投标人、投标文件不存在不符合法律、法规和招标文件规定的其他无效情形。</w:t>
            </w:r>
          </w:p>
        </w:tc>
      </w:tr>
    </w:tbl>
    <w:p w14:paraId="6280A5F4">
      <w:pPr>
        <w:pStyle w:val="6"/>
        <w:rPr>
          <w:rFonts w:hint="eastAsia"/>
        </w:rPr>
      </w:pPr>
    </w:p>
    <w:p w14:paraId="79366FC9">
      <w:pPr>
        <w:numPr>
          <w:ilvl w:val="0"/>
          <w:numId w:val="9"/>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投标文件有关事项的澄清或者说明</w:t>
      </w:r>
    </w:p>
    <w:p w14:paraId="08C78CBD">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C0E0D0C">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Theme="minorEastAsia" w:hAnsiTheme="minorEastAsia" w:eastAsiaTheme="minorEastAsia" w:cstheme="minorEastAsia"/>
          <w:b/>
          <w:sz w:val="24"/>
          <w:szCs w:val="24"/>
        </w:rPr>
        <w:t>无效投标处理</w:t>
      </w:r>
      <w:r>
        <w:rPr>
          <w:rFonts w:hint="eastAsia" w:asciiTheme="minorEastAsia" w:hAnsiTheme="minorEastAsia" w:eastAsiaTheme="minorEastAsia" w:cstheme="minorEastAsia"/>
          <w:sz w:val="24"/>
          <w:szCs w:val="24"/>
        </w:rPr>
        <w:t>。</w:t>
      </w:r>
    </w:p>
    <w:p w14:paraId="703E8FA7">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6BCFCE1B">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投标文件报价出现前后不一致的，按照下列规定修正：</w:t>
      </w:r>
    </w:p>
    <w:p w14:paraId="0FDA9676">
      <w:pPr>
        <w:numPr>
          <w:ilvl w:val="2"/>
          <w:numId w:val="9"/>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招标文件对于报价修正是否另有规定：</w:t>
      </w:r>
    </w:p>
    <w:p w14:paraId="5996B01C">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□有，具体规定为：______________</w:t>
      </w:r>
    </w:p>
    <w:p w14:paraId="03EB857C">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无，按下述2.4.2-2.4.7项规定修正。</w:t>
      </w:r>
    </w:p>
    <w:p w14:paraId="7EF8178A">
      <w:pPr>
        <w:numPr>
          <w:ilvl w:val="2"/>
          <w:numId w:val="9"/>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单独递交的开标一览表（报价表）与投标文件中开标一览表（报价表）内容不一致的，以单独递交的开标一览表（报价表）为准；</w:t>
      </w:r>
    </w:p>
    <w:p w14:paraId="1A407180">
      <w:pPr>
        <w:numPr>
          <w:ilvl w:val="2"/>
          <w:numId w:val="9"/>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投标文件中开标一览表（报价表）内容与投标文件中相应内容不一致的，以开标一览表（报价表）为准；</w:t>
      </w:r>
    </w:p>
    <w:p w14:paraId="3A14A7F9">
      <w:pPr>
        <w:numPr>
          <w:ilvl w:val="2"/>
          <w:numId w:val="9"/>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大写金额和小写金额不一致的，以大写金额为准；</w:t>
      </w:r>
    </w:p>
    <w:p w14:paraId="012C5512">
      <w:pPr>
        <w:numPr>
          <w:ilvl w:val="2"/>
          <w:numId w:val="9"/>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单价金额小数点或者百分比有明显错位的，以开标一览表的总价为准，并修改单价；</w:t>
      </w:r>
    </w:p>
    <w:p w14:paraId="3CBB966C">
      <w:pPr>
        <w:numPr>
          <w:ilvl w:val="2"/>
          <w:numId w:val="9"/>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总价金额与按单价汇总金额不一致的，以单价金额计算结果为准。</w:t>
      </w:r>
    </w:p>
    <w:p w14:paraId="1D8634A9">
      <w:pPr>
        <w:numPr>
          <w:ilvl w:val="2"/>
          <w:numId w:val="9"/>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同时出现两种以上不一致的，按照前款规定的顺序修正。修正后的报价经投标人书面确认后产生约束力，投标人不确认的，其</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75DFF973">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落实政府采购政策的价格调整：只有符合第二章《投标人须知》规定情形的，可以享受中小企业扶持政策，用扣除后的价格参加评审；否则，评标时价格不予扣除。</w:t>
      </w:r>
    </w:p>
    <w:p w14:paraId="21056EF7">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对于未预留份额专门面向中小企业采购的采购项目，以及预留份额项目中的非预留部分采购包，对小微企业报价给予</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的扣除，用扣除后的价格参加评审。</w:t>
      </w:r>
    </w:p>
    <w:p w14:paraId="5B1EE280">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0%以上的联合体或者大中型企业的报价给予</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的扣除，用扣除后的价格参加评审。</w:t>
      </w:r>
    </w:p>
    <w:p w14:paraId="2760120D">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组成联合体或者接受分包的小微企业与联合体内其他企业、分包企业之间存在直接控股、管理关系的，不享受价格扣除优惠政策。</w:t>
      </w:r>
    </w:p>
    <w:p w14:paraId="23AC2639">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价格扣除比例对小型企业和微型企业同等对待，不作区分。</w:t>
      </w:r>
    </w:p>
    <w:p w14:paraId="67536E28">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中小企业参加政府采购活动，应当按照招标文件给定的格式出具《中小企业声明函》，否则不得享受相关中小企业扶持政策。</w:t>
      </w:r>
    </w:p>
    <w:p w14:paraId="43F5785A">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监狱企业提供了由省级以上监狱管理局（北京市含教育矫治局）、戒毒管理局（含新疆生产建设兵团）出具的属于监狱企业的证明文件的，视同小微企业。</w:t>
      </w:r>
    </w:p>
    <w:p w14:paraId="2C22FA31">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残疾人福利性单位按招标文件要求提供了《残疾人福利性单位声明函》（见附件）的，视同小微企业。</w:t>
      </w:r>
    </w:p>
    <w:p w14:paraId="7ECD6014">
      <w:pPr>
        <w:numPr>
          <w:ilvl w:val="2"/>
          <w:numId w:val="9"/>
        </w:numPr>
        <w:tabs>
          <w:tab w:val="left" w:pos="1080"/>
          <w:tab w:val="left" w:pos="1589"/>
          <w:tab w:val="left" w:pos="2014"/>
          <w:tab w:val="clear" w:pos="1980"/>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若投标人同时属于小型或微型企业、监狱企业、残疾人福利性单位中的两种及以上，将不重复享受小微企业价格扣减的优惠政策。</w:t>
      </w:r>
    </w:p>
    <w:p w14:paraId="1FE1241A">
      <w:pPr>
        <w:numPr>
          <w:ilvl w:val="0"/>
          <w:numId w:val="9"/>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投标文件的比较和评价</w:t>
      </w:r>
      <w:bookmarkEnd w:id="248"/>
      <w:bookmarkEnd w:id="249"/>
    </w:p>
    <w:p w14:paraId="0EE719F1">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评标委员会将按照招标文件中规定的评标方法和标准，对符合性审查合格的投标文件进行商务和技术评估，综合比较与评价；未通过符合性审查的投标文件不得进入比较与评价。</w:t>
      </w:r>
    </w:p>
    <w:p w14:paraId="278775AC">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评标方法和评标标准</w:t>
      </w:r>
    </w:p>
    <w:p w14:paraId="3CEE7A5A">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本项目采用的评标方法为：</w:t>
      </w:r>
    </w:p>
    <w:p w14:paraId="08E9B22D">
      <w:pPr>
        <w:tabs>
          <w:tab w:val="left" w:pos="900"/>
          <w:tab w:val="left" w:pos="1589"/>
          <w:tab w:val="left" w:pos="1701"/>
        </w:tabs>
        <w:snapToGrid w:val="0"/>
        <w:spacing w:line="360" w:lineRule="auto"/>
        <w:ind w:left="19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3243FD">
      <w:pPr>
        <w:tabs>
          <w:tab w:val="left" w:pos="900"/>
          <w:tab w:val="left" w:pos="1589"/>
          <w:tab w:val="left" w:pos="1701"/>
        </w:tabs>
        <w:snapToGrid w:val="0"/>
        <w:spacing w:line="360" w:lineRule="auto"/>
        <w:ind w:left="19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□最低评标价法，指投标文件满足招标文件全部实质性要求，且投标报价最低的投标人为中标候选人的评标方法。</w:t>
      </w:r>
    </w:p>
    <w:p w14:paraId="2D9CD9DC">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115B9FC1">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□随机抽取</w:t>
      </w:r>
    </w:p>
    <w:p w14:paraId="0C39139B">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□其他方式，具体要求：_____</w:t>
      </w:r>
    </w:p>
    <w:p w14:paraId="6DE416F8">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非政府强制采购的节能产品或环境标志产品，依据品目清单和认证证书实施政府优先采购。优先采购的具体规定（如涉及）_____。</w:t>
      </w:r>
    </w:p>
    <w:p w14:paraId="4B8E69CA">
      <w:pPr>
        <w:numPr>
          <w:ilvl w:val="2"/>
          <w:numId w:val="9"/>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关于无线局域网认证产品政府采购清单中的产品，优先采购的具体规定（如涉及）_____。</w:t>
      </w:r>
    </w:p>
    <w:p w14:paraId="6383BFCE">
      <w:pPr>
        <w:numPr>
          <w:ilvl w:val="0"/>
          <w:numId w:val="9"/>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w:t>
      </w:r>
      <w:bookmarkStart w:id="251" w:name="_Toc164608815"/>
      <w:bookmarkStart w:id="252" w:name="_Toc127151747"/>
      <w:bookmarkStart w:id="253" w:name="_Ref467307010"/>
      <w:bookmarkStart w:id="254" w:name="_Toc164608660"/>
      <w:bookmarkStart w:id="255" w:name="_Toc226965819"/>
      <w:bookmarkStart w:id="256" w:name="_Toc150480784"/>
      <w:bookmarkStart w:id="257" w:name="_Toc305158814"/>
      <w:bookmarkStart w:id="258" w:name="_Toc226337242"/>
      <w:bookmarkStart w:id="259" w:name="_Toc151193934"/>
      <w:bookmarkStart w:id="260" w:name="_Toc151193644"/>
      <w:bookmarkStart w:id="261" w:name="_Toc164229241"/>
      <w:bookmarkStart w:id="262" w:name="_Toc164229387"/>
      <w:bookmarkStart w:id="263" w:name="_Toc151193860"/>
      <w:bookmarkStart w:id="264" w:name="_Toc226965736"/>
      <w:bookmarkStart w:id="265" w:name="_Toc127161460"/>
      <w:bookmarkStart w:id="266" w:name="_Toc150774751"/>
      <w:bookmarkStart w:id="267" w:name="_Toc127151546"/>
      <w:bookmarkStart w:id="268" w:name="_Toc520356170"/>
      <w:bookmarkStart w:id="269" w:name="_Toc151190173"/>
      <w:bookmarkStart w:id="270" w:name="_Toc151193788"/>
      <w:bookmarkStart w:id="271" w:name="_Toc150774646"/>
      <w:bookmarkStart w:id="272" w:name="_Toc151193716"/>
      <w:bookmarkStart w:id="273" w:name="_Toc265228384"/>
      <w:bookmarkStart w:id="274" w:name="_Toc195842911"/>
      <w:bookmarkStart w:id="275" w:name="_Toc149720839"/>
      <w:bookmarkStart w:id="276" w:name="_Toc142311048"/>
      <w:bookmarkStart w:id="277" w:name="_Toc305158888"/>
      <w:bookmarkStart w:id="278" w:name="_Toc226309790"/>
      <w:bookmarkStart w:id="279" w:name="_Toc164351640"/>
      <w:bookmarkStart w:id="280" w:name="_Toc264969236"/>
      <w:bookmarkStart w:id="281" w:name="_Toc150509297"/>
      <w:r>
        <w:rPr>
          <w:rFonts w:hint="eastAsia" w:asciiTheme="minorEastAsia" w:hAnsiTheme="minorEastAsia" w:eastAsiaTheme="minorEastAsia" w:cstheme="minorEastAsia"/>
          <w:sz w:val="24"/>
          <w:szCs w:val="24"/>
        </w:rPr>
        <w:t>中标候选人名单</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28A16422">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9E71F79">
      <w:pPr>
        <w:pStyle w:val="15"/>
        <w:tabs>
          <w:tab w:val="left" w:pos="900"/>
          <w:tab w:val="left" w:pos="2127"/>
        </w:tabs>
        <w:adjustRightInd w:val="0"/>
        <w:snapToGrid w:val="0"/>
        <w:spacing w:line="360" w:lineRule="auto"/>
        <w:ind w:left="993" w:firstLine="136" w:firstLineChars="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随机抽取</w:t>
      </w:r>
    </w:p>
    <w:p w14:paraId="6C617B06">
      <w:pPr>
        <w:pStyle w:val="15"/>
        <w:tabs>
          <w:tab w:val="left" w:pos="900"/>
          <w:tab w:val="left" w:pos="2127"/>
        </w:tabs>
        <w:adjustRightInd w:val="0"/>
        <w:snapToGrid w:val="0"/>
        <w:spacing w:line="360" w:lineRule="auto"/>
        <w:ind w:left="993" w:firstLine="136" w:firstLineChars="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□其他方式，具体要求：_____</w:t>
      </w:r>
    </w:p>
    <w:p w14:paraId="1D9B2ACB">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E642CBC">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189E68A">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评标委员会要对评分汇总情况进行复核，特别是对排名第一的、报价最低的、投标或响应文件被认定为无效的情形进行重点复核。</w:t>
      </w:r>
    </w:p>
    <w:p w14:paraId="1316FF27">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评标委员会将根据各投标人的评标排序，依次推荐本项目（各采购包）的中标候选人，起草并签署评标报告。本项目（各采购包）评标委员会共（各）推荐</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名中标候选人。</w:t>
      </w:r>
    </w:p>
    <w:p w14:paraId="1F7749D3">
      <w:pPr>
        <w:numPr>
          <w:ilvl w:val="0"/>
          <w:numId w:val="9"/>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报告违法行为</w:t>
      </w:r>
    </w:p>
    <w:p w14:paraId="38051130">
      <w:pPr>
        <w:numPr>
          <w:ilvl w:val="1"/>
          <w:numId w:val="9"/>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评标委员会在评标过程中发现投标人有行贿、提供虚假材料或者串通等违法行为时，有向采购人、采购代理机构或者有关部门报告的职责。</w:t>
      </w:r>
    </w:p>
    <w:p w14:paraId="6CDC3CAE">
      <w:pPr>
        <w:widowControl/>
        <w:jc w:val="center"/>
        <w:rPr>
          <w:rFonts w:hint="eastAsia" w:asciiTheme="minorEastAsia" w:hAnsiTheme="minorEastAsia" w:eastAsiaTheme="minorEastAsia" w:cstheme="minorEastAsia"/>
          <w:b/>
          <w:sz w:val="24"/>
          <w:szCs w:val="24"/>
        </w:rPr>
      </w:pPr>
    </w:p>
    <w:p w14:paraId="053BF49C">
      <w:pPr>
        <w:pStyle w:val="8"/>
        <w:rPr>
          <w:rFonts w:hint="eastAsia" w:asciiTheme="minorEastAsia" w:hAnsiTheme="minorEastAsia" w:eastAsiaTheme="minorEastAsia" w:cstheme="minorEastAsia"/>
          <w:b/>
          <w:sz w:val="24"/>
        </w:rPr>
      </w:pPr>
    </w:p>
    <w:p w14:paraId="1529AA27">
      <w:pPr>
        <w:rPr>
          <w:rFonts w:hint="eastAsia" w:asciiTheme="minorEastAsia" w:hAnsiTheme="minorEastAsia" w:eastAsiaTheme="minorEastAsia" w:cstheme="minorEastAsia"/>
          <w:b/>
          <w:sz w:val="24"/>
        </w:rPr>
      </w:pPr>
    </w:p>
    <w:p w14:paraId="6F706967">
      <w:pPr>
        <w:pStyle w:val="8"/>
        <w:rPr>
          <w:rFonts w:hint="eastAsia" w:asciiTheme="minorEastAsia" w:hAnsiTheme="minorEastAsia" w:eastAsiaTheme="minorEastAsia" w:cstheme="minorEastAsia"/>
          <w:b/>
          <w:sz w:val="24"/>
        </w:rPr>
      </w:pPr>
    </w:p>
    <w:p w14:paraId="501DFAA4">
      <w:pPr>
        <w:rPr>
          <w:rFonts w:hint="eastAsia" w:asciiTheme="minorEastAsia" w:hAnsiTheme="minorEastAsia" w:eastAsiaTheme="minorEastAsia" w:cstheme="minorEastAsia"/>
          <w:b/>
          <w:sz w:val="24"/>
        </w:rPr>
      </w:pPr>
    </w:p>
    <w:p w14:paraId="3499905E">
      <w:pPr>
        <w:pStyle w:val="8"/>
        <w:rPr>
          <w:rFonts w:hint="eastAsia" w:asciiTheme="minorEastAsia" w:hAnsiTheme="minorEastAsia" w:eastAsiaTheme="minorEastAsia" w:cstheme="minorEastAsia"/>
          <w:b/>
          <w:sz w:val="24"/>
        </w:rPr>
      </w:pPr>
    </w:p>
    <w:p w14:paraId="52AE0F63">
      <w:pPr>
        <w:pStyle w:val="8"/>
        <w:ind w:left="0" w:leftChars="0" w:firstLine="0" w:firstLineChars="0"/>
        <w:rPr>
          <w:rFonts w:hint="eastAsia" w:asciiTheme="minorEastAsia" w:hAnsiTheme="minorEastAsia" w:eastAsiaTheme="minorEastAsia" w:cstheme="minorEastAsia"/>
        </w:rPr>
      </w:pPr>
    </w:p>
    <w:p w14:paraId="5D5D7189">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二、评标标准</w:t>
      </w:r>
    </w:p>
    <w:p w14:paraId="6E082E6B">
      <w:pPr>
        <w:spacing w:line="560" w:lineRule="exact"/>
        <w:jc w:val="left"/>
        <w:rPr>
          <w:rFonts w:hint="eastAsia" w:asciiTheme="minorEastAsia" w:hAnsiTheme="minorEastAsia" w:eastAsiaTheme="minorEastAsia" w:cstheme="minorEastAsia"/>
          <w:sz w:val="21"/>
          <w:szCs w:val="21"/>
          <w:lang w:val="en-US" w:eastAsia="zh-CN"/>
        </w:rPr>
      </w:pPr>
      <w:bookmarkStart w:id="282" w:name="_Toc99301424"/>
      <w:r>
        <w:rPr>
          <w:rFonts w:hint="eastAsia" w:asciiTheme="minorEastAsia" w:hAnsiTheme="minorEastAsia" w:eastAsiaTheme="minorEastAsia" w:cstheme="minorEastAsia"/>
          <w:sz w:val="21"/>
          <w:szCs w:val="21"/>
          <w:lang w:val="en-US" w:eastAsia="zh-CN"/>
        </w:rPr>
        <w:t>技术商务部分、报价部分</w:t>
      </w:r>
    </w:p>
    <w:p w14:paraId="6477B6D2">
      <w:pPr>
        <w:pStyle w:val="6"/>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7"/>
          <w:sz w:val="21"/>
          <w:szCs w:val="21"/>
        </w:rPr>
        <w:t>评标标准</w:t>
      </w:r>
    </w:p>
    <w:p w14:paraId="05711739">
      <w:pPr>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rPr>
        <w:t>商务报价评分</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0分</w:t>
      </w:r>
    </w:p>
    <w:p w14:paraId="392B7C89">
      <w:pPr>
        <w:pStyle w:val="6"/>
        <w:pageBreakBefore w:val="0"/>
        <w:widowControl/>
        <w:kinsoku w:val="0"/>
        <w:wordWrap/>
        <w:overflowPunct/>
        <w:topLinePunct w:val="0"/>
        <w:autoSpaceDE w:val="0"/>
        <w:autoSpaceDN w:val="0"/>
        <w:bidi w:val="0"/>
        <w:adjustRightInd w:val="0"/>
        <w:snapToGrid w:val="0"/>
        <w:spacing w:before="0" w:after="0"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、以有效投标供应商的有效投标价中的最低价为评标基准价，报价评分满分可得</w:t>
      </w: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分，报价评分结算公式为:报价得分=(评标基准价/投标价)x</w:t>
      </w:r>
      <w:r>
        <w:rPr>
          <w:rFonts w:hint="eastAsia" w:asciiTheme="minorEastAsia" w:hAnsiTheme="minorEastAsia" w:eastAsiaTheme="minorEastAsia" w:cstheme="minorEastAsia"/>
          <w:b w:val="0"/>
          <w:bCs w:val="0"/>
          <w:sz w:val="21"/>
          <w:szCs w:val="21"/>
          <w:lang w:val="en-US" w:eastAsia="zh-CN"/>
        </w:rPr>
        <w:t>价格权值</w:t>
      </w:r>
      <w:r>
        <w:rPr>
          <w:rFonts w:hint="eastAsia" w:asciiTheme="minorEastAsia" w:hAnsiTheme="minorEastAsia" w:eastAsiaTheme="minorEastAsia" w:cstheme="minorEastAsia"/>
          <w:b w:val="0"/>
          <w:bCs w:val="0"/>
          <w:sz w:val="21"/>
          <w:szCs w:val="21"/>
        </w:rPr>
        <w:t>x100;</w:t>
      </w:r>
    </w:p>
    <w:p w14:paraId="68FE22FC">
      <w:pPr>
        <w:pStyle w:val="6"/>
        <w:pageBreakBefore w:val="0"/>
        <w:widowControl/>
        <w:kinsoku w:val="0"/>
        <w:wordWrap/>
        <w:overflowPunct/>
        <w:topLinePunct w:val="0"/>
        <w:autoSpaceDE w:val="0"/>
        <w:autoSpaceDN w:val="0"/>
        <w:bidi w:val="0"/>
        <w:adjustRightInd w:val="0"/>
        <w:snapToGrid w:val="0"/>
        <w:spacing w:before="0" w:after="0"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2、如果供应商的报价均超出采购最高限价且采购人确认不能支付的情况，则本项目做流(废)标处理。如果仅仅某些(个)供应商投标报价超出最高限价的，则拒绝接受其投标报价，该供应商投标按无效投标处理。</w:t>
      </w:r>
    </w:p>
    <w:p w14:paraId="294863C3">
      <w:pPr>
        <w:pStyle w:val="6"/>
        <w:pageBreakBefore w:val="0"/>
        <w:widowControl/>
        <w:kinsoku w:val="0"/>
        <w:wordWrap/>
        <w:overflowPunct/>
        <w:topLinePunct w:val="0"/>
        <w:autoSpaceDE w:val="0"/>
        <w:autoSpaceDN w:val="0"/>
        <w:bidi w:val="0"/>
        <w:adjustRightInd w:val="0"/>
        <w:snapToGrid w:val="0"/>
        <w:spacing w:before="0" w:after="0" w:line="460" w:lineRule="exact"/>
        <w:ind w:left="0" w:leftChars="0" w:firstLine="0" w:firstLineChars="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技术商务部分</w:t>
      </w:r>
      <w:r>
        <w:rPr>
          <w:rFonts w:hint="eastAsia" w:asciiTheme="minorEastAsia" w:hAnsiTheme="minorEastAsia" w:eastAsiaTheme="minorEastAsia" w:cstheme="minorEastAsia"/>
          <w:b w:val="0"/>
          <w:bCs w:val="0"/>
          <w:sz w:val="21"/>
          <w:szCs w:val="21"/>
        </w:rPr>
        <w:t>综合评分</w:t>
      </w:r>
      <w:r>
        <w:rPr>
          <w:rFonts w:hint="eastAsia" w:asciiTheme="minorEastAsia" w:hAnsiTheme="minorEastAsia" w:eastAsiaTheme="minorEastAsia" w:cstheme="minorEastAsia"/>
          <w:b w:val="0"/>
          <w:bCs w:val="0"/>
          <w:sz w:val="21"/>
          <w:szCs w:val="21"/>
          <w:lang w:val="en-US" w:eastAsia="zh-CN"/>
        </w:rPr>
        <w:t>70</w:t>
      </w:r>
      <w:r>
        <w:rPr>
          <w:rFonts w:hint="eastAsia" w:asciiTheme="minorEastAsia" w:hAnsiTheme="minorEastAsia" w:eastAsiaTheme="minorEastAsia" w:cstheme="minorEastAsia"/>
          <w:b w:val="0"/>
          <w:bCs w:val="0"/>
          <w:sz w:val="21"/>
          <w:szCs w:val="21"/>
        </w:rPr>
        <w:t>分</w:t>
      </w:r>
    </w:p>
    <w:p w14:paraId="09C9988B">
      <w:pPr>
        <w:spacing w:before="192"/>
      </w:pPr>
    </w:p>
    <w:tbl>
      <w:tblPr>
        <w:tblStyle w:val="60"/>
        <w:tblW w:w="9975"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185"/>
        <w:gridCol w:w="840"/>
        <w:gridCol w:w="7350"/>
      </w:tblGrid>
      <w:tr w14:paraId="7A946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00" w:type="dxa"/>
            <w:textDirection w:val="tbRlV"/>
            <w:vAlign w:val="top"/>
          </w:tcPr>
          <w:p w14:paraId="52B12E0F">
            <w:pPr>
              <w:spacing w:before="204" w:line="217" w:lineRule="auto"/>
              <w:ind w:left="32"/>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7"/>
                <w:sz w:val="23"/>
                <w:szCs w:val="23"/>
                <w14:textFill>
                  <w14:solidFill>
                    <w14:schemeClr w14:val="tx1"/>
                  </w14:solidFill>
                </w14:textFill>
              </w:rPr>
              <w:t>序</w:t>
            </w:r>
            <w:r>
              <w:rPr>
                <w:rFonts w:ascii="宋体" w:hAnsi="宋体" w:eastAsia="宋体" w:cs="宋体"/>
                <w:color w:val="000000" w:themeColor="text1"/>
                <w:spacing w:val="-43"/>
                <w:sz w:val="23"/>
                <w:szCs w:val="23"/>
                <w14:textFill>
                  <w14:solidFill>
                    <w14:schemeClr w14:val="tx1"/>
                  </w14:solidFill>
                </w14:textFill>
              </w:rPr>
              <w:t xml:space="preserve"> </w:t>
            </w:r>
            <w:r>
              <w:rPr>
                <w:rFonts w:ascii="宋体" w:hAnsi="宋体" w:eastAsia="宋体" w:cs="宋体"/>
                <w:b/>
                <w:bCs/>
                <w:color w:val="000000" w:themeColor="text1"/>
                <w:spacing w:val="7"/>
                <w:sz w:val="23"/>
                <w:szCs w:val="23"/>
                <w14:textFill>
                  <w14:solidFill>
                    <w14:schemeClr w14:val="tx1"/>
                  </w14:solidFill>
                </w14:textFill>
              </w:rPr>
              <w:t>号</w:t>
            </w:r>
          </w:p>
        </w:tc>
        <w:tc>
          <w:tcPr>
            <w:tcW w:w="1185" w:type="dxa"/>
            <w:vAlign w:val="top"/>
          </w:tcPr>
          <w:p w14:paraId="57DCB941">
            <w:pPr>
              <w:spacing w:before="33" w:line="239" w:lineRule="auto"/>
              <w:ind w:left="196" w:right="247" w:hanging="4"/>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3"/>
                <w:sz w:val="23"/>
                <w:szCs w:val="23"/>
                <w14:textFill>
                  <w14:solidFill>
                    <w14:schemeClr w14:val="tx1"/>
                  </w14:solidFill>
                </w14:textFill>
              </w:rPr>
              <w:t>评分</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b/>
                <w:bCs/>
                <w:color w:val="000000" w:themeColor="text1"/>
                <w:sz w:val="23"/>
                <w:szCs w:val="23"/>
                <w14:textFill>
                  <w14:solidFill>
                    <w14:schemeClr w14:val="tx1"/>
                  </w14:solidFill>
                </w14:textFill>
              </w:rPr>
              <w:t>项目</w:t>
            </w:r>
          </w:p>
        </w:tc>
        <w:tc>
          <w:tcPr>
            <w:tcW w:w="840" w:type="dxa"/>
            <w:vAlign w:val="top"/>
          </w:tcPr>
          <w:p w14:paraId="4C38F592">
            <w:pPr>
              <w:spacing w:before="33" w:line="227" w:lineRule="auto"/>
              <w:ind w:left="177"/>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1"/>
                <w:sz w:val="23"/>
                <w:szCs w:val="23"/>
                <w14:textFill>
                  <w14:solidFill>
                    <w14:schemeClr w14:val="tx1"/>
                  </w14:solidFill>
                </w14:textFill>
              </w:rPr>
              <w:t>分值</w:t>
            </w:r>
          </w:p>
        </w:tc>
        <w:tc>
          <w:tcPr>
            <w:tcW w:w="7350" w:type="dxa"/>
            <w:vAlign w:val="top"/>
          </w:tcPr>
          <w:p w14:paraId="510D5727">
            <w:pPr>
              <w:spacing w:before="32" w:line="228" w:lineRule="auto"/>
              <w:ind w:left="3320"/>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6"/>
                <w:sz w:val="23"/>
                <w:szCs w:val="23"/>
                <w14:textFill>
                  <w14:solidFill>
                    <w14:schemeClr w14:val="tx1"/>
                  </w14:solidFill>
                </w14:textFill>
              </w:rPr>
              <w:t>评分标准</w:t>
            </w:r>
          </w:p>
        </w:tc>
      </w:tr>
      <w:tr w14:paraId="1522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00" w:type="dxa"/>
            <w:vAlign w:val="top"/>
          </w:tcPr>
          <w:p w14:paraId="64EF11B4">
            <w:pPr>
              <w:spacing w:before="121" w:line="180" w:lineRule="exact"/>
              <w:ind w:left="1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position w:val="-4"/>
                <w:sz w:val="23"/>
                <w:szCs w:val="23"/>
                <w14:textFill>
                  <w14:solidFill>
                    <w14:schemeClr w14:val="tx1"/>
                  </w14:solidFill>
                </w14:textFill>
              </w:rPr>
              <w:t>一</w:t>
            </w:r>
          </w:p>
        </w:tc>
        <w:tc>
          <w:tcPr>
            <w:tcW w:w="1185" w:type="dxa"/>
            <w:vAlign w:val="top"/>
          </w:tcPr>
          <w:p w14:paraId="1623C96F">
            <w:pPr>
              <w:spacing w:before="31" w:line="239" w:lineRule="auto"/>
              <w:ind w:left="195" w:right="247" w:hanging="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报价</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部分</w:t>
            </w:r>
          </w:p>
        </w:tc>
        <w:tc>
          <w:tcPr>
            <w:tcW w:w="840" w:type="dxa"/>
            <w:vAlign w:val="top"/>
          </w:tcPr>
          <w:p w14:paraId="7E9B2027">
            <w:pPr>
              <w:spacing w:before="31" w:line="228" w:lineRule="auto"/>
              <w:ind w:left="1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30</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3C7651D4">
            <w:pPr>
              <w:rPr>
                <w:rFonts w:ascii="Arial"/>
                <w:color w:val="000000" w:themeColor="text1"/>
                <w:sz w:val="21"/>
                <w14:textFill>
                  <w14:solidFill>
                    <w14:schemeClr w14:val="tx1"/>
                  </w14:solidFill>
                </w14:textFill>
              </w:rPr>
            </w:pPr>
          </w:p>
        </w:tc>
      </w:tr>
      <w:tr w14:paraId="56EE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600" w:type="dxa"/>
            <w:vAlign w:val="top"/>
          </w:tcPr>
          <w:p w14:paraId="09B458CE">
            <w:pPr>
              <w:spacing w:line="306" w:lineRule="auto"/>
              <w:rPr>
                <w:rFonts w:ascii="Arial"/>
                <w:color w:val="000000" w:themeColor="text1"/>
                <w:sz w:val="21"/>
                <w14:textFill>
                  <w14:solidFill>
                    <w14:schemeClr w14:val="tx1"/>
                  </w14:solidFill>
                </w14:textFill>
              </w:rPr>
            </w:pPr>
          </w:p>
          <w:p w14:paraId="19CCD9BE">
            <w:pPr>
              <w:spacing w:line="306" w:lineRule="auto"/>
              <w:rPr>
                <w:rFonts w:ascii="Arial"/>
                <w:color w:val="000000" w:themeColor="text1"/>
                <w:sz w:val="21"/>
                <w14:textFill>
                  <w14:solidFill>
                    <w14:schemeClr w14:val="tx1"/>
                  </w14:solidFill>
                </w14:textFill>
              </w:rPr>
            </w:pPr>
          </w:p>
          <w:p w14:paraId="22ED10F3">
            <w:pPr>
              <w:spacing w:before="75" w:line="189" w:lineRule="auto"/>
              <w:ind w:left="22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1</w:t>
            </w:r>
          </w:p>
        </w:tc>
        <w:tc>
          <w:tcPr>
            <w:tcW w:w="1185" w:type="dxa"/>
            <w:vAlign w:val="top"/>
          </w:tcPr>
          <w:p w14:paraId="59DFF228">
            <w:pPr>
              <w:spacing w:line="265" w:lineRule="auto"/>
              <w:rPr>
                <w:rFonts w:ascii="Arial"/>
                <w:color w:val="000000" w:themeColor="text1"/>
                <w:sz w:val="21"/>
                <w14:textFill>
                  <w14:solidFill>
                    <w14:schemeClr w14:val="tx1"/>
                  </w14:solidFill>
                </w14:textFill>
              </w:rPr>
            </w:pPr>
          </w:p>
          <w:p w14:paraId="6852AE55">
            <w:pPr>
              <w:spacing w:before="74" w:line="239" w:lineRule="auto"/>
              <w:ind w:left="194" w:right="24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价格</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得分</w:t>
            </w:r>
          </w:p>
        </w:tc>
        <w:tc>
          <w:tcPr>
            <w:tcW w:w="840" w:type="dxa"/>
            <w:vAlign w:val="top"/>
          </w:tcPr>
          <w:p w14:paraId="42E362F1">
            <w:pPr>
              <w:spacing w:line="287" w:lineRule="auto"/>
              <w:rPr>
                <w:rFonts w:ascii="Arial"/>
                <w:color w:val="000000" w:themeColor="text1"/>
                <w:sz w:val="21"/>
                <w14:textFill>
                  <w14:solidFill>
                    <w14:schemeClr w14:val="tx1"/>
                  </w14:solidFill>
                </w14:textFill>
              </w:rPr>
            </w:pPr>
          </w:p>
          <w:p w14:paraId="4E08CF7C">
            <w:pPr>
              <w:spacing w:line="288" w:lineRule="auto"/>
              <w:rPr>
                <w:rFonts w:ascii="Arial"/>
                <w:color w:val="000000" w:themeColor="text1"/>
                <w:sz w:val="21"/>
                <w14:textFill>
                  <w14:solidFill>
                    <w14:schemeClr w14:val="tx1"/>
                  </w14:solidFill>
                </w14:textFill>
              </w:rPr>
            </w:pPr>
          </w:p>
          <w:p w14:paraId="256028A5">
            <w:pPr>
              <w:spacing w:before="75" w:line="228" w:lineRule="auto"/>
              <w:ind w:left="1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30</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4609876D">
            <w:pPr>
              <w:spacing w:before="32" w:line="237" w:lineRule="auto"/>
              <w:ind w:left="3325" w:leftChars="107" w:right="85" w:hanging="3100" w:hangingChars="1250"/>
              <w:jc w:val="both"/>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9"/>
                <w:sz w:val="23"/>
                <w:szCs w:val="23"/>
                <w:lang w:val="en-US" w:eastAsia="zh-CN"/>
                <w14:textFill>
                  <w14:solidFill>
                    <w14:schemeClr w14:val="tx1"/>
                  </w14:solidFill>
                </w14:textFill>
              </w:rPr>
              <w:t>1、</w:t>
            </w:r>
            <w:r>
              <w:rPr>
                <w:rFonts w:ascii="宋体" w:hAnsi="宋体" w:eastAsia="宋体" w:cs="宋体"/>
                <w:color w:val="000000" w:themeColor="text1"/>
                <w:spacing w:val="9"/>
                <w:sz w:val="23"/>
                <w:szCs w:val="23"/>
                <w14:textFill>
                  <w14:solidFill>
                    <w14:schemeClr w14:val="tx1"/>
                  </w14:solidFill>
                </w14:textFill>
              </w:rPr>
              <w:t>评标基准价：满足招标文件要求且投标价格最低</w:t>
            </w:r>
            <w:r>
              <w:rPr>
                <w:rFonts w:ascii="宋体" w:hAnsi="宋体" w:eastAsia="宋体" w:cs="宋体"/>
                <w:color w:val="000000" w:themeColor="text1"/>
                <w:spacing w:val="8"/>
                <w:sz w:val="23"/>
                <w:szCs w:val="23"/>
                <w14:textFill>
                  <w14:solidFill>
                    <w14:schemeClr w14:val="tx1"/>
                  </w14:solidFill>
                </w14:textFill>
              </w:rPr>
              <w:t>的有效投标报价为</w:t>
            </w:r>
            <w:r>
              <w:rPr>
                <w:rFonts w:ascii="宋体" w:hAnsi="宋体" w:eastAsia="宋体" w:cs="宋体"/>
                <w:color w:val="000000" w:themeColor="text1"/>
                <w:spacing w:val="1"/>
                <w:sz w:val="23"/>
                <w:szCs w:val="23"/>
                <w14:textFill>
                  <w14:solidFill>
                    <w14:schemeClr w14:val="tx1"/>
                  </w14:solidFill>
                </w14:textFill>
              </w:rPr>
              <w:t>评标基准价。</w:t>
            </w:r>
          </w:p>
          <w:p w14:paraId="0D3C3A26">
            <w:pPr>
              <w:spacing w:before="30" w:line="226" w:lineRule="auto"/>
              <w:ind w:firstLine="234" w:firstLineChars="100"/>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2"/>
                <w:sz w:val="23"/>
                <w:szCs w:val="23"/>
                <w:lang w:val="en-US" w:eastAsia="zh-CN"/>
                <w14:textFill>
                  <w14:solidFill>
                    <w14:schemeClr w14:val="tx1"/>
                  </w14:solidFill>
                </w14:textFill>
              </w:rPr>
              <w:t>2、</w:t>
            </w:r>
            <w:r>
              <w:rPr>
                <w:rFonts w:ascii="宋体" w:hAnsi="宋体" w:eastAsia="宋体" w:cs="宋体"/>
                <w:color w:val="000000" w:themeColor="text1"/>
                <w:spacing w:val="2"/>
                <w:sz w:val="23"/>
                <w:szCs w:val="23"/>
                <w14:textFill>
                  <w14:solidFill>
                    <w14:schemeClr w14:val="tx1"/>
                  </w14:solidFill>
                </w14:textFill>
              </w:rPr>
              <w:t>投标报价得分=</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（评标基准价/投标报价）×</w:t>
            </w:r>
            <w:r>
              <w:rPr>
                <w:rFonts w:ascii="宋体" w:hAnsi="宋体" w:eastAsia="宋体" w:cs="宋体"/>
                <w:color w:val="000000" w:themeColor="text1"/>
                <w:spacing w:val="-88"/>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100×30%</w:t>
            </w:r>
          </w:p>
          <w:p w14:paraId="53E272F1">
            <w:pPr>
              <w:spacing w:before="30" w:line="238" w:lineRule="auto"/>
              <w:ind w:right="133" w:firstLine="240" w:firstLineChars="100"/>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5"/>
                <w:sz w:val="23"/>
                <w:szCs w:val="23"/>
                <w:lang w:val="en-US" w:eastAsia="zh-CN"/>
                <w14:textFill>
                  <w14:solidFill>
                    <w14:schemeClr w14:val="tx1"/>
                  </w14:solidFill>
                </w14:textFill>
              </w:rPr>
              <w:t>3、</w:t>
            </w:r>
            <w:r>
              <w:rPr>
                <w:rFonts w:ascii="宋体" w:hAnsi="宋体" w:eastAsia="宋体" w:cs="宋体"/>
                <w:color w:val="000000" w:themeColor="text1"/>
                <w:spacing w:val="5"/>
                <w:sz w:val="23"/>
                <w:szCs w:val="23"/>
                <w14:textFill>
                  <w14:solidFill>
                    <w14:schemeClr w14:val="tx1"/>
                  </w14:solidFill>
                </w14:textFill>
              </w:rPr>
              <w:t>报价得分计算结果按四舍五入规则保留小数点后两位数字。 对符</w:t>
            </w:r>
            <w:r>
              <w:rPr>
                <w:rFonts w:ascii="宋体" w:hAnsi="宋体" w:eastAsia="宋体" w:cs="宋体"/>
                <w:color w:val="000000" w:themeColor="text1"/>
                <w:spacing w:val="7"/>
                <w:sz w:val="23"/>
                <w:szCs w:val="23"/>
                <w14:textFill>
                  <w14:solidFill>
                    <w14:schemeClr w14:val="tx1"/>
                  </w14:solidFill>
                </w14:textFill>
              </w:rPr>
              <w:t>合规定的小微企业报价给予 10%</w:t>
            </w:r>
            <w:r>
              <w:rPr>
                <w:rFonts w:ascii="宋体" w:hAnsi="宋体" w:eastAsia="宋体" w:cs="宋体"/>
                <w:color w:val="000000" w:themeColor="text1"/>
                <w:spacing w:val="36"/>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的扣除，用扣除后的</w:t>
            </w:r>
            <w:r>
              <w:rPr>
                <w:rFonts w:ascii="宋体" w:hAnsi="宋体" w:eastAsia="宋体" w:cs="宋体"/>
                <w:color w:val="000000" w:themeColor="text1"/>
                <w:spacing w:val="6"/>
                <w:sz w:val="23"/>
                <w:szCs w:val="23"/>
                <w14:textFill>
                  <w14:solidFill>
                    <w14:schemeClr w14:val="tx1"/>
                  </w14:solidFill>
                </w14:textFill>
              </w:rPr>
              <w:t>价格参加评审。</w:t>
            </w:r>
          </w:p>
        </w:tc>
      </w:tr>
      <w:tr w14:paraId="1EB5E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00" w:type="dxa"/>
            <w:vAlign w:val="top"/>
          </w:tcPr>
          <w:p w14:paraId="1E583E3C">
            <w:pPr>
              <w:spacing w:before="76" w:line="183" w:lineRule="auto"/>
              <w:ind w:left="1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二</w:t>
            </w:r>
          </w:p>
        </w:tc>
        <w:tc>
          <w:tcPr>
            <w:tcW w:w="2025" w:type="dxa"/>
            <w:gridSpan w:val="2"/>
            <w:vAlign w:val="top"/>
          </w:tcPr>
          <w:p w14:paraId="2195B64C">
            <w:pPr>
              <w:spacing w:before="32" w:line="239" w:lineRule="auto"/>
              <w:ind w:left="395" w:right="208" w:hanging="23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商务及技术部</w:t>
            </w:r>
            <w:r>
              <w:rPr>
                <w:rFonts w:ascii="宋体" w:hAnsi="宋体" w:eastAsia="宋体" w:cs="宋体"/>
                <w:color w:val="000000" w:themeColor="text1"/>
                <w:spacing w:val="2"/>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70</w:t>
            </w:r>
            <w:r>
              <w:rPr>
                <w:rFonts w:ascii="宋体" w:hAnsi="宋体" w:eastAsia="宋体" w:cs="宋体"/>
                <w:color w:val="000000" w:themeColor="text1"/>
                <w:spacing w:val="19"/>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23AAC8E2">
            <w:pPr>
              <w:rPr>
                <w:rFonts w:ascii="Arial"/>
                <w:color w:val="000000" w:themeColor="text1"/>
                <w:sz w:val="21"/>
                <w14:textFill>
                  <w14:solidFill>
                    <w14:schemeClr w14:val="tx1"/>
                  </w14:solidFill>
                </w14:textFill>
              </w:rPr>
            </w:pPr>
          </w:p>
        </w:tc>
      </w:tr>
      <w:tr w14:paraId="79D9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600" w:type="dxa"/>
            <w:vAlign w:val="top"/>
          </w:tcPr>
          <w:p w14:paraId="028D8962">
            <w:pPr>
              <w:spacing w:line="249" w:lineRule="auto"/>
              <w:rPr>
                <w:rFonts w:ascii="Arial"/>
                <w:color w:val="000000" w:themeColor="text1"/>
                <w:sz w:val="21"/>
                <w14:textFill>
                  <w14:solidFill>
                    <w14:schemeClr w14:val="tx1"/>
                  </w14:solidFill>
                </w14:textFill>
              </w:rPr>
            </w:pPr>
          </w:p>
          <w:p w14:paraId="1A8F5467">
            <w:pPr>
              <w:spacing w:line="249" w:lineRule="auto"/>
              <w:rPr>
                <w:rFonts w:ascii="Arial"/>
                <w:color w:val="000000" w:themeColor="text1"/>
                <w:sz w:val="21"/>
                <w14:textFill>
                  <w14:solidFill>
                    <w14:schemeClr w14:val="tx1"/>
                  </w14:solidFill>
                </w14:textFill>
              </w:rPr>
            </w:pPr>
          </w:p>
          <w:p w14:paraId="6D8D335A">
            <w:pPr>
              <w:spacing w:line="250" w:lineRule="auto"/>
              <w:rPr>
                <w:rFonts w:ascii="Arial"/>
                <w:color w:val="000000" w:themeColor="text1"/>
                <w:sz w:val="21"/>
                <w14:textFill>
                  <w14:solidFill>
                    <w14:schemeClr w14:val="tx1"/>
                  </w14:solidFill>
                </w14:textFill>
              </w:rPr>
            </w:pPr>
          </w:p>
          <w:p w14:paraId="624F1308">
            <w:pPr>
              <w:spacing w:before="75" w:line="189"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1</w:t>
            </w:r>
          </w:p>
        </w:tc>
        <w:tc>
          <w:tcPr>
            <w:tcW w:w="1185" w:type="dxa"/>
            <w:vAlign w:val="top"/>
          </w:tcPr>
          <w:p w14:paraId="58A42D4B">
            <w:pPr>
              <w:spacing w:before="74" w:line="244" w:lineRule="auto"/>
              <w:ind w:right="216"/>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类似业</w:t>
            </w:r>
            <w:r>
              <w:rPr>
                <w:rFonts w:ascii="宋体" w:hAnsi="宋体" w:eastAsia="宋体" w:cs="宋体"/>
                <w:color w:val="000000" w:themeColor="text1"/>
                <w:spacing w:val="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绩</w:t>
            </w:r>
          </w:p>
        </w:tc>
        <w:tc>
          <w:tcPr>
            <w:tcW w:w="840" w:type="dxa"/>
            <w:vAlign w:val="top"/>
          </w:tcPr>
          <w:p w14:paraId="03041164">
            <w:pPr>
              <w:spacing w:before="75" w:line="228"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0-</w:t>
            </w:r>
            <w:r>
              <w:rPr>
                <w:rFonts w:hint="eastAsia" w:ascii="宋体" w:hAnsi="宋体" w:cs="宋体"/>
                <w:color w:val="000000" w:themeColor="text1"/>
                <w:spacing w:val="3"/>
                <w:sz w:val="23"/>
                <w:szCs w:val="23"/>
                <w:lang w:val="en-US" w:eastAsia="zh-CN"/>
                <w14:textFill>
                  <w14:solidFill>
                    <w14:schemeClr w14:val="tx1"/>
                  </w14:solidFill>
                </w14:textFill>
              </w:rPr>
              <w:t>6</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64DC1D1A">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7"/>
                <w:sz w:val="23"/>
                <w:szCs w:val="23"/>
                <w14:textFill>
                  <w14:solidFill>
                    <w14:schemeClr w14:val="tx1"/>
                  </w14:solidFill>
                </w14:textFill>
              </w:rPr>
              <w:t>投标人须提供近</w:t>
            </w:r>
            <w:r>
              <w:rPr>
                <w:rFonts w:hint="eastAsia" w:ascii="宋体" w:hAnsi="宋体" w:cs="宋体"/>
                <w:color w:val="000000" w:themeColor="text1"/>
                <w:spacing w:val="7"/>
                <w:sz w:val="23"/>
                <w:szCs w:val="23"/>
                <w:lang w:val="en-US" w:eastAsia="zh-CN"/>
                <w14:textFill>
                  <w14:solidFill>
                    <w14:schemeClr w14:val="tx1"/>
                  </w14:solidFill>
                </w14:textFill>
              </w:rPr>
              <w:t>三</w:t>
            </w:r>
            <w:r>
              <w:rPr>
                <w:rFonts w:hint="eastAsia" w:ascii="宋体" w:hAnsi="宋体" w:eastAsia="宋体" w:cs="宋体"/>
                <w:color w:val="000000" w:themeColor="text1"/>
                <w:spacing w:val="7"/>
                <w:sz w:val="23"/>
                <w:szCs w:val="23"/>
                <w14:textFill>
                  <w14:solidFill>
                    <w14:schemeClr w14:val="tx1"/>
                  </w14:solidFill>
                </w14:textFill>
              </w:rPr>
              <w:t>年（2022年1月1日至今，以合同签订时间为准）类似项目业绩，一项计</w:t>
            </w:r>
            <w:r>
              <w:rPr>
                <w:rFonts w:hint="eastAsia" w:ascii="宋体" w:hAnsi="宋体" w:cs="宋体"/>
                <w:color w:val="000000" w:themeColor="text1"/>
                <w:spacing w:val="7"/>
                <w:sz w:val="23"/>
                <w:szCs w:val="23"/>
                <w:lang w:val="en-US" w:eastAsia="zh-CN"/>
                <w14:textFill>
                  <w14:solidFill>
                    <w14:schemeClr w14:val="tx1"/>
                  </w14:solidFill>
                </w14:textFill>
              </w:rPr>
              <w:t>3</w:t>
            </w:r>
            <w:r>
              <w:rPr>
                <w:rFonts w:hint="eastAsia" w:ascii="宋体" w:hAnsi="宋体" w:eastAsia="宋体" w:cs="宋体"/>
                <w:color w:val="000000" w:themeColor="text1"/>
                <w:spacing w:val="7"/>
                <w:sz w:val="23"/>
                <w:szCs w:val="23"/>
                <w14:textFill>
                  <w14:solidFill>
                    <w14:schemeClr w14:val="tx1"/>
                  </w14:solidFill>
                </w14:textFill>
              </w:rPr>
              <w:t>分，最多</w:t>
            </w:r>
            <w:r>
              <w:rPr>
                <w:rFonts w:hint="eastAsia" w:ascii="宋体" w:hAnsi="宋体" w:cs="宋体"/>
                <w:color w:val="000000" w:themeColor="text1"/>
                <w:spacing w:val="7"/>
                <w:sz w:val="23"/>
                <w:szCs w:val="23"/>
                <w:lang w:val="en-US" w:eastAsia="zh-CN"/>
                <w14:textFill>
                  <w14:solidFill>
                    <w14:schemeClr w14:val="tx1"/>
                  </w14:solidFill>
                </w14:textFill>
              </w:rPr>
              <w:t>得6分</w:t>
            </w:r>
            <w:r>
              <w:rPr>
                <w:rFonts w:hint="eastAsia" w:ascii="宋体" w:hAnsi="宋体" w:cs="宋体"/>
                <w:color w:val="000000" w:themeColor="text1"/>
                <w:spacing w:val="7"/>
                <w:sz w:val="23"/>
                <w:szCs w:val="23"/>
                <w:lang w:eastAsia="zh-CN"/>
                <w14:textFill>
                  <w14:solidFill>
                    <w14:schemeClr w14:val="tx1"/>
                  </w14:solidFill>
                </w14:textFill>
              </w:rPr>
              <w:t>（</w:t>
            </w:r>
            <w:r>
              <w:rPr>
                <w:rFonts w:hint="eastAsia" w:ascii="宋体" w:hAnsi="宋体" w:eastAsia="宋体" w:cs="宋体"/>
                <w:color w:val="000000" w:themeColor="text1"/>
                <w:spacing w:val="7"/>
                <w:sz w:val="23"/>
                <w:szCs w:val="23"/>
                <w14:textFill>
                  <w14:solidFill>
                    <w14:schemeClr w14:val="tx1"/>
                  </w14:solidFill>
                </w14:textFill>
              </w:rPr>
              <w:t>须提供合同扫描件，合同文件需体现：合同首页、服务内容页、金额页、双方盖章签字页、合同签订时间</w:t>
            </w:r>
            <w:r>
              <w:rPr>
                <w:rFonts w:hint="eastAsia" w:ascii="宋体" w:hAnsi="宋体" w:cs="宋体"/>
                <w:color w:val="000000" w:themeColor="text1"/>
                <w:spacing w:val="7"/>
                <w:sz w:val="23"/>
                <w:szCs w:val="23"/>
                <w:lang w:eastAsia="zh-CN"/>
                <w14:textFill>
                  <w14:solidFill>
                    <w14:schemeClr w14:val="tx1"/>
                  </w14:solidFill>
                </w14:textFill>
              </w:rPr>
              <w:t>）。</w:t>
            </w:r>
            <w:r>
              <w:rPr>
                <w:rFonts w:hint="eastAsia" w:ascii="宋体" w:hAnsi="宋体" w:eastAsia="宋体" w:cs="宋体"/>
                <w:color w:val="000000" w:themeColor="text1"/>
                <w:spacing w:val="7"/>
                <w:sz w:val="23"/>
                <w:szCs w:val="23"/>
                <w:lang w:val="en-US" w:eastAsia="zh-CN"/>
                <w14:textFill>
                  <w14:solidFill>
                    <w14:schemeClr w14:val="tx1"/>
                  </w14:solidFill>
                </w14:textFill>
              </w:rPr>
              <w:t>注：所附的证明材料的复印件或扫描件含糊不清，导致无法辨认的，视为未提供证明材料</w:t>
            </w:r>
            <w:r>
              <w:rPr>
                <w:rFonts w:hint="eastAsia" w:ascii="宋体" w:hAnsi="宋体" w:cs="宋体"/>
                <w:color w:val="000000" w:themeColor="text1"/>
                <w:spacing w:val="7"/>
                <w:sz w:val="23"/>
                <w:szCs w:val="23"/>
                <w:lang w:val="en-US" w:eastAsia="zh-CN"/>
                <w14:textFill>
                  <w14:solidFill>
                    <w14:schemeClr w14:val="tx1"/>
                  </w14:solidFill>
                </w14:textFill>
              </w:rPr>
              <w:t>。</w:t>
            </w:r>
          </w:p>
        </w:tc>
      </w:tr>
      <w:tr w14:paraId="1A4A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00" w:type="dxa"/>
            <w:vAlign w:val="top"/>
          </w:tcPr>
          <w:p w14:paraId="67EBE41F">
            <w:pPr>
              <w:spacing w:line="277" w:lineRule="auto"/>
              <w:rPr>
                <w:rFonts w:ascii="Arial"/>
                <w:color w:val="000000" w:themeColor="text1"/>
                <w:sz w:val="21"/>
                <w14:textFill>
                  <w14:solidFill>
                    <w14:schemeClr w14:val="tx1"/>
                  </w14:solidFill>
                </w14:textFill>
              </w:rPr>
            </w:pPr>
          </w:p>
          <w:p w14:paraId="16D45DB3">
            <w:pPr>
              <w:spacing w:line="277" w:lineRule="auto"/>
              <w:rPr>
                <w:rFonts w:ascii="Arial"/>
                <w:color w:val="000000" w:themeColor="text1"/>
                <w:sz w:val="21"/>
                <w14:textFill>
                  <w14:solidFill>
                    <w14:schemeClr w14:val="tx1"/>
                  </w14:solidFill>
                </w14:textFill>
              </w:rPr>
            </w:pPr>
          </w:p>
          <w:p w14:paraId="6881B343">
            <w:pPr>
              <w:spacing w:before="75" w:line="188"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2</w:t>
            </w:r>
          </w:p>
        </w:tc>
        <w:tc>
          <w:tcPr>
            <w:tcW w:w="1185" w:type="dxa"/>
            <w:vAlign w:val="top"/>
          </w:tcPr>
          <w:p w14:paraId="4F6A0093">
            <w:pPr>
              <w:spacing w:before="75" w:line="241" w:lineRule="auto"/>
              <w:ind w:right="216"/>
              <w:jc w:val="both"/>
              <w:rPr>
                <w:rFonts w:ascii="宋体" w:hAnsi="宋体" w:eastAsia="宋体" w:cs="宋体"/>
                <w:color w:val="000000" w:themeColor="text1"/>
                <w:spacing w:val="6"/>
                <w:sz w:val="23"/>
                <w:szCs w:val="23"/>
                <w14:textFill>
                  <w14:solidFill>
                    <w14:schemeClr w14:val="tx1"/>
                  </w14:solidFill>
                </w14:textFill>
              </w:rPr>
            </w:pPr>
          </w:p>
          <w:p w14:paraId="14D985A2">
            <w:pPr>
              <w:spacing w:before="75" w:line="241" w:lineRule="auto"/>
              <w:ind w:right="216"/>
              <w:jc w:val="both"/>
              <w:rPr>
                <w:rFonts w:ascii="宋体" w:hAnsi="宋体" w:eastAsia="宋体" w:cs="宋体"/>
                <w:color w:val="000000" w:themeColor="text1"/>
                <w:spacing w:val="6"/>
                <w:sz w:val="23"/>
                <w:szCs w:val="23"/>
                <w14:textFill>
                  <w14:solidFill>
                    <w14:schemeClr w14:val="tx1"/>
                  </w14:solidFill>
                </w14:textFill>
              </w:rPr>
            </w:pPr>
          </w:p>
          <w:p w14:paraId="384700B5">
            <w:pPr>
              <w:spacing w:before="75" w:line="241" w:lineRule="auto"/>
              <w:ind w:right="216"/>
              <w:jc w:val="both"/>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pacing w:val="6"/>
                <w:sz w:val="23"/>
                <w:szCs w:val="23"/>
                <w:lang w:val="en-US" w:eastAsia="zh-CN"/>
                <w14:textFill>
                  <w14:solidFill>
                    <w14:schemeClr w14:val="tx1"/>
                  </w14:solidFill>
                </w14:textFill>
              </w:rPr>
              <w:t>体系制度</w:t>
            </w:r>
          </w:p>
        </w:tc>
        <w:tc>
          <w:tcPr>
            <w:tcW w:w="840" w:type="dxa"/>
            <w:vAlign w:val="top"/>
          </w:tcPr>
          <w:p w14:paraId="29C4E3E2">
            <w:pPr>
              <w:spacing w:before="75" w:line="228" w:lineRule="auto"/>
              <w:rPr>
                <w:rFonts w:ascii="宋体" w:hAnsi="宋体" w:eastAsia="宋体" w:cs="宋体"/>
                <w:color w:val="000000" w:themeColor="text1"/>
                <w:spacing w:val="1"/>
                <w:sz w:val="23"/>
                <w:szCs w:val="23"/>
                <w14:textFill>
                  <w14:solidFill>
                    <w14:schemeClr w14:val="tx1"/>
                  </w14:solidFill>
                </w14:textFill>
              </w:rPr>
            </w:pPr>
          </w:p>
          <w:p w14:paraId="0D12EFD0">
            <w:pPr>
              <w:spacing w:before="75" w:line="228" w:lineRule="auto"/>
              <w:rPr>
                <w:rFonts w:ascii="宋体" w:hAnsi="宋体" w:eastAsia="宋体" w:cs="宋体"/>
                <w:color w:val="000000" w:themeColor="text1"/>
                <w:spacing w:val="1"/>
                <w:sz w:val="23"/>
                <w:szCs w:val="23"/>
                <w14:textFill>
                  <w14:solidFill>
                    <w14:schemeClr w14:val="tx1"/>
                  </w14:solidFill>
                </w14:textFill>
              </w:rPr>
            </w:pPr>
          </w:p>
          <w:p w14:paraId="0678FD73">
            <w:pPr>
              <w:spacing w:before="75" w:line="228"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0-</w:t>
            </w:r>
            <w:r>
              <w:rPr>
                <w:rFonts w:hint="eastAsia" w:ascii="宋体" w:hAnsi="宋体" w:cs="宋体"/>
                <w:color w:val="000000" w:themeColor="text1"/>
                <w:spacing w:val="1"/>
                <w:sz w:val="23"/>
                <w:szCs w:val="23"/>
                <w:lang w:val="en-US" w:eastAsia="zh-CN"/>
                <w14:textFill>
                  <w14:solidFill>
                    <w14:schemeClr w14:val="tx1"/>
                  </w14:solidFill>
                </w14:textFill>
              </w:rPr>
              <w:t>20</w:t>
            </w:r>
            <w:r>
              <w:rPr>
                <w:rFonts w:ascii="宋体" w:hAnsi="宋体" w:eastAsia="宋体" w:cs="宋体"/>
                <w:color w:val="000000" w:themeColor="text1"/>
                <w:spacing w:val="1"/>
                <w:sz w:val="23"/>
                <w:szCs w:val="23"/>
                <w14:textFill>
                  <w14:solidFill>
                    <w14:schemeClr w14:val="tx1"/>
                  </w14:solidFill>
                </w14:textFill>
              </w:rPr>
              <w:t>分</w:t>
            </w:r>
          </w:p>
        </w:tc>
        <w:tc>
          <w:tcPr>
            <w:tcW w:w="7350" w:type="dxa"/>
            <w:vAlign w:val="top"/>
          </w:tcPr>
          <w:p w14:paraId="5EBFA3D0">
            <w:pPr>
              <w:spacing w:before="74" w:line="227" w:lineRule="auto"/>
              <w:rPr>
                <w:rFonts w:hint="default" w:ascii="宋体" w:hAnsi="宋体" w:eastAsia="宋体" w:cs="宋体"/>
                <w:color w:val="000000" w:themeColor="text1"/>
                <w:spacing w:val="10"/>
                <w:sz w:val="23"/>
                <w:szCs w:val="23"/>
                <w:lang w:val="en-US" w:eastAsia="zh-CN"/>
                <w14:textFill>
                  <w14:solidFill>
                    <w14:schemeClr w14:val="tx1"/>
                  </w14:solidFill>
                </w14:textFill>
              </w:rPr>
            </w:pPr>
            <w:bookmarkStart w:id="643" w:name="_GoBack"/>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体系制度应包含管理组织架构，人员分工，管理制度等。有完善的派遣劳务人员资薪酬管理体系和财务管理等制度保障，能保证薪酬安全可靠，及时发放，并承诺不拖欠劳务人员薪酬。根据保障制度完善程度评分，(1)有开展服务工作的基本组织机构</w:t>
            </w:r>
            <w:r>
              <w:rPr>
                <w:rFonts w:hint="eastAsia" w:ascii="宋体" w:hAnsi="宋体" w:cs="宋体"/>
                <w:color w:val="000000" w:themeColor="text1"/>
                <w:spacing w:val="9"/>
                <w:kern w:val="2"/>
                <w:sz w:val="23"/>
                <w:szCs w:val="23"/>
                <w:lang w:val="en-US" w:eastAsia="zh-CN" w:bidi="ar-SA"/>
                <w14:textFill>
                  <w14:solidFill>
                    <w14:schemeClr w14:val="tx1"/>
                  </w14:solidFill>
                </w14:textFill>
              </w:rPr>
              <w:t>、</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有人事财务部门的得 </w:t>
            </w:r>
            <w:r>
              <w:rPr>
                <w:rFonts w:hint="eastAsia" w:ascii="宋体" w:hAnsi="宋体" w:cs="宋体"/>
                <w:color w:val="000000" w:themeColor="text1"/>
                <w:spacing w:val="9"/>
                <w:kern w:val="2"/>
                <w:sz w:val="23"/>
                <w:szCs w:val="23"/>
                <w:lang w:val="en-US" w:eastAsia="zh-CN" w:bidi="ar-SA"/>
                <w14:textFill>
                  <w14:solidFill>
                    <w14:schemeClr w14:val="tx1"/>
                  </w14:solidFill>
                </w14:textFill>
              </w:rPr>
              <w:t>10</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 分，每少一项扣 </w:t>
            </w:r>
            <w:r>
              <w:rPr>
                <w:rFonts w:hint="eastAsia" w:ascii="宋体" w:hAnsi="宋体" w:cs="宋体"/>
                <w:color w:val="000000" w:themeColor="text1"/>
                <w:spacing w:val="9"/>
                <w:kern w:val="2"/>
                <w:sz w:val="23"/>
                <w:szCs w:val="23"/>
                <w:lang w:val="en-US" w:eastAsia="zh-CN" w:bidi="ar-SA"/>
                <w14:textFill>
                  <w14:solidFill>
                    <w14:schemeClr w14:val="tx1"/>
                  </w14:solidFill>
                </w14:textFill>
              </w:rPr>
              <w:t>5</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分，直至为零。(2)有人事(含薪酬、考勤、奖惩、辞退等主要内容)、财务 (含收支、预算等主要内容)、培训(含礼仪、技能、应急等 主要内容)管理制度的得 </w:t>
            </w:r>
            <w:r>
              <w:rPr>
                <w:rFonts w:hint="eastAsia" w:ascii="宋体" w:hAnsi="宋体" w:cs="宋体"/>
                <w:color w:val="000000" w:themeColor="text1"/>
                <w:spacing w:val="9"/>
                <w:kern w:val="2"/>
                <w:sz w:val="23"/>
                <w:szCs w:val="23"/>
                <w:lang w:val="en-US" w:eastAsia="zh-CN" w:bidi="ar-SA"/>
                <w14:textFill>
                  <w14:solidFill>
                    <w14:schemeClr w14:val="tx1"/>
                  </w14:solidFill>
                </w14:textFill>
              </w:rPr>
              <w:t>9</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 分，每少一个主要内容小项扣</w:t>
            </w:r>
            <w:r>
              <w:rPr>
                <w:rFonts w:hint="eastAsia" w:ascii="宋体" w:hAnsi="宋体" w:cs="宋体"/>
                <w:color w:val="000000" w:themeColor="text1"/>
                <w:spacing w:val="9"/>
                <w:kern w:val="2"/>
                <w:sz w:val="23"/>
                <w:szCs w:val="23"/>
                <w:lang w:val="en-US" w:eastAsia="zh-CN" w:bidi="ar-SA"/>
                <w14:textFill>
                  <w14:solidFill>
                    <w14:schemeClr w14:val="tx1"/>
                  </w14:solidFill>
                </w14:textFill>
              </w:rPr>
              <w:t>3</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分，直至为零。</w:t>
            </w:r>
            <w:r>
              <w:rPr>
                <w:rFonts w:hint="eastAsia" w:ascii="宋体" w:hAnsi="宋体" w:cs="宋体"/>
                <w:color w:val="000000" w:themeColor="text1"/>
                <w:spacing w:val="9"/>
                <w:kern w:val="2"/>
                <w:sz w:val="23"/>
                <w:szCs w:val="23"/>
                <w:lang w:val="en-US" w:eastAsia="zh-CN" w:bidi="ar-SA"/>
                <w14:textFill>
                  <w14:solidFill>
                    <w14:schemeClr w14:val="tx1"/>
                  </w14:solidFill>
                </w14:textFill>
              </w:rPr>
              <w:t>（3）提供</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不拖欠劳务人员薪酬承诺</w:t>
            </w:r>
            <w:r>
              <w:rPr>
                <w:rFonts w:hint="eastAsia" w:ascii="宋体" w:hAnsi="宋体" w:cs="宋体"/>
                <w:color w:val="000000" w:themeColor="text1"/>
                <w:spacing w:val="9"/>
                <w:kern w:val="2"/>
                <w:sz w:val="23"/>
                <w:szCs w:val="23"/>
                <w:lang w:val="en-US" w:eastAsia="zh-CN" w:bidi="ar-SA"/>
                <w14:textFill>
                  <w14:solidFill>
                    <w14:schemeClr w14:val="tx1"/>
                  </w14:solidFill>
                </w14:textFill>
              </w:rPr>
              <w:t>（格式自拟）的得1分，不提供的不得分。</w:t>
            </w:r>
            <w:bookmarkEnd w:id="643"/>
          </w:p>
        </w:tc>
      </w:tr>
      <w:tr w14:paraId="27BA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00" w:type="dxa"/>
            <w:vAlign w:val="top"/>
          </w:tcPr>
          <w:p w14:paraId="55F037E0">
            <w:pPr>
              <w:spacing w:line="242" w:lineRule="auto"/>
              <w:rPr>
                <w:rFonts w:ascii="Arial"/>
                <w:color w:val="000000" w:themeColor="text1"/>
                <w:sz w:val="21"/>
                <w14:textFill>
                  <w14:solidFill>
                    <w14:schemeClr w14:val="tx1"/>
                  </w14:solidFill>
                </w14:textFill>
              </w:rPr>
            </w:pPr>
          </w:p>
          <w:p w14:paraId="156852AC">
            <w:pPr>
              <w:spacing w:line="242" w:lineRule="auto"/>
              <w:rPr>
                <w:rFonts w:ascii="Arial"/>
                <w:color w:val="000000" w:themeColor="text1"/>
                <w:sz w:val="21"/>
                <w14:textFill>
                  <w14:solidFill>
                    <w14:schemeClr w14:val="tx1"/>
                  </w14:solidFill>
                </w14:textFill>
              </w:rPr>
            </w:pPr>
          </w:p>
          <w:p w14:paraId="4D751E8C">
            <w:pPr>
              <w:spacing w:before="75" w:line="189"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3</w:t>
            </w:r>
          </w:p>
        </w:tc>
        <w:tc>
          <w:tcPr>
            <w:tcW w:w="1185" w:type="dxa"/>
            <w:vAlign w:val="top"/>
          </w:tcPr>
          <w:p w14:paraId="271BA3F3">
            <w:pPr>
              <w:spacing w:before="75" w:line="241" w:lineRule="auto"/>
              <w:ind w:right="216"/>
              <w:jc w:val="both"/>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服务方案</w:t>
            </w:r>
          </w:p>
        </w:tc>
        <w:tc>
          <w:tcPr>
            <w:tcW w:w="840" w:type="dxa"/>
            <w:vAlign w:val="top"/>
          </w:tcPr>
          <w:p w14:paraId="7F403A58">
            <w:pPr>
              <w:spacing w:before="75" w:line="228" w:lineRule="auto"/>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0-16分</w:t>
            </w:r>
          </w:p>
        </w:tc>
        <w:tc>
          <w:tcPr>
            <w:tcW w:w="7350" w:type="dxa"/>
            <w:vAlign w:val="top"/>
          </w:tcPr>
          <w:p w14:paraId="64098CDC">
            <w:pPr>
              <w:numPr>
                <w:ilvl w:val="0"/>
                <w:numId w:val="0"/>
              </w:numPr>
              <w:spacing w:before="75" w:line="239" w:lineRule="auto"/>
              <w:ind w:right="102" w:rightChars="0"/>
              <w:rPr>
                <w:rFonts w:hint="eastAsia" w:ascii="宋体" w:hAnsi="宋体" w:cs="宋体"/>
                <w:color w:val="000000" w:themeColor="text1"/>
                <w:spacing w:val="9"/>
                <w:sz w:val="23"/>
                <w:szCs w:val="23"/>
                <w:lang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根据本项目的特点，投标人从以下方面编制服务方案:</w:t>
            </w:r>
          </w:p>
          <w:p w14:paraId="7568370C">
            <w:pPr>
              <w:numPr>
                <w:ilvl w:val="0"/>
                <w:numId w:val="10"/>
              </w:numPr>
              <w:spacing w:before="75" w:line="239" w:lineRule="auto"/>
              <w:ind w:right="102" w:rightChars="0"/>
              <w:rPr>
                <w:rFonts w:hint="eastAsia" w:ascii="宋体" w:hAnsi="宋体" w:cs="宋体"/>
                <w:color w:val="000000" w:themeColor="text1"/>
                <w:spacing w:val="9"/>
                <w:sz w:val="23"/>
                <w:szCs w:val="23"/>
                <w:lang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服务期总体规划(对院内</w:t>
            </w:r>
            <w:r>
              <w:rPr>
                <w:rFonts w:hint="eastAsia" w:ascii="宋体" w:hAnsi="宋体" w:cs="宋体"/>
                <w:color w:val="000000" w:themeColor="text1"/>
                <w:spacing w:val="9"/>
                <w:sz w:val="23"/>
                <w:szCs w:val="23"/>
                <w:lang w:val="en-US" w:eastAsia="zh-CN"/>
                <w14:textFill>
                  <w14:solidFill>
                    <w14:schemeClr w14:val="tx1"/>
                  </w14:solidFill>
                </w14:textFill>
              </w:rPr>
              <w:t>老年人</w:t>
            </w:r>
            <w:r>
              <w:rPr>
                <w:rFonts w:hint="eastAsia" w:ascii="宋体" w:hAnsi="宋体" w:cs="宋体"/>
                <w:color w:val="000000" w:themeColor="text1"/>
                <w:spacing w:val="9"/>
                <w:sz w:val="23"/>
                <w:szCs w:val="23"/>
                <w:lang w:eastAsia="zh-CN"/>
                <w14:textFill>
                  <w14:solidFill>
                    <w14:schemeClr w14:val="tx1"/>
                  </w14:solidFill>
                </w14:textFill>
              </w:rPr>
              <w:t>基本照料护理服务、残疾老年人服务、送医陪护服务、心理疏导服务、社会融入服务等服务);</w:t>
            </w:r>
            <w:r>
              <w:rPr>
                <w:rFonts w:hint="eastAsia" w:ascii="宋体" w:hAnsi="宋体" w:cs="宋体"/>
                <w:color w:val="000000" w:themeColor="text1"/>
                <w:spacing w:val="9"/>
                <w:sz w:val="23"/>
                <w:szCs w:val="23"/>
                <w:lang w:val="en-US" w:eastAsia="zh-CN"/>
                <w14:textFill>
                  <w14:solidFill>
                    <w14:schemeClr w14:val="tx1"/>
                  </w14:solidFill>
                </w14:textFill>
              </w:rPr>
              <w:t>2</w:t>
            </w:r>
            <w:r>
              <w:rPr>
                <w:rFonts w:hint="eastAsia" w:ascii="宋体" w:hAnsi="宋体" w:cs="宋体"/>
                <w:color w:val="000000" w:themeColor="text1"/>
                <w:spacing w:val="9"/>
                <w:sz w:val="23"/>
                <w:szCs w:val="23"/>
                <w:lang w:eastAsia="zh-CN"/>
                <w14:textFill>
                  <w14:solidFill>
                    <w14:schemeClr w14:val="tx1"/>
                  </w14:solidFill>
                </w14:textFill>
              </w:rPr>
              <w:t>.服务方式方法(日常养护、精细化护理、个案护理等);</w:t>
            </w:r>
            <w:r>
              <w:rPr>
                <w:rFonts w:hint="eastAsia" w:ascii="宋体" w:hAnsi="宋体" w:cs="宋体"/>
                <w:color w:val="000000" w:themeColor="text1"/>
                <w:spacing w:val="9"/>
                <w:sz w:val="23"/>
                <w:szCs w:val="23"/>
                <w:lang w:val="en-US" w:eastAsia="zh-CN"/>
                <w14:textFill>
                  <w14:solidFill>
                    <w14:schemeClr w14:val="tx1"/>
                  </w14:solidFill>
                </w14:textFill>
              </w:rPr>
              <w:t>3</w:t>
            </w:r>
            <w:r>
              <w:rPr>
                <w:rFonts w:hint="eastAsia" w:ascii="宋体" w:hAnsi="宋体" w:cs="宋体"/>
                <w:color w:val="000000" w:themeColor="text1"/>
                <w:spacing w:val="9"/>
                <w:sz w:val="23"/>
                <w:szCs w:val="23"/>
                <w:lang w:eastAsia="zh-CN"/>
                <w14:textFill>
                  <w14:solidFill>
                    <w14:schemeClr w14:val="tx1"/>
                  </w14:solidFill>
                </w14:textFill>
              </w:rPr>
              <w:t>.日常生活照料服务;</w:t>
            </w:r>
            <w:r>
              <w:rPr>
                <w:rFonts w:hint="eastAsia" w:ascii="宋体" w:hAnsi="宋体" w:cs="宋体"/>
                <w:color w:val="000000" w:themeColor="text1"/>
                <w:spacing w:val="9"/>
                <w:sz w:val="23"/>
                <w:szCs w:val="23"/>
                <w:lang w:val="en-US" w:eastAsia="zh-CN"/>
                <w14:textFill>
                  <w14:solidFill>
                    <w14:schemeClr w14:val="tx1"/>
                  </w14:solidFill>
                </w14:textFill>
              </w:rPr>
              <w:t>4</w:t>
            </w:r>
            <w:r>
              <w:rPr>
                <w:rFonts w:hint="eastAsia" w:ascii="宋体" w:hAnsi="宋体" w:cs="宋体"/>
                <w:color w:val="000000" w:themeColor="text1"/>
                <w:spacing w:val="9"/>
                <w:sz w:val="23"/>
                <w:szCs w:val="23"/>
                <w:lang w:eastAsia="zh-CN"/>
                <w14:textFill>
                  <w14:solidFill>
                    <w14:schemeClr w14:val="tx1"/>
                  </w14:solidFill>
                </w14:textFill>
              </w:rPr>
              <w:t>.服务期间人员管理、安排、培训等;</w:t>
            </w:r>
            <w:r>
              <w:rPr>
                <w:rFonts w:hint="eastAsia" w:ascii="宋体" w:hAnsi="宋体" w:cs="宋体"/>
                <w:color w:val="000000" w:themeColor="text1"/>
                <w:spacing w:val="9"/>
                <w:sz w:val="23"/>
                <w:szCs w:val="23"/>
                <w:lang w:val="en-US" w:eastAsia="zh-CN"/>
                <w14:textFill>
                  <w14:solidFill>
                    <w14:schemeClr w14:val="tx1"/>
                  </w14:solidFill>
                </w14:textFill>
              </w:rPr>
              <w:t>5</w:t>
            </w:r>
            <w:r>
              <w:rPr>
                <w:rFonts w:hint="eastAsia" w:ascii="宋体" w:hAnsi="宋体" w:cs="宋体"/>
                <w:color w:val="000000" w:themeColor="text1"/>
                <w:spacing w:val="9"/>
                <w:sz w:val="23"/>
                <w:szCs w:val="23"/>
                <w:lang w:eastAsia="zh-CN"/>
                <w14:textFill>
                  <w14:solidFill>
                    <w14:schemeClr w14:val="tx1"/>
                  </w14:solidFill>
                </w14:textFill>
              </w:rPr>
              <w:t>.信息资料保密制度;</w:t>
            </w:r>
            <w:r>
              <w:rPr>
                <w:rFonts w:hint="eastAsia" w:ascii="宋体" w:hAnsi="宋体" w:cs="宋体"/>
                <w:color w:val="000000" w:themeColor="text1"/>
                <w:spacing w:val="9"/>
                <w:sz w:val="23"/>
                <w:szCs w:val="23"/>
                <w:lang w:val="en-US" w:eastAsia="zh-CN"/>
                <w14:textFill>
                  <w14:solidFill>
                    <w14:schemeClr w14:val="tx1"/>
                  </w14:solidFill>
                </w14:textFill>
              </w:rPr>
              <w:t>6</w:t>
            </w:r>
            <w:r>
              <w:rPr>
                <w:rFonts w:hint="eastAsia" w:ascii="宋体" w:hAnsi="宋体" w:cs="宋体"/>
                <w:color w:val="000000" w:themeColor="text1"/>
                <w:spacing w:val="9"/>
                <w:sz w:val="23"/>
                <w:szCs w:val="23"/>
                <w:lang w:eastAsia="zh-CN"/>
                <w14:textFill>
                  <w14:solidFill>
                    <w14:schemeClr w14:val="tx1"/>
                  </w14:solidFill>
                </w14:textFill>
              </w:rPr>
              <w:t>具体服务流程;</w:t>
            </w:r>
            <w:r>
              <w:rPr>
                <w:rFonts w:hint="eastAsia" w:ascii="宋体" w:hAnsi="宋体" w:cs="宋体"/>
                <w:color w:val="000000" w:themeColor="text1"/>
                <w:spacing w:val="9"/>
                <w:sz w:val="23"/>
                <w:szCs w:val="23"/>
                <w:lang w:val="en-US" w:eastAsia="zh-CN"/>
                <w14:textFill>
                  <w14:solidFill>
                    <w14:schemeClr w14:val="tx1"/>
                  </w14:solidFill>
                </w14:textFill>
              </w:rPr>
              <w:t>7</w:t>
            </w:r>
            <w:r>
              <w:rPr>
                <w:rFonts w:hint="eastAsia" w:ascii="宋体" w:hAnsi="宋体" w:cs="宋体"/>
                <w:color w:val="000000" w:themeColor="text1"/>
                <w:spacing w:val="9"/>
                <w:sz w:val="23"/>
                <w:szCs w:val="23"/>
                <w:lang w:eastAsia="zh-CN"/>
                <w14:textFill>
                  <w14:solidFill>
                    <w14:schemeClr w14:val="tx1"/>
                  </w14:solidFill>
                </w14:textFill>
              </w:rPr>
              <w:t>.服务保障措施;</w:t>
            </w:r>
            <w:r>
              <w:rPr>
                <w:rFonts w:hint="eastAsia" w:ascii="宋体" w:hAnsi="宋体" w:cs="宋体"/>
                <w:color w:val="000000" w:themeColor="text1"/>
                <w:spacing w:val="9"/>
                <w:sz w:val="23"/>
                <w:szCs w:val="23"/>
                <w:lang w:val="en-US" w:eastAsia="zh-CN"/>
                <w14:textFill>
                  <w14:solidFill>
                    <w14:schemeClr w14:val="tx1"/>
                  </w14:solidFill>
                </w14:textFill>
              </w:rPr>
              <w:t>8</w:t>
            </w:r>
            <w:r>
              <w:rPr>
                <w:rFonts w:hint="eastAsia" w:ascii="宋体" w:hAnsi="宋体" w:cs="宋体"/>
                <w:color w:val="000000" w:themeColor="text1"/>
                <w:spacing w:val="9"/>
                <w:sz w:val="23"/>
                <w:szCs w:val="23"/>
                <w:lang w:eastAsia="zh-CN"/>
                <w14:textFill>
                  <w14:solidFill>
                    <w14:schemeClr w14:val="tx1"/>
                  </w14:solidFill>
                </w14:textFill>
              </w:rPr>
              <w:t>.安全、卫生、信息管理方案，</w:t>
            </w:r>
          </w:p>
          <w:p w14:paraId="0037BD41">
            <w:pPr>
              <w:numPr>
                <w:ilvl w:val="0"/>
                <w:numId w:val="0"/>
              </w:numPr>
              <w:spacing w:before="75" w:line="239" w:lineRule="auto"/>
              <w:ind w:right="102" w:rightChars="0"/>
              <w:rPr>
                <w:rFonts w:hint="default" w:ascii="宋体" w:hAnsi="宋体" w:cs="宋体"/>
                <w:color w:val="000000" w:themeColor="text1"/>
                <w:spacing w:val="9"/>
                <w:sz w:val="23"/>
                <w:szCs w:val="23"/>
                <w:lang w:val="en-US"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 xml:space="preserve">根据以上要求，每提供 1项得 </w:t>
            </w:r>
            <w:r>
              <w:rPr>
                <w:rFonts w:hint="eastAsia" w:ascii="宋体" w:hAnsi="宋体" w:cs="宋体"/>
                <w:color w:val="000000" w:themeColor="text1"/>
                <w:spacing w:val="9"/>
                <w:sz w:val="23"/>
                <w:szCs w:val="23"/>
                <w:lang w:val="en-US" w:eastAsia="zh-CN"/>
                <w14:textFill>
                  <w14:solidFill>
                    <w14:schemeClr w14:val="tx1"/>
                  </w14:solidFill>
                </w14:textFill>
              </w:rPr>
              <w:t>2</w:t>
            </w:r>
            <w:r>
              <w:rPr>
                <w:rFonts w:hint="eastAsia" w:ascii="宋体" w:hAnsi="宋体" w:cs="宋体"/>
                <w:color w:val="000000" w:themeColor="text1"/>
                <w:spacing w:val="9"/>
                <w:sz w:val="23"/>
                <w:szCs w:val="23"/>
                <w:lang w:eastAsia="zh-CN"/>
                <w14:textFill>
                  <w14:solidFill>
                    <w14:schemeClr w14:val="tx1"/>
                  </w14:solidFill>
                </w14:textFill>
              </w:rPr>
              <w:t xml:space="preserve"> 分，满分 </w:t>
            </w:r>
            <w:r>
              <w:rPr>
                <w:rFonts w:hint="eastAsia" w:ascii="宋体" w:hAnsi="宋体" w:cs="宋体"/>
                <w:color w:val="000000" w:themeColor="text1"/>
                <w:spacing w:val="9"/>
                <w:sz w:val="23"/>
                <w:szCs w:val="23"/>
                <w:lang w:val="en-US" w:eastAsia="zh-CN"/>
                <w14:textFill>
                  <w14:solidFill>
                    <w14:schemeClr w14:val="tx1"/>
                  </w14:solidFill>
                </w14:textFill>
              </w:rPr>
              <w:t>16</w:t>
            </w:r>
            <w:r>
              <w:rPr>
                <w:rFonts w:hint="eastAsia" w:ascii="宋体" w:hAnsi="宋体" w:cs="宋体"/>
                <w:color w:val="000000" w:themeColor="text1"/>
                <w:spacing w:val="9"/>
                <w:sz w:val="23"/>
                <w:szCs w:val="23"/>
                <w:lang w:eastAsia="zh-CN"/>
                <w14:textFill>
                  <w14:solidFill>
                    <w14:schemeClr w14:val="tx1"/>
                  </w14:solidFill>
                </w14:textFill>
              </w:rPr>
              <w:t xml:space="preserve"> 分;未提供不得</w:t>
            </w:r>
            <w:r>
              <w:rPr>
                <w:rFonts w:hint="eastAsia" w:ascii="宋体" w:hAnsi="宋体" w:cs="宋体"/>
                <w:color w:val="000000" w:themeColor="text1"/>
                <w:spacing w:val="9"/>
                <w:sz w:val="23"/>
                <w:szCs w:val="23"/>
                <w:lang w:val="en-US" w:eastAsia="zh-CN"/>
                <w14:textFill>
                  <w14:solidFill>
                    <w14:schemeClr w14:val="tx1"/>
                  </w14:solidFill>
                </w14:textFill>
              </w:rPr>
              <w:t>分。（缺陷是指：存在不适用项目实际情况的情形、凭空编造、内容不完整、逻辑不请、涉及的规范及标准错误、地点区域错误、内容缺漏、不能完全满足招标文件要求等）</w:t>
            </w:r>
          </w:p>
        </w:tc>
      </w:tr>
      <w:tr w14:paraId="5CF50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600" w:type="dxa"/>
            <w:vAlign w:val="top"/>
          </w:tcPr>
          <w:p w14:paraId="1268F466">
            <w:pPr>
              <w:spacing w:line="247" w:lineRule="auto"/>
              <w:rPr>
                <w:rFonts w:ascii="Arial"/>
                <w:color w:val="000000" w:themeColor="text1"/>
                <w:sz w:val="21"/>
                <w14:textFill>
                  <w14:solidFill>
                    <w14:schemeClr w14:val="tx1"/>
                  </w14:solidFill>
                </w14:textFill>
              </w:rPr>
            </w:pPr>
          </w:p>
          <w:p w14:paraId="200472C3">
            <w:pPr>
              <w:spacing w:line="247" w:lineRule="auto"/>
              <w:rPr>
                <w:rFonts w:ascii="Arial"/>
                <w:color w:val="000000" w:themeColor="text1"/>
                <w:sz w:val="21"/>
                <w14:textFill>
                  <w14:solidFill>
                    <w14:schemeClr w14:val="tx1"/>
                  </w14:solidFill>
                </w14:textFill>
              </w:rPr>
            </w:pPr>
          </w:p>
          <w:p w14:paraId="39EFBAC9">
            <w:pPr>
              <w:spacing w:before="74" w:line="188"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4</w:t>
            </w:r>
          </w:p>
        </w:tc>
        <w:tc>
          <w:tcPr>
            <w:tcW w:w="1185" w:type="dxa"/>
            <w:vAlign w:val="top"/>
          </w:tcPr>
          <w:p w14:paraId="69050237">
            <w:pPr>
              <w:spacing w:before="75" w:line="245" w:lineRule="auto"/>
              <w:ind w:right="216"/>
              <w:jc w:val="both"/>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后续服务与回访</w:t>
            </w:r>
          </w:p>
        </w:tc>
        <w:tc>
          <w:tcPr>
            <w:tcW w:w="840" w:type="dxa"/>
            <w:vAlign w:val="top"/>
          </w:tcPr>
          <w:p w14:paraId="16E835B0">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0-6分</w:t>
            </w:r>
          </w:p>
        </w:tc>
        <w:tc>
          <w:tcPr>
            <w:tcW w:w="7350" w:type="dxa"/>
            <w:vAlign w:val="top"/>
          </w:tcPr>
          <w:p w14:paraId="35E34DE8">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针对本项目合同期满后的售后服务:</w:t>
            </w:r>
          </w:p>
          <w:p w14:paraId="616062B8">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1.制定回访计划包含但不限于(回访计划表、回访人员、关心关爱、相关活动计划)，得</w:t>
            </w:r>
            <w:r>
              <w:rPr>
                <w:rFonts w:hint="eastAsia" w:ascii="宋体" w:hAnsi="宋体" w:cs="宋体"/>
                <w:color w:val="000000" w:themeColor="text1"/>
                <w:spacing w:val="6"/>
                <w:sz w:val="23"/>
                <w:szCs w:val="23"/>
                <w:lang w:val="en-US" w:eastAsia="zh-CN"/>
                <w14:textFill>
                  <w14:solidFill>
                    <w14:schemeClr w14:val="tx1"/>
                  </w14:solidFill>
                </w14:textFill>
              </w:rPr>
              <w:t>2</w:t>
            </w:r>
            <w:r>
              <w:rPr>
                <w:rFonts w:hint="eastAsia" w:ascii="宋体" w:hAnsi="宋体" w:eastAsia="宋体" w:cs="宋体"/>
                <w:color w:val="000000" w:themeColor="text1"/>
                <w:spacing w:val="6"/>
                <w:sz w:val="23"/>
                <w:szCs w:val="23"/>
                <w14:textFill>
                  <w14:solidFill>
                    <w14:schemeClr w14:val="tx1"/>
                  </w14:solidFill>
                </w14:textFill>
              </w:rPr>
              <w:t>分;</w:t>
            </w:r>
          </w:p>
          <w:p w14:paraId="6245C570">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 xml:space="preserve">2.回访时间(每年回访不少于4次，每季度回访不少于1次)，满足得 </w:t>
            </w:r>
            <w:r>
              <w:rPr>
                <w:rFonts w:hint="eastAsia" w:ascii="宋体" w:hAnsi="宋体" w:cs="宋体"/>
                <w:color w:val="000000" w:themeColor="text1"/>
                <w:spacing w:val="6"/>
                <w:sz w:val="23"/>
                <w:szCs w:val="23"/>
                <w:lang w:val="en-US" w:eastAsia="zh-CN"/>
                <w14:textFill>
                  <w14:solidFill>
                    <w14:schemeClr w14:val="tx1"/>
                  </w14:solidFill>
                </w14:textFill>
              </w:rPr>
              <w:t>2</w:t>
            </w:r>
            <w:r>
              <w:rPr>
                <w:rFonts w:hint="eastAsia" w:ascii="宋体" w:hAnsi="宋体" w:eastAsia="宋体" w:cs="宋体"/>
                <w:color w:val="000000" w:themeColor="text1"/>
                <w:spacing w:val="6"/>
                <w:sz w:val="23"/>
                <w:szCs w:val="23"/>
                <w14:textFill>
                  <w14:solidFill>
                    <w14:schemeClr w14:val="tx1"/>
                  </w14:solidFill>
                </w14:textFill>
              </w:rPr>
              <w:t>分，每增加一次得1分，满分</w:t>
            </w:r>
            <w:r>
              <w:rPr>
                <w:rFonts w:hint="eastAsia" w:ascii="宋体" w:hAnsi="宋体" w:cs="宋体"/>
                <w:color w:val="000000" w:themeColor="text1"/>
                <w:spacing w:val="6"/>
                <w:sz w:val="23"/>
                <w:szCs w:val="23"/>
                <w:lang w:val="en-US" w:eastAsia="zh-CN"/>
                <w14:textFill>
                  <w14:solidFill>
                    <w14:schemeClr w14:val="tx1"/>
                  </w14:solidFill>
                </w14:textFill>
              </w:rPr>
              <w:t>4</w:t>
            </w:r>
            <w:r>
              <w:rPr>
                <w:rFonts w:hint="eastAsia" w:ascii="宋体" w:hAnsi="宋体" w:eastAsia="宋体" w:cs="宋体"/>
                <w:color w:val="000000" w:themeColor="text1"/>
                <w:spacing w:val="6"/>
                <w:sz w:val="23"/>
                <w:szCs w:val="23"/>
                <w14:textFill>
                  <w14:solidFill>
                    <w14:schemeClr w14:val="tx1"/>
                  </w14:solidFill>
                </w14:textFill>
              </w:rPr>
              <w:t>分;未提供不得分。</w:t>
            </w:r>
            <w:r>
              <w:rPr>
                <w:rFonts w:hint="eastAsia" w:ascii="宋体" w:hAnsi="宋体" w:cs="宋体"/>
                <w:color w:val="000000" w:themeColor="text1"/>
                <w:spacing w:val="9"/>
                <w:sz w:val="23"/>
                <w:szCs w:val="23"/>
                <w:lang w:val="en-US" w:eastAsia="zh-CN"/>
                <w14:textFill>
                  <w14:solidFill>
                    <w14:schemeClr w14:val="tx1"/>
                  </w14:solidFill>
                </w14:textFill>
              </w:rPr>
              <w:t>（缺陷是指：存在不适用项目实际情况的情形、凭空编造、内容不完整、逻辑不请、涉及的规范及标准错误、地点区域错误、内容缺漏、不能完全满足招标文件要求等）</w:t>
            </w:r>
          </w:p>
        </w:tc>
      </w:tr>
      <w:tr w14:paraId="0357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600" w:type="dxa"/>
            <w:vAlign w:val="top"/>
          </w:tcPr>
          <w:p w14:paraId="6391261A">
            <w:pPr>
              <w:spacing w:line="247" w:lineRule="auto"/>
              <w:rPr>
                <w:rFonts w:ascii="Arial"/>
                <w:color w:val="000000" w:themeColor="text1"/>
                <w:sz w:val="21"/>
                <w14:textFill>
                  <w14:solidFill>
                    <w14:schemeClr w14:val="tx1"/>
                  </w14:solidFill>
                </w14:textFill>
              </w:rPr>
            </w:pPr>
          </w:p>
          <w:p w14:paraId="466D0B09">
            <w:pPr>
              <w:spacing w:line="247" w:lineRule="auto"/>
              <w:rPr>
                <w:rFonts w:ascii="Arial"/>
                <w:color w:val="000000" w:themeColor="text1"/>
                <w:sz w:val="21"/>
                <w14:textFill>
                  <w14:solidFill>
                    <w14:schemeClr w14:val="tx1"/>
                  </w14:solidFill>
                </w14:textFill>
              </w:rPr>
            </w:pPr>
          </w:p>
          <w:p w14:paraId="2DC8E522">
            <w:pPr>
              <w:spacing w:before="75" w:line="187"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5</w:t>
            </w:r>
          </w:p>
        </w:tc>
        <w:tc>
          <w:tcPr>
            <w:tcW w:w="1185" w:type="dxa"/>
            <w:vAlign w:val="top"/>
          </w:tcPr>
          <w:p w14:paraId="1A7D8463">
            <w:pPr>
              <w:spacing w:before="74" w:line="239" w:lineRule="auto"/>
              <w:ind w:right="216"/>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服务承诺</w:t>
            </w:r>
          </w:p>
        </w:tc>
        <w:tc>
          <w:tcPr>
            <w:tcW w:w="840" w:type="dxa"/>
            <w:vAlign w:val="top"/>
          </w:tcPr>
          <w:p w14:paraId="394AEF59">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0-4分</w:t>
            </w:r>
          </w:p>
        </w:tc>
        <w:tc>
          <w:tcPr>
            <w:tcW w:w="7350" w:type="dxa"/>
            <w:vAlign w:val="top"/>
          </w:tcPr>
          <w:p w14:paraId="00D1F0A1">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1.承诺本公司有良好的职业道德，遵守法律，服从管理，自觉接受监督、每季度接受甲方考核的得</w:t>
            </w:r>
            <w:r>
              <w:rPr>
                <w:rFonts w:hint="eastAsia" w:ascii="宋体" w:hAnsi="宋体" w:cs="宋体"/>
                <w:color w:val="000000" w:themeColor="text1"/>
                <w:sz w:val="23"/>
                <w:szCs w:val="23"/>
                <w:lang w:val="en-US" w:eastAsia="zh-CN"/>
                <w14:textFill>
                  <w14:solidFill>
                    <w14:schemeClr w14:val="tx1"/>
                  </w14:solidFill>
                </w14:textFill>
              </w:rPr>
              <w:t>2</w:t>
            </w:r>
            <w:r>
              <w:rPr>
                <w:rFonts w:hint="eastAsia" w:ascii="宋体" w:hAnsi="宋体" w:eastAsia="宋体" w:cs="宋体"/>
                <w:color w:val="000000" w:themeColor="text1"/>
                <w:sz w:val="23"/>
                <w:szCs w:val="23"/>
                <w14:textFill>
                  <w14:solidFill>
                    <w14:schemeClr w14:val="tx1"/>
                  </w14:solidFill>
                </w14:textFill>
              </w:rPr>
              <w:t>分，未提供不得分，</w:t>
            </w:r>
          </w:p>
          <w:p w14:paraId="68604D71">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2.承诺为</w:t>
            </w:r>
            <w:r>
              <w:rPr>
                <w:rFonts w:hint="eastAsia" w:ascii="宋体" w:hAnsi="宋体" w:cs="宋体"/>
                <w:color w:val="000000" w:themeColor="text1"/>
                <w:sz w:val="23"/>
                <w:szCs w:val="23"/>
                <w:lang w:val="en-US" w:eastAsia="zh-CN"/>
                <w14:textFill>
                  <w14:solidFill>
                    <w14:schemeClr w14:val="tx1"/>
                  </w14:solidFill>
                </w14:textFill>
              </w:rPr>
              <w:t>老年人</w:t>
            </w:r>
            <w:r>
              <w:rPr>
                <w:rFonts w:hint="eastAsia" w:ascii="宋体" w:hAnsi="宋体" w:eastAsia="宋体" w:cs="宋体"/>
                <w:color w:val="000000" w:themeColor="text1"/>
                <w:sz w:val="23"/>
                <w:szCs w:val="23"/>
                <w14:textFill>
                  <w14:solidFill>
                    <w14:schemeClr w14:val="tx1"/>
                  </w14:solidFill>
                </w14:textFill>
              </w:rPr>
              <w:t>提供 24 小时的生活护理服务提供时间安排计划表的得</w:t>
            </w:r>
            <w:r>
              <w:rPr>
                <w:rFonts w:hint="eastAsia" w:ascii="宋体" w:hAnsi="宋体" w:cs="宋体"/>
                <w:color w:val="000000" w:themeColor="text1"/>
                <w:sz w:val="23"/>
                <w:szCs w:val="23"/>
                <w:lang w:val="en-US" w:eastAsia="zh-CN"/>
                <w14:textFill>
                  <w14:solidFill>
                    <w14:schemeClr w14:val="tx1"/>
                  </w14:solidFill>
                </w14:textFill>
              </w:rPr>
              <w:t>2</w:t>
            </w:r>
            <w:r>
              <w:rPr>
                <w:rFonts w:hint="eastAsia" w:ascii="宋体" w:hAnsi="宋体" w:eastAsia="宋体" w:cs="宋体"/>
                <w:color w:val="000000" w:themeColor="text1"/>
                <w:sz w:val="23"/>
                <w:szCs w:val="23"/>
                <w14:textFill>
                  <w14:solidFill>
                    <w14:schemeClr w14:val="tx1"/>
                  </w14:solidFill>
                </w14:textFill>
              </w:rPr>
              <w:t>分，不提供不得分。</w:t>
            </w:r>
          </w:p>
        </w:tc>
      </w:tr>
      <w:tr w14:paraId="0A87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600" w:type="dxa"/>
            <w:vAlign w:val="top"/>
          </w:tcPr>
          <w:p w14:paraId="2CE2154F">
            <w:pPr>
              <w:spacing w:line="442" w:lineRule="auto"/>
              <w:rPr>
                <w:rFonts w:ascii="Arial"/>
                <w:color w:val="000000" w:themeColor="text1"/>
                <w:sz w:val="21"/>
                <w14:textFill>
                  <w14:solidFill>
                    <w14:schemeClr w14:val="tx1"/>
                  </w14:solidFill>
                </w14:textFill>
              </w:rPr>
            </w:pPr>
          </w:p>
          <w:p w14:paraId="1F8CA37D">
            <w:pPr>
              <w:spacing w:before="75" w:line="187" w:lineRule="auto"/>
              <w:ind w:left="21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7</w:t>
            </w:r>
          </w:p>
        </w:tc>
        <w:tc>
          <w:tcPr>
            <w:tcW w:w="1185" w:type="dxa"/>
            <w:vAlign w:val="top"/>
          </w:tcPr>
          <w:p w14:paraId="4230D25C">
            <w:pPr>
              <w:spacing w:before="75" w:line="239" w:lineRule="auto"/>
              <w:ind w:right="96"/>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应急预案</w:t>
            </w:r>
          </w:p>
        </w:tc>
        <w:tc>
          <w:tcPr>
            <w:tcW w:w="840" w:type="dxa"/>
            <w:vAlign w:val="top"/>
          </w:tcPr>
          <w:p w14:paraId="3E7C2772">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0-18分</w:t>
            </w:r>
          </w:p>
        </w:tc>
        <w:tc>
          <w:tcPr>
            <w:tcW w:w="7350" w:type="dxa"/>
            <w:vAlign w:val="top"/>
          </w:tcPr>
          <w:p w14:paraId="42619BA4">
            <w:pPr>
              <w:spacing w:before="168" w:line="227" w:lineRule="auto"/>
              <w:ind w:left="53"/>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针对本项目制定合理完善的应急预案和应急措施，包含以下内容:1.针对服务对象的人身安全;2.急救车安排计划;3.人员安排人员更替;4.防火、防电;5.突发疾病等预防措施;6.应急响应时间;根据以上要求，每提供1项得</w:t>
            </w:r>
            <w:r>
              <w:rPr>
                <w:rFonts w:hint="eastAsia" w:ascii="宋体" w:hAnsi="宋体" w:cs="宋体"/>
                <w:color w:val="000000" w:themeColor="text1"/>
                <w:sz w:val="23"/>
                <w:szCs w:val="23"/>
                <w:lang w:val="en-US" w:eastAsia="zh-CN"/>
                <w14:textFill>
                  <w14:solidFill>
                    <w14:schemeClr w14:val="tx1"/>
                  </w14:solidFill>
                </w14:textFill>
              </w:rPr>
              <w:t>3</w:t>
            </w:r>
            <w:r>
              <w:rPr>
                <w:rFonts w:hint="eastAsia" w:ascii="宋体" w:hAnsi="宋体" w:eastAsia="宋体" w:cs="宋体"/>
                <w:color w:val="000000" w:themeColor="text1"/>
                <w:sz w:val="23"/>
                <w:szCs w:val="23"/>
                <w14:textFill>
                  <w14:solidFill>
                    <w14:schemeClr w14:val="tx1"/>
                  </w14:solidFill>
                </w14:textFill>
              </w:rPr>
              <w:t>分，满分1</w:t>
            </w:r>
            <w:r>
              <w:rPr>
                <w:rFonts w:hint="eastAsia" w:ascii="宋体" w:hAnsi="宋体" w:cs="宋体"/>
                <w:color w:val="000000" w:themeColor="text1"/>
                <w:sz w:val="23"/>
                <w:szCs w:val="23"/>
                <w:lang w:val="en-US" w:eastAsia="zh-CN"/>
                <w14:textFill>
                  <w14:solidFill>
                    <w14:schemeClr w14:val="tx1"/>
                  </w14:solidFill>
                </w14:textFill>
              </w:rPr>
              <w:t>8</w:t>
            </w:r>
            <w:r>
              <w:rPr>
                <w:rFonts w:hint="eastAsia" w:ascii="宋体" w:hAnsi="宋体" w:eastAsia="宋体" w:cs="宋体"/>
                <w:color w:val="000000" w:themeColor="text1"/>
                <w:sz w:val="23"/>
                <w:szCs w:val="23"/>
                <w14:textFill>
                  <w14:solidFill>
                    <w14:schemeClr w14:val="tx1"/>
                  </w14:solidFill>
                </w14:textFill>
              </w:rPr>
              <w:t>分;未提供不得分。</w:t>
            </w:r>
            <w:r>
              <w:rPr>
                <w:rFonts w:hint="eastAsia" w:ascii="宋体" w:hAnsi="宋体" w:cs="宋体"/>
                <w:color w:val="000000" w:themeColor="text1"/>
                <w:spacing w:val="9"/>
                <w:sz w:val="23"/>
                <w:szCs w:val="23"/>
                <w:lang w:val="en-US" w:eastAsia="zh-CN"/>
                <w14:textFill>
                  <w14:solidFill>
                    <w14:schemeClr w14:val="tx1"/>
                  </w14:solidFill>
                </w14:textFill>
              </w:rPr>
              <w:t>（缺陷是指：存在不适用项目实际情况的情形、凭空编造、内容不完整、逻辑不请、涉及的规范及标准错误、地点区域错误、内容缺漏、不能完全满足招标文件要求等）</w:t>
            </w:r>
          </w:p>
        </w:tc>
      </w:tr>
    </w:tbl>
    <w:p w14:paraId="121ABE92">
      <w:pPr>
        <w:pStyle w:val="13"/>
      </w:pPr>
    </w:p>
    <w:p w14:paraId="7CD3BA82"/>
    <w:p w14:paraId="3265D392"/>
    <w:p w14:paraId="7C4980D3">
      <w:pPr>
        <w:sectPr>
          <w:footerReference r:id="rId6" w:type="default"/>
          <w:type w:val="continuous"/>
          <w:pgSz w:w="11900" w:h="16838"/>
          <w:pgMar w:top="400" w:right="603" w:bottom="663" w:left="1253" w:header="0" w:footer="496" w:gutter="0"/>
          <w:cols w:space="720" w:num="1"/>
        </w:sectPr>
      </w:pPr>
    </w:p>
    <w:p w14:paraId="7F943CAE">
      <w:pPr>
        <w:spacing w:line="360" w:lineRule="auto"/>
        <w:jc w:val="both"/>
        <w:outlineLvl w:val="0"/>
        <w:rPr>
          <w:rFonts w:hint="eastAsia" w:asciiTheme="minorEastAsia" w:hAnsiTheme="minorEastAsia" w:eastAsiaTheme="minorEastAsia" w:cstheme="minorEastAsia"/>
          <w:b/>
          <w:sz w:val="36"/>
          <w:szCs w:val="36"/>
        </w:rPr>
      </w:pPr>
    </w:p>
    <w:p w14:paraId="33F3D4D6">
      <w:pPr>
        <w:spacing w:line="360" w:lineRule="auto"/>
        <w:jc w:val="center"/>
        <w:outlineLvl w:val="0"/>
        <w:rPr>
          <w:rFonts w:hint="eastAsia" w:asciiTheme="minorEastAsia" w:hAnsiTheme="minorEastAsia" w:eastAsiaTheme="minorEastAsia" w:cstheme="minorEastAsia"/>
          <w:b/>
          <w:kern w:val="2"/>
          <w:sz w:val="28"/>
          <w:szCs w:val="28"/>
          <w:lang w:val="en-US" w:eastAsia="zh-CN" w:bidi="ar-SA"/>
        </w:rPr>
      </w:pPr>
      <w:r>
        <w:rPr>
          <w:rFonts w:hint="eastAsia" w:asciiTheme="minorEastAsia" w:hAnsiTheme="minorEastAsia" w:eastAsiaTheme="minorEastAsia" w:cstheme="minorEastAsia"/>
          <w:b/>
          <w:sz w:val="36"/>
          <w:szCs w:val="36"/>
        </w:rPr>
        <w:t>第五章   采购需求</w:t>
      </w:r>
      <w:bookmarkEnd w:id="282"/>
      <w:bookmarkStart w:id="283" w:name="_Toc2874"/>
    </w:p>
    <w:tbl>
      <w:tblPr>
        <w:tblStyle w:val="3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78"/>
        <w:gridCol w:w="2380"/>
        <w:gridCol w:w="1331"/>
        <w:gridCol w:w="2325"/>
      </w:tblGrid>
      <w:tr w14:paraId="553C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862" w:type="dxa"/>
            <w:noWrap w:val="0"/>
            <w:vAlign w:val="center"/>
          </w:tcPr>
          <w:p w14:paraId="1C4A8FCA">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项目名称</w:t>
            </w:r>
          </w:p>
        </w:tc>
        <w:tc>
          <w:tcPr>
            <w:tcW w:w="2678" w:type="dxa"/>
            <w:noWrap w:val="0"/>
            <w:vAlign w:val="center"/>
          </w:tcPr>
          <w:p w14:paraId="255B471B">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服务内容</w:t>
            </w:r>
          </w:p>
        </w:tc>
        <w:tc>
          <w:tcPr>
            <w:tcW w:w="2380" w:type="dxa"/>
            <w:noWrap w:val="0"/>
            <w:vAlign w:val="center"/>
          </w:tcPr>
          <w:p w14:paraId="61BC5BD1">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服务要求</w:t>
            </w:r>
          </w:p>
        </w:tc>
        <w:tc>
          <w:tcPr>
            <w:tcW w:w="1331" w:type="dxa"/>
            <w:noWrap w:val="0"/>
            <w:vAlign w:val="center"/>
          </w:tcPr>
          <w:p w14:paraId="7356592D">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时间期限</w:t>
            </w:r>
          </w:p>
        </w:tc>
        <w:tc>
          <w:tcPr>
            <w:tcW w:w="2325" w:type="dxa"/>
            <w:noWrap w:val="0"/>
            <w:vAlign w:val="center"/>
          </w:tcPr>
          <w:p w14:paraId="42F95519">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评估方法</w:t>
            </w:r>
          </w:p>
        </w:tc>
      </w:tr>
      <w:tr w14:paraId="5D26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4D1909A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基本生活照料服务</w:t>
            </w:r>
          </w:p>
        </w:tc>
        <w:tc>
          <w:tcPr>
            <w:tcW w:w="2678" w:type="dxa"/>
            <w:noWrap w:val="0"/>
            <w:vAlign w:val="center"/>
          </w:tcPr>
          <w:p w14:paraId="4B9485C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通过购买服务，由第三方组建照料护理团队，对老年人提供用餐、饮水、用药、穿（脱）衣、洗漱、洗澡、如厕等生活照料、生病看护以及需求转介等服务，协助做好院舍安全隐患排查。</w:t>
            </w:r>
          </w:p>
        </w:tc>
        <w:tc>
          <w:tcPr>
            <w:tcW w:w="2380" w:type="dxa"/>
            <w:noWrap w:val="0"/>
            <w:vAlign w:val="center"/>
          </w:tcPr>
          <w:p w14:paraId="0A8A2E2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对老年人的每日三餐按时留样、做到每一名老年人按时就餐，衣着干净整洁、住宿环境干净、整洁、温馨，老年人的行为习惯规范。</w:t>
            </w:r>
          </w:p>
        </w:tc>
        <w:tc>
          <w:tcPr>
            <w:tcW w:w="1331" w:type="dxa"/>
            <w:noWrap w:val="0"/>
            <w:vAlign w:val="center"/>
          </w:tcPr>
          <w:p w14:paraId="6FB9D6C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1528E3E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D32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0725054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残疾老年人服务</w:t>
            </w:r>
          </w:p>
        </w:tc>
        <w:tc>
          <w:tcPr>
            <w:tcW w:w="2678" w:type="dxa"/>
            <w:noWrap w:val="0"/>
            <w:vAlign w:val="center"/>
          </w:tcPr>
          <w:p w14:paraId="101A5A6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第三方对机构内残疾老年人进行专业式康复训练，对不同残疾老年人制定康复训练计划，要有成效。</w:t>
            </w:r>
          </w:p>
        </w:tc>
        <w:tc>
          <w:tcPr>
            <w:tcW w:w="2380" w:type="dxa"/>
            <w:noWrap w:val="0"/>
            <w:vAlign w:val="center"/>
          </w:tcPr>
          <w:p w14:paraId="069A01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对残疾老年人制定康复训练计划，并对重残老年人进行专人负责专人照料康复。计划由养老机构负责人审批，按照计划执行。</w:t>
            </w:r>
          </w:p>
        </w:tc>
        <w:tc>
          <w:tcPr>
            <w:tcW w:w="1331" w:type="dxa"/>
            <w:noWrap w:val="0"/>
            <w:vAlign w:val="center"/>
          </w:tcPr>
          <w:p w14:paraId="7645B8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01ECF7F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1883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4E6E862F">
            <w:pPr>
              <w:keepNext w:val="0"/>
              <w:keepLines w:val="0"/>
              <w:pageBreakBefore w:val="0"/>
              <w:widowControl/>
              <w:kinsoku/>
              <w:wordWrap/>
              <w:overflowPunct/>
              <w:topLinePunct w:val="0"/>
              <w:autoSpaceDE/>
              <w:autoSpaceDN/>
              <w:bidi w:val="0"/>
              <w:adjustRightInd w:val="0"/>
              <w:snapToGrid w:val="0"/>
              <w:spacing w:after="0" w:line="520" w:lineRule="exact"/>
              <w:jc w:val="center"/>
              <w:rPr>
                <w:rFonts w:hint="default" w:ascii="仿宋" w:hAnsi="仿宋" w:eastAsia="仿宋" w:cs="仿宋"/>
                <w:b w:val="0"/>
                <w:bCs w:val="0"/>
                <w:i w:val="0"/>
                <w:iCs w:val="0"/>
                <w:sz w:val="20"/>
                <w:szCs w:val="20"/>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送医陪护服务</w:t>
            </w:r>
          </w:p>
        </w:tc>
        <w:tc>
          <w:tcPr>
            <w:tcW w:w="2678" w:type="dxa"/>
            <w:noWrap w:val="0"/>
            <w:vAlign w:val="center"/>
          </w:tcPr>
          <w:p w14:paraId="3D101DF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陪送有需要的入住老人就医，并代为挂号、取药，陪同就诊、检查及住院陪护等。</w:t>
            </w:r>
          </w:p>
        </w:tc>
        <w:tc>
          <w:tcPr>
            <w:tcW w:w="2380" w:type="dxa"/>
            <w:noWrap w:val="0"/>
            <w:vAlign w:val="center"/>
          </w:tcPr>
          <w:p w14:paraId="54A1A4F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发现老年人生病以后第一时间送医就诊陪护</w:t>
            </w:r>
          </w:p>
        </w:tc>
        <w:tc>
          <w:tcPr>
            <w:tcW w:w="1331" w:type="dxa"/>
            <w:noWrap w:val="0"/>
            <w:vAlign w:val="center"/>
          </w:tcPr>
          <w:p w14:paraId="46471A8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58579BE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723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862" w:type="dxa"/>
            <w:noWrap w:val="0"/>
            <w:vAlign w:val="center"/>
          </w:tcPr>
          <w:p w14:paraId="126AB6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心理疏导服务</w:t>
            </w:r>
          </w:p>
        </w:tc>
        <w:tc>
          <w:tcPr>
            <w:tcW w:w="2678" w:type="dxa"/>
            <w:noWrap w:val="0"/>
            <w:vAlign w:val="center"/>
          </w:tcPr>
          <w:p w14:paraId="120F0A7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协助专业人士对患有抑郁症、痴呆症、焦虑症等认知和情绪问题提供心理辅导；在精神上关怀老年人，帮助老年人适应角色转变。帮助困难老年人抚慰消极和敌视情绪、缓解心理压力、矫正不良行为、改变负面看法，建立积极乐观上进的心态。共同体意识。</w:t>
            </w:r>
          </w:p>
        </w:tc>
        <w:tc>
          <w:tcPr>
            <w:tcW w:w="2380" w:type="dxa"/>
            <w:noWrap w:val="0"/>
            <w:vAlign w:val="center"/>
          </w:tcPr>
          <w:p w14:paraId="3DF0C91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p>
          <w:p w14:paraId="5ACBD65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按照老年人的实际情况制定计划，计划由养老机构负责人审批，按照计划执行，每月至少邀请一位心理专家开展一次心理疏导服务</w:t>
            </w:r>
          </w:p>
        </w:tc>
        <w:tc>
          <w:tcPr>
            <w:tcW w:w="1331" w:type="dxa"/>
            <w:noWrap w:val="0"/>
            <w:vAlign w:val="center"/>
          </w:tcPr>
          <w:p w14:paraId="236AAB0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75F300D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005D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62" w:type="dxa"/>
            <w:noWrap w:val="0"/>
            <w:vAlign w:val="center"/>
          </w:tcPr>
          <w:p w14:paraId="3C1B98D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社会融入服务</w:t>
            </w:r>
          </w:p>
        </w:tc>
        <w:tc>
          <w:tcPr>
            <w:tcW w:w="2678" w:type="dxa"/>
            <w:noWrap w:val="0"/>
            <w:vAlign w:val="center"/>
          </w:tcPr>
          <w:p w14:paraId="65A5947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帮助老年人调节家庭和社会关系，引导其积极参加社会活动，逐步增强其使用社会公共资源、享受社会公共服务。专业社工每月要积极引领照料护理团队及社会力量，举办各类康乐小组、交流活动，丰富老年人精神文化生活；推动建立老年人互助小组、学习小组，建立组员支持网络；建立照顾者支持体系，为老年人照顾者提供服务。</w:t>
            </w:r>
          </w:p>
        </w:tc>
        <w:tc>
          <w:tcPr>
            <w:tcW w:w="2380" w:type="dxa"/>
            <w:noWrap w:val="0"/>
            <w:vAlign w:val="center"/>
          </w:tcPr>
          <w:p w14:paraId="7E1677D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定期组织老年人参观爱国教育基地，节假日开展大型活动，邀请社会组织开展活动</w:t>
            </w:r>
          </w:p>
        </w:tc>
        <w:tc>
          <w:tcPr>
            <w:tcW w:w="1331" w:type="dxa"/>
            <w:noWrap w:val="0"/>
            <w:vAlign w:val="center"/>
          </w:tcPr>
          <w:p w14:paraId="2E2D076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2C8710A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D9E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576" w:type="dxa"/>
            <w:gridSpan w:val="5"/>
            <w:noWrap w:val="0"/>
            <w:vAlign w:val="center"/>
          </w:tcPr>
          <w:p w14:paraId="19A229C0">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注：1、养老机构内集中供养特困人员目前约300人（其中全自理46人、半自理133人、全护理121人），具体以实际情况为准。</w:t>
            </w:r>
          </w:p>
          <w:p w14:paraId="686BC0C3">
            <w:pPr>
              <w:pStyle w:val="2"/>
              <w:numPr>
                <w:numId w:val="0"/>
              </w:numPr>
              <w:ind w:firstLine="480" w:firstLineChars="200"/>
              <w:rPr>
                <w:rFonts w:hint="default" w:ascii="仿宋" w:hAnsi="仿宋" w:eastAsia="仿宋"/>
                <w:color w:val="0000FF"/>
                <w:sz w:val="24"/>
                <w:szCs w:val="24"/>
                <w:highlight w:val="none"/>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2、养老机构内目前现有生活照料护理人员薪酬（含社保）、开展活动费用、办公费、税费、残疾人保障金、浮动社保金及管理费等费用均由中标人支付（具体以与招标人签订合同为准）。</w:t>
            </w:r>
          </w:p>
        </w:tc>
      </w:tr>
    </w:tbl>
    <w:p w14:paraId="623F08CB">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3F6206F1">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p>
    <w:p w14:paraId="227F8D44">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p>
    <w:p w14:paraId="0D7C87D8">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p>
    <w:p w14:paraId="33350EF5">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p>
    <w:p w14:paraId="4581426A">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0BFBE1BE">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6D1C80AE">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 xml:space="preserve">第六章  </w:t>
      </w:r>
      <w:bookmarkEnd w:id="283"/>
      <w:r>
        <w:rPr>
          <w:rFonts w:hint="eastAsia" w:ascii="宋体" w:hAnsi="宋体" w:eastAsia="宋体" w:cs="宋体"/>
          <w:b/>
          <w:kern w:val="2"/>
          <w:sz w:val="24"/>
          <w:szCs w:val="24"/>
          <w:lang w:val="en-US" w:eastAsia="zh-CN" w:bidi="ar-SA"/>
        </w:rPr>
        <w:t>拟签订的合同文本</w:t>
      </w:r>
    </w:p>
    <w:p w14:paraId="6004EC6F">
      <w:pPr>
        <w:snapToGrid w:val="0"/>
        <w:spacing w:line="360" w:lineRule="auto"/>
        <w:ind w:left="0" w:leftChars="0" w:firstLine="0" w:firstLineChars="0"/>
        <w:jc w:val="center"/>
        <w:rPr>
          <w:rFonts w:hint="eastAsia" w:ascii="宋体" w:hAnsi="宋体" w:eastAsia="宋体" w:cs="宋体"/>
          <w:b/>
          <w:color w:val="000000"/>
          <w:sz w:val="24"/>
          <w:szCs w:val="24"/>
          <w:highlight w:val="none"/>
        </w:rPr>
      </w:pPr>
    </w:p>
    <w:p w14:paraId="124AACCB">
      <w:pPr>
        <w:snapToGrid w:val="0"/>
        <w:spacing w:line="360" w:lineRule="auto"/>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 xml:space="preserve">部分 </w:t>
      </w:r>
      <w:r>
        <w:rPr>
          <w:rFonts w:hint="eastAsia" w:ascii="宋体" w:hAnsi="宋体" w:eastAsia="宋体" w:cs="宋体"/>
          <w:b/>
          <w:color w:val="000000"/>
          <w:sz w:val="24"/>
          <w:szCs w:val="24"/>
          <w:highlight w:val="none"/>
          <w:lang w:val="en-US" w:eastAsia="zh-CN"/>
        </w:rPr>
        <w:t>合同</w:t>
      </w:r>
      <w:r>
        <w:rPr>
          <w:rFonts w:hint="eastAsia" w:ascii="宋体" w:hAnsi="宋体" w:eastAsia="宋体" w:cs="宋体"/>
          <w:b/>
          <w:bCs/>
          <w:kern w:val="2"/>
          <w:sz w:val="24"/>
          <w:szCs w:val="24"/>
          <w:lang w:val="en-US" w:eastAsia="zh-CN" w:bidi="ar-SA"/>
        </w:rPr>
        <w:t>主要条款</w:t>
      </w:r>
    </w:p>
    <w:p w14:paraId="7BFCF253">
      <w:pPr>
        <w:snapToGrid w:val="0"/>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(本合同仅供参考，最终合同由采购人与中标人协商确定)</w:t>
      </w:r>
    </w:p>
    <w:p w14:paraId="792F500F">
      <w:pPr>
        <w:snapToGrid w:val="0"/>
        <w:spacing w:line="360" w:lineRule="auto"/>
        <w:ind w:left="0" w:leftChars="0" w:firstLine="0" w:firstLineChars="0"/>
        <w:jc w:val="left"/>
        <w:rPr>
          <w:rFonts w:hint="eastAsia" w:ascii="宋体" w:hAnsi="宋体" w:eastAsia="宋体" w:cs="宋体"/>
          <w:kern w:val="2"/>
          <w:sz w:val="24"/>
          <w:szCs w:val="24"/>
          <w:u w:val="single"/>
          <w:lang w:val="en-US" w:eastAsia="zh-CN" w:bidi="ar-SA"/>
        </w:rPr>
      </w:pPr>
    </w:p>
    <w:p w14:paraId="4B8D6D75">
      <w:pPr>
        <w:widowControl/>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 xml:space="preserve">                                                 </w:t>
      </w:r>
    </w:p>
    <w:p w14:paraId="37B60154">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合同编号：                                         </w:t>
      </w:r>
    </w:p>
    <w:p w14:paraId="0AD3ABAA">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签订地点：                                         </w:t>
      </w:r>
    </w:p>
    <w:p w14:paraId="1D8F642E">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签订时间：                                         </w:t>
      </w:r>
    </w:p>
    <w:p w14:paraId="16826A47">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采购人（甲方）：                                          </w:t>
      </w:r>
    </w:p>
    <w:p w14:paraId="67FF095A">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供应商（乙方）：                                          </w:t>
      </w:r>
    </w:p>
    <w:p w14:paraId="073FC18C">
      <w:pPr>
        <w:spacing w:line="400" w:lineRule="exact"/>
        <w:rPr>
          <w:rFonts w:hint="eastAsia" w:ascii="宋体" w:hAnsi="宋体" w:eastAsia="宋体" w:cs="宋体"/>
          <w:sz w:val="24"/>
          <w:szCs w:val="24"/>
        </w:rPr>
      </w:pPr>
    </w:p>
    <w:p w14:paraId="7A0048A5">
      <w:pPr>
        <w:pStyle w:val="58"/>
        <w:ind w:firstLine="42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根据《中华人民共和国政府采购法》、《中华人民共和国合同法》及</w:t>
      </w:r>
      <w:r>
        <w:rPr>
          <w:rFonts w:hint="eastAsia" w:ascii="宋体" w:hAnsi="宋体" w:eastAsia="宋体" w:cs="宋体"/>
          <w:color w:val="000000"/>
          <w:sz w:val="24"/>
          <w:szCs w:val="24"/>
        </w:rPr>
        <w:t>XX</w:t>
      </w:r>
      <w:r>
        <w:rPr>
          <w:rFonts w:hint="eastAsia" w:ascii="宋体" w:hAnsi="宋体" w:eastAsia="宋体" w:cs="宋体"/>
          <w:sz w:val="24"/>
          <w:szCs w:val="24"/>
        </w:rPr>
        <w:t>政府采购中心采购项目（项目编号：</w:t>
      </w:r>
      <w:r>
        <w:rPr>
          <w:rFonts w:hint="eastAsia" w:ascii="宋体" w:hAnsi="宋体" w:eastAsia="宋体" w:cs="宋体"/>
          <w:color w:val="000000"/>
          <w:sz w:val="24"/>
          <w:szCs w:val="24"/>
        </w:rPr>
        <w:t>XX</w:t>
      </w:r>
      <w:r>
        <w:rPr>
          <w:rFonts w:hint="eastAsia" w:ascii="宋体" w:hAnsi="宋体" w:eastAsia="宋体" w:cs="宋体"/>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6A4A5BA">
      <w:pPr>
        <w:rPr>
          <w:rFonts w:hint="eastAsia" w:ascii="宋体" w:hAnsi="宋体" w:eastAsia="宋体" w:cs="宋体"/>
          <w:b/>
          <w:sz w:val="24"/>
          <w:szCs w:val="24"/>
        </w:rPr>
      </w:pPr>
      <w:bookmarkStart w:id="284" w:name="_Toc217446107"/>
      <w:r>
        <w:rPr>
          <w:rFonts w:hint="eastAsia" w:ascii="宋体" w:hAnsi="宋体" w:eastAsia="宋体" w:cs="宋体"/>
          <w:b/>
          <w:sz w:val="24"/>
          <w:szCs w:val="24"/>
        </w:rPr>
        <w:t>一、合同货物</w:t>
      </w:r>
      <w:bookmarkEnd w:id="284"/>
    </w:p>
    <w:tbl>
      <w:tblPr>
        <w:tblStyle w:val="30"/>
        <w:tblW w:w="73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968"/>
        <w:gridCol w:w="743"/>
        <w:gridCol w:w="885"/>
        <w:gridCol w:w="1027"/>
        <w:gridCol w:w="1154"/>
        <w:gridCol w:w="1085"/>
      </w:tblGrid>
      <w:tr w14:paraId="795A0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1583A6A8">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货物品名</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63BA87C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规格</w:t>
            </w:r>
          </w:p>
          <w:p w14:paraId="0ABB0A0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344785D">
            <w:pPr>
              <w:spacing w:line="400" w:lineRule="exact"/>
              <w:rPr>
                <w:rFonts w:hint="eastAsia" w:ascii="宋体" w:hAnsi="宋体" w:eastAsia="宋体" w:cs="宋体"/>
                <w:sz w:val="24"/>
                <w:szCs w:val="24"/>
              </w:rPr>
            </w:pPr>
            <w:r>
              <w:rPr>
                <w:rFonts w:hint="eastAsia" w:ascii="宋体" w:hAnsi="宋体" w:eastAsia="宋体" w:cs="宋体"/>
                <w:sz w:val="24"/>
                <w:szCs w:val="24"/>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49190E">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数量</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A56DA65">
            <w:pPr>
              <w:spacing w:line="4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单价</w:t>
            </w:r>
          </w:p>
          <w:p w14:paraId="5F3DCF7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0026540">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总价</w:t>
            </w:r>
          </w:p>
          <w:p w14:paraId="166E22FA">
            <w:pPr>
              <w:spacing w:line="400" w:lineRule="exact"/>
              <w:rPr>
                <w:rFonts w:hint="eastAsia" w:ascii="宋体" w:hAnsi="宋体" w:eastAsia="宋体" w:cs="宋体"/>
                <w:sz w:val="24"/>
                <w:szCs w:val="24"/>
              </w:rPr>
            </w:pPr>
            <w:r>
              <w:rPr>
                <w:rFonts w:hint="eastAsia" w:ascii="宋体" w:hAnsi="宋体" w:eastAsia="宋体" w:cs="宋体"/>
                <w:sz w:val="24"/>
                <w:szCs w:val="24"/>
              </w:rPr>
              <w:t>（万元）</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71F1F04E">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交货期</w:t>
            </w:r>
          </w:p>
        </w:tc>
      </w:tr>
      <w:tr w14:paraId="79FF8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7BC8447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31B2C0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FA9315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70B419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2307F6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C027E7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3EAA07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B47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60E5600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78B432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FD1CFC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2A4F65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C5A5E2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0943AC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A79466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bl>
    <w:p w14:paraId="13BA65A2">
      <w:pPr>
        <w:rPr>
          <w:rFonts w:hint="eastAsia" w:ascii="宋体" w:hAnsi="宋体" w:eastAsia="宋体" w:cs="宋体"/>
          <w:b/>
          <w:sz w:val="24"/>
          <w:szCs w:val="24"/>
        </w:rPr>
      </w:pPr>
      <w:bookmarkStart w:id="285" w:name="_Toc217446108"/>
      <w:r>
        <w:rPr>
          <w:rFonts w:hint="eastAsia" w:ascii="宋体" w:hAnsi="宋体" w:eastAsia="宋体" w:cs="宋体"/>
          <w:b/>
          <w:sz w:val="24"/>
          <w:szCs w:val="24"/>
        </w:rPr>
        <w:t>二、合同总价</w:t>
      </w:r>
      <w:bookmarkEnd w:id="285"/>
    </w:p>
    <w:p w14:paraId="5FAB1972">
      <w:pPr>
        <w:pStyle w:val="9"/>
        <w:spacing w:line="4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合同总价为人民币大写：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85AB479">
      <w:pPr>
        <w:outlineLvl w:val="1"/>
        <w:rPr>
          <w:rFonts w:hint="eastAsia" w:ascii="宋体" w:hAnsi="宋体" w:eastAsia="宋体" w:cs="宋体"/>
          <w:b/>
          <w:sz w:val="24"/>
          <w:szCs w:val="24"/>
        </w:rPr>
      </w:pPr>
      <w:bookmarkStart w:id="286" w:name="_Toc217446109"/>
      <w:r>
        <w:rPr>
          <w:rFonts w:hint="eastAsia" w:ascii="宋体" w:hAnsi="宋体" w:eastAsia="宋体" w:cs="宋体"/>
          <w:b/>
          <w:sz w:val="24"/>
          <w:szCs w:val="24"/>
        </w:rPr>
        <w:t>三、质量要求</w:t>
      </w:r>
      <w:bookmarkEnd w:id="286"/>
    </w:p>
    <w:p w14:paraId="3A1C8E45">
      <w:pPr>
        <w:pStyle w:val="58"/>
        <w:ind w:firstLine="420"/>
        <w:rPr>
          <w:rFonts w:hint="eastAsia" w:ascii="宋体" w:hAnsi="宋体" w:eastAsia="宋体" w:cs="宋体"/>
          <w:sz w:val="24"/>
          <w:szCs w:val="24"/>
        </w:rPr>
      </w:pPr>
      <w:r>
        <w:rPr>
          <w:rFonts w:hint="eastAsia" w:ascii="宋体" w:hAnsi="宋体" w:eastAsia="宋体" w:cs="宋体"/>
          <w:sz w:val="24"/>
          <w:szCs w:val="24"/>
        </w:rPr>
        <w:t>1、乙方须提供全新的货物（含零部件、配件等），表面无划伤、无碰撞痕迹，且权属清楚，不得侵害他人的知识产权。</w:t>
      </w:r>
    </w:p>
    <w:p w14:paraId="0E7B7C8D">
      <w:pPr>
        <w:pStyle w:val="58"/>
        <w:ind w:firstLine="420"/>
        <w:rPr>
          <w:rFonts w:hint="eastAsia" w:ascii="宋体" w:hAnsi="宋体" w:eastAsia="宋体" w:cs="宋体"/>
          <w:sz w:val="24"/>
          <w:szCs w:val="24"/>
        </w:rPr>
      </w:pPr>
      <w:r>
        <w:rPr>
          <w:rFonts w:hint="eastAsia" w:ascii="宋体" w:hAnsi="宋体" w:eastAsia="宋体" w:cs="宋体"/>
          <w:sz w:val="24"/>
          <w:szCs w:val="24"/>
        </w:rPr>
        <w:t>货物必须符合或优于国家（行业）标准，以及本项目招标文件的质量要求和技术指标与出厂标准。</w:t>
      </w:r>
    </w:p>
    <w:p w14:paraId="5A48BBEC">
      <w:pPr>
        <w:pStyle w:val="58"/>
        <w:ind w:firstLine="420"/>
        <w:rPr>
          <w:rFonts w:hint="eastAsia" w:ascii="宋体" w:hAnsi="宋体" w:eastAsia="宋体" w:cs="宋体"/>
          <w:sz w:val="24"/>
          <w:szCs w:val="24"/>
        </w:rPr>
      </w:pPr>
      <w:r>
        <w:rPr>
          <w:rFonts w:hint="eastAsia" w:ascii="宋体" w:hAnsi="宋体" w:eastAsia="宋体" w:cs="宋体"/>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10EFC81">
      <w:pPr>
        <w:pStyle w:val="58"/>
        <w:ind w:firstLine="420"/>
        <w:rPr>
          <w:rFonts w:hint="eastAsia" w:ascii="宋体" w:hAnsi="宋体" w:eastAsia="宋体" w:cs="宋体"/>
          <w:sz w:val="24"/>
          <w:szCs w:val="24"/>
        </w:rPr>
      </w:pPr>
      <w:r>
        <w:rPr>
          <w:rFonts w:hint="eastAsia" w:ascii="宋体" w:hAnsi="宋体" w:eastAsia="宋体" w:cs="宋体"/>
          <w:sz w:val="24"/>
          <w:szCs w:val="24"/>
        </w:rPr>
        <w:t>4、货物制造质量出现问题，乙方应负责三包（包修、包换、包退），费用由乙方负担，甲方有权到乙方生产场地检查货物质量和生产进度。</w:t>
      </w:r>
    </w:p>
    <w:p w14:paraId="116131D9">
      <w:pPr>
        <w:pStyle w:val="58"/>
        <w:ind w:firstLine="420"/>
        <w:rPr>
          <w:rFonts w:hint="eastAsia" w:ascii="宋体" w:hAnsi="宋体" w:eastAsia="宋体" w:cs="宋体"/>
          <w:sz w:val="24"/>
          <w:szCs w:val="24"/>
        </w:rPr>
      </w:pPr>
      <w:r>
        <w:rPr>
          <w:rFonts w:hint="eastAsia" w:ascii="宋体" w:hAnsi="宋体" w:eastAsia="宋体" w:cs="宋体"/>
          <w:sz w:val="24"/>
          <w:szCs w:val="24"/>
        </w:rPr>
        <w:t>5、货到现场后由于甲方保管不当造成的质量问题，乙方亦应负责修理，但费用由甲方负担。</w:t>
      </w:r>
    </w:p>
    <w:p w14:paraId="5F3088C6">
      <w:pPr>
        <w:outlineLvl w:val="1"/>
        <w:rPr>
          <w:rFonts w:hint="eastAsia" w:ascii="宋体" w:hAnsi="宋体" w:eastAsia="宋体" w:cs="宋体"/>
          <w:b/>
          <w:sz w:val="24"/>
          <w:szCs w:val="24"/>
        </w:rPr>
      </w:pPr>
      <w:bookmarkStart w:id="287" w:name="_Toc217446110"/>
      <w:r>
        <w:rPr>
          <w:rFonts w:hint="eastAsia" w:ascii="宋体" w:hAnsi="宋体" w:eastAsia="宋体" w:cs="宋体"/>
          <w:b/>
          <w:sz w:val="24"/>
          <w:szCs w:val="24"/>
        </w:rPr>
        <w:t>四、交货及验收</w:t>
      </w:r>
      <w:bookmarkEnd w:id="287"/>
    </w:p>
    <w:p w14:paraId="1FF725DC">
      <w:pPr>
        <w:pStyle w:val="58"/>
        <w:ind w:firstLine="420"/>
        <w:rPr>
          <w:rFonts w:hint="eastAsia" w:ascii="宋体" w:hAnsi="宋体" w:eastAsia="宋体" w:cs="宋体"/>
          <w:sz w:val="24"/>
          <w:szCs w:val="24"/>
        </w:rPr>
      </w:pPr>
      <w:r>
        <w:rPr>
          <w:rFonts w:hint="eastAsia" w:ascii="宋体" w:hAnsi="宋体" w:eastAsia="宋体" w:cs="宋体"/>
          <w:sz w:val="24"/>
          <w:szCs w:val="24"/>
        </w:rPr>
        <w:t>1、乙方交货期限为合同签订生效后的</w:t>
      </w:r>
      <w:r>
        <w:rPr>
          <w:rFonts w:hint="eastAsia" w:ascii="宋体" w:hAnsi="宋体" w:eastAsia="宋体" w:cs="宋体"/>
          <w:color w:val="000000"/>
          <w:sz w:val="24"/>
          <w:szCs w:val="24"/>
        </w:rPr>
        <w:t>XX</w:t>
      </w:r>
      <w:r>
        <w:rPr>
          <w:rFonts w:hint="eastAsia" w:ascii="宋体" w:hAnsi="宋体" w:eastAsia="宋体" w:cs="宋体"/>
          <w:sz w:val="24"/>
          <w:szCs w:val="24"/>
        </w:rPr>
        <w:t>日内，在合同签订生效之日起</w:t>
      </w:r>
      <w:r>
        <w:rPr>
          <w:rFonts w:hint="eastAsia" w:ascii="宋体" w:hAnsi="宋体" w:eastAsia="宋体" w:cs="宋体"/>
          <w:color w:val="000000"/>
          <w:sz w:val="24"/>
          <w:szCs w:val="24"/>
        </w:rPr>
        <w:t>XX</w:t>
      </w:r>
      <w:r>
        <w:rPr>
          <w:rFonts w:hint="eastAsia" w:ascii="宋体" w:hAnsi="宋体" w:eastAsia="宋体" w:cs="宋体"/>
          <w:sz w:val="24"/>
          <w:szCs w:val="24"/>
        </w:rPr>
        <w:t>天内交货到甲方指定地点，随即在</w:t>
      </w:r>
      <w:r>
        <w:rPr>
          <w:rFonts w:hint="eastAsia" w:ascii="宋体" w:hAnsi="宋体" w:eastAsia="宋体" w:cs="宋体"/>
          <w:color w:val="000000"/>
          <w:sz w:val="24"/>
          <w:szCs w:val="24"/>
        </w:rPr>
        <w:t>XX</w:t>
      </w:r>
      <w:r>
        <w:rPr>
          <w:rFonts w:hint="eastAsia" w:ascii="宋体" w:hAnsi="宋体" w:eastAsia="宋体" w:cs="宋体"/>
          <w:sz w:val="24"/>
          <w:szCs w:val="24"/>
        </w:rPr>
        <w:t>日内全部完成安装调试验收合格交付使用，并且最迟应在</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w:t>
      </w:r>
      <w:r>
        <w:rPr>
          <w:rFonts w:hint="eastAsia" w:ascii="宋体" w:hAnsi="宋体" w:eastAsia="宋体" w:cs="宋体"/>
          <w:sz w:val="24"/>
          <w:szCs w:val="24"/>
        </w:rPr>
        <w:t>日前全部完成安装调试验收合格交付使用(如由于采购人的原因造成合同延迟签订或验收的，时间顺延)。交货验收时须提供产品质检部门从同类产品中抽样检查合格的检测报告。</w:t>
      </w:r>
    </w:p>
    <w:p w14:paraId="7642F22E">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2、验收由甲方组织，乙方配合进行：</w:t>
      </w:r>
    </w:p>
    <w:p w14:paraId="4B8F4834">
      <w:pPr>
        <w:pStyle w:val="58"/>
        <w:ind w:firstLine="420"/>
        <w:rPr>
          <w:rFonts w:hint="eastAsia" w:ascii="宋体" w:hAnsi="宋体" w:eastAsia="宋体" w:cs="宋体"/>
          <w:sz w:val="24"/>
          <w:szCs w:val="24"/>
        </w:rPr>
      </w:pPr>
      <w:r>
        <w:rPr>
          <w:rFonts w:hint="eastAsia" w:ascii="宋体" w:hAnsi="宋体" w:eastAsia="宋体" w:cs="宋体"/>
          <w:sz w:val="24"/>
          <w:szCs w:val="24"/>
        </w:rPr>
        <w:t>(1) 货物在乙方通知安装调试完毕后日内初步验收。初步验收合格后，进入试用期；试用期间发生重大质量问题，修复后试用相应顺延；试用期结束后日内完成最终验收；</w:t>
      </w:r>
    </w:p>
    <w:p w14:paraId="4EAE3A4E">
      <w:pPr>
        <w:pStyle w:val="58"/>
        <w:ind w:firstLine="420"/>
        <w:rPr>
          <w:rFonts w:hint="eastAsia"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A6DC9DA">
      <w:pPr>
        <w:pStyle w:val="58"/>
        <w:ind w:firstLine="420"/>
        <w:rPr>
          <w:rFonts w:hint="eastAsia" w:ascii="宋体" w:hAnsi="宋体" w:eastAsia="宋体" w:cs="宋体"/>
          <w:sz w:val="24"/>
          <w:szCs w:val="24"/>
        </w:rPr>
      </w:pPr>
      <w:r>
        <w:rPr>
          <w:rFonts w:hint="eastAsia" w:ascii="宋体" w:hAnsi="宋体" w:eastAsia="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F3473A0">
      <w:pPr>
        <w:pStyle w:val="58"/>
        <w:ind w:firstLine="420"/>
        <w:rPr>
          <w:rFonts w:hint="eastAsia" w:ascii="宋体" w:hAnsi="宋体" w:eastAsia="宋体" w:cs="宋体"/>
          <w:sz w:val="24"/>
          <w:szCs w:val="24"/>
        </w:rPr>
      </w:pPr>
      <w:r>
        <w:rPr>
          <w:rFonts w:hint="eastAsia" w:ascii="宋体" w:hAnsi="宋体" w:eastAsia="宋体" w:cs="宋体"/>
          <w:sz w:val="24"/>
          <w:szCs w:val="24"/>
        </w:rPr>
        <w:t>(4) 如质量验收合格，双方签署质量验收报告。</w:t>
      </w:r>
    </w:p>
    <w:p w14:paraId="3399CA98">
      <w:pPr>
        <w:pStyle w:val="58"/>
        <w:ind w:firstLine="420"/>
        <w:rPr>
          <w:rFonts w:hint="eastAsia" w:ascii="宋体" w:hAnsi="宋体" w:eastAsia="宋体" w:cs="宋体"/>
          <w:sz w:val="24"/>
          <w:szCs w:val="24"/>
        </w:rPr>
      </w:pPr>
      <w:r>
        <w:rPr>
          <w:rFonts w:hint="eastAsia" w:ascii="宋体" w:hAnsi="宋体" w:eastAsia="宋体" w:cs="宋体"/>
          <w:sz w:val="24"/>
          <w:szCs w:val="24"/>
        </w:rPr>
        <w:t>3、货物安装完成后日内，甲方无故不进行验收工作并已使用货物的，视同已安装调试完成并验收合格。</w:t>
      </w:r>
    </w:p>
    <w:p w14:paraId="480F7E54">
      <w:pPr>
        <w:pStyle w:val="58"/>
        <w:ind w:firstLine="420"/>
        <w:rPr>
          <w:rFonts w:hint="eastAsia" w:ascii="宋体" w:hAnsi="宋体" w:eastAsia="宋体" w:cs="宋体"/>
          <w:sz w:val="24"/>
          <w:szCs w:val="24"/>
        </w:rPr>
      </w:pPr>
      <w:r>
        <w:rPr>
          <w:rFonts w:hint="eastAsia" w:ascii="宋体" w:hAnsi="宋体" w:eastAsia="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F9EA6C9">
      <w:pPr>
        <w:pStyle w:val="58"/>
        <w:ind w:firstLine="420"/>
        <w:rPr>
          <w:rFonts w:hint="eastAsia" w:ascii="宋体" w:hAnsi="宋体" w:eastAsia="宋体" w:cs="宋体"/>
          <w:sz w:val="24"/>
          <w:szCs w:val="24"/>
        </w:rPr>
      </w:pPr>
      <w:r>
        <w:rPr>
          <w:rFonts w:hint="eastAsia" w:ascii="宋体" w:hAnsi="宋体" w:eastAsia="宋体" w:cs="宋体"/>
          <w:sz w:val="24"/>
          <w:szCs w:val="24"/>
        </w:rPr>
        <w:t>5、如货物经乙方次维修仍不能达到合同约定的质量标准，甲方有权退货，并视作乙方不能交付货物而须支付违约赔偿金给甲方，甲方还可依法追究乙方的违约责任。 </w:t>
      </w:r>
    </w:p>
    <w:p w14:paraId="0C53291E">
      <w:pPr>
        <w:outlineLvl w:val="1"/>
        <w:rPr>
          <w:rFonts w:hint="eastAsia" w:ascii="宋体" w:hAnsi="宋体" w:eastAsia="宋体" w:cs="宋体"/>
          <w:b/>
          <w:sz w:val="24"/>
          <w:szCs w:val="24"/>
        </w:rPr>
      </w:pPr>
      <w:bookmarkStart w:id="288" w:name="_Toc217446111"/>
      <w:r>
        <w:rPr>
          <w:rFonts w:hint="eastAsia" w:ascii="宋体" w:hAnsi="宋体" w:eastAsia="宋体" w:cs="宋体"/>
          <w:b/>
          <w:sz w:val="24"/>
          <w:szCs w:val="24"/>
        </w:rPr>
        <w:t>五、付款方式</w:t>
      </w:r>
      <w:bookmarkEnd w:id="288"/>
    </w:p>
    <w:p w14:paraId="62A942DC">
      <w:pPr>
        <w:pStyle w:val="58"/>
        <w:ind w:firstLine="420"/>
        <w:rPr>
          <w:rFonts w:hint="eastAsia" w:ascii="宋体" w:hAnsi="宋体" w:eastAsia="宋体" w:cs="宋体"/>
          <w:sz w:val="24"/>
          <w:szCs w:val="24"/>
        </w:rPr>
      </w:pPr>
      <w:r>
        <w:rPr>
          <w:rFonts w:hint="eastAsia" w:ascii="宋体" w:hAnsi="宋体" w:eastAsia="宋体" w:cs="宋体"/>
          <w:sz w:val="24"/>
          <w:szCs w:val="24"/>
        </w:rPr>
        <w:t>1、甲方在本合同签订生效之日起接到乙方通知和票据凭证资料以及乙方交给甲方的合同履约保证金（按合同总价的百分之计算款额￥元，人民币大写：元整）后的日内支付合同金额百分之的价款；</w:t>
      </w:r>
    </w:p>
    <w:p w14:paraId="326E205F">
      <w:pPr>
        <w:pStyle w:val="58"/>
        <w:ind w:firstLine="420"/>
        <w:rPr>
          <w:rFonts w:hint="eastAsia" w:ascii="宋体" w:hAnsi="宋体" w:eastAsia="宋体" w:cs="宋体"/>
          <w:sz w:val="24"/>
          <w:szCs w:val="24"/>
        </w:rPr>
      </w:pPr>
      <w:r>
        <w:rPr>
          <w:rFonts w:hint="eastAsia" w:ascii="宋体" w:hAnsi="宋体" w:eastAsia="宋体" w:cs="宋体"/>
          <w:sz w:val="24"/>
          <w:szCs w:val="24"/>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14:paraId="0DBA02A2">
      <w:pPr>
        <w:pStyle w:val="58"/>
        <w:ind w:firstLine="420"/>
        <w:rPr>
          <w:rFonts w:hint="eastAsia" w:ascii="宋体" w:hAnsi="宋体" w:eastAsia="宋体" w:cs="宋体"/>
          <w:sz w:val="24"/>
          <w:szCs w:val="24"/>
        </w:rPr>
      </w:pPr>
      <w:r>
        <w:rPr>
          <w:rFonts w:hint="eastAsia" w:ascii="宋体" w:hAnsi="宋体" w:eastAsia="宋体" w:cs="宋体"/>
          <w:sz w:val="24"/>
          <w:szCs w:val="24"/>
        </w:rPr>
        <w:t>3、合同履约保证金：在货物验收合格满后，甲方财务部门接到乙方通知和支付凭证资料文件，以及由甲方确认本合同货物质量与服务等约定事项已经履行完毕的正式书面文件后的日内，递交结算凭证资料给银行并由其向乙方支付价款￥元， 人民币大写：元整；</w:t>
      </w:r>
    </w:p>
    <w:p w14:paraId="0013C383">
      <w:pPr>
        <w:pStyle w:val="58"/>
        <w:ind w:firstLine="420"/>
        <w:rPr>
          <w:rFonts w:hint="eastAsia" w:ascii="宋体" w:hAnsi="宋体" w:eastAsia="宋体" w:cs="宋体"/>
          <w:sz w:val="24"/>
          <w:szCs w:val="24"/>
        </w:rPr>
      </w:pPr>
      <w:r>
        <w:rPr>
          <w:rFonts w:hint="eastAsia" w:ascii="宋体" w:hAnsi="宋体" w:eastAsia="宋体" w:cs="宋体"/>
          <w:sz w:val="24"/>
          <w:szCs w:val="24"/>
        </w:rPr>
        <w:t>4、乙方须向甲方出具合法有效完整的完税发票及凭证资料进行支付结算。</w:t>
      </w:r>
    </w:p>
    <w:p w14:paraId="115E1EC4">
      <w:pPr>
        <w:outlineLvl w:val="1"/>
        <w:rPr>
          <w:rFonts w:hint="eastAsia" w:ascii="宋体" w:hAnsi="宋体" w:eastAsia="宋体" w:cs="宋体"/>
          <w:b/>
          <w:sz w:val="24"/>
          <w:szCs w:val="24"/>
        </w:rPr>
      </w:pPr>
      <w:bookmarkStart w:id="289" w:name="_Toc217446112"/>
      <w:r>
        <w:rPr>
          <w:rFonts w:hint="eastAsia" w:ascii="宋体" w:hAnsi="宋体" w:eastAsia="宋体" w:cs="宋体"/>
          <w:b/>
          <w:sz w:val="24"/>
          <w:szCs w:val="24"/>
        </w:rPr>
        <w:t>六、售后服务</w:t>
      </w:r>
      <w:bookmarkEnd w:id="289"/>
    </w:p>
    <w:p w14:paraId="0B510EAB">
      <w:pPr>
        <w:pStyle w:val="58"/>
        <w:ind w:firstLine="420"/>
        <w:rPr>
          <w:rFonts w:hint="eastAsia" w:ascii="宋体" w:hAnsi="宋体" w:eastAsia="宋体" w:cs="宋体"/>
          <w:sz w:val="24"/>
          <w:szCs w:val="24"/>
        </w:rPr>
      </w:pPr>
      <w:r>
        <w:rPr>
          <w:rFonts w:hint="eastAsia" w:ascii="宋体" w:hAnsi="宋体" w:eastAsia="宋体" w:cs="宋体"/>
          <w:sz w:val="24"/>
          <w:szCs w:val="24"/>
        </w:rPr>
        <w:t>1、质保期为验收合格后</w:t>
      </w:r>
      <w:r>
        <w:rPr>
          <w:rFonts w:hint="eastAsia" w:ascii="宋体" w:hAnsi="宋体" w:eastAsia="宋体" w:cs="宋体"/>
          <w:color w:val="000000"/>
          <w:sz w:val="24"/>
          <w:szCs w:val="24"/>
        </w:rPr>
        <w:t>XX</w:t>
      </w:r>
      <w:r>
        <w:rPr>
          <w:rFonts w:hint="eastAsia" w:ascii="宋体" w:hAnsi="宋体" w:eastAsia="宋体" w:cs="宋体"/>
          <w:sz w:val="24"/>
          <w:szCs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0489B728">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2、乙方须指派专人负责与甲方联系售后服务事宜。 </w:t>
      </w:r>
    </w:p>
    <w:p w14:paraId="138C4508">
      <w:pPr>
        <w:outlineLvl w:val="1"/>
        <w:rPr>
          <w:rFonts w:hint="eastAsia" w:ascii="宋体" w:hAnsi="宋体" w:eastAsia="宋体" w:cs="宋体"/>
          <w:b/>
          <w:sz w:val="24"/>
          <w:szCs w:val="24"/>
        </w:rPr>
      </w:pPr>
      <w:bookmarkStart w:id="290" w:name="_Toc217446113"/>
      <w:r>
        <w:rPr>
          <w:rFonts w:hint="eastAsia" w:ascii="宋体" w:hAnsi="宋体" w:eastAsia="宋体" w:cs="宋体"/>
          <w:b/>
          <w:sz w:val="24"/>
          <w:szCs w:val="24"/>
        </w:rPr>
        <w:t>七、违约责任</w:t>
      </w:r>
      <w:bookmarkEnd w:id="290"/>
    </w:p>
    <w:p w14:paraId="6EC7BEBF">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1、甲方违约责任</w:t>
      </w:r>
    </w:p>
    <w:p w14:paraId="0229E2C7">
      <w:pPr>
        <w:pStyle w:val="58"/>
        <w:ind w:firstLine="420"/>
        <w:rPr>
          <w:rFonts w:hint="eastAsia" w:ascii="宋体" w:hAnsi="宋体" w:eastAsia="宋体" w:cs="宋体"/>
          <w:sz w:val="24"/>
          <w:szCs w:val="24"/>
        </w:rPr>
      </w:pPr>
      <w:r>
        <w:rPr>
          <w:rFonts w:hint="eastAsia" w:ascii="宋体" w:hAnsi="宋体" w:eastAsia="宋体" w:cs="宋体"/>
          <w:sz w:val="24"/>
          <w:szCs w:val="24"/>
        </w:rPr>
        <w:t>（1） 甲方无正当理由拒收货物的，甲方应偿付合同总价百分之的违约金；</w:t>
      </w:r>
    </w:p>
    <w:p w14:paraId="5ECA780E">
      <w:pPr>
        <w:pStyle w:val="58"/>
        <w:ind w:firstLine="420"/>
        <w:rPr>
          <w:rFonts w:hint="eastAsia" w:ascii="宋体" w:hAnsi="宋体" w:eastAsia="宋体" w:cs="宋体"/>
          <w:sz w:val="24"/>
          <w:szCs w:val="24"/>
        </w:rPr>
      </w:pPr>
      <w:r>
        <w:rPr>
          <w:rFonts w:hint="eastAsia" w:ascii="宋体" w:hAnsi="宋体" w:eastAsia="宋体" w:cs="宋体"/>
          <w:sz w:val="24"/>
          <w:szCs w:val="24"/>
        </w:rPr>
        <w:t>（2） 甲方逾期支付货款的，除应及时付足货款外，应向乙方偿付欠款总额万分之 /天的违约金；逾期付款超过天的，乙方有权终止合同；</w:t>
      </w:r>
    </w:p>
    <w:p w14:paraId="0F6611B0">
      <w:pPr>
        <w:pStyle w:val="58"/>
        <w:ind w:firstLine="420"/>
        <w:rPr>
          <w:rFonts w:hint="eastAsia"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14:paraId="2908D05C">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2、乙方违约责任</w:t>
      </w:r>
    </w:p>
    <w:p w14:paraId="2523E084">
      <w:pPr>
        <w:pStyle w:val="58"/>
        <w:ind w:firstLine="420"/>
        <w:rPr>
          <w:rFonts w:hint="eastAsia" w:ascii="宋体" w:hAnsi="宋体" w:eastAsia="宋体" w:cs="宋体"/>
          <w:sz w:val="24"/>
          <w:szCs w:val="24"/>
        </w:rPr>
      </w:pPr>
      <w:r>
        <w:rPr>
          <w:rFonts w:hint="eastAsia" w:ascii="宋体" w:hAnsi="宋体" w:eastAsia="宋体" w:cs="宋体"/>
          <w:sz w:val="24"/>
          <w:szCs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14:paraId="738B00F3">
      <w:pPr>
        <w:pStyle w:val="58"/>
        <w:ind w:firstLine="420"/>
        <w:rPr>
          <w:rFonts w:hint="eastAsia" w:ascii="宋体" w:hAnsi="宋体" w:eastAsia="宋体" w:cs="宋体"/>
          <w:sz w:val="24"/>
          <w:szCs w:val="24"/>
        </w:rPr>
      </w:pPr>
      <w:r>
        <w:rPr>
          <w:rFonts w:hint="eastAsia" w:ascii="宋体" w:hAnsi="宋体" w:eastAsia="宋体" w:cs="宋体"/>
          <w:sz w:val="24"/>
          <w:szCs w:val="24"/>
        </w:rPr>
        <w:t>（2）乙方不能交付货物或逾期交付货物而违约的，除应及时交足货物外，应向甲方偿付逾期交货部分货款总额的万分之 /天的违约金；逾期交货超过</w:t>
      </w:r>
      <w:r>
        <w:rPr>
          <w:rFonts w:hint="eastAsia" w:ascii="宋体" w:hAnsi="宋体" w:eastAsia="宋体" w:cs="宋体"/>
          <w:color w:val="000000"/>
          <w:sz w:val="24"/>
          <w:szCs w:val="24"/>
        </w:rPr>
        <w:t>XX</w:t>
      </w:r>
      <w:r>
        <w:rPr>
          <w:rFonts w:hint="eastAsia" w:ascii="宋体" w:hAnsi="宋体" w:eastAsia="宋体" w:cs="宋体"/>
          <w:sz w:val="24"/>
          <w:szCs w:val="24"/>
        </w:rPr>
        <w:t>天，甲方有权终止合同，乙方则应按合同总价的百分之的款额向甲方偿付赔偿金，并须全额退还甲方已经付给乙方的货款及其利息。</w:t>
      </w:r>
    </w:p>
    <w:p w14:paraId="18361494">
      <w:pPr>
        <w:pStyle w:val="58"/>
        <w:ind w:firstLine="420"/>
        <w:rPr>
          <w:rFonts w:hint="eastAsia" w:ascii="宋体" w:hAnsi="宋体" w:eastAsia="宋体" w:cs="宋体"/>
          <w:sz w:val="24"/>
          <w:szCs w:val="24"/>
        </w:rPr>
      </w:pPr>
      <w:r>
        <w:rPr>
          <w:rFonts w:hint="eastAsia" w:ascii="宋体" w:hAnsi="宋体" w:eastAsia="宋体" w:cs="宋体"/>
          <w:sz w:val="24"/>
          <w:szCs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14:paraId="6E8C1A9F">
      <w:pPr>
        <w:pStyle w:val="58"/>
        <w:ind w:firstLine="420"/>
        <w:rPr>
          <w:rFonts w:hint="eastAsia" w:ascii="宋体" w:hAnsi="宋体" w:eastAsia="宋体" w:cs="宋体"/>
          <w:sz w:val="24"/>
          <w:szCs w:val="24"/>
        </w:rPr>
      </w:pPr>
      <w:r>
        <w:rPr>
          <w:rFonts w:hint="eastAsia" w:ascii="宋体" w:hAnsi="宋体" w:eastAsia="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14:paraId="5F9E863C">
      <w:pPr>
        <w:pStyle w:val="58"/>
        <w:ind w:firstLine="420"/>
        <w:rPr>
          <w:rFonts w:hint="eastAsia" w:ascii="宋体" w:hAnsi="宋体" w:eastAsia="宋体" w:cs="宋体"/>
          <w:sz w:val="24"/>
          <w:szCs w:val="24"/>
        </w:rPr>
      </w:pPr>
      <w:r>
        <w:rPr>
          <w:rFonts w:hint="eastAsia" w:ascii="宋体" w:hAnsi="宋体" w:eastAsia="宋体" w:cs="宋体"/>
          <w:sz w:val="24"/>
          <w:szCs w:val="24"/>
        </w:rPr>
        <w:t>（5）乙方偿付的违约金不足以弥补甲方损失的，还应按甲方损失尚未弥补的部分，支付赔偿金给甲方。</w:t>
      </w:r>
    </w:p>
    <w:p w14:paraId="76830904">
      <w:pPr>
        <w:outlineLvl w:val="1"/>
        <w:rPr>
          <w:rFonts w:hint="eastAsia" w:ascii="宋体" w:hAnsi="宋体" w:eastAsia="宋体" w:cs="宋体"/>
          <w:b/>
          <w:sz w:val="24"/>
          <w:szCs w:val="24"/>
        </w:rPr>
      </w:pPr>
      <w:bookmarkStart w:id="291" w:name="_Toc217446114"/>
      <w:r>
        <w:rPr>
          <w:rFonts w:hint="eastAsia" w:ascii="宋体" w:hAnsi="宋体" w:eastAsia="宋体" w:cs="宋体"/>
          <w:b/>
          <w:sz w:val="24"/>
          <w:szCs w:val="24"/>
        </w:rPr>
        <w:t>八、争议解决办法</w:t>
      </w:r>
      <w:bookmarkEnd w:id="291"/>
    </w:p>
    <w:p w14:paraId="3ACFD0F4">
      <w:pPr>
        <w:pStyle w:val="58"/>
        <w:ind w:firstLine="420"/>
        <w:rPr>
          <w:rFonts w:hint="eastAsia" w:ascii="宋体" w:hAnsi="宋体" w:eastAsia="宋体" w:cs="宋体"/>
          <w:sz w:val="24"/>
          <w:szCs w:val="24"/>
        </w:rPr>
      </w:pPr>
      <w:r>
        <w:rPr>
          <w:rFonts w:hint="eastAsia" w:ascii="宋体" w:hAnsi="宋体" w:eastAsia="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55C5748E">
      <w:pPr>
        <w:pStyle w:val="58"/>
        <w:ind w:firstLine="420"/>
        <w:rPr>
          <w:rFonts w:hint="eastAsia" w:ascii="宋体" w:hAnsi="宋体" w:eastAsia="宋体" w:cs="宋体"/>
          <w:sz w:val="24"/>
          <w:szCs w:val="24"/>
        </w:rPr>
      </w:pPr>
      <w:r>
        <w:rPr>
          <w:rFonts w:hint="eastAsia" w:ascii="宋体" w:hAnsi="宋体" w:eastAsia="宋体" w:cs="宋体"/>
          <w:sz w:val="24"/>
          <w:szCs w:val="24"/>
        </w:rPr>
        <w:t>2、合同履行期间,若双方发生争议，可协商或由有关部门调解解决，协商或调解不成的，由当事人依法维护其合法权益。</w:t>
      </w:r>
    </w:p>
    <w:p w14:paraId="4A53E0E1">
      <w:pPr>
        <w:outlineLvl w:val="1"/>
        <w:rPr>
          <w:rFonts w:hint="eastAsia" w:ascii="宋体" w:hAnsi="宋体" w:eastAsia="宋体" w:cs="宋体"/>
          <w:b/>
          <w:sz w:val="24"/>
          <w:szCs w:val="24"/>
        </w:rPr>
      </w:pPr>
      <w:bookmarkStart w:id="292" w:name="_Toc217446115"/>
      <w:r>
        <w:rPr>
          <w:rFonts w:hint="eastAsia" w:ascii="宋体" w:hAnsi="宋体" w:eastAsia="宋体" w:cs="宋体"/>
          <w:b/>
          <w:sz w:val="24"/>
          <w:szCs w:val="24"/>
        </w:rPr>
        <w:t>九、其他</w:t>
      </w:r>
      <w:bookmarkEnd w:id="292"/>
    </w:p>
    <w:p w14:paraId="30F77709">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1、如有未尽事宜，由双方依法订立补充合同。</w:t>
      </w:r>
    </w:p>
    <w:p w14:paraId="051C0F7A">
      <w:pPr>
        <w:pStyle w:val="58"/>
        <w:ind w:firstLine="420"/>
        <w:rPr>
          <w:rFonts w:hint="eastAsia" w:ascii="宋体" w:hAnsi="宋体" w:eastAsia="宋体" w:cs="宋体"/>
          <w:sz w:val="24"/>
          <w:szCs w:val="24"/>
        </w:rPr>
      </w:pPr>
      <w:r>
        <w:rPr>
          <w:rFonts w:hint="eastAsia" w:ascii="宋体" w:hAnsi="宋体" w:eastAsia="宋体" w:cs="宋体"/>
          <w:sz w:val="24"/>
          <w:szCs w:val="24"/>
        </w:rPr>
        <w:t>2、本合同一式六份，自双方签章之日起生效。甲方三份，乙方、政府采购管理部门、采购代理机构各一份。</w:t>
      </w:r>
    </w:p>
    <w:p w14:paraId="07CA6D48">
      <w:pPr>
        <w:spacing w:line="400" w:lineRule="exact"/>
        <w:rPr>
          <w:rFonts w:hint="eastAsia" w:ascii="宋体" w:hAnsi="宋体" w:eastAsia="宋体" w:cs="宋体"/>
          <w:sz w:val="24"/>
          <w:szCs w:val="24"/>
        </w:rPr>
      </w:pPr>
    </w:p>
    <w:p w14:paraId="3A45F8A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14:paraId="1752E7A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14:paraId="1B19AE0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14:paraId="325A95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4B6EC1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14:paraId="62865CF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14:paraId="72AB356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14:paraId="7267F7C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w:t>
      </w:r>
      <w:r>
        <w:rPr>
          <w:rFonts w:hint="eastAsia" w:ascii="宋体" w:hAnsi="宋体" w:eastAsia="宋体" w:cs="宋体"/>
          <w:sz w:val="24"/>
          <w:szCs w:val="24"/>
        </w:rPr>
        <w:t xml:space="preserve">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XX日</w:t>
      </w:r>
    </w:p>
    <w:p w14:paraId="535E2823">
      <w:pPr>
        <w:spacing w:line="240" w:lineRule="auto"/>
        <w:jc w:val="center"/>
        <w:rPr>
          <w:rFonts w:hint="eastAsia" w:ascii="宋体" w:hAnsi="宋体" w:eastAsia="宋体" w:cs="宋体"/>
          <w:b/>
          <w:color w:val="000000"/>
          <w:sz w:val="24"/>
          <w:szCs w:val="24"/>
          <w:highlight w:val="none"/>
        </w:rPr>
      </w:pPr>
    </w:p>
    <w:p w14:paraId="3F63E993">
      <w:pPr>
        <w:spacing w:line="240" w:lineRule="auto"/>
        <w:jc w:val="center"/>
        <w:rPr>
          <w:rFonts w:hint="eastAsia" w:ascii="宋体" w:hAnsi="宋体" w:eastAsia="宋体" w:cs="宋体"/>
          <w:b/>
          <w:color w:val="000000"/>
          <w:sz w:val="24"/>
          <w:szCs w:val="24"/>
          <w:highlight w:val="none"/>
        </w:rPr>
      </w:pPr>
    </w:p>
    <w:p w14:paraId="6C1DA547">
      <w:pPr>
        <w:spacing w:line="240" w:lineRule="auto"/>
        <w:jc w:val="center"/>
        <w:rPr>
          <w:rFonts w:hint="eastAsia" w:ascii="宋体" w:hAnsi="宋体" w:eastAsia="宋体" w:cs="宋体"/>
          <w:b/>
          <w:color w:val="000000"/>
          <w:sz w:val="24"/>
          <w:szCs w:val="24"/>
          <w:highlight w:val="none"/>
        </w:rPr>
      </w:pPr>
    </w:p>
    <w:p w14:paraId="66FAF8B0">
      <w:pPr>
        <w:spacing w:line="240" w:lineRule="auto"/>
        <w:jc w:val="center"/>
        <w:rPr>
          <w:rFonts w:hint="eastAsia" w:ascii="宋体" w:hAnsi="宋体" w:eastAsia="宋体" w:cs="宋体"/>
          <w:b/>
          <w:color w:val="000000"/>
          <w:sz w:val="24"/>
          <w:szCs w:val="24"/>
          <w:highlight w:val="none"/>
        </w:rPr>
      </w:pPr>
    </w:p>
    <w:p w14:paraId="4A0198B9">
      <w:pPr>
        <w:spacing w:line="240" w:lineRule="auto"/>
        <w:ind w:left="0" w:leftChars="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第二部分 合同一般条款</w:t>
      </w:r>
    </w:p>
    <w:p w14:paraId="68CE2B4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293" w:name="_Toc28763"/>
      <w:bookmarkStart w:id="294" w:name="_Toc11445"/>
      <w:bookmarkStart w:id="295" w:name="_Ref467379094"/>
      <w:bookmarkStart w:id="296" w:name="_Toc19614"/>
      <w:bookmarkStart w:id="297" w:name="_Toc259093669"/>
      <w:bookmarkStart w:id="298" w:name="_Toc22904"/>
      <w:bookmarkStart w:id="299" w:name="_Toc22431"/>
      <w:bookmarkStart w:id="300" w:name="_Toc22939"/>
      <w:bookmarkStart w:id="301" w:name="_Toc16970"/>
      <w:bookmarkStart w:id="302" w:name="_Ref467379109"/>
      <w:bookmarkStart w:id="303" w:name="_Ref467379214"/>
      <w:bookmarkStart w:id="304" w:name="_Toc18200"/>
      <w:bookmarkStart w:id="305" w:name="_Ref467379195"/>
      <w:bookmarkStart w:id="306" w:name="_Ref467378499"/>
      <w:bookmarkStart w:id="307" w:name="_Toc279701240"/>
      <w:bookmarkStart w:id="308" w:name="_Ref467379225"/>
      <w:bookmarkStart w:id="309" w:name="_Ref467378404"/>
      <w:bookmarkStart w:id="310" w:name="_Ref467379205"/>
      <w:bookmarkStart w:id="311" w:name="_Ref467378463"/>
      <w:bookmarkStart w:id="312" w:name="_Ref467379101"/>
      <w:bookmarkStart w:id="313" w:name="_Toc487900349"/>
      <w:bookmarkStart w:id="314" w:name="_Toc16917"/>
      <w:bookmarkStart w:id="315" w:name="_Toc9652"/>
      <w:r>
        <w:rPr>
          <w:rFonts w:hint="eastAsia" w:ascii="宋体" w:hAnsi="宋体" w:eastAsia="宋体" w:cs="宋体"/>
          <w:b/>
          <w:bCs/>
          <w:kern w:val="2"/>
          <w:sz w:val="24"/>
          <w:szCs w:val="24"/>
          <w:lang w:val="en-US" w:eastAsia="zh-CN" w:bidi="ar-SA"/>
        </w:rPr>
        <w:t>2.1 定义</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7A21DF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本合同中的下列词语应按以下内容进行解释：</w:t>
      </w:r>
    </w:p>
    <w:p w14:paraId="5F6F024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 “合同”系指采购人和中标投标人签订的载明双方当事人所达成的协议，并包括所有的附件、附录和构成合同的其他文件。</w:t>
      </w:r>
    </w:p>
    <w:p w14:paraId="5447BB3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 “合同价”系指根据合同约定，中标投标人在完全履行合同义务后，采购人应支付给中标投标人的价格。</w:t>
      </w:r>
    </w:p>
    <w:p w14:paraId="2E4544C3">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 “货物”系指中标投标人根据合同约定应向采购人交付的一切各种形态和种类的物品，包括原材料、燃料、设备、机械、仪表、备件、计算机软件、产品等，并包括工具、手册等其他相关资料。</w:t>
      </w:r>
    </w:p>
    <w:p w14:paraId="0A0B5592">
      <w:pPr>
        <w:spacing w:line="560" w:lineRule="exact"/>
        <w:ind w:firstLine="480" w:firstLineChars="200"/>
        <w:rPr>
          <w:rFonts w:hint="eastAsia" w:ascii="宋体" w:hAnsi="宋体" w:eastAsia="宋体" w:cs="宋体"/>
          <w:kern w:val="2"/>
          <w:sz w:val="24"/>
          <w:szCs w:val="24"/>
          <w:lang w:val="en-US" w:eastAsia="zh-CN" w:bidi="ar-SA"/>
        </w:rPr>
      </w:pPr>
      <w:bookmarkStart w:id="316" w:name="_Ref467378840"/>
      <w:r>
        <w:rPr>
          <w:rFonts w:hint="eastAsia" w:ascii="宋体" w:hAnsi="宋体" w:eastAsia="宋体" w:cs="宋体"/>
          <w:kern w:val="2"/>
          <w:sz w:val="24"/>
          <w:szCs w:val="24"/>
          <w:lang w:val="en-US" w:eastAsia="zh-CN" w:bidi="ar-SA"/>
        </w:rPr>
        <w:t>2.1.4 “甲方”系指与中标投标人签署合同的采购人</w:t>
      </w:r>
      <w:bookmarkEnd w:id="316"/>
      <w:r>
        <w:rPr>
          <w:rFonts w:hint="eastAsia" w:ascii="宋体" w:hAnsi="宋体" w:eastAsia="宋体" w:cs="宋体"/>
          <w:kern w:val="2"/>
          <w:sz w:val="24"/>
          <w:szCs w:val="24"/>
          <w:lang w:val="en-US" w:eastAsia="zh-CN" w:bidi="ar-SA"/>
        </w:rPr>
        <w:t>；采购人委托采购代理机构代表其与乙方签订合同的，采购人的授权委托书作为合同附件。</w:t>
      </w:r>
    </w:p>
    <w:p w14:paraId="1A19C349">
      <w:pPr>
        <w:spacing w:line="560" w:lineRule="exact"/>
        <w:ind w:firstLine="480" w:firstLineChars="200"/>
        <w:rPr>
          <w:rFonts w:hint="eastAsia" w:ascii="宋体" w:hAnsi="宋体" w:eastAsia="宋体" w:cs="宋体"/>
          <w:kern w:val="2"/>
          <w:sz w:val="24"/>
          <w:szCs w:val="24"/>
          <w:lang w:val="en-US" w:eastAsia="zh-CN" w:bidi="ar-SA"/>
        </w:rPr>
      </w:pPr>
      <w:bookmarkStart w:id="317" w:name="_Ref467379400"/>
      <w:r>
        <w:rPr>
          <w:rFonts w:hint="eastAsia" w:ascii="宋体" w:hAnsi="宋体" w:eastAsia="宋体" w:cs="宋体"/>
          <w:kern w:val="2"/>
          <w:sz w:val="24"/>
          <w:szCs w:val="24"/>
          <w:lang w:val="en-US" w:eastAsia="zh-CN" w:bidi="ar-SA"/>
        </w:rPr>
        <w:t>2.1.5 “乙方”系指根据合同约定交付货物的中标</w:t>
      </w:r>
      <w:bookmarkEnd w:id="317"/>
      <w:r>
        <w:rPr>
          <w:rFonts w:hint="eastAsia" w:ascii="宋体" w:hAnsi="宋体" w:eastAsia="宋体" w:cs="宋体"/>
          <w:kern w:val="2"/>
          <w:sz w:val="24"/>
          <w:szCs w:val="24"/>
          <w:lang w:val="en-US" w:eastAsia="zh-CN" w:bidi="ar-SA"/>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54F1487">
      <w:pPr>
        <w:spacing w:line="560" w:lineRule="exact"/>
        <w:ind w:firstLine="480" w:firstLineChars="200"/>
        <w:rPr>
          <w:rFonts w:hint="eastAsia" w:ascii="宋体" w:hAnsi="宋体" w:eastAsia="宋体" w:cs="宋体"/>
          <w:kern w:val="2"/>
          <w:sz w:val="24"/>
          <w:szCs w:val="24"/>
          <w:lang w:val="en-US" w:eastAsia="zh-CN" w:bidi="ar-SA"/>
        </w:rPr>
      </w:pPr>
      <w:bookmarkStart w:id="318" w:name="_Ref467379436"/>
      <w:r>
        <w:rPr>
          <w:rFonts w:hint="eastAsia" w:ascii="宋体" w:hAnsi="宋体" w:eastAsia="宋体" w:cs="宋体"/>
          <w:kern w:val="2"/>
          <w:sz w:val="24"/>
          <w:szCs w:val="24"/>
          <w:lang w:val="en-US" w:eastAsia="zh-CN" w:bidi="ar-SA"/>
        </w:rPr>
        <w:t>2.1.6 “现场”系指合同约定货物将要运至或者安装的地点。</w:t>
      </w:r>
      <w:bookmarkEnd w:id="318"/>
    </w:p>
    <w:p w14:paraId="06641669">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19" w:name="_Toc13336"/>
      <w:bookmarkStart w:id="320" w:name="_Toc259093670"/>
      <w:bookmarkStart w:id="321" w:name="_Toc15561"/>
      <w:bookmarkStart w:id="322" w:name="_Toc13557"/>
      <w:bookmarkStart w:id="323" w:name="_Toc1705"/>
      <w:bookmarkStart w:id="324" w:name="_Toc1967"/>
      <w:bookmarkStart w:id="325" w:name="_Toc8472"/>
      <w:bookmarkStart w:id="326" w:name="_Toc20853"/>
      <w:bookmarkStart w:id="327" w:name="_Toc279701241"/>
      <w:bookmarkStart w:id="328" w:name="_Toc487900350"/>
      <w:bookmarkStart w:id="329" w:name="_Toc32504"/>
      <w:bookmarkStart w:id="330" w:name="_Toc31131"/>
      <w:bookmarkStart w:id="331" w:name="_Toc27635"/>
      <w:r>
        <w:rPr>
          <w:rFonts w:hint="eastAsia" w:ascii="宋体" w:hAnsi="宋体" w:eastAsia="宋体" w:cs="宋体"/>
          <w:b/>
          <w:bCs/>
          <w:kern w:val="2"/>
          <w:sz w:val="24"/>
          <w:szCs w:val="24"/>
          <w:lang w:val="en-US" w:eastAsia="zh-CN" w:bidi="ar-SA"/>
        </w:rPr>
        <w:t>2.2 技术规范</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032580E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378BA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32" w:name="_Toc487900351"/>
      <w:bookmarkStart w:id="333" w:name="_Toc7715"/>
      <w:bookmarkStart w:id="334" w:name="_Toc25689"/>
      <w:bookmarkStart w:id="335" w:name="_Toc23631"/>
      <w:bookmarkStart w:id="336" w:name="_Toc27853"/>
      <w:bookmarkStart w:id="337" w:name="_Toc31634"/>
      <w:bookmarkStart w:id="338" w:name="_Toc279701242"/>
      <w:bookmarkStart w:id="339" w:name="_Toc23716"/>
      <w:bookmarkStart w:id="340" w:name="_Toc259093671"/>
      <w:bookmarkStart w:id="341" w:name="_Toc8504"/>
      <w:bookmarkStart w:id="342" w:name="_Toc9557"/>
      <w:bookmarkStart w:id="343" w:name="_Toc9829"/>
      <w:bookmarkStart w:id="344" w:name="_Toc30303"/>
      <w:r>
        <w:rPr>
          <w:rFonts w:hint="eastAsia" w:ascii="宋体" w:hAnsi="宋体" w:eastAsia="宋体" w:cs="宋体"/>
          <w:b/>
          <w:bCs/>
          <w:kern w:val="2"/>
          <w:sz w:val="24"/>
          <w:szCs w:val="24"/>
          <w:lang w:val="en-US" w:eastAsia="zh-CN" w:bidi="ar-SA"/>
        </w:rPr>
        <w:t>2.3 知识产权</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64ED1BF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1B6565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2.3.2具有知识产权的计算机软件等货物的知识产权归属，详见合同专用条款。</w:t>
      </w:r>
    </w:p>
    <w:p w14:paraId="3FFFDA1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45" w:name="_Toc29149"/>
      <w:bookmarkStart w:id="346" w:name="_Toc1620"/>
      <w:bookmarkStart w:id="347" w:name="_Toc11932"/>
      <w:bookmarkStart w:id="348" w:name="_Toc11150"/>
      <w:bookmarkStart w:id="349" w:name="_Toc21086"/>
      <w:bookmarkStart w:id="350" w:name="_Toc4194"/>
      <w:bookmarkStart w:id="351" w:name="_Toc17478"/>
      <w:bookmarkStart w:id="352" w:name="_Toc25769"/>
      <w:bookmarkStart w:id="353" w:name="_Toc19455"/>
      <w:bookmarkStart w:id="354" w:name="_Toc24074"/>
      <w:r>
        <w:rPr>
          <w:rFonts w:hint="eastAsia" w:ascii="宋体" w:hAnsi="宋体" w:eastAsia="宋体" w:cs="宋体"/>
          <w:b/>
          <w:bCs/>
          <w:kern w:val="2"/>
          <w:sz w:val="24"/>
          <w:szCs w:val="24"/>
          <w:lang w:val="en-US" w:eastAsia="zh-CN" w:bidi="ar-SA"/>
        </w:rPr>
        <w:t>2.4 包装和装运</w:t>
      </w:r>
      <w:bookmarkEnd w:id="345"/>
      <w:bookmarkEnd w:id="346"/>
      <w:bookmarkEnd w:id="347"/>
      <w:bookmarkEnd w:id="348"/>
      <w:bookmarkEnd w:id="349"/>
      <w:bookmarkEnd w:id="350"/>
      <w:bookmarkEnd w:id="351"/>
      <w:bookmarkEnd w:id="352"/>
      <w:bookmarkEnd w:id="353"/>
      <w:bookmarkEnd w:id="354"/>
    </w:p>
    <w:p w14:paraId="688062A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DFDAF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2.4.2 装运货物的要求和通知，详见合同专用条款。</w:t>
      </w:r>
    </w:p>
    <w:p w14:paraId="56B5F2D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55" w:name="_Ref467379527"/>
      <w:bookmarkStart w:id="356" w:name="_Ref467378591"/>
      <w:bookmarkStart w:id="357" w:name="_Ref467378541"/>
      <w:bookmarkStart w:id="358" w:name="_Toc259093674"/>
      <w:bookmarkStart w:id="359" w:name="_Toc487900354"/>
      <w:bookmarkStart w:id="360" w:name="_Ref467379536"/>
      <w:bookmarkStart w:id="361" w:name="_Toc279701245"/>
      <w:bookmarkStart w:id="362" w:name="_Ref467379542"/>
      <w:bookmarkStart w:id="363" w:name="_Toc825"/>
      <w:bookmarkStart w:id="364" w:name="_Toc30272"/>
      <w:bookmarkStart w:id="365" w:name="_Toc19074"/>
      <w:bookmarkStart w:id="366" w:name="_Toc30869"/>
      <w:bookmarkStart w:id="367" w:name="_Toc178"/>
      <w:bookmarkStart w:id="368" w:name="_Toc28369"/>
      <w:bookmarkStart w:id="369" w:name="_Toc1950"/>
      <w:bookmarkStart w:id="370" w:name="_Toc27983"/>
      <w:bookmarkStart w:id="371" w:name="_Toc26182"/>
      <w:bookmarkStart w:id="372" w:name="_Toc32471"/>
      <w:r>
        <w:rPr>
          <w:rFonts w:hint="eastAsia" w:ascii="宋体" w:hAnsi="宋体" w:eastAsia="宋体" w:cs="宋体"/>
          <w:b/>
          <w:bCs/>
          <w:kern w:val="2"/>
          <w:sz w:val="24"/>
          <w:szCs w:val="24"/>
          <w:lang w:val="en-US" w:eastAsia="zh-CN" w:bidi="ar-SA"/>
        </w:rPr>
        <w:t>2.</w:t>
      </w:r>
      <w:bookmarkEnd w:id="355"/>
      <w:bookmarkEnd w:id="356"/>
      <w:bookmarkEnd w:id="357"/>
      <w:bookmarkEnd w:id="358"/>
      <w:bookmarkEnd w:id="359"/>
      <w:bookmarkEnd w:id="360"/>
      <w:bookmarkEnd w:id="361"/>
      <w:bookmarkEnd w:id="362"/>
      <w:r>
        <w:rPr>
          <w:rFonts w:hint="eastAsia" w:ascii="宋体" w:hAnsi="宋体" w:eastAsia="宋体" w:cs="宋体"/>
          <w:b/>
          <w:bCs/>
          <w:kern w:val="2"/>
          <w:sz w:val="24"/>
          <w:szCs w:val="24"/>
          <w:lang w:val="en-US" w:eastAsia="zh-CN" w:bidi="ar-SA"/>
        </w:rPr>
        <w:t>5 履约检查和问题反馈</w:t>
      </w:r>
      <w:bookmarkEnd w:id="363"/>
      <w:bookmarkEnd w:id="364"/>
      <w:bookmarkEnd w:id="365"/>
      <w:bookmarkEnd w:id="366"/>
      <w:bookmarkEnd w:id="367"/>
      <w:bookmarkEnd w:id="368"/>
      <w:bookmarkEnd w:id="369"/>
      <w:bookmarkEnd w:id="370"/>
      <w:bookmarkEnd w:id="371"/>
      <w:bookmarkEnd w:id="372"/>
    </w:p>
    <w:p w14:paraId="08BA74F0">
      <w:pPr>
        <w:spacing w:line="560" w:lineRule="exact"/>
        <w:ind w:firstLine="480" w:firstLineChars="200"/>
        <w:rPr>
          <w:rFonts w:hint="eastAsia" w:ascii="宋体" w:hAnsi="宋体" w:eastAsia="宋体" w:cs="宋体"/>
          <w:kern w:val="2"/>
          <w:sz w:val="24"/>
          <w:szCs w:val="24"/>
          <w:lang w:val="en-US" w:eastAsia="zh-CN" w:bidi="ar-SA"/>
        </w:rPr>
      </w:pPr>
      <w:bookmarkStart w:id="373" w:name="_Ref467379657"/>
      <w:r>
        <w:rPr>
          <w:rFonts w:hint="eastAsia" w:ascii="宋体" w:hAnsi="宋体" w:eastAsia="宋体" w:cs="宋体"/>
          <w:kern w:val="2"/>
          <w:sz w:val="24"/>
          <w:szCs w:val="24"/>
          <w:lang w:val="en-US" w:eastAsia="zh-CN" w:bidi="ar-SA"/>
        </w:rPr>
        <w:t>2.5.1</w:t>
      </w:r>
      <w:bookmarkEnd w:id="373"/>
      <w:bookmarkStart w:id="374" w:name="_Toc186431854"/>
      <w:bookmarkStart w:id="375" w:name="_Ref467379807"/>
      <w:bookmarkStart w:id="376" w:name="_Toc487900357"/>
      <w:bookmarkStart w:id="377" w:name="_Ref467379793"/>
      <w:bookmarkStart w:id="378" w:name="_Toc279701247"/>
      <w:bookmarkStart w:id="379" w:name="_Toc259093676"/>
      <w:r>
        <w:rPr>
          <w:rFonts w:hint="eastAsia" w:ascii="宋体" w:hAnsi="宋体" w:eastAsia="宋体" w:cs="宋体"/>
          <w:kern w:val="2"/>
          <w:sz w:val="24"/>
          <w:szCs w:val="24"/>
          <w:lang w:val="en-US" w:eastAsia="zh-CN" w:bidi="ar-SA"/>
        </w:rPr>
        <w:t>甲方有权在其认为必要时，对乙方是否能够按照合同约定交付货物进行履约检查，以确保乙方所交付的货物能够依约满足甲方之项目需求，但不得因履约检查妨碍乙方的正常工作，乙方应予积极配合；</w:t>
      </w:r>
    </w:p>
    <w:p w14:paraId="69B913E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2.5.2 合同履行期间，甲方有权将履行过程中出现的问题反馈给乙方，双方当事人应以书面形式约定需要完善和改进的内容</w:t>
      </w:r>
      <w:bookmarkEnd w:id="374"/>
      <w:bookmarkStart w:id="380" w:name="_Toc186431855"/>
      <w:r>
        <w:rPr>
          <w:rFonts w:hint="eastAsia" w:ascii="宋体" w:hAnsi="宋体" w:eastAsia="宋体" w:cs="宋体"/>
          <w:kern w:val="2"/>
          <w:sz w:val="24"/>
          <w:szCs w:val="24"/>
          <w:lang w:val="en-US" w:eastAsia="zh-CN" w:bidi="ar-SA"/>
        </w:rPr>
        <w:t>。</w:t>
      </w:r>
    </w:p>
    <w:bookmarkEnd w:id="380"/>
    <w:p w14:paraId="263CE763">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81" w:name="_Toc6987"/>
      <w:bookmarkStart w:id="382" w:name="_Toc28451"/>
      <w:bookmarkStart w:id="383" w:name="_Toc16577"/>
      <w:bookmarkStart w:id="384" w:name="_Toc19219"/>
      <w:bookmarkStart w:id="385" w:name="_Toc24597"/>
      <w:bookmarkStart w:id="386" w:name="_Toc8786"/>
      <w:bookmarkStart w:id="387" w:name="_Toc20387"/>
      <w:bookmarkStart w:id="388" w:name="_Toc2279"/>
      <w:bookmarkStart w:id="389" w:name="_Toc22776"/>
      <w:bookmarkStart w:id="390" w:name="_Toc7836"/>
      <w:r>
        <w:rPr>
          <w:rFonts w:hint="eastAsia" w:ascii="宋体" w:hAnsi="宋体" w:eastAsia="宋体" w:cs="宋体"/>
          <w:b/>
          <w:bCs/>
          <w:kern w:val="2"/>
          <w:sz w:val="24"/>
          <w:szCs w:val="24"/>
          <w:lang w:val="en-US" w:eastAsia="zh-CN" w:bidi="ar-SA"/>
        </w:rPr>
        <w:t>2.6 结算方式和付款条件</w:t>
      </w:r>
      <w:bookmarkEnd w:id="375"/>
      <w:bookmarkEnd w:id="376"/>
      <w:bookmarkEnd w:id="377"/>
      <w:bookmarkEnd w:id="378"/>
      <w:bookmarkEnd w:id="379"/>
      <w:bookmarkEnd w:id="381"/>
      <w:bookmarkEnd w:id="382"/>
      <w:bookmarkEnd w:id="383"/>
      <w:bookmarkEnd w:id="384"/>
      <w:bookmarkEnd w:id="385"/>
      <w:bookmarkEnd w:id="386"/>
      <w:bookmarkEnd w:id="387"/>
      <w:bookmarkEnd w:id="388"/>
      <w:bookmarkEnd w:id="389"/>
      <w:bookmarkEnd w:id="390"/>
    </w:p>
    <w:p w14:paraId="634AE28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详见合同专用条款。</w:t>
      </w:r>
    </w:p>
    <w:p w14:paraId="47E9899F">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91" w:name="_Ref467379863"/>
      <w:bookmarkStart w:id="392" w:name="_Ref467379923"/>
      <w:bookmarkStart w:id="393" w:name="_Toc279701248"/>
      <w:bookmarkStart w:id="394" w:name="_Ref467379852"/>
      <w:bookmarkStart w:id="395" w:name="_Toc259093677"/>
      <w:bookmarkStart w:id="396" w:name="_Toc487900358"/>
      <w:bookmarkStart w:id="397" w:name="_Toc14899"/>
      <w:bookmarkStart w:id="398" w:name="_Toc16110"/>
      <w:bookmarkStart w:id="399" w:name="_Toc23337"/>
      <w:bookmarkStart w:id="400" w:name="_Toc1395"/>
      <w:bookmarkStart w:id="401" w:name="_Toc905"/>
      <w:bookmarkStart w:id="402" w:name="_Toc3225"/>
      <w:bookmarkStart w:id="403" w:name="_Toc1198"/>
      <w:bookmarkStart w:id="404" w:name="_Toc28812"/>
      <w:bookmarkStart w:id="405" w:name="_Toc774"/>
      <w:bookmarkStart w:id="406" w:name="_Toc12012"/>
      <w:r>
        <w:rPr>
          <w:rFonts w:hint="eastAsia" w:ascii="宋体" w:hAnsi="宋体" w:eastAsia="宋体" w:cs="宋体"/>
          <w:b/>
          <w:bCs/>
          <w:kern w:val="2"/>
          <w:sz w:val="24"/>
          <w:szCs w:val="24"/>
          <w:lang w:val="en-US" w:eastAsia="zh-CN" w:bidi="ar-SA"/>
        </w:rPr>
        <w:t>2.7 技术资料</w:t>
      </w:r>
      <w:bookmarkEnd w:id="391"/>
      <w:bookmarkEnd w:id="392"/>
      <w:bookmarkEnd w:id="393"/>
      <w:bookmarkEnd w:id="394"/>
      <w:bookmarkEnd w:id="395"/>
      <w:bookmarkEnd w:id="396"/>
      <w:r>
        <w:rPr>
          <w:rFonts w:hint="eastAsia" w:ascii="宋体" w:hAnsi="宋体" w:eastAsia="宋体" w:cs="宋体"/>
          <w:b/>
          <w:bCs/>
          <w:kern w:val="2"/>
          <w:sz w:val="24"/>
          <w:szCs w:val="24"/>
          <w:lang w:val="en-US" w:eastAsia="zh-CN" w:bidi="ar-SA"/>
        </w:rPr>
        <w:t>和保密义务</w:t>
      </w:r>
      <w:bookmarkEnd w:id="397"/>
      <w:bookmarkEnd w:id="398"/>
      <w:bookmarkEnd w:id="399"/>
      <w:bookmarkEnd w:id="400"/>
      <w:bookmarkEnd w:id="401"/>
      <w:bookmarkEnd w:id="402"/>
      <w:bookmarkEnd w:id="403"/>
      <w:bookmarkEnd w:id="404"/>
      <w:bookmarkEnd w:id="405"/>
      <w:bookmarkEnd w:id="406"/>
    </w:p>
    <w:p w14:paraId="3A47E90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2.7.1 乙方有权依据合同约定和项目需要，向甲方了解有关情况，调阅有关资料等，甲方应予积极配合；</w:t>
      </w:r>
    </w:p>
    <w:p w14:paraId="3D71682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2.7.2 乙方有义务妥善保管和保护由甲方提供的前款信息和资料等；</w:t>
      </w:r>
    </w:p>
    <w:p w14:paraId="4182BB7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28067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07" w:name="_Toc6460"/>
      <w:bookmarkStart w:id="408" w:name="_Toc13130"/>
      <w:bookmarkStart w:id="409" w:name="_Toc2838"/>
      <w:bookmarkStart w:id="410" w:name="_Toc7860"/>
      <w:bookmarkStart w:id="411" w:name="_Toc14301"/>
      <w:bookmarkStart w:id="412" w:name="_Toc13442"/>
      <w:bookmarkStart w:id="413" w:name="_Toc11864"/>
      <w:bookmarkStart w:id="414" w:name="_Toc19803"/>
      <w:r>
        <w:rPr>
          <w:rFonts w:hint="eastAsia" w:ascii="宋体" w:hAnsi="宋体" w:eastAsia="宋体" w:cs="宋体"/>
          <w:b/>
          <w:bCs/>
          <w:kern w:val="2"/>
          <w:sz w:val="24"/>
          <w:szCs w:val="24"/>
          <w:lang w:val="en-US" w:eastAsia="zh-CN" w:bidi="ar-SA"/>
        </w:rPr>
        <w:t>2.8 质量保证</w:t>
      </w:r>
      <w:bookmarkEnd w:id="407"/>
      <w:bookmarkEnd w:id="408"/>
      <w:bookmarkEnd w:id="409"/>
      <w:bookmarkEnd w:id="410"/>
      <w:bookmarkEnd w:id="411"/>
      <w:bookmarkEnd w:id="412"/>
      <w:bookmarkEnd w:id="413"/>
      <w:bookmarkEnd w:id="414"/>
    </w:p>
    <w:p w14:paraId="3E78C7D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2.8.1 乙方应建立和完善履行合同的内部质量保证体系，并提供相关内部规章制度给甲方，以便甲方进行监督检查；</w:t>
      </w:r>
    </w:p>
    <w:p w14:paraId="5A0384A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2.8.2 乙方应保证履行合同的人员数量和素质、软件和硬件设备的配置、场地、环境和设施等满足全面履行合同的要求，并应接受甲方的监督检查。</w:t>
      </w:r>
    </w:p>
    <w:p w14:paraId="74AD2009">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15" w:name="_Toc19420"/>
      <w:bookmarkStart w:id="416" w:name="_Toc17244"/>
      <w:bookmarkStart w:id="417" w:name="_Toc2990"/>
      <w:bookmarkStart w:id="418" w:name="_Toc11641"/>
      <w:bookmarkStart w:id="419" w:name="_Toc2429"/>
      <w:bookmarkStart w:id="420" w:name="_Toc17648"/>
      <w:bookmarkStart w:id="421" w:name="_Toc27782"/>
      <w:bookmarkStart w:id="422" w:name="_Toc23768"/>
      <w:bookmarkStart w:id="423" w:name="_Toc259093681"/>
      <w:bookmarkStart w:id="424" w:name="_Toc279701252"/>
      <w:bookmarkStart w:id="425" w:name="_Toc487900362"/>
      <w:r>
        <w:rPr>
          <w:rFonts w:hint="eastAsia" w:ascii="宋体" w:hAnsi="宋体" w:eastAsia="宋体" w:cs="宋体"/>
          <w:b/>
          <w:bCs/>
          <w:kern w:val="2"/>
          <w:sz w:val="24"/>
          <w:szCs w:val="24"/>
          <w:lang w:val="en-US" w:eastAsia="zh-CN" w:bidi="ar-SA"/>
        </w:rPr>
        <w:t>2.9 货物的风险负担</w:t>
      </w:r>
      <w:bookmarkEnd w:id="415"/>
      <w:bookmarkEnd w:id="416"/>
      <w:bookmarkEnd w:id="417"/>
      <w:bookmarkEnd w:id="418"/>
      <w:bookmarkEnd w:id="419"/>
      <w:bookmarkEnd w:id="420"/>
      <w:bookmarkEnd w:id="421"/>
      <w:bookmarkEnd w:id="422"/>
    </w:p>
    <w:p w14:paraId="1DA8C48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货物或者在途货物或者交付给第一承运人后的货物毁损、灭失的风险负担详见合同专用条款。</w:t>
      </w:r>
    </w:p>
    <w:p w14:paraId="3076A742">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26" w:name="_Toc11996"/>
      <w:bookmarkStart w:id="427" w:name="_Toc14055"/>
      <w:bookmarkStart w:id="428" w:name="_Toc16383"/>
      <w:bookmarkStart w:id="429" w:name="_Toc13111"/>
      <w:bookmarkStart w:id="430" w:name="_Toc4487"/>
      <w:bookmarkStart w:id="431" w:name="_Toc18768"/>
      <w:bookmarkStart w:id="432" w:name="_Toc20495"/>
      <w:bookmarkStart w:id="433" w:name="_Toc1317"/>
      <w:r>
        <w:rPr>
          <w:rFonts w:hint="eastAsia" w:ascii="宋体" w:hAnsi="宋体" w:eastAsia="宋体" w:cs="宋体"/>
          <w:b/>
          <w:bCs/>
          <w:kern w:val="2"/>
          <w:sz w:val="24"/>
          <w:szCs w:val="24"/>
          <w:lang w:val="en-US" w:eastAsia="zh-CN" w:bidi="ar-SA"/>
        </w:rPr>
        <w:t>2.10 延迟交货</w:t>
      </w:r>
      <w:bookmarkEnd w:id="423"/>
      <w:bookmarkEnd w:id="424"/>
      <w:bookmarkEnd w:id="425"/>
      <w:bookmarkEnd w:id="426"/>
      <w:bookmarkEnd w:id="427"/>
      <w:bookmarkEnd w:id="428"/>
      <w:bookmarkEnd w:id="429"/>
      <w:bookmarkEnd w:id="430"/>
      <w:bookmarkEnd w:id="431"/>
      <w:bookmarkEnd w:id="432"/>
      <w:bookmarkEnd w:id="433"/>
    </w:p>
    <w:p w14:paraId="14AE7C6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F21B22A">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34" w:name="_Toc21628"/>
      <w:bookmarkStart w:id="435" w:name="_Toc14128"/>
      <w:bookmarkStart w:id="436" w:name="_Toc4271"/>
      <w:bookmarkStart w:id="437" w:name="_Toc27305"/>
      <w:bookmarkStart w:id="438" w:name="_Toc10624"/>
      <w:bookmarkStart w:id="439" w:name="_Toc2431"/>
      <w:bookmarkStart w:id="440" w:name="_Toc7502"/>
      <w:bookmarkStart w:id="441" w:name="_Toc26705"/>
      <w:bookmarkStart w:id="442" w:name="_Toc259093683"/>
      <w:bookmarkStart w:id="443" w:name="_Toc487900364"/>
      <w:bookmarkStart w:id="444" w:name="_Ref467378121"/>
      <w:bookmarkStart w:id="445" w:name="_Toc279701254"/>
      <w:r>
        <w:rPr>
          <w:rFonts w:hint="eastAsia" w:ascii="宋体" w:hAnsi="宋体" w:eastAsia="宋体" w:cs="宋体"/>
          <w:b/>
          <w:bCs/>
          <w:kern w:val="2"/>
          <w:sz w:val="24"/>
          <w:szCs w:val="24"/>
          <w:lang w:val="en-US" w:eastAsia="zh-CN" w:bidi="ar-SA"/>
        </w:rPr>
        <w:t>2.11 合同变更</w:t>
      </w:r>
      <w:bookmarkEnd w:id="434"/>
      <w:bookmarkEnd w:id="435"/>
      <w:bookmarkEnd w:id="436"/>
      <w:bookmarkEnd w:id="437"/>
      <w:bookmarkEnd w:id="438"/>
      <w:bookmarkEnd w:id="439"/>
      <w:bookmarkEnd w:id="440"/>
      <w:bookmarkEnd w:id="441"/>
    </w:p>
    <w:p w14:paraId="798C0E3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2.11.1双方当事人协商一致，可以签订书面补充合同的形式变更合同，但不得违背采购文件确定的事项，且如果系追加与合同标的相同的货物的，那么所有补充合同的采购金额不得超过原合同价的10%；</w:t>
      </w:r>
    </w:p>
    <w:p w14:paraId="446CAE2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2.11.2 合同继续履行将损害国家利益和社会公共利益的，双方当事人应当以书面形式变更合同。有过错的一方应当承担赔偿责任，双方当事人都有过错的，各自承担相应的责任。</w:t>
      </w:r>
      <w:bookmarkStart w:id="446" w:name="_Toc279701259"/>
      <w:bookmarkStart w:id="447" w:name="_Toc487900369"/>
      <w:bookmarkStart w:id="448" w:name="_Toc259093688"/>
    </w:p>
    <w:p w14:paraId="31328E9E">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49" w:name="_Toc27360"/>
      <w:bookmarkStart w:id="450" w:name="_Toc31277"/>
      <w:bookmarkStart w:id="451" w:name="_Toc9013"/>
      <w:bookmarkStart w:id="452" w:name="_Toc15237"/>
      <w:bookmarkStart w:id="453" w:name="_Toc10366"/>
      <w:bookmarkStart w:id="454" w:name="_Toc8912"/>
      <w:bookmarkStart w:id="455" w:name="_Toc21469"/>
      <w:bookmarkStart w:id="456" w:name="_Toc13330"/>
      <w:bookmarkStart w:id="457" w:name="_Toc22955"/>
      <w:bookmarkStart w:id="458" w:name="_Toc13604"/>
      <w:r>
        <w:rPr>
          <w:rFonts w:hint="eastAsia" w:ascii="宋体" w:hAnsi="宋体" w:eastAsia="宋体" w:cs="宋体"/>
          <w:b/>
          <w:bCs/>
          <w:kern w:val="2"/>
          <w:sz w:val="24"/>
          <w:szCs w:val="24"/>
          <w:lang w:val="en-US" w:eastAsia="zh-CN" w:bidi="ar-SA"/>
        </w:rPr>
        <w:t>2.12 合同转让</w:t>
      </w:r>
      <w:bookmarkEnd w:id="446"/>
      <w:bookmarkEnd w:id="447"/>
      <w:bookmarkEnd w:id="448"/>
      <w:r>
        <w:rPr>
          <w:rFonts w:hint="eastAsia" w:ascii="宋体" w:hAnsi="宋体" w:eastAsia="宋体" w:cs="宋体"/>
          <w:b/>
          <w:bCs/>
          <w:kern w:val="2"/>
          <w:sz w:val="24"/>
          <w:szCs w:val="24"/>
          <w:lang w:val="en-US" w:eastAsia="zh-CN" w:bidi="ar-SA"/>
        </w:rPr>
        <w:t>和分包</w:t>
      </w:r>
      <w:bookmarkEnd w:id="449"/>
      <w:bookmarkEnd w:id="450"/>
      <w:bookmarkEnd w:id="451"/>
      <w:bookmarkEnd w:id="452"/>
      <w:bookmarkEnd w:id="453"/>
      <w:bookmarkEnd w:id="454"/>
      <w:bookmarkEnd w:id="455"/>
      <w:bookmarkEnd w:id="456"/>
      <w:bookmarkEnd w:id="457"/>
      <w:bookmarkEnd w:id="458"/>
    </w:p>
    <w:p w14:paraId="664DEB7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61E4046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59" w:name="_Toc16866"/>
      <w:bookmarkStart w:id="460" w:name="_Toc13667"/>
      <w:bookmarkStart w:id="461" w:name="_Toc13315"/>
      <w:bookmarkStart w:id="462" w:name="_Toc13566"/>
      <w:bookmarkStart w:id="463" w:name="_Toc16508"/>
      <w:bookmarkStart w:id="464" w:name="_Toc14066"/>
      <w:bookmarkStart w:id="465" w:name="_Toc21117"/>
      <w:bookmarkStart w:id="466" w:name="_Toc11275"/>
      <w:bookmarkStart w:id="467" w:name="_Toc14589"/>
      <w:bookmarkStart w:id="468" w:name="_Toc30689"/>
      <w:r>
        <w:rPr>
          <w:rFonts w:hint="eastAsia" w:ascii="宋体" w:hAnsi="宋体" w:eastAsia="宋体" w:cs="宋体"/>
          <w:b/>
          <w:bCs/>
          <w:kern w:val="2"/>
          <w:sz w:val="24"/>
          <w:szCs w:val="24"/>
          <w:lang w:val="en-US" w:eastAsia="zh-CN" w:bidi="ar-SA"/>
        </w:rPr>
        <w:t>2.13 不可抗力</w:t>
      </w:r>
      <w:bookmarkEnd w:id="459"/>
      <w:bookmarkEnd w:id="460"/>
      <w:bookmarkEnd w:id="461"/>
      <w:bookmarkEnd w:id="462"/>
      <w:bookmarkEnd w:id="463"/>
      <w:bookmarkEnd w:id="464"/>
      <w:bookmarkEnd w:id="465"/>
      <w:bookmarkEnd w:id="466"/>
      <w:bookmarkEnd w:id="467"/>
      <w:bookmarkEnd w:id="468"/>
    </w:p>
    <w:p w14:paraId="5771CD1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2.13.1如果任何一方遭遇法律规定的不可抗力，致使合同履行受阻时，履行合同的期限应予延长，延长的期限应相当于不可抗力所影响的时间；</w:t>
      </w:r>
    </w:p>
    <w:p w14:paraId="1D3FEBA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2.13.2 因不可抗力致使不能实现合同目的的，当事人可以解除合同；</w:t>
      </w:r>
    </w:p>
    <w:p w14:paraId="7FDCBAE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2.13.3 因不可抗力致使合同有变更必要的，双方当事人应在合同专用条款约定时间内以书面形式变更合同；</w:t>
      </w:r>
    </w:p>
    <w:p w14:paraId="199F3A3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2.13.4受不可抗力影响的一方在不可抗力发生后，应在合同专用条款约定时间内以书面形式通知对方当事人，并在合同专用条款约定时间内，将有关部门出具的证明文件送达对方当事人。</w:t>
      </w:r>
    </w:p>
    <w:p w14:paraId="09FAADFC">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69" w:name="_Toc12526"/>
      <w:bookmarkStart w:id="470" w:name="_Toc259093684"/>
      <w:bookmarkStart w:id="471" w:name="_Toc28553"/>
      <w:bookmarkStart w:id="472" w:name="_Toc15529"/>
      <w:bookmarkStart w:id="473" w:name="_Toc487900365"/>
      <w:bookmarkStart w:id="474" w:name="_Toc30676"/>
      <w:bookmarkStart w:id="475" w:name="_Toc24210"/>
      <w:bookmarkStart w:id="476" w:name="_Toc3271"/>
      <w:bookmarkStart w:id="477" w:name="_Toc279701255"/>
      <w:bookmarkStart w:id="478" w:name="_Toc6969"/>
      <w:bookmarkStart w:id="479" w:name="_Toc4202"/>
      <w:bookmarkStart w:id="480" w:name="_Toc689"/>
      <w:bookmarkStart w:id="481" w:name="_Toc26701"/>
      <w:r>
        <w:rPr>
          <w:rFonts w:hint="eastAsia" w:ascii="宋体" w:hAnsi="宋体" w:eastAsia="宋体" w:cs="宋体"/>
          <w:b/>
          <w:bCs/>
          <w:kern w:val="2"/>
          <w:sz w:val="24"/>
          <w:szCs w:val="24"/>
          <w:lang w:val="en-US" w:eastAsia="zh-CN" w:bidi="ar-SA"/>
        </w:rPr>
        <w:t>2.14 税费</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7D395E2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与合同有关的一切税费，均按照中华人民共和国法律的相关规定。</w:t>
      </w:r>
    </w:p>
    <w:p w14:paraId="1937A22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82" w:name="_Toc23363"/>
      <w:bookmarkStart w:id="483" w:name="_Toc487900368"/>
      <w:bookmarkStart w:id="484" w:name="_Toc8298"/>
      <w:bookmarkStart w:id="485" w:name="_Toc7102"/>
      <w:bookmarkStart w:id="486" w:name="_Toc19279"/>
      <w:bookmarkStart w:id="487" w:name="_Toc4921"/>
      <w:bookmarkStart w:id="488" w:name="_Toc9201"/>
      <w:bookmarkStart w:id="489" w:name="_Toc14652"/>
      <w:bookmarkStart w:id="490" w:name="_Toc279701258"/>
      <w:bookmarkStart w:id="491" w:name="_Toc16959"/>
      <w:bookmarkStart w:id="492" w:name="_Toc259093687"/>
      <w:bookmarkStart w:id="493" w:name="_Toc23378"/>
      <w:bookmarkStart w:id="494" w:name="_Toc725"/>
      <w:r>
        <w:rPr>
          <w:rFonts w:hint="eastAsia" w:ascii="宋体" w:hAnsi="宋体" w:eastAsia="宋体" w:cs="宋体"/>
          <w:b/>
          <w:bCs/>
          <w:kern w:val="2"/>
          <w:sz w:val="24"/>
          <w:szCs w:val="24"/>
          <w:lang w:val="en-US" w:eastAsia="zh-CN" w:bidi="ar-SA"/>
        </w:rPr>
        <w:t>2.15 乙方破产</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482A64A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436F68">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95" w:name="_Toc13954"/>
      <w:bookmarkStart w:id="496" w:name="_Toc28828"/>
      <w:bookmarkStart w:id="497" w:name="_Toc6847"/>
      <w:bookmarkStart w:id="498" w:name="_Toc15387"/>
      <w:bookmarkStart w:id="499" w:name="_Toc29333"/>
      <w:bookmarkStart w:id="500" w:name="_Toc2684"/>
      <w:bookmarkStart w:id="501" w:name="_Toc9443"/>
      <w:bookmarkStart w:id="502" w:name="_Toc29378"/>
      <w:bookmarkStart w:id="503" w:name="_Toc6134"/>
      <w:bookmarkStart w:id="504" w:name="_Toc6530"/>
      <w:r>
        <w:rPr>
          <w:rFonts w:hint="eastAsia" w:ascii="宋体" w:hAnsi="宋体" w:eastAsia="宋体" w:cs="宋体"/>
          <w:b/>
          <w:bCs/>
          <w:kern w:val="2"/>
          <w:sz w:val="24"/>
          <w:szCs w:val="24"/>
          <w:lang w:val="en-US" w:eastAsia="zh-CN" w:bidi="ar-SA"/>
        </w:rPr>
        <w:t>2.16 合同中止、终止</w:t>
      </w:r>
      <w:bookmarkEnd w:id="495"/>
      <w:bookmarkEnd w:id="496"/>
      <w:bookmarkEnd w:id="497"/>
      <w:bookmarkEnd w:id="498"/>
      <w:bookmarkEnd w:id="499"/>
      <w:bookmarkEnd w:id="500"/>
      <w:bookmarkEnd w:id="501"/>
      <w:bookmarkEnd w:id="502"/>
      <w:bookmarkEnd w:id="503"/>
      <w:bookmarkEnd w:id="504"/>
    </w:p>
    <w:p w14:paraId="66921D0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2.16.1 双方当事人不得擅自中止或者终止合同；</w:t>
      </w:r>
    </w:p>
    <w:p w14:paraId="3CBFBE9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2.16.2合同继续履行将损害国家利益和社会公共利益的，双方当事人应当中止或者终止合同。有过错的一方应当承担赔偿责任，双方当事人都有过错的，各自承担相应的责任。</w:t>
      </w:r>
    </w:p>
    <w:p w14:paraId="17E3CAA4">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05" w:name="_Toc6596"/>
      <w:bookmarkStart w:id="506" w:name="_Toc22722"/>
      <w:bookmarkStart w:id="507" w:name="_Toc29723"/>
      <w:bookmarkStart w:id="508" w:name="_Toc14563"/>
      <w:bookmarkStart w:id="509" w:name="_Toc1125"/>
      <w:bookmarkStart w:id="510" w:name="_Toc786"/>
      <w:bookmarkStart w:id="511" w:name="_Toc5287"/>
      <w:bookmarkStart w:id="512" w:name="_Toc19390"/>
      <w:bookmarkStart w:id="513" w:name="_Toc13616"/>
      <w:bookmarkStart w:id="514" w:name="_Toc17050"/>
      <w:r>
        <w:rPr>
          <w:rFonts w:hint="eastAsia" w:ascii="宋体" w:hAnsi="宋体" w:eastAsia="宋体" w:cs="宋体"/>
          <w:b/>
          <w:bCs/>
          <w:kern w:val="2"/>
          <w:sz w:val="24"/>
          <w:szCs w:val="24"/>
          <w:lang w:val="en-US" w:eastAsia="zh-CN" w:bidi="ar-SA"/>
        </w:rPr>
        <w:t>2.17 检验和验收</w:t>
      </w:r>
      <w:bookmarkEnd w:id="505"/>
      <w:bookmarkEnd w:id="506"/>
      <w:bookmarkEnd w:id="507"/>
      <w:bookmarkEnd w:id="508"/>
      <w:bookmarkEnd w:id="509"/>
      <w:bookmarkEnd w:id="510"/>
      <w:bookmarkEnd w:id="511"/>
      <w:bookmarkEnd w:id="512"/>
      <w:bookmarkEnd w:id="513"/>
      <w:bookmarkEnd w:id="514"/>
    </w:p>
    <w:p w14:paraId="789907AF">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57B4A683">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4C12B8">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2.17.3 检验和验收标准、程序等具体内容以及前述验收书的效力详见合同专用条款。</w:t>
      </w:r>
    </w:p>
    <w:bookmarkEnd w:id="442"/>
    <w:bookmarkEnd w:id="443"/>
    <w:bookmarkEnd w:id="444"/>
    <w:bookmarkEnd w:id="445"/>
    <w:p w14:paraId="0B98451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15" w:name="_Toc259093690"/>
      <w:bookmarkStart w:id="516" w:name="_Toc487900371"/>
      <w:bookmarkStart w:id="517" w:name="_Toc279701261"/>
      <w:bookmarkStart w:id="518" w:name="_Toc11284"/>
      <w:bookmarkStart w:id="519" w:name="_Toc11908"/>
      <w:bookmarkStart w:id="520" w:name="_Toc8977"/>
      <w:bookmarkStart w:id="521" w:name="_Toc21540"/>
      <w:bookmarkStart w:id="522" w:name="_Toc14977"/>
      <w:bookmarkStart w:id="523" w:name="_Toc25182"/>
      <w:bookmarkStart w:id="524" w:name="_Toc16089"/>
      <w:bookmarkStart w:id="525" w:name="_Toc15871"/>
      <w:bookmarkStart w:id="526" w:name="_Toc19604"/>
      <w:bookmarkStart w:id="527" w:name="_Toc12036"/>
      <w:r>
        <w:rPr>
          <w:rFonts w:hint="eastAsia" w:ascii="宋体" w:hAnsi="宋体" w:eastAsia="宋体" w:cs="宋体"/>
          <w:b/>
          <w:bCs/>
          <w:kern w:val="2"/>
          <w:sz w:val="24"/>
          <w:szCs w:val="24"/>
          <w:lang w:val="en-US" w:eastAsia="zh-CN" w:bidi="ar-SA"/>
        </w:rPr>
        <w:t>2.18 通知</w:t>
      </w:r>
      <w:bookmarkEnd w:id="515"/>
      <w:bookmarkEnd w:id="516"/>
      <w:bookmarkEnd w:id="517"/>
      <w:r>
        <w:rPr>
          <w:rFonts w:hint="eastAsia" w:ascii="宋体" w:hAnsi="宋体" w:eastAsia="宋体" w:cs="宋体"/>
          <w:b/>
          <w:bCs/>
          <w:kern w:val="2"/>
          <w:sz w:val="24"/>
          <w:szCs w:val="24"/>
          <w:lang w:val="en-US" w:eastAsia="zh-CN" w:bidi="ar-SA"/>
        </w:rPr>
        <w:t>和送达</w:t>
      </w:r>
      <w:bookmarkEnd w:id="518"/>
      <w:bookmarkEnd w:id="519"/>
      <w:bookmarkEnd w:id="520"/>
      <w:bookmarkEnd w:id="521"/>
      <w:bookmarkEnd w:id="522"/>
      <w:bookmarkEnd w:id="523"/>
      <w:bookmarkEnd w:id="524"/>
      <w:bookmarkEnd w:id="525"/>
      <w:bookmarkEnd w:id="526"/>
      <w:bookmarkEnd w:id="527"/>
    </w:p>
    <w:p w14:paraId="244E585C">
      <w:pPr>
        <w:spacing w:line="560" w:lineRule="exact"/>
        <w:ind w:firstLine="480" w:firstLineChars="200"/>
        <w:rPr>
          <w:rFonts w:hint="eastAsia" w:ascii="宋体" w:hAnsi="宋体" w:eastAsia="宋体" w:cs="宋体"/>
          <w:kern w:val="2"/>
          <w:sz w:val="24"/>
          <w:szCs w:val="24"/>
          <w:lang w:val="en-US" w:eastAsia="zh-CN" w:bidi="ar-SA"/>
        </w:rPr>
      </w:pPr>
      <w:bookmarkStart w:id="528" w:name="_Toc6698"/>
      <w:bookmarkStart w:id="529" w:name="_Toc3135"/>
      <w:bookmarkStart w:id="530" w:name="_Toc487900372"/>
      <w:bookmarkStart w:id="531" w:name="_Toc259093691"/>
      <w:bookmarkStart w:id="532" w:name="_Toc279701262"/>
      <w:r>
        <w:rPr>
          <w:rFonts w:hint="eastAsia" w:ascii="宋体" w:hAnsi="宋体" w:eastAsia="宋体" w:cs="宋体"/>
          <w:kern w:val="2"/>
          <w:sz w:val="24"/>
          <w:szCs w:val="24"/>
          <w:lang w:val="en-US" w:eastAsia="zh-CN" w:bidi="ar-SA"/>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528"/>
      <w:bookmarkEnd w:id="529"/>
    </w:p>
    <w:p w14:paraId="143041D6">
      <w:pPr>
        <w:spacing w:line="560" w:lineRule="exact"/>
        <w:ind w:firstLine="480" w:firstLineChars="200"/>
        <w:rPr>
          <w:rFonts w:hint="eastAsia" w:ascii="宋体" w:hAnsi="宋体" w:eastAsia="宋体" w:cs="宋体"/>
          <w:kern w:val="2"/>
          <w:sz w:val="24"/>
          <w:szCs w:val="24"/>
          <w:lang w:val="en-US" w:eastAsia="zh-CN" w:bidi="ar-SA"/>
        </w:rPr>
      </w:pPr>
      <w:bookmarkStart w:id="533" w:name="_Toc23128"/>
      <w:bookmarkStart w:id="534" w:name="_Toc23294"/>
      <w:r>
        <w:rPr>
          <w:rFonts w:hint="eastAsia" w:ascii="宋体" w:hAnsi="宋体" w:eastAsia="宋体" w:cs="宋体"/>
          <w:kern w:val="2"/>
          <w:sz w:val="24"/>
          <w:szCs w:val="24"/>
          <w:lang w:val="en-US" w:eastAsia="zh-CN" w:bidi="ar-SA"/>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0F47F662">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35" w:name="_Toc16769"/>
      <w:bookmarkStart w:id="536" w:name="_Toc9916"/>
      <w:bookmarkStart w:id="537" w:name="_Toc30599"/>
      <w:bookmarkStart w:id="538" w:name="_Toc4355"/>
      <w:bookmarkStart w:id="539" w:name="_Toc14626"/>
      <w:bookmarkStart w:id="540" w:name="_Toc5507"/>
      <w:bookmarkStart w:id="541" w:name="_Toc18540"/>
      <w:bookmarkStart w:id="542" w:name="_Toc14896"/>
      <w:bookmarkStart w:id="543" w:name="_Toc29488"/>
      <w:bookmarkStart w:id="544" w:name="_Toc848"/>
      <w:r>
        <w:rPr>
          <w:rFonts w:hint="eastAsia" w:ascii="宋体" w:hAnsi="宋体" w:eastAsia="宋体" w:cs="宋体"/>
          <w:b/>
          <w:bCs/>
          <w:kern w:val="2"/>
          <w:sz w:val="24"/>
          <w:szCs w:val="24"/>
          <w:lang w:val="en-US" w:eastAsia="zh-CN" w:bidi="ar-SA"/>
        </w:rPr>
        <w:t>2.19 计量单位</w:t>
      </w:r>
      <w:bookmarkEnd w:id="530"/>
      <w:bookmarkEnd w:id="531"/>
      <w:bookmarkEnd w:id="532"/>
      <w:bookmarkEnd w:id="535"/>
      <w:bookmarkEnd w:id="536"/>
      <w:bookmarkEnd w:id="537"/>
      <w:bookmarkEnd w:id="538"/>
      <w:bookmarkEnd w:id="539"/>
      <w:bookmarkEnd w:id="540"/>
      <w:bookmarkEnd w:id="541"/>
      <w:bookmarkEnd w:id="542"/>
      <w:bookmarkEnd w:id="543"/>
      <w:bookmarkEnd w:id="544"/>
    </w:p>
    <w:p w14:paraId="63030E8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除技术规范中另有规定外,合同的计量单位均使用国家法定计量单位。</w:t>
      </w:r>
    </w:p>
    <w:p w14:paraId="7CD11B68">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45" w:name="_Toc12784"/>
      <w:bookmarkStart w:id="546" w:name="_Toc26728"/>
      <w:bookmarkStart w:id="547" w:name="_Toc487900373"/>
      <w:bookmarkStart w:id="548" w:name="_Toc8385"/>
      <w:bookmarkStart w:id="549" w:name="_Toc4647"/>
      <w:bookmarkStart w:id="550" w:name="_Toc259093692"/>
      <w:bookmarkStart w:id="551" w:name="_Toc10330"/>
      <w:bookmarkStart w:id="552" w:name="_Toc279701263"/>
      <w:bookmarkStart w:id="553" w:name="_Toc21688"/>
      <w:bookmarkStart w:id="554" w:name="_Toc12773"/>
      <w:bookmarkStart w:id="555" w:name="_Toc19036"/>
      <w:bookmarkStart w:id="556" w:name="_Toc18567"/>
      <w:r>
        <w:rPr>
          <w:rFonts w:hint="eastAsia" w:ascii="宋体" w:hAnsi="宋体" w:eastAsia="宋体" w:cs="宋体"/>
          <w:b/>
          <w:bCs/>
          <w:kern w:val="2"/>
          <w:sz w:val="24"/>
          <w:szCs w:val="24"/>
          <w:lang w:val="en-US" w:eastAsia="zh-CN" w:bidi="ar-SA"/>
        </w:rPr>
        <w:t>2.20 合同使用的文字和适用的法律</w:t>
      </w:r>
      <w:bookmarkEnd w:id="545"/>
      <w:bookmarkEnd w:id="546"/>
      <w:bookmarkEnd w:id="547"/>
      <w:bookmarkEnd w:id="548"/>
      <w:bookmarkEnd w:id="549"/>
      <w:bookmarkEnd w:id="550"/>
      <w:bookmarkEnd w:id="551"/>
      <w:bookmarkEnd w:id="552"/>
      <w:bookmarkEnd w:id="553"/>
      <w:bookmarkEnd w:id="554"/>
      <w:bookmarkEnd w:id="555"/>
      <w:bookmarkEnd w:id="556"/>
    </w:p>
    <w:p w14:paraId="0A4DC1A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2.20.1 合同使用汉语书就、变更和解释；</w:t>
      </w:r>
    </w:p>
    <w:p w14:paraId="793A1A5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2.20.2 合同适用中华人民共和国法律。</w:t>
      </w:r>
    </w:p>
    <w:p w14:paraId="42E82EF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57" w:name="_Toc5694"/>
      <w:bookmarkStart w:id="558" w:name="_Toc16673"/>
      <w:bookmarkStart w:id="559" w:name="_Toc12681"/>
      <w:bookmarkStart w:id="560" w:name="_Toc9006"/>
      <w:bookmarkStart w:id="561" w:name="_Toc259093693"/>
      <w:bookmarkStart w:id="562" w:name="_Toc3148"/>
      <w:bookmarkStart w:id="563" w:name="_Toc12336"/>
      <w:bookmarkStart w:id="564" w:name="_Toc32426"/>
      <w:bookmarkStart w:id="565" w:name="_Toc12004"/>
      <w:bookmarkStart w:id="566" w:name="_Toc279701264"/>
      <w:bookmarkStart w:id="567" w:name="_Toc21191"/>
      <w:bookmarkStart w:id="568" w:name="_Toc4674"/>
      <w:bookmarkStart w:id="569" w:name="_Toc487900374"/>
      <w:r>
        <w:rPr>
          <w:rFonts w:hint="eastAsia" w:ascii="宋体" w:hAnsi="宋体" w:eastAsia="宋体" w:cs="宋体"/>
          <w:b/>
          <w:bCs/>
          <w:kern w:val="2"/>
          <w:sz w:val="24"/>
          <w:szCs w:val="24"/>
          <w:lang w:val="en-US" w:eastAsia="zh-CN" w:bidi="ar-SA"/>
        </w:rPr>
        <w:t>2.21 履约保证金</w:t>
      </w:r>
      <w:bookmarkEnd w:id="557"/>
      <w:bookmarkEnd w:id="558"/>
      <w:bookmarkEnd w:id="559"/>
      <w:bookmarkEnd w:id="560"/>
      <w:bookmarkEnd w:id="561"/>
      <w:bookmarkEnd w:id="562"/>
      <w:bookmarkEnd w:id="563"/>
      <w:bookmarkEnd w:id="564"/>
      <w:bookmarkEnd w:id="565"/>
      <w:bookmarkEnd w:id="566"/>
      <w:bookmarkEnd w:id="567"/>
      <w:bookmarkEnd w:id="568"/>
    </w:p>
    <w:p w14:paraId="07ED0B9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2.21.1 采购文件要求乙方提交履约保证金的，乙方应按合同专用条款约定的方式，以支票、汇票、本票或者金融机构、担保机构出具的保函等非现金形式，提交不超过合同价10%的履约保证金；</w:t>
      </w:r>
    </w:p>
    <w:p w14:paraId="1840CD5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2.21.2  履约保证金在合同专用条款约定期间内或者货物质量保证期内不予退还或者应完全有效，前述约定期间届满或者货物质量保证期届满之日起  个工作日内，甲方应将履约保证金退还乙方；</w:t>
      </w:r>
    </w:p>
    <w:p w14:paraId="20F9889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9"/>
    <w:p w14:paraId="4843817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70" w:name="_Toc27063"/>
      <w:bookmarkStart w:id="571" w:name="_Toc26837"/>
      <w:bookmarkStart w:id="572" w:name="_Toc24488"/>
      <w:bookmarkStart w:id="573" w:name="_Toc14044"/>
      <w:bookmarkStart w:id="574" w:name="_Toc30308"/>
      <w:bookmarkStart w:id="575" w:name="_Toc14001"/>
      <w:bookmarkStart w:id="576" w:name="_Toc19890"/>
      <w:bookmarkStart w:id="577" w:name="_Toc17442"/>
      <w:bookmarkStart w:id="578" w:name="_Toc14041"/>
      <w:bookmarkStart w:id="579" w:name="_Toc6885"/>
      <w:r>
        <w:rPr>
          <w:rFonts w:hint="eastAsia" w:ascii="宋体" w:hAnsi="宋体" w:eastAsia="宋体" w:cs="宋体"/>
          <w:b/>
          <w:bCs/>
          <w:kern w:val="2"/>
          <w:sz w:val="24"/>
          <w:szCs w:val="24"/>
          <w:lang w:val="en-US" w:eastAsia="zh-CN" w:bidi="ar-SA"/>
        </w:rPr>
        <w:t>2.22 合同份数</w:t>
      </w:r>
      <w:bookmarkEnd w:id="570"/>
      <w:bookmarkEnd w:id="571"/>
      <w:bookmarkEnd w:id="572"/>
      <w:bookmarkEnd w:id="573"/>
      <w:bookmarkEnd w:id="574"/>
      <w:bookmarkEnd w:id="575"/>
      <w:bookmarkEnd w:id="576"/>
      <w:bookmarkEnd w:id="577"/>
      <w:bookmarkEnd w:id="578"/>
      <w:bookmarkEnd w:id="579"/>
    </w:p>
    <w:p w14:paraId="7584E75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合同份数按合同专用条款规定，每份均具有同等法律效力。</w:t>
      </w:r>
    </w:p>
    <w:p w14:paraId="2E4CA178">
      <w:pPr>
        <w:pStyle w:val="59"/>
        <w:spacing w:line="560" w:lineRule="exact"/>
        <w:ind w:left="0" w:leftChars="0" w:firstLine="0" w:firstLineChars="0"/>
        <w:jc w:val="both"/>
        <w:rPr>
          <w:rFonts w:hint="eastAsia" w:ascii="宋体" w:hAnsi="宋体" w:eastAsia="宋体" w:cs="宋体"/>
          <w:b/>
          <w:color w:val="000000"/>
          <w:kern w:val="2"/>
          <w:sz w:val="24"/>
          <w:szCs w:val="24"/>
          <w:highlight w:val="none"/>
          <w:lang w:val="en-US" w:eastAsia="zh-CN" w:bidi="ar-SA"/>
        </w:rPr>
      </w:pPr>
    </w:p>
    <w:p w14:paraId="22C9C009">
      <w:pPr>
        <w:pStyle w:val="59"/>
        <w:spacing w:line="560" w:lineRule="exact"/>
        <w:ind w:firstLine="0"/>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第三部分  合同专用条款</w:t>
      </w:r>
    </w:p>
    <w:p w14:paraId="222B2F0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8"/>
        <w:gridCol w:w="7416"/>
      </w:tblGrid>
      <w:tr w14:paraId="42A67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1018" w:type="dxa"/>
            <w:tcBorders>
              <w:left w:val="single" w:color="auto" w:sz="4" w:space="0"/>
            </w:tcBorders>
            <w:noWrap w:val="0"/>
            <w:vAlign w:val="center"/>
          </w:tcPr>
          <w:p w14:paraId="0E4A5D46">
            <w:pPr>
              <w:keepNext w:val="0"/>
              <w:keepLines w:val="0"/>
              <w:suppressLineNumbers w:val="0"/>
              <w:spacing w:before="0" w:beforeAutospacing="0" w:after="0" w:afterAutospacing="0" w:line="560" w:lineRule="exac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条款号</w:t>
            </w:r>
          </w:p>
        </w:tc>
        <w:tc>
          <w:tcPr>
            <w:tcW w:w="7416" w:type="dxa"/>
            <w:noWrap w:val="0"/>
            <w:vAlign w:val="center"/>
          </w:tcPr>
          <w:p w14:paraId="2AAB6209">
            <w:pPr>
              <w:keepNext w:val="0"/>
              <w:keepLines w:val="0"/>
              <w:suppressLineNumbers w:val="0"/>
              <w:spacing w:before="0" w:beforeAutospacing="0" w:after="0" w:afterAutospacing="0" w:line="560" w:lineRule="exac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约定内容</w:t>
            </w:r>
          </w:p>
        </w:tc>
      </w:tr>
      <w:tr w14:paraId="3C8D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18" w:type="dxa"/>
            <w:tcBorders>
              <w:left w:val="single" w:color="auto" w:sz="4" w:space="0"/>
            </w:tcBorders>
            <w:noWrap w:val="0"/>
            <w:vAlign w:val="center"/>
          </w:tcPr>
          <w:p w14:paraId="3438B949">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c>
          <w:tcPr>
            <w:tcW w:w="7416" w:type="dxa"/>
            <w:noWrap w:val="0"/>
            <w:vAlign w:val="center"/>
          </w:tcPr>
          <w:p w14:paraId="3D303BE7">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r>
      <w:tr w14:paraId="3A9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14:paraId="66ADA1D2">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c>
          <w:tcPr>
            <w:tcW w:w="7416" w:type="dxa"/>
            <w:noWrap w:val="0"/>
            <w:vAlign w:val="center"/>
          </w:tcPr>
          <w:p w14:paraId="7108ED96">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r>
    </w:tbl>
    <w:p w14:paraId="258B3B8A">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bookmarkStart w:id="580" w:name="_Toc25342"/>
      <w:bookmarkStart w:id="581" w:name="_Toc11035"/>
      <w:bookmarkStart w:id="582" w:name="_Toc19415"/>
      <w:bookmarkStart w:id="583" w:name="_Toc6125"/>
      <w:bookmarkStart w:id="584" w:name="_Toc9510643"/>
    </w:p>
    <w:p w14:paraId="38E10D1C">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379E14BB">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A0380F4">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5C4E78A">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A6FB06F">
      <w:pPr>
        <w:spacing w:line="360" w:lineRule="auto"/>
        <w:ind w:firstLine="562" w:firstLineChars="200"/>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kern w:val="2"/>
          <w:sz w:val="28"/>
          <w:szCs w:val="28"/>
          <w:lang w:val="en-US" w:eastAsia="zh-CN" w:bidi="ar-SA"/>
        </w:rPr>
        <w:t>第七章　投标文件格式</w:t>
      </w:r>
      <w:bookmarkEnd w:id="580"/>
      <w:bookmarkEnd w:id="581"/>
      <w:bookmarkEnd w:id="582"/>
      <w:bookmarkEnd w:id="583"/>
      <w:bookmarkEnd w:id="584"/>
    </w:p>
    <w:p w14:paraId="35CA32FA">
      <w:pPr>
        <w:adjustRightInd w:val="0"/>
        <w:spacing w:line="360" w:lineRule="auto"/>
        <w:rPr>
          <w:rFonts w:hint="eastAsia" w:asciiTheme="minorEastAsia" w:hAnsiTheme="minorEastAsia" w:eastAsiaTheme="minorEastAsia" w:cstheme="minorEastAsia"/>
          <w:szCs w:val="24"/>
        </w:rPr>
      </w:pPr>
    </w:p>
    <w:p w14:paraId="4255CB46">
      <w:pPr>
        <w:spacing w:line="560" w:lineRule="exact"/>
        <w:ind w:firstLine="480" w:firstLineChars="200"/>
        <w:outlineLvl w:val="1"/>
        <w:rPr>
          <w:rFonts w:hint="eastAsia" w:asciiTheme="minorEastAsia" w:hAnsiTheme="minorEastAsia" w:eastAsiaTheme="minorEastAsia" w:cstheme="minorEastAsia"/>
          <w:kern w:val="2"/>
          <w:sz w:val="24"/>
          <w:szCs w:val="24"/>
          <w:lang w:val="en-US" w:eastAsia="zh-CN" w:bidi="ar-SA"/>
        </w:rPr>
      </w:pPr>
      <w:bookmarkStart w:id="585" w:name="_Toc23594"/>
      <w:r>
        <w:rPr>
          <w:rFonts w:hint="eastAsia" w:asciiTheme="minorEastAsia" w:hAnsiTheme="minorEastAsia" w:eastAsiaTheme="minorEastAsia" w:cstheme="minorEastAsia"/>
          <w:kern w:val="2"/>
          <w:sz w:val="24"/>
          <w:szCs w:val="24"/>
          <w:lang w:val="en-US" w:eastAsia="zh-CN" w:bidi="ar-SA"/>
        </w:rPr>
        <w:t>一、投标人提交投标文件须知：</w:t>
      </w:r>
      <w:bookmarkEnd w:id="585"/>
    </w:p>
    <w:p w14:paraId="18F1D571">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1、投标人应严格按照以下顺序填写和提交下述规定的全部格式文件以及其他有关资料，混乱的编排导致投标文件被误读或评标小组查找不到有效文件是投标人的风险。</w:t>
      </w:r>
    </w:p>
    <w:p w14:paraId="57C3A2B6">
      <w:pPr>
        <w:spacing w:line="560" w:lineRule="exact"/>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586" w:name="_Toc23205"/>
      <w:r>
        <w:rPr>
          <w:rFonts w:hint="eastAsia" w:asciiTheme="minorEastAsia" w:hAnsiTheme="minorEastAsia" w:eastAsiaTheme="minorEastAsia" w:cstheme="minorEastAsia"/>
          <w:kern w:val="2"/>
          <w:sz w:val="24"/>
          <w:szCs w:val="24"/>
          <w:lang w:val="en-US" w:eastAsia="zh-CN" w:bidi="ar-SA"/>
        </w:rPr>
        <w:t>2、所附表格中要求回答的全部问题和/或信息都必须正面回答。</w:t>
      </w:r>
      <w:bookmarkEnd w:id="586"/>
    </w:p>
    <w:p w14:paraId="7B679774">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3、本声明书的签字人应保证全部声明和问题的回答是真实的和准确的。</w:t>
      </w:r>
    </w:p>
    <w:p w14:paraId="3858C004">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4、评标委员会将应用投标人提交的资料根据自己的判断和考虑决定投标人履行合同的合格性及能力。</w:t>
      </w:r>
    </w:p>
    <w:p w14:paraId="3069BDA9">
      <w:pPr>
        <w:spacing w:line="560" w:lineRule="exact"/>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587" w:name="_Toc8067"/>
      <w:r>
        <w:rPr>
          <w:rFonts w:hint="eastAsia" w:asciiTheme="minorEastAsia" w:hAnsiTheme="minorEastAsia" w:eastAsiaTheme="minorEastAsia" w:cstheme="minorEastAsia"/>
          <w:kern w:val="2"/>
          <w:sz w:val="24"/>
          <w:szCs w:val="24"/>
          <w:lang w:val="en-US" w:eastAsia="zh-CN" w:bidi="ar-SA"/>
        </w:rPr>
        <w:t>5、投标人提交的材料将在一定期限内被保密保存，但不退还。</w:t>
      </w:r>
      <w:bookmarkEnd w:id="587"/>
    </w:p>
    <w:p w14:paraId="0D50DBAF">
      <w:pPr>
        <w:spacing w:line="560" w:lineRule="exact"/>
        <w:ind w:firstLine="480" w:firstLineChars="2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4"/>
          <w:szCs w:val="24"/>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435EF769">
      <w:pPr>
        <w:spacing w:line="360" w:lineRule="auto"/>
        <w:jc w:val="center"/>
        <w:outlineLvl w:val="1"/>
        <w:rPr>
          <w:rFonts w:hint="eastAsia" w:asciiTheme="minorEastAsia" w:hAnsiTheme="minorEastAsia" w:eastAsiaTheme="minorEastAsia" w:cstheme="minorEastAsia"/>
          <w:sz w:val="48"/>
          <w:szCs w:val="48"/>
        </w:rPr>
      </w:pPr>
      <w:bookmarkStart w:id="588" w:name="_Toc17130"/>
      <w:bookmarkStart w:id="589" w:name="_Toc23960"/>
    </w:p>
    <w:p w14:paraId="27876CED">
      <w:pPr>
        <w:spacing w:line="360" w:lineRule="auto"/>
        <w:jc w:val="center"/>
        <w:outlineLvl w:val="1"/>
        <w:rPr>
          <w:rFonts w:hint="eastAsia" w:asciiTheme="minorEastAsia" w:hAnsiTheme="minorEastAsia" w:eastAsiaTheme="minorEastAsia" w:cstheme="minorEastAsia"/>
          <w:sz w:val="48"/>
          <w:szCs w:val="48"/>
        </w:rPr>
      </w:pPr>
    </w:p>
    <w:p w14:paraId="250B886F">
      <w:pPr>
        <w:spacing w:line="360" w:lineRule="auto"/>
        <w:jc w:val="center"/>
        <w:outlineLvl w:val="1"/>
        <w:rPr>
          <w:rFonts w:hint="eastAsia" w:asciiTheme="minorEastAsia" w:hAnsiTheme="minorEastAsia" w:eastAsiaTheme="minorEastAsia" w:cstheme="minorEastAsia"/>
          <w:sz w:val="48"/>
          <w:szCs w:val="48"/>
        </w:rPr>
      </w:pPr>
    </w:p>
    <w:p w14:paraId="11509B69">
      <w:pPr>
        <w:spacing w:line="360" w:lineRule="auto"/>
        <w:jc w:val="center"/>
        <w:outlineLvl w:val="1"/>
        <w:rPr>
          <w:rFonts w:hint="eastAsia" w:asciiTheme="minorEastAsia" w:hAnsiTheme="minorEastAsia" w:eastAsiaTheme="minorEastAsia" w:cstheme="minorEastAsia"/>
          <w:sz w:val="48"/>
          <w:szCs w:val="48"/>
        </w:rPr>
      </w:pPr>
    </w:p>
    <w:p w14:paraId="55D945EB">
      <w:pPr>
        <w:spacing w:line="360" w:lineRule="auto"/>
        <w:jc w:val="center"/>
        <w:outlineLvl w:val="1"/>
        <w:rPr>
          <w:rFonts w:hint="eastAsia" w:asciiTheme="minorEastAsia" w:hAnsiTheme="minorEastAsia" w:eastAsiaTheme="minorEastAsia" w:cstheme="minorEastAsia"/>
          <w:sz w:val="48"/>
          <w:szCs w:val="48"/>
        </w:rPr>
      </w:pPr>
    </w:p>
    <w:p w14:paraId="7ABCB6BA">
      <w:pPr>
        <w:spacing w:line="360" w:lineRule="auto"/>
        <w:jc w:val="center"/>
        <w:outlineLvl w:val="1"/>
        <w:rPr>
          <w:rFonts w:hint="eastAsia" w:asciiTheme="minorEastAsia" w:hAnsiTheme="minorEastAsia" w:eastAsiaTheme="minorEastAsia" w:cstheme="minorEastAsia"/>
          <w:sz w:val="48"/>
          <w:szCs w:val="48"/>
        </w:rPr>
      </w:pPr>
    </w:p>
    <w:p w14:paraId="5472B34C">
      <w:pPr>
        <w:spacing w:line="360" w:lineRule="auto"/>
        <w:jc w:val="center"/>
        <w:outlineLvl w:val="1"/>
        <w:rPr>
          <w:rFonts w:hint="eastAsia" w:asciiTheme="minorEastAsia" w:hAnsiTheme="minorEastAsia" w:eastAsiaTheme="minorEastAsia" w:cstheme="minorEastAsia"/>
          <w:sz w:val="48"/>
          <w:szCs w:val="48"/>
        </w:rPr>
      </w:pPr>
    </w:p>
    <w:p w14:paraId="488FB18D">
      <w:pPr>
        <w:spacing w:line="360" w:lineRule="auto"/>
        <w:jc w:val="center"/>
        <w:outlineLvl w:val="1"/>
        <w:rPr>
          <w:rFonts w:hint="eastAsia" w:asciiTheme="minorEastAsia" w:hAnsiTheme="minorEastAsia" w:eastAsiaTheme="minorEastAsia" w:cstheme="minorEastAsia"/>
          <w:sz w:val="48"/>
          <w:szCs w:val="48"/>
        </w:rPr>
      </w:pPr>
    </w:p>
    <w:p w14:paraId="709C49A7">
      <w:pPr>
        <w:spacing w:line="360" w:lineRule="auto"/>
        <w:jc w:val="center"/>
        <w:outlineLvl w:val="1"/>
        <w:rPr>
          <w:rFonts w:hint="eastAsia" w:asciiTheme="minorEastAsia" w:hAnsiTheme="minorEastAsia" w:eastAsiaTheme="minorEastAsia" w:cstheme="minorEastAsia"/>
          <w:sz w:val="48"/>
          <w:szCs w:val="48"/>
        </w:rPr>
      </w:pPr>
    </w:p>
    <w:p w14:paraId="0077548C">
      <w:pPr>
        <w:spacing w:line="360" w:lineRule="auto"/>
        <w:jc w:val="center"/>
        <w:outlineLvl w:val="1"/>
        <w:rPr>
          <w:rFonts w:hint="eastAsia" w:asciiTheme="minorEastAsia" w:hAnsiTheme="minorEastAsia" w:eastAsiaTheme="minorEastAsia" w:cstheme="minorEastAsia"/>
          <w:sz w:val="48"/>
          <w:szCs w:val="48"/>
        </w:rPr>
      </w:pPr>
    </w:p>
    <w:p w14:paraId="0B0C4BCE">
      <w:pPr>
        <w:spacing w:line="360" w:lineRule="auto"/>
        <w:jc w:val="center"/>
        <w:outlineLvl w:val="1"/>
        <w:rPr>
          <w:rFonts w:hint="eastAsia" w:asciiTheme="minorEastAsia" w:hAnsiTheme="minorEastAsia" w:eastAsiaTheme="minorEastAsia" w:cstheme="minorEastAsia"/>
          <w:sz w:val="48"/>
          <w:szCs w:val="48"/>
        </w:rPr>
      </w:pPr>
    </w:p>
    <w:p w14:paraId="28149E51">
      <w:pPr>
        <w:spacing w:line="360" w:lineRule="auto"/>
        <w:jc w:val="center"/>
        <w:outlineLvl w:val="1"/>
        <w:rPr>
          <w:rFonts w:hint="eastAsia" w:asciiTheme="minorEastAsia" w:hAnsiTheme="minorEastAsia" w:eastAsiaTheme="minorEastAsia" w:cstheme="minorEastAsia"/>
          <w:sz w:val="48"/>
          <w:szCs w:val="48"/>
        </w:rPr>
      </w:pPr>
    </w:p>
    <w:p w14:paraId="5AE685B5">
      <w:pPr>
        <w:spacing w:line="360" w:lineRule="auto"/>
        <w:jc w:val="center"/>
        <w:outlineLvl w:val="1"/>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(项目</w:t>
      </w:r>
      <w:r>
        <w:rPr>
          <w:rFonts w:hint="eastAsia" w:asciiTheme="minorEastAsia" w:hAnsiTheme="minorEastAsia" w:eastAsiaTheme="minorEastAsia" w:cstheme="minorEastAsia"/>
          <w:sz w:val="48"/>
          <w:szCs w:val="48"/>
          <w:lang w:eastAsia="zh-CN"/>
        </w:rPr>
        <w:t>、标段</w:t>
      </w:r>
      <w:r>
        <w:rPr>
          <w:rFonts w:hint="eastAsia" w:asciiTheme="minorEastAsia" w:hAnsiTheme="minorEastAsia" w:eastAsiaTheme="minorEastAsia" w:cstheme="minorEastAsia"/>
          <w:sz w:val="48"/>
          <w:szCs w:val="48"/>
        </w:rPr>
        <w:t>名称)项目</w:t>
      </w:r>
      <w:bookmarkEnd w:id="588"/>
      <w:bookmarkEnd w:id="589"/>
    </w:p>
    <w:p w14:paraId="20F5135A">
      <w:pPr>
        <w:spacing w:line="360" w:lineRule="auto"/>
        <w:jc w:val="center"/>
        <w:outlineLvl w:val="9"/>
        <w:rPr>
          <w:rFonts w:hint="eastAsia" w:asciiTheme="minorEastAsia" w:hAnsiTheme="minorEastAsia" w:eastAsiaTheme="minorEastAsia" w:cstheme="minorEastAsia"/>
          <w:sz w:val="32"/>
        </w:rPr>
      </w:pPr>
    </w:p>
    <w:p w14:paraId="58D7674E">
      <w:pPr>
        <w:spacing w:line="360" w:lineRule="auto"/>
        <w:jc w:val="center"/>
        <w:outlineLvl w:val="9"/>
        <w:rPr>
          <w:rFonts w:hint="eastAsia" w:asciiTheme="minorEastAsia" w:hAnsiTheme="minorEastAsia" w:eastAsiaTheme="minorEastAsia" w:cstheme="minorEastAsia"/>
          <w:sz w:val="32"/>
        </w:rPr>
      </w:pPr>
      <w:bookmarkStart w:id="590" w:name="_Toc24951"/>
      <w:r>
        <w:rPr>
          <w:rFonts w:hint="eastAsia" w:asciiTheme="minorEastAsia" w:hAnsiTheme="minorEastAsia" w:eastAsiaTheme="minorEastAsia" w:cstheme="minorEastAsia"/>
          <w:sz w:val="32"/>
        </w:rPr>
        <w:t>项目编号：</w:t>
      </w:r>
      <w:bookmarkEnd w:id="590"/>
    </w:p>
    <w:p w14:paraId="49AD6F62">
      <w:pPr>
        <w:spacing w:line="560" w:lineRule="exact"/>
        <w:ind w:firstLine="883" w:firstLineChars="200"/>
        <w:jc w:val="center"/>
        <w:rPr>
          <w:rFonts w:hint="eastAsia" w:asciiTheme="minorEastAsia" w:hAnsiTheme="minorEastAsia" w:eastAsiaTheme="minorEastAsia" w:cstheme="minorEastAsia"/>
          <w:b/>
          <w:bCs/>
          <w:kern w:val="2"/>
          <w:sz w:val="44"/>
          <w:szCs w:val="52"/>
          <w:lang w:val="en-US" w:eastAsia="zh-CN" w:bidi="ar-SA"/>
        </w:rPr>
      </w:pPr>
    </w:p>
    <w:p w14:paraId="69B30E16">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投</w:t>
      </w:r>
    </w:p>
    <w:p w14:paraId="0B62346F">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标</w:t>
      </w:r>
    </w:p>
    <w:p w14:paraId="65A8BDC6">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文</w:t>
      </w:r>
    </w:p>
    <w:p w14:paraId="6308463D">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件</w:t>
      </w:r>
    </w:p>
    <w:p w14:paraId="598842C5">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p>
    <w:p w14:paraId="2ED84682">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p>
    <w:p w14:paraId="2F5F798E">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投标单位名称：</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（加盖单位公章）</w:t>
      </w:r>
    </w:p>
    <w:p w14:paraId="7A83DA6E">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投标单位地址：</w:t>
      </w:r>
      <w:r>
        <w:rPr>
          <w:rFonts w:hint="eastAsia" w:asciiTheme="minorEastAsia" w:hAnsiTheme="minorEastAsia" w:eastAsiaTheme="minorEastAsia" w:cstheme="minorEastAsia"/>
          <w:kern w:val="2"/>
          <w:sz w:val="28"/>
          <w:szCs w:val="36"/>
          <w:u w:val="single"/>
          <w:lang w:val="en-US" w:eastAsia="zh-CN" w:bidi="ar-SA"/>
        </w:rPr>
        <w:t xml:space="preserve">                                  </w:t>
      </w:r>
    </w:p>
    <w:p w14:paraId="451A4BF3">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法人或法人授权代表（签字或盖章）：</w:t>
      </w:r>
      <w:r>
        <w:rPr>
          <w:rFonts w:hint="eastAsia" w:asciiTheme="minorEastAsia" w:hAnsiTheme="minorEastAsia" w:eastAsiaTheme="minorEastAsia" w:cstheme="minorEastAsia"/>
          <w:kern w:val="2"/>
          <w:sz w:val="28"/>
          <w:szCs w:val="36"/>
          <w:u w:val="single"/>
          <w:lang w:val="en-US" w:eastAsia="zh-CN" w:bidi="ar-SA"/>
        </w:rPr>
        <w:t xml:space="preserve">                        </w:t>
      </w:r>
    </w:p>
    <w:p w14:paraId="185491A3">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投标单位联系电话：</w:t>
      </w:r>
      <w:r>
        <w:rPr>
          <w:rFonts w:hint="eastAsia" w:asciiTheme="minorEastAsia" w:hAnsiTheme="minorEastAsia" w:eastAsiaTheme="minorEastAsia" w:cstheme="minorEastAsia"/>
          <w:kern w:val="2"/>
          <w:sz w:val="28"/>
          <w:szCs w:val="36"/>
          <w:u w:val="single"/>
          <w:lang w:val="en-US" w:eastAsia="zh-CN" w:bidi="ar-SA"/>
        </w:rPr>
        <w:t xml:space="preserve">                              </w:t>
      </w:r>
    </w:p>
    <w:p w14:paraId="440EFD04">
      <w:pPr>
        <w:spacing w:line="560" w:lineRule="exact"/>
        <w:ind w:firstLine="420" w:firstLineChars="200"/>
        <w:rPr>
          <w:rFonts w:hint="eastAsia" w:asciiTheme="minorEastAsia" w:hAnsiTheme="minorEastAsia" w:eastAsiaTheme="minorEastAsia" w:cstheme="minorEastAsia"/>
          <w:kern w:val="2"/>
          <w:sz w:val="21"/>
          <w:szCs w:val="24"/>
          <w:lang w:val="en-US" w:eastAsia="zh-CN" w:bidi="ar-SA"/>
        </w:rPr>
      </w:pPr>
    </w:p>
    <w:p w14:paraId="5BB9C29C">
      <w:pPr>
        <w:spacing w:line="560" w:lineRule="exact"/>
        <w:ind w:firstLine="560" w:firstLineChars="200"/>
        <w:jc w:val="center"/>
        <w:rPr>
          <w:rFonts w:hint="eastAsia" w:asciiTheme="minorEastAsia" w:hAnsiTheme="minorEastAsia" w:eastAsiaTheme="minorEastAsia" w:cstheme="minorEastAsia"/>
          <w:kern w:val="2"/>
          <w:sz w:val="28"/>
          <w:szCs w:val="36"/>
          <w:lang w:val="en-US" w:eastAsia="zh-CN" w:bidi="ar-SA"/>
        </w:rPr>
      </w:pPr>
      <w:bookmarkStart w:id="591" w:name="_Toc1683"/>
    </w:p>
    <w:p w14:paraId="48DBD0E0">
      <w:pPr>
        <w:spacing w:line="560" w:lineRule="exact"/>
        <w:ind w:firstLine="560" w:firstLineChars="200"/>
        <w:jc w:val="center"/>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年</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月</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日</w:t>
      </w:r>
      <w:bookmarkEnd w:id="591"/>
    </w:p>
    <w:p w14:paraId="3075B56B">
      <w:pPr>
        <w:jc w:val="center"/>
        <w:rPr>
          <w:rFonts w:hint="eastAsia" w:asciiTheme="minorEastAsia" w:hAnsiTheme="minorEastAsia" w:eastAsiaTheme="minorEastAsia" w:cstheme="minorEastAsia"/>
          <w:b/>
          <w:bCs/>
          <w:color w:val="000000"/>
          <w:sz w:val="32"/>
          <w:szCs w:val="44"/>
          <w:lang w:val="en-US" w:eastAsia="zh-CN"/>
        </w:rPr>
      </w:pPr>
    </w:p>
    <w:p w14:paraId="7FBBB50E">
      <w:pPr>
        <w:jc w:val="center"/>
        <w:rPr>
          <w:rFonts w:hint="eastAsia" w:asciiTheme="minorEastAsia" w:hAnsiTheme="minorEastAsia" w:eastAsiaTheme="minorEastAsia" w:cstheme="minorEastAsia"/>
          <w:b/>
          <w:bCs/>
          <w:color w:val="000000"/>
          <w:sz w:val="32"/>
          <w:szCs w:val="44"/>
          <w:lang w:val="en-US" w:eastAsia="zh-CN"/>
        </w:rPr>
      </w:pPr>
    </w:p>
    <w:p w14:paraId="3CCC7536">
      <w:pPr>
        <w:jc w:val="center"/>
        <w:rPr>
          <w:rFonts w:hint="eastAsia" w:asciiTheme="minorEastAsia" w:hAnsiTheme="minorEastAsia" w:eastAsiaTheme="minorEastAsia" w:cstheme="minorEastAsia"/>
          <w:b/>
          <w:bCs/>
          <w:color w:val="000000"/>
          <w:sz w:val="32"/>
          <w:szCs w:val="44"/>
          <w:lang w:val="en-US" w:eastAsia="zh-CN"/>
        </w:rPr>
      </w:pPr>
    </w:p>
    <w:p w14:paraId="21D38C69">
      <w:pPr>
        <w:jc w:val="center"/>
        <w:rPr>
          <w:rFonts w:hint="eastAsia" w:asciiTheme="minorEastAsia" w:hAnsiTheme="minorEastAsia" w:eastAsiaTheme="minorEastAsia" w:cstheme="minorEastAsia"/>
          <w:b/>
          <w:bCs/>
          <w:color w:val="000000"/>
          <w:sz w:val="32"/>
          <w:szCs w:val="44"/>
          <w:lang w:val="en-US" w:eastAsia="zh-CN"/>
        </w:rPr>
      </w:pPr>
      <w:r>
        <w:rPr>
          <w:rFonts w:hint="eastAsia" w:asciiTheme="minorEastAsia" w:hAnsiTheme="minorEastAsia" w:eastAsiaTheme="minorEastAsia" w:cstheme="minorEastAsia"/>
          <w:b/>
          <w:bCs/>
          <w:color w:val="000000"/>
          <w:sz w:val="32"/>
          <w:szCs w:val="44"/>
          <w:lang w:val="en-US" w:eastAsia="zh-CN"/>
        </w:rPr>
        <w:t>目录</w:t>
      </w:r>
    </w:p>
    <w:p w14:paraId="125B9260">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报价部分：</w:t>
      </w:r>
    </w:p>
    <w:p w14:paraId="63C0CD9F">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1、投标函；</w:t>
      </w:r>
    </w:p>
    <w:p w14:paraId="1BFA6C0C">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2、开标一览表；</w:t>
      </w:r>
    </w:p>
    <w:p w14:paraId="3B547506">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3、投标报价明细表</w:t>
      </w:r>
    </w:p>
    <w:p w14:paraId="164DEE12">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商务部分：</w:t>
      </w:r>
    </w:p>
    <w:p w14:paraId="73C98B93">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投标单位简介，并附投标人资质证件等；</w:t>
      </w:r>
    </w:p>
    <w:p w14:paraId="524C8DE8">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出具法人营业执照函（格式见附件）；</w:t>
      </w:r>
    </w:p>
    <w:p w14:paraId="57A7C5E1">
      <w:pPr>
        <w:spacing w:line="300" w:lineRule="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6、联合体协议书（如是）</w:t>
      </w:r>
    </w:p>
    <w:p w14:paraId="2CC8EF81">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法定代表人证明书及身份证</w:t>
      </w:r>
      <w:r>
        <w:rPr>
          <w:rFonts w:hint="eastAsia" w:asciiTheme="minorEastAsia" w:hAnsiTheme="minorEastAsia" w:eastAsiaTheme="minorEastAsia" w:cstheme="minorEastAsia"/>
          <w:sz w:val="24"/>
          <w:szCs w:val="24"/>
          <w:lang w:val="en-US" w:eastAsia="zh-CN"/>
        </w:rPr>
        <w:t>复印</w:t>
      </w:r>
      <w:r>
        <w:rPr>
          <w:rFonts w:hint="eastAsia" w:asciiTheme="minorEastAsia" w:hAnsiTheme="minorEastAsia" w:eastAsiaTheme="minorEastAsia" w:cstheme="minorEastAsia"/>
          <w:sz w:val="24"/>
          <w:szCs w:val="24"/>
        </w:rPr>
        <w:t>件；</w:t>
      </w:r>
    </w:p>
    <w:p w14:paraId="3A07043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法人代表授权委托书及身份证</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w:t>
      </w:r>
    </w:p>
    <w:p w14:paraId="4C9F8EDE">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9、委托代理人身份证复印件； </w:t>
      </w:r>
    </w:p>
    <w:p w14:paraId="3EFC8045">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10、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w:t>
      </w:r>
      <w:r>
        <w:rPr>
          <w:rFonts w:hint="eastAsia" w:asciiTheme="minorEastAsia" w:hAnsiTheme="minorEastAsia" w:eastAsiaTheme="minorEastAsia" w:cstheme="minorEastAsia"/>
          <w:sz w:val="24"/>
          <w:szCs w:val="24"/>
          <w:highlight w:val="none"/>
          <w:lang w:val="en-US" w:eastAsia="zh-CN"/>
        </w:rPr>
        <w:t>常名录的，将拒绝其参与本次政府釆购活动。</w:t>
      </w:r>
    </w:p>
    <w:p w14:paraId="49A86676">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11、具有良好的商业信誉和健全的财务会计制度：提供2023年由第三方审计机构出具及备案赋码的审计报告（2024年新成立的公司按实际发生的情况提供银行出具的资信证明）和健全的财务会计制度；</w:t>
      </w:r>
    </w:p>
    <w:p w14:paraId="4D9657E7">
      <w:pPr>
        <w:spacing w:line="300" w:lineRule="auto"/>
        <w:outlineLvl w:val="2"/>
        <w:rPr>
          <w:rFonts w:hint="eastAsia" w:asciiTheme="minorEastAsia" w:hAnsiTheme="minorEastAsia" w:eastAsiaTheme="minorEastAsia" w:cstheme="minorEastAsia"/>
          <w:sz w:val="24"/>
          <w:szCs w:val="24"/>
          <w:lang w:val="en-US" w:eastAsia="zh-CN"/>
        </w:rPr>
      </w:pPr>
      <w:bookmarkStart w:id="592" w:name="_Toc16907"/>
      <w:r>
        <w:rPr>
          <w:rFonts w:hint="eastAsia" w:asciiTheme="minorEastAsia" w:hAnsiTheme="minorEastAsia" w:eastAsiaTheme="minorEastAsia" w:cstheme="minorEastAsia"/>
          <w:sz w:val="24"/>
          <w:szCs w:val="24"/>
          <w:lang w:val="en-US" w:eastAsia="zh-CN"/>
        </w:rPr>
        <w:t>12、投标保证金打款凭证；</w:t>
      </w:r>
      <w:bookmarkEnd w:id="592"/>
    </w:p>
    <w:p w14:paraId="1F947164">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 xml:space="preserve">商务偏离表（格式见附件）；  </w:t>
      </w:r>
    </w:p>
    <w:p w14:paraId="41B32069">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反商业贿赂承诺书（格式见附件）；</w:t>
      </w:r>
    </w:p>
    <w:p w14:paraId="0B2EE39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15、无围标、串标等违法违规行为承诺书</w:t>
      </w:r>
      <w:r>
        <w:rPr>
          <w:rFonts w:hint="eastAsia" w:asciiTheme="minorEastAsia" w:hAnsiTheme="minorEastAsia" w:eastAsiaTheme="minorEastAsia" w:cstheme="minorEastAsia"/>
          <w:sz w:val="24"/>
          <w:szCs w:val="24"/>
        </w:rPr>
        <w:t>（格式见附件）；</w:t>
      </w:r>
    </w:p>
    <w:p w14:paraId="44CE7E1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16、中小企业声明函</w:t>
      </w:r>
      <w:r>
        <w:rPr>
          <w:rFonts w:hint="eastAsia" w:asciiTheme="minorEastAsia" w:hAnsiTheme="minorEastAsia" w:eastAsiaTheme="minorEastAsia" w:cstheme="minorEastAsia"/>
          <w:sz w:val="24"/>
          <w:szCs w:val="24"/>
        </w:rPr>
        <w:t>；</w:t>
      </w:r>
    </w:p>
    <w:p w14:paraId="19C3A05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投标人认为有必要提供的声明及文件资料。</w:t>
      </w:r>
    </w:p>
    <w:p w14:paraId="07C3A6E6">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技术部分：</w:t>
      </w:r>
    </w:p>
    <w:p w14:paraId="4FE32950">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18、对本次投标项目的技术方案(投标人视需要自行编写)；</w:t>
      </w:r>
    </w:p>
    <w:p w14:paraId="55864015">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19、技术偏离表（格式见附件）</w:t>
      </w:r>
    </w:p>
    <w:p w14:paraId="35F59D01">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20、服务承诺书</w:t>
      </w:r>
    </w:p>
    <w:p w14:paraId="64925A49">
      <w:pPr>
        <w:spacing w:line="30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21、分包协议书（本项目不适用）</w:t>
      </w:r>
    </w:p>
    <w:p w14:paraId="26FA9123">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22、其他有利于投标人的资料（如有）</w:t>
      </w:r>
    </w:p>
    <w:p w14:paraId="337F4EAA">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注：1、投标文件必须制作有目录和页码</w:t>
      </w:r>
    </w:p>
    <w:p w14:paraId="746DC31D">
      <w:pPr>
        <w:spacing w:line="300" w:lineRule="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bookmarkStart w:id="593" w:name="_Toc26933"/>
      <w:r>
        <w:rPr>
          <w:rFonts w:hint="eastAsia" w:asciiTheme="minorEastAsia" w:hAnsiTheme="minorEastAsia" w:eastAsiaTheme="minorEastAsia" w:cstheme="minorEastAsia"/>
          <w:sz w:val="24"/>
          <w:szCs w:val="24"/>
          <w:lang w:val="en-US" w:eastAsia="zh-CN"/>
        </w:rPr>
        <w:t>2、只接受A4纸张大小的投标文件</w:t>
      </w:r>
      <w:bookmarkEnd w:id="593"/>
    </w:p>
    <w:p w14:paraId="567BAEE1">
      <w:pPr>
        <w:spacing w:line="360" w:lineRule="auto"/>
        <w:jc w:val="center"/>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投标文件严格按要求制作</w:t>
      </w:r>
    </w:p>
    <w:p w14:paraId="0DBD19B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F07EA1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附件一</w:t>
      </w:r>
    </w:p>
    <w:p w14:paraId="211C63A2">
      <w:pPr>
        <w:numPr>
          <w:ilvl w:val="0"/>
          <w:numId w:val="0"/>
        </w:numPr>
        <w:spacing w:line="440" w:lineRule="exact"/>
        <w:jc w:val="center"/>
        <w:rPr>
          <w:rFonts w:hint="eastAsia" w:asciiTheme="minorEastAsia" w:hAnsiTheme="minorEastAsia" w:eastAsiaTheme="minorEastAsia" w:cstheme="minorEastAsia"/>
          <w:b/>
          <w:color w:val="000000"/>
          <w:sz w:val="32"/>
          <w:szCs w:val="28"/>
          <w:lang w:eastAsia="zh-CN"/>
        </w:rPr>
      </w:pPr>
      <w:r>
        <w:rPr>
          <w:rFonts w:hint="eastAsia" w:asciiTheme="minorEastAsia" w:hAnsiTheme="minorEastAsia" w:eastAsiaTheme="minorEastAsia" w:cstheme="minorEastAsia"/>
          <w:b/>
          <w:color w:val="000000"/>
          <w:sz w:val="32"/>
          <w:szCs w:val="28"/>
        </w:rPr>
        <w:t>投标</w:t>
      </w:r>
      <w:r>
        <w:rPr>
          <w:rFonts w:hint="eastAsia" w:asciiTheme="minorEastAsia" w:hAnsiTheme="minorEastAsia" w:eastAsiaTheme="minorEastAsia" w:cstheme="minorEastAsia"/>
          <w:b/>
          <w:color w:val="000000"/>
          <w:sz w:val="32"/>
          <w:szCs w:val="28"/>
          <w:lang w:eastAsia="zh-CN"/>
        </w:rPr>
        <w:t>函</w:t>
      </w:r>
    </w:p>
    <w:p w14:paraId="13544125">
      <w:pPr>
        <w:pStyle w:val="50"/>
        <w:numPr>
          <w:ilvl w:val="0"/>
          <w:numId w:val="0"/>
        </w:numPr>
        <w:rPr>
          <w:rFonts w:hint="eastAsia" w:asciiTheme="minorEastAsia" w:hAnsiTheme="minorEastAsia" w:eastAsiaTheme="minorEastAsia" w:cstheme="minorEastAsia"/>
        </w:rPr>
      </w:pPr>
    </w:p>
    <w:p w14:paraId="5C4A1466">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E2554EC">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我们收到你们的</w:t>
      </w:r>
      <w:r>
        <w:rPr>
          <w:rFonts w:hint="eastAsia" w:asciiTheme="minorEastAsia" w:hAnsiTheme="minorEastAsia" w:eastAsiaTheme="minorEastAsia" w:cstheme="minorEastAsia"/>
          <w:color w:val="000000"/>
          <w:sz w:val="24"/>
          <w:szCs w:val="24"/>
          <w:u w:val="single"/>
        </w:rPr>
        <w:t xml:space="preserve">     （项目名称）     （项目编号：  号）</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文件，经认真研究，我们决定参加本次</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活动。</w:t>
      </w:r>
    </w:p>
    <w:p w14:paraId="2EB39622">
      <w:pPr>
        <w:numPr>
          <w:ilvl w:val="0"/>
          <w:numId w:val="11"/>
        </w:num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4" w:name="_Toc15514"/>
      <w:r>
        <w:rPr>
          <w:rFonts w:hint="eastAsia" w:asciiTheme="minorEastAsia" w:hAnsiTheme="minorEastAsia" w:eastAsiaTheme="minorEastAsia" w:cstheme="minorEastAsia"/>
          <w:color w:val="000000"/>
          <w:sz w:val="24"/>
          <w:szCs w:val="24"/>
        </w:rPr>
        <w:t>按照</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中的一切要求，提供招标的相关服务。</w:t>
      </w:r>
      <w:bookmarkEnd w:id="594"/>
    </w:p>
    <w:p w14:paraId="608544FB">
      <w:pPr>
        <w:numPr>
          <w:ilvl w:val="0"/>
          <w:numId w:val="0"/>
        </w:num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lang w:val="en-US" w:eastAsia="zh-CN"/>
        </w:rPr>
        <w:t>小写：</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元</w:t>
      </w:r>
    </w:p>
    <w:p w14:paraId="0E450104">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大写：</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 xml:space="preserve"> 。</w:t>
      </w:r>
    </w:p>
    <w:p w14:paraId="6404178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2、如果我们的投标文件被接受，我们将履行</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中规定的每一项义务和要求，按期、按质、按量完成</w:t>
      </w:r>
      <w:r>
        <w:rPr>
          <w:rFonts w:hint="eastAsia" w:asciiTheme="minorEastAsia" w:hAnsiTheme="minorEastAsia" w:eastAsiaTheme="minorEastAsia" w:cstheme="minorEastAsia"/>
          <w:color w:val="000000"/>
          <w:sz w:val="24"/>
          <w:szCs w:val="24"/>
          <w:lang w:val="en-US" w:eastAsia="zh-CN"/>
        </w:rPr>
        <w:t>本次服务</w:t>
      </w:r>
      <w:r>
        <w:rPr>
          <w:rFonts w:hint="eastAsia" w:asciiTheme="minorEastAsia" w:hAnsiTheme="minorEastAsia" w:eastAsiaTheme="minorEastAsia" w:cstheme="minorEastAsia"/>
          <w:color w:val="000000"/>
          <w:sz w:val="24"/>
          <w:szCs w:val="24"/>
        </w:rPr>
        <w:t>。</w:t>
      </w:r>
    </w:p>
    <w:p w14:paraId="79AF2BD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3、我们同意按</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文件的规定，本投标文件的有效期为开标后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天。</w:t>
      </w:r>
    </w:p>
    <w:p w14:paraId="13420073">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5" w:name="_Toc29996"/>
      <w:r>
        <w:rPr>
          <w:rFonts w:hint="eastAsia" w:asciiTheme="minorEastAsia" w:hAnsiTheme="minorEastAsia" w:eastAsiaTheme="minorEastAsia" w:cstheme="minorEastAsia"/>
          <w:color w:val="000000"/>
          <w:sz w:val="24"/>
          <w:szCs w:val="24"/>
        </w:rPr>
        <w:t>4、我们愿意提供招标人在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文件中要求的所有资料。</w:t>
      </w:r>
      <w:bookmarkEnd w:id="595"/>
    </w:p>
    <w:p w14:paraId="77A12D56">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5、我们认为你们有选择或拒绝任何投标者中标的权力。我们理解，最低报价不是中标的唯一条件。</w:t>
      </w:r>
    </w:p>
    <w:p w14:paraId="468997BF">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6" w:name="_Toc19169"/>
      <w:r>
        <w:rPr>
          <w:rFonts w:hint="eastAsia" w:asciiTheme="minorEastAsia" w:hAnsiTheme="minorEastAsia" w:eastAsiaTheme="minorEastAsia" w:cstheme="minorEastAsia"/>
          <w:color w:val="000000"/>
          <w:sz w:val="24"/>
          <w:szCs w:val="24"/>
        </w:rPr>
        <w:t>6、我们愿按合同法履行自己的全部责任。</w:t>
      </w:r>
      <w:bookmarkEnd w:id="596"/>
    </w:p>
    <w:p w14:paraId="513EC52D">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7、我们愿意遵守国家有关规定和</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文件中规定的收费标准，承付中标服务费。</w:t>
      </w:r>
    </w:p>
    <w:p w14:paraId="1C0D84AD">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7" w:name="_Toc17525"/>
      <w:r>
        <w:rPr>
          <w:rFonts w:hint="eastAsia" w:asciiTheme="minorEastAsia" w:hAnsiTheme="minorEastAsia" w:eastAsiaTheme="minorEastAsia" w:cstheme="minorEastAsia"/>
          <w:color w:val="000000"/>
          <w:sz w:val="24"/>
          <w:szCs w:val="24"/>
        </w:rPr>
        <w:t>8、该项投标在开标后的全过程中保持有效，不作任何更改和变动。</w:t>
      </w:r>
      <w:bookmarkEnd w:id="597"/>
    </w:p>
    <w:p w14:paraId="291C9E1A">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9、我们同意按</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文件规定，交纳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元的投标保证金。</w:t>
      </w:r>
    </w:p>
    <w:p w14:paraId="04416A9E">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10、其它说明。</w:t>
      </w:r>
    </w:p>
    <w:p w14:paraId="30AB972A">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11、所有有关本标书的函电，请按下列地址联系：</w:t>
      </w:r>
    </w:p>
    <w:p w14:paraId="6C5602C4">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711ECF6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lang w:val="en-US" w:eastAsia="zh-CN"/>
        </w:rPr>
        <w:t xml:space="preserve">                                 </w:t>
      </w:r>
    </w:p>
    <w:p w14:paraId="7E4DCEC1">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28DB4953">
      <w:pPr>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6CA60E88">
      <w:pPr>
        <w:adjustRightInd w:val="0"/>
        <w:snapToGrid w:val="0"/>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0327CF73">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4D0D0432">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5D0989E7">
      <w:pPr>
        <w:adjustRightInd w:val="0"/>
        <w:snapToGrid w:val="0"/>
        <w:spacing w:line="360" w:lineRule="auto"/>
        <w:jc w:val="right"/>
        <w:rPr>
          <w:rFonts w:hint="eastAsia" w:asciiTheme="minorEastAsia" w:hAnsiTheme="minorEastAsia" w:eastAsiaTheme="minorEastAsia" w:cstheme="minorEastAsia"/>
          <w:color w:val="000000"/>
          <w:sz w:val="21"/>
          <w:szCs w:val="22"/>
        </w:rPr>
      </w:pPr>
      <w:r>
        <w:rPr>
          <w:rFonts w:hint="eastAsia" w:asciiTheme="minorEastAsia" w:hAnsiTheme="minorEastAsia" w:eastAsiaTheme="minorEastAsia" w:cstheme="minorEastAsia"/>
          <w:color w:val="000000"/>
          <w:sz w:val="21"/>
          <w:szCs w:val="22"/>
          <w:lang w:val="en-US" w:eastAsia="zh-CN"/>
        </w:rPr>
        <w:t>日期：</w:t>
      </w:r>
      <w:r>
        <w:rPr>
          <w:rFonts w:hint="eastAsia" w:asciiTheme="minorEastAsia" w:hAnsiTheme="minorEastAsia" w:eastAsiaTheme="minorEastAsia" w:cstheme="minorEastAsia"/>
          <w:color w:val="000000"/>
          <w:sz w:val="21"/>
          <w:szCs w:val="22"/>
        </w:rPr>
        <w:t xml:space="preserve"> </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年</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月</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日</w:t>
      </w:r>
    </w:p>
    <w:p w14:paraId="65583EBC">
      <w:pPr>
        <w:pStyle w:val="12"/>
        <w:rPr>
          <w:rFonts w:hint="eastAsia"/>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731F402A">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DB4A54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2F21EE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附件二</w:t>
      </w:r>
    </w:p>
    <w:p w14:paraId="56FF4D36">
      <w:pPr>
        <w:numPr>
          <w:ilvl w:val="0"/>
          <w:numId w:val="0"/>
        </w:numPr>
        <w:spacing w:line="440" w:lineRule="exact"/>
        <w:jc w:val="center"/>
        <w:rPr>
          <w:rFonts w:hint="eastAsia" w:asciiTheme="minorEastAsia" w:hAnsiTheme="minorEastAsia" w:eastAsiaTheme="minorEastAsia" w:cstheme="minorEastAsia"/>
          <w:b/>
          <w:color w:val="000000"/>
          <w:sz w:val="32"/>
          <w:szCs w:val="28"/>
        </w:rPr>
      </w:pPr>
      <w:r>
        <w:rPr>
          <w:rFonts w:hint="eastAsia" w:asciiTheme="minorEastAsia" w:hAnsiTheme="minorEastAsia" w:eastAsiaTheme="minorEastAsia" w:cstheme="minorEastAsia"/>
          <w:b/>
          <w:color w:val="000000"/>
          <w:sz w:val="32"/>
          <w:szCs w:val="28"/>
        </w:rPr>
        <w:t>开标一览表</w:t>
      </w:r>
    </w:p>
    <w:p w14:paraId="5C21A9CD">
      <w:pPr>
        <w:pStyle w:val="35"/>
        <w:rPr>
          <w:rFonts w:hint="eastAsia" w:asciiTheme="minorEastAsia" w:hAnsiTheme="minorEastAsia" w:eastAsiaTheme="minorEastAsia" w:cstheme="minorEastAsia"/>
        </w:rPr>
      </w:pPr>
    </w:p>
    <w:p w14:paraId="6CE45A95">
      <w:pPr>
        <w:pStyle w:val="35"/>
        <w:rPr>
          <w:rFonts w:hint="eastAsia" w:asciiTheme="minorEastAsia" w:hAnsiTheme="minorEastAsia" w:eastAsiaTheme="minorEastAsia" w:cstheme="minorEastAsia"/>
        </w:rPr>
      </w:pPr>
    </w:p>
    <w:p w14:paraId="1706ECB6">
      <w:pPr>
        <w:spacing w:line="370" w:lineRule="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u w:val="single"/>
          <w:lang w:val="en-US" w:eastAsia="zh-CN"/>
        </w:rPr>
        <w:t xml:space="preserve">                                               </w:t>
      </w:r>
    </w:p>
    <w:p w14:paraId="6823BD75">
      <w:pPr>
        <w:spacing w:before="227" w:line="185" w:lineRule="auto"/>
        <w:ind w:firstLine="617"/>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spacing w:val="1"/>
          <w:sz w:val="24"/>
          <w:szCs w:val="24"/>
          <w:u w:val="single" w:color="auto"/>
        </w:rPr>
        <w:t xml:space="preserve">                                          </w:t>
      </w:r>
    </w:p>
    <w:p w14:paraId="51AC9310">
      <w:pPr>
        <w:spacing w:line="100" w:lineRule="exact"/>
        <w:rPr>
          <w:rFonts w:hint="eastAsia" w:asciiTheme="minorEastAsia" w:hAnsiTheme="minorEastAsia" w:eastAsiaTheme="minorEastAsia" w:cstheme="minorEastAsia"/>
          <w:sz w:val="24"/>
          <w:szCs w:val="24"/>
        </w:rPr>
      </w:pPr>
    </w:p>
    <w:tbl>
      <w:tblPr>
        <w:tblStyle w:val="30"/>
        <w:tblW w:w="10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888"/>
        <w:gridCol w:w="1553"/>
        <w:gridCol w:w="1750"/>
        <w:gridCol w:w="1118"/>
        <w:gridCol w:w="1146"/>
        <w:gridCol w:w="1700"/>
        <w:gridCol w:w="914"/>
        <w:gridCol w:w="687"/>
      </w:tblGrid>
      <w:tr w14:paraId="7BC17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97" w:type="dxa"/>
            <w:tcBorders>
              <w:top w:val="single" w:color="auto" w:sz="4" w:space="0"/>
              <w:left w:val="single" w:color="auto" w:sz="4" w:space="0"/>
              <w:right w:val="single" w:color="auto" w:sz="4" w:space="0"/>
            </w:tcBorders>
            <w:noWrap w:val="0"/>
            <w:vAlign w:val="center"/>
          </w:tcPr>
          <w:p w14:paraId="79F9AE04">
            <w:pPr>
              <w:keepNext w:val="0"/>
              <w:keepLines w:val="0"/>
              <w:widowControl/>
              <w:suppressLineNumbers w:val="0"/>
              <w:jc w:val="righ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88" w:type="dxa"/>
            <w:tcBorders>
              <w:top w:val="single" w:color="auto" w:sz="4" w:space="0"/>
              <w:left w:val="single" w:color="auto" w:sz="4" w:space="0"/>
              <w:right w:val="single" w:color="auto" w:sz="4" w:space="0"/>
            </w:tcBorders>
            <w:noWrap w:val="0"/>
            <w:vAlign w:val="center"/>
          </w:tcPr>
          <w:p w14:paraId="46B1F541">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1553" w:type="dxa"/>
            <w:tcBorders>
              <w:top w:val="single" w:color="auto" w:sz="4" w:space="0"/>
              <w:left w:val="single" w:color="auto" w:sz="4" w:space="0"/>
              <w:right w:val="single" w:color="auto" w:sz="4" w:space="0"/>
            </w:tcBorders>
            <w:noWrap w:val="0"/>
            <w:vAlign w:val="center"/>
          </w:tcPr>
          <w:p w14:paraId="3D3242EA">
            <w:pPr>
              <w:snapToGrid w:val="0"/>
              <w:spacing w:line="400" w:lineRule="exact"/>
              <w:ind w:firstLine="240" w:firstLineChars="10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品牌、品类</w:t>
            </w:r>
          </w:p>
        </w:tc>
        <w:tc>
          <w:tcPr>
            <w:tcW w:w="1750" w:type="dxa"/>
            <w:tcBorders>
              <w:top w:val="single" w:color="auto" w:sz="4" w:space="0"/>
              <w:left w:val="single" w:color="auto" w:sz="4" w:space="0"/>
              <w:right w:val="single" w:color="auto" w:sz="4" w:space="0"/>
            </w:tcBorders>
            <w:noWrap w:val="0"/>
            <w:vAlign w:val="center"/>
          </w:tcPr>
          <w:p w14:paraId="14ECEEFB">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单价（元）</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D7DEE3">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41AAC51">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911CBF3">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总价（元）</w:t>
            </w:r>
          </w:p>
        </w:tc>
        <w:tc>
          <w:tcPr>
            <w:tcW w:w="914" w:type="dxa"/>
            <w:tcBorders>
              <w:top w:val="single" w:color="auto" w:sz="4" w:space="0"/>
              <w:left w:val="single" w:color="auto" w:sz="4" w:space="0"/>
              <w:right w:val="single" w:color="auto" w:sz="4" w:space="0"/>
            </w:tcBorders>
            <w:noWrap w:val="0"/>
            <w:vAlign w:val="center"/>
          </w:tcPr>
          <w:p w14:paraId="3AF59389">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供货期</w:t>
            </w:r>
          </w:p>
        </w:tc>
        <w:tc>
          <w:tcPr>
            <w:tcW w:w="687" w:type="dxa"/>
            <w:tcBorders>
              <w:top w:val="single" w:color="auto" w:sz="4" w:space="0"/>
              <w:left w:val="single" w:color="auto" w:sz="4" w:space="0"/>
              <w:right w:val="single" w:color="auto" w:sz="4" w:space="0"/>
            </w:tcBorders>
            <w:noWrap w:val="0"/>
            <w:vAlign w:val="center"/>
          </w:tcPr>
          <w:p w14:paraId="01FB8D93">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405AF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97" w:type="dxa"/>
            <w:tcBorders>
              <w:top w:val="single" w:color="auto" w:sz="4" w:space="0"/>
              <w:left w:val="single" w:color="auto" w:sz="4" w:space="0"/>
              <w:right w:val="single" w:color="auto" w:sz="4" w:space="0"/>
            </w:tcBorders>
            <w:noWrap w:val="0"/>
            <w:vAlign w:val="center"/>
          </w:tcPr>
          <w:p w14:paraId="4AB4855E">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8" w:type="dxa"/>
            <w:vMerge w:val="restart"/>
            <w:tcBorders>
              <w:top w:val="single" w:color="auto" w:sz="4" w:space="0"/>
              <w:left w:val="single" w:color="auto" w:sz="4" w:space="0"/>
              <w:right w:val="single" w:color="auto" w:sz="4" w:space="0"/>
            </w:tcBorders>
            <w:noWrap w:val="0"/>
            <w:vAlign w:val="center"/>
          </w:tcPr>
          <w:p w14:paraId="558911BF">
            <w:pPr>
              <w:snapToGrid w:val="0"/>
              <w:spacing w:line="400" w:lineRule="exact"/>
              <w:ind w:firstLine="240" w:firstLineChars="100"/>
              <w:jc w:val="center"/>
              <w:rPr>
                <w:rFonts w:hint="eastAsia" w:asciiTheme="minorEastAsia" w:hAnsiTheme="minorEastAsia" w:eastAsiaTheme="minorEastAsia" w:cstheme="minorEastAsia"/>
                <w:color w:val="auto"/>
                <w:sz w:val="24"/>
                <w:szCs w:val="24"/>
                <w:highlight w:val="none"/>
                <w:lang w:val="en-US" w:eastAsia="zh-CN"/>
              </w:rPr>
            </w:pPr>
          </w:p>
        </w:tc>
        <w:tc>
          <w:tcPr>
            <w:tcW w:w="1553" w:type="dxa"/>
            <w:tcBorders>
              <w:top w:val="single" w:color="auto" w:sz="4" w:space="0"/>
              <w:left w:val="single" w:color="auto" w:sz="4" w:space="0"/>
              <w:right w:val="single" w:color="auto" w:sz="4" w:space="0"/>
            </w:tcBorders>
            <w:noWrap w:val="0"/>
            <w:vAlign w:val="center"/>
          </w:tcPr>
          <w:p w14:paraId="3B9E9D0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right w:val="single" w:color="auto" w:sz="4" w:space="0"/>
            </w:tcBorders>
            <w:noWrap w:val="0"/>
            <w:vAlign w:val="center"/>
          </w:tcPr>
          <w:p w14:paraId="110B8EFA">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731D088">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9F074E6">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89D40AE">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914" w:type="dxa"/>
            <w:vMerge w:val="restart"/>
            <w:tcBorders>
              <w:top w:val="single" w:color="auto" w:sz="4" w:space="0"/>
              <w:left w:val="single" w:color="auto" w:sz="4" w:space="0"/>
              <w:right w:val="single" w:color="auto" w:sz="4" w:space="0"/>
            </w:tcBorders>
            <w:noWrap w:val="0"/>
            <w:vAlign w:val="center"/>
          </w:tcPr>
          <w:p w14:paraId="316CC212">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right w:val="single" w:color="auto" w:sz="4" w:space="0"/>
            </w:tcBorders>
            <w:noWrap w:val="0"/>
            <w:vAlign w:val="center"/>
          </w:tcPr>
          <w:p w14:paraId="7444729E">
            <w:pPr>
              <w:snapToGrid w:val="0"/>
              <w:spacing w:line="400" w:lineRule="exact"/>
              <w:jc w:val="center"/>
              <w:rPr>
                <w:rFonts w:hint="eastAsia" w:asciiTheme="minorEastAsia" w:hAnsiTheme="minorEastAsia" w:eastAsiaTheme="minorEastAsia" w:cstheme="minorEastAsia"/>
                <w:color w:val="auto"/>
                <w:sz w:val="24"/>
                <w:szCs w:val="24"/>
                <w:highlight w:val="none"/>
              </w:rPr>
            </w:pPr>
          </w:p>
        </w:tc>
      </w:tr>
      <w:tr w14:paraId="4C8E0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97" w:type="dxa"/>
            <w:tcBorders>
              <w:top w:val="single" w:color="auto" w:sz="4" w:space="0"/>
              <w:left w:val="single" w:color="auto" w:sz="4" w:space="0"/>
              <w:right w:val="single" w:color="auto" w:sz="4" w:space="0"/>
            </w:tcBorders>
            <w:noWrap w:val="0"/>
            <w:vAlign w:val="center"/>
          </w:tcPr>
          <w:p w14:paraId="4D897D4E">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8" w:type="dxa"/>
            <w:vMerge w:val="continue"/>
            <w:tcBorders>
              <w:left w:val="single" w:color="auto" w:sz="4" w:space="0"/>
              <w:right w:val="single" w:color="auto" w:sz="4" w:space="0"/>
            </w:tcBorders>
            <w:noWrap w:val="0"/>
            <w:vAlign w:val="center"/>
          </w:tcPr>
          <w:p w14:paraId="14774DD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111155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u w:val="singl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97571B8">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AB87F53">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63816D3">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B6669F2">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center"/>
          </w:tcPr>
          <w:p w14:paraId="6AFC848B">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5B08ABFB">
            <w:pPr>
              <w:snapToGrid w:val="0"/>
              <w:spacing w:line="400" w:lineRule="exact"/>
              <w:rPr>
                <w:rFonts w:hint="eastAsia" w:asciiTheme="minorEastAsia" w:hAnsiTheme="minorEastAsia" w:eastAsiaTheme="minorEastAsia" w:cstheme="minorEastAsia"/>
                <w:color w:val="auto"/>
                <w:sz w:val="24"/>
                <w:szCs w:val="24"/>
                <w:highlight w:val="none"/>
              </w:rPr>
            </w:pPr>
          </w:p>
        </w:tc>
      </w:tr>
      <w:tr w14:paraId="00BF9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8181D44">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vMerge w:val="continue"/>
            <w:tcBorders>
              <w:left w:val="single" w:color="auto" w:sz="4" w:space="0"/>
              <w:right w:val="single" w:color="auto" w:sz="4" w:space="0"/>
            </w:tcBorders>
            <w:noWrap w:val="0"/>
            <w:vAlign w:val="center"/>
          </w:tcPr>
          <w:p w14:paraId="6C85514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u w:val="singl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1CFD43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90F7E3B">
            <w:pPr>
              <w:snapToGrid w:val="0"/>
              <w:spacing w:line="400" w:lineRule="exact"/>
              <w:ind w:left="2559"/>
              <w:rPr>
                <w:rFonts w:hint="eastAsia" w:asciiTheme="minorEastAsia" w:hAnsiTheme="minorEastAsia" w:eastAsiaTheme="minorEastAsia" w:cstheme="minorEastAsia"/>
                <w:color w:val="auto"/>
                <w:sz w:val="24"/>
                <w:szCs w:val="24"/>
                <w:highlight w:val="none"/>
                <w:u w:val="singl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818CB0B">
            <w:pPr>
              <w:snapToGrid w:val="0"/>
              <w:spacing w:line="400" w:lineRule="exact"/>
              <w:ind w:left="2559"/>
              <w:rPr>
                <w:rFonts w:hint="eastAsia" w:asciiTheme="minorEastAsia" w:hAnsiTheme="minorEastAsia" w:eastAsiaTheme="minorEastAsia" w:cstheme="minorEastAsia"/>
                <w:color w:val="auto"/>
                <w:sz w:val="24"/>
                <w:szCs w:val="24"/>
                <w:highlight w:val="none"/>
                <w:u w:val="singl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B125B48">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2F97FE">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914" w:type="dxa"/>
            <w:vMerge w:val="continue"/>
            <w:tcBorders>
              <w:left w:val="single" w:color="auto" w:sz="4" w:space="0"/>
              <w:right w:val="single" w:color="auto" w:sz="4" w:space="0"/>
            </w:tcBorders>
            <w:noWrap w:val="0"/>
            <w:vAlign w:val="center"/>
          </w:tcPr>
          <w:p w14:paraId="53426903">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25C5C444">
            <w:pPr>
              <w:snapToGrid w:val="0"/>
              <w:spacing w:line="400" w:lineRule="exact"/>
              <w:rPr>
                <w:rFonts w:hint="eastAsia" w:asciiTheme="minorEastAsia" w:hAnsiTheme="minorEastAsia" w:eastAsiaTheme="minorEastAsia" w:cstheme="minorEastAsia"/>
                <w:color w:val="auto"/>
                <w:sz w:val="24"/>
                <w:szCs w:val="24"/>
                <w:highlight w:val="none"/>
                <w:u w:val="single"/>
              </w:rPr>
            </w:pPr>
          </w:p>
        </w:tc>
      </w:tr>
      <w:tr w14:paraId="552B4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72C3D3C">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88" w:type="dxa"/>
            <w:vMerge w:val="continue"/>
            <w:tcBorders>
              <w:left w:val="single" w:color="auto" w:sz="4" w:space="0"/>
              <w:right w:val="single" w:color="auto" w:sz="4" w:space="0"/>
            </w:tcBorders>
            <w:noWrap w:val="0"/>
            <w:vAlign w:val="center"/>
          </w:tcPr>
          <w:p w14:paraId="10968AA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EA5B4A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0BDD47E">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3421FF44">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233947BF">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965238E">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top"/>
          </w:tcPr>
          <w:p w14:paraId="29C6C71B">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14:paraId="5FD0D12F">
            <w:pPr>
              <w:snapToGrid w:val="0"/>
              <w:spacing w:line="400" w:lineRule="exact"/>
              <w:rPr>
                <w:rFonts w:hint="eastAsia" w:asciiTheme="minorEastAsia" w:hAnsiTheme="minorEastAsia" w:eastAsiaTheme="minorEastAsia" w:cstheme="minorEastAsia"/>
                <w:color w:val="auto"/>
                <w:sz w:val="24"/>
                <w:szCs w:val="24"/>
                <w:highlight w:val="none"/>
              </w:rPr>
            </w:pPr>
          </w:p>
        </w:tc>
      </w:tr>
      <w:tr w14:paraId="5E8A5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B9697B1">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88" w:type="dxa"/>
            <w:vMerge w:val="continue"/>
            <w:tcBorders>
              <w:left w:val="single" w:color="auto" w:sz="4" w:space="0"/>
              <w:right w:val="single" w:color="auto" w:sz="4" w:space="0"/>
            </w:tcBorders>
            <w:noWrap w:val="0"/>
            <w:vAlign w:val="center"/>
          </w:tcPr>
          <w:p w14:paraId="20FC1E8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E28A395">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4EAF5187">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5B512572">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3315BE9B">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F3CE04D">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top"/>
          </w:tcPr>
          <w:p w14:paraId="43C694C6">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14:paraId="34D1F8D0">
            <w:pPr>
              <w:snapToGrid w:val="0"/>
              <w:spacing w:line="400" w:lineRule="exact"/>
              <w:rPr>
                <w:rFonts w:hint="eastAsia" w:asciiTheme="minorEastAsia" w:hAnsiTheme="minorEastAsia" w:eastAsiaTheme="minorEastAsia" w:cstheme="minorEastAsia"/>
                <w:color w:val="auto"/>
                <w:sz w:val="24"/>
                <w:szCs w:val="24"/>
                <w:highlight w:val="none"/>
              </w:rPr>
            </w:pPr>
          </w:p>
        </w:tc>
      </w:tr>
      <w:tr w14:paraId="3BA5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5B9E65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2441" w:type="dxa"/>
            <w:gridSpan w:val="2"/>
            <w:tcBorders>
              <w:top w:val="single" w:color="auto" w:sz="4" w:space="0"/>
              <w:left w:val="single" w:color="auto" w:sz="4" w:space="0"/>
              <w:bottom w:val="single" w:color="auto" w:sz="4" w:space="0"/>
              <w:right w:val="single" w:color="auto" w:sz="4" w:space="0"/>
            </w:tcBorders>
            <w:noWrap w:val="0"/>
            <w:vAlign w:val="center"/>
          </w:tcPr>
          <w:p w14:paraId="57169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投标总价</w:t>
            </w:r>
          </w:p>
        </w:tc>
        <w:tc>
          <w:tcPr>
            <w:tcW w:w="7315" w:type="dxa"/>
            <w:gridSpan w:val="6"/>
            <w:tcBorders>
              <w:top w:val="single" w:color="auto" w:sz="4" w:space="0"/>
              <w:left w:val="single" w:color="auto" w:sz="4" w:space="0"/>
              <w:bottom w:val="single" w:color="auto" w:sz="4" w:space="0"/>
              <w:right w:val="single" w:color="auto" w:sz="4" w:space="0"/>
            </w:tcBorders>
            <w:noWrap w:val="0"/>
            <w:vAlign w:val="center"/>
          </w:tcPr>
          <w:p w14:paraId="5EB77C37">
            <w:pPr>
              <w:snapToGrid w:val="0"/>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大写：</w:t>
            </w:r>
          </w:p>
          <w:p w14:paraId="108850CD">
            <w:pPr>
              <w:pStyle w:val="35"/>
              <w:rPr>
                <w:rFonts w:hint="eastAsia" w:asciiTheme="minorEastAsia" w:hAnsiTheme="minorEastAsia" w:eastAsiaTheme="minorEastAsia" w:cstheme="minorEastAsia"/>
                <w:color w:val="auto"/>
                <w:sz w:val="24"/>
                <w:szCs w:val="24"/>
                <w:lang w:val="en-US" w:eastAsia="zh-CN"/>
              </w:rPr>
            </w:pPr>
          </w:p>
          <w:p w14:paraId="5343AB9A">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小写：         （元）</w:t>
            </w:r>
          </w:p>
        </w:tc>
      </w:tr>
    </w:tbl>
    <w:p w14:paraId="29192FB0">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26ADFFFF">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6772C0A3">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w:t>
      </w:r>
      <w:r>
        <w:rPr>
          <w:rFonts w:hint="eastAsia" w:asciiTheme="minorEastAsia" w:hAnsiTheme="minorEastAsia" w:eastAsiaTheme="minorEastAsia" w:cstheme="minorEastAsia"/>
          <w:color w:val="000000"/>
          <w:sz w:val="24"/>
          <w:szCs w:val="24"/>
          <w:lang w:eastAsia="zh-CN"/>
        </w:rPr>
        <w:t>盖章</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0C541972">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签字或盖章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3F5B5979">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w:t>
      </w:r>
    </w:p>
    <w:p w14:paraId="11571699">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0AD69C04">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007F209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注： </w:t>
      </w:r>
      <w:r>
        <w:rPr>
          <w:rFonts w:hint="eastAsia" w:asciiTheme="minorEastAsia" w:hAnsiTheme="minorEastAsia" w:eastAsiaTheme="minorEastAsia" w:cstheme="minorEastAsia"/>
          <w:color w:val="000000"/>
          <w:sz w:val="24"/>
          <w:szCs w:val="24"/>
          <w:lang w:val="en-US" w:eastAsia="zh-CN"/>
        </w:rPr>
        <w:t>1、总价不得超过本项目最高限价，否则做无效报价处理。</w:t>
      </w:r>
    </w:p>
    <w:p w14:paraId="545ED17C">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、任何有选择或有条件的投标总价或表中某一包填写多个报价，均将导致投标被拒绝；</w:t>
      </w:r>
    </w:p>
    <w:p w14:paraId="3C40AE5D">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、投标报价包含完成服务成果的一切费用、售后维护费用、税费等</w:t>
      </w:r>
    </w:p>
    <w:p w14:paraId="2C3013EC">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、报价为含税金额，税票为增值税专用发票。</w:t>
      </w:r>
    </w:p>
    <w:p w14:paraId="118AFF54">
      <w:pPr>
        <w:spacing w:line="360" w:lineRule="auto"/>
        <w:ind w:left="210" w:leftChars="10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、大写标注：壹、贰、叁、肆、伍、陆、柒、捌、玖、拾、佰、仟、万、亿。</w:t>
      </w:r>
    </w:p>
    <w:p w14:paraId="1DF59D6E">
      <w:pPr>
        <w:pStyle w:val="35"/>
        <w:rPr>
          <w:rFonts w:hint="eastAsia" w:asciiTheme="minorEastAsia" w:hAnsiTheme="minorEastAsia" w:eastAsiaTheme="minorEastAsia" w:cstheme="minorEastAsia"/>
          <w:sz w:val="24"/>
          <w:szCs w:val="24"/>
          <w:lang w:eastAsia="zh-CN"/>
        </w:rPr>
        <w:sectPr>
          <w:footerReference r:id="rId7" w:type="default"/>
          <w:type w:val="continuous"/>
          <w:pgSz w:w="11905" w:h="16838"/>
          <w:pgMar w:top="1304" w:right="964" w:bottom="1020" w:left="1191" w:header="567" w:footer="454" w:gutter="0"/>
          <w:pgNumType w:fmt="decimal"/>
          <w:cols w:space="720" w:num="1"/>
          <w:rtlGutter w:val="0"/>
          <w:docGrid w:type="lines" w:linePitch="317" w:charSpace="0"/>
        </w:sectPr>
      </w:pPr>
    </w:p>
    <w:p w14:paraId="5A688792">
      <w:pPr>
        <w:numPr>
          <w:ilvl w:val="0"/>
          <w:numId w:val="0"/>
        </w:numPr>
        <w:spacing w:line="440" w:lineRule="exact"/>
        <w:jc w:val="left"/>
        <w:rPr>
          <w:rFonts w:hint="eastAsia" w:asciiTheme="minorEastAsia" w:hAnsiTheme="minorEastAsia" w:eastAsiaTheme="minorEastAsia" w:cstheme="minorEastAsia"/>
          <w:b/>
          <w:color w:val="000000"/>
          <w:sz w:val="28"/>
          <w:szCs w:val="24"/>
          <w:lang w:val="en-US" w:eastAsia="zh-CN"/>
        </w:rPr>
      </w:pPr>
    </w:p>
    <w:p w14:paraId="6900FC26">
      <w:pPr>
        <w:numPr>
          <w:ilvl w:val="0"/>
          <w:numId w:val="0"/>
        </w:numPr>
        <w:spacing w:line="440" w:lineRule="exact"/>
        <w:jc w:val="left"/>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附件三</w:t>
      </w:r>
    </w:p>
    <w:p w14:paraId="09FAD4A4">
      <w:pPr>
        <w:numPr>
          <w:ilvl w:val="0"/>
          <w:numId w:val="0"/>
        </w:numPr>
        <w:spacing w:line="440" w:lineRule="exact"/>
        <w:jc w:val="center"/>
        <w:rPr>
          <w:rFonts w:hint="eastAsia" w:asciiTheme="minorEastAsia" w:hAnsiTheme="minorEastAsia" w:eastAsiaTheme="minorEastAsia" w:cstheme="minorEastAsia"/>
          <w:b/>
          <w:color w:val="000000"/>
          <w:sz w:val="32"/>
          <w:szCs w:val="28"/>
          <w:lang w:val="en-US" w:eastAsia="zh-CN"/>
        </w:rPr>
      </w:pPr>
      <w:r>
        <w:rPr>
          <w:rFonts w:hint="eastAsia" w:asciiTheme="minorEastAsia" w:hAnsiTheme="minorEastAsia" w:eastAsiaTheme="minorEastAsia" w:cstheme="minorEastAsia"/>
          <w:b/>
          <w:color w:val="000000"/>
          <w:sz w:val="32"/>
          <w:szCs w:val="28"/>
          <w:lang w:val="en-US" w:eastAsia="zh-CN"/>
        </w:rPr>
        <w:t>投标报价明细表</w:t>
      </w:r>
    </w:p>
    <w:p w14:paraId="26F894BC">
      <w:pPr>
        <w:spacing w:line="370" w:lineRule="auto"/>
        <w:jc w:val="center"/>
        <w:rPr>
          <w:rFonts w:hint="eastAsia" w:asciiTheme="minorEastAsia" w:hAnsiTheme="minorEastAsia" w:eastAsiaTheme="minorEastAsia" w:cstheme="minorEastAsia"/>
          <w:sz w:val="21"/>
          <w:lang w:val="en-US" w:eastAsia="zh-CN"/>
        </w:rPr>
      </w:pPr>
    </w:p>
    <w:p w14:paraId="63A68647">
      <w:pPr>
        <w:spacing w:line="370" w:lineRule="auto"/>
        <w:jc w:val="left"/>
        <w:rPr>
          <w:rFonts w:hint="eastAsia" w:asciiTheme="minorEastAsia" w:hAnsiTheme="minorEastAsia" w:eastAsiaTheme="minorEastAsia" w:cstheme="minorEastAsia"/>
          <w:spacing w:val="-2"/>
          <w:sz w:val="24"/>
          <w:szCs w:val="24"/>
          <w:u w:val="single"/>
          <w:lang w:val="en-US"/>
        </w:rPr>
      </w:pPr>
      <w:r>
        <w:rPr>
          <w:rFonts w:hint="eastAsia" w:asciiTheme="minorEastAsia" w:hAnsiTheme="minorEastAsia" w:eastAsiaTheme="minorEastAsia" w:cstheme="minorEastAsia"/>
          <w:sz w:val="21"/>
          <w:lang w:val="en-US" w:eastAsia="zh-CN"/>
        </w:rPr>
        <w:t>项目</w:t>
      </w:r>
      <w:r>
        <w:rPr>
          <w:rFonts w:hint="eastAsia" w:asciiTheme="minorEastAsia" w:hAnsiTheme="minorEastAsia" w:eastAsiaTheme="minorEastAsia" w:cstheme="minorEastAsia"/>
          <w:sz w:val="24"/>
          <w:szCs w:val="24"/>
          <w:lang w:val="en-US" w:eastAsia="zh-CN"/>
        </w:rPr>
        <w:t>名称：</w:t>
      </w:r>
      <w:r>
        <w:rPr>
          <w:rFonts w:hint="eastAsia" w:asciiTheme="minorEastAsia" w:hAnsiTheme="minorEastAsia" w:eastAsiaTheme="minorEastAsia" w:cstheme="minorEastAsia"/>
          <w:sz w:val="24"/>
          <w:szCs w:val="24"/>
          <w:u w:val="single"/>
          <w:lang w:val="en-US" w:eastAsia="zh-CN"/>
        </w:rPr>
        <w:t xml:space="preserve">                          </w:t>
      </w:r>
    </w:p>
    <w:p w14:paraId="7EDE4321">
      <w:pPr>
        <w:spacing w:before="150" w:line="185" w:lineRule="auto"/>
        <w:ind w:firstLine="605"/>
        <w:jc w:val="left"/>
        <w:rPr>
          <w:rFonts w:hint="eastAsia" w:asciiTheme="minorEastAsia" w:hAnsiTheme="minorEastAsia" w:eastAsiaTheme="minorEastAsia" w:cstheme="minorEastAsia"/>
          <w:spacing w:val="2"/>
          <w:sz w:val="24"/>
          <w:szCs w:val="24"/>
          <w:u w:val="single" w:color="auto"/>
        </w:rPr>
      </w:pPr>
      <w:r>
        <w:rPr>
          <w:rFonts w:hint="eastAsia" w:asciiTheme="minorEastAsia" w:hAnsiTheme="minorEastAsia" w:eastAsiaTheme="minorEastAsia" w:cstheme="minorEastAsia"/>
          <w:spacing w:val="-2"/>
          <w:sz w:val="24"/>
          <w:szCs w:val="24"/>
        </w:rPr>
        <w:t>项目编号：</w:t>
      </w:r>
      <w:r>
        <w:rPr>
          <w:rFonts w:hint="eastAsia" w:asciiTheme="minorEastAsia" w:hAnsiTheme="minorEastAsia" w:eastAsiaTheme="minorEastAsia" w:cstheme="minorEastAsia"/>
          <w:sz w:val="24"/>
          <w:szCs w:val="24"/>
          <w:u w:val="single"/>
          <w:lang w:val="en-US" w:eastAsia="zh-CN"/>
        </w:rPr>
        <w:t xml:space="preserve">                          </w:t>
      </w:r>
    </w:p>
    <w:p w14:paraId="29105203">
      <w:pPr>
        <w:spacing w:line="234" w:lineRule="exact"/>
        <w:jc w:val="left"/>
        <w:rPr>
          <w:rFonts w:hint="eastAsia" w:asciiTheme="minorEastAsia" w:hAnsiTheme="minorEastAsia" w:eastAsiaTheme="minorEastAsia" w:cstheme="minorEastAsia"/>
          <w:sz w:val="24"/>
          <w:szCs w:val="24"/>
        </w:rPr>
      </w:pPr>
    </w:p>
    <w:tbl>
      <w:tblPr>
        <w:tblStyle w:val="60"/>
        <w:tblW w:w="9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972"/>
        <w:gridCol w:w="1755"/>
        <w:gridCol w:w="886"/>
        <w:gridCol w:w="886"/>
        <w:gridCol w:w="928"/>
        <w:gridCol w:w="1051"/>
        <w:gridCol w:w="1069"/>
        <w:gridCol w:w="1069"/>
      </w:tblGrid>
      <w:tr w14:paraId="55B88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70" w:type="dxa"/>
            <w:noWrap w:val="0"/>
            <w:vAlign w:val="center"/>
          </w:tcPr>
          <w:p w14:paraId="3EBC8E9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972" w:type="dxa"/>
            <w:noWrap w:val="0"/>
            <w:vAlign w:val="center"/>
          </w:tcPr>
          <w:p w14:paraId="13569CC5">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品类</w:t>
            </w:r>
          </w:p>
        </w:tc>
        <w:tc>
          <w:tcPr>
            <w:tcW w:w="1755" w:type="dxa"/>
            <w:noWrap w:val="0"/>
            <w:vAlign w:val="center"/>
          </w:tcPr>
          <w:p w14:paraId="033C93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品牌、规格要求</w:t>
            </w:r>
          </w:p>
        </w:tc>
        <w:tc>
          <w:tcPr>
            <w:tcW w:w="886" w:type="dxa"/>
            <w:noWrap w:val="0"/>
            <w:vAlign w:val="center"/>
          </w:tcPr>
          <w:p w14:paraId="2B3E0B9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886" w:type="dxa"/>
            <w:noWrap w:val="0"/>
            <w:vAlign w:val="center"/>
          </w:tcPr>
          <w:p w14:paraId="70371BB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928" w:type="dxa"/>
            <w:noWrap w:val="0"/>
            <w:vAlign w:val="center"/>
          </w:tcPr>
          <w:p w14:paraId="5C9BDEA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单价（元）</w:t>
            </w:r>
          </w:p>
        </w:tc>
        <w:tc>
          <w:tcPr>
            <w:tcW w:w="1051" w:type="dxa"/>
            <w:noWrap w:val="0"/>
            <w:vAlign w:val="center"/>
          </w:tcPr>
          <w:p w14:paraId="0BB012C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总价（元）</w:t>
            </w:r>
          </w:p>
        </w:tc>
        <w:tc>
          <w:tcPr>
            <w:tcW w:w="1069" w:type="dxa"/>
            <w:noWrap w:val="0"/>
            <w:vAlign w:val="center"/>
          </w:tcPr>
          <w:p w14:paraId="0DAFBBC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生产厂家</w:t>
            </w:r>
          </w:p>
        </w:tc>
        <w:tc>
          <w:tcPr>
            <w:tcW w:w="1069" w:type="dxa"/>
            <w:noWrap w:val="0"/>
            <w:vAlign w:val="center"/>
          </w:tcPr>
          <w:p w14:paraId="26E4D26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06564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2197B53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11F2CC4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68F811C9">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C80057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092FED2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10A8ED2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75B497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6E12B75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028C77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390F5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14D7E69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6DF4796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61B8686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C1A3D9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13ADB51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7C081A8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020DD8D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0B79CCC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18BA2B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6C3B3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770" w:type="dxa"/>
            <w:noWrap w:val="0"/>
            <w:vAlign w:val="top"/>
          </w:tcPr>
          <w:p w14:paraId="76C287D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7A70F6E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24D9226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78272B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79551A47">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227140D7">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52180851">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621623C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19C2A64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704E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012F478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49652BC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053F9FF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0B3F5EB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4133230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473A3E0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315B33F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421BDA19">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064950C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219B4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0594A54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0736051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4986FA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15D838D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7EFE904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3F374C0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01924E8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72DE9E2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358439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2222D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742" w:type="dxa"/>
            <w:gridSpan w:val="2"/>
            <w:noWrap w:val="0"/>
            <w:vAlign w:val="top"/>
          </w:tcPr>
          <w:p w14:paraId="16851FD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23C5815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3DDE1A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091304F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E0A6CC1">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投标总价</w:t>
            </w:r>
          </w:p>
        </w:tc>
        <w:tc>
          <w:tcPr>
            <w:tcW w:w="7644" w:type="dxa"/>
            <w:gridSpan w:val="7"/>
            <w:noWrap w:val="0"/>
            <w:vAlign w:val="top"/>
          </w:tcPr>
          <w:p w14:paraId="0E56BE1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71BE4F3">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0EDBDC8">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5AF5961F">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4BF891A7">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元</w:t>
            </w:r>
          </w:p>
          <w:p w14:paraId="292E4B38">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3D1F1321">
            <w:pPr>
              <w:snapToGrid w:val="0"/>
              <w:spacing w:line="400" w:lineRule="exact"/>
              <w:ind w:left="120" w:leftChars="0" w:right="62" w:rightChars="0" w:hanging="120" w:hangingChars="5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年     月     日</w:t>
            </w:r>
          </w:p>
        </w:tc>
      </w:tr>
      <w:tr w14:paraId="06BA5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386" w:type="dxa"/>
            <w:gridSpan w:val="9"/>
            <w:noWrap w:val="0"/>
            <w:vAlign w:val="top"/>
          </w:tcPr>
          <w:p w14:paraId="36C18757">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bl>
    <w:p w14:paraId="29D5D255">
      <w:pPr>
        <w:spacing w:line="245" w:lineRule="auto"/>
        <w:jc w:val="left"/>
        <w:rPr>
          <w:rFonts w:hint="eastAsia" w:asciiTheme="minorEastAsia" w:hAnsiTheme="minorEastAsia" w:eastAsiaTheme="minorEastAsia" w:cstheme="minorEastAsia"/>
          <w:sz w:val="24"/>
          <w:szCs w:val="24"/>
        </w:rPr>
      </w:pPr>
    </w:p>
    <w:p w14:paraId="5AF60FE3">
      <w:pPr>
        <w:spacing w:line="245" w:lineRule="auto"/>
        <w:jc w:val="left"/>
        <w:rPr>
          <w:rFonts w:hint="eastAsia" w:asciiTheme="minorEastAsia" w:hAnsiTheme="minorEastAsia" w:eastAsiaTheme="minorEastAsia" w:cstheme="minorEastAsia"/>
          <w:sz w:val="24"/>
          <w:szCs w:val="24"/>
        </w:rPr>
      </w:pPr>
    </w:p>
    <w:p w14:paraId="05C659F9">
      <w:pPr>
        <w:spacing w:before="78" w:line="468" w:lineRule="exact"/>
        <w:ind w:left="195" w:leftChars="93" w:firstLine="321"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16"/>
          <w:sz w:val="24"/>
          <w:szCs w:val="24"/>
        </w:rPr>
        <w:t>投标人名称（</w:t>
      </w:r>
      <w:r>
        <w:rPr>
          <w:rFonts w:hint="eastAsia" w:asciiTheme="minorEastAsia" w:hAnsiTheme="minorEastAsia" w:eastAsiaTheme="minorEastAsia" w:cstheme="minorEastAsia"/>
          <w:spacing w:val="-13"/>
          <w:position w:val="16"/>
          <w:sz w:val="24"/>
          <w:szCs w:val="24"/>
          <w:lang w:eastAsia="zh-CN"/>
        </w:rPr>
        <w:t>盖章</w:t>
      </w:r>
      <w:r>
        <w:rPr>
          <w:rFonts w:hint="eastAsia" w:asciiTheme="minorEastAsia" w:hAnsiTheme="minorEastAsia" w:eastAsiaTheme="minorEastAsia" w:cstheme="minorEastAsia"/>
          <w:spacing w:val="-84"/>
          <w:position w:val="16"/>
          <w:sz w:val="24"/>
          <w:szCs w:val="24"/>
        </w:rPr>
        <w:t>）：</w:t>
      </w:r>
    </w:p>
    <w:p w14:paraId="48D2B284">
      <w:pPr>
        <w:spacing w:before="1" w:line="204" w:lineRule="auto"/>
        <w:ind w:left="195" w:leftChars="93" w:firstLine="321"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法定代表人（</w:t>
      </w:r>
      <w:r>
        <w:rPr>
          <w:rFonts w:hint="eastAsia" w:asciiTheme="minorEastAsia" w:hAnsiTheme="minorEastAsia" w:eastAsiaTheme="minorEastAsia" w:cstheme="minorEastAsia"/>
          <w:spacing w:val="-13"/>
          <w:sz w:val="24"/>
          <w:szCs w:val="24"/>
          <w:lang w:eastAsia="zh-CN"/>
        </w:rPr>
        <w:t>签字或盖章</w:t>
      </w:r>
      <w:r>
        <w:rPr>
          <w:rFonts w:hint="eastAsia" w:asciiTheme="minorEastAsia" w:hAnsiTheme="minorEastAsia" w:eastAsiaTheme="minorEastAsia" w:cstheme="minorEastAsia"/>
          <w:spacing w:val="-84"/>
          <w:sz w:val="24"/>
          <w:szCs w:val="24"/>
        </w:rPr>
        <w:t>）：</w:t>
      </w:r>
    </w:p>
    <w:p w14:paraId="540246F9">
      <w:pPr>
        <w:adjustRightInd w:val="0"/>
        <w:snapToGrid w:val="0"/>
        <w:spacing w:line="360" w:lineRule="auto"/>
        <w:ind w:left="210" w:leftChars="100" w:firstLine="360" w:firstLineChars="1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w:t>
      </w:r>
    </w:p>
    <w:p w14:paraId="11B3D226">
      <w:pPr>
        <w:spacing w:before="79" w:line="185" w:lineRule="auto"/>
        <w:ind w:left="1207" w:leftChars="114" w:hanging="968" w:hangingChars="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10"/>
          <w:sz w:val="24"/>
          <w:szCs w:val="24"/>
          <w:lang w:val="en-US" w:eastAsia="zh-CN"/>
        </w:rPr>
        <w:t xml:space="preserve"> </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0"/>
          <w:sz w:val="24"/>
          <w:szCs w:val="24"/>
        </w:rPr>
        <w:t>、投标人必须填写报价明细表</w:t>
      </w:r>
      <w:r>
        <w:rPr>
          <w:rFonts w:hint="eastAsia" w:asciiTheme="minorEastAsia" w:hAnsiTheme="minorEastAsia" w:eastAsiaTheme="minorEastAsia" w:cstheme="minorEastAsia"/>
          <w:spacing w:val="-10"/>
          <w:sz w:val="24"/>
          <w:szCs w:val="24"/>
          <w:lang w:eastAsia="zh-CN"/>
        </w:rPr>
        <w:t>且</w:t>
      </w:r>
      <w:r>
        <w:rPr>
          <w:rFonts w:hint="eastAsia" w:asciiTheme="minorEastAsia" w:hAnsiTheme="minorEastAsia" w:eastAsiaTheme="minorEastAsia" w:cstheme="minorEastAsia"/>
          <w:spacing w:val="-10"/>
          <w:sz w:val="24"/>
          <w:szCs w:val="24"/>
          <w:lang w:val="en-US" w:eastAsia="zh-CN"/>
        </w:rPr>
        <w:t>明细表中需包含服务需求表中所有内容，</w:t>
      </w:r>
      <w:r>
        <w:rPr>
          <w:rFonts w:hint="eastAsia" w:asciiTheme="minorEastAsia" w:hAnsiTheme="minorEastAsia" w:eastAsiaTheme="minorEastAsia" w:cstheme="minorEastAsia"/>
          <w:spacing w:val="-10"/>
          <w:sz w:val="24"/>
          <w:szCs w:val="24"/>
        </w:rPr>
        <w:t>否则将导致投标被拒绝。</w:t>
      </w:r>
    </w:p>
    <w:p w14:paraId="61B6F486">
      <w:pPr>
        <w:spacing w:before="228" w:line="185" w:lineRule="auto"/>
        <w:ind w:firstLine="654"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2、报价分析表中的“投标总价”应等于“开标一览表”中的“投标总价”。</w:t>
      </w:r>
    </w:p>
    <w:p w14:paraId="16BB4F54">
      <w:pPr>
        <w:spacing w:before="227" w:line="185" w:lineRule="auto"/>
        <w:ind w:firstLine="702" w:firstLineChars="300"/>
        <w:jc w:val="left"/>
        <w:outlineLvl w:val="2"/>
        <w:rPr>
          <w:rFonts w:hint="eastAsia" w:asciiTheme="minorEastAsia" w:hAnsiTheme="minorEastAsia" w:eastAsiaTheme="minorEastAsia" w:cstheme="minorEastAsia"/>
          <w:sz w:val="24"/>
          <w:szCs w:val="24"/>
          <w:lang w:eastAsia="zh-CN"/>
        </w:rPr>
        <w:sectPr>
          <w:footerReference r:id="rId8" w:type="default"/>
          <w:type w:val="continuous"/>
          <w:pgSz w:w="11905" w:h="16838"/>
          <w:pgMar w:top="1304" w:right="964" w:bottom="1020" w:left="1191" w:header="567" w:footer="454" w:gutter="0"/>
          <w:pgNumType w:fmt="decimal"/>
          <w:cols w:space="720" w:num="1"/>
          <w:rtlGutter w:val="0"/>
          <w:docGrid w:type="lines" w:linePitch="317" w:charSpace="0"/>
        </w:sectPr>
      </w:pPr>
      <w:bookmarkStart w:id="598" w:name="_Toc15566"/>
      <w:r>
        <w:rPr>
          <w:rFonts w:hint="eastAsia" w:asciiTheme="minorEastAsia" w:hAnsiTheme="minorEastAsia" w:eastAsiaTheme="minorEastAsia" w:cstheme="minorEastAsia"/>
          <w:spacing w:val="-3"/>
          <w:sz w:val="24"/>
          <w:szCs w:val="24"/>
        </w:rPr>
        <w:t>3、报价项目填报不下的，可自行扩</w:t>
      </w:r>
      <w:r>
        <w:rPr>
          <w:rFonts w:hint="eastAsia" w:asciiTheme="minorEastAsia" w:hAnsiTheme="minorEastAsia" w:eastAsiaTheme="minorEastAsia" w:cstheme="minorEastAsia"/>
          <w:spacing w:val="-3"/>
          <w:sz w:val="24"/>
          <w:szCs w:val="24"/>
          <w:lang w:val="en-US" w:eastAsia="zh-CN"/>
        </w:rPr>
        <w:t>展</w:t>
      </w:r>
      <w:bookmarkEnd w:id="598"/>
    </w:p>
    <w:p w14:paraId="1B3EDD3D">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bookmarkStart w:id="599" w:name="_Toc8739"/>
      <w:bookmarkStart w:id="600" w:name="_Toc23314"/>
    </w:p>
    <w:p w14:paraId="106C353B">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p>
    <w:p w14:paraId="216740D9">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p>
    <w:p w14:paraId="2FA0CA5D">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w:t>
      </w:r>
      <w:bookmarkEnd w:id="599"/>
      <w:bookmarkEnd w:id="600"/>
      <w:r>
        <w:rPr>
          <w:rFonts w:hint="eastAsia" w:asciiTheme="minorEastAsia" w:hAnsiTheme="minorEastAsia" w:eastAsiaTheme="minorEastAsia" w:cstheme="minorEastAsia"/>
          <w:b/>
          <w:color w:val="000000"/>
          <w:sz w:val="28"/>
          <w:szCs w:val="24"/>
          <w:lang w:val="en-US" w:eastAsia="zh-CN"/>
        </w:rPr>
        <w:t>四</w:t>
      </w:r>
    </w:p>
    <w:p w14:paraId="1C5FA0B6">
      <w:pPr>
        <w:jc w:val="center"/>
        <w:rPr>
          <w:rFonts w:hint="eastAsia" w:asciiTheme="minorEastAsia" w:hAnsiTheme="minorEastAsia" w:eastAsiaTheme="minorEastAsia" w:cstheme="minorEastAsia"/>
          <w:b/>
          <w:color w:val="000000"/>
          <w:sz w:val="32"/>
          <w:szCs w:val="28"/>
        </w:rPr>
      </w:pPr>
      <w:r>
        <w:rPr>
          <w:rFonts w:hint="eastAsia" w:asciiTheme="minorEastAsia" w:hAnsiTheme="minorEastAsia" w:eastAsiaTheme="minorEastAsia" w:cstheme="minorEastAsia"/>
          <w:b/>
          <w:color w:val="000000"/>
          <w:sz w:val="32"/>
          <w:szCs w:val="28"/>
        </w:rPr>
        <w:t>投标单位简介</w:t>
      </w:r>
    </w:p>
    <w:p w14:paraId="211804DF">
      <w:pP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8"/>
          <w:szCs w:val="28"/>
        </w:rPr>
        <w:t xml:space="preserve">    </w:t>
      </w:r>
    </w:p>
    <w:p w14:paraId="3705B0CB">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投标人自行编制</w:t>
      </w:r>
    </w:p>
    <w:p w14:paraId="21B9FFAB">
      <w:pPr>
        <w:ind w:firstLine="482" w:firstLineChars="200"/>
        <w:rPr>
          <w:rFonts w:hint="eastAsia" w:asciiTheme="minorEastAsia" w:hAnsiTheme="minorEastAsia" w:eastAsiaTheme="minorEastAsia" w:cstheme="minorEastAsia"/>
          <w:b/>
          <w:color w:val="000000"/>
          <w:sz w:val="24"/>
          <w:szCs w:val="24"/>
        </w:rPr>
      </w:pPr>
    </w:p>
    <w:p w14:paraId="09CFA980">
      <w:pPr>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后附：投标人单位相关资质证件</w:t>
      </w:r>
    </w:p>
    <w:p w14:paraId="2D819720">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669298B3">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167E5B97">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07221B0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411CC42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674EA8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1EC181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5A485BF">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1D2313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1C60CE8">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ADB3FA8">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0521B0B">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D90DAA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35D509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252EC8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85D1E9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B17CFA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21C55FD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FF4A8A1">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421567B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3F21A4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0C261A5">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E057DC2">
      <w:pPr>
        <w:pStyle w:val="12"/>
        <w:rPr>
          <w:rFonts w:hint="eastAsia" w:asciiTheme="minorEastAsia" w:hAnsiTheme="minorEastAsia" w:eastAsiaTheme="minorEastAsia" w:cstheme="minorEastAsia"/>
          <w:b/>
          <w:color w:val="000000"/>
          <w:sz w:val="28"/>
          <w:szCs w:val="24"/>
          <w:lang w:val="en-US" w:eastAsia="zh-CN"/>
        </w:rPr>
      </w:pPr>
    </w:p>
    <w:p w14:paraId="22D97E99">
      <w:pPr>
        <w:rPr>
          <w:rFonts w:hint="eastAsia"/>
          <w:lang w:val="en-US" w:eastAsia="zh-CN"/>
        </w:rPr>
      </w:pPr>
    </w:p>
    <w:p w14:paraId="5DC1FB6C">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71818CA">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36E39D7">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1C0BB2A">
      <w:pPr>
        <w:pStyle w:val="14"/>
        <w:spacing w:line="240" w:lineRule="auto"/>
        <w:ind w:left="0" w:leftChars="0" w:firstLine="0" w:firstLineChars="0"/>
        <w:jc w:val="both"/>
        <w:rPr>
          <w:rFonts w:hint="eastAsia" w:asciiTheme="minorEastAsia" w:hAnsiTheme="minorEastAsia" w:eastAsiaTheme="minorEastAsia" w:cstheme="minorEastAsia"/>
          <w:b/>
          <w:color w:val="000000"/>
          <w:sz w:val="32"/>
          <w:szCs w:val="28"/>
          <w:lang w:val="en-US" w:eastAsia="zh-CN"/>
        </w:rPr>
      </w:pPr>
      <w:r>
        <w:rPr>
          <w:rFonts w:hint="eastAsia" w:asciiTheme="minorEastAsia" w:hAnsiTheme="minorEastAsia" w:eastAsiaTheme="minorEastAsia" w:cstheme="minorEastAsia"/>
          <w:b/>
          <w:color w:val="000000"/>
          <w:sz w:val="28"/>
          <w:szCs w:val="24"/>
          <w:lang w:val="en-US" w:eastAsia="zh-CN"/>
        </w:rPr>
        <w:t>附件五</w:t>
      </w:r>
    </w:p>
    <w:p w14:paraId="16215893">
      <w:pPr>
        <w:pStyle w:val="14"/>
        <w:spacing w:line="240" w:lineRule="auto"/>
        <w:ind w:left="0" w:leftChars="0" w:firstLine="0" w:firstLineChars="0"/>
        <w:jc w:val="center"/>
        <w:rPr>
          <w:rFonts w:hint="eastAsia" w:asciiTheme="minorEastAsia" w:hAnsiTheme="minorEastAsia" w:eastAsiaTheme="minorEastAsia" w:cstheme="minorEastAsia"/>
          <w:b/>
          <w:color w:val="000000"/>
          <w:sz w:val="32"/>
          <w:szCs w:val="28"/>
          <w:lang w:eastAsia="zh-CN"/>
        </w:rPr>
      </w:pPr>
      <w:r>
        <w:rPr>
          <w:rFonts w:hint="eastAsia" w:asciiTheme="minorEastAsia" w:hAnsiTheme="minorEastAsia" w:eastAsiaTheme="minorEastAsia" w:cstheme="minorEastAsia"/>
          <w:b/>
          <w:color w:val="000000"/>
          <w:sz w:val="32"/>
          <w:szCs w:val="28"/>
        </w:rPr>
        <w:t>出具法人营业执照函</w:t>
      </w:r>
    </w:p>
    <w:p w14:paraId="55D3760B">
      <w:pPr>
        <w:rPr>
          <w:rFonts w:hint="eastAsia" w:asciiTheme="minorEastAsia" w:hAnsiTheme="minorEastAsia" w:eastAsiaTheme="minorEastAsia" w:cstheme="minorEastAsia"/>
          <w:color w:val="000000"/>
          <w:sz w:val="24"/>
          <w:szCs w:val="24"/>
        </w:rPr>
      </w:pPr>
    </w:p>
    <w:p w14:paraId="3EEBDCBE">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DCD472E">
      <w:pPr>
        <w:rPr>
          <w:rFonts w:hint="eastAsia" w:asciiTheme="minorEastAsia" w:hAnsiTheme="minorEastAsia" w:eastAsiaTheme="minorEastAsia" w:cstheme="minorEastAsia"/>
          <w:color w:val="000000"/>
          <w:sz w:val="24"/>
          <w:szCs w:val="24"/>
        </w:rPr>
      </w:pPr>
    </w:p>
    <w:p w14:paraId="3C39713D">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现附上由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（签发机关名称）签发的我方法人营业执照复印件，该执照已经年检，真实有效。</w:t>
      </w:r>
    </w:p>
    <w:p w14:paraId="30BD2031">
      <w:pPr>
        <w:ind w:firstLine="852"/>
        <w:rPr>
          <w:rFonts w:hint="eastAsia" w:asciiTheme="minorEastAsia" w:hAnsiTheme="minorEastAsia" w:eastAsiaTheme="minorEastAsia" w:cstheme="minorEastAsia"/>
          <w:color w:val="000000"/>
          <w:sz w:val="24"/>
          <w:szCs w:val="24"/>
        </w:rPr>
      </w:pPr>
    </w:p>
    <w:p w14:paraId="671CF7E9">
      <w:pPr>
        <w:ind w:firstLine="852"/>
        <w:rPr>
          <w:rFonts w:hint="eastAsia" w:asciiTheme="minorEastAsia" w:hAnsiTheme="minorEastAsia" w:eastAsiaTheme="minorEastAsia" w:cstheme="minorEastAsia"/>
          <w:color w:val="000000"/>
          <w:sz w:val="24"/>
          <w:szCs w:val="24"/>
        </w:rPr>
      </w:pPr>
    </w:p>
    <w:p w14:paraId="027D7030">
      <w:pPr>
        <w:ind w:firstLine="852"/>
        <w:rPr>
          <w:rFonts w:hint="eastAsia" w:asciiTheme="minorEastAsia" w:hAnsiTheme="minorEastAsia" w:eastAsiaTheme="minorEastAsia" w:cstheme="minorEastAsia"/>
          <w:color w:val="000000"/>
          <w:sz w:val="24"/>
          <w:szCs w:val="24"/>
        </w:rPr>
      </w:pPr>
    </w:p>
    <w:p w14:paraId="468370F0">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投标单位名称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6027FF79">
      <w:pPr>
        <w:rPr>
          <w:rFonts w:hint="eastAsia" w:asciiTheme="minorEastAsia" w:hAnsiTheme="minorEastAsia" w:eastAsiaTheme="minorEastAsia" w:cstheme="minorEastAsia"/>
          <w:color w:val="000000"/>
          <w:sz w:val="24"/>
          <w:szCs w:val="24"/>
        </w:rPr>
      </w:pPr>
    </w:p>
    <w:p w14:paraId="0915617B">
      <w:pPr>
        <w:rPr>
          <w:rFonts w:hint="eastAsia" w:asciiTheme="minorEastAsia" w:hAnsiTheme="minorEastAsia" w:eastAsiaTheme="minorEastAsia" w:cstheme="minorEastAsia"/>
          <w:color w:val="000000"/>
          <w:sz w:val="24"/>
          <w:szCs w:val="24"/>
        </w:rPr>
      </w:pPr>
    </w:p>
    <w:p w14:paraId="423AB927">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签字或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p>
    <w:p w14:paraId="41666CA7">
      <w:pPr>
        <w:rPr>
          <w:rFonts w:hint="eastAsia" w:asciiTheme="minorEastAsia" w:hAnsiTheme="minorEastAsia" w:eastAsiaTheme="minorEastAsia" w:cstheme="minorEastAsia"/>
          <w:color w:val="000000"/>
          <w:sz w:val="24"/>
          <w:szCs w:val="24"/>
        </w:rPr>
      </w:pPr>
    </w:p>
    <w:p w14:paraId="337FBF22">
      <w:pPr>
        <w:rPr>
          <w:rFonts w:hint="eastAsia" w:asciiTheme="minorEastAsia" w:hAnsiTheme="minorEastAsia" w:eastAsiaTheme="minorEastAsia" w:cstheme="minorEastAsia"/>
          <w:color w:val="000000"/>
          <w:sz w:val="24"/>
          <w:szCs w:val="24"/>
        </w:rPr>
      </w:pPr>
    </w:p>
    <w:p w14:paraId="3EBB243F">
      <w:pPr>
        <w:ind w:firstLine="3290" w:firstLineChars="1371"/>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45F65DC">
      <w:pPr>
        <w:jc w:val="right"/>
        <w:rPr>
          <w:rFonts w:hint="eastAsia" w:asciiTheme="minorEastAsia" w:hAnsiTheme="minorEastAsia" w:eastAsiaTheme="minorEastAsia" w:cstheme="minorEastAsia"/>
          <w:color w:val="000000"/>
          <w:sz w:val="24"/>
          <w:szCs w:val="24"/>
        </w:rPr>
      </w:pPr>
    </w:p>
    <w:p w14:paraId="75EE7ECB">
      <w:pPr>
        <w:rPr>
          <w:rFonts w:hint="eastAsia" w:asciiTheme="minorEastAsia" w:hAnsiTheme="minorEastAsia" w:eastAsiaTheme="minorEastAsia" w:cstheme="minorEastAsia"/>
          <w:color w:val="000000"/>
          <w:sz w:val="24"/>
          <w:szCs w:val="24"/>
        </w:rPr>
      </w:pPr>
    </w:p>
    <w:p w14:paraId="7C23355C">
      <w:pPr>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后附：投标单位三合一营业执照复印件</w:t>
      </w:r>
    </w:p>
    <w:p w14:paraId="42DD48B1">
      <w:pPr>
        <w:pStyle w:val="9"/>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pPr>
    </w:p>
    <w:p w14:paraId="2CF58FC1">
      <w:pPr>
        <w:rPr>
          <w:rFonts w:hint="eastAsia" w:asciiTheme="minorEastAsia" w:hAnsiTheme="minorEastAsia" w:eastAsiaTheme="minorEastAsia" w:cstheme="minorEastAsia"/>
          <w:color w:val="000000"/>
          <w:sz w:val="24"/>
          <w:szCs w:val="24"/>
          <w:lang w:eastAsia="zh-CN"/>
        </w:rPr>
      </w:pPr>
    </w:p>
    <w:p w14:paraId="7DC7E0AC">
      <w:pPr>
        <w:pStyle w:val="6"/>
        <w:outlineLvl w:val="9"/>
        <w:rPr>
          <w:rFonts w:hint="eastAsia" w:asciiTheme="minorEastAsia" w:hAnsiTheme="minorEastAsia" w:eastAsiaTheme="minorEastAsia" w:cstheme="minorEastAsia"/>
          <w:color w:val="000000"/>
          <w:sz w:val="24"/>
          <w:szCs w:val="24"/>
          <w:lang w:eastAsia="zh-CN"/>
        </w:rPr>
      </w:pPr>
    </w:p>
    <w:p w14:paraId="05D9BE99">
      <w:pPr>
        <w:rPr>
          <w:rFonts w:hint="eastAsia" w:asciiTheme="minorEastAsia" w:hAnsiTheme="minorEastAsia" w:eastAsiaTheme="minorEastAsia" w:cstheme="minorEastAsia"/>
          <w:color w:val="000000"/>
          <w:sz w:val="24"/>
          <w:szCs w:val="24"/>
          <w:lang w:eastAsia="zh-CN"/>
        </w:rPr>
      </w:pPr>
    </w:p>
    <w:p w14:paraId="302671DE">
      <w:pPr>
        <w:pStyle w:val="12"/>
        <w:rPr>
          <w:rFonts w:hint="eastAsia" w:asciiTheme="minorEastAsia" w:hAnsiTheme="minorEastAsia" w:eastAsiaTheme="minorEastAsia" w:cstheme="minorEastAsia"/>
          <w:color w:val="000000"/>
          <w:sz w:val="24"/>
          <w:szCs w:val="24"/>
          <w:lang w:eastAsia="zh-CN"/>
        </w:rPr>
      </w:pPr>
    </w:p>
    <w:p w14:paraId="1523DC20">
      <w:pPr>
        <w:rPr>
          <w:rFonts w:hint="eastAsia" w:asciiTheme="minorEastAsia" w:hAnsiTheme="minorEastAsia" w:eastAsiaTheme="minorEastAsia" w:cstheme="minorEastAsia"/>
          <w:color w:val="000000"/>
          <w:sz w:val="24"/>
          <w:szCs w:val="24"/>
          <w:lang w:eastAsia="zh-CN"/>
        </w:rPr>
      </w:pPr>
    </w:p>
    <w:p w14:paraId="619EB735">
      <w:pPr>
        <w:pStyle w:val="12"/>
        <w:rPr>
          <w:rFonts w:hint="eastAsia" w:asciiTheme="minorEastAsia" w:hAnsiTheme="minorEastAsia" w:eastAsiaTheme="minorEastAsia" w:cstheme="minorEastAsia"/>
          <w:color w:val="000000"/>
          <w:sz w:val="24"/>
          <w:szCs w:val="24"/>
          <w:lang w:eastAsia="zh-CN"/>
        </w:rPr>
      </w:pPr>
    </w:p>
    <w:p w14:paraId="3CE4E4DF">
      <w:pPr>
        <w:rPr>
          <w:rFonts w:hint="eastAsia" w:asciiTheme="minorEastAsia" w:hAnsiTheme="minorEastAsia" w:eastAsiaTheme="minorEastAsia" w:cstheme="minorEastAsia"/>
          <w:color w:val="000000"/>
          <w:sz w:val="24"/>
          <w:szCs w:val="24"/>
          <w:lang w:eastAsia="zh-CN"/>
        </w:rPr>
      </w:pPr>
    </w:p>
    <w:p w14:paraId="4960D873">
      <w:pPr>
        <w:pStyle w:val="12"/>
        <w:rPr>
          <w:rFonts w:hint="eastAsia" w:asciiTheme="minorEastAsia" w:hAnsiTheme="minorEastAsia" w:eastAsiaTheme="minorEastAsia" w:cstheme="minorEastAsia"/>
          <w:color w:val="000000"/>
          <w:sz w:val="24"/>
          <w:szCs w:val="24"/>
          <w:lang w:eastAsia="zh-CN"/>
        </w:rPr>
      </w:pPr>
    </w:p>
    <w:p w14:paraId="18F64A0D">
      <w:pPr>
        <w:rPr>
          <w:rFonts w:hint="eastAsia" w:asciiTheme="minorEastAsia" w:hAnsiTheme="minorEastAsia" w:eastAsiaTheme="minorEastAsia" w:cstheme="minorEastAsia"/>
          <w:color w:val="000000"/>
          <w:sz w:val="24"/>
          <w:szCs w:val="24"/>
          <w:lang w:eastAsia="zh-CN"/>
        </w:rPr>
      </w:pPr>
    </w:p>
    <w:p w14:paraId="2C62D293">
      <w:pPr>
        <w:pStyle w:val="12"/>
        <w:rPr>
          <w:rFonts w:hint="eastAsia" w:asciiTheme="minorEastAsia" w:hAnsiTheme="minorEastAsia" w:eastAsiaTheme="minorEastAsia" w:cstheme="minorEastAsia"/>
          <w:color w:val="000000"/>
          <w:sz w:val="24"/>
          <w:szCs w:val="24"/>
          <w:lang w:eastAsia="zh-CN"/>
        </w:rPr>
      </w:pPr>
    </w:p>
    <w:p w14:paraId="241E37E9">
      <w:pPr>
        <w:rPr>
          <w:rFonts w:hint="eastAsia" w:asciiTheme="minorEastAsia" w:hAnsiTheme="minorEastAsia" w:eastAsiaTheme="minorEastAsia" w:cstheme="minorEastAsia"/>
          <w:color w:val="000000"/>
          <w:sz w:val="24"/>
          <w:szCs w:val="24"/>
          <w:lang w:eastAsia="zh-CN"/>
        </w:rPr>
      </w:pPr>
    </w:p>
    <w:p w14:paraId="579DB900">
      <w:pPr>
        <w:pStyle w:val="12"/>
        <w:rPr>
          <w:rFonts w:hint="eastAsia"/>
          <w:lang w:eastAsia="zh-CN"/>
        </w:rPr>
      </w:pPr>
    </w:p>
    <w:p w14:paraId="1A8F26E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69A92D0">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079D08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27DEC2DF">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F2172C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9DD0A7D">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附件六</w:t>
      </w:r>
    </w:p>
    <w:p w14:paraId="38628C62">
      <w:pPr>
        <w:jc w:val="center"/>
        <w:rPr>
          <w:rFonts w:hint="eastAsia" w:asciiTheme="minorEastAsia" w:hAnsiTheme="minorEastAsia" w:eastAsiaTheme="minorEastAsia" w:cstheme="minorEastAsia"/>
          <w:sz w:val="28"/>
        </w:rPr>
      </w:pPr>
    </w:p>
    <w:p w14:paraId="6B2F2976">
      <w:pPr>
        <w:jc w:val="center"/>
        <w:outlineLvl w:val="2"/>
        <w:rPr>
          <w:rFonts w:hint="eastAsia" w:asciiTheme="minorEastAsia" w:hAnsiTheme="minorEastAsia" w:eastAsiaTheme="minorEastAsia" w:cstheme="minorEastAsia"/>
          <w:sz w:val="30"/>
          <w:szCs w:val="30"/>
        </w:rPr>
      </w:pPr>
      <w:bookmarkStart w:id="601" w:name="_Toc1239"/>
      <w:bookmarkStart w:id="602" w:name="_Toc25844"/>
      <w:r>
        <w:rPr>
          <w:rFonts w:hint="eastAsia" w:asciiTheme="minorEastAsia" w:hAnsiTheme="minorEastAsia" w:eastAsiaTheme="minorEastAsia" w:cstheme="minorEastAsia"/>
          <w:b/>
          <w:sz w:val="32"/>
          <w:szCs w:val="32"/>
        </w:rPr>
        <w:t>联合体协议书</w:t>
      </w:r>
      <w:bookmarkEnd w:id="601"/>
      <w:bookmarkEnd w:id="602"/>
      <w:r>
        <w:rPr>
          <w:rFonts w:hint="eastAsia" w:asciiTheme="minorEastAsia" w:hAnsiTheme="minorEastAsia" w:eastAsiaTheme="minorEastAsia" w:cstheme="minorEastAsia"/>
          <w:b/>
          <w:sz w:val="32"/>
          <w:szCs w:val="32"/>
          <w:lang w:eastAsia="zh-CN"/>
        </w:rPr>
        <w:t>（</w:t>
      </w:r>
      <w:r>
        <w:rPr>
          <w:rFonts w:hint="eastAsia" w:asciiTheme="minorEastAsia" w:hAnsiTheme="minorEastAsia" w:eastAsiaTheme="minorEastAsia" w:cstheme="minorEastAsia"/>
          <w:b/>
          <w:sz w:val="32"/>
          <w:szCs w:val="32"/>
          <w:lang w:val="en-US" w:eastAsia="zh-CN"/>
        </w:rPr>
        <w:t>如是</w:t>
      </w:r>
      <w:r>
        <w:rPr>
          <w:rFonts w:hint="eastAsia" w:asciiTheme="minorEastAsia" w:hAnsiTheme="minorEastAsia" w:eastAsiaTheme="minorEastAsia" w:cstheme="minorEastAsia"/>
          <w:b/>
          <w:sz w:val="32"/>
          <w:szCs w:val="32"/>
          <w:lang w:eastAsia="zh-CN"/>
        </w:rPr>
        <w:t>）</w:t>
      </w:r>
    </w:p>
    <w:p w14:paraId="343A950F">
      <w:pPr>
        <w:topLinePunct/>
        <w:spacing w:line="440" w:lineRule="exact"/>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（所有成员单位名称）自愿组成联合体，共同参加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（项目名称）投标。现就联合体投标事宜订立如下协议。</w:t>
      </w:r>
    </w:p>
    <w:p w14:paraId="6985FCBE">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（某成员单位名称）为牵头人。</w:t>
      </w:r>
    </w:p>
    <w:p w14:paraId="27EBD107">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A7FEB0A">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3、联合体将严格按照招标文件的各项要求，递交投标文件，履行合同，并对外承担连带责任。</w:t>
      </w:r>
    </w:p>
    <w:p w14:paraId="21AFC434">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4、联合体各成员单位内部的职责分工如下：</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8212A20">
      <w:pPr>
        <w:topLinePunct/>
        <w:spacing w:line="440" w:lineRule="exact"/>
        <w:ind w:firstLine="480" w:firstLineChars="200"/>
        <w:outlineLvl w:val="2"/>
        <w:rPr>
          <w:rFonts w:hint="eastAsia" w:asciiTheme="minorEastAsia" w:hAnsiTheme="minorEastAsia" w:eastAsiaTheme="minorEastAsia" w:cstheme="minorEastAsia"/>
          <w:sz w:val="24"/>
          <w:szCs w:val="24"/>
        </w:rPr>
      </w:pPr>
      <w:bookmarkStart w:id="603" w:name="_Toc14243"/>
      <w:r>
        <w:rPr>
          <w:rFonts w:hint="eastAsia" w:asciiTheme="minorEastAsia" w:hAnsiTheme="minorEastAsia" w:eastAsiaTheme="minorEastAsia" w:cstheme="minorEastAsia"/>
          <w:sz w:val="24"/>
          <w:szCs w:val="24"/>
        </w:rPr>
        <w:t>5、本协议书自签署之日起生效，合同履行完毕后自动失效。</w:t>
      </w:r>
      <w:bookmarkEnd w:id="603"/>
      <w:r>
        <w:rPr>
          <w:rFonts w:hint="eastAsia" w:asciiTheme="minorEastAsia" w:hAnsiTheme="minorEastAsia" w:eastAsiaTheme="minorEastAsia" w:cstheme="minorEastAsia"/>
          <w:sz w:val="24"/>
          <w:szCs w:val="24"/>
        </w:rPr>
        <w:t xml:space="preserve"> </w:t>
      </w:r>
    </w:p>
    <w:p w14:paraId="594159D9">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6、本协议书一式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份，联合体成员和招标人各执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3F509785">
      <w:pPr>
        <w:topLinePunct/>
        <w:spacing w:line="440" w:lineRule="exact"/>
        <w:rPr>
          <w:rFonts w:hint="eastAsia" w:asciiTheme="minorEastAsia" w:hAnsiTheme="minorEastAsia" w:eastAsiaTheme="minorEastAsia" w:cstheme="minorEastAsia"/>
          <w:sz w:val="24"/>
          <w:szCs w:val="24"/>
        </w:rPr>
      </w:pPr>
    </w:p>
    <w:p w14:paraId="158794B5">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注：本协议书由委托代理人签字的，应附法定代表人签字的授权委托书。</w:t>
      </w:r>
    </w:p>
    <w:p w14:paraId="68133B20">
      <w:pPr>
        <w:topLinePunct/>
        <w:spacing w:line="440" w:lineRule="exact"/>
        <w:rPr>
          <w:rFonts w:hint="eastAsia" w:asciiTheme="minorEastAsia" w:hAnsiTheme="minorEastAsia" w:eastAsiaTheme="minorEastAsia" w:cstheme="minorEastAsia"/>
          <w:sz w:val="24"/>
          <w:szCs w:val="24"/>
        </w:rPr>
      </w:pPr>
    </w:p>
    <w:p w14:paraId="7C3EE054">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6E2F0508">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01F9E900">
      <w:pPr>
        <w:topLinePunct/>
        <w:spacing w:line="440" w:lineRule="exact"/>
        <w:rPr>
          <w:rFonts w:hint="eastAsia" w:asciiTheme="minorEastAsia" w:hAnsiTheme="minorEastAsia" w:eastAsiaTheme="minorEastAsia" w:cstheme="minorEastAsia"/>
          <w:sz w:val="24"/>
          <w:szCs w:val="24"/>
        </w:rPr>
      </w:pPr>
    </w:p>
    <w:p w14:paraId="74EC1127">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4EEDC51B">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081CFFB0">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5429585">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成员二名称：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0770A0F">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5629F8C7">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7FB5702">
      <w:pPr>
        <w:topLinePunct/>
        <w:spacing w:line="440" w:lineRule="exact"/>
        <w:rPr>
          <w:rFonts w:hint="eastAsia" w:asciiTheme="minorEastAsia" w:hAnsiTheme="minorEastAsia" w:eastAsiaTheme="minorEastAsia" w:cstheme="minorEastAsia"/>
          <w:sz w:val="24"/>
          <w:szCs w:val="24"/>
        </w:rPr>
      </w:pPr>
    </w:p>
    <w:p w14:paraId="74D13032">
      <w:pPr>
        <w:ind w:firstLine="3290" w:firstLineChars="1371"/>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992BF69">
      <w:pPr>
        <w:jc w:val="left"/>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sz w:val="24"/>
          <w:szCs w:val="18"/>
        </w:rPr>
        <w:br w:type="page"/>
      </w:r>
    </w:p>
    <w:p w14:paraId="0A042A1D">
      <w:pPr>
        <w:rPr>
          <w:rFonts w:hint="eastAsia" w:asciiTheme="minorEastAsia" w:hAnsiTheme="minorEastAsia" w:eastAsiaTheme="minorEastAsia" w:cstheme="minorEastAsia"/>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0E3C1D21">
      <w:pPr>
        <w:pStyle w:val="14"/>
        <w:spacing w:line="240" w:lineRule="auto"/>
        <w:ind w:left="0" w:leftChars="0" w:firstLine="0" w:firstLineChars="0"/>
        <w:jc w:val="both"/>
        <w:outlineLvl w:val="2"/>
        <w:rPr>
          <w:rFonts w:hint="eastAsia" w:asciiTheme="minorEastAsia" w:hAnsiTheme="minorEastAsia" w:eastAsiaTheme="minorEastAsia" w:cstheme="minorEastAsia"/>
          <w:b/>
          <w:color w:val="000000"/>
          <w:sz w:val="28"/>
          <w:szCs w:val="24"/>
          <w:lang w:val="en-US" w:eastAsia="zh-CN"/>
        </w:rPr>
      </w:pPr>
      <w:bookmarkStart w:id="604" w:name="_Toc1542"/>
      <w:r>
        <w:rPr>
          <w:rFonts w:hint="eastAsia" w:asciiTheme="minorEastAsia" w:hAnsiTheme="minorEastAsia" w:eastAsiaTheme="minorEastAsia" w:cstheme="minorEastAsia"/>
          <w:b/>
          <w:color w:val="000000"/>
          <w:sz w:val="28"/>
          <w:szCs w:val="24"/>
          <w:lang w:val="en-US" w:eastAsia="zh-CN"/>
        </w:rPr>
        <w:t>附件</w:t>
      </w:r>
      <w:bookmarkEnd w:id="604"/>
      <w:r>
        <w:rPr>
          <w:rFonts w:hint="eastAsia" w:asciiTheme="minorEastAsia" w:hAnsiTheme="minorEastAsia" w:eastAsiaTheme="minorEastAsia" w:cstheme="minorEastAsia"/>
          <w:b/>
          <w:color w:val="000000"/>
          <w:sz w:val="28"/>
          <w:szCs w:val="24"/>
          <w:lang w:val="en-US" w:eastAsia="zh-CN"/>
        </w:rPr>
        <w:t>七</w:t>
      </w:r>
    </w:p>
    <w:p w14:paraId="6A3520CA">
      <w:pPr>
        <w:pStyle w:val="14"/>
        <w:spacing w:line="240" w:lineRule="auto"/>
        <w:ind w:left="0" w:leftChars="0" w:firstLine="0" w:firstLineChars="0"/>
        <w:jc w:val="center"/>
        <w:rPr>
          <w:rFonts w:hint="eastAsia" w:asciiTheme="minorEastAsia" w:hAnsiTheme="minorEastAsia" w:eastAsiaTheme="minorEastAsia" w:cstheme="minorEastAsia"/>
          <w:b/>
          <w:color w:val="000000"/>
          <w:szCs w:val="28"/>
          <w:lang w:val="en-US" w:eastAsia="zh-CN"/>
        </w:rPr>
      </w:pPr>
      <w:r>
        <w:rPr>
          <w:rFonts w:hint="eastAsia" w:asciiTheme="minorEastAsia" w:hAnsiTheme="minorEastAsia" w:eastAsiaTheme="minorEastAsia" w:cstheme="minorEastAsia"/>
          <w:b/>
          <w:color w:val="000000"/>
          <w:sz w:val="32"/>
          <w:szCs w:val="28"/>
        </w:rPr>
        <w:t>法定代表人身份证</w:t>
      </w:r>
      <w:r>
        <w:rPr>
          <w:rFonts w:hint="eastAsia" w:asciiTheme="minorEastAsia" w:hAnsiTheme="minorEastAsia" w:eastAsiaTheme="minorEastAsia" w:cstheme="minorEastAsia"/>
          <w:b/>
          <w:color w:val="000000"/>
          <w:sz w:val="32"/>
          <w:szCs w:val="28"/>
          <w:lang w:val="en-US" w:eastAsia="zh-CN"/>
        </w:rPr>
        <w:t>明</w:t>
      </w:r>
    </w:p>
    <w:p w14:paraId="2C129480">
      <w:pPr>
        <w:autoSpaceDE w:val="0"/>
        <w:autoSpaceDN w:val="0"/>
        <w:adjustRightInd w:val="0"/>
        <w:ind w:left="120" w:hanging="120"/>
        <w:rPr>
          <w:rFonts w:hint="eastAsia" w:asciiTheme="minorEastAsia" w:hAnsiTheme="minorEastAsia" w:eastAsiaTheme="minorEastAsia" w:cstheme="minorEastAsia"/>
          <w:sz w:val="24"/>
          <w:lang w:val="zh-CN"/>
        </w:rPr>
      </w:pPr>
    </w:p>
    <w:p w14:paraId="68133D03">
      <w:pPr>
        <w:spacing w:line="460" w:lineRule="exact"/>
        <w:ind w:left="120" w:hanging="12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14:paraId="770FACFE">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0B7866F">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708729E6">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的法定代表人。</w:t>
      </w:r>
    </w:p>
    <w:p w14:paraId="01C0BD92">
      <w:pPr>
        <w:spacing w:line="460" w:lineRule="exact"/>
        <w:ind w:left="120" w:hanging="120"/>
        <w:rPr>
          <w:rFonts w:hint="eastAsia" w:asciiTheme="minorEastAsia" w:hAnsiTheme="minorEastAsia" w:eastAsiaTheme="minorEastAsia" w:cstheme="minorEastAsia"/>
          <w:sz w:val="24"/>
          <w:szCs w:val="24"/>
        </w:rPr>
      </w:pPr>
    </w:p>
    <w:p w14:paraId="0EE7DC6D">
      <w:pPr>
        <w:autoSpaceDE w:val="0"/>
        <w:autoSpaceDN w:val="0"/>
        <w:adjustRightInd w:val="0"/>
        <w:spacing w:line="320" w:lineRule="exact"/>
        <w:ind w:left="0" w:leftChars="0" w:firstLine="0" w:firstLineChars="0"/>
        <w:rPr>
          <w:rFonts w:hint="eastAsia" w:asciiTheme="minorEastAsia" w:hAnsiTheme="minorEastAsia" w:eastAsiaTheme="minorEastAsia" w:cstheme="minorEastAsia"/>
          <w:sz w:val="24"/>
          <w:szCs w:val="24"/>
          <w:lang w:val="zh-CN"/>
        </w:rPr>
      </w:pPr>
    </w:p>
    <w:p w14:paraId="3AA63102">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1D00BF86">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3DAB3A4F">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5408" behindDoc="0" locked="0" layoutInCell="1" allowOverlap="1">
                <wp:simplePos x="0" y="0"/>
                <wp:positionH relativeFrom="column">
                  <wp:posOffset>2790825</wp:posOffset>
                </wp:positionH>
                <wp:positionV relativeFrom="paragraph">
                  <wp:posOffset>145415</wp:posOffset>
                </wp:positionV>
                <wp:extent cx="2472690" cy="1263650"/>
                <wp:effectExtent l="4445" t="4445" r="18415" b="8255"/>
                <wp:wrapNone/>
                <wp:docPr id="18" name="文本框 18"/>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B289B69">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9.75pt;margin-top:11.45pt;height:99.5pt;width:194.7pt;z-index:251665408;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HKuaNkAAAAKAQAADwAA&#10;AAAAAAABACAAAAAiAAAAZHJzL2Rvd25yZXYueG1sUEsBAhQAFAAAAAgAh07iQPlqxbgVAgAARwQA&#10;AA4AAAAAAAAAAQAgAAAAKAEAAGRycy9lMm9Eb2MueG1sUEsFBgAAAAAGAAYAWQEAAK8FAAAAAA==&#10;">
                <v:fill on="t" focussize="0,0"/>
                <v:stroke color="#000000" joinstyle="miter" dashstyle="1 1" endcap="round"/>
                <v:imagedata o:title=""/>
                <o:lock v:ext="edit" aspectratio="f"/>
                <v:textbox>
                  <w:txbxContent>
                    <w:p w14:paraId="7B289B69">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156210</wp:posOffset>
                </wp:positionV>
                <wp:extent cx="2472690" cy="1263650"/>
                <wp:effectExtent l="4445" t="4445" r="18415" b="8255"/>
                <wp:wrapNone/>
                <wp:docPr id="19" name="文本框 19"/>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9C23C86">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3.75pt;margin-top:12.3pt;height:99.5pt;width:194.7pt;z-index:251664384;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kecXaAAAACQEAAA8A&#10;AAAAAAAAAQAgAAAAIgAAAGRycy9kb3ducmV2LnhtbFBLAQIUABQAAAAIAIdO4kBO58qVFQIAAEcE&#10;AAAOAAAAAAAAAAEAIAAAACkBAABkcnMvZTJvRG9jLnhtbFBLBQYAAAAABgAGAFkBAACwBQAAAAA=&#10;">
                <v:fill on="t" focussize="0,0"/>
                <v:stroke color="#000000" joinstyle="miter" dashstyle="1 1" endcap="round"/>
                <v:imagedata o:title=""/>
                <o:lock v:ext="edit" aspectratio="f"/>
                <v:textbox>
                  <w:txbxContent>
                    <w:p w14:paraId="19C23C86">
                      <w:pPr>
                        <w:ind w:left="140" w:hanging="140"/>
                        <w:jc w:val="center"/>
                        <w:rPr>
                          <w:sz w:val="28"/>
                          <w:szCs w:val="28"/>
                        </w:rPr>
                      </w:pPr>
                      <w:r>
                        <w:rPr>
                          <w:rFonts w:hint="eastAsia"/>
                          <w:sz w:val="28"/>
                          <w:szCs w:val="28"/>
                        </w:rPr>
                        <w:t>法人身份证复印件正面</w:t>
                      </w:r>
                    </w:p>
                  </w:txbxContent>
                </v:textbox>
              </v:shape>
            </w:pict>
          </mc:Fallback>
        </mc:AlternateContent>
      </w:r>
    </w:p>
    <w:p w14:paraId="06CA3816">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530EA8A7">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45B85CB5">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362A3964">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F2E9364">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4FD5508">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5C76A8E0">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43A6A2FD">
      <w:pPr>
        <w:autoSpaceDE w:val="0"/>
        <w:autoSpaceDN w:val="0"/>
        <w:adjustRightInd w:val="0"/>
        <w:spacing w:line="320" w:lineRule="exact"/>
        <w:ind w:left="0" w:leftChars="0" w:firstLine="0" w:firstLineChars="0"/>
        <w:rPr>
          <w:rFonts w:hint="eastAsia" w:asciiTheme="minorEastAsia" w:hAnsiTheme="minorEastAsia" w:eastAsiaTheme="minorEastAsia" w:cstheme="minorEastAsia"/>
          <w:sz w:val="24"/>
          <w:szCs w:val="24"/>
          <w:lang w:val="zh-CN"/>
        </w:rPr>
      </w:pPr>
    </w:p>
    <w:p w14:paraId="0D855017">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7B8CDD82">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19B164C">
      <w:pPr>
        <w:pStyle w:val="5"/>
        <w:outlineLvl w:val="9"/>
        <w:rPr>
          <w:rFonts w:hint="eastAsia" w:asciiTheme="minorEastAsia" w:hAnsiTheme="minorEastAsia" w:eastAsiaTheme="minorEastAsia" w:cstheme="minorEastAsia"/>
          <w:sz w:val="24"/>
          <w:szCs w:val="24"/>
          <w:lang w:val="zh-CN"/>
        </w:rPr>
      </w:pPr>
    </w:p>
    <w:p w14:paraId="38BF4E47">
      <w:pPr>
        <w:rPr>
          <w:rFonts w:hint="eastAsia" w:asciiTheme="minorEastAsia" w:hAnsiTheme="minorEastAsia" w:eastAsiaTheme="minorEastAsia" w:cstheme="minorEastAsia"/>
          <w:sz w:val="24"/>
          <w:szCs w:val="24"/>
          <w:lang w:val="zh-CN"/>
        </w:rPr>
      </w:pPr>
    </w:p>
    <w:p w14:paraId="065FD3A9">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投标单位名称：公章）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48DD1C6C">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签字或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p>
    <w:p w14:paraId="5DFA4568">
      <w:pPr>
        <w:pStyle w:val="35"/>
        <w:rPr>
          <w:rFonts w:hint="eastAsia" w:asciiTheme="minorEastAsia" w:hAnsiTheme="minorEastAsia" w:eastAsiaTheme="minorEastAsia" w:cstheme="minorEastAsia"/>
          <w:sz w:val="24"/>
          <w:szCs w:val="24"/>
        </w:rPr>
      </w:pPr>
    </w:p>
    <w:p w14:paraId="15DABB32">
      <w:pPr>
        <w:autoSpaceDE w:val="0"/>
        <w:autoSpaceDN w:val="0"/>
        <w:adjustRightInd w:val="0"/>
        <w:spacing w:line="320" w:lineRule="exact"/>
        <w:ind w:left="120" w:hanging="120"/>
        <w:rPr>
          <w:rFonts w:hint="eastAsia" w:asciiTheme="minorEastAsia" w:hAnsiTheme="minorEastAsia" w:eastAsiaTheme="minorEastAsia" w:cstheme="minorEastAsia"/>
          <w:b/>
          <w:bCs/>
          <w:sz w:val="24"/>
          <w:szCs w:val="24"/>
          <w:lang w:val="zh-CN"/>
        </w:rPr>
      </w:pPr>
    </w:p>
    <w:p w14:paraId="2F2CB58F">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448E2BD4">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7EDC46CC">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424CA8D6">
      <w:pPr>
        <w:autoSpaceDE w:val="0"/>
        <w:autoSpaceDN w:val="0"/>
        <w:adjustRightInd w:val="0"/>
        <w:spacing w:line="320" w:lineRule="exact"/>
        <w:ind w:left="120" w:hanging="120"/>
        <w:jc w:val="right"/>
        <w:outlineLvl w:val="0"/>
        <w:rPr>
          <w:rFonts w:hint="eastAsia" w:asciiTheme="minorEastAsia" w:hAnsiTheme="minorEastAsia" w:eastAsiaTheme="minorEastAsia" w:cstheme="minorEastAsia"/>
          <w:sz w:val="24"/>
          <w:szCs w:val="24"/>
          <w:lang w:val="zh-CN"/>
        </w:rPr>
      </w:pPr>
      <w:bookmarkStart w:id="605" w:name="_Toc9354"/>
      <w:bookmarkStart w:id="606" w:name="_Toc7513"/>
      <w:bookmarkStart w:id="607" w:name="_Toc18606"/>
      <w:r>
        <w:rPr>
          <w:rFonts w:hint="eastAsia" w:asciiTheme="minorEastAsia" w:hAnsiTheme="minorEastAsia" w:eastAsiaTheme="minorEastAsia" w:cstheme="minorEastAsia"/>
          <w:sz w:val="24"/>
          <w:szCs w:val="24"/>
          <w:lang w:val="zh-CN"/>
        </w:rPr>
        <w:t>日期：</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日</w:t>
      </w:r>
      <w:bookmarkEnd w:id="605"/>
      <w:bookmarkEnd w:id="606"/>
      <w:bookmarkEnd w:id="607"/>
    </w:p>
    <w:p w14:paraId="4545CBEE">
      <w:pPr>
        <w:pStyle w:val="9"/>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293A3DE2">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5A69BB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322F2159">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1606A5C5">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附件八</w:t>
      </w:r>
    </w:p>
    <w:p w14:paraId="3263DC7C">
      <w:pPr>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32"/>
          <w:szCs w:val="28"/>
        </w:rPr>
        <w:t>法定代表人授权委托书</w:t>
      </w:r>
    </w:p>
    <w:p w14:paraId="3184C620">
      <w:pPr>
        <w:pStyle w:val="15"/>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本授权委托书声明：注册于</w:t>
      </w:r>
      <w:r>
        <w:rPr>
          <w:rFonts w:hint="eastAsia" w:asciiTheme="minorEastAsia" w:hAnsiTheme="minorEastAsia" w:eastAsiaTheme="minorEastAsia" w:cstheme="minorEastAsia"/>
          <w:color w:val="000000"/>
          <w:sz w:val="24"/>
          <w:szCs w:val="24"/>
          <w:u w:val="single"/>
        </w:rPr>
        <w:t xml:space="preserve"> （投标人地址）  </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 xml:space="preserve">  （单位名称）    </w:t>
      </w:r>
      <w:r>
        <w:rPr>
          <w:rFonts w:hint="eastAsia" w:asciiTheme="minorEastAsia" w:hAnsiTheme="minorEastAsia" w:eastAsiaTheme="minorEastAsia" w:cstheme="minorEastAsia"/>
          <w:color w:val="000000"/>
          <w:sz w:val="24"/>
          <w:szCs w:val="24"/>
        </w:rPr>
        <w:t>在下面签名的</w:t>
      </w:r>
      <w:r>
        <w:rPr>
          <w:rFonts w:hint="eastAsia" w:asciiTheme="minorEastAsia" w:hAnsiTheme="minorEastAsia" w:eastAsiaTheme="minorEastAsia" w:cstheme="minorEastAsia"/>
          <w:color w:val="000000"/>
          <w:sz w:val="24"/>
          <w:szCs w:val="24"/>
          <w:u w:val="single"/>
        </w:rPr>
        <w:t>（法定代表人姓名、职务）</w:t>
      </w:r>
      <w:r>
        <w:rPr>
          <w:rFonts w:hint="eastAsia" w:asciiTheme="minorEastAsia" w:hAnsiTheme="minorEastAsia" w:eastAsiaTheme="minorEastAsia" w:cstheme="minorEastAsia"/>
          <w:color w:val="000000"/>
          <w:sz w:val="24"/>
          <w:szCs w:val="24"/>
        </w:rPr>
        <w:t>在此授权</w:t>
      </w:r>
      <w:r>
        <w:rPr>
          <w:rFonts w:hint="eastAsia" w:asciiTheme="minorEastAsia" w:hAnsiTheme="minorEastAsia" w:eastAsiaTheme="minorEastAsia" w:cstheme="minorEastAsia"/>
          <w:color w:val="000000"/>
          <w:sz w:val="24"/>
          <w:szCs w:val="24"/>
          <w:u w:val="single"/>
        </w:rPr>
        <w:t>（被授权人姓名、职务）</w:t>
      </w:r>
      <w:r>
        <w:rPr>
          <w:rFonts w:hint="eastAsia" w:asciiTheme="minorEastAsia" w:hAnsiTheme="minorEastAsia" w:eastAsiaTheme="minorEastAsia" w:cstheme="minorEastAsia"/>
          <w:color w:val="000000"/>
          <w:sz w:val="24"/>
          <w:szCs w:val="24"/>
        </w:rPr>
        <w:t>作为我公司的合法代理人，就</w:t>
      </w:r>
      <w:r>
        <w:rPr>
          <w:rFonts w:hint="eastAsia" w:asciiTheme="minorEastAsia" w:hAnsiTheme="minorEastAsia" w:eastAsiaTheme="minorEastAsia" w:cstheme="minorEastAsia"/>
          <w:color w:val="000000"/>
          <w:sz w:val="24"/>
          <w:szCs w:val="24"/>
          <w:u w:val="single"/>
        </w:rPr>
        <w:t>（项目名称、项目编号</w:t>
      </w:r>
      <w:r>
        <w:rPr>
          <w:rFonts w:hint="eastAsia" w:asciiTheme="minorEastAsia" w:hAnsiTheme="minorEastAsia" w:eastAsiaTheme="minorEastAsia" w:cstheme="minorEastAsia"/>
          <w:color w:val="000000"/>
          <w:sz w:val="24"/>
          <w:szCs w:val="24"/>
        </w:rPr>
        <w:t>）的招投标活动，</w:t>
      </w:r>
      <w:r>
        <w:rPr>
          <w:rFonts w:hint="eastAsia" w:asciiTheme="minorEastAsia" w:hAnsiTheme="minorEastAsia" w:eastAsiaTheme="minorEastAsia" w:cstheme="minorEastAsia"/>
          <w:color w:val="000000"/>
          <w:sz w:val="24"/>
          <w:szCs w:val="24"/>
          <w:lang w:eastAsia="zh-CN"/>
        </w:rPr>
        <w:t>设计</w:t>
      </w:r>
      <w:r>
        <w:rPr>
          <w:rFonts w:hint="eastAsia" w:asciiTheme="minorEastAsia" w:hAnsiTheme="minorEastAsia" w:eastAsiaTheme="minorEastAsia" w:cstheme="minorEastAsia"/>
          <w:color w:val="000000"/>
          <w:sz w:val="24"/>
          <w:szCs w:val="24"/>
        </w:rPr>
        <w:t>合同的签订、执行、完成和售后服务，作为投标人代表以我方的名义处理一切与之有关的事务。</w:t>
      </w:r>
    </w:p>
    <w:p w14:paraId="48BC577E">
      <w:pPr>
        <w:pStyle w:val="15"/>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被授权人（投标人授权代表）无转委托权限。</w:t>
      </w:r>
    </w:p>
    <w:p w14:paraId="3119DEE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rPr>
        <w:t>本授权书自法定代表人签字（盖个人名章）之日起生效，特此声明。</w:t>
      </w:r>
    </w:p>
    <w:p w14:paraId="1BB70172">
      <w:pPr>
        <w:rPr>
          <w:rFonts w:hint="eastAsia" w:asciiTheme="minorEastAsia" w:hAnsiTheme="minorEastAsia" w:eastAsiaTheme="minorEastAsia" w:cstheme="minorEastAsia"/>
          <w:color w:val="auto"/>
          <w:sz w:val="24"/>
          <w:szCs w:val="24"/>
        </w:rPr>
      </w:pPr>
    </w:p>
    <w:p w14:paraId="4537433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需附：法定代表人、被授权人身份证复印件。</w:t>
      </w:r>
    </w:p>
    <w:p w14:paraId="0E449442">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2816225</wp:posOffset>
                </wp:positionH>
                <wp:positionV relativeFrom="paragraph">
                  <wp:posOffset>62230</wp:posOffset>
                </wp:positionV>
                <wp:extent cx="1991360" cy="1219835"/>
                <wp:effectExtent l="7620" t="7620" r="20320" b="1079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7F277778">
                            <w:pPr>
                              <w:rPr>
                                <w:rFonts w:hint="eastAsia"/>
                              </w:rPr>
                            </w:pPr>
                            <w:r>
                              <w:rPr>
                                <w:rFonts w:hint="eastAsia"/>
                              </w:rPr>
                              <w:t>被授权人身份证复印件正面</w:t>
                            </w:r>
                          </w:p>
                        </w:txbxContent>
                      </wps:txbx>
                      <wps:bodyPr wrap="square" upright="1"/>
                    </wps:wsp>
                  </a:graphicData>
                </a:graphic>
              </wp:anchor>
            </w:drawing>
          </mc:Choice>
          <mc:Fallback>
            <w:pict>
              <v:shape id="_x0000_s1026" o:spid="_x0000_s1026" o:spt="202" type="#_x0000_t202" style="position:absolute;left:0pt;margin-left:221.75pt;margin-top:4.9pt;height:96.05pt;width:156.8pt;z-index:251661312;mso-width-relative:page;mso-height-relative:page;" filled="f" stroked="t" coordsize="21600,21600" o:gfxdata="UEsDBAoAAAAAAIdO4kAAAAAAAAAAAAAAAAAEAAAAZHJzL1BLAwQUAAAACACHTuJAzSkcHd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KRwd1gAAAAkBAAAPAAAAAAAA&#10;AAEAIAAAACIAAABkcnMvZG93bnJldi54bWxQSwECFAAUAAAACACHTuJAaQKMyRQCAAArBAAADgAA&#10;AAAAAAABACAAAAAlAQAAZHJzL2Uyb0RvYy54bWxQSwUGAAAAAAYABgBZAQAAqwUAAAAA&#10;">
                <v:fill on="f" focussize="0,0"/>
                <v:stroke weight="1.25pt" color="#000000" joinstyle="miter"/>
                <v:imagedata o:title=""/>
                <o:lock v:ext="edit" aspectratio="f"/>
                <v:textbox>
                  <w:txbxContent>
                    <w:p w14:paraId="7F277778">
                      <w:pPr>
                        <w:rPr>
                          <w:rFonts w:hint="eastAsia"/>
                        </w:rPr>
                      </w:pPr>
                      <w:r>
                        <w:rPr>
                          <w:rFonts w:hint="eastAsia"/>
                        </w:rPr>
                        <w:t>被授权人身份证复印件正面</w:t>
                      </w:r>
                    </w:p>
                  </w:txbxContent>
                </v:textbox>
              </v:shape>
            </w:pict>
          </mc:Fallback>
        </mc:AlternateContent>
      </w: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62230</wp:posOffset>
                </wp:positionV>
                <wp:extent cx="2023745" cy="1219835"/>
                <wp:effectExtent l="7620" t="7620" r="26035" b="10795"/>
                <wp:wrapNone/>
                <wp:docPr id="22" name="文本框 22"/>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6BAEE47C">
                            <w:pPr>
                              <w:rPr>
                                <w:rFonts w:hint="eastAsia"/>
                              </w:rPr>
                            </w:pPr>
                            <w:r>
                              <w:rPr>
                                <w:rFonts w:hint="eastAsia"/>
                              </w:rPr>
                              <w:t>法定代表人身份证复印件正面</w:t>
                            </w:r>
                          </w:p>
                        </w:txbxContent>
                      </wps:txbx>
                      <wps:bodyPr wrap="square" upright="1"/>
                    </wps:wsp>
                  </a:graphicData>
                </a:graphic>
              </wp:anchor>
            </w:drawing>
          </mc:Choice>
          <mc:Fallback>
            <w:pict>
              <v:shape id="_x0000_s1026" o:spid="_x0000_s1026" o:spt="202" type="#_x0000_t202" style="position:absolute;left:0pt;margin-left:7.55pt;margin-top:4.9pt;height:96.05pt;width:159.35pt;z-index:251660288;mso-width-relative:page;mso-height-relative:page;" filled="f" stroked="t" coordsize="21600,21600" o:gfxdata="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U36i1AAAAAgBAAAPAAAAAAAA&#10;AAEAIAAAACIAAABkcnMvZG93bnJldi54bWxQSwECFAAUAAAACACHTuJAdolRtRYCAAAtBAAADgAA&#10;AAAAAAABACAAAAAjAQAAZHJzL2Uyb0RvYy54bWxQSwUGAAAAAAYABgBZAQAAqwUAAAAA&#10;">
                <v:fill on="f" focussize="0,0"/>
                <v:stroke weight="1.25pt" color="#000000" joinstyle="miter"/>
                <v:imagedata o:title=""/>
                <o:lock v:ext="edit" aspectratio="f"/>
                <v:textbox>
                  <w:txbxContent>
                    <w:p w14:paraId="6BAEE47C">
                      <w:pPr>
                        <w:rPr>
                          <w:rFonts w:hint="eastAsia"/>
                        </w:rPr>
                      </w:pPr>
                      <w:r>
                        <w:rPr>
                          <w:rFonts w:hint="eastAsia"/>
                        </w:rPr>
                        <w:t>法定代表人身份证复印件正面</w:t>
                      </w:r>
                    </w:p>
                  </w:txbxContent>
                </v:textbox>
              </v:shape>
            </w:pict>
          </mc:Fallback>
        </mc:AlternateContent>
      </w:r>
    </w:p>
    <w:p w14:paraId="4B7E1E9F">
      <w:pPr>
        <w:rPr>
          <w:rFonts w:hint="eastAsia" w:asciiTheme="minorEastAsia" w:hAnsiTheme="minorEastAsia" w:eastAsiaTheme="minorEastAsia" w:cstheme="minorEastAsia"/>
          <w:color w:val="FF0000"/>
          <w:sz w:val="24"/>
          <w:szCs w:val="24"/>
        </w:rPr>
      </w:pPr>
    </w:p>
    <w:p w14:paraId="7E442B44">
      <w:pPr>
        <w:rPr>
          <w:rFonts w:hint="eastAsia" w:asciiTheme="minorEastAsia" w:hAnsiTheme="minorEastAsia" w:eastAsiaTheme="minorEastAsia" w:cstheme="minorEastAsia"/>
          <w:color w:val="FF0000"/>
          <w:sz w:val="24"/>
          <w:szCs w:val="24"/>
        </w:rPr>
      </w:pPr>
    </w:p>
    <w:p w14:paraId="73B1BD05">
      <w:pPr>
        <w:rPr>
          <w:rFonts w:hint="eastAsia" w:asciiTheme="minorEastAsia" w:hAnsiTheme="minorEastAsia" w:eastAsiaTheme="minorEastAsia" w:cstheme="minorEastAsia"/>
          <w:color w:val="FF0000"/>
          <w:sz w:val="24"/>
          <w:szCs w:val="24"/>
        </w:rPr>
      </w:pPr>
    </w:p>
    <w:p w14:paraId="47F275DE">
      <w:pPr>
        <w:rPr>
          <w:rFonts w:hint="eastAsia" w:asciiTheme="minorEastAsia" w:hAnsiTheme="minorEastAsia" w:eastAsiaTheme="minorEastAsia" w:cstheme="minorEastAsia"/>
          <w:color w:val="FF0000"/>
          <w:sz w:val="24"/>
          <w:szCs w:val="24"/>
        </w:rPr>
      </w:pPr>
    </w:p>
    <w:p w14:paraId="4A490AAE">
      <w:pPr>
        <w:rPr>
          <w:rFonts w:hint="eastAsia" w:asciiTheme="minorEastAsia" w:hAnsiTheme="minorEastAsia" w:eastAsiaTheme="minorEastAsia" w:cstheme="minorEastAsia"/>
          <w:color w:val="FF0000"/>
          <w:sz w:val="24"/>
          <w:szCs w:val="24"/>
        </w:rPr>
      </w:pPr>
    </w:p>
    <w:p w14:paraId="28F758B0">
      <w:pPr>
        <w:rPr>
          <w:rFonts w:hint="eastAsia" w:asciiTheme="minorEastAsia" w:hAnsiTheme="minorEastAsia" w:eastAsiaTheme="minorEastAsia" w:cstheme="minorEastAsia"/>
          <w:color w:val="FF0000"/>
          <w:sz w:val="24"/>
          <w:szCs w:val="24"/>
        </w:rPr>
      </w:pPr>
    </w:p>
    <w:p w14:paraId="61772F34">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2816225</wp:posOffset>
                </wp:positionH>
                <wp:positionV relativeFrom="paragraph">
                  <wp:posOffset>154940</wp:posOffset>
                </wp:positionV>
                <wp:extent cx="1990725" cy="1219835"/>
                <wp:effectExtent l="7620" t="7620" r="20955" b="1079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42ABAA8A">
                            <w:pPr>
                              <w:rPr>
                                <w:rFonts w:hint="eastAsia"/>
                              </w:rPr>
                            </w:pPr>
                            <w:r>
                              <w:rPr>
                                <w:rFonts w:hint="eastAsia"/>
                              </w:rPr>
                              <w:t>被授权人身份证复印件背面</w:t>
                            </w:r>
                          </w:p>
                        </w:txbxContent>
                      </wps:txbx>
                      <wps:bodyPr wrap="square" upright="1"/>
                    </wps:wsp>
                  </a:graphicData>
                </a:graphic>
              </wp:anchor>
            </w:drawing>
          </mc:Choice>
          <mc:Fallback>
            <w:pict>
              <v:shape id="_x0000_s1026" o:spid="_x0000_s1026" o:spt="202" type="#_x0000_t202" style="position:absolute;left:0pt;margin-left:221.75pt;margin-top:12.2pt;height:96.05pt;width:156.75pt;z-index:251663360;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ldyPdYAAAAKAQAADwAAAAAA&#10;AAABACAAAAAiAAAAZHJzL2Rvd25yZXYueG1sUEsBAhQAFAAAAAgAh07iQP2/SpsVAgAALQQAAA4A&#10;AAAAAAAAAQAgAAAAJQEAAGRycy9lMm9Eb2MueG1sUEsFBgAAAAAGAAYAWQEAAKwFAAAAAA==&#10;">
                <v:fill on="f" focussize="0,0"/>
                <v:stroke weight="1.25pt" color="#000000" joinstyle="miter"/>
                <v:imagedata o:title=""/>
                <o:lock v:ext="edit" aspectratio="f"/>
                <v:textbox>
                  <w:txbxContent>
                    <w:p w14:paraId="42ABAA8A">
                      <w:pPr>
                        <w:rPr>
                          <w:rFonts w:hint="eastAsia"/>
                        </w:rPr>
                      </w:pPr>
                      <w:r>
                        <w:rPr>
                          <w:rFonts w:hint="eastAsia"/>
                        </w:rPr>
                        <w:t>被授权人身份证复印件背面</w:t>
                      </w:r>
                    </w:p>
                  </w:txbxContent>
                </v:textbox>
              </v:shape>
            </w:pict>
          </mc:Fallback>
        </mc:AlternateContent>
      </w: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154940</wp:posOffset>
                </wp:positionV>
                <wp:extent cx="1990725" cy="1219835"/>
                <wp:effectExtent l="7620" t="7620" r="20955" b="1079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72F3052A">
                            <w:pPr>
                              <w:rPr>
                                <w:rFonts w:hint="eastAsia"/>
                              </w:rPr>
                            </w:pPr>
                            <w:r>
                              <w:rPr>
                                <w:rFonts w:hint="eastAsia"/>
                              </w:rPr>
                              <w:t>法定代表人身份证复印件背面</w:t>
                            </w:r>
                          </w:p>
                        </w:txbxContent>
                      </wps:txbx>
                      <wps:bodyPr wrap="square" upright="1"/>
                    </wps:wsp>
                  </a:graphicData>
                </a:graphic>
              </wp:anchor>
            </w:drawing>
          </mc:Choice>
          <mc:Fallback>
            <w:pict>
              <v:shape id="_x0000_s1026" o:spid="_x0000_s1026" o:spt="202" type="#_x0000_t202" style="position:absolute;left:0pt;margin-left:7.55pt;margin-top:12.2pt;height:96.05pt;width:156.75pt;z-index:251662336;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ewhYdUAAAAJAQAADwAAAAAA&#10;AAABACAAAAAiAAAAZHJzL2Rvd25yZXYueG1sUEsBAhQAFAAAAAgAh07iQEt/840WAgAALQQAAA4A&#10;AAAAAAAAAQAgAAAAJAEAAGRycy9lMm9Eb2MueG1sUEsFBgAAAAAGAAYAWQEAAKwFAAAAAA==&#10;">
                <v:fill on="f" focussize="0,0"/>
                <v:stroke weight="1.25pt" color="#000000" joinstyle="miter"/>
                <v:imagedata o:title=""/>
                <o:lock v:ext="edit" aspectratio="f"/>
                <v:textbox>
                  <w:txbxContent>
                    <w:p w14:paraId="72F3052A">
                      <w:pPr>
                        <w:rPr>
                          <w:rFonts w:hint="eastAsia"/>
                        </w:rPr>
                      </w:pPr>
                      <w:r>
                        <w:rPr>
                          <w:rFonts w:hint="eastAsia"/>
                        </w:rPr>
                        <w:t>法定代表人身份证复印件背面</w:t>
                      </w:r>
                    </w:p>
                  </w:txbxContent>
                </v:textbox>
              </v:shape>
            </w:pict>
          </mc:Fallback>
        </mc:AlternateContent>
      </w:r>
    </w:p>
    <w:p w14:paraId="376D8971">
      <w:pPr>
        <w:rPr>
          <w:rFonts w:hint="eastAsia" w:asciiTheme="minorEastAsia" w:hAnsiTheme="minorEastAsia" w:eastAsiaTheme="minorEastAsia" w:cstheme="minorEastAsia"/>
          <w:color w:val="FF0000"/>
          <w:sz w:val="24"/>
          <w:szCs w:val="24"/>
        </w:rPr>
      </w:pPr>
    </w:p>
    <w:p w14:paraId="3BC85FA8">
      <w:pPr>
        <w:jc w:val="center"/>
        <w:rPr>
          <w:rFonts w:hint="eastAsia" w:asciiTheme="minorEastAsia" w:hAnsiTheme="minorEastAsia" w:eastAsiaTheme="minorEastAsia" w:cstheme="minorEastAsia"/>
          <w:b/>
          <w:color w:val="FF0000"/>
          <w:sz w:val="24"/>
          <w:szCs w:val="24"/>
        </w:rPr>
      </w:pPr>
    </w:p>
    <w:p w14:paraId="0F71D141">
      <w:pPr>
        <w:jc w:val="center"/>
        <w:rPr>
          <w:rFonts w:hint="eastAsia" w:asciiTheme="minorEastAsia" w:hAnsiTheme="minorEastAsia" w:eastAsiaTheme="minorEastAsia" w:cstheme="minorEastAsia"/>
          <w:b/>
          <w:color w:val="FF0000"/>
          <w:sz w:val="24"/>
          <w:szCs w:val="24"/>
        </w:rPr>
      </w:pPr>
    </w:p>
    <w:p w14:paraId="4F469C90">
      <w:pPr>
        <w:spacing w:line="360" w:lineRule="auto"/>
        <w:rPr>
          <w:rFonts w:hint="eastAsia" w:asciiTheme="minorEastAsia" w:hAnsiTheme="minorEastAsia" w:eastAsiaTheme="minorEastAsia" w:cstheme="minorEastAsia"/>
          <w:color w:val="auto"/>
          <w:sz w:val="24"/>
          <w:szCs w:val="24"/>
        </w:rPr>
      </w:pPr>
    </w:p>
    <w:p w14:paraId="14AB4E13">
      <w:pPr>
        <w:spacing w:line="360" w:lineRule="auto"/>
        <w:rPr>
          <w:rFonts w:hint="eastAsia" w:asciiTheme="minorEastAsia" w:hAnsiTheme="minorEastAsia" w:eastAsiaTheme="minorEastAsia" w:cstheme="minorEastAsia"/>
          <w:color w:val="auto"/>
          <w:sz w:val="24"/>
          <w:szCs w:val="24"/>
        </w:rPr>
      </w:pPr>
    </w:p>
    <w:p w14:paraId="49B3559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投标单位名称：（</w:t>
      </w:r>
      <w:r>
        <w:rPr>
          <w:rFonts w:hint="eastAsia" w:asciiTheme="minorEastAsia" w:hAnsiTheme="minorEastAsia" w:eastAsiaTheme="minorEastAsia" w:cstheme="minorEastAsia"/>
          <w:color w:val="auto"/>
          <w:sz w:val="24"/>
          <w:szCs w:val="24"/>
          <w:lang w:eastAsia="zh-CN"/>
        </w:rPr>
        <w:t>盖章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17B9E2C4">
      <w:pPr>
        <w:spacing w:line="360" w:lineRule="auto"/>
        <w:rPr>
          <w:rFonts w:hint="eastAsia" w:asciiTheme="minorEastAsia" w:hAnsiTheme="minorEastAsia" w:eastAsiaTheme="minorEastAsia" w:cstheme="minorEastAsia"/>
          <w:color w:val="auto"/>
          <w:sz w:val="24"/>
          <w:szCs w:val="24"/>
        </w:rPr>
      </w:pPr>
    </w:p>
    <w:p w14:paraId="27F30F8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（签字</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7741EDB4">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4157C8FE">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8F712FB">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法定代表人参加的需提供法定代表人证明书，委托代理人参加的需提供法定代表人授权委托书，在公司（委托公司）所缴纳近3个月的社保证明扫描件</w:t>
      </w:r>
    </w:p>
    <w:p w14:paraId="53B59CDA">
      <w:pPr>
        <w:rPr>
          <w:rFonts w:hint="eastAsia" w:asciiTheme="minorEastAsia" w:hAnsiTheme="minorEastAsia" w:eastAsiaTheme="minorEastAsia" w:cstheme="minorEastAsia"/>
          <w:sz w:val="24"/>
          <w:szCs w:val="24"/>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313C8FCC">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02F8BAC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1B228FA">
      <w:pPr>
        <w:pStyle w:val="17"/>
        <w:rPr>
          <w:rFonts w:hint="eastAsia"/>
          <w:lang w:val="en-US" w:eastAsia="zh-CN"/>
        </w:rPr>
      </w:pPr>
    </w:p>
    <w:p w14:paraId="05FC406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附件九</w:t>
      </w:r>
    </w:p>
    <w:p w14:paraId="5BBFA997">
      <w:pPr>
        <w:pStyle w:val="14"/>
        <w:spacing w:line="240" w:lineRule="auto"/>
        <w:ind w:left="0" w:leftChars="0" w:firstLine="0" w:firstLineChars="0"/>
        <w:jc w:val="center"/>
        <w:rPr>
          <w:rFonts w:hint="eastAsia" w:asciiTheme="minorEastAsia" w:hAnsiTheme="minorEastAsia" w:eastAsiaTheme="minorEastAsia" w:cstheme="minorEastAsia"/>
          <w:b/>
          <w:bCs w:val="0"/>
          <w:color w:val="000000"/>
          <w:sz w:val="28"/>
          <w:szCs w:val="24"/>
          <w:lang w:val="en-US" w:eastAsia="zh-CN"/>
        </w:rPr>
      </w:pPr>
      <w:r>
        <w:rPr>
          <w:rFonts w:hint="eastAsia" w:asciiTheme="minorEastAsia" w:hAnsiTheme="minorEastAsia" w:eastAsiaTheme="minorEastAsia" w:cstheme="minorEastAsia"/>
          <w:b/>
          <w:bCs w:val="0"/>
          <w:color w:val="000000"/>
          <w:sz w:val="28"/>
          <w:szCs w:val="24"/>
          <w:lang w:val="en-US" w:eastAsia="zh-CN"/>
        </w:rPr>
        <w:t>投标人资格声明函（格式自拟）</w:t>
      </w:r>
    </w:p>
    <w:p w14:paraId="003384A1">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我公司</w:t>
      </w:r>
      <w:r>
        <w:rPr>
          <w:rFonts w:hint="eastAsia" w:asciiTheme="minorEastAsia" w:hAnsiTheme="minorEastAsia" w:eastAsiaTheme="minorEastAsia" w:cstheme="minorEastAsia"/>
          <w:b w:val="0"/>
          <w:bCs/>
          <w:color w:val="000000"/>
          <w:sz w:val="24"/>
          <w:szCs w:val="24"/>
          <w:u w:val="single"/>
          <w:lang w:val="en-US" w:eastAsia="zh-CN"/>
        </w:rPr>
        <w:t xml:space="preserve"> （供应商全称） </w:t>
      </w:r>
      <w:r>
        <w:rPr>
          <w:rFonts w:hint="eastAsia" w:asciiTheme="minorEastAsia" w:hAnsiTheme="minorEastAsia" w:eastAsiaTheme="minorEastAsia" w:cstheme="minorEastAsia"/>
          <w:b w:val="0"/>
          <w:bCs/>
          <w:color w:val="000000"/>
          <w:sz w:val="24"/>
          <w:szCs w:val="24"/>
          <w:lang w:val="en-US" w:eastAsia="zh-CN"/>
        </w:rPr>
        <w:t>收到</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项目（项目编号：</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、标段号：</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、标段名称：</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 xml:space="preserve"> ）的招标文件后，在完全理解该项目采购技术要求和商务条款的基础上，决定参加此次投标活动。我方保证具备履行合同所必需的服务和专业技术能力，并承诺如下：</w:t>
      </w:r>
    </w:p>
    <w:p w14:paraId="2671879F">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14:paraId="16993933">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w:t>
      </w:r>
    </w:p>
    <w:p w14:paraId="65F453A6">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3、具有履行合同所必需的货物和专业技术能力；</w:t>
      </w:r>
    </w:p>
    <w:p w14:paraId="6DB4AC2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4、有依法缴纳税收和社会保障资金的良好记录；</w:t>
      </w:r>
    </w:p>
    <w:p w14:paraId="53AB2A1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5、参加政府采购活动前三年内，在经营活动中没有重大违法记录；</w:t>
      </w:r>
    </w:p>
    <w:p w14:paraId="0B1D9C5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6、法律、行政法规规定的其他条件；</w:t>
      </w:r>
    </w:p>
    <w:p w14:paraId="1BF83F56">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7、具备承担和实施本次采购内容相关的经营许可或相关代理授权。</w:t>
      </w:r>
    </w:p>
    <w:p w14:paraId="6064556F">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3FE0CC21">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供应商名称（电子公章）：</w:t>
      </w:r>
    </w:p>
    <w:p w14:paraId="6B037468">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法定代表人或其授权代表（签字）：</w:t>
      </w:r>
    </w:p>
    <w:p w14:paraId="4D3C14DD">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日期：   年   月    日</w:t>
      </w:r>
    </w:p>
    <w:p w14:paraId="4F463F55">
      <w:pPr>
        <w:pStyle w:val="9"/>
        <w:numPr>
          <w:ilvl w:val="0"/>
          <w:numId w:val="0"/>
        </w:numPr>
        <w:overflowPunct w:val="0"/>
        <w:snapToGrid w:val="0"/>
        <w:spacing w:line="360" w:lineRule="auto"/>
        <w:jc w:val="both"/>
        <w:rPr>
          <w:rFonts w:hint="eastAsia" w:asciiTheme="minorEastAsia" w:hAnsiTheme="minorEastAsia" w:eastAsiaTheme="minorEastAsia" w:cstheme="minorEastAsia"/>
          <w:b w:val="0"/>
          <w:bCs/>
          <w:color w:val="auto"/>
          <w:kern w:val="2"/>
          <w:sz w:val="24"/>
          <w:szCs w:val="24"/>
          <w:lang w:val="en-US" w:eastAsia="zh-CN" w:bidi="ar-SA"/>
        </w:rPr>
      </w:pPr>
    </w:p>
    <w:p w14:paraId="5DE2C065">
      <w:pPr>
        <w:rPr>
          <w:rFonts w:hint="eastAsia" w:asciiTheme="minorEastAsia" w:hAnsiTheme="minorEastAsia" w:eastAsiaTheme="minorEastAsia" w:cstheme="minorEastAsia"/>
          <w:b w:val="0"/>
          <w:bCs/>
          <w:color w:val="auto"/>
          <w:kern w:val="2"/>
          <w:sz w:val="24"/>
          <w:szCs w:val="24"/>
          <w:lang w:val="en-US" w:eastAsia="zh-CN" w:bidi="ar-SA"/>
        </w:rPr>
      </w:pPr>
    </w:p>
    <w:p w14:paraId="05BD13E5">
      <w:pPr>
        <w:pStyle w:val="8"/>
        <w:rPr>
          <w:rFonts w:hint="eastAsia" w:asciiTheme="minorEastAsia" w:hAnsiTheme="minorEastAsia" w:eastAsiaTheme="minorEastAsia" w:cstheme="minorEastAsia"/>
          <w:b w:val="0"/>
          <w:bCs/>
          <w:color w:val="auto"/>
          <w:kern w:val="2"/>
          <w:sz w:val="21"/>
          <w:szCs w:val="20"/>
          <w:lang w:val="en-US" w:eastAsia="zh-CN" w:bidi="ar-SA"/>
        </w:rPr>
      </w:pPr>
    </w:p>
    <w:p w14:paraId="3A2B477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5F70D9A5">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3B3CEF67">
      <w:pPr>
        <w:rPr>
          <w:rFonts w:hint="eastAsia" w:asciiTheme="minorEastAsia" w:hAnsiTheme="minorEastAsia" w:eastAsiaTheme="minorEastAsia" w:cstheme="minorEastAsia"/>
          <w:b/>
          <w:bCs w:val="0"/>
          <w:color w:val="auto"/>
          <w:kern w:val="2"/>
          <w:sz w:val="32"/>
          <w:szCs w:val="28"/>
          <w:lang w:val="en-US" w:eastAsia="zh-CN" w:bidi="ar-SA"/>
        </w:rPr>
      </w:pPr>
    </w:p>
    <w:p w14:paraId="629F0427">
      <w:pPr>
        <w:pStyle w:val="12"/>
        <w:rPr>
          <w:rFonts w:hint="eastAsia" w:asciiTheme="minorEastAsia" w:hAnsiTheme="minorEastAsia" w:eastAsiaTheme="minorEastAsia" w:cstheme="minorEastAsia"/>
          <w:b/>
          <w:bCs w:val="0"/>
          <w:color w:val="auto"/>
          <w:kern w:val="2"/>
          <w:sz w:val="32"/>
          <w:szCs w:val="28"/>
          <w:lang w:val="en-US" w:eastAsia="zh-CN" w:bidi="ar-SA"/>
        </w:rPr>
      </w:pPr>
    </w:p>
    <w:p w14:paraId="31AB8F97">
      <w:pPr>
        <w:rPr>
          <w:rFonts w:hint="eastAsia" w:asciiTheme="minorEastAsia" w:hAnsiTheme="minorEastAsia" w:eastAsiaTheme="minorEastAsia" w:cstheme="minorEastAsia"/>
          <w:b/>
          <w:bCs w:val="0"/>
          <w:color w:val="auto"/>
          <w:kern w:val="2"/>
          <w:sz w:val="32"/>
          <w:szCs w:val="28"/>
          <w:lang w:val="en-US" w:eastAsia="zh-CN" w:bidi="ar-SA"/>
        </w:rPr>
      </w:pPr>
    </w:p>
    <w:p w14:paraId="0DBABA8A">
      <w:pPr>
        <w:pStyle w:val="12"/>
        <w:rPr>
          <w:rFonts w:hint="eastAsia" w:asciiTheme="minorEastAsia" w:hAnsiTheme="minorEastAsia" w:eastAsiaTheme="minorEastAsia" w:cstheme="minorEastAsia"/>
          <w:b/>
          <w:bCs w:val="0"/>
          <w:color w:val="auto"/>
          <w:kern w:val="2"/>
          <w:sz w:val="32"/>
          <w:szCs w:val="28"/>
          <w:lang w:val="en-US" w:eastAsia="zh-CN" w:bidi="ar-SA"/>
        </w:rPr>
      </w:pPr>
    </w:p>
    <w:p w14:paraId="56D349BE">
      <w:pPr>
        <w:rPr>
          <w:rFonts w:hint="eastAsia" w:asciiTheme="minorEastAsia" w:hAnsiTheme="minorEastAsia" w:eastAsiaTheme="minorEastAsia" w:cstheme="minorEastAsia"/>
          <w:b/>
          <w:bCs w:val="0"/>
          <w:color w:val="auto"/>
          <w:kern w:val="2"/>
          <w:sz w:val="32"/>
          <w:szCs w:val="28"/>
          <w:lang w:val="en-US" w:eastAsia="zh-CN" w:bidi="ar-SA"/>
        </w:rPr>
      </w:pPr>
    </w:p>
    <w:p w14:paraId="6BF0CDBB">
      <w:pPr>
        <w:pStyle w:val="12"/>
        <w:rPr>
          <w:rFonts w:hint="eastAsia"/>
          <w:lang w:val="en-US" w:eastAsia="zh-CN"/>
        </w:rPr>
      </w:pPr>
    </w:p>
    <w:p w14:paraId="15BA1DEB">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490494A0">
      <w:pPr>
        <w:rPr>
          <w:rFonts w:hint="eastAsia" w:asciiTheme="minorEastAsia" w:hAnsiTheme="minorEastAsia" w:eastAsiaTheme="minorEastAsia" w:cstheme="minorEastAsia"/>
          <w:lang w:val="en-US" w:eastAsia="zh-CN"/>
        </w:rPr>
      </w:pPr>
    </w:p>
    <w:p w14:paraId="2A8BA87F">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w:t>
      </w:r>
    </w:p>
    <w:p w14:paraId="77029CD0">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70C97186">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1B4E984">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0CB8DBFF">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2F815DD">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信用中国（www.creditchina.gov.cn）查询结果</w:t>
      </w:r>
    </w:p>
    <w:p w14:paraId="13A2EFC1">
      <w:pPr>
        <w:jc w:val="center"/>
        <w:rPr>
          <w:rFonts w:hint="eastAsia" w:asciiTheme="minorEastAsia" w:hAnsiTheme="minorEastAsia" w:eastAsiaTheme="minorEastAsia" w:cstheme="minorEastAsia"/>
          <w:b w:val="0"/>
          <w:bCs/>
          <w:color w:val="auto"/>
          <w:kern w:val="2"/>
          <w:sz w:val="24"/>
          <w:szCs w:val="24"/>
          <w:lang w:val="en-US" w:eastAsia="zh-CN" w:bidi="ar-SA"/>
        </w:rPr>
      </w:pPr>
    </w:p>
    <w:p w14:paraId="48001637">
      <w:pPr>
        <w:pStyle w:val="5"/>
        <w:jc w:val="center"/>
        <w:outlineLvl w:val="9"/>
        <w:rPr>
          <w:rFonts w:hint="eastAsia" w:asciiTheme="minorEastAsia" w:hAnsiTheme="minorEastAsia" w:eastAsiaTheme="minorEastAsia" w:cstheme="minorEastAsia"/>
          <w:b w:val="0"/>
          <w:bCs/>
          <w:color w:val="auto"/>
          <w:kern w:val="2"/>
          <w:sz w:val="24"/>
          <w:szCs w:val="24"/>
          <w:lang w:val="en-US" w:eastAsia="zh-CN" w:bidi="ar-SA"/>
        </w:rPr>
      </w:pPr>
    </w:p>
    <w:p w14:paraId="2E4CAE31">
      <w:pPr>
        <w:jc w:val="center"/>
        <w:rPr>
          <w:rFonts w:hint="eastAsia" w:asciiTheme="minorEastAsia" w:hAnsiTheme="minorEastAsia" w:eastAsiaTheme="minorEastAsia" w:cstheme="minorEastAsia"/>
          <w:b w:val="0"/>
          <w:bCs/>
          <w:color w:val="auto"/>
          <w:kern w:val="2"/>
          <w:sz w:val="24"/>
          <w:szCs w:val="24"/>
          <w:lang w:val="en-US" w:eastAsia="zh-CN" w:bidi="ar-SA"/>
        </w:rPr>
      </w:pPr>
    </w:p>
    <w:p w14:paraId="73C113A7">
      <w:pPr>
        <w:pStyle w:val="9"/>
        <w:numPr>
          <w:ilvl w:val="0"/>
          <w:numId w:val="0"/>
        </w:numPr>
        <w:overflowPunct w:val="0"/>
        <w:snapToGrid w:val="0"/>
        <w:spacing w:line="360" w:lineRule="auto"/>
        <w:ind w:firstLine="2880" w:firstLineChars="1200"/>
        <w:jc w:val="both"/>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val="0"/>
          <w:bCs/>
          <w:color w:val="auto"/>
          <w:kern w:val="2"/>
          <w:sz w:val="24"/>
          <w:szCs w:val="24"/>
          <w:lang w:val="en-US" w:eastAsia="zh-CN" w:bidi="ar-SA"/>
        </w:rPr>
        <w:t>中国政府采购网（www.ccgp.gov.cn）查询结果；</w:t>
      </w:r>
    </w:p>
    <w:p w14:paraId="53373BE0">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79591B14">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0AE60C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4FCB2DA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8D3911A">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19000980">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6BC9DEC8">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8199D32">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BF696B4">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1B3771D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383C7BD">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2CA7B2A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43F0C46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12E3346">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AA88459">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3009AED3">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A014B9D">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6560C477">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附件十一</w:t>
      </w:r>
    </w:p>
    <w:p w14:paraId="2428EB0B">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C5ACABC">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4"/>
          <w:szCs w:val="24"/>
          <w:highlight w:val="none"/>
          <w:lang w:val="en-US" w:eastAsia="zh-CN" w:bidi="ar-SA"/>
        </w:rPr>
      </w:pPr>
    </w:p>
    <w:p w14:paraId="53BFFE83">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具有良好的商业信誉和健全的财务会计制度：提供2023年由第三方审计机构出具及备案赋码的审计报告（2024年新成立的公司按实际发生的情况提供银行出具的资信证明）和健全的财务会计制度；</w:t>
      </w:r>
    </w:p>
    <w:p w14:paraId="6F946C6E">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07CADA77">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A848AED">
      <w:pPr>
        <w:rPr>
          <w:rFonts w:hint="eastAsia" w:asciiTheme="minorEastAsia" w:hAnsiTheme="minorEastAsia" w:eastAsiaTheme="minorEastAsia" w:cstheme="minorEastAsia"/>
          <w:b/>
          <w:bCs w:val="0"/>
          <w:color w:val="auto"/>
          <w:kern w:val="2"/>
          <w:sz w:val="32"/>
          <w:szCs w:val="28"/>
          <w:lang w:val="en-US" w:eastAsia="zh-CN" w:bidi="ar-SA"/>
        </w:rPr>
      </w:pPr>
    </w:p>
    <w:p w14:paraId="78862D82">
      <w:pPr>
        <w:pStyle w:val="12"/>
        <w:rPr>
          <w:rFonts w:hint="eastAsia" w:asciiTheme="minorEastAsia" w:hAnsiTheme="minorEastAsia" w:eastAsiaTheme="minorEastAsia" w:cstheme="minorEastAsia"/>
          <w:b/>
          <w:bCs w:val="0"/>
          <w:color w:val="auto"/>
          <w:kern w:val="2"/>
          <w:sz w:val="32"/>
          <w:szCs w:val="28"/>
          <w:lang w:val="en-US" w:eastAsia="zh-CN" w:bidi="ar-SA"/>
        </w:rPr>
      </w:pPr>
    </w:p>
    <w:p w14:paraId="3C6E1305">
      <w:pPr>
        <w:rPr>
          <w:rFonts w:hint="eastAsia" w:asciiTheme="minorEastAsia" w:hAnsiTheme="minorEastAsia" w:eastAsiaTheme="minorEastAsia" w:cstheme="minorEastAsia"/>
          <w:b/>
          <w:bCs w:val="0"/>
          <w:color w:val="auto"/>
          <w:kern w:val="2"/>
          <w:sz w:val="32"/>
          <w:szCs w:val="28"/>
          <w:lang w:val="en-US" w:eastAsia="zh-CN" w:bidi="ar-SA"/>
        </w:rPr>
      </w:pPr>
    </w:p>
    <w:p w14:paraId="093CE27D">
      <w:pPr>
        <w:pStyle w:val="12"/>
        <w:rPr>
          <w:rFonts w:hint="eastAsia" w:asciiTheme="minorEastAsia" w:hAnsiTheme="minorEastAsia" w:eastAsiaTheme="minorEastAsia" w:cstheme="minorEastAsia"/>
          <w:b/>
          <w:bCs w:val="0"/>
          <w:color w:val="auto"/>
          <w:kern w:val="2"/>
          <w:sz w:val="32"/>
          <w:szCs w:val="28"/>
          <w:lang w:val="en-US" w:eastAsia="zh-CN" w:bidi="ar-SA"/>
        </w:rPr>
      </w:pPr>
    </w:p>
    <w:p w14:paraId="3FD9703F">
      <w:pPr>
        <w:rPr>
          <w:rFonts w:hint="eastAsia" w:asciiTheme="minorEastAsia" w:hAnsiTheme="minorEastAsia" w:eastAsiaTheme="minorEastAsia" w:cstheme="minorEastAsia"/>
          <w:b/>
          <w:bCs w:val="0"/>
          <w:color w:val="auto"/>
          <w:kern w:val="2"/>
          <w:sz w:val="32"/>
          <w:szCs w:val="28"/>
          <w:lang w:val="en-US" w:eastAsia="zh-CN" w:bidi="ar-SA"/>
        </w:rPr>
      </w:pPr>
    </w:p>
    <w:p w14:paraId="28FCE906">
      <w:pPr>
        <w:pStyle w:val="12"/>
        <w:rPr>
          <w:rFonts w:hint="eastAsia" w:asciiTheme="minorEastAsia" w:hAnsiTheme="minorEastAsia" w:eastAsiaTheme="minorEastAsia" w:cstheme="minorEastAsia"/>
          <w:b/>
          <w:bCs w:val="0"/>
          <w:color w:val="auto"/>
          <w:kern w:val="2"/>
          <w:sz w:val="32"/>
          <w:szCs w:val="28"/>
          <w:lang w:val="en-US" w:eastAsia="zh-CN" w:bidi="ar-SA"/>
        </w:rPr>
      </w:pPr>
    </w:p>
    <w:p w14:paraId="4A6FB1FD">
      <w:pPr>
        <w:rPr>
          <w:rFonts w:hint="eastAsia" w:asciiTheme="minorEastAsia" w:hAnsiTheme="minorEastAsia" w:eastAsiaTheme="minorEastAsia" w:cstheme="minorEastAsia"/>
          <w:b/>
          <w:bCs w:val="0"/>
          <w:color w:val="auto"/>
          <w:kern w:val="2"/>
          <w:sz w:val="32"/>
          <w:szCs w:val="28"/>
          <w:lang w:val="en-US" w:eastAsia="zh-CN" w:bidi="ar-SA"/>
        </w:rPr>
      </w:pPr>
    </w:p>
    <w:p w14:paraId="762E436F">
      <w:pPr>
        <w:pStyle w:val="12"/>
        <w:rPr>
          <w:rFonts w:hint="eastAsia" w:asciiTheme="minorEastAsia" w:hAnsiTheme="minorEastAsia" w:eastAsiaTheme="minorEastAsia" w:cstheme="minorEastAsia"/>
          <w:b/>
          <w:bCs w:val="0"/>
          <w:color w:val="auto"/>
          <w:kern w:val="2"/>
          <w:sz w:val="32"/>
          <w:szCs w:val="28"/>
          <w:lang w:val="en-US" w:eastAsia="zh-CN" w:bidi="ar-SA"/>
        </w:rPr>
      </w:pPr>
    </w:p>
    <w:p w14:paraId="2E9DD070">
      <w:pPr>
        <w:rPr>
          <w:rFonts w:hint="eastAsia" w:asciiTheme="minorEastAsia" w:hAnsiTheme="minorEastAsia" w:eastAsiaTheme="minorEastAsia" w:cstheme="minorEastAsia"/>
          <w:b/>
          <w:bCs w:val="0"/>
          <w:color w:val="auto"/>
          <w:kern w:val="2"/>
          <w:sz w:val="32"/>
          <w:szCs w:val="28"/>
          <w:lang w:val="en-US" w:eastAsia="zh-CN" w:bidi="ar-SA"/>
        </w:rPr>
      </w:pPr>
    </w:p>
    <w:p w14:paraId="2BFCBE7C">
      <w:pPr>
        <w:pStyle w:val="12"/>
        <w:rPr>
          <w:rFonts w:hint="eastAsia"/>
          <w:lang w:val="en-US" w:eastAsia="zh-CN"/>
        </w:rPr>
      </w:pPr>
    </w:p>
    <w:p w14:paraId="0BE5933D">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2DF1B6D4">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71C1E0AE">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2CBEB3D0">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6E440AF0">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DE5FD3A">
      <w:pPr>
        <w:rPr>
          <w:rFonts w:hint="eastAsia"/>
          <w:lang w:val="en-US" w:eastAsia="zh-CN"/>
        </w:rPr>
      </w:pPr>
    </w:p>
    <w:p w14:paraId="0E402798">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53042DD">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4E00654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附件十二</w:t>
      </w:r>
    </w:p>
    <w:p w14:paraId="52E46497">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7E1A29E3">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68E4951B">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F65DCA9">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投标保证金回单（以银行到账推送名单情况为</w:t>
      </w:r>
    </w:p>
    <w:p w14:paraId="0CDE5934">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val="0"/>
          <w:bCs/>
          <w:color w:val="auto"/>
          <w:kern w:val="2"/>
          <w:sz w:val="24"/>
          <w:szCs w:val="24"/>
          <w:lang w:val="en-US" w:eastAsia="zh-CN" w:bidi="ar-SA"/>
        </w:rPr>
        <w:t>准）、或电子保函凭证</w:t>
      </w:r>
    </w:p>
    <w:p w14:paraId="576C8C94">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470B68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F8C1FB2">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6F19C51D">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0372BA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0C8878AC">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35DBC1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BE53E1D">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4007EA9">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76B929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638267AF">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91F3FBF">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2847DC9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CA60DA6">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0AC9B81E">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3DA4A41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4154751">
      <w:pPr>
        <w:pStyle w:val="6"/>
        <w:rPr>
          <w:rFonts w:hint="eastAsia"/>
          <w:lang w:val="en-US" w:eastAsia="zh-CN"/>
        </w:rPr>
      </w:pPr>
    </w:p>
    <w:p w14:paraId="6CF3108E">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30A5D989">
      <w:pPr>
        <w:ind w:left="0" w:leftChars="0" w:firstLine="0" w:firstLineChars="0"/>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附件十三</w:t>
      </w:r>
    </w:p>
    <w:p w14:paraId="2A25DC7F">
      <w:pPr>
        <w:pStyle w:val="9"/>
        <w:numPr>
          <w:ilvl w:val="0"/>
          <w:numId w:val="0"/>
        </w:numPr>
        <w:tabs>
          <w:tab w:val="left" w:pos="2160"/>
        </w:tabs>
        <w:overflowPunct w:val="0"/>
        <w:snapToGrid w:val="0"/>
        <w:spacing w:line="360" w:lineRule="auto"/>
        <w:ind w:leftChars="0"/>
        <w:jc w:val="center"/>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b/>
          <w:bCs w:val="0"/>
          <w:color w:val="auto"/>
          <w:kern w:val="2"/>
          <w:sz w:val="32"/>
          <w:szCs w:val="28"/>
          <w:lang w:val="en-US" w:eastAsia="zh-CN" w:bidi="ar-SA"/>
        </w:rPr>
        <w:t>商务偏离表</w:t>
      </w:r>
    </w:p>
    <w:p w14:paraId="6EEFC7A5">
      <w:pPr>
        <w:adjustRightInd w:val="0"/>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1"/>
          <w:szCs w:val="22"/>
        </w:rPr>
        <w:t>项</w:t>
      </w:r>
      <w:r>
        <w:rPr>
          <w:rFonts w:hint="eastAsia" w:asciiTheme="minorEastAsia" w:hAnsiTheme="minorEastAsia" w:eastAsiaTheme="minorEastAsia" w:cstheme="minorEastAsia"/>
          <w:color w:val="000000"/>
          <w:sz w:val="24"/>
          <w:szCs w:val="24"/>
        </w:rPr>
        <w:t>目名称：</w:t>
      </w:r>
    </w:p>
    <w:p w14:paraId="4FF5F5D1">
      <w:pPr>
        <w:adjustRightInd w:val="0"/>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7D77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67C67308">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81" w:type="dxa"/>
            <w:noWrap w:val="0"/>
            <w:vAlign w:val="center"/>
          </w:tcPr>
          <w:p w14:paraId="41FAF2E5">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招标文件条目号</w:t>
            </w:r>
          </w:p>
        </w:tc>
        <w:tc>
          <w:tcPr>
            <w:tcW w:w="2552" w:type="dxa"/>
            <w:noWrap w:val="0"/>
            <w:vAlign w:val="center"/>
          </w:tcPr>
          <w:p w14:paraId="2D013DD5">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招标文件的商务条款</w:t>
            </w:r>
          </w:p>
        </w:tc>
        <w:tc>
          <w:tcPr>
            <w:tcW w:w="2551" w:type="dxa"/>
            <w:noWrap w:val="0"/>
            <w:vAlign w:val="center"/>
          </w:tcPr>
          <w:p w14:paraId="28CBBC8C">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招标响应文件的商务条款</w:t>
            </w:r>
          </w:p>
        </w:tc>
        <w:tc>
          <w:tcPr>
            <w:tcW w:w="1210" w:type="dxa"/>
            <w:noWrap w:val="0"/>
            <w:vAlign w:val="center"/>
          </w:tcPr>
          <w:p w14:paraId="6683EB91">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说明</w:t>
            </w:r>
          </w:p>
        </w:tc>
      </w:tr>
      <w:tr w14:paraId="5D11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064BA7B0">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181" w:type="dxa"/>
            <w:noWrap w:val="0"/>
            <w:vAlign w:val="top"/>
          </w:tcPr>
          <w:p w14:paraId="5CA86D0E">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（示例）</w:t>
            </w:r>
          </w:p>
        </w:tc>
        <w:tc>
          <w:tcPr>
            <w:tcW w:w="2552" w:type="dxa"/>
            <w:noWrap w:val="0"/>
            <w:vAlign w:val="top"/>
          </w:tcPr>
          <w:p w14:paraId="3C14C26D">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招标人的资格声明</w:t>
            </w:r>
          </w:p>
        </w:tc>
        <w:tc>
          <w:tcPr>
            <w:tcW w:w="2551" w:type="dxa"/>
            <w:noWrap w:val="0"/>
            <w:vAlign w:val="top"/>
          </w:tcPr>
          <w:p w14:paraId="0D0B5488">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投标人的资格声明</w:t>
            </w:r>
          </w:p>
        </w:tc>
        <w:tc>
          <w:tcPr>
            <w:tcW w:w="1210" w:type="dxa"/>
            <w:noWrap w:val="0"/>
            <w:vAlign w:val="top"/>
          </w:tcPr>
          <w:p w14:paraId="3B9E7740">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无偏离</w:t>
            </w:r>
          </w:p>
        </w:tc>
      </w:tr>
      <w:tr w14:paraId="22F2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43345E7E">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181" w:type="dxa"/>
            <w:noWrap w:val="0"/>
            <w:vAlign w:val="center"/>
          </w:tcPr>
          <w:p w14:paraId="6D212FEF">
            <w:pPr>
              <w:adjustRightInd w:val="0"/>
              <w:snapToGrid w:val="0"/>
              <w:jc w:val="center"/>
              <w:rPr>
                <w:rFonts w:hint="eastAsia" w:asciiTheme="minorEastAsia" w:hAnsiTheme="minorEastAsia" w:eastAsiaTheme="minorEastAsia" w:cstheme="minorEastAsia"/>
                <w:color w:val="000000"/>
                <w:sz w:val="24"/>
                <w:szCs w:val="24"/>
              </w:rPr>
            </w:pPr>
          </w:p>
        </w:tc>
        <w:tc>
          <w:tcPr>
            <w:tcW w:w="2552" w:type="dxa"/>
            <w:noWrap w:val="0"/>
            <w:vAlign w:val="center"/>
          </w:tcPr>
          <w:p w14:paraId="0427A135">
            <w:pPr>
              <w:adjustRightInd w:val="0"/>
              <w:snapToGrid w:val="0"/>
              <w:jc w:val="center"/>
              <w:rPr>
                <w:rFonts w:hint="eastAsia" w:asciiTheme="minorEastAsia" w:hAnsiTheme="minorEastAsia" w:eastAsiaTheme="minorEastAsia" w:cstheme="minorEastAsia"/>
                <w:color w:val="000000"/>
                <w:sz w:val="24"/>
                <w:szCs w:val="24"/>
              </w:rPr>
            </w:pPr>
          </w:p>
        </w:tc>
        <w:tc>
          <w:tcPr>
            <w:tcW w:w="2551" w:type="dxa"/>
            <w:noWrap w:val="0"/>
            <w:vAlign w:val="center"/>
          </w:tcPr>
          <w:p w14:paraId="6B5587CF">
            <w:pPr>
              <w:adjustRightInd w:val="0"/>
              <w:snapToGrid w:val="0"/>
              <w:jc w:val="center"/>
              <w:rPr>
                <w:rFonts w:hint="eastAsia" w:asciiTheme="minorEastAsia" w:hAnsiTheme="minorEastAsia" w:eastAsiaTheme="minorEastAsia" w:cstheme="minorEastAsia"/>
                <w:color w:val="000000"/>
                <w:sz w:val="24"/>
                <w:szCs w:val="24"/>
              </w:rPr>
            </w:pPr>
          </w:p>
        </w:tc>
        <w:tc>
          <w:tcPr>
            <w:tcW w:w="1210" w:type="dxa"/>
            <w:noWrap w:val="0"/>
            <w:vAlign w:val="center"/>
          </w:tcPr>
          <w:p w14:paraId="634344E7">
            <w:pPr>
              <w:adjustRightInd w:val="0"/>
              <w:snapToGrid w:val="0"/>
              <w:jc w:val="center"/>
              <w:rPr>
                <w:rFonts w:hint="eastAsia" w:asciiTheme="minorEastAsia" w:hAnsiTheme="minorEastAsia" w:eastAsiaTheme="minorEastAsia" w:cstheme="minorEastAsia"/>
                <w:color w:val="000000"/>
                <w:sz w:val="24"/>
                <w:szCs w:val="24"/>
              </w:rPr>
            </w:pPr>
          </w:p>
        </w:tc>
      </w:tr>
      <w:tr w14:paraId="5C8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7517F8A1">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2181" w:type="dxa"/>
            <w:noWrap w:val="0"/>
            <w:vAlign w:val="center"/>
          </w:tcPr>
          <w:p w14:paraId="71EFB460">
            <w:pPr>
              <w:adjustRightInd w:val="0"/>
              <w:snapToGrid w:val="0"/>
              <w:jc w:val="center"/>
              <w:rPr>
                <w:rFonts w:hint="eastAsia" w:asciiTheme="minorEastAsia" w:hAnsiTheme="minorEastAsia" w:eastAsiaTheme="minorEastAsia" w:cstheme="minorEastAsia"/>
                <w:color w:val="000000"/>
                <w:sz w:val="24"/>
                <w:szCs w:val="24"/>
              </w:rPr>
            </w:pPr>
          </w:p>
        </w:tc>
        <w:tc>
          <w:tcPr>
            <w:tcW w:w="2552" w:type="dxa"/>
            <w:noWrap w:val="0"/>
            <w:vAlign w:val="center"/>
          </w:tcPr>
          <w:p w14:paraId="04BDCA92">
            <w:pPr>
              <w:adjustRightInd w:val="0"/>
              <w:snapToGrid w:val="0"/>
              <w:jc w:val="center"/>
              <w:rPr>
                <w:rFonts w:hint="eastAsia" w:asciiTheme="minorEastAsia" w:hAnsiTheme="minorEastAsia" w:eastAsiaTheme="minorEastAsia" w:cstheme="minorEastAsia"/>
                <w:color w:val="000000"/>
                <w:sz w:val="24"/>
                <w:szCs w:val="24"/>
              </w:rPr>
            </w:pPr>
          </w:p>
        </w:tc>
        <w:tc>
          <w:tcPr>
            <w:tcW w:w="2551" w:type="dxa"/>
            <w:noWrap w:val="0"/>
            <w:vAlign w:val="center"/>
          </w:tcPr>
          <w:p w14:paraId="383E562C">
            <w:pPr>
              <w:adjustRightInd w:val="0"/>
              <w:snapToGrid w:val="0"/>
              <w:jc w:val="center"/>
              <w:rPr>
                <w:rFonts w:hint="eastAsia" w:asciiTheme="minorEastAsia" w:hAnsiTheme="minorEastAsia" w:eastAsiaTheme="minorEastAsia" w:cstheme="minorEastAsia"/>
                <w:color w:val="000000"/>
                <w:sz w:val="24"/>
                <w:szCs w:val="24"/>
              </w:rPr>
            </w:pPr>
          </w:p>
        </w:tc>
        <w:tc>
          <w:tcPr>
            <w:tcW w:w="1210" w:type="dxa"/>
            <w:noWrap w:val="0"/>
            <w:vAlign w:val="center"/>
          </w:tcPr>
          <w:p w14:paraId="28146A7A">
            <w:pPr>
              <w:adjustRightInd w:val="0"/>
              <w:snapToGrid w:val="0"/>
              <w:jc w:val="center"/>
              <w:rPr>
                <w:rFonts w:hint="eastAsia" w:asciiTheme="minorEastAsia" w:hAnsiTheme="minorEastAsia" w:eastAsiaTheme="minorEastAsia" w:cstheme="minorEastAsia"/>
                <w:color w:val="000000"/>
                <w:sz w:val="24"/>
                <w:szCs w:val="24"/>
              </w:rPr>
            </w:pPr>
          </w:p>
        </w:tc>
      </w:tr>
    </w:tbl>
    <w:p w14:paraId="1E1ED9A3">
      <w:pPr>
        <w:adjustRightInd w:val="0"/>
        <w:snapToGrid w:val="0"/>
        <w:spacing w:line="360" w:lineRule="auto"/>
        <w:rPr>
          <w:rFonts w:hint="eastAsia" w:asciiTheme="minorEastAsia" w:hAnsiTheme="minorEastAsia" w:eastAsiaTheme="minorEastAsia" w:cstheme="minorEastAsia"/>
          <w:color w:val="000000"/>
          <w:sz w:val="24"/>
          <w:szCs w:val="24"/>
        </w:rPr>
      </w:pPr>
    </w:p>
    <w:p w14:paraId="29327554">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462F2B7F">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1、本项目商务条款至少包括：</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期、采购内容、投标保证金响应、投标文件有效期、履约保证金等，投标人必须按</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给定的条款填写，否则视为不响应招标。</w:t>
      </w:r>
    </w:p>
    <w:p w14:paraId="0A53735F">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608" w:name="_Toc632"/>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条目号指投标须知所对应项目名称。</w:t>
      </w:r>
      <w:bookmarkEnd w:id="608"/>
    </w:p>
    <w:p w14:paraId="3CB1D47E">
      <w:pPr>
        <w:adjustRightInd w:val="0"/>
        <w:snapToGrid w:val="0"/>
        <w:spacing w:before="100" w:beforeAutospacing="1" w:after="100" w:afterAutospacing="1"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1F4706DE">
      <w:pPr>
        <w:adjustRightInd w:val="0"/>
        <w:snapToGrid w:val="0"/>
        <w:spacing w:line="360" w:lineRule="auto"/>
        <w:outlineLvl w:val="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bookmarkStart w:id="609" w:name="_Toc5383"/>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bookmarkEnd w:id="609"/>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317B008C">
      <w:pPr>
        <w:adjustRightInd w:val="0"/>
        <w:snapToGrid w:val="0"/>
        <w:spacing w:line="360" w:lineRule="auto"/>
        <w:rPr>
          <w:rFonts w:hint="eastAsia" w:asciiTheme="minorEastAsia" w:hAnsiTheme="minorEastAsia" w:eastAsiaTheme="minorEastAsia" w:cstheme="minorEastAsia"/>
          <w:color w:val="000000"/>
          <w:sz w:val="24"/>
          <w:szCs w:val="24"/>
        </w:rPr>
      </w:pPr>
    </w:p>
    <w:p w14:paraId="2BC41776">
      <w:pPr>
        <w:adjustRightInd w:val="0"/>
        <w:snapToGrid w:val="0"/>
        <w:spacing w:line="360" w:lineRule="auto"/>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E5C54CE">
      <w:pPr>
        <w:pStyle w:val="9"/>
        <w:numPr>
          <w:ilvl w:val="0"/>
          <w:numId w:val="12"/>
        </w:numPr>
        <w:overflowPunct w:val="0"/>
        <w:snapToGrid w:val="0"/>
        <w:spacing w:line="360" w:lineRule="auto"/>
        <w:ind w:left="0" w:leftChars="0" w:firstLine="0" w:firstLineChars="0"/>
        <w:jc w:val="center"/>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2CFD4DC6">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2A2794EA">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651896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3D3FF594">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067D089E">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7357286">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5E08FAA0">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677187F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70CEBCB">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563F73E9">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附件十四</w:t>
      </w:r>
    </w:p>
    <w:p w14:paraId="21FBC886">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投标人反商业贿赂承诺书</w:t>
      </w:r>
    </w:p>
    <w:p w14:paraId="7F8AF1AA">
      <w:pPr>
        <w:autoSpaceDE w:val="0"/>
        <w:autoSpaceDN w:val="0"/>
        <w:adjustRightInd w:val="0"/>
        <w:spacing w:line="480" w:lineRule="auto"/>
        <w:ind w:firstLine="600" w:firstLineChars="2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我公司承诺在</w:t>
      </w:r>
      <w:r>
        <w:rPr>
          <w:rFonts w:hint="eastAsia" w:asciiTheme="minorEastAsia" w:hAnsiTheme="minorEastAsia" w:eastAsiaTheme="minorEastAsia" w:cstheme="minorEastAsia"/>
          <w:bCs/>
          <w:color w:val="00000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4897E67C">
      <w:pPr>
        <w:autoSpaceDE w:val="0"/>
        <w:autoSpaceDN w:val="0"/>
        <w:adjustRightInd w:val="0"/>
        <w:spacing w:line="360" w:lineRule="auto"/>
        <w:ind w:firstLine="600" w:firstLineChars="250"/>
        <w:rPr>
          <w:rFonts w:hint="eastAsia" w:asciiTheme="minorEastAsia" w:hAnsiTheme="minorEastAsia" w:eastAsiaTheme="minorEastAsia" w:cstheme="minorEastAsia"/>
          <w:bCs/>
          <w:color w:val="000000"/>
          <w:sz w:val="24"/>
          <w:szCs w:val="24"/>
          <w:lang w:val="zh-CN"/>
        </w:rPr>
      </w:pPr>
      <w:r>
        <w:rPr>
          <w:rFonts w:hint="eastAsia" w:asciiTheme="minorEastAsia" w:hAnsiTheme="minorEastAsia" w:eastAsiaTheme="minorEastAsia" w:cstheme="minorEastAsia"/>
          <w:color w:val="000000"/>
          <w:kern w:val="0"/>
          <w:sz w:val="24"/>
          <w:szCs w:val="24"/>
          <w:lang w:val="zh-CN"/>
        </w:rPr>
        <w:t xml:space="preserve"> </w:t>
      </w:r>
    </w:p>
    <w:p w14:paraId="059865BC">
      <w:pPr>
        <w:spacing w:before="100" w:beforeAutospacing="1" w:after="100" w:afterAutospacing="1"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54A87440">
      <w:pPr>
        <w:spacing w:before="100" w:beforeAutospacing="1" w:after="100" w:afterAutospacing="1" w:line="360" w:lineRule="auto"/>
        <w:ind w:firstLine="480" w:firstLineChars="200"/>
        <w:rPr>
          <w:rFonts w:hint="eastAsia" w:asciiTheme="minorEastAsia" w:hAnsiTheme="minorEastAsia" w:eastAsiaTheme="minorEastAsia" w:cstheme="minorEastAsia"/>
          <w:color w:val="000000"/>
          <w:sz w:val="24"/>
          <w:szCs w:val="24"/>
          <w:u w:val="single"/>
        </w:rPr>
      </w:pPr>
    </w:p>
    <w:p w14:paraId="38FBFAFE">
      <w:pPr>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29A9BBCB">
      <w:pPr>
        <w:spacing w:line="360" w:lineRule="auto"/>
        <w:ind w:firstLine="240" w:firstLineChars="100"/>
        <w:rPr>
          <w:rFonts w:hint="eastAsia" w:asciiTheme="minorEastAsia" w:hAnsiTheme="minorEastAsia" w:eastAsiaTheme="minorEastAsia" w:cstheme="minorEastAsia"/>
          <w:color w:val="000000"/>
          <w:sz w:val="24"/>
          <w:szCs w:val="24"/>
          <w:lang w:val="zh-CN"/>
        </w:rPr>
      </w:pPr>
    </w:p>
    <w:p w14:paraId="0A1019EE">
      <w:pPr>
        <w:spacing w:before="100" w:beforeAutospacing="1" w:after="100" w:afterAutospacing="1" w:line="360" w:lineRule="auto"/>
        <w:ind w:firstLine="465"/>
        <w:rPr>
          <w:rFonts w:hint="eastAsia" w:asciiTheme="minorEastAsia" w:hAnsiTheme="minorEastAsia" w:eastAsiaTheme="minorEastAsia" w:cstheme="minorEastAsia"/>
          <w:color w:val="000000"/>
          <w:sz w:val="24"/>
          <w:szCs w:val="24"/>
          <w:lang w:val="zh-CN"/>
        </w:rPr>
      </w:pPr>
    </w:p>
    <w:p w14:paraId="06AAA284">
      <w:pPr>
        <w:spacing w:before="100" w:beforeAutospacing="1" w:after="100" w:afterAutospacing="1" w:line="360" w:lineRule="auto"/>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 xml:space="preserve"> </w:t>
      </w:r>
      <w:r>
        <w:rPr>
          <w:rFonts w:hint="eastAsia" w:asciiTheme="minorEastAsia" w:hAnsiTheme="minorEastAsia" w:eastAsiaTheme="minorEastAsia" w:cstheme="minorEastAsia"/>
          <w:color w:val="000000"/>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A2833F0">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2363577">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F84B4BF">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B058536">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7CA6AB8C">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17259A4F">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7BC6AE85">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0D9E23A">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D13AC64">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D0D043E">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r>
        <w:rPr>
          <w:rFonts w:hint="eastAsia" w:asciiTheme="minorEastAsia" w:hAnsiTheme="minorEastAsia" w:eastAsiaTheme="minorEastAsia" w:cstheme="minorEastAsia"/>
          <w:b/>
          <w:bCs w:val="0"/>
          <w:color w:val="auto"/>
          <w:kern w:val="2"/>
          <w:sz w:val="28"/>
          <w:szCs w:val="24"/>
          <w:highlight w:val="none"/>
          <w:lang w:val="en-US" w:eastAsia="zh-CN" w:bidi="ar-SA"/>
        </w:rPr>
        <w:t>附件十五</w:t>
      </w:r>
    </w:p>
    <w:p w14:paraId="0775031D">
      <w:pPr>
        <w:spacing w:line="640" w:lineRule="exact"/>
        <w:ind w:firstLine="569" w:firstLineChars="177"/>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val="0"/>
          <w:color w:val="auto"/>
          <w:kern w:val="2"/>
          <w:sz w:val="32"/>
          <w:szCs w:val="28"/>
          <w:highlight w:val="none"/>
          <w:lang w:val="en-US" w:eastAsia="zh-CN" w:bidi="ar-SA"/>
        </w:rPr>
        <w:t>无围标、串标等违法违规行为承诺书</w:t>
      </w:r>
    </w:p>
    <w:p w14:paraId="19A22687">
      <w:pPr>
        <w:spacing w:line="640" w:lineRule="exact"/>
        <w:jc w:val="left"/>
        <w:rPr>
          <w:rFonts w:hint="eastAsia" w:asciiTheme="minorEastAsia" w:hAnsiTheme="minorEastAsia" w:eastAsiaTheme="minorEastAsia" w:cstheme="minorEastAsia"/>
          <w:sz w:val="24"/>
          <w:szCs w:val="24"/>
        </w:rPr>
      </w:pPr>
    </w:p>
    <w:p w14:paraId="60F5A2DF">
      <w:pPr>
        <w:spacing w:line="6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本人作为</w:t>
      </w:r>
      <w:r>
        <w:rPr>
          <w:rFonts w:hint="eastAsia" w:asciiTheme="minorEastAsia" w:hAnsiTheme="minorEastAsia" w:eastAsiaTheme="minorEastAsia" w:cstheme="minorEastAsia"/>
          <w:sz w:val="24"/>
          <w:szCs w:val="24"/>
          <w:u w:val="single"/>
        </w:rPr>
        <w:t xml:space="preserve">（单位名称）                    </w:t>
      </w:r>
      <w:r>
        <w:rPr>
          <w:rFonts w:hint="eastAsia" w:asciiTheme="minorEastAsia" w:hAnsiTheme="minorEastAsia" w:eastAsiaTheme="minorEastAsia" w:cstheme="minorEastAsia"/>
          <w:sz w:val="24"/>
          <w:szCs w:val="24"/>
        </w:rPr>
        <w:t>的法人，清楚知晓我公司本项目投标活动，对以下事项作出承诺：</w:t>
      </w:r>
    </w:p>
    <w:p w14:paraId="73312AE0">
      <w:pPr>
        <w:spacing w:line="6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一、我单位遵循公开、公平、公正、诚实守信的原则，依法依规参与本项目竞标。</w:t>
      </w:r>
    </w:p>
    <w:p w14:paraId="25FD7959">
      <w:pPr>
        <w:spacing w:line="640" w:lineRule="exact"/>
        <w:ind w:firstLine="480" w:firstLineChars="200"/>
        <w:outlineLvl w:val="1"/>
        <w:rPr>
          <w:rFonts w:hint="eastAsia" w:asciiTheme="minorEastAsia" w:hAnsiTheme="minorEastAsia" w:eastAsiaTheme="minorEastAsia" w:cstheme="minorEastAsia"/>
          <w:sz w:val="24"/>
          <w:szCs w:val="24"/>
        </w:rPr>
      </w:pPr>
      <w:bookmarkStart w:id="610" w:name="_Toc3592"/>
      <w:r>
        <w:rPr>
          <w:rFonts w:hint="eastAsia" w:asciiTheme="minorEastAsia" w:hAnsiTheme="minorEastAsia" w:eastAsiaTheme="minorEastAsia" w:cstheme="minorEastAsia"/>
          <w:sz w:val="24"/>
          <w:szCs w:val="24"/>
        </w:rPr>
        <w:t>二、我单位在本项目招标投标活动中，未参与围标串标。</w:t>
      </w:r>
      <w:bookmarkEnd w:id="610"/>
    </w:p>
    <w:p w14:paraId="7494412A">
      <w:pPr>
        <w:spacing w:line="64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三、我单位如被查实在本项目招标投标活动中存在围标串标的，递交投标文件行为作为实施串通投标违法行为的关键环节，本人承担直接责任人员法律责任，接受相应行政处罚和失信惩戒。</w:t>
      </w:r>
    </w:p>
    <w:p w14:paraId="33276293">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58E83778">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60928E33">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3CC52DCA">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eastAsia="zh-CN"/>
        </w:rPr>
        <w:t>定代表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签字或盖章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22D42E79">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6E12C22">
      <w:pPr>
        <w:spacing w:line="640" w:lineRule="exact"/>
        <w:jc w:val="left"/>
        <w:rPr>
          <w:rFonts w:hint="eastAsia" w:asciiTheme="minorEastAsia" w:hAnsiTheme="minorEastAsia" w:eastAsiaTheme="minorEastAsia" w:cstheme="minorEastAsia"/>
          <w:sz w:val="24"/>
          <w:szCs w:val="24"/>
        </w:rPr>
      </w:pPr>
    </w:p>
    <w:p w14:paraId="629DE57E">
      <w:pPr>
        <w:spacing w:line="640" w:lineRule="exact"/>
        <w:ind w:firstLine="4080" w:firstLineChars="17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9B7B9D8">
      <w:pPr>
        <w:pStyle w:val="9"/>
        <w:numPr>
          <w:ilvl w:val="0"/>
          <w:numId w:val="0"/>
        </w:numPr>
        <w:overflowPunct w:val="0"/>
        <w:snapToGrid w:val="0"/>
        <w:spacing w:line="360" w:lineRule="auto"/>
        <w:ind w:leftChars="0"/>
        <w:jc w:val="right"/>
        <w:rPr>
          <w:rFonts w:hint="eastAsia" w:asciiTheme="minorEastAsia" w:hAnsiTheme="minorEastAsia" w:eastAsiaTheme="minorEastAsia" w:cstheme="minorEastAsia"/>
          <w:b/>
          <w:bCs w:val="0"/>
          <w:color w:val="auto"/>
          <w:kern w:val="2"/>
          <w:sz w:val="24"/>
          <w:szCs w:val="24"/>
          <w:highlight w:val="yellow"/>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98D640F">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43608964">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bookmarkStart w:id="611" w:name="_Toc28072"/>
    </w:p>
    <w:p w14:paraId="5474FA60">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0F7777E">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691C6853">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19CC265B">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r>
        <w:rPr>
          <w:rFonts w:hint="eastAsia" w:asciiTheme="minorEastAsia" w:hAnsiTheme="minorEastAsia" w:eastAsiaTheme="minorEastAsia" w:cstheme="minorEastAsia"/>
          <w:b/>
          <w:bCs w:val="0"/>
          <w:color w:val="auto"/>
          <w:kern w:val="2"/>
          <w:sz w:val="28"/>
          <w:szCs w:val="24"/>
          <w:highlight w:val="none"/>
          <w:lang w:val="en-US" w:eastAsia="zh-CN" w:bidi="ar-SA"/>
        </w:rPr>
        <w:t>附件十</w:t>
      </w:r>
      <w:bookmarkEnd w:id="611"/>
      <w:r>
        <w:rPr>
          <w:rFonts w:hint="eastAsia" w:asciiTheme="minorEastAsia" w:hAnsiTheme="minorEastAsia" w:eastAsiaTheme="minorEastAsia" w:cstheme="minorEastAsia"/>
          <w:b/>
          <w:bCs w:val="0"/>
          <w:color w:val="auto"/>
          <w:kern w:val="2"/>
          <w:sz w:val="28"/>
          <w:szCs w:val="24"/>
          <w:highlight w:val="none"/>
          <w:lang w:val="en-US" w:eastAsia="zh-CN" w:bidi="ar-SA"/>
        </w:rPr>
        <w:t>六</w:t>
      </w:r>
    </w:p>
    <w:p w14:paraId="07ADD5A9">
      <w:pPr>
        <w:pStyle w:val="22"/>
        <w:numPr>
          <w:ilvl w:val="0"/>
          <w:numId w:val="0"/>
        </w:numPr>
        <w:spacing w:before="120" w:line="360" w:lineRule="auto"/>
        <w:jc w:val="center"/>
        <w:rPr>
          <w:rFonts w:hint="eastAsia" w:asciiTheme="minorEastAsia" w:hAnsiTheme="minorEastAsia" w:eastAsiaTheme="minorEastAsia" w:cstheme="minorEastAsia"/>
          <w:b/>
          <w:bCs w:val="0"/>
          <w:color w:val="auto"/>
          <w:kern w:val="2"/>
          <w:sz w:val="32"/>
          <w:szCs w:val="28"/>
          <w:highlight w:val="none"/>
          <w:lang w:val="en-US" w:eastAsia="zh-CN" w:bidi="ar-SA"/>
        </w:rPr>
      </w:pPr>
      <w:r>
        <w:rPr>
          <w:rFonts w:hint="eastAsia" w:asciiTheme="minorEastAsia" w:hAnsiTheme="minorEastAsia" w:eastAsiaTheme="minorEastAsia" w:cstheme="minorEastAsia"/>
          <w:b/>
          <w:bCs w:val="0"/>
          <w:color w:val="auto"/>
          <w:kern w:val="2"/>
          <w:sz w:val="32"/>
          <w:szCs w:val="28"/>
          <w:highlight w:val="none"/>
          <w:lang w:val="en-US" w:eastAsia="zh-CN" w:bidi="ar-SA"/>
        </w:rPr>
        <w:t>中小企业声明函、监狱企业、残疾人福利性单位及其他相关的充分的证明材料</w:t>
      </w:r>
    </w:p>
    <w:p w14:paraId="762C852E">
      <w:pPr>
        <w:spacing w:before="240" w:beforeLines="100" w:after="240" w:afterLines="100"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bCs/>
          <w:color w:val="000000"/>
          <w:sz w:val="36"/>
          <w:szCs w:val="36"/>
        </w:rPr>
        <w:t>中小企业声明函（货物）格式</w:t>
      </w:r>
    </w:p>
    <w:p w14:paraId="09111E33">
      <w:pPr>
        <w:spacing w:line="360" w:lineRule="auto"/>
        <w:ind w:left="244" w:leftChars="116" w:firstLine="630" w:firstLineChars="2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EBA33A6">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行业；制造商为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w:t>
      </w:r>
      <w:r>
        <w:rPr>
          <w:rFonts w:hint="eastAsia" w:asciiTheme="minorEastAsia" w:hAnsiTheme="minorEastAsia" w:eastAsiaTheme="minorEastAsia" w:cstheme="minorEastAsia"/>
          <w:spacing w:val="6"/>
          <w:sz w:val="24"/>
          <w:szCs w:val="24"/>
          <w:vertAlign w:val="superscript"/>
        </w:rPr>
        <w:t>1</w:t>
      </w:r>
      <w:r>
        <w:rPr>
          <w:rFonts w:hint="eastAsia" w:asciiTheme="minorEastAsia" w:hAnsiTheme="minorEastAsia" w:eastAsiaTheme="minorEastAsia" w:cstheme="minorEastAsia"/>
          <w:spacing w:val="6"/>
          <w:sz w:val="24"/>
          <w:szCs w:val="24"/>
        </w:rPr>
        <w:t>，属于（中型企业、小型企业、微型企业）；</w:t>
      </w:r>
    </w:p>
    <w:p w14:paraId="1CCC172B">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行业；制造商为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，从业人员______人，营业收入为______万元，资产总额为______万元，属于</w:t>
      </w:r>
      <w:r>
        <w:rPr>
          <w:rFonts w:hint="eastAsia" w:asciiTheme="minorEastAsia" w:hAnsiTheme="minorEastAsia" w:eastAsiaTheme="minorEastAsia" w:cstheme="minorEastAsia"/>
          <w:spacing w:val="6"/>
          <w:sz w:val="24"/>
          <w:szCs w:val="24"/>
          <w:u w:val="single"/>
        </w:rPr>
        <w:t>（中型企业、小型企业、微型企业）</w:t>
      </w:r>
      <w:r>
        <w:rPr>
          <w:rFonts w:hint="eastAsia" w:asciiTheme="minorEastAsia" w:hAnsiTheme="minorEastAsia" w:eastAsiaTheme="minorEastAsia" w:cstheme="minorEastAsia"/>
          <w:spacing w:val="6"/>
          <w:sz w:val="24"/>
          <w:szCs w:val="24"/>
        </w:rPr>
        <w:t>；</w:t>
      </w:r>
    </w:p>
    <w:p w14:paraId="4B934ED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w:t>
      </w:r>
    </w:p>
    <w:p w14:paraId="04F3DED7">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以上企业，不属于大企业的分支机构，不存在控股股东为大企业的情形，也不存在与大企业的负责人为同一人的情形。</w:t>
      </w:r>
    </w:p>
    <w:p w14:paraId="49A13142">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本企业对上述声明内容的真实性负责。如有虚假，将依法承担相应责任。</w:t>
      </w:r>
    </w:p>
    <w:p w14:paraId="3E2F2AC4">
      <w:pPr>
        <w:spacing w:line="360" w:lineRule="auto"/>
        <w:ind w:firstLine="504"/>
        <w:rPr>
          <w:rFonts w:hint="eastAsia" w:asciiTheme="minorEastAsia" w:hAnsiTheme="minorEastAsia" w:eastAsiaTheme="minorEastAsia" w:cstheme="minorEastAsia"/>
          <w:spacing w:val="6"/>
          <w:sz w:val="24"/>
          <w:szCs w:val="24"/>
        </w:rPr>
      </w:pPr>
    </w:p>
    <w:p w14:paraId="4A7989D0">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企业名称（盖章）：________</w:t>
      </w:r>
    </w:p>
    <w:p w14:paraId="31E88F5C">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w:t>
      </w:r>
    </w:p>
    <w:p w14:paraId="52DB8AC4">
      <w:pPr>
        <w:spacing w:line="360" w:lineRule="auto"/>
        <w:ind w:right="360" w:firstLine="480"/>
        <w:jc w:val="right"/>
        <w:rPr>
          <w:rFonts w:hint="eastAsia" w:asciiTheme="minorEastAsia" w:hAnsiTheme="minorEastAsia" w:eastAsiaTheme="minorEastAsia" w:cstheme="minorEastAsia"/>
          <w:color w:val="000000"/>
          <w:sz w:val="24"/>
          <w:szCs w:val="24"/>
        </w:rPr>
      </w:pPr>
    </w:p>
    <w:p w14:paraId="0E8954A3">
      <w:pPr>
        <w:spacing w:line="360" w:lineRule="auto"/>
        <w:ind w:right="360" w:firstLine="480"/>
        <w:jc w:val="right"/>
        <w:rPr>
          <w:rFonts w:hint="eastAsia" w:asciiTheme="minorEastAsia" w:hAnsiTheme="minorEastAsia" w:eastAsiaTheme="minorEastAsia" w:cstheme="minorEastAsia"/>
          <w:color w:val="000000"/>
          <w:sz w:val="24"/>
          <w:szCs w:val="24"/>
        </w:rPr>
      </w:pPr>
    </w:p>
    <w:tbl>
      <w:tblPr>
        <w:tblStyle w:val="3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F5261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3616B3F">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vertAlign w:val="superscript"/>
              </w:rPr>
              <w:t>1</w:t>
            </w:r>
            <w:r>
              <w:rPr>
                <w:rFonts w:hint="eastAsia" w:asciiTheme="minorEastAsia" w:hAnsiTheme="minorEastAsia" w:eastAsiaTheme="minorEastAsia" w:cstheme="minorEastAsia"/>
                <w:color w:val="000000"/>
                <w:sz w:val="24"/>
                <w:szCs w:val="24"/>
              </w:rPr>
              <w:t>从业人员、营业收入、资产总额填报上一年度数据，无上一年度数据的新成立企业可不填报。</w:t>
            </w:r>
          </w:p>
        </w:tc>
      </w:tr>
    </w:tbl>
    <w:p w14:paraId="5227243A">
      <w:pPr>
        <w:autoSpaceDE w:val="0"/>
        <w:autoSpaceDN w:val="0"/>
        <w:adjustRightInd w:val="0"/>
        <w:ind w:firstLine="420"/>
        <w:jc w:val="left"/>
        <w:rPr>
          <w:rFonts w:hint="eastAsia" w:asciiTheme="minorEastAsia" w:hAnsiTheme="minorEastAsia" w:eastAsiaTheme="minorEastAsia" w:cstheme="minorEastAsia"/>
          <w:sz w:val="24"/>
        </w:rPr>
      </w:pPr>
    </w:p>
    <w:p w14:paraId="007CC76B">
      <w:pPr>
        <w:pStyle w:val="8"/>
        <w:rPr>
          <w:rFonts w:hint="eastAsia" w:asciiTheme="minorEastAsia" w:hAnsiTheme="minorEastAsia" w:eastAsiaTheme="minorEastAsia" w:cstheme="minorEastAsia"/>
        </w:rPr>
      </w:pPr>
    </w:p>
    <w:p w14:paraId="01825EA0">
      <w:pPr>
        <w:spacing w:before="240" w:beforeLines="100" w:after="240" w:afterLines="100"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中小企业声明函（工程、服务）格式</w:t>
      </w:r>
    </w:p>
    <w:p w14:paraId="7DFC11BB">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FF9E0D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行业；承建（承接）企业为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w:t>
      </w:r>
      <w:r>
        <w:rPr>
          <w:rFonts w:hint="eastAsia" w:asciiTheme="minorEastAsia" w:hAnsiTheme="minorEastAsia" w:eastAsiaTheme="minorEastAsia" w:cstheme="minorEastAsia"/>
          <w:spacing w:val="6"/>
          <w:sz w:val="24"/>
          <w:szCs w:val="24"/>
          <w:vertAlign w:val="superscript"/>
        </w:rPr>
        <w:t>1</w:t>
      </w:r>
      <w:r>
        <w:rPr>
          <w:rFonts w:hint="eastAsia" w:asciiTheme="minorEastAsia" w:hAnsiTheme="minorEastAsia" w:eastAsiaTheme="minorEastAsia" w:cstheme="minorEastAsia"/>
          <w:spacing w:val="6"/>
          <w:sz w:val="24"/>
          <w:szCs w:val="24"/>
        </w:rPr>
        <w:t>，属于（中型企业、小型企业、微型企业）；</w:t>
      </w:r>
    </w:p>
    <w:p w14:paraId="685CDB82">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行业；承建（承接）企业为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，从业人员______人，营业收入为______万元，资产总额为______万元，属于</w:t>
      </w:r>
      <w:r>
        <w:rPr>
          <w:rFonts w:hint="eastAsia" w:asciiTheme="minorEastAsia" w:hAnsiTheme="minorEastAsia" w:eastAsiaTheme="minorEastAsia" w:cstheme="minorEastAsia"/>
          <w:spacing w:val="6"/>
          <w:sz w:val="24"/>
          <w:szCs w:val="24"/>
          <w:u w:val="single"/>
        </w:rPr>
        <w:t>（中型企业、小型企业、微型企业）</w:t>
      </w:r>
      <w:r>
        <w:rPr>
          <w:rFonts w:hint="eastAsia" w:asciiTheme="minorEastAsia" w:hAnsiTheme="minorEastAsia" w:eastAsiaTheme="minorEastAsia" w:cstheme="minorEastAsia"/>
          <w:spacing w:val="6"/>
          <w:sz w:val="24"/>
          <w:szCs w:val="24"/>
        </w:rPr>
        <w:t>；</w:t>
      </w:r>
    </w:p>
    <w:p w14:paraId="1EE50E58">
      <w:pPr>
        <w:spacing w:line="360" w:lineRule="auto"/>
        <w:ind w:firstLine="504"/>
        <w:rPr>
          <w:rFonts w:hint="eastAsia" w:asciiTheme="minorEastAsia" w:hAnsiTheme="minorEastAsia" w:eastAsiaTheme="minorEastAsia" w:cstheme="minorEastAsia"/>
          <w:spacing w:val="6"/>
          <w:sz w:val="24"/>
          <w:szCs w:val="24"/>
        </w:rPr>
      </w:pPr>
    </w:p>
    <w:p w14:paraId="3A416591">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w:t>
      </w:r>
    </w:p>
    <w:p w14:paraId="5E8BAF9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以上企业，不属于大企业的分支机构，不存在控股股东为大企业的情形，也不存在与大企业的负责人为同一人的情形。</w:t>
      </w:r>
    </w:p>
    <w:p w14:paraId="47C1DCEE">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本企业对上述声明内容的真实性负责。如有虚假，将依法承担相应责任。</w:t>
      </w:r>
    </w:p>
    <w:p w14:paraId="76439411">
      <w:pPr>
        <w:spacing w:line="360" w:lineRule="auto"/>
        <w:ind w:right="360" w:firstLine="480"/>
        <w:jc w:val="right"/>
        <w:rPr>
          <w:rFonts w:hint="eastAsia" w:asciiTheme="minorEastAsia" w:hAnsiTheme="minorEastAsia" w:eastAsiaTheme="minorEastAsia" w:cstheme="minorEastAsia"/>
          <w:color w:val="000000"/>
          <w:sz w:val="24"/>
          <w:szCs w:val="24"/>
        </w:rPr>
      </w:pPr>
    </w:p>
    <w:p w14:paraId="330203E9">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企业名称（盖章）：________</w:t>
      </w:r>
    </w:p>
    <w:p w14:paraId="2D6253A1">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w:t>
      </w:r>
    </w:p>
    <w:p w14:paraId="140FCE93">
      <w:pPr>
        <w:adjustRightInd w:val="0"/>
        <w:snapToGrid w:val="0"/>
        <w:jc w:val="left"/>
        <w:rPr>
          <w:rFonts w:hint="eastAsia" w:asciiTheme="minorEastAsia" w:hAnsiTheme="minorEastAsia" w:eastAsiaTheme="minorEastAsia" w:cstheme="minorEastAsia"/>
          <w:color w:val="000000"/>
          <w:sz w:val="24"/>
          <w:szCs w:val="24"/>
        </w:rPr>
      </w:pPr>
    </w:p>
    <w:p w14:paraId="3504233E">
      <w:pPr>
        <w:adjustRightInd w:val="0"/>
        <w:snapToGrid w:val="0"/>
        <w:jc w:val="left"/>
        <w:rPr>
          <w:rFonts w:hint="eastAsia" w:asciiTheme="minorEastAsia" w:hAnsiTheme="minorEastAsia" w:eastAsiaTheme="minorEastAsia" w:cstheme="minorEastAsia"/>
          <w:color w:val="000000"/>
          <w:sz w:val="24"/>
          <w:szCs w:val="24"/>
        </w:rPr>
      </w:pPr>
    </w:p>
    <w:tbl>
      <w:tblPr>
        <w:tblStyle w:val="3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8AA2C8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87A356A">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vertAlign w:val="superscript"/>
              </w:rPr>
              <w:t>1</w:t>
            </w:r>
            <w:r>
              <w:rPr>
                <w:rFonts w:hint="eastAsia" w:asciiTheme="minorEastAsia" w:hAnsiTheme="minorEastAsia" w:eastAsiaTheme="minorEastAsia" w:cstheme="minorEastAsia"/>
                <w:color w:val="000000"/>
                <w:sz w:val="24"/>
                <w:szCs w:val="24"/>
              </w:rPr>
              <w:t>从业人员、营业收入、资产总额填报上一年度数据，无上一年度数据的新成立企业可不填报。</w:t>
            </w:r>
          </w:p>
        </w:tc>
      </w:tr>
    </w:tbl>
    <w:p w14:paraId="35E78526">
      <w:pPr>
        <w:spacing w:line="360" w:lineRule="auto"/>
        <w:rPr>
          <w:rFonts w:hint="eastAsia" w:asciiTheme="minorEastAsia" w:hAnsiTheme="minorEastAsia" w:eastAsiaTheme="minorEastAsia" w:cstheme="minorEastAsia"/>
          <w:color w:val="000000"/>
          <w:sz w:val="24"/>
          <w:szCs w:val="24"/>
        </w:rPr>
      </w:pPr>
    </w:p>
    <w:p w14:paraId="3B7D285A">
      <w:pPr>
        <w:pStyle w:val="28"/>
        <w:tabs>
          <w:tab w:val="left" w:pos="9214"/>
        </w:tabs>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4"/>
        </w:rPr>
        <w:br w:type="page"/>
      </w:r>
    </w:p>
    <w:p w14:paraId="480B598F">
      <w:pPr>
        <w:snapToGrid w:val="0"/>
        <w:spacing w:line="360" w:lineRule="auto"/>
        <w:ind w:left="0" w:leftChars="0" w:firstLine="0" w:firstLineChars="0"/>
        <w:jc w:val="center"/>
        <w:rPr>
          <w:rStyle w:val="61"/>
          <w:rFonts w:hint="eastAsia" w:asciiTheme="minorEastAsia" w:hAnsiTheme="minorEastAsia" w:eastAsiaTheme="minorEastAsia" w:cstheme="minorEastAsia"/>
          <w:bCs w:val="0"/>
          <w:color w:val="auto"/>
          <w:kern w:val="2"/>
          <w:sz w:val="28"/>
          <w:szCs w:val="28"/>
          <w:lang w:val="en-US" w:eastAsia="zh-CN" w:bidi="ar-SA"/>
        </w:rPr>
      </w:pPr>
      <w:r>
        <w:rPr>
          <w:rStyle w:val="61"/>
          <w:rFonts w:hint="eastAsia" w:asciiTheme="minorEastAsia" w:hAnsiTheme="minorEastAsia" w:eastAsiaTheme="minorEastAsia" w:cstheme="minorEastAsia"/>
          <w:bCs w:val="0"/>
          <w:color w:val="auto"/>
          <w:kern w:val="2"/>
          <w:sz w:val="28"/>
          <w:szCs w:val="28"/>
          <w:lang w:val="en-US" w:eastAsia="zh-CN" w:bidi="ar-SA"/>
        </w:rPr>
        <w:t>监狱企业声明函</w:t>
      </w:r>
    </w:p>
    <w:p w14:paraId="2CD4EC0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【不属于监狱企业的无需填写、递交】</w:t>
      </w:r>
    </w:p>
    <w:p w14:paraId="08AD780F">
      <w:pPr>
        <w:widowControl/>
        <w:shd w:val="clear" w:color="auto" w:fill="auto"/>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本单位郑重声明，本单位在参加</w:t>
      </w:r>
      <w:r>
        <w:rPr>
          <w:rFonts w:hint="eastAsia" w:asciiTheme="minorEastAsia" w:hAnsiTheme="minorEastAsia" w:eastAsiaTheme="minorEastAsia" w:cstheme="minorEastAsia"/>
          <w:color w:val="auto"/>
          <w:kern w:val="0"/>
          <w:sz w:val="24"/>
          <w:szCs w:val="24"/>
          <w:highlight w:val="none"/>
          <w:u w:val="single"/>
        </w:rPr>
        <w:t>（采购人名称）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u w:val="single"/>
        </w:rPr>
        <w:t>（招标项目名称）</w:t>
      </w:r>
      <w:r>
        <w:rPr>
          <w:rFonts w:hint="eastAsia" w:asciiTheme="minorEastAsia" w:hAnsiTheme="minorEastAsia" w:eastAsiaTheme="minorEastAsia" w:cstheme="minorEastAsia"/>
          <w:color w:val="auto"/>
          <w:kern w:val="0"/>
          <w:sz w:val="24"/>
          <w:szCs w:val="24"/>
          <w:highlight w:val="none"/>
        </w:rPr>
        <w:t>项目采购活动提供以下监狱企业制造的货物（或监狱企业承担的工程、或监狱企业承接的服务），具体情况如下：（按照实际情况勾选或填空）</w:t>
      </w:r>
    </w:p>
    <w:p w14:paraId="17612926">
      <w:pPr>
        <w:widowControl/>
        <w:shd w:val="clear" w:color="auto" w:fill="auto"/>
        <w:adjustRightInd w:val="0"/>
        <w:snapToGri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属于监狱企业，后附省级以上监狱管理局、戒毒管理局（含新疆生产建设兵团）出具的属于监狱企业的证明文件。</w:t>
      </w:r>
    </w:p>
    <w:p w14:paraId="2D657AC4">
      <w:pPr>
        <w:widowControl/>
        <w:shd w:val="clear" w:color="auto" w:fill="auto"/>
        <w:adjustRightInd w:val="0"/>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。后附省级以上监狱管理局、戒毒管理局（含新疆生产建设兵团）出具的属于监狱企业的证明文件。</w:t>
      </w:r>
    </w:p>
    <w:p w14:paraId="6B66069B">
      <w:pPr>
        <w:widowControl/>
        <w:shd w:val="clear" w:color="auto" w:fill="auto"/>
        <w:adjustRightInd w:val="0"/>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。后附省级以上监狱管理局、戒毒管理局（含新疆生产建设兵团）出具的属于监狱企业的证明文件。</w:t>
      </w:r>
    </w:p>
    <w:p w14:paraId="55315FC4">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本单位对上述声明的真实性负责。如有虚假，将依法承担相应责任。</w:t>
      </w:r>
    </w:p>
    <w:p w14:paraId="73188D17">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p w14:paraId="2CE945A7">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p>
    <w:p w14:paraId="38413199">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p>
    <w:p w14:paraId="34916559">
      <w:pPr>
        <w:shd w:val="clear" w:color="auto" w:fill="auto"/>
        <w:adjustRightInd w:val="0"/>
        <w:snapToGrid w:val="0"/>
        <w:spacing w:line="360" w:lineRule="auto"/>
        <w:ind w:hanging="54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　</w:t>
      </w:r>
    </w:p>
    <w:p w14:paraId="32A8EE01">
      <w:pPr>
        <w:shd w:val="clear" w:color="auto" w:fill="auto"/>
        <w:adjustRightInd w:val="0"/>
        <w:snapToGrid w:val="0"/>
        <w:spacing w:line="360" w:lineRule="auto"/>
        <w:ind w:firstLine="5280" w:firstLineChars="2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单位名称（盖章）：</w:t>
      </w:r>
    </w:p>
    <w:p w14:paraId="7404A18B">
      <w:pPr>
        <w:widowControl/>
        <w:shd w:val="clear" w:color="auto" w:fill="auto"/>
        <w:adjustRightInd w:val="0"/>
        <w:snapToGrid w:val="0"/>
        <w:spacing w:line="360" w:lineRule="auto"/>
        <w:ind w:firstLine="5280" w:firstLineChars="2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  期：</w:t>
      </w:r>
    </w:p>
    <w:p w14:paraId="08ABAA79">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083DED4E">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13A29714">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3C3DD0FC">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46850AFB">
      <w:pPr>
        <w:pStyle w:val="29"/>
        <w:rPr>
          <w:rFonts w:hint="eastAsia" w:asciiTheme="minorEastAsia" w:hAnsiTheme="minorEastAsia" w:eastAsiaTheme="minorEastAsia" w:cstheme="minorEastAsia"/>
          <w:color w:val="auto"/>
          <w:kern w:val="0"/>
          <w:sz w:val="24"/>
          <w:szCs w:val="20"/>
          <w:lang w:val="en-US" w:eastAsia="zh-CN" w:bidi="ar-SA"/>
        </w:rPr>
      </w:pPr>
    </w:p>
    <w:p w14:paraId="3F19CC6E">
      <w:pPr>
        <w:rPr>
          <w:rFonts w:hint="eastAsia" w:asciiTheme="minorEastAsia" w:hAnsiTheme="minorEastAsia" w:eastAsiaTheme="minorEastAsia" w:cstheme="minorEastAsia"/>
          <w:color w:val="auto"/>
          <w:kern w:val="0"/>
          <w:sz w:val="24"/>
          <w:szCs w:val="20"/>
          <w:lang w:val="en-US" w:eastAsia="zh-CN" w:bidi="ar-SA"/>
        </w:rPr>
      </w:pPr>
    </w:p>
    <w:p w14:paraId="09D855C1">
      <w:pPr>
        <w:pStyle w:val="29"/>
        <w:rPr>
          <w:rFonts w:hint="eastAsia" w:asciiTheme="minorEastAsia" w:hAnsiTheme="minorEastAsia" w:eastAsiaTheme="minorEastAsia" w:cstheme="minorEastAsia"/>
          <w:color w:val="auto"/>
          <w:kern w:val="0"/>
          <w:sz w:val="24"/>
          <w:szCs w:val="20"/>
          <w:lang w:val="en-US" w:eastAsia="zh-CN" w:bidi="ar-SA"/>
        </w:rPr>
      </w:pPr>
    </w:p>
    <w:p w14:paraId="4C3CD695">
      <w:pPr>
        <w:rPr>
          <w:rFonts w:hint="eastAsia" w:asciiTheme="minorEastAsia" w:hAnsiTheme="minorEastAsia" w:eastAsiaTheme="minorEastAsia" w:cstheme="minorEastAsia"/>
          <w:color w:val="auto"/>
          <w:kern w:val="0"/>
          <w:sz w:val="24"/>
          <w:szCs w:val="20"/>
          <w:lang w:val="en-US" w:eastAsia="zh-CN" w:bidi="ar-SA"/>
        </w:rPr>
      </w:pPr>
    </w:p>
    <w:p w14:paraId="0B47CD1D">
      <w:pPr>
        <w:pStyle w:val="29"/>
        <w:rPr>
          <w:rFonts w:hint="eastAsia" w:asciiTheme="minorEastAsia" w:hAnsiTheme="minorEastAsia" w:eastAsiaTheme="minorEastAsia" w:cstheme="minorEastAsia"/>
          <w:color w:val="auto"/>
          <w:kern w:val="0"/>
          <w:sz w:val="24"/>
          <w:szCs w:val="20"/>
          <w:lang w:val="en-US" w:eastAsia="zh-CN" w:bidi="ar-SA"/>
        </w:rPr>
      </w:pPr>
    </w:p>
    <w:p w14:paraId="5C101E05">
      <w:pPr>
        <w:rPr>
          <w:rFonts w:hint="eastAsia"/>
          <w:lang w:val="en-US" w:eastAsia="zh-CN"/>
        </w:rPr>
      </w:pPr>
    </w:p>
    <w:p w14:paraId="19040CD2">
      <w:pPr>
        <w:snapToGrid w:val="0"/>
        <w:spacing w:line="360" w:lineRule="auto"/>
        <w:ind w:left="0" w:leftChars="0" w:firstLine="0" w:firstLineChars="0"/>
        <w:jc w:val="both"/>
        <w:rPr>
          <w:rFonts w:hint="eastAsia" w:asciiTheme="minorEastAsia" w:hAnsiTheme="minorEastAsia" w:eastAsiaTheme="minorEastAsia" w:cstheme="minorEastAsia"/>
          <w:b/>
          <w:color w:val="auto"/>
          <w:spacing w:val="6"/>
          <w:highlight w:val="none"/>
        </w:rPr>
      </w:pPr>
    </w:p>
    <w:p w14:paraId="1E14329E">
      <w:pPr>
        <w:snapToGrid w:val="0"/>
        <w:spacing w:line="360" w:lineRule="auto"/>
        <w:jc w:val="center"/>
        <w:rPr>
          <w:rStyle w:val="61"/>
          <w:rFonts w:hint="eastAsia" w:asciiTheme="minorEastAsia" w:hAnsiTheme="minorEastAsia" w:eastAsiaTheme="minorEastAsia" w:cstheme="minorEastAsia"/>
          <w:bCs w:val="0"/>
          <w:color w:val="auto"/>
          <w:kern w:val="2"/>
          <w:sz w:val="28"/>
          <w:szCs w:val="28"/>
          <w:lang w:val="en-US" w:eastAsia="zh-CN" w:bidi="ar-SA"/>
        </w:rPr>
      </w:pPr>
      <w:r>
        <w:rPr>
          <w:rStyle w:val="61"/>
          <w:rFonts w:hint="eastAsia" w:asciiTheme="minorEastAsia" w:hAnsiTheme="minorEastAsia" w:eastAsiaTheme="minorEastAsia" w:cstheme="minorEastAsia"/>
          <w:bCs w:val="0"/>
          <w:color w:val="auto"/>
          <w:kern w:val="2"/>
          <w:sz w:val="28"/>
          <w:szCs w:val="28"/>
          <w:lang w:val="en-US" w:eastAsia="zh-CN" w:bidi="ar-SA"/>
        </w:rPr>
        <w:t>残疾人福利性单位声明函</w:t>
      </w:r>
    </w:p>
    <w:p w14:paraId="349A3113">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D9784">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本单位对上述声明的真实性负责。如有虚假，将依法承担相应责任。</w:t>
      </w:r>
    </w:p>
    <w:p w14:paraId="41C1BCF5">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062533C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590A091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单位名称（盖章）：</w:t>
      </w:r>
    </w:p>
    <w:p w14:paraId="77DFC48B">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日  期：</w:t>
      </w:r>
    </w:p>
    <w:p w14:paraId="0F838BE1">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6BEA5653">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扶持政策说明：</w:t>
      </w:r>
    </w:p>
    <w:p w14:paraId="50A3AB3F">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4B167D7B">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2、监狱企业视同小微企业，参加本项目投标的，享受小微企业同等的价格扣除。【注：提供《监狱企业声明函》及其相关的充分的证明材料】。</w:t>
      </w:r>
    </w:p>
    <w:p w14:paraId="52DA5416">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sz w:val="24"/>
          <w:szCs w:val="24"/>
          <w:lang w:val="en-US" w:eastAsia="zh-CN"/>
        </w:rPr>
        <w:t>3、残疾人福利性单位参加投标【提供《残疾人福利性单位声明函》】，视为小型、微型企业，享受小微企业政策扶持。</w:t>
      </w:r>
    </w:p>
    <w:p w14:paraId="4F6BCB6C">
      <w:pPr>
        <w:numPr>
          <w:ilvl w:val="0"/>
          <w:numId w:val="0"/>
        </w:numPr>
        <w:spacing w:line="588" w:lineRule="exact"/>
        <w:jc w:val="center"/>
        <w:rPr>
          <w:rFonts w:hint="eastAsia" w:asciiTheme="minorEastAsia" w:hAnsiTheme="minorEastAsia" w:eastAsiaTheme="minorEastAsia" w:cstheme="minorEastAsia"/>
          <w:b/>
          <w:color w:val="auto"/>
          <w:spacing w:val="6"/>
          <w:kern w:val="2"/>
          <w:sz w:val="24"/>
          <w:szCs w:val="24"/>
          <w:lang w:val="en-US" w:eastAsia="zh-CN" w:bidi="ar-SA"/>
        </w:rPr>
      </w:pPr>
    </w:p>
    <w:p w14:paraId="5790D9FC">
      <w:pPr>
        <w:numPr>
          <w:ilvl w:val="0"/>
          <w:numId w:val="0"/>
        </w:numPr>
        <w:spacing w:line="588" w:lineRule="exact"/>
        <w:jc w:val="center"/>
        <w:rPr>
          <w:rFonts w:hint="eastAsia" w:asciiTheme="minorEastAsia" w:hAnsiTheme="minorEastAsia" w:eastAsiaTheme="minorEastAsia" w:cstheme="minorEastAsia"/>
          <w:b/>
          <w:color w:val="auto"/>
          <w:spacing w:val="6"/>
          <w:kern w:val="2"/>
          <w:sz w:val="24"/>
          <w:szCs w:val="24"/>
          <w:lang w:val="en-US" w:eastAsia="zh-CN" w:bidi="ar-SA"/>
        </w:rPr>
      </w:pPr>
    </w:p>
    <w:p w14:paraId="39C61C38">
      <w:pPr>
        <w:numPr>
          <w:ilvl w:val="0"/>
          <w:numId w:val="0"/>
        </w:numPr>
        <w:spacing w:line="588" w:lineRule="exact"/>
        <w:jc w:val="center"/>
        <w:rPr>
          <w:rFonts w:hint="eastAsia" w:asciiTheme="minorEastAsia" w:hAnsiTheme="minorEastAsia" w:eastAsiaTheme="minorEastAsia" w:cstheme="minorEastAsia"/>
          <w:b/>
          <w:color w:val="auto"/>
          <w:spacing w:val="6"/>
          <w:kern w:val="2"/>
          <w:sz w:val="28"/>
          <w:szCs w:val="28"/>
          <w:lang w:val="en-US" w:eastAsia="zh-CN" w:bidi="ar-SA"/>
        </w:rPr>
      </w:pPr>
    </w:p>
    <w:p w14:paraId="701A5EDB">
      <w:pPr>
        <w:numPr>
          <w:ilvl w:val="0"/>
          <w:numId w:val="0"/>
        </w:numPr>
        <w:spacing w:line="588" w:lineRule="exact"/>
        <w:jc w:val="center"/>
        <w:rPr>
          <w:rFonts w:hint="eastAsia" w:asciiTheme="minorEastAsia" w:hAnsiTheme="minorEastAsia" w:eastAsiaTheme="minorEastAsia" w:cstheme="minorEastAsia"/>
          <w:b/>
          <w:color w:val="auto"/>
          <w:spacing w:val="6"/>
          <w:kern w:val="2"/>
          <w:sz w:val="28"/>
          <w:szCs w:val="28"/>
          <w:lang w:val="en-US" w:eastAsia="zh-CN" w:bidi="ar-SA"/>
        </w:rPr>
      </w:pPr>
    </w:p>
    <w:p w14:paraId="162E380D">
      <w:pPr>
        <w:numPr>
          <w:ilvl w:val="0"/>
          <w:numId w:val="0"/>
        </w:numPr>
        <w:spacing w:line="588"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color w:val="auto"/>
          <w:spacing w:val="6"/>
          <w:kern w:val="2"/>
          <w:sz w:val="28"/>
          <w:szCs w:val="28"/>
          <w:lang w:val="en-US" w:eastAsia="zh-CN" w:bidi="ar-SA"/>
        </w:rPr>
        <w:t>节能、环保产品证明（如有）</w:t>
      </w:r>
    </w:p>
    <w:p w14:paraId="6DA7535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采购人名称 </w:t>
      </w:r>
      <w:r>
        <w:rPr>
          <w:rFonts w:hint="eastAsia" w:asciiTheme="minorEastAsia" w:hAnsiTheme="minorEastAsia" w:eastAsiaTheme="minorEastAsia" w:cstheme="minorEastAsia"/>
          <w:color w:val="auto"/>
          <w:sz w:val="24"/>
          <w:szCs w:val="24"/>
          <w:highlight w:val="none"/>
        </w:rPr>
        <w:t>：</w:t>
      </w:r>
    </w:p>
    <w:p w14:paraId="3E01A1D4">
      <w:pPr>
        <w:pStyle w:val="13"/>
        <w:rPr>
          <w:rFonts w:hint="eastAsia" w:asciiTheme="minorEastAsia" w:hAnsiTheme="minorEastAsia" w:eastAsiaTheme="minorEastAsia" w:cstheme="minorEastAsia"/>
          <w:sz w:val="24"/>
          <w:szCs w:val="24"/>
          <w:lang w:eastAsia="zh-CN"/>
        </w:rPr>
      </w:pPr>
    </w:p>
    <w:p w14:paraId="25B509A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现附上</w:t>
      </w:r>
      <w:r>
        <w:rPr>
          <w:rFonts w:hint="eastAsia" w:asciiTheme="minorEastAsia" w:hAnsiTheme="minorEastAsia" w:eastAsiaTheme="minorEastAsia" w:cstheme="minorEastAsia"/>
          <w:color w:val="auto"/>
          <w:sz w:val="24"/>
          <w:szCs w:val="24"/>
          <w:highlight w:val="none"/>
          <w:u w:val="single"/>
        </w:rPr>
        <w:t>  （节能、环保产品产品目录）    </w:t>
      </w:r>
      <w:r>
        <w:rPr>
          <w:rFonts w:hint="eastAsia" w:asciiTheme="minorEastAsia" w:hAnsiTheme="minorEastAsia" w:eastAsiaTheme="minorEastAsia" w:cstheme="minorEastAsia"/>
          <w:color w:val="auto"/>
          <w:sz w:val="24"/>
          <w:szCs w:val="24"/>
          <w:highlight w:val="none"/>
        </w:rPr>
        <w:t> 证明文件（可在 网站名称 网站进行查询）复印件，该证件真实有效。</w:t>
      </w:r>
    </w:p>
    <w:p w14:paraId="4160C619">
      <w:pPr>
        <w:pStyle w:val="13"/>
        <w:rPr>
          <w:rFonts w:hint="eastAsia" w:asciiTheme="minorEastAsia" w:hAnsiTheme="minorEastAsia" w:eastAsiaTheme="minorEastAsia" w:cstheme="minorEastAsia"/>
          <w:sz w:val="24"/>
          <w:szCs w:val="24"/>
          <w:lang w:eastAsia="zh-CN"/>
        </w:rPr>
      </w:pPr>
    </w:p>
    <w:p w14:paraId="1471B6DE">
      <w:pPr>
        <w:pStyle w:val="13"/>
        <w:rPr>
          <w:rFonts w:hint="eastAsia" w:asciiTheme="minorEastAsia" w:hAnsiTheme="minorEastAsia" w:eastAsiaTheme="minorEastAsia" w:cstheme="minorEastAsia"/>
          <w:sz w:val="24"/>
          <w:szCs w:val="24"/>
          <w:lang w:eastAsia="zh-CN"/>
        </w:rPr>
      </w:pPr>
    </w:p>
    <w:p w14:paraId="664B64C0">
      <w:pPr>
        <w:pStyle w:val="13"/>
        <w:rPr>
          <w:rFonts w:hint="eastAsia" w:asciiTheme="minorEastAsia" w:hAnsiTheme="minorEastAsia" w:eastAsiaTheme="minorEastAsia" w:cstheme="minorEastAsia"/>
          <w:sz w:val="24"/>
          <w:szCs w:val="24"/>
          <w:lang w:eastAsia="zh-CN"/>
        </w:rPr>
      </w:pPr>
    </w:p>
    <w:p w14:paraId="20AC02B7">
      <w:pPr>
        <w:pStyle w:val="13"/>
        <w:rPr>
          <w:rFonts w:hint="eastAsia" w:asciiTheme="minorEastAsia" w:hAnsiTheme="minorEastAsia" w:eastAsiaTheme="minorEastAsia" w:cstheme="minorEastAsia"/>
          <w:sz w:val="24"/>
          <w:szCs w:val="24"/>
          <w:lang w:eastAsia="zh-CN"/>
        </w:rPr>
      </w:pPr>
    </w:p>
    <w:p w14:paraId="1D2CD5D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5892C8B6">
      <w:pPr>
        <w:pStyle w:val="13"/>
        <w:rPr>
          <w:rFonts w:hint="eastAsia" w:asciiTheme="minorEastAsia" w:hAnsiTheme="minorEastAsia" w:eastAsiaTheme="minorEastAsia" w:cstheme="minorEastAsia"/>
          <w:sz w:val="24"/>
          <w:szCs w:val="24"/>
          <w:lang w:eastAsia="zh-CN"/>
        </w:rPr>
      </w:pPr>
    </w:p>
    <w:p w14:paraId="7050302F">
      <w:pPr>
        <w:pStyle w:val="13"/>
        <w:rPr>
          <w:rFonts w:hint="eastAsia" w:asciiTheme="minorEastAsia" w:hAnsiTheme="minorEastAsia" w:eastAsiaTheme="minorEastAsia" w:cstheme="minorEastAsia"/>
          <w:sz w:val="24"/>
          <w:szCs w:val="24"/>
          <w:lang w:eastAsia="zh-CN"/>
        </w:rPr>
      </w:pPr>
    </w:p>
    <w:p w14:paraId="568674DC">
      <w:pPr>
        <w:pStyle w:val="13"/>
        <w:rPr>
          <w:rFonts w:hint="eastAsia" w:asciiTheme="minorEastAsia" w:hAnsiTheme="minorEastAsia" w:eastAsiaTheme="minorEastAsia" w:cstheme="minorEastAsia"/>
          <w:sz w:val="24"/>
          <w:szCs w:val="24"/>
          <w:lang w:eastAsia="zh-CN"/>
        </w:rPr>
      </w:pPr>
    </w:p>
    <w:p w14:paraId="6ECA7FC8">
      <w:pPr>
        <w:pStyle w:val="13"/>
        <w:rPr>
          <w:rFonts w:hint="eastAsia" w:asciiTheme="minorEastAsia" w:hAnsiTheme="minorEastAsia" w:eastAsiaTheme="minorEastAsia" w:cstheme="minorEastAsia"/>
          <w:sz w:val="24"/>
          <w:szCs w:val="24"/>
          <w:lang w:eastAsia="zh-CN"/>
        </w:rPr>
      </w:pPr>
    </w:p>
    <w:p w14:paraId="0A197793">
      <w:pPr>
        <w:pStyle w:val="13"/>
        <w:rPr>
          <w:rFonts w:hint="eastAsia" w:asciiTheme="minorEastAsia" w:hAnsiTheme="minorEastAsia" w:eastAsiaTheme="minorEastAsia" w:cstheme="minorEastAsia"/>
          <w:sz w:val="24"/>
          <w:szCs w:val="24"/>
          <w:lang w:eastAsia="zh-CN"/>
        </w:rPr>
      </w:pPr>
    </w:p>
    <w:p w14:paraId="159FB522">
      <w:pPr>
        <w:pStyle w:val="13"/>
        <w:rPr>
          <w:rFonts w:hint="eastAsia" w:asciiTheme="minorEastAsia" w:hAnsiTheme="minorEastAsia" w:eastAsiaTheme="minorEastAsia" w:cstheme="minorEastAsia"/>
          <w:sz w:val="24"/>
          <w:szCs w:val="24"/>
          <w:lang w:eastAsia="zh-CN"/>
        </w:rPr>
      </w:pPr>
    </w:p>
    <w:p w14:paraId="1F59C52E">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投标人（加盖公章）：                         </w:t>
      </w:r>
    </w:p>
    <w:p w14:paraId="77D8FFE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w:t>
      </w:r>
    </w:p>
    <w:p w14:paraId="427F6A09">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投标人代表（签字）：                         </w:t>
      </w:r>
    </w:p>
    <w:p w14:paraId="1FE4FF2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w:t>
      </w:r>
    </w:p>
    <w:p w14:paraId="380BB87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日          期：    年   月  日</w:t>
      </w:r>
    </w:p>
    <w:p w14:paraId="5CB7DBF9">
      <w:pPr>
        <w:pStyle w:val="9"/>
        <w:numPr>
          <w:ilvl w:val="0"/>
          <w:numId w:val="0"/>
        </w:numPr>
        <w:overflowPunct w:val="0"/>
        <w:snapToGrid w:val="0"/>
        <w:spacing w:line="360" w:lineRule="auto"/>
        <w:jc w:val="right"/>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21D45EB8">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545DCF76">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7CC35CD5">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2AB52FE4">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641EA8ED">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2620C495">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3321E5E2">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747B99FC">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 虚假应标承担责任声明（统一格式）</w:t>
      </w:r>
    </w:p>
    <w:p w14:paraId="6AC12768">
      <w:pPr>
        <w:pStyle w:val="13"/>
        <w:shd w:val="clear" w:color="auto" w:fill="auto"/>
        <w:tabs>
          <w:tab w:val="left" w:pos="9214"/>
        </w:tabs>
        <w:spacing w:before="2"/>
        <w:ind w:left="0" w:leftChars="0" w:right="-92" w:rightChars="-44" w:firstLine="0" w:firstLineChars="0"/>
        <w:rPr>
          <w:rFonts w:hint="eastAsia" w:asciiTheme="minorEastAsia" w:hAnsiTheme="minorEastAsia" w:eastAsiaTheme="minorEastAsia" w:cstheme="minorEastAsia"/>
          <w:b/>
          <w:color w:val="auto"/>
          <w:sz w:val="21"/>
          <w:szCs w:val="21"/>
          <w:highlight w:val="none"/>
        </w:rPr>
      </w:pPr>
    </w:p>
    <w:p w14:paraId="5D84D09F">
      <w:pPr>
        <w:shd w:val="clear" w:color="auto" w:fill="auto"/>
        <w:ind w:right="-92" w:rightChars="-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采购人/采购代理机构</w:t>
      </w:r>
    </w:p>
    <w:p w14:paraId="6717BCD2">
      <w:pPr>
        <w:pStyle w:val="13"/>
        <w:shd w:val="clear" w:color="auto" w:fill="auto"/>
        <w:tabs>
          <w:tab w:val="left" w:pos="9214"/>
        </w:tabs>
        <w:spacing w:before="9"/>
        <w:ind w:right="-92" w:rightChars="-44"/>
        <w:rPr>
          <w:rFonts w:hint="eastAsia" w:asciiTheme="minorEastAsia" w:hAnsiTheme="minorEastAsia" w:eastAsiaTheme="minorEastAsia" w:cstheme="minorEastAsia"/>
          <w:b/>
          <w:color w:val="auto"/>
          <w:sz w:val="24"/>
          <w:szCs w:val="24"/>
          <w:highlight w:val="none"/>
        </w:rPr>
      </w:pPr>
    </w:p>
    <w:p w14:paraId="2D86AEDD">
      <w:pPr>
        <w:pStyle w:val="13"/>
        <w:shd w:val="clear" w:color="auto" w:fill="auto"/>
        <w:tabs>
          <w:tab w:val="left" w:pos="9214"/>
        </w:tabs>
        <w:spacing w:before="67" w:line="360" w:lineRule="auto"/>
        <w:ind w:right="-92" w:rightChars="-4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w:t>
      </w:r>
      <w:r>
        <w:rPr>
          <w:rFonts w:hint="eastAsia" w:asciiTheme="minorEastAsia" w:hAnsiTheme="minorEastAsia" w:eastAsiaTheme="minorEastAsia" w:cstheme="minorEastAsia"/>
          <w:color w:val="auto"/>
          <w:spacing w:val="-7"/>
          <w:sz w:val="24"/>
          <w:szCs w:val="24"/>
          <w:highlight w:val="none"/>
        </w:rPr>
        <w:t>承诺：</w:t>
      </w:r>
      <w:r>
        <w:rPr>
          <w:rFonts w:hint="eastAsia" w:asciiTheme="minorEastAsia" w:hAnsiTheme="minorEastAsia" w:eastAsiaTheme="minorEastAsia" w:cstheme="minorEastAsia"/>
          <w:color w:val="auto"/>
          <w:spacing w:val="-3"/>
          <w:sz w:val="24"/>
          <w:szCs w:val="24"/>
          <w:highlight w:val="none"/>
        </w:rPr>
        <w:t>所提供的投标文件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5"/>
          <w:sz w:val="24"/>
          <w:szCs w:val="24"/>
          <w:highlight w:val="none"/>
        </w:rPr>
        <w:t>包括一切技术资料、技术承诺、商务承诺等</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12"/>
          <w:sz w:val="24"/>
          <w:szCs w:val="24"/>
          <w:highlight w:val="none"/>
        </w:rPr>
        <w:t>均</w:t>
      </w:r>
      <w:r>
        <w:rPr>
          <w:rFonts w:hint="eastAsia" w:asciiTheme="minorEastAsia" w:hAnsiTheme="minorEastAsia" w:eastAsiaTheme="minorEastAsia" w:cstheme="minorEastAsia"/>
          <w:color w:val="auto"/>
          <w:spacing w:val="-6"/>
          <w:sz w:val="24"/>
          <w:szCs w:val="24"/>
          <w:highlight w:val="none"/>
        </w:rPr>
        <w:t>真实有效，若在项目招标过程中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6"/>
          <w:sz w:val="24"/>
          <w:szCs w:val="24"/>
          <w:highlight w:val="none"/>
        </w:rPr>
        <w:t>包括开评审、中标公示过程</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
          <w:sz w:val="24"/>
          <w:szCs w:val="24"/>
          <w:highlight w:val="none"/>
        </w:rPr>
        <w:t>及履行合同期间</w:t>
      </w:r>
      <w:r>
        <w:rPr>
          <w:rFonts w:hint="eastAsia" w:asciiTheme="minorEastAsia" w:hAnsiTheme="minorEastAsia" w:eastAsiaTheme="minorEastAsia" w:cstheme="minorEastAsia"/>
          <w:color w:val="auto"/>
          <w:sz w:val="24"/>
          <w:szCs w:val="24"/>
          <w:highlight w:val="none"/>
        </w:rPr>
        <w:t>（包括验收过程</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2"/>
          <w:sz w:val="24"/>
          <w:szCs w:val="24"/>
          <w:highlight w:val="none"/>
        </w:rPr>
        <w:t>发现我公司提供的货物</w:t>
      </w:r>
      <w:r>
        <w:rPr>
          <w:rFonts w:hint="eastAsia" w:asciiTheme="minorEastAsia" w:hAnsiTheme="minorEastAsia" w:eastAsiaTheme="minorEastAsia" w:cstheme="minorEastAsia"/>
          <w:color w:val="auto"/>
          <w:sz w:val="24"/>
          <w:szCs w:val="24"/>
          <w:highlight w:val="none"/>
        </w:rPr>
        <w:t>（或产品</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5"/>
          <w:sz w:val="24"/>
          <w:szCs w:val="24"/>
          <w:highlight w:val="none"/>
        </w:rPr>
        <w:t>与投标</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pacing w:val="-6"/>
          <w:sz w:val="24"/>
          <w:szCs w:val="24"/>
          <w:highlight w:val="none"/>
        </w:rPr>
        <w:t>不一致，或发现我</w:t>
      </w:r>
      <w:r>
        <w:rPr>
          <w:rFonts w:hint="eastAsia" w:asciiTheme="minorEastAsia" w:hAnsiTheme="minorEastAsia" w:eastAsiaTheme="minorEastAsia" w:cstheme="minorEastAsia"/>
          <w:color w:val="auto"/>
          <w:sz w:val="24"/>
          <w:szCs w:val="24"/>
          <w:highlight w:val="none"/>
        </w:rPr>
        <w:t>公司提供了不真实的投标文件（虚假材料</w:t>
      </w:r>
      <w:r>
        <w:rPr>
          <w:rFonts w:hint="eastAsia" w:asciiTheme="minorEastAsia" w:hAnsiTheme="minorEastAsia" w:eastAsiaTheme="minorEastAsia" w:cstheme="minorEastAsia"/>
          <w:color w:val="auto"/>
          <w:spacing w:val="-120"/>
          <w:sz w:val="24"/>
          <w:szCs w:val="24"/>
          <w:highlight w:val="none"/>
        </w:rPr>
        <w:t>）   ）</w:t>
      </w:r>
      <w:r>
        <w:rPr>
          <w:rFonts w:hint="eastAsia" w:asciiTheme="minorEastAsia" w:hAnsiTheme="minorEastAsia" w:eastAsiaTheme="minorEastAsia" w:cstheme="minorEastAsia"/>
          <w:color w:val="auto"/>
          <w:sz w:val="24"/>
          <w:szCs w:val="24"/>
          <w:highlight w:val="none"/>
        </w:rPr>
        <w:t>），我公司愿意承担一切法律责任并认可采购人或采购代理机构作出的取消中标资格、罚没保证金等决定。</w:t>
      </w:r>
    </w:p>
    <w:p w14:paraId="285590E1">
      <w:pPr>
        <w:pStyle w:val="13"/>
        <w:shd w:val="clear" w:color="auto" w:fill="auto"/>
        <w:tabs>
          <w:tab w:val="left" w:pos="9214"/>
        </w:tabs>
        <w:spacing w:line="360" w:lineRule="auto"/>
        <w:ind w:right="-92" w:rightChars="-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440CCEF4">
      <w:pPr>
        <w:pStyle w:val="13"/>
        <w:shd w:val="clear" w:color="auto" w:fill="auto"/>
        <w:tabs>
          <w:tab w:val="left" w:pos="9214"/>
        </w:tabs>
        <w:spacing w:line="360" w:lineRule="auto"/>
        <w:ind w:right="-92" w:rightChars="-44"/>
        <w:rPr>
          <w:rFonts w:hint="eastAsia" w:asciiTheme="minorEastAsia" w:hAnsiTheme="minorEastAsia" w:eastAsiaTheme="minorEastAsia" w:cstheme="minorEastAsia"/>
          <w:color w:val="auto"/>
          <w:sz w:val="24"/>
          <w:szCs w:val="24"/>
          <w:highlight w:val="none"/>
        </w:rPr>
      </w:pPr>
    </w:p>
    <w:p w14:paraId="18BAC95D">
      <w:pPr>
        <w:pStyle w:val="13"/>
        <w:shd w:val="clear" w:color="auto" w:fill="auto"/>
        <w:tabs>
          <w:tab w:val="left" w:pos="9214"/>
        </w:tabs>
        <w:ind w:right="-92" w:rightChars="-44"/>
        <w:rPr>
          <w:rFonts w:hint="eastAsia" w:asciiTheme="minorEastAsia" w:hAnsiTheme="minorEastAsia" w:eastAsiaTheme="minorEastAsia" w:cstheme="minorEastAsia"/>
          <w:color w:val="auto"/>
          <w:sz w:val="24"/>
          <w:szCs w:val="24"/>
          <w:highlight w:val="none"/>
        </w:rPr>
      </w:pPr>
    </w:p>
    <w:p w14:paraId="440C6BE9">
      <w:pPr>
        <w:pStyle w:val="13"/>
        <w:shd w:val="clear" w:color="auto" w:fill="auto"/>
        <w:tabs>
          <w:tab w:val="left" w:pos="9214"/>
        </w:tabs>
        <w:ind w:right="-92" w:rightChars="-44"/>
        <w:rPr>
          <w:rFonts w:hint="eastAsia" w:asciiTheme="minorEastAsia" w:hAnsiTheme="minorEastAsia" w:eastAsiaTheme="minorEastAsia" w:cstheme="minorEastAsia"/>
          <w:color w:val="auto"/>
          <w:sz w:val="24"/>
          <w:szCs w:val="24"/>
          <w:highlight w:val="none"/>
        </w:rPr>
      </w:pPr>
    </w:p>
    <w:p w14:paraId="5C652A1F">
      <w:pPr>
        <w:pStyle w:val="13"/>
        <w:shd w:val="clear" w:color="auto" w:fill="auto"/>
        <w:tabs>
          <w:tab w:val="left" w:pos="4736"/>
          <w:tab w:val="left" w:pos="9214"/>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62F27240">
      <w:pPr>
        <w:pStyle w:val="13"/>
        <w:shd w:val="clear" w:color="auto" w:fill="auto"/>
        <w:tabs>
          <w:tab w:val="left" w:pos="5521"/>
          <w:tab w:val="left" w:pos="6366"/>
          <w:tab w:val="left" w:pos="9062"/>
          <w:tab w:val="left" w:pos="9214"/>
        </w:tabs>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投标人授权代表(签字或签章)：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6DB0C9DD">
      <w:pPr>
        <w:pStyle w:val="13"/>
        <w:shd w:val="clear" w:color="auto" w:fill="auto"/>
        <w:tabs>
          <w:tab w:val="left" w:pos="5521"/>
          <w:tab w:val="left" w:pos="6366"/>
          <w:tab w:val="left" w:pos="9062"/>
          <w:tab w:val="left" w:pos="9214"/>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5B845905">
      <w:pPr>
        <w:pStyle w:val="13"/>
        <w:shd w:val="clear" w:color="auto" w:fill="auto"/>
        <w:tabs>
          <w:tab w:val="left" w:pos="9214"/>
        </w:tabs>
        <w:spacing w:line="360" w:lineRule="auto"/>
        <w:rPr>
          <w:rFonts w:hint="eastAsia" w:asciiTheme="minorEastAsia" w:hAnsiTheme="minorEastAsia" w:eastAsiaTheme="minorEastAsia" w:cstheme="minorEastAsia"/>
          <w:color w:val="auto"/>
          <w:highlight w:val="none"/>
        </w:rPr>
      </w:pPr>
    </w:p>
    <w:p w14:paraId="37D02E4F">
      <w:pPr>
        <w:pStyle w:val="13"/>
        <w:shd w:val="clear" w:color="auto" w:fill="auto"/>
        <w:tabs>
          <w:tab w:val="left" w:pos="9214"/>
        </w:tabs>
        <w:spacing w:line="360" w:lineRule="auto"/>
        <w:rPr>
          <w:rFonts w:hint="eastAsia" w:asciiTheme="minorEastAsia" w:hAnsiTheme="minorEastAsia" w:eastAsiaTheme="minorEastAsia" w:cstheme="minorEastAsia"/>
          <w:color w:val="auto"/>
          <w:highlight w:val="none"/>
        </w:rPr>
      </w:pPr>
    </w:p>
    <w:p w14:paraId="13F1B791">
      <w:pPr>
        <w:pStyle w:val="13"/>
        <w:shd w:val="clear" w:color="auto" w:fill="auto"/>
        <w:tabs>
          <w:tab w:val="left" w:pos="1560"/>
          <w:tab w:val="left" w:pos="2040"/>
          <w:tab w:val="left" w:pos="9214"/>
        </w:tabs>
        <w:spacing w:before="66"/>
        <w:ind w:right="-92" w:rightChars="-44"/>
        <w:rPr>
          <w:rFonts w:hint="eastAsia" w:asciiTheme="minorEastAsia" w:hAnsiTheme="minorEastAsia" w:eastAsiaTheme="minorEastAsia" w:cstheme="minorEastAsia"/>
          <w:color w:val="auto"/>
          <w:sz w:val="21"/>
          <w:szCs w:val="21"/>
          <w:highlight w:val="none"/>
        </w:rPr>
      </w:pPr>
    </w:p>
    <w:p w14:paraId="5A7A5663">
      <w:pPr>
        <w:pStyle w:val="62"/>
        <w:shd w:val="clear" w:color="auto" w:fill="auto"/>
        <w:spacing w:line="360" w:lineRule="auto"/>
        <w:ind w:right="-92" w:rightChars="-44"/>
        <w:jc w:val="both"/>
        <w:rPr>
          <w:rFonts w:hint="eastAsia" w:asciiTheme="minorEastAsia" w:hAnsiTheme="minorEastAsia" w:eastAsiaTheme="minorEastAsia" w:cstheme="minorEastAsia"/>
          <w:b/>
          <w:color w:val="auto"/>
          <w:sz w:val="24"/>
          <w:szCs w:val="24"/>
          <w:highlight w:val="none"/>
        </w:rPr>
        <w:sectPr>
          <w:type w:val="continuous"/>
          <w:pgSz w:w="11905" w:h="16838"/>
          <w:pgMar w:top="1304" w:right="964" w:bottom="1020" w:left="1191" w:header="567" w:footer="454" w:gutter="0"/>
          <w:pgNumType w:fmt="decimal"/>
          <w:cols w:space="720" w:num="1"/>
          <w:rtlGutter w:val="0"/>
          <w:docGrid w:type="lines" w:linePitch="317" w:charSpace="0"/>
        </w:sectPr>
      </w:pPr>
    </w:p>
    <w:p w14:paraId="089658E2">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bookmarkStart w:id="612" w:name="_Toc480942355"/>
      <w:bookmarkStart w:id="613" w:name="_Ref467988543"/>
      <w:bookmarkStart w:id="614" w:name="_Toc216582819"/>
      <w:bookmarkStart w:id="615" w:name="_Toc520356224"/>
      <w:bookmarkStart w:id="616" w:name="_Toc9592"/>
      <w:bookmarkStart w:id="617" w:name="_Toc20238"/>
      <w:bookmarkStart w:id="618" w:name="_Toc507399535"/>
      <w:bookmarkStart w:id="619" w:name="_Toc115436133"/>
      <w:bookmarkStart w:id="620" w:name="_Toc32489"/>
      <w:bookmarkStart w:id="621" w:name="_Toc114589541"/>
    </w:p>
    <w:p w14:paraId="48C4AF2E">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0A1B7DD0">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6B65A4D9">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28978570">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3DA42308">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131B6B65">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74E6D992">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08C8BE61">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413492FB">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附件9  关于对本投标文件中资料真实性的承诺</w:t>
      </w:r>
      <w:bookmarkEnd w:id="612"/>
      <w:bookmarkEnd w:id="613"/>
      <w:bookmarkEnd w:id="614"/>
      <w:bookmarkEnd w:id="615"/>
      <w:bookmarkStart w:id="622" w:name="_Hlt520274407"/>
      <w:bookmarkEnd w:id="622"/>
      <w:bookmarkStart w:id="623" w:name="_Hlt520274911"/>
      <w:bookmarkEnd w:id="623"/>
      <w:bookmarkStart w:id="624" w:name="_Hlt520273711"/>
      <w:bookmarkEnd w:id="624"/>
      <w:bookmarkStart w:id="625" w:name="_Hlt520343000"/>
      <w:bookmarkEnd w:id="625"/>
      <w:bookmarkStart w:id="626" w:name="_Hlt520350918"/>
      <w:bookmarkEnd w:id="626"/>
      <w:bookmarkStart w:id="627" w:name="_Hlt520343392"/>
      <w:bookmarkEnd w:id="627"/>
      <w:bookmarkStart w:id="628" w:name="_Hlt520274065"/>
      <w:bookmarkEnd w:id="628"/>
      <w:bookmarkStart w:id="629" w:name="_Hlt520274393"/>
      <w:bookmarkEnd w:id="629"/>
      <w:bookmarkStart w:id="630" w:name="_Hlt520271212"/>
      <w:bookmarkEnd w:id="630"/>
      <w:bookmarkStart w:id="631" w:name="_Hlt520350957"/>
      <w:bookmarkEnd w:id="631"/>
      <w:bookmarkStart w:id="632" w:name="_Hlt520273973"/>
      <w:bookmarkEnd w:id="632"/>
      <w:bookmarkStart w:id="633" w:name="_Toc216582821"/>
      <w:bookmarkStart w:id="634" w:name="_Toc216513801"/>
      <w:r>
        <w:rPr>
          <w:rFonts w:hint="eastAsia" w:asciiTheme="minorEastAsia" w:hAnsiTheme="minorEastAsia" w:eastAsiaTheme="minorEastAsia" w:cstheme="minorEastAsia"/>
          <w:b/>
          <w:color w:val="auto"/>
          <w:sz w:val="24"/>
          <w:szCs w:val="24"/>
          <w:highlight w:val="none"/>
        </w:rPr>
        <w:t>书</w:t>
      </w:r>
      <w:bookmarkEnd w:id="616"/>
      <w:bookmarkEnd w:id="617"/>
      <w:bookmarkEnd w:id="618"/>
      <w:bookmarkEnd w:id="619"/>
      <w:bookmarkEnd w:id="620"/>
      <w:bookmarkEnd w:id="621"/>
    </w:p>
    <w:p w14:paraId="5FD88463">
      <w:pPr>
        <w:shd w:val="clear" w:color="auto" w:fill="auto"/>
        <w:spacing w:line="240" w:lineRule="atLeast"/>
        <w:ind w:left="1080" w:leftChars="257" w:hanging="540"/>
        <w:rPr>
          <w:rFonts w:hint="eastAsia" w:asciiTheme="minorEastAsia" w:hAnsiTheme="minorEastAsia" w:eastAsiaTheme="minorEastAsia" w:cstheme="minorEastAsia"/>
          <w:b/>
          <w:color w:val="auto"/>
          <w:sz w:val="24"/>
          <w:szCs w:val="24"/>
          <w:highlight w:val="none"/>
        </w:rPr>
      </w:pPr>
    </w:p>
    <w:bookmarkEnd w:id="633"/>
    <w:bookmarkEnd w:id="634"/>
    <w:p w14:paraId="52429B97">
      <w:pPr>
        <w:shd w:val="clear" w:color="auto" w:fill="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关于对本投标文件中资料真实性的承诺</w:t>
      </w:r>
    </w:p>
    <w:p w14:paraId="442E9159">
      <w:pPr>
        <w:shd w:val="clear" w:color="auto" w:fill="auto"/>
        <w:rPr>
          <w:rFonts w:hint="eastAsia" w:asciiTheme="minorEastAsia" w:hAnsiTheme="minorEastAsia" w:eastAsiaTheme="minorEastAsia" w:cstheme="minorEastAsia"/>
          <w:b/>
          <w:color w:val="auto"/>
          <w:kern w:val="0"/>
          <w:sz w:val="24"/>
          <w:szCs w:val="24"/>
          <w:highlight w:val="none"/>
        </w:rPr>
      </w:pPr>
    </w:p>
    <w:p w14:paraId="61F51FE7">
      <w:pPr>
        <w:shd w:val="clear" w:color="auto" w:fill="auto"/>
        <w:spacing w:line="360" w:lineRule="auto"/>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至：</w:t>
      </w:r>
      <w:r>
        <w:rPr>
          <w:rFonts w:hint="eastAsia" w:asciiTheme="minorEastAsia" w:hAnsiTheme="minorEastAsia" w:eastAsiaTheme="minorEastAsia" w:cstheme="minorEastAsia"/>
          <w:b/>
          <w:color w:val="auto"/>
          <w:kern w:val="0"/>
          <w:sz w:val="24"/>
          <w:szCs w:val="24"/>
          <w:highlight w:val="none"/>
          <w:u w:val="single"/>
        </w:rPr>
        <w:t xml:space="preserve"> （项目、包段名称）评标委员会  </w:t>
      </w:r>
    </w:p>
    <w:p w14:paraId="26B18160">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根据《中华人民共和国政府采购法》、《中华人民共和国政府采购法实施条例》等有关法律、法规的规定和</w:t>
      </w:r>
      <w:r>
        <w:rPr>
          <w:rFonts w:hint="eastAsia" w:asciiTheme="minorEastAsia" w:hAnsiTheme="minorEastAsia" w:eastAsiaTheme="minorEastAsia" w:cstheme="minorEastAsia"/>
          <w:color w:val="auto"/>
          <w:kern w:val="0"/>
          <w:sz w:val="24"/>
          <w:szCs w:val="24"/>
          <w:highlight w:val="none"/>
          <w:u w:val="single"/>
        </w:rPr>
        <w:t>        （项目、包段名称）         </w:t>
      </w:r>
      <w:r>
        <w:rPr>
          <w:rFonts w:hint="eastAsia" w:asciiTheme="minorEastAsia" w:hAnsiTheme="minorEastAsia" w:eastAsiaTheme="minorEastAsia" w:cstheme="minorEastAsia"/>
          <w:color w:val="auto"/>
          <w:kern w:val="0"/>
          <w:sz w:val="24"/>
          <w:szCs w:val="24"/>
          <w:highlight w:val="none"/>
        </w:rPr>
        <w:t>的招标文件的要求，我公司在</w:t>
      </w:r>
      <w:r>
        <w:rPr>
          <w:rFonts w:hint="eastAsia" w:asciiTheme="minorEastAsia" w:hAnsiTheme="minorEastAsia" w:eastAsiaTheme="minorEastAsia" w:cstheme="minorEastAsia"/>
          <w:color w:val="auto"/>
          <w:kern w:val="0"/>
          <w:sz w:val="24"/>
          <w:szCs w:val="24"/>
          <w:highlight w:val="none"/>
          <w:u w:val="single"/>
        </w:rPr>
        <w:t>   （项目、包段名称）   </w:t>
      </w:r>
      <w:r>
        <w:rPr>
          <w:rFonts w:hint="eastAsia" w:asciiTheme="minorEastAsia" w:hAnsiTheme="minorEastAsia" w:eastAsiaTheme="minorEastAsia" w:cstheme="minorEastAsia"/>
          <w:color w:val="auto"/>
          <w:kern w:val="0"/>
          <w:sz w:val="24"/>
          <w:szCs w:val="24"/>
          <w:highlight w:val="none"/>
        </w:rPr>
        <w:t>投标文件中所提供资料真实性作如下承诺：</w:t>
      </w:r>
    </w:p>
    <w:p w14:paraId="64E0C40B">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2A2F0578">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对提供的全部资料中有存在不真实（伪造或租借等虚假资料）情形，将无条件接受任何处罚，自行承担由此引起的一切责任！</w:t>
      </w:r>
    </w:p>
    <w:p w14:paraId="03D5AE2B">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p>
    <w:p w14:paraId="684E91E5">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特此承诺</w:t>
      </w:r>
    </w:p>
    <w:p w14:paraId="3F2A1BBD">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p>
    <w:p w14:paraId="3EC9D491">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供应商（全称）：</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（盖单位章）</w:t>
      </w:r>
    </w:p>
    <w:p w14:paraId="45FD0CFE">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法定代表人：</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（签字）</w:t>
      </w:r>
    </w:p>
    <w:p w14:paraId="03F91291">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有效的联系方式：</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（手机号）</w:t>
      </w:r>
    </w:p>
    <w:p w14:paraId="750875A5">
      <w:pPr>
        <w:shd w:val="clear" w:color="auto" w:fill="auto"/>
        <w:spacing w:line="360" w:lineRule="auto"/>
        <w:ind w:firstLine="4337" w:firstLineChars="1800"/>
        <w:rPr>
          <w:rFonts w:hint="eastAsia" w:asciiTheme="minorEastAsia" w:hAnsiTheme="minorEastAsia" w:eastAsiaTheme="minorEastAsia" w:cstheme="minorEastAsia"/>
          <w:b/>
          <w:color w:val="auto"/>
          <w:kern w:val="0"/>
          <w:sz w:val="24"/>
          <w:szCs w:val="24"/>
          <w:highlight w:val="none"/>
        </w:rPr>
      </w:pPr>
    </w:p>
    <w:p w14:paraId="4A5791A9">
      <w:pPr>
        <w:shd w:val="clear" w:color="auto" w:fill="auto"/>
        <w:spacing w:line="360" w:lineRule="auto"/>
        <w:ind w:firstLine="6023" w:firstLineChars="25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年      月       日</w:t>
      </w:r>
    </w:p>
    <w:p w14:paraId="2E9E8A98">
      <w:pPr>
        <w:shd w:val="clear" w:color="auto" w:fill="auto"/>
        <w:spacing w:line="360" w:lineRule="auto"/>
        <w:rPr>
          <w:rFonts w:hint="eastAsia" w:asciiTheme="minorEastAsia" w:hAnsiTheme="minorEastAsia" w:eastAsiaTheme="minorEastAsia" w:cstheme="minorEastAsia"/>
          <w:b/>
          <w:color w:val="auto"/>
          <w:kern w:val="0"/>
          <w:sz w:val="24"/>
          <w:szCs w:val="24"/>
          <w:highlight w:val="none"/>
        </w:rPr>
      </w:pPr>
    </w:p>
    <w:p w14:paraId="12B2BB06">
      <w:pPr>
        <w:shd w:val="clear" w:color="auto" w:fill="auto"/>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说明：投标供应商应按上述要求将内容填写完整，未提供此承诺的其投标将被拒绝！</w:t>
      </w:r>
    </w:p>
    <w:p w14:paraId="1853A91D">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highlight w:val="none"/>
        </w:rPr>
        <w:br w:type="page"/>
      </w:r>
    </w:p>
    <w:p w14:paraId="55A60DA8">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附件十七</w:t>
      </w:r>
    </w:p>
    <w:p w14:paraId="745C17B0">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p>
    <w:p w14:paraId="1F695A09">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投标人认为有必要提供的声明及文件资料</w:t>
      </w:r>
    </w:p>
    <w:p w14:paraId="495BF917">
      <w:pPr>
        <w:rPr>
          <w:rFonts w:hint="eastAsia" w:asciiTheme="minorEastAsia" w:hAnsiTheme="minorEastAsia" w:eastAsiaTheme="minorEastAsia" w:cstheme="minorEastAsia"/>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4E5431B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79804CB3">
      <w:pPr>
        <w:rPr>
          <w:rFonts w:hint="eastAsia" w:asciiTheme="minorEastAsia" w:hAnsiTheme="minorEastAsia" w:eastAsiaTheme="minorEastAsia" w:cstheme="minorEastAsia"/>
          <w:lang w:val="en-US" w:eastAsia="zh-CN"/>
        </w:rPr>
      </w:pPr>
    </w:p>
    <w:p w14:paraId="2EEAB9C8">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附件十八</w:t>
      </w:r>
    </w:p>
    <w:p w14:paraId="04447EFF">
      <w:pPr>
        <w:widowControl/>
        <w:adjustRightInd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技术方案</w:t>
      </w:r>
    </w:p>
    <w:p w14:paraId="724F5649">
      <w:pPr>
        <w:spacing w:line="440" w:lineRule="exact"/>
        <w:jc w:val="center"/>
        <w:rPr>
          <w:rFonts w:hint="eastAsia" w:asciiTheme="minorEastAsia" w:hAnsiTheme="minorEastAsia" w:eastAsiaTheme="minorEastAsia" w:cstheme="minorEastAsia"/>
          <w:b/>
          <w:bCs/>
          <w:color w:val="auto"/>
          <w:sz w:val="32"/>
          <w:szCs w:val="22"/>
          <w:highlight w:val="none"/>
        </w:rPr>
      </w:pPr>
      <w:r>
        <w:rPr>
          <w:rFonts w:hint="eastAsia" w:asciiTheme="minorEastAsia" w:hAnsiTheme="minorEastAsia" w:eastAsiaTheme="minorEastAsia" w:cstheme="minorEastAsia"/>
          <w:b/>
          <w:bCs/>
          <w:color w:val="auto"/>
          <w:sz w:val="32"/>
          <w:szCs w:val="22"/>
          <w:highlight w:val="none"/>
        </w:rPr>
        <w:t>（根据需要编写，格式自制）</w:t>
      </w:r>
    </w:p>
    <w:p w14:paraId="40AFE915">
      <w:pPr>
        <w:spacing w:line="440" w:lineRule="exact"/>
        <w:ind w:firstLine="480" w:firstLineChars="200"/>
        <w:rPr>
          <w:rFonts w:hint="eastAsia" w:asciiTheme="minorEastAsia" w:hAnsiTheme="minorEastAsia" w:eastAsiaTheme="minorEastAsia" w:cstheme="minorEastAsia"/>
          <w:color w:val="auto"/>
          <w:sz w:val="24"/>
          <w:highlight w:val="none"/>
        </w:rPr>
      </w:pPr>
    </w:p>
    <w:p w14:paraId="6AF411DB">
      <w:pPr>
        <w:spacing w:line="440" w:lineRule="exact"/>
        <w:ind w:firstLine="480" w:firstLineChars="200"/>
        <w:outlineLvl w:val="2"/>
        <w:rPr>
          <w:rFonts w:hint="eastAsia" w:asciiTheme="minorEastAsia" w:hAnsiTheme="minorEastAsia" w:eastAsiaTheme="minorEastAsia" w:cstheme="minorEastAsia"/>
          <w:color w:val="auto"/>
          <w:sz w:val="24"/>
          <w:szCs w:val="24"/>
          <w:highlight w:val="none"/>
        </w:rPr>
      </w:pPr>
      <w:bookmarkStart w:id="635" w:name="_Toc6353"/>
      <w:r>
        <w:rPr>
          <w:rFonts w:hint="eastAsia" w:asciiTheme="minorEastAsia" w:hAnsiTheme="minorEastAsia" w:eastAsiaTheme="minorEastAsia" w:cstheme="minorEastAsia"/>
          <w:color w:val="auto"/>
          <w:sz w:val="24"/>
          <w:szCs w:val="24"/>
          <w:highlight w:val="none"/>
        </w:rPr>
        <w:t>1、 项目</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方案；</w:t>
      </w:r>
      <w:bookmarkEnd w:id="635"/>
    </w:p>
    <w:p w14:paraId="2D94BFC1">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5550DCA9">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068C460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）对本项目背景和工作内容的理解和分析（格式自拟）</w:t>
      </w:r>
    </w:p>
    <w:p w14:paraId="38F34E06">
      <w:pPr>
        <w:spacing w:line="440" w:lineRule="exact"/>
        <w:ind w:left="0" w:leftChars="0" w:firstLine="0" w:firstLineChars="0"/>
        <w:rPr>
          <w:rFonts w:hint="eastAsia" w:asciiTheme="minorEastAsia" w:hAnsiTheme="minorEastAsia" w:eastAsiaTheme="minorEastAsia" w:cstheme="minorEastAsia"/>
          <w:color w:val="auto"/>
          <w:sz w:val="24"/>
          <w:szCs w:val="24"/>
          <w:highlight w:val="none"/>
        </w:rPr>
      </w:pPr>
    </w:p>
    <w:p w14:paraId="6B3FF30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）项目实施和安排计划（格式自拟）</w:t>
      </w:r>
    </w:p>
    <w:p w14:paraId="1B4E1E67">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6B8F870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）拟投入的人员及主要人员的简历，可附表说明；</w:t>
      </w:r>
    </w:p>
    <w:p w14:paraId="6DBF162A">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4137C5B">
      <w:pPr>
        <w:numPr>
          <w:ilvl w:val="0"/>
          <w:numId w:val="0"/>
        </w:numPr>
        <w:spacing w:line="440" w:lineRule="exact"/>
        <w:ind w:leftChars="200" w:right="62"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）其他证明文件复印件。</w:t>
      </w:r>
    </w:p>
    <w:p w14:paraId="312945F5">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2660D08D">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7BE33F0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上述内容仅供参考，如有不足，请自行补充提供。</w:t>
      </w:r>
    </w:p>
    <w:p w14:paraId="5121679E">
      <w:pPr>
        <w:pStyle w:val="29"/>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10E945DF">
      <w:pPr>
        <w:jc w:val="both"/>
        <w:rPr>
          <w:rFonts w:hint="eastAsia" w:asciiTheme="minorEastAsia" w:hAnsiTheme="minorEastAsia" w:eastAsiaTheme="minorEastAsia" w:cstheme="minorEastAsia"/>
          <w:b/>
          <w:bCs w:val="0"/>
          <w:color w:val="auto"/>
          <w:kern w:val="2"/>
          <w:sz w:val="24"/>
          <w:szCs w:val="24"/>
          <w:lang w:val="en-US" w:eastAsia="zh-CN" w:bidi="ar-SA"/>
        </w:rPr>
      </w:pPr>
    </w:p>
    <w:p w14:paraId="1D245A4F">
      <w:pPr>
        <w:jc w:val="both"/>
        <w:outlineLvl w:val="1"/>
        <w:rPr>
          <w:rFonts w:hint="eastAsia" w:asciiTheme="minorEastAsia" w:hAnsiTheme="minorEastAsia" w:eastAsiaTheme="minorEastAsia" w:cstheme="minorEastAsia"/>
          <w:b/>
          <w:bCs w:val="0"/>
          <w:color w:val="auto"/>
          <w:kern w:val="2"/>
          <w:sz w:val="24"/>
          <w:szCs w:val="24"/>
          <w:lang w:val="en-US" w:eastAsia="zh-CN" w:bidi="ar-SA"/>
        </w:rPr>
      </w:pPr>
      <w:bookmarkStart w:id="636" w:name="_Toc31589"/>
    </w:p>
    <w:p w14:paraId="3531F62E">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6F328205">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584D39E5">
      <w:pPr>
        <w:pStyle w:val="12"/>
        <w:rPr>
          <w:rFonts w:hint="eastAsia" w:asciiTheme="minorEastAsia" w:hAnsiTheme="minorEastAsia" w:eastAsiaTheme="minorEastAsia" w:cstheme="minorEastAsia"/>
          <w:b/>
          <w:bCs w:val="0"/>
          <w:color w:val="auto"/>
          <w:kern w:val="2"/>
          <w:sz w:val="28"/>
          <w:szCs w:val="24"/>
          <w:lang w:val="en-US" w:eastAsia="zh-CN" w:bidi="ar-SA"/>
        </w:rPr>
      </w:pPr>
    </w:p>
    <w:p w14:paraId="1D60EA44">
      <w:pPr>
        <w:rPr>
          <w:rFonts w:hint="eastAsia" w:asciiTheme="minorEastAsia" w:hAnsiTheme="minorEastAsia" w:eastAsiaTheme="minorEastAsia" w:cstheme="minorEastAsia"/>
          <w:b/>
          <w:bCs w:val="0"/>
          <w:color w:val="auto"/>
          <w:kern w:val="2"/>
          <w:sz w:val="28"/>
          <w:szCs w:val="24"/>
          <w:lang w:val="en-US" w:eastAsia="zh-CN" w:bidi="ar-SA"/>
        </w:rPr>
      </w:pPr>
    </w:p>
    <w:p w14:paraId="3D14A470">
      <w:pPr>
        <w:pStyle w:val="12"/>
        <w:rPr>
          <w:rFonts w:hint="eastAsia"/>
          <w:lang w:val="en-US" w:eastAsia="zh-CN"/>
        </w:rPr>
      </w:pPr>
    </w:p>
    <w:p w14:paraId="107107C2">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7531F4E4">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 xml:space="preserve">附件十九    </w:t>
      </w:r>
    </w:p>
    <w:p w14:paraId="369E54F0">
      <w:pPr>
        <w:jc w:val="center"/>
        <w:outlineLvl w:val="1"/>
        <w:rPr>
          <w:rStyle w:val="69"/>
          <w:rFonts w:hint="eastAsia" w:ascii="宋体" w:hAnsi="宋体" w:eastAsia="宋体" w:cs="宋体"/>
          <w:b/>
          <w:bCs/>
          <w:sz w:val="24"/>
          <w:szCs w:val="24"/>
        </w:rPr>
      </w:pPr>
      <w:r>
        <w:rPr>
          <w:rStyle w:val="69"/>
          <w:rFonts w:hint="eastAsia" w:ascii="宋体" w:hAnsi="宋体" w:eastAsia="宋体" w:cs="宋体"/>
          <w:b/>
          <w:bCs/>
          <w:sz w:val="24"/>
          <w:szCs w:val="24"/>
        </w:rPr>
        <w:t>技术规范偏离表</w:t>
      </w:r>
    </w:p>
    <w:p w14:paraId="64A38CBC">
      <w:pPr>
        <w:pStyle w:val="39"/>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 xml:space="preserve">：                     </w:t>
      </w:r>
    </w:p>
    <w:tbl>
      <w:tblPr>
        <w:tblStyle w:val="30"/>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840"/>
        <w:gridCol w:w="840"/>
        <w:gridCol w:w="1891"/>
        <w:gridCol w:w="1337"/>
        <w:gridCol w:w="1337"/>
        <w:gridCol w:w="977"/>
      </w:tblGrid>
      <w:tr w14:paraId="06FF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7" w:type="dxa"/>
            <w:tcBorders>
              <w:top w:val="single" w:color="auto" w:sz="12" w:space="0"/>
              <w:left w:val="single" w:color="auto" w:sz="12" w:space="0"/>
              <w:bottom w:val="single" w:color="auto" w:sz="4" w:space="0"/>
              <w:right w:val="single" w:color="auto" w:sz="4" w:space="0"/>
            </w:tcBorders>
            <w:noWrap w:val="0"/>
            <w:vAlign w:val="center"/>
          </w:tcPr>
          <w:p w14:paraId="138E1D5B">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2266" w:type="dxa"/>
            <w:tcBorders>
              <w:top w:val="single" w:color="auto" w:sz="12" w:space="0"/>
              <w:left w:val="single" w:color="auto" w:sz="4" w:space="0"/>
              <w:bottom w:val="single" w:color="auto" w:sz="4" w:space="0"/>
              <w:right w:val="single" w:color="auto" w:sz="4" w:space="0"/>
            </w:tcBorders>
            <w:noWrap w:val="0"/>
            <w:vAlign w:val="center"/>
          </w:tcPr>
          <w:p w14:paraId="2F11E305">
            <w:pPr>
              <w:pStyle w:val="39"/>
              <w:spacing w:line="24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货物名称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078A64A8">
            <w:pPr>
              <w:pStyle w:val="39"/>
              <w:spacing w:line="24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单位</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5D5E0440">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1891" w:type="dxa"/>
            <w:tcBorders>
              <w:top w:val="single" w:color="auto" w:sz="12" w:space="0"/>
              <w:left w:val="single" w:color="auto" w:sz="4" w:space="0"/>
              <w:bottom w:val="single" w:color="auto" w:sz="4" w:space="0"/>
              <w:right w:val="single" w:color="auto" w:sz="4" w:space="0"/>
            </w:tcBorders>
            <w:noWrap w:val="0"/>
            <w:vAlign w:val="center"/>
          </w:tcPr>
          <w:p w14:paraId="72A9C5B8">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招标文件技术规范、要求</w:t>
            </w:r>
          </w:p>
        </w:tc>
        <w:tc>
          <w:tcPr>
            <w:tcW w:w="1337" w:type="dxa"/>
            <w:tcBorders>
              <w:top w:val="single" w:color="auto" w:sz="12" w:space="0"/>
              <w:left w:val="single" w:color="auto" w:sz="4" w:space="0"/>
              <w:bottom w:val="single" w:color="auto" w:sz="4" w:space="0"/>
              <w:right w:val="single" w:color="auto" w:sz="4" w:space="0"/>
            </w:tcBorders>
            <w:noWrap w:val="0"/>
            <w:vAlign w:val="center"/>
          </w:tcPr>
          <w:p w14:paraId="51AA7637">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投标文件对应规范</w:t>
            </w:r>
          </w:p>
        </w:tc>
        <w:tc>
          <w:tcPr>
            <w:tcW w:w="1337" w:type="dxa"/>
            <w:tcBorders>
              <w:top w:val="single" w:color="auto" w:sz="12" w:space="0"/>
              <w:left w:val="single" w:color="auto" w:sz="4" w:space="0"/>
              <w:bottom w:val="single" w:color="auto" w:sz="4" w:space="0"/>
              <w:right w:val="single" w:color="auto" w:sz="4" w:space="0"/>
            </w:tcBorders>
            <w:noWrap w:val="0"/>
            <w:vAlign w:val="center"/>
          </w:tcPr>
          <w:p w14:paraId="3D479874">
            <w:pPr>
              <w:pStyle w:val="39"/>
              <w:spacing w:line="240" w:lineRule="auto"/>
              <w:ind w:firstLine="240" w:firstLineChars="1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偏离</w:t>
            </w:r>
          </w:p>
        </w:tc>
        <w:tc>
          <w:tcPr>
            <w:tcW w:w="977" w:type="dxa"/>
            <w:tcBorders>
              <w:top w:val="single" w:color="auto" w:sz="12" w:space="0"/>
              <w:left w:val="single" w:color="auto" w:sz="4" w:space="0"/>
              <w:bottom w:val="single" w:color="auto" w:sz="4" w:space="0"/>
              <w:right w:val="single" w:color="auto" w:sz="12" w:space="0"/>
            </w:tcBorders>
            <w:noWrap w:val="0"/>
            <w:vAlign w:val="center"/>
          </w:tcPr>
          <w:p w14:paraId="32688BC0">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462E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32D4DC71">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454DD4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8A3348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A5AA3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135FEE7">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8A754A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300D35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A3E60E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D21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557FD5E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C7F381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934AFB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0344E6C">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282605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67C453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BD75D2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615BF8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7A22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5AC6BD3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D09E4D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55706E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ADD5DE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5FA856B">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15D7A7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40930B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4A3BA0A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579E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7FDDE28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25F73C6">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6CD215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C0C715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2E7F65B">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4E23F7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50A0BF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B27D43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A1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7309BAA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82F0956">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4C2CD2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FB8921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88E0C5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0B5E23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B8BB94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5A4BDD7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955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668988C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BCDEB5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1CEDD6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4B7FD0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11C5D2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9E08F9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3B3F277">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4E87EFA1">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4B13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465AD89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F12CD5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03302F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C45320C">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1C888D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5FC23C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076B3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3B4E83D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3A43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12" w:space="0"/>
              <w:right w:val="single" w:color="auto" w:sz="4" w:space="0"/>
            </w:tcBorders>
            <w:noWrap w:val="0"/>
            <w:vAlign w:val="center"/>
          </w:tcPr>
          <w:p w14:paraId="3C64367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12" w:space="0"/>
              <w:right w:val="single" w:color="auto" w:sz="4" w:space="0"/>
            </w:tcBorders>
            <w:noWrap w:val="0"/>
            <w:vAlign w:val="center"/>
          </w:tcPr>
          <w:p w14:paraId="6B2CA65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12" w:space="0"/>
              <w:right w:val="single" w:color="auto" w:sz="4" w:space="0"/>
            </w:tcBorders>
            <w:noWrap w:val="0"/>
            <w:vAlign w:val="center"/>
          </w:tcPr>
          <w:p w14:paraId="7739127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12" w:space="0"/>
              <w:right w:val="single" w:color="auto" w:sz="4" w:space="0"/>
            </w:tcBorders>
            <w:noWrap w:val="0"/>
            <w:vAlign w:val="center"/>
          </w:tcPr>
          <w:p w14:paraId="1C5CA24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12" w:space="0"/>
              <w:right w:val="single" w:color="auto" w:sz="4" w:space="0"/>
            </w:tcBorders>
            <w:noWrap w:val="0"/>
            <w:vAlign w:val="center"/>
          </w:tcPr>
          <w:p w14:paraId="49D844C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12" w:space="0"/>
              <w:right w:val="single" w:color="auto" w:sz="4" w:space="0"/>
            </w:tcBorders>
            <w:noWrap w:val="0"/>
            <w:vAlign w:val="center"/>
          </w:tcPr>
          <w:p w14:paraId="45B1C10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12" w:space="0"/>
              <w:right w:val="single" w:color="auto" w:sz="4" w:space="0"/>
            </w:tcBorders>
            <w:noWrap w:val="0"/>
            <w:vAlign w:val="center"/>
          </w:tcPr>
          <w:p w14:paraId="76578FF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12" w:space="0"/>
              <w:right w:val="single" w:color="auto" w:sz="12" w:space="0"/>
            </w:tcBorders>
            <w:noWrap w:val="0"/>
            <w:vAlign w:val="center"/>
          </w:tcPr>
          <w:p w14:paraId="75DAB26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bl>
    <w:p w14:paraId="77E4A547">
      <w:pPr>
        <w:pStyle w:val="39"/>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如投标人提交的服务技术规范与招标文件的要求存在偏离，需逐项填写《技术规范偏离表》。</w:t>
      </w:r>
    </w:p>
    <w:p w14:paraId="29859920">
      <w:pPr>
        <w:pStyle w:val="39"/>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2、如果投标人在投标文件中未对文件中的技术条款提出偏离意见的视同投标人完全响应招标文件的全部采购要求。</w:t>
      </w:r>
    </w:p>
    <w:p w14:paraId="078C50DB">
      <w:pPr>
        <w:pStyle w:val="39"/>
        <w:spacing w:line="240" w:lineRule="auto"/>
        <w:ind w:firstLine="480" w:firstLineChars="200"/>
        <w:rPr>
          <w:rFonts w:hint="eastAsia" w:ascii="宋体" w:hAnsi="宋体" w:eastAsia="宋体" w:cs="宋体"/>
          <w:color w:val="000000"/>
          <w:sz w:val="24"/>
          <w:szCs w:val="24"/>
          <w:highlight w:val="none"/>
        </w:rPr>
      </w:pPr>
    </w:p>
    <w:p w14:paraId="52C18016">
      <w:pPr>
        <w:spacing w:line="440" w:lineRule="exact"/>
        <w:ind w:firstLine="3840" w:firstLineChars="1600"/>
        <w:rPr>
          <w:rFonts w:hint="eastAsia" w:ascii="宋体" w:hAnsi="宋体" w:eastAsia="宋体" w:cs="宋体"/>
          <w:sz w:val="24"/>
          <w:szCs w:val="24"/>
        </w:rPr>
      </w:pPr>
    </w:p>
    <w:p w14:paraId="7656CA91">
      <w:pPr>
        <w:spacing w:line="440" w:lineRule="exact"/>
        <w:ind w:firstLine="3840" w:firstLineChars="1600"/>
        <w:rPr>
          <w:rFonts w:hint="eastAsia" w:ascii="宋体" w:hAnsi="宋体" w:eastAsia="宋体" w:cs="宋体"/>
          <w:sz w:val="24"/>
          <w:szCs w:val="24"/>
        </w:rPr>
      </w:pPr>
    </w:p>
    <w:p w14:paraId="143E7030">
      <w:pPr>
        <w:spacing w:line="440" w:lineRule="exact"/>
        <w:ind w:firstLine="3840" w:firstLineChars="1600"/>
        <w:rPr>
          <w:rFonts w:hint="eastAsia" w:ascii="宋体" w:hAnsi="宋体" w:eastAsia="宋体" w:cs="宋体"/>
          <w:sz w:val="24"/>
          <w:szCs w:val="24"/>
        </w:rPr>
      </w:pPr>
    </w:p>
    <w:p w14:paraId="1C08AFDA">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盖章</w:t>
      </w:r>
      <w:r>
        <w:rPr>
          <w:rFonts w:hint="eastAsia" w:ascii="宋体" w:hAnsi="宋体" w:eastAsia="宋体" w:cs="宋体"/>
          <w:sz w:val="24"/>
          <w:szCs w:val="24"/>
        </w:rPr>
        <w:t>）：</w:t>
      </w:r>
    </w:p>
    <w:p w14:paraId="1C8ABCE5">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p>
    <w:p w14:paraId="56438036">
      <w:pPr>
        <w:pStyle w:val="29"/>
        <w:ind w:firstLine="4320" w:firstLineChars="1600"/>
        <w:rPr>
          <w:rFonts w:hint="eastAsia" w:ascii="宋体" w:hAnsi="宋体" w:eastAsia="宋体" w:cs="宋体"/>
          <w:color w:val="000000"/>
          <w:sz w:val="24"/>
          <w:szCs w:val="24"/>
          <w:highlight w:val="none"/>
        </w:rPr>
      </w:pPr>
      <w:r>
        <w:rPr>
          <w:rFonts w:hint="eastAsia" w:ascii="宋体" w:hAnsi="宋体" w:eastAsia="宋体" w:cs="宋体"/>
          <w:sz w:val="24"/>
          <w:szCs w:val="24"/>
          <w:lang w:eastAsia="zh-CN"/>
        </w:rPr>
        <w:t>日期</w:t>
      </w:r>
      <w:r>
        <w:rPr>
          <w:rFonts w:hint="eastAsia" w:ascii="宋体" w:hAnsi="宋体" w:eastAsia="宋体" w:cs="宋体"/>
          <w:sz w:val="24"/>
          <w:szCs w:val="24"/>
          <w:lang w:val="en-US" w:eastAsia="zh-CN"/>
        </w:rPr>
        <w:t>:     年  月  日</w:t>
      </w:r>
    </w:p>
    <w:p w14:paraId="52166075">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3414DBE6">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65D17171">
      <w:pPr>
        <w:jc w:val="both"/>
        <w:outlineLvl w:val="1"/>
        <w:rPr>
          <w:rFonts w:hint="default"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w:t>
      </w:r>
      <w:bookmarkEnd w:id="636"/>
      <w:r>
        <w:rPr>
          <w:rFonts w:hint="eastAsia" w:asciiTheme="minorEastAsia" w:hAnsiTheme="minorEastAsia" w:eastAsiaTheme="minorEastAsia" w:cstheme="minorEastAsia"/>
          <w:b/>
          <w:bCs w:val="0"/>
          <w:color w:val="auto"/>
          <w:kern w:val="2"/>
          <w:sz w:val="28"/>
          <w:szCs w:val="24"/>
          <w:lang w:val="en-US" w:eastAsia="zh-CN" w:bidi="ar-SA"/>
        </w:rPr>
        <w:t>二十</w:t>
      </w:r>
    </w:p>
    <w:p w14:paraId="1974B44C">
      <w:pPr>
        <w:jc w:val="center"/>
        <w:rPr>
          <w:rFonts w:hint="eastAsia" w:asciiTheme="minorEastAsia" w:hAnsiTheme="minorEastAsia" w:eastAsiaTheme="minorEastAsia" w:cstheme="minorEastAsia"/>
          <w:b/>
          <w:bCs w:val="0"/>
          <w:color w:val="auto"/>
          <w:kern w:val="2"/>
          <w:sz w:val="32"/>
          <w:szCs w:val="28"/>
          <w:lang w:val="en-US" w:eastAsia="zh-CN" w:bidi="ar-SA"/>
        </w:rPr>
      </w:pPr>
    </w:p>
    <w:p w14:paraId="01531631">
      <w:pPr>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服务承诺书</w:t>
      </w:r>
    </w:p>
    <w:p w14:paraId="008C70B4">
      <w:pPr>
        <w:jc w:val="center"/>
        <w:rPr>
          <w:rFonts w:hint="eastAsia" w:asciiTheme="minorEastAsia" w:hAnsiTheme="minorEastAsia" w:eastAsiaTheme="minorEastAsia" w:cstheme="minorEastAsia"/>
          <w:b/>
          <w:bCs w:val="0"/>
          <w:color w:val="auto"/>
          <w:kern w:val="2"/>
          <w:sz w:val="32"/>
          <w:szCs w:val="28"/>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bCs w:val="0"/>
          <w:color w:val="auto"/>
          <w:kern w:val="2"/>
          <w:sz w:val="32"/>
          <w:szCs w:val="28"/>
          <w:lang w:val="en-US" w:eastAsia="zh-CN" w:bidi="ar-SA"/>
        </w:rPr>
        <w:t>根据本项目的情况，给出服务承诺；格式自拟。</w:t>
      </w:r>
    </w:p>
    <w:p w14:paraId="024DD47D">
      <w:pPr>
        <w:jc w:val="both"/>
        <w:outlineLvl w:val="1"/>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附件二十一</w:t>
      </w:r>
    </w:p>
    <w:p w14:paraId="4CA96B72">
      <w:pPr>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分包协议书</w:t>
      </w:r>
    </w:p>
    <w:p w14:paraId="467A5978">
      <w:pPr>
        <w:spacing w:line="360" w:lineRule="auto"/>
        <w:rPr>
          <w:rFonts w:ascii="宋体" w:hAnsi="宋体"/>
          <w:kern w:val="10"/>
          <w:szCs w:val="21"/>
        </w:rPr>
      </w:pPr>
    </w:p>
    <w:p w14:paraId="148BA8ED">
      <w:pPr>
        <w:spacing w:line="360" w:lineRule="auto"/>
        <w:rPr>
          <w:rFonts w:hint="eastAsia" w:ascii="宋体" w:hAnsi="宋体" w:eastAsia="宋体" w:cs="宋体"/>
          <w:sz w:val="24"/>
          <w:szCs w:val="24"/>
          <w:u w:val="single"/>
        </w:rPr>
      </w:pPr>
      <w:r>
        <w:rPr>
          <w:rFonts w:hint="eastAsia" w:ascii="宋体" w:hAnsi="宋体" w:eastAsia="宋体" w:cs="宋体"/>
          <w:kern w:val="10"/>
          <w:sz w:val="24"/>
          <w:szCs w:val="24"/>
        </w:rPr>
        <w:t>立约方：</w:t>
      </w:r>
      <w:r>
        <w:rPr>
          <w:rFonts w:hint="eastAsia" w:ascii="宋体" w:hAnsi="宋体" w:eastAsia="宋体" w:cs="宋体"/>
          <w:sz w:val="24"/>
          <w:szCs w:val="24"/>
          <w:u w:val="single"/>
        </w:rPr>
        <w:t>（甲公司全称）</w:t>
      </w:r>
    </w:p>
    <w:p w14:paraId="6F13798B">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u w:val="single"/>
        </w:rPr>
        <w:t>（乙公司全称）</w:t>
      </w:r>
    </w:p>
    <w:p w14:paraId="48CB22B2">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u w:val="single"/>
        </w:rPr>
        <w:t>（……公司全称）</w:t>
      </w:r>
    </w:p>
    <w:p w14:paraId="4ACBDBC7">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（甲公司全称）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（乙公司全称）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（……公司全称）</w:t>
      </w:r>
      <w:r>
        <w:rPr>
          <w:rFonts w:hint="eastAsia" w:ascii="宋体" w:hAnsi="宋体" w:eastAsia="宋体" w:cs="宋体"/>
          <w:kern w:val="0"/>
          <w:sz w:val="24"/>
          <w:szCs w:val="24"/>
        </w:rPr>
        <w:t>自愿达成分包意向，参加</w:t>
      </w:r>
      <w:r>
        <w:rPr>
          <w:rFonts w:hint="eastAsia" w:ascii="宋体" w:hAnsi="宋体" w:eastAsia="宋体" w:cs="宋体"/>
          <w:kern w:val="0"/>
          <w:sz w:val="24"/>
          <w:szCs w:val="24"/>
          <w:u w:val="single"/>
        </w:rPr>
        <w:t>（采购项目名称）</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（采购项目编号）</w:t>
      </w:r>
      <w:r>
        <w:rPr>
          <w:rFonts w:hint="eastAsia" w:ascii="宋体" w:hAnsi="宋体" w:eastAsia="宋体" w:cs="宋体"/>
          <w:kern w:val="0"/>
          <w:sz w:val="24"/>
          <w:szCs w:val="24"/>
        </w:rPr>
        <w:t>的响应活动。</w:t>
      </w:r>
      <w:r>
        <w:rPr>
          <w:rFonts w:hint="eastAsia" w:ascii="宋体" w:hAnsi="宋体" w:eastAsia="宋体" w:cs="宋体"/>
          <w:sz w:val="24"/>
          <w:szCs w:val="24"/>
        </w:rPr>
        <w:t>经各方充分协商一致，就</w:t>
      </w:r>
      <w:r>
        <w:rPr>
          <w:rFonts w:hint="eastAsia" w:ascii="宋体" w:hAnsi="宋体" w:eastAsia="宋体" w:cs="宋体"/>
          <w:kern w:val="10"/>
          <w:sz w:val="24"/>
          <w:szCs w:val="24"/>
        </w:rPr>
        <w:t>项目的响应和合同实施阶段的有关事务协商一致</w:t>
      </w:r>
      <w:r>
        <w:rPr>
          <w:rFonts w:hint="eastAsia" w:ascii="宋体" w:hAnsi="宋体" w:eastAsia="宋体" w:cs="宋体"/>
          <w:kern w:val="0"/>
          <w:sz w:val="24"/>
          <w:szCs w:val="24"/>
        </w:rPr>
        <w:t>订立意向如下</w:t>
      </w:r>
      <w:r>
        <w:rPr>
          <w:rFonts w:hint="eastAsia" w:ascii="宋体" w:hAnsi="宋体" w:eastAsia="宋体" w:cs="宋体"/>
          <w:sz w:val="24"/>
          <w:szCs w:val="24"/>
        </w:rPr>
        <w:t>：</w:t>
      </w:r>
    </w:p>
    <w:p w14:paraId="278D02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一、分包意向各方关系</w:t>
      </w:r>
    </w:p>
    <w:p w14:paraId="7A828141">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（甲公司全称）为投标方</w:t>
      </w:r>
      <w:r>
        <w:rPr>
          <w:rFonts w:hint="eastAsia" w:ascii="宋体" w:hAnsi="宋体" w:eastAsia="宋体" w:cs="宋体"/>
          <w:kern w:val="0"/>
          <w:sz w:val="24"/>
          <w:szCs w:val="24"/>
        </w:rPr>
        <w:t>、</w:t>
      </w:r>
      <w:r>
        <w:rPr>
          <w:rFonts w:hint="eastAsia" w:ascii="宋体" w:hAnsi="宋体" w:eastAsia="宋体" w:cs="宋体"/>
          <w:kern w:val="0"/>
          <w:sz w:val="24"/>
          <w:szCs w:val="24"/>
          <w:u w:val="single"/>
        </w:rPr>
        <w:t>（乙公司全称）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（……公司全称）</w:t>
      </w:r>
      <w:r>
        <w:rPr>
          <w:rFonts w:hint="eastAsia" w:ascii="宋体" w:hAnsi="宋体" w:eastAsia="宋体" w:cs="宋体"/>
          <w:sz w:val="24"/>
          <w:szCs w:val="24"/>
        </w:rPr>
        <w:t>为分包意向供应商，</w:t>
      </w:r>
      <w:r>
        <w:rPr>
          <w:rFonts w:hint="eastAsia" w:ascii="宋体" w:hAnsi="宋体" w:eastAsia="宋体" w:cs="宋体"/>
          <w:kern w:val="0"/>
          <w:sz w:val="24"/>
          <w:szCs w:val="24"/>
          <w:u w:val="single"/>
        </w:rPr>
        <w:t>（甲公司全称）</w:t>
      </w:r>
      <w:r>
        <w:rPr>
          <w:rFonts w:hint="eastAsia" w:ascii="宋体" w:hAnsi="宋体" w:eastAsia="宋体" w:cs="宋体"/>
          <w:sz w:val="24"/>
          <w:szCs w:val="24"/>
        </w:rPr>
        <w:t>以投标供应商的身份参加本项目的</w:t>
      </w:r>
      <w:r>
        <w:rPr>
          <w:rFonts w:hint="eastAsia" w:ascii="宋体" w:hAnsi="宋体" w:eastAsia="宋体" w:cs="宋体"/>
          <w:kern w:val="0"/>
          <w:sz w:val="24"/>
          <w:szCs w:val="24"/>
        </w:rPr>
        <w:t>响应</w:t>
      </w:r>
      <w:r>
        <w:rPr>
          <w:rFonts w:hint="eastAsia" w:ascii="宋体" w:hAnsi="宋体" w:eastAsia="宋体" w:cs="宋体"/>
          <w:sz w:val="24"/>
          <w:szCs w:val="24"/>
        </w:rPr>
        <w:t>。若中标，</w:t>
      </w:r>
      <w:r>
        <w:rPr>
          <w:rFonts w:hint="eastAsia" w:ascii="宋体" w:hAnsi="宋体" w:eastAsia="宋体" w:cs="宋体"/>
          <w:kern w:val="0"/>
          <w:sz w:val="24"/>
          <w:szCs w:val="24"/>
          <w:u w:val="single"/>
        </w:rPr>
        <w:t>（甲公司全称）与</w:t>
      </w:r>
      <w:r>
        <w:rPr>
          <w:rFonts w:hint="eastAsia" w:ascii="宋体" w:hAnsi="宋体" w:eastAsia="宋体" w:cs="宋体"/>
          <w:sz w:val="24"/>
          <w:szCs w:val="24"/>
          <w:u w:val="single"/>
        </w:rPr>
        <w:t>采购人</w:t>
      </w:r>
      <w:r>
        <w:rPr>
          <w:rFonts w:hint="eastAsia" w:ascii="宋体" w:hAnsi="宋体" w:eastAsia="宋体" w:cs="宋体"/>
          <w:sz w:val="24"/>
          <w:szCs w:val="24"/>
        </w:rPr>
        <w:t>签订政府采购合同。承接分包意向的各供应商与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签订分包合同。</w:t>
      </w:r>
      <w:r>
        <w:rPr>
          <w:rFonts w:hint="eastAsia" w:ascii="宋体" w:hAnsi="宋体" w:eastAsia="宋体" w:cs="宋体"/>
          <w:kern w:val="0"/>
          <w:sz w:val="24"/>
          <w:szCs w:val="24"/>
          <w:u w:val="single"/>
        </w:rPr>
        <w:t>（甲公司全称）</w:t>
      </w:r>
      <w:r>
        <w:rPr>
          <w:rFonts w:hint="eastAsia" w:ascii="宋体" w:hAnsi="宋体" w:eastAsia="宋体" w:cs="宋体"/>
          <w:sz w:val="24"/>
          <w:szCs w:val="24"/>
        </w:rPr>
        <w:t>就采购项目和分包项目向采购人负责，分包供应商就分包项目承担责任。</w:t>
      </w:r>
    </w:p>
    <w:p w14:paraId="38C95D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二、有关事项约定如下：</w:t>
      </w:r>
    </w:p>
    <w:p w14:paraId="1F5D43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1.如中标，分包供应商分别与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签订合同书，并就中标项目分包部分向采购人负责有连带的和各自的法律责任；</w:t>
      </w:r>
    </w:p>
    <w:p w14:paraId="315F9F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2.分包意向供应商1</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 xml:space="preserve"> （具体分包内容）</w:t>
      </w:r>
      <w:r>
        <w:rPr>
          <w:rFonts w:hint="eastAsia" w:ascii="宋体" w:hAnsi="宋体" w:eastAsia="宋体" w:cs="宋体"/>
          <w:sz w:val="24"/>
          <w:szCs w:val="24"/>
        </w:rPr>
        <w:t>占合同总金额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4D79BD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3.分包意向供应商2</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（具体分包内容）占</w:t>
      </w:r>
      <w:r>
        <w:rPr>
          <w:rFonts w:hint="eastAsia" w:ascii="宋体" w:hAnsi="宋体" w:eastAsia="宋体" w:cs="宋体"/>
          <w:sz w:val="24"/>
          <w:szCs w:val="24"/>
        </w:rPr>
        <w:t>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0CEB3D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6B9954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三、接受分包的企业与分包企业之间的关系：（接受分包的企业为中小企业时适用）</w:t>
      </w:r>
    </w:p>
    <w:p w14:paraId="4C64D5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1.分包意向供应商1</w:t>
      </w:r>
      <w:r>
        <w:rPr>
          <w:rFonts w:hint="eastAsia" w:ascii="宋体" w:hAnsi="宋体" w:eastAsia="宋体" w:cs="宋体"/>
          <w:sz w:val="24"/>
          <w:szCs w:val="24"/>
          <w:u w:val="single"/>
        </w:rPr>
        <w:t>　（公司全称）</w:t>
      </w:r>
      <w:r>
        <w:rPr>
          <w:rFonts w:hint="eastAsia" w:ascii="宋体" w:hAnsi="宋体" w:eastAsia="宋体" w:cs="宋体"/>
          <w:sz w:val="24"/>
          <w:szCs w:val="24"/>
        </w:rPr>
        <w:t>与分包企业之间</w:t>
      </w:r>
      <w:r>
        <w:rPr>
          <w:rFonts w:hint="eastAsia" w:ascii="宋体" w:hAnsi="宋体" w:eastAsia="宋体" w:cs="宋体"/>
          <w:sz w:val="24"/>
          <w:szCs w:val="24"/>
          <w:u w:val="single"/>
        </w:rPr>
        <w:t>（请填写：是否存在）</w:t>
      </w:r>
      <w:r>
        <w:rPr>
          <w:rFonts w:hint="eastAsia" w:ascii="宋体" w:hAnsi="宋体" w:eastAsia="宋体" w:cs="宋体"/>
          <w:sz w:val="24"/>
          <w:szCs w:val="24"/>
        </w:rPr>
        <w:t>直接控股、管理关系的情形。</w:t>
      </w:r>
    </w:p>
    <w:p w14:paraId="5BE2A5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2.分包意向供应商2</w:t>
      </w:r>
      <w:r>
        <w:rPr>
          <w:rFonts w:hint="eastAsia" w:ascii="宋体" w:hAnsi="宋体" w:eastAsia="宋体" w:cs="宋体"/>
          <w:sz w:val="24"/>
          <w:szCs w:val="24"/>
          <w:u w:val="single"/>
        </w:rPr>
        <w:t>　（公司全称）</w:t>
      </w:r>
      <w:r>
        <w:rPr>
          <w:rFonts w:hint="eastAsia" w:ascii="宋体" w:hAnsi="宋体" w:eastAsia="宋体" w:cs="宋体"/>
          <w:sz w:val="24"/>
          <w:szCs w:val="24"/>
        </w:rPr>
        <w:t>与分包企业之间</w:t>
      </w:r>
      <w:r>
        <w:rPr>
          <w:rFonts w:hint="eastAsia" w:ascii="宋体" w:hAnsi="宋体" w:eastAsia="宋体" w:cs="宋体"/>
          <w:sz w:val="24"/>
          <w:szCs w:val="24"/>
          <w:u w:val="single"/>
        </w:rPr>
        <w:t>（请填写：是否存在）</w:t>
      </w:r>
      <w:r>
        <w:rPr>
          <w:rFonts w:hint="eastAsia" w:ascii="宋体" w:hAnsi="宋体" w:eastAsia="宋体" w:cs="宋体"/>
          <w:sz w:val="24"/>
          <w:szCs w:val="24"/>
        </w:rPr>
        <w:t>直接控股、管理关系的情形。</w:t>
      </w:r>
    </w:p>
    <w:p w14:paraId="475853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6864466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四、如因违约过失责任而导致采购人经济损失或被索赔时，</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kern w:val="0"/>
          <w:sz w:val="24"/>
          <w:szCs w:val="24"/>
        </w:rPr>
        <w:t>同意无条件优先清偿采购人的一切债务和经济赔偿。</w:t>
      </w:r>
    </w:p>
    <w:p w14:paraId="4269BE0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五、如中标，分包意向供应商不得以任何理由提出终止本意向协议。</w:t>
      </w:r>
    </w:p>
    <w:p w14:paraId="19D53ECF">
      <w:pPr>
        <w:spacing w:line="360" w:lineRule="auto"/>
        <w:ind w:left="23" w:leftChars="11" w:firstLine="480" w:firstLineChars="200"/>
        <w:rPr>
          <w:rFonts w:hint="eastAsia" w:ascii="宋体" w:hAnsi="宋体" w:eastAsia="宋体" w:cs="宋体"/>
          <w:sz w:val="24"/>
          <w:szCs w:val="24"/>
        </w:rPr>
      </w:pPr>
      <w:r>
        <w:rPr>
          <w:rFonts w:hint="eastAsia" w:ascii="宋体" w:hAnsi="宋体" w:eastAsia="宋体" w:cs="宋体"/>
          <w:kern w:val="0"/>
          <w:sz w:val="24"/>
          <w:szCs w:val="24"/>
        </w:rPr>
        <w:t>六、</w:t>
      </w:r>
      <w:r>
        <w:rPr>
          <w:rFonts w:hint="eastAsia" w:ascii="宋体" w:hAnsi="宋体" w:eastAsia="宋体" w:cs="宋体"/>
          <w:sz w:val="24"/>
          <w:szCs w:val="24"/>
        </w:rPr>
        <w:t>本意向书在</w:t>
      </w:r>
      <w:r>
        <w:rPr>
          <w:rFonts w:hint="eastAsia" w:ascii="宋体" w:hAnsi="宋体" w:eastAsia="宋体" w:cs="宋体"/>
          <w:kern w:val="0"/>
          <w:sz w:val="24"/>
          <w:szCs w:val="24"/>
        </w:rPr>
        <w:t>自签署之日起生效，</w:t>
      </w:r>
      <w:r>
        <w:rPr>
          <w:rFonts w:hint="eastAsia" w:ascii="宋体" w:hAnsi="宋体" w:eastAsia="宋体" w:cs="宋体"/>
          <w:sz w:val="24"/>
          <w:szCs w:val="24"/>
        </w:rPr>
        <w:t>有效期内有效，如获中标资格，有效期延续至合同履行完毕之日。</w:t>
      </w:r>
    </w:p>
    <w:p w14:paraId="64D11C57">
      <w:pPr>
        <w:spacing w:line="360" w:lineRule="auto"/>
        <w:ind w:left="23" w:leftChars="1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七、本意向书正本一式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份，随投标文件装订</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kern w:val="0"/>
          <w:sz w:val="24"/>
          <w:szCs w:val="24"/>
        </w:rPr>
        <w:t>及各</w:t>
      </w:r>
      <w:r>
        <w:rPr>
          <w:rFonts w:hint="eastAsia" w:ascii="宋体" w:hAnsi="宋体" w:eastAsia="宋体" w:cs="宋体"/>
          <w:sz w:val="24"/>
          <w:szCs w:val="24"/>
        </w:rPr>
        <w:t>分包意向供应商</w:t>
      </w:r>
      <w:r>
        <w:rPr>
          <w:rFonts w:hint="eastAsia" w:ascii="宋体" w:hAnsi="宋体" w:eastAsia="宋体" w:cs="宋体"/>
          <w:kern w:val="0"/>
          <w:sz w:val="24"/>
          <w:szCs w:val="24"/>
        </w:rPr>
        <w:t>各一份。</w:t>
      </w:r>
    </w:p>
    <w:p w14:paraId="7A114FC0">
      <w:pPr>
        <w:widowControl/>
        <w:tabs>
          <w:tab w:val="left" w:pos="2977"/>
          <w:tab w:val="left" w:pos="5954"/>
        </w:tabs>
        <w:spacing w:line="360" w:lineRule="auto"/>
        <w:jc w:val="left"/>
        <w:rPr>
          <w:rFonts w:hint="eastAsia" w:ascii="宋体" w:hAnsi="宋体" w:eastAsia="宋体" w:cs="宋体"/>
          <w:kern w:val="0"/>
          <w:sz w:val="24"/>
          <w:szCs w:val="24"/>
        </w:rPr>
      </w:pPr>
    </w:p>
    <w:p w14:paraId="0075C514">
      <w:pPr>
        <w:widowControl/>
        <w:tabs>
          <w:tab w:val="left" w:pos="2977"/>
          <w:tab w:val="left" w:pos="5954"/>
        </w:tabs>
        <w:spacing w:line="360" w:lineRule="auto"/>
        <w:jc w:val="left"/>
        <w:rPr>
          <w:rFonts w:hint="eastAsia" w:ascii="宋体" w:hAnsi="宋体" w:eastAsia="宋体" w:cs="宋体"/>
          <w:kern w:val="0"/>
          <w:sz w:val="24"/>
          <w:szCs w:val="24"/>
        </w:rPr>
      </w:pPr>
    </w:p>
    <w:p w14:paraId="15A53E89">
      <w:pPr>
        <w:widowControl/>
        <w:tabs>
          <w:tab w:val="left" w:pos="2977"/>
          <w:tab w:val="left" w:pos="5954"/>
        </w:tabs>
        <w:spacing w:line="360" w:lineRule="auto"/>
        <w:jc w:val="left"/>
        <w:rPr>
          <w:rFonts w:hint="eastAsia" w:ascii="宋体" w:hAnsi="宋体" w:eastAsia="宋体" w:cs="宋体"/>
          <w:kern w:val="0"/>
          <w:sz w:val="24"/>
          <w:szCs w:val="24"/>
        </w:rPr>
      </w:pPr>
    </w:p>
    <w:p w14:paraId="31CE5166">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甲公司全称：（盖章） </w:t>
      </w:r>
      <w:r>
        <w:rPr>
          <w:rFonts w:hint="eastAsia" w:ascii="宋体" w:hAnsi="宋体" w:eastAsia="宋体" w:cs="宋体"/>
          <w:kern w:val="0"/>
          <w:sz w:val="24"/>
          <w:szCs w:val="24"/>
        </w:rPr>
        <w:tab/>
      </w:r>
    </w:p>
    <w:p w14:paraId="621CB392">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p>
    <w:p w14:paraId="38FC5EE3">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年　　月　　日</w:t>
      </w:r>
      <w:r>
        <w:rPr>
          <w:rFonts w:hint="eastAsia" w:ascii="宋体" w:hAnsi="宋体" w:eastAsia="宋体" w:cs="宋体"/>
          <w:kern w:val="0"/>
          <w:sz w:val="24"/>
          <w:szCs w:val="24"/>
        </w:rPr>
        <w:tab/>
      </w:r>
    </w:p>
    <w:p w14:paraId="19869EAA">
      <w:pPr>
        <w:widowControl/>
        <w:tabs>
          <w:tab w:val="left" w:pos="2977"/>
          <w:tab w:val="left" w:pos="5954"/>
        </w:tabs>
        <w:spacing w:line="360" w:lineRule="auto"/>
        <w:jc w:val="left"/>
        <w:rPr>
          <w:rFonts w:hint="eastAsia" w:ascii="宋体" w:hAnsi="宋体" w:eastAsia="宋体" w:cs="宋体"/>
          <w:kern w:val="0"/>
          <w:sz w:val="24"/>
          <w:szCs w:val="24"/>
        </w:rPr>
      </w:pPr>
    </w:p>
    <w:p w14:paraId="62A000A4">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乙公司全称：（盖章）</w:t>
      </w:r>
      <w:r>
        <w:rPr>
          <w:rFonts w:hint="eastAsia" w:ascii="宋体" w:hAnsi="宋体" w:eastAsia="宋体" w:cs="宋体"/>
          <w:kern w:val="0"/>
          <w:sz w:val="24"/>
          <w:szCs w:val="24"/>
        </w:rPr>
        <w:tab/>
      </w:r>
    </w:p>
    <w:p w14:paraId="5FC34DE6">
      <w:pPr>
        <w:spacing w:line="360" w:lineRule="auto"/>
        <w:ind w:left="617" w:hanging="705" w:hangingChars="294"/>
        <w:rPr>
          <w:rFonts w:hint="eastAsia" w:ascii="宋体" w:hAnsi="宋体" w:eastAsia="宋体" w:cs="宋体"/>
          <w:b/>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r>
        <w:rPr>
          <w:rFonts w:hint="eastAsia" w:ascii="宋体" w:hAnsi="宋体" w:eastAsia="宋体" w:cs="宋体"/>
          <w:kern w:val="0"/>
          <w:sz w:val="24"/>
          <w:szCs w:val="24"/>
        </w:rPr>
        <w:tab/>
      </w:r>
    </w:p>
    <w:p w14:paraId="60F4743D">
      <w:pPr>
        <w:widowControl/>
        <w:tabs>
          <w:tab w:val="left" w:pos="2977"/>
          <w:tab w:val="left" w:pos="5954"/>
        </w:tabs>
        <w:spacing w:line="360" w:lineRule="auto"/>
        <w:ind w:firstLine="405"/>
        <w:jc w:val="left"/>
        <w:rPr>
          <w:rFonts w:hint="eastAsia" w:ascii="宋体" w:hAnsi="宋体" w:eastAsia="宋体" w:cs="宋体"/>
          <w:kern w:val="0"/>
          <w:sz w:val="24"/>
          <w:szCs w:val="24"/>
        </w:rPr>
      </w:pPr>
      <w:r>
        <w:rPr>
          <w:rFonts w:hint="eastAsia" w:ascii="宋体" w:hAnsi="宋体" w:eastAsia="宋体" w:cs="宋体"/>
          <w:kern w:val="0"/>
          <w:sz w:val="24"/>
          <w:szCs w:val="24"/>
        </w:rPr>
        <w:t>年　　月　　日</w:t>
      </w:r>
      <w:r>
        <w:rPr>
          <w:rFonts w:hint="eastAsia" w:ascii="宋体" w:hAnsi="宋体" w:eastAsia="宋体" w:cs="宋体"/>
          <w:kern w:val="0"/>
          <w:sz w:val="24"/>
          <w:szCs w:val="24"/>
        </w:rPr>
        <w:tab/>
      </w:r>
    </w:p>
    <w:p w14:paraId="3E73B48B">
      <w:pPr>
        <w:widowControl/>
        <w:tabs>
          <w:tab w:val="left" w:pos="2977"/>
          <w:tab w:val="left" w:pos="5954"/>
        </w:tabs>
        <w:spacing w:line="360" w:lineRule="auto"/>
        <w:jc w:val="left"/>
        <w:rPr>
          <w:rFonts w:hint="eastAsia" w:ascii="宋体" w:hAnsi="宋体" w:eastAsia="宋体" w:cs="宋体"/>
          <w:kern w:val="0"/>
          <w:sz w:val="24"/>
          <w:szCs w:val="24"/>
        </w:rPr>
      </w:pPr>
    </w:p>
    <w:p w14:paraId="741B7B2B">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……公司全称（盖章）</w:t>
      </w:r>
    </w:p>
    <w:p w14:paraId="0F22D1E7">
      <w:pPr>
        <w:spacing w:line="360" w:lineRule="auto"/>
        <w:ind w:left="617" w:hanging="705" w:hangingChars="294"/>
        <w:rPr>
          <w:rFonts w:hint="eastAsia" w:ascii="宋体" w:hAnsi="宋体" w:eastAsia="宋体" w:cs="宋体"/>
          <w:kern w:val="0"/>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p>
    <w:p w14:paraId="50C96A14">
      <w:pPr>
        <w:spacing w:line="360" w:lineRule="auto"/>
        <w:ind w:left="617" w:hanging="705" w:hangingChars="294"/>
        <w:rPr>
          <w:rFonts w:hint="eastAsia" w:ascii="宋体" w:hAnsi="宋体" w:eastAsia="宋体" w:cs="宋体"/>
          <w:b/>
          <w:sz w:val="24"/>
          <w:szCs w:val="24"/>
        </w:rPr>
      </w:pPr>
      <w:r>
        <w:rPr>
          <w:rFonts w:hint="eastAsia" w:ascii="宋体" w:hAnsi="宋体" w:eastAsia="宋体" w:cs="宋体"/>
          <w:kern w:val="0"/>
          <w:sz w:val="24"/>
          <w:szCs w:val="24"/>
        </w:rPr>
        <w:t>　　年　　月　　日</w:t>
      </w:r>
    </w:p>
    <w:p w14:paraId="79BA28D8">
      <w:pPr>
        <w:spacing w:line="360" w:lineRule="auto"/>
        <w:ind w:left="620" w:hanging="708" w:hangingChars="294"/>
        <w:rPr>
          <w:rFonts w:hint="eastAsia" w:ascii="宋体" w:hAnsi="宋体" w:eastAsia="宋体" w:cs="宋体"/>
          <w:b/>
          <w:sz w:val="24"/>
          <w:szCs w:val="24"/>
        </w:rPr>
      </w:pPr>
    </w:p>
    <w:p w14:paraId="3D0454F8">
      <w:pPr>
        <w:spacing w:line="360" w:lineRule="auto"/>
        <w:ind w:left="620" w:hanging="708" w:hangingChars="294"/>
        <w:rPr>
          <w:rFonts w:hint="eastAsia" w:ascii="宋体" w:hAnsi="宋体" w:eastAsia="宋体" w:cs="宋体"/>
          <w:b/>
          <w:sz w:val="24"/>
          <w:szCs w:val="24"/>
        </w:rPr>
      </w:pPr>
      <w:r>
        <w:rPr>
          <w:rFonts w:hint="eastAsia" w:ascii="宋体" w:hAnsi="宋体" w:eastAsia="宋体" w:cs="宋体"/>
          <w:b/>
          <w:sz w:val="24"/>
          <w:szCs w:val="24"/>
        </w:rPr>
        <w:t>注：1．各方成员应在本意向书上共同盖章确认。</w:t>
      </w:r>
    </w:p>
    <w:p w14:paraId="76372A5A">
      <w:pPr>
        <w:spacing w:line="360" w:lineRule="auto"/>
        <w:ind w:firstLine="470" w:firstLineChars="196"/>
        <w:rPr>
          <w:rFonts w:hint="eastAsia" w:asciiTheme="minorEastAsia" w:hAnsiTheme="minorEastAsia" w:eastAsiaTheme="minorEastAsia" w:cstheme="minorEastAsia"/>
          <w:b/>
          <w:bCs w:val="0"/>
          <w:color w:val="auto"/>
          <w:kern w:val="2"/>
          <w:sz w:val="32"/>
          <w:szCs w:val="28"/>
          <w:lang w:val="en-US" w:eastAsia="zh-CN" w:bidi="ar-SA"/>
        </w:rPr>
      </w:pPr>
      <w:r>
        <w:rPr>
          <w:rFonts w:hint="eastAsia" w:ascii="宋体" w:hAnsi="宋体" w:eastAsia="宋体" w:cs="宋体"/>
          <w:sz w:val="24"/>
          <w:szCs w:val="24"/>
        </w:rPr>
        <w:t>2．本意向书内容将作为签订合同的附件之一。</w:t>
      </w:r>
    </w:p>
    <w:p w14:paraId="3FD33ED5">
      <w:pPr>
        <w:jc w:val="both"/>
        <w:rPr>
          <w:rFonts w:hint="eastAsia" w:asciiTheme="minorEastAsia" w:hAnsiTheme="minorEastAsia" w:eastAsiaTheme="minorEastAsia" w:cstheme="minorEastAsia"/>
          <w:b/>
          <w:bCs w:val="0"/>
          <w:color w:val="auto"/>
          <w:kern w:val="2"/>
          <w:sz w:val="28"/>
          <w:szCs w:val="24"/>
          <w:lang w:val="en-US" w:eastAsia="zh-CN" w:bidi="ar-SA"/>
        </w:rPr>
      </w:pPr>
    </w:p>
    <w:p w14:paraId="19B7B9CA">
      <w:pPr>
        <w:jc w:val="both"/>
        <w:rPr>
          <w:rFonts w:hint="eastAsia" w:asciiTheme="minorEastAsia" w:hAnsiTheme="minorEastAsia" w:eastAsiaTheme="minorEastAsia" w:cstheme="minorEastAsia"/>
          <w:b/>
          <w:bCs w:val="0"/>
          <w:color w:val="auto"/>
          <w:kern w:val="2"/>
          <w:sz w:val="28"/>
          <w:szCs w:val="24"/>
          <w:lang w:val="en-US" w:eastAsia="zh-CN" w:bidi="ar-SA"/>
        </w:rPr>
      </w:pPr>
    </w:p>
    <w:p w14:paraId="23D2523B">
      <w:pPr>
        <w:jc w:val="both"/>
        <w:outlineLvl w:val="0"/>
        <w:rPr>
          <w:rFonts w:hint="default" w:asciiTheme="minorEastAsia" w:hAnsiTheme="minorEastAsia" w:eastAsiaTheme="minorEastAsia" w:cstheme="minorEastAsia"/>
          <w:b/>
          <w:bCs w:val="0"/>
          <w:color w:val="auto"/>
          <w:kern w:val="2"/>
          <w:sz w:val="28"/>
          <w:szCs w:val="24"/>
          <w:lang w:val="en-US" w:eastAsia="zh-CN" w:bidi="ar-SA"/>
        </w:rPr>
      </w:pPr>
      <w:bookmarkStart w:id="637" w:name="_Toc5601"/>
      <w:bookmarkStart w:id="638" w:name="_Toc1675"/>
      <w:bookmarkStart w:id="639" w:name="_Toc18677"/>
      <w:r>
        <w:rPr>
          <w:rFonts w:hint="eastAsia" w:asciiTheme="minorEastAsia" w:hAnsiTheme="minorEastAsia" w:eastAsiaTheme="minorEastAsia" w:cstheme="minorEastAsia"/>
          <w:b/>
          <w:bCs w:val="0"/>
          <w:color w:val="auto"/>
          <w:kern w:val="2"/>
          <w:sz w:val="28"/>
          <w:szCs w:val="24"/>
          <w:lang w:val="en-US" w:eastAsia="zh-CN" w:bidi="ar-SA"/>
        </w:rPr>
        <w:t>附件</w:t>
      </w:r>
      <w:bookmarkEnd w:id="637"/>
      <w:bookmarkEnd w:id="638"/>
      <w:bookmarkEnd w:id="639"/>
      <w:r>
        <w:rPr>
          <w:rFonts w:hint="eastAsia" w:asciiTheme="minorEastAsia" w:hAnsiTheme="minorEastAsia" w:eastAsiaTheme="minorEastAsia" w:cstheme="minorEastAsia"/>
          <w:b/>
          <w:bCs w:val="0"/>
          <w:color w:val="auto"/>
          <w:kern w:val="2"/>
          <w:sz w:val="28"/>
          <w:szCs w:val="24"/>
          <w:lang w:val="en-US" w:eastAsia="zh-CN" w:bidi="ar-SA"/>
        </w:rPr>
        <w:t>二十二</w:t>
      </w:r>
    </w:p>
    <w:p w14:paraId="5F02C3E4">
      <w:pPr>
        <w:jc w:val="center"/>
        <w:outlineLvl w:val="9"/>
        <w:rPr>
          <w:rFonts w:hint="eastAsia" w:asciiTheme="minorEastAsia" w:hAnsiTheme="minorEastAsia" w:eastAsiaTheme="minorEastAsia" w:cstheme="minorEastAsia"/>
          <w:b/>
          <w:sz w:val="30"/>
          <w:szCs w:val="30"/>
        </w:rPr>
      </w:pPr>
    </w:p>
    <w:p w14:paraId="4D2D933A">
      <w:pPr>
        <w:jc w:val="center"/>
        <w:outlineLvl w:val="0"/>
        <w:rPr>
          <w:rFonts w:hint="eastAsia" w:asciiTheme="minorEastAsia" w:hAnsiTheme="minorEastAsia" w:eastAsiaTheme="minorEastAsia" w:cstheme="minorEastAsia"/>
          <w:b/>
          <w:sz w:val="30"/>
          <w:szCs w:val="30"/>
        </w:rPr>
      </w:pPr>
      <w:bookmarkStart w:id="640" w:name="_Toc29985"/>
      <w:bookmarkStart w:id="641" w:name="_Toc2648"/>
      <w:bookmarkStart w:id="642" w:name="_Toc29685"/>
      <w:r>
        <w:rPr>
          <w:rFonts w:hint="eastAsia" w:asciiTheme="minorEastAsia" w:hAnsiTheme="minorEastAsia" w:eastAsiaTheme="minorEastAsia" w:cstheme="minorEastAsia"/>
          <w:b/>
          <w:sz w:val="30"/>
          <w:szCs w:val="30"/>
        </w:rPr>
        <w:t>其他有利于投标人的资料（如有）</w:t>
      </w:r>
      <w:bookmarkEnd w:id="640"/>
      <w:bookmarkEnd w:id="641"/>
      <w:bookmarkEnd w:id="642"/>
    </w:p>
    <w:p w14:paraId="5C31089D">
      <w:pPr>
        <w:pStyle w:val="8"/>
        <w:rPr>
          <w:rFonts w:hint="eastAsia" w:asciiTheme="minorEastAsia" w:hAnsiTheme="minorEastAsia" w:eastAsiaTheme="minorEastAsia" w:cstheme="minorEastAsia"/>
          <w:lang w:val="en-US"/>
        </w:rPr>
      </w:pPr>
    </w:p>
    <w:p w14:paraId="087F656F">
      <w:pPr>
        <w:spacing w:line="360" w:lineRule="auto"/>
        <w:jc w:val="center"/>
        <w:outlineLvl w:val="1"/>
        <w:rPr>
          <w:rFonts w:hint="eastAsia" w:asciiTheme="minorEastAsia" w:hAnsiTheme="minorEastAsia" w:eastAsiaTheme="minorEastAsia" w:cstheme="minorEastAsia"/>
          <w:b/>
          <w:sz w:val="32"/>
          <w:szCs w:val="28"/>
        </w:rPr>
      </w:pPr>
    </w:p>
    <w:p w14:paraId="6AD804E5">
      <w:pPr>
        <w:spacing w:line="360" w:lineRule="auto"/>
        <w:jc w:val="center"/>
        <w:outlineLvl w:val="1"/>
        <w:rPr>
          <w:rFonts w:hint="eastAsia" w:asciiTheme="minorEastAsia" w:hAnsiTheme="minorEastAsia" w:eastAsiaTheme="minorEastAsia" w:cstheme="minorEastAsia"/>
          <w:b/>
          <w:sz w:val="32"/>
          <w:szCs w:val="28"/>
        </w:rPr>
      </w:pPr>
    </w:p>
    <w:p w14:paraId="01DA0E76">
      <w:pPr>
        <w:spacing w:line="360" w:lineRule="auto"/>
        <w:jc w:val="center"/>
        <w:outlineLvl w:val="1"/>
        <w:rPr>
          <w:rFonts w:hint="eastAsia" w:asciiTheme="minorEastAsia" w:hAnsiTheme="minorEastAsia" w:eastAsiaTheme="minorEastAsia" w:cstheme="minorEastAsia"/>
          <w:b/>
          <w:sz w:val="32"/>
          <w:szCs w:val="28"/>
        </w:rPr>
      </w:pPr>
    </w:p>
    <w:p w14:paraId="23BCD1C2">
      <w:pPr>
        <w:spacing w:line="360" w:lineRule="auto"/>
        <w:jc w:val="center"/>
        <w:outlineLvl w:val="1"/>
        <w:rPr>
          <w:rFonts w:hint="eastAsia" w:asciiTheme="minorEastAsia" w:hAnsiTheme="minorEastAsia" w:eastAsiaTheme="minorEastAsia" w:cstheme="minorEastAsia"/>
          <w:b/>
          <w:sz w:val="32"/>
          <w:szCs w:val="28"/>
        </w:rPr>
      </w:pPr>
    </w:p>
    <w:p w14:paraId="08419E60">
      <w:pPr>
        <w:spacing w:line="360" w:lineRule="auto"/>
        <w:jc w:val="center"/>
        <w:outlineLvl w:val="1"/>
        <w:rPr>
          <w:rFonts w:hint="eastAsia" w:asciiTheme="minorEastAsia" w:hAnsiTheme="minorEastAsia" w:eastAsiaTheme="minorEastAsia" w:cstheme="minorEastAsia"/>
          <w:b/>
          <w:sz w:val="32"/>
          <w:szCs w:val="28"/>
        </w:rPr>
      </w:pPr>
    </w:p>
    <w:p w14:paraId="3EF34C4A">
      <w:pPr>
        <w:spacing w:line="360" w:lineRule="auto"/>
        <w:jc w:val="center"/>
        <w:outlineLvl w:val="1"/>
        <w:rPr>
          <w:rFonts w:hint="eastAsia" w:asciiTheme="minorEastAsia" w:hAnsiTheme="minorEastAsia" w:eastAsiaTheme="minorEastAsia" w:cstheme="minorEastAsia"/>
          <w:b/>
          <w:sz w:val="32"/>
          <w:szCs w:val="28"/>
        </w:rPr>
      </w:pPr>
    </w:p>
    <w:p w14:paraId="26F4C6E6">
      <w:pPr>
        <w:spacing w:line="360" w:lineRule="auto"/>
        <w:jc w:val="center"/>
        <w:outlineLvl w:val="1"/>
        <w:rPr>
          <w:rFonts w:hint="eastAsia" w:asciiTheme="minorEastAsia" w:hAnsiTheme="minorEastAsia" w:eastAsiaTheme="minorEastAsia" w:cstheme="minorEastAsia"/>
          <w:b/>
          <w:sz w:val="32"/>
          <w:szCs w:val="28"/>
        </w:rPr>
      </w:pPr>
    </w:p>
    <w:p w14:paraId="5E98534C">
      <w:pPr>
        <w:spacing w:line="360" w:lineRule="auto"/>
        <w:jc w:val="center"/>
        <w:outlineLvl w:val="1"/>
        <w:rPr>
          <w:rFonts w:hint="eastAsia" w:asciiTheme="minorEastAsia" w:hAnsiTheme="minorEastAsia" w:eastAsiaTheme="minorEastAsia" w:cstheme="minorEastAsia"/>
          <w:b/>
          <w:sz w:val="32"/>
          <w:szCs w:val="28"/>
        </w:rPr>
      </w:pPr>
    </w:p>
    <w:p w14:paraId="06CB69AB">
      <w:pPr>
        <w:spacing w:line="360" w:lineRule="auto"/>
        <w:jc w:val="center"/>
        <w:outlineLvl w:val="1"/>
        <w:rPr>
          <w:rFonts w:hint="eastAsia" w:asciiTheme="minorEastAsia" w:hAnsiTheme="minorEastAsia" w:eastAsiaTheme="minorEastAsia" w:cstheme="minorEastAsia"/>
          <w:b/>
          <w:sz w:val="32"/>
          <w:szCs w:val="28"/>
        </w:rPr>
      </w:pPr>
    </w:p>
    <w:p w14:paraId="4F3094CA">
      <w:pPr>
        <w:spacing w:line="360" w:lineRule="auto"/>
        <w:jc w:val="center"/>
        <w:outlineLvl w:val="1"/>
        <w:rPr>
          <w:rFonts w:hint="eastAsia" w:asciiTheme="minorEastAsia" w:hAnsiTheme="minorEastAsia" w:eastAsiaTheme="minorEastAsia" w:cstheme="minorEastAsia"/>
          <w:b/>
          <w:sz w:val="32"/>
          <w:szCs w:val="28"/>
        </w:rPr>
      </w:pPr>
    </w:p>
    <w:p w14:paraId="2B05A414">
      <w:pPr>
        <w:spacing w:line="360" w:lineRule="auto"/>
        <w:jc w:val="center"/>
        <w:outlineLvl w:val="1"/>
        <w:rPr>
          <w:rFonts w:hint="eastAsia" w:asciiTheme="minorEastAsia" w:hAnsiTheme="minorEastAsia" w:eastAsiaTheme="minorEastAsia" w:cstheme="minorEastAsia"/>
          <w:b/>
          <w:sz w:val="32"/>
          <w:szCs w:val="28"/>
        </w:rPr>
      </w:pPr>
    </w:p>
    <w:p w14:paraId="18847A44">
      <w:pPr>
        <w:spacing w:line="360" w:lineRule="auto"/>
        <w:jc w:val="center"/>
        <w:outlineLvl w:val="1"/>
        <w:rPr>
          <w:rFonts w:hint="eastAsia" w:asciiTheme="minorEastAsia" w:hAnsiTheme="minorEastAsia" w:eastAsiaTheme="minorEastAsia" w:cstheme="minorEastAsia"/>
          <w:b/>
          <w:sz w:val="32"/>
          <w:szCs w:val="28"/>
        </w:rPr>
      </w:pPr>
    </w:p>
    <w:p w14:paraId="1588537B">
      <w:pPr>
        <w:spacing w:line="360" w:lineRule="auto"/>
        <w:jc w:val="center"/>
        <w:outlineLvl w:val="1"/>
        <w:rPr>
          <w:rFonts w:hint="eastAsia" w:asciiTheme="minorEastAsia" w:hAnsiTheme="minorEastAsia" w:eastAsiaTheme="minorEastAsia" w:cstheme="minorEastAsia"/>
          <w:b/>
          <w:sz w:val="32"/>
          <w:szCs w:val="28"/>
        </w:rPr>
      </w:pPr>
    </w:p>
    <w:p w14:paraId="7D135921">
      <w:pPr>
        <w:spacing w:line="360" w:lineRule="auto"/>
        <w:jc w:val="center"/>
        <w:outlineLvl w:val="1"/>
        <w:rPr>
          <w:rFonts w:hint="eastAsia" w:asciiTheme="minorEastAsia" w:hAnsiTheme="minorEastAsia" w:eastAsiaTheme="minorEastAsia" w:cstheme="minorEastAsia"/>
          <w:b/>
          <w:sz w:val="32"/>
          <w:szCs w:val="28"/>
        </w:rPr>
      </w:pPr>
    </w:p>
    <w:p w14:paraId="3474F4D6">
      <w:pPr>
        <w:spacing w:line="360" w:lineRule="auto"/>
        <w:jc w:val="center"/>
        <w:outlineLvl w:val="1"/>
        <w:rPr>
          <w:rFonts w:hint="eastAsia" w:asciiTheme="minorEastAsia" w:hAnsiTheme="minorEastAsia" w:eastAsiaTheme="minorEastAsia" w:cstheme="minorEastAsia"/>
          <w:b/>
          <w:sz w:val="32"/>
          <w:szCs w:val="28"/>
        </w:rPr>
      </w:pPr>
    </w:p>
    <w:p w14:paraId="377E7000">
      <w:pPr>
        <w:spacing w:line="360" w:lineRule="auto"/>
        <w:jc w:val="center"/>
        <w:outlineLvl w:val="1"/>
        <w:rPr>
          <w:rFonts w:hint="eastAsia" w:asciiTheme="minorEastAsia" w:hAnsiTheme="minorEastAsia" w:eastAsiaTheme="minorEastAsia" w:cstheme="minorEastAsia"/>
          <w:b/>
          <w:sz w:val="32"/>
          <w:szCs w:val="28"/>
        </w:rPr>
      </w:pPr>
    </w:p>
    <w:p w14:paraId="377B2A7D">
      <w:pPr>
        <w:rPr>
          <w:rFonts w:hint="eastAsia" w:asciiTheme="minorEastAsia" w:hAnsiTheme="minorEastAsia" w:eastAsiaTheme="minorEastAsia" w:cstheme="minorEastAsia"/>
          <w:sz w:val="24"/>
          <w:szCs w:val="24"/>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CDB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888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D8888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57F6">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E3034">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AE3034">
                    <w:pPr>
                      <w:pStyle w:val="18"/>
                    </w:pPr>
                    <w:r>
                      <w:fldChar w:fldCharType="begin"/>
                    </w:r>
                    <w:r>
                      <w:instrText xml:space="preserve"> PAGE  \* MERGEFORMAT </w:instrText>
                    </w:r>
                    <w:r>
                      <w:fldChar w:fldCharType="separate"/>
                    </w:r>
                    <w:r>
                      <w:t>5</w:t>
                    </w:r>
                    <w:r>
                      <w:fldChar w:fldCharType="end"/>
                    </w:r>
                  </w:p>
                </w:txbxContent>
              </v:textbox>
            </v:shape>
          </w:pict>
        </mc:Fallback>
      </mc:AlternateContent>
    </w:r>
  </w:p>
  <w:p w14:paraId="10231052">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4625">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6648E">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96648E">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711F">
    <w:pPr>
      <w:pStyle w:val="13"/>
      <w:spacing w:line="193" w:lineRule="auto"/>
      <w:ind w:left="4753"/>
      <w:rPr>
        <w:sz w:val="17"/>
        <w:szCs w:val="17"/>
      </w:rPr>
    </w:pPr>
    <w:r>
      <w:rPr>
        <w:sz w:val="17"/>
        <w:szCs w:val="17"/>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F444">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F083E">
                          <w:pPr>
                            <w:pStyle w:val="1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2CF083E">
                    <w:pPr>
                      <w:pStyle w:val="1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34E0">
    <w:pPr>
      <w:spacing w:line="123"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FEAEE">
                          <w:pPr>
                            <w:pStyle w:val="1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80FEAEE">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3A4F">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9AADC">
                          <w:pPr>
                            <w:pStyle w:val="18"/>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A9AADC">
                    <w:pPr>
                      <w:pStyle w:val="1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8D0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B74F1"/>
    <w:multiLevelType w:val="singleLevel"/>
    <w:tmpl w:val="9BEB74F1"/>
    <w:lvl w:ilvl="0" w:tentative="0">
      <w:start w:val="1"/>
      <w:numFmt w:val="decimal"/>
      <w:lvlText w:val="%1."/>
      <w:lvlJc w:val="left"/>
      <w:pPr>
        <w:tabs>
          <w:tab w:val="left" w:pos="312"/>
        </w:tabs>
      </w:pPr>
    </w:lvl>
  </w:abstractNum>
  <w:abstractNum w:abstractNumId="1">
    <w:nsid w:val="AC4A815A"/>
    <w:multiLevelType w:val="singleLevel"/>
    <w:tmpl w:val="AC4A815A"/>
    <w:lvl w:ilvl="0" w:tentative="0">
      <w:start w:val="6"/>
      <w:numFmt w:val="decimal"/>
      <w:suff w:val="nothing"/>
      <w:lvlText w:val="%1、"/>
      <w:lvlJc w:val="left"/>
    </w:lvl>
  </w:abstractNum>
  <w:abstractNum w:abstractNumId="2">
    <w:nsid w:val="AE83B5D4"/>
    <w:multiLevelType w:val="singleLevel"/>
    <w:tmpl w:val="AE83B5D4"/>
    <w:lvl w:ilvl="0" w:tentative="0">
      <w:start w:val="1"/>
      <w:numFmt w:val="decimal"/>
      <w:suff w:val="nothing"/>
      <w:lvlText w:val="%1、"/>
      <w:lvlJc w:val="left"/>
    </w:lvl>
  </w:abstractNum>
  <w:abstractNum w:abstractNumId="3">
    <w:nsid w:val="FD756BF6"/>
    <w:multiLevelType w:val="singleLevel"/>
    <w:tmpl w:val="FD756BF6"/>
    <w:lvl w:ilvl="0" w:tentative="0">
      <w:start w:val="2"/>
      <w:numFmt w:val="chineseCounting"/>
      <w:suff w:val="nothing"/>
      <w:lvlText w:val="（%1）"/>
      <w:lvlJc w:val="left"/>
      <w:rPr>
        <w:rFonts w:hint="eastAsia"/>
      </w:rPr>
    </w:lvl>
  </w:abstractNum>
  <w:abstractNum w:abstractNumId="4">
    <w:nsid w:val="FF7CB945"/>
    <w:multiLevelType w:val="singleLevel"/>
    <w:tmpl w:val="FF7CB945"/>
    <w:lvl w:ilvl="0" w:tentative="0">
      <w:start w:val="1"/>
      <w:numFmt w:val="decimal"/>
      <w:suff w:val="nothing"/>
      <w:lvlText w:val="（%1）"/>
      <w:lvlJc w:val="left"/>
    </w:lvl>
  </w:abstractNum>
  <w:abstractNum w:abstractNumId="5">
    <w:nsid w:val="0000000C"/>
    <w:multiLevelType w:val="multilevel"/>
    <w:tmpl w:val="0000000C"/>
    <w:lvl w:ilvl="0" w:tentative="0">
      <w:start w:val="2"/>
      <w:numFmt w:val="decimal"/>
      <w:pStyle w:val="36"/>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027581F4"/>
    <w:multiLevelType w:val="singleLevel"/>
    <w:tmpl w:val="027581F4"/>
    <w:lvl w:ilvl="0" w:tentative="0">
      <w:start w:val="1"/>
      <w:numFmt w:val="chineseCounting"/>
      <w:suff w:val="space"/>
      <w:lvlText w:val="第%1章"/>
      <w:lvlJc w:val="left"/>
      <w:rPr>
        <w:rFonts w:hint="eastAsia"/>
      </w:rPr>
    </w:lvl>
  </w:abstractNum>
  <w:abstractNum w:abstractNumId="7">
    <w:nsid w:val="043221C8"/>
    <w:multiLevelType w:val="singleLevel"/>
    <w:tmpl w:val="043221C8"/>
    <w:lvl w:ilvl="0" w:tentative="0">
      <w:start w:val="1"/>
      <w:numFmt w:val="decimal"/>
      <w:suff w:val="nothing"/>
      <w:lvlText w:val="%1、"/>
      <w:lvlJc w:val="left"/>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BCB84A8"/>
    <w:multiLevelType w:val="singleLevel"/>
    <w:tmpl w:val="1BCB84A8"/>
    <w:lvl w:ilvl="0" w:tentative="0">
      <w:start w:val="6"/>
      <w:numFmt w:val="chineseCounting"/>
      <w:suff w:val="nothing"/>
      <w:lvlText w:val="%1、"/>
      <w:lvlJc w:val="left"/>
      <w:rPr>
        <w:rFonts w:hint="eastAsia"/>
      </w:rPr>
    </w:lvl>
  </w:abstractNum>
  <w:abstractNum w:abstractNumId="10">
    <w:nsid w:val="2494AF98"/>
    <w:multiLevelType w:val="singleLevel"/>
    <w:tmpl w:val="2494AF98"/>
    <w:lvl w:ilvl="0" w:tentative="0">
      <w:start w:val="2"/>
      <w:numFmt w:val="chineseCounting"/>
      <w:suff w:val="nothing"/>
      <w:lvlText w:val="%1、"/>
      <w:lvlJc w:val="left"/>
      <w:rPr>
        <w:rFonts w:hint="eastAsia"/>
      </w:r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6"/>
  </w:num>
  <w:num w:numId="3">
    <w:abstractNumId w:val="10"/>
  </w:num>
  <w:num w:numId="4">
    <w:abstractNumId w:val="7"/>
  </w:num>
  <w:num w:numId="5">
    <w:abstractNumId w:val="9"/>
  </w:num>
  <w:num w:numId="6">
    <w:abstractNumId w:val="4"/>
  </w:num>
  <w:num w:numId="7">
    <w:abstractNumId w:val="3"/>
  </w:num>
  <w:num w:numId="8">
    <w:abstractNumId w:val="11"/>
  </w:num>
  <w:num w:numId="9">
    <w:abstractNumId w:val="8"/>
  </w:num>
  <w:num w:numId="10">
    <w:abstractNumId w:val="0"/>
  </w:num>
  <w:num w:numId="11">
    <w:abstractNumId w:val="2"/>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以忘言">
    <w15:presenceInfo w15:providerId="None" w15:userId="何以忘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ODU4MTM3NWQ4NDBlYjlhNGI5YzE1NjlhOTQxNmUifQ=="/>
  </w:docVars>
  <w:rsids>
    <w:rsidRoot w:val="2A8C1147"/>
    <w:rsid w:val="00011A95"/>
    <w:rsid w:val="00035262"/>
    <w:rsid w:val="0003687C"/>
    <w:rsid w:val="000969AD"/>
    <w:rsid w:val="000E0209"/>
    <w:rsid w:val="00100858"/>
    <w:rsid w:val="0012334A"/>
    <w:rsid w:val="001A4716"/>
    <w:rsid w:val="00264E69"/>
    <w:rsid w:val="00270BE1"/>
    <w:rsid w:val="002F67BC"/>
    <w:rsid w:val="003577A2"/>
    <w:rsid w:val="00372649"/>
    <w:rsid w:val="003A6B66"/>
    <w:rsid w:val="003B4796"/>
    <w:rsid w:val="003C28DE"/>
    <w:rsid w:val="003F417C"/>
    <w:rsid w:val="004805E6"/>
    <w:rsid w:val="004B48CF"/>
    <w:rsid w:val="004E2FC5"/>
    <w:rsid w:val="00500138"/>
    <w:rsid w:val="005270DD"/>
    <w:rsid w:val="005B3556"/>
    <w:rsid w:val="00610597"/>
    <w:rsid w:val="006E4DB9"/>
    <w:rsid w:val="00714AF2"/>
    <w:rsid w:val="007408D7"/>
    <w:rsid w:val="007470E0"/>
    <w:rsid w:val="007623C0"/>
    <w:rsid w:val="007A26D1"/>
    <w:rsid w:val="007C2CDB"/>
    <w:rsid w:val="007D0D26"/>
    <w:rsid w:val="007E5662"/>
    <w:rsid w:val="007F27CB"/>
    <w:rsid w:val="007F6C6F"/>
    <w:rsid w:val="00847DE1"/>
    <w:rsid w:val="00885B23"/>
    <w:rsid w:val="008A142D"/>
    <w:rsid w:val="008D313A"/>
    <w:rsid w:val="008F6349"/>
    <w:rsid w:val="00AB1812"/>
    <w:rsid w:val="00AE61A0"/>
    <w:rsid w:val="00B04027"/>
    <w:rsid w:val="00B22BA0"/>
    <w:rsid w:val="00B5158F"/>
    <w:rsid w:val="00BD3459"/>
    <w:rsid w:val="00C06188"/>
    <w:rsid w:val="00C242B3"/>
    <w:rsid w:val="00CB1EB4"/>
    <w:rsid w:val="00CE72AE"/>
    <w:rsid w:val="00D30A05"/>
    <w:rsid w:val="00D31079"/>
    <w:rsid w:val="00D348C5"/>
    <w:rsid w:val="00DD5EA9"/>
    <w:rsid w:val="00E371FE"/>
    <w:rsid w:val="00E54D24"/>
    <w:rsid w:val="00E80777"/>
    <w:rsid w:val="00ED25BA"/>
    <w:rsid w:val="00ED4F91"/>
    <w:rsid w:val="00F035B6"/>
    <w:rsid w:val="00F10820"/>
    <w:rsid w:val="00FA3D1D"/>
    <w:rsid w:val="00FB62F5"/>
    <w:rsid w:val="00FB73BF"/>
    <w:rsid w:val="00FC02BF"/>
    <w:rsid w:val="00FD3FC3"/>
    <w:rsid w:val="01192C1F"/>
    <w:rsid w:val="0121651A"/>
    <w:rsid w:val="012A2737"/>
    <w:rsid w:val="012B64AF"/>
    <w:rsid w:val="012F08E9"/>
    <w:rsid w:val="014001AC"/>
    <w:rsid w:val="01446102"/>
    <w:rsid w:val="014557C2"/>
    <w:rsid w:val="014D0B1B"/>
    <w:rsid w:val="014F03EF"/>
    <w:rsid w:val="0156177E"/>
    <w:rsid w:val="015B3238"/>
    <w:rsid w:val="015E4AD6"/>
    <w:rsid w:val="01710365"/>
    <w:rsid w:val="01877B89"/>
    <w:rsid w:val="018A3E38"/>
    <w:rsid w:val="018F6A3E"/>
    <w:rsid w:val="019C656C"/>
    <w:rsid w:val="019F1377"/>
    <w:rsid w:val="01AC3A93"/>
    <w:rsid w:val="01AC75F0"/>
    <w:rsid w:val="01BF5575"/>
    <w:rsid w:val="01C20BC1"/>
    <w:rsid w:val="01C761D7"/>
    <w:rsid w:val="01C901A1"/>
    <w:rsid w:val="01D1397B"/>
    <w:rsid w:val="01E943A0"/>
    <w:rsid w:val="01EF3980"/>
    <w:rsid w:val="01FB0577"/>
    <w:rsid w:val="020531A4"/>
    <w:rsid w:val="0216715F"/>
    <w:rsid w:val="02186A33"/>
    <w:rsid w:val="02214D2D"/>
    <w:rsid w:val="02317AF5"/>
    <w:rsid w:val="02337D11"/>
    <w:rsid w:val="02353A89"/>
    <w:rsid w:val="02380E83"/>
    <w:rsid w:val="023B2A26"/>
    <w:rsid w:val="024141DC"/>
    <w:rsid w:val="025008C3"/>
    <w:rsid w:val="02535CBD"/>
    <w:rsid w:val="026E6F9B"/>
    <w:rsid w:val="027520D7"/>
    <w:rsid w:val="0283153E"/>
    <w:rsid w:val="02866093"/>
    <w:rsid w:val="028E4F47"/>
    <w:rsid w:val="02B0310F"/>
    <w:rsid w:val="02B20C36"/>
    <w:rsid w:val="02B40E52"/>
    <w:rsid w:val="02B563FB"/>
    <w:rsid w:val="02BC7B5E"/>
    <w:rsid w:val="02BC7D06"/>
    <w:rsid w:val="02BE3A7E"/>
    <w:rsid w:val="02C1531D"/>
    <w:rsid w:val="02CE17E8"/>
    <w:rsid w:val="02D23172"/>
    <w:rsid w:val="02DB7B66"/>
    <w:rsid w:val="02EE59E6"/>
    <w:rsid w:val="02F1741B"/>
    <w:rsid w:val="02F327FE"/>
    <w:rsid w:val="02F70D3E"/>
    <w:rsid w:val="02FA082F"/>
    <w:rsid w:val="02FF7BF3"/>
    <w:rsid w:val="030516AD"/>
    <w:rsid w:val="030742B1"/>
    <w:rsid w:val="03082F4B"/>
    <w:rsid w:val="030B6598"/>
    <w:rsid w:val="031730D8"/>
    <w:rsid w:val="03312AB1"/>
    <w:rsid w:val="0334789D"/>
    <w:rsid w:val="033D6A23"/>
    <w:rsid w:val="03433F84"/>
    <w:rsid w:val="03667C72"/>
    <w:rsid w:val="03695879"/>
    <w:rsid w:val="036C34DA"/>
    <w:rsid w:val="03710AF1"/>
    <w:rsid w:val="03716D43"/>
    <w:rsid w:val="0374238F"/>
    <w:rsid w:val="03912F41"/>
    <w:rsid w:val="03936CB9"/>
    <w:rsid w:val="039D18E6"/>
    <w:rsid w:val="03AF6D28"/>
    <w:rsid w:val="03B22EB7"/>
    <w:rsid w:val="03BE360A"/>
    <w:rsid w:val="03C230FA"/>
    <w:rsid w:val="03C74BB5"/>
    <w:rsid w:val="03CB3AAB"/>
    <w:rsid w:val="03E05C76"/>
    <w:rsid w:val="03E219EE"/>
    <w:rsid w:val="03E5503B"/>
    <w:rsid w:val="03FD05D6"/>
    <w:rsid w:val="03FF434E"/>
    <w:rsid w:val="042A0CA0"/>
    <w:rsid w:val="042C0EBC"/>
    <w:rsid w:val="04332B6F"/>
    <w:rsid w:val="044A30F0"/>
    <w:rsid w:val="044F0974"/>
    <w:rsid w:val="045B6E63"/>
    <w:rsid w:val="04691907"/>
    <w:rsid w:val="04754611"/>
    <w:rsid w:val="04770389"/>
    <w:rsid w:val="04866E38"/>
    <w:rsid w:val="049D5915"/>
    <w:rsid w:val="04A503F1"/>
    <w:rsid w:val="04AE367F"/>
    <w:rsid w:val="04C42EA2"/>
    <w:rsid w:val="04C7797C"/>
    <w:rsid w:val="04E23328"/>
    <w:rsid w:val="04EB48D3"/>
    <w:rsid w:val="04F75026"/>
    <w:rsid w:val="04F76DD4"/>
    <w:rsid w:val="04F77579"/>
    <w:rsid w:val="04FC43EA"/>
    <w:rsid w:val="04FF3EDA"/>
    <w:rsid w:val="050140F6"/>
    <w:rsid w:val="05065269"/>
    <w:rsid w:val="050B287F"/>
    <w:rsid w:val="050F05C1"/>
    <w:rsid w:val="051408AA"/>
    <w:rsid w:val="051A51B8"/>
    <w:rsid w:val="0528547F"/>
    <w:rsid w:val="05410997"/>
    <w:rsid w:val="05412745"/>
    <w:rsid w:val="05452235"/>
    <w:rsid w:val="05483AD3"/>
    <w:rsid w:val="054A7305"/>
    <w:rsid w:val="054D733B"/>
    <w:rsid w:val="055B3806"/>
    <w:rsid w:val="05634469"/>
    <w:rsid w:val="056621AB"/>
    <w:rsid w:val="056703FD"/>
    <w:rsid w:val="05681A7F"/>
    <w:rsid w:val="056D353A"/>
    <w:rsid w:val="05701C17"/>
    <w:rsid w:val="05760640"/>
    <w:rsid w:val="057B0E7B"/>
    <w:rsid w:val="05840A7B"/>
    <w:rsid w:val="05880374"/>
    <w:rsid w:val="058F525E"/>
    <w:rsid w:val="059C5BCD"/>
    <w:rsid w:val="059E418C"/>
    <w:rsid w:val="05A3087A"/>
    <w:rsid w:val="05A827C4"/>
    <w:rsid w:val="05B20F4D"/>
    <w:rsid w:val="05B747B5"/>
    <w:rsid w:val="05BF1780"/>
    <w:rsid w:val="05D15877"/>
    <w:rsid w:val="05D435B9"/>
    <w:rsid w:val="05D43C2C"/>
    <w:rsid w:val="05E337FC"/>
    <w:rsid w:val="05ED01D7"/>
    <w:rsid w:val="05EF3F4F"/>
    <w:rsid w:val="05F5136D"/>
    <w:rsid w:val="05F652DD"/>
    <w:rsid w:val="05FD666C"/>
    <w:rsid w:val="06085010"/>
    <w:rsid w:val="062C0CFF"/>
    <w:rsid w:val="062C51A3"/>
    <w:rsid w:val="063127B9"/>
    <w:rsid w:val="06314567"/>
    <w:rsid w:val="06317676"/>
    <w:rsid w:val="063876A4"/>
    <w:rsid w:val="06426774"/>
    <w:rsid w:val="0643576B"/>
    <w:rsid w:val="06471FDD"/>
    <w:rsid w:val="06472967"/>
    <w:rsid w:val="06516A5C"/>
    <w:rsid w:val="0661309E"/>
    <w:rsid w:val="06693D01"/>
    <w:rsid w:val="067A7CBC"/>
    <w:rsid w:val="06825418"/>
    <w:rsid w:val="06840B3B"/>
    <w:rsid w:val="068F128E"/>
    <w:rsid w:val="069C46B2"/>
    <w:rsid w:val="069F1AC2"/>
    <w:rsid w:val="06AC1E40"/>
    <w:rsid w:val="06C158EB"/>
    <w:rsid w:val="06CC603E"/>
    <w:rsid w:val="06D01FD2"/>
    <w:rsid w:val="06D25D4A"/>
    <w:rsid w:val="06D27AF8"/>
    <w:rsid w:val="06D373CC"/>
    <w:rsid w:val="06E67100"/>
    <w:rsid w:val="06F061D0"/>
    <w:rsid w:val="06F757B1"/>
    <w:rsid w:val="06FE6B3F"/>
    <w:rsid w:val="070103DE"/>
    <w:rsid w:val="070E48A8"/>
    <w:rsid w:val="07106873"/>
    <w:rsid w:val="071E0F8F"/>
    <w:rsid w:val="07230354"/>
    <w:rsid w:val="072440CC"/>
    <w:rsid w:val="073360BD"/>
    <w:rsid w:val="07373DFF"/>
    <w:rsid w:val="07397B77"/>
    <w:rsid w:val="073A744C"/>
    <w:rsid w:val="074D3623"/>
    <w:rsid w:val="0758473E"/>
    <w:rsid w:val="07585B24"/>
    <w:rsid w:val="075C5D77"/>
    <w:rsid w:val="076A5F83"/>
    <w:rsid w:val="076B5857"/>
    <w:rsid w:val="077B0DE4"/>
    <w:rsid w:val="077C1812"/>
    <w:rsid w:val="07846919"/>
    <w:rsid w:val="078801B7"/>
    <w:rsid w:val="078F37D7"/>
    <w:rsid w:val="07950B26"/>
    <w:rsid w:val="079D5546"/>
    <w:rsid w:val="07A64DE9"/>
    <w:rsid w:val="07A86AAB"/>
    <w:rsid w:val="07AC57C1"/>
    <w:rsid w:val="07BB058C"/>
    <w:rsid w:val="07BC4304"/>
    <w:rsid w:val="07BC5DA1"/>
    <w:rsid w:val="07BE007D"/>
    <w:rsid w:val="07C5765D"/>
    <w:rsid w:val="07D77390"/>
    <w:rsid w:val="0802440D"/>
    <w:rsid w:val="080C703A"/>
    <w:rsid w:val="080D2DB2"/>
    <w:rsid w:val="08123F24"/>
    <w:rsid w:val="08163A15"/>
    <w:rsid w:val="0822060B"/>
    <w:rsid w:val="08283748"/>
    <w:rsid w:val="082F4AD6"/>
    <w:rsid w:val="084E09A2"/>
    <w:rsid w:val="084F6F27"/>
    <w:rsid w:val="08534C69"/>
    <w:rsid w:val="085B3B1D"/>
    <w:rsid w:val="08646E76"/>
    <w:rsid w:val="0874698D"/>
    <w:rsid w:val="087B7D1C"/>
    <w:rsid w:val="087D1CE6"/>
    <w:rsid w:val="087D5842"/>
    <w:rsid w:val="088A4403"/>
    <w:rsid w:val="089B03BE"/>
    <w:rsid w:val="08A41020"/>
    <w:rsid w:val="08D13DE0"/>
    <w:rsid w:val="08D37B58"/>
    <w:rsid w:val="08E21B49"/>
    <w:rsid w:val="08E458C1"/>
    <w:rsid w:val="08E6788B"/>
    <w:rsid w:val="08E753B1"/>
    <w:rsid w:val="08EB074A"/>
    <w:rsid w:val="08EC29C7"/>
    <w:rsid w:val="08F42048"/>
    <w:rsid w:val="08FA0E71"/>
    <w:rsid w:val="090221EB"/>
    <w:rsid w:val="09023F99"/>
    <w:rsid w:val="09061CDB"/>
    <w:rsid w:val="09077801"/>
    <w:rsid w:val="090D306A"/>
    <w:rsid w:val="09127345"/>
    <w:rsid w:val="09175C96"/>
    <w:rsid w:val="09181A0E"/>
    <w:rsid w:val="091C14FF"/>
    <w:rsid w:val="091C32AD"/>
    <w:rsid w:val="0926237D"/>
    <w:rsid w:val="092C7268"/>
    <w:rsid w:val="093002C5"/>
    <w:rsid w:val="09376339"/>
    <w:rsid w:val="093920B1"/>
    <w:rsid w:val="093A1985"/>
    <w:rsid w:val="093C394F"/>
    <w:rsid w:val="09490FA0"/>
    <w:rsid w:val="094B1DE4"/>
    <w:rsid w:val="09581E0B"/>
    <w:rsid w:val="095962AF"/>
    <w:rsid w:val="0963712E"/>
    <w:rsid w:val="098340CC"/>
    <w:rsid w:val="09867D58"/>
    <w:rsid w:val="09880942"/>
    <w:rsid w:val="09954E0D"/>
    <w:rsid w:val="09976DD7"/>
    <w:rsid w:val="09A514F4"/>
    <w:rsid w:val="09AF4121"/>
    <w:rsid w:val="09B5434C"/>
    <w:rsid w:val="09B95C1B"/>
    <w:rsid w:val="09C000DC"/>
    <w:rsid w:val="09C6146A"/>
    <w:rsid w:val="09CA0F5B"/>
    <w:rsid w:val="09CF031F"/>
    <w:rsid w:val="09D122E9"/>
    <w:rsid w:val="09D21BBD"/>
    <w:rsid w:val="09D43B87"/>
    <w:rsid w:val="09D45935"/>
    <w:rsid w:val="09DC47EA"/>
    <w:rsid w:val="09DE0562"/>
    <w:rsid w:val="09E162A4"/>
    <w:rsid w:val="09E33DCA"/>
    <w:rsid w:val="09E518F1"/>
    <w:rsid w:val="09F2225F"/>
    <w:rsid w:val="09F935EE"/>
    <w:rsid w:val="09FB55B8"/>
    <w:rsid w:val="0A0C3321"/>
    <w:rsid w:val="0A110938"/>
    <w:rsid w:val="0A122902"/>
    <w:rsid w:val="0A1641A0"/>
    <w:rsid w:val="0A2F62B9"/>
    <w:rsid w:val="0A3E54A5"/>
    <w:rsid w:val="0A4C1970"/>
    <w:rsid w:val="0A590531"/>
    <w:rsid w:val="0A5D3B7D"/>
    <w:rsid w:val="0A60541B"/>
    <w:rsid w:val="0A6F38B0"/>
    <w:rsid w:val="0A7315F2"/>
    <w:rsid w:val="0A762E91"/>
    <w:rsid w:val="0A782765"/>
    <w:rsid w:val="0A7B04A7"/>
    <w:rsid w:val="0A805DC8"/>
    <w:rsid w:val="0A80786B"/>
    <w:rsid w:val="0A825391"/>
    <w:rsid w:val="0A84735B"/>
    <w:rsid w:val="0A8C7FBE"/>
    <w:rsid w:val="0A8F5D00"/>
    <w:rsid w:val="0A9B46A5"/>
    <w:rsid w:val="0A9F4195"/>
    <w:rsid w:val="0A9F5995"/>
    <w:rsid w:val="0AA2244C"/>
    <w:rsid w:val="0AA239F4"/>
    <w:rsid w:val="0AA51080"/>
    <w:rsid w:val="0AB13EC9"/>
    <w:rsid w:val="0AB15CA1"/>
    <w:rsid w:val="0AB3379D"/>
    <w:rsid w:val="0AB87005"/>
    <w:rsid w:val="0AC37758"/>
    <w:rsid w:val="0AC459AA"/>
    <w:rsid w:val="0AE71698"/>
    <w:rsid w:val="0AEC4F01"/>
    <w:rsid w:val="0AF838A6"/>
    <w:rsid w:val="0B1266AC"/>
    <w:rsid w:val="0B1F7084"/>
    <w:rsid w:val="0B297F03"/>
    <w:rsid w:val="0B30059D"/>
    <w:rsid w:val="0B301291"/>
    <w:rsid w:val="0B32572E"/>
    <w:rsid w:val="0B3D39AE"/>
    <w:rsid w:val="0B3F3282"/>
    <w:rsid w:val="0B4B1C27"/>
    <w:rsid w:val="0B50723E"/>
    <w:rsid w:val="0B6D609B"/>
    <w:rsid w:val="0B766793"/>
    <w:rsid w:val="0B8654C7"/>
    <w:rsid w:val="0B9051E2"/>
    <w:rsid w:val="0B9623F0"/>
    <w:rsid w:val="0B986D64"/>
    <w:rsid w:val="0B9F3D21"/>
    <w:rsid w:val="0BA24760"/>
    <w:rsid w:val="0BA27697"/>
    <w:rsid w:val="0BA8707A"/>
    <w:rsid w:val="0BAA1044"/>
    <w:rsid w:val="0BB21CA6"/>
    <w:rsid w:val="0BC55E7E"/>
    <w:rsid w:val="0BC8771C"/>
    <w:rsid w:val="0BDC4F75"/>
    <w:rsid w:val="0BE04A65"/>
    <w:rsid w:val="0BE46C14"/>
    <w:rsid w:val="0BF202F5"/>
    <w:rsid w:val="0BF422BF"/>
    <w:rsid w:val="0BFC5617"/>
    <w:rsid w:val="0BFE4EEC"/>
    <w:rsid w:val="0BFF0B93"/>
    <w:rsid w:val="0C012C2E"/>
    <w:rsid w:val="0C061FF2"/>
    <w:rsid w:val="0C112E71"/>
    <w:rsid w:val="0C1E558E"/>
    <w:rsid w:val="0C3923C8"/>
    <w:rsid w:val="0C3B1C9C"/>
    <w:rsid w:val="0C3C5A14"/>
    <w:rsid w:val="0C523489"/>
    <w:rsid w:val="0C526FE5"/>
    <w:rsid w:val="0C542D5E"/>
    <w:rsid w:val="0C6C454B"/>
    <w:rsid w:val="0C6D5C48"/>
    <w:rsid w:val="0C796C68"/>
    <w:rsid w:val="0C807FF6"/>
    <w:rsid w:val="0C8278CB"/>
    <w:rsid w:val="0C8D626F"/>
    <w:rsid w:val="0C9E047D"/>
    <w:rsid w:val="0CAA0BCF"/>
    <w:rsid w:val="0CAA5073"/>
    <w:rsid w:val="0CAE6912"/>
    <w:rsid w:val="0CB33F28"/>
    <w:rsid w:val="0CB63A18"/>
    <w:rsid w:val="0CC53C5B"/>
    <w:rsid w:val="0CC61477"/>
    <w:rsid w:val="0CC7692F"/>
    <w:rsid w:val="0CCF1B18"/>
    <w:rsid w:val="0CD10852"/>
    <w:rsid w:val="0CDF4D1D"/>
    <w:rsid w:val="0D026C5D"/>
    <w:rsid w:val="0D0D2949"/>
    <w:rsid w:val="0D2546FA"/>
    <w:rsid w:val="0D2766C4"/>
    <w:rsid w:val="0D2B1312"/>
    <w:rsid w:val="0D2C3CDA"/>
    <w:rsid w:val="0D2C5A88"/>
    <w:rsid w:val="0D307327"/>
    <w:rsid w:val="0D470B14"/>
    <w:rsid w:val="0D4869EC"/>
    <w:rsid w:val="0D4A5F0F"/>
    <w:rsid w:val="0D505C1B"/>
    <w:rsid w:val="0D58687D"/>
    <w:rsid w:val="0D613984"/>
    <w:rsid w:val="0D645222"/>
    <w:rsid w:val="0D690A8B"/>
    <w:rsid w:val="0D6B4803"/>
    <w:rsid w:val="0D703BC7"/>
    <w:rsid w:val="0D737D07"/>
    <w:rsid w:val="0D9231E6"/>
    <w:rsid w:val="0DAD4E1B"/>
    <w:rsid w:val="0DB461AA"/>
    <w:rsid w:val="0DCE4AEA"/>
    <w:rsid w:val="0DCE6B40"/>
    <w:rsid w:val="0DD423A8"/>
    <w:rsid w:val="0DD73C46"/>
    <w:rsid w:val="0DDA3736"/>
    <w:rsid w:val="0DDA54E4"/>
    <w:rsid w:val="0DE40111"/>
    <w:rsid w:val="0DE64201"/>
    <w:rsid w:val="0DEB14A0"/>
    <w:rsid w:val="0DF5231E"/>
    <w:rsid w:val="0DF93BBD"/>
    <w:rsid w:val="0E0B7D94"/>
    <w:rsid w:val="0E0E518E"/>
    <w:rsid w:val="0E1704E7"/>
    <w:rsid w:val="0E1F65D3"/>
    <w:rsid w:val="0E214EC1"/>
    <w:rsid w:val="0E2449B2"/>
    <w:rsid w:val="0E2826F4"/>
    <w:rsid w:val="0E2965CE"/>
    <w:rsid w:val="0E2C21E4"/>
    <w:rsid w:val="0E370B89"/>
    <w:rsid w:val="0E370ED7"/>
    <w:rsid w:val="0E427C91"/>
    <w:rsid w:val="0E43752E"/>
    <w:rsid w:val="0E4B63E2"/>
    <w:rsid w:val="0E5B6625"/>
    <w:rsid w:val="0E83792A"/>
    <w:rsid w:val="0E9E4764"/>
    <w:rsid w:val="0EAA7E23"/>
    <w:rsid w:val="0EAE7EF9"/>
    <w:rsid w:val="0EB83A78"/>
    <w:rsid w:val="0EBC4BEA"/>
    <w:rsid w:val="0EC51CF1"/>
    <w:rsid w:val="0EC56195"/>
    <w:rsid w:val="0EC817E1"/>
    <w:rsid w:val="0ED63EFE"/>
    <w:rsid w:val="0ED71A24"/>
    <w:rsid w:val="0EDB39C9"/>
    <w:rsid w:val="0EEF6D6E"/>
    <w:rsid w:val="0EF645A0"/>
    <w:rsid w:val="0F022F45"/>
    <w:rsid w:val="0F0767AD"/>
    <w:rsid w:val="0F0F11BE"/>
    <w:rsid w:val="0F114F36"/>
    <w:rsid w:val="0F152C78"/>
    <w:rsid w:val="0F16254C"/>
    <w:rsid w:val="0F242EBB"/>
    <w:rsid w:val="0F362BEE"/>
    <w:rsid w:val="0F3F7CF5"/>
    <w:rsid w:val="0F451083"/>
    <w:rsid w:val="0F4A0448"/>
    <w:rsid w:val="0F5337A0"/>
    <w:rsid w:val="0F5372FC"/>
    <w:rsid w:val="0F543075"/>
    <w:rsid w:val="0F6459AD"/>
    <w:rsid w:val="0F6634D4"/>
    <w:rsid w:val="0F6E2388"/>
    <w:rsid w:val="0F73174D"/>
    <w:rsid w:val="0F76123D"/>
    <w:rsid w:val="0F7F0965"/>
    <w:rsid w:val="0F827BE2"/>
    <w:rsid w:val="0F895414"/>
    <w:rsid w:val="0F8C6CB2"/>
    <w:rsid w:val="0F9811B3"/>
    <w:rsid w:val="0F9D094B"/>
    <w:rsid w:val="0FA04CB8"/>
    <w:rsid w:val="0FA11C4F"/>
    <w:rsid w:val="0FA83B17"/>
    <w:rsid w:val="0FA933C0"/>
    <w:rsid w:val="0FAE4E7B"/>
    <w:rsid w:val="0FC300EF"/>
    <w:rsid w:val="0FD348E1"/>
    <w:rsid w:val="0FD52407"/>
    <w:rsid w:val="0FDC19E8"/>
    <w:rsid w:val="0FEF171B"/>
    <w:rsid w:val="0FFA3C1C"/>
    <w:rsid w:val="0FFF1232"/>
    <w:rsid w:val="10044A9B"/>
    <w:rsid w:val="100A3754"/>
    <w:rsid w:val="10101691"/>
    <w:rsid w:val="10280639"/>
    <w:rsid w:val="102F58A8"/>
    <w:rsid w:val="105A290D"/>
    <w:rsid w:val="10645539"/>
    <w:rsid w:val="106D2640"/>
    <w:rsid w:val="10806817"/>
    <w:rsid w:val="108F3EB7"/>
    <w:rsid w:val="10914580"/>
    <w:rsid w:val="10961B97"/>
    <w:rsid w:val="10B464C1"/>
    <w:rsid w:val="10B75C87"/>
    <w:rsid w:val="10D91A83"/>
    <w:rsid w:val="10DE709A"/>
    <w:rsid w:val="10E5667A"/>
    <w:rsid w:val="10F13271"/>
    <w:rsid w:val="10F66AD9"/>
    <w:rsid w:val="10F945B7"/>
    <w:rsid w:val="110034B4"/>
    <w:rsid w:val="11034D52"/>
    <w:rsid w:val="11036B00"/>
    <w:rsid w:val="11056D1C"/>
    <w:rsid w:val="110F36F7"/>
    <w:rsid w:val="110F7B9B"/>
    <w:rsid w:val="11145FBB"/>
    <w:rsid w:val="111807FE"/>
    <w:rsid w:val="11186A50"/>
    <w:rsid w:val="111948CF"/>
    <w:rsid w:val="111B209C"/>
    <w:rsid w:val="111D7BC2"/>
    <w:rsid w:val="112E6273"/>
    <w:rsid w:val="113413B0"/>
    <w:rsid w:val="11380EA0"/>
    <w:rsid w:val="1142587A"/>
    <w:rsid w:val="114535BD"/>
    <w:rsid w:val="114710E3"/>
    <w:rsid w:val="114E2471"/>
    <w:rsid w:val="114F61E9"/>
    <w:rsid w:val="115F642C"/>
    <w:rsid w:val="116457F1"/>
    <w:rsid w:val="116577BB"/>
    <w:rsid w:val="11692E07"/>
    <w:rsid w:val="116C28F7"/>
    <w:rsid w:val="11785740"/>
    <w:rsid w:val="11943BFC"/>
    <w:rsid w:val="119B31DD"/>
    <w:rsid w:val="11A93B4C"/>
    <w:rsid w:val="11B12A00"/>
    <w:rsid w:val="11B81FE1"/>
    <w:rsid w:val="11CC3396"/>
    <w:rsid w:val="11CC783A"/>
    <w:rsid w:val="11CE710E"/>
    <w:rsid w:val="11D02E86"/>
    <w:rsid w:val="11D95B37"/>
    <w:rsid w:val="11DB3977"/>
    <w:rsid w:val="11DD1A47"/>
    <w:rsid w:val="11E2701D"/>
    <w:rsid w:val="11E3705D"/>
    <w:rsid w:val="11E372EB"/>
    <w:rsid w:val="11F052D6"/>
    <w:rsid w:val="12045226"/>
    <w:rsid w:val="12047FC4"/>
    <w:rsid w:val="12097BB6"/>
    <w:rsid w:val="1212349F"/>
    <w:rsid w:val="121420F8"/>
    <w:rsid w:val="121D1E44"/>
    <w:rsid w:val="1230601B"/>
    <w:rsid w:val="12490E8B"/>
    <w:rsid w:val="12531755"/>
    <w:rsid w:val="125A6BF4"/>
    <w:rsid w:val="12677DCE"/>
    <w:rsid w:val="12704669"/>
    <w:rsid w:val="12745F08"/>
    <w:rsid w:val="12751C80"/>
    <w:rsid w:val="128B14A3"/>
    <w:rsid w:val="128B3251"/>
    <w:rsid w:val="128D6FC9"/>
    <w:rsid w:val="12902616"/>
    <w:rsid w:val="1297339E"/>
    <w:rsid w:val="129974AA"/>
    <w:rsid w:val="129C0FBA"/>
    <w:rsid w:val="12A14823"/>
    <w:rsid w:val="12A61E39"/>
    <w:rsid w:val="12B11C20"/>
    <w:rsid w:val="12BA604F"/>
    <w:rsid w:val="12CA08F2"/>
    <w:rsid w:val="12CD386A"/>
    <w:rsid w:val="12CF313E"/>
    <w:rsid w:val="12DE7825"/>
    <w:rsid w:val="12E070F9"/>
    <w:rsid w:val="12E666D9"/>
    <w:rsid w:val="12EF778D"/>
    <w:rsid w:val="12F708E7"/>
    <w:rsid w:val="130F3E82"/>
    <w:rsid w:val="13141499"/>
    <w:rsid w:val="13280AA0"/>
    <w:rsid w:val="132C4AE6"/>
    <w:rsid w:val="13392CAD"/>
    <w:rsid w:val="134578A4"/>
    <w:rsid w:val="134F427F"/>
    <w:rsid w:val="13516249"/>
    <w:rsid w:val="13541895"/>
    <w:rsid w:val="135D699C"/>
    <w:rsid w:val="135E2714"/>
    <w:rsid w:val="13750189"/>
    <w:rsid w:val="13765CAF"/>
    <w:rsid w:val="13877EBC"/>
    <w:rsid w:val="139A199E"/>
    <w:rsid w:val="139F5206"/>
    <w:rsid w:val="13BB36C2"/>
    <w:rsid w:val="13C06F2A"/>
    <w:rsid w:val="13C24A51"/>
    <w:rsid w:val="13C46A1B"/>
    <w:rsid w:val="13C609E5"/>
    <w:rsid w:val="13CC58CF"/>
    <w:rsid w:val="13D628C0"/>
    <w:rsid w:val="13E62E35"/>
    <w:rsid w:val="13E7683E"/>
    <w:rsid w:val="13E76BAD"/>
    <w:rsid w:val="13EE1CEA"/>
    <w:rsid w:val="13EE3752"/>
    <w:rsid w:val="13FD1F2D"/>
    <w:rsid w:val="14096B23"/>
    <w:rsid w:val="140E5EE8"/>
    <w:rsid w:val="14123C2A"/>
    <w:rsid w:val="141A488D"/>
    <w:rsid w:val="141D25CF"/>
    <w:rsid w:val="14221993"/>
    <w:rsid w:val="142C45C0"/>
    <w:rsid w:val="14397409"/>
    <w:rsid w:val="1448764C"/>
    <w:rsid w:val="144E2788"/>
    <w:rsid w:val="145C4EA5"/>
    <w:rsid w:val="14787805"/>
    <w:rsid w:val="148B307B"/>
    <w:rsid w:val="1493260E"/>
    <w:rsid w:val="1497412F"/>
    <w:rsid w:val="14975EDD"/>
    <w:rsid w:val="14977A74"/>
    <w:rsid w:val="149A3C1F"/>
    <w:rsid w:val="149E726C"/>
    <w:rsid w:val="14A405FA"/>
    <w:rsid w:val="14AC1432"/>
    <w:rsid w:val="14B051F1"/>
    <w:rsid w:val="14B06F9F"/>
    <w:rsid w:val="14B974C3"/>
    <w:rsid w:val="14C447F8"/>
    <w:rsid w:val="14C52A4A"/>
    <w:rsid w:val="14CA62B3"/>
    <w:rsid w:val="14D30834"/>
    <w:rsid w:val="14E135FC"/>
    <w:rsid w:val="14E54E9B"/>
    <w:rsid w:val="14E61306"/>
    <w:rsid w:val="14EA0703"/>
    <w:rsid w:val="14FE7D0A"/>
    <w:rsid w:val="15007F26"/>
    <w:rsid w:val="15015A4D"/>
    <w:rsid w:val="151C63E2"/>
    <w:rsid w:val="15393438"/>
    <w:rsid w:val="1551198D"/>
    <w:rsid w:val="15541CD3"/>
    <w:rsid w:val="155D0ED5"/>
    <w:rsid w:val="15632263"/>
    <w:rsid w:val="156A1844"/>
    <w:rsid w:val="15784C83"/>
    <w:rsid w:val="15791A87"/>
    <w:rsid w:val="15973CBB"/>
    <w:rsid w:val="15A22D8C"/>
    <w:rsid w:val="15B12FCF"/>
    <w:rsid w:val="15B605E5"/>
    <w:rsid w:val="15BA4A5C"/>
    <w:rsid w:val="15BB209F"/>
    <w:rsid w:val="15BB3E4D"/>
    <w:rsid w:val="15C03212"/>
    <w:rsid w:val="15C05BFB"/>
    <w:rsid w:val="15C34A07"/>
    <w:rsid w:val="15C727F2"/>
    <w:rsid w:val="15C745A0"/>
    <w:rsid w:val="15D148D2"/>
    <w:rsid w:val="15E45152"/>
    <w:rsid w:val="15F35395"/>
    <w:rsid w:val="15FF1F8C"/>
    <w:rsid w:val="160F7CF5"/>
    <w:rsid w:val="16111CBF"/>
    <w:rsid w:val="16112F8C"/>
    <w:rsid w:val="16117F11"/>
    <w:rsid w:val="161517B0"/>
    <w:rsid w:val="161F618A"/>
    <w:rsid w:val="162419F3"/>
    <w:rsid w:val="162E2871"/>
    <w:rsid w:val="163A1216"/>
    <w:rsid w:val="164B6F7F"/>
    <w:rsid w:val="165C73DE"/>
    <w:rsid w:val="165F0C7D"/>
    <w:rsid w:val="165F6ECF"/>
    <w:rsid w:val="166149F5"/>
    <w:rsid w:val="16677B31"/>
    <w:rsid w:val="166B13D0"/>
    <w:rsid w:val="166B7621"/>
    <w:rsid w:val="166E7112"/>
    <w:rsid w:val="16730284"/>
    <w:rsid w:val="16781D3E"/>
    <w:rsid w:val="167C538B"/>
    <w:rsid w:val="168129A1"/>
    <w:rsid w:val="16832BBD"/>
    <w:rsid w:val="169052DA"/>
    <w:rsid w:val="169F72CB"/>
    <w:rsid w:val="16A14DF1"/>
    <w:rsid w:val="16A668AC"/>
    <w:rsid w:val="16A6744E"/>
    <w:rsid w:val="16AB5C70"/>
    <w:rsid w:val="16BC7E7D"/>
    <w:rsid w:val="16BE3BF5"/>
    <w:rsid w:val="16C60CFC"/>
    <w:rsid w:val="16CB00C0"/>
    <w:rsid w:val="16D231FD"/>
    <w:rsid w:val="16DC6DF7"/>
    <w:rsid w:val="16E573D4"/>
    <w:rsid w:val="16F615E1"/>
    <w:rsid w:val="16F77107"/>
    <w:rsid w:val="16FE3FF2"/>
    <w:rsid w:val="17011D34"/>
    <w:rsid w:val="172C5003"/>
    <w:rsid w:val="173C2D6C"/>
    <w:rsid w:val="1740460A"/>
    <w:rsid w:val="174165D4"/>
    <w:rsid w:val="17424826"/>
    <w:rsid w:val="174D4F79"/>
    <w:rsid w:val="175400B6"/>
    <w:rsid w:val="17555BDC"/>
    <w:rsid w:val="1759391E"/>
    <w:rsid w:val="175C51BC"/>
    <w:rsid w:val="175D340E"/>
    <w:rsid w:val="176D73C9"/>
    <w:rsid w:val="177469AA"/>
    <w:rsid w:val="17771FF6"/>
    <w:rsid w:val="17792D0D"/>
    <w:rsid w:val="1783099B"/>
    <w:rsid w:val="17944956"/>
    <w:rsid w:val="17A032FB"/>
    <w:rsid w:val="17A42169"/>
    <w:rsid w:val="17A56B63"/>
    <w:rsid w:val="17AD77C6"/>
    <w:rsid w:val="17B1375A"/>
    <w:rsid w:val="17CC2342"/>
    <w:rsid w:val="17CF598E"/>
    <w:rsid w:val="17D9680D"/>
    <w:rsid w:val="17DA3589"/>
    <w:rsid w:val="17DD454F"/>
    <w:rsid w:val="17DE6207"/>
    <w:rsid w:val="17E22656"/>
    <w:rsid w:val="17F51899"/>
    <w:rsid w:val="18000A51"/>
    <w:rsid w:val="18025D64"/>
    <w:rsid w:val="180B10BC"/>
    <w:rsid w:val="180E295A"/>
    <w:rsid w:val="18141FD9"/>
    <w:rsid w:val="18172C46"/>
    <w:rsid w:val="18187335"/>
    <w:rsid w:val="181A12FF"/>
    <w:rsid w:val="181B6E25"/>
    <w:rsid w:val="181F6915"/>
    <w:rsid w:val="18267CA4"/>
    <w:rsid w:val="182A7068"/>
    <w:rsid w:val="18422604"/>
    <w:rsid w:val="184E2D57"/>
    <w:rsid w:val="18510A99"/>
    <w:rsid w:val="18561D8C"/>
    <w:rsid w:val="18566873"/>
    <w:rsid w:val="18567E5D"/>
    <w:rsid w:val="18697B91"/>
    <w:rsid w:val="186B56B7"/>
    <w:rsid w:val="186D58D3"/>
    <w:rsid w:val="186E164B"/>
    <w:rsid w:val="18711C44"/>
    <w:rsid w:val="1878315A"/>
    <w:rsid w:val="187A1D9E"/>
    <w:rsid w:val="188D1AD1"/>
    <w:rsid w:val="18915A15"/>
    <w:rsid w:val="189664AC"/>
    <w:rsid w:val="189C1D14"/>
    <w:rsid w:val="18A62129"/>
    <w:rsid w:val="18A706B9"/>
    <w:rsid w:val="18A94431"/>
    <w:rsid w:val="18B90B18"/>
    <w:rsid w:val="18C1177B"/>
    <w:rsid w:val="18D53221"/>
    <w:rsid w:val="18DD23DD"/>
    <w:rsid w:val="18E15979"/>
    <w:rsid w:val="18E216F1"/>
    <w:rsid w:val="18E35B95"/>
    <w:rsid w:val="18ED6A14"/>
    <w:rsid w:val="190B6E9A"/>
    <w:rsid w:val="191044B0"/>
    <w:rsid w:val="1917583F"/>
    <w:rsid w:val="191B532F"/>
    <w:rsid w:val="191D7DDA"/>
    <w:rsid w:val="19216677"/>
    <w:rsid w:val="192A5572"/>
    <w:rsid w:val="192F4936"/>
    <w:rsid w:val="19341F4D"/>
    <w:rsid w:val="19404D95"/>
    <w:rsid w:val="19566367"/>
    <w:rsid w:val="19573E8D"/>
    <w:rsid w:val="195A6784"/>
    <w:rsid w:val="195C76F5"/>
    <w:rsid w:val="195E16BF"/>
    <w:rsid w:val="19650358"/>
    <w:rsid w:val="19670574"/>
    <w:rsid w:val="1977008B"/>
    <w:rsid w:val="198527A8"/>
    <w:rsid w:val="19960E59"/>
    <w:rsid w:val="19AD7F51"/>
    <w:rsid w:val="19AE61A3"/>
    <w:rsid w:val="19AF5A77"/>
    <w:rsid w:val="19BB50AC"/>
    <w:rsid w:val="19C05ED6"/>
    <w:rsid w:val="19C07C84"/>
    <w:rsid w:val="19C5529B"/>
    <w:rsid w:val="19C808E7"/>
    <w:rsid w:val="19C9685F"/>
    <w:rsid w:val="19D76D7C"/>
    <w:rsid w:val="19DB2B9E"/>
    <w:rsid w:val="19E219A9"/>
    <w:rsid w:val="19E35721"/>
    <w:rsid w:val="19EC6CCB"/>
    <w:rsid w:val="1A07140F"/>
    <w:rsid w:val="1A0933D9"/>
    <w:rsid w:val="1A09478B"/>
    <w:rsid w:val="1A0C2EC9"/>
    <w:rsid w:val="1A0C4C78"/>
    <w:rsid w:val="1A0F29BA"/>
    <w:rsid w:val="1A1104E0"/>
    <w:rsid w:val="1A141D7E"/>
    <w:rsid w:val="1A1A2CB5"/>
    <w:rsid w:val="1A1B4EBB"/>
    <w:rsid w:val="1A3348FA"/>
    <w:rsid w:val="1A3379F8"/>
    <w:rsid w:val="1A400DC5"/>
    <w:rsid w:val="1A441FF9"/>
    <w:rsid w:val="1A457223"/>
    <w:rsid w:val="1A4B1C44"/>
    <w:rsid w:val="1A5B79AD"/>
    <w:rsid w:val="1A5F56EF"/>
    <w:rsid w:val="1A6525DA"/>
    <w:rsid w:val="1A732F49"/>
    <w:rsid w:val="1A734E8B"/>
    <w:rsid w:val="1A78230D"/>
    <w:rsid w:val="1A7F5449"/>
    <w:rsid w:val="1A8A3DEE"/>
    <w:rsid w:val="1AA11EB5"/>
    <w:rsid w:val="1AA44EB0"/>
    <w:rsid w:val="1AAE21D3"/>
    <w:rsid w:val="1AB8095B"/>
    <w:rsid w:val="1ABC044C"/>
    <w:rsid w:val="1AC34156"/>
    <w:rsid w:val="1AC94917"/>
    <w:rsid w:val="1ACE017F"/>
    <w:rsid w:val="1AE6196C"/>
    <w:rsid w:val="1AE654C9"/>
    <w:rsid w:val="1AEB6F83"/>
    <w:rsid w:val="1AEC6857"/>
    <w:rsid w:val="1AEF468E"/>
    <w:rsid w:val="1AF37BE5"/>
    <w:rsid w:val="1AF9174A"/>
    <w:rsid w:val="1AFC4CEC"/>
    <w:rsid w:val="1B005AA3"/>
    <w:rsid w:val="1B0E2C71"/>
    <w:rsid w:val="1B177D78"/>
    <w:rsid w:val="1B2129A5"/>
    <w:rsid w:val="1B2A153B"/>
    <w:rsid w:val="1B2F0E01"/>
    <w:rsid w:val="1B3A3A66"/>
    <w:rsid w:val="1B3A75C2"/>
    <w:rsid w:val="1B3C158C"/>
    <w:rsid w:val="1B561DD6"/>
    <w:rsid w:val="1B5C39DD"/>
    <w:rsid w:val="1B5E7755"/>
    <w:rsid w:val="1B617245"/>
    <w:rsid w:val="1B6478FB"/>
    <w:rsid w:val="1B697EA8"/>
    <w:rsid w:val="1B6B3C20"/>
    <w:rsid w:val="1B770817"/>
    <w:rsid w:val="1B7C5E2D"/>
    <w:rsid w:val="1B8F5B60"/>
    <w:rsid w:val="1B9051DB"/>
    <w:rsid w:val="1B9969DF"/>
    <w:rsid w:val="1BA03226"/>
    <w:rsid w:val="1BA55384"/>
    <w:rsid w:val="1BB27C53"/>
    <w:rsid w:val="1BB90E2F"/>
    <w:rsid w:val="1BBD091F"/>
    <w:rsid w:val="1BDC3A6D"/>
    <w:rsid w:val="1BE834C2"/>
    <w:rsid w:val="1BEA2D97"/>
    <w:rsid w:val="1BEC4D61"/>
    <w:rsid w:val="1BF105C9"/>
    <w:rsid w:val="1BF260EF"/>
    <w:rsid w:val="1C0227D6"/>
    <w:rsid w:val="1C057BD0"/>
    <w:rsid w:val="1C077DEC"/>
    <w:rsid w:val="1C277060"/>
    <w:rsid w:val="1C2E35CB"/>
    <w:rsid w:val="1C2F2E9F"/>
    <w:rsid w:val="1C3503ED"/>
    <w:rsid w:val="1C381D54"/>
    <w:rsid w:val="1C44694B"/>
    <w:rsid w:val="1C4526C3"/>
    <w:rsid w:val="1C5B07CA"/>
    <w:rsid w:val="1C5B3C94"/>
    <w:rsid w:val="1C5E5533"/>
    <w:rsid w:val="1C5E7E41"/>
    <w:rsid w:val="1C67088B"/>
    <w:rsid w:val="1C705992"/>
    <w:rsid w:val="1C766D20"/>
    <w:rsid w:val="1C844F99"/>
    <w:rsid w:val="1C870A91"/>
    <w:rsid w:val="1C890801"/>
    <w:rsid w:val="1C8E7BC6"/>
    <w:rsid w:val="1C907DE2"/>
    <w:rsid w:val="1C9A2A0F"/>
    <w:rsid w:val="1C9D24FF"/>
    <w:rsid w:val="1CA23671"/>
    <w:rsid w:val="1CAB4C1C"/>
    <w:rsid w:val="1CD06430"/>
    <w:rsid w:val="1CED6FE2"/>
    <w:rsid w:val="1CF00880"/>
    <w:rsid w:val="1D047715"/>
    <w:rsid w:val="1D126A49"/>
    <w:rsid w:val="1D1A3B4F"/>
    <w:rsid w:val="1D2B18B9"/>
    <w:rsid w:val="1D344C11"/>
    <w:rsid w:val="1D352737"/>
    <w:rsid w:val="1D3A4C2A"/>
    <w:rsid w:val="1D42724D"/>
    <w:rsid w:val="1D491D3F"/>
    <w:rsid w:val="1D4E37F9"/>
    <w:rsid w:val="1D507571"/>
    <w:rsid w:val="1D526E45"/>
    <w:rsid w:val="1D540E0F"/>
    <w:rsid w:val="1D596426"/>
    <w:rsid w:val="1D7414B2"/>
    <w:rsid w:val="1D77045C"/>
    <w:rsid w:val="1D8343B6"/>
    <w:rsid w:val="1D880AB9"/>
    <w:rsid w:val="1D896CCA"/>
    <w:rsid w:val="1D8D2573"/>
    <w:rsid w:val="1D9C1DCD"/>
    <w:rsid w:val="1D9F24E2"/>
    <w:rsid w:val="1DA5166B"/>
    <w:rsid w:val="1DA63635"/>
    <w:rsid w:val="1DAC0C4B"/>
    <w:rsid w:val="1DAF647B"/>
    <w:rsid w:val="1DB25B36"/>
    <w:rsid w:val="1DB6149E"/>
    <w:rsid w:val="1DCD471E"/>
    <w:rsid w:val="1DDE4B7D"/>
    <w:rsid w:val="1DDF4451"/>
    <w:rsid w:val="1DE026A3"/>
    <w:rsid w:val="1DE657E0"/>
    <w:rsid w:val="1DE859FC"/>
    <w:rsid w:val="1DF148B0"/>
    <w:rsid w:val="1DFD14A7"/>
    <w:rsid w:val="1DFE521F"/>
    <w:rsid w:val="1E010371"/>
    <w:rsid w:val="1E081BFA"/>
    <w:rsid w:val="1E0F2F88"/>
    <w:rsid w:val="1E1B7B7F"/>
    <w:rsid w:val="1E37428D"/>
    <w:rsid w:val="1E42510C"/>
    <w:rsid w:val="1E682698"/>
    <w:rsid w:val="1E793B0D"/>
    <w:rsid w:val="1E7948A6"/>
    <w:rsid w:val="1E7B061E"/>
    <w:rsid w:val="1E85324A"/>
    <w:rsid w:val="1E876FC3"/>
    <w:rsid w:val="1E8A0861"/>
    <w:rsid w:val="1E9048DA"/>
    <w:rsid w:val="1E960FB4"/>
    <w:rsid w:val="1E96319D"/>
    <w:rsid w:val="1E990AA4"/>
    <w:rsid w:val="1E9D2342"/>
    <w:rsid w:val="1EA01E32"/>
    <w:rsid w:val="1EB623F9"/>
    <w:rsid w:val="1EBA7398"/>
    <w:rsid w:val="1ED41ADC"/>
    <w:rsid w:val="1ED815CC"/>
    <w:rsid w:val="1EE6018D"/>
    <w:rsid w:val="1EEB57A3"/>
    <w:rsid w:val="1EF81C6E"/>
    <w:rsid w:val="1F0625DD"/>
    <w:rsid w:val="1F073C5F"/>
    <w:rsid w:val="1F0B19A2"/>
    <w:rsid w:val="1F100D66"/>
    <w:rsid w:val="1F176598"/>
    <w:rsid w:val="1F185E6D"/>
    <w:rsid w:val="1F1B770B"/>
    <w:rsid w:val="1F240CB5"/>
    <w:rsid w:val="1F244811"/>
    <w:rsid w:val="1F443106"/>
    <w:rsid w:val="1F46080D"/>
    <w:rsid w:val="1F5275D0"/>
    <w:rsid w:val="1F6317DE"/>
    <w:rsid w:val="1F69491A"/>
    <w:rsid w:val="1F7312F5"/>
    <w:rsid w:val="1F745799"/>
    <w:rsid w:val="1F882FF2"/>
    <w:rsid w:val="1F884DA0"/>
    <w:rsid w:val="1F903C55"/>
    <w:rsid w:val="1F9262CB"/>
    <w:rsid w:val="1FA77DFF"/>
    <w:rsid w:val="1FAB0A8F"/>
    <w:rsid w:val="1FAD2A59"/>
    <w:rsid w:val="1FB21E1D"/>
    <w:rsid w:val="1FC16504"/>
    <w:rsid w:val="1FC21ED8"/>
    <w:rsid w:val="1FC658C9"/>
    <w:rsid w:val="1FC81641"/>
    <w:rsid w:val="1FCA53B9"/>
    <w:rsid w:val="1FED72F9"/>
    <w:rsid w:val="2006261A"/>
    <w:rsid w:val="200B4F01"/>
    <w:rsid w:val="200F7270"/>
    <w:rsid w:val="20196340"/>
    <w:rsid w:val="20232D1B"/>
    <w:rsid w:val="20234AC9"/>
    <w:rsid w:val="20250841"/>
    <w:rsid w:val="202F16C0"/>
    <w:rsid w:val="2031368A"/>
    <w:rsid w:val="203B1E13"/>
    <w:rsid w:val="20450EE3"/>
    <w:rsid w:val="2059498F"/>
    <w:rsid w:val="20607ACB"/>
    <w:rsid w:val="206550E2"/>
    <w:rsid w:val="20665FED"/>
    <w:rsid w:val="207F2647"/>
    <w:rsid w:val="20956B1A"/>
    <w:rsid w:val="209D487B"/>
    <w:rsid w:val="20A53730"/>
    <w:rsid w:val="20A756FA"/>
    <w:rsid w:val="20AC0F62"/>
    <w:rsid w:val="20B71B63"/>
    <w:rsid w:val="20B816B5"/>
    <w:rsid w:val="20D61B3B"/>
    <w:rsid w:val="20DD736E"/>
    <w:rsid w:val="20E406FC"/>
    <w:rsid w:val="20E6661F"/>
    <w:rsid w:val="20EA3839"/>
    <w:rsid w:val="20EB1A8B"/>
    <w:rsid w:val="20EC49FE"/>
    <w:rsid w:val="20F070A1"/>
    <w:rsid w:val="20F52909"/>
    <w:rsid w:val="20FD356C"/>
    <w:rsid w:val="20FF72E4"/>
    <w:rsid w:val="21020B82"/>
    <w:rsid w:val="210D392C"/>
    <w:rsid w:val="210E5779"/>
    <w:rsid w:val="21132D8F"/>
    <w:rsid w:val="21277532"/>
    <w:rsid w:val="212A1E87"/>
    <w:rsid w:val="21423675"/>
    <w:rsid w:val="21476795"/>
    <w:rsid w:val="21486EDD"/>
    <w:rsid w:val="21594C05"/>
    <w:rsid w:val="21680866"/>
    <w:rsid w:val="216B497A"/>
    <w:rsid w:val="217750CC"/>
    <w:rsid w:val="217E28FF"/>
    <w:rsid w:val="218477E9"/>
    <w:rsid w:val="218E0668"/>
    <w:rsid w:val="2197576F"/>
    <w:rsid w:val="219914E7"/>
    <w:rsid w:val="219C0FD7"/>
    <w:rsid w:val="219E6AFD"/>
    <w:rsid w:val="21AB121A"/>
    <w:rsid w:val="21B93937"/>
    <w:rsid w:val="21BC3427"/>
    <w:rsid w:val="21BE2CFB"/>
    <w:rsid w:val="21C347B6"/>
    <w:rsid w:val="21CB366A"/>
    <w:rsid w:val="21DA38AD"/>
    <w:rsid w:val="21DC7625"/>
    <w:rsid w:val="21F77FBB"/>
    <w:rsid w:val="21F901D7"/>
    <w:rsid w:val="22196E21"/>
    <w:rsid w:val="2228687C"/>
    <w:rsid w:val="22364F87"/>
    <w:rsid w:val="22460F43"/>
    <w:rsid w:val="22482F0D"/>
    <w:rsid w:val="224F429B"/>
    <w:rsid w:val="22501E8E"/>
    <w:rsid w:val="22521696"/>
    <w:rsid w:val="22573150"/>
    <w:rsid w:val="226D707F"/>
    <w:rsid w:val="22714212"/>
    <w:rsid w:val="22745AB0"/>
    <w:rsid w:val="22765384"/>
    <w:rsid w:val="227B299A"/>
    <w:rsid w:val="227D2BB6"/>
    <w:rsid w:val="228A7081"/>
    <w:rsid w:val="229879F0"/>
    <w:rsid w:val="229B303C"/>
    <w:rsid w:val="229D5007"/>
    <w:rsid w:val="22A068A5"/>
    <w:rsid w:val="22A2261D"/>
    <w:rsid w:val="22A5210D"/>
    <w:rsid w:val="22A75E85"/>
    <w:rsid w:val="22A939AB"/>
    <w:rsid w:val="22AB6A02"/>
    <w:rsid w:val="22AE56B2"/>
    <w:rsid w:val="22AF6AE8"/>
    <w:rsid w:val="22B67E76"/>
    <w:rsid w:val="22B8599C"/>
    <w:rsid w:val="22C00CF5"/>
    <w:rsid w:val="22D36C7A"/>
    <w:rsid w:val="22D4654E"/>
    <w:rsid w:val="22D60519"/>
    <w:rsid w:val="22E42C35"/>
    <w:rsid w:val="22E95FB8"/>
    <w:rsid w:val="22EE13BE"/>
    <w:rsid w:val="22F40FDC"/>
    <w:rsid w:val="22F866E1"/>
    <w:rsid w:val="22FB1D2D"/>
    <w:rsid w:val="22FF7A6F"/>
    <w:rsid w:val="230112AA"/>
    <w:rsid w:val="2309444A"/>
    <w:rsid w:val="23203542"/>
    <w:rsid w:val="23286AB2"/>
    <w:rsid w:val="2329689A"/>
    <w:rsid w:val="233174FD"/>
    <w:rsid w:val="233D40F4"/>
    <w:rsid w:val="23496F3C"/>
    <w:rsid w:val="23645B24"/>
    <w:rsid w:val="23662661"/>
    <w:rsid w:val="237044C9"/>
    <w:rsid w:val="2385335F"/>
    <w:rsid w:val="23887A65"/>
    <w:rsid w:val="2389558B"/>
    <w:rsid w:val="238D0766"/>
    <w:rsid w:val="23922691"/>
    <w:rsid w:val="23953F30"/>
    <w:rsid w:val="23957A8C"/>
    <w:rsid w:val="23971A56"/>
    <w:rsid w:val="239C0AC9"/>
    <w:rsid w:val="239D2DE4"/>
    <w:rsid w:val="23A777BF"/>
    <w:rsid w:val="23A83C63"/>
    <w:rsid w:val="23A979DB"/>
    <w:rsid w:val="23B343B6"/>
    <w:rsid w:val="23BF2D5B"/>
    <w:rsid w:val="23CB7951"/>
    <w:rsid w:val="23CE2F9E"/>
    <w:rsid w:val="23DB3D90"/>
    <w:rsid w:val="23DE7685"/>
    <w:rsid w:val="23E10F23"/>
    <w:rsid w:val="23E97DD8"/>
    <w:rsid w:val="23ED5B1A"/>
    <w:rsid w:val="23F32A04"/>
    <w:rsid w:val="23F65E0E"/>
    <w:rsid w:val="2403533D"/>
    <w:rsid w:val="241E5CD3"/>
    <w:rsid w:val="24262DDA"/>
    <w:rsid w:val="24392B0D"/>
    <w:rsid w:val="243E24AD"/>
    <w:rsid w:val="24466FD8"/>
    <w:rsid w:val="24496798"/>
    <w:rsid w:val="245711E5"/>
    <w:rsid w:val="245C2C9F"/>
    <w:rsid w:val="245C67FB"/>
    <w:rsid w:val="245E2574"/>
    <w:rsid w:val="24612064"/>
    <w:rsid w:val="246A3BEC"/>
    <w:rsid w:val="247753E3"/>
    <w:rsid w:val="248875F1"/>
    <w:rsid w:val="249B37C8"/>
    <w:rsid w:val="24A65CC9"/>
    <w:rsid w:val="24BE74B6"/>
    <w:rsid w:val="24C3687B"/>
    <w:rsid w:val="24C83E91"/>
    <w:rsid w:val="24CA19B7"/>
    <w:rsid w:val="24D1781A"/>
    <w:rsid w:val="24E24F53"/>
    <w:rsid w:val="24E871BA"/>
    <w:rsid w:val="24FC618E"/>
    <w:rsid w:val="250550E5"/>
    <w:rsid w:val="252B4B4C"/>
    <w:rsid w:val="252D4FBC"/>
    <w:rsid w:val="25331C52"/>
    <w:rsid w:val="2535691E"/>
    <w:rsid w:val="254774AC"/>
    <w:rsid w:val="254B6F9C"/>
    <w:rsid w:val="255E0351"/>
    <w:rsid w:val="255F2A47"/>
    <w:rsid w:val="25697422"/>
    <w:rsid w:val="257D2ECD"/>
    <w:rsid w:val="25822292"/>
    <w:rsid w:val="258778A8"/>
    <w:rsid w:val="25910727"/>
    <w:rsid w:val="25940FBC"/>
    <w:rsid w:val="25950217"/>
    <w:rsid w:val="25981AB5"/>
    <w:rsid w:val="2598449D"/>
    <w:rsid w:val="25A4045A"/>
    <w:rsid w:val="25B05051"/>
    <w:rsid w:val="25B12B77"/>
    <w:rsid w:val="25BC39F6"/>
    <w:rsid w:val="25BC3C42"/>
    <w:rsid w:val="25CD79B1"/>
    <w:rsid w:val="25D1584C"/>
    <w:rsid w:val="25D86356"/>
    <w:rsid w:val="25DA20CE"/>
    <w:rsid w:val="25E116AE"/>
    <w:rsid w:val="261016EC"/>
    <w:rsid w:val="26121868"/>
    <w:rsid w:val="2624159B"/>
    <w:rsid w:val="262D044F"/>
    <w:rsid w:val="26307F40"/>
    <w:rsid w:val="2650413E"/>
    <w:rsid w:val="265B5FD7"/>
    <w:rsid w:val="266320C3"/>
    <w:rsid w:val="26667E05"/>
    <w:rsid w:val="26720558"/>
    <w:rsid w:val="267A740D"/>
    <w:rsid w:val="267C3185"/>
    <w:rsid w:val="267E0CAB"/>
    <w:rsid w:val="26906C30"/>
    <w:rsid w:val="269C7383"/>
    <w:rsid w:val="26A1499A"/>
    <w:rsid w:val="26A30712"/>
    <w:rsid w:val="26AE5FBD"/>
    <w:rsid w:val="26B06F68"/>
    <w:rsid w:val="26BE554B"/>
    <w:rsid w:val="26CD1C32"/>
    <w:rsid w:val="26CF1507"/>
    <w:rsid w:val="26DE5BEE"/>
    <w:rsid w:val="26E33204"/>
    <w:rsid w:val="26E36D60"/>
    <w:rsid w:val="26E56F7C"/>
    <w:rsid w:val="26ED7BDF"/>
    <w:rsid w:val="26F31699"/>
    <w:rsid w:val="27054F28"/>
    <w:rsid w:val="27221F7E"/>
    <w:rsid w:val="27271343"/>
    <w:rsid w:val="27315D1D"/>
    <w:rsid w:val="274243CE"/>
    <w:rsid w:val="274517C9"/>
    <w:rsid w:val="27457A1B"/>
    <w:rsid w:val="274E04C5"/>
    <w:rsid w:val="275859A0"/>
    <w:rsid w:val="275A34C6"/>
    <w:rsid w:val="275D3E3F"/>
    <w:rsid w:val="276763A6"/>
    <w:rsid w:val="276E6F72"/>
    <w:rsid w:val="277125BE"/>
    <w:rsid w:val="27724D82"/>
    <w:rsid w:val="277D6568"/>
    <w:rsid w:val="27810C45"/>
    <w:rsid w:val="27895B59"/>
    <w:rsid w:val="278C389C"/>
    <w:rsid w:val="279664C8"/>
    <w:rsid w:val="27A50A15"/>
    <w:rsid w:val="27A74A76"/>
    <w:rsid w:val="27AF30E6"/>
    <w:rsid w:val="27BA3F65"/>
    <w:rsid w:val="27CC3C98"/>
    <w:rsid w:val="27D06CEF"/>
    <w:rsid w:val="27D35027"/>
    <w:rsid w:val="27E234BC"/>
    <w:rsid w:val="27E56B08"/>
    <w:rsid w:val="27E72880"/>
    <w:rsid w:val="27EB76A3"/>
    <w:rsid w:val="27EC60E8"/>
    <w:rsid w:val="27F31225"/>
    <w:rsid w:val="27FC632B"/>
    <w:rsid w:val="280653FC"/>
    <w:rsid w:val="28090A48"/>
    <w:rsid w:val="28213FE4"/>
    <w:rsid w:val="28221B0A"/>
    <w:rsid w:val="283261F1"/>
    <w:rsid w:val="28397580"/>
    <w:rsid w:val="284877C3"/>
    <w:rsid w:val="28520641"/>
    <w:rsid w:val="2858552C"/>
    <w:rsid w:val="28773C04"/>
    <w:rsid w:val="28864D7A"/>
    <w:rsid w:val="28A075FF"/>
    <w:rsid w:val="28AB1AFF"/>
    <w:rsid w:val="28B430AA"/>
    <w:rsid w:val="28B60BD0"/>
    <w:rsid w:val="28BC5ABB"/>
    <w:rsid w:val="28C0181B"/>
    <w:rsid w:val="28C3509B"/>
    <w:rsid w:val="28C64B8B"/>
    <w:rsid w:val="28CD1A76"/>
    <w:rsid w:val="28CF1C92"/>
    <w:rsid w:val="28D5667D"/>
    <w:rsid w:val="28D56B7C"/>
    <w:rsid w:val="28DE3C83"/>
    <w:rsid w:val="28E31299"/>
    <w:rsid w:val="29001E4B"/>
    <w:rsid w:val="29115E06"/>
    <w:rsid w:val="291162F4"/>
    <w:rsid w:val="29183639"/>
    <w:rsid w:val="292024ED"/>
    <w:rsid w:val="29220014"/>
    <w:rsid w:val="29233D8C"/>
    <w:rsid w:val="29253660"/>
    <w:rsid w:val="292813A2"/>
    <w:rsid w:val="29347D47"/>
    <w:rsid w:val="29363ABF"/>
    <w:rsid w:val="29437F8A"/>
    <w:rsid w:val="29455AB0"/>
    <w:rsid w:val="29491A44"/>
    <w:rsid w:val="29504368"/>
    <w:rsid w:val="295201CD"/>
    <w:rsid w:val="29534671"/>
    <w:rsid w:val="29542197"/>
    <w:rsid w:val="29626313"/>
    <w:rsid w:val="296F5223"/>
    <w:rsid w:val="2976035F"/>
    <w:rsid w:val="29802F8C"/>
    <w:rsid w:val="298F4F7D"/>
    <w:rsid w:val="299407E6"/>
    <w:rsid w:val="29946A38"/>
    <w:rsid w:val="29986528"/>
    <w:rsid w:val="29A37AE5"/>
    <w:rsid w:val="29A42E03"/>
    <w:rsid w:val="29A7676B"/>
    <w:rsid w:val="29B33362"/>
    <w:rsid w:val="29B61260"/>
    <w:rsid w:val="29B8220F"/>
    <w:rsid w:val="29BA46F0"/>
    <w:rsid w:val="29BF1D06"/>
    <w:rsid w:val="29CE1F49"/>
    <w:rsid w:val="29CF181E"/>
    <w:rsid w:val="29DB6414"/>
    <w:rsid w:val="29DF5F05"/>
    <w:rsid w:val="29DF7CB3"/>
    <w:rsid w:val="29E259F5"/>
    <w:rsid w:val="29EB5041"/>
    <w:rsid w:val="29EF3C6E"/>
    <w:rsid w:val="29F60EA3"/>
    <w:rsid w:val="2A0E4098"/>
    <w:rsid w:val="2A1262DA"/>
    <w:rsid w:val="2A27165A"/>
    <w:rsid w:val="2A2B114A"/>
    <w:rsid w:val="2A2B2EF8"/>
    <w:rsid w:val="2A353D77"/>
    <w:rsid w:val="2A41786C"/>
    <w:rsid w:val="2A467BD6"/>
    <w:rsid w:val="2A500BB0"/>
    <w:rsid w:val="2A56212F"/>
    <w:rsid w:val="2A5D682E"/>
    <w:rsid w:val="2A77438F"/>
    <w:rsid w:val="2A7B7EE0"/>
    <w:rsid w:val="2A846AAC"/>
    <w:rsid w:val="2A8C1147"/>
    <w:rsid w:val="2A9036A3"/>
    <w:rsid w:val="2AA1140C"/>
    <w:rsid w:val="2AA84549"/>
    <w:rsid w:val="2AB47391"/>
    <w:rsid w:val="2ABC6246"/>
    <w:rsid w:val="2AD43590"/>
    <w:rsid w:val="2ADC0696"/>
    <w:rsid w:val="2AE17A5A"/>
    <w:rsid w:val="2AEC6B2B"/>
    <w:rsid w:val="2AF05EF0"/>
    <w:rsid w:val="2AF21C68"/>
    <w:rsid w:val="2B1240B8"/>
    <w:rsid w:val="2B165956"/>
    <w:rsid w:val="2B263FEF"/>
    <w:rsid w:val="2B2D2CA0"/>
    <w:rsid w:val="2B3C1135"/>
    <w:rsid w:val="2B3E6C5B"/>
    <w:rsid w:val="2B40111A"/>
    <w:rsid w:val="2B47137D"/>
    <w:rsid w:val="2B595843"/>
    <w:rsid w:val="2B65243A"/>
    <w:rsid w:val="2B7335D1"/>
    <w:rsid w:val="2B7E174D"/>
    <w:rsid w:val="2B886128"/>
    <w:rsid w:val="2B966A97"/>
    <w:rsid w:val="2B97636B"/>
    <w:rsid w:val="2BA967CA"/>
    <w:rsid w:val="2BAA0794"/>
    <w:rsid w:val="2BAC06A7"/>
    <w:rsid w:val="2BB62C95"/>
    <w:rsid w:val="2BBB64FD"/>
    <w:rsid w:val="2BD30FEC"/>
    <w:rsid w:val="2BD575BF"/>
    <w:rsid w:val="2BD66E93"/>
    <w:rsid w:val="2BD870AF"/>
    <w:rsid w:val="2BDF21EC"/>
    <w:rsid w:val="2BE94E19"/>
    <w:rsid w:val="2BEF7F55"/>
    <w:rsid w:val="2BF33EE9"/>
    <w:rsid w:val="2BFB2D9E"/>
    <w:rsid w:val="2BFF463C"/>
    <w:rsid w:val="2C0C6D59"/>
    <w:rsid w:val="2C163734"/>
    <w:rsid w:val="2C167BD8"/>
    <w:rsid w:val="2C1837DA"/>
    <w:rsid w:val="2C210A56"/>
    <w:rsid w:val="2C267E1B"/>
    <w:rsid w:val="2C2E0A7D"/>
    <w:rsid w:val="2C372028"/>
    <w:rsid w:val="2C3B319A"/>
    <w:rsid w:val="2C3D6F12"/>
    <w:rsid w:val="2C4958B7"/>
    <w:rsid w:val="2C4B5AD3"/>
    <w:rsid w:val="2C506C46"/>
    <w:rsid w:val="2C5C1A8E"/>
    <w:rsid w:val="2C602C01"/>
    <w:rsid w:val="2C6C77F8"/>
    <w:rsid w:val="2C6E17C2"/>
    <w:rsid w:val="2C70558B"/>
    <w:rsid w:val="2C7548FE"/>
    <w:rsid w:val="2C7F1990"/>
    <w:rsid w:val="2C83526D"/>
    <w:rsid w:val="2C8B7B25"/>
    <w:rsid w:val="2C9634C3"/>
    <w:rsid w:val="2C9E63DF"/>
    <w:rsid w:val="2CA82853"/>
    <w:rsid w:val="2CAD22EA"/>
    <w:rsid w:val="2CB216AE"/>
    <w:rsid w:val="2CB74F17"/>
    <w:rsid w:val="2CD535EF"/>
    <w:rsid w:val="2CDF621C"/>
    <w:rsid w:val="2CE675AA"/>
    <w:rsid w:val="2CED0939"/>
    <w:rsid w:val="2CF11C01"/>
    <w:rsid w:val="2CF73565"/>
    <w:rsid w:val="2CFE66A2"/>
    <w:rsid w:val="2D047A30"/>
    <w:rsid w:val="2D0E56C9"/>
    <w:rsid w:val="2D145EC5"/>
    <w:rsid w:val="2D151C3D"/>
    <w:rsid w:val="2D1C121E"/>
    <w:rsid w:val="2D2B1461"/>
    <w:rsid w:val="2D2D6F87"/>
    <w:rsid w:val="2D404F0C"/>
    <w:rsid w:val="2D482013"/>
    <w:rsid w:val="2D4F15F3"/>
    <w:rsid w:val="2D564730"/>
    <w:rsid w:val="2D5B1D46"/>
    <w:rsid w:val="2D6055AE"/>
    <w:rsid w:val="2D630BFB"/>
    <w:rsid w:val="2D6C5D01"/>
    <w:rsid w:val="2D742E08"/>
    <w:rsid w:val="2D744BB6"/>
    <w:rsid w:val="2D8172D3"/>
    <w:rsid w:val="2D8A262B"/>
    <w:rsid w:val="2D8A6187"/>
    <w:rsid w:val="2D8D3ECA"/>
    <w:rsid w:val="2D964B2C"/>
    <w:rsid w:val="2DB476A8"/>
    <w:rsid w:val="2DB63420"/>
    <w:rsid w:val="2DB96A6D"/>
    <w:rsid w:val="2DC01BA9"/>
    <w:rsid w:val="2DCF44E2"/>
    <w:rsid w:val="2DE27D71"/>
    <w:rsid w:val="2DEE2BBA"/>
    <w:rsid w:val="2DFC404C"/>
    <w:rsid w:val="2E0705CD"/>
    <w:rsid w:val="2E0777D8"/>
    <w:rsid w:val="2E08119A"/>
    <w:rsid w:val="2E093550"/>
    <w:rsid w:val="2E0F48DF"/>
    <w:rsid w:val="2E132621"/>
    <w:rsid w:val="2E2C3740"/>
    <w:rsid w:val="2E352597"/>
    <w:rsid w:val="2E372A60"/>
    <w:rsid w:val="2E3D31FA"/>
    <w:rsid w:val="2E3D769E"/>
    <w:rsid w:val="2E4A5917"/>
    <w:rsid w:val="2E4C5B33"/>
    <w:rsid w:val="2E5174BC"/>
    <w:rsid w:val="2E552C39"/>
    <w:rsid w:val="2E5549E7"/>
    <w:rsid w:val="2E56075F"/>
    <w:rsid w:val="2E5D4E0D"/>
    <w:rsid w:val="2E6609A2"/>
    <w:rsid w:val="2E690493"/>
    <w:rsid w:val="2E81758A"/>
    <w:rsid w:val="2E8C4181"/>
    <w:rsid w:val="2E8C5F2F"/>
    <w:rsid w:val="2E94169C"/>
    <w:rsid w:val="2EB85D49"/>
    <w:rsid w:val="2EB931C8"/>
    <w:rsid w:val="2EBC05C2"/>
    <w:rsid w:val="2EBE11F2"/>
    <w:rsid w:val="2EBF79BA"/>
    <w:rsid w:val="2EC15BD9"/>
    <w:rsid w:val="2EC4391B"/>
    <w:rsid w:val="2EC456C9"/>
    <w:rsid w:val="2ED51A00"/>
    <w:rsid w:val="2EDD678B"/>
    <w:rsid w:val="2EE67D35"/>
    <w:rsid w:val="2EF02962"/>
    <w:rsid w:val="2F194722"/>
    <w:rsid w:val="2F324D29"/>
    <w:rsid w:val="2F3355C0"/>
    <w:rsid w:val="2F48176B"/>
    <w:rsid w:val="2F560A17"/>
    <w:rsid w:val="2F6241E2"/>
    <w:rsid w:val="2F633CC3"/>
    <w:rsid w:val="2F646CC8"/>
    <w:rsid w:val="2F6E1E8D"/>
    <w:rsid w:val="2F6F7D2B"/>
    <w:rsid w:val="2F794705"/>
    <w:rsid w:val="2F7964B4"/>
    <w:rsid w:val="2F7C41F6"/>
    <w:rsid w:val="2F92147C"/>
    <w:rsid w:val="2F994DA8"/>
    <w:rsid w:val="2FA3158A"/>
    <w:rsid w:val="2FA572A9"/>
    <w:rsid w:val="2FA63021"/>
    <w:rsid w:val="2FBB23E2"/>
    <w:rsid w:val="2FC17E5A"/>
    <w:rsid w:val="2FE853E7"/>
    <w:rsid w:val="2FED0C50"/>
    <w:rsid w:val="2FF76D7C"/>
    <w:rsid w:val="30006BD5"/>
    <w:rsid w:val="30182170"/>
    <w:rsid w:val="30405223"/>
    <w:rsid w:val="305303D5"/>
    <w:rsid w:val="305F1B4D"/>
    <w:rsid w:val="306E1FE7"/>
    <w:rsid w:val="307750E9"/>
    <w:rsid w:val="307A24E3"/>
    <w:rsid w:val="307A6987"/>
    <w:rsid w:val="3083077D"/>
    <w:rsid w:val="308E41E1"/>
    <w:rsid w:val="30A47560"/>
    <w:rsid w:val="30B04157"/>
    <w:rsid w:val="30B85734"/>
    <w:rsid w:val="30C23E8A"/>
    <w:rsid w:val="30CC4D09"/>
    <w:rsid w:val="30CE282F"/>
    <w:rsid w:val="30D81900"/>
    <w:rsid w:val="30D8545C"/>
    <w:rsid w:val="30D97FE5"/>
    <w:rsid w:val="30DA11D4"/>
    <w:rsid w:val="30DA5678"/>
    <w:rsid w:val="30DD2A72"/>
    <w:rsid w:val="30E34C9C"/>
    <w:rsid w:val="30F524B2"/>
    <w:rsid w:val="30FE1366"/>
    <w:rsid w:val="31033252"/>
    <w:rsid w:val="311634FD"/>
    <w:rsid w:val="31172428"/>
    <w:rsid w:val="31210BB1"/>
    <w:rsid w:val="313F372D"/>
    <w:rsid w:val="314B5736"/>
    <w:rsid w:val="314D2A01"/>
    <w:rsid w:val="3163566D"/>
    <w:rsid w:val="31671525"/>
    <w:rsid w:val="316D029A"/>
    <w:rsid w:val="317909ED"/>
    <w:rsid w:val="317E4255"/>
    <w:rsid w:val="317F1D7B"/>
    <w:rsid w:val="31815AF3"/>
    <w:rsid w:val="318507FB"/>
    <w:rsid w:val="318D6246"/>
    <w:rsid w:val="31903F88"/>
    <w:rsid w:val="31931B05"/>
    <w:rsid w:val="31950990"/>
    <w:rsid w:val="31A17801"/>
    <w:rsid w:val="31AA504A"/>
    <w:rsid w:val="31AD0696"/>
    <w:rsid w:val="31B61C41"/>
    <w:rsid w:val="31B71515"/>
    <w:rsid w:val="31C3435E"/>
    <w:rsid w:val="31D43E75"/>
    <w:rsid w:val="31D64091"/>
    <w:rsid w:val="31DB16A7"/>
    <w:rsid w:val="31E542D4"/>
    <w:rsid w:val="31E57E30"/>
    <w:rsid w:val="31F167D5"/>
    <w:rsid w:val="31FB5BB4"/>
    <w:rsid w:val="32087FC3"/>
    <w:rsid w:val="320F75A3"/>
    <w:rsid w:val="32163D42"/>
    <w:rsid w:val="321B1AA4"/>
    <w:rsid w:val="321D581C"/>
    <w:rsid w:val="322104B7"/>
    <w:rsid w:val="32244DFC"/>
    <w:rsid w:val="323D1A1A"/>
    <w:rsid w:val="323D7C6C"/>
    <w:rsid w:val="32470AEB"/>
    <w:rsid w:val="32475A6D"/>
    <w:rsid w:val="324C0F72"/>
    <w:rsid w:val="324E3C27"/>
    <w:rsid w:val="32513718"/>
    <w:rsid w:val="32544FB6"/>
    <w:rsid w:val="326C67A3"/>
    <w:rsid w:val="326E42CA"/>
    <w:rsid w:val="326F08EC"/>
    <w:rsid w:val="326F71AB"/>
    <w:rsid w:val="32A9407C"/>
    <w:rsid w:val="32AB682C"/>
    <w:rsid w:val="32AF043E"/>
    <w:rsid w:val="32B83797"/>
    <w:rsid w:val="32BB6DE3"/>
    <w:rsid w:val="32BF2D77"/>
    <w:rsid w:val="32C57C62"/>
    <w:rsid w:val="32D83E39"/>
    <w:rsid w:val="32DF6F75"/>
    <w:rsid w:val="32E26A66"/>
    <w:rsid w:val="32E4458C"/>
    <w:rsid w:val="32EB76C8"/>
    <w:rsid w:val="32F04CDF"/>
    <w:rsid w:val="32F10A57"/>
    <w:rsid w:val="32FB3683"/>
    <w:rsid w:val="33030EB6"/>
    <w:rsid w:val="330466C2"/>
    <w:rsid w:val="330662B0"/>
    <w:rsid w:val="330864CC"/>
    <w:rsid w:val="330A3B0F"/>
    <w:rsid w:val="330E785B"/>
    <w:rsid w:val="33136C1F"/>
    <w:rsid w:val="33150BE9"/>
    <w:rsid w:val="33174961"/>
    <w:rsid w:val="3321133C"/>
    <w:rsid w:val="33260700"/>
    <w:rsid w:val="332901F1"/>
    <w:rsid w:val="33291F9F"/>
    <w:rsid w:val="33353039"/>
    <w:rsid w:val="333A0650"/>
    <w:rsid w:val="333B1F07"/>
    <w:rsid w:val="333B4BDD"/>
    <w:rsid w:val="333F6A58"/>
    <w:rsid w:val="33490893"/>
    <w:rsid w:val="33590AD6"/>
    <w:rsid w:val="337771AE"/>
    <w:rsid w:val="337A6C9E"/>
    <w:rsid w:val="337C2A16"/>
    <w:rsid w:val="33802506"/>
    <w:rsid w:val="33811DDB"/>
    <w:rsid w:val="33843679"/>
    <w:rsid w:val="33867984"/>
    <w:rsid w:val="33885707"/>
    <w:rsid w:val="338B2C59"/>
    <w:rsid w:val="33923FE8"/>
    <w:rsid w:val="33930F89"/>
    <w:rsid w:val="33977850"/>
    <w:rsid w:val="339935C8"/>
    <w:rsid w:val="339A2E9C"/>
    <w:rsid w:val="33A13F2D"/>
    <w:rsid w:val="33A930DF"/>
    <w:rsid w:val="33AA1331"/>
    <w:rsid w:val="33B0446E"/>
    <w:rsid w:val="33C323F3"/>
    <w:rsid w:val="33D04B10"/>
    <w:rsid w:val="33D463AE"/>
    <w:rsid w:val="33DD2548"/>
    <w:rsid w:val="33E10ACB"/>
    <w:rsid w:val="33E222C5"/>
    <w:rsid w:val="33E94978"/>
    <w:rsid w:val="33EB4795"/>
    <w:rsid w:val="33F3569D"/>
    <w:rsid w:val="33F94067"/>
    <w:rsid w:val="33FE167D"/>
    <w:rsid w:val="33FE78CF"/>
    <w:rsid w:val="340C3D9A"/>
    <w:rsid w:val="34153013"/>
    <w:rsid w:val="341715C0"/>
    <w:rsid w:val="341B3FDD"/>
    <w:rsid w:val="341F5214"/>
    <w:rsid w:val="342C7F98"/>
    <w:rsid w:val="342F7A89"/>
    <w:rsid w:val="344C063B"/>
    <w:rsid w:val="345179FF"/>
    <w:rsid w:val="345D63A4"/>
    <w:rsid w:val="34684D49"/>
    <w:rsid w:val="34692F9B"/>
    <w:rsid w:val="347D07F4"/>
    <w:rsid w:val="3485255C"/>
    <w:rsid w:val="34871673"/>
    <w:rsid w:val="348E2A01"/>
    <w:rsid w:val="34943D90"/>
    <w:rsid w:val="349A13A6"/>
    <w:rsid w:val="349C5A8D"/>
    <w:rsid w:val="34A264AC"/>
    <w:rsid w:val="34A915E9"/>
    <w:rsid w:val="34AE54EF"/>
    <w:rsid w:val="34B00BC9"/>
    <w:rsid w:val="34C04B85"/>
    <w:rsid w:val="34C208FD"/>
    <w:rsid w:val="34C24459"/>
    <w:rsid w:val="34C74165"/>
    <w:rsid w:val="34CA155F"/>
    <w:rsid w:val="34D16D92"/>
    <w:rsid w:val="34EA50C0"/>
    <w:rsid w:val="34F14D3E"/>
    <w:rsid w:val="34FB5BBD"/>
    <w:rsid w:val="35041EEB"/>
    <w:rsid w:val="350727B3"/>
    <w:rsid w:val="3518676F"/>
    <w:rsid w:val="351F3659"/>
    <w:rsid w:val="352B64A2"/>
    <w:rsid w:val="35494B7A"/>
    <w:rsid w:val="35496928"/>
    <w:rsid w:val="354E2190"/>
    <w:rsid w:val="355157DD"/>
    <w:rsid w:val="35520800"/>
    <w:rsid w:val="356351C5"/>
    <w:rsid w:val="357240D1"/>
    <w:rsid w:val="35725E7F"/>
    <w:rsid w:val="357A11D7"/>
    <w:rsid w:val="358E4C71"/>
    <w:rsid w:val="35A26B4B"/>
    <w:rsid w:val="35A65B28"/>
    <w:rsid w:val="35B4127A"/>
    <w:rsid w:val="35C9101D"/>
    <w:rsid w:val="35C97A69"/>
    <w:rsid w:val="35D408E8"/>
    <w:rsid w:val="35D703D8"/>
    <w:rsid w:val="35E75CC0"/>
    <w:rsid w:val="35E93C67"/>
    <w:rsid w:val="35EF74CF"/>
    <w:rsid w:val="36050AA1"/>
    <w:rsid w:val="36055C36"/>
    <w:rsid w:val="360B073D"/>
    <w:rsid w:val="360C3088"/>
    <w:rsid w:val="36146F36"/>
    <w:rsid w:val="36160F00"/>
    <w:rsid w:val="361909F0"/>
    <w:rsid w:val="361C228F"/>
    <w:rsid w:val="36251143"/>
    <w:rsid w:val="36317325"/>
    <w:rsid w:val="36346DCA"/>
    <w:rsid w:val="36356EAC"/>
    <w:rsid w:val="363B0967"/>
    <w:rsid w:val="363C023B"/>
    <w:rsid w:val="363E0457"/>
    <w:rsid w:val="36401AD9"/>
    <w:rsid w:val="36455341"/>
    <w:rsid w:val="36486BE0"/>
    <w:rsid w:val="364A6DFC"/>
    <w:rsid w:val="364B2782"/>
    <w:rsid w:val="364C2B74"/>
    <w:rsid w:val="36513CE6"/>
    <w:rsid w:val="3652180C"/>
    <w:rsid w:val="36530955"/>
    <w:rsid w:val="3656754F"/>
    <w:rsid w:val="365E28A7"/>
    <w:rsid w:val="365F3EF3"/>
    <w:rsid w:val="36637EBD"/>
    <w:rsid w:val="3667350A"/>
    <w:rsid w:val="36716136"/>
    <w:rsid w:val="3676199F"/>
    <w:rsid w:val="367D2D2D"/>
    <w:rsid w:val="369462C9"/>
    <w:rsid w:val="36AF3103"/>
    <w:rsid w:val="36CE3589"/>
    <w:rsid w:val="36D371E0"/>
    <w:rsid w:val="36D466C5"/>
    <w:rsid w:val="36E0150E"/>
    <w:rsid w:val="36E42408"/>
    <w:rsid w:val="370E607B"/>
    <w:rsid w:val="37103BA1"/>
    <w:rsid w:val="3710594F"/>
    <w:rsid w:val="371E0791"/>
    <w:rsid w:val="37270EEB"/>
    <w:rsid w:val="372907BF"/>
    <w:rsid w:val="372C02AF"/>
    <w:rsid w:val="37307DA0"/>
    <w:rsid w:val="3738689D"/>
    <w:rsid w:val="373D426B"/>
    <w:rsid w:val="37401C7A"/>
    <w:rsid w:val="37503F9E"/>
    <w:rsid w:val="375A12C0"/>
    <w:rsid w:val="375D2B5F"/>
    <w:rsid w:val="375E0881"/>
    <w:rsid w:val="37607F59"/>
    <w:rsid w:val="376D0FF4"/>
    <w:rsid w:val="37753A04"/>
    <w:rsid w:val="378400EB"/>
    <w:rsid w:val="37886E61"/>
    <w:rsid w:val="378E0F6A"/>
    <w:rsid w:val="37971BCD"/>
    <w:rsid w:val="379950AD"/>
    <w:rsid w:val="379B19B7"/>
    <w:rsid w:val="379C5435"/>
    <w:rsid w:val="379E73FF"/>
    <w:rsid w:val="37A6256B"/>
    <w:rsid w:val="37B00EE0"/>
    <w:rsid w:val="37B704C1"/>
    <w:rsid w:val="37D01583"/>
    <w:rsid w:val="37DA41AF"/>
    <w:rsid w:val="37DE77FC"/>
    <w:rsid w:val="37E172EC"/>
    <w:rsid w:val="37E905FB"/>
    <w:rsid w:val="37E944C3"/>
    <w:rsid w:val="37FB65FF"/>
    <w:rsid w:val="37FE1C4C"/>
    <w:rsid w:val="38020CF1"/>
    <w:rsid w:val="380A6843"/>
    <w:rsid w:val="381274A5"/>
    <w:rsid w:val="38163439"/>
    <w:rsid w:val="38184980"/>
    <w:rsid w:val="38260235"/>
    <w:rsid w:val="38392C84"/>
    <w:rsid w:val="383A69FC"/>
    <w:rsid w:val="383B4C4E"/>
    <w:rsid w:val="38507FCD"/>
    <w:rsid w:val="38523D46"/>
    <w:rsid w:val="38635F53"/>
    <w:rsid w:val="38646CD2"/>
    <w:rsid w:val="38657F1D"/>
    <w:rsid w:val="386D0B7F"/>
    <w:rsid w:val="38743CBC"/>
    <w:rsid w:val="38767A34"/>
    <w:rsid w:val="387939C8"/>
    <w:rsid w:val="387B14EE"/>
    <w:rsid w:val="38804D57"/>
    <w:rsid w:val="38855EC9"/>
    <w:rsid w:val="38871C41"/>
    <w:rsid w:val="388C36FB"/>
    <w:rsid w:val="38A5656B"/>
    <w:rsid w:val="38AF3929"/>
    <w:rsid w:val="38B8381F"/>
    <w:rsid w:val="38BB4C9B"/>
    <w:rsid w:val="38BE13DB"/>
    <w:rsid w:val="38CE5AC2"/>
    <w:rsid w:val="38D1110E"/>
    <w:rsid w:val="38D40BFF"/>
    <w:rsid w:val="38D502C8"/>
    <w:rsid w:val="38E726E0"/>
    <w:rsid w:val="38EF77E6"/>
    <w:rsid w:val="38FF3ECD"/>
    <w:rsid w:val="39094D4C"/>
    <w:rsid w:val="39131727"/>
    <w:rsid w:val="39167469"/>
    <w:rsid w:val="39203E44"/>
    <w:rsid w:val="39225E0E"/>
    <w:rsid w:val="392576AC"/>
    <w:rsid w:val="392751D2"/>
    <w:rsid w:val="392C2CC2"/>
    <w:rsid w:val="393F251C"/>
    <w:rsid w:val="39477622"/>
    <w:rsid w:val="394F370F"/>
    <w:rsid w:val="39535FC7"/>
    <w:rsid w:val="395A1104"/>
    <w:rsid w:val="39616936"/>
    <w:rsid w:val="39700927"/>
    <w:rsid w:val="397321C6"/>
    <w:rsid w:val="39736669"/>
    <w:rsid w:val="39873EC3"/>
    <w:rsid w:val="39896372"/>
    <w:rsid w:val="398E5251"/>
    <w:rsid w:val="3992044F"/>
    <w:rsid w:val="39943202"/>
    <w:rsid w:val="399B110F"/>
    <w:rsid w:val="399D1DFB"/>
    <w:rsid w:val="39A01C75"/>
    <w:rsid w:val="39A14A8C"/>
    <w:rsid w:val="39A6259B"/>
    <w:rsid w:val="39A951F5"/>
    <w:rsid w:val="39AB5E03"/>
    <w:rsid w:val="39B20F40"/>
    <w:rsid w:val="39B4157B"/>
    <w:rsid w:val="39B527DE"/>
    <w:rsid w:val="39D16FC3"/>
    <w:rsid w:val="39D23390"/>
    <w:rsid w:val="39E44E71"/>
    <w:rsid w:val="39E4728E"/>
    <w:rsid w:val="39E62997"/>
    <w:rsid w:val="39F03816"/>
    <w:rsid w:val="39F257E0"/>
    <w:rsid w:val="39F5243C"/>
    <w:rsid w:val="3A083AD2"/>
    <w:rsid w:val="3A103EB8"/>
    <w:rsid w:val="3A1A0893"/>
    <w:rsid w:val="3A217E73"/>
    <w:rsid w:val="3A233BEC"/>
    <w:rsid w:val="3A2D05C6"/>
    <w:rsid w:val="3A2D4A6A"/>
    <w:rsid w:val="3A2F07E2"/>
    <w:rsid w:val="3A30294F"/>
    <w:rsid w:val="3A316EDF"/>
    <w:rsid w:val="3A3A2CE3"/>
    <w:rsid w:val="3A40479E"/>
    <w:rsid w:val="3A443B62"/>
    <w:rsid w:val="3A692ADF"/>
    <w:rsid w:val="3A6E5C2F"/>
    <w:rsid w:val="3A712BA9"/>
    <w:rsid w:val="3A72247D"/>
    <w:rsid w:val="3A725059"/>
    <w:rsid w:val="3A824DC7"/>
    <w:rsid w:val="3A8D72B7"/>
    <w:rsid w:val="3AA52853"/>
    <w:rsid w:val="3AAA1C17"/>
    <w:rsid w:val="3AAE7D83"/>
    <w:rsid w:val="3AAF1923"/>
    <w:rsid w:val="3AB24F6F"/>
    <w:rsid w:val="3AB46F81"/>
    <w:rsid w:val="3ABE3914"/>
    <w:rsid w:val="3AC32CD9"/>
    <w:rsid w:val="3ACC6031"/>
    <w:rsid w:val="3ACF690F"/>
    <w:rsid w:val="3AF31810"/>
    <w:rsid w:val="3AF47336"/>
    <w:rsid w:val="3AF70BD4"/>
    <w:rsid w:val="3AFD443D"/>
    <w:rsid w:val="3B043A1D"/>
    <w:rsid w:val="3B082DE1"/>
    <w:rsid w:val="3B0F23C2"/>
    <w:rsid w:val="3B1B038C"/>
    <w:rsid w:val="3B1D063B"/>
    <w:rsid w:val="3B27770B"/>
    <w:rsid w:val="3B2A71FC"/>
    <w:rsid w:val="3B2B35E7"/>
    <w:rsid w:val="3B2C6AD0"/>
    <w:rsid w:val="3B337E5E"/>
    <w:rsid w:val="3B343BD6"/>
    <w:rsid w:val="3B351E28"/>
    <w:rsid w:val="3B385475"/>
    <w:rsid w:val="3B4756B8"/>
    <w:rsid w:val="3B497682"/>
    <w:rsid w:val="3B4C0F20"/>
    <w:rsid w:val="3B4F45B3"/>
    <w:rsid w:val="3B5737A5"/>
    <w:rsid w:val="3B787F67"/>
    <w:rsid w:val="3B806625"/>
    <w:rsid w:val="3B866111"/>
    <w:rsid w:val="3B8B7C9A"/>
    <w:rsid w:val="3B912DD7"/>
    <w:rsid w:val="3B936B4F"/>
    <w:rsid w:val="3B985F13"/>
    <w:rsid w:val="3B9B5A04"/>
    <w:rsid w:val="3B9F3746"/>
    <w:rsid w:val="3BA7084C"/>
    <w:rsid w:val="3BAA5C47"/>
    <w:rsid w:val="3BB70A8F"/>
    <w:rsid w:val="3BB865B6"/>
    <w:rsid w:val="3BBB47F0"/>
    <w:rsid w:val="3BBF16F2"/>
    <w:rsid w:val="3BC92571"/>
    <w:rsid w:val="3BD17677"/>
    <w:rsid w:val="3BD31641"/>
    <w:rsid w:val="3BE178BA"/>
    <w:rsid w:val="3BE41159"/>
    <w:rsid w:val="3BE9676F"/>
    <w:rsid w:val="3BED44B1"/>
    <w:rsid w:val="3BF16211"/>
    <w:rsid w:val="3BF35840"/>
    <w:rsid w:val="3BF82E56"/>
    <w:rsid w:val="3BF910A8"/>
    <w:rsid w:val="3BFC2946"/>
    <w:rsid w:val="3C095063"/>
    <w:rsid w:val="3C0A5BCA"/>
    <w:rsid w:val="3C110A75"/>
    <w:rsid w:val="3C2D6FA3"/>
    <w:rsid w:val="3C2E6878"/>
    <w:rsid w:val="3C333E8E"/>
    <w:rsid w:val="3C357C06"/>
    <w:rsid w:val="3C3814A4"/>
    <w:rsid w:val="3C396270"/>
    <w:rsid w:val="3C447E49"/>
    <w:rsid w:val="3C461E13"/>
    <w:rsid w:val="3C4E7B92"/>
    <w:rsid w:val="3C4F02CC"/>
    <w:rsid w:val="3C5E715D"/>
    <w:rsid w:val="3C6127A9"/>
    <w:rsid w:val="3C6A5B02"/>
    <w:rsid w:val="3C776471"/>
    <w:rsid w:val="3C7856AD"/>
    <w:rsid w:val="3C7F70D3"/>
    <w:rsid w:val="3C872058"/>
    <w:rsid w:val="3C991F43"/>
    <w:rsid w:val="3CA31014"/>
    <w:rsid w:val="3CA65F73"/>
    <w:rsid w:val="3CAC2714"/>
    <w:rsid w:val="3CAF5C0A"/>
    <w:rsid w:val="3CB43221"/>
    <w:rsid w:val="3CB66F99"/>
    <w:rsid w:val="3CC1149A"/>
    <w:rsid w:val="3CC2443F"/>
    <w:rsid w:val="3CE05DC4"/>
    <w:rsid w:val="3CE31410"/>
    <w:rsid w:val="3CE33B06"/>
    <w:rsid w:val="3CE37662"/>
    <w:rsid w:val="3CEC2283"/>
    <w:rsid w:val="3CF03B2D"/>
    <w:rsid w:val="3CF63839"/>
    <w:rsid w:val="3CF7310E"/>
    <w:rsid w:val="3CF828CE"/>
    <w:rsid w:val="3D141F11"/>
    <w:rsid w:val="3D163594"/>
    <w:rsid w:val="3D1F518D"/>
    <w:rsid w:val="3D22462E"/>
    <w:rsid w:val="3D271C45"/>
    <w:rsid w:val="3D3A1978"/>
    <w:rsid w:val="3D475E43"/>
    <w:rsid w:val="3D4A5933"/>
    <w:rsid w:val="3D5642D8"/>
    <w:rsid w:val="3D5B241B"/>
    <w:rsid w:val="3D6B3F8F"/>
    <w:rsid w:val="3D74475E"/>
    <w:rsid w:val="3D801355"/>
    <w:rsid w:val="3D8726E3"/>
    <w:rsid w:val="3D89650A"/>
    <w:rsid w:val="3D8C7CFA"/>
    <w:rsid w:val="3D93631E"/>
    <w:rsid w:val="3D94095C"/>
    <w:rsid w:val="3D954E00"/>
    <w:rsid w:val="3D9848F1"/>
    <w:rsid w:val="3DA30C11"/>
    <w:rsid w:val="3DA45043"/>
    <w:rsid w:val="3DA54918"/>
    <w:rsid w:val="3DB57251"/>
    <w:rsid w:val="3DBC05DF"/>
    <w:rsid w:val="3DC843EA"/>
    <w:rsid w:val="3DD11BB1"/>
    <w:rsid w:val="3DD23448"/>
    <w:rsid w:val="3DDC65E6"/>
    <w:rsid w:val="3DFA4C63"/>
    <w:rsid w:val="3DFC6C2D"/>
    <w:rsid w:val="3E047890"/>
    <w:rsid w:val="3E06185A"/>
    <w:rsid w:val="3E083824"/>
    <w:rsid w:val="3E0B6E71"/>
    <w:rsid w:val="3E0C0916"/>
    <w:rsid w:val="3E1321C9"/>
    <w:rsid w:val="3E155F41"/>
    <w:rsid w:val="3E1C72D0"/>
    <w:rsid w:val="3E1F291C"/>
    <w:rsid w:val="3E29379B"/>
    <w:rsid w:val="3E3004A5"/>
    <w:rsid w:val="3E3208A1"/>
    <w:rsid w:val="3E3361A8"/>
    <w:rsid w:val="3E377C66"/>
    <w:rsid w:val="3E3B1F7B"/>
    <w:rsid w:val="3E4B1963"/>
    <w:rsid w:val="3E4C0EA7"/>
    <w:rsid w:val="3E4E3201"/>
    <w:rsid w:val="3E52684D"/>
    <w:rsid w:val="3E5D51F2"/>
    <w:rsid w:val="3E6447D3"/>
    <w:rsid w:val="3E666431"/>
    <w:rsid w:val="3E66679D"/>
    <w:rsid w:val="3E7013C9"/>
    <w:rsid w:val="3E73728E"/>
    <w:rsid w:val="3E774506"/>
    <w:rsid w:val="3E80293B"/>
    <w:rsid w:val="3E9377A8"/>
    <w:rsid w:val="3E9A6446"/>
    <w:rsid w:val="3E9D4299"/>
    <w:rsid w:val="3EA352FB"/>
    <w:rsid w:val="3EB412B6"/>
    <w:rsid w:val="3EC76033"/>
    <w:rsid w:val="3EDB4A95"/>
    <w:rsid w:val="3EEC4EF4"/>
    <w:rsid w:val="3EEF0540"/>
    <w:rsid w:val="3EF21DDE"/>
    <w:rsid w:val="3EF26282"/>
    <w:rsid w:val="3EF67B21"/>
    <w:rsid w:val="3F057D64"/>
    <w:rsid w:val="3F141D55"/>
    <w:rsid w:val="3F1E2160"/>
    <w:rsid w:val="3F312907"/>
    <w:rsid w:val="3F395C5F"/>
    <w:rsid w:val="3F43088C"/>
    <w:rsid w:val="3F494A0E"/>
    <w:rsid w:val="3F5278A8"/>
    <w:rsid w:val="3F566811"/>
    <w:rsid w:val="3F57351D"/>
    <w:rsid w:val="3F5D194E"/>
    <w:rsid w:val="3F6902F3"/>
    <w:rsid w:val="3F874C1D"/>
    <w:rsid w:val="3F8844F1"/>
    <w:rsid w:val="3F8C2233"/>
    <w:rsid w:val="3F8C3FE1"/>
    <w:rsid w:val="3F9335C1"/>
    <w:rsid w:val="3FCA5ADE"/>
    <w:rsid w:val="3FCC0881"/>
    <w:rsid w:val="3FD00372"/>
    <w:rsid w:val="3FD17C46"/>
    <w:rsid w:val="3FD42A05"/>
    <w:rsid w:val="3FDE4AA4"/>
    <w:rsid w:val="3FFD0A3B"/>
    <w:rsid w:val="4009749B"/>
    <w:rsid w:val="400C0C7E"/>
    <w:rsid w:val="400C5122"/>
    <w:rsid w:val="400C5EB9"/>
    <w:rsid w:val="40175FA1"/>
    <w:rsid w:val="40224945"/>
    <w:rsid w:val="4024421A"/>
    <w:rsid w:val="40252AB8"/>
    <w:rsid w:val="402E32EA"/>
    <w:rsid w:val="40522598"/>
    <w:rsid w:val="40581F42"/>
    <w:rsid w:val="40582115"/>
    <w:rsid w:val="406311E6"/>
    <w:rsid w:val="40750F19"/>
    <w:rsid w:val="407707ED"/>
    <w:rsid w:val="407A379D"/>
    <w:rsid w:val="407E7B46"/>
    <w:rsid w:val="407F58F4"/>
    <w:rsid w:val="407F76A2"/>
    <w:rsid w:val="40842F0A"/>
    <w:rsid w:val="40896772"/>
    <w:rsid w:val="40A62E81"/>
    <w:rsid w:val="40AA0BC3"/>
    <w:rsid w:val="40AB0497"/>
    <w:rsid w:val="40AF442B"/>
    <w:rsid w:val="40B57568"/>
    <w:rsid w:val="40CF23D7"/>
    <w:rsid w:val="40D43E92"/>
    <w:rsid w:val="40DB5220"/>
    <w:rsid w:val="40ED4F53"/>
    <w:rsid w:val="40FC0CF2"/>
    <w:rsid w:val="40FE0F0E"/>
    <w:rsid w:val="410127AD"/>
    <w:rsid w:val="41061B71"/>
    <w:rsid w:val="410C362B"/>
    <w:rsid w:val="41166258"/>
    <w:rsid w:val="41173D7E"/>
    <w:rsid w:val="411A73CB"/>
    <w:rsid w:val="412A64FE"/>
    <w:rsid w:val="412F541A"/>
    <w:rsid w:val="413D0609"/>
    <w:rsid w:val="414032D5"/>
    <w:rsid w:val="41410DFB"/>
    <w:rsid w:val="415D3E87"/>
    <w:rsid w:val="41650F8E"/>
    <w:rsid w:val="416C5E78"/>
    <w:rsid w:val="417411D1"/>
    <w:rsid w:val="41935C1E"/>
    <w:rsid w:val="41943621"/>
    <w:rsid w:val="41972FC6"/>
    <w:rsid w:val="41A01FC6"/>
    <w:rsid w:val="41A53138"/>
    <w:rsid w:val="41A575DC"/>
    <w:rsid w:val="41AE46E3"/>
    <w:rsid w:val="41B077F8"/>
    <w:rsid w:val="41B85EFF"/>
    <w:rsid w:val="41BD0482"/>
    <w:rsid w:val="41D13F2D"/>
    <w:rsid w:val="41D81760"/>
    <w:rsid w:val="41DA5F45"/>
    <w:rsid w:val="41DF2AEE"/>
    <w:rsid w:val="41E2438C"/>
    <w:rsid w:val="41E95522"/>
    <w:rsid w:val="41F36599"/>
    <w:rsid w:val="42042555"/>
    <w:rsid w:val="42116EB0"/>
    <w:rsid w:val="42162288"/>
    <w:rsid w:val="422A157A"/>
    <w:rsid w:val="422B3542"/>
    <w:rsid w:val="42334BE8"/>
    <w:rsid w:val="42446DF5"/>
    <w:rsid w:val="424961B9"/>
    <w:rsid w:val="425A1209"/>
    <w:rsid w:val="425A2175"/>
    <w:rsid w:val="425F59DD"/>
    <w:rsid w:val="426254CD"/>
    <w:rsid w:val="4268353C"/>
    <w:rsid w:val="427B3D8A"/>
    <w:rsid w:val="427D5E63"/>
    <w:rsid w:val="4283791D"/>
    <w:rsid w:val="428471F1"/>
    <w:rsid w:val="428B67D2"/>
    <w:rsid w:val="428D254A"/>
    <w:rsid w:val="42AE0F7C"/>
    <w:rsid w:val="42AE426E"/>
    <w:rsid w:val="42C337AA"/>
    <w:rsid w:val="42CB4E20"/>
    <w:rsid w:val="42D00689"/>
    <w:rsid w:val="42D068DB"/>
    <w:rsid w:val="42D31F27"/>
    <w:rsid w:val="42DA32B5"/>
    <w:rsid w:val="42E303BC"/>
    <w:rsid w:val="42F425C9"/>
    <w:rsid w:val="42FC76D0"/>
    <w:rsid w:val="43144A19"/>
    <w:rsid w:val="43193DDE"/>
    <w:rsid w:val="433B586E"/>
    <w:rsid w:val="433C41A2"/>
    <w:rsid w:val="433E55F2"/>
    <w:rsid w:val="434A043B"/>
    <w:rsid w:val="436037BB"/>
    <w:rsid w:val="43700AD9"/>
    <w:rsid w:val="43721740"/>
    <w:rsid w:val="4375649F"/>
    <w:rsid w:val="4392593E"/>
    <w:rsid w:val="439B6B07"/>
    <w:rsid w:val="439D37F0"/>
    <w:rsid w:val="439D4A0F"/>
    <w:rsid w:val="439E42E3"/>
    <w:rsid w:val="43A82406"/>
    <w:rsid w:val="43AC4C52"/>
    <w:rsid w:val="43B9736F"/>
    <w:rsid w:val="43C006FD"/>
    <w:rsid w:val="43CD4BC8"/>
    <w:rsid w:val="43D1290A"/>
    <w:rsid w:val="43D146B8"/>
    <w:rsid w:val="43D45F57"/>
    <w:rsid w:val="43DE0B83"/>
    <w:rsid w:val="43EC14F2"/>
    <w:rsid w:val="43EE7B22"/>
    <w:rsid w:val="43F263DD"/>
    <w:rsid w:val="43FB33AD"/>
    <w:rsid w:val="43FB72E4"/>
    <w:rsid w:val="43FE2FD4"/>
    <w:rsid w:val="44000AFA"/>
    <w:rsid w:val="44004F9E"/>
    <w:rsid w:val="44022AC4"/>
    <w:rsid w:val="440E76BA"/>
    <w:rsid w:val="44206D94"/>
    <w:rsid w:val="442073EE"/>
    <w:rsid w:val="442924B7"/>
    <w:rsid w:val="4436451B"/>
    <w:rsid w:val="443B0600"/>
    <w:rsid w:val="443C4228"/>
    <w:rsid w:val="444035EC"/>
    <w:rsid w:val="444E3F5B"/>
    <w:rsid w:val="445552E9"/>
    <w:rsid w:val="44557097"/>
    <w:rsid w:val="44564BBE"/>
    <w:rsid w:val="445B21D4"/>
    <w:rsid w:val="445F1CC4"/>
    <w:rsid w:val="44663053"/>
    <w:rsid w:val="446E0159"/>
    <w:rsid w:val="44727C49"/>
    <w:rsid w:val="447A4D50"/>
    <w:rsid w:val="447E1729"/>
    <w:rsid w:val="448654A3"/>
    <w:rsid w:val="448C05DF"/>
    <w:rsid w:val="44953938"/>
    <w:rsid w:val="4497145E"/>
    <w:rsid w:val="449A7EB1"/>
    <w:rsid w:val="449C4CC6"/>
    <w:rsid w:val="449D0A3E"/>
    <w:rsid w:val="449F0313"/>
    <w:rsid w:val="44A678F3"/>
    <w:rsid w:val="44AB315B"/>
    <w:rsid w:val="44B042CE"/>
    <w:rsid w:val="44C94B85"/>
    <w:rsid w:val="44CE0BF8"/>
    <w:rsid w:val="44D57AAE"/>
    <w:rsid w:val="44E81CBA"/>
    <w:rsid w:val="44E93C84"/>
    <w:rsid w:val="44EA6267"/>
    <w:rsid w:val="44EA7076"/>
    <w:rsid w:val="44EB79FC"/>
    <w:rsid w:val="44FD328B"/>
    <w:rsid w:val="450008B7"/>
    <w:rsid w:val="4508410A"/>
    <w:rsid w:val="45085EB8"/>
    <w:rsid w:val="4514252F"/>
    <w:rsid w:val="451B2245"/>
    <w:rsid w:val="451B69DA"/>
    <w:rsid w:val="45252F0E"/>
    <w:rsid w:val="452627E2"/>
    <w:rsid w:val="45343151"/>
    <w:rsid w:val="45372C41"/>
    <w:rsid w:val="45390767"/>
    <w:rsid w:val="453E5D7D"/>
    <w:rsid w:val="45401AF6"/>
    <w:rsid w:val="454B3FF6"/>
    <w:rsid w:val="454F1D39"/>
    <w:rsid w:val="455C4456"/>
    <w:rsid w:val="45603F46"/>
    <w:rsid w:val="45615A34"/>
    <w:rsid w:val="4585575A"/>
    <w:rsid w:val="458D0AB3"/>
    <w:rsid w:val="459260C9"/>
    <w:rsid w:val="45992FB4"/>
    <w:rsid w:val="45A656D1"/>
    <w:rsid w:val="45A73923"/>
    <w:rsid w:val="45A858ED"/>
    <w:rsid w:val="45AA51C1"/>
    <w:rsid w:val="45B20519"/>
    <w:rsid w:val="45B61DB8"/>
    <w:rsid w:val="45C02C36"/>
    <w:rsid w:val="45C049E4"/>
    <w:rsid w:val="45C142B9"/>
    <w:rsid w:val="45CA13BF"/>
    <w:rsid w:val="45D1274E"/>
    <w:rsid w:val="45D24718"/>
    <w:rsid w:val="45DA6B58"/>
    <w:rsid w:val="45DD5596"/>
    <w:rsid w:val="45E05087"/>
    <w:rsid w:val="45E53379"/>
    <w:rsid w:val="45E85CE9"/>
    <w:rsid w:val="45F06817"/>
    <w:rsid w:val="45F547E4"/>
    <w:rsid w:val="45F66658"/>
    <w:rsid w:val="45F91CA4"/>
    <w:rsid w:val="460074D7"/>
    <w:rsid w:val="46032B23"/>
    <w:rsid w:val="46040D75"/>
    <w:rsid w:val="460923B1"/>
    <w:rsid w:val="460A3EB2"/>
    <w:rsid w:val="46205483"/>
    <w:rsid w:val="46326F64"/>
    <w:rsid w:val="46470C62"/>
    <w:rsid w:val="46511AE0"/>
    <w:rsid w:val="4654512D"/>
    <w:rsid w:val="46623B75"/>
    <w:rsid w:val="467B090B"/>
    <w:rsid w:val="467D0B27"/>
    <w:rsid w:val="467F03FC"/>
    <w:rsid w:val="468974CC"/>
    <w:rsid w:val="4698770F"/>
    <w:rsid w:val="469B2D5C"/>
    <w:rsid w:val="469F284C"/>
    <w:rsid w:val="46AB11F1"/>
    <w:rsid w:val="46B93339"/>
    <w:rsid w:val="46BF2EEE"/>
    <w:rsid w:val="46CB1893"/>
    <w:rsid w:val="46CC1167"/>
    <w:rsid w:val="46D02A05"/>
    <w:rsid w:val="46DF533E"/>
    <w:rsid w:val="46E071FF"/>
    <w:rsid w:val="46EC35B7"/>
    <w:rsid w:val="46ED1F38"/>
    <w:rsid w:val="46EE0123"/>
    <w:rsid w:val="46F04E55"/>
    <w:rsid w:val="46F54B62"/>
    <w:rsid w:val="46F87FDF"/>
    <w:rsid w:val="46FC1A4C"/>
    <w:rsid w:val="470628CB"/>
    <w:rsid w:val="470B1C8F"/>
    <w:rsid w:val="470D5A07"/>
    <w:rsid w:val="47134FE8"/>
    <w:rsid w:val="47174AD8"/>
    <w:rsid w:val="472114B3"/>
    <w:rsid w:val="47240FA3"/>
    <w:rsid w:val="47264693"/>
    <w:rsid w:val="47374ADB"/>
    <w:rsid w:val="474224CC"/>
    <w:rsid w:val="4749050A"/>
    <w:rsid w:val="474A6C5C"/>
    <w:rsid w:val="474F4272"/>
    <w:rsid w:val="47502091"/>
    <w:rsid w:val="475950F1"/>
    <w:rsid w:val="475F022D"/>
    <w:rsid w:val="4765613A"/>
    <w:rsid w:val="47723ABC"/>
    <w:rsid w:val="47786A0C"/>
    <w:rsid w:val="477A6E15"/>
    <w:rsid w:val="478F28C0"/>
    <w:rsid w:val="47941C85"/>
    <w:rsid w:val="47953C4F"/>
    <w:rsid w:val="479C322F"/>
    <w:rsid w:val="47A04ACD"/>
    <w:rsid w:val="47BE6D02"/>
    <w:rsid w:val="47CB141F"/>
    <w:rsid w:val="47DC187E"/>
    <w:rsid w:val="47E15D9A"/>
    <w:rsid w:val="47E726FC"/>
    <w:rsid w:val="47EF15B1"/>
    <w:rsid w:val="47F22E4F"/>
    <w:rsid w:val="47F46BC7"/>
    <w:rsid w:val="47F866B8"/>
    <w:rsid w:val="4812704D"/>
    <w:rsid w:val="481D611E"/>
    <w:rsid w:val="482374AD"/>
    <w:rsid w:val="48270D4B"/>
    <w:rsid w:val="48272AF9"/>
    <w:rsid w:val="48396CD0"/>
    <w:rsid w:val="484713ED"/>
    <w:rsid w:val="484A4A39"/>
    <w:rsid w:val="485458B8"/>
    <w:rsid w:val="48627FD5"/>
    <w:rsid w:val="486C2C02"/>
    <w:rsid w:val="487F0B87"/>
    <w:rsid w:val="488B41AA"/>
    <w:rsid w:val="488E0DCA"/>
    <w:rsid w:val="489177E2"/>
    <w:rsid w:val="489831CA"/>
    <w:rsid w:val="489A151D"/>
    <w:rsid w:val="489F4D85"/>
    <w:rsid w:val="48A44149"/>
    <w:rsid w:val="48AE4FC8"/>
    <w:rsid w:val="48B84099"/>
    <w:rsid w:val="48BF5427"/>
    <w:rsid w:val="48C20A74"/>
    <w:rsid w:val="48EA3B26"/>
    <w:rsid w:val="48F350D1"/>
    <w:rsid w:val="48F826E7"/>
    <w:rsid w:val="4910358D"/>
    <w:rsid w:val="491312CF"/>
    <w:rsid w:val="491F1A22"/>
    <w:rsid w:val="49262DB0"/>
    <w:rsid w:val="49290AF3"/>
    <w:rsid w:val="492B486B"/>
    <w:rsid w:val="49316F70"/>
    <w:rsid w:val="494D47E1"/>
    <w:rsid w:val="49594CEC"/>
    <w:rsid w:val="495A0CAC"/>
    <w:rsid w:val="495A1454"/>
    <w:rsid w:val="4961203A"/>
    <w:rsid w:val="496B110B"/>
    <w:rsid w:val="49724248"/>
    <w:rsid w:val="49746212"/>
    <w:rsid w:val="49783F82"/>
    <w:rsid w:val="49850274"/>
    <w:rsid w:val="49935F6C"/>
    <w:rsid w:val="49937592"/>
    <w:rsid w:val="49995C78"/>
    <w:rsid w:val="49A07007"/>
    <w:rsid w:val="49AD1724"/>
    <w:rsid w:val="49B04D70"/>
    <w:rsid w:val="49C33FF5"/>
    <w:rsid w:val="49C34AA3"/>
    <w:rsid w:val="49C8030C"/>
    <w:rsid w:val="49CD76D0"/>
    <w:rsid w:val="49D40A5E"/>
    <w:rsid w:val="49D547D7"/>
    <w:rsid w:val="49D7054F"/>
    <w:rsid w:val="49E07403"/>
    <w:rsid w:val="49E16015"/>
    <w:rsid w:val="49F17862"/>
    <w:rsid w:val="49F25388"/>
    <w:rsid w:val="49FB423D"/>
    <w:rsid w:val="4A0A430E"/>
    <w:rsid w:val="4A1903D0"/>
    <w:rsid w:val="4A242C5E"/>
    <w:rsid w:val="4A301A0D"/>
    <w:rsid w:val="4A34774F"/>
    <w:rsid w:val="4A3634C7"/>
    <w:rsid w:val="4A413C1A"/>
    <w:rsid w:val="4A461F80"/>
    <w:rsid w:val="4A4756D4"/>
    <w:rsid w:val="4A4A0D21"/>
    <w:rsid w:val="4A595408"/>
    <w:rsid w:val="4A606796"/>
    <w:rsid w:val="4A6534B0"/>
    <w:rsid w:val="4A6B39D8"/>
    <w:rsid w:val="4A715440"/>
    <w:rsid w:val="4A7364C9"/>
    <w:rsid w:val="4A743FEF"/>
    <w:rsid w:val="4A761B16"/>
    <w:rsid w:val="4A7E6C1C"/>
    <w:rsid w:val="4A8E0B76"/>
    <w:rsid w:val="4A9E2E1A"/>
    <w:rsid w:val="4AA743C5"/>
    <w:rsid w:val="4AAE7501"/>
    <w:rsid w:val="4AB12B4E"/>
    <w:rsid w:val="4AB16FF2"/>
    <w:rsid w:val="4ABC2764"/>
    <w:rsid w:val="4AC8224B"/>
    <w:rsid w:val="4AC9433B"/>
    <w:rsid w:val="4AC960E9"/>
    <w:rsid w:val="4ACB00B3"/>
    <w:rsid w:val="4ACC7988"/>
    <w:rsid w:val="4ACF1226"/>
    <w:rsid w:val="4ADB5E1D"/>
    <w:rsid w:val="4ADB7BCB"/>
    <w:rsid w:val="4AE50A49"/>
    <w:rsid w:val="4AEE78FE"/>
    <w:rsid w:val="4AF64A04"/>
    <w:rsid w:val="4AFE1B37"/>
    <w:rsid w:val="4B052E99"/>
    <w:rsid w:val="4B0B204A"/>
    <w:rsid w:val="4B0B6702"/>
    <w:rsid w:val="4B0C5FD6"/>
    <w:rsid w:val="4B1B446B"/>
    <w:rsid w:val="4B1E6BAC"/>
    <w:rsid w:val="4B337A07"/>
    <w:rsid w:val="4B38326F"/>
    <w:rsid w:val="4B385A72"/>
    <w:rsid w:val="4B4614E8"/>
    <w:rsid w:val="4B4B2FA2"/>
    <w:rsid w:val="4B693428"/>
    <w:rsid w:val="4B6C4CC7"/>
    <w:rsid w:val="4B6E4EE3"/>
    <w:rsid w:val="4B780B78"/>
    <w:rsid w:val="4B7E5126"/>
    <w:rsid w:val="4B8169C4"/>
    <w:rsid w:val="4B8464B4"/>
    <w:rsid w:val="4B887D52"/>
    <w:rsid w:val="4B8E2E8F"/>
    <w:rsid w:val="4B906C07"/>
    <w:rsid w:val="4B9304A5"/>
    <w:rsid w:val="4B977F95"/>
    <w:rsid w:val="4B995EC1"/>
    <w:rsid w:val="4B9F4176"/>
    <w:rsid w:val="4BB943B0"/>
    <w:rsid w:val="4BCB40E3"/>
    <w:rsid w:val="4BDB2578"/>
    <w:rsid w:val="4BDE5BC4"/>
    <w:rsid w:val="4BDF193C"/>
    <w:rsid w:val="4BF54CBC"/>
    <w:rsid w:val="4C03387D"/>
    <w:rsid w:val="4C343A36"/>
    <w:rsid w:val="4C357FF3"/>
    <w:rsid w:val="4C7327B1"/>
    <w:rsid w:val="4C8F5111"/>
    <w:rsid w:val="4CA26BF2"/>
    <w:rsid w:val="4CC72AFC"/>
    <w:rsid w:val="4CC823D1"/>
    <w:rsid w:val="4CCC1EC1"/>
    <w:rsid w:val="4CCC72AE"/>
    <w:rsid w:val="4CCF375F"/>
    <w:rsid w:val="4CD07C03"/>
    <w:rsid w:val="4CE54D31"/>
    <w:rsid w:val="4CEE0089"/>
    <w:rsid w:val="4CEF4BDD"/>
    <w:rsid w:val="4CF03E01"/>
    <w:rsid w:val="4CF17B79"/>
    <w:rsid w:val="4CF82CB6"/>
    <w:rsid w:val="4CFD207A"/>
    <w:rsid w:val="4D185106"/>
    <w:rsid w:val="4D27359B"/>
    <w:rsid w:val="4D333CEE"/>
    <w:rsid w:val="4D3637DE"/>
    <w:rsid w:val="4D371A30"/>
    <w:rsid w:val="4D3B2BA3"/>
    <w:rsid w:val="4D493511"/>
    <w:rsid w:val="4D4C3002"/>
    <w:rsid w:val="4D565C2E"/>
    <w:rsid w:val="4D5A127B"/>
    <w:rsid w:val="4D616AAD"/>
    <w:rsid w:val="4D6D3151"/>
    <w:rsid w:val="4D6D3557"/>
    <w:rsid w:val="4D6D5452"/>
    <w:rsid w:val="4D7B7443"/>
    <w:rsid w:val="4D866514"/>
    <w:rsid w:val="4D8B58D8"/>
    <w:rsid w:val="4D8E7176"/>
    <w:rsid w:val="4D914FCD"/>
    <w:rsid w:val="4D9B55DE"/>
    <w:rsid w:val="4D9E1AAF"/>
    <w:rsid w:val="4DA150FB"/>
    <w:rsid w:val="4DAD1CF2"/>
    <w:rsid w:val="4DB34E2F"/>
    <w:rsid w:val="4DB56DF9"/>
    <w:rsid w:val="4DBB5FA5"/>
    <w:rsid w:val="4DC1754C"/>
    <w:rsid w:val="4DC332C4"/>
    <w:rsid w:val="4DC96400"/>
    <w:rsid w:val="4DD86643"/>
    <w:rsid w:val="4DE119E4"/>
    <w:rsid w:val="4DE35714"/>
    <w:rsid w:val="4DE90850"/>
    <w:rsid w:val="4DE95C88"/>
    <w:rsid w:val="4DFE60AA"/>
    <w:rsid w:val="4E067654"/>
    <w:rsid w:val="4E092CA1"/>
    <w:rsid w:val="4E140DE4"/>
    <w:rsid w:val="4E173610"/>
    <w:rsid w:val="4E1A4EAE"/>
    <w:rsid w:val="4E1C29D4"/>
    <w:rsid w:val="4E3C3076"/>
    <w:rsid w:val="4E4B32B9"/>
    <w:rsid w:val="4E596E89"/>
    <w:rsid w:val="4E604FB7"/>
    <w:rsid w:val="4E6600F3"/>
    <w:rsid w:val="4E6879C7"/>
    <w:rsid w:val="4E6A7BE3"/>
    <w:rsid w:val="4E6F51FA"/>
    <w:rsid w:val="4E7C753D"/>
    <w:rsid w:val="4E7D7917"/>
    <w:rsid w:val="4E824F2D"/>
    <w:rsid w:val="4E83244E"/>
    <w:rsid w:val="4E872543"/>
    <w:rsid w:val="4EA06334"/>
    <w:rsid w:val="4EAA4484"/>
    <w:rsid w:val="4EBA2D91"/>
    <w:rsid w:val="4EBD5F65"/>
    <w:rsid w:val="4EC07FC0"/>
    <w:rsid w:val="4EC372F3"/>
    <w:rsid w:val="4EC56BC8"/>
    <w:rsid w:val="4EC76DE4"/>
    <w:rsid w:val="4EC9454B"/>
    <w:rsid w:val="4ED35788"/>
    <w:rsid w:val="4EDE1462"/>
    <w:rsid w:val="4EDE7C89"/>
    <w:rsid w:val="4EE47996"/>
    <w:rsid w:val="4EF851EF"/>
    <w:rsid w:val="4EF95218"/>
    <w:rsid w:val="4F02606E"/>
    <w:rsid w:val="4F041DE6"/>
    <w:rsid w:val="4F0516BA"/>
    <w:rsid w:val="4F073684"/>
    <w:rsid w:val="4F0911AA"/>
    <w:rsid w:val="4F0A0A7E"/>
    <w:rsid w:val="4F0C47F7"/>
    <w:rsid w:val="4F102DC0"/>
    <w:rsid w:val="4F1D4C56"/>
    <w:rsid w:val="4F2204BE"/>
    <w:rsid w:val="4F283151"/>
    <w:rsid w:val="4F3E697A"/>
    <w:rsid w:val="4F4451E9"/>
    <w:rsid w:val="4F49251D"/>
    <w:rsid w:val="4F587A3C"/>
    <w:rsid w:val="4F5A37B4"/>
    <w:rsid w:val="4F610FE6"/>
    <w:rsid w:val="4F672375"/>
    <w:rsid w:val="4F7D3946"/>
    <w:rsid w:val="4F840831"/>
    <w:rsid w:val="4F882E2D"/>
    <w:rsid w:val="4F912F4E"/>
    <w:rsid w:val="4FA233AD"/>
    <w:rsid w:val="4FB201FD"/>
    <w:rsid w:val="4FBA06F6"/>
    <w:rsid w:val="4FBF7ABB"/>
    <w:rsid w:val="4FC4328E"/>
    <w:rsid w:val="4FCB46B2"/>
    <w:rsid w:val="4FD317B8"/>
    <w:rsid w:val="4FE87012"/>
    <w:rsid w:val="4FED4628"/>
    <w:rsid w:val="4FF77255"/>
    <w:rsid w:val="4FFE4A87"/>
    <w:rsid w:val="500A268A"/>
    <w:rsid w:val="500F6F8C"/>
    <w:rsid w:val="501047BA"/>
    <w:rsid w:val="50153B7F"/>
    <w:rsid w:val="5017082F"/>
    <w:rsid w:val="501C6CBB"/>
    <w:rsid w:val="50265D8C"/>
    <w:rsid w:val="50282188"/>
    <w:rsid w:val="502C64D3"/>
    <w:rsid w:val="50342257"/>
    <w:rsid w:val="503E4E84"/>
    <w:rsid w:val="50412BC6"/>
    <w:rsid w:val="50577CF3"/>
    <w:rsid w:val="50681F00"/>
    <w:rsid w:val="50697A27"/>
    <w:rsid w:val="506A211C"/>
    <w:rsid w:val="506D39BB"/>
    <w:rsid w:val="506D5769"/>
    <w:rsid w:val="50744D49"/>
    <w:rsid w:val="50770396"/>
    <w:rsid w:val="50964CC0"/>
    <w:rsid w:val="50982C04"/>
    <w:rsid w:val="50A373DC"/>
    <w:rsid w:val="50A8054F"/>
    <w:rsid w:val="50B45146"/>
    <w:rsid w:val="50B85C5D"/>
    <w:rsid w:val="50C72815"/>
    <w:rsid w:val="50C730CB"/>
    <w:rsid w:val="50DD28EE"/>
    <w:rsid w:val="50E50F9C"/>
    <w:rsid w:val="50EF331B"/>
    <w:rsid w:val="50F11EF6"/>
    <w:rsid w:val="50F766C1"/>
    <w:rsid w:val="50FB2D75"/>
    <w:rsid w:val="51034386"/>
    <w:rsid w:val="510559A1"/>
    <w:rsid w:val="5116195C"/>
    <w:rsid w:val="512247A5"/>
    <w:rsid w:val="5125610B"/>
    <w:rsid w:val="512A5408"/>
    <w:rsid w:val="512F2A1E"/>
    <w:rsid w:val="513A0ECC"/>
    <w:rsid w:val="51422751"/>
    <w:rsid w:val="51677CF4"/>
    <w:rsid w:val="516923D4"/>
    <w:rsid w:val="516C3C72"/>
    <w:rsid w:val="516E3547"/>
    <w:rsid w:val="51A60F32"/>
    <w:rsid w:val="51B579BE"/>
    <w:rsid w:val="51BF3DA2"/>
    <w:rsid w:val="51C07B1A"/>
    <w:rsid w:val="51C13FBE"/>
    <w:rsid w:val="51CB2747"/>
    <w:rsid w:val="51D05FAF"/>
    <w:rsid w:val="51D35A9F"/>
    <w:rsid w:val="51E101BC"/>
    <w:rsid w:val="51FA74D0"/>
    <w:rsid w:val="52020133"/>
    <w:rsid w:val="52067C23"/>
    <w:rsid w:val="520774F7"/>
    <w:rsid w:val="520B348B"/>
    <w:rsid w:val="52195BA8"/>
    <w:rsid w:val="52287B99"/>
    <w:rsid w:val="522D1654"/>
    <w:rsid w:val="52350508"/>
    <w:rsid w:val="523E560F"/>
    <w:rsid w:val="524644C3"/>
    <w:rsid w:val="52497B10"/>
    <w:rsid w:val="52522E68"/>
    <w:rsid w:val="52524C16"/>
    <w:rsid w:val="5253098E"/>
    <w:rsid w:val="525766D1"/>
    <w:rsid w:val="52691F60"/>
    <w:rsid w:val="52734B8D"/>
    <w:rsid w:val="5277467D"/>
    <w:rsid w:val="527B23BF"/>
    <w:rsid w:val="52815D1C"/>
    <w:rsid w:val="528B0128"/>
    <w:rsid w:val="528B637A"/>
    <w:rsid w:val="529C0587"/>
    <w:rsid w:val="529C2335"/>
    <w:rsid w:val="52A511EA"/>
    <w:rsid w:val="52AF2069"/>
    <w:rsid w:val="52B0193D"/>
    <w:rsid w:val="52B256B5"/>
    <w:rsid w:val="52B70F1D"/>
    <w:rsid w:val="52B92EE7"/>
    <w:rsid w:val="52C8137C"/>
    <w:rsid w:val="52D25D57"/>
    <w:rsid w:val="52D95337"/>
    <w:rsid w:val="52DC0984"/>
    <w:rsid w:val="52E141EC"/>
    <w:rsid w:val="52E15F9A"/>
    <w:rsid w:val="52F61A46"/>
    <w:rsid w:val="52FE18DA"/>
    <w:rsid w:val="53051C89"/>
    <w:rsid w:val="531243A6"/>
    <w:rsid w:val="532760A3"/>
    <w:rsid w:val="5334256E"/>
    <w:rsid w:val="533B5C10"/>
    <w:rsid w:val="533E519B"/>
    <w:rsid w:val="5345477B"/>
    <w:rsid w:val="534D3630"/>
    <w:rsid w:val="53582700"/>
    <w:rsid w:val="53591FD4"/>
    <w:rsid w:val="535A6478"/>
    <w:rsid w:val="536410A5"/>
    <w:rsid w:val="53656BCB"/>
    <w:rsid w:val="536863BA"/>
    <w:rsid w:val="536D782E"/>
    <w:rsid w:val="536E566D"/>
    <w:rsid w:val="537137C2"/>
    <w:rsid w:val="538E7ED0"/>
    <w:rsid w:val="53982AFD"/>
    <w:rsid w:val="53987EBC"/>
    <w:rsid w:val="53A92F5C"/>
    <w:rsid w:val="53BA6F17"/>
    <w:rsid w:val="53CC27A6"/>
    <w:rsid w:val="53E21FCA"/>
    <w:rsid w:val="53E2646E"/>
    <w:rsid w:val="53E45D42"/>
    <w:rsid w:val="53E67D0C"/>
    <w:rsid w:val="53EA02D9"/>
    <w:rsid w:val="53EC2E48"/>
    <w:rsid w:val="53F1045F"/>
    <w:rsid w:val="53FA209C"/>
    <w:rsid w:val="53FD0BB2"/>
    <w:rsid w:val="540208BE"/>
    <w:rsid w:val="540508E6"/>
    <w:rsid w:val="540E2DBF"/>
    <w:rsid w:val="541128AF"/>
    <w:rsid w:val="5429409D"/>
    <w:rsid w:val="542E0595"/>
    <w:rsid w:val="542E520F"/>
    <w:rsid w:val="54345897"/>
    <w:rsid w:val="54375959"/>
    <w:rsid w:val="54384C6F"/>
    <w:rsid w:val="543C3DD0"/>
    <w:rsid w:val="54400266"/>
    <w:rsid w:val="54413194"/>
    <w:rsid w:val="5452714F"/>
    <w:rsid w:val="54624EB9"/>
    <w:rsid w:val="546724CF"/>
    <w:rsid w:val="548518F2"/>
    <w:rsid w:val="54882B71"/>
    <w:rsid w:val="548F2152"/>
    <w:rsid w:val="54992FD0"/>
    <w:rsid w:val="54996B2C"/>
    <w:rsid w:val="54A13C33"/>
    <w:rsid w:val="54A656ED"/>
    <w:rsid w:val="54B25E40"/>
    <w:rsid w:val="54B41BB8"/>
    <w:rsid w:val="54C0055D"/>
    <w:rsid w:val="54D20290"/>
    <w:rsid w:val="54D45DB6"/>
    <w:rsid w:val="54D933CD"/>
    <w:rsid w:val="54DC2EBD"/>
    <w:rsid w:val="54E35FFA"/>
    <w:rsid w:val="54E51D72"/>
    <w:rsid w:val="54E66686"/>
    <w:rsid w:val="54E87266"/>
    <w:rsid w:val="54ED50CA"/>
    <w:rsid w:val="54F8584D"/>
    <w:rsid w:val="54FC355F"/>
    <w:rsid w:val="55006BAB"/>
    <w:rsid w:val="5505332A"/>
    <w:rsid w:val="550F5041"/>
    <w:rsid w:val="5511700B"/>
    <w:rsid w:val="55164621"/>
    <w:rsid w:val="551B1C37"/>
    <w:rsid w:val="55286102"/>
    <w:rsid w:val="55287EB0"/>
    <w:rsid w:val="55314FB7"/>
    <w:rsid w:val="5539030F"/>
    <w:rsid w:val="553D11E6"/>
    <w:rsid w:val="553E7562"/>
    <w:rsid w:val="5543358C"/>
    <w:rsid w:val="55466588"/>
    <w:rsid w:val="55524F2D"/>
    <w:rsid w:val="55562C6F"/>
    <w:rsid w:val="5559450E"/>
    <w:rsid w:val="556259CE"/>
    <w:rsid w:val="556F788D"/>
    <w:rsid w:val="55711857"/>
    <w:rsid w:val="5583158B"/>
    <w:rsid w:val="558772CD"/>
    <w:rsid w:val="55983288"/>
    <w:rsid w:val="55986DE4"/>
    <w:rsid w:val="55AD3FE6"/>
    <w:rsid w:val="55AF3898"/>
    <w:rsid w:val="55B45DAC"/>
    <w:rsid w:val="55BB6F76"/>
    <w:rsid w:val="55C37BD9"/>
    <w:rsid w:val="55C91693"/>
    <w:rsid w:val="55CB540B"/>
    <w:rsid w:val="55E55DA1"/>
    <w:rsid w:val="55EB573A"/>
    <w:rsid w:val="55EC03E1"/>
    <w:rsid w:val="55F34962"/>
    <w:rsid w:val="55F61036"/>
    <w:rsid w:val="55F81F79"/>
    <w:rsid w:val="56095F34"/>
    <w:rsid w:val="56187F25"/>
    <w:rsid w:val="561A1EEF"/>
    <w:rsid w:val="56292132"/>
    <w:rsid w:val="56384123"/>
    <w:rsid w:val="56413B72"/>
    <w:rsid w:val="565E627F"/>
    <w:rsid w:val="566118CC"/>
    <w:rsid w:val="566969D2"/>
    <w:rsid w:val="56844798"/>
    <w:rsid w:val="56875550"/>
    <w:rsid w:val="56883636"/>
    <w:rsid w:val="5695585E"/>
    <w:rsid w:val="56984D21"/>
    <w:rsid w:val="56A96DCF"/>
    <w:rsid w:val="56B45E9F"/>
    <w:rsid w:val="56C500AD"/>
    <w:rsid w:val="56C65BD3"/>
    <w:rsid w:val="56C9121F"/>
    <w:rsid w:val="56D239C4"/>
    <w:rsid w:val="56DC71A4"/>
    <w:rsid w:val="56F3629C"/>
    <w:rsid w:val="56F40992"/>
    <w:rsid w:val="56F42740"/>
    <w:rsid w:val="56F52014"/>
    <w:rsid w:val="5714693E"/>
    <w:rsid w:val="572172AD"/>
    <w:rsid w:val="57256D9D"/>
    <w:rsid w:val="57291904"/>
    <w:rsid w:val="572B1EDA"/>
    <w:rsid w:val="5730129E"/>
    <w:rsid w:val="573174F0"/>
    <w:rsid w:val="573C5E95"/>
    <w:rsid w:val="574014E1"/>
    <w:rsid w:val="57403ADD"/>
    <w:rsid w:val="57452F9B"/>
    <w:rsid w:val="57541431"/>
    <w:rsid w:val="575651A9"/>
    <w:rsid w:val="575B631B"/>
    <w:rsid w:val="575D6537"/>
    <w:rsid w:val="5765363E"/>
    <w:rsid w:val="57684EDC"/>
    <w:rsid w:val="576A47B0"/>
    <w:rsid w:val="577B6E62"/>
    <w:rsid w:val="57812F2D"/>
    <w:rsid w:val="57911D3D"/>
    <w:rsid w:val="579F6D27"/>
    <w:rsid w:val="57A31A70"/>
    <w:rsid w:val="57A557E8"/>
    <w:rsid w:val="57A9177C"/>
    <w:rsid w:val="57AF2B0B"/>
    <w:rsid w:val="57B10631"/>
    <w:rsid w:val="57B41ECF"/>
    <w:rsid w:val="57B604E5"/>
    <w:rsid w:val="57B819BF"/>
    <w:rsid w:val="57BA642E"/>
    <w:rsid w:val="57D34AA0"/>
    <w:rsid w:val="57DB56AE"/>
    <w:rsid w:val="57DF5F9C"/>
    <w:rsid w:val="57E427B4"/>
    <w:rsid w:val="57E502DB"/>
    <w:rsid w:val="57E642F4"/>
    <w:rsid w:val="57E76F1A"/>
    <w:rsid w:val="57EC1669"/>
    <w:rsid w:val="57EF4CB5"/>
    <w:rsid w:val="57F251BD"/>
    <w:rsid w:val="580249E9"/>
    <w:rsid w:val="580544D9"/>
    <w:rsid w:val="58095D77"/>
    <w:rsid w:val="580A1AEF"/>
    <w:rsid w:val="582726A1"/>
    <w:rsid w:val="582F4266"/>
    <w:rsid w:val="58326CBD"/>
    <w:rsid w:val="58331046"/>
    <w:rsid w:val="583A0626"/>
    <w:rsid w:val="58490869"/>
    <w:rsid w:val="585316E8"/>
    <w:rsid w:val="58535244"/>
    <w:rsid w:val="586236D9"/>
    <w:rsid w:val="586475A6"/>
    <w:rsid w:val="58705DF6"/>
    <w:rsid w:val="58711B6E"/>
    <w:rsid w:val="587C0C3F"/>
    <w:rsid w:val="587F428B"/>
    <w:rsid w:val="5889335C"/>
    <w:rsid w:val="588C0756"/>
    <w:rsid w:val="58951D01"/>
    <w:rsid w:val="58972E47"/>
    <w:rsid w:val="58B71C77"/>
    <w:rsid w:val="58BC54DF"/>
    <w:rsid w:val="58C47EF0"/>
    <w:rsid w:val="58C93758"/>
    <w:rsid w:val="58D2085F"/>
    <w:rsid w:val="58DC7930"/>
    <w:rsid w:val="58DE5456"/>
    <w:rsid w:val="58E95BA9"/>
    <w:rsid w:val="58EB36CF"/>
    <w:rsid w:val="59017396"/>
    <w:rsid w:val="59060509"/>
    <w:rsid w:val="592A069B"/>
    <w:rsid w:val="592D018B"/>
    <w:rsid w:val="5932754F"/>
    <w:rsid w:val="59350DEE"/>
    <w:rsid w:val="59374B66"/>
    <w:rsid w:val="59396B30"/>
    <w:rsid w:val="593A6404"/>
    <w:rsid w:val="593E7CA2"/>
    <w:rsid w:val="594D4389"/>
    <w:rsid w:val="594F1EAF"/>
    <w:rsid w:val="59611BE3"/>
    <w:rsid w:val="59633BAD"/>
    <w:rsid w:val="59637709"/>
    <w:rsid w:val="59745DBA"/>
    <w:rsid w:val="59875AED"/>
    <w:rsid w:val="598F4BC6"/>
    <w:rsid w:val="59A10693"/>
    <w:rsid w:val="59AB6B3D"/>
    <w:rsid w:val="59AC10B0"/>
    <w:rsid w:val="59B77A55"/>
    <w:rsid w:val="59C81C62"/>
    <w:rsid w:val="59C85DDD"/>
    <w:rsid w:val="59CD7278"/>
    <w:rsid w:val="59D22E56"/>
    <w:rsid w:val="59D269FF"/>
    <w:rsid w:val="59D6437F"/>
    <w:rsid w:val="59D93E6F"/>
    <w:rsid w:val="59DF24AE"/>
    <w:rsid w:val="59E00D5A"/>
    <w:rsid w:val="59E22D24"/>
    <w:rsid w:val="59E36A9C"/>
    <w:rsid w:val="59F9006D"/>
    <w:rsid w:val="59F91E1B"/>
    <w:rsid w:val="59FA62BF"/>
    <w:rsid w:val="5A032C9A"/>
    <w:rsid w:val="5A054C64"/>
    <w:rsid w:val="5A113609"/>
    <w:rsid w:val="5A144EA7"/>
    <w:rsid w:val="5A1E1882"/>
    <w:rsid w:val="5A1F7AD4"/>
    <w:rsid w:val="5A245D23"/>
    <w:rsid w:val="5A321AAD"/>
    <w:rsid w:val="5A3B28EC"/>
    <w:rsid w:val="5A3D43FE"/>
    <w:rsid w:val="5A4C4641"/>
    <w:rsid w:val="5A515A59"/>
    <w:rsid w:val="5A533C21"/>
    <w:rsid w:val="5A581238"/>
    <w:rsid w:val="5A5A0B0C"/>
    <w:rsid w:val="5A7122F9"/>
    <w:rsid w:val="5A715E56"/>
    <w:rsid w:val="5A737E20"/>
    <w:rsid w:val="5AA601F5"/>
    <w:rsid w:val="5ACC12DE"/>
    <w:rsid w:val="5ADD173D"/>
    <w:rsid w:val="5ADF3707"/>
    <w:rsid w:val="5ADF54B5"/>
    <w:rsid w:val="5AE605F2"/>
    <w:rsid w:val="5B174C4F"/>
    <w:rsid w:val="5B1E7D8B"/>
    <w:rsid w:val="5B2275C2"/>
    <w:rsid w:val="5B241A3E"/>
    <w:rsid w:val="5B2A2BD4"/>
    <w:rsid w:val="5B2F1F99"/>
    <w:rsid w:val="5B3B29C6"/>
    <w:rsid w:val="5B3F37FD"/>
    <w:rsid w:val="5B405E58"/>
    <w:rsid w:val="5B4D241F"/>
    <w:rsid w:val="5B500161"/>
    <w:rsid w:val="5B5D3606"/>
    <w:rsid w:val="5B694D7F"/>
    <w:rsid w:val="5B6B0AF7"/>
    <w:rsid w:val="5B6C4632"/>
    <w:rsid w:val="5B7420A1"/>
    <w:rsid w:val="5B8A71CF"/>
    <w:rsid w:val="5BA30291"/>
    <w:rsid w:val="5BA74225"/>
    <w:rsid w:val="5BA83AF9"/>
    <w:rsid w:val="5BAA45A0"/>
    <w:rsid w:val="5BB46942"/>
    <w:rsid w:val="5BC00E43"/>
    <w:rsid w:val="5BC56459"/>
    <w:rsid w:val="5BCF72D8"/>
    <w:rsid w:val="5BD112A2"/>
    <w:rsid w:val="5BD34827"/>
    <w:rsid w:val="5BEA4111"/>
    <w:rsid w:val="5BF44F90"/>
    <w:rsid w:val="5C072B21"/>
    <w:rsid w:val="5C0C052C"/>
    <w:rsid w:val="5C125416"/>
    <w:rsid w:val="5C1C61F2"/>
    <w:rsid w:val="5C2313D1"/>
    <w:rsid w:val="5C294C3A"/>
    <w:rsid w:val="5C2F421A"/>
    <w:rsid w:val="5C312AAE"/>
    <w:rsid w:val="5C3402DC"/>
    <w:rsid w:val="5C471564"/>
    <w:rsid w:val="5C4E46A0"/>
    <w:rsid w:val="5C4F0418"/>
    <w:rsid w:val="5C514191"/>
    <w:rsid w:val="5C545A2F"/>
    <w:rsid w:val="5C5D2B35"/>
    <w:rsid w:val="5C5F065B"/>
    <w:rsid w:val="5C6B34A4"/>
    <w:rsid w:val="5C71038F"/>
    <w:rsid w:val="5C735EB5"/>
    <w:rsid w:val="5C78796F"/>
    <w:rsid w:val="5C7A5495"/>
    <w:rsid w:val="5C7F2933"/>
    <w:rsid w:val="5C853E3A"/>
    <w:rsid w:val="5C8C6F77"/>
    <w:rsid w:val="5C904CB9"/>
    <w:rsid w:val="5C9127DF"/>
    <w:rsid w:val="5C981DBF"/>
    <w:rsid w:val="5C9B540C"/>
    <w:rsid w:val="5C9D2F32"/>
    <w:rsid w:val="5CA70254"/>
    <w:rsid w:val="5CAE513F"/>
    <w:rsid w:val="5CBA1D36"/>
    <w:rsid w:val="5CC22998"/>
    <w:rsid w:val="5CD03307"/>
    <w:rsid w:val="5CD56B70"/>
    <w:rsid w:val="5CD8040E"/>
    <w:rsid w:val="5CE9261B"/>
    <w:rsid w:val="5CF8641C"/>
    <w:rsid w:val="5CFE60C6"/>
    <w:rsid w:val="5D0D6309"/>
    <w:rsid w:val="5D107BA8"/>
    <w:rsid w:val="5D137698"/>
    <w:rsid w:val="5D192F00"/>
    <w:rsid w:val="5D1A0A26"/>
    <w:rsid w:val="5D333896"/>
    <w:rsid w:val="5D3A4C25"/>
    <w:rsid w:val="5D414205"/>
    <w:rsid w:val="5D443CF5"/>
    <w:rsid w:val="5D445C4B"/>
    <w:rsid w:val="5D543F38"/>
    <w:rsid w:val="5D5F6439"/>
    <w:rsid w:val="5D653BF8"/>
    <w:rsid w:val="5D722610"/>
    <w:rsid w:val="5D752101"/>
    <w:rsid w:val="5D995DEF"/>
    <w:rsid w:val="5D9E3405"/>
    <w:rsid w:val="5DA30A1C"/>
    <w:rsid w:val="5DA56542"/>
    <w:rsid w:val="5DA64068"/>
    <w:rsid w:val="5DAA3B58"/>
    <w:rsid w:val="5DB1084D"/>
    <w:rsid w:val="5DBA1B92"/>
    <w:rsid w:val="5DD13078"/>
    <w:rsid w:val="5DD961EC"/>
    <w:rsid w:val="5DE54B90"/>
    <w:rsid w:val="5DFB2606"/>
    <w:rsid w:val="5E16137A"/>
    <w:rsid w:val="5E211941"/>
    <w:rsid w:val="5E251431"/>
    <w:rsid w:val="5E2742A0"/>
    <w:rsid w:val="5E307265"/>
    <w:rsid w:val="5E316028"/>
    <w:rsid w:val="5E3478C6"/>
    <w:rsid w:val="5E443D28"/>
    <w:rsid w:val="5E451AD3"/>
    <w:rsid w:val="5E59732C"/>
    <w:rsid w:val="5E5E4943"/>
    <w:rsid w:val="5E624433"/>
    <w:rsid w:val="5E653F23"/>
    <w:rsid w:val="5E693A13"/>
    <w:rsid w:val="5E6C7060"/>
    <w:rsid w:val="5E7A79CF"/>
    <w:rsid w:val="5E7D44EB"/>
    <w:rsid w:val="5E7D74BF"/>
    <w:rsid w:val="5E987E55"/>
    <w:rsid w:val="5EA44A4C"/>
    <w:rsid w:val="5EA52572"/>
    <w:rsid w:val="5EA762EA"/>
    <w:rsid w:val="5EAA7B89"/>
    <w:rsid w:val="5EAC1B52"/>
    <w:rsid w:val="5EB427B5"/>
    <w:rsid w:val="5EB822A5"/>
    <w:rsid w:val="5EBA426F"/>
    <w:rsid w:val="5EBB3B43"/>
    <w:rsid w:val="5EBF1885"/>
    <w:rsid w:val="5EC073AC"/>
    <w:rsid w:val="5EC40C4A"/>
    <w:rsid w:val="5ED05841"/>
    <w:rsid w:val="5ED2780B"/>
    <w:rsid w:val="5EDD1D0C"/>
    <w:rsid w:val="5EF3523C"/>
    <w:rsid w:val="5F013C4C"/>
    <w:rsid w:val="5F074FDA"/>
    <w:rsid w:val="5F125E59"/>
    <w:rsid w:val="5F13572D"/>
    <w:rsid w:val="5F1871E8"/>
    <w:rsid w:val="5F261904"/>
    <w:rsid w:val="5F4E49B7"/>
    <w:rsid w:val="5F557AF4"/>
    <w:rsid w:val="5F577D10"/>
    <w:rsid w:val="5F5D4BFA"/>
    <w:rsid w:val="5F610B8F"/>
    <w:rsid w:val="5F6E5059"/>
    <w:rsid w:val="5F816B3B"/>
    <w:rsid w:val="5F8F74AA"/>
    <w:rsid w:val="5F97010C"/>
    <w:rsid w:val="5FBC4017"/>
    <w:rsid w:val="5FC829BC"/>
    <w:rsid w:val="5FD404E7"/>
    <w:rsid w:val="5FD57B17"/>
    <w:rsid w:val="5FEF619A"/>
    <w:rsid w:val="5FF11F12"/>
    <w:rsid w:val="600734E4"/>
    <w:rsid w:val="600B28A8"/>
    <w:rsid w:val="600D03CE"/>
    <w:rsid w:val="600D6E87"/>
    <w:rsid w:val="601274E9"/>
    <w:rsid w:val="60172FFB"/>
    <w:rsid w:val="60275934"/>
    <w:rsid w:val="603B13E0"/>
    <w:rsid w:val="603B1A8B"/>
    <w:rsid w:val="603B4F3C"/>
    <w:rsid w:val="603C0CB4"/>
    <w:rsid w:val="60402552"/>
    <w:rsid w:val="60477A0A"/>
    <w:rsid w:val="60477D84"/>
    <w:rsid w:val="60487659"/>
    <w:rsid w:val="604C539B"/>
    <w:rsid w:val="604D2681"/>
    <w:rsid w:val="605B3830"/>
    <w:rsid w:val="605E50CE"/>
    <w:rsid w:val="60697BA0"/>
    <w:rsid w:val="606A3A73"/>
    <w:rsid w:val="60703B2B"/>
    <w:rsid w:val="607B7A2E"/>
    <w:rsid w:val="607C7302"/>
    <w:rsid w:val="60820DBC"/>
    <w:rsid w:val="608250F0"/>
    <w:rsid w:val="6089214B"/>
    <w:rsid w:val="608E59B3"/>
    <w:rsid w:val="60910B83"/>
    <w:rsid w:val="6094289E"/>
    <w:rsid w:val="609F196E"/>
    <w:rsid w:val="60AC5E39"/>
    <w:rsid w:val="60AE3960"/>
    <w:rsid w:val="60B44CEE"/>
    <w:rsid w:val="60C05441"/>
    <w:rsid w:val="60C34F31"/>
    <w:rsid w:val="60CF1FB5"/>
    <w:rsid w:val="60E70C20"/>
    <w:rsid w:val="60EC2C1E"/>
    <w:rsid w:val="60EC6236"/>
    <w:rsid w:val="60F021CA"/>
    <w:rsid w:val="60F0510C"/>
    <w:rsid w:val="60F90953"/>
    <w:rsid w:val="610572F8"/>
    <w:rsid w:val="61112140"/>
    <w:rsid w:val="61115278"/>
    <w:rsid w:val="61137C66"/>
    <w:rsid w:val="611759A9"/>
    <w:rsid w:val="611A7247"/>
    <w:rsid w:val="611F2AAF"/>
    <w:rsid w:val="6126799A"/>
    <w:rsid w:val="612C6F7A"/>
    <w:rsid w:val="61317B79"/>
    <w:rsid w:val="613320B7"/>
    <w:rsid w:val="61354081"/>
    <w:rsid w:val="613C7BA6"/>
    <w:rsid w:val="613F280A"/>
    <w:rsid w:val="61486B1D"/>
    <w:rsid w:val="61573FF7"/>
    <w:rsid w:val="615A7643"/>
    <w:rsid w:val="6162299C"/>
    <w:rsid w:val="61646714"/>
    <w:rsid w:val="616B1851"/>
    <w:rsid w:val="616C480D"/>
    <w:rsid w:val="617A5F38"/>
    <w:rsid w:val="61840B64"/>
    <w:rsid w:val="61856078"/>
    <w:rsid w:val="6189617B"/>
    <w:rsid w:val="61926DDD"/>
    <w:rsid w:val="619332C0"/>
    <w:rsid w:val="619856F0"/>
    <w:rsid w:val="61A13A37"/>
    <w:rsid w:val="61A15272"/>
    <w:rsid w:val="61A42FB4"/>
    <w:rsid w:val="61AD00BB"/>
    <w:rsid w:val="61C6117D"/>
    <w:rsid w:val="61C84EE5"/>
    <w:rsid w:val="61D27B22"/>
    <w:rsid w:val="61D54F1C"/>
    <w:rsid w:val="61E6537B"/>
    <w:rsid w:val="61EB0BE3"/>
    <w:rsid w:val="61F25ACE"/>
    <w:rsid w:val="61F93216"/>
    <w:rsid w:val="62040504"/>
    <w:rsid w:val="620B4DE2"/>
    <w:rsid w:val="620D2908"/>
    <w:rsid w:val="6220088D"/>
    <w:rsid w:val="62214605"/>
    <w:rsid w:val="622D4D58"/>
    <w:rsid w:val="623936FD"/>
    <w:rsid w:val="623A1223"/>
    <w:rsid w:val="62436329"/>
    <w:rsid w:val="624A76B8"/>
    <w:rsid w:val="624F2F20"/>
    <w:rsid w:val="62514EEA"/>
    <w:rsid w:val="62536C64"/>
    <w:rsid w:val="62546789"/>
    <w:rsid w:val="625C73EB"/>
    <w:rsid w:val="625E13B5"/>
    <w:rsid w:val="62652744"/>
    <w:rsid w:val="62775FD3"/>
    <w:rsid w:val="62816E52"/>
    <w:rsid w:val="629372B1"/>
    <w:rsid w:val="62966DA1"/>
    <w:rsid w:val="62976675"/>
    <w:rsid w:val="629D3C8C"/>
    <w:rsid w:val="62AA0157"/>
    <w:rsid w:val="62AC0373"/>
    <w:rsid w:val="62AC2121"/>
    <w:rsid w:val="62B02E6E"/>
    <w:rsid w:val="62B114E5"/>
    <w:rsid w:val="62B611F1"/>
    <w:rsid w:val="62C05BCC"/>
    <w:rsid w:val="62C21944"/>
    <w:rsid w:val="62C3746A"/>
    <w:rsid w:val="62C47D66"/>
    <w:rsid w:val="62CA07F9"/>
    <w:rsid w:val="62CC631F"/>
    <w:rsid w:val="62DA4EE0"/>
    <w:rsid w:val="62E47B0C"/>
    <w:rsid w:val="62F37D50"/>
    <w:rsid w:val="62F83658"/>
    <w:rsid w:val="62F92E8C"/>
    <w:rsid w:val="62FD297C"/>
    <w:rsid w:val="62FF7219"/>
    <w:rsid w:val="63027F93"/>
    <w:rsid w:val="63097573"/>
    <w:rsid w:val="630C2BBF"/>
    <w:rsid w:val="63100901"/>
    <w:rsid w:val="63161C90"/>
    <w:rsid w:val="632223E3"/>
    <w:rsid w:val="632E2B36"/>
    <w:rsid w:val="633640E0"/>
    <w:rsid w:val="63365E8E"/>
    <w:rsid w:val="633A597E"/>
    <w:rsid w:val="634C3904"/>
    <w:rsid w:val="6350123E"/>
    <w:rsid w:val="63584057"/>
    <w:rsid w:val="63622617"/>
    <w:rsid w:val="636318A0"/>
    <w:rsid w:val="636D5D54"/>
    <w:rsid w:val="63730E90"/>
    <w:rsid w:val="637328AD"/>
    <w:rsid w:val="637349EC"/>
    <w:rsid w:val="638A0392"/>
    <w:rsid w:val="638B61DA"/>
    <w:rsid w:val="638E7A78"/>
    <w:rsid w:val="639037F0"/>
    <w:rsid w:val="63984453"/>
    <w:rsid w:val="639F7B81"/>
    <w:rsid w:val="63A4729C"/>
    <w:rsid w:val="63AE1EC8"/>
    <w:rsid w:val="63B05C41"/>
    <w:rsid w:val="63B70D7D"/>
    <w:rsid w:val="63BB71C0"/>
    <w:rsid w:val="63BD3EBA"/>
    <w:rsid w:val="63C33BC6"/>
    <w:rsid w:val="63C82F8A"/>
    <w:rsid w:val="63DA4A6C"/>
    <w:rsid w:val="63E15DFA"/>
    <w:rsid w:val="63E36016"/>
    <w:rsid w:val="63E37DC4"/>
    <w:rsid w:val="63E678B4"/>
    <w:rsid w:val="63EE6769"/>
    <w:rsid w:val="63F55D49"/>
    <w:rsid w:val="63F7386F"/>
    <w:rsid w:val="63F85CD2"/>
    <w:rsid w:val="6402724C"/>
    <w:rsid w:val="6408539C"/>
    <w:rsid w:val="640B731B"/>
    <w:rsid w:val="64175CC0"/>
    <w:rsid w:val="64303292"/>
    <w:rsid w:val="64356146"/>
    <w:rsid w:val="643A375C"/>
    <w:rsid w:val="64410F8F"/>
    <w:rsid w:val="64430863"/>
    <w:rsid w:val="64462101"/>
    <w:rsid w:val="64542A70"/>
    <w:rsid w:val="645C1924"/>
    <w:rsid w:val="645E569D"/>
    <w:rsid w:val="646A2293"/>
    <w:rsid w:val="646B7DB9"/>
    <w:rsid w:val="64746C6E"/>
    <w:rsid w:val="647E7AED"/>
    <w:rsid w:val="64917820"/>
    <w:rsid w:val="64A066E8"/>
    <w:rsid w:val="64A62BA0"/>
    <w:rsid w:val="64BE0D4F"/>
    <w:rsid w:val="64CA0F84"/>
    <w:rsid w:val="64D227E6"/>
    <w:rsid w:val="64D911C7"/>
    <w:rsid w:val="64DD0CB7"/>
    <w:rsid w:val="64DF4A2F"/>
    <w:rsid w:val="64E262CE"/>
    <w:rsid w:val="64E8140A"/>
    <w:rsid w:val="64E831B8"/>
    <w:rsid w:val="64EF09EB"/>
    <w:rsid w:val="64EF2799"/>
    <w:rsid w:val="64F24911"/>
    <w:rsid w:val="64F41B5D"/>
    <w:rsid w:val="64F56864"/>
    <w:rsid w:val="64FE478A"/>
    <w:rsid w:val="65077AE2"/>
    <w:rsid w:val="65084C23"/>
    <w:rsid w:val="65153FD8"/>
    <w:rsid w:val="651D5558"/>
    <w:rsid w:val="65295CAB"/>
    <w:rsid w:val="652F7039"/>
    <w:rsid w:val="65393A14"/>
    <w:rsid w:val="65402FF4"/>
    <w:rsid w:val="65404DA2"/>
    <w:rsid w:val="6546685C"/>
    <w:rsid w:val="65474383"/>
    <w:rsid w:val="6549634D"/>
    <w:rsid w:val="655645C6"/>
    <w:rsid w:val="6559788E"/>
    <w:rsid w:val="655A40B6"/>
    <w:rsid w:val="65670581"/>
    <w:rsid w:val="656D24BE"/>
    <w:rsid w:val="656E190F"/>
    <w:rsid w:val="657349E7"/>
    <w:rsid w:val="65735178"/>
    <w:rsid w:val="657B5DDA"/>
    <w:rsid w:val="657E36D4"/>
    <w:rsid w:val="6582360D"/>
    <w:rsid w:val="659F41BF"/>
    <w:rsid w:val="65A17F37"/>
    <w:rsid w:val="65AD18B1"/>
    <w:rsid w:val="65C9123C"/>
    <w:rsid w:val="65CC6636"/>
    <w:rsid w:val="65D11EEC"/>
    <w:rsid w:val="65D774B5"/>
    <w:rsid w:val="65E2648E"/>
    <w:rsid w:val="65F55B8D"/>
    <w:rsid w:val="65FC516D"/>
    <w:rsid w:val="660202AA"/>
    <w:rsid w:val="6609788A"/>
    <w:rsid w:val="66171FA7"/>
    <w:rsid w:val="661C17CA"/>
    <w:rsid w:val="66240220"/>
    <w:rsid w:val="662A7F2C"/>
    <w:rsid w:val="662D17CA"/>
    <w:rsid w:val="66303069"/>
    <w:rsid w:val="6631067D"/>
    <w:rsid w:val="663D12E2"/>
    <w:rsid w:val="663E7534"/>
    <w:rsid w:val="66495ED8"/>
    <w:rsid w:val="664B1C51"/>
    <w:rsid w:val="664F7993"/>
    <w:rsid w:val="66552ACF"/>
    <w:rsid w:val="66664CDC"/>
    <w:rsid w:val="66687C94"/>
    <w:rsid w:val="66751741"/>
    <w:rsid w:val="66990C0E"/>
    <w:rsid w:val="669E4476"/>
    <w:rsid w:val="669E6224"/>
    <w:rsid w:val="66A032C4"/>
    <w:rsid w:val="66AA62F3"/>
    <w:rsid w:val="66AF0431"/>
    <w:rsid w:val="66B141AA"/>
    <w:rsid w:val="66BB6DD6"/>
    <w:rsid w:val="66CA0DC7"/>
    <w:rsid w:val="66CC2D91"/>
    <w:rsid w:val="66CE3C80"/>
    <w:rsid w:val="66CF2882"/>
    <w:rsid w:val="66D165FA"/>
    <w:rsid w:val="66D70726"/>
    <w:rsid w:val="66DD0F4D"/>
    <w:rsid w:val="66E04A8F"/>
    <w:rsid w:val="66E164E0"/>
    <w:rsid w:val="66E82CEE"/>
    <w:rsid w:val="66E8749F"/>
    <w:rsid w:val="66FC6544"/>
    <w:rsid w:val="670342D9"/>
    <w:rsid w:val="670562A3"/>
    <w:rsid w:val="67177D85"/>
    <w:rsid w:val="67185FD7"/>
    <w:rsid w:val="671F55B7"/>
    <w:rsid w:val="672030DD"/>
    <w:rsid w:val="672A3F5C"/>
    <w:rsid w:val="672A5D0A"/>
    <w:rsid w:val="672D371D"/>
    <w:rsid w:val="673858DF"/>
    <w:rsid w:val="67486190"/>
    <w:rsid w:val="67535261"/>
    <w:rsid w:val="67564D51"/>
    <w:rsid w:val="6759770C"/>
    <w:rsid w:val="678E50A3"/>
    <w:rsid w:val="67955879"/>
    <w:rsid w:val="67987117"/>
    <w:rsid w:val="679A4C3E"/>
    <w:rsid w:val="679B09B6"/>
    <w:rsid w:val="679D028A"/>
    <w:rsid w:val="679D472E"/>
    <w:rsid w:val="67A73102"/>
    <w:rsid w:val="67A930D3"/>
    <w:rsid w:val="67B37BBA"/>
    <w:rsid w:val="67B83316"/>
    <w:rsid w:val="67BB7C20"/>
    <w:rsid w:val="67BF46A4"/>
    <w:rsid w:val="67C577E1"/>
    <w:rsid w:val="67C639EF"/>
    <w:rsid w:val="67C9107F"/>
    <w:rsid w:val="67D30150"/>
    <w:rsid w:val="67D55C76"/>
    <w:rsid w:val="67EC1211"/>
    <w:rsid w:val="67F02AB0"/>
    <w:rsid w:val="67F72090"/>
    <w:rsid w:val="67F87BB6"/>
    <w:rsid w:val="67FD341E"/>
    <w:rsid w:val="680B78E9"/>
    <w:rsid w:val="680E2F36"/>
    <w:rsid w:val="680E73DA"/>
    <w:rsid w:val="681744E0"/>
    <w:rsid w:val="68285285"/>
    <w:rsid w:val="6831184C"/>
    <w:rsid w:val="6832131A"/>
    <w:rsid w:val="68430781"/>
    <w:rsid w:val="684E5A28"/>
    <w:rsid w:val="68555008"/>
    <w:rsid w:val="685F3791"/>
    <w:rsid w:val="685F4204"/>
    <w:rsid w:val="6864524C"/>
    <w:rsid w:val="68715352"/>
    <w:rsid w:val="68751207"/>
    <w:rsid w:val="687D122A"/>
    <w:rsid w:val="68817BAC"/>
    <w:rsid w:val="6885769C"/>
    <w:rsid w:val="688A2F04"/>
    <w:rsid w:val="688B4586"/>
    <w:rsid w:val="688C4126"/>
    <w:rsid w:val="689B6EBF"/>
    <w:rsid w:val="68A35D74"/>
    <w:rsid w:val="68A51AEC"/>
    <w:rsid w:val="68AA0EB0"/>
    <w:rsid w:val="68B2292A"/>
    <w:rsid w:val="68B43ADD"/>
    <w:rsid w:val="68B57855"/>
    <w:rsid w:val="68BB130F"/>
    <w:rsid w:val="68BC4F6B"/>
    <w:rsid w:val="68BF2482"/>
    <w:rsid w:val="68C06926"/>
    <w:rsid w:val="68DB550E"/>
    <w:rsid w:val="68DE6DAC"/>
    <w:rsid w:val="68E85E7D"/>
    <w:rsid w:val="68ED3493"/>
    <w:rsid w:val="68F4037D"/>
    <w:rsid w:val="68F465CF"/>
    <w:rsid w:val="68F91E38"/>
    <w:rsid w:val="69076303"/>
    <w:rsid w:val="69086D1C"/>
    <w:rsid w:val="69142D50"/>
    <w:rsid w:val="691B590A"/>
    <w:rsid w:val="692073C4"/>
    <w:rsid w:val="692364F5"/>
    <w:rsid w:val="69280027"/>
    <w:rsid w:val="692E5CD3"/>
    <w:rsid w:val="69382960"/>
    <w:rsid w:val="69390486"/>
    <w:rsid w:val="693F3403"/>
    <w:rsid w:val="694A4441"/>
    <w:rsid w:val="694C01BA"/>
    <w:rsid w:val="694C640B"/>
    <w:rsid w:val="694F7AA6"/>
    <w:rsid w:val="6958090C"/>
    <w:rsid w:val="6959151C"/>
    <w:rsid w:val="695928D6"/>
    <w:rsid w:val="69670B4F"/>
    <w:rsid w:val="696977F9"/>
    <w:rsid w:val="696E6382"/>
    <w:rsid w:val="69711B97"/>
    <w:rsid w:val="697414BE"/>
    <w:rsid w:val="697E41D9"/>
    <w:rsid w:val="69870583"/>
    <w:rsid w:val="69981651"/>
    <w:rsid w:val="69BD4C13"/>
    <w:rsid w:val="69C42446"/>
    <w:rsid w:val="69C77840"/>
    <w:rsid w:val="69CE6E20"/>
    <w:rsid w:val="69D106BF"/>
    <w:rsid w:val="69D501AF"/>
    <w:rsid w:val="69D54873"/>
    <w:rsid w:val="69D56401"/>
    <w:rsid w:val="69DB32EB"/>
    <w:rsid w:val="69E76134"/>
    <w:rsid w:val="69EB79D2"/>
    <w:rsid w:val="69F543AD"/>
    <w:rsid w:val="69F61B52"/>
    <w:rsid w:val="6A1A3E14"/>
    <w:rsid w:val="6A294057"/>
    <w:rsid w:val="6A2A744A"/>
    <w:rsid w:val="6A2E78BF"/>
    <w:rsid w:val="6A366774"/>
    <w:rsid w:val="6A4E7F61"/>
    <w:rsid w:val="6A5F216E"/>
    <w:rsid w:val="6A61649F"/>
    <w:rsid w:val="6A617C95"/>
    <w:rsid w:val="6A667059"/>
    <w:rsid w:val="6A687275"/>
    <w:rsid w:val="6A771266"/>
    <w:rsid w:val="6A7D264C"/>
    <w:rsid w:val="6A8A71EB"/>
    <w:rsid w:val="6A9A4F55"/>
    <w:rsid w:val="6AB204F0"/>
    <w:rsid w:val="6AB26742"/>
    <w:rsid w:val="6AB72D9B"/>
    <w:rsid w:val="6AB75B07"/>
    <w:rsid w:val="6ABA55F7"/>
    <w:rsid w:val="6ACE4BFE"/>
    <w:rsid w:val="6AD05083"/>
    <w:rsid w:val="6AD20971"/>
    <w:rsid w:val="6AE30927"/>
    <w:rsid w:val="6AED777A"/>
    <w:rsid w:val="6AF91C7B"/>
    <w:rsid w:val="6AFC7AEF"/>
    <w:rsid w:val="6AFF300A"/>
    <w:rsid w:val="6B0A3E88"/>
    <w:rsid w:val="6B0B19AE"/>
    <w:rsid w:val="6B2A0087"/>
    <w:rsid w:val="6B39476E"/>
    <w:rsid w:val="6B3C55F4"/>
    <w:rsid w:val="6B4A24D7"/>
    <w:rsid w:val="6B6002C6"/>
    <w:rsid w:val="6B673089"/>
    <w:rsid w:val="6B6D4417"/>
    <w:rsid w:val="6B7E5284"/>
    <w:rsid w:val="6B87372B"/>
    <w:rsid w:val="6B93010D"/>
    <w:rsid w:val="6B947BF6"/>
    <w:rsid w:val="6BA02A3F"/>
    <w:rsid w:val="6BAA11C7"/>
    <w:rsid w:val="6BC73B27"/>
    <w:rsid w:val="6BCA186A"/>
    <w:rsid w:val="6BD149A6"/>
    <w:rsid w:val="6BD72473"/>
    <w:rsid w:val="6BDE05C0"/>
    <w:rsid w:val="6BE02E3B"/>
    <w:rsid w:val="6BE26BB3"/>
    <w:rsid w:val="6BF6265F"/>
    <w:rsid w:val="6C007039"/>
    <w:rsid w:val="6C2076DB"/>
    <w:rsid w:val="6C276CBC"/>
    <w:rsid w:val="6C2E004A"/>
    <w:rsid w:val="6C3D203B"/>
    <w:rsid w:val="6C3D64DF"/>
    <w:rsid w:val="6C4038DA"/>
    <w:rsid w:val="6C417D7E"/>
    <w:rsid w:val="6C423AF6"/>
    <w:rsid w:val="6C5F1FB2"/>
    <w:rsid w:val="6C6153F8"/>
    <w:rsid w:val="6C6D2921"/>
    <w:rsid w:val="6C7002BD"/>
    <w:rsid w:val="6C702411"/>
    <w:rsid w:val="6C726189"/>
    <w:rsid w:val="6C783074"/>
    <w:rsid w:val="6C7A3290"/>
    <w:rsid w:val="6C830396"/>
    <w:rsid w:val="6CA976D1"/>
    <w:rsid w:val="6CAB169B"/>
    <w:rsid w:val="6CAF2C5C"/>
    <w:rsid w:val="6CB57E24"/>
    <w:rsid w:val="6CB801B2"/>
    <w:rsid w:val="6CB95B66"/>
    <w:rsid w:val="6CBC11B2"/>
    <w:rsid w:val="6CC85DA9"/>
    <w:rsid w:val="6CCD1611"/>
    <w:rsid w:val="6CD97FB6"/>
    <w:rsid w:val="6CE54BAD"/>
    <w:rsid w:val="6CE566C7"/>
    <w:rsid w:val="6CEB1A97"/>
    <w:rsid w:val="6CF90658"/>
    <w:rsid w:val="6CFC1EF7"/>
    <w:rsid w:val="6D064B23"/>
    <w:rsid w:val="6D0E294A"/>
    <w:rsid w:val="6D170ADE"/>
    <w:rsid w:val="6D176D30"/>
    <w:rsid w:val="6D1F7993"/>
    <w:rsid w:val="6D21195D"/>
    <w:rsid w:val="6D2217FC"/>
    <w:rsid w:val="6D2D3E5E"/>
    <w:rsid w:val="6D367A6D"/>
    <w:rsid w:val="6D45564C"/>
    <w:rsid w:val="6D54588F"/>
    <w:rsid w:val="6D5533B5"/>
    <w:rsid w:val="6D6718A0"/>
    <w:rsid w:val="6D673814"/>
    <w:rsid w:val="6D68758C"/>
    <w:rsid w:val="6D7221B9"/>
    <w:rsid w:val="6D761CA9"/>
    <w:rsid w:val="6D7E0B5E"/>
    <w:rsid w:val="6D8223FC"/>
    <w:rsid w:val="6D833984"/>
    <w:rsid w:val="6D9051F9"/>
    <w:rsid w:val="6D910891"/>
    <w:rsid w:val="6D91263F"/>
    <w:rsid w:val="6DA26046"/>
    <w:rsid w:val="6DA85BDA"/>
    <w:rsid w:val="6DB427D1"/>
    <w:rsid w:val="6DB8406F"/>
    <w:rsid w:val="6DB9274A"/>
    <w:rsid w:val="6DBD1686"/>
    <w:rsid w:val="6DC522E8"/>
    <w:rsid w:val="6DC81DD9"/>
    <w:rsid w:val="6DCA5B51"/>
    <w:rsid w:val="6DCC6E0C"/>
    <w:rsid w:val="6DD10C8D"/>
    <w:rsid w:val="6DE2733E"/>
    <w:rsid w:val="6DEC498F"/>
    <w:rsid w:val="6DEE3E4B"/>
    <w:rsid w:val="6DEE7A91"/>
    <w:rsid w:val="6DF130DE"/>
    <w:rsid w:val="6DFA4688"/>
    <w:rsid w:val="6DFA6436"/>
    <w:rsid w:val="6DFB5D0A"/>
    <w:rsid w:val="6E0C7F17"/>
    <w:rsid w:val="6E11018D"/>
    <w:rsid w:val="6E153270"/>
    <w:rsid w:val="6E162B44"/>
    <w:rsid w:val="6E1A6AD8"/>
    <w:rsid w:val="6E1D0376"/>
    <w:rsid w:val="6E34121C"/>
    <w:rsid w:val="6E3631E6"/>
    <w:rsid w:val="6E46167B"/>
    <w:rsid w:val="6E4951F3"/>
    <w:rsid w:val="6E4A5427"/>
    <w:rsid w:val="6E62222D"/>
    <w:rsid w:val="6E66587A"/>
    <w:rsid w:val="6E755ABD"/>
    <w:rsid w:val="6E7D2BC3"/>
    <w:rsid w:val="6E7E6B7C"/>
    <w:rsid w:val="6E8759A4"/>
    <w:rsid w:val="6E9543B1"/>
    <w:rsid w:val="6E9879FD"/>
    <w:rsid w:val="6EB1286D"/>
    <w:rsid w:val="6EB32A89"/>
    <w:rsid w:val="6EB365E5"/>
    <w:rsid w:val="6EB94846"/>
    <w:rsid w:val="6EBF142E"/>
    <w:rsid w:val="6EC10D02"/>
    <w:rsid w:val="6EC922AC"/>
    <w:rsid w:val="6EC95E08"/>
    <w:rsid w:val="6ECB1B80"/>
    <w:rsid w:val="6ECB4D35"/>
    <w:rsid w:val="6ED1156E"/>
    <w:rsid w:val="6ED529FF"/>
    <w:rsid w:val="6EE3336E"/>
    <w:rsid w:val="6EE60768"/>
    <w:rsid w:val="6F032EB9"/>
    <w:rsid w:val="6F1057E5"/>
    <w:rsid w:val="6F1A48B6"/>
    <w:rsid w:val="6F224EAF"/>
    <w:rsid w:val="6F2835AC"/>
    <w:rsid w:val="6F2D6397"/>
    <w:rsid w:val="6F3239AE"/>
    <w:rsid w:val="6F3C482C"/>
    <w:rsid w:val="6F3C6B26"/>
    <w:rsid w:val="6F3F60CB"/>
    <w:rsid w:val="6F4E1016"/>
    <w:rsid w:val="6F5222A2"/>
    <w:rsid w:val="6F547DC8"/>
    <w:rsid w:val="6F563B40"/>
    <w:rsid w:val="6F651FD5"/>
    <w:rsid w:val="6F657A59"/>
    <w:rsid w:val="6F6A3147"/>
    <w:rsid w:val="6F6F4C02"/>
    <w:rsid w:val="6F806CD8"/>
    <w:rsid w:val="6F884CD6"/>
    <w:rsid w:val="6F8C495C"/>
    <w:rsid w:val="6F906926"/>
    <w:rsid w:val="6F9208F0"/>
    <w:rsid w:val="6F995F1F"/>
    <w:rsid w:val="6FA32AFD"/>
    <w:rsid w:val="6FB72105"/>
    <w:rsid w:val="6FBE7937"/>
    <w:rsid w:val="6FC565D0"/>
    <w:rsid w:val="6FCB36E7"/>
    <w:rsid w:val="6FCD1928"/>
    <w:rsid w:val="6FD809F9"/>
    <w:rsid w:val="6FDD7DBD"/>
    <w:rsid w:val="6FE27182"/>
    <w:rsid w:val="6FEF4AEB"/>
    <w:rsid w:val="6FF13869"/>
    <w:rsid w:val="6FF869A5"/>
    <w:rsid w:val="6FF9096F"/>
    <w:rsid w:val="70025A76"/>
    <w:rsid w:val="70333E81"/>
    <w:rsid w:val="70351C14"/>
    <w:rsid w:val="703B6CD7"/>
    <w:rsid w:val="70422316"/>
    <w:rsid w:val="70483BF2"/>
    <w:rsid w:val="704A4D27"/>
    <w:rsid w:val="705D0EFE"/>
    <w:rsid w:val="706202C3"/>
    <w:rsid w:val="70621E82"/>
    <w:rsid w:val="7071700B"/>
    <w:rsid w:val="707B619A"/>
    <w:rsid w:val="707F0E75"/>
    <w:rsid w:val="70814BED"/>
    <w:rsid w:val="709B4EA0"/>
    <w:rsid w:val="70A64653"/>
    <w:rsid w:val="70AB7EBB"/>
    <w:rsid w:val="70B0102E"/>
    <w:rsid w:val="70B7060E"/>
    <w:rsid w:val="70BA1EAD"/>
    <w:rsid w:val="70C251BD"/>
    <w:rsid w:val="70C920F0"/>
    <w:rsid w:val="70E37655"/>
    <w:rsid w:val="70E92792"/>
    <w:rsid w:val="70EB475C"/>
    <w:rsid w:val="70EB650A"/>
    <w:rsid w:val="70F73101"/>
    <w:rsid w:val="70FA674D"/>
    <w:rsid w:val="70FE680B"/>
    <w:rsid w:val="71022CF2"/>
    <w:rsid w:val="71145A61"/>
    <w:rsid w:val="711C4915"/>
    <w:rsid w:val="712437CA"/>
    <w:rsid w:val="71245578"/>
    <w:rsid w:val="71265794"/>
    <w:rsid w:val="712832BA"/>
    <w:rsid w:val="712D267F"/>
    <w:rsid w:val="71453E6C"/>
    <w:rsid w:val="714874B8"/>
    <w:rsid w:val="714F4CEB"/>
    <w:rsid w:val="71594AD9"/>
    <w:rsid w:val="716065F6"/>
    <w:rsid w:val="7169742F"/>
    <w:rsid w:val="716C263A"/>
    <w:rsid w:val="717300E1"/>
    <w:rsid w:val="717B5AE0"/>
    <w:rsid w:val="71867FE1"/>
    <w:rsid w:val="718F3339"/>
    <w:rsid w:val="71926986"/>
    <w:rsid w:val="71997D14"/>
    <w:rsid w:val="719A3A8C"/>
    <w:rsid w:val="719C5A56"/>
    <w:rsid w:val="719C7804"/>
    <w:rsid w:val="71A010A2"/>
    <w:rsid w:val="71A36DE5"/>
    <w:rsid w:val="71AC11B9"/>
    <w:rsid w:val="71CB1E97"/>
    <w:rsid w:val="71CC00E9"/>
    <w:rsid w:val="71D13952"/>
    <w:rsid w:val="71D41BE8"/>
    <w:rsid w:val="71E573FD"/>
    <w:rsid w:val="71E60A7F"/>
    <w:rsid w:val="71E73175"/>
    <w:rsid w:val="71FA11CC"/>
    <w:rsid w:val="7205184D"/>
    <w:rsid w:val="72127E8E"/>
    <w:rsid w:val="721B2E1F"/>
    <w:rsid w:val="721B697B"/>
    <w:rsid w:val="722515A8"/>
    <w:rsid w:val="722A4F92"/>
    <w:rsid w:val="7238761B"/>
    <w:rsid w:val="723914F7"/>
    <w:rsid w:val="72477770"/>
    <w:rsid w:val="72513250"/>
    <w:rsid w:val="72536115"/>
    <w:rsid w:val="725400DF"/>
    <w:rsid w:val="72552771"/>
    <w:rsid w:val="725B0596"/>
    <w:rsid w:val="725D6F93"/>
    <w:rsid w:val="725D7774"/>
    <w:rsid w:val="72620A4E"/>
    <w:rsid w:val="7265409A"/>
    <w:rsid w:val="72693B8A"/>
    <w:rsid w:val="727013BD"/>
    <w:rsid w:val="72732551"/>
    <w:rsid w:val="72760055"/>
    <w:rsid w:val="728409C4"/>
    <w:rsid w:val="728C7879"/>
    <w:rsid w:val="728E1843"/>
    <w:rsid w:val="72964253"/>
    <w:rsid w:val="72987FCC"/>
    <w:rsid w:val="72A42E14"/>
    <w:rsid w:val="72A5093A"/>
    <w:rsid w:val="72B0513A"/>
    <w:rsid w:val="72BE3C1A"/>
    <w:rsid w:val="72C01C21"/>
    <w:rsid w:val="72C963D7"/>
    <w:rsid w:val="72D045AE"/>
    <w:rsid w:val="72E651DB"/>
    <w:rsid w:val="72F9189F"/>
    <w:rsid w:val="72FA0C86"/>
    <w:rsid w:val="72FA6ED8"/>
    <w:rsid w:val="72FF629D"/>
    <w:rsid w:val="73025D8D"/>
    <w:rsid w:val="730438B3"/>
    <w:rsid w:val="7315161C"/>
    <w:rsid w:val="731C6E4F"/>
    <w:rsid w:val="732B0E40"/>
    <w:rsid w:val="73375A36"/>
    <w:rsid w:val="73395F5A"/>
    <w:rsid w:val="733C304D"/>
    <w:rsid w:val="734739AE"/>
    <w:rsid w:val="73487C44"/>
    <w:rsid w:val="734D7008"/>
    <w:rsid w:val="734D708D"/>
    <w:rsid w:val="735008A6"/>
    <w:rsid w:val="73504D4A"/>
    <w:rsid w:val="73506AF8"/>
    <w:rsid w:val="7352461E"/>
    <w:rsid w:val="7354438F"/>
    <w:rsid w:val="735C724B"/>
    <w:rsid w:val="73683E42"/>
    <w:rsid w:val="73704C85"/>
    <w:rsid w:val="73724CC1"/>
    <w:rsid w:val="739015EB"/>
    <w:rsid w:val="739E5AB6"/>
    <w:rsid w:val="73AF7CC3"/>
    <w:rsid w:val="73B01345"/>
    <w:rsid w:val="73B057E9"/>
    <w:rsid w:val="73BE1CB4"/>
    <w:rsid w:val="73C31078"/>
    <w:rsid w:val="73C848E1"/>
    <w:rsid w:val="73C90572"/>
    <w:rsid w:val="73CC399B"/>
    <w:rsid w:val="73CD0149"/>
    <w:rsid w:val="73CD784F"/>
    <w:rsid w:val="73D17C39"/>
    <w:rsid w:val="73D70FC8"/>
    <w:rsid w:val="73E01C2A"/>
    <w:rsid w:val="73E060CE"/>
    <w:rsid w:val="73E93AB5"/>
    <w:rsid w:val="73F12089"/>
    <w:rsid w:val="73F27BAF"/>
    <w:rsid w:val="73F75017"/>
    <w:rsid w:val="73F92CEC"/>
    <w:rsid w:val="74071135"/>
    <w:rsid w:val="74072B3C"/>
    <w:rsid w:val="74123DAE"/>
    <w:rsid w:val="741E2752"/>
    <w:rsid w:val="74367A9C"/>
    <w:rsid w:val="74441AE5"/>
    <w:rsid w:val="7447614D"/>
    <w:rsid w:val="744D4DE6"/>
    <w:rsid w:val="744F6DB0"/>
    <w:rsid w:val="745D771F"/>
    <w:rsid w:val="7467234B"/>
    <w:rsid w:val="746A5998"/>
    <w:rsid w:val="74732A9E"/>
    <w:rsid w:val="74736F42"/>
    <w:rsid w:val="747B32BE"/>
    <w:rsid w:val="747F7695"/>
    <w:rsid w:val="748E12E6"/>
    <w:rsid w:val="7499002B"/>
    <w:rsid w:val="74A0760B"/>
    <w:rsid w:val="74AE1D28"/>
    <w:rsid w:val="74B80DF9"/>
    <w:rsid w:val="74BB159E"/>
    <w:rsid w:val="74BB2197"/>
    <w:rsid w:val="74D1046A"/>
    <w:rsid w:val="74D379E1"/>
    <w:rsid w:val="74DF1EE2"/>
    <w:rsid w:val="74E474F8"/>
    <w:rsid w:val="74F33BDF"/>
    <w:rsid w:val="74FB16B9"/>
    <w:rsid w:val="74FC780E"/>
    <w:rsid w:val="75045DEC"/>
    <w:rsid w:val="750B0F29"/>
    <w:rsid w:val="751122B7"/>
    <w:rsid w:val="75306BE1"/>
    <w:rsid w:val="75412B9C"/>
    <w:rsid w:val="7541494A"/>
    <w:rsid w:val="7553201F"/>
    <w:rsid w:val="756845CD"/>
    <w:rsid w:val="757E794D"/>
    <w:rsid w:val="75812F99"/>
    <w:rsid w:val="75947170"/>
    <w:rsid w:val="75970A0E"/>
    <w:rsid w:val="759C6025"/>
    <w:rsid w:val="75AB44BA"/>
    <w:rsid w:val="75BC66C7"/>
    <w:rsid w:val="75D457BF"/>
    <w:rsid w:val="75FA2D4B"/>
    <w:rsid w:val="76043A63"/>
    <w:rsid w:val="760C31AA"/>
    <w:rsid w:val="76226EB3"/>
    <w:rsid w:val="762657D1"/>
    <w:rsid w:val="76283D5C"/>
    <w:rsid w:val="762A3631"/>
    <w:rsid w:val="762B4241"/>
    <w:rsid w:val="762B73A9"/>
    <w:rsid w:val="76326989"/>
    <w:rsid w:val="76327C2C"/>
    <w:rsid w:val="76366479"/>
    <w:rsid w:val="76391AC6"/>
    <w:rsid w:val="765E777E"/>
    <w:rsid w:val="768947FB"/>
    <w:rsid w:val="76912E29"/>
    <w:rsid w:val="769B452E"/>
    <w:rsid w:val="76A71125"/>
    <w:rsid w:val="76A823F7"/>
    <w:rsid w:val="76AC673B"/>
    <w:rsid w:val="76AE4F3E"/>
    <w:rsid w:val="76B075E9"/>
    <w:rsid w:val="76B4114C"/>
    <w:rsid w:val="76BF646F"/>
    <w:rsid w:val="76C26D16"/>
    <w:rsid w:val="76C577FD"/>
    <w:rsid w:val="76D90BB3"/>
    <w:rsid w:val="76DF1581"/>
    <w:rsid w:val="76DF266D"/>
    <w:rsid w:val="76E0276E"/>
    <w:rsid w:val="76F36118"/>
    <w:rsid w:val="76F61765"/>
    <w:rsid w:val="76FB6D7B"/>
    <w:rsid w:val="76FE0619"/>
    <w:rsid w:val="77075720"/>
    <w:rsid w:val="7709593C"/>
    <w:rsid w:val="771147F0"/>
    <w:rsid w:val="771B11CB"/>
    <w:rsid w:val="771F2A69"/>
    <w:rsid w:val="77204A34"/>
    <w:rsid w:val="772617CE"/>
    <w:rsid w:val="772A0A1A"/>
    <w:rsid w:val="773C186D"/>
    <w:rsid w:val="7741201E"/>
    <w:rsid w:val="77470212"/>
    <w:rsid w:val="774C75D7"/>
    <w:rsid w:val="77731007"/>
    <w:rsid w:val="777D3C34"/>
    <w:rsid w:val="77850C07"/>
    <w:rsid w:val="77884AB3"/>
    <w:rsid w:val="77903967"/>
    <w:rsid w:val="7797601C"/>
    <w:rsid w:val="77A411C1"/>
    <w:rsid w:val="77A613DD"/>
    <w:rsid w:val="77AF3E74"/>
    <w:rsid w:val="77B533CE"/>
    <w:rsid w:val="77B92EBE"/>
    <w:rsid w:val="77C35AEB"/>
    <w:rsid w:val="77C654D0"/>
    <w:rsid w:val="77C83101"/>
    <w:rsid w:val="77D01FB6"/>
    <w:rsid w:val="77DA4BE2"/>
    <w:rsid w:val="77E85551"/>
    <w:rsid w:val="77E94939"/>
    <w:rsid w:val="77FF289B"/>
    <w:rsid w:val="78014865"/>
    <w:rsid w:val="78034139"/>
    <w:rsid w:val="7804209D"/>
    <w:rsid w:val="780659D7"/>
    <w:rsid w:val="780B1240"/>
    <w:rsid w:val="78174088"/>
    <w:rsid w:val="78175E36"/>
    <w:rsid w:val="78230E37"/>
    <w:rsid w:val="782718C7"/>
    <w:rsid w:val="78281DF2"/>
    <w:rsid w:val="78397B5B"/>
    <w:rsid w:val="78484242"/>
    <w:rsid w:val="784B788E"/>
    <w:rsid w:val="7851759A"/>
    <w:rsid w:val="785B5D23"/>
    <w:rsid w:val="7860333A"/>
    <w:rsid w:val="78762B5D"/>
    <w:rsid w:val="78770683"/>
    <w:rsid w:val="788240B7"/>
    <w:rsid w:val="788334CC"/>
    <w:rsid w:val="788F3C1F"/>
    <w:rsid w:val="78911745"/>
    <w:rsid w:val="78915BE9"/>
    <w:rsid w:val="789254BD"/>
    <w:rsid w:val="78A91184"/>
    <w:rsid w:val="78CC4E73"/>
    <w:rsid w:val="78CF226D"/>
    <w:rsid w:val="78D12489"/>
    <w:rsid w:val="78D36201"/>
    <w:rsid w:val="78D9133E"/>
    <w:rsid w:val="78D9175B"/>
    <w:rsid w:val="78E0091E"/>
    <w:rsid w:val="78E421BD"/>
    <w:rsid w:val="78F20C53"/>
    <w:rsid w:val="78F27782"/>
    <w:rsid w:val="78FF6FF6"/>
    <w:rsid w:val="790740FD"/>
    <w:rsid w:val="79091C23"/>
    <w:rsid w:val="79094DAE"/>
    <w:rsid w:val="790E7239"/>
    <w:rsid w:val="79127A05"/>
    <w:rsid w:val="79133C5D"/>
    <w:rsid w:val="79183C14"/>
    <w:rsid w:val="791A5BDE"/>
    <w:rsid w:val="791B3704"/>
    <w:rsid w:val="79224A93"/>
    <w:rsid w:val="7927654D"/>
    <w:rsid w:val="792A1B99"/>
    <w:rsid w:val="79312F28"/>
    <w:rsid w:val="79352A18"/>
    <w:rsid w:val="79394A97"/>
    <w:rsid w:val="793B5B55"/>
    <w:rsid w:val="79404F19"/>
    <w:rsid w:val="79404FE8"/>
    <w:rsid w:val="79444A09"/>
    <w:rsid w:val="795135CA"/>
    <w:rsid w:val="7956298E"/>
    <w:rsid w:val="795A247F"/>
    <w:rsid w:val="795F1843"/>
    <w:rsid w:val="796432FD"/>
    <w:rsid w:val="79667075"/>
    <w:rsid w:val="79752E15"/>
    <w:rsid w:val="798B088A"/>
    <w:rsid w:val="798E037A"/>
    <w:rsid w:val="799534B7"/>
    <w:rsid w:val="7997722F"/>
    <w:rsid w:val="799D236B"/>
    <w:rsid w:val="79A436FA"/>
    <w:rsid w:val="79A74F98"/>
    <w:rsid w:val="79BE0C60"/>
    <w:rsid w:val="79C618C2"/>
    <w:rsid w:val="79DF4732"/>
    <w:rsid w:val="79E461EC"/>
    <w:rsid w:val="79E63D12"/>
    <w:rsid w:val="79EB757B"/>
    <w:rsid w:val="79EE2BC7"/>
    <w:rsid w:val="79F226B7"/>
    <w:rsid w:val="79F8477F"/>
    <w:rsid w:val="7A2111EE"/>
    <w:rsid w:val="7A37456E"/>
    <w:rsid w:val="7A3C1B84"/>
    <w:rsid w:val="7A41363F"/>
    <w:rsid w:val="7A421A85"/>
    <w:rsid w:val="7A560E98"/>
    <w:rsid w:val="7A5C0A2A"/>
    <w:rsid w:val="7A6A66F1"/>
    <w:rsid w:val="7A707A80"/>
    <w:rsid w:val="7A721A4A"/>
    <w:rsid w:val="7A796935"/>
    <w:rsid w:val="7A7C01D3"/>
    <w:rsid w:val="7A813A3B"/>
    <w:rsid w:val="7A831561"/>
    <w:rsid w:val="7A850636"/>
    <w:rsid w:val="7A85177D"/>
    <w:rsid w:val="7A85352B"/>
    <w:rsid w:val="7A965738"/>
    <w:rsid w:val="7AA5772A"/>
    <w:rsid w:val="7AAD65DE"/>
    <w:rsid w:val="7ABC0981"/>
    <w:rsid w:val="7ACD6C80"/>
    <w:rsid w:val="7AD24297"/>
    <w:rsid w:val="7AD9749D"/>
    <w:rsid w:val="7ADB314B"/>
    <w:rsid w:val="7ADB75EF"/>
    <w:rsid w:val="7AE83ABA"/>
    <w:rsid w:val="7AF1296F"/>
    <w:rsid w:val="7AF366E7"/>
    <w:rsid w:val="7AF67F85"/>
    <w:rsid w:val="7AF75AAB"/>
    <w:rsid w:val="7AFC1A65"/>
    <w:rsid w:val="7AFD57B8"/>
    <w:rsid w:val="7AFE32DE"/>
    <w:rsid w:val="7B000E04"/>
    <w:rsid w:val="7B1B5C3E"/>
    <w:rsid w:val="7B1D7C08"/>
    <w:rsid w:val="7B256ABC"/>
    <w:rsid w:val="7B292109"/>
    <w:rsid w:val="7B2C3357"/>
    <w:rsid w:val="7B300C8E"/>
    <w:rsid w:val="7B315461"/>
    <w:rsid w:val="7B3867F0"/>
    <w:rsid w:val="7B3D5BB4"/>
    <w:rsid w:val="7B4038F6"/>
    <w:rsid w:val="7B486307"/>
    <w:rsid w:val="7B551150"/>
    <w:rsid w:val="7B6F1AE6"/>
    <w:rsid w:val="7B786BEC"/>
    <w:rsid w:val="7B791563"/>
    <w:rsid w:val="7B845591"/>
    <w:rsid w:val="7B935BC6"/>
    <w:rsid w:val="7B9B28DB"/>
    <w:rsid w:val="7B9C62A6"/>
    <w:rsid w:val="7BA14395"/>
    <w:rsid w:val="7BAF6B06"/>
    <w:rsid w:val="7BB816DF"/>
    <w:rsid w:val="7BB8348D"/>
    <w:rsid w:val="7BD36518"/>
    <w:rsid w:val="7BD76009"/>
    <w:rsid w:val="7BD83B2F"/>
    <w:rsid w:val="7BDB06D8"/>
    <w:rsid w:val="7BDF6C6B"/>
    <w:rsid w:val="7BE129E3"/>
    <w:rsid w:val="7BE3755C"/>
    <w:rsid w:val="7BE622D0"/>
    <w:rsid w:val="7BEB1B11"/>
    <w:rsid w:val="7BEE6EAE"/>
    <w:rsid w:val="7BFC781D"/>
    <w:rsid w:val="7BFF10BB"/>
    <w:rsid w:val="7C0641F8"/>
    <w:rsid w:val="7C0972AC"/>
    <w:rsid w:val="7C0B5CB2"/>
    <w:rsid w:val="7C0E6502"/>
    <w:rsid w:val="7C10151B"/>
    <w:rsid w:val="7C105077"/>
    <w:rsid w:val="7C1A5EF5"/>
    <w:rsid w:val="7C2154D6"/>
    <w:rsid w:val="7C25298A"/>
    <w:rsid w:val="7C374240"/>
    <w:rsid w:val="7C3C2310"/>
    <w:rsid w:val="7C4100C4"/>
    <w:rsid w:val="7C5E0443"/>
    <w:rsid w:val="7C5E4034"/>
    <w:rsid w:val="7C790E6E"/>
    <w:rsid w:val="7C7D2B0E"/>
    <w:rsid w:val="7C833A9B"/>
    <w:rsid w:val="7C8617DD"/>
    <w:rsid w:val="7C863D26"/>
    <w:rsid w:val="7C8B25A0"/>
    <w:rsid w:val="7C8D2B6B"/>
    <w:rsid w:val="7C8D66C7"/>
    <w:rsid w:val="7CAA5868"/>
    <w:rsid w:val="7CB9294D"/>
    <w:rsid w:val="7CC266CE"/>
    <w:rsid w:val="7CC85510"/>
    <w:rsid w:val="7CD42548"/>
    <w:rsid w:val="7CD9704D"/>
    <w:rsid w:val="7CDC31AB"/>
    <w:rsid w:val="7CDE33C7"/>
    <w:rsid w:val="7CE502B1"/>
    <w:rsid w:val="7CE81B50"/>
    <w:rsid w:val="7CF27D4C"/>
    <w:rsid w:val="7CF53D2F"/>
    <w:rsid w:val="7CF624BE"/>
    <w:rsid w:val="7D1110A6"/>
    <w:rsid w:val="7D2C5EE0"/>
    <w:rsid w:val="7D3354C1"/>
    <w:rsid w:val="7D6733BC"/>
    <w:rsid w:val="7D7635FF"/>
    <w:rsid w:val="7D7804ED"/>
    <w:rsid w:val="7D99109C"/>
    <w:rsid w:val="7D9F4904"/>
    <w:rsid w:val="7DAE30E4"/>
    <w:rsid w:val="7DB859C6"/>
    <w:rsid w:val="7DBD2FDC"/>
    <w:rsid w:val="7DC10D1E"/>
    <w:rsid w:val="7DC75C09"/>
    <w:rsid w:val="7DD50326"/>
    <w:rsid w:val="7DD547CA"/>
    <w:rsid w:val="7DE14F1D"/>
    <w:rsid w:val="7DEB5D9B"/>
    <w:rsid w:val="7DED1B13"/>
    <w:rsid w:val="7DEE3196"/>
    <w:rsid w:val="7DF2712A"/>
    <w:rsid w:val="7DF82266"/>
    <w:rsid w:val="7E024E93"/>
    <w:rsid w:val="7E0B5A63"/>
    <w:rsid w:val="7E0D3F64"/>
    <w:rsid w:val="7E1F3C97"/>
    <w:rsid w:val="7E327526"/>
    <w:rsid w:val="7E3314F0"/>
    <w:rsid w:val="7E3F39F1"/>
    <w:rsid w:val="7E3F60E7"/>
    <w:rsid w:val="7E490D14"/>
    <w:rsid w:val="7E6E7AAC"/>
    <w:rsid w:val="7E70004F"/>
    <w:rsid w:val="7E722019"/>
    <w:rsid w:val="7E891110"/>
    <w:rsid w:val="7E971A7F"/>
    <w:rsid w:val="7EAA17B2"/>
    <w:rsid w:val="7EB268B9"/>
    <w:rsid w:val="7EC52231"/>
    <w:rsid w:val="7EC97295"/>
    <w:rsid w:val="7ECF2FC7"/>
    <w:rsid w:val="7ED24865"/>
    <w:rsid w:val="7ED311A8"/>
    <w:rsid w:val="7ED54355"/>
    <w:rsid w:val="7EE03426"/>
    <w:rsid w:val="7EE2719E"/>
    <w:rsid w:val="7EEA4A9D"/>
    <w:rsid w:val="7EEA6053"/>
    <w:rsid w:val="7EEF71C5"/>
    <w:rsid w:val="7EF173E1"/>
    <w:rsid w:val="7EF415E7"/>
    <w:rsid w:val="7F0C5FC9"/>
    <w:rsid w:val="7F3472CE"/>
    <w:rsid w:val="7F3737B9"/>
    <w:rsid w:val="7F3B19BF"/>
    <w:rsid w:val="7F435763"/>
    <w:rsid w:val="7F4514DB"/>
    <w:rsid w:val="7F4F246F"/>
    <w:rsid w:val="7F511C2E"/>
    <w:rsid w:val="7F736048"/>
    <w:rsid w:val="7F737DF6"/>
    <w:rsid w:val="7F800765"/>
    <w:rsid w:val="7F89761A"/>
    <w:rsid w:val="7F945FBF"/>
    <w:rsid w:val="7FA206DC"/>
    <w:rsid w:val="7FA800A8"/>
    <w:rsid w:val="7FB83A5B"/>
    <w:rsid w:val="7FBA3C77"/>
    <w:rsid w:val="7FBB179D"/>
    <w:rsid w:val="7FC65FA0"/>
    <w:rsid w:val="7FD60385"/>
    <w:rsid w:val="7FD840FD"/>
    <w:rsid w:val="7FE115B6"/>
    <w:rsid w:val="7FE64A6C"/>
    <w:rsid w:val="7FF0195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69"/>
    <w:autoRedefine/>
    <w:qFormat/>
    <w:uiPriority w:val="99"/>
    <w:pPr>
      <w:keepNext/>
      <w:keepLines/>
      <w:spacing w:before="260" w:after="260" w:line="415" w:lineRule="auto"/>
      <w:outlineLvl w:val="2"/>
    </w:pPr>
    <w:rPr>
      <w:sz w:val="32"/>
      <w:szCs w:val="32"/>
    </w:rPr>
  </w:style>
  <w:style w:type="paragraph" w:styleId="7">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表1"/>
    <w:basedOn w:val="1"/>
    <w:qFormat/>
    <w:uiPriority w:val="0"/>
    <w:pPr>
      <w:ind w:left="420" w:hanging="420"/>
    </w:pPr>
  </w:style>
  <w:style w:type="paragraph" w:customStyle="1" w:styleId="4">
    <w:name w:val="文本正文"/>
    <w:basedOn w:val="1"/>
    <w:autoRedefine/>
    <w:qFormat/>
    <w:uiPriority w:val="0"/>
    <w:pPr>
      <w:spacing w:afterLines="50"/>
      <w:ind w:firstLine="200" w:firstLineChars="200"/>
      <w:jc w:val="left"/>
    </w:pPr>
    <w:rPr>
      <w:rFonts w:ascii="Calibri" w:hAnsi="Calibri"/>
      <w:szCs w:val="22"/>
      <w:lang w:bidi="en-US"/>
    </w:rPr>
  </w:style>
  <w:style w:type="paragraph" w:styleId="8">
    <w:name w:val="table of authorities"/>
    <w:basedOn w:val="1"/>
    <w:next w:val="1"/>
    <w:autoRedefine/>
    <w:unhideWhenUsed/>
    <w:qFormat/>
    <w:uiPriority w:val="99"/>
    <w:pPr>
      <w:ind w:left="420" w:leftChars="200"/>
    </w:pPr>
  </w:style>
  <w:style w:type="paragraph" w:styleId="9">
    <w:name w:val="Normal Indent"/>
    <w:basedOn w:val="1"/>
    <w:next w:val="1"/>
    <w:autoRedefine/>
    <w:qFormat/>
    <w:uiPriority w:val="0"/>
    <w:pPr>
      <w:adjustRightInd w:val="0"/>
      <w:ind w:firstLine="420"/>
    </w:pPr>
    <w:rPr>
      <w:rFonts w:eastAsia="楷体_GB2312"/>
      <w:sz w:val="24"/>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7"/>
    <w:autoRedefine/>
    <w:qFormat/>
    <w:uiPriority w:val="0"/>
    <w:pPr>
      <w:jc w:val="left"/>
    </w:pPr>
  </w:style>
  <w:style w:type="paragraph" w:styleId="12">
    <w:name w:val="index 6"/>
    <w:basedOn w:val="1"/>
    <w:next w:val="1"/>
    <w:autoRedefine/>
    <w:qFormat/>
    <w:uiPriority w:val="99"/>
    <w:pPr>
      <w:ind w:left="2100"/>
    </w:pPr>
  </w:style>
  <w:style w:type="paragraph" w:styleId="13">
    <w:name w:val="Body Text"/>
    <w:basedOn w:val="1"/>
    <w:next w:val="1"/>
    <w:autoRedefine/>
    <w:qFormat/>
    <w:uiPriority w:val="0"/>
    <w:pPr>
      <w:spacing w:after="120"/>
    </w:pPr>
    <w:rPr>
      <w:szCs w:val="24"/>
    </w:rPr>
  </w:style>
  <w:style w:type="paragraph" w:styleId="14">
    <w:name w:val="Body Text Indent"/>
    <w:basedOn w:val="1"/>
    <w:next w:val="7"/>
    <w:autoRedefine/>
    <w:qFormat/>
    <w:uiPriority w:val="0"/>
    <w:pPr>
      <w:spacing w:line="360" w:lineRule="auto"/>
      <w:ind w:firstLine="560" w:firstLineChars="200"/>
    </w:pPr>
    <w:rPr>
      <w:sz w:val="28"/>
    </w:rPr>
  </w:style>
  <w:style w:type="paragraph" w:styleId="15">
    <w:name w:val="Plain Text"/>
    <w:basedOn w:val="1"/>
    <w:autoRedefine/>
    <w:qFormat/>
    <w:uiPriority w:val="0"/>
    <w:rPr>
      <w:rFonts w:ascii="宋体" w:hAnsi="Courier New"/>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rPr>
  </w:style>
  <w:style w:type="paragraph" w:styleId="20">
    <w:name w:val="toc 1"/>
    <w:basedOn w:val="1"/>
    <w:next w:val="1"/>
    <w:autoRedefine/>
    <w:qFormat/>
    <w:uiPriority w:val="39"/>
    <w:rPr>
      <w:szCs w:val="24"/>
    </w:rPr>
  </w:style>
  <w:style w:type="paragraph" w:styleId="21">
    <w:name w:val="List"/>
    <w:basedOn w:val="1"/>
    <w:autoRedefine/>
    <w:qFormat/>
    <w:uiPriority w:val="0"/>
    <w:pPr>
      <w:spacing w:before="312" w:beforeLines="100" w:line="360" w:lineRule="auto"/>
      <w:jc w:val="center"/>
    </w:pPr>
    <w:rPr>
      <w:rFonts w:ascii="宋体" w:hAnsi="宋体"/>
      <w:b/>
      <w:sz w:val="28"/>
      <w:szCs w:val="24"/>
    </w:rPr>
  </w:style>
  <w:style w:type="paragraph" w:styleId="22">
    <w:name w:val="footnote text"/>
    <w:basedOn w:val="1"/>
    <w:autoRedefine/>
    <w:qFormat/>
    <w:uiPriority w:val="99"/>
    <w:pPr>
      <w:adjustRightInd w:val="0"/>
      <w:spacing w:line="312" w:lineRule="atLeast"/>
      <w:jc w:val="left"/>
      <w:textAlignment w:val="baseline"/>
    </w:pPr>
    <w:rPr>
      <w:kern w:val="0"/>
      <w:sz w:val="18"/>
      <w:szCs w:val="20"/>
    </w:rPr>
  </w:style>
  <w:style w:type="paragraph" w:styleId="23">
    <w:name w:val="toc 6"/>
    <w:basedOn w:val="1"/>
    <w:next w:val="1"/>
    <w:autoRedefine/>
    <w:qFormat/>
    <w:uiPriority w:val="0"/>
    <w:pPr>
      <w:ind w:left="1400"/>
    </w:pPr>
    <w:rPr>
      <w:rFonts w:ascii="Calibri"/>
      <w:sz w:val="18"/>
      <w:szCs w:val="18"/>
    </w:rPr>
  </w:style>
  <w:style w:type="paragraph" w:styleId="24">
    <w:name w:val="toc 2"/>
    <w:basedOn w:val="1"/>
    <w:next w:val="1"/>
    <w:autoRedefine/>
    <w:qFormat/>
    <w:uiPriority w:val="39"/>
    <w:pPr>
      <w:ind w:left="420" w:leftChars="200"/>
    </w:pPr>
    <w:rPr>
      <w:szCs w:val="24"/>
    </w:rPr>
  </w:style>
  <w:style w:type="paragraph" w:styleId="2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26">
    <w:name w:val="Normal (Web)"/>
    <w:basedOn w:val="1"/>
    <w:autoRedefine/>
    <w:qFormat/>
    <w:uiPriority w:val="99"/>
    <w:pPr>
      <w:spacing w:before="100" w:beforeAutospacing="1" w:after="100" w:afterAutospacing="1"/>
      <w:jc w:val="left"/>
    </w:pPr>
    <w:rPr>
      <w:rFonts w:ascii="Calibri" w:hAnsi="Calibri"/>
      <w:kern w:val="0"/>
      <w:sz w:val="24"/>
      <w:szCs w:val="24"/>
    </w:rPr>
  </w:style>
  <w:style w:type="paragraph" w:styleId="27">
    <w:name w:val="annotation subject"/>
    <w:basedOn w:val="11"/>
    <w:next w:val="11"/>
    <w:link w:val="48"/>
    <w:autoRedefine/>
    <w:qFormat/>
    <w:uiPriority w:val="0"/>
    <w:rPr>
      <w:b/>
      <w:bCs/>
    </w:rPr>
  </w:style>
  <w:style w:type="paragraph" w:styleId="28">
    <w:name w:val="Body Text First Indent"/>
    <w:basedOn w:val="13"/>
    <w:next w:val="23"/>
    <w:autoRedefine/>
    <w:qFormat/>
    <w:uiPriority w:val="0"/>
    <w:pPr>
      <w:adjustRightInd/>
      <w:spacing w:line="240" w:lineRule="auto"/>
      <w:ind w:firstLine="420" w:firstLineChars="100"/>
    </w:pPr>
    <w:rPr>
      <w:kern w:val="2"/>
      <w:sz w:val="21"/>
      <w:szCs w:val="24"/>
    </w:rPr>
  </w:style>
  <w:style w:type="paragraph" w:styleId="29">
    <w:name w:val="Body Text First Indent 2"/>
    <w:basedOn w:val="14"/>
    <w:next w:val="1"/>
    <w:autoRedefine/>
    <w:qFormat/>
    <w:uiPriority w:val="0"/>
    <w:pPr>
      <w:ind w:left="1588" w:leftChars="832" w:firstLine="433"/>
    </w:pPr>
    <w:rPr>
      <w:rFonts w:eastAsia="仿宋_GB2312"/>
      <w:spacing w:val="15"/>
      <w:kern w:val="10"/>
      <w:sz w:val="24"/>
      <w:szCs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basedOn w:val="32"/>
    <w:autoRedefine/>
    <w:qFormat/>
    <w:uiPriority w:val="99"/>
    <w:rPr>
      <w:color w:val="0000FF"/>
      <w:u w:val="single"/>
    </w:rPr>
  </w:style>
  <w:style w:type="character" w:styleId="34">
    <w:name w:val="annotation reference"/>
    <w:basedOn w:val="32"/>
    <w:autoRedefine/>
    <w:qFormat/>
    <w:uiPriority w:val="0"/>
    <w:rPr>
      <w:sz w:val="21"/>
      <w:szCs w:val="21"/>
    </w:rPr>
  </w:style>
  <w:style w:type="paragraph" w:customStyle="1" w:styleId="3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1"/>
    <w:basedOn w:val="1"/>
    <w:next w:val="7"/>
    <w:autoRedefine/>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37">
    <w:name w:val="NormalCharacter"/>
    <w:autoRedefine/>
    <w:semiHidden/>
    <w:qFormat/>
    <w:uiPriority w:val="0"/>
  </w:style>
  <w:style w:type="paragraph" w:customStyle="1" w:styleId="3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p0"/>
    <w:basedOn w:val="1"/>
    <w:autoRedefine/>
    <w:qFormat/>
    <w:uiPriority w:val="0"/>
    <w:pPr>
      <w:widowControl/>
      <w:jc w:val="left"/>
    </w:pPr>
    <w:rPr>
      <w:kern w:val="0"/>
      <w:szCs w:val="21"/>
    </w:rPr>
  </w:style>
  <w:style w:type="paragraph" w:customStyle="1" w:styleId="40">
    <w:name w:val="样式3"/>
    <w:basedOn w:val="15"/>
    <w:autoRedefine/>
    <w:qFormat/>
    <w:uiPriority w:val="0"/>
    <w:pPr>
      <w:spacing w:line="0" w:lineRule="atLeast"/>
      <w:outlineLvl w:val="0"/>
    </w:pPr>
    <w:rPr>
      <w:sz w:val="28"/>
    </w:rPr>
  </w:style>
  <w:style w:type="paragraph" w:customStyle="1" w:styleId="41">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Default Tex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5">
    <w:name w:val="正文文字 Char1"/>
    <w:basedOn w:val="32"/>
    <w:link w:val="46"/>
    <w:autoRedefine/>
    <w:qFormat/>
    <w:uiPriority w:val="0"/>
    <w:rPr>
      <w:rFonts w:ascii="宋体"/>
      <w:color w:val="000000"/>
      <w:kern w:val="0"/>
      <w:sz w:val="28"/>
      <w:u w:color="000000"/>
    </w:rPr>
  </w:style>
  <w:style w:type="paragraph" w:customStyle="1" w:styleId="46">
    <w:name w:val="正文文字"/>
    <w:basedOn w:val="1"/>
    <w:link w:val="45"/>
    <w:autoRedefine/>
    <w:qFormat/>
    <w:uiPriority w:val="0"/>
    <w:pPr>
      <w:widowControl/>
      <w:spacing w:line="2375" w:lineRule="atLeast"/>
      <w:ind w:firstLine="419"/>
      <w:textAlignment w:val="baseline"/>
    </w:pPr>
    <w:rPr>
      <w:rFonts w:ascii="宋体"/>
      <w:color w:val="000000"/>
      <w:kern w:val="0"/>
      <w:sz w:val="28"/>
      <w:u w:color="000000"/>
    </w:rPr>
  </w:style>
  <w:style w:type="character" w:customStyle="1" w:styleId="47">
    <w:name w:val="批注文字 字符"/>
    <w:basedOn w:val="32"/>
    <w:link w:val="11"/>
    <w:autoRedefine/>
    <w:qFormat/>
    <w:uiPriority w:val="0"/>
    <w:rPr>
      <w:rFonts w:ascii="Times New Roman" w:hAnsi="Times New Roman" w:eastAsia="宋体" w:cs="Times New Roman"/>
      <w:kern w:val="2"/>
      <w:sz w:val="21"/>
    </w:rPr>
  </w:style>
  <w:style w:type="character" w:customStyle="1" w:styleId="48">
    <w:name w:val="批注主题 字符"/>
    <w:basedOn w:val="47"/>
    <w:link w:val="27"/>
    <w:autoRedefine/>
    <w:qFormat/>
    <w:uiPriority w:val="0"/>
    <w:rPr>
      <w:rFonts w:ascii="Times New Roman" w:hAnsi="Times New Roman" w:eastAsia="宋体" w:cs="Times New Roman"/>
      <w:b/>
      <w:bCs/>
      <w:kern w:val="2"/>
      <w:sz w:val="21"/>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sz w:val="28"/>
      <w:szCs w:val="20"/>
    </w:rPr>
  </w:style>
  <w:style w:type="paragraph" w:customStyle="1" w:styleId="52">
    <w:name w:val="正文1"/>
    <w:basedOn w:val="53"/>
    <w:next w:val="55"/>
    <w:autoRedefine/>
    <w:qFormat/>
    <w:uiPriority w:val="0"/>
    <w:pPr>
      <w:spacing w:line="480" w:lineRule="exact"/>
      <w:ind w:firstLine="480" w:firstLineChars="200"/>
      <w:jc w:val="left"/>
    </w:pPr>
    <w:rPr>
      <w:rFonts w:ascii="宋体" w:hAnsi="宋体" w:cs="宋体"/>
      <w:kern w:val="0"/>
      <w:sz w:val="24"/>
      <w:szCs w:val="24"/>
    </w:rPr>
  </w:style>
  <w:style w:type="paragraph" w:customStyle="1" w:styleId="53">
    <w:name w:val="正文_1_0"/>
    <w:basedOn w:val="54"/>
    <w:autoRedefine/>
    <w:qFormat/>
    <w:uiPriority w:val="0"/>
    <w:rPr>
      <w:szCs w:val="21"/>
    </w:rPr>
  </w:style>
  <w:style w:type="paragraph" w:customStyle="1" w:styleId="54">
    <w:name w:val="正文_1"/>
    <w:autoRedefine/>
    <w:qFormat/>
    <w:uiPriority w:val="0"/>
    <w:pPr>
      <w:widowControl w:val="0"/>
      <w:jc w:val="both"/>
    </w:pPr>
    <w:rPr>
      <w:rFonts w:ascii="Calibri" w:hAnsi="Calibri" w:eastAsia="宋体" w:cs="Times New Roman"/>
      <w:kern w:val="2"/>
      <w:sz w:val="21"/>
      <w:szCs w:val="22"/>
      <w:lang w:eastAsia="en-US"/>
    </w:rPr>
  </w:style>
  <w:style w:type="paragraph" w:customStyle="1" w:styleId="55">
    <w:name w:val="样式 样式 正文缩进正文（首行缩进两字）正文2 + 首行缩进:  2 字符 + 首行缩进:  2 字符"/>
    <w:basedOn w:val="1"/>
    <w:autoRedefine/>
    <w:qFormat/>
    <w:uiPriority w:val="39"/>
    <w:pPr>
      <w:spacing w:line="324" w:lineRule="auto"/>
      <w:ind w:firstLine="600"/>
    </w:pPr>
    <w:rPr>
      <w:rFonts w:ascii="Times New Roman" w:hAnsi="宋体" w:cs="宋体"/>
      <w:sz w:val="28"/>
      <w:szCs w:val="20"/>
    </w:rPr>
  </w:style>
  <w:style w:type="paragraph" w:customStyle="1" w:styleId="56">
    <w:name w:val="图例"/>
    <w:basedOn w:val="1"/>
    <w:autoRedefine/>
    <w:qFormat/>
    <w:uiPriority w:val="0"/>
    <w:pPr>
      <w:spacing w:before="120" w:after="120" w:line="360" w:lineRule="auto"/>
      <w:jc w:val="center"/>
    </w:pPr>
    <w:rPr>
      <w:rFonts w:eastAsia="仿宋_GB2312"/>
      <w:b/>
      <w:sz w:val="24"/>
      <w:szCs w:val="20"/>
    </w:rPr>
  </w:style>
  <w:style w:type="paragraph" w:styleId="57">
    <w:name w:val="List Paragraph"/>
    <w:basedOn w:val="1"/>
    <w:autoRedefine/>
    <w:unhideWhenUsed/>
    <w:qFormat/>
    <w:uiPriority w:val="99"/>
    <w:pPr>
      <w:ind w:firstLine="420" w:firstLineChars="200"/>
    </w:pPr>
  </w:style>
  <w:style w:type="paragraph" w:customStyle="1" w:styleId="58">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59">
    <w:name w:val="正文缩进1"/>
    <w:basedOn w:val="1"/>
    <w:autoRedefine/>
    <w:qFormat/>
    <w:uiPriority w:val="0"/>
    <w:pPr>
      <w:autoSpaceDE w:val="0"/>
      <w:autoSpaceDN w:val="0"/>
      <w:adjustRightInd w:val="0"/>
      <w:ind w:firstLine="420"/>
      <w:jc w:val="left"/>
    </w:pPr>
    <w:rPr>
      <w:rFonts w:ascii="宋体" w:hAnsi="Calibri" w:eastAsia="宋体" w:cs="Times New Roman"/>
      <w:sz w:val="24"/>
      <w:szCs w:val="22"/>
    </w:rPr>
  </w:style>
  <w:style w:type="table" w:customStyle="1" w:styleId="60">
    <w:name w:val="Table Normal"/>
    <w:autoRedefine/>
    <w:unhideWhenUsed/>
    <w:qFormat/>
    <w:uiPriority w:val="0"/>
    <w:tblPr>
      <w:tblCellMar>
        <w:top w:w="0" w:type="dxa"/>
        <w:left w:w="0" w:type="dxa"/>
        <w:bottom w:w="0" w:type="dxa"/>
        <w:right w:w="0" w:type="dxa"/>
      </w:tblCellMar>
    </w:tblPr>
  </w:style>
  <w:style w:type="character" w:customStyle="1" w:styleId="61">
    <w:name w:val="标题 3 字符"/>
    <w:basedOn w:val="32"/>
    <w:link w:val="6"/>
    <w:autoRedefine/>
    <w:qFormat/>
    <w:uiPriority w:val="0"/>
    <w:rPr>
      <w:sz w:val="32"/>
      <w:szCs w:val="32"/>
    </w:rPr>
  </w:style>
  <w:style w:type="paragraph" w:customStyle="1" w:styleId="62">
    <w:name w:val="表格文字2"/>
    <w:basedOn w:val="52"/>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63">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character" w:customStyle="1" w:styleId="64">
    <w:name w:val="font61"/>
    <w:basedOn w:val="32"/>
    <w:autoRedefine/>
    <w:qFormat/>
    <w:uiPriority w:val="0"/>
    <w:rPr>
      <w:rFonts w:hint="eastAsia" w:ascii="宋体" w:hAnsi="宋体" w:eastAsia="宋体" w:cs="宋体"/>
      <w:color w:val="000000"/>
      <w:sz w:val="36"/>
      <w:szCs w:val="36"/>
      <w:u w:val="none"/>
    </w:rPr>
  </w:style>
  <w:style w:type="character" w:customStyle="1" w:styleId="65">
    <w:name w:val="font51"/>
    <w:basedOn w:val="32"/>
    <w:autoRedefine/>
    <w:qFormat/>
    <w:uiPriority w:val="0"/>
    <w:rPr>
      <w:rFonts w:hint="eastAsia" w:ascii="宋体" w:hAnsi="宋体" w:eastAsia="宋体" w:cs="宋体"/>
      <w:color w:val="000000"/>
      <w:sz w:val="36"/>
      <w:szCs w:val="36"/>
      <w:u w:val="none"/>
    </w:rPr>
  </w:style>
  <w:style w:type="character" w:customStyle="1" w:styleId="66">
    <w:name w:val="font41"/>
    <w:basedOn w:val="32"/>
    <w:autoRedefine/>
    <w:qFormat/>
    <w:uiPriority w:val="0"/>
    <w:rPr>
      <w:rFonts w:ascii="Calibri" w:hAnsi="Calibri" w:cs="Calibri"/>
      <w:color w:val="000000"/>
      <w:sz w:val="36"/>
      <w:szCs w:val="36"/>
      <w:u w:val="none"/>
    </w:rPr>
  </w:style>
  <w:style w:type="character" w:customStyle="1" w:styleId="67">
    <w:name w:val="font11"/>
    <w:basedOn w:val="32"/>
    <w:autoRedefine/>
    <w:qFormat/>
    <w:uiPriority w:val="0"/>
    <w:rPr>
      <w:rFonts w:hint="eastAsia" w:ascii="宋体" w:hAnsi="宋体" w:eastAsia="宋体" w:cs="宋体"/>
      <w:color w:val="000000"/>
      <w:sz w:val="36"/>
      <w:szCs w:val="36"/>
      <w:u w:val="none"/>
    </w:rPr>
  </w:style>
  <w:style w:type="character" w:customStyle="1" w:styleId="68">
    <w:name w:val="font01"/>
    <w:basedOn w:val="32"/>
    <w:autoRedefine/>
    <w:qFormat/>
    <w:uiPriority w:val="0"/>
    <w:rPr>
      <w:rFonts w:ascii="Calibri" w:hAnsi="Calibri" w:cs="Calibri"/>
      <w:color w:val="000000"/>
      <w:sz w:val="36"/>
      <w:szCs w:val="36"/>
      <w:u w:val="none"/>
    </w:rPr>
  </w:style>
  <w:style w:type="character" w:customStyle="1" w:styleId="69">
    <w:name w:val="标题 3 Char"/>
    <w:link w:val="6"/>
    <w:autoRedefine/>
    <w:qFormat/>
    <w:uiPriority w:val="0"/>
    <w:rPr>
      <w:rFonts w:ascii="宋体" w:hAnsi="宋体"/>
      <w:sz w:val="28"/>
      <w:szCs w:val="32"/>
    </w:rPr>
  </w:style>
  <w:style w:type="paragraph" w:customStyle="1" w:styleId="70">
    <w:name w:val="样式 样式 样式 左侧:  2 字符1 + 首行缩进:  2 字符1 + 首行缩进:  2 字符"/>
    <w:basedOn w:val="1"/>
    <w:autoRedefine/>
    <w:qFormat/>
    <w:uiPriority w:val="99"/>
    <w:pPr>
      <w:widowControl/>
      <w:adjustRightInd w:val="0"/>
      <w:spacing w:before="60" w:after="120" w:line="440" w:lineRule="atLeast"/>
      <w:ind w:firstLine="480"/>
      <w:textAlignment w:val="baseline"/>
    </w:pPr>
    <w:rPr>
      <w:sz w:val="24"/>
      <w:szCs w:val="20"/>
    </w:rPr>
  </w:style>
  <w:style w:type="character" w:customStyle="1" w:styleId="71">
    <w:name w:val="font112"/>
    <w:basedOn w:val="32"/>
    <w:autoRedefine/>
    <w:qFormat/>
    <w:uiPriority w:val="0"/>
    <w:rPr>
      <w:rFonts w:hint="eastAsia" w:ascii="宋体" w:hAnsi="宋体" w:eastAsia="宋体" w:cs="宋体"/>
      <w:color w:val="000000"/>
      <w:sz w:val="18"/>
      <w:szCs w:val="18"/>
      <w:u w:val="none"/>
    </w:rPr>
  </w:style>
  <w:style w:type="character" w:customStyle="1" w:styleId="72">
    <w:name w:val="font121"/>
    <w:basedOn w:val="32"/>
    <w:autoRedefine/>
    <w:qFormat/>
    <w:uiPriority w:val="0"/>
    <w:rPr>
      <w:rFonts w:ascii="微软雅黑" w:hAnsi="微软雅黑" w:eastAsia="微软雅黑" w:cs="微软雅黑"/>
      <w:color w:val="000000"/>
      <w:sz w:val="18"/>
      <w:szCs w:val="18"/>
      <w:u w:val="none"/>
    </w:rPr>
  </w:style>
  <w:style w:type="paragraph" w:customStyle="1" w:styleId="73">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27288</Words>
  <Characters>28928</Characters>
  <Lines>241</Lines>
  <Paragraphs>68</Paragraphs>
  <TotalTime>7</TotalTime>
  <ScaleCrop>false</ScaleCrop>
  <LinksUpToDate>false</LinksUpToDate>
  <CharactersWithSpaces>29456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2021-03-14T16:22:00Z</dcterms:created>
  <dc:creator>Administrator</dc:creator>
  <cp:lastModifiedBy>傲娇菇凉ꫛꫀꪝ</cp:lastModifiedBy>
  <cp:lastPrinted>2025-02-05T08:08:00Z</cp:lastPrinted>
  <dcterms:modified xsi:type="dcterms:W3CDTF">2025-02-12T05:46:41Z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C58A96B035084A3D871EFBF5312D64CC</vt:lpwstr>
  </property>
  <property fmtid="{D5CDD505-2E9C-101B-9397-08002B2CF9AE}" pid="4" name="KSOTemplateDocerSaveRecord">
    <vt:lpwstr>eyJoZGlkIjoiNTlhNWJlMzg4MjA2ZjRmMjY1Zjc5OGViNDFkMmIyZjEiLCJ1c2VySWQiOiIxMDUwMjA1NjA1In0=</vt:lpwstr>
  </property>
</Properties>
</file>