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C29432">
      <w:pPr>
        <w:spacing w:line="360" w:lineRule="auto"/>
        <w:rPr>
          <w:rFonts w:eastAsia="仿宋"/>
          <w:bCs/>
          <w:sz w:val="28"/>
          <w:szCs w:val="28"/>
        </w:rPr>
      </w:pPr>
      <w:r>
        <w:rPr>
          <w:rFonts w:eastAsia="仿宋"/>
          <w:bCs/>
          <w:sz w:val="28"/>
          <w:szCs w:val="28"/>
        </w:rPr>
        <w:t>喀什地区公共资源交易中心</w:t>
      </w:r>
    </w:p>
    <w:p w14:paraId="6AD7CC55">
      <w:pPr>
        <w:widowControl/>
        <w:spacing w:line="360" w:lineRule="auto"/>
        <w:jc w:val="both"/>
        <w:rPr>
          <w:rFonts w:hint="eastAsia" w:ascii="方正小标宋简体" w:hAnsi="方正小标宋简体" w:eastAsia="方正小标宋简体"/>
          <w:b/>
          <w:sz w:val="52"/>
          <w:szCs w:val="52"/>
          <w:lang w:eastAsia="zh-CN"/>
        </w:rPr>
      </w:pPr>
    </w:p>
    <w:p w14:paraId="043D67F1">
      <w:pPr>
        <w:widowControl/>
        <w:spacing w:line="360" w:lineRule="auto"/>
        <w:jc w:val="center"/>
        <w:rPr>
          <w:rFonts w:hint="eastAsia" w:ascii="方正小标宋简体" w:hAnsi="方正小标宋简体" w:eastAsia="方正小标宋简体"/>
          <w:b/>
          <w:sz w:val="52"/>
          <w:szCs w:val="52"/>
          <w:lang w:eastAsia="zh-CN"/>
        </w:rPr>
      </w:pPr>
      <w:r>
        <w:rPr>
          <w:rFonts w:hint="eastAsia" w:ascii="方正小标宋简体" w:hAnsi="方正小标宋简体" w:eastAsia="方正小标宋简体"/>
          <w:b/>
          <w:sz w:val="52"/>
          <w:szCs w:val="52"/>
          <w:lang w:val="en-US" w:eastAsia="zh-CN"/>
        </w:rPr>
        <w:t>喀什理工职业技术学院2025年物业服务采购项目(第二包二次)</w:t>
      </w:r>
    </w:p>
    <w:p w14:paraId="7BAE6884">
      <w:pPr>
        <w:widowControl/>
        <w:spacing w:line="360" w:lineRule="auto"/>
        <w:jc w:val="center"/>
        <w:rPr>
          <w:rFonts w:eastAsia="仿宋"/>
          <w:bCs/>
          <w:sz w:val="32"/>
          <w:szCs w:val="32"/>
        </w:rPr>
      </w:pPr>
      <w:r>
        <w:rPr>
          <w:rFonts w:ascii="方正小标宋简体" w:hAnsi="方正小标宋简体" w:eastAsia="方正小标宋简体"/>
          <w:b/>
          <w:sz w:val="52"/>
          <w:szCs w:val="52"/>
        </w:rPr>
        <w:t>公开招标文件</w:t>
      </w:r>
    </w:p>
    <w:p w14:paraId="2A2CC6CD">
      <w:pPr>
        <w:spacing w:line="360" w:lineRule="auto"/>
        <w:ind w:left="1080" w:leftChars="257" w:hanging="540"/>
        <w:jc w:val="center"/>
        <w:rPr>
          <w:rFonts w:eastAsia="仿宋"/>
          <w:bCs/>
          <w:sz w:val="32"/>
          <w:szCs w:val="32"/>
        </w:rPr>
      </w:pPr>
    </w:p>
    <w:p w14:paraId="5549C02C">
      <w:pPr>
        <w:spacing w:line="360" w:lineRule="auto"/>
        <w:ind w:left="1080" w:leftChars="257" w:hanging="540"/>
        <w:jc w:val="center"/>
        <w:rPr>
          <w:rFonts w:eastAsia="仿宋"/>
          <w:bCs/>
          <w:sz w:val="32"/>
          <w:szCs w:val="32"/>
          <w:highlight w:val="yellow"/>
        </w:rPr>
      </w:pPr>
      <w:r>
        <w:rPr>
          <w:rFonts w:eastAsia="仿宋"/>
          <w:bCs/>
          <w:sz w:val="32"/>
          <w:szCs w:val="32"/>
        </w:rPr>
        <w:t>（项目编号：</w:t>
      </w:r>
      <w:r>
        <w:rPr>
          <w:rFonts w:hint="eastAsia" w:eastAsia="仿宋"/>
          <w:bCs/>
          <w:sz w:val="32"/>
          <w:szCs w:val="32"/>
          <w:highlight w:val="none"/>
          <w:lang w:eastAsia="zh-CN"/>
        </w:rPr>
        <w:t>KSDQZFCG（GK）2025-</w:t>
      </w:r>
      <w:r>
        <w:rPr>
          <w:rFonts w:hint="eastAsia" w:eastAsia="仿宋"/>
          <w:bCs/>
          <w:sz w:val="32"/>
          <w:szCs w:val="32"/>
          <w:highlight w:val="none"/>
          <w:lang w:val="en-US" w:eastAsia="zh-CN"/>
        </w:rPr>
        <w:t>28</w:t>
      </w:r>
      <w:r>
        <w:rPr>
          <w:rFonts w:eastAsia="仿宋"/>
          <w:bCs/>
          <w:sz w:val="32"/>
          <w:szCs w:val="32"/>
          <w:highlight w:val="none"/>
        </w:rPr>
        <w:t>）</w:t>
      </w:r>
    </w:p>
    <w:p w14:paraId="39CF1EA7">
      <w:pPr>
        <w:spacing w:line="360" w:lineRule="auto"/>
        <w:ind w:left="1080" w:leftChars="257" w:hanging="540"/>
        <w:jc w:val="center"/>
        <w:rPr>
          <w:rFonts w:eastAsia="仿宋"/>
          <w:b/>
          <w:sz w:val="32"/>
          <w:szCs w:val="32"/>
        </w:rPr>
      </w:pPr>
    </w:p>
    <w:p w14:paraId="3A79AF47">
      <w:pPr>
        <w:spacing w:line="360" w:lineRule="auto"/>
        <w:ind w:left="1080" w:leftChars="257" w:hanging="540"/>
        <w:jc w:val="center"/>
        <w:rPr>
          <w:rFonts w:eastAsia="仿宋"/>
          <w:b/>
          <w:sz w:val="36"/>
          <w:szCs w:val="36"/>
        </w:rPr>
      </w:pPr>
      <w:r>
        <w:rPr>
          <w:rFonts w:eastAsia="仿宋"/>
          <w:b/>
          <w:sz w:val="36"/>
          <w:szCs w:val="36"/>
        </w:rPr>
        <w:t>第一册</w:t>
      </w:r>
    </w:p>
    <w:p w14:paraId="03F257BA">
      <w:pPr>
        <w:spacing w:line="360" w:lineRule="auto"/>
        <w:ind w:firstLine="837" w:firstLineChars="299"/>
        <w:jc w:val="left"/>
        <w:rPr>
          <w:rFonts w:hint="default" w:eastAsia="仿宋"/>
          <w:sz w:val="28"/>
          <w:szCs w:val="28"/>
          <w:lang w:val="en-US" w:eastAsia="zh-CN"/>
        </w:rPr>
      </w:pPr>
      <w:r>
        <w:rPr>
          <w:rFonts w:hint="eastAsia" w:eastAsia="仿宋"/>
          <w:sz w:val="28"/>
          <w:szCs w:val="28"/>
          <w:lang w:val="en-US" w:eastAsia="zh-CN"/>
        </w:rPr>
        <w:t xml:space="preserve">  </w:t>
      </w:r>
    </w:p>
    <w:p w14:paraId="7F77332D">
      <w:pPr>
        <w:spacing w:line="360" w:lineRule="auto"/>
        <w:ind w:firstLine="837" w:firstLineChars="299"/>
        <w:jc w:val="left"/>
        <w:rPr>
          <w:rFonts w:hint="default" w:eastAsia="仿宋"/>
          <w:sz w:val="28"/>
          <w:szCs w:val="28"/>
          <w:lang w:val="en-US"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val="en-US" w:eastAsia="zh-CN"/>
        </w:rPr>
        <w:t xml:space="preserve">  喀什理工职业技术学院   </w:t>
      </w:r>
    </w:p>
    <w:p w14:paraId="131D6EAF">
      <w:pPr>
        <w:spacing w:line="360" w:lineRule="auto"/>
        <w:ind w:firstLine="837" w:firstLineChars="299"/>
        <w:rPr>
          <w:rFonts w:hint="eastAsia" w:eastAsia="仿宋"/>
          <w:sz w:val="28"/>
          <w:szCs w:val="28"/>
          <w:u w:val="single"/>
        </w:rPr>
      </w:pPr>
      <w:r>
        <w:rPr>
          <w:rFonts w:hint="eastAsia" w:eastAsia="仿宋"/>
          <w:sz w:val="28"/>
          <w:szCs w:val="28"/>
        </w:rPr>
        <w:t>联</w:t>
      </w:r>
      <w:r>
        <w:rPr>
          <w:rFonts w:hint="eastAsia" w:eastAsia="仿宋"/>
          <w:sz w:val="28"/>
          <w:szCs w:val="28"/>
          <w:lang w:val="en-US" w:eastAsia="zh-CN"/>
        </w:rPr>
        <w:t xml:space="preserve"> </w:t>
      </w:r>
      <w:r>
        <w:rPr>
          <w:rFonts w:hint="eastAsia" w:eastAsia="仿宋"/>
          <w:sz w:val="28"/>
          <w:szCs w:val="28"/>
        </w:rPr>
        <w:t>系</w:t>
      </w:r>
      <w:r>
        <w:rPr>
          <w:rFonts w:hint="eastAsia" w:eastAsia="仿宋"/>
          <w:sz w:val="28"/>
          <w:szCs w:val="28"/>
          <w:lang w:val="en-US" w:eastAsia="zh-CN"/>
        </w:rPr>
        <w:t xml:space="preserve"> </w:t>
      </w:r>
      <w:r>
        <w:rPr>
          <w:rFonts w:hint="eastAsia" w:eastAsia="仿宋"/>
          <w:sz w:val="28"/>
          <w:szCs w:val="28"/>
        </w:rPr>
        <w:t>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努尔比耶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553A6AC4">
      <w:pPr>
        <w:spacing w:line="360" w:lineRule="auto"/>
        <w:ind w:firstLine="837" w:firstLineChars="299"/>
        <w:rPr>
          <w:rFonts w:eastAsia="仿宋"/>
          <w:sz w:val="28"/>
          <w:szCs w:val="28"/>
          <w:u w:val="single"/>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highlight w:val="none"/>
          <w:u w:val="single"/>
          <w:lang w:val="en-US" w:eastAsia="zh-CN"/>
        </w:rPr>
        <w:t xml:space="preserve">15739570653     </w:t>
      </w:r>
      <w:r>
        <w:rPr>
          <w:rFonts w:hint="eastAsia" w:eastAsia="仿宋"/>
          <w:sz w:val="28"/>
          <w:szCs w:val="28"/>
          <w:u w:val="single"/>
          <w:lang w:val="en-US" w:eastAsia="zh-CN"/>
        </w:rPr>
        <w:t xml:space="preserve">  </w:t>
      </w:r>
      <w:r>
        <w:rPr>
          <w:rFonts w:hint="eastAsia" w:eastAsia="仿宋"/>
          <w:sz w:val="28"/>
          <w:szCs w:val="28"/>
          <w:u w:val="single"/>
        </w:rPr>
        <w:t xml:space="preserve">  </w:t>
      </w:r>
    </w:p>
    <w:p w14:paraId="20EDB12F">
      <w:pPr>
        <w:spacing w:line="360" w:lineRule="auto"/>
        <w:ind w:firstLine="837" w:firstLineChars="299"/>
        <w:rPr>
          <w:rFonts w:hint="eastAsia" w:eastAsia="仿宋"/>
          <w:sz w:val="28"/>
          <w:szCs w:val="28"/>
          <w:lang w:val="en-US" w:eastAsia="zh-CN"/>
        </w:rPr>
      </w:pPr>
      <w:r>
        <w:rPr>
          <w:rFonts w:eastAsia="仿宋"/>
          <w:sz w:val="28"/>
          <w:szCs w:val="28"/>
        </w:rPr>
        <w:t>采购机构：</w:t>
      </w:r>
      <w:r>
        <w:rPr>
          <w:rFonts w:eastAsia="仿宋"/>
          <w:sz w:val="28"/>
          <w:szCs w:val="28"/>
          <w:u w:val="single"/>
        </w:rPr>
        <w:t>喀什地区公共资源交易中心</w:t>
      </w:r>
      <w:r>
        <w:rPr>
          <w:rFonts w:hint="eastAsia" w:eastAsia="仿宋"/>
          <w:sz w:val="28"/>
          <w:szCs w:val="28"/>
          <w:u w:val="single"/>
          <w:lang w:val="en-US" w:eastAsia="zh-CN"/>
        </w:rPr>
        <w:t xml:space="preserve"> </w:t>
      </w:r>
    </w:p>
    <w:p w14:paraId="0DA8F112">
      <w:pPr>
        <w:spacing w:line="360" w:lineRule="auto"/>
        <w:ind w:firstLine="837" w:firstLineChars="299"/>
        <w:rPr>
          <w:rFonts w:hint="eastAsia" w:eastAsia="仿宋"/>
          <w:sz w:val="28"/>
          <w:szCs w:val="28"/>
        </w:rPr>
      </w:pPr>
      <w:r>
        <w:rPr>
          <w:rFonts w:hint="eastAsia" w:eastAsia="仿宋"/>
          <w:sz w:val="28"/>
          <w:szCs w:val="28"/>
        </w:rPr>
        <w:t>联</w:t>
      </w:r>
      <w:r>
        <w:rPr>
          <w:rFonts w:hint="eastAsia" w:eastAsia="仿宋"/>
          <w:sz w:val="28"/>
          <w:szCs w:val="28"/>
          <w:lang w:val="en-US" w:eastAsia="zh-CN"/>
        </w:rPr>
        <w:t xml:space="preserve"> </w:t>
      </w:r>
      <w:r>
        <w:rPr>
          <w:rFonts w:hint="eastAsia" w:eastAsia="仿宋"/>
          <w:sz w:val="28"/>
          <w:szCs w:val="28"/>
        </w:rPr>
        <w:t>系</w:t>
      </w:r>
      <w:r>
        <w:rPr>
          <w:rFonts w:hint="eastAsia" w:eastAsia="仿宋"/>
          <w:sz w:val="28"/>
          <w:szCs w:val="28"/>
          <w:lang w:val="en-US" w:eastAsia="zh-CN"/>
        </w:rPr>
        <w:t xml:space="preserve"> </w:t>
      </w:r>
      <w:r>
        <w:rPr>
          <w:rFonts w:hint="eastAsia" w:eastAsia="仿宋"/>
          <w:sz w:val="28"/>
          <w:szCs w:val="28"/>
        </w:rPr>
        <w:t>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朱文财</w:t>
      </w:r>
      <w:r>
        <w:rPr>
          <w:rFonts w:hint="eastAsia" w:eastAsia="仿宋"/>
          <w:sz w:val="28"/>
          <w:szCs w:val="28"/>
          <w:u w:val="single"/>
        </w:rPr>
        <w:t xml:space="preserve"> </w:t>
      </w:r>
      <w:r>
        <w:rPr>
          <w:rFonts w:hint="eastAsia" w:eastAsia="仿宋"/>
          <w:sz w:val="28"/>
          <w:szCs w:val="28"/>
          <w:u w:val="single"/>
          <w:lang w:val="en-US" w:eastAsia="zh-CN"/>
        </w:rPr>
        <w:t xml:space="preserve">   刘锦秀   </w:t>
      </w:r>
      <w:r>
        <w:rPr>
          <w:rFonts w:hint="eastAsia" w:eastAsia="仿宋"/>
          <w:sz w:val="28"/>
          <w:szCs w:val="28"/>
          <w:u w:val="single"/>
        </w:rPr>
        <w:t xml:space="preserve"> </w:t>
      </w:r>
    </w:p>
    <w:p w14:paraId="47C4660A">
      <w:pPr>
        <w:spacing w:line="360" w:lineRule="auto"/>
        <w:ind w:firstLine="837" w:firstLineChars="299"/>
        <w:rPr>
          <w:rFonts w:eastAsia="仿宋"/>
          <w:sz w:val="28"/>
          <w:szCs w:val="28"/>
          <w:u w:val="single"/>
        </w:rPr>
      </w:pPr>
      <w:r>
        <w:rPr>
          <w:rFonts w:hint="eastAsia" w:eastAsia="仿宋"/>
          <w:sz w:val="28"/>
          <w:szCs w:val="28"/>
        </w:rPr>
        <w:t>联系电话</w:t>
      </w:r>
      <w:r>
        <w:rPr>
          <w:rFonts w:eastAsia="仿宋"/>
          <w:sz w:val="28"/>
          <w:szCs w:val="28"/>
        </w:rPr>
        <w:t>：</w:t>
      </w:r>
      <w:r>
        <w:rPr>
          <w:rFonts w:hint="eastAsia" w:eastAsia="仿宋"/>
          <w:sz w:val="28"/>
          <w:szCs w:val="28"/>
          <w:u w:val="single"/>
          <w:lang w:val="en-US" w:eastAsia="zh-CN"/>
        </w:rPr>
        <w:t xml:space="preserve">      </w:t>
      </w:r>
      <w:r>
        <w:rPr>
          <w:rFonts w:hint="eastAsia" w:eastAsia="仿宋"/>
          <w:sz w:val="28"/>
          <w:szCs w:val="28"/>
          <w:u w:val="single"/>
        </w:rPr>
        <w:t>0998-5885138</w:t>
      </w:r>
      <w:r>
        <w:rPr>
          <w:rFonts w:hint="eastAsia" w:eastAsia="仿宋"/>
          <w:sz w:val="28"/>
          <w:szCs w:val="28"/>
          <w:u w:val="single"/>
          <w:lang w:val="en-US" w:eastAsia="zh-CN"/>
        </w:rPr>
        <w:t xml:space="preserve">       </w:t>
      </w:r>
    </w:p>
    <w:p w14:paraId="370888B7">
      <w:pPr>
        <w:spacing w:line="360" w:lineRule="auto"/>
        <w:ind w:firstLine="840" w:firstLineChars="300"/>
        <w:jc w:val="center"/>
        <w:rPr>
          <w:rFonts w:eastAsia="仿宋"/>
          <w:sz w:val="28"/>
          <w:szCs w:val="28"/>
        </w:rPr>
      </w:pPr>
    </w:p>
    <w:p w14:paraId="03FAB844">
      <w:pPr>
        <w:spacing w:line="360" w:lineRule="auto"/>
        <w:ind w:firstLine="840" w:firstLineChars="300"/>
        <w:jc w:val="center"/>
        <w:rPr>
          <w:rFonts w:eastAsia="仿宋"/>
          <w:sz w:val="28"/>
          <w:szCs w:val="28"/>
        </w:rPr>
      </w:pPr>
    </w:p>
    <w:p w14:paraId="734E7500">
      <w:pPr>
        <w:spacing w:line="360" w:lineRule="auto"/>
        <w:ind w:firstLine="840" w:firstLineChars="300"/>
        <w:jc w:val="center"/>
        <w:rPr>
          <w:rFonts w:eastAsia="仿宋"/>
          <w:sz w:val="28"/>
          <w:szCs w:val="28"/>
        </w:rPr>
      </w:pPr>
      <w:r>
        <w:rPr>
          <w:rFonts w:eastAsia="仿宋"/>
          <w:sz w:val="28"/>
          <w:szCs w:val="28"/>
        </w:rPr>
        <w:t>发出日期：</w:t>
      </w:r>
      <w:r>
        <w:rPr>
          <w:rFonts w:hint="eastAsia" w:eastAsia="仿宋"/>
          <w:sz w:val="28"/>
          <w:szCs w:val="28"/>
          <w:u w:val="single"/>
          <w:lang w:val="en-US" w:eastAsia="zh-CN"/>
        </w:rPr>
        <w:t xml:space="preserve">  </w:t>
      </w:r>
      <w:r>
        <w:rPr>
          <w:rFonts w:hint="eastAsia" w:eastAsia="仿宋"/>
          <w:sz w:val="28"/>
          <w:szCs w:val="28"/>
          <w:u w:val="single"/>
          <w:lang w:eastAsia="zh-CN"/>
        </w:rPr>
        <w:t>2025年</w:t>
      </w:r>
      <w:r>
        <w:rPr>
          <w:rFonts w:hint="eastAsia" w:eastAsia="仿宋"/>
          <w:sz w:val="28"/>
          <w:szCs w:val="28"/>
          <w:u w:val="single"/>
          <w:lang w:val="en-US" w:eastAsia="zh-CN"/>
        </w:rPr>
        <w:t>2</w:t>
      </w:r>
      <w:r>
        <w:rPr>
          <w:rFonts w:eastAsia="仿宋"/>
          <w:sz w:val="28"/>
          <w:szCs w:val="28"/>
          <w:u w:val="single"/>
        </w:rPr>
        <w:t>月</w:t>
      </w:r>
      <w:r>
        <w:rPr>
          <w:rFonts w:hint="eastAsia" w:eastAsia="仿宋"/>
          <w:sz w:val="28"/>
          <w:szCs w:val="28"/>
          <w:u w:val="single"/>
          <w:lang w:val="en-US" w:eastAsia="zh-CN"/>
        </w:rPr>
        <w:t xml:space="preserve"> </w:t>
      </w:r>
      <w:r>
        <w:rPr>
          <w:rFonts w:eastAsia="仿宋"/>
          <w:b/>
          <w:sz w:val="52"/>
        </w:rPr>
        <w:br w:type="page"/>
      </w:r>
      <w:r>
        <w:rPr>
          <w:rFonts w:eastAsia="仿宋"/>
          <w:b/>
          <w:sz w:val="32"/>
        </w:rPr>
        <w:t>目录</w:t>
      </w:r>
    </w:p>
    <w:p w14:paraId="2CF7BEA2">
      <w:pPr>
        <w:pStyle w:val="17"/>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rPr>
          <w:rFonts w:eastAsia="仿宋"/>
        </w:rPr>
        <w:fldChar w:fldCharType="begin"/>
      </w:r>
      <w:r>
        <w:rPr>
          <w:rFonts w:eastAsia="仿宋"/>
        </w:rPr>
        <w:instrText xml:space="preserve"> HYPERLINK \l _Toc31696 </w:instrText>
      </w:r>
      <w:r>
        <w:rPr>
          <w:rFonts w:eastAsia="仿宋"/>
        </w:rPr>
        <w:fldChar w:fldCharType="separate"/>
      </w:r>
      <w:r>
        <w:rPr>
          <w:rFonts w:hint="eastAsia" w:ascii="Times New Roman" w:eastAsia="仿宋"/>
          <w:kern w:val="0"/>
          <w:szCs w:val="21"/>
        </w:rPr>
        <w:t>第1章</w:t>
      </w:r>
      <w:r>
        <w:rPr>
          <w:rFonts w:ascii="Times New Roman" w:eastAsia="仿宋"/>
        </w:rPr>
        <w:t>投标人须知</w:t>
      </w:r>
      <w:r>
        <w:tab/>
      </w:r>
      <w:r>
        <w:rPr>
          <w:rFonts w:hint="eastAsia"/>
          <w:lang w:val="en-US" w:eastAsia="zh-CN"/>
        </w:rPr>
        <w:t>1</w:t>
      </w:r>
      <w:r>
        <w:rPr>
          <w:rFonts w:eastAsia="仿宋"/>
        </w:rPr>
        <w:fldChar w:fldCharType="end"/>
      </w:r>
    </w:p>
    <w:p w14:paraId="74214A6D">
      <w:pPr>
        <w:pStyle w:val="18"/>
        <w:tabs>
          <w:tab w:val="right" w:leader="dot" w:pos="8312"/>
        </w:tabs>
      </w:pPr>
      <w:r>
        <w:rPr>
          <w:rFonts w:eastAsia="仿宋"/>
        </w:rPr>
        <w:fldChar w:fldCharType="begin"/>
      </w:r>
      <w:r>
        <w:rPr>
          <w:rFonts w:eastAsia="仿宋"/>
        </w:rPr>
        <w:instrText xml:space="preserve"> HYPERLINK \l _Toc31997 </w:instrText>
      </w:r>
      <w:r>
        <w:rPr>
          <w:rFonts w:eastAsia="仿宋"/>
        </w:rPr>
        <w:fldChar w:fldCharType="separate"/>
      </w:r>
      <w:r>
        <w:t>一总则</w:t>
      </w:r>
      <w:r>
        <w:tab/>
      </w:r>
      <w:r>
        <w:fldChar w:fldCharType="begin"/>
      </w:r>
      <w:r>
        <w:instrText xml:space="preserve"> PAGEREF _Toc31997 \h </w:instrText>
      </w:r>
      <w:r>
        <w:fldChar w:fldCharType="separate"/>
      </w:r>
      <w:r>
        <w:t>3</w:t>
      </w:r>
      <w:r>
        <w:fldChar w:fldCharType="end"/>
      </w:r>
      <w:r>
        <w:rPr>
          <w:rFonts w:eastAsia="仿宋"/>
        </w:rPr>
        <w:fldChar w:fldCharType="end"/>
      </w:r>
    </w:p>
    <w:p w14:paraId="1FC7D0FB">
      <w:pPr>
        <w:pStyle w:val="12"/>
        <w:tabs>
          <w:tab w:val="right" w:leader="dot" w:pos="8312"/>
        </w:tabs>
      </w:pPr>
      <w:r>
        <w:rPr>
          <w:rFonts w:eastAsia="仿宋"/>
        </w:rPr>
        <w:fldChar w:fldCharType="begin"/>
      </w:r>
      <w:r>
        <w:rPr>
          <w:rFonts w:eastAsia="仿宋"/>
        </w:rPr>
        <w:instrText xml:space="preserve"> HYPERLINK \l _Toc1000 </w:instrText>
      </w:r>
      <w:r>
        <w:rPr>
          <w:rFonts w:eastAsia="仿宋"/>
        </w:rPr>
        <w:fldChar w:fldCharType="separate"/>
      </w:r>
      <w:r>
        <w:rPr>
          <w:rFonts w:ascii="Times New Roman" w:eastAsia="仿宋"/>
        </w:rPr>
        <w:t>1.采购人、采购代理机构及投标人</w:t>
      </w:r>
      <w:r>
        <w:tab/>
      </w:r>
      <w:r>
        <w:fldChar w:fldCharType="begin"/>
      </w:r>
      <w:r>
        <w:instrText xml:space="preserve"> PAGEREF _Toc1000 \h </w:instrText>
      </w:r>
      <w:r>
        <w:fldChar w:fldCharType="separate"/>
      </w:r>
      <w:r>
        <w:t>3</w:t>
      </w:r>
      <w:r>
        <w:fldChar w:fldCharType="end"/>
      </w:r>
      <w:r>
        <w:rPr>
          <w:rFonts w:eastAsia="仿宋"/>
        </w:rPr>
        <w:fldChar w:fldCharType="end"/>
      </w:r>
    </w:p>
    <w:p w14:paraId="0083154B">
      <w:pPr>
        <w:pStyle w:val="12"/>
        <w:tabs>
          <w:tab w:val="right" w:leader="dot" w:pos="8312"/>
        </w:tabs>
      </w:pPr>
      <w:r>
        <w:rPr>
          <w:rFonts w:eastAsia="仿宋"/>
        </w:rPr>
        <w:fldChar w:fldCharType="begin"/>
      </w:r>
      <w:r>
        <w:rPr>
          <w:rFonts w:eastAsia="仿宋"/>
        </w:rPr>
        <w:instrText xml:space="preserve"> HYPERLINK \l _Toc1409 </w:instrText>
      </w:r>
      <w:r>
        <w:rPr>
          <w:rFonts w:eastAsia="仿宋"/>
        </w:rPr>
        <w:fldChar w:fldCharType="separate"/>
      </w:r>
      <w:r>
        <w:rPr>
          <w:rFonts w:ascii="Times New Roman" w:eastAsia="仿宋"/>
        </w:rPr>
        <w:t>2.资金来源</w:t>
      </w:r>
      <w:r>
        <w:tab/>
      </w:r>
      <w:r>
        <w:fldChar w:fldCharType="begin"/>
      </w:r>
      <w:r>
        <w:instrText xml:space="preserve"> PAGEREF _Toc1409 \h </w:instrText>
      </w:r>
      <w:r>
        <w:fldChar w:fldCharType="separate"/>
      </w:r>
      <w:r>
        <w:t>4</w:t>
      </w:r>
      <w:r>
        <w:fldChar w:fldCharType="end"/>
      </w:r>
      <w:r>
        <w:rPr>
          <w:rFonts w:eastAsia="仿宋"/>
        </w:rPr>
        <w:fldChar w:fldCharType="end"/>
      </w:r>
    </w:p>
    <w:p w14:paraId="11B79CA3">
      <w:pPr>
        <w:pStyle w:val="12"/>
        <w:tabs>
          <w:tab w:val="right" w:leader="dot" w:pos="8312"/>
        </w:tabs>
      </w:pPr>
      <w:r>
        <w:rPr>
          <w:rFonts w:eastAsia="仿宋"/>
        </w:rPr>
        <w:fldChar w:fldCharType="begin"/>
      </w:r>
      <w:r>
        <w:rPr>
          <w:rFonts w:eastAsia="仿宋"/>
        </w:rPr>
        <w:instrText xml:space="preserve"> HYPERLINK \l _Toc23703 </w:instrText>
      </w:r>
      <w:r>
        <w:rPr>
          <w:rFonts w:eastAsia="仿宋"/>
        </w:rPr>
        <w:fldChar w:fldCharType="separate"/>
      </w:r>
      <w:r>
        <w:rPr>
          <w:rFonts w:ascii="Times New Roman" w:eastAsia="仿宋"/>
        </w:rPr>
        <w:t>3.投标费用</w:t>
      </w:r>
      <w:r>
        <w:tab/>
      </w:r>
      <w:r>
        <w:fldChar w:fldCharType="begin"/>
      </w:r>
      <w:r>
        <w:instrText xml:space="preserve"> PAGEREF _Toc23703 \h </w:instrText>
      </w:r>
      <w:r>
        <w:fldChar w:fldCharType="separate"/>
      </w:r>
      <w:r>
        <w:t>4</w:t>
      </w:r>
      <w:r>
        <w:fldChar w:fldCharType="end"/>
      </w:r>
      <w:r>
        <w:rPr>
          <w:rFonts w:eastAsia="仿宋"/>
        </w:rPr>
        <w:fldChar w:fldCharType="end"/>
      </w:r>
    </w:p>
    <w:p w14:paraId="0742BDCA">
      <w:pPr>
        <w:pStyle w:val="12"/>
        <w:tabs>
          <w:tab w:val="right" w:leader="dot" w:pos="8312"/>
        </w:tabs>
      </w:pPr>
      <w:r>
        <w:rPr>
          <w:rFonts w:eastAsia="仿宋"/>
        </w:rPr>
        <w:fldChar w:fldCharType="begin"/>
      </w:r>
      <w:r>
        <w:rPr>
          <w:rFonts w:eastAsia="仿宋"/>
        </w:rPr>
        <w:instrText xml:space="preserve"> HYPERLINK \l _Toc9960 </w:instrText>
      </w:r>
      <w:r>
        <w:rPr>
          <w:rFonts w:eastAsia="仿宋"/>
        </w:rPr>
        <w:fldChar w:fldCharType="separate"/>
      </w:r>
      <w:r>
        <w:rPr>
          <w:rFonts w:ascii="Times New Roman" w:eastAsia="仿宋"/>
        </w:rPr>
        <w:t>4.适用法律</w:t>
      </w:r>
      <w:r>
        <w:tab/>
      </w:r>
      <w:r>
        <w:fldChar w:fldCharType="begin"/>
      </w:r>
      <w:r>
        <w:instrText xml:space="preserve"> PAGEREF _Toc9960 \h </w:instrText>
      </w:r>
      <w:r>
        <w:fldChar w:fldCharType="separate"/>
      </w:r>
      <w:r>
        <w:t>4</w:t>
      </w:r>
      <w:r>
        <w:fldChar w:fldCharType="end"/>
      </w:r>
      <w:r>
        <w:rPr>
          <w:rFonts w:eastAsia="仿宋"/>
        </w:rPr>
        <w:fldChar w:fldCharType="end"/>
      </w:r>
    </w:p>
    <w:p w14:paraId="6F81D9B2">
      <w:pPr>
        <w:pStyle w:val="18"/>
        <w:tabs>
          <w:tab w:val="right" w:leader="dot" w:pos="8312"/>
        </w:tabs>
      </w:pPr>
      <w:r>
        <w:rPr>
          <w:rFonts w:eastAsia="仿宋"/>
        </w:rPr>
        <w:fldChar w:fldCharType="begin"/>
      </w:r>
      <w:r>
        <w:rPr>
          <w:rFonts w:eastAsia="仿宋"/>
        </w:rPr>
        <w:instrText xml:space="preserve"> HYPERLINK \l _Toc28586 </w:instrText>
      </w:r>
      <w:r>
        <w:rPr>
          <w:rFonts w:eastAsia="仿宋"/>
        </w:rPr>
        <w:fldChar w:fldCharType="separate"/>
      </w:r>
      <w:r>
        <w:rPr>
          <w:rFonts w:eastAsia="仿宋"/>
        </w:rPr>
        <w:t>二招标文件</w:t>
      </w:r>
      <w:r>
        <w:tab/>
      </w:r>
      <w:r>
        <w:fldChar w:fldCharType="begin"/>
      </w:r>
      <w:r>
        <w:instrText xml:space="preserve"> PAGEREF _Toc28586 \h </w:instrText>
      </w:r>
      <w:r>
        <w:fldChar w:fldCharType="separate"/>
      </w:r>
      <w:r>
        <w:t>5</w:t>
      </w:r>
      <w:r>
        <w:fldChar w:fldCharType="end"/>
      </w:r>
      <w:r>
        <w:rPr>
          <w:rFonts w:eastAsia="仿宋"/>
        </w:rPr>
        <w:fldChar w:fldCharType="end"/>
      </w:r>
    </w:p>
    <w:p w14:paraId="4412113E">
      <w:pPr>
        <w:pStyle w:val="12"/>
        <w:tabs>
          <w:tab w:val="right" w:leader="dot" w:pos="8312"/>
        </w:tabs>
      </w:pPr>
      <w:r>
        <w:rPr>
          <w:rFonts w:eastAsia="仿宋"/>
        </w:rPr>
        <w:fldChar w:fldCharType="begin"/>
      </w:r>
      <w:r>
        <w:rPr>
          <w:rFonts w:eastAsia="仿宋"/>
        </w:rPr>
        <w:instrText xml:space="preserve"> HYPERLINK \l _Toc6894 </w:instrText>
      </w:r>
      <w:r>
        <w:rPr>
          <w:rFonts w:eastAsia="仿宋"/>
        </w:rPr>
        <w:fldChar w:fldCharType="separate"/>
      </w:r>
      <w:r>
        <w:rPr>
          <w:rFonts w:ascii="Times New Roman" w:eastAsia="仿宋"/>
        </w:rPr>
        <w:t>5.招标文件构成</w:t>
      </w:r>
      <w:r>
        <w:tab/>
      </w:r>
      <w:r>
        <w:fldChar w:fldCharType="begin"/>
      </w:r>
      <w:r>
        <w:instrText xml:space="preserve"> PAGEREF _Toc6894 \h </w:instrText>
      </w:r>
      <w:r>
        <w:fldChar w:fldCharType="separate"/>
      </w:r>
      <w:r>
        <w:t>5</w:t>
      </w:r>
      <w:r>
        <w:fldChar w:fldCharType="end"/>
      </w:r>
      <w:r>
        <w:rPr>
          <w:rFonts w:eastAsia="仿宋"/>
        </w:rPr>
        <w:fldChar w:fldCharType="end"/>
      </w:r>
    </w:p>
    <w:p w14:paraId="26A94982">
      <w:pPr>
        <w:pStyle w:val="12"/>
        <w:tabs>
          <w:tab w:val="right" w:leader="dot" w:pos="8312"/>
        </w:tabs>
      </w:pPr>
      <w:r>
        <w:rPr>
          <w:rFonts w:eastAsia="仿宋"/>
        </w:rPr>
        <w:fldChar w:fldCharType="begin"/>
      </w:r>
      <w:r>
        <w:rPr>
          <w:rFonts w:eastAsia="仿宋"/>
        </w:rPr>
        <w:instrText xml:space="preserve"> HYPERLINK \l _Toc21110 </w:instrText>
      </w:r>
      <w:r>
        <w:rPr>
          <w:rFonts w:eastAsia="仿宋"/>
        </w:rPr>
        <w:fldChar w:fldCharType="separate"/>
      </w:r>
      <w:r>
        <w:rPr>
          <w:rFonts w:ascii="Times New Roman" w:eastAsia="仿宋"/>
        </w:rPr>
        <w:t>6.招标文件的澄清与修改</w:t>
      </w:r>
      <w:r>
        <w:tab/>
      </w:r>
      <w:r>
        <w:fldChar w:fldCharType="begin"/>
      </w:r>
      <w:r>
        <w:instrText xml:space="preserve"> PAGEREF _Toc21110 \h </w:instrText>
      </w:r>
      <w:r>
        <w:fldChar w:fldCharType="separate"/>
      </w:r>
      <w:r>
        <w:t>5</w:t>
      </w:r>
      <w:r>
        <w:fldChar w:fldCharType="end"/>
      </w:r>
      <w:r>
        <w:rPr>
          <w:rFonts w:eastAsia="仿宋"/>
        </w:rPr>
        <w:fldChar w:fldCharType="end"/>
      </w:r>
    </w:p>
    <w:p w14:paraId="1997B1E4">
      <w:pPr>
        <w:pStyle w:val="12"/>
        <w:tabs>
          <w:tab w:val="right" w:leader="dot" w:pos="8312"/>
        </w:tabs>
      </w:pPr>
      <w:r>
        <w:rPr>
          <w:rFonts w:eastAsia="仿宋"/>
        </w:rPr>
        <w:fldChar w:fldCharType="begin"/>
      </w:r>
      <w:r>
        <w:rPr>
          <w:rFonts w:eastAsia="仿宋"/>
        </w:rPr>
        <w:instrText xml:space="preserve"> HYPERLINK \l _Toc25111 </w:instrText>
      </w:r>
      <w:r>
        <w:rPr>
          <w:rFonts w:eastAsia="仿宋"/>
        </w:rPr>
        <w:fldChar w:fldCharType="separate"/>
      </w:r>
      <w:r>
        <w:rPr>
          <w:rFonts w:ascii="Times New Roman" w:eastAsia="仿宋"/>
        </w:rPr>
        <w:t>7.投标截止时间的顺延</w:t>
      </w:r>
      <w:r>
        <w:tab/>
      </w:r>
      <w:r>
        <w:fldChar w:fldCharType="begin"/>
      </w:r>
      <w:r>
        <w:instrText xml:space="preserve"> PAGEREF _Toc25111 \h </w:instrText>
      </w:r>
      <w:r>
        <w:fldChar w:fldCharType="separate"/>
      </w:r>
      <w:r>
        <w:t>5</w:t>
      </w:r>
      <w:r>
        <w:fldChar w:fldCharType="end"/>
      </w:r>
      <w:r>
        <w:rPr>
          <w:rFonts w:eastAsia="仿宋"/>
        </w:rPr>
        <w:fldChar w:fldCharType="end"/>
      </w:r>
    </w:p>
    <w:p w14:paraId="57F1004A">
      <w:pPr>
        <w:pStyle w:val="18"/>
        <w:tabs>
          <w:tab w:val="right" w:leader="dot" w:pos="8312"/>
        </w:tabs>
      </w:pPr>
      <w:r>
        <w:rPr>
          <w:rFonts w:eastAsia="仿宋"/>
        </w:rPr>
        <w:fldChar w:fldCharType="begin"/>
      </w:r>
      <w:r>
        <w:rPr>
          <w:rFonts w:eastAsia="仿宋"/>
        </w:rPr>
        <w:instrText xml:space="preserve"> HYPERLINK \l _Toc10749 </w:instrText>
      </w:r>
      <w:r>
        <w:rPr>
          <w:rFonts w:eastAsia="仿宋"/>
        </w:rPr>
        <w:fldChar w:fldCharType="separate"/>
      </w:r>
      <w:r>
        <w:rPr>
          <w:rFonts w:eastAsia="仿宋"/>
        </w:rPr>
        <w:t>三投标文件的编制</w:t>
      </w:r>
      <w:r>
        <w:tab/>
      </w:r>
      <w:r>
        <w:fldChar w:fldCharType="begin"/>
      </w:r>
      <w:r>
        <w:instrText xml:space="preserve"> PAGEREF _Toc10749 \h </w:instrText>
      </w:r>
      <w:r>
        <w:fldChar w:fldCharType="separate"/>
      </w:r>
      <w:r>
        <w:t>6</w:t>
      </w:r>
      <w:r>
        <w:fldChar w:fldCharType="end"/>
      </w:r>
      <w:r>
        <w:rPr>
          <w:rFonts w:eastAsia="仿宋"/>
        </w:rPr>
        <w:fldChar w:fldCharType="end"/>
      </w:r>
    </w:p>
    <w:p w14:paraId="45846AAD">
      <w:pPr>
        <w:pStyle w:val="12"/>
        <w:tabs>
          <w:tab w:val="right" w:pos="3200"/>
          <w:tab w:val="right" w:leader="dot" w:pos="8312"/>
        </w:tabs>
      </w:pPr>
      <w:r>
        <w:rPr>
          <w:rFonts w:eastAsia="仿宋"/>
        </w:rPr>
        <w:fldChar w:fldCharType="begin"/>
      </w:r>
      <w:r>
        <w:rPr>
          <w:rFonts w:eastAsia="仿宋"/>
        </w:rPr>
        <w:instrText xml:space="preserve"> HYPERLINK \l _Toc24990 </w:instrText>
      </w:r>
      <w:r>
        <w:rPr>
          <w:rFonts w:eastAsia="仿宋"/>
        </w:rPr>
        <w:fldChar w:fldCharType="separate"/>
      </w:r>
      <w:r>
        <w:rPr>
          <w:rFonts w:ascii="Times New Roman" w:eastAsia="仿宋"/>
        </w:rPr>
        <w:t>8.</w:t>
      </w:r>
      <w:r>
        <w:rPr>
          <w:rFonts w:ascii="Times New Roman" w:eastAsia="仿宋"/>
        </w:rPr>
        <w:tab/>
      </w:r>
      <w:r>
        <w:rPr>
          <w:rFonts w:ascii="Times New Roman" w:eastAsia="仿宋"/>
        </w:rPr>
        <w:t>投标范围及投标文件中标准和计量单位的使用</w:t>
      </w:r>
      <w:r>
        <w:tab/>
      </w:r>
      <w:r>
        <w:fldChar w:fldCharType="begin"/>
      </w:r>
      <w:r>
        <w:instrText xml:space="preserve"> PAGEREF _Toc24990 \h </w:instrText>
      </w:r>
      <w:r>
        <w:fldChar w:fldCharType="separate"/>
      </w:r>
      <w:r>
        <w:t>6</w:t>
      </w:r>
      <w:r>
        <w:fldChar w:fldCharType="end"/>
      </w:r>
      <w:r>
        <w:rPr>
          <w:rFonts w:eastAsia="仿宋"/>
        </w:rPr>
        <w:fldChar w:fldCharType="end"/>
      </w:r>
    </w:p>
    <w:p w14:paraId="55287D24">
      <w:pPr>
        <w:pStyle w:val="12"/>
        <w:tabs>
          <w:tab w:val="right" w:leader="dot" w:pos="8312"/>
        </w:tabs>
      </w:pPr>
      <w:r>
        <w:rPr>
          <w:rFonts w:eastAsia="仿宋"/>
        </w:rPr>
        <w:fldChar w:fldCharType="begin"/>
      </w:r>
      <w:r>
        <w:rPr>
          <w:rFonts w:eastAsia="仿宋"/>
        </w:rPr>
        <w:instrText xml:space="preserve"> HYPERLINK \l _Toc29101 </w:instrText>
      </w:r>
      <w:r>
        <w:rPr>
          <w:rFonts w:eastAsia="仿宋"/>
        </w:rPr>
        <w:fldChar w:fldCharType="separate"/>
      </w:r>
      <w:r>
        <w:rPr>
          <w:rFonts w:ascii="Times New Roman" w:eastAsia="仿宋"/>
        </w:rPr>
        <w:t>9.投标文件构成</w:t>
      </w:r>
      <w:r>
        <w:tab/>
      </w:r>
      <w:r>
        <w:fldChar w:fldCharType="begin"/>
      </w:r>
      <w:r>
        <w:instrText xml:space="preserve"> PAGEREF _Toc29101 \h </w:instrText>
      </w:r>
      <w:r>
        <w:fldChar w:fldCharType="separate"/>
      </w:r>
      <w:r>
        <w:t>6</w:t>
      </w:r>
      <w:r>
        <w:fldChar w:fldCharType="end"/>
      </w:r>
      <w:r>
        <w:rPr>
          <w:rFonts w:eastAsia="仿宋"/>
        </w:rPr>
        <w:fldChar w:fldCharType="end"/>
      </w:r>
    </w:p>
    <w:p w14:paraId="2E891CC1">
      <w:pPr>
        <w:pStyle w:val="12"/>
        <w:tabs>
          <w:tab w:val="right" w:pos="3600"/>
          <w:tab w:val="right" w:leader="dot" w:pos="8312"/>
        </w:tabs>
      </w:pPr>
      <w:r>
        <w:rPr>
          <w:rFonts w:eastAsia="仿宋"/>
        </w:rPr>
        <w:fldChar w:fldCharType="begin"/>
      </w:r>
      <w:r>
        <w:rPr>
          <w:rFonts w:eastAsia="仿宋"/>
        </w:rPr>
        <w:instrText xml:space="preserve"> HYPERLINK \l _Toc11736 </w:instrText>
      </w:r>
      <w:r>
        <w:rPr>
          <w:rFonts w:eastAsia="仿宋"/>
        </w:rPr>
        <w:fldChar w:fldCharType="separate"/>
      </w:r>
      <w:r>
        <w:rPr>
          <w:rFonts w:ascii="Times New Roman" w:eastAsia="仿宋"/>
        </w:rPr>
        <w:t>10.</w:t>
      </w:r>
      <w:r>
        <w:rPr>
          <w:rFonts w:ascii="Times New Roman" w:eastAsia="仿宋"/>
        </w:rPr>
        <w:tab/>
      </w:r>
      <w:r>
        <w:rPr>
          <w:rFonts w:ascii="Times New Roman" w:eastAsia="仿宋"/>
        </w:rPr>
        <w:t>证明投标标的的合格性和符合招标文件规定的响应文件</w:t>
      </w:r>
      <w:r>
        <w:tab/>
      </w:r>
      <w:r>
        <w:fldChar w:fldCharType="begin"/>
      </w:r>
      <w:r>
        <w:instrText xml:space="preserve"> PAGEREF _Toc11736 \h </w:instrText>
      </w:r>
      <w:r>
        <w:fldChar w:fldCharType="separate"/>
      </w:r>
      <w:r>
        <w:t>6</w:t>
      </w:r>
      <w:r>
        <w:fldChar w:fldCharType="end"/>
      </w:r>
      <w:r>
        <w:rPr>
          <w:rFonts w:eastAsia="仿宋"/>
        </w:rPr>
        <w:fldChar w:fldCharType="end"/>
      </w:r>
    </w:p>
    <w:p w14:paraId="39A74A10">
      <w:pPr>
        <w:pStyle w:val="12"/>
        <w:tabs>
          <w:tab w:val="right" w:leader="dot" w:pos="8312"/>
        </w:tabs>
      </w:pPr>
      <w:r>
        <w:rPr>
          <w:rFonts w:eastAsia="仿宋"/>
        </w:rPr>
        <w:fldChar w:fldCharType="begin"/>
      </w:r>
      <w:r>
        <w:rPr>
          <w:rFonts w:eastAsia="仿宋"/>
        </w:rPr>
        <w:instrText xml:space="preserve"> HYPERLINK \l _Toc16574 </w:instrText>
      </w:r>
      <w:r>
        <w:rPr>
          <w:rFonts w:eastAsia="仿宋"/>
        </w:rPr>
        <w:fldChar w:fldCharType="separate"/>
      </w:r>
      <w:r>
        <w:rPr>
          <w:rFonts w:ascii="Times New Roman" w:eastAsia="仿宋"/>
        </w:rPr>
        <w:t>11.投标报价</w:t>
      </w:r>
      <w:r>
        <w:tab/>
      </w:r>
      <w:r>
        <w:fldChar w:fldCharType="begin"/>
      </w:r>
      <w:r>
        <w:instrText xml:space="preserve"> PAGEREF _Toc16574 \h </w:instrText>
      </w:r>
      <w:r>
        <w:fldChar w:fldCharType="separate"/>
      </w:r>
      <w:r>
        <w:t>7</w:t>
      </w:r>
      <w:r>
        <w:fldChar w:fldCharType="end"/>
      </w:r>
      <w:r>
        <w:rPr>
          <w:rFonts w:eastAsia="仿宋"/>
        </w:rPr>
        <w:fldChar w:fldCharType="end"/>
      </w:r>
    </w:p>
    <w:p w14:paraId="6A0EBC6C">
      <w:pPr>
        <w:pStyle w:val="12"/>
        <w:tabs>
          <w:tab w:val="right" w:leader="dot" w:pos="8312"/>
        </w:tabs>
      </w:pPr>
      <w:r>
        <w:rPr>
          <w:rFonts w:eastAsia="仿宋"/>
        </w:rPr>
        <w:fldChar w:fldCharType="begin"/>
      </w:r>
      <w:r>
        <w:rPr>
          <w:rFonts w:eastAsia="仿宋"/>
        </w:rPr>
        <w:instrText xml:space="preserve"> HYPERLINK \l _Toc19591 </w:instrText>
      </w:r>
      <w:r>
        <w:rPr>
          <w:rFonts w:eastAsia="仿宋"/>
        </w:rPr>
        <w:fldChar w:fldCharType="separate"/>
      </w:r>
      <w:r>
        <w:rPr>
          <w:rFonts w:ascii="Times New Roman" w:eastAsia="仿宋"/>
        </w:rPr>
        <w:t>12.投标保证金</w:t>
      </w:r>
      <w:r>
        <w:tab/>
      </w:r>
      <w:r>
        <w:fldChar w:fldCharType="begin"/>
      </w:r>
      <w:r>
        <w:instrText xml:space="preserve"> PAGEREF _Toc19591 \h </w:instrText>
      </w:r>
      <w:r>
        <w:fldChar w:fldCharType="separate"/>
      </w:r>
      <w:r>
        <w:t>7</w:t>
      </w:r>
      <w:r>
        <w:fldChar w:fldCharType="end"/>
      </w:r>
      <w:r>
        <w:rPr>
          <w:rFonts w:eastAsia="仿宋"/>
        </w:rPr>
        <w:fldChar w:fldCharType="end"/>
      </w:r>
    </w:p>
    <w:p w14:paraId="24C614C1">
      <w:pPr>
        <w:pStyle w:val="12"/>
        <w:tabs>
          <w:tab w:val="right" w:leader="dot" w:pos="8312"/>
        </w:tabs>
      </w:pPr>
      <w:r>
        <w:rPr>
          <w:rFonts w:eastAsia="仿宋"/>
        </w:rPr>
        <w:fldChar w:fldCharType="begin"/>
      </w:r>
      <w:r>
        <w:rPr>
          <w:rFonts w:eastAsia="仿宋"/>
        </w:rPr>
        <w:instrText xml:space="preserve"> HYPERLINK \l _Toc19370 </w:instrText>
      </w:r>
      <w:r>
        <w:rPr>
          <w:rFonts w:eastAsia="仿宋"/>
        </w:rPr>
        <w:fldChar w:fldCharType="separate"/>
      </w:r>
      <w:r>
        <w:rPr>
          <w:rFonts w:ascii="Times New Roman" w:eastAsia="仿宋"/>
        </w:rPr>
        <w:t>13.投标有效期</w:t>
      </w:r>
      <w:r>
        <w:tab/>
      </w:r>
      <w:r>
        <w:fldChar w:fldCharType="begin"/>
      </w:r>
      <w:r>
        <w:instrText xml:space="preserve"> PAGEREF _Toc19370 \h </w:instrText>
      </w:r>
      <w:r>
        <w:fldChar w:fldCharType="separate"/>
      </w:r>
      <w:r>
        <w:t>8</w:t>
      </w:r>
      <w:r>
        <w:fldChar w:fldCharType="end"/>
      </w:r>
      <w:r>
        <w:rPr>
          <w:rFonts w:eastAsia="仿宋"/>
        </w:rPr>
        <w:fldChar w:fldCharType="end"/>
      </w:r>
    </w:p>
    <w:p w14:paraId="53B418DC">
      <w:pPr>
        <w:pStyle w:val="12"/>
        <w:tabs>
          <w:tab w:val="right" w:leader="dot" w:pos="8312"/>
        </w:tabs>
      </w:pPr>
      <w:r>
        <w:rPr>
          <w:rFonts w:eastAsia="仿宋"/>
        </w:rPr>
        <w:fldChar w:fldCharType="begin"/>
      </w:r>
      <w:r>
        <w:rPr>
          <w:rFonts w:eastAsia="仿宋"/>
        </w:rPr>
        <w:instrText xml:space="preserve"> HYPERLINK \l _Toc22262 </w:instrText>
      </w:r>
      <w:r>
        <w:rPr>
          <w:rFonts w:eastAsia="仿宋"/>
        </w:rPr>
        <w:fldChar w:fldCharType="separate"/>
      </w:r>
      <w:r>
        <w:rPr>
          <w:rFonts w:ascii="Times New Roman" w:eastAsia="仿宋"/>
        </w:rPr>
        <w:t>14.投标文件的签署及规定</w:t>
      </w:r>
      <w:r>
        <w:tab/>
      </w:r>
      <w:r>
        <w:fldChar w:fldCharType="begin"/>
      </w:r>
      <w:r>
        <w:instrText xml:space="preserve"> PAGEREF _Toc22262 \h </w:instrText>
      </w:r>
      <w:r>
        <w:fldChar w:fldCharType="separate"/>
      </w:r>
      <w:r>
        <w:t>9</w:t>
      </w:r>
      <w:r>
        <w:fldChar w:fldCharType="end"/>
      </w:r>
      <w:r>
        <w:rPr>
          <w:rFonts w:eastAsia="仿宋"/>
        </w:rPr>
        <w:fldChar w:fldCharType="end"/>
      </w:r>
    </w:p>
    <w:p w14:paraId="7CCEF4FA">
      <w:pPr>
        <w:pStyle w:val="18"/>
        <w:tabs>
          <w:tab w:val="right" w:leader="dot" w:pos="8312"/>
        </w:tabs>
      </w:pPr>
      <w:r>
        <w:rPr>
          <w:rFonts w:eastAsia="仿宋"/>
        </w:rPr>
        <w:fldChar w:fldCharType="begin"/>
      </w:r>
      <w:r>
        <w:rPr>
          <w:rFonts w:eastAsia="仿宋"/>
        </w:rPr>
        <w:instrText xml:space="preserve"> HYPERLINK \l _Toc2659 </w:instrText>
      </w:r>
      <w:r>
        <w:rPr>
          <w:rFonts w:eastAsia="仿宋"/>
        </w:rP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9</w:t>
      </w:r>
      <w:r>
        <w:fldChar w:fldCharType="end"/>
      </w:r>
      <w:r>
        <w:rPr>
          <w:rFonts w:eastAsia="仿宋"/>
        </w:rPr>
        <w:fldChar w:fldCharType="end"/>
      </w:r>
    </w:p>
    <w:p w14:paraId="752B5274">
      <w:pPr>
        <w:pStyle w:val="12"/>
        <w:tabs>
          <w:tab w:val="right" w:leader="dot" w:pos="8312"/>
        </w:tabs>
      </w:pPr>
      <w:r>
        <w:rPr>
          <w:rFonts w:eastAsia="仿宋"/>
        </w:rPr>
        <w:fldChar w:fldCharType="begin"/>
      </w:r>
      <w:r>
        <w:rPr>
          <w:rFonts w:eastAsia="仿宋"/>
        </w:rPr>
        <w:instrText xml:space="preserve"> HYPERLINK \l _Toc25050 </w:instrText>
      </w:r>
      <w:r>
        <w:rPr>
          <w:rFonts w:eastAsia="仿宋"/>
        </w:rPr>
        <w:fldChar w:fldCharType="separate"/>
      </w:r>
      <w:r>
        <w:rPr>
          <w:rFonts w:ascii="Times New Roman" w:eastAsia="仿宋"/>
        </w:rPr>
        <w:t>15.投标文件的密封和标记</w:t>
      </w:r>
      <w:r>
        <w:tab/>
      </w:r>
      <w:r>
        <w:fldChar w:fldCharType="begin"/>
      </w:r>
      <w:r>
        <w:instrText xml:space="preserve"> PAGEREF _Toc25050 \h </w:instrText>
      </w:r>
      <w:r>
        <w:fldChar w:fldCharType="separate"/>
      </w:r>
      <w:r>
        <w:t>9</w:t>
      </w:r>
      <w:r>
        <w:fldChar w:fldCharType="end"/>
      </w:r>
      <w:r>
        <w:rPr>
          <w:rFonts w:eastAsia="仿宋"/>
        </w:rPr>
        <w:fldChar w:fldCharType="end"/>
      </w:r>
    </w:p>
    <w:p w14:paraId="1E0FE671">
      <w:pPr>
        <w:pStyle w:val="12"/>
        <w:tabs>
          <w:tab w:val="right" w:leader="dot" w:pos="8312"/>
        </w:tabs>
      </w:pPr>
      <w:r>
        <w:rPr>
          <w:rFonts w:eastAsia="仿宋"/>
        </w:rPr>
        <w:fldChar w:fldCharType="begin"/>
      </w:r>
      <w:r>
        <w:rPr>
          <w:rFonts w:eastAsia="仿宋"/>
        </w:rPr>
        <w:instrText xml:space="preserve"> HYPERLINK \l _Toc28971 </w:instrText>
      </w:r>
      <w:r>
        <w:rPr>
          <w:rFonts w:eastAsia="仿宋"/>
        </w:rPr>
        <w:fldChar w:fldCharType="separate"/>
      </w:r>
      <w:r>
        <w:rPr>
          <w:rFonts w:ascii="Times New Roman" w:eastAsia="仿宋"/>
        </w:rPr>
        <w:t>16.投标截止</w:t>
      </w:r>
      <w:r>
        <w:tab/>
      </w:r>
      <w:r>
        <w:fldChar w:fldCharType="begin"/>
      </w:r>
      <w:r>
        <w:instrText xml:space="preserve"> PAGEREF _Toc28971 \h </w:instrText>
      </w:r>
      <w:r>
        <w:fldChar w:fldCharType="separate"/>
      </w:r>
      <w:r>
        <w:t>9</w:t>
      </w:r>
      <w:r>
        <w:fldChar w:fldCharType="end"/>
      </w:r>
      <w:r>
        <w:rPr>
          <w:rFonts w:eastAsia="仿宋"/>
        </w:rPr>
        <w:fldChar w:fldCharType="end"/>
      </w:r>
    </w:p>
    <w:p w14:paraId="76F72557">
      <w:pPr>
        <w:pStyle w:val="12"/>
        <w:tabs>
          <w:tab w:val="right" w:leader="dot" w:pos="8312"/>
        </w:tabs>
      </w:pPr>
      <w:r>
        <w:rPr>
          <w:rFonts w:eastAsia="仿宋"/>
        </w:rPr>
        <w:fldChar w:fldCharType="begin"/>
      </w:r>
      <w:r>
        <w:rPr>
          <w:rFonts w:eastAsia="仿宋"/>
        </w:rPr>
        <w:instrText xml:space="preserve"> HYPERLINK \l _Toc326 </w:instrText>
      </w:r>
      <w:r>
        <w:rPr>
          <w:rFonts w:eastAsia="仿宋"/>
        </w:rPr>
        <w:fldChar w:fldCharType="separate"/>
      </w:r>
      <w:r>
        <w:rPr>
          <w:rFonts w:ascii="Times New Roman" w:eastAsia="仿宋"/>
        </w:rPr>
        <w:t>17.投标文件的接收、修改与撤回</w:t>
      </w:r>
      <w:r>
        <w:tab/>
      </w:r>
      <w:r>
        <w:fldChar w:fldCharType="begin"/>
      </w:r>
      <w:r>
        <w:instrText xml:space="preserve"> PAGEREF _Toc326 \h </w:instrText>
      </w:r>
      <w:r>
        <w:fldChar w:fldCharType="separate"/>
      </w:r>
      <w:r>
        <w:t>10</w:t>
      </w:r>
      <w:r>
        <w:fldChar w:fldCharType="end"/>
      </w:r>
      <w:r>
        <w:rPr>
          <w:rFonts w:eastAsia="仿宋"/>
        </w:rPr>
        <w:fldChar w:fldCharType="end"/>
      </w:r>
    </w:p>
    <w:p w14:paraId="483D98FE">
      <w:pPr>
        <w:pStyle w:val="18"/>
        <w:tabs>
          <w:tab w:val="right" w:leader="dot" w:pos="8312"/>
        </w:tabs>
      </w:pPr>
      <w:r>
        <w:rPr>
          <w:rFonts w:eastAsia="仿宋"/>
        </w:rPr>
        <w:fldChar w:fldCharType="begin"/>
      </w:r>
      <w:r>
        <w:rPr>
          <w:rFonts w:eastAsia="仿宋"/>
        </w:rPr>
        <w:instrText xml:space="preserve"> HYPERLINK \l _Toc22845 </w:instrText>
      </w:r>
      <w:r>
        <w:rPr>
          <w:rFonts w:eastAsia="仿宋"/>
        </w:rPr>
        <w:fldChar w:fldCharType="separate"/>
      </w:r>
      <w:r>
        <w:rPr>
          <w:rFonts w:eastAsia="仿宋"/>
        </w:rPr>
        <w:t>五开标及评标</w:t>
      </w:r>
      <w:r>
        <w:tab/>
      </w:r>
      <w:r>
        <w:fldChar w:fldCharType="begin"/>
      </w:r>
      <w:r>
        <w:instrText xml:space="preserve"> PAGEREF _Toc22845 \h </w:instrText>
      </w:r>
      <w:r>
        <w:fldChar w:fldCharType="separate"/>
      </w:r>
      <w:r>
        <w:t>10</w:t>
      </w:r>
      <w:r>
        <w:fldChar w:fldCharType="end"/>
      </w:r>
      <w:r>
        <w:rPr>
          <w:rFonts w:eastAsia="仿宋"/>
        </w:rPr>
        <w:fldChar w:fldCharType="end"/>
      </w:r>
    </w:p>
    <w:p w14:paraId="52B2951B">
      <w:pPr>
        <w:pStyle w:val="12"/>
        <w:tabs>
          <w:tab w:val="right" w:leader="dot" w:pos="8312"/>
        </w:tabs>
      </w:pPr>
      <w:r>
        <w:rPr>
          <w:rFonts w:eastAsia="仿宋"/>
        </w:rPr>
        <w:fldChar w:fldCharType="begin"/>
      </w:r>
      <w:r>
        <w:rPr>
          <w:rFonts w:eastAsia="仿宋"/>
        </w:rPr>
        <w:instrText xml:space="preserve"> HYPERLINK \l _Toc12598 </w:instrText>
      </w:r>
      <w:r>
        <w:rPr>
          <w:rFonts w:eastAsia="仿宋"/>
        </w:rPr>
        <w:fldChar w:fldCharType="separate"/>
      </w:r>
      <w:r>
        <w:rPr>
          <w:rFonts w:ascii="Times New Roman" w:eastAsia="仿宋"/>
        </w:rPr>
        <w:t>18.开标</w:t>
      </w:r>
      <w:r>
        <w:tab/>
      </w:r>
      <w:r>
        <w:fldChar w:fldCharType="begin"/>
      </w:r>
      <w:r>
        <w:instrText xml:space="preserve"> PAGEREF _Toc12598 \h </w:instrText>
      </w:r>
      <w:r>
        <w:fldChar w:fldCharType="separate"/>
      </w:r>
      <w:r>
        <w:t>10</w:t>
      </w:r>
      <w:r>
        <w:fldChar w:fldCharType="end"/>
      </w:r>
      <w:r>
        <w:rPr>
          <w:rFonts w:eastAsia="仿宋"/>
        </w:rPr>
        <w:fldChar w:fldCharType="end"/>
      </w:r>
    </w:p>
    <w:p w14:paraId="17BB3FFB">
      <w:pPr>
        <w:pStyle w:val="12"/>
        <w:tabs>
          <w:tab w:val="right" w:leader="dot" w:pos="8312"/>
        </w:tabs>
      </w:pPr>
      <w:r>
        <w:rPr>
          <w:rFonts w:eastAsia="仿宋"/>
        </w:rPr>
        <w:fldChar w:fldCharType="begin"/>
      </w:r>
      <w:r>
        <w:rPr>
          <w:rFonts w:eastAsia="仿宋"/>
        </w:rPr>
        <w:instrText xml:space="preserve"> HYPERLINK \l _Toc24484 </w:instrText>
      </w:r>
      <w:r>
        <w:rPr>
          <w:rFonts w:eastAsia="仿宋"/>
        </w:rPr>
        <w:fldChar w:fldCharType="separate"/>
      </w:r>
      <w:r>
        <w:rPr>
          <w:rFonts w:ascii="Times New Roman" w:eastAsia="仿宋"/>
        </w:rPr>
        <w:t>19.资格审查及组建评标委员会</w:t>
      </w:r>
      <w:r>
        <w:tab/>
      </w:r>
      <w:r>
        <w:fldChar w:fldCharType="begin"/>
      </w:r>
      <w:r>
        <w:instrText xml:space="preserve"> PAGEREF _Toc24484 \h </w:instrText>
      </w:r>
      <w:r>
        <w:fldChar w:fldCharType="separate"/>
      </w:r>
      <w:r>
        <w:t>11</w:t>
      </w:r>
      <w:r>
        <w:fldChar w:fldCharType="end"/>
      </w:r>
      <w:r>
        <w:rPr>
          <w:rFonts w:eastAsia="仿宋"/>
        </w:rPr>
        <w:fldChar w:fldCharType="end"/>
      </w:r>
    </w:p>
    <w:p w14:paraId="5CABA2DA">
      <w:pPr>
        <w:pStyle w:val="12"/>
        <w:tabs>
          <w:tab w:val="right" w:leader="dot" w:pos="8312"/>
        </w:tabs>
      </w:pPr>
      <w:r>
        <w:rPr>
          <w:rFonts w:eastAsia="仿宋"/>
        </w:rPr>
        <w:fldChar w:fldCharType="begin"/>
      </w:r>
      <w:r>
        <w:rPr>
          <w:rFonts w:eastAsia="仿宋"/>
        </w:rPr>
        <w:instrText xml:space="preserve"> HYPERLINK \l _Toc28541 </w:instrText>
      </w:r>
      <w:r>
        <w:rPr>
          <w:rFonts w:eastAsia="仿宋"/>
        </w:rPr>
        <w:fldChar w:fldCharType="separate"/>
      </w:r>
      <w:r>
        <w:rPr>
          <w:rFonts w:ascii="Times New Roman" w:eastAsia="仿宋"/>
        </w:rPr>
        <w:t>20.投标文件的符合性审查与澄清</w:t>
      </w:r>
      <w:r>
        <w:tab/>
      </w:r>
      <w:r>
        <w:fldChar w:fldCharType="begin"/>
      </w:r>
      <w:r>
        <w:instrText xml:space="preserve"> PAGEREF _Toc28541 \h </w:instrText>
      </w:r>
      <w:r>
        <w:fldChar w:fldCharType="separate"/>
      </w:r>
      <w:r>
        <w:t>12</w:t>
      </w:r>
      <w:r>
        <w:fldChar w:fldCharType="end"/>
      </w:r>
      <w:r>
        <w:rPr>
          <w:rFonts w:eastAsia="仿宋"/>
        </w:rPr>
        <w:fldChar w:fldCharType="end"/>
      </w:r>
    </w:p>
    <w:p w14:paraId="4059A19A">
      <w:pPr>
        <w:pStyle w:val="12"/>
        <w:tabs>
          <w:tab w:val="right" w:leader="dot" w:pos="8312"/>
        </w:tabs>
      </w:pPr>
      <w:r>
        <w:rPr>
          <w:rFonts w:eastAsia="仿宋"/>
        </w:rPr>
        <w:fldChar w:fldCharType="begin"/>
      </w:r>
      <w:r>
        <w:rPr>
          <w:rFonts w:eastAsia="仿宋"/>
        </w:rPr>
        <w:instrText xml:space="preserve"> HYPERLINK \l _Toc29689 </w:instrText>
      </w:r>
      <w:r>
        <w:rPr>
          <w:rFonts w:eastAsia="仿宋"/>
        </w:rPr>
        <w:fldChar w:fldCharType="separate"/>
      </w:r>
      <w:r>
        <w:rPr>
          <w:rFonts w:ascii="Times New Roman" w:eastAsia="仿宋"/>
        </w:rPr>
        <w:t>21.投标偏离</w:t>
      </w:r>
      <w:r>
        <w:tab/>
      </w:r>
      <w:r>
        <w:fldChar w:fldCharType="begin"/>
      </w:r>
      <w:r>
        <w:instrText xml:space="preserve"> PAGEREF _Toc29689 \h </w:instrText>
      </w:r>
      <w:r>
        <w:fldChar w:fldCharType="separate"/>
      </w:r>
      <w:r>
        <w:t>14</w:t>
      </w:r>
      <w:r>
        <w:fldChar w:fldCharType="end"/>
      </w:r>
      <w:r>
        <w:rPr>
          <w:rFonts w:eastAsia="仿宋"/>
        </w:rPr>
        <w:fldChar w:fldCharType="end"/>
      </w:r>
    </w:p>
    <w:p w14:paraId="29D54ABC">
      <w:pPr>
        <w:pStyle w:val="12"/>
        <w:tabs>
          <w:tab w:val="right" w:leader="dot" w:pos="8312"/>
        </w:tabs>
      </w:pPr>
      <w:r>
        <w:rPr>
          <w:rFonts w:eastAsia="仿宋"/>
        </w:rPr>
        <w:fldChar w:fldCharType="begin"/>
      </w:r>
      <w:r>
        <w:rPr>
          <w:rFonts w:eastAsia="仿宋"/>
        </w:rPr>
        <w:instrText xml:space="preserve"> HYPERLINK \l _Toc31259 </w:instrText>
      </w:r>
      <w:r>
        <w:rPr>
          <w:rFonts w:eastAsia="仿宋"/>
        </w:rPr>
        <w:fldChar w:fldCharType="separate"/>
      </w:r>
      <w:r>
        <w:rPr>
          <w:rFonts w:ascii="Times New Roman" w:eastAsia="仿宋"/>
        </w:rPr>
        <w:t>22.投标无效</w:t>
      </w:r>
      <w:r>
        <w:tab/>
      </w:r>
      <w:r>
        <w:fldChar w:fldCharType="begin"/>
      </w:r>
      <w:r>
        <w:instrText xml:space="preserve"> PAGEREF _Toc31259 \h </w:instrText>
      </w:r>
      <w:r>
        <w:fldChar w:fldCharType="separate"/>
      </w:r>
      <w:r>
        <w:t>14</w:t>
      </w:r>
      <w:r>
        <w:fldChar w:fldCharType="end"/>
      </w:r>
      <w:r>
        <w:rPr>
          <w:rFonts w:eastAsia="仿宋"/>
        </w:rPr>
        <w:fldChar w:fldCharType="end"/>
      </w:r>
    </w:p>
    <w:p w14:paraId="2C772ED2">
      <w:pPr>
        <w:pStyle w:val="12"/>
        <w:tabs>
          <w:tab w:val="right" w:leader="dot" w:pos="8312"/>
        </w:tabs>
      </w:pPr>
      <w:r>
        <w:rPr>
          <w:rFonts w:eastAsia="仿宋"/>
        </w:rPr>
        <w:fldChar w:fldCharType="begin"/>
      </w:r>
      <w:r>
        <w:rPr>
          <w:rFonts w:eastAsia="仿宋"/>
        </w:rPr>
        <w:instrText xml:space="preserve"> HYPERLINK \l _Toc24032 </w:instrText>
      </w:r>
      <w:r>
        <w:rPr>
          <w:rFonts w:eastAsia="仿宋"/>
        </w:rPr>
        <w:fldChar w:fldCharType="separate"/>
      </w:r>
      <w:r>
        <w:rPr>
          <w:rFonts w:ascii="Times New Roman" w:eastAsia="仿宋"/>
        </w:rPr>
        <w:t>24.废标</w:t>
      </w:r>
      <w:r>
        <w:tab/>
      </w:r>
      <w:r>
        <w:fldChar w:fldCharType="begin"/>
      </w:r>
      <w:r>
        <w:instrText xml:space="preserve"> PAGEREF _Toc24032 \h </w:instrText>
      </w:r>
      <w:r>
        <w:fldChar w:fldCharType="separate"/>
      </w:r>
      <w:r>
        <w:t>15</w:t>
      </w:r>
      <w:r>
        <w:fldChar w:fldCharType="end"/>
      </w:r>
      <w:r>
        <w:rPr>
          <w:rFonts w:eastAsia="仿宋"/>
        </w:rPr>
        <w:fldChar w:fldCharType="end"/>
      </w:r>
    </w:p>
    <w:p w14:paraId="1839F872">
      <w:pPr>
        <w:pStyle w:val="12"/>
        <w:tabs>
          <w:tab w:val="right" w:leader="dot" w:pos="8312"/>
        </w:tabs>
      </w:pPr>
      <w:r>
        <w:rPr>
          <w:rFonts w:eastAsia="仿宋"/>
        </w:rPr>
        <w:fldChar w:fldCharType="begin"/>
      </w:r>
      <w:r>
        <w:rPr>
          <w:rFonts w:eastAsia="仿宋"/>
        </w:rPr>
        <w:instrText xml:space="preserve"> HYPERLINK \l _Toc32068 </w:instrText>
      </w:r>
      <w:r>
        <w:rPr>
          <w:rFonts w:eastAsia="仿宋"/>
        </w:rPr>
        <w:fldChar w:fldCharType="separate"/>
      </w:r>
      <w:r>
        <w:rPr>
          <w:rFonts w:ascii="Times New Roman" w:eastAsia="仿宋"/>
        </w:rPr>
        <w:t>25.保密原则</w:t>
      </w:r>
      <w:r>
        <w:tab/>
      </w:r>
      <w:r>
        <w:fldChar w:fldCharType="begin"/>
      </w:r>
      <w:r>
        <w:instrText xml:space="preserve"> PAGEREF _Toc32068 \h </w:instrText>
      </w:r>
      <w:r>
        <w:fldChar w:fldCharType="separate"/>
      </w:r>
      <w:r>
        <w:t>15</w:t>
      </w:r>
      <w:r>
        <w:fldChar w:fldCharType="end"/>
      </w:r>
      <w:r>
        <w:rPr>
          <w:rFonts w:eastAsia="仿宋"/>
        </w:rPr>
        <w:fldChar w:fldCharType="end"/>
      </w:r>
    </w:p>
    <w:p w14:paraId="48299BBE">
      <w:pPr>
        <w:pStyle w:val="18"/>
        <w:tabs>
          <w:tab w:val="right" w:leader="dot" w:pos="8312"/>
        </w:tabs>
      </w:pPr>
      <w:r>
        <w:rPr>
          <w:rFonts w:eastAsia="仿宋"/>
        </w:rPr>
        <w:fldChar w:fldCharType="begin"/>
      </w:r>
      <w:r>
        <w:rPr>
          <w:rFonts w:eastAsia="仿宋"/>
        </w:rPr>
        <w:instrText xml:space="preserve"> HYPERLINK \l _Toc30573 </w:instrText>
      </w:r>
      <w:r>
        <w:rPr>
          <w:rFonts w:eastAsia="仿宋"/>
        </w:rPr>
        <w:fldChar w:fldCharType="separate"/>
      </w:r>
      <w:r>
        <w:rPr>
          <w:rFonts w:eastAsia="仿宋"/>
        </w:rPr>
        <w:t>六确定中标</w:t>
      </w:r>
      <w:r>
        <w:tab/>
      </w:r>
      <w:r>
        <w:fldChar w:fldCharType="begin"/>
      </w:r>
      <w:r>
        <w:instrText xml:space="preserve"> PAGEREF _Toc30573 \h </w:instrText>
      </w:r>
      <w:r>
        <w:fldChar w:fldCharType="separate"/>
      </w:r>
      <w:r>
        <w:t>16</w:t>
      </w:r>
      <w:r>
        <w:fldChar w:fldCharType="end"/>
      </w:r>
      <w:r>
        <w:rPr>
          <w:rFonts w:eastAsia="仿宋"/>
        </w:rPr>
        <w:fldChar w:fldCharType="end"/>
      </w:r>
    </w:p>
    <w:p w14:paraId="1596F390">
      <w:pPr>
        <w:pStyle w:val="12"/>
        <w:tabs>
          <w:tab w:val="right" w:leader="dot" w:pos="8312"/>
        </w:tabs>
      </w:pPr>
      <w:r>
        <w:rPr>
          <w:rFonts w:eastAsia="仿宋"/>
        </w:rPr>
        <w:fldChar w:fldCharType="begin"/>
      </w:r>
      <w:r>
        <w:rPr>
          <w:rFonts w:eastAsia="仿宋"/>
        </w:rPr>
        <w:instrText xml:space="preserve"> HYPERLINK \l _Toc5793 </w:instrText>
      </w:r>
      <w:r>
        <w:rPr>
          <w:rFonts w:eastAsia="仿宋"/>
        </w:rPr>
        <w:fldChar w:fldCharType="separate"/>
      </w:r>
      <w:r>
        <w:rPr>
          <w:rFonts w:ascii="Times New Roman" w:eastAsia="仿宋"/>
        </w:rPr>
        <w:t>26.中标候选人的确定原则及标准</w:t>
      </w:r>
      <w:r>
        <w:tab/>
      </w:r>
      <w:r>
        <w:fldChar w:fldCharType="begin"/>
      </w:r>
      <w:r>
        <w:instrText xml:space="preserve"> PAGEREF _Toc5793 \h </w:instrText>
      </w:r>
      <w:r>
        <w:fldChar w:fldCharType="separate"/>
      </w:r>
      <w:r>
        <w:t>16</w:t>
      </w:r>
      <w:r>
        <w:fldChar w:fldCharType="end"/>
      </w:r>
      <w:r>
        <w:rPr>
          <w:rFonts w:eastAsia="仿宋"/>
        </w:rPr>
        <w:fldChar w:fldCharType="end"/>
      </w:r>
    </w:p>
    <w:p w14:paraId="3A038387">
      <w:pPr>
        <w:pStyle w:val="12"/>
        <w:tabs>
          <w:tab w:val="right" w:leader="dot" w:pos="8312"/>
        </w:tabs>
      </w:pPr>
      <w:r>
        <w:rPr>
          <w:rFonts w:eastAsia="仿宋"/>
        </w:rPr>
        <w:fldChar w:fldCharType="begin"/>
      </w:r>
      <w:r>
        <w:rPr>
          <w:rFonts w:eastAsia="仿宋"/>
        </w:rPr>
        <w:instrText xml:space="preserve"> HYPERLINK \l _Toc32655 </w:instrText>
      </w:r>
      <w:r>
        <w:rPr>
          <w:rFonts w:eastAsia="仿宋"/>
        </w:rPr>
        <w:fldChar w:fldCharType="separate"/>
      </w:r>
      <w:r>
        <w:rPr>
          <w:rFonts w:ascii="Times New Roman" w:eastAsia="仿宋"/>
        </w:rPr>
        <w:t>27.确定中标候选人和中标人</w:t>
      </w:r>
      <w:r>
        <w:tab/>
      </w:r>
      <w:r>
        <w:fldChar w:fldCharType="begin"/>
      </w:r>
      <w:r>
        <w:instrText xml:space="preserve"> PAGEREF _Toc32655 \h </w:instrText>
      </w:r>
      <w:r>
        <w:fldChar w:fldCharType="separate"/>
      </w:r>
      <w:r>
        <w:t>16</w:t>
      </w:r>
      <w:r>
        <w:fldChar w:fldCharType="end"/>
      </w:r>
      <w:r>
        <w:rPr>
          <w:rFonts w:eastAsia="仿宋"/>
        </w:rPr>
        <w:fldChar w:fldCharType="end"/>
      </w:r>
    </w:p>
    <w:p w14:paraId="38D8048B">
      <w:pPr>
        <w:pStyle w:val="12"/>
        <w:tabs>
          <w:tab w:val="right" w:leader="dot" w:pos="8312"/>
        </w:tabs>
      </w:pPr>
      <w:r>
        <w:rPr>
          <w:rFonts w:eastAsia="仿宋"/>
        </w:rPr>
        <w:fldChar w:fldCharType="begin"/>
      </w:r>
      <w:r>
        <w:rPr>
          <w:rFonts w:eastAsia="仿宋"/>
        </w:rPr>
        <w:instrText xml:space="preserve"> HYPERLINK \l _Toc1426 </w:instrText>
      </w:r>
      <w:r>
        <w:rPr>
          <w:rFonts w:eastAsia="仿宋"/>
        </w:rPr>
        <w:fldChar w:fldCharType="separate"/>
      </w:r>
      <w:r>
        <w:rPr>
          <w:rFonts w:ascii="Times New Roman" w:eastAsia="仿宋"/>
        </w:rPr>
        <w:t>28.采购任务取消</w:t>
      </w:r>
      <w:r>
        <w:tab/>
      </w:r>
      <w:r>
        <w:fldChar w:fldCharType="begin"/>
      </w:r>
      <w:r>
        <w:instrText xml:space="preserve"> PAGEREF _Toc1426 \h </w:instrText>
      </w:r>
      <w:r>
        <w:fldChar w:fldCharType="separate"/>
      </w:r>
      <w:r>
        <w:t>16</w:t>
      </w:r>
      <w:r>
        <w:fldChar w:fldCharType="end"/>
      </w:r>
      <w:r>
        <w:rPr>
          <w:rFonts w:eastAsia="仿宋"/>
        </w:rPr>
        <w:fldChar w:fldCharType="end"/>
      </w:r>
    </w:p>
    <w:p w14:paraId="57E4C735">
      <w:pPr>
        <w:pStyle w:val="12"/>
        <w:tabs>
          <w:tab w:val="right" w:leader="dot" w:pos="8312"/>
        </w:tabs>
      </w:pPr>
      <w:r>
        <w:rPr>
          <w:rFonts w:eastAsia="仿宋"/>
        </w:rPr>
        <w:fldChar w:fldCharType="begin"/>
      </w:r>
      <w:r>
        <w:rPr>
          <w:rFonts w:eastAsia="仿宋"/>
        </w:rPr>
        <w:instrText xml:space="preserve"> HYPERLINK \l _Toc32362 </w:instrText>
      </w:r>
      <w:r>
        <w:rPr>
          <w:rFonts w:eastAsia="仿宋"/>
        </w:rPr>
        <w:fldChar w:fldCharType="separate"/>
      </w:r>
      <w:r>
        <w:rPr>
          <w:rFonts w:ascii="Times New Roman" w:eastAsia="仿宋"/>
        </w:rPr>
        <w:t>29.中标通知书和招标结果通知书</w:t>
      </w:r>
      <w:r>
        <w:tab/>
      </w:r>
      <w:r>
        <w:fldChar w:fldCharType="begin"/>
      </w:r>
      <w:r>
        <w:instrText xml:space="preserve"> PAGEREF _Toc32362 \h </w:instrText>
      </w:r>
      <w:r>
        <w:fldChar w:fldCharType="separate"/>
      </w:r>
      <w:r>
        <w:t>16</w:t>
      </w:r>
      <w:r>
        <w:fldChar w:fldCharType="end"/>
      </w:r>
      <w:r>
        <w:rPr>
          <w:rFonts w:eastAsia="仿宋"/>
        </w:rPr>
        <w:fldChar w:fldCharType="end"/>
      </w:r>
    </w:p>
    <w:p w14:paraId="6FC3EBAC">
      <w:pPr>
        <w:pStyle w:val="12"/>
        <w:tabs>
          <w:tab w:val="right" w:leader="dot" w:pos="8312"/>
        </w:tabs>
      </w:pPr>
      <w:r>
        <w:rPr>
          <w:rFonts w:eastAsia="仿宋"/>
        </w:rPr>
        <w:fldChar w:fldCharType="begin"/>
      </w:r>
      <w:r>
        <w:rPr>
          <w:rFonts w:eastAsia="仿宋"/>
        </w:rPr>
        <w:instrText xml:space="preserve"> HYPERLINK \l _Toc10798 </w:instrText>
      </w:r>
      <w:r>
        <w:rPr>
          <w:rFonts w:eastAsia="仿宋"/>
        </w:rPr>
        <w:fldChar w:fldCharType="separate"/>
      </w:r>
      <w:r>
        <w:rPr>
          <w:rFonts w:ascii="Times New Roman" w:eastAsia="仿宋"/>
        </w:rPr>
        <w:t>30.签订合同</w:t>
      </w:r>
      <w:r>
        <w:tab/>
      </w:r>
      <w:r>
        <w:fldChar w:fldCharType="begin"/>
      </w:r>
      <w:r>
        <w:instrText xml:space="preserve"> PAGEREF _Toc10798 \h </w:instrText>
      </w:r>
      <w:r>
        <w:fldChar w:fldCharType="separate"/>
      </w:r>
      <w:r>
        <w:t>16</w:t>
      </w:r>
      <w:r>
        <w:fldChar w:fldCharType="end"/>
      </w:r>
      <w:r>
        <w:rPr>
          <w:rFonts w:eastAsia="仿宋"/>
        </w:rPr>
        <w:fldChar w:fldCharType="end"/>
      </w:r>
    </w:p>
    <w:p w14:paraId="5D0B0F15">
      <w:pPr>
        <w:pStyle w:val="12"/>
        <w:tabs>
          <w:tab w:val="right" w:leader="dot" w:pos="8312"/>
        </w:tabs>
      </w:pPr>
      <w:r>
        <w:rPr>
          <w:rFonts w:eastAsia="仿宋"/>
        </w:rPr>
        <w:fldChar w:fldCharType="begin"/>
      </w:r>
      <w:r>
        <w:rPr>
          <w:rFonts w:eastAsia="仿宋"/>
        </w:rPr>
        <w:instrText xml:space="preserve"> HYPERLINK \l _Toc32554 </w:instrText>
      </w:r>
      <w:r>
        <w:rPr>
          <w:rFonts w:eastAsia="仿宋"/>
        </w:rPr>
        <w:fldChar w:fldCharType="separate"/>
      </w:r>
      <w:r>
        <w:rPr>
          <w:rFonts w:ascii="Times New Roman" w:eastAsia="仿宋"/>
        </w:rPr>
        <w:t>31.履约保证金</w:t>
      </w:r>
      <w:r>
        <w:tab/>
      </w:r>
      <w:r>
        <w:fldChar w:fldCharType="begin"/>
      </w:r>
      <w:r>
        <w:instrText xml:space="preserve"> PAGEREF _Toc32554 \h </w:instrText>
      </w:r>
      <w:r>
        <w:fldChar w:fldCharType="separate"/>
      </w:r>
      <w:r>
        <w:t>17</w:t>
      </w:r>
      <w:r>
        <w:fldChar w:fldCharType="end"/>
      </w:r>
      <w:r>
        <w:rPr>
          <w:rFonts w:eastAsia="仿宋"/>
        </w:rPr>
        <w:fldChar w:fldCharType="end"/>
      </w:r>
    </w:p>
    <w:p w14:paraId="5C5E3533">
      <w:pPr>
        <w:pStyle w:val="12"/>
        <w:tabs>
          <w:tab w:val="right" w:leader="dot" w:pos="8312"/>
        </w:tabs>
      </w:pPr>
      <w:r>
        <w:rPr>
          <w:rFonts w:eastAsia="仿宋"/>
        </w:rPr>
        <w:fldChar w:fldCharType="begin"/>
      </w:r>
      <w:r>
        <w:rPr>
          <w:rFonts w:eastAsia="仿宋"/>
        </w:rPr>
        <w:instrText xml:space="preserve"> HYPERLINK \l _Toc26060 </w:instrText>
      </w:r>
      <w:r>
        <w:rPr>
          <w:rFonts w:eastAsia="仿宋"/>
        </w:rPr>
        <w:fldChar w:fldCharType="separate"/>
      </w:r>
      <w:r>
        <w:rPr>
          <w:rFonts w:ascii="Times New Roman" w:eastAsia="仿宋"/>
        </w:rPr>
        <w:t>32.中标服务费</w:t>
      </w:r>
      <w:r>
        <w:tab/>
      </w:r>
      <w:r>
        <w:fldChar w:fldCharType="begin"/>
      </w:r>
      <w:r>
        <w:instrText xml:space="preserve"> PAGEREF _Toc26060 \h </w:instrText>
      </w:r>
      <w:r>
        <w:fldChar w:fldCharType="separate"/>
      </w:r>
      <w:r>
        <w:t>17</w:t>
      </w:r>
      <w:r>
        <w:fldChar w:fldCharType="end"/>
      </w:r>
      <w:r>
        <w:rPr>
          <w:rFonts w:eastAsia="仿宋"/>
        </w:rPr>
        <w:fldChar w:fldCharType="end"/>
      </w:r>
    </w:p>
    <w:p w14:paraId="5E802DE5">
      <w:pPr>
        <w:pStyle w:val="12"/>
        <w:tabs>
          <w:tab w:val="right" w:leader="dot" w:pos="8312"/>
        </w:tabs>
      </w:pPr>
      <w:r>
        <w:rPr>
          <w:rFonts w:eastAsia="仿宋"/>
        </w:rPr>
        <w:fldChar w:fldCharType="begin"/>
      </w:r>
      <w:r>
        <w:rPr>
          <w:rFonts w:eastAsia="仿宋"/>
        </w:rPr>
        <w:instrText xml:space="preserve"> HYPERLINK \l _Toc30165 </w:instrText>
      </w:r>
      <w:r>
        <w:rPr>
          <w:rFonts w:eastAsia="仿宋"/>
        </w:rPr>
        <w:fldChar w:fldCharType="separate"/>
      </w:r>
      <w:r>
        <w:rPr>
          <w:rFonts w:ascii="Times New Roman" w:eastAsia="仿宋"/>
        </w:rPr>
        <w:t>33.政府采购信用担保</w:t>
      </w:r>
      <w:r>
        <w:tab/>
      </w:r>
      <w:r>
        <w:fldChar w:fldCharType="begin"/>
      </w:r>
      <w:r>
        <w:instrText xml:space="preserve"> PAGEREF _Toc30165 \h </w:instrText>
      </w:r>
      <w:r>
        <w:fldChar w:fldCharType="separate"/>
      </w:r>
      <w:r>
        <w:t>17</w:t>
      </w:r>
      <w:r>
        <w:fldChar w:fldCharType="end"/>
      </w:r>
      <w:r>
        <w:rPr>
          <w:rFonts w:eastAsia="仿宋"/>
        </w:rPr>
        <w:fldChar w:fldCharType="end"/>
      </w:r>
    </w:p>
    <w:p w14:paraId="066C0D0A">
      <w:pPr>
        <w:pStyle w:val="12"/>
        <w:tabs>
          <w:tab w:val="right" w:leader="dot" w:pos="8312"/>
        </w:tabs>
      </w:pPr>
      <w:r>
        <w:rPr>
          <w:rFonts w:eastAsia="仿宋"/>
        </w:rPr>
        <w:fldChar w:fldCharType="begin"/>
      </w:r>
      <w:r>
        <w:rPr>
          <w:rFonts w:eastAsia="仿宋"/>
        </w:rPr>
        <w:instrText xml:space="preserve"> HYPERLINK \l _Toc23516 </w:instrText>
      </w:r>
      <w:r>
        <w:rPr>
          <w:rFonts w:eastAsia="仿宋"/>
        </w:rPr>
        <w:fldChar w:fldCharType="separate"/>
      </w:r>
      <w:r>
        <w:rPr>
          <w:rFonts w:ascii="Times New Roman" w:eastAsia="仿宋"/>
        </w:rPr>
        <w:t>34.廉洁自律规定</w:t>
      </w:r>
      <w:r>
        <w:tab/>
      </w:r>
      <w:r>
        <w:fldChar w:fldCharType="begin"/>
      </w:r>
      <w:r>
        <w:instrText xml:space="preserve"> PAGEREF _Toc23516 \h </w:instrText>
      </w:r>
      <w:r>
        <w:fldChar w:fldCharType="separate"/>
      </w:r>
      <w:r>
        <w:t>17</w:t>
      </w:r>
      <w:r>
        <w:fldChar w:fldCharType="end"/>
      </w:r>
      <w:r>
        <w:rPr>
          <w:rFonts w:eastAsia="仿宋"/>
        </w:rPr>
        <w:fldChar w:fldCharType="end"/>
      </w:r>
    </w:p>
    <w:p w14:paraId="7323A928">
      <w:pPr>
        <w:pStyle w:val="12"/>
        <w:tabs>
          <w:tab w:val="right" w:leader="dot" w:pos="8312"/>
        </w:tabs>
      </w:pPr>
      <w:r>
        <w:rPr>
          <w:rFonts w:eastAsia="仿宋"/>
        </w:rPr>
        <w:fldChar w:fldCharType="begin"/>
      </w:r>
      <w:r>
        <w:rPr>
          <w:rFonts w:eastAsia="仿宋"/>
        </w:rPr>
        <w:instrText xml:space="preserve"> HYPERLINK \l _Toc404 </w:instrText>
      </w:r>
      <w:r>
        <w:rPr>
          <w:rFonts w:eastAsia="仿宋"/>
        </w:rPr>
        <w:fldChar w:fldCharType="separate"/>
      </w:r>
      <w:r>
        <w:rPr>
          <w:rFonts w:ascii="Times New Roman" w:eastAsia="仿宋"/>
        </w:rPr>
        <w:t>35.人员回避</w:t>
      </w:r>
      <w:r>
        <w:tab/>
      </w:r>
      <w:r>
        <w:fldChar w:fldCharType="begin"/>
      </w:r>
      <w:r>
        <w:instrText xml:space="preserve"> PAGEREF _Toc404 \h </w:instrText>
      </w:r>
      <w:r>
        <w:fldChar w:fldCharType="separate"/>
      </w:r>
      <w:r>
        <w:t>18</w:t>
      </w:r>
      <w:r>
        <w:fldChar w:fldCharType="end"/>
      </w:r>
      <w:r>
        <w:rPr>
          <w:rFonts w:eastAsia="仿宋"/>
        </w:rPr>
        <w:fldChar w:fldCharType="end"/>
      </w:r>
    </w:p>
    <w:p w14:paraId="660BF5CD">
      <w:pPr>
        <w:pStyle w:val="12"/>
        <w:tabs>
          <w:tab w:val="right" w:leader="dot" w:pos="8312"/>
        </w:tabs>
      </w:pPr>
      <w:r>
        <w:rPr>
          <w:rFonts w:eastAsia="仿宋"/>
        </w:rPr>
        <w:fldChar w:fldCharType="begin"/>
      </w:r>
      <w:r>
        <w:rPr>
          <w:rFonts w:eastAsia="仿宋"/>
        </w:rPr>
        <w:instrText xml:space="preserve"> HYPERLINK \l _Toc31346 </w:instrText>
      </w:r>
      <w:r>
        <w:rPr>
          <w:rFonts w:eastAsia="仿宋"/>
        </w:rPr>
        <w:fldChar w:fldCharType="separate"/>
      </w:r>
      <w:r>
        <w:rPr>
          <w:rFonts w:ascii="Times New Roman" w:eastAsia="仿宋"/>
        </w:rPr>
        <w:t>36.质疑与接收</w:t>
      </w:r>
      <w:r>
        <w:tab/>
      </w:r>
      <w:r>
        <w:fldChar w:fldCharType="begin"/>
      </w:r>
      <w:r>
        <w:instrText xml:space="preserve"> PAGEREF _Toc31346 \h </w:instrText>
      </w:r>
      <w:r>
        <w:fldChar w:fldCharType="separate"/>
      </w:r>
      <w:r>
        <w:t>18</w:t>
      </w:r>
      <w:r>
        <w:fldChar w:fldCharType="end"/>
      </w:r>
      <w:r>
        <w:rPr>
          <w:rFonts w:eastAsia="仿宋"/>
        </w:rPr>
        <w:fldChar w:fldCharType="end"/>
      </w:r>
    </w:p>
    <w:p w14:paraId="6304BA28">
      <w:pPr>
        <w:pStyle w:val="17"/>
        <w:tabs>
          <w:tab w:val="right" w:leader="dot" w:pos="8312"/>
        </w:tabs>
      </w:pPr>
      <w:r>
        <w:rPr>
          <w:rFonts w:eastAsia="仿宋"/>
        </w:rPr>
        <w:fldChar w:fldCharType="begin"/>
      </w:r>
      <w:r>
        <w:rPr>
          <w:rFonts w:eastAsia="仿宋"/>
        </w:rPr>
        <w:instrText xml:space="preserve"> HYPERLINK \l _Toc12170 </w:instrText>
      </w:r>
      <w:r>
        <w:rPr>
          <w:rFonts w:eastAsia="仿宋"/>
        </w:rPr>
        <w:fldChar w:fldCharType="separate"/>
      </w:r>
      <w:r>
        <w:rPr>
          <w:rFonts w:ascii="Times New Roman" w:eastAsia="仿宋"/>
        </w:rPr>
        <w:t>第2章投标文件格式</w:t>
      </w:r>
      <w:r>
        <w:tab/>
      </w:r>
      <w:r>
        <w:fldChar w:fldCharType="begin"/>
      </w:r>
      <w:r>
        <w:instrText xml:space="preserve"> PAGEREF _Toc12170 \h </w:instrText>
      </w:r>
      <w:r>
        <w:fldChar w:fldCharType="separate"/>
      </w:r>
      <w:r>
        <w:t>26</w:t>
      </w:r>
      <w:r>
        <w:fldChar w:fldCharType="end"/>
      </w:r>
      <w:r>
        <w:rPr>
          <w:rFonts w:eastAsia="仿宋"/>
        </w:rPr>
        <w:fldChar w:fldCharType="end"/>
      </w:r>
    </w:p>
    <w:p w14:paraId="0B2E4CBC">
      <w:pPr>
        <w:pStyle w:val="17"/>
        <w:tabs>
          <w:tab w:val="right" w:leader="dot" w:pos="8312"/>
        </w:tabs>
      </w:pPr>
      <w:r>
        <w:rPr>
          <w:rFonts w:eastAsia="仿宋"/>
        </w:rPr>
        <w:fldChar w:fldCharType="begin"/>
      </w:r>
      <w:r>
        <w:rPr>
          <w:rFonts w:eastAsia="仿宋"/>
        </w:rPr>
        <w:instrText xml:space="preserve"> HYPERLINK \l _Toc6823 </w:instrText>
      </w:r>
      <w:r>
        <w:rPr>
          <w:rFonts w:eastAsia="仿宋"/>
        </w:rPr>
        <w:fldChar w:fldCharType="separate"/>
      </w:r>
      <w:r>
        <w:rPr>
          <w:rFonts w:hint="eastAsia" w:ascii="Times New Roman" w:eastAsia="仿宋"/>
        </w:rPr>
        <w:t>第3章</w:t>
      </w:r>
      <w:r>
        <w:rPr>
          <w:rFonts w:ascii="Times New Roman" w:eastAsia="仿宋"/>
        </w:rPr>
        <w:t>投标邀请</w:t>
      </w:r>
      <w:r>
        <w:tab/>
      </w:r>
      <w:r>
        <w:fldChar w:fldCharType="begin"/>
      </w:r>
      <w:r>
        <w:instrText xml:space="preserve"> PAGEREF _Toc6823 \h </w:instrText>
      </w:r>
      <w:r>
        <w:fldChar w:fldCharType="separate"/>
      </w:r>
      <w:r>
        <w:t>44</w:t>
      </w:r>
      <w:r>
        <w:fldChar w:fldCharType="end"/>
      </w:r>
      <w:r>
        <w:rPr>
          <w:rFonts w:eastAsia="仿宋"/>
        </w:rPr>
        <w:fldChar w:fldCharType="end"/>
      </w:r>
    </w:p>
    <w:p w14:paraId="11863528">
      <w:pPr>
        <w:pStyle w:val="17"/>
        <w:tabs>
          <w:tab w:val="right" w:leader="dot" w:pos="8312"/>
        </w:tabs>
      </w:pPr>
      <w:r>
        <w:rPr>
          <w:rFonts w:eastAsia="仿宋"/>
        </w:rPr>
        <w:fldChar w:fldCharType="begin"/>
      </w:r>
      <w:r>
        <w:rPr>
          <w:rFonts w:eastAsia="仿宋"/>
        </w:rPr>
        <w:instrText xml:space="preserve"> HYPERLINK \l _Toc30910 </w:instrText>
      </w:r>
      <w:r>
        <w:rPr>
          <w:rFonts w:eastAsia="仿宋"/>
        </w:rPr>
        <w:fldChar w:fldCharType="separate"/>
      </w:r>
      <w:r>
        <w:rPr>
          <w:rFonts w:ascii="Times New Roman" w:eastAsia="仿宋"/>
        </w:rPr>
        <w:t>第4章投标人须知资料表</w:t>
      </w:r>
      <w:r>
        <w:tab/>
      </w:r>
      <w:r>
        <w:fldChar w:fldCharType="begin"/>
      </w:r>
      <w:r>
        <w:instrText xml:space="preserve"> PAGEREF _Toc30910 \h </w:instrText>
      </w:r>
      <w:r>
        <w:fldChar w:fldCharType="separate"/>
      </w:r>
      <w:r>
        <w:t>46</w:t>
      </w:r>
      <w:r>
        <w:fldChar w:fldCharType="end"/>
      </w:r>
      <w:r>
        <w:rPr>
          <w:rFonts w:eastAsia="仿宋"/>
        </w:rPr>
        <w:fldChar w:fldCharType="end"/>
      </w:r>
    </w:p>
    <w:p w14:paraId="582D96EB">
      <w:pPr>
        <w:pStyle w:val="17"/>
        <w:tabs>
          <w:tab w:val="right" w:leader="dot" w:pos="8312"/>
        </w:tabs>
      </w:pPr>
      <w:r>
        <w:rPr>
          <w:rFonts w:eastAsia="仿宋"/>
        </w:rPr>
        <w:fldChar w:fldCharType="begin"/>
      </w:r>
      <w:r>
        <w:rPr>
          <w:rFonts w:eastAsia="仿宋"/>
        </w:rPr>
        <w:instrText xml:space="preserve"> HYPERLINK \l _Toc12390 </w:instrText>
      </w:r>
      <w:r>
        <w:rPr>
          <w:rFonts w:eastAsia="仿宋"/>
        </w:rPr>
        <w:fldChar w:fldCharType="separate"/>
      </w:r>
      <w:r>
        <w:rPr>
          <w:rFonts w:ascii="Times New Roman" w:eastAsia="仿宋"/>
        </w:rPr>
        <w:t>第5章</w:t>
      </w:r>
      <w:r>
        <w:rPr>
          <w:rFonts w:hint="eastAsia" w:ascii="Times New Roman" w:eastAsia="仿宋"/>
        </w:rPr>
        <w:t>货物需求一览表及技术规格</w:t>
      </w:r>
      <w:r>
        <w:tab/>
      </w:r>
      <w:r>
        <w:fldChar w:fldCharType="begin"/>
      </w:r>
      <w:r>
        <w:instrText xml:space="preserve"> PAGEREF _Toc12390 \h </w:instrText>
      </w:r>
      <w:r>
        <w:fldChar w:fldCharType="separate"/>
      </w:r>
      <w:r>
        <w:t>52</w:t>
      </w:r>
      <w:r>
        <w:fldChar w:fldCharType="end"/>
      </w:r>
      <w:r>
        <w:rPr>
          <w:rFonts w:eastAsia="仿宋"/>
        </w:rPr>
        <w:fldChar w:fldCharType="end"/>
      </w:r>
    </w:p>
    <w:p w14:paraId="64A6478F">
      <w:pPr>
        <w:pStyle w:val="17"/>
        <w:tabs>
          <w:tab w:val="right" w:leader="dot" w:pos="8312"/>
        </w:tabs>
      </w:pPr>
      <w:r>
        <w:rPr>
          <w:rFonts w:eastAsia="仿宋"/>
        </w:rPr>
        <w:fldChar w:fldCharType="begin"/>
      </w:r>
      <w:r>
        <w:rPr>
          <w:rFonts w:eastAsia="仿宋"/>
        </w:rPr>
        <w:instrText xml:space="preserve"> HYPERLINK \l _Toc14323 </w:instrText>
      </w:r>
      <w:r>
        <w:rPr>
          <w:rFonts w:eastAsia="仿宋"/>
        </w:rP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fldChar w:fldCharType="begin"/>
      </w:r>
      <w:r>
        <w:instrText xml:space="preserve"> PAGEREF _Toc14323 \h </w:instrText>
      </w:r>
      <w:r>
        <w:fldChar w:fldCharType="separate"/>
      </w:r>
      <w:r>
        <w:t>73</w:t>
      </w:r>
      <w:r>
        <w:fldChar w:fldCharType="end"/>
      </w:r>
      <w:r>
        <w:rPr>
          <w:rFonts w:eastAsia="仿宋"/>
        </w:rPr>
        <w:fldChar w:fldCharType="end"/>
      </w:r>
    </w:p>
    <w:p w14:paraId="73302FEA">
      <w:pPr>
        <w:pStyle w:val="17"/>
        <w:tabs>
          <w:tab w:val="right" w:leader="dot" w:pos="8312"/>
        </w:tabs>
      </w:pPr>
      <w:r>
        <w:rPr>
          <w:rFonts w:eastAsia="仿宋"/>
        </w:rPr>
        <w:fldChar w:fldCharType="begin"/>
      </w:r>
      <w:r>
        <w:rPr>
          <w:rFonts w:eastAsia="仿宋"/>
        </w:rPr>
        <w:instrText xml:space="preserve"> HYPERLINK \l _Toc26032 </w:instrText>
      </w:r>
      <w:r>
        <w:rPr>
          <w:rFonts w:eastAsia="仿宋"/>
        </w:rPr>
        <w:fldChar w:fldCharType="separate"/>
      </w:r>
      <w:r>
        <w:rPr>
          <w:rFonts w:ascii="Times New Roman" w:eastAsia="仿宋"/>
        </w:rPr>
        <w:t>第</w:t>
      </w:r>
      <w:r>
        <w:rPr>
          <w:rFonts w:hint="eastAsia" w:ascii="Times New Roman" w:eastAsia="仿宋"/>
        </w:rPr>
        <w:t>7</w:t>
      </w:r>
      <w:r>
        <w:rPr>
          <w:rFonts w:ascii="Times New Roman" w:eastAsia="仿宋"/>
        </w:rPr>
        <w:t>章政府采购合同</w:t>
      </w:r>
      <w:r>
        <w:tab/>
      </w:r>
      <w:r>
        <w:fldChar w:fldCharType="begin"/>
      </w:r>
      <w:r>
        <w:instrText xml:space="preserve"> PAGEREF _Toc26032 \h </w:instrText>
      </w:r>
      <w:r>
        <w:fldChar w:fldCharType="separate"/>
      </w:r>
      <w:r>
        <w:t>78</w:t>
      </w:r>
      <w:r>
        <w:fldChar w:fldCharType="end"/>
      </w:r>
      <w:r>
        <w:rPr>
          <w:rFonts w:eastAsia="仿宋"/>
        </w:rPr>
        <w:fldChar w:fldCharType="end"/>
      </w:r>
    </w:p>
    <w:p w14:paraId="41F05EEE">
      <w:pPr>
        <w:spacing w:line="360" w:lineRule="auto"/>
        <w:ind w:left="1080" w:leftChars="257" w:hanging="540"/>
        <w:jc w:val="center"/>
        <w:rPr>
          <w:rFonts w:eastAsia="仿宋"/>
        </w:rPr>
      </w:pPr>
      <w:r>
        <w:rPr>
          <w:rFonts w:eastAsia="仿宋"/>
        </w:rPr>
        <w:fldChar w:fldCharType="end"/>
      </w:r>
    </w:p>
    <w:p w14:paraId="2D71BFB0">
      <w:pPr>
        <w:pStyle w:val="26"/>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14:paraId="6A7FB2AB">
      <w:pPr>
        <w:spacing w:line="360" w:lineRule="auto"/>
        <w:rPr>
          <w:rFonts w:eastAsia="仿宋"/>
        </w:rPr>
      </w:pPr>
    </w:p>
    <w:p w14:paraId="4B688E25">
      <w:pPr>
        <w:pStyle w:val="27"/>
      </w:pPr>
      <w:bookmarkStart w:id="0" w:name="_Toc216582805"/>
      <w:bookmarkEnd w:id="0"/>
      <w:bookmarkStart w:id="1" w:name="_Toc9485"/>
      <w:bookmarkEnd w:id="1"/>
      <w:bookmarkStart w:id="2" w:name="_Toc518923060"/>
      <w:bookmarkEnd w:id="2"/>
      <w:bookmarkStart w:id="3" w:name="_Toc520356143"/>
      <w:bookmarkEnd w:id="3"/>
      <w:bookmarkStart w:id="4" w:name="_Toc31997"/>
      <w:bookmarkEnd w:id="4"/>
      <w:bookmarkStart w:id="5" w:name="_Toc29666"/>
      <w:bookmarkEnd w:id="5"/>
      <w:bookmarkStart w:id="6" w:name="_Toc22313"/>
      <w:bookmarkEnd w:id="6"/>
      <w:r>
        <w:t>一</w:t>
      </w:r>
      <w:r>
        <w:rPr>
          <w:rFonts w:hint="eastAsia"/>
          <w:lang w:eastAsia="zh-CN"/>
        </w:rPr>
        <w:t>、</w:t>
      </w:r>
      <w:r>
        <w:t>总则</w:t>
      </w:r>
    </w:p>
    <w:p w14:paraId="4045A0AB">
      <w:pPr>
        <w:pStyle w:val="32"/>
        <w:spacing w:line="360" w:lineRule="auto"/>
        <w:rPr>
          <w:rFonts w:ascii="Times New Roman" w:eastAsia="仿宋"/>
        </w:rPr>
      </w:pPr>
    </w:p>
    <w:p w14:paraId="05EBE1D1">
      <w:pPr>
        <w:pStyle w:val="28"/>
        <w:spacing w:before="0" w:after="0" w:line="360" w:lineRule="auto"/>
        <w:rPr>
          <w:rFonts w:ascii="Times New Roman" w:eastAsia="仿宋"/>
          <w:u w:val="none"/>
        </w:rPr>
      </w:pPr>
      <w:bookmarkStart w:id="7" w:name="_Toc12013"/>
      <w:bookmarkEnd w:id="7"/>
      <w:bookmarkStart w:id="8" w:name="_Toc1500"/>
      <w:bookmarkEnd w:id="8"/>
      <w:bookmarkStart w:id="9" w:name="_Toc1000"/>
      <w:bookmarkEnd w:id="9"/>
      <w:bookmarkStart w:id="10" w:name="_Toc10238"/>
      <w:bookmarkEnd w:id="10"/>
      <w:bookmarkStart w:id="11" w:name="_Toc520356144"/>
      <w:bookmarkEnd w:id="11"/>
      <w:bookmarkStart w:id="12" w:name="_Toc518923061"/>
      <w:bookmarkEnd w:id="12"/>
      <w:r>
        <w:rPr>
          <w:rFonts w:ascii="Times New Roman" w:eastAsia="仿宋"/>
          <w:u w:val="none"/>
        </w:rPr>
        <w:t>1.采购人、采购代理机构及投标人</w:t>
      </w:r>
    </w:p>
    <w:p w14:paraId="5CD1C71D">
      <w:pPr>
        <w:numPr>
          <w:ilvl w:val="1"/>
          <w:numId w:val="4"/>
        </w:numPr>
        <w:tabs>
          <w:tab w:val="clear" w:pos="900"/>
        </w:tabs>
        <w:spacing w:line="360" w:lineRule="auto"/>
        <w:ind w:hanging="898"/>
        <w:rPr>
          <w:rFonts w:eastAsia="仿宋"/>
          <w:sz w:val="24"/>
        </w:rPr>
      </w:pPr>
      <w:r>
        <w:rPr>
          <w:rFonts w:eastAsia="仿宋"/>
          <w:sz w:val="24"/>
        </w:rPr>
        <w:t>采购人：是指依法开展政府采购活动的国家机关、事业单位、团体组织。</w:t>
      </w:r>
    </w:p>
    <w:p w14:paraId="7379B86C">
      <w:pPr>
        <w:tabs>
          <w:tab w:val="left" w:pos="0"/>
        </w:tabs>
        <w:spacing w:line="360" w:lineRule="auto"/>
        <w:ind w:left="900"/>
        <w:rPr>
          <w:rFonts w:eastAsia="仿宋"/>
          <w:sz w:val="24"/>
        </w:rPr>
      </w:pPr>
      <w:r>
        <w:rPr>
          <w:rFonts w:eastAsia="仿宋"/>
          <w:sz w:val="24"/>
        </w:rPr>
        <w:t>本项目的采购人见</w:t>
      </w:r>
      <w:r>
        <w:rPr>
          <w:rFonts w:eastAsia="仿宋"/>
          <w:b/>
          <w:bCs/>
          <w:sz w:val="24"/>
          <w:u w:val="single"/>
        </w:rPr>
        <w:t>投标人须知资料表</w:t>
      </w:r>
      <w:r>
        <w:rPr>
          <w:rFonts w:eastAsia="仿宋"/>
          <w:sz w:val="24"/>
        </w:rPr>
        <w:t>。</w:t>
      </w:r>
    </w:p>
    <w:p w14:paraId="451D8F65">
      <w:pPr>
        <w:numPr>
          <w:ilvl w:val="1"/>
          <w:numId w:val="4"/>
        </w:numPr>
        <w:tabs>
          <w:tab w:val="clear" w:pos="900"/>
        </w:tabs>
        <w:spacing w:line="360" w:lineRule="auto"/>
        <w:ind w:hanging="898"/>
        <w:rPr>
          <w:rFonts w:eastAsia="仿宋"/>
          <w:sz w:val="24"/>
        </w:rPr>
      </w:pP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14:paraId="37D3C164">
      <w:pPr>
        <w:numPr>
          <w:ilvl w:val="1"/>
          <w:numId w:val="4"/>
        </w:numPr>
        <w:tabs>
          <w:tab w:val="clear" w:pos="900"/>
        </w:tabs>
        <w:spacing w:line="360" w:lineRule="auto"/>
        <w:ind w:hangingChars="375"/>
        <w:rPr>
          <w:rFonts w:eastAsia="仿宋"/>
          <w:sz w:val="24"/>
        </w:rPr>
      </w:pPr>
      <w:r>
        <w:rPr>
          <w:rFonts w:eastAsia="仿宋"/>
          <w:sz w:val="24"/>
        </w:rPr>
        <w:t>投标人：是指向采购人提供货物、工程或者服务的法人、非法人组织或者自然人。本项目的投标人须满足以下条件：</w:t>
      </w:r>
    </w:p>
    <w:p w14:paraId="7BCB137D">
      <w:pPr>
        <w:spacing w:line="360" w:lineRule="auto"/>
        <w:ind w:left="850" w:hanging="849" w:hangingChars="354"/>
        <w:rPr>
          <w:rFonts w:eastAsia="仿宋"/>
          <w:sz w:val="24"/>
        </w:rPr>
      </w:pPr>
      <w:r>
        <w:rPr>
          <w:rFonts w:eastAsia="仿宋"/>
          <w:sz w:val="24"/>
        </w:rPr>
        <w:t>1.3.1</w:t>
      </w:r>
      <w:r>
        <w:rPr>
          <w:rFonts w:eastAsia="仿宋"/>
          <w:sz w:val="24"/>
        </w:rPr>
        <w:tab/>
      </w:r>
      <w:r>
        <w:rPr>
          <w:rFonts w:eastAsia="仿宋"/>
          <w:sz w:val="24"/>
        </w:rPr>
        <w:t>在中华人民共和国境内注册，能够独立承担民事责任，有生产或供应能力的本国供应商。</w:t>
      </w:r>
    </w:p>
    <w:p w14:paraId="6376C2BB">
      <w:pPr>
        <w:spacing w:line="360" w:lineRule="auto"/>
        <w:ind w:left="900" w:hanging="900" w:hangingChars="375"/>
        <w:rPr>
          <w:rFonts w:eastAsia="仿宋"/>
          <w:sz w:val="24"/>
        </w:rPr>
      </w:pPr>
      <w:r>
        <w:rPr>
          <w:rFonts w:eastAsia="仿宋"/>
          <w:sz w:val="24"/>
        </w:rPr>
        <w:t>1.3.2  具备《中华人民共和国政府采购法》第二十二条关于供应商条件的规定，遵守本项目采购人本级和上级财政部门政府采购的有关规定。</w:t>
      </w:r>
    </w:p>
    <w:p w14:paraId="5C0D509C">
      <w:pPr>
        <w:spacing w:line="360" w:lineRule="auto"/>
        <w:ind w:left="900" w:hanging="900" w:hangingChars="375"/>
        <w:rPr>
          <w:rFonts w:eastAsia="仿宋"/>
          <w:sz w:val="24"/>
        </w:rPr>
      </w:pPr>
      <w:r>
        <w:rPr>
          <w:rFonts w:eastAsia="仿宋"/>
          <w:sz w:val="24"/>
        </w:rPr>
        <w:t>1.3.3   以采购代理机构认可的方式获得了本项目的招标文件。</w:t>
      </w:r>
    </w:p>
    <w:p w14:paraId="22397F78">
      <w:pPr>
        <w:spacing w:line="360" w:lineRule="auto"/>
        <w:ind w:left="900" w:hanging="900" w:hangingChars="375"/>
        <w:rPr>
          <w:rFonts w:eastAsia="仿宋"/>
          <w:sz w:val="24"/>
        </w:rPr>
      </w:pPr>
      <w:r>
        <w:rPr>
          <w:rFonts w:eastAsia="仿宋"/>
          <w:sz w:val="24"/>
        </w:rPr>
        <w:t>1.3.4   符合</w:t>
      </w:r>
      <w:r>
        <w:rPr>
          <w:rFonts w:eastAsia="仿宋"/>
          <w:b/>
          <w:bCs/>
          <w:sz w:val="24"/>
          <w:u w:val="single"/>
        </w:rPr>
        <w:t>投标人须知资料表</w:t>
      </w:r>
      <w:r>
        <w:rPr>
          <w:rFonts w:eastAsia="仿宋"/>
          <w:sz w:val="24"/>
        </w:rPr>
        <w:t>中规定的其他要求。</w:t>
      </w:r>
    </w:p>
    <w:p w14:paraId="582306B0">
      <w:pPr>
        <w:spacing w:line="360" w:lineRule="auto"/>
        <w:ind w:left="900" w:hanging="900" w:hangingChars="375"/>
        <w:rPr>
          <w:rFonts w:eastAsia="仿宋"/>
          <w:sz w:val="24"/>
        </w:rPr>
      </w:pPr>
      <w:r>
        <w:rPr>
          <w:rFonts w:eastAsia="仿宋"/>
          <w:sz w:val="24"/>
        </w:rPr>
        <w:t>1.3.5   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14:paraId="7CCBB0B8">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14:paraId="5A5786D3">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14:paraId="2622C3FF">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14:paraId="7A11DD48">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14:paraId="1E7238E6">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14:paraId="40BFA211">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14:paraId="5E3D5324">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14:paraId="505F546C">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14:paraId="47647D62">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14:paraId="3CD902CE">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14:paraId="686A9D95">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14:paraId="349C5820">
      <w:pPr>
        <w:spacing w:line="360" w:lineRule="auto"/>
        <w:ind w:left="900" w:hanging="900" w:hangingChars="375"/>
        <w:rPr>
          <w:rFonts w:eastAsia="仿宋"/>
          <w:sz w:val="24"/>
        </w:rPr>
      </w:pPr>
      <w:r>
        <w:rPr>
          <w:rFonts w:eastAsia="仿宋"/>
          <w:sz w:val="24"/>
        </w:rPr>
        <w:t>1.7</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14:paraId="2FE16EA6">
      <w:pPr>
        <w:pStyle w:val="28"/>
        <w:spacing w:before="0" w:after="0" w:line="360" w:lineRule="auto"/>
        <w:rPr>
          <w:rFonts w:ascii="Times New Roman" w:eastAsia="仿宋"/>
          <w:u w:val="none"/>
        </w:rPr>
      </w:pPr>
      <w:bookmarkStart w:id="13" w:name="_Toc2643"/>
      <w:bookmarkEnd w:id="13"/>
      <w:bookmarkStart w:id="14" w:name="_Toc17198"/>
      <w:bookmarkEnd w:id="14"/>
      <w:bookmarkStart w:id="15" w:name="_Toc1409"/>
      <w:bookmarkEnd w:id="15"/>
      <w:bookmarkStart w:id="16" w:name="_Toc518923062"/>
      <w:bookmarkEnd w:id="16"/>
      <w:bookmarkStart w:id="17" w:name="_Toc17203"/>
      <w:bookmarkEnd w:id="17"/>
      <w:r>
        <w:rPr>
          <w:rFonts w:ascii="Times New Roman" w:eastAsia="仿宋"/>
          <w:u w:val="none"/>
        </w:rPr>
        <w:t>2.资金来源</w:t>
      </w:r>
    </w:p>
    <w:p w14:paraId="3114A199">
      <w:pPr>
        <w:spacing w:line="360" w:lineRule="auto"/>
        <w:ind w:left="900" w:hanging="900" w:hangingChars="375"/>
        <w:rPr>
          <w:rFonts w:eastAsia="仿宋"/>
          <w:sz w:val="24"/>
        </w:rPr>
      </w:pPr>
      <w:r>
        <w:rPr>
          <w:rFonts w:eastAsia="仿宋"/>
          <w:sz w:val="24"/>
        </w:rPr>
        <w:t>2.1</w:t>
      </w:r>
      <w:r>
        <w:rPr>
          <w:rFonts w:eastAsia="仿宋"/>
          <w:sz w:val="24"/>
        </w:rPr>
        <w:tab/>
      </w:r>
      <w:r>
        <w:rPr>
          <w:rFonts w:eastAsia="仿宋"/>
          <w:sz w:val="24"/>
        </w:rPr>
        <w:t>本项目的采购人已获得足以支付本次招标后所签订的合同项下的资金（包括财政性资金和本项目采购中无法与财政性资金分割的非财政性资金）。</w:t>
      </w:r>
    </w:p>
    <w:p w14:paraId="152B101C">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14:paraId="1AC8BB1B">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14:paraId="1E4E4F6E">
      <w:pPr>
        <w:pStyle w:val="28"/>
        <w:spacing w:before="0" w:after="0" w:line="360" w:lineRule="auto"/>
        <w:rPr>
          <w:rFonts w:ascii="Times New Roman" w:eastAsia="仿宋"/>
          <w:u w:val="none"/>
        </w:rPr>
      </w:pPr>
      <w:bookmarkStart w:id="18" w:name="_Toc520356145"/>
      <w:bookmarkEnd w:id="18"/>
      <w:bookmarkStart w:id="19" w:name="_Toc518923063"/>
      <w:bookmarkEnd w:id="19"/>
      <w:bookmarkStart w:id="20" w:name="_Toc28166"/>
      <w:bookmarkEnd w:id="20"/>
      <w:bookmarkStart w:id="21" w:name="_Toc23703"/>
      <w:bookmarkEnd w:id="21"/>
      <w:bookmarkStart w:id="22" w:name="_Toc22756"/>
      <w:bookmarkEnd w:id="22"/>
      <w:bookmarkStart w:id="23" w:name="_Toc14892"/>
      <w:bookmarkEnd w:id="23"/>
      <w:r>
        <w:rPr>
          <w:rFonts w:ascii="Times New Roman" w:eastAsia="仿宋"/>
          <w:u w:val="none"/>
        </w:rPr>
        <w:t>3.投标费用</w:t>
      </w:r>
    </w:p>
    <w:p w14:paraId="408D6230">
      <w:pPr>
        <w:spacing w:line="360" w:lineRule="auto"/>
        <w:ind w:left="900" w:hanging="900" w:hangingChars="375"/>
        <w:rPr>
          <w:rFonts w:eastAsia="仿宋"/>
          <w:sz w:val="24"/>
        </w:rPr>
      </w:pPr>
      <w:r>
        <w:rPr>
          <w:rFonts w:eastAsia="仿宋"/>
          <w:sz w:val="24"/>
        </w:rPr>
        <w:tab/>
      </w:r>
      <w:r>
        <w:rPr>
          <w:rFonts w:eastAsia="仿宋"/>
          <w:sz w:val="24"/>
        </w:rPr>
        <w:t>不论投标的结果如何，投标人应承担所有与准备和参加投标有关的费用。</w:t>
      </w:r>
      <w:r>
        <w:rPr>
          <w:rFonts w:eastAsia="仿宋"/>
          <w:b/>
          <w:bCs/>
          <w:color w:val="000000"/>
          <w:sz w:val="24"/>
          <w:u w:val="single"/>
        </w:rPr>
        <w:t>本项目不收取招标代理费</w:t>
      </w:r>
      <w:r>
        <w:rPr>
          <w:rFonts w:eastAsia="仿宋"/>
          <w:b/>
          <w:bCs/>
          <w:color w:val="000000"/>
          <w:sz w:val="24"/>
        </w:rPr>
        <w:t>。</w:t>
      </w:r>
    </w:p>
    <w:p w14:paraId="3577DF17">
      <w:pPr>
        <w:pStyle w:val="28"/>
        <w:spacing w:before="0" w:after="0" w:line="360" w:lineRule="auto"/>
        <w:rPr>
          <w:rFonts w:ascii="Times New Roman" w:eastAsia="仿宋"/>
          <w:u w:val="none"/>
        </w:rPr>
      </w:pPr>
      <w:bookmarkStart w:id="24" w:name="_Toc26306"/>
      <w:bookmarkEnd w:id="24"/>
      <w:bookmarkStart w:id="25" w:name="_Toc9960"/>
      <w:bookmarkEnd w:id="25"/>
      <w:bookmarkStart w:id="26" w:name="_Toc518923064"/>
      <w:bookmarkEnd w:id="26"/>
      <w:bookmarkStart w:id="27" w:name="_Toc30739"/>
      <w:bookmarkEnd w:id="27"/>
      <w:bookmarkStart w:id="28" w:name="_Toc32365"/>
      <w:bookmarkEnd w:id="28"/>
      <w:r>
        <w:rPr>
          <w:rFonts w:ascii="Times New Roman" w:eastAsia="仿宋"/>
          <w:u w:val="none"/>
        </w:rPr>
        <w:t>4.适用法律</w:t>
      </w:r>
    </w:p>
    <w:p w14:paraId="33E1230B">
      <w:pPr>
        <w:spacing w:line="360" w:lineRule="auto"/>
        <w:ind w:left="900" w:hanging="900" w:hangingChars="37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7E055ABB">
      <w:pPr>
        <w:spacing w:line="360" w:lineRule="auto"/>
        <w:rPr>
          <w:rFonts w:eastAsia="仿宋"/>
          <w:sz w:val="24"/>
        </w:rPr>
      </w:pPr>
    </w:p>
    <w:p w14:paraId="5CD4F714">
      <w:pPr>
        <w:pStyle w:val="27"/>
        <w:spacing w:before="0" w:line="360" w:lineRule="auto"/>
        <w:ind w:left="1080" w:leftChars="257" w:hanging="540"/>
        <w:rPr>
          <w:rFonts w:eastAsia="仿宋"/>
          <w:sz w:val="28"/>
        </w:rPr>
      </w:pPr>
      <w:bookmarkStart w:id="29" w:name="_Toc30516"/>
      <w:bookmarkEnd w:id="29"/>
      <w:bookmarkStart w:id="30" w:name="_Toc520356146"/>
      <w:bookmarkEnd w:id="30"/>
      <w:bookmarkStart w:id="31" w:name="_Toc28586"/>
      <w:bookmarkEnd w:id="31"/>
      <w:bookmarkStart w:id="32" w:name="_Toc216582806"/>
      <w:bookmarkEnd w:id="32"/>
      <w:bookmarkStart w:id="33" w:name="_Toc809"/>
      <w:bookmarkEnd w:id="33"/>
      <w:bookmarkStart w:id="34" w:name="_Toc4348"/>
      <w:bookmarkEnd w:id="34"/>
      <w:bookmarkStart w:id="35" w:name="_Toc518923065"/>
      <w:bookmarkEnd w:id="35"/>
      <w:r>
        <w:rPr>
          <w:rFonts w:eastAsia="仿宋"/>
          <w:sz w:val="28"/>
        </w:rPr>
        <w:t>二</w:t>
      </w:r>
      <w:r>
        <w:rPr>
          <w:rFonts w:hint="eastAsia" w:eastAsia="仿宋"/>
          <w:sz w:val="28"/>
          <w:lang w:eastAsia="zh-CN"/>
        </w:rPr>
        <w:t>、</w:t>
      </w:r>
      <w:r>
        <w:rPr>
          <w:rFonts w:eastAsia="仿宋"/>
          <w:sz w:val="28"/>
        </w:rPr>
        <w:t>招标文件</w:t>
      </w:r>
    </w:p>
    <w:p w14:paraId="7AFA5594">
      <w:pPr>
        <w:pStyle w:val="32"/>
        <w:spacing w:line="360" w:lineRule="auto"/>
        <w:rPr>
          <w:rFonts w:ascii="Times New Roman" w:eastAsia="仿宋"/>
        </w:rPr>
      </w:pPr>
    </w:p>
    <w:p w14:paraId="0F9132E7">
      <w:pPr>
        <w:pStyle w:val="28"/>
        <w:spacing w:before="0" w:after="0" w:line="360" w:lineRule="auto"/>
        <w:rPr>
          <w:rFonts w:ascii="Times New Roman" w:eastAsia="仿宋"/>
          <w:u w:val="none"/>
        </w:rPr>
      </w:pPr>
      <w:bookmarkStart w:id="36" w:name="_Toc518923066"/>
      <w:bookmarkEnd w:id="36"/>
      <w:bookmarkStart w:id="37" w:name="_Toc520356147"/>
      <w:bookmarkEnd w:id="37"/>
      <w:bookmarkStart w:id="38" w:name="_Toc6894"/>
      <w:bookmarkEnd w:id="38"/>
      <w:bookmarkStart w:id="39" w:name="_Toc22990"/>
      <w:bookmarkEnd w:id="39"/>
      <w:bookmarkStart w:id="40" w:name="_Toc11127"/>
      <w:bookmarkEnd w:id="40"/>
      <w:bookmarkStart w:id="41" w:name="_Toc5195"/>
      <w:bookmarkEnd w:id="41"/>
      <w:r>
        <w:rPr>
          <w:rFonts w:ascii="Times New Roman" w:eastAsia="仿宋"/>
          <w:u w:val="none"/>
        </w:rPr>
        <w:t>5.招标文件构成</w:t>
      </w:r>
    </w:p>
    <w:p w14:paraId="6692010E">
      <w:pPr>
        <w:spacing w:line="360" w:lineRule="auto"/>
        <w:ind w:left="900" w:hanging="900" w:hangingChars="375"/>
        <w:rPr>
          <w:rFonts w:eastAsia="仿宋"/>
          <w:sz w:val="24"/>
        </w:rPr>
      </w:pPr>
      <w:r>
        <w:rPr>
          <w:rFonts w:eastAsia="仿宋"/>
          <w:sz w:val="24"/>
        </w:rPr>
        <w:t>5.1</w:t>
      </w:r>
      <w:r>
        <w:rPr>
          <w:rFonts w:eastAsia="仿宋"/>
          <w:sz w:val="24"/>
        </w:rPr>
        <w:tab/>
      </w:r>
      <w:r>
        <w:rPr>
          <w:rFonts w:eastAsia="仿宋"/>
          <w:sz w:val="24"/>
        </w:rPr>
        <w:t>招标文件分为三册共7章，内容如下：</w:t>
      </w:r>
    </w:p>
    <w:p w14:paraId="13476D9B">
      <w:pPr>
        <w:spacing w:line="360" w:lineRule="auto"/>
        <w:ind w:left="1079" w:leftChars="428" w:hanging="180" w:hangingChars="75"/>
        <w:rPr>
          <w:rFonts w:eastAsia="仿宋"/>
          <w:sz w:val="24"/>
        </w:rPr>
      </w:pPr>
      <w:r>
        <w:rPr>
          <w:rFonts w:eastAsia="仿宋"/>
          <w:sz w:val="24"/>
        </w:rPr>
        <w:t>第一册</w:t>
      </w:r>
    </w:p>
    <w:p w14:paraId="2C11E02E">
      <w:pPr>
        <w:spacing w:line="360" w:lineRule="auto"/>
        <w:ind w:left="1079" w:leftChars="428" w:hanging="180" w:hangingChars="75"/>
        <w:rPr>
          <w:rFonts w:eastAsia="仿宋"/>
          <w:sz w:val="24"/>
        </w:rPr>
      </w:pPr>
      <w:r>
        <w:rPr>
          <w:rFonts w:eastAsia="仿宋"/>
          <w:sz w:val="24"/>
        </w:rPr>
        <w:t>第1章</w:t>
      </w:r>
      <w:r>
        <w:rPr>
          <w:rFonts w:hint="eastAsia" w:eastAsia="仿宋"/>
          <w:sz w:val="24"/>
          <w:lang w:val="en-US" w:eastAsia="zh-CN"/>
        </w:rPr>
        <w:t xml:space="preserve">  </w:t>
      </w:r>
      <w:r>
        <w:rPr>
          <w:rFonts w:eastAsia="仿宋"/>
          <w:sz w:val="24"/>
        </w:rPr>
        <w:t>投标人须知</w:t>
      </w:r>
    </w:p>
    <w:p w14:paraId="1FE8FD7A">
      <w:pPr>
        <w:spacing w:line="360" w:lineRule="auto"/>
        <w:ind w:left="901"/>
        <w:rPr>
          <w:rFonts w:eastAsia="仿宋"/>
          <w:sz w:val="24"/>
        </w:rPr>
      </w:pPr>
      <w:r>
        <w:rPr>
          <w:rFonts w:eastAsia="仿宋"/>
          <w:sz w:val="24"/>
        </w:rPr>
        <w:t>第2章</w:t>
      </w:r>
      <w:r>
        <w:rPr>
          <w:rFonts w:hint="eastAsia" w:eastAsia="仿宋"/>
          <w:sz w:val="24"/>
          <w:lang w:val="en-US" w:eastAsia="zh-CN"/>
        </w:rPr>
        <w:t xml:space="preserve">  </w:t>
      </w:r>
      <w:r>
        <w:rPr>
          <w:rFonts w:eastAsia="仿宋"/>
          <w:sz w:val="24"/>
        </w:rPr>
        <w:t>投标文件格式</w:t>
      </w:r>
    </w:p>
    <w:p w14:paraId="56D7EDF2">
      <w:pPr>
        <w:spacing w:line="360" w:lineRule="auto"/>
        <w:ind w:left="1081" w:leftChars="429" w:hanging="180"/>
        <w:rPr>
          <w:rFonts w:eastAsia="仿宋"/>
          <w:sz w:val="24"/>
        </w:rPr>
      </w:pPr>
      <w:r>
        <w:rPr>
          <w:rFonts w:eastAsia="仿宋"/>
          <w:sz w:val="24"/>
        </w:rPr>
        <w:t>第二册</w:t>
      </w:r>
    </w:p>
    <w:p w14:paraId="5C5C44F2">
      <w:pPr>
        <w:spacing w:line="360" w:lineRule="auto"/>
        <w:ind w:left="901" w:leftChars="429"/>
        <w:rPr>
          <w:rFonts w:eastAsia="仿宋"/>
          <w:sz w:val="24"/>
        </w:rPr>
      </w:pPr>
      <w:r>
        <w:rPr>
          <w:rFonts w:eastAsia="仿宋"/>
          <w:sz w:val="24"/>
        </w:rPr>
        <w:t>第3章</w:t>
      </w:r>
      <w:r>
        <w:rPr>
          <w:rFonts w:hint="eastAsia" w:eastAsia="仿宋"/>
          <w:sz w:val="24"/>
          <w:lang w:val="en-US" w:eastAsia="zh-CN"/>
        </w:rPr>
        <w:t xml:space="preserve">  </w:t>
      </w:r>
      <w:r>
        <w:rPr>
          <w:rFonts w:eastAsia="仿宋"/>
          <w:sz w:val="24"/>
        </w:rPr>
        <w:t>投标邀请</w:t>
      </w:r>
    </w:p>
    <w:p w14:paraId="14474133">
      <w:pPr>
        <w:spacing w:line="360" w:lineRule="auto"/>
        <w:ind w:left="901" w:leftChars="429"/>
        <w:rPr>
          <w:rFonts w:eastAsia="仿宋"/>
          <w:sz w:val="24"/>
        </w:rPr>
      </w:pPr>
      <w:r>
        <w:rPr>
          <w:rFonts w:eastAsia="仿宋"/>
          <w:sz w:val="24"/>
        </w:rPr>
        <w:t>第4章</w:t>
      </w:r>
      <w:r>
        <w:rPr>
          <w:rFonts w:hint="eastAsia" w:eastAsia="仿宋"/>
          <w:sz w:val="24"/>
          <w:lang w:val="en-US" w:eastAsia="zh-CN"/>
        </w:rPr>
        <w:t xml:space="preserve">  </w:t>
      </w:r>
      <w:r>
        <w:rPr>
          <w:rFonts w:eastAsia="仿宋"/>
          <w:sz w:val="24"/>
        </w:rPr>
        <w:t>投标人须知资料表</w:t>
      </w:r>
    </w:p>
    <w:p w14:paraId="38FAA46F">
      <w:pPr>
        <w:spacing w:line="360" w:lineRule="auto"/>
        <w:ind w:left="901" w:leftChars="429"/>
        <w:rPr>
          <w:rFonts w:eastAsia="仿宋"/>
          <w:sz w:val="24"/>
        </w:rPr>
      </w:pPr>
      <w:r>
        <w:rPr>
          <w:rFonts w:eastAsia="仿宋"/>
          <w:sz w:val="24"/>
        </w:rPr>
        <w:t>第5章</w:t>
      </w:r>
      <w:r>
        <w:rPr>
          <w:rFonts w:hint="eastAsia" w:eastAsia="仿宋"/>
          <w:sz w:val="24"/>
          <w:lang w:val="en-US" w:eastAsia="zh-CN"/>
        </w:rPr>
        <w:t xml:space="preserve">  </w:t>
      </w:r>
      <w:r>
        <w:rPr>
          <w:rFonts w:eastAsia="仿宋"/>
          <w:sz w:val="24"/>
        </w:rPr>
        <w:t>项目服务及建设需求</w:t>
      </w:r>
    </w:p>
    <w:p w14:paraId="466FE2B8">
      <w:pPr>
        <w:spacing w:line="360" w:lineRule="auto"/>
        <w:ind w:firstLine="960" w:firstLineChars="400"/>
        <w:rPr>
          <w:rFonts w:eastAsia="仿宋"/>
          <w:sz w:val="24"/>
        </w:rPr>
      </w:pPr>
      <w:r>
        <w:rPr>
          <w:rFonts w:eastAsia="仿宋"/>
          <w:sz w:val="24"/>
        </w:rPr>
        <w:t>第6章</w:t>
      </w:r>
      <w:r>
        <w:rPr>
          <w:rFonts w:hint="eastAsia" w:eastAsia="仿宋"/>
          <w:sz w:val="24"/>
          <w:lang w:val="en-US" w:eastAsia="zh-CN"/>
        </w:rPr>
        <w:t xml:space="preserve">  </w:t>
      </w:r>
      <w:r>
        <w:rPr>
          <w:rFonts w:eastAsia="仿宋"/>
          <w:sz w:val="24"/>
        </w:rPr>
        <w:t>评标方法和标准</w:t>
      </w:r>
    </w:p>
    <w:p w14:paraId="09B650F2">
      <w:pPr>
        <w:spacing w:line="360" w:lineRule="auto"/>
        <w:ind w:left="901"/>
        <w:rPr>
          <w:rFonts w:eastAsia="仿宋"/>
          <w:sz w:val="24"/>
        </w:rPr>
      </w:pPr>
      <w:r>
        <w:rPr>
          <w:rFonts w:eastAsia="仿宋"/>
          <w:sz w:val="24"/>
        </w:rPr>
        <w:t>第三册</w:t>
      </w:r>
    </w:p>
    <w:p w14:paraId="6F0DBA8C">
      <w:pPr>
        <w:spacing w:line="360" w:lineRule="auto"/>
        <w:ind w:firstLine="960" w:firstLineChars="400"/>
        <w:rPr>
          <w:rFonts w:eastAsia="仿宋"/>
          <w:sz w:val="24"/>
        </w:rPr>
      </w:pPr>
      <w:r>
        <w:rPr>
          <w:rFonts w:eastAsia="仿宋"/>
          <w:sz w:val="24"/>
        </w:rPr>
        <w:t>第7章</w:t>
      </w:r>
      <w:r>
        <w:rPr>
          <w:rFonts w:hint="eastAsia" w:eastAsia="仿宋"/>
          <w:sz w:val="24"/>
          <w:lang w:val="en-US" w:eastAsia="zh-CN"/>
        </w:rPr>
        <w:t xml:space="preserve">  </w:t>
      </w:r>
      <w:r>
        <w:rPr>
          <w:rFonts w:eastAsia="仿宋"/>
          <w:sz w:val="24"/>
        </w:rPr>
        <w:t>政府采购合同格式</w:t>
      </w:r>
    </w:p>
    <w:p w14:paraId="3603F557">
      <w:pPr>
        <w:spacing w:line="360" w:lineRule="auto"/>
        <w:ind w:left="900" w:hanging="900" w:hangingChars="375"/>
        <w:rPr>
          <w:rFonts w:eastAsia="仿宋"/>
          <w:sz w:val="24"/>
        </w:rPr>
      </w:pPr>
      <w:r>
        <w:rPr>
          <w:rFonts w:eastAsia="仿宋"/>
          <w:sz w:val="24"/>
        </w:rPr>
        <w:t>5.2</w:t>
      </w:r>
      <w:r>
        <w:rPr>
          <w:rFonts w:eastAsia="仿宋"/>
          <w:sz w:val="24"/>
        </w:rPr>
        <w:tab/>
      </w:r>
      <w:r>
        <w:rPr>
          <w:rFonts w:eastAsia="仿宋"/>
          <w:sz w:val="24"/>
        </w:rPr>
        <w:t>如本文件的前后内容不一致，以最后描述为准。</w:t>
      </w:r>
    </w:p>
    <w:p w14:paraId="278218CB">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14:paraId="1652FE85">
      <w:pPr>
        <w:pStyle w:val="28"/>
        <w:spacing w:before="0" w:after="0" w:line="360" w:lineRule="auto"/>
        <w:rPr>
          <w:rFonts w:ascii="Times New Roman" w:eastAsia="仿宋"/>
          <w:u w:val="none"/>
        </w:rPr>
      </w:pPr>
      <w:bookmarkStart w:id="42" w:name="_Toc520356148"/>
      <w:bookmarkEnd w:id="42"/>
      <w:bookmarkStart w:id="43" w:name="_Toc518923067"/>
      <w:bookmarkEnd w:id="43"/>
      <w:bookmarkStart w:id="44" w:name="_Toc3735"/>
      <w:bookmarkEnd w:id="44"/>
      <w:bookmarkStart w:id="45" w:name="_Toc21314"/>
      <w:bookmarkEnd w:id="45"/>
      <w:bookmarkStart w:id="46" w:name="_Toc21110"/>
      <w:bookmarkEnd w:id="46"/>
      <w:bookmarkStart w:id="47" w:name="_Toc25261"/>
      <w:bookmarkEnd w:id="47"/>
      <w:r>
        <w:rPr>
          <w:rFonts w:ascii="Times New Roman" w:eastAsia="仿宋"/>
          <w:u w:val="none"/>
        </w:rPr>
        <w:t>6.招标文件的澄清与修改</w:t>
      </w:r>
    </w:p>
    <w:p w14:paraId="1C7F8157">
      <w:pPr>
        <w:pStyle w:val="32"/>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14:paraId="0AE24301">
      <w:pPr>
        <w:pStyle w:val="32"/>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14:paraId="2882AF7E">
      <w:pPr>
        <w:pStyle w:val="32"/>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14:paraId="1EE5430F">
      <w:pPr>
        <w:pStyle w:val="28"/>
        <w:tabs>
          <w:tab w:val="left" w:pos="900"/>
        </w:tabs>
        <w:spacing w:before="0" w:after="0" w:line="360" w:lineRule="auto"/>
        <w:rPr>
          <w:rFonts w:ascii="Times New Roman" w:eastAsia="仿宋"/>
          <w:u w:val="none"/>
        </w:rPr>
      </w:pPr>
      <w:bookmarkStart w:id="48" w:name="_Toc518923068"/>
      <w:bookmarkEnd w:id="48"/>
      <w:bookmarkStart w:id="49" w:name="_Toc25111"/>
      <w:bookmarkEnd w:id="49"/>
      <w:bookmarkStart w:id="50" w:name="_Toc17979"/>
      <w:bookmarkEnd w:id="50"/>
      <w:bookmarkStart w:id="51" w:name="_Toc10994"/>
      <w:bookmarkEnd w:id="51"/>
      <w:bookmarkStart w:id="52" w:name="_Toc13430"/>
      <w:bookmarkEnd w:id="52"/>
      <w:r>
        <w:rPr>
          <w:rFonts w:ascii="Times New Roman" w:eastAsia="仿宋"/>
          <w:u w:val="none"/>
        </w:rPr>
        <w:t>7.投标截止时间的顺延</w:t>
      </w:r>
    </w:p>
    <w:p w14:paraId="6CFE1CF0">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14:paraId="160E5A5B">
      <w:pPr>
        <w:spacing w:line="360" w:lineRule="auto"/>
        <w:ind w:left="900" w:hanging="900" w:hangingChars="375"/>
        <w:rPr>
          <w:rFonts w:eastAsia="仿宋"/>
          <w:sz w:val="24"/>
        </w:rPr>
      </w:pPr>
    </w:p>
    <w:p w14:paraId="25BA7105">
      <w:pPr>
        <w:pStyle w:val="27"/>
        <w:tabs>
          <w:tab w:val="left" w:pos="900"/>
        </w:tabs>
        <w:spacing w:before="0" w:line="360" w:lineRule="auto"/>
        <w:ind w:left="1080" w:leftChars="257" w:hanging="540"/>
        <w:rPr>
          <w:rFonts w:eastAsia="仿宋"/>
          <w:sz w:val="28"/>
        </w:rPr>
      </w:pPr>
      <w:bookmarkStart w:id="53" w:name="_Toc25389"/>
      <w:bookmarkEnd w:id="53"/>
      <w:bookmarkStart w:id="54" w:name="_Toc520356150"/>
      <w:bookmarkEnd w:id="54"/>
      <w:bookmarkStart w:id="55" w:name="_Toc216582807"/>
      <w:bookmarkEnd w:id="55"/>
      <w:bookmarkStart w:id="56" w:name="_Toc518923069"/>
      <w:bookmarkEnd w:id="56"/>
      <w:bookmarkStart w:id="57" w:name="_Toc516367020"/>
      <w:bookmarkEnd w:id="57"/>
      <w:bookmarkStart w:id="58" w:name="_Toc10749"/>
      <w:bookmarkEnd w:id="58"/>
      <w:bookmarkStart w:id="59" w:name="_Toc12398"/>
      <w:bookmarkEnd w:id="59"/>
      <w:bookmarkStart w:id="60" w:name="_Toc24640"/>
      <w:bookmarkEnd w:id="60"/>
      <w:r>
        <w:rPr>
          <w:rFonts w:eastAsia="仿宋"/>
          <w:sz w:val="28"/>
        </w:rPr>
        <w:t>三</w:t>
      </w:r>
      <w:r>
        <w:rPr>
          <w:rFonts w:hint="eastAsia" w:eastAsia="仿宋"/>
          <w:sz w:val="28"/>
          <w:lang w:eastAsia="zh-CN"/>
        </w:rPr>
        <w:t>、</w:t>
      </w:r>
      <w:r>
        <w:rPr>
          <w:rFonts w:eastAsia="仿宋"/>
          <w:sz w:val="28"/>
        </w:rPr>
        <w:t>投标文件的编制</w:t>
      </w:r>
    </w:p>
    <w:p w14:paraId="2B99E259">
      <w:pPr>
        <w:pStyle w:val="32"/>
        <w:spacing w:line="360" w:lineRule="auto"/>
        <w:rPr>
          <w:rFonts w:ascii="Times New Roman" w:eastAsia="仿宋"/>
        </w:rPr>
      </w:pPr>
    </w:p>
    <w:p w14:paraId="485B959F">
      <w:pPr>
        <w:pStyle w:val="28"/>
        <w:tabs>
          <w:tab w:val="left" w:pos="900"/>
        </w:tabs>
        <w:spacing w:before="0" w:after="0" w:line="360" w:lineRule="auto"/>
        <w:rPr>
          <w:rFonts w:ascii="Times New Roman" w:eastAsia="仿宋"/>
          <w:u w:val="none"/>
        </w:rPr>
      </w:pPr>
      <w:bookmarkStart w:id="61" w:name="_Toc25074"/>
      <w:bookmarkEnd w:id="61"/>
      <w:bookmarkStart w:id="62" w:name="_Toc24990"/>
      <w:bookmarkEnd w:id="62"/>
      <w:bookmarkStart w:id="63" w:name="_Toc520356151"/>
      <w:bookmarkEnd w:id="63"/>
      <w:bookmarkStart w:id="64" w:name="_Toc12703"/>
      <w:bookmarkEnd w:id="64"/>
      <w:bookmarkStart w:id="65" w:name="_Toc6728"/>
      <w:bookmarkEnd w:id="65"/>
      <w:bookmarkStart w:id="66" w:name="_Toc518923070"/>
      <w:bookmarkEnd w:id="66"/>
      <w:bookmarkStart w:id="67" w:name="_Toc516367021"/>
      <w:bookmarkEnd w:id="67"/>
      <w:r>
        <w:rPr>
          <w:rFonts w:ascii="Times New Roman" w:eastAsia="仿宋"/>
          <w:u w:val="none"/>
        </w:rPr>
        <w:t>8.</w:t>
      </w:r>
      <w:r>
        <w:rPr>
          <w:rFonts w:ascii="Times New Roman" w:eastAsia="仿宋"/>
          <w:u w:val="none"/>
        </w:rPr>
        <w:tab/>
      </w:r>
      <w:r>
        <w:rPr>
          <w:rFonts w:ascii="Times New Roman" w:eastAsia="仿宋"/>
          <w:u w:val="none"/>
        </w:rPr>
        <w:t>投标范围及投标文件中标准和计量单位的使用</w:t>
      </w:r>
    </w:p>
    <w:p w14:paraId="442F09EA">
      <w:pPr>
        <w:spacing w:line="360" w:lineRule="auto"/>
        <w:ind w:left="900" w:hanging="900" w:hangingChars="375"/>
        <w:rPr>
          <w:rFonts w:eastAsia="仿宋"/>
          <w:sz w:val="24"/>
        </w:rPr>
      </w:pPr>
      <w:r>
        <w:rPr>
          <w:rFonts w:eastAsia="仿宋"/>
          <w:sz w:val="24"/>
        </w:rPr>
        <w:t>8.1</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14:paraId="7A36FBD6">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14:paraId="47C818FB">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14:paraId="24A1EF6B">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14:paraId="6EC0B090">
      <w:pPr>
        <w:pStyle w:val="28"/>
        <w:tabs>
          <w:tab w:val="left" w:pos="900"/>
        </w:tabs>
        <w:spacing w:before="0" w:after="0" w:line="360" w:lineRule="auto"/>
        <w:rPr>
          <w:rFonts w:ascii="Times New Roman" w:eastAsia="仿宋"/>
          <w:u w:val="none"/>
        </w:rPr>
      </w:pPr>
      <w:bookmarkStart w:id="68" w:name="_Toc15487"/>
      <w:bookmarkEnd w:id="68"/>
      <w:bookmarkStart w:id="69" w:name="_Ref467306676"/>
      <w:bookmarkEnd w:id="69"/>
      <w:bookmarkStart w:id="70" w:name="_Toc30846"/>
      <w:bookmarkEnd w:id="70"/>
      <w:bookmarkStart w:id="71" w:name="_Toc520356152"/>
      <w:bookmarkEnd w:id="71"/>
      <w:bookmarkStart w:id="72" w:name="_Ref467306195"/>
      <w:bookmarkEnd w:id="72"/>
      <w:bookmarkStart w:id="73" w:name="_Toc518923071"/>
      <w:bookmarkEnd w:id="73"/>
      <w:bookmarkStart w:id="74" w:name="_Toc516367022"/>
      <w:bookmarkEnd w:id="74"/>
      <w:bookmarkStart w:id="75" w:name="_Toc29101"/>
      <w:bookmarkEnd w:id="75"/>
      <w:bookmarkStart w:id="76" w:name="_Toc12543"/>
      <w:bookmarkEnd w:id="76"/>
      <w:r>
        <w:rPr>
          <w:rFonts w:ascii="Times New Roman" w:eastAsia="仿宋"/>
          <w:u w:val="none"/>
        </w:rPr>
        <w:t>9.投标文件构成</w:t>
      </w:r>
    </w:p>
    <w:p w14:paraId="6A430A39">
      <w:pPr>
        <w:tabs>
          <w:tab w:val="left" w:pos="900"/>
          <w:tab w:val="left" w:pos="5580"/>
        </w:tabs>
        <w:spacing w:line="360" w:lineRule="auto"/>
        <w:ind w:left="960" w:hanging="960" w:hangingChars="400"/>
        <w:jc w:val="left"/>
        <w:rPr>
          <w:rFonts w:eastAsia="仿宋"/>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r>
        <w:rPr>
          <w:rFonts w:hint="eastAsia" w:ascii="Times New Roman" w:hAnsi="Times New Roman" w:eastAsia="仿宋" w:cs="Times New Roman"/>
          <w:b/>
          <w:bCs/>
          <w:color w:val="FF0000"/>
          <w:sz w:val="24"/>
          <w:u w:val="thick"/>
          <w:lang w:eastAsia="zh-CN"/>
        </w:rPr>
        <w:t>（</w:t>
      </w:r>
      <w:r>
        <w:rPr>
          <w:rFonts w:hint="eastAsia" w:ascii="Times New Roman" w:hAnsi="Times New Roman" w:eastAsia="仿宋" w:cs="Times New Roman"/>
          <w:b/>
          <w:bCs/>
          <w:color w:val="FF0000"/>
          <w:sz w:val="24"/>
          <w:u w:val="thick"/>
          <w:lang w:val="en-US" w:eastAsia="zh-CN"/>
        </w:rPr>
        <w:t>政采云电子响应文件中商务技术响应文件必须按照“第2章  投标文件格式”两部分完整地全部上传，否则将被认定为投标无效。</w:t>
      </w:r>
      <w:r>
        <w:rPr>
          <w:rFonts w:hint="eastAsia" w:ascii="Times New Roman" w:hAnsi="Times New Roman" w:eastAsia="仿宋" w:cs="Times New Roman"/>
          <w:b/>
          <w:bCs/>
          <w:color w:val="FF0000"/>
          <w:sz w:val="24"/>
          <w:u w:val="thick"/>
          <w:lang w:eastAsia="zh-CN"/>
        </w:rPr>
        <w:t>）</w:t>
      </w:r>
    </w:p>
    <w:p w14:paraId="52D60FCE">
      <w:pPr>
        <w:spacing w:line="360" w:lineRule="auto"/>
        <w:ind w:left="900" w:hanging="900" w:hangingChars="375"/>
        <w:rPr>
          <w:rFonts w:eastAsia="仿宋"/>
          <w:b/>
          <w:bCs/>
          <w:sz w:val="24"/>
        </w:rPr>
      </w:pPr>
      <w:r>
        <w:rPr>
          <w:rFonts w:eastAsia="仿宋"/>
          <w:sz w:val="24"/>
        </w:rPr>
        <w:t xml:space="preserve">9.2  </w:t>
      </w:r>
      <w:r>
        <w:rPr>
          <w:rFonts w:hint="eastAsia" w:eastAsia="仿宋"/>
          <w:sz w:val="24"/>
          <w:lang w:val="en-US" w:eastAsia="zh-CN"/>
        </w:rPr>
        <w:t xml:space="preserve">  </w:t>
      </w:r>
      <w:r>
        <w:rPr>
          <w:rFonts w:eastAsia="仿宋"/>
          <w:sz w:val="24"/>
        </w:rPr>
        <w:t>上述文件应按照招标文件规定的格式填写、签署和盖章。若投标人未依照要求制作投标文件的，</w:t>
      </w:r>
      <w:r>
        <w:rPr>
          <w:rFonts w:hint="eastAsia" w:eastAsia="仿宋"/>
          <w:sz w:val="24"/>
          <w:lang w:val="en-US" w:eastAsia="zh-CN"/>
        </w:rPr>
        <w:t>未提供响应资料的，</w:t>
      </w:r>
      <w:r>
        <w:rPr>
          <w:rFonts w:eastAsia="仿宋"/>
          <w:sz w:val="24"/>
        </w:rPr>
        <w:t>则视为不响应招标文件编制投标文件的要求，</w:t>
      </w:r>
      <w:r>
        <w:rPr>
          <w:rFonts w:eastAsia="仿宋"/>
          <w:b/>
          <w:bCs/>
          <w:sz w:val="24"/>
        </w:rPr>
        <w:t>为无效投标。</w:t>
      </w:r>
    </w:p>
    <w:p w14:paraId="2AE3294A">
      <w:pPr>
        <w:spacing w:line="360" w:lineRule="auto"/>
        <w:ind w:left="960" w:leftChars="457" w:firstLine="60" w:firstLineChars="25"/>
        <w:jc w:val="left"/>
        <w:rPr>
          <w:rFonts w:eastAsia="仿宋"/>
          <w:sz w:val="24"/>
        </w:rPr>
      </w:pPr>
      <w:r>
        <w:rPr>
          <w:rFonts w:hint="eastAsia" w:ascii="仿宋" w:hAnsi="仿宋" w:eastAsia="仿宋" w:cs="仿宋"/>
          <w:b/>
          <w:bCs/>
          <w:color w:val="FF0000"/>
          <w:sz w:val="24"/>
          <w:lang w:val="en-US" w:eastAsia="zh-CN"/>
        </w:rPr>
        <w:t>注:电子版响应文件内所有资格证明文件，供应商须逐页加盖电子签章.</w:t>
      </w:r>
    </w:p>
    <w:p w14:paraId="507896BD">
      <w:pPr>
        <w:pStyle w:val="28"/>
        <w:tabs>
          <w:tab w:val="left" w:pos="900"/>
        </w:tabs>
        <w:spacing w:before="0" w:after="0" w:line="360" w:lineRule="auto"/>
        <w:rPr>
          <w:rFonts w:ascii="Times New Roman" w:eastAsia="仿宋"/>
          <w:u w:val="none"/>
        </w:rPr>
      </w:pPr>
      <w:bookmarkStart w:id="78" w:name="_Toc1889"/>
      <w:bookmarkEnd w:id="78"/>
      <w:bookmarkStart w:id="79" w:name="_Toc518923072"/>
      <w:bookmarkEnd w:id="79"/>
      <w:bookmarkStart w:id="80" w:name="_Toc508185920"/>
      <w:bookmarkEnd w:id="80"/>
      <w:bookmarkStart w:id="81" w:name="_Toc516367023"/>
      <w:bookmarkEnd w:id="81"/>
      <w:bookmarkStart w:id="82" w:name="_Toc11736"/>
      <w:bookmarkEnd w:id="82"/>
      <w:bookmarkStart w:id="83" w:name="_Toc520356153"/>
      <w:bookmarkEnd w:id="83"/>
      <w:bookmarkStart w:id="84" w:name="_Toc2671"/>
      <w:bookmarkEnd w:id="84"/>
      <w:bookmarkStart w:id="85" w:name="_Toc15670"/>
      <w:bookmarkEnd w:id="85"/>
      <w:r>
        <w:rPr>
          <w:rFonts w:ascii="Times New Roman" w:eastAsia="仿宋"/>
          <w:u w:val="none"/>
        </w:rPr>
        <w:t>10.</w:t>
      </w:r>
      <w:r>
        <w:rPr>
          <w:rFonts w:ascii="Times New Roman" w:eastAsia="仿宋"/>
          <w:u w:val="none"/>
        </w:rPr>
        <w:tab/>
      </w:r>
      <w:r>
        <w:rPr>
          <w:rFonts w:ascii="Times New Roman" w:eastAsia="仿宋"/>
          <w:u w:val="none"/>
        </w:rPr>
        <w:t>证明投标标的的合格性和符合招标文件规定的响应文件</w:t>
      </w:r>
    </w:p>
    <w:p w14:paraId="5FB8D490">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14:paraId="7FE1E992">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14:paraId="1B6B9377">
      <w:pPr>
        <w:spacing w:line="360" w:lineRule="auto"/>
        <w:ind w:left="900" w:hanging="900" w:hangingChars="375"/>
        <w:rPr>
          <w:rFonts w:hint="eastAsia"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14:paraId="3C38C593">
      <w:pPr>
        <w:spacing w:line="360" w:lineRule="auto"/>
        <w:ind w:left="900" w:hanging="900" w:hangingChars="375"/>
        <w:rPr>
          <w:rFonts w:hint="eastAsia"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14:paraId="7756C3B5">
      <w:pPr>
        <w:spacing w:line="360" w:lineRule="auto"/>
        <w:ind w:left="900" w:hanging="900" w:hangingChars="375"/>
        <w:rPr>
          <w:rFonts w:hint="eastAsia"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14:paraId="2BD2BFEE">
      <w:pPr>
        <w:spacing w:line="360" w:lineRule="auto"/>
        <w:ind w:left="900" w:hanging="900" w:hangingChars="375"/>
        <w:rPr>
          <w:rFonts w:hint="eastAsia" w:eastAsia="仿宋"/>
          <w:sz w:val="24"/>
        </w:rPr>
      </w:pPr>
      <w:r>
        <w:rPr>
          <w:rFonts w:hint="eastAsia" w:eastAsia="仿宋"/>
          <w:sz w:val="24"/>
        </w:rPr>
        <w:t>10.3</w:t>
      </w:r>
      <w:r>
        <w:rPr>
          <w:rFonts w:hint="eastAsia" w:eastAsia="仿宋"/>
          <w:sz w:val="24"/>
        </w:rPr>
        <w:tab/>
      </w:r>
      <w:r>
        <w:rPr>
          <w:rFonts w:hint="eastAsia" w:eastAsia="仿宋"/>
          <w:b/>
          <w:bCs/>
          <w:sz w:val="24"/>
        </w:rPr>
        <w:t>供应商在投标中可以选用替代牌号或分类号，但这些替代要实质上相当于技术规格的要求。采购人、采购代理机构承诺不以上述参照品牌型号或分类号作为评标时判定其投标是否有效的标准。</w:t>
      </w:r>
    </w:p>
    <w:p w14:paraId="5FA67FC4">
      <w:pPr>
        <w:pStyle w:val="28"/>
        <w:spacing w:before="0" w:after="0" w:line="360" w:lineRule="auto"/>
        <w:rPr>
          <w:rFonts w:ascii="Times New Roman" w:eastAsia="仿宋"/>
          <w:u w:val="none"/>
        </w:rPr>
      </w:pPr>
      <w:bookmarkStart w:id="87" w:name="_Toc8529"/>
      <w:bookmarkEnd w:id="87"/>
      <w:bookmarkStart w:id="88" w:name="_Toc16574"/>
      <w:bookmarkEnd w:id="88"/>
      <w:bookmarkStart w:id="89" w:name="_Toc518923073"/>
      <w:bookmarkEnd w:id="89"/>
      <w:bookmarkStart w:id="90" w:name="_Toc13028"/>
      <w:bookmarkEnd w:id="90"/>
      <w:bookmarkStart w:id="91" w:name="_Toc32744"/>
      <w:bookmarkEnd w:id="91"/>
      <w:r>
        <w:rPr>
          <w:rFonts w:ascii="Times New Roman" w:eastAsia="仿宋"/>
          <w:u w:val="none"/>
        </w:rPr>
        <w:t>11.投标报价</w:t>
      </w:r>
    </w:p>
    <w:p w14:paraId="172B70BB">
      <w:pPr>
        <w:spacing w:line="360" w:lineRule="auto"/>
        <w:ind w:left="900" w:hanging="900" w:hangingChars="375"/>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14:paraId="6FE8AE35">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14:paraId="41B209CF">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14:paraId="526C4766">
      <w:pPr>
        <w:spacing w:line="360" w:lineRule="auto"/>
        <w:ind w:left="900" w:hanging="900" w:hangingChars="375"/>
        <w:rPr>
          <w:rFonts w:hint="eastAsia"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14:paraId="476A4A31">
      <w:pPr>
        <w:spacing w:line="360" w:lineRule="auto"/>
        <w:ind w:left="900" w:hanging="900" w:hangingChars="375"/>
        <w:rPr>
          <w:rFonts w:hint="eastAsia" w:eastAsia="仿宋"/>
          <w:sz w:val="24"/>
        </w:rPr>
      </w:pPr>
      <w:r>
        <w:rPr>
          <w:rFonts w:hint="eastAsia" w:eastAsia="仿宋"/>
          <w:sz w:val="24"/>
        </w:rPr>
        <w:t>11.3.2  货物运至最终目的地的运输费和保险费用。</w:t>
      </w:r>
    </w:p>
    <w:p w14:paraId="26964411">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14:paraId="0C784B88">
      <w:pPr>
        <w:pStyle w:val="54"/>
        <w:ind w:left="0" w:leftChars="0" w:firstLine="0" w:firstLineChars="0"/>
        <w:rPr>
          <w:rFonts w:hint="eastAsia"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rPr>
        <w:t>每种货物只能有一个投标报价。采购人不接受具有附加条件的报价。</w:t>
      </w:r>
    </w:p>
    <w:p w14:paraId="2FC1F022">
      <w:pPr>
        <w:pStyle w:val="28"/>
        <w:spacing w:before="0" w:after="0" w:line="360" w:lineRule="auto"/>
        <w:rPr>
          <w:rFonts w:ascii="Times New Roman" w:eastAsia="仿宋"/>
          <w:u w:val="none"/>
        </w:rPr>
      </w:pPr>
      <w:bookmarkStart w:id="92" w:name="_Toc19591"/>
      <w:bookmarkEnd w:id="92"/>
      <w:bookmarkStart w:id="93" w:name="_Toc520356156"/>
      <w:bookmarkEnd w:id="93"/>
      <w:bookmarkStart w:id="94" w:name="_Ref467306513"/>
      <w:bookmarkEnd w:id="94"/>
      <w:bookmarkStart w:id="95" w:name="_Toc16199"/>
      <w:bookmarkEnd w:id="95"/>
      <w:bookmarkStart w:id="96" w:name="_Toc518923074"/>
      <w:bookmarkEnd w:id="96"/>
      <w:bookmarkStart w:id="97" w:name="_Toc24515"/>
      <w:bookmarkEnd w:id="97"/>
      <w:bookmarkStart w:id="98" w:name="_Toc18305"/>
      <w:bookmarkEnd w:id="98"/>
      <w:r>
        <w:rPr>
          <w:rFonts w:ascii="Times New Roman" w:eastAsia="仿宋"/>
          <w:u w:val="none"/>
        </w:rPr>
        <w:t>12.投标保证金</w:t>
      </w:r>
    </w:p>
    <w:p w14:paraId="500A9950">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14:paraId="46B0DCDA">
      <w:pPr>
        <w:spacing w:line="360" w:lineRule="auto"/>
        <w:ind w:left="900" w:hanging="900" w:hangingChars="375"/>
        <w:rPr>
          <w:rFonts w:eastAsia="仿宋"/>
          <w:sz w:val="24"/>
        </w:rPr>
      </w:pPr>
      <w:r>
        <w:rPr>
          <w:rFonts w:eastAsia="仿宋"/>
          <w:sz w:val="24"/>
        </w:rPr>
        <w:t>12.2</w:t>
      </w:r>
      <w:r>
        <w:rPr>
          <w:rFonts w:eastAsia="仿宋"/>
          <w:sz w:val="24"/>
        </w:rPr>
        <w:tab/>
      </w:r>
      <w:r>
        <w:rPr>
          <w:rFonts w:eastAsia="仿宋"/>
          <w:sz w:val="24"/>
        </w:rPr>
        <w:t>投标人存在下列情形的，投标保证金不予退还：</w:t>
      </w:r>
    </w:p>
    <w:p w14:paraId="31FC1C88">
      <w:pPr>
        <w:spacing w:line="360" w:lineRule="auto"/>
        <w:ind w:left="900" w:hanging="900" w:hangingChars="375"/>
        <w:rPr>
          <w:rFonts w:eastAsia="仿宋"/>
          <w:sz w:val="24"/>
        </w:rPr>
      </w:pPr>
      <w:r>
        <w:rPr>
          <w:rFonts w:eastAsia="仿宋"/>
          <w:sz w:val="24"/>
        </w:rPr>
        <w:t>（1）在投标有效期内，撤销投标的；</w:t>
      </w:r>
    </w:p>
    <w:p w14:paraId="01E5F812">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（2）中标后不按本须知第30条的规定与采购人签订合同的；</w:t>
      </w:r>
    </w:p>
    <w:p w14:paraId="21C05E72">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（3）中标后不按本须知第31条的规定提交履约保证金的；</w:t>
      </w:r>
    </w:p>
    <w:p w14:paraId="443CD7E2">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（4）中标后不按本须知第32条的规定缴纳中标服务费的；</w:t>
      </w:r>
    </w:p>
    <w:p w14:paraId="02F27338">
      <w:pPr>
        <w:pStyle w:val="37"/>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sz w:val="24"/>
        </w:rPr>
        <w:t>（5）存在其他违法违规行为的。</w:t>
      </w:r>
    </w:p>
    <w:p w14:paraId="25E904FB">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14:paraId="6CBBC59C">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14:paraId="6833D9F7">
      <w:pPr>
        <w:spacing w:line="360" w:lineRule="auto"/>
        <w:rPr>
          <w:rFonts w:eastAsia="仿宋"/>
          <w:sz w:val="24"/>
        </w:rPr>
      </w:pPr>
      <w:r>
        <w:rPr>
          <w:rFonts w:eastAsia="仿宋"/>
          <w:sz w:val="24"/>
        </w:rPr>
        <w:t>12.4.1  采用电汇形式的，一般可以实时入账；</w:t>
      </w:r>
    </w:p>
    <w:p w14:paraId="6A54C0D5">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647FB58E">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14:paraId="33CA3DBF">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14:paraId="4D6FD5F0">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14:paraId="3E5489CA">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14:paraId="7FAEDDD8">
      <w:pPr>
        <w:spacing w:line="360" w:lineRule="auto"/>
        <w:ind w:left="1020" w:hanging="1020" w:hangingChars="425"/>
        <w:rPr>
          <w:rFonts w:eastAsia="仿宋"/>
          <w:sz w:val="24"/>
        </w:rPr>
      </w:pPr>
      <w:r>
        <w:rPr>
          <w:rFonts w:eastAsia="仿宋"/>
          <w:sz w:val="24"/>
        </w:rPr>
        <w:t>12.6.3  政府采购投标担保函不予退回。</w:t>
      </w:r>
    </w:p>
    <w:p w14:paraId="1C65F28C">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14:paraId="6BEE12B1">
      <w:pPr>
        <w:pStyle w:val="28"/>
        <w:spacing w:before="0" w:after="0" w:line="360" w:lineRule="auto"/>
        <w:rPr>
          <w:rFonts w:ascii="Times New Roman" w:eastAsia="仿宋"/>
          <w:u w:val="none"/>
        </w:rPr>
      </w:pPr>
      <w:bookmarkStart w:id="101" w:name="_Toc25375"/>
      <w:bookmarkEnd w:id="101"/>
      <w:bookmarkStart w:id="102" w:name="_Toc520356157"/>
      <w:bookmarkEnd w:id="102"/>
      <w:bookmarkStart w:id="103" w:name="_Toc20355"/>
      <w:bookmarkEnd w:id="103"/>
      <w:bookmarkStart w:id="104" w:name="_Toc19370"/>
      <w:bookmarkEnd w:id="104"/>
      <w:bookmarkStart w:id="105" w:name="_Toc12440"/>
      <w:bookmarkEnd w:id="105"/>
      <w:bookmarkStart w:id="106" w:name="_Toc518923076"/>
      <w:bookmarkEnd w:id="106"/>
      <w:r>
        <w:rPr>
          <w:rFonts w:ascii="Times New Roman" w:eastAsia="仿宋"/>
          <w:u w:val="none"/>
        </w:rPr>
        <w:t>13.投标有效期</w:t>
      </w:r>
    </w:p>
    <w:p w14:paraId="7B673E5A">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14:paraId="631247C3">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14:paraId="1D7163D2">
      <w:pPr>
        <w:pStyle w:val="28"/>
        <w:spacing w:before="0" w:after="0" w:line="360" w:lineRule="auto"/>
        <w:rPr>
          <w:rFonts w:ascii="Times New Roman" w:eastAsia="仿宋"/>
          <w:u w:val="none"/>
        </w:rPr>
      </w:pPr>
      <w:bookmarkStart w:id="107" w:name="_Toc518923077"/>
      <w:bookmarkEnd w:id="107"/>
      <w:bookmarkStart w:id="108" w:name="_Toc22262"/>
      <w:bookmarkEnd w:id="108"/>
      <w:bookmarkStart w:id="109" w:name="_Toc12950"/>
      <w:bookmarkEnd w:id="109"/>
      <w:bookmarkStart w:id="110" w:name="_Toc27303"/>
      <w:bookmarkEnd w:id="110"/>
      <w:bookmarkStart w:id="111" w:name="_Toc10460"/>
      <w:bookmarkEnd w:id="111"/>
      <w:bookmarkStart w:id="112" w:name="_Toc520356158"/>
      <w:bookmarkEnd w:id="112"/>
      <w:r>
        <w:rPr>
          <w:rFonts w:ascii="Times New Roman" w:eastAsia="仿宋"/>
          <w:u w:val="none"/>
        </w:rPr>
        <w:t>14.投标文件的签署及规定</w:t>
      </w:r>
    </w:p>
    <w:p w14:paraId="6CF5C490">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14:paraId="1A1E7D95">
      <w:pPr>
        <w:spacing w:line="360" w:lineRule="auto"/>
        <w:ind w:left="900" w:hanging="900" w:hangingChars="375"/>
        <w:rPr>
          <w:rFonts w:hint="eastAsia" w:eastAsia="仿宋"/>
          <w:sz w:val="24"/>
        </w:rPr>
      </w:pPr>
      <w:r>
        <w:rPr>
          <w:rFonts w:hint="eastAsia" w:eastAsia="仿宋"/>
          <w:sz w:val="24"/>
        </w:rPr>
        <w:t>14.2</w:t>
      </w:r>
      <w:r>
        <w:rPr>
          <w:rFonts w:hint="eastAsia" w:eastAsia="仿宋"/>
          <w:sz w:val="24"/>
        </w:rPr>
        <w:tab/>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14:paraId="17895FAE">
      <w:pPr>
        <w:spacing w:line="360" w:lineRule="auto"/>
        <w:ind w:left="900" w:hanging="900" w:hangingChars="375"/>
        <w:rPr>
          <w:rFonts w:eastAsia="仿宋"/>
          <w:sz w:val="24"/>
        </w:rPr>
      </w:pPr>
    </w:p>
    <w:p w14:paraId="09F5BF03">
      <w:pPr>
        <w:pStyle w:val="27"/>
        <w:spacing w:before="0" w:line="360" w:lineRule="auto"/>
        <w:ind w:left="1080" w:leftChars="257" w:hanging="540"/>
        <w:rPr>
          <w:rFonts w:eastAsia="仿宋"/>
          <w:sz w:val="24"/>
        </w:rPr>
      </w:pPr>
      <w:bookmarkStart w:id="113" w:name="_Toc518923078"/>
      <w:bookmarkEnd w:id="113"/>
      <w:bookmarkStart w:id="114" w:name="_Toc2659"/>
      <w:bookmarkEnd w:id="114"/>
      <w:bookmarkStart w:id="115" w:name="_Toc22303"/>
      <w:bookmarkEnd w:id="115"/>
      <w:bookmarkStart w:id="116" w:name="_Toc3050"/>
      <w:bookmarkEnd w:id="116"/>
      <w:bookmarkStart w:id="117" w:name="_Toc520356159"/>
      <w:bookmarkEnd w:id="117"/>
      <w:bookmarkStart w:id="118" w:name="_Toc4415"/>
      <w:bookmarkEnd w:id="118"/>
      <w:bookmarkStart w:id="119" w:name="_Toc216582808"/>
      <w:bookmarkEnd w:id="119"/>
      <w:r>
        <w:rPr>
          <w:rFonts w:eastAsia="仿宋"/>
          <w:sz w:val="24"/>
        </w:rPr>
        <w:t>四</w:t>
      </w:r>
      <w:r>
        <w:rPr>
          <w:rFonts w:hint="eastAsia" w:eastAsia="仿宋"/>
          <w:sz w:val="24"/>
        </w:rPr>
        <w:t>、</w:t>
      </w:r>
      <w:r>
        <w:rPr>
          <w:rFonts w:eastAsia="仿宋"/>
          <w:sz w:val="24"/>
        </w:rPr>
        <w:t>投标文件的递交</w:t>
      </w:r>
    </w:p>
    <w:p w14:paraId="5468ACB4">
      <w:pPr>
        <w:pStyle w:val="32"/>
        <w:spacing w:line="360" w:lineRule="auto"/>
        <w:rPr>
          <w:rFonts w:ascii="Times New Roman" w:eastAsia="仿宋"/>
        </w:rPr>
      </w:pPr>
    </w:p>
    <w:p w14:paraId="4F9DDD81">
      <w:pPr>
        <w:pStyle w:val="28"/>
        <w:spacing w:before="0" w:after="0" w:line="360" w:lineRule="auto"/>
        <w:rPr>
          <w:rFonts w:ascii="Times New Roman" w:eastAsia="仿宋"/>
          <w:u w:val="none"/>
        </w:rPr>
      </w:pPr>
      <w:bookmarkStart w:id="120" w:name="_Toc3038"/>
      <w:bookmarkEnd w:id="120"/>
      <w:bookmarkStart w:id="121" w:name="_Toc13247"/>
      <w:bookmarkEnd w:id="121"/>
      <w:bookmarkStart w:id="122" w:name="_Toc520356160"/>
      <w:bookmarkEnd w:id="122"/>
      <w:bookmarkStart w:id="123" w:name="_Toc25050"/>
      <w:bookmarkEnd w:id="123"/>
      <w:bookmarkStart w:id="124" w:name="_Toc16644"/>
      <w:bookmarkEnd w:id="124"/>
      <w:bookmarkStart w:id="125" w:name="_Toc518923079"/>
      <w:bookmarkEnd w:id="125"/>
      <w:r>
        <w:rPr>
          <w:rFonts w:ascii="Times New Roman" w:eastAsia="仿宋"/>
          <w:u w:val="none"/>
        </w:rPr>
        <w:t>15.投标文件的密封和标记</w:t>
      </w:r>
    </w:p>
    <w:p w14:paraId="1B16C8BD">
      <w:pPr>
        <w:spacing w:line="360" w:lineRule="auto"/>
        <w:ind w:left="900" w:hanging="900" w:hangingChars="375"/>
        <w:jc w:val="left"/>
        <w:rPr>
          <w:rFonts w:eastAsia="仿宋"/>
          <w:sz w:val="24"/>
        </w:rPr>
      </w:pPr>
      <w:r>
        <w:rPr>
          <w:rFonts w:eastAsia="仿宋"/>
          <w:sz w:val="24"/>
        </w:rPr>
        <w:t xml:space="preserve">15.1  </w:t>
      </w:r>
      <w:r>
        <w:rPr>
          <w:rFonts w:hint="eastAsia" w:eastAsia="仿宋"/>
          <w:b/>
          <w:bCs/>
          <w:sz w:val="24"/>
        </w:rPr>
        <w:t>投标人应将投标文件第一部分和第二部分合并，并在每部分标明“第一部分开标一览表及资格证明文件”或“第二部分商务及技术文件”字样。电子版投标文件必须通过新疆CA数字证书编制、上传至新疆政府采购网政采云平台。</w:t>
      </w:r>
    </w:p>
    <w:p w14:paraId="42E02389">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14:paraId="0871E056">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14:paraId="32DED697">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14:paraId="69C67A3E">
      <w:pPr>
        <w:pStyle w:val="28"/>
        <w:spacing w:before="0" w:after="0" w:line="360" w:lineRule="auto"/>
        <w:rPr>
          <w:rFonts w:ascii="Times New Roman" w:eastAsia="仿宋"/>
          <w:u w:val="none"/>
        </w:rPr>
      </w:pPr>
      <w:bookmarkStart w:id="126" w:name="_Toc25787"/>
      <w:bookmarkEnd w:id="126"/>
      <w:bookmarkStart w:id="127" w:name="_Toc30117"/>
      <w:bookmarkEnd w:id="127"/>
      <w:bookmarkStart w:id="128" w:name="_Toc10904"/>
      <w:bookmarkEnd w:id="128"/>
      <w:bookmarkStart w:id="129" w:name="_Toc28971"/>
      <w:bookmarkEnd w:id="129"/>
      <w:bookmarkStart w:id="130" w:name="_Toc520356161"/>
      <w:bookmarkEnd w:id="130"/>
      <w:bookmarkStart w:id="131" w:name="_Toc518923080"/>
      <w:bookmarkEnd w:id="131"/>
      <w:r>
        <w:rPr>
          <w:rFonts w:ascii="Times New Roman" w:eastAsia="仿宋"/>
          <w:u w:val="none"/>
        </w:rPr>
        <w:t>16.投标截止</w:t>
      </w:r>
    </w:p>
    <w:p w14:paraId="576A1687">
      <w:pPr>
        <w:spacing w:line="360" w:lineRule="auto"/>
        <w:ind w:left="900" w:hanging="900" w:hangingChars="375"/>
        <w:rPr>
          <w:rFonts w:eastAsia="仿宋"/>
          <w:sz w:val="24"/>
        </w:rPr>
      </w:pPr>
      <w:r>
        <w:rPr>
          <w:rFonts w:eastAsia="仿宋"/>
          <w:sz w:val="24"/>
        </w:rPr>
        <w:t>16.1</w:t>
      </w:r>
      <w:r>
        <w:rPr>
          <w:rFonts w:eastAsia="仿宋"/>
          <w:sz w:val="24"/>
        </w:rPr>
        <w:tab/>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14:paraId="42772719">
      <w:pPr>
        <w:spacing w:line="360" w:lineRule="auto"/>
        <w:ind w:left="900" w:hanging="900" w:hangingChars="375"/>
        <w:rPr>
          <w:rFonts w:eastAsia="仿宋"/>
          <w:sz w:val="24"/>
        </w:rPr>
      </w:pPr>
      <w:r>
        <w:rPr>
          <w:rFonts w:eastAsia="仿宋"/>
          <w:sz w:val="24"/>
        </w:rPr>
        <w:t>16.2</w:t>
      </w:r>
      <w:r>
        <w:rPr>
          <w:rFonts w:eastAsia="仿宋"/>
          <w:sz w:val="24"/>
        </w:rPr>
        <w:tab/>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14:paraId="4A299A00">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14:paraId="2A30362D">
      <w:pPr>
        <w:pStyle w:val="28"/>
        <w:spacing w:before="0" w:after="0" w:line="360" w:lineRule="auto"/>
        <w:rPr>
          <w:rFonts w:ascii="Times New Roman" w:eastAsia="仿宋"/>
          <w:u w:val="none"/>
        </w:rPr>
      </w:pPr>
      <w:bookmarkStart w:id="132" w:name="_Toc25814"/>
      <w:bookmarkEnd w:id="132"/>
      <w:bookmarkStart w:id="133" w:name="_Toc520356162"/>
      <w:bookmarkEnd w:id="133"/>
      <w:bookmarkStart w:id="134" w:name="_Toc326"/>
      <w:bookmarkEnd w:id="134"/>
      <w:bookmarkStart w:id="135" w:name="_Toc22116"/>
      <w:bookmarkEnd w:id="135"/>
      <w:bookmarkStart w:id="136" w:name="_Toc518923081"/>
      <w:bookmarkEnd w:id="136"/>
      <w:bookmarkStart w:id="137" w:name="_Toc13921"/>
      <w:bookmarkEnd w:id="137"/>
      <w:r>
        <w:rPr>
          <w:rFonts w:ascii="Times New Roman" w:eastAsia="仿宋"/>
          <w:u w:val="none"/>
        </w:rPr>
        <w:t>17.投标文件的接收、修改与撤回</w:t>
      </w:r>
    </w:p>
    <w:p w14:paraId="78B498CC">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14:paraId="033C2E5B">
      <w:pPr>
        <w:spacing w:line="360" w:lineRule="auto"/>
        <w:ind w:left="900" w:hanging="900" w:hangingChars="375"/>
        <w:rPr>
          <w:rFonts w:eastAsia="仿宋"/>
          <w:sz w:val="24"/>
        </w:rPr>
      </w:pPr>
      <w:r>
        <w:rPr>
          <w:rFonts w:eastAsia="仿宋"/>
          <w:sz w:val="24"/>
        </w:rPr>
        <w:t>17.2</w:t>
      </w:r>
      <w:r>
        <w:rPr>
          <w:rFonts w:hint="eastAsia" w:eastAsia="仿宋"/>
          <w:sz w:val="24"/>
        </w:rPr>
        <w:t>上传</w:t>
      </w:r>
      <w:r>
        <w:rPr>
          <w:rFonts w:eastAsia="仿宋"/>
          <w:sz w:val="24"/>
        </w:rPr>
        <w:t>投标文件以后，如果投标人要进行修改或撤回投标，须提出书面申请并在投标截止时间前送达开标地点，投标人对投标文件的修改或撤回通知应按本须知规定编制、密封、标记。</w:t>
      </w:r>
    </w:p>
    <w:p w14:paraId="3B91470F">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14:paraId="181A8C11">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eastAsia="仿宋"/>
          <w:sz w:val="24"/>
        </w:rPr>
        <w:t>在投标截止期之后，采购人和采购代理机构不接受投标人主动对其投标文件做任何修改。</w:t>
      </w:r>
    </w:p>
    <w:p w14:paraId="72312FF7">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eastAsia="仿宋"/>
          <w:sz w:val="24"/>
        </w:rPr>
        <w:t>采购人和采购代理机构对所接收投标文件概不退回。</w:t>
      </w:r>
    </w:p>
    <w:p w14:paraId="6BA499D0">
      <w:pPr>
        <w:spacing w:line="360" w:lineRule="auto"/>
        <w:ind w:left="1080" w:leftChars="257" w:hanging="540"/>
        <w:rPr>
          <w:rFonts w:eastAsia="仿宋"/>
          <w:sz w:val="24"/>
        </w:rPr>
      </w:pPr>
    </w:p>
    <w:p w14:paraId="558FFB74">
      <w:pPr>
        <w:pStyle w:val="27"/>
        <w:spacing w:before="0" w:line="360" w:lineRule="auto"/>
        <w:rPr>
          <w:rFonts w:eastAsia="仿宋"/>
          <w:sz w:val="24"/>
        </w:rPr>
      </w:pPr>
      <w:bookmarkStart w:id="138" w:name="_Toc22845"/>
      <w:bookmarkEnd w:id="138"/>
      <w:bookmarkStart w:id="139" w:name="_Toc216582809"/>
      <w:bookmarkEnd w:id="139"/>
      <w:bookmarkStart w:id="140" w:name="_Toc520356163"/>
      <w:bookmarkEnd w:id="140"/>
      <w:bookmarkStart w:id="141" w:name="_Toc6389"/>
      <w:bookmarkEnd w:id="141"/>
      <w:bookmarkStart w:id="142" w:name="_Toc10257"/>
      <w:bookmarkEnd w:id="142"/>
      <w:bookmarkStart w:id="143" w:name="_Toc518923082"/>
      <w:bookmarkEnd w:id="143"/>
      <w:bookmarkStart w:id="144" w:name="_Toc23627"/>
      <w:bookmarkEnd w:id="144"/>
      <w:r>
        <w:rPr>
          <w:rFonts w:eastAsia="仿宋"/>
          <w:sz w:val="24"/>
        </w:rPr>
        <w:t>五</w:t>
      </w:r>
      <w:r>
        <w:rPr>
          <w:rFonts w:hint="eastAsia" w:eastAsia="仿宋"/>
          <w:sz w:val="24"/>
          <w:lang w:eastAsia="zh-CN"/>
        </w:rPr>
        <w:t>、</w:t>
      </w:r>
      <w:r>
        <w:rPr>
          <w:rFonts w:eastAsia="仿宋"/>
          <w:sz w:val="24"/>
        </w:rPr>
        <w:t>开标及评标</w:t>
      </w:r>
    </w:p>
    <w:p w14:paraId="690FF37C">
      <w:pPr>
        <w:pStyle w:val="32"/>
        <w:spacing w:line="360" w:lineRule="auto"/>
        <w:rPr>
          <w:rFonts w:ascii="Times New Roman" w:eastAsia="仿宋"/>
        </w:rPr>
      </w:pPr>
    </w:p>
    <w:p w14:paraId="3AA50746">
      <w:pPr>
        <w:pStyle w:val="28"/>
        <w:spacing w:before="0" w:after="0" w:line="360" w:lineRule="auto"/>
        <w:rPr>
          <w:rFonts w:ascii="Times New Roman" w:eastAsia="仿宋"/>
          <w:u w:val="none"/>
        </w:rPr>
      </w:pPr>
      <w:bookmarkStart w:id="145" w:name="_Toc518923083"/>
      <w:bookmarkEnd w:id="145"/>
      <w:bookmarkStart w:id="146" w:name="_Toc1813"/>
      <w:bookmarkEnd w:id="146"/>
      <w:bookmarkStart w:id="147" w:name="_Toc520356164"/>
      <w:bookmarkEnd w:id="147"/>
      <w:bookmarkStart w:id="148" w:name="_Toc12598"/>
      <w:bookmarkEnd w:id="148"/>
      <w:bookmarkStart w:id="149" w:name="_Toc8653"/>
      <w:bookmarkEnd w:id="149"/>
      <w:bookmarkStart w:id="150" w:name="_Toc16580"/>
      <w:bookmarkEnd w:id="150"/>
      <w:r>
        <w:rPr>
          <w:rFonts w:ascii="Times New Roman" w:eastAsia="仿宋"/>
          <w:u w:val="none"/>
        </w:rPr>
        <w:t>18.开标</w:t>
      </w:r>
    </w:p>
    <w:p w14:paraId="4E9595F7">
      <w:pPr>
        <w:spacing w:line="360" w:lineRule="auto"/>
        <w:ind w:left="900" w:hanging="900" w:hangingChars="375"/>
        <w:rPr>
          <w:rFonts w:eastAsia="仿宋"/>
          <w:sz w:val="24"/>
        </w:rPr>
      </w:pPr>
      <w:r>
        <w:rPr>
          <w:rFonts w:eastAsia="仿宋"/>
          <w:sz w:val="24"/>
        </w:rPr>
        <w:t>18.</w:t>
      </w:r>
      <w:r>
        <w:rPr>
          <w:rFonts w:hint="eastAsia" w:eastAsia="仿宋"/>
          <w:sz w:val="24"/>
          <w:lang w:val="en-US" w:eastAsia="zh-CN"/>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14:paraId="4CFBC222">
      <w:pPr>
        <w:spacing w:line="360" w:lineRule="auto"/>
        <w:ind w:firstLine="960" w:firstLineChars="400"/>
        <w:rPr>
          <w:rFonts w:eastAsia="仿宋"/>
          <w:sz w:val="24"/>
        </w:rPr>
      </w:pPr>
      <w:r>
        <w:rPr>
          <w:rFonts w:eastAsia="仿宋"/>
          <w:sz w:val="24"/>
        </w:rPr>
        <w:t>投标人不足3家的，不得开标。</w:t>
      </w:r>
    </w:p>
    <w:p w14:paraId="010DBB37">
      <w:pPr>
        <w:spacing w:line="360" w:lineRule="auto"/>
        <w:ind w:left="960" w:hanging="960" w:hangingChars="400"/>
        <w:rPr>
          <w:rFonts w:eastAsia="仿宋"/>
          <w:sz w:val="24"/>
        </w:rPr>
      </w:pPr>
      <w:r>
        <w:rPr>
          <w:rFonts w:eastAsia="仿宋"/>
          <w:sz w:val="24"/>
        </w:rPr>
        <w:t xml:space="preserve">18.2   </w:t>
      </w:r>
      <w:r>
        <w:rPr>
          <w:rFonts w:hint="eastAsia" w:eastAsia="仿宋"/>
          <w:sz w:val="24"/>
          <w:lang w:val="en-US" w:eastAsia="zh-CN"/>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14:paraId="137939D5">
      <w:pPr>
        <w:spacing w:line="360" w:lineRule="auto"/>
        <w:ind w:left="900" w:hanging="900" w:hangingChars="375"/>
        <w:rPr>
          <w:rFonts w:eastAsia="仿宋"/>
          <w:sz w:val="24"/>
        </w:rPr>
      </w:pPr>
      <w:r>
        <w:rPr>
          <w:rFonts w:eastAsia="仿宋"/>
          <w:sz w:val="24"/>
        </w:rPr>
        <w:t xml:space="preserve">18.3   </w:t>
      </w:r>
      <w:r>
        <w:rPr>
          <w:rFonts w:hint="eastAsia" w:eastAsia="仿宋"/>
          <w:sz w:val="24"/>
          <w:lang w:val="en-US" w:eastAsia="zh-CN"/>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14:paraId="0A55D205">
      <w:pPr>
        <w:spacing w:line="360" w:lineRule="auto"/>
        <w:ind w:left="900" w:hanging="900" w:hangingChars="375"/>
        <w:rPr>
          <w:rFonts w:eastAsia="仿宋"/>
          <w:sz w:val="24"/>
        </w:rPr>
      </w:pPr>
      <w:r>
        <w:rPr>
          <w:rFonts w:eastAsia="仿宋"/>
          <w:sz w:val="24"/>
        </w:rPr>
        <w:t xml:space="preserve">18.4   </w:t>
      </w:r>
      <w:r>
        <w:rPr>
          <w:rFonts w:hint="eastAsia" w:eastAsia="仿宋"/>
          <w:sz w:val="24"/>
          <w:lang w:val="en-US" w:eastAsia="zh-CN"/>
        </w:rPr>
        <w:t xml:space="preserve"> </w:t>
      </w:r>
      <w:r>
        <w:rPr>
          <w:rFonts w:hint="eastAsia" w:eastAsia="仿宋"/>
          <w:sz w:val="24"/>
        </w:rPr>
        <w:t>开标时，投标人应登录新疆政府采购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众宣读，评标时有效。</w:t>
      </w:r>
    </w:p>
    <w:p w14:paraId="36F842FD">
      <w:pPr>
        <w:spacing w:line="360" w:lineRule="auto"/>
        <w:ind w:firstLine="960" w:firstLineChars="400"/>
        <w:rPr>
          <w:rFonts w:hint="eastAsia" w:eastAsia="仿宋"/>
          <w:sz w:val="24"/>
        </w:rPr>
      </w:pPr>
      <w:r>
        <w:rPr>
          <w:rFonts w:hint="eastAsia" w:eastAsia="仿宋"/>
          <w:sz w:val="24"/>
        </w:rPr>
        <w:t>未宣读投标价格、价格折扣等实质内容，评标时不予承认。</w:t>
      </w:r>
    </w:p>
    <w:p w14:paraId="2C936ED9">
      <w:pPr>
        <w:spacing w:line="360" w:lineRule="auto"/>
        <w:ind w:left="900" w:hanging="900" w:hangingChars="375"/>
        <w:rPr>
          <w:rFonts w:hint="eastAsia" w:eastAsia="仿宋"/>
          <w:sz w:val="24"/>
        </w:rPr>
      </w:pPr>
      <w:r>
        <w:rPr>
          <w:rFonts w:hint="eastAsia" w:eastAsia="仿宋"/>
          <w:sz w:val="24"/>
        </w:rPr>
        <w:t>18.5    采购人或采购代理机构将对开标过程进行记录，由参加开标的各投标人代表和相关工作人员签字确认，并存档备查。</w:t>
      </w:r>
    </w:p>
    <w:p w14:paraId="4533D209">
      <w:pPr>
        <w:spacing w:line="360" w:lineRule="auto"/>
        <w:ind w:left="960" w:hanging="960" w:hangingChars="400"/>
        <w:jc w:val="left"/>
        <w:rPr>
          <w:rFonts w:hint="eastAsia" w:eastAsia="仿宋"/>
          <w:sz w:val="24"/>
        </w:rPr>
      </w:pPr>
      <w:r>
        <w:rPr>
          <w:rFonts w:hint="eastAsia" w:eastAsia="仿宋"/>
          <w:sz w:val="24"/>
        </w:rPr>
        <w:t>18.6    投标人代表对开标过程和开标记录有疑义，以及认为采购人、采购代理机构相关工作人员有需要回避的情形的，应当场提出询问或者回避申请。</w:t>
      </w:r>
    </w:p>
    <w:p w14:paraId="30C5EBA5">
      <w:pPr>
        <w:pStyle w:val="28"/>
        <w:spacing w:before="0" w:after="0" w:line="360" w:lineRule="auto"/>
        <w:rPr>
          <w:rFonts w:ascii="Times New Roman" w:eastAsia="仿宋"/>
          <w:u w:val="none"/>
        </w:rPr>
      </w:pPr>
      <w:bookmarkStart w:id="151" w:name="_Toc24828"/>
      <w:bookmarkEnd w:id="151"/>
      <w:bookmarkStart w:id="152" w:name="_Toc34"/>
      <w:bookmarkEnd w:id="152"/>
      <w:bookmarkStart w:id="153" w:name="_Toc518923084"/>
      <w:bookmarkEnd w:id="153"/>
      <w:bookmarkStart w:id="154" w:name="_Toc2093"/>
      <w:bookmarkEnd w:id="154"/>
      <w:bookmarkStart w:id="155" w:name="_Toc24484"/>
      <w:bookmarkEnd w:id="155"/>
      <w:r>
        <w:rPr>
          <w:rFonts w:ascii="Times New Roman" w:eastAsia="仿宋"/>
          <w:u w:val="none"/>
        </w:rPr>
        <w:t>19.资格审查及组建评标委员会</w:t>
      </w:r>
    </w:p>
    <w:p w14:paraId="0179BE0C">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14:paraId="746EBA0D">
      <w:pPr>
        <w:spacing w:line="360" w:lineRule="auto"/>
        <w:ind w:firstLine="480"/>
        <w:rPr>
          <w:rFonts w:hint="eastAsia" w:eastAsia="仿宋"/>
          <w:b/>
          <w:kern w:val="0"/>
          <w:sz w:val="24"/>
        </w:rPr>
      </w:pPr>
      <w:r>
        <w:rPr>
          <w:rFonts w:hint="eastAsia" w:eastAsia="仿宋"/>
          <w:b/>
          <w:kern w:val="0"/>
          <w:sz w:val="24"/>
        </w:rPr>
        <w:t>本项目资格审查资料表应附在投标文件中：</w:t>
      </w:r>
    </w:p>
    <w:p w14:paraId="5B1449C7">
      <w:pPr>
        <w:pStyle w:val="55"/>
        <w:ind w:firstLine="482"/>
        <w:rPr>
          <w:rFonts w:hint="eastAsia" w:ascii="仿宋" w:hAnsi="仿宋" w:eastAsia="仿宋"/>
          <w:b/>
          <w:bCs/>
          <w:sz w:val="24"/>
        </w:rPr>
      </w:pPr>
      <w:r>
        <w:rPr>
          <w:rFonts w:hint="eastAsia" w:ascii="仿宋" w:hAnsi="仿宋" w:eastAsia="仿宋"/>
          <w:b/>
          <w:bCs/>
          <w:sz w:val="24"/>
        </w:rPr>
        <w:t>1.独立承担民事责任能力的企业、事业、自然人，提供营业执照等经营性证件；</w:t>
      </w:r>
    </w:p>
    <w:p w14:paraId="62B91928">
      <w:pPr>
        <w:pStyle w:val="55"/>
        <w:ind w:firstLine="482"/>
        <w:rPr>
          <w:rFonts w:hint="eastAsia" w:eastAsia="仿宋"/>
          <w:b/>
          <w:bCs/>
          <w:sz w:val="24"/>
        </w:rPr>
      </w:pPr>
      <w:r>
        <w:rPr>
          <w:rFonts w:hint="eastAsia" w:eastAsia="仿宋"/>
          <w:b/>
          <w:bCs/>
          <w:sz w:val="24"/>
        </w:rPr>
        <w:t>2.  法人身份证明或法人授权委托书（含法人身份证复印件）和被授权人身份有效证件；</w:t>
      </w:r>
    </w:p>
    <w:p w14:paraId="6A9BC816">
      <w:pPr>
        <w:pStyle w:val="55"/>
        <w:ind w:firstLine="482"/>
        <w:rPr>
          <w:rFonts w:hint="eastAsia" w:eastAsia="仿宋"/>
          <w:b/>
          <w:bCs/>
          <w:sz w:val="24"/>
        </w:rPr>
      </w:pPr>
      <w:r>
        <w:rPr>
          <w:rFonts w:hint="eastAsia" w:eastAsia="仿宋"/>
          <w:b/>
          <w:bCs/>
          <w:sz w:val="24"/>
        </w:rPr>
        <w:t xml:space="preserve">3.  </w:t>
      </w:r>
      <w:r>
        <w:rPr>
          <w:rFonts w:hint="eastAsia" w:ascii="仿宋" w:hAnsi="仿宋" w:eastAsia="仿宋"/>
          <w:b/>
          <w:bCs/>
          <w:sz w:val="24"/>
        </w:rPr>
        <w:t>近两年</w:t>
      </w:r>
      <w:r>
        <w:rPr>
          <w:rFonts w:hint="eastAsia" w:ascii="仿宋" w:hAnsi="仿宋" w:eastAsia="仿宋"/>
          <w:b/>
          <w:bCs/>
          <w:sz w:val="24"/>
          <w:lang w:eastAsia="zh-CN"/>
        </w:rPr>
        <w:t>任意一年完整的</w:t>
      </w:r>
      <w:r>
        <w:rPr>
          <w:rFonts w:hint="eastAsia" w:ascii="仿宋" w:hAnsi="仿宋" w:eastAsia="仿宋"/>
          <w:b/>
          <w:bCs/>
          <w:sz w:val="24"/>
        </w:rPr>
        <w:t>财务审计报告（新成立公司提供开标前三个月内任意一个月有效银行资信证明）</w:t>
      </w:r>
      <w:r>
        <w:rPr>
          <w:rFonts w:hint="eastAsia" w:eastAsia="仿宋"/>
          <w:b/>
          <w:bCs/>
          <w:sz w:val="24"/>
        </w:rPr>
        <w:t>；</w:t>
      </w:r>
    </w:p>
    <w:p w14:paraId="7D68EC8E">
      <w:pPr>
        <w:pStyle w:val="55"/>
        <w:ind w:firstLine="482"/>
        <w:rPr>
          <w:rFonts w:hint="eastAsia" w:eastAsia="仿宋"/>
          <w:b/>
          <w:bCs/>
          <w:sz w:val="24"/>
        </w:rPr>
      </w:pPr>
      <w:r>
        <w:rPr>
          <w:rFonts w:hint="eastAsia" w:eastAsia="仿宋"/>
          <w:b/>
          <w:bCs/>
          <w:sz w:val="24"/>
        </w:rPr>
        <w:t>4.  投标企业</w:t>
      </w:r>
      <w:r>
        <w:rPr>
          <w:rFonts w:hint="eastAsia" w:ascii="仿宋" w:hAnsi="仿宋" w:eastAsia="仿宋"/>
          <w:b/>
          <w:bCs/>
          <w:sz w:val="24"/>
        </w:rPr>
        <w:t>依法缴纳近 6 个月任意一个月社会保险的凭据</w:t>
      </w:r>
      <w:r>
        <w:rPr>
          <w:rFonts w:hint="eastAsia" w:eastAsia="仿宋"/>
          <w:b/>
          <w:bCs/>
          <w:sz w:val="24"/>
        </w:rPr>
        <w:t>；</w:t>
      </w:r>
    </w:p>
    <w:p w14:paraId="0A6C7C4A">
      <w:pPr>
        <w:pStyle w:val="55"/>
        <w:ind w:firstLine="482"/>
        <w:rPr>
          <w:rFonts w:hint="eastAsia" w:eastAsia="仿宋"/>
          <w:b/>
          <w:bCs/>
          <w:sz w:val="24"/>
        </w:rPr>
      </w:pPr>
      <w:r>
        <w:rPr>
          <w:rFonts w:hint="eastAsia" w:eastAsia="仿宋"/>
          <w:b/>
          <w:bCs/>
          <w:sz w:val="24"/>
        </w:rPr>
        <w:t>5.  投标企业提供</w:t>
      </w:r>
      <w:r>
        <w:rPr>
          <w:rFonts w:hint="eastAsia" w:ascii="仿宋" w:hAnsi="仿宋" w:eastAsia="仿宋"/>
          <w:b/>
          <w:bCs/>
          <w:sz w:val="24"/>
        </w:rPr>
        <w:t>税务部门出具的近 6 个月任意一个月的完税证明</w:t>
      </w:r>
      <w:r>
        <w:rPr>
          <w:rFonts w:hint="eastAsia" w:eastAsia="仿宋"/>
          <w:b/>
          <w:bCs/>
          <w:sz w:val="24"/>
        </w:rPr>
        <w:t>；</w:t>
      </w:r>
    </w:p>
    <w:p w14:paraId="08C13631">
      <w:pPr>
        <w:pStyle w:val="55"/>
        <w:ind w:firstLine="482"/>
        <w:rPr>
          <w:rFonts w:hint="eastAsia" w:eastAsia="仿宋"/>
          <w:b/>
          <w:bCs/>
          <w:sz w:val="24"/>
        </w:rPr>
      </w:pPr>
      <w:r>
        <w:rPr>
          <w:rFonts w:hint="eastAsia" w:eastAsia="仿宋"/>
          <w:b/>
          <w:bCs/>
          <w:sz w:val="24"/>
        </w:rPr>
        <w:t>6.  参与政府采购活动供应商在前3年内未被“信用中国”网站（www.creditchina.gov.cn）、“中国政府采购网”(www.ccgp.gov.cn)列入失信被执行人、重大税收违法案件当事人名单、政府采购严重失信行为记录名单（提供网页截图或承诺函任一均可）；（以招标代理或招标人查询为准）；</w:t>
      </w:r>
    </w:p>
    <w:p w14:paraId="1A6F6F2C">
      <w:pPr>
        <w:pStyle w:val="55"/>
        <w:ind w:firstLine="482"/>
        <w:rPr>
          <w:rFonts w:hint="eastAsia" w:eastAsia="仿宋"/>
          <w:b/>
          <w:bCs/>
          <w:sz w:val="24"/>
        </w:rPr>
      </w:pPr>
      <w:r>
        <w:rPr>
          <w:rFonts w:hint="eastAsia" w:eastAsia="仿宋"/>
          <w:b/>
          <w:bCs/>
          <w:sz w:val="24"/>
          <w:lang w:val="en-US" w:eastAsia="zh-CN"/>
        </w:rPr>
        <w:t>7</w:t>
      </w:r>
      <w:r>
        <w:rPr>
          <w:rFonts w:hint="eastAsia" w:eastAsia="仿宋"/>
          <w:b/>
          <w:bCs/>
          <w:sz w:val="24"/>
        </w:rPr>
        <w:t>.投标商需符合《公安机关实施保安服务管理条例办法》规定，并具有有效的《保安服务许可证》；</w:t>
      </w:r>
    </w:p>
    <w:p w14:paraId="6C570CEE">
      <w:pPr>
        <w:pStyle w:val="55"/>
        <w:ind w:firstLine="482"/>
        <w:rPr>
          <w:rFonts w:hint="eastAsia" w:eastAsia="仿宋"/>
          <w:b/>
          <w:bCs/>
          <w:sz w:val="24"/>
        </w:rPr>
      </w:pPr>
      <w:r>
        <w:rPr>
          <w:rFonts w:hint="eastAsia" w:eastAsia="仿宋"/>
          <w:b/>
          <w:bCs/>
          <w:sz w:val="24"/>
          <w:lang w:val="en-US" w:eastAsia="zh-CN"/>
        </w:rPr>
        <w:t>8</w:t>
      </w:r>
      <w:r>
        <w:rPr>
          <w:rFonts w:hint="eastAsia" w:eastAsia="仿宋"/>
          <w:b/>
          <w:bCs/>
          <w:sz w:val="24"/>
        </w:rPr>
        <w:t>.  提供针对本次项目《反商业贿赂承诺书》；</w:t>
      </w:r>
    </w:p>
    <w:p w14:paraId="5F116028">
      <w:pPr>
        <w:pStyle w:val="55"/>
        <w:ind w:firstLine="482"/>
        <w:rPr>
          <w:rFonts w:hint="eastAsia" w:eastAsia="仿宋"/>
          <w:b/>
          <w:bCs/>
          <w:sz w:val="24"/>
        </w:rPr>
      </w:pPr>
      <w:r>
        <w:rPr>
          <w:rFonts w:hint="eastAsia" w:eastAsia="仿宋"/>
          <w:b/>
          <w:bCs/>
          <w:sz w:val="24"/>
          <w:lang w:val="en-US" w:eastAsia="zh-CN"/>
        </w:rPr>
        <w:t>9</w:t>
      </w:r>
      <w:r>
        <w:rPr>
          <w:rFonts w:hint="eastAsia" w:eastAsia="仿宋"/>
          <w:b/>
          <w:bCs/>
          <w:sz w:val="24"/>
        </w:rPr>
        <w:t>.  缴纳投标保证金有效凭证；</w:t>
      </w:r>
    </w:p>
    <w:p w14:paraId="54890BC2">
      <w:pPr>
        <w:pStyle w:val="55"/>
        <w:ind w:firstLine="482" w:firstLineChars="200"/>
        <w:rPr>
          <w:rFonts w:hint="default" w:eastAsia="仿宋"/>
          <w:b/>
          <w:bCs/>
          <w:sz w:val="24"/>
          <w:highlight w:val="none"/>
          <w:lang w:val="en-US" w:eastAsia="zh-CN"/>
        </w:rPr>
      </w:pPr>
      <w:r>
        <w:rPr>
          <w:rFonts w:hint="eastAsia" w:eastAsia="仿宋"/>
          <w:b/>
          <w:bCs/>
          <w:sz w:val="24"/>
          <w:highlight w:val="none"/>
        </w:rPr>
        <w:t>1</w:t>
      </w:r>
      <w:r>
        <w:rPr>
          <w:rFonts w:hint="eastAsia" w:eastAsia="仿宋"/>
          <w:b/>
          <w:bCs/>
          <w:sz w:val="24"/>
          <w:highlight w:val="none"/>
          <w:lang w:val="en-US" w:eastAsia="zh-CN"/>
        </w:rPr>
        <w:t>0</w:t>
      </w:r>
      <w:r>
        <w:rPr>
          <w:rFonts w:hint="eastAsia" w:eastAsia="仿宋"/>
          <w:b/>
          <w:bCs/>
          <w:sz w:val="24"/>
          <w:highlight w:val="none"/>
        </w:rPr>
        <w:t xml:space="preserve">. </w:t>
      </w:r>
      <w:r>
        <w:rPr>
          <w:rFonts w:hint="eastAsia" w:eastAsia="仿宋"/>
          <w:b/>
          <w:bCs/>
          <w:sz w:val="24"/>
          <w:highlight w:val="none"/>
          <w:lang w:val="en-US" w:eastAsia="zh-CN"/>
        </w:rPr>
        <w:t xml:space="preserve"> 本项目专门面向中小微企业采购；</w:t>
      </w:r>
    </w:p>
    <w:p w14:paraId="7F126A1D">
      <w:pPr>
        <w:pStyle w:val="55"/>
        <w:ind w:firstLine="482" w:firstLineChars="200"/>
        <w:rPr>
          <w:rFonts w:hint="eastAsia" w:eastAsia="仿宋"/>
          <w:b/>
          <w:bCs/>
          <w:sz w:val="24"/>
        </w:rPr>
      </w:pPr>
      <w:r>
        <w:rPr>
          <w:rFonts w:hint="eastAsia" w:eastAsia="仿宋"/>
          <w:b/>
          <w:bCs/>
          <w:sz w:val="24"/>
          <w:lang w:val="en-US" w:eastAsia="zh-CN"/>
        </w:rPr>
        <w:t xml:space="preserve">11.  </w:t>
      </w:r>
      <w:r>
        <w:rPr>
          <w:rFonts w:hint="eastAsia" w:eastAsia="仿宋"/>
          <w:b/>
          <w:bCs/>
          <w:sz w:val="24"/>
        </w:rPr>
        <w:t>本项目不接受联合体投标。</w:t>
      </w:r>
    </w:p>
    <w:p w14:paraId="1B3E6D1C">
      <w:pPr>
        <w:pStyle w:val="55"/>
        <w:ind w:firstLine="0" w:firstLineChars="0"/>
        <w:rPr>
          <w:rFonts w:hint="eastAsia" w:eastAsia="仿宋"/>
          <w:b/>
          <w:bCs/>
          <w:sz w:val="24"/>
        </w:rPr>
      </w:pPr>
      <w:r>
        <w:rPr>
          <w:rFonts w:hint="eastAsia" w:eastAsia="仿宋"/>
          <w:b/>
          <w:bCs/>
          <w:sz w:val="24"/>
        </w:rPr>
        <w:t>注：</w:t>
      </w:r>
      <w:r>
        <w:rPr>
          <w:rFonts w:hint="eastAsia" w:eastAsia="仿宋"/>
          <w:sz w:val="24"/>
        </w:rPr>
        <w:t>“提供税务部门出具的近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59723FE2">
      <w:pPr>
        <w:pStyle w:val="55"/>
        <w:ind w:firstLine="482" w:firstLineChars="200"/>
        <w:rPr>
          <w:rFonts w:hint="eastAsia" w:eastAsia="仿宋"/>
          <w:b/>
          <w:bCs/>
          <w:sz w:val="24"/>
        </w:rPr>
      </w:pPr>
      <w:r>
        <w:rPr>
          <w:rFonts w:hint="eastAsia" w:eastAsia="仿宋"/>
          <w:b/>
          <w:bCs/>
          <w:sz w:val="24"/>
        </w:rPr>
        <w:t>提示：</w:t>
      </w:r>
      <w:r>
        <w:rPr>
          <w:rFonts w:hint="eastAsia" w:eastAsia="仿宋"/>
          <w:sz w:val="24"/>
        </w:rPr>
        <w:t>上述</w:t>
      </w:r>
      <w:r>
        <w:rPr>
          <w:rFonts w:hint="eastAsia" w:eastAsia="仿宋"/>
          <w:sz w:val="24"/>
          <w:lang w:val="en-US" w:eastAsia="zh-CN"/>
        </w:rPr>
        <w:t>提供的</w:t>
      </w:r>
      <w:r>
        <w:rPr>
          <w:rFonts w:hint="eastAsia" w:eastAsia="仿宋"/>
          <w:sz w:val="24"/>
        </w:rPr>
        <w:t>资质开标现场能够通过官方网络查证的，均视为合格供应商。</w:t>
      </w:r>
    </w:p>
    <w:p w14:paraId="4949CDA5">
      <w:pPr>
        <w:spacing w:line="360" w:lineRule="auto"/>
        <w:ind w:firstLine="480"/>
        <w:rPr>
          <w:rFonts w:eastAsia="仿宋"/>
          <w:b/>
          <w:iCs/>
          <w:color w:val="000000"/>
          <w:sz w:val="24"/>
        </w:rPr>
      </w:pPr>
      <w:r>
        <w:rPr>
          <w:rFonts w:eastAsia="仿宋"/>
          <w:b/>
          <w:iCs/>
          <w:color w:val="000000"/>
          <w:sz w:val="24"/>
        </w:rPr>
        <w:t>通过资格审查的投标人不足三家的，不得评标。</w:t>
      </w:r>
    </w:p>
    <w:p w14:paraId="5604504F">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14:paraId="3E25AE32">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14:paraId="5544AEB9">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14:paraId="7C5C4578">
      <w:pPr>
        <w:pStyle w:val="32"/>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14:paraId="7A70B6CA">
      <w:pPr>
        <w:pStyle w:val="32"/>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14:paraId="64532C98">
      <w:pPr>
        <w:pStyle w:val="32"/>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14:paraId="215436B9">
      <w:pPr>
        <w:spacing w:line="360" w:lineRule="exact"/>
        <w:ind w:left="850" w:hanging="849" w:hangingChars="354"/>
        <w:rPr>
          <w:rFonts w:eastAsia="仿宋"/>
          <w:sz w:val="24"/>
          <w:highlight w:val="none"/>
        </w:rPr>
      </w:pPr>
      <w:r>
        <w:rPr>
          <w:rFonts w:eastAsia="仿宋"/>
          <w:sz w:val="24"/>
          <w:highlight w:val="none"/>
        </w:rPr>
        <w:t>19.3   按照《中华人民共和国政府采购法》、《中华人民共和国政府采购法实施条例》及本项目本级和上级财政部门的有关规定依法组建的评标委员会，负责本项目评标工作。</w:t>
      </w:r>
    </w:p>
    <w:p w14:paraId="7D015AD5">
      <w:pPr>
        <w:pStyle w:val="32"/>
        <w:spacing w:line="360" w:lineRule="auto"/>
        <w:ind w:left="850" w:leftChars="405" w:firstLine="0"/>
        <w:jc w:val="both"/>
        <w:rPr>
          <w:rFonts w:ascii="Times New Roman" w:hAnsi="Times New Roman" w:eastAsia="仿宋" w:cs="Times New Roman"/>
          <w:b/>
          <w:bCs/>
          <w:kern w:val="2"/>
          <w:sz w:val="24"/>
          <w:szCs w:val="24"/>
          <w:highlight w:val="none"/>
          <w:lang w:val="en-US" w:eastAsia="zh-CN" w:bidi="ar-SA"/>
        </w:rPr>
      </w:pPr>
      <w:r>
        <w:rPr>
          <w:rFonts w:ascii="Times New Roman" w:hAnsi="Times New Roman" w:eastAsia="仿宋" w:cs="Times New Roman"/>
          <w:b/>
          <w:bCs/>
          <w:color w:val="FF0000"/>
          <w:kern w:val="2"/>
          <w:sz w:val="24"/>
          <w:szCs w:val="24"/>
          <w:highlight w:val="none"/>
          <w:lang w:val="en-US" w:eastAsia="zh-CN" w:bidi="ar-SA"/>
        </w:rPr>
        <w:t>本项目评标委员会成员</w:t>
      </w:r>
      <w:r>
        <w:rPr>
          <w:rFonts w:hint="eastAsia" w:ascii="Times New Roman" w:hAnsi="Times New Roman" w:eastAsia="仿宋" w:cs="Times New Roman"/>
          <w:b/>
          <w:bCs/>
          <w:color w:val="FF0000"/>
          <w:kern w:val="2"/>
          <w:sz w:val="24"/>
          <w:szCs w:val="24"/>
          <w:highlight w:val="none"/>
          <w:lang w:val="en-US" w:eastAsia="zh-CN" w:bidi="ar-SA"/>
        </w:rPr>
        <w:t>5</w:t>
      </w:r>
      <w:r>
        <w:rPr>
          <w:rFonts w:ascii="Times New Roman" w:hAnsi="Times New Roman" w:eastAsia="仿宋" w:cs="Times New Roman"/>
          <w:b/>
          <w:bCs/>
          <w:color w:val="FF0000"/>
          <w:kern w:val="2"/>
          <w:sz w:val="24"/>
          <w:szCs w:val="24"/>
          <w:highlight w:val="none"/>
          <w:lang w:val="en-US" w:eastAsia="zh-CN" w:bidi="ar-SA"/>
        </w:rPr>
        <w:t>名</w:t>
      </w:r>
    </w:p>
    <w:p w14:paraId="50DAC2E1">
      <w:pPr>
        <w:pStyle w:val="32"/>
        <w:spacing w:line="360" w:lineRule="auto"/>
        <w:ind w:left="850" w:hanging="849" w:hangingChars="354"/>
        <w:jc w:val="both"/>
        <w:rPr>
          <w:rFonts w:ascii="Times New Roman" w:eastAsia="仿宋"/>
        </w:rPr>
      </w:pPr>
      <w:bookmarkStart w:id="156" w:name="_Toc22894"/>
      <w:bookmarkEnd w:id="156"/>
      <w:bookmarkStart w:id="157" w:name="_Toc28541"/>
      <w:bookmarkEnd w:id="157"/>
      <w:bookmarkStart w:id="158" w:name="_Toc518923085"/>
      <w:bookmarkEnd w:id="158"/>
      <w:bookmarkStart w:id="159" w:name="_Toc23348"/>
      <w:bookmarkEnd w:id="159"/>
      <w:bookmarkStart w:id="160" w:name="_Toc6842"/>
      <w:bookmarkEnd w:id="160"/>
      <w:r>
        <w:rPr>
          <w:rFonts w:ascii="Times New Roman" w:eastAsia="仿宋"/>
        </w:rPr>
        <w:t>20.投标文件的符合性审查与澄清</w:t>
      </w:r>
    </w:p>
    <w:p w14:paraId="5D811E5B">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14:paraId="4DD8939A">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14:paraId="7536859E">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14:paraId="02106946">
      <w:pPr>
        <w:spacing w:line="360" w:lineRule="auto"/>
        <w:ind w:left="900" w:hanging="900" w:hangingChars="375"/>
        <w:rPr>
          <w:rFonts w:eastAsia="仿宋"/>
          <w:sz w:val="24"/>
        </w:rPr>
      </w:pPr>
      <w:r>
        <w:rPr>
          <w:rFonts w:eastAsia="仿宋"/>
          <w:sz w:val="24"/>
        </w:rPr>
        <w:t>20.2.2  投标人的澄清、说明或补正将作为投标文件的一部分。</w:t>
      </w:r>
    </w:p>
    <w:p w14:paraId="09E9B05C">
      <w:pPr>
        <w:spacing w:line="360" w:lineRule="auto"/>
        <w:ind w:left="900" w:hanging="900" w:hangingChars="375"/>
        <w:rPr>
          <w:rFonts w:eastAsia="仿宋"/>
          <w:sz w:val="24"/>
        </w:rPr>
      </w:pPr>
      <w:r>
        <w:rPr>
          <w:rFonts w:eastAsia="仿宋"/>
          <w:sz w:val="24"/>
        </w:rPr>
        <w:t>20.3   投标文件报价出现前后不一致的，按照下列规定修正：</w:t>
      </w:r>
    </w:p>
    <w:p w14:paraId="199BF8CA">
      <w:pPr>
        <w:spacing w:line="360" w:lineRule="auto"/>
        <w:ind w:left="1019" w:leftChars="228" w:hanging="540" w:hangingChars="225"/>
        <w:rPr>
          <w:rFonts w:eastAsia="仿宋"/>
          <w:sz w:val="24"/>
        </w:rPr>
      </w:pPr>
      <w:r>
        <w:rPr>
          <w:rFonts w:eastAsia="仿宋"/>
          <w:sz w:val="24"/>
        </w:rPr>
        <w:t>（一）投标文件中开标一览表（报价表）内容与投标文件中相应内容不一致的，以开标一览表（报价表）为准；</w:t>
      </w:r>
    </w:p>
    <w:p w14:paraId="61E042D1">
      <w:pPr>
        <w:spacing w:line="360" w:lineRule="auto"/>
        <w:ind w:left="899" w:leftChars="228" w:hanging="420" w:hangingChars="175"/>
        <w:rPr>
          <w:rFonts w:eastAsia="仿宋"/>
          <w:sz w:val="24"/>
        </w:rPr>
      </w:pPr>
      <w:r>
        <w:rPr>
          <w:rFonts w:eastAsia="仿宋"/>
          <w:sz w:val="24"/>
        </w:rPr>
        <w:t>（二）大写金额和小写金额不一致的，以大写金额为准；</w:t>
      </w:r>
    </w:p>
    <w:p w14:paraId="57D8B8B4">
      <w:pPr>
        <w:spacing w:line="360" w:lineRule="auto"/>
        <w:ind w:left="1019" w:leftChars="228" w:hanging="540" w:hangingChars="225"/>
        <w:rPr>
          <w:rFonts w:eastAsia="仿宋"/>
          <w:sz w:val="24"/>
        </w:rPr>
      </w:pPr>
      <w:r>
        <w:rPr>
          <w:rFonts w:eastAsia="仿宋"/>
          <w:sz w:val="24"/>
        </w:rPr>
        <w:t>（三）单价金额小数点或者百分比有明显错位的，以开标一览表的总价为准，并修改单价；</w:t>
      </w:r>
    </w:p>
    <w:p w14:paraId="6C0B344C">
      <w:pPr>
        <w:spacing w:line="360" w:lineRule="auto"/>
        <w:ind w:left="899" w:leftChars="228" w:hanging="420" w:hangingChars="175"/>
        <w:rPr>
          <w:rFonts w:eastAsia="仿宋"/>
          <w:sz w:val="24"/>
        </w:rPr>
      </w:pPr>
      <w:r>
        <w:rPr>
          <w:rFonts w:eastAsia="仿宋"/>
          <w:sz w:val="24"/>
        </w:rPr>
        <w:t>（四）总价金额与按单价汇总金额不一致的，以单价金额计算结果为准。</w:t>
      </w:r>
    </w:p>
    <w:p w14:paraId="188AA6EC">
      <w:pPr>
        <w:spacing w:line="360" w:lineRule="auto"/>
        <w:ind w:left="958" w:leftChars="456" w:firstLine="60" w:firstLineChars="2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14:paraId="485EC53E">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14:paraId="4E46EE38">
      <w:pPr>
        <w:spacing w:line="360" w:lineRule="auto"/>
        <w:ind w:left="900" w:hanging="900" w:hangingChars="375"/>
        <w:rPr>
          <w:rFonts w:hint="eastAsia"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14:paraId="3B9C7ED7">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14:paraId="7B808687">
      <w:pPr>
        <w:spacing w:line="360" w:lineRule="auto"/>
        <w:ind w:left="900" w:hanging="900" w:hangingChars="375"/>
        <w:rPr>
          <w:rFonts w:hint="eastAsia"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14:paraId="5A613580">
      <w:pPr>
        <w:spacing w:line="360" w:lineRule="auto"/>
        <w:ind w:left="900" w:hanging="900" w:hangingChars="375"/>
        <w:rPr>
          <w:rFonts w:hint="eastAsia"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14:paraId="75F36EF6">
      <w:pPr>
        <w:spacing w:line="360" w:lineRule="auto"/>
        <w:ind w:left="900" w:hanging="900" w:hangingChars="375"/>
        <w:rPr>
          <w:rFonts w:hint="eastAsia" w:eastAsia="仿宋"/>
          <w:sz w:val="24"/>
        </w:rPr>
      </w:pPr>
      <w:r>
        <w:rPr>
          <w:rFonts w:hint="eastAsia" w:eastAsia="仿宋"/>
          <w:sz w:val="24"/>
        </w:rPr>
        <w:t>20.</w:t>
      </w:r>
      <w:r>
        <w:rPr>
          <w:rFonts w:eastAsia="仿宋"/>
          <w:sz w:val="24"/>
        </w:rPr>
        <w:t xml:space="preserve">6   </w:t>
      </w:r>
      <w:r>
        <w:rPr>
          <w:rFonts w:hint="eastAsia" w:eastAsia="仿宋"/>
          <w:sz w:val="24"/>
        </w:rPr>
        <w:t>投标人所投产品如被列入财政部与国家主管部门颁发的节能产品目录或环境标志产品目录或无线局域网产品目录，应提供相关证明，在评标时予以优先采购，具体优先采购办法见第六章评标方法和标准。</w:t>
      </w:r>
    </w:p>
    <w:p w14:paraId="33B3433A">
      <w:pPr>
        <w:pStyle w:val="28"/>
        <w:spacing w:before="0" w:after="0" w:line="360" w:lineRule="auto"/>
        <w:rPr>
          <w:rFonts w:ascii="Times New Roman" w:eastAsia="仿宋"/>
          <w:u w:val="none"/>
        </w:rPr>
      </w:pPr>
      <w:bookmarkStart w:id="162" w:name="_Toc18231"/>
      <w:bookmarkEnd w:id="162"/>
      <w:bookmarkStart w:id="163" w:name="_Toc518923086"/>
      <w:bookmarkEnd w:id="163"/>
      <w:bookmarkStart w:id="164" w:name="_Toc8603"/>
      <w:bookmarkEnd w:id="164"/>
      <w:bookmarkStart w:id="165" w:name="_Toc29689"/>
      <w:bookmarkEnd w:id="165"/>
      <w:bookmarkStart w:id="166" w:name="_Toc19998"/>
      <w:bookmarkEnd w:id="166"/>
      <w:r>
        <w:rPr>
          <w:rFonts w:ascii="Times New Roman" w:eastAsia="仿宋"/>
          <w:u w:val="none"/>
        </w:rPr>
        <w:t>21.投标偏离</w:t>
      </w:r>
    </w:p>
    <w:p w14:paraId="07CF9F77">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14:paraId="018CF4D6">
      <w:pPr>
        <w:pStyle w:val="28"/>
        <w:spacing w:before="0" w:after="0" w:line="360" w:lineRule="auto"/>
        <w:rPr>
          <w:rFonts w:ascii="Times New Roman" w:eastAsia="仿宋"/>
          <w:u w:val="none"/>
        </w:rPr>
      </w:pPr>
      <w:bookmarkStart w:id="167" w:name="_Toc31259"/>
      <w:bookmarkEnd w:id="167"/>
      <w:bookmarkStart w:id="168" w:name="_Toc25255"/>
      <w:bookmarkEnd w:id="168"/>
      <w:bookmarkStart w:id="169" w:name="_Toc518923087"/>
      <w:bookmarkEnd w:id="169"/>
      <w:bookmarkStart w:id="170" w:name="_Toc16356"/>
      <w:bookmarkEnd w:id="170"/>
      <w:bookmarkStart w:id="171" w:name="_Toc31087"/>
      <w:bookmarkEnd w:id="171"/>
      <w:r>
        <w:rPr>
          <w:rFonts w:ascii="Times New Roman" w:eastAsia="仿宋"/>
          <w:u w:val="none"/>
        </w:rPr>
        <w:t>22.投标无效</w:t>
      </w:r>
    </w:p>
    <w:p w14:paraId="28B1632D">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14:paraId="64B6872A">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14:paraId="1477F2BA">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14:paraId="6F54110A">
      <w:pPr>
        <w:numPr>
          <w:ilvl w:val="0"/>
          <w:numId w:val="5"/>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14:paraId="41936913">
      <w:pPr>
        <w:numPr>
          <w:ilvl w:val="0"/>
          <w:numId w:val="5"/>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14:paraId="05FFEF3F">
      <w:pPr>
        <w:numPr>
          <w:ilvl w:val="0"/>
          <w:numId w:val="5"/>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14:paraId="140B7EC8">
      <w:pPr>
        <w:numPr>
          <w:ilvl w:val="0"/>
          <w:numId w:val="5"/>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14:paraId="24F84B89">
      <w:pPr>
        <w:numPr>
          <w:ilvl w:val="0"/>
          <w:numId w:val="5"/>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14:paraId="00B55270">
      <w:pPr>
        <w:numPr>
          <w:ilvl w:val="0"/>
          <w:numId w:val="5"/>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14:paraId="4518E384">
      <w:pPr>
        <w:numPr>
          <w:ilvl w:val="0"/>
          <w:numId w:val="5"/>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14:paraId="543E3433">
      <w:pPr>
        <w:numPr>
          <w:ilvl w:val="0"/>
          <w:numId w:val="5"/>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14:paraId="4BBB8D82">
      <w:pPr>
        <w:spacing w:line="360" w:lineRule="auto"/>
        <w:rPr>
          <w:rFonts w:eastAsia="仿宋"/>
          <w:b/>
          <w:kern w:val="0"/>
          <w:sz w:val="24"/>
          <w:szCs w:val="20"/>
        </w:rPr>
      </w:pPr>
      <w:bookmarkStart w:id="172" w:name="_Toc518923088"/>
      <w:bookmarkEnd w:id="172"/>
      <w:bookmarkStart w:id="173" w:name="_Toc20835"/>
      <w:bookmarkEnd w:id="173"/>
      <w:r>
        <w:rPr>
          <w:rFonts w:eastAsia="仿宋"/>
          <w:b/>
          <w:kern w:val="0"/>
          <w:sz w:val="24"/>
          <w:szCs w:val="20"/>
        </w:rPr>
        <w:t>23.比较与评价</w:t>
      </w:r>
    </w:p>
    <w:p w14:paraId="08EB82A1">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14:paraId="3184C1F6">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14:paraId="5CDD72CB">
      <w:pPr>
        <w:pStyle w:val="37"/>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14:paraId="3150AF88">
      <w:pPr>
        <w:pStyle w:val="37"/>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14:paraId="4BDB0823">
      <w:pPr>
        <w:pStyle w:val="37"/>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本项目采用招标方式：公开招标</w:t>
      </w:r>
    </w:p>
    <w:p w14:paraId="2901454B">
      <w:pPr>
        <w:pStyle w:val="37"/>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评分方法：综合评分法。</w:t>
      </w:r>
    </w:p>
    <w:p w14:paraId="421AC837">
      <w:pPr>
        <w:pStyle w:val="37"/>
        <w:ind w:left="898" w:leftChars="342" w:hanging="180"/>
        <w:rPr>
          <w:rFonts w:hint="eastAsia" w:ascii="楷体" w:hAnsi="楷体" w:eastAsia="楷体"/>
          <w:b/>
          <w:bCs/>
          <w:i/>
          <w:iCs/>
          <w:sz w:val="24"/>
          <w:szCs w:val="24"/>
          <w:u w:val="single"/>
        </w:rPr>
      </w:pPr>
      <w:r>
        <w:rPr>
          <w:rFonts w:hint="eastAsia" w:ascii="楷体" w:hAnsi="楷体" w:eastAsia="楷体"/>
          <w:b/>
          <w:bCs/>
          <w:i/>
          <w:iCs/>
          <w:sz w:val="24"/>
          <w:szCs w:val="24"/>
          <w:u w:val="single"/>
        </w:rPr>
        <w:t>本项目采用政采云线上电子招投标及评标。</w:t>
      </w:r>
    </w:p>
    <w:p w14:paraId="11A09BB5">
      <w:pPr>
        <w:spacing w:line="360" w:lineRule="auto"/>
        <w:ind w:left="720" w:hanging="720" w:hangingChars="300"/>
        <w:rPr>
          <w:rFonts w:eastAsia="仿宋"/>
          <w:sz w:val="24"/>
        </w:rPr>
      </w:pPr>
      <w:bookmarkStart w:id="174" w:name="sendNo"/>
      <w:bookmarkEnd w:id="174"/>
      <w:bookmarkStart w:id="175" w:name="_Toc15234"/>
      <w:bookmarkEnd w:id="175"/>
      <w:bookmarkStart w:id="176" w:name="_Toc46"/>
      <w:bookmarkEnd w:id="176"/>
      <w:r>
        <w:rPr>
          <w:rFonts w:eastAsia="仿宋"/>
          <w:sz w:val="24"/>
        </w:rPr>
        <w:t>23.3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14:paraId="68E3BDA1">
      <w:pPr>
        <w:pStyle w:val="28"/>
        <w:spacing w:before="0" w:after="0" w:line="360" w:lineRule="auto"/>
        <w:rPr>
          <w:rFonts w:ascii="Times New Roman" w:eastAsia="仿宋"/>
          <w:u w:val="none"/>
        </w:rPr>
      </w:pPr>
      <w:bookmarkStart w:id="177" w:name="_Toc5823"/>
      <w:bookmarkEnd w:id="177"/>
      <w:bookmarkStart w:id="178" w:name="_Toc24032"/>
      <w:bookmarkEnd w:id="178"/>
      <w:bookmarkStart w:id="179" w:name="_Toc520356168"/>
      <w:bookmarkEnd w:id="179"/>
      <w:bookmarkStart w:id="180" w:name="_Toc21639"/>
      <w:bookmarkEnd w:id="180"/>
      <w:bookmarkStart w:id="181" w:name="_Toc21286"/>
      <w:bookmarkEnd w:id="181"/>
      <w:bookmarkStart w:id="182" w:name="_Toc518923089"/>
      <w:bookmarkEnd w:id="182"/>
      <w:r>
        <w:rPr>
          <w:rFonts w:ascii="Times New Roman" w:eastAsia="仿宋"/>
          <w:u w:val="none"/>
        </w:rPr>
        <w:t>24.废标</w:t>
      </w:r>
    </w:p>
    <w:p w14:paraId="4CD92C45">
      <w:pPr>
        <w:spacing w:line="360" w:lineRule="auto"/>
        <w:ind w:left="898" w:leftChars="399" w:hanging="60" w:hangingChars="25"/>
        <w:rPr>
          <w:rFonts w:eastAsia="仿宋"/>
          <w:sz w:val="24"/>
        </w:rPr>
      </w:pPr>
      <w:r>
        <w:rPr>
          <w:rFonts w:eastAsia="仿宋"/>
          <w:sz w:val="24"/>
        </w:rPr>
        <w:t>出现下列情形之一，将导致项目废标：</w:t>
      </w:r>
    </w:p>
    <w:p w14:paraId="36A9FEFB">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14:paraId="4631AF94">
      <w:pPr>
        <w:spacing w:line="360" w:lineRule="auto"/>
        <w:ind w:firstLine="720" w:firstLineChars="300"/>
        <w:rPr>
          <w:rFonts w:eastAsia="仿宋"/>
          <w:sz w:val="24"/>
        </w:rPr>
      </w:pPr>
      <w:r>
        <w:rPr>
          <w:rFonts w:eastAsia="仿宋"/>
          <w:sz w:val="24"/>
        </w:rPr>
        <w:t>（2）出现影响采购公正的违法、违规行为的；</w:t>
      </w:r>
    </w:p>
    <w:p w14:paraId="63C2ACD7">
      <w:pPr>
        <w:spacing w:line="360" w:lineRule="auto"/>
        <w:ind w:firstLine="720" w:firstLineChars="300"/>
        <w:rPr>
          <w:rFonts w:eastAsia="仿宋"/>
          <w:sz w:val="24"/>
        </w:rPr>
      </w:pPr>
      <w:r>
        <w:rPr>
          <w:rFonts w:eastAsia="仿宋"/>
          <w:sz w:val="24"/>
        </w:rPr>
        <w:t>（3）投标人的报价均超过了采购预算，采购人不能支付的；</w:t>
      </w:r>
    </w:p>
    <w:p w14:paraId="6E0D839C">
      <w:pPr>
        <w:spacing w:line="360" w:lineRule="auto"/>
        <w:ind w:firstLine="720" w:firstLineChars="300"/>
        <w:rPr>
          <w:rFonts w:eastAsia="仿宋"/>
          <w:sz w:val="24"/>
        </w:rPr>
      </w:pPr>
      <w:r>
        <w:rPr>
          <w:rFonts w:eastAsia="仿宋"/>
          <w:sz w:val="24"/>
        </w:rPr>
        <w:t>（4）因重大变故，采购任务取消的。</w:t>
      </w:r>
    </w:p>
    <w:p w14:paraId="624A929D">
      <w:pPr>
        <w:pStyle w:val="28"/>
        <w:spacing w:before="0" w:after="0" w:line="360" w:lineRule="auto"/>
        <w:rPr>
          <w:rFonts w:ascii="Times New Roman" w:eastAsia="仿宋"/>
          <w:u w:val="none"/>
        </w:rPr>
      </w:pPr>
      <w:bookmarkStart w:id="183" w:name="_Toc518923090"/>
      <w:bookmarkEnd w:id="183"/>
      <w:bookmarkStart w:id="184" w:name="_Toc32068"/>
      <w:bookmarkEnd w:id="184"/>
      <w:bookmarkStart w:id="185" w:name="_Toc10697"/>
      <w:bookmarkEnd w:id="185"/>
      <w:bookmarkStart w:id="186" w:name="_Toc9809"/>
      <w:bookmarkEnd w:id="186"/>
      <w:bookmarkStart w:id="187" w:name="_Toc23660"/>
      <w:bookmarkEnd w:id="187"/>
      <w:r>
        <w:rPr>
          <w:rFonts w:ascii="Times New Roman" w:eastAsia="仿宋"/>
          <w:u w:val="none"/>
        </w:rPr>
        <w:t>25.保密原则</w:t>
      </w:r>
    </w:p>
    <w:p w14:paraId="7CDE62CB">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14:paraId="327D23CA">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14:paraId="65B0F2EC">
      <w:pPr>
        <w:spacing w:line="360" w:lineRule="auto"/>
        <w:ind w:left="1080" w:leftChars="257" w:hanging="540"/>
        <w:rPr>
          <w:rFonts w:eastAsia="仿宋"/>
          <w:sz w:val="24"/>
        </w:rPr>
      </w:pPr>
    </w:p>
    <w:p w14:paraId="7C81117B">
      <w:pPr>
        <w:pStyle w:val="27"/>
        <w:spacing w:before="0" w:line="360" w:lineRule="auto"/>
        <w:rPr>
          <w:rFonts w:eastAsia="仿宋"/>
          <w:sz w:val="24"/>
        </w:rPr>
      </w:pPr>
      <w:bookmarkStart w:id="188" w:name="_Toc518923091"/>
      <w:bookmarkEnd w:id="188"/>
      <w:bookmarkStart w:id="189" w:name="_Toc10964"/>
      <w:bookmarkEnd w:id="189"/>
      <w:bookmarkStart w:id="190" w:name="_Toc30573"/>
      <w:bookmarkEnd w:id="190"/>
      <w:bookmarkStart w:id="191" w:name="_Toc905"/>
      <w:bookmarkEnd w:id="191"/>
      <w:bookmarkStart w:id="192" w:name="_Toc15684"/>
      <w:bookmarkEnd w:id="192"/>
      <w:bookmarkStart w:id="193" w:name="_Toc216582810"/>
      <w:bookmarkEnd w:id="193"/>
      <w:r>
        <w:rPr>
          <w:rFonts w:eastAsia="仿宋"/>
          <w:sz w:val="24"/>
        </w:rPr>
        <w:t>六</w:t>
      </w:r>
      <w:r>
        <w:rPr>
          <w:rFonts w:hint="eastAsia" w:eastAsia="仿宋"/>
          <w:sz w:val="24"/>
          <w:lang w:eastAsia="zh-CN"/>
        </w:rPr>
        <w:t>、</w:t>
      </w:r>
      <w:r>
        <w:rPr>
          <w:rFonts w:eastAsia="仿宋"/>
          <w:sz w:val="24"/>
        </w:rPr>
        <w:t>确定中标</w:t>
      </w:r>
    </w:p>
    <w:p w14:paraId="406A3CFB">
      <w:pPr>
        <w:pStyle w:val="32"/>
        <w:spacing w:line="360" w:lineRule="auto"/>
        <w:rPr>
          <w:rFonts w:ascii="Times New Roman" w:eastAsia="仿宋"/>
        </w:rPr>
      </w:pPr>
    </w:p>
    <w:p w14:paraId="6C8FCBE3">
      <w:pPr>
        <w:pStyle w:val="28"/>
        <w:spacing w:before="0" w:after="0" w:line="360" w:lineRule="auto"/>
        <w:rPr>
          <w:rFonts w:ascii="Times New Roman" w:eastAsia="仿宋"/>
          <w:u w:val="none"/>
        </w:rPr>
      </w:pPr>
      <w:bookmarkStart w:id="194" w:name="_Toc520356170"/>
      <w:bookmarkEnd w:id="194"/>
      <w:bookmarkStart w:id="195" w:name="_Toc11388"/>
      <w:bookmarkEnd w:id="195"/>
      <w:bookmarkStart w:id="196" w:name="_Toc518923092"/>
      <w:bookmarkEnd w:id="196"/>
      <w:bookmarkStart w:id="197" w:name="_Ref467307010"/>
      <w:bookmarkEnd w:id="197"/>
      <w:bookmarkStart w:id="198" w:name="_Toc5793"/>
      <w:bookmarkEnd w:id="198"/>
      <w:bookmarkStart w:id="199" w:name="_Toc32578"/>
      <w:bookmarkEnd w:id="199"/>
      <w:bookmarkStart w:id="200" w:name="_Toc30436"/>
      <w:bookmarkEnd w:id="200"/>
      <w:r>
        <w:rPr>
          <w:rFonts w:ascii="Times New Roman" w:eastAsia="仿宋"/>
          <w:u w:val="none"/>
        </w:rPr>
        <w:t>26.中标候选人的确定原则及标准</w:t>
      </w:r>
    </w:p>
    <w:p w14:paraId="579BB1F9">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14:paraId="0A549529">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14:paraId="6201EBD3">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14:paraId="71FAE399">
      <w:pPr>
        <w:pStyle w:val="28"/>
        <w:spacing w:before="0" w:after="0" w:line="360" w:lineRule="auto"/>
        <w:rPr>
          <w:rFonts w:ascii="Times New Roman" w:eastAsia="仿宋"/>
          <w:u w:val="none"/>
        </w:rPr>
      </w:pPr>
      <w:bookmarkStart w:id="201" w:name="_Toc518923093"/>
      <w:bookmarkEnd w:id="201"/>
      <w:bookmarkStart w:id="202" w:name="_Toc520356171"/>
      <w:bookmarkEnd w:id="202"/>
      <w:bookmarkStart w:id="203" w:name="_Toc30599"/>
      <w:bookmarkEnd w:id="203"/>
      <w:bookmarkStart w:id="204" w:name="_Toc32655"/>
      <w:bookmarkEnd w:id="204"/>
      <w:bookmarkStart w:id="205" w:name="_Toc3646"/>
      <w:bookmarkEnd w:id="205"/>
      <w:bookmarkStart w:id="206" w:name="_Toc10555"/>
      <w:bookmarkEnd w:id="206"/>
      <w:r>
        <w:rPr>
          <w:rFonts w:ascii="Times New Roman" w:eastAsia="仿宋"/>
          <w:u w:val="none"/>
        </w:rPr>
        <w:t>27.确定中标候选人和中标人</w:t>
      </w:r>
    </w:p>
    <w:p w14:paraId="34A8B2D7">
      <w:pPr>
        <w:spacing w:line="360" w:lineRule="auto"/>
        <w:ind w:left="900" w:hanging="900" w:hangingChars="375"/>
        <w:rPr>
          <w:rFonts w:eastAsia="仿宋"/>
          <w:sz w:val="24"/>
        </w:rPr>
      </w:pPr>
      <w:r>
        <w:rPr>
          <w:rFonts w:eastAsia="仿宋"/>
          <w:sz w:val="24"/>
        </w:rPr>
        <w:tab/>
      </w:r>
      <w:r>
        <w:rPr>
          <w:rFonts w:eastAsia="仿宋"/>
          <w:sz w:val="24"/>
        </w:rPr>
        <w:t>评标委员会将根据评标标准，按</w:t>
      </w:r>
      <w:r>
        <w:rPr>
          <w:rFonts w:eastAsia="仿宋"/>
          <w:b/>
          <w:bCs/>
          <w:sz w:val="24"/>
          <w:u w:val="single"/>
        </w:rPr>
        <w:t>投标人须知资料表</w:t>
      </w:r>
      <w:r>
        <w:rPr>
          <w:rFonts w:eastAsia="仿宋"/>
          <w:sz w:val="24"/>
        </w:rPr>
        <w:t>中规定数量推荐中标候选人；或根据采购人的委托，直接确定中标人。</w:t>
      </w:r>
    </w:p>
    <w:p w14:paraId="3AD53A6A">
      <w:pPr>
        <w:pStyle w:val="28"/>
        <w:tabs>
          <w:tab w:val="left" w:pos="900"/>
        </w:tabs>
        <w:spacing w:before="0" w:after="0" w:line="360" w:lineRule="auto"/>
        <w:rPr>
          <w:rFonts w:ascii="Times New Roman" w:eastAsia="仿宋"/>
          <w:u w:val="none"/>
        </w:rPr>
      </w:pPr>
      <w:bookmarkStart w:id="207" w:name="_Toc1426"/>
      <w:bookmarkEnd w:id="207"/>
      <w:bookmarkStart w:id="208" w:name="_Toc518923094"/>
      <w:bookmarkEnd w:id="208"/>
      <w:bookmarkStart w:id="209" w:name="_Toc17138"/>
      <w:bookmarkEnd w:id="209"/>
      <w:bookmarkStart w:id="210" w:name="_Toc19263"/>
      <w:bookmarkEnd w:id="210"/>
      <w:bookmarkStart w:id="211" w:name="_Toc520356173"/>
      <w:bookmarkEnd w:id="211"/>
      <w:bookmarkStart w:id="212" w:name="_Ref467306874"/>
      <w:bookmarkEnd w:id="212"/>
      <w:bookmarkStart w:id="213" w:name="_Toc31903"/>
      <w:bookmarkEnd w:id="213"/>
      <w:r>
        <w:rPr>
          <w:rFonts w:ascii="Times New Roman" w:eastAsia="仿宋"/>
          <w:u w:val="none"/>
        </w:rPr>
        <w:t>28.采购任务取消</w:t>
      </w:r>
    </w:p>
    <w:p w14:paraId="2DD99189">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14:paraId="0928ADE2">
      <w:pPr>
        <w:pStyle w:val="28"/>
        <w:spacing w:before="0" w:after="0" w:line="360" w:lineRule="auto"/>
        <w:rPr>
          <w:rFonts w:ascii="Times New Roman" w:eastAsia="仿宋"/>
          <w:u w:val="none"/>
        </w:rPr>
      </w:pPr>
      <w:bookmarkStart w:id="214" w:name="_Toc518923095"/>
      <w:bookmarkEnd w:id="214"/>
      <w:bookmarkStart w:id="215" w:name="_Toc29889"/>
      <w:bookmarkEnd w:id="215"/>
      <w:bookmarkStart w:id="216" w:name="_Toc14874"/>
      <w:bookmarkEnd w:id="216"/>
      <w:bookmarkStart w:id="217" w:name="_Toc32362"/>
      <w:bookmarkEnd w:id="217"/>
      <w:bookmarkStart w:id="218" w:name="_Toc18072"/>
      <w:bookmarkEnd w:id="218"/>
      <w:r>
        <w:rPr>
          <w:rFonts w:ascii="Times New Roman" w:eastAsia="仿宋"/>
          <w:u w:val="none"/>
        </w:rPr>
        <w:t>29.中标通知书和招标结果通知书</w:t>
      </w:r>
    </w:p>
    <w:p w14:paraId="6B8F8749">
      <w:pPr>
        <w:spacing w:line="360" w:lineRule="auto"/>
        <w:ind w:left="900" w:hanging="900" w:hangingChars="375"/>
        <w:rPr>
          <w:rFonts w:eastAsia="仿宋"/>
          <w:sz w:val="24"/>
        </w:rPr>
      </w:pPr>
      <w:r>
        <w:rPr>
          <w:rFonts w:eastAsia="仿宋"/>
          <w:sz w:val="24"/>
        </w:rPr>
        <w:t>29.1</w:t>
      </w:r>
      <w:r>
        <w:rPr>
          <w:rFonts w:eastAsia="仿宋"/>
          <w:sz w:val="24"/>
        </w:rPr>
        <w:tab/>
      </w:r>
      <w:r>
        <w:rPr>
          <w:rFonts w:eastAsia="仿宋"/>
          <w:sz w:val="24"/>
        </w:rPr>
        <w:t>在投标有效期内，中标人确定后，采购人或者采购代理机构发布中标公告，同时以书面形式向中标人发出中标通知书；</w:t>
      </w:r>
    </w:p>
    <w:p w14:paraId="5BB33996">
      <w:pPr>
        <w:spacing w:line="360" w:lineRule="auto"/>
        <w:ind w:left="900" w:hanging="900" w:hangingChars="375"/>
        <w:rPr>
          <w:rFonts w:eastAsia="仿宋"/>
          <w:sz w:val="24"/>
        </w:rPr>
      </w:pPr>
      <w:r>
        <w:rPr>
          <w:rFonts w:eastAsia="仿宋"/>
          <w:sz w:val="24"/>
        </w:rPr>
        <w:t>29.2</w:t>
      </w:r>
      <w:r>
        <w:rPr>
          <w:rFonts w:eastAsia="仿宋"/>
          <w:sz w:val="24"/>
        </w:rPr>
        <w:tab/>
      </w:r>
      <w:r>
        <w:rPr>
          <w:rFonts w:eastAsia="仿宋"/>
          <w:sz w:val="24"/>
        </w:rPr>
        <w:t>中标通知书是合同的组成部分；</w:t>
      </w:r>
    </w:p>
    <w:p w14:paraId="0101495A">
      <w:pPr>
        <w:spacing w:line="360" w:lineRule="auto"/>
        <w:ind w:left="900" w:hanging="900" w:hangingChars="375"/>
        <w:rPr>
          <w:rFonts w:eastAsia="仿宋"/>
          <w:sz w:val="24"/>
        </w:rPr>
      </w:pPr>
      <w:r>
        <w:rPr>
          <w:rFonts w:eastAsia="仿宋"/>
          <w:sz w:val="24"/>
        </w:rPr>
        <w:t>29.3    招标结果通知书和中标通知书同时发出。招标结果通知书中将告知未通过资格审查的投标人未通过的原因；采用综合评分法评审的，还将告知未中标人本人的评审得分和排序。</w:t>
      </w:r>
    </w:p>
    <w:p w14:paraId="4DC04879">
      <w:pPr>
        <w:pStyle w:val="28"/>
        <w:spacing w:before="0" w:after="0" w:line="360" w:lineRule="auto"/>
        <w:rPr>
          <w:rFonts w:ascii="Times New Roman" w:eastAsia="仿宋"/>
          <w:u w:val="none"/>
        </w:rPr>
      </w:pPr>
      <w:bookmarkStart w:id="219" w:name="_Toc10798"/>
      <w:bookmarkEnd w:id="219"/>
      <w:bookmarkStart w:id="220" w:name="_Ref467307204"/>
      <w:bookmarkEnd w:id="220"/>
      <w:bookmarkStart w:id="221" w:name="_Ref467307062"/>
      <w:bookmarkEnd w:id="221"/>
      <w:bookmarkStart w:id="222" w:name="_Ref467306377"/>
      <w:bookmarkEnd w:id="222"/>
      <w:bookmarkStart w:id="223" w:name="_Ref467306978"/>
      <w:bookmarkEnd w:id="223"/>
      <w:bookmarkStart w:id="224" w:name="_Toc16952"/>
      <w:bookmarkEnd w:id="224"/>
      <w:bookmarkStart w:id="225" w:name="_Toc169"/>
      <w:bookmarkEnd w:id="225"/>
      <w:bookmarkStart w:id="226" w:name="_Toc520356175"/>
      <w:bookmarkEnd w:id="226"/>
      <w:bookmarkStart w:id="227" w:name="_Toc518923096"/>
      <w:bookmarkEnd w:id="227"/>
      <w:bookmarkStart w:id="228" w:name="_Toc13825"/>
      <w:bookmarkEnd w:id="228"/>
      <w:r>
        <w:rPr>
          <w:rFonts w:ascii="Times New Roman" w:eastAsia="仿宋"/>
          <w:u w:val="none"/>
        </w:rPr>
        <w:t>30.签订合同</w:t>
      </w:r>
    </w:p>
    <w:p w14:paraId="73D02366">
      <w:pPr>
        <w:spacing w:line="360" w:lineRule="auto"/>
        <w:ind w:left="900" w:hanging="900" w:hangingChars="375"/>
        <w:rPr>
          <w:rFonts w:eastAsia="仿宋"/>
          <w:sz w:val="24"/>
        </w:rPr>
      </w:pPr>
      <w:r>
        <w:rPr>
          <w:rFonts w:eastAsia="仿宋"/>
          <w:sz w:val="24"/>
        </w:rPr>
        <w:t>30.1</w:t>
      </w:r>
      <w:r>
        <w:rPr>
          <w:rFonts w:eastAsia="仿宋"/>
          <w:sz w:val="24"/>
        </w:rPr>
        <w:tab/>
      </w:r>
      <w:r>
        <w:rPr>
          <w:rFonts w:eastAsia="仿宋"/>
          <w:sz w:val="24"/>
        </w:rPr>
        <w:t>中标人应当自发出中标通知书之日起30日内，与采购人签订合同。</w:t>
      </w:r>
    </w:p>
    <w:p w14:paraId="7F629FF8">
      <w:pPr>
        <w:spacing w:line="360" w:lineRule="auto"/>
        <w:ind w:left="900" w:hanging="900" w:hangingChars="375"/>
        <w:rPr>
          <w:rFonts w:eastAsia="仿宋"/>
          <w:sz w:val="24"/>
        </w:rPr>
      </w:pPr>
      <w:r>
        <w:rPr>
          <w:rFonts w:eastAsia="仿宋"/>
          <w:sz w:val="24"/>
        </w:rPr>
        <w:t>30.2</w:t>
      </w:r>
      <w:r>
        <w:rPr>
          <w:rFonts w:eastAsia="仿宋"/>
          <w:sz w:val="24"/>
        </w:rPr>
        <w:tab/>
      </w:r>
      <w:r>
        <w:rPr>
          <w:rFonts w:eastAsia="仿宋"/>
          <w:sz w:val="24"/>
        </w:rPr>
        <w:t>招标文件、中标人的投标文件及其澄清文件等，均为签订合同的依据。</w:t>
      </w:r>
    </w:p>
    <w:p w14:paraId="07C31F45">
      <w:pPr>
        <w:spacing w:line="360" w:lineRule="auto"/>
        <w:ind w:left="900" w:hanging="900" w:hangingChars="375"/>
        <w:rPr>
          <w:rFonts w:eastAsia="仿宋"/>
          <w:sz w:val="24"/>
        </w:rPr>
      </w:pPr>
      <w:r>
        <w:rPr>
          <w:rFonts w:eastAsia="仿宋"/>
          <w:sz w:val="24"/>
        </w:rPr>
        <w:t>30.3   中标人拒绝与采购人签订合同的，采购人可以按照评审报告推荐的中标候选人名单排序，确定下一中标候选人为中标人，也可以重新开展政府采购活动。</w:t>
      </w:r>
    </w:p>
    <w:p w14:paraId="77947A1A">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14:paraId="61AFE0A7">
      <w:pPr>
        <w:pStyle w:val="28"/>
        <w:spacing w:before="0" w:after="0" w:line="360" w:lineRule="auto"/>
        <w:rPr>
          <w:rFonts w:ascii="Times New Roman" w:eastAsia="仿宋"/>
          <w:u w:val="none"/>
        </w:rPr>
      </w:pPr>
      <w:bookmarkStart w:id="229" w:name="_Toc32554"/>
      <w:bookmarkEnd w:id="229"/>
      <w:bookmarkStart w:id="230" w:name="_Toc31416"/>
      <w:bookmarkEnd w:id="230"/>
      <w:bookmarkStart w:id="231" w:name="_Toc518923097"/>
      <w:bookmarkEnd w:id="231"/>
      <w:bookmarkStart w:id="232" w:name="_Toc4302"/>
      <w:bookmarkEnd w:id="232"/>
      <w:bookmarkStart w:id="233" w:name="_Toc8276"/>
      <w:bookmarkEnd w:id="233"/>
      <w:r>
        <w:rPr>
          <w:rFonts w:ascii="Times New Roman" w:eastAsia="仿宋"/>
          <w:u w:val="none"/>
        </w:rPr>
        <w:t>31.履约保证金</w:t>
      </w:r>
    </w:p>
    <w:p w14:paraId="3E9C3194">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14:paraId="2D15671E">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14:paraId="7E8A0055">
      <w:pPr>
        <w:spacing w:line="360" w:lineRule="auto"/>
        <w:ind w:left="900" w:hanging="900" w:hangingChars="375"/>
        <w:rPr>
          <w:rFonts w:eastAsia="仿宋"/>
          <w:sz w:val="24"/>
        </w:rPr>
      </w:pPr>
      <w:r>
        <w:rPr>
          <w:rFonts w:eastAsia="仿宋"/>
          <w:sz w:val="24"/>
        </w:rPr>
        <w:t>31.3   如果中标人没有按照上述履约保证金的规定执行，将视为放弃中标资格，中标人的投标保证金将不予退还。在此情况下，采购人可确定下一候选人为中标人，也可以重新开展采购活动。</w:t>
      </w:r>
    </w:p>
    <w:p w14:paraId="50CEA062">
      <w:pPr>
        <w:pStyle w:val="28"/>
        <w:spacing w:before="0" w:after="0" w:line="360" w:lineRule="auto"/>
        <w:rPr>
          <w:rFonts w:ascii="Times New Roman" w:eastAsia="仿宋"/>
          <w:u w:val="none"/>
        </w:rPr>
      </w:pPr>
      <w:bookmarkStart w:id="234" w:name="_Toc26060"/>
      <w:bookmarkEnd w:id="234"/>
      <w:bookmarkStart w:id="235" w:name="_Toc518923098"/>
      <w:bookmarkEnd w:id="235"/>
      <w:bookmarkStart w:id="236" w:name="_Toc8478"/>
      <w:bookmarkEnd w:id="236"/>
      <w:bookmarkStart w:id="237" w:name="_Toc17150"/>
      <w:bookmarkEnd w:id="237"/>
      <w:bookmarkStart w:id="238" w:name="_Toc8476"/>
      <w:bookmarkEnd w:id="238"/>
      <w:r>
        <w:rPr>
          <w:rFonts w:ascii="Times New Roman" w:eastAsia="仿宋"/>
          <w:u w:val="none"/>
        </w:rPr>
        <w:t>32.中标服务费</w:t>
      </w:r>
    </w:p>
    <w:p w14:paraId="7438F856">
      <w:pPr>
        <w:spacing w:line="360" w:lineRule="auto"/>
        <w:ind w:left="840" w:leftChars="200" w:hanging="420" w:hangingChars="175"/>
        <w:rPr>
          <w:rFonts w:eastAsia="仿宋"/>
          <w:sz w:val="24"/>
        </w:rPr>
      </w:pPr>
      <w:r>
        <w:rPr>
          <w:rFonts w:eastAsia="仿宋"/>
          <w:sz w:val="24"/>
        </w:rPr>
        <w:t>本项目由集采机构代理，无中标服务费。</w:t>
      </w:r>
    </w:p>
    <w:p w14:paraId="43AFAB17">
      <w:pPr>
        <w:pStyle w:val="28"/>
        <w:spacing w:before="0" w:after="0" w:line="360" w:lineRule="auto"/>
        <w:rPr>
          <w:rFonts w:ascii="Times New Roman" w:eastAsia="仿宋"/>
          <w:u w:val="none"/>
        </w:rPr>
      </w:pPr>
      <w:bookmarkStart w:id="239" w:name="_Toc16784"/>
      <w:bookmarkEnd w:id="239"/>
      <w:bookmarkStart w:id="240" w:name="_Toc30165"/>
      <w:bookmarkEnd w:id="240"/>
      <w:bookmarkStart w:id="241" w:name="_Toc10203"/>
      <w:bookmarkEnd w:id="241"/>
      <w:bookmarkStart w:id="242" w:name="_Toc518923099"/>
      <w:bookmarkEnd w:id="242"/>
      <w:bookmarkStart w:id="243" w:name="_Toc31411"/>
      <w:bookmarkEnd w:id="243"/>
      <w:r>
        <w:rPr>
          <w:rFonts w:ascii="Times New Roman" w:eastAsia="仿宋"/>
          <w:u w:val="none"/>
        </w:rPr>
        <w:t>33.政府采购信用担保</w:t>
      </w:r>
    </w:p>
    <w:p w14:paraId="25F282E0">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14:paraId="0FFBF4DB">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14:paraId="5208D982">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14:paraId="7F78C5E4">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14:paraId="12E54A60">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14:paraId="60643346">
      <w:pPr>
        <w:pStyle w:val="28"/>
        <w:spacing w:before="0" w:after="0" w:line="360" w:lineRule="auto"/>
        <w:rPr>
          <w:rFonts w:ascii="Times New Roman" w:eastAsia="仿宋"/>
          <w:u w:val="none"/>
        </w:rPr>
      </w:pPr>
      <w:bookmarkStart w:id="244" w:name="_Toc518923100"/>
      <w:bookmarkEnd w:id="244"/>
      <w:bookmarkStart w:id="245" w:name="_Toc23516"/>
      <w:bookmarkEnd w:id="245"/>
      <w:bookmarkStart w:id="246" w:name="_Toc4701"/>
      <w:bookmarkEnd w:id="246"/>
      <w:bookmarkStart w:id="247" w:name="_Toc32108"/>
      <w:bookmarkEnd w:id="247"/>
      <w:bookmarkStart w:id="248" w:name="_Toc28987"/>
      <w:bookmarkEnd w:id="248"/>
      <w:r>
        <w:rPr>
          <w:rFonts w:ascii="Times New Roman" w:eastAsia="仿宋"/>
          <w:u w:val="none"/>
        </w:rPr>
        <w:t>34.廉洁自律规定</w:t>
      </w:r>
    </w:p>
    <w:p w14:paraId="6EA1F981">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14:paraId="178AB630">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14:paraId="1D5DA15E">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14:paraId="1B115DCC">
      <w:pPr>
        <w:pStyle w:val="28"/>
        <w:spacing w:before="0" w:after="0" w:line="360" w:lineRule="auto"/>
        <w:rPr>
          <w:rFonts w:ascii="Times New Roman" w:eastAsia="仿宋"/>
          <w:u w:val="none"/>
        </w:rPr>
      </w:pPr>
      <w:bookmarkStart w:id="249" w:name="_Toc30899"/>
      <w:bookmarkEnd w:id="249"/>
      <w:bookmarkStart w:id="250" w:name="_Toc743"/>
      <w:bookmarkEnd w:id="250"/>
      <w:bookmarkStart w:id="251" w:name="_Toc21055"/>
      <w:bookmarkEnd w:id="251"/>
      <w:bookmarkStart w:id="252" w:name="_Toc404"/>
      <w:bookmarkEnd w:id="252"/>
      <w:bookmarkStart w:id="253" w:name="_Toc518923101"/>
      <w:bookmarkEnd w:id="253"/>
      <w:r>
        <w:rPr>
          <w:rFonts w:ascii="Times New Roman" w:eastAsia="仿宋"/>
          <w:u w:val="none"/>
        </w:rPr>
        <w:t>35.人员回避</w:t>
      </w:r>
    </w:p>
    <w:p w14:paraId="6DD8DDBC">
      <w:pPr>
        <w:spacing w:line="360" w:lineRule="auto"/>
        <w:ind w:left="958" w:leftChars="456" w:firstLine="60" w:firstLineChars="25"/>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14:paraId="0518F7FE">
      <w:pPr>
        <w:pStyle w:val="28"/>
        <w:spacing w:before="0" w:after="0" w:line="360" w:lineRule="auto"/>
        <w:rPr>
          <w:rFonts w:ascii="Times New Roman" w:eastAsia="仿宋"/>
          <w:u w:val="none"/>
        </w:rPr>
      </w:pPr>
      <w:bookmarkStart w:id="254" w:name="_Toc14752"/>
      <w:bookmarkEnd w:id="254"/>
      <w:bookmarkStart w:id="255" w:name="_Toc31346"/>
      <w:bookmarkEnd w:id="255"/>
      <w:bookmarkStart w:id="256" w:name="_Toc12494"/>
      <w:bookmarkEnd w:id="256"/>
      <w:bookmarkStart w:id="257" w:name="_Toc518923102"/>
      <w:bookmarkEnd w:id="257"/>
      <w:bookmarkStart w:id="258" w:name="_Toc24931"/>
      <w:bookmarkEnd w:id="258"/>
      <w:r>
        <w:rPr>
          <w:rFonts w:ascii="Times New Roman" w:eastAsia="仿宋"/>
          <w:u w:val="none"/>
        </w:rPr>
        <w:t>36.质疑与接收</w:t>
      </w:r>
    </w:p>
    <w:p w14:paraId="05822EA2">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3B0748CB">
      <w:pPr>
        <w:spacing w:line="360" w:lineRule="auto"/>
        <w:ind w:left="851" w:leftChars="68" w:hanging="708" w:hangingChars="295"/>
        <w:rPr>
          <w:rFonts w:eastAsia="仿宋"/>
          <w:sz w:val="24"/>
        </w:rPr>
      </w:pPr>
      <w:r>
        <w:rPr>
          <w:rFonts w:eastAsia="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1E600991">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14:paraId="3B09E795">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14:paraId="37F9E4FB">
      <w:pPr>
        <w:spacing w:line="360" w:lineRule="auto"/>
        <w:ind w:left="851" w:leftChars="68" w:hanging="708" w:hangingChars="295"/>
        <w:rPr>
          <w:rFonts w:hint="eastAsia" w:eastAsia="仿宋"/>
          <w:sz w:val="24"/>
        </w:rPr>
      </w:pPr>
      <w:r>
        <w:rPr>
          <w:rFonts w:hint="eastAsia" w:eastAsia="仿宋"/>
          <w:sz w:val="24"/>
        </w:rPr>
        <w:t>36.4  质疑的提出：一次提出全部质疑</w:t>
      </w:r>
    </w:p>
    <w:p w14:paraId="26F955EF">
      <w:pPr>
        <w:spacing w:line="360" w:lineRule="auto"/>
        <w:ind w:left="851" w:leftChars="68" w:hanging="708" w:hangingChars="295"/>
        <w:rPr>
          <w:rFonts w:hint="eastAsia"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14:paraId="7806276F">
      <w:pPr>
        <w:spacing w:line="360" w:lineRule="auto"/>
        <w:ind w:left="851" w:leftChars="68" w:hanging="708" w:hangingChars="295"/>
        <w:rPr>
          <w:rFonts w:hint="eastAsia"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14:paraId="6EFBA285">
      <w:pPr>
        <w:spacing w:line="360" w:lineRule="auto"/>
        <w:ind w:left="851" w:leftChars="68" w:hanging="708" w:hangingChars="295"/>
        <w:rPr>
          <w:rFonts w:hint="eastAsia" w:eastAsia="仿宋"/>
          <w:sz w:val="24"/>
        </w:rPr>
      </w:pPr>
      <w:r>
        <w:rPr>
          <w:rFonts w:hint="eastAsia" w:eastAsia="仿宋"/>
          <w:sz w:val="24"/>
        </w:rPr>
        <w:t>（一）对可以质疑的采购文件提出质疑的，为收到采购文件之日或者采购文件公告期限届满之日；</w:t>
      </w:r>
    </w:p>
    <w:p w14:paraId="1D7240FE">
      <w:pPr>
        <w:spacing w:line="360" w:lineRule="auto"/>
        <w:ind w:left="851" w:leftChars="68" w:hanging="708" w:hangingChars="295"/>
        <w:rPr>
          <w:rFonts w:hint="eastAsia" w:eastAsia="仿宋"/>
          <w:sz w:val="24"/>
        </w:rPr>
      </w:pPr>
      <w:r>
        <w:rPr>
          <w:rFonts w:hint="eastAsia" w:eastAsia="仿宋"/>
          <w:sz w:val="24"/>
        </w:rPr>
        <w:t>（二）对采购过程提出质疑的，为各采购程序环节结束之日；</w:t>
      </w:r>
    </w:p>
    <w:p w14:paraId="3A6C043F">
      <w:pPr>
        <w:spacing w:line="360" w:lineRule="auto"/>
        <w:ind w:left="851" w:leftChars="68" w:hanging="708" w:hangingChars="295"/>
        <w:rPr>
          <w:rFonts w:hint="eastAsia" w:eastAsia="仿宋"/>
          <w:sz w:val="24"/>
        </w:rPr>
      </w:pPr>
      <w:r>
        <w:rPr>
          <w:rFonts w:hint="eastAsia" w:eastAsia="仿宋"/>
          <w:sz w:val="24"/>
        </w:rPr>
        <w:t>（三）对成交结果提出质疑的，为成交结果公告期限届满之日。</w:t>
      </w:r>
    </w:p>
    <w:p w14:paraId="6950CEC3">
      <w:pPr>
        <w:spacing w:line="360" w:lineRule="auto"/>
        <w:ind w:left="851" w:leftChars="68" w:hanging="708" w:hangingChars="295"/>
        <w:rPr>
          <w:rFonts w:hint="eastAsia"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14:paraId="79D89797">
      <w:pPr>
        <w:spacing w:line="360" w:lineRule="auto"/>
        <w:ind w:left="851" w:leftChars="68" w:hanging="708" w:hangingChars="295"/>
        <w:rPr>
          <w:rFonts w:hint="eastAsia"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6B7B952F">
      <w:pPr>
        <w:spacing w:line="360" w:lineRule="auto"/>
        <w:ind w:left="851" w:leftChars="68" w:hanging="708" w:hangingChars="295"/>
        <w:rPr>
          <w:rFonts w:hint="eastAsia" w:eastAsia="仿宋"/>
          <w:sz w:val="24"/>
        </w:rPr>
      </w:pPr>
      <w:r>
        <w:rPr>
          <w:rFonts w:hint="eastAsia" w:eastAsia="仿宋"/>
          <w:sz w:val="24"/>
        </w:rPr>
        <w:t>36.9  提出质疑应当符合下列条件：</w:t>
      </w:r>
    </w:p>
    <w:p w14:paraId="2A6063F2">
      <w:pPr>
        <w:spacing w:line="360" w:lineRule="auto"/>
        <w:ind w:left="851" w:leftChars="68" w:hanging="708" w:hangingChars="295"/>
        <w:rPr>
          <w:rFonts w:hint="eastAsia" w:eastAsia="仿宋"/>
          <w:sz w:val="24"/>
        </w:rPr>
      </w:pPr>
      <w:r>
        <w:rPr>
          <w:rFonts w:hint="eastAsia" w:eastAsia="仿宋"/>
          <w:sz w:val="24"/>
        </w:rPr>
        <w:t>（一）质疑主体应当符合有关规定；</w:t>
      </w:r>
    </w:p>
    <w:p w14:paraId="2E0F8D2C">
      <w:pPr>
        <w:spacing w:line="360" w:lineRule="auto"/>
        <w:ind w:left="851" w:leftChars="68" w:hanging="708" w:hangingChars="295"/>
        <w:rPr>
          <w:rFonts w:hint="eastAsia" w:eastAsia="仿宋"/>
          <w:sz w:val="24"/>
        </w:rPr>
      </w:pPr>
      <w:r>
        <w:rPr>
          <w:rFonts w:hint="eastAsia" w:eastAsia="仿宋"/>
          <w:sz w:val="24"/>
        </w:rPr>
        <w:t>（二）在质疑法定期限内提出；</w:t>
      </w:r>
    </w:p>
    <w:p w14:paraId="7D377479">
      <w:pPr>
        <w:spacing w:line="360" w:lineRule="auto"/>
        <w:ind w:left="851" w:leftChars="68" w:hanging="708" w:hangingChars="295"/>
        <w:rPr>
          <w:rFonts w:hint="eastAsia" w:eastAsia="仿宋"/>
          <w:sz w:val="24"/>
        </w:rPr>
      </w:pPr>
      <w:r>
        <w:rPr>
          <w:rFonts w:hint="eastAsia" w:eastAsia="仿宋"/>
          <w:sz w:val="24"/>
        </w:rPr>
        <w:t>（三）属于可以提出质疑的政府采购事项受理范围和本项目采购人的管辖权范围；</w:t>
      </w:r>
    </w:p>
    <w:p w14:paraId="3341AFC1">
      <w:pPr>
        <w:spacing w:line="360" w:lineRule="auto"/>
        <w:ind w:left="851" w:leftChars="68" w:hanging="708" w:hangingChars="295"/>
        <w:rPr>
          <w:rFonts w:hint="eastAsia" w:eastAsia="仿宋"/>
          <w:sz w:val="24"/>
        </w:rPr>
      </w:pPr>
      <w:r>
        <w:rPr>
          <w:rFonts w:hint="eastAsia" w:eastAsia="仿宋"/>
          <w:sz w:val="24"/>
        </w:rPr>
        <w:t>（四）政府采购法律、法规、规章规定的其他条件。</w:t>
      </w:r>
    </w:p>
    <w:p w14:paraId="0BB7D368">
      <w:pPr>
        <w:spacing w:line="360" w:lineRule="auto"/>
        <w:ind w:left="851" w:leftChars="68" w:hanging="708" w:hangingChars="295"/>
        <w:rPr>
          <w:rFonts w:hint="eastAsia"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DF1900E">
      <w:pPr>
        <w:spacing w:line="360" w:lineRule="auto"/>
        <w:ind w:left="851" w:leftChars="68" w:hanging="708" w:hangingChars="295"/>
        <w:rPr>
          <w:rFonts w:hint="eastAsia"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14:paraId="723A4C3D">
      <w:pPr>
        <w:spacing w:line="360" w:lineRule="auto"/>
        <w:ind w:left="851" w:leftChars="68" w:hanging="708" w:hangingChars="295"/>
        <w:rPr>
          <w:rFonts w:hint="eastAsia" w:eastAsia="仿宋"/>
          <w:sz w:val="24"/>
        </w:rPr>
      </w:pPr>
      <w:r>
        <w:rPr>
          <w:rFonts w:hint="eastAsia" w:eastAsia="仿宋"/>
          <w:sz w:val="24"/>
        </w:rPr>
        <w:t>37.2  质疑人提出质疑时应当提交质疑函。质疑函包括下列内容：</w:t>
      </w:r>
    </w:p>
    <w:p w14:paraId="65146239">
      <w:pPr>
        <w:spacing w:line="360" w:lineRule="auto"/>
        <w:ind w:left="851" w:leftChars="68" w:hanging="708" w:hangingChars="295"/>
        <w:rPr>
          <w:rFonts w:hint="eastAsia" w:eastAsia="仿宋"/>
          <w:sz w:val="24"/>
        </w:rPr>
      </w:pPr>
      <w:r>
        <w:rPr>
          <w:rFonts w:hint="eastAsia" w:eastAsia="仿宋"/>
          <w:sz w:val="24"/>
        </w:rPr>
        <w:t>（一）提出质疑的质疑人的名称、地址、邮编、联系人及联系电话等；</w:t>
      </w:r>
    </w:p>
    <w:p w14:paraId="1D181CD6">
      <w:pPr>
        <w:spacing w:line="360" w:lineRule="auto"/>
        <w:ind w:left="851" w:leftChars="68" w:hanging="708" w:hangingChars="295"/>
        <w:rPr>
          <w:rFonts w:hint="eastAsia" w:eastAsia="仿宋"/>
          <w:sz w:val="24"/>
        </w:rPr>
      </w:pPr>
      <w:r>
        <w:rPr>
          <w:rFonts w:hint="eastAsia" w:eastAsia="仿宋"/>
          <w:sz w:val="24"/>
        </w:rPr>
        <w:t>（二）质疑项目的名称、编号；</w:t>
      </w:r>
    </w:p>
    <w:p w14:paraId="38417A77">
      <w:pPr>
        <w:spacing w:line="360" w:lineRule="auto"/>
        <w:ind w:left="851" w:leftChars="68" w:hanging="708" w:hangingChars="295"/>
        <w:rPr>
          <w:rFonts w:hint="eastAsia" w:eastAsia="仿宋"/>
          <w:sz w:val="24"/>
        </w:rPr>
      </w:pPr>
      <w:r>
        <w:rPr>
          <w:rFonts w:hint="eastAsia" w:eastAsia="仿宋"/>
          <w:sz w:val="24"/>
        </w:rPr>
        <w:t>（三）质疑事项；</w:t>
      </w:r>
    </w:p>
    <w:p w14:paraId="77F44570">
      <w:pPr>
        <w:spacing w:line="360" w:lineRule="auto"/>
        <w:ind w:left="851" w:leftChars="68" w:hanging="708" w:hangingChars="295"/>
        <w:rPr>
          <w:rFonts w:hint="eastAsia" w:eastAsia="仿宋"/>
          <w:sz w:val="24"/>
        </w:rPr>
      </w:pPr>
      <w:r>
        <w:rPr>
          <w:rFonts w:hint="eastAsia" w:eastAsia="仿宋"/>
          <w:sz w:val="24"/>
        </w:rPr>
        <w:t>（四）事实依据和证明材料；</w:t>
      </w:r>
    </w:p>
    <w:p w14:paraId="56C861B2">
      <w:pPr>
        <w:spacing w:line="360" w:lineRule="auto"/>
        <w:ind w:left="851" w:leftChars="68" w:hanging="708" w:hangingChars="295"/>
        <w:rPr>
          <w:rFonts w:hint="eastAsia" w:eastAsia="仿宋"/>
          <w:sz w:val="24"/>
        </w:rPr>
      </w:pPr>
      <w:r>
        <w:rPr>
          <w:rFonts w:hint="eastAsia" w:eastAsia="仿宋"/>
          <w:sz w:val="24"/>
        </w:rPr>
        <w:t>（五）法律依据；</w:t>
      </w:r>
    </w:p>
    <w:p w14:paraId="12DE2C31">
      <w:pPr>
        <w:spacing w:line="360" w:lineRule="auto"/>
        <w:ind w:left="851" w:leftChars="68" w:hanging="708" w:hangingChars="295"/>
        <w:rPr>
          <w:rFonts w:hint="eastAsia" w:eastAsia="仿宋"/>
          <w:sz w:val="24"/>
        </w:rPr>
      </w:pPr>
      <w:r>
        <w:rPr>
          <w:rFonts w:hint="eastAsia" w:eastAsia="仿宋"/>
          <w:sz w:val="24"/>
        </w:rPr>
        <w:t>（六）提出质疑的日期。</w:t>
      </w:r>
    </w:p>
    <w:p w14:paraId="01FE4741">
      <w:pPr>
        <w:spacing w:line="360" w:lineRule="auto"/>
        <w:ind w:left="861" w:leftChars="410" w:firstLine="12" w:firstLineChars="5"/>
        <w:rPr>
          <w:rFonts w:hint="eastAsia"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14:paraId="3C9BC92A">
      <w:pPr>
        <w:spacing w:line="360" w:lineRule="auto"/>
        <w:ind w:left="851" w:leftChars="68" w:hanging="708" w:hangingChars="295"/>
        <w:rPr>
          <w:rFonts w:hint="eastAsia" w:eastAsia="仿宋"/>
          <w:sz w:val="24"/>
        </w:rPr>
      </w:pPr>
      <w:r>
        <w:rPr>
          <w:rFonts w:hint="eastAsia" w:eastAsia="仿宋"/>
          <w:sz w:val="24"/>
        </w:rPr>
        <w:t>37.3  质疑人可以委托代理人进行质疑。代理人应当提交授权委托书。授权委托书应当载明委托代理的具体权限、期限和相关事项。</w:t>
      </w:r>
    </w:p>
    <w:p w14:paraId="26213D09">
      <w:pPr>
        <w:spacing w:line="360" w:lineRule="auto"/>
        <w:ind w:left="851" w:leftChars="68" w:hanging="708" w:hangingChars="295"/>
        <w:rPr>
          <w:rFonts w:hint="eastAsia" w:eastAsia="仿宋"/>
          <w:sz w:val="24"/>
        </w:rPr>
      </w:pPr>
      <w:r>
        <w:rPr>
          <w:rFonts w:hint="eastAsia" w:eastAsia="仿宋"/>
          <w:sz w:val="24"/>
        </w:rPr>
        <w:t>37.4、质疑的审查和受理</w:t>
      </w:r>
    </w:p>
    <w:p w14:paraId="1BCEECCA">
      <w:pPr>
        <w:spacing w:line="360" w:lineRule="auto"/>
        <w:ind w:left="861" w:leftChars="410" w:firstLine="12" w:firstLineChars="5"/>
        <w:rPr>
          <w:rFonts w:hint="eastAsia" w:eastAsia="仿宋"/>
          <w:sz w:val="24"/>
        </w:rPr>
      </w:pPr>
      <w:r>
        <w:rPr>
          <w:rFonts w:hint="eastAsia" w:eastAsia="仿宋"/>
          <w:sz w:val="24"/>
        </w:rPr>
        <w:t>采购方在收到质疑函后应当及时审查是否符合质疑受理条件，对符合质疑受理条件的，及时予以受理。</w:t>
      </w:r>
    </w:p>
    <w:p w14:paraId="1229168A">
      <w:pPr>
        <w:spacing w:line="360" w:lineRule="auto"/>
        <w:ind w:left="851" w:leftChars="68" w:hanging="708" w:hangingChars="295"/>
        <w:rPr>
          <w:rFonts w:hint="eastAsia" w:eastAsia="仿宋"/>
          <w:sz w:val="24"/>
        </w:rPr>
      </w:pPr>
      <w:r>
        <w:rPr>
          <w:rFonts w:hint="eastAsia" w:eastAsia="仿宋"/>
          <w:sz w:val="24"/>
        </w:rPr>
        <w:t>37.5  对不符合质疑受理条件的，分别按照下列不同情形予以处理：</w:t>
      </w:r>
    </w:p>
    <w:p w14:paraId="5265FA1A">
      <w:pPr>
        <w:spacing w:line="360" w:lineRule="auto"/>
        <w:ind w:left="851" w:leftChars="68" w:hanging="708" w:hangingChars="295"/>
        <w:rPr>
          <w:rFonts w:hint="eastAsia" w:eastAsia="仿宋"/>
          <w:sz w:val="24"/>
        </w:rPr>
      </w:pPr>
      <w:r>
        <w:rPr>
          <w:rFonts w:hint="eastAsia" w:eastAsia="仿宋"/>
          <w:sz w:val="24"/>
        </w:rPr>
        <w:t>（一）质疑函内容不符合规定的，告知质疑人进行修改并重新提出质疑。修改后质疑事项仍不具体、不明确或者最终递交质疑函的时间超过质疑法定期限的，不予受理；</w:t>
      </w:r>
    </w:p>
    <w:p w14:paraId="76323AC6">
      <w:pPr>
        <w:spacing w:line="360" w:lineRule="auto"/>
        <w:ind w:left="851" w:leftChars="68" w:hanging="708" w:hangingChars="295"/>
        <w:rPr>
          <w:rFonts w:hint="eastAsia" w:eastAsia="仿宋"/>
          <w:sz w:val="24"/>
        </w:rPr>
      </w:pPr>
      <w:r>
        <w:rPr>
          <w:rFonts w:hint="eastAsia" w:eastAsia="仿宋"/>
          <w:sz w:val="24"/>
        </w:rPr>
        <w:t>（二）质疑主体不符合有关规定的，告知质疑人不予受理；</w:t>
      </w:r>
    </w:p>
    <w:p w14:paraId="57CCC825">
      <w:pPr>
        <w:spacing w:line="360" w:lineRule="auto"/>
        <w:ind w:left="851" w:leftChars="68" w:hanging="708" w:hangingChars="295"/>
        <w:rPr>
          <w:rFonts w:hint="eastAsia" w:eastAsia="仿宋"/>
          <w:sz w:val="24"/>
        </w:rPr>
      </w:pPr>
      <w:r>
        <w:rPr>
          <w:rFonts w:hint="eastAsia" w:eastAsia="仿宋"/>
          <w:sz w:val="24"/>
        </w:rPr>
        <w:t>（三）超过质疑法定期限提出质疑的，告知质疑人不予受理；</w:t>
      </w:r>
    </w:p>
    <w:p w14:paraId="70CECDD0">
      <w:pPr>
        <w:spacing w:line="360" w:lineRule="auto"/>
        <w:ind w:left="851" w:leftChars="68" w:hanging="708" w:hangingChars="295"/>
        <w:rPr>
          <w:rFonts w:hint="eastAsia" w:eastAsia="仿宋"/>
          <w:sz w:val="24"/>
        </w:rPr>
      </w:pPr>
      <w:r>
        <w:rPr>
          <w:rFonts w:hint="eastAsia" w:eastAsia="仿宋"/>
          <w:sz w:val="24"/>
        </w:rPr>
        <w:t>（四）对不属于可以提出质疑的政府采购事项提出质疑的，告知质疑人不予受理；</w:t>
      </w:r>
    </w:p>
    <w:p w14:paraId="33621663">
      <w:pPr>
        <w:spacing w:line="360" w:lineRule="auto"/>
        <w:ind w:left="851" w:leftChars="68" w:hanging="708" w:hangingChars="295"/>
        <w:rPr>
          <w:rFonts w:hint="eastAsia" w:eastAsia="仿宋"/>
          <w:sz w:val="24"/>
        </w:rPr>
      </w:pPr>
      <w:r>
        <w:rPr>
          <w:rFonts w:hint="eastAsia" w:eastAsia="仿宋"/>
          <w:sz w:val="24"/>
        </w:rPr>
        <w:t>（五）质疑不属于本项目采购方管辖的，告知质疑人向有管辖权的采购人提出质疑；</w:t>
      </w:r>
    </w:p>
    <w:p w14:paraId="1CCB17FB">
      <w:pPr>
        <w:spacing w:line="360" w:lineRule="auto"/>
        <w:ind w:left="851" w:leftChars="68" w:hanging="708" w:hangingChars="295"/>
        <w:rPr>
          <w:rFonts w:hint="eastAsia" w:eastAsia="仿宋"/>
          <w:sz w:val="24"/>
        </w:rPr>
      </w:pPr>
      <w:r>
        <w:rPr>
          <w:rFonts w:hint="eastAsia" w:eastAsia="仿宋"/>
          <w:sz w:val="24"/>
        </w:rPr>
        <w:t>（六）质疑不符合其他条件的，告知质疑人不予受理。</w:t>
      </w:r>
    </w:p>
    <w:p w14:paraId="06ECA6BE">
      <w:pPr>
        <w:spacing w:line="360" w:lineRule="auto"/>
        <w:ind w:left="851" w:leftChars="68" w:hanging="708" w:hangingChars="295"/>
        <w:rPr>
          <w:rFonts w:hint="eastAsia" w:eastAsia="仿宋"/>
          <w:sz w:val="24"/>
        </w:rPr>
      </w:pPr>
      <w:r>
        <w:rPr>
          <w:rFonts w:hint="eastAsia" w:eastAsia="仿宋"/>
          <w:sz w:val="24"/>
        </w:rPr>
        <w:t>37.6、质疑的处理和答复</w:t>
      </w:r>
    </w:p>
    <w:p w14:paraId="6945AF69">
      <w:pPr>
        <w:spacing w:line="360" w:lineRule="auto"/>
        <w:ind w:left="851" w:leftChars="68" w:hanging="708" w:hangingChars="295"/>
        <w:rPr>
          <w:rFonts w:hint="eastAsia" w:eastAsia="仿宋"/>
          <w:sz w:val="24"/>
        </w:rPr>
      </w:pPr>
      <w:r>
        <w:rPr>
          <w:rFonts w:hint="eastAsia" w:eastAsia="仿宋"/>
          <w:sz w:val="24"/>
        </w:rPr>
        <w:t>37.7 采购方受理质疑后，将及时把质疑函发送给被质疑人，并要求其在一定限期人提交书面答复，同时提供有关证据、依据和相关材料。</w:t>
      </w:r>
    </w:p>
    <w:p w14:paraId="07735B31">
      <w:pPr>
        <w:spacing w:line="360" w:lineRule="auto"/>
        <w:ind w:left="851" w:leftChars="68" w:hanging="708" w:hangingChars="295"/>
        <w:rPr>
          <w:rFonts w:hint="eastAsia"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14:paraId="51A2EEB5">
      <w:pPr>
        <w:spacing w:line="360" w:lineRule="auto"/>
        <w:ind w:left="851" w:leftChars="68" w:hanging="708" w:hangingChars="295"/>
        <w:rPr>
          <w:rFonts w:hint="eastAsia" w:eastAsia="仿宋"/>
          <w:sz w:val="24"/>
        </w:rPr>
      </w:pPr>
      <w:r>
        <w:rPr>
          <w:rFonts w:hint="eastAsia" w:eastAsia="仿宋"/>
          <w:sz w:val="24"/>
        </w:rPr>
        <w:t>37.9  对评审过程、成交结果提出质疑的，采购方可以组织原评审委员会协助答复质疑。</w:t>
      </w:r>
    </w:p>
    <w:p w14:paraId="784F1272">
      <w:pPr>
        <w:spacing w:line="360" w:lineRule="auto"/>
        <w:ind w:left="851" w:leftChars="68" w:hanging="708" w:hangingChars="295"/>
        <w:rPr>
          <w:rFonts w:hint="eastAsia" w:eastAsia="仿宋"/>
          <w:sz w:val="24"/>
        </w:rPr>
      </w:pPr>
      <w:r>
        <w:rPr>
          <w:rFonts w:hint="eastAsia" w:eastAsia="仿宋"/>
          <w:sz w:val="24"/>
        </w:rPr>
        <w:t>38.   质疑处理过程中，质疑人书面申请撤回质疑的，将终止质疑处理程序。</w:t>
      </w:r>
    </w:p>
    <w:p w14:paraId="6F9F13F4">
      <w:pPr>
        <w:spacing w:line="360" w:lineRule="auto"/>
        <w:ind w:left="851" w:leftChars="68" w:hanging="708" w:hangingChars="295"/>
        <w:rPr>
          <w:rFonts w:hint="eastAsia" w:eastAsia="仿宋"/>
          <w:sz w:val="24"/>
        </w:rPr>
      </w:pPr>
      <w:r>
        <w:rPr>
          <w:rFonts w:hint="eastAsia" w:eastAsia="仿宋"/>
          <w:sz w:val="24"/>
        </w:rPr>
        <w:t>38.1  质疑人拒绝配合采购方依法对质疑进行调查处理的，采购方将按质疑人自动撤回质疑处理；被质疑人拒绝配合采购方依法对质疑进行调查处理的，采购方将视同其认可质疑事项。</w:t>
      </w:r>
    </w:p>
    <w:p w14:paraId="479225EB">
      <w:pPr>
        <w:spacing w:line="360" w:lineRule="auto"/>
        <w:ind w:left="851" w:leftChars="68" w:hanging="708" w:hangingChars="295"/>
        <w:rPr>
          <w:rFonts w:hint="eastAsia" w:eastAsia="仿宋"/>
          <w:sz w:val="24"/>
        </w:rPr>
      </w:pPr>
      <w:r>
        <w:rPr>
          <w:rFonts w:hint="eastAsia" w:eastAsia="仿宋"/>
          <w:sz w:val="24"/>
        </w:rPr>
        <w:t>38.2  采购方将在正式受理质疑后7个工作日内作出答复，但处理质疑需要进行调查取证、组织专家评审、质疑人及被质疑人提交或补正材料等所需时间，不计算在质疑处理期限内。</w:t>
      </w:r>
    </w:p>
    <w:p w14:paraId="5A0F6716">
      <w:pPr>
        <w:spacing w:line="360" w:lineRule="auto"/>
        <w:ind w:left="851" w:leftChars="68" w:hanging="708" w:hangingChars="295"/>
        <w:rPr>
          <w:rFonts w:hint="eastAsia" w:eastAsia="仿宋"/>
          <w:sz w:val="24"/>
        </w:rPr>
      </w:pPr>
      <w:r>
        <w:rPr>
          <w:rFonts w:hint="eastAsia" w:eastAsia="仿宋"/>
          <w:sz w:val="24"/>
        </w:rPr>
        <w:t>38.3  采购方经调查、论证、核实，认定质疑不能成立的，继续开展采购活动；认定质疑成立的，按照以下情况处理：</w:t>
      </w:r>
    </w:p>
    <w:p w14:paraId="2F22CC80">
      <w:pPr>
        <w:spacing w:line="360" w:lineRule="auto"/>
        <w:ind w:left="851" w:leftChars="68" w:hanging="708" w:hangingChars="295"/>
        <w:rPr>
          <w:rFonts w:hint="eastAsia"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1A13C86A">
      <w:pPr>
        <w:spacing w:line="360" w:lineRule="auto"/>
        <w:ind w:left="851" w:leftChars="68" w:hanging="708" w:hangingChars="295"/>
        <w:rPr>
          <w:rFonts w:hint="eastAsia" w:eastAsia="仿宋"/>
          <w:sz w:val="24"/>
        </w:rPr>
      </w:pPr>
      <w:r>
        <w:rPr>
          <w:rFonts w:hint="eastAsia" w:eastAsia="仿宋"/>
          <w:sz w:val="24"/>
        </w:rPr>
        <w:t>（二）对采购过程、成交结果提出的质疑未对成交结果构成影响的，继续开展采购活动；对成交结果构成影响但合格报价方仍</w:t>
      </w:r>
      <w:r>
        <w:rPr>
          <w:rFonts w:hint="eastAsia" w:eastAsia="仿宋"/>
          <w:sz w:val="24"/>
          <w:lang w:eastAsia="zh-CN"/>
        </w:rPr>
        <w:t>≥</w:t>
      </w:r>
      <w:r>
        <w:rPr>
          <w:rFonts w:hint="eastAsia" w:eastAsia="仿宋"/>
          <w:sz w:val="24"/>
        </w:rPr>
        <w:t>3家时，依法从合格的成交候选人中另行确定成交报价方，否则将重新开展采购活动。</w:t>
      </w:r>
    </w:p>
    <w:p w14:paraId="4646911E">
      <w:pPr>
        <w:spacing w:line="360" w:lineRule="auto"/>
        <w:ind w:left="851" w:leftChars="68" w:hanging="708" w:hangingChars="295"/>
        <w:rPr>
          <w:rFonts w:hint="eastAsia" w:eastAsia="仿宋"/>
          <w:sz w:val="24"/>
        </w:rPr>
      </w:pPr>
      <w:r>
        <w:rPr>
          <w:rFonts w:hint="eastAsia" w:eastAsia="仿宋"/>
          <w:sz w:val="24"/>
        </w:rPr>
        <w:t>38.4 采购方将书面答复质疑，质疑答复包括下列内容：</w:t>
      </w:r>
    </w:p>
    <w:p w14:paraId="345E1A32">
      <w:pPr>
        <w:spacing w:line="360" w:lineRule="auto"/>
        <w:ind w:left="851" w:leftChars="68" w:hanging="708" w:hangingChars="295"/>
        <w:rPr>
          <w:rFonts w:hint="eastAsia" w:eastAsia="仿宋"/>
          <w:sz w:val="24"/>
        </w:rPr>
      </w:pPr>
      <w:r>
        <w:rPr>
          <w:rFonts w:hint="eastAsia" w:eastAsia="仿宋"/>
          <w:sz w:val="24"/>
        </w:rPr>
        <w:t>（一）质疑人名称；</w:t>
      </w:r>
    </w:p>
    <w:p w14:paraId="3C3DC8C7">
      <w:pPr>
        <w:spacing w:line="360" w:lineRule="auto"/>
        <w:ind w:left="851" w:leftChars="68" w:hanging="708" w:hangingChars="295"/>
        <w:rPr>
          <w:rFonts w:hint="eastAsia" w:eastAsia="仿宋"/>
          <w:sz w:val="24"/>
        </w:rPr>
      </w:pPr>
      <w:r>
        <w:rPr>
          <w:rFonts w:hint="eastAsia" w:eastAsia="仿宋"/>
          <w:sz w:val="24"/>
        </w:rPr>
        <w:t>（二）收到质疑函的日期、质疑项目名称及编号;</w:t>
      </w:r>
    </w:p>
    <w:p w14:paraId="46176D07">
      <w:pPr>
        <w:spacing w:line="360" w:lineRule="auto"/>
        <w:ind w:firstLine="240" w:firstLineChars="100"/>
        <w:rPr>
          <w:rFonts w:hint="eastAsia" w:eastAsia="仿宋"/>
          <w:sz w:val="24"/>
        </w:rPr>
      </w:pPr>
      <w:r>
        <w:rPr>
          <w:rFonts w:hint="eastAsia" w:eastAsia="仿宋"/>
          <w:sz w:val="24"/>
        </w:rPr>
        <w:t>(三)  质疑事项、质疑答复的具体内容、事实依据和法律依据；</w:t>
      </w:r>
    </w:p>
    <w:p w14:paraId="185F2191">
      <w:pPr>
        <w:spacing w:line="360" w:lineRule="auto"/>
        <w:ind w:left="851" w:leftChars="68" w:hanging="708" w:hangingChars="295"/>
        <w:rPr>
          <w:rFonts w:hint="eastAsia" w:eastAsia="仿宋"/>
          <w:sz w:val="24"/>
        </w:rPr>
      </w:pPr>
      <w:r>
        <w:rPr>
          <w:rFonts w:hint="eastAsia" w:eastAsia="仿宋"/>
          <w:sz w:val="24"/>
        </w:rPr>
        <w:t>（四）告知质疑人依法投诉的权利；</w:t>
      </w:r>
    </w:p>
    <w:p w14:paraId="5AF8F183">
      <w:pPr>
        <w:spacing w:line="360" w:lineRule="auto"/>
        <w:ind w:left="851" w:leftChars="68" w:hanging="708" w:hangingChars="295"/>
        <w:rPr>
          <w:rFonts w:hint="eastAsia" w:eastAsia="仿宋"/>
          <w:sz w:val="24"/>
        </w:rPr>
      </w:pPr>
      <w:r>
        <w:rPr>
          <w:rFonts w:hint="eastAsia" w:eastAsia="仿宋"/>
          <w:sz w:val="24"/>
        </w:rPr>
        <w:t>（五）质疑答复日期。</w:t>
      </w:r>
    </w:p>
    <w:p w14:paraId="67B6F94A">
      <w:pPr>
        <w:spacing w:line="360" w:lineRule="auto"/>
        <w:ind w:left="851" w:leftChars="68" w:hanging="708" w:hangingChars="295"/>
        <w:rPr>
          <w:rFonts w:hint="eastAsia" w:eastAsia="仿宋"/>
          <w:sz w:val="24"/>
        </w:rPr>
      </w:pPr>
      <w:r>
        <w:rPr>
          <w:rFonts w:hint="eastAsia" w:eastAsia="仿宋"/>
          <w:sz w:val="24"/>
        </w:rPr>
        <w:t>38.5 质疑人有下列行为之一的，属于虚假、恶意质疑，将由采购方建议财政部门将其列入不良行为记录名单，禁止其1至3年内参加政府采购活动：</w:t>
      </w:r>
    </w:p>
    <w:p w14:paraId="09E1202F">
      <w:pPr>
        <w:spacing w:line="360" w:lineRule="auto"/>
        <w:ind w:left="851" w:leftChars="68" w:hanging="708" w:hangingChars="295"/>
        <w:rPr>
          <w:rFonts w:hint="eastAsia" w:eastAsia="仿宋"/>
          <w:sz w:val="24"/>
        </w:rPr>
      </w:pPr>
      <w:r>
        <w:rPr>
          <w:rFonts w:hint="eastAsia" w:eastAsia="仿宋"/>
          <w:sz w:val="24"/>
        </w:rPr>
        <w:t>（一）捏造事实；</w:t>
      </w:r>
    </w:p>
    <w:p w14:paraId="1DD2879D">
      <w:pPr>
        <w:spacing w:line="360" w:lineRule="auto"/>
        <w:ind w:left="851" w:leftChars="68" w:hanging="708" w:hangingChars="295"/>
        <w:rPr>
          <w:rFonts w:hint="eastAsia" w:eastAsia="仿宋"/>
          <w:sz w:val="24"/>
        </w:rPr>
      </w:pPr>
      <w:r>
        <w:rPr>
          <w:rFonts w:hint="eastAsia" w:eastAsia="仿宋"/>
          <w:sz w:val="24"/>
        </w:rPr>
        <w:t>（二）提供虚假材料；</w:t>
      </w:r>
    </w:p>
    <w:p w14:paraId="4617D983">
      <w:pPr>
        <w:spacing w:line="360" w:lineRule="auto"/>
        <w:ind w:left="851" w:leftChars="68" w:hanging="708" w:hangingChars="295"/>
        <w:rPr>
          <w:rFonts w:hint="eastAsia" w:eastAsia="仿宋"/>
          <w:sz w:val="24"/>
        </w:rPr>
      </w:pPr>
      <w:r>
        <w:rPr>
          <w:rFonts w:hint="eastAsia" w:eastAsia="仿宋"/>
          <w:sz w:val="24"/>
        </w:rPr>
        <w:t>（三）以非法手段取得证明材料或者无法提供证据的合法来源；</w:t>
      </w:r>
    </w:p>
    <w:p w14:paraId="178B8F0E">
      <w:pPr>
        <w:spacing w:line="360" w:lineRule="auto"/>
        <w:ind w:left="851" w:leftChars="68" w:hanging="708" w:hangingChars="295"/>
        <w:rPr>
          <w:rFonts w:hint="eastAsia" w:eastAsia="仿宋"/>
          <w:sz w:val="24"/>
        </w:rPr>
      </w:pPr>
      <w:r>
        <w:rPr>
          <w:rFonts w:hint="eastAsia" w:eastAsia="仿宋"/>
          <w:sz w:val="24"/>
        </w:rPr>
        <w:t>（四）法律法规规定的其他违法情形。</w:t>
      </w:r>
    </w:p>
    <w:p w14:paraId="2547A51E">
      <w:pPr>
        <w:spacing w:line="360" w:lineRule="auto"/>
        <w:ind w:left="851" w:leftChars="68" w:hanging="708" w:hangingChars="295"/>
        <w:rPr>
          <w:rFonts w:hint="eastAsia" w:eastAsia="仿宋"/>
          <w:sz w:val="24"/>
        </w:rPr>
      </w:pPr>
      <w:r>
        <w:rPr>
          <w:rFonts w:hint="eastAsia" w:eastAsia="仿宋"/>
          <w:sz w:val="24"/>
        </w:rPr>
        <w:br w:type="page"/>
      </w:r>
    </w:p>
    <w:p w14:paraId="22AB2784">
      <w:pPr>
        <w:spacing w:line="240" w:lineRule="atLeast"/>
        <w:ind w:left="861" w:leftChars="410" w:firstLine="2573" w:firstLineChars="801"/>
        <w:rPr>
          <w:rFonts w:hint="eastAsia" w:ascii="仿宋_GB2312" w:eastAsia="仿宋_GB2312"/>
          <w:b/>
          <w:bCs/>
          <w:sz w:val="32"/>
          <w:szCs w:val="32"/>
        </w:rPr>
      </w:pPr>
      <w:r>
        <w:rPr>
          <w:rFonts w:hint="eastAsia" w:ascii="仿宋_GB2312" w:eastAsia="仿宋_GB2312"/>
          <w:b/>
          <w:bCs/>
          <w:sz w:val="32"/>
          <w:szCs w:val="32"/>
        </w:rPr>
        <w:t>质疑函范本</w:t>
      </w:r>
    </w:p>
    <w:p w14:paraId="4B9CDFAE">
      <w:pPr>
        <w:spacing w:line="240" w:lineRule="atLeast"/>
        <w:ind w:left="851" w:leftChars="68" w:hanging="708" w:hangingChars="295"/>
        <w:rPr>
          <w:rFonts w:ascii="仿宋" w:hAnsi="仿宋" w:eastAsia="仿宋"/>
          <w:sz w:val="24"/>
        </w:rPr>
      </w:pPr>
    </w:p>
    <w:p w14:paraId="1E42EE22">
      <w:pPr>
        <w:spacing w:line="240" w:lineRule="atLeast"/>
        <w:ind w:left="851" w:leftChars="68" w:hanging="708" w:hangingChars="295"/>
        <w:rPr>
          <w:rFonts w:hint="eastAsia" w:ascii="仿宋" w:hAnsi="仿宋" w:eastAsia="仿宋"/>
          <w:sz w:val="24"/>
        </w:rPr>
      </w:pPr>
      <w:r>
        <w:rPr>
          <w:rFonts w:hint="eastAsia" w:ascii="仿宋" w:hAnsi="仿宋" w:eastAsia="仿宋"/>
          <w:sz w:val="24"/>
        </w:rPr>
        <w:t>一、质疑供应商基本信息</w:t>
      </w:r>
    </w:p>
    <w:p w14:paraId="1CAAC888">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质疑供应商：</w:t>
      </w:r>
    </w:p>
    <w:p w14:paraId="4ACF8ECE">
      <w:pPr>
        <w:spacing w:line="240" w:lineRule="atLeast"/>
        <w:ind w:left="851" w:leftChars="68" w:hanging="708" w:hangingChars="295"/>
        <w:rPr>
          <w:rFonts w:hint="eastAsia" w:ascii="仿宋" w:hAnsi="仿宋" w:eastAsia="仿宋"/>
          <w:sz w:val="24"/>
        </w:rPr>
      </w:pPr>
      <w:r>
        <w:rPr>
          <w:rFonts w:hint="eastAsia" w:ascii="仿宋" w:hAnsi="仿宋" w:eastAsia="仿宋"/>
          <w:sz w:val="24"/>
        </w:rPr>
        <w:t>地址：邮编：</w:t>
      </w:r>
    </w:p>
    <w:p w14:paraId="0279DF85">
      <w:pPr>
        <w:spacing w:line="240" w:lineRule="atLeast"/>
        <w:ind w:left="851" w:leftChars="68" w:hanging="708" w:hangingChars="295"/>
        <w:rPr>
          <w:rFonts w:hint="eastAsia" w:ascii="仿宋" w:hAnsi="仿宋" w:eastAsia="仿宋"/>
          <w:sz w:val="24"/>
        </w:rPr>
      </w:pPr>
      <w:r>
        <w:rPr>
          <w:rFonts w:hint="eastAsia" w:ascii="仿宋" w:hAnsi="仿宋" w:eastAsia="仿宋"/>
          <w:sz w:val="24"/>
        </w:rPr>
        <w:t>联系人：联系电话：</w:t>
      </w:r>
    </w:p>
    <w:p w14:paraId="28E40EAD">
      <w:pPr>
        <w:spacing w:line="240" w:lineRule="atLeast"/>
        <w:ind w:left="851" w:leftChars="68" w:hanging="708" w:hangingChars="295"/>
        <w:rPr>
          <w:rFonts w:hint="eastAsia" w:ascii="仿宋" w:hAnsi="仿宋" w:eastAsia="仿宋"/>
          <w:sz w:val="24"/>
        </w:rPr>
      </w:pPr>
      <w:r>
        <w:rPr>
          <w:rFonts w:hint="eastAsia" w:ascii="仿宋" w:hAnsi="仿宋" w:eastAsia="仿宋"/>
          <w:sz w:val="24"/>
        </w:rPr>
        <w:t>授权代表：</w:t>
      </w:r>
    </w:p>
    <w:p w14:paraId="0D4B2AEC">
      <w:pPr>
        <w:spacing w:line="240" w:lineRule="atLeast"/>
        <w:ind w:left="851" w:leftChars="68" w:hanging="708" w:hangingChars="295"/>
        <w:rPr>
          <w:rFonts w:hint="eastAsia" w:ascii="仿宋" w:hAnsi="仿宋" w:eastAsia="仿宋"/>
          <w:sz w:val="24"/>
        </w:rPr>
      </w:pPr>
      <w:r>
        <w:rPr>
          <w:rFonts w:hint="eastAsia" w:ascii="仿宋" w:hAnsi="仿宋" w:eastAsia="仿宋"/>
          <w:sz w:val="24"/>
        </w:rPr>
        <w:t>联系电话：</w:t>
      </w:r>
    </w:p>
    <w:p w14:paraId="6C6AE4BF">
      <w:pPr>
        <w:spacing w:line="240" w:lineRule="atLeast"/>
        <w:ind w:left="851" w:leftChars="68" w:hanging="708" w:hangingChars="295"/>
        <w:rPr>
          <w:rFonts w:hint="eastAsia" w:ascii="仿宋" w:hAnsi="仿宋" w:eastAsia="仿宋"/>
          <w:sz w:val="24"/>
        </w:rPr>
      </w:pPr>
      <w:r>
        <w:rPr>
          <w:rFonts w:hint="eastAsia" w:ascii="仿宋" w:hAnsi="仿宋" w:eastAsia="仿宋"/>
          <w:sz w:val="24"/>
        </w:rPr>
        <w:t>地址： 邮编：</w:t>
      </w:r>
    </w:p>
    <w:p w14:paraId="699CC462">
      <w:pPr>
        <w:spacing w:line="240" w:lineRule="atLeast"/>
        <w:ind w:left="851" w:leftChars="68" w:hanging="708" w:hangingChars="295"/>
        <w:rPr>
          <w:rFonts w:hint="eastAsia" w:ascii="仿宋" w:hAnsi="仿宋" w:eastAsia="仿宋"/>
          <w:sz w:val="24"/>
        </w:rPr>
      </w:pPr>
      <w:r>
        <w:rPr>
          <w:rFonts w:hint="eastAsia" w:ascii="仿宋" w:hAnsi="仿宋" w:eastAsia="仿宋"/>
          <w:sz w:val="24"/>
        </w:rPr>
        <w:t>二、质疑项目基本情况</w:t>
      </w:r>
    </w:p>
    <w:p w14:paraId="4AEFF4BD">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质疑项目的名称：</w:t>
      </w:r>
    </w:p>
    <w:p w14:paraId="7B59EB61">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质疑项目的编号：包号：</w:t>
      </w:r>
    </w:p>
    <w:p w14:paraId="0EDE136B">
      <w:pPr>
        <w:spacing w:line="240" w:lineRule="atLeast"/>
        <w:ind w:left="851" w:leftChars="68" w:hanging="708" w:hangingChars="295"/>
        <w:rPr>
          <w:rFonts w:hint="eastAsia" w:ascii="仿宋" w:hAnsi="仿宋" w:eastAsia="仿宋"/>
          <w:sz w:val="24"/>
        </w:rPr>
      </w:pPr>
      <w:r>
        <w:rPr>
          <w:rFonts w:hint="eastAsia" w:ascii="仿宋" w:hAnsi="仿宋" w:eastAsia="仿宋"/>
          <w:sz w:val="24"/>
        </w:rPr>
        <w:t>采购人名称：</w:t>
      </w:r>
    </w:p>
    <w:p w14:paraId="77445024">
      <w:pPr>
        <w:spacing w:line="240" w:lineRule="atLeast"/>
        <w:ind w:left="851" w:leftChars="68" w:hanging="708" w:hangingChars="295"/>
        <w:rPr>
          <w:rFonts w:hint="eastAsia" w:ascii="仿宋" w:hAnsi="仿宋" w:eastAsia="仿宋"/>
          <w:sz w:val="24"/>
        </w:rPr>
      </w:pPr>
      <w:r>
        <w:rPr>
          <w:rFonts w:hint="eastAsia" w:ascii="仿宋" w:hAnsi="仿宋" w:eastAsia="仿宋"/>
          <w:sz w:val="24"/>
        </w:rPr>
        <w:t>采购文件获取日期：</w:t>
      </w:r>
    </w:p>
    <w:p w14:paraId="5ED2D1DF">
      <w:pPr>
        <w:spacing w:line="240" w:lineRule="atLeast"/>
        <w:ind w:left="851" w:leftChars="68" w:hanging="708" w:hangingChars="295"/>
        <w:rPr>
          <w:rFonts w:hint="eastAsia" w:ascii="仿宋" w:hAnsi="仿宋" w:eastAsia="仿宋"/>
          <w:sz w:val="24"/>
        </w:rPr>
      </w:pPr>
      <w:r>
        <w:rPr>
          <w:rFonts w:hint="eastAsia" w:ascii="仿宋" w:hAnsi="仿宋" w:eastAsia="仿宋"/>
          <w:sz w:val="24"/>
        </w:rPr>
        <w:t>三、质疑事项具体内容</w:t>
      </w:r>
    </w:p>
    <w:p w14:paraId="6FFB4816">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质疑事项1：</w:t>
      </w:r>
    </w:p>
    <w:p w14:paraId="4DEB6FA6">
      <w:pPr>
        <w:spacing w:line="240" w:lineRule="atLeast"/>
        <w:ind w:left="851" w:leftChars="68" w:hanging="708" w:hangingChars="295"/>
        <w:rPr>
          <w:rFonts w:hint="eastAsia" w:ascii="仿宋" w:hAnsi="仿宋" w:eastAsia="仿宋"/>
          <w:sz w:val="24"/>
        </w:rPr>
      </w:pPr>
      <w:r>
        <w:rPr>
          <w:rFonts w:hint="eastAsia" w:ascii="仿宋" w:hAnsi="仿宋" w:eastAsia="仿宋"/>
          <w:sz w:val="24"/>
        </w:rPr>
        <w:t>事实依据：</w:t>
      </w:r>
    </w:p>
    <w:p w14:paraId="331EADB5">
      <w:pPr>
        <w:spacing w:line="240" w:lineRule="atLeast"/>
        <w:ind w:left="851" w:leftChars="68" w:hanging="708" w:hangingChars="295"/>
        <w:rPr>
          <w:rFonts w:hint="eastAsia" w:ascii="仿宋" w:hAnsi="仿宋" w:eastAsia="仿宋"/>
          <w:sz w:val="24"/>
        </w:rPr>
      </w:pPr>
      <w:r>
        <w:rPr>
          <w:rFonts w:hint="eastAsia" w:ascii="仿宋" w:hAnsi="仿宋" w:eastAsia="仿宋"/>
          <w:sz w:val="24"/>
        </w:rPr>
        <w:t>法律依据：</w:t>
      </w:r>
    </w:p>
    <w:p w14:paraId="0E8E3A8E">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质疑事项2</w:t>
      </w:r>
    </w:p>
    <w:p w14:paraId="4CD69DDD">
      <w:pPr>
        <w:spacing w:line="240" w:lineRule="atLeast"/>
        <w:ind w:left="851" w:leftChars="68" w:hanging="708" w:hangingChars="295"/>
        <w:rPr>
          <w:rFonts w:hint="eastAsia" w:ascii="仿宋" w:hAnsi="仿宋" w:eastAsia="仿宋"/>
          <w:sz w:val="24"/>
        </w:rPr>
      </w:pPr>
      <w:r>
        <w:rPr>
          <w:rFonts w:hint="eastAsia" w:ascii="仿宋" w:hAnsi="仿宋" w:eastAsia="仿宋"/>
          <w:sz w:val="24"/>
        </w:rPr>
        <w:t>……</w:t>
      </w:r>
    </w:p>
    <w:p w14:paraId="12D75D5F">
      <w:pPr>
        <w:spacing w:line="240" w:lineRule="atLeast"/>
        <w:ind w:left="851" w:leftChars="68" w:hanging="708" w:hangingChars="295"/>
        <w:rPr>
          <w:rFonts w:hint="eastAsia" w:ascii="仿宋" w:hAnsi="仿宋" w:eastAsia="仿宋"/>
          <w:sz w:val="24"/>
        </w:rPr>
      </w:pPr>
      <w:r>
        <w:rPr>
          <w:rFonts w:hint="eastAsia" w:ascii="仿宋" w:hAnsi="仿宋" w:eastAsia="仿宋"/>
          <w:sz w:val="24"/>
        </w:rPr>
        <w:t>四、与质疑事项相关的质疑请求</w:t>
      </w:r>
    </w:p>
    <w:p w14:paraId="2F9AC14C">
      <w:pPr>
        <w:spacing w:line="240" w:lineRule="atLeast"/>
        <w:ind w:left="851" w:leftChars="68" w:hanging="708" w:hangingChars="295"/>
        <w:rPr>
          <w:rFonts w:hint="eastAsia" w:ascii="仿宋" w:hAnsi="仿宋" w:eastAsia="仿宋"/>
          <w:sz w:val="24"/>
        </w:rPr>
      </w:pPr>
      <w:r>
        <w:rPr>
          <w:rFonts w:hint="eastAsia" w:ascii="仿宋" w:hAnsi="仿宋" w:eastAsia="仿宋"/>
          <w:sz w:val="24"/>
        </w:rPr>
        <w:t>请求：</w:t>
      </w:r>
    </w:p>
    <w:p w14:paraId="50332D3B">
      <w:pPr>
        <w:spacing w:line="240" w:lineRule="atLeast"/>
        <w:ind w:left="851" w:leftChars="68" w:hanging="708" w:hangingChars="295"/>
        <w:rPr>
          <w:rFonts w:hint="eastAsia" w:ascii="仿宋" w:hAnsi="仿宋" w:eastAsia="仿宋"/>
          <w:sz w:val="24"/>
        </w:rPr>
      </w:pPr>
      <w:r>
        <w:rPr>
          <w:rFonts w:hint="eastAsia" w:ascii="仿宋" w:hAnsi="仿宋" w:eastAsia="仿宋"/>
          <w:sz w:val="24"/>
        </w:rPr>
        <w:t xml:space="preserve">签字(签章)：                   公章：                      </w:t>
      </w:r>
    </w:p>
    <w:p w14:paraId="4A3DB59C">
      <w:pPr>
        <w:spacing w:line="240" w:lineRule="atLeast"/>
        <w:ind w:left="851" w:leftChars="68" w:hanging="708" w:hangingChars="295"/>
        <w:rPr>
          <w:rFonts w:hint="eastAsia" w:ascii="仿宋" w:hAnsi="仿宋" w:eastAsia="仿宋"/>
          <w:sz w:val="24"/>
        </w:rPr>
      </w:pPr>
      <w:r>
        <w:rPr>
          <w:rFonts w:hint="eastAsia" w:ascii="仿宋" w:hAnsi="仿宋" w:eastAsia="仿宋"/>
          <w:sz w:val="24"/>
        </w:rPr>
        <w:t xml:space="preserve">日期：    </w:t>
      </w:r>
    </w:p>
    <w:p w14:paraId="7078852B">
      <w:pPr>
        <w:spacing w:line="240" w:lineRule="atLeast"/>
        <w:ind w:left="851" w:leftChars="68" w:hanging="708" w:hangingChars="295"/>
        <w:rPr>
          <w:rFonts w:hint="eastAsia" w:ascii="仿宋" w:hAnsi="仿宋" w:eastAsia="仿宋"/>
          <w:sz w:val="24"/>
        </w:rPr>
      </w:pPr>
      <w:r>
        <w:rPr>
          <w:rFonts w:hint="eastAsia" w:ascii="仿宋" w:hAnsi="仿宋" w:eastAsia="仿宋"/>
          <w:sz w:val="24"/>
        </w:rPr>
        <w:t>质疑函制作说明：</w:t>
      </w:r>
    </w:p>
    <w:p w14:paraId="6D844DE7">
      <w:pPr>
        <w:spacing w:line="240" w:lineRule="atLeast"/>
        <w:ind w:left="851" w:leftChars="68" w:hanging="708" w:hangingChars="295"/>
        <w:rPr>
          <w:rFonts w:hint="eastAsia" w:ascii="仿宋" w:hAnsi="仿宋" w:eastAsia="仿宋"/>
          <w:sz w:val="24"/>
        </w:rPr>
      </w:pPr>
      <w:r>
        <w:rPr>
          <w:rFonts w:hint="eastAsia" w:ascii="仿宋" w:hAnsi="仿宋" w:eastAsia="仿宋"/>
          <w:sz w:val="24"/>
        </w:rPr>
        <w:t>1.供应商提出质疑时，应提交质疑函和必要的证明材料。</w:t>
      </w:r>
    </w:p>
    <w:p w14:paraId="79226974">
      <w:pPr>
        <w:spacing w:line="240" w:lineRule="atLeast"/>
        <w:ind w:left="851" w:leftChars="68" w:hanging="708" w:hangingChars="295"/>
        <w:rPr>
          <w:rFonts w:hint="eastAsia"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5904D313">
      <w:pPr>
        <w:spacing w:line="240" w:lineRule="atLeast"/>
        <w:ind w:left="851" w:leftChars="68" w:hanging="708" w:hangingChars="295"/>
        <w:rPr>
          <w:rFonts w:hint="eastAsia" w:ascii="仿宋" w:hAnsi="仿宋" w:eastAsia="仿宋"/>
          <w:sz w:val="24"/>
        </w:rPr>
      </w:pPr>
      <w:r>
        <w:rPr>
          <w:rFonts w:hint="eastAsia" w:ascii="仿宋" w:hAnsi="仿宋" w:eastAsia="仿宋"/>
          <w:sz w:val="24"/>
        </w:rPr>
        <w:t>3.质疑供应商若对项目的某一分包进行质疑，质疑函中应列明具体分包号。</w:t>
      </w:r>
    </w:p>
    <w:p w14:paraId="6434F4E2">
      <w:pPr>
        <w:spacing w:line="240" w:lineRule="atLeast"/>
        <w:ind w:left="851" w:leftChars="68" w:hanging="708" w:hangingChars="295"/>
        <w:rPr>
          <w:rFonts w:hint="eastAsia" w:ascii="仿宋" w:hAnsi="仿宋" w:eastAsia="仿宋"/>
          <w:sz w:val="24"/>
        </w:rPr>
      </w:pPr>
      <w:r>
        <w:rPr>
          <w:rFonts w:hint="eastAsia" w:ascii="仿宋" w:hAnsi="仿宋" w:eastAsia="仿宋"/>
          <w:sz w:val="24"/>
        </w:rPr>
        <w:t>4.质疑函的质疑事项应具体、明确，并有必要的事实依据和法律依据。</w:t>
      </w:r>
    </w:p>
    <w:p w14:paraId="6B363F3E">
      <w:pPr>
        <w:spacing w:line="240" w:lineRule="atLeast"/>
        <w:ind w:left="851" w:leftChars="68" w:hanging="708" w:hangingChars="295"/>
        <w:rPr>
          <w:rFonts w:hint="eastAsia" w:ascii="仿宋" w:hAnsi="仿宋" w:eastAsia="仿宋"/>
          <w:sz w:val="24"/>
        </w:rPr>
      </w:pPr>
      <w:r>
        <w:rPr>
          <w:rFonts w:hint="eastAsia" w:ascii="仿宋" w:hAnsi="仿宋" w:eastAsia="仿宋"/>
          <w:sz w:val="24"/>
        </w:rPr>
        <w:t>5.质疑函的质疑请求应与质疑事项相关。</w:t>
      </w:r>
    </w:p>
    <w:p w14:paraId="1A27C670">
      <w:pPr>
        <w:spacing w:line="240" w:lineRule="atLeast"/>
        <w:ind w:left="851" w:leftChars="68" w:hanging="708" w:hangingChars="295"/>
        <w:rPr>
          <w:rFonts w:hint="eastAsia"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14:paraId="05C8EEE9">
      <w:pPr>
        <w:pStyle w:val="27"/>
        <w:spacing w:before="0" w:line="400" w:lineRule="atLeast"/>
        <w:jc w:val="both"/>
        <w:rPr>
          <w:rFonts w:eastAsia="仿宋"/>
        </w:rPr>
      </w:pPr>
      <w:bookmarkStart w:id="259" w:name="_Toc23883"/>
      <w:bookmarkEnd w:id="259"/>
      <w:bookmarkStart w:id="260" w:name="_Toc28552"/>
      <w:bookmarkEnd w:id="260"/>
      <w:bookmarkStart w:id="261" w:name="_Toc10881"/>
      <w:bookmarkEnd w:id="261"/>
      <w:bookmarkStart w:id="262" w:name="_Toc15732"/>
      <w:bookmarkEnd w:id="262"/>
      <w:bookmarkStart w:id="263" w:name="_Toc518923103"/>
      <w:bookmarkEnd w:id="263"/>
      <w:r>
        <w:rPr>
          <w:rFonts w:eastAsia="仿宋"/>
        </w:rPr>
        <w:br w:type="page"/>
      </w:r>
      <w:r>
        <w:rPr>
          <w:rFonts w:eastAsia="仿宋"/>
          <w:szCs w:val="24"/>
        </w:rPr>
        <w:t>附件1：履约保证金保函（格式）</w:t>
      </w:r>
    </w:p>
    <w:p w14:paraId="694719CE">
      <w:pPr>
        <w:pStyle w:val="37"/>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14:paraId="1944E413">
      <w:pPr>
        <w:pStyle w:val="37"/>
        <w:spacing w:line="400" w:lineRule="atLeast"/>
        <w:ind w:left="1080" w:leftChars="257" w:hanging="540"/>
        <w:rPr>
          <w:rFonts w:ascii="Times New Roman" w:hAnsi="Times New Roman" w:eastAsia="仿宋"/>
          <w:b/>
          <w:sz w:val="24"/>
        </w:rPr>
      </w:pPr>
    </w:p>
    <w:p w14:paraId="210A2BEF">
      <w:pPr>
        <w:pStyle w:val="37"/>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14:paraId="3739C3A6">
      <w:pPr>
        <w:pStyle w:val="37"/>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14:paraId="7C775F3A">
      <w:pPr>
        <w:pStyle w:val="37"/>
        <w:spacing w:line="400" w:lineRule="atLeast"/>
        <w:ind w:left="1080" w:leftChars="257" w:hanging="540"/>
        <w:jc w:val="center"/>
        <w:rPr>
          <w:rFonts w:ascii="Times New Roman" w:hAnsi="Times New Roman" w:eastAsia="仿宋"/>
          <w:sz w:val="24"/>
        </w:rPr>
      </w:pPr>
    </w:p>
    <w:p w14:paraId="48A64E77">
      <w:pPr>
        <w:pStyle w:val="37"/>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14:paraId="653E25D6">
      <w:pPr>
        <w:pStyle w:val="37"/>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14:paraId="47700A06">
      <w:pPr>
        <w:pStyle w:val="37"/>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73215651">
      <w:pPr>
        <w:pStyle w:val="37"/>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14:paraId="71CBC7E7">
      <w:pPr>
        <w:pStyle w:val="37"/>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4A97D83B">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14:paraId="6343D2C4">
      <w:pPr>
        <w:pStyle w:val="37"/>
        <w:spacing w:line="400" w:lineRule="atLeast"/>
        <w:ind w:left="1080" w:leftChars="257" w:hanging="540"/>
        <w:rPr>
          <w:rFonts w:ascii="Times New Roman" w:hAnsi="Times New Roman" w:eastAsia="仿宋"/>
          <w:sz w:val="24"/>
        </w:rPr>
      </w:pPr>
    </w:p>
    <w:p w14:paraId="6A61BAF6">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14:paraId="598782D0">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14:paraId="4B149602">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14:paraId="1C09B092">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14:paraId="7EF72602">
      <w:pPr>
        <w:pStyle w:val="37"/>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14:paraId="1DA9965C">
      <w:pPr>
        <w:pStyle w:val="27"/>
        <w:spacing w:before="0" w:line="400" w:lineRule="atLeast"/>
        <w:ind w:left="1080" w:leftChars="257" w:hanging="540"/>
        <w:rPr>
          <w:rFonts w:eastAsia="仿宋"/>
        </w:rPr>
      </w:pPr>
      <w:bookmarkStart w:id="264" w:name="_Toc27788"/>
      <w:bookmarkEnd w:id="264"/>
      <w:bookmarkStart w:id="265" w:name="_Toc18040"/>
      <w:bookmarkEnd w:id="265"/>
      <w:bookmarkStart w:id="266" w:name="_Toc6418"/>
      <w:bookmarkEnd w:id="266"/>
      <w:bookmarkStart w:id="267" w:name="_Toc26765"/>
      <w:bookmarkEnd w:id="267"/>
      <w:bookmarkStart w:id="268" w:name="_Toc518923104"/>
      <w:bookmarkEnd w:id="268"/>
      <w:r>
        <w:rPr>
          <w:rFonts w:eastAsia="仿宋"/>
        </w:rPr>
        <w:br w:type="page"/>
      </w:r>
      <w:r>
        <w:rPr>
          <w:rFonts w:eastAsia="仿宋"/>
          <w:szCs w:val="24"/>
        </w:rPr>
        <w:t>附件2：履约担保函格式</w:t>
      </w:r>
    </w:p>
    <w:p w14:paraId="4751EE30">
      <w:pPr>
        <w:pStyle w:val="27"/>
        <w:spacing w:before="0" w:line="360" w:lineRule="auto"/>
        <w:ind w:left="1080" w:leftChars="257" w:hanging="540"/>
        <w:rPr>
          <w:rFonts w:eastAsia="仿宋"/>
          <w:szCs w:val="24"/>
        </w:rPr>
      </w:pPr>
      <w:bookmarkStart w:id="269" w:name="_Toc21521"/>
      <w:bookmarkEnd w:id="269"/>
      <w:bookmarkStart w:id="270" w:name="_Toc13619"/>
      <w:bookmarkEnd w:id="270"/>
      <w:bookmarkStart w:id="271" w:name="_Toc518923105"/>
      <w:bookmarkEnd w:id="271"/>
      <w:bookmarkStart w:id="272" w:name="_Toc765"/>
      <w:bookmarkEnd w:id="272"/>
      <w:bookmarkStart w:id="273" w:name="_Toc515904842"/>
      <w:bookmarkEnd w:id="273"/>
      <w:bookmarkStart w:id="274" w:name="_Toc30995"/>
      <w:bookmarkEnd w:id="274"/>
      <w:r>
        <w:rPr>
          <w:rFonts w:eastAsia="仿宋"/>
          <w:szCs w:val="24"/>
        </w:rPr>
        <w:t>（采用政府采购信用担保形式时使用）</w:t>
      </w:r>
    </w:p>
    <w:p w14:paraId="3D52F479">
      <w:pPr>
        <w:spacing w:line="240" w:lineRule="atLeast"/>
        <w:jc w:val="center"/>
        <w:rPr>
          <w:rFonts w:eastAsia="仿宋"/>
          <w:sz w:val="24"/>
        </w:rPr>
      </w:pPr>
      <w:r>
        <w:rPr>
          <w:rFonts w:eastAsia="仿宋"/>
          <w:sz w:val="24"/>
        </w:rPr>
        <w:t>政府采购履约担保函（项目用）</w:t>
      </w:r>
    </w:p>
    <w:p w14:paraId="1DD793EE">
      <w:pPr>
        <w:spacing w:line="240" w:lineRule="atLeast"/>
        <w:rPr>
          <w:rFonts w:eastAsia="仿宋"/>
          <w:sz w:val="24"/>
        </w:rPr>
      </w:pPr>
      <w:r>
        <w:rPr>
          <w:rFonts w:eastAsia="仿宋"/>
          <w:sz w:val="24"/>
        </w:rPr>
        <w:t>编号：</w:t>
      </w:r>
    </w:p>
    <w:p w14:paraId="529E3B1B">
      <w:pPr>
        <w:spacing w:line="240" w:lineRule="atLeast"/>
        <w:rPr>
          <w:rFonts w:eastAsia="仿宋"/>
          <w:sz w:val="24"/>
        </w:rPr>
      </w:pPr>
      <w:r>
        <w:rPr>
          <w:rFonts w:eastAsia="仿宋"/>
          <w:sz w:val="24"/>
        </w:rPr>
        <w:t>（采购人）：</w:t>
      </w:r>
    </w:p>
    <w:p w14:paraId="4C8601DC">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14:paraId="3083B8F6">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14:paraId="4CEA230F">
      <w:pPr>
        <w:spacing w:line="240" w:lineRule="atLeast"/>
        <w:ind w:firstLine="480" w:firstLineChars="200"/>
        <w:rPr>
          <w:rFonts w:eastAsia="仿宋"/>
          <w:sz w:val="24"/>
        </w:rPr>
      </w:pPr>
      <w:r>
        <w:rPr>
          <w:rFonts w:eastAsia="仿宋"/>
          <w:sz w:val="24"/>
        </w:rPr>
        <w:t>一、保证责任的情形及保证金额</w:t>
      </w:r>
    </w:p>
    <w:p w14:paraId="54EA9262">
      <w:pPr>
        <w:spacing w:line="240" w:lineRule="atLeast"/>
        <w:ind w:firstLine="480" w:firstLineChars="200"/>
        <w:rPr>
          <w:rFonts w:eastAsia="仿宋"/>
          <w:sz w:val="24"/>
        </w:rPr>
      </w:pPr>
      <w:r>
        <w:rPr>
          <w:rFonts w:eastAsia="仿宋"/>
          <w:sz w:val="24"/>
        </w:rPr>
        <w:t>（一）在供应商出现下列情形之一时，我方承担保证责任：</w:t>
      </w:r>
    </w:p>
    <w:p w14:paraId="65D2F8F8">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14:paraId="5CE4BB52">
      <w:pPr>
        <w:spacing w:line="240" w:lineRule="atLeast"/>
        <w:ind w:firstLine="480" w:firstLineChars="200"/>
        <w:rPr>
          <w:rFonts w:eastAsia="仿宋"/>
          <w:sz w:val="24"/>
        </w:rPr>
      </w:pPr>
      <w:r>
        <w:rPr>
          <w:rFonts w:eastAsia="仿宋"/>
          <w:sz w:val="24"/>
        </w:rPr>
        <w:t xml:space="preserve">2．主合同约定的应当缴纳履约保证金的情形: </w:t>
      </w:r>
    </w:p>
    <w:p w14:paraId="0DB783CF">
      <w:pPr>
        <w:spacing w:line="240" w:lineRule="atLeast"/>
        <w:ind w:firstLine="480" w:firstLineChars="200"/>
        <w:rPr>
          <w:rFonts w:eastAsia="仿宋"/>
          <w:sz w:val="24"/>
        </w:rPr>
      </w:pPr>
      <w:r>
        <w:rPr>
          <w:rFonts w:eastAsia="仿宋"/>
          <w:sz w:val="24"/>
        </w:rPr>
        <w:t>（1）未按主合同约定的质量、数量和期限供应货物/提供服务/完成工程的；</w:t>
      </w:r>
    </w:p>
    <w:p w14:paraId="66C18F62">
      <w:pPr>
        <w:spacing w:line="240" w:lineRule="atLeast"/>
        <w:ind w:firstLine="480" w:firstLineChars="200"/>
        <w:rPr>
          <w:rFonts w:eastAsia="仿宋"/>
          <w:sz w:val="24"/>
        </w:rPr>
      </w:pPr>
      <w:r>
        <w:rPr>
          <w:rFonts w:eastAsia="仿宋"/>
          <w:sz w:val="24"/>
        </w:rPr>
        <w:t>（2）。</w:t>
      </w:r>
    </w:p>
    <w:p w14:paraId="551D781D">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14:paraId="6CECA100">
      <w:pPr>
        <w:spacing w:line="240" w:lineRule="atLeast"/>
        <w:ind w:firstLine="480" w:firstLineChars="200"/>
        <w:rPr>
          <w:rFonts w:eastAsia="仿宋"/>
          <w:sz w:val="24"/>
        </w:rPr>
      </w:pPr>
      <w:r>
        <w:rPr>
          <w:rFonts w:eastAsia="仿宋"/>
          <w:sz w:val="24"/>
        </w:rPr>
        <w:t>二、保证的方式及保证期间</w:t>
      </w:r>
    </w:p>
    <w:p w14:paraId="7737AA6D">
      <w:pPr>
        <w:spacing w:line="240" w:lineRule="atLeast"/>
        <w:ind w:firstLine="480" w:firstLineChars="200"/>
        <w:rPr>
          <w:rFonts w:eastAsia="仿宋"/>
          <w:sz w:val="24"/>
        </w:rPr>
      </w:pPr>
      <w:r>
        <w:rPr>
          <w:rFonts w:eastAsia="仿宋"/>
          <w:sz w:val="24"/>
        </w:rPr>
        <w:t>我方保证的方式为：连带责任保证。</w:t>
      </w:r>
    </w:p>
    <w:p w14:paraId="4ACCDE0E">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14:paraId="4D0EE725">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14:paraId="42C1DB3B">
      <w:pPr>
        <w:spacing w:line="240" w:lineRule="atLeast"/>
        <w:ind w:firstLine="480" w:firstLineChars="200"/>
        <w:rPr>
          <w:rFonts w:eastAsia="仿宋"/>
          <w:sz w:val="24"/>
        </w:rPr>
      </w:pPr>
      <w:r>
        <w:rPr>
          <w:rFonts w:eastAsia="仿宋"/>
          <w:sz w:val="24"/>
        </w:rPr>
        <w:t>三、承担保证责任的程序</w:t>
      </w:r>
    </w:p>
    <w:p w14:paraId="4C5308E2">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14:paraId="26DBB185">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14:paraId="47129F6B">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14:paraId="6B2A9C26">
      <w:pPr>
        <w:spacing w:line="240" w:lineRule="atLeast"/>
        <w:ind w:firstLine="480" w:firstLineChars="200"/>
        <w:rPr>
          <w:rFonts w:eastAsia="仿宋"/>
          <w:sz w:val="24"/>
        </w:rPr>
      </w:pPr>
      <w:r>
        <w:rPr>
          <w:rFonts w:eastAsia="仿宋"/>
          <w:sz w:val="24"/>
        </w:rPr>
        <w:t>四、保证责任的终止</w:t>
      </w:r>
    </w:p>
    <w:p w14:paraId="54E5D00C">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310D7460">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14:paraId="64D25B79">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14:paraId="10A0A7D3">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2E1B561">
      <w:pPr>
        <w:spacing w:line="240" w:lineRule="atLeast"/>
        <w:ind w:firstLine="480" w:firstLineChars="200"/>
        <w:rPr>
          <w:rFonts w:eastAsia="仿宋"/>
          <w:sz w:val="24"/>
        </w:rPr>
      </w:pPr>
      <w:r>
        <w:rPr>
          <w:rFonts w:eastAsia="仿宋"/>
          <w:sz w:val="24"/>
        </w:rPr>
        <w:t>五、免责条款</w:t>
      </w:r>
    </w:p>
    <w:p w14:paraId="7689CC01">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14:paraId="0E430E1E">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14:paraId="496BEAA1">
      <w:pPr>
        <w:spacing w:line="240" w:lineRule="atLeast"/>
        <w:ind w:firstLine="480" w:firstLineChars="200"/>
        <w:rPr>
          <w:rFonts w:eastAsia="仿宋"/>
          <w:sz w:val="24"/>
        </w:rPr>
      </w:pPr>
      <w:r>
        <w:rPr>
          <w:rFonts w:eastAsia="仿宋"/>
          <w:sz w:val="24"/>
        </w:rPr>
        <w:t>3．因不可抗力造成供应商不能履行供货义务的，我方不承担保证责任。</w:t>
      </w:r>
    </w:p>
    <w:p w14:paraId="16DA8827">
      <w:pPr>
        <w:spacing w:line="240" w:lineRule="atLeast"/>
        <w:ind w:firstLine="480" w:firstLineChars="200"/>
        <w:rPr>
          <w:rFonts w:eastAsia="仿宋"/>
          <w:sz w:val="24"/>
        </w:rPr>
      </w:pPr>
      <w:r>
        <w:rPr>
          <w:rFonts w:eastAsia="仿宋"/>
          <w:sz w:val="24"/>
        </w:rPr>
        <w:t>六、争议的解决</w:t>
      </w:r>
    </w:p>
    <w:p w14:paraId="255EFA2B">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14:paraId="7C726E5B">
      <w:pPr>
        <w:spacing w:line="240" w:lineRule="atLeast"/>
        <w:ind w:firstLine="480" w:firstLineChars="200"/>
        <w:rPr>
          <w:rFonts w:eastAsia="仿宋"/>
          <w:sz w:val="24"/>
        </w:rPr>
      </w:pPr>
      <w:r>
        <w:rPr>
          <w:rFonts w:eastAsia="仿宋"/>
          <w:sz w:val="24"/>
        </w:rPr>
        <w:t>七、保函的生效</w:t>
      </w:r>
    </w:p>
    <w:p w14:paraId="1BC743B2">
      <w:pPr>
        <w:spacing w:line="240" w:lineRule="atLeast"/>
        <w:ind w:firstLine="480" w:firstLineChars="200"/>
        <w:rPr>
          <w:rFonts w:eastAsia="仿宋"/>
          <w:sz w:val="24"/>
        </w:rPr>
      </w:pPr>
      <w:r>
        <w:rPr>
          <w:rFonts w:eastAsia="仿宋"/>
          <w:sz w:val="24"/>
        </w:rPr>
        <w:t>本保函自我方加盖公章之日起生效。</w:t>
      </w:r>
    </w:p>
    <w:p w14:paraId="5CDB78F9">
      <w:pPr>
        <w:spacing w:line="240" w:lineRule="atLeast"/>
        <w:rPr>
          <w:rFonts w:eastAsia="仿宋"/>
          <w:sz w:val="24"/>
        </w:rPr>
      </w:pPr>
    </w:p>
    <w:p w14:paraId="7D79D96F">
      <w:pPr>
        <w:spacing w:line="240" w:lineRule="atLeast"/>
        <w:ind w:firstLine="6240" w:firstLineChars="2600"/>
        <w:rPr>
          <w:rFonts w:eastAsia="仿宋"/>
          <w:sz w:val="24"/>
        </w:rPr>
      </w:pPr>
      <w:r>
        <w:rPr>
          <w:rFonts w:eastAsia="仿宋"/>
          <w:sz w:val="24"/>
        </w:rPr>
        <w:t>保证人：（公章）</w:t>
      </w:r>
    </w:p>
    <w:p w14:paraId="14D6EA9E">
      <w:pPr>
        <w:spacing w:line="240" w:lineRule="atLeast"/>
        <w:ind w:firstLine="6480" w:firstLineChars="2700"/>
        <w:rPr>
          <w:rFonts w:eastAsia="仿宋"/>
          <w:sz w:val="24"/>
        </w:rPr>
      </w:pPr>
      <w:r>
        <w:rPr>
          <w:rFonts w:eastAsia="仿宋"/>
          <w:sz w:val="24"/>
        </w:rPr>
        <w:t>年</w:t>
      </w:r>
      <w:r>
        <w:rPr>
          <w:rFonts w:hint="eastAsia" w:eastAsia="仿宋"/>
          <w:sz w:val="24"/>
          <w:lang w:val="en-US" w:eastAsia="zh-CN"/>
        </w:rPr>
        <w:t xml:space="preserve"> </w:t>
      </w:r>
      <w:r>
        <w:rPr>
          <w:rFonts w:eastAsia="仿宋"/>
          <w:sz w:val="24"/>
        </w:rPr>
        <w:t>月</w:t>
      </w:r>
      <w:r>
        <w:rPr>
          <w:rFonts w:hint="eastAsia" w:eastAsia="仿宋"/>
          <w:sz w:val="24"/>
          <w:lang w:val="en-US" w:eastAsia="zh-CN"/>
        </w:rPr>
        <w:t xml:space="preserve"> </w:t>
      </w:r>
      <w:r>
        <w:rPr>
          <w:rFonts w:eastAsia="仿宋"/>
          <w:sz w:val="24"/>
        </w:rPr>
        <w:t>日</w:t>
      </w:r>
    </w:p>
    <w:p w14:paraId="785E86AD">
      <w:pPr>
        <w:pStyle w:val="32"/>
        <w:spacing w:line="360" w:lineRule="auto"/>
        <w:ind w:firstLine="0"/>
        <w:rPr>
          <w:rFonts w:ascii="Times New Roman" w:eastAsia="仿宋"/>
          <w:b/>
        </w:rPr>
      </w:pPr>
      <w:r>
        <w:rPr>
          <w:rFonts w:ascii="Times New Roman" w:eastAsia="仿宋"/>
          <w:b/>
        </w:rPr>
        <w:br w:type="page"/>
      </w:r>
    </w:p>
    <w:p w14:paraId="66D74F03">
      <w:pPr>
        <w:pStyle w:val="26"/>
        <w:spacing w:before="0" w:after="0" w:line="360" w:lineRule="auto"/>
        <w:rPr>
          <w:rFonts w:ascii="Times New Roman" w:eastAsia="仿宋"/>
          <w:sz w:val="48"/>
          <w:szCs w:val="28"/>
        </w:rPr>
      </w:pPr>
      <w:bookmarkStart w:id="275" w:name="_Toc26371"/>
      <w:bookmarkEnd w:id="275"/>
      <w:bookmarkStart w:id="276" w:name="_Toc518923106"/>
      <w:bookmarkEnd w:id="276"/>
      <w:bookmarkStart w:id="277" w:name="_Toc22884"/>
      <w:bookmarkEnd w:id="277"/>
      <w:bookmarkStart w:id="278" w:name="_Toc216582812"/>
      <w:bookmarkEnd w:id="278"/>
      <w:bookmarkStart w:id="279" w:name="_Toc12170"/>
      <w:bookmarkEnd w:id="279"/>
      <w:bookmarkStart w:id="280" w:name="_Toc6923"/>
      <w:bookmarkEnd w:id="280"/>
    </w:p>
    <w:p w14:paraId="475C03E7">
      <w:pPr>
        <w:pStyle w:val="26"/>
        <w:spacing w:before="0" w:after="0" w:line="360" w:lineRule="auto"/>
        <w:rPr>
          <w:rFonts w:ascii="Times New Roman" w:eastAsia="仿宋"/>
          <w:sz w:val="48"/>
          <w:szCs w:val="28"/>
        </w:rPr>
      </w:pPr>
    </w:p>
    <w:p w14:paraId="5EFC1075">
      <w:pPr>
        <w:pStyle w:val="26"/>
        <w:spacing w:before="0" w:after="0" w:line="360" w:lineRule="auto"/>
        <w:rPr>
          <w:rFonts w:ascii="Times New Roman" w:eastAsia="仿宋"/>
          <w:sz w:val="48"/>
          <w:szCs w:val="28"/>
        </w:rPr>
      </w:pPr>
    </w:p>
    <w:p w14:paraId="66895F87">
      <w:pPr>
        <w:pStyle w:val="26"/>
        <w:spacing w:before="0" w:after="0" w:line="360" w:lineRule="auto"/>
        <w:rPr>
          <w:rFonts w:ascii="Times New Roman" w:eastAsia="仿宋"/>
          <w:sz w:val="48"/>
          <w:szCs w:val="28"/>
        </w:rPr>
      </w:pPr>
    </w:p>
    <w:p w14:paraId="7D1D26C1">
      <w:pPr>
        <w:pStyle w:val="26"/>
        <w:spacing w:before="0" w:after="0" w:line="360" w:lineRule="auto"/>
        <w:rPr>
          <w:rFonts w:ascii="Times New Roman" w:eastAsia="仿宋"/>
          <w:sz w:val="48"/>
          <w:szCs w:val="28"/>
        </w:rPr>
      </w:pPr>
    </w:p>
    <w:p w14:paraId="6D798A39">
      <w:pPr>
        <w:pStyle w:val="26"/>
        <w:spacing w:before="0" w:after="0" w:line="360" w:lineRule="auto"/>
        <w:rPr>
          <w:rFonts w:ascii="Times New Roman" w:eastAsia="仿宋"/>
          <w:sz w:val="48"/>
          <w:szCs w:val="28"/>
        </w:rPr>
      </w:pPr>
      <w:r>
        <w:rPr>
          <w:rFonts w:ascii="Times New Roman" w:eastAsia="仿宋"/>
          <w:sz w:val="48"/>
          <w:szCs w:val="28"/>
        </w:rPr>
        <w:t>第2章投标文件格式</w:t>
      </w:r>
    </w:p>
    <w:p w14:paraId="097180A2">
      <w:pPr>
        <w:pStyle w:val="83"/>
        <w:spacing w:line="380" w:lineRule="exact"/>
        <w:jc w:val="center"/>
        <w:rPr>
          <w:rFonts w:ascii="仿宋_GB2312" w:hAnsi="宋体" w:eastAsia="仿宋_GB2312"/>
          <w:sz w:val="28"/>
          <w:szCs w:val="28"/>
        </w:rPr>
      </w:pPr>
    </w:p>
    <w:p w14:paraId="2F505BD2">
      <w:pPr>
        <w:pStyle w:val="83"/>
        <w:spacing w:line="380" w:lineRule="exact"/>
        <w:jc w:val="center"/>
        <w:rPr>
          <w:rFonts w:ascii="仿宋_GB2312" w:hAnsi="宋体" w:eastAsia="仿宋_GB2312"/>
          <w:sz w:val="28"/>
          <w:szCs w:val="28"/>
        </w:rPr>
      </w:pPr>
    </w:p>
    <w:p w14:paraId="737533DA">
      <w:pPr>
        <w:rPr>
          <w:rFonts w:ascii="仿宋_GB2312" w:hAnsi="宋体" w:eastAsia="仿宋_GB2312"/>
          <w:sz w:val="28"/>
          <w:szCs w:val="28"/>
        </w:rPr>
      </w:pPr>
      <w:r>
        <w:rPr>
          <w:rFonts w:ascii="仿宋_GB2312" w:hAnsi="宋体" w:eastAsia="仿宋_GB2312"/>
          <w:sz w:val="28"/>
          <w:szCs w:val="28"/>
        </w:rPr>
        <w:br w:type="page"/>
      </w:r>
    </w:p>
    <w:p w14:paraId="1699CDF6">
      <w:pPr>
        <w:pStyle w:val="83"/>
        <w:spacing w:line="380" w:lineRule="exact"/>
        <w:jc w:val="center"/>
        <w:rPr>
          <w:rFonts w:ascii="仿宋_GB2312" w:hAnsi="宋体" w:eastAsia="仿宋_GB2312"/>
          <w:sz w:val="28"/>
          <w:szCs w:val="28"/>
        </w:rPr>
      </w:pPr>
    </w:p>
    <w:p w14:paraId="680E820B">
      <w:pPr>
        <w:pStyle w:val="83"/>
        <w:spacing w:line="380" w:lineRule="exact"/>
        <w:jc w:val="center"/>
        <w:rPr>
          <w:rFonts w:ascii="仿宋_GB2312" w:hAnsi="宋体" w:eastAsia="仿宋_GB2312"/>
          <w:sz w:val="28"/>
          <w:szCs w:val="28"/>
        </w:rPr>
      </w:pPr>
    </w:p>
    <w:p w14:paraId="073FFD2F">
      <w:pPr>
        <w:pStyle w:val="83"/>
        <w:spacing w:line="380" w:lineRule="exact"/>
        <w:jc w:val="center"/>
        <w:rPr>
          <w:rFonts w:ascii="仿宋_GB2312" w:hAnsi="宋体" w:eastAsia="仿宋_GB2312"/>
          <w:sz w:val="28"/>
          <w:szCs w:val="28"/>
        </w:rPr>
      </w:pPr>
    </w:p>
    <w:p w14:paraId="35B19942">
      <w:pPr>
        <w:pStyle w:val="83"/>
        <w:spacing w:line="380" w:lineRule="exact"/>
        <w:jc w:val="center"/>
        <w:rPr>
          <w:rFonts w:ascii="仿宋_GB2312" w:hAnsi="宋体" w:eastAsia="仿宋_GB2312"/>
          <w:sz w:val="28"/>
          <w:szCs w:val="28"/>
        </w:rPr>
      </w:pPr>
    </w:p>
    <w:p w14:paraId="5EC65FA0">
      <w:pPr>
        <w:pStyle w:val="83"/>
        <w:spacing w:line="380" w:lineRule="exact"/>
        <w:jc w:val="center"/>
        <w:rPr>
          <w:rFonts w:ascii="仿宋_GB2312" w:hAnsi="宋体" w:eastAsia="仿宋_GB2312"/>
          <w:sz w:val="28"/>
          <w:szCs w:val="28"/>
        </w:rPr>
      </w:pPr>
    </w:p>
    <w:p w14:paraId="7166F754">
      <w:pPr>
        <w:jc w:val="center"/>
        <w:rPr>
          <w:rFonts w:ascii="宋体" w:hAnsi="宋体"/>
          <w:b/>
          <w:bCs/>
          <w:color w:val="000000"/>
          <w:sz w:val="44"/>
          <w:szCs w:val="44"/>
        </w:rPr>
      </w:pPr>
      <w:r>
        <w:rPr>
          <w:rFonts w:hint="eastAsia" w:ascii="宋体" w:hAnsi="宋体"/>
          <w:b/>
          <w:bCs/>
          <w:color w:val="000000"/>
          <w:sz w:val="44"/>
          <w:szCs w:val="44"/>
        </w:rPr>
        <w:t>响  应  文  件</w:t>
      </w:r>
    </w:p>
    <w:p w14:paraId="4F97F118">
      <w:pPr>
        <w:pStyle w:val="83"/>
        <w:spacing w:line="380" w:lineRule="exact"/>
        <w:jc w:val="center"/>
        <w:rPr>
          <w:rFonts w:ascii="仿宋_GB2312" w:hAnsi="宋体" w:eastAsia="仿宋_GB2312"/>
          <w:sz w:val="28"/>
          <w:szCs w:val="28"/>
        </w:rPr>
      </w:pPr>
    </w:p>
    <w:p w14:paraId="4BA624E1">
      <w:pPr>
        <w:pStyle w:val="83"/>
        <w:spacing w:line="380" w:lineRule="exact"/>
        <w:jc w:val="center"/>
        <w:rPr>
          <w:rFonts w:ascii="仿宋_GB2312" w:hAnsi="宋体" w:eastAsia="仿宋_GB2312"/>
          <w:sz w:val="28"/>
          <w:szCs w:val="28"/>
        </w:rPr>
      </w:pPr>
    </w:p>
    <w:p w14:paraId="0EAE4527">
      <w:pPr>
        <w:pStyle w:val="83"/>
        <w:spacing w:line="380" w:lineRule="exact"/>
        <w:jc w:val="center"/>
        <w:rPr>
          <w:rFonts w:ascii="仿宋_GB2312" w:hAnsi="宋体" w:eastAsia="仿宋_GB2312"/>
          <w:sz w:val="28"/>
          <w:szCs w:val="28"/>
        </w:rPr>
      </w:pPr>
    </w:p>
    <w:p w14:paraId="128DC66E">
      <w:pPr>
        <w:pStyle w:val="83"/>
        <w:spacing w:line="380" w:lineRule="exact"/>
        <w:jc w:val="center"/>
        <w:rPr>
          <w:rFonts w:ascii="仿宋_GB2312" w:hAnsi="宋体" w:eastAsia="仿宋_GB2312"/>
          <w:sz w:val="28"/>
          <w:szCs w:val="28"/>
        </w:rPr>
      </w:pPr>
    </w:p>
    <w:p w14:paraId="6E418F87">
      <w:pPr>
        <w:pStyle w:val="83"/>
        <w:spacing w:line="380" w:lineRule="exact"/>
        <w:jc w:val="center"/>
        <w:rPr>
          <w:rFonts w:ascii="仿宋_GB2312" w:hAnsi="宋体" w:eastAsia="仿宋_GB2312"/>
          <w:sz w:val="28"/>
          <w:szCs w:val="28"/>
        </w:rPr>
      </w:pPr>
    </w:p>
    <w:p w14:paraId="19D9804C">
      <w:pPr>
        <w:pStyle w:val="83"/>
        <w:spacing w:line="380" w:lineRule="exact"/>
        <w:jc w:val="center"/>
        <w:rPr>
          <w:rFonts w:ascii="仿宋_GB2312" w:hAnsi="宋体" w:eastAsia="仿宋_GB2312"/>
          <w:sz w:val="28"/>
          <w:szCs w:val="28"/>
        </w:rPr>
      </w:pPr>
    </w:p>
    <w:p w14:paraId="01ECD74C">
      <w:pPr>
        <w:ind w:left="1918" w:leftChars="342" w:right="980" w:hanging="1200" w:hangingChars="500"/>
        <w:rPr>
          <w:rFonts w:ascii="宋体" w:hAnsi="宋体"/>
          <w:color w:val="000000"/>
          <w:sz w:val="24"/>
        </w:rPr>
      </w:pPr>
      <w:r>
        <w:rPr>
          <w:rFonts w:hint="eastAsia" w:ascii="宋体" w:hAnsi="宋体"/>
          <w:color w:val="000000"/>
          <w:sz w:val="24"/>
        </w:rPr>
        <w:t>项目名称：</w:t>
      </w:r>
      <w:r>
        <w:rPr>
          <w:rFonts w:hint="eastAsia" w:ascii="宋体" w:hAnsi="宋体"/>
          <w:color w:val="000000"/>
          <w:sz w:val="24"/>
          <w:u w:val="single"/>
        </w:rPr>
        <w:t xml:space="preserve">       </w:t>
      </w:r>
      <w:r>
        <w:rPr>
          <w:rFonts w:hint="eastAsia" w:ascii="宋体" w:hAnsi="宋体"/>
          <w:color w:val="000000"/>
          <w:sz w:val="24"/>
          <w:u w:val="single"/>
          <w:lang w:val="en-US" w:eastAsia="zh-CN"/>
        </w:rPr>
        <w:t xml:space="preserve">         </w:t>
      </w:r>
      <w:r>
        <w:rPr>
          <w:rFonts w:hint="eastAsia" w:ascii="宋体" w:hAnsi="宋体"/>
          <w:color w:val="000000"/>
          <w:sz w:val="24"/>
          <w:u w:val="single"/>
        </w:rPr>
        <w:t xml:space="preserve">           </w:t>
      </w:r>
      <w:r>
        <w:rPr>
          <w:rFonts w:hint="eastAsia" w:ascii="宋体" w:hAnsi="宋体"/>
          <w:color w:val="000000"/>
          <w:sz w:val="24"/>
        </w:rPr>
        <w:t xml:space="preserve"> </w:t>
      </w:r>
    </w:p>
    <w:p w14:paraId="0FDB76E6">
      <w:pPr>
        <w:rPr>
          <w:rFonts w:ascii="宋体" w:hAnsi="宋体"/>
          <w:color w:val="000000"/>
          <w:sz w:val="24"/>
        </w:rPr>
      </w:pPr>
      <w:r>
        <w:rPr>
          <w:rFonts w:hint="eastAsia" w:ascii="宋体" w:hAnsi="宋体"/>
          <w:color w:val="000000"/>
          <w:sz w:val="18"/>
          <w:szCs w:val="22"/>
        </w:rPr>
        <w:t xml:space="preserve">             </w:t>
      </w:r>
    </w:p>
    <w:p w14:paraId="2BE96A6D">
      <w:pPr>
        <w:ind w:firstLine="240" w:firstLineChars="100"/>
        <w:rPr>
          <w:rFonts w:ascii="宋体" w:hAnsi="宋体"/>
          <w:color w:val="000000"/>
          <w:sz w:val="24"/>
          <w:u w:val="single"/>
        </w:rPr>
      </w:pPr>
      <w:r>
        <w:rPr>
          <w:rFonts w:hint="eastAsia" w:ascii="宋体" w:hAnsi="宋体"/>
          <w:color w:val="000000"/>
          <w:sz w:val="24"/>
        </w:rPr>
        <w:t xml:space="preserve">    项目编号： </w:t>
      </w:r>
      <w:r>
        <w:rPr>
          <w:rFonts w:hint="eastAsia" w:ascii="宋体" w:hAnsi="宋体"/>
          <w:color w:val="000000"/>
          <w:sz w:val="24"/>
          <w:u w:val="single"/>
        </w:rPr>
        <w:t xml:space="preserve">                          </w:t>
      </w:r>
    </w:p>
    <w:p w14:paraId="64035D66">
      <w:pPr>
        <w:rPr>
          <w:rFonts w:ascii="宋体" w:hAnsi="宋体"/>
          <w:color w:val="000000"/>
          <w:sz w:val="18"/>
          <w:szCs w:val="22"/>
        </w:rPr>
      </w:pPr>
      <w:r>
        <w:rPr>
          <w:rFonts w:hint="eastAsia" w:ascii="宋体" w:hAnsi="宋体"/>
          <w:color w:val="000000"/>
          <w:sz w:val="18"/>
          <w:szCs w:val="22"/>
        </w:rPr>
        <w:t xml:space="preserve">  </w:t>
      </w:r>
    </w:p>
    <w:p w14:paraId="3AD068A1">
      <w:pPr>
        <w:rPr>
          <w:rFonts w:ascii="宋体" w:hAnsi="宋体"/>
          <w:color w:val="000000"/>
          <w:sz w:val="18"/>
          <w:szCs w:val="22"/>
        </w:rPr>
      </w:pPr>
    </w:p>
    <w:p w14:paraId="6A92F353">
      <w:pPr>
        <w:rPr>
          <w:rFonts w:ascii="宋体" w:hAnsi="宋体"/>
          <w:color w:val="000000"/>
          <w:sz w:val="18"/>
          <w:szCs w:val="22"/>
        </w:rPr>
      </w:pPr>
    </w:p>
    <w:p w14:paraId="2075F6F3">
      <w:pPr>
        <w:rPr>
          <w:rFonts w:ascii="宋体" w:hAnsi="宋体"/>
          <w:color w:val="000000"/>
          <w:sz w:val="18"/>
          <w:szCs w:val="22"/>
        </w:rPr>
      </w:pPr>
    </w:p>
    <w:p w14:paraId="5EC210C8">
      <w:pPr>
        <w:rPr>
          <w:rFonts w:ascii="宋体" w:hAnsi="宋体"/>
          <w:color w:val="000000"/>
          <w:sz w:val="18"/>
          <w:szCs w:val="22"/>
        </w:rPr>
      </w:pPr>
    </w:p>
    <w:p w14:paraId="31BB527A">
      <w:pPr>
        <w:rPr>
          <w:rFonts w:ascii="宋体" w:hAnsi="宋体"/>
          <w:bCs/>
          <w:color w:val="000000"/>
          <w:sz w:val="28"/>
          <w:szCs w:val="28"/>
        </w:rPr>
      </w:pPr>
    </w:p>
    <w:p w14:paraId="10DDE34B">
      <w:pPr>
        <w:rPr>
          <w:rFonts w:ascii="宋体" w:hAnsi="宋体"/>
          <w:bCs/>
          <w:color w:val="000000"/>
          <w:sz w:val="28"/>
          <w:szCs w:val="28"/>
        </w:rPr>
      </w:pPr>
    </w:p>
    <w:p w14:paraId="5C69D313">
      <w:pPr>
        <w:rPr>
          <w:sz w:val="20"/>
          <w:szCs w:val="22"/>
        </w:rPr>
      </w:pPr>
      <w:r>
        <w:rPr>
          <w:rFonts w:hint="eastAsia" w:ascii="宋体" w:hAnsi="宋体"/>
          <w:color w:val="000000"/>
          <w:sz w:val="24"/>
        </w:rPr>
        <w:t xml:space="preserve">      供应商：</w:t>
      </w:r>
      <w:r>
        <w:rPr>
          <w:rFonts w:hint="eastAsia" w:ascii="宋体" w:hAnsi="宋体"/>
          <w:color w:val="000000"/>
          <w:sz w:val="24"/>
          <w:u w:val="single"/>
        </w:rPr>
        <w:t xml:space="preserve">                              </w:t>
      </w:r>
      <w:r>
        <w:rPr>
          <w:rFonts w:hint="eastAsia" w:ascii="宋体" w:hAnsi="宋体"/>
          <w:color w:val="000000"/>
          <w:sz w:val="24"/>
        </w:rPr>
        <w:t>（盖单位章）</w:t>
      </w:r>
    </w:p>
    <w:p w14:paraId="0241F3C0">
      <w:pPr>
        <w:ind w:firstLine="600" w:firstLineChars="250"/>
        <w:rPr>
          <w:rFonts w:ascii="宋体" w:hAnsi="宋体"/>
          <w:color w:val="000000"/>
          <w:sz w:val="24"/>
        </w:rPr>
      </w:pPr>
      <w:r>
        <w:rPr>
          <w:rFonts w:hint="eastAsia" w:ascii="宋体" w:hAnsi="宋体"/>
          <w:color w:val="000000"/>
          <w:sz w:val="24"/>
        </w:rPr>
        <w:t xml:space="preserve"> </w:t>
      </w:r>
    </w:p>
    <w:p w14:paraId="4A2DF3CE">
      <w:pPr>
        <w:ind w:firstLine="600" w:firstLineChars="250"/>
        <w:rPr>
          <w:rFonts w:ascii="宋体" w:hAnsi="宋体"/>
          <w:color w:val="000000"/>
          <w:sz w:val="24"/>
        </w:rPr>
      </w:pPr>
    </w:p>
    <w:p w14:paraId="40EACE0E">
      <w:pPr>
        <w:ind w:firstLine="600" w:firstLineChars="250"/>
        <w:rPr>
          <w:rFonts w:ascii="宋体" w:hAnsi="宋体"/>
          <w:color w:val="000000"/>
          <w:sz w:val="24"/>
        </w:rPr>
      </w:pPr>
    </w:p>
    <w:p w14:paraId="5DAB2F05">
      <w:pPr>
        <w:ind w:firstLine="600" w:firstLineChars="250"/>
        <w:rPr>
          <w:rFonts w:ascii="宋体" w:hAnsi="宋体"/>
          <w:color w:val="000000"/>
          <w:sz w:val="24"/>
        </w:rPr>
      </w:pPr>
    </w:p>
    <w:p w14:paraId="522CD898">
      <w:pPr>
        <w:ind w:firstLine="600" w:firstLineChars="250"/>
        <w:rPr>
          <w:rFonts w:ascii="宋体" w:hAnsi="宋体"/>
          <w:color w:val="000000"/>
          <w:sz w:val="24"/>
        </w:rPr>
      </w:pPr>
      <w:r>
        <w:rPr>
          <w:rFonts w:hint="eastAsia" w:ascii="宋体" w:hAnsi="宋体"/>
          <w:color w:val="000000"/>
          <w:sz w:val="24"/>
        </w:rPr>
        <w:t xml:space="preserve">法定代表人（授权人） </w:t>
      </w:r>
      <w:r>
        <w:rPr>
          <w:rFonts w:hint="eastAsia" w:ascii="宋体" w:hAnsi="宋体"/>
          <w:color w:val="000000"/>
          <w:sz w:val="24"/>
          <w:u w:val="single"/>
        </w:rPr>
        <w:t xml:space="preserve">                  </w:t>
      </w:r>
      <w:r>
        <w:rPr>
          <w:rFonts w:hint="eastAsia" w:ascii="宋体" w:hAnsi="宋体"/>
          <w:color w:val="000000"/>
          <w:sz w:val="24"/>
        </w:rPr>
        <w:t>（签字或盖章）</w:t>
      </w:r>
    </w:p>
    <w:p w14:paraId="4DCE6BDA">
      <w:pPr>
        <w:jc w:val="center"/>
        <w:rPr>
          <w:rFonts w:ascii="宋体" w:hAnsi="宋体"/>
          <w:color w:val="000000"/>
        </w:rPr>
      </w:pPr>
      <w:r>
        <w:rPr>
          <w:rFonts w:hint="eastAsia" w:ascii="宋体" w:hAnsi="宋体"/>
          <w:color w:val="000000"/>
        </w:rPr>
        <w:t xml:space="preserve">      </w:t>
      </w:r>
    </w:p>
    <w:p w14:paraId="0D21EDE4">
      <w:pPr>
        <w:pStyle w:val="7"/>
        <w:tabs>
          <w:tab w:val="left" w:pos="567"/>
        </w:tabs>
        <w:rPr>
          <w:rFonts w:ascii="宋体" w:hAnsi="宋体"/>
          <w:color w:val="000000"/>
          <w:lang w:eastAsia="zh-CN"/>
        </w:rPr>
      </w:pPr>
    </w:p>
    <w:p w14:paraId="252A0D89">
      <w:pPr>
        <w:rPr>
          <w:rFonts w:ascii="宋体" w:hAnsi="宋体"/>
          <w:color w:val="000000"/>
        </w:rPr>
      </w:pPr>
    </w:p>
    <w:p w14:paraId="521C420F">
      <w:pPr>
        <w:pStyle w:val="7"/>
        <w:tabs>
          <w:tab w:val="left" w:pos="567"/>
        </w:tabs>
        <w:rPr>
          <w:rFonts w:ascii="宋体" w:hAnsi="宋体"/>
          <w:color w:val="000000"/>
          <w:lang w:eastAsia="zh-CN"/>
        </w:rPr>
      </w:pPr>
    </w:p>
    <w:p w14:paraId="70E0D00A"/>
    <w:p w14:paraId="3F57C7B1">
      <w:pPr>
        <w:pStyle w:val="7"/>
        <w:tabs>
          <w:tab w:val="left" w:pos="567"/>
        </w:tabs>
        <w:jc w:val="center"/>
        <w:rPr>
          <w:lang w:eastAsia="zh-CN"/>
        </w:rPr>
      </w:pPr>
      <w:r>
        <w:rPr>
          <w:rFonts w:hint="eastAsia" w:ascii="宋体" w:hAnsi="宋体"/>
          <w:color w:val="000000"/>
          <w:sz w:val="24"/>
          <w:szCs w:val="24"/>
          <w:lang w:eastAsia="zh-CN"/>
        </w:rPr>
        <w:t>年    月    日</w:t>
      </w:r>
    </w:p>
    <w:p w14:paraId="499BD593"/>
    <w:p w14:paraId="3D808129">
      <w:pPr>
        <w:pStyle w:val="7"/>
        <w:tabs>
          <w:tab w:val="left" w:pos="567"/>
        </w:tabs>
        <w:rPr>
          <w:lang w:eastAsia="zh-CN"/>
        </w:rPr>
      </w:pPr>
    </w:p>
    <w:p w14:paraId="69BBF7B0"/>
    <w:p w14:paraId="0A549234">
      <w:pPr>
        <w:pStyle w:val="7"/>
        <w:tabs>
          <w:tab w:val="left" w:pos="567"/>
        </w:tabs>
        <w:rPr>
          <w:lang w:eastAsia="zh-CN"/>
        </w:rPr>
      </w:pPr>
    </w:p>
    <w:p w14:paraId="0ED97CBA"/>
    <w:p w14:paraId="2E6E4DFD">
      <w:pPr>
        <w:pStyle w:val="7"/>
        <w:tabs>
          <w:tab w:val="left" w:pos="567"/>
        </w:tabs>
        <w:rPr>
          <w:lang w:eastAsia="zh-CN"/>
        </w:rPr>
      </w:pPr>
      <w:r>
        <w:rPr>
          <w:lang w:eastAsia="zh-CN"/>
        </w:rPr>
        <w:br w:type="page"/>
      </w:r>
    </w:p>
    <w:p w14:paraId="51BA5E4E">
      <w:pPr>
        <w:spacing w:line="360" w:lineRule="auto"/>
        <w:ind w:left="735" w:leftChars="350" w:firstLine="120" w:firstLineChars="50"/>
        <w:rPr>
          <w:rFonts w:eastAsia="仿宋"/>
          <w:sz w:val="24"/>
        </w:rPr>
      </w:pPr>
    </w:p>
    <w:p w14:paraId="139BE0EF">
      <w:pPr>
        <w:pStyle w:val="27"/>
        <w:spacing w:before="0" w:line="360" w:lineRule="auto"/>
        <w:rPr>
          <w:rFonts w:eastAsia="仿宋"/>
          <w:sz w:val="24"/>
        </w:rPr>
      </w:pPr>
      <w:bookmarkStart w:id="281" w:name="_Toc15142"/>
      <w:bookmarkEnd w:id="281"/>
      <w:bookmarkStart w:id="282" w:name="_Toc518923107"/>
      <w:bookmarkEnd w:id="282"/>
      <w:bookmarkStart w:id="283" w:name="_Toc21953"/>
      <w:bookmarkEnd w:id="283"/>
      <w:bookmarkStart w:id="284" w:name="_Toc10789"/>
      <w:bookmarkEnd w:id="284"/>
      <w:bookmarkStart w:id="285" w:name="_Toc17893"/>
      <w:bookmarkEnd w:id="285"/>
      <w:bookmarkStart w:id="286" w:name="_Toc636"/>
      <w:bookmarkEnd w:id="286"/>
      <w:bookmarkStart w:id="287" w:name="_Toc21715"/>
      <w:bookmarkEnd w:id="287"/>
      <w:r>
        <w:rPr>
          <w:rFonts w:eastAsia="仿宋"/>
          <w:sz w:val="24"/>
        </w:rPr>
        <w:t>第一部分开标一览表及资格证明文件</w:t>
      </w:r>
    </w:p>
    <w:p w14:paraId="556C4E29">
      <w:pPr>
        <w:spacing w:line="360" w:lineRule="auto"/>
        <w:ind w:left="708" w:hanging="708" w:hangingChars="295"/>
        <w:jc w:val="center"/>
        <w:rPr>
          <w:rFonts w:eastAsia="仿宋"/>
          <w:sz w:val="24"/>
        </w:rPr>
      </w:pPr>
    </w:p>
    <w:p w14:paraId="41BCFC0F">
      <w:pPr>
        <w:spacing w:line="360" w:lineRule="auto"/>
        <w:ind w:firstLine="480"/>
        <w:rPr>
          <w:rFonts w:hint="eastAsia" w:ascii="仿宋" w:hAnsi="仿宋" w:eastAsia="仿宋"/>
          <w:bCs/>
          <w:iCs/>
          <w:sz w:val="24"/>
        </w:rPr>
      </w:pPr>
      <w:r>
        <w:rPr>
          <w:rFonts w:hint="eastAsia" w:ascii="仿宋" w:hAnsi="仿宋" w:eastAsia="仿宋"/>
          <w:bCs/>
          <w:iCs/>
          <w:sz w:val="24"/>
        </w:rPr>
        <w:t>1、开标一览表；</w:t>
      </w:r>
    </w:p>
    <w:p w14:paraId="39717CEB">
      <w:pPr>
        <w:spacing w:line="360" w:lineRule="auto"/>
        <w:ind w:firstLine="480"/>
        <w:rPr>
          <w:rFonts w:hint="eastAsia" w:ascii="仿宋" w:hAnsi="仿宋" w:eastAsia="仿宋"/>
          <w:bCs/>
          <w:iCs/>
          <w:sz w:val="24"/>
        </w:rPr>
      </w:pPr>
      <w:r>
        <w:rPr>
          <w:rFonts w:hint="eastAsia" w:ascii="仿宋" w:hAnsi="仿宋" w:eastAsia="仿宋"/>
          <w:bCs/>
          <w:iCs/>
          <w:sz w:val="24"/>
        </w:rPr>
        <w:t>2、</w:t>
      </w:r>
      <w:r>
        <w:rPr>
          <w:rFonts w:hint="eastAsia" w:ascii="仿宋" w:hAnsi="仿宋" w:eastAsia="仿宋"/>
          <w:sz w:val="24"/>
        </w:rPr>
        <w:t>法人或者非法人组织的营业执照等证明文件复印件（须加盖本单位章）或自然人的身份证明复印件;</w:t>
      </w:r>
    </w:p>
    <w:p w14:paraId="64174DF7">
      <w:pPr>
        <w:spacing w:line="360" w:lineRule="auto"/>
        <w:ind w:firstLine="480" w:firstLineChars="200"/>
        <w:rPr>
          <w:rFonts w:hint="eastAsia" w:ascii="仿宋" w:hAnsi="仿宋" w:eastAsia="仿宋"/>
          <w:bCs/>
          <w:iCs/>
          <w:sz w:val="24"/>
        </w:rPr>
      </w:pPr>
      <w:r>
        <w:rPr>
          <w:rFonts w:hint="eastAsia" w:ascii="仿宋" w:hAnsi="仿宋" w:eastAsia="仿宋"/>
          <w:bCs/>
          <w:iCs/>
          <w:sz w:val="24"/>
        </w:rPr>
        <w:t>3、</w:t>
      </w:r>
      <w:r>
        <w:rPr>
          <w:rFonts w:hint="eastAsia" w:ascii="仿宋" w:hAnsi="仿宋" w:eastAsia="仿宋"/>
          <w:sz w:val="24"/>
        </w:rPr>
        <w:t>法定代表人授权委托书（自然人投标的无需提供，投标人为法人的提供法人证明书</w:t>
      </w:r>
      <w:r>
        <w:rPr>
          <w:rFonts w:hint="eastAsia" w:ascii="仿宋" w:hAnsi="仿宋" w:eastAsia="仿宋"/>
          <w:sz w:val="24"/>
          <w:lang w:eastAsia="zh-CN"/>
        </w:rPr>
        <w:t>）</w:t>
      </w:r>
      <w:r>
        <w:rPr>
          <w:rFonts w:hint="eastAsia" w:ascii="仿宋" w:hAnsi="仿宋" w:eastAsia="仿宋"/>
          <w:bCs/>
          <w:iCs/>
          <w:sz w:val="24"/>
        </w:rPr>
        <w:t>；</w:t>
      </w:r>
    </w:p>
    <w:p w14:paraId="01B84FB4">
      <w:pPr>
        <w:spacing w:line="360" w:lineRule="auto"/>
        <w:ind w:firstLine="480"/>
        <w:rPr>
          <w:rFonts w:hint="eastAsia" w:ascii="仿宋" w:hAnsi="仿宋" w:eastAsia="仿宋"/>
          <w:sz w:val="24"/>
        </w:rPr>
      </w:pPr>
      <w:r>
        <w:rPr>
          <w:rFonts w:hint="eastAsia" w:ascii="仿宋" w:hAnsi="仿宋" w:eastAsia="仿宋"/>
          <w:sz w:val="24"/>
        </w:rPr>
        <w:t>4、近两年</w:t>
      </w:r>
      <w:r>
        <w:rPr>
          <w:rFonts w:hint="eastAsia" w:ascii="仿宋" w:hAnsi="仿宋" w:eastAsia="仿宋"/>
          <w:sz w:val="24"/>
          <w:lang w:eastAsia="zh-CN"/>
        </w:rPr>
        <w:t>任意一年完整的</w:t>
      </w:r>
      <w:r>
        <w:rPr>
          <w:rFonts w:hint="eastAsia" w:ascii="仿宋" w:hAnsi="仿宋" w:eastAsia="仿宋"/>
          <w:sz w:val="24"/>
        </w:rPr>
        <w:t>财务审计报告（新成立公司提供开标前三个月内任意一个月有效银行资信证明）；</w:t>
      </w:r>
    </w:p>
    <w:p w14:paraId="54EFB4F8">
      <w:pPr>
        <w:spacing w:line="360" w:lineRule="auto"/>
        <w:ind w:firstLine="480"/>
        <w:rPr>
          <w:rFonts w:hint="eastAsia" w:ascii="仿宋" w:hAnsi="仿宋" w:eastAsia="仿宋"/>
          <w:sz w:val="24"/>
        </w:rPr>
      </w:pPr>
      <w:r>
        <w:rPr>
          <w:rFonts w:hint="eastAsia" w:ascii="仿宋" w:hAnsi="仿宋" w:eastAsia="仿宋"/>
          <w:sz w:val="24"/>
        </w:rPr>
        <w:t>5、投标企业依法缴纳近 6 个月任意一个月社会保险的凭据；</w:t>
      </w:r>
    </w:p>
    <w:p w14:paraId="63D9AF32">
      <w:pPr>
        <w:spacing w:line="360" w:lineRule="auto"/>
        <w:ind w:firstLine="480"/>
        <w:rPr>
          <w:rFonts w:hint="eastAsia" w:ascii="仿宋" w:hAnsi="仿宋" w:eastAsia="仿宋"/>
          <w:sz w:val="24"/>
        </w:rPr>
      </w:pPr>
      <w:r>
        <w:rPr>
          <w:rFonts w:hint="eastAsia" w:ascii="仿宋" w:hAnsi="仿宋" w:eastAsia="仿宋"/>
          <w:sz w:val="24"/>
        </w:rPr>
        <w:t>6、投标企业提供税务部门出具的近 6 个月任意一个月的完税证明；</w:t>
      </w:r>
    </w:p>
    <w:p w14:paraId="019656CA">
      <w:pPr>
        <w:spacing w:line="360" w:lineRule="auto"/>
        <w:ind w:firstLine="480"/>
        <w:rPr>
          <w:rFonts w:hint="eastAsia" w:ascii="仿宋" w:hAnsi="仿宋" w:eastAsia="仿宋"/>
          <w:sz w:val="24"/>
        </w:rPr>
      </w:pPr>
      <w:r>
        <w:rPr>
          <w:rFonts w:hint="eastAsia" w:ascii="仿宋" w:hAnsi="仿宋" w:eastAsia="仿宋"/>
          <w:sz w:val="24"/>
        </w:rPr>
        <w:t>7、参与政府采购活动供应商在前3年内未被“信用中国”网站（www.creditchina.gov.cn）、“中国政府采购网”(www.ccgp.gov.cn)列入失信被执行人、重大税收违法案件当事人名单、政府采购严重失信行为记录名单（提供网页截图或承诺函任一均可）（以招标代理或招标人查询为准）；</w:t>
      </w:r>
    </w:p>
    <w:p w14:paraId="2D1DBD75">
      <w:pPr>
        <w:spacing w:line="360" w:lineRule="auto"/>
        <w:ind w:firstLine="480"/>
        <w:rPr>
          <w:rFonts w:hint="eastAsia" w:ascii="仿宋" w:hAnsi="仿宋" w:eastAsia="仿宋"/>
          <w:sz w:val="24"/>
          <w:lang w:eastAsia="zh-CN"/>
        </w:rPr>
      </w:pPr>
      <w:r>
        <w:rPr>
          <w:rFonts w:hint="eastAsia" w:ascii="仿宋" w:hAnsi="仿宋" w:eastAsia="仿宋"/>
          <w:sz w:val="24"/>
          <w:lang w:val="en-US" w:eastAsia="zh-CN"/>
        </w:rPr>
        <w:t>8</w:t>
      </w:r>
      <w:r>
        <w:rPr>
          <w:rFonts w:hint="eastAsia" w:ascii="仿宋" w:hAnsi="仿宋" w:eastAsia="仿宋"/>
          <w:sz w:val="24"/>
          <w:lang w:eastAsia="zh-CN"/>
        </w:rPr>
        <w:t>、</w:t>
      </w:r>
      <w:r>
        <w:rPr>
          <w:rFonts w:hint="eastAsia" w:ascii="仿宋" w:hAnsi="仿宋" w:eastAsia="仿宋"/>
          <w:sz w:val="24"/>
          <w:lang w:val="en-US" w:eastAsia="zh-CN"/>
        </w:rPr>
        <w:t>投标商需</w:t>
      </w:r>
      <w:r>
        <w:rPr>
          <w:rFonts w:hint="eastAsia" w:ascii="仿宋" w:hAnsi="仿宋" w:eastAsia="仿宋"/>
          <w:sz w:val="24"/>
        </w:rPr>
        <w:t>符合《公安机关实施保安服务管理条例办法》规定，并具有有效的《保安服务许可证》；</w:t>
      </w:r>
    </w:p>
    <w:p w14:paraId="4D798E17">
      <w:pPr>
        <w:spacing w:line="360" w:lineRule="auto"/>
        <w:ind w:firstLine="480"/>
        <w:rPr>
          <w:rFonts w:hint="eastAsia" w:ascii="仿宋" w:hAnsi="仿宋" w:eastAsia="仿宋"/>
          <w:sz w:val="24"/>
        </w:rPr>
      </w:pPr>
      <w:r>
        <w:rPr>
          <w:rFonts w:hint="eastAsia" w:ascii="仿宋" w:hAnsi="仿宋" w:eastAsia="仿宋"/>
          <w:sz w:val="24"/>
          <w:lang w:val="en-US" w:eastAsia="zh-CN"/>
        </w:rPr>
        <w:t>9</w:t>
      </w:r>
      <w:r>
        <w:rPr>
          <w:rFonts w:hint="eastAsia" w:ascii="仿宋" w:hAnsi="仿宋" w:eastAsia="仿宋"/>
          <w:sz w:val="24"/>
        </w:rPr>
        <w:t>、提供针对本次项目《反商业贿赂承诺书》</w:t>
      </w:r>
    </w:p>
    <w:p w14:paraId="29CD16EC">
      <w:pPr>
        <w:spacing w:line="360" w:lineRule="auto"/>
        <w:ind w:firstLine="480"/>
        <w:rPr>
          <w:rFonts w:hint="eastAsia" w:ascii="仿宋" w:hAnsi="仿宋" w:eastAsia="仿宋"/>
          <w:sz w:val="24"/>
        </w:rPr>
      </w:pPr>
      <w:r>
        <w:rPr>
          <w:rFonts w:hint="eastAsia" w:ascii="仿宋" w:hAnsi="仿宋" w:eastAsia="仿宋"/>
          <w:sz w:val="24"/>
        </w:rPr>
        <w:t>1</w:t>
      </w:r>
      <w:r>
        <w:rPr>
          <w:rFonts w:hint="eastAsia" w:ascii="仿宋" w:hAnsi="仿宋" w:eastAsia="仿宋"/>
          <w:sz w:val="24"/>
          <w:lang w:val="en-US" w:eastAsia="zh-CN"/>
        </w:rPr>
        <w:t>0</w:t>
      </w:r>
      <w:r>
        <w:rPr>
          <w:rFonts w:hint="eastAsia" w:ascii="仿宋" w:hAnsi="仿宋" w:eastAsia="仿宋"/>
          <w:sz w:val="24"/>
        </w:rPr>
        <w:t>、缴纳投标保证金有效凭证；</w:t>
      </w:r>
    </w:p>
    <w:p w14:paraId="71CA8616">
      <w:pPr>
        <w:spacing w:line="360" w:lineRule="auto"/>
        <w:ind w:firstLine="480"/>
        <w:rPr>
          <w:rFonts w:hint="eastAsia" w:ascii="仿宋" w:hAnsi="仿宋" w:eastAsia="仿宋"/>
          <w:sz w:val="24"/>
          <w:lang w:val="en-US" w:eastAsia="zh-CN"/>
        </w:rPr>
      </w:pPr>
      <w:r>
        <w:rPr>
          <w:rFonts w:hint="eastAsia" w:ascii="仿宋" w:hAnsi="仿宋" w:eastAsia="仿宋"/>
          <w:sz w:val="24"/>
        </w:rPr>
        <w:t>1</w:t>
      </w:r>
      <w:r>
        <w:rPr>
          <w:rFonts w:hint="eastAsia" w:ascii="仿宋" w:hAnsi="仿宋" w:eastAsia="仿宋"/>
          <w:sz w:val="24"/>
          <w:lang w:val="en-US" w:eastAsia="zh-CN"/>
        </w:rPr>
        <w:t>1</w:t>
      </w:r>
      <w:r>
        <w:rPr>
          <w:rFonts w:hint="eastAsia" w:ascii="仿宋" w:hAnsi="仿宋" w:eastAsia="仿宋"/>
          <w:sz w:val="24"/>
        </w:rPr>
        <w:t>、本项目专门面向中小微企业采购</w:t>
      </w:r>
      <w:r>
        <w:rPr>
          <w:rFonts w:hint="eastAsia" w:ascii="仿宋" w:hAnsi="仿宋" w:eastAsia="仿宋"/>
          <w:sz w:val="24"/>
          <w:lang w:eastAsia="zh-CN"/>
        </w:rPr>
        <w:t>；</w:t>
      </w:r>
    </w:p>
    <w:p w14:paraId="5F75607F">
      <w:pPr>
        <w:spacing w:line="360" w:lineRule="auto"/>
        <w:ind w:firstLine="480"/>
        <w:rPr>
          <w:rFonts w:hint="eastAsia" w:ascii="仿宋" w:hAnsi="仿宋" w:eastAsia="仿宋"/>
          <w:sz w:val="24"/>
        </w:rPr>
      </w:pPr>
      <w:r>
        <w:rPr>
          <w:rFonts w:hint="eastAsia" w:ascii="仿宋" w:hAnsi="仿宋" w:eastAsia="仿宋"/>
          <w:sz w:val="24"/>
          <w:lang w:val="en-US" w:eastAsia="zh-CN"/>
        </w:rPr>
        <w:t>12、</w:t>
      </w:r>
      <w:r>
        <w:rPr>
          <w:rFonts w:hint="eastAsia" w:ascii="仿宋" w:hAnsi="仿宋" w:eastAsia="仿宋"/>
          <w:sz w:val="24"/>
        </w:rPr>
        <w:t>本项目不接受联合体投标。</w:t>
      </w:r>
    </w:p>
    <w:p w14:paraId="2C9DA8A7">
      <w:pPr>
        <w:pStyle w:val="33"/>
        <w:tabs>
          <w:tab w:val="clear" w:pos="567"/>
        </w:tabs>
      </w:pPr>
    </w:p>
    <w:p w14:paraId="0F20D955">
      <w:pPr>
        <w:pStyle w:val="33"/>
        <w:tabs>
          <w:tab w:val="clear" w:pos="567"/>
        </w:tabs>
      </w:pPr>
    </w:p>
    <w:p w14:paraId="1443BB5B"/>
    <w:p w14:paraId="3F4F8694">
      <w:pPr>
        <w:pStyle w:val="45"/>
      </w:pPr>
    </w:p>
    <w:p w14:paraId="3426B1B1">
      <w:pPr>
        <w:pStyle w:val="45"/>
      </w:pPr>
    </w:p>
    <w:p w14:paraId="1346D915">
      <w:pPr>
        <w:rPr>
          <w:rFonts w:ascii="仿宋" w:hAnsi="仿宋" w:eastAsia="仿宋"/>
          <w:b/>
          <w:kern w:val="0"/>
          <w:sz w:val="24"/>
          <w:szCs w:val="20"/>
        </w:rPr>
      </w:pPr>
      <w:r>
        <w:rPr>
          <w:rFonts w:ascii="仿宋" w:hAnsi="仿宋" w:eastAsia="仿宋"/>
          <w:b/>
          <w:kern w:val="0"/>
          <w:sz w:val="24"/>
          <w:szCs w:val="20"/>
        </w:rPr>
        <w:br w:type="page"/>
      </w:r>
    </w:p>
    <w:p w14:paraId="0C39BF77">
      <w:pPr>
        <w:pStyle w:val="11"/>
      </w:pPr>
    </w:p>
    <w:p w14:paraId="5D588B24">
      <w:pPr>
        <w:tabs>
          <w:tab w:val="left" w:pos="5580"/>
        </w:tabs>
        <w:spacing w:line="360" w:lineRule="auto"/>
        <w:ind w:firstLine="964" w:firstLineChars="400"/>
        <w:rPr>
          <w:rFonts w:hint="eastAsia" w:ascii="仿宋" w:hAnsi="仿宋" w:eastAsia="仿宋"/>
          <w:b/>
          <w:kern w:val="0"/>
          <w:sz w:val="24"/>
          <w:szCs w:val="20"/>
        </w:rPr>
      </w:pPr>
      <w:bookmarkStart w:id="288" w:name="_Toc29377"/>
      <w:bookmarkEnd w:id="288"/>
      <w:bookmarkStart w:id="289" w:name="_Toc518923108"/>
      <w:bookmarkEnd w:id="289"/>
      <w:r>
        <w:rPr>
          <w:rFonts w:hint="eastAsia" w:ascii="仿宋" w:hAnsi="仿宋" w:eastAsia="仿宋"/>
          <w:b/>
          <w:kern w:val="0"/>
          <w:sz w:val="24"/>
          <w:szCs w:val="20"/>
        </w:rPr>
        <w:t>1、</w:t>
      </w:r>
      <w:r>
        <w:rPr>
          <w:rFonts w:ascii="仿宋" w:hAnsi="仿宋" w:eastAsia="仿宋"/>
          <w:b/>
          <w:kern w:val="0"/>
          <w:sz w:val="24"/>
          <w:szCs w:val="20"/>
        </w:rPr>
        <w:t>开标一览表</w:t>
      </w:r>
    </w:p>
    <w:p w14:paraId="5D0614C3">
      <w:pPr>
        <w:pStyle w:val="32"/>
        <w:tabs>
          <w:tab w:val="left" w:pos="5580"/>
        </w:tabs>
        <w:spacing w:line="360" w:lineRule="auto"/>
        <w:ind w:left="1080" w:leftChars="257" w:hanging="540"/>
        <w:jc w:val="center"/>
        <w:rPr>
          <w:rFonts w:ascii="Times New Roman" w:eastAsia="仿宋"/>
          <w:b/>
        </w:rPr>
      </w:pPr>
      <w:bookmarkStart w:id="290" w:name="_Toc494296984"/>
      <w:bookmarkEnd w:id="290"/>
      <w:bookmarkStart w:id="291" w:name="_Hlt520356241"/>
      <w:bookmarkEnd w:id="291"/>
      <w:r>
        <w:rPr>
          <w:rFonts w:ascii="Times New Roman" w:eastAsia="仿宋"/>
          <w:b/>
        </w:rPr>
        <w:t>开标一览表</w:t>
      </w:r>
    </w:p>
    <w:p w14:paraId="565D70DB">
      <w:pPr>
        <w:pStyle w:val="32"/>
        <w:tabs>
          <w:tab w:val="left" w:pos="5580"/>
        </w:tabs>
        <w:spacing w:line="360" w:lineRule="auto"/>
        <w:ind w:left="1080" w:leftChars="257" w:hanging="540"/>
        <w:jc w:val="center"/>
        <w:rPr>
          <w:rFonts w:ascii="Times New Roman" w:eastAsia="仿宋"/>
          <w:b/>
        </w:rPr>
      </w:pPr>
    </w:p>
    <w:p w14:paraId="04578FA9">
      <w:pPr>
        <w:pStyle w:val="32"/>
        <w:tabs>
          <w:tab w:val="left" w:pos="5580"/>
        </w:tabs>
        <w:spacing w:line="360" w:lineRule="auto"/>
        <w:ind w:left="1080" w:leftChars="257" w:hanging="540"/>
        <w:rPr>
          <w:rFonts w:ascii="Times New Roman" w:eastAsia="仿宋"/>
        </w:rPr>
      </w:pPr>
    </w:p>
    <w:p w14:paraId="0E34B320">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21"/>
        <w:tblW w:w="91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14:paraId="2D4226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2" w:hRule="atLeast"/>
          <w:jc w:val="center"/>
        </w:trPr>
        <w:tc>
          <w:tcPr>
            <w:tcW w:w="1420" w:type="dxa"/>
            <w:vAlign w:val="center"/>
          </w:tcPr>
          <w:p w14:paraId="4C15C5A6">
            <w:pPr>
              <w:keepNext w:val="0"/>
              <w:keepLines w:val="0"/>
              <w:suppressLineNumbers w:val="0"/>
              <w:tabs>
                <w:tab w:val="left" w:pos="5580"/>
              </w:tabs>
              <w:spacing w:before="0" w:beforeAutospacing="0" w:after="0" w:afterAutospacing="0" w:line="360" w:lineRule="auto"/>
              <w:ind w:left="0" w:right="-199"/>
              <w:jc w:val="center"/>
              <w:rPr>
                <w:rFonts w:hint="eastAsia" w:eastAsia="仿宋"/>
                <w:sz w:val="24"/>
              </w:rPr>
            </w:pPr>
            <w:r>
              <w:rPr>
                <w:rFonts w:hint="eastAsia" w:eastAsia="仿宋"/>
                <w:sz w:val="24"/>
              </w:rPr>
              <w:t>项目</w:t>
            </w:r>
            <w:r>
              <w:rPr>
                <w:rFonts w:hint="default" w:eastAsia="仿宋"/>
                <w:sz w:val="24"/>
              </w:rPr>
              <w:t>名称</w:t>
            </w:r>
          </w:p>
        </w:tc>
        <w:tc>
          <w:tcPr>
            <w:tcW w:w="2340" w:type="dxa"/>
            <w:vAlign w:val="center"/>
          </w:tcPr>
          <w:p w14:paraId="439127BB">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投标总价</w:t>
            </w:r>
          </w:p>
        </w:tc>
        <w:tc>
          <w:tcPr>
            <w:tcW w:w="1805" w:type="dxa"/>
            <w:vAlign w:val="center"/>
          </w:tcPr>
          <w:p w14:paraId="139C90CF">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投标保证金缴纳方式</w:t>
            </w:r>
          </w:p>
        </w:tc>
        <w:tc>
          <w:tcPr>
            <w:tcW w:w="1445" w:type="dxa"/>
            <w:vAlign w:val="center"/>
          </w:tcPr>
          <w:p w14:paraId="6A24F57C">
            <w:pPr>
              <w:keepNext w:val="0"/>
              <w:keepLines w:val="0"/>
              <w:suppressLineNumbers w:val="0"/>
              <w:tabs>
                <w:tab w:val="left" w:pos="5580"/>
              </w:tabs>
              <w:spacing w:before="0" w:beforeAutospacing="0" w:after="0" w:afterAutospacing="0" w:line="360" w:lineRule="auto"/>
              <w:ind w:left="0" w:right="0"/>
              <w:jc w:val="center"/>
              <w:rPr>
                <w:rFonts w:hint="default" w:eastAsia="仿宋"/>
                <w:sz w:val="24"/>
                <w:lang w:val="en-US" w:eastAsia="zh-CN"/>
              </w:rPr>
            </w:pPr>
            <w:r>
              <w:rPr>
                <w:rFonts w:hint="eastAsia" w:eastAsia="仿宋"/>
                <w:sz w:val="24"/>
                <w:lang w:val="en-US" w:eastAsia="zh-CN"/>
              </w:rPr>
              <w:t>履约期限</w:t>
            </w:r>
          </w:p>
        </w:tc>
        <w:tc>
          <w:tcPr>
            <w:tcW w:w="1016" w:type="dxa"/>
            <w:vAlign w:val="center"/>
          </w:tcPr>
          <w:p w14:paraId="3F62529F">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eastAsia" w:eastAsia="仿宋"/>
                <w:sz w:val="24"/>
                <w:lang w:val="en-US" w:eastAsia="zh-CN"/>
              </w:rPr>
              <w:t>履约</w:t>
            </w:r>
            <w:r>
              <w:rPr>
                <w:rFonts w:hint="default" w:eastAsia="仿宋"/>
                <w:sz w:val="24"/>
              </w:rPr>
              <w:t>地点</w:t>
            </w:r>
          </w:p>
        </w:tc>
        <w:tc>
          <w:tcPr>
            <w:tcW w:w="1129" w:type="dxa"/>
            <w:vAlign w:val="center"/>
          </w:tcPr>
          <w:p w14:paraId="431DD447">
            <w:pPr>
              <w:keepNext w:val="0"/>
              <w:keepLines w:val="0"/>
              <w:suppressLineNumbers w:val="0"/>
              <w:tabs>
                <w:tab w:val="left" w:pos="5580"/>
              </w:tabs>
              <w:spacing w:before="0" w:beforeAutospacing="0" w:after="0" w:afterAutospacing="0" w:line="360" w:lineRule="auto"/>
              <w:ind w:left="0" w:right="0"/>
              <w:jc w:val="center"/>
              <w:rPr>
                <w:rFonts w:hint="default" w:eastAsia="仿宋"/>
                <w:sz w:val="24"/>
              </w:rPr>
            </w:pPr>
            <w:r>
              <w:rPr>
                <w:rFonts w:hint="default" w:eastAsia="仿宋"/>
                <w:sz w:val="24"/>
              </w:rPr>
              <w:t>备注</w:t>
            </w:r>
          </w:p>
        </w:tc>
      </w:tr>
      <w:tr w14:paraId="5E62FF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640" w:hRule="atLeast"/>
          <w:jc w:val="center"/>
        </w:trPr>
        <w:tc>
          <w:tcPr>
            <w:tcW w:w="1420" w:type="dxa"/>
            <w:vAlign w:val="center"/>
          </w:tcPr>
          <w:p w14:paraId="052204CA">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2340" w:type="dxa"/>
            <w:vAlign w:val="center"/>
          </w:tcPr>
          <w:p w14:paraId="4A6F96F7">
            <w:pPr>
              <w:keepNext w:val="0"/>
              <w:keepLines w:val="0"/>
              <w:suppressLineNumbers w:val="0"/>
              <w:tabs>
                <w:tab w:val="left" w:pos="5580"/>
              </w:tabs>
              <w:spacing w:before="0" w:beforeAutospacing="0" w:after="0" w:afterAutospacing="0" w:line="360" w:lineRule="auto"/>
              <w:ind w:left="0" w:right="0"/>
              <w:jc w:val="left"/>
              <w:rPr>
                <w:rFonts w:hint="default" w:eastAsia="仿宋"/>
                <w:sz w:val="24"/>
              </w:rPr>
            </w:pPr>
            <w:r>
              <w:rPr>
                <w:rFonts w:hint="default" w:eastAsia="仿宋"/>
                <w:sz w:val="24"/>
              </w:rPr>
              <w:t>大写：</w:t>
            </w:r>
          </w:p>
          <w:p w14:paraId="568DA0B9">
            <w:pPr>
              <w:keepNext w:val="0"/>
              <w:keepLines w:val="0"/>
              <w:suppressLineNumbers w:val="0"/>
              <w:tabs>
                <w:tab w:val="left" w:pos="5580"/>
              </w:tabs>
              <w:spacing w:before="0" w:beforeAutospacing="0" w:after="0" w:afterAutospacing="0" w:line="360" w:lineRule="auto"/>
              <w:ind w:left="0" w:right="0"/>
              <w:jc w:val="left"/>
              <w:rPr>
                <w:rFonts w:hint="default" w:eastAsia="仿宋"/>
                <w:sz w:val="24"/>
              </w:rPr>
            </w:pPr>
            <w:r>
              <w:rPr>
                <w:rFonts w:hint="default" w:eastAsia="仿宋"/>
                <w:sz w:val="24"/>
              </w:rPr>
              <w:t>小写：</w:t>
            </w:r>
          </w:p>
        </w:tc>
        <w:tc>
          <w:tcPr>
            <w:tcW w:w="1805" w:type="dxa"/>
            <w:vAlign w:val="center"/>
          </w:tcPr>
          <w:p w14:paraId="32D6E3E2">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445" w:type="dxa"/>
            <w:vAlign w:val="center"/>
          </w:tcPr>
          <w:p w14:paraId="3E67EEC3">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016" w:type="dxa"/>
            <w:vAlign w:val="center"/>
          </w:tcPr>
          <w:p w14:paraId="34089A76">
            <w:pPr>
              <w:keepNext w:val="0"/>
              <w:keepLines w:val="0"/>
              <w:suppressLineNumbers w:val="0"/>
              <w:tabs>
                <w:tab w:val="left" w:pos="5580"/>
              </w:tabs>
              <w:spacing w:before="0" w:beforeAutospacing="0" w:after="0" w:afterAutospacing="0" w:line="360" w:lineRule="auto"/>
              <w:ind w:left="1080" w:leftChars="257" w:right="0" w:hanging="540"/>
              <w:jc w:val="center"/>
              <w:rPr>
                <w:rFonts w:hint="default" w:eastAsia="仿宋"/>
                <w:sz w:val="24"/>
              </w:rPr>
            </w:pPr>
          </w:p>
        </w:tc>
        <w:tc>
          <w:tcPr>
            <w:tcW w:w="1129" w:type="dxa"/>
            <w:vAlign w:val="center"/>
          </w:tcPr>
          <w:p w14:paraId="31980943">
            <w:pPr>
              <w:keepNext w:val="0"/>
              <w:keepLines w:val="0"/>
              <w:pageBreakBefore w:val="0"/>
              <w:widowControl w:val="0"/>
              <w:suppressLineNumbers w:val="0"/>
              <w:tabs>
                <w:tab w:val="left" w:pos="5580"/>
              </w:tabs>
              <w:kinsoku/>
              <w:wordWrap/>
              <w:overflowPunct/>
              <w:topLinePunct w:val="0"/>
              <w:autoSpaceDE/>
              <w:autoSpaceDN/>
              <w:bidi w:val="0"/>
              <w:adjustRightInd/>
              <w:snapToGrid/>
              <w:spacing w:before="0" w:beforeAutospacing="0" w:after="0" w:afterAutospacing="0" w:line="240" w:lineRule="auto"/>
              <w:ind w:left="0" w:leftChars="0" w:right="0" w:firstLine="0"/>
              <w:jc w:val="both"/>
              <w:textAlignment w:val="auto"/>
              <w:rPr>
                <w:rFonts w:hint="default" w:eastAsia="仿宋"/>
                <w:sz w:val="24"/>
                <w:lang w:val="en-US" w:eastAsia="zh-CN"/>
              </w:rPr>
            </w:pPr>
          </w:p>
        </w:tc>
      </w:tr>
    </w:tbl>
    <w:p w14:paraId="6C51869C">
      <w:pPr>
        <w:pStyle w:val="37"/>
        <w:tabs>
          <w:tab w:val="left" w:pos="5580"/>
        </w:tabs>
        <w:spacing w:line="360" w:lineRule="auto"/>
        <w:ind w:left="1080" w:leftChars="257" w:hanging="540"/>
        <w:rPr>
          <w:rFonts w:ascii="Times New Roman" w:hAnsi="Times New Roman" w:eastAsia="仿宋"/>
          <w:sz w:val="24"/>
        </w:rPr>
      </w:pPr>
    </w:p>
    <w:p w14:paraId="7FB2D750">
      <w:pPr>
        <w:pStyle w:val="37"/>
        <w:tabs>
          <w:tab w:val="left" w:pos="5580"/>
        </w:tabs>
        <w:spacing w:line="360" w:lineRule="auto"/>
        <w:rPr>
          <w:rFonts w:ascii="Times New Roman" w:hAnsi="Times New Roman" w:eastAsia="仿宋"/>
          <w:sz w:val="24"/>
          <w:u w:val="single"/>
        </w:rPr>
      </w:pPr>
    </w:p>
    <w:p w14:paraId="56F9AD38">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投标人名称（单位章）：</w:t>
      </w:r>
    </w:p>
    <w:p w14:paraId="43F4B040">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14:paraId="002E64E2">
      <w:pPr>
        <w:pStyle w:val="37"/>
        <w:tabs>
          <w:tab w:val="left" w:pos="5580"/>
        </w:tabs>
        <w:spacing w:line="360" w:lineRule="auto"/>
        <w:rPr>
          <w:rFonts w:ascii="Times New Roman" w:hAnsi="Times New Roman" w:eastAsia="仿宋"/>
          <w:sz w:val="24"/>
          <w:u w:val="single"/>
        </w:rPr>
      </w:pPr>
    </w:p>
    <w:p w14:paraId="52D538B0">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注:此表中，每个分包的投标总价应和投标分项报价表的总价相一致。</w:t>
      </w:r>
    </w:p>
    <w:p w14:paraId="65699F4F">
      <w:pPr>
        <w:pStyle w:val="37"/>
        <w:tabs>
          <w:tab w:val="left" w:pos="5580"/>
        </w:tabs>
        <w:spacing w:line="360" w:lineRule="auto"/>
        <w:rPr>
          <w:rFonts w:ascii="Times New Roman" w:hAnsi="Times New Roman" w:eastAsia="仿宋"/>
          <w:sz w:val="24"/>
        </w:rPr>
      </w:pPr>
    </w:p>
    <w:p w14:paraId="3DE3F543">
      <w:pPr>
        <w:pStyle w:val="27"/>
        <w:spacing w:before="0" w:line="240" w:lineRule="auto"/>
        <w:ind w:firstLine="482" w:firstLineChars="200"/>
        <w:jc w:val="left"/>
        <w:rPr>
          <w:rFonts w:ascii="仿宋" w:hAnsi="仿宋" w:eastAsia="仿宋"/>
          <w:sz w:val="24"/>
        </w:rPr>
      </w:pPr>
      <w:bookmarkStart w:id="292" w:name="_Toc39671740"/>
      <w:bookmarkEnd w:id="292"/>
      <w:bookmarkStart w:id="293" w:name="_Toc8636"/>
      <w:bookmarkEnd w:id="293"/>
      <w:bookmarkStart w:id="294" w:name="_Toc22494199"/>
      <w:bookmarkEnd w:id="294"/>
      <w:bookmarkStart w:id="295" w:name="_Toc15266"/>
      <w:bookmarkEnd w:id="295"/>
      <w:bookmarkStart w:id="296" w:name="_Toc13932"/>
      <w:bookmarkEnd w:id="296"/>
      <w:bookmarkStart w:id="297" w:name="_Toc22031"/>
      <w:bookmarkEnd w:id="297"/>
      <w:bookmarkStart w:id="298" w:name="_Toc10556"/>
      <w:bookmarkEnd w:id="298"/>
      <w:bookmarkStart w:id="299" w:name="_Toc16161"/>
      <w:bookmarkEnd w:id="299"/>
      <w:bookmarkStart w:id="300" w:name="_Toc16681"/>
      <w:bookmarkEnd w:id="300"/>
      <w:bookmarkStart w:id="301" w:name="_Toc30939"/>
      <w:bookmarkEnd w:id="301"/>
      <w:r>
        <w:rPr>
          <w:rFonts w:ascii="仿宋" w:hAnsi="仿宋" w:eastAsia="仿宋"/>
          <w:sz w:val="24"/>
        </w:rPr>
        <w:t>2、</w:t>
      </w:r>
      <w:r>
        <w:rPr>
          <w:rFonts w:hint="eastAsia" w:ascii="仿宋" w:hAnsi="仿宋" w:eastAsia="仿宋"/>
          <w:sz w:val="24"/>
        </w:rPr>
        <w:t>独立承担民事责任能力的企业、事业、自然人，提供营业执照等经营性证件；</w:t>
      </w:r>
    </w:p>
    <w:p w14:paraId="19F22B2B">
      <w:pPr>
        <w:pStyle w:val="37"/>
        <w:tabs>
          <w:tab w:val="left" w:pos="5580"/>
        </w:tabs>
        <w:spacing w:line="360" w:lineRule="auto"/>
        <w:ind w:firstLine="480" w:firstLineChars="2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14:paraId="58C65357">
      <w:pPr>
        <w:pStyle w:val="37"/>
        <w:tabs>
          <w:tab w:val="left" w:pos="5580"/>
        </w:tabs>
        <w:spacing w:line="360" w:lineRule="auto"/>
        <w:ind w:firstLine="720" w:firstLineChars="3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14:paraId="680A33AE">
      <w:pPr>
        <w:pStyle w:val="37"/>
        <w:tabs>
          <w:tab w:val="left" w:pos="5580"/>
        </w:tabs>
        <w:spacing w:line="360" w:lineRule="auto"/>
        <w:rPr>
          <w:rFonts w:ascii="Times New Roman" w:hAnsi="Times New Roman" w:eastAsia="仿宋"/>
          <w:color w:val="000000"/>
          <w:sz w:val="24"/>
        </w:rPr>
      </w:pPr>
    </w:p>
    <w:p w14:paraId="1471613C">
      <w:pPr>
        <w:pStyle w:val="37"/>
        <w:numPr>
          <w:ilvl w:val="0"/>
          <w:numId w:val="6"/>
        </w:numPr>
        <w:tabs>
          <w:tab w:val="left" w:pos="5580"/>
        </w:tabs>
        <w:spacing w:line="360" w:lineRule="auto"/>
        <w:ind w:firstLine="482" w:firstLineChars="200"/>
        <w:rPr>
          <w:rFonts w:ascii="仿宋" w:hAnsi="仿宋" w:eastAsia="仿宋"/>
          <w:b/>
          <w:kern w:val="0"/>
          <w:sz w:val="24"/>
        </w:rPr>
      </w:pPr>
      <w:r>
        <w:rPr>
          <w:rFonts w:ascii="仿宋" w:hAnsi="仿宋" w:eastAsia="仿宋"/>
          <w:b/>
          <w:kern w:val="0"/>
          <w:sz w:val="24"/>
        </w:rPr>
        <w:t>法人身份证明或法人授权委托书（含法人身份证复印件）和被授权人身份有效证件；</w:t>
      </w:r>
    </w:p>
    <w:p w14:paraId="62F6B7F6">
      <w:pPr>
        <w:pStyle w:val="37"/>
        <w:tabs>
          <w:tab w:val="left" w:pos="5580"/>
        </w:tabs>
        <w:spacing w:line="360" w:lineRule="auto"/>
        <w:ind w:left="479" w:leftChars="228" w:firstLine="480" w:firstLineChars="200"/>
        <w:rPr>
          <w:rFonts w:hint="eastAsia"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14:paraId="7CBD0A8F">
      <w:pPr>
        <w:pStyle w:val="37"/>
        <w:tabs>
          <w:tab w:val="left" w:pos="5580"/>
        </w:tabs>
        <w:spacing w:line="360" w:lineRule="auto"/>
        <w:ind w:left="479" w:leftChars="228" w:firstLine="480" w:firstLineChars="200"/>
        <w:rPr>
          <w:rFonts w:ascii="Times New Roman" w:hAnsi="Times New Roman" w:eastAsia="仿宋"/>
          <w:color w:val="000000"/>
          <w:sz w:val="24"/>
        </w:rPr>
      </w:pPr>
    </w:p>
    <w:p w14:paraId="26799E9C">
      <w:pPr>
        <w:pStyle w:val="28"/>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14:paraId="3420D83E">
      <w:pPr>
        <w:pStyle w:val="28"/>
        <w:spacing w:before="0" w:after="0" w:line="360" w:lineRule="auto"/>
        <w:jc w:val="center"/>
        <w:rPr>
          <w:rFonts w:ascii="Times New Roman" w:eastAsia="仿宋"/>
        </w:rPr>
      </w:pPr>
      <w:bookmarkStart w:id="303" w:name="_Toc18132"/>
      <w:bookmarkEnd w:id="303"/>
      <w:r>
        <w:rPr>
          <w:rFonts w:ascii="Times New Roman" w:eastAsia="仿宋"/>
        </w:rPr>
        <w:t>本授权书声明：</w:t>
      </w:r>
    </w:p>
    <w:p w14:paraId="6AAF9E43">
      <w:pPr>
        <w:pStyle w:val="37"/>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14:paraId="1F7D1DEC">
      <w:pPr>
        <w:pStyle w:val="37"/>
        <w:tabs>
          <w:tab w:val="left" w:pos="5580"/>
        </w:tabs>
        <w:spacing w:line="360" w:lineRule="auto"/>
        <w:ind w:firstLine="720" w:firstLineChars="300"/>
        <w:rPr>
          <w:rFonts w:ascii="Times New Roman" w:hAnsi="Times New Roman" w:eastAsia="仿宋"/>
          <w:sz w:val="24"/>
        </w:rPr>
      </w:pPr>
    </w:p>
    <w:p w14:paraId="7443376E">
      <w:pPr>
        <w:pStyle w:val="37"/>
        <w:tabs>
          <w:tab w:val="left" w:pos="5580"/>
        </w:tabs>
        <w:spacing w:line="360" w:lineRule="auto"/>
        <w:ind w:left="-540" w:leftChars="-257" w:firstLine="900" w:firstLineChars="375"/>
        <w:rPr>
          <w:rFonts w:hint="eastAsia" w:ascii="Times New Roman" w:hAnsi="Times New Roman" w:eastAsia="仿宋"/>
          <w:sz w:val="24"/>
          <w:lang w:eastAsia="zh-CN"/>
        </w:rPr>
      </w:pPr>
      <w:r>
        <w:rPr>
          <w:rFonts w:ascii="Times New Roman" w:hAnsi="Times New Roman" w:eastAsia="仿宋"/>
          <w:sz w:val="24"/>
        </w:rPr>
        <w:t>本授权书于年月日签字生效,特此声明。</w:t>
      </w:r>
    </w:p>
    <w:p w14:paraId="4B666894">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投</w:t>
      </w:r>
      <w:r>
        <w:rPr>
          <w:rFonts w:ascii="Times New Roman" w:hAnsi="Times New Roman" w:eastAsia="仿宋"/>
          <w:sz w:val="24"/>
        </w:rPr>
        <w:t xml:space="preserve">标人（盖单位章）; </w:t>
      </w:r>
    </w:p>
    <w:p w14:paraId="0EC5B6B7">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法定代表人（或企业负责人）（签字或签章）</w:t>
      </w:r>
      <w:r>
        <w:rPr>
          <w:rFonts w:ascii="Times New Roman" w:hAnsi="Times New Roman" w:eastAsia="仿宋"/>
          <w:sz w:val="24"/>
        </w:rPr>
        <w:t>：</w:t>
      </w:r>
    </w:p>
    <w:p w14:paraId="113E4CA4">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身份证号码</w:t>
      </w:r>
      <w:r>
        <w:rPr>
          <w:rFonts w:hint="eastAsia" w:ascii="Times New Roman" w:hAnsi="Times New Roman" w:eastAsia="仿宋"/>
          <w:sz w:val="24"/>
          <w:u w:val="single"/>
        </w:rPr>
        <w:t>：</w:t>
      </w:r>
    </w:p>
    <w:p w14:paraId="22020384">
      <w:pPr>
        <w:pStyle w:val="37"/>
        <w:tabs>
          <w:tab w:val="left" w:pos="5580"/>
        </w:tabs>
        <w:spacing w:line="360" w:lineRule="auto"/>
        <w:ind w:firstLine="480" w:firstLineChars="200"/>
        <w:rPr>
          <w:rFonts w:ascii="Times New Roman" w:hAnsi="Times New Roman" w:eastAsia="仿宋"/>
          <w:sz w:val="24"/>
        </w:rPr>
      </w:pPr>
      <w:r>
        <w:rPr>
          <w:rFonts w:ascii="Times New Roman" w:hAnsi="Times New Roman" w:eastAsia="仿宋"/>
          <w:sz w:val="24"/>
        </w:rPr>
        <w:t>委托代理人：</w:t>
      </w:r>
    </w:p>
    <w:p w14:paraId="0AFC7024">
      <w:pPr>
        <w:pStyle w:val="37"/>
        <w:tabs>
          <w:tab w:val="left" w:pos="5580"/>
        </w:tabs>
        <w:spacing w:line="360" w:lineRule="auto"/>
        <w:ind w:firstLine="480" w:firstLineChars="200"/>
        <w:rPr>
          <w:rFonts w:ascii="Times New Roman" w:hAnsi="Times New Roman" w:eastAsia="仿宋"/>
          <w:sz w:val="24"/>
        </w:rPr>
      </w:pPr>
      <w:r>
        <w:rPr>
          <w:rFonts w:ascii="Times New Roman" w:hAnsi="Times New Roman" w:eastAsia="仿宋"/>
          <w:sz w:val="24"/>
        </w:rPr>
        <w:t>身份证号码：</w:t>
      </w:r>
    </w:p>
    <w:p w14:paraId="34D8356A">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详细通讯地址</w:t>
      </w:r>
      <w:r>
        <w:rPr>
          <w:rFonts w:ascii="Times New Roman" w:hAnsi="Times New Roman" w:eastAsia="仿宋"/>
          <w:sz w:val="24"/>
        </w:rPr>
        <w:t>：</w:t>
      </w:r>
    </w:p>
    <w:p w14:paraId="307B711D">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邮政编码</w:t>
      </w:r>
      <w:r>
        <w:rPr>
          <w:rFonts w:ascii="Times New Roman" w:hAnsi="Times New Roman" w:eastAsia="仿宋"/>
          <w:sz w:val="24"/>
        </w:rPr>
        <w:t>：</w:t>
      </w:r>
    </w:p>
    <w:p w14:paraId="289B9AB3">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传真</w:t>
      </w:r>
      <w:r>
        <w:rPr>
          <w:rFonts w:ascii="Times New Roman" w:hAnsi="Times New Roman" w:eastAsia="仿宋"/>
          <w:sz w:val="24"/>
        </w:rPr>
        <w:t>：</w:t>
      </w:r>
    </w:p>
    <w:p w14:paraId="67CD21E3">
      <w:pPr>
        <w:pStyle w:val="37"/>
        <w:tabs>
          <w:tab w:val="left" w:pos="5580"/>
        </w:tabs>
        <w:spacing w:line="360" w:lineRule="auto"/>
        <w:ind w:firstLine="480" w:firstLineChars="200"/>
        <w:rPr>
          <w:rFonts w:ascii="Times New Roman" w:hAnsi="Times New Roman" w:eastAsia="仿宋"/>
          <w:sz w:val="24"/>
          <w:u w:val="single"/>
        </w:rPr>
      </w:pPr>
      <w:r>
        <w:rPr>
          <w:rFonts w:ascii="Times New Roman" w:hAnsi="Times New Roman" w:eastAsia="仿宋"/>
          <w:sz w:val="24"/>
          <w:u w:val="single"/>
        </w:rPr>
        <w:t>电话</w:t>
      </w:r>
      <w:r>
        <w:rPr>
          <w:rFonts w:ascii="Times New Roman" w:hAnsi="Times New Roman" w:eastAsia="仿宋"/>
          <w:sz w:val="24"/>
        </w:rPr>
        <w:t>：</w:t>
      </w:r>
    </w:p>
    <w:tbl>
      <w:tblPr>
        <w:tblStyle w:val="21"/>
        <w:tblpPr w:leftFromText="180" w:rightFromText="180" w:vertAnchor="text" w:horzAnchor="page" w:tblpX="1883" w:tblpY="71"/>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6FCA5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119914A9">
            <w:pPr>
              <w:keepNext w:val="0"/>
              <w:keepLines w:val="0"/>
              <w:widowControl/>
              <w:suppressLineNumbers w:val="0"/>
              <w:spacing w:before="0" w:beforeAutospacing="0" w:after="0" w:afterAutospacing="0"/>
              <w:ind w:left="0" w:right="0"/>
              <w:jc w:val="left"/>
              <w:rPr>
                <w:rFonts w:hint="default" w:ascii="宋体" w:hAnsi="宋体"/>
                <w:szCs w:val="21"/>
              </w:rPr>
            </w:pPr>
          </w:p>
          <w:p w14:paraId="7227C678">
            <w:pPr>
              <w:keepNext w:val="0"/>
              <w:keepLines w:val="0"/>
              <w:widowControl/>
              <w:suppressLineNumbers w:val="0"/>
              <w:spacing w:before="0" w:beforeAutospacing="0" w:after="0" w:afterAutospacing="0"/>
              <w:ind w:left="0" w:right="0"/>
              <w:rPr>
                <w:rFonts w:hint="default" w:ascii="宋体" w:hAnsi="宋体"/>
                <w:szCs w:val="21"/>
              </w:rPr>
            </w:pPr>
          </w:p>
          <w:p w14:paraId="6CDC2D5D">
            <w:pPr>
              <w:keepNext w:val="0"/>
              <w:keepLines w:val="0"/>
              <w:widowControl/>
              <w:suppressLineNumbers w:val="0"/>
              <w:spacing w:before="0" w:beforeAutospacing="0" w:after="0" w:afterAutospacing="0"/>
              <w:ind w:left="0" w:right="0"/>
              <w:rPr>
                <w:rFonts w:hint="default" w:ascii="宋体" w:hAnsi="宋体"/>
                <w:szCs w:val="21"/>
              </w:rPr>
            </w:pPr>
          </w:p>
          <w:p w14:paraId="7C2B417D">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授权委托人身份证正面</w:t>
            </w:r>
          </w:p>
          <w:p w14:paraId="31964D18">
            <w:pPr>
              <w:keepNext w:val="0"/>
              <w:keepLines w:val="0"/>
              <w:widowControl/>
              <w:suppressLineNumbers w:val="0"/>
              <w:spacing w:before="0" w:beforeAutospacing="0" w:after="0" w:afterAutospacing="0"/>
              <w:ind w:left="0" w:right="0"/>
              <w:rPr>
                <w:rFonts w:hint="default" w:ascii="宋体" w:hAnsi="宋体"/>
                <w:szCs w:val="21"/>
              </w:rPr>
            </w:pPr>
          </w:p>
          <w:p w14:paraId="523D815A">
            <w:pPr>
              <w:keepNext w:val="0"/>
              <w:keepLines w:val="0"/>
              <w:widowControl/>
              <w:suppressLineNumbers w:val="0"/>
              <w:spacing w:before="0" w:beforeAutospacing="0" w:after="0" w:afterAutospacing="0"/>
              <w:ind w:left="0" w:right="0"/>
              <w:rPr>
                <w:rFonts w:hint="default" w:ascii="宋体" w:hAnsi="宋体"/>
                <w:szCs w:val="21"/>
              </w:rPr>
            </w:pPr>
          </w:p>
          <w:p w14:paraId="18118A0F">
            <w:pPr>
              <w:keepNext w:val="0"/>
              <w:keepLines w:val="0"/>
              <w:widowControl/>
              <w:suppressLineNumbers w:val="0"/>
              <w:spacing w:before="0" w:beforeAutospacing="0" w:after="0" w:afterAutospacing="0"/>
              <w:ind w:left="0" w:right="0"/>
              <w:rPr>
                <w:rFonts w:hint="default" w:ascii="宋体" w:hAnsi="宋体"/>
                <w:szCs w:val="21"/>
              </w:rPr>
            </w:pPr>
          </w:p>
          <w:p w14:paraId="7587A989">
            <w:pPr>
              <w:keepNext w:val="0"/>
              <w:keepLines w:val="0"/>
              <w:widowControl/>
              <w:suppressLineNumbers w:val="0"/>
              <w:spacing w:before="0" w:beforeAutospacing="0" w:after="0" w:afterAutospacing="0"/>
              <w:ind w:left="0" w:right="0"/>
              <w:rPr>
                <w:rFonts w:hint="default" w:ascii="宋体" w:hAnsi="宋体"/>
                <w:szCs w:val="21"/>
              </w:rPr>
            </w:pPr>
          </w:p>
        </w:tc>
        <w:tc>
          <w:tcPr>
            <w:tcW w:w="4201" w:type="dxa"/>
            <w:vAlign w:val="top"/>
          </w:tcPr>
          <w:p w14:paraId="5AFA820C">
            <w:pPr>
              <w:keepNext w:val="0"/>
              <w:keepLines w:val="0"/>
              <w:widowControl/>
              <w:suppressLineNumbers w:val="0"/>
              <w:spacing w:before="0" w:beforeAutospacing="0" w:after="0" w:afterAutospacing="0"/>
              <w:ind w:left="0" w:right="0"/>
              <w:jc w:val="left"/>
              <w:rPr>
                <w:rFonts w:hint="default" w:ascii="宋体" w:hAnsi="宋体"/>
                <w:szCs w:val="21"/>
              </w:rPr>
            </w:pPr>
          </w:p>
          <w:p w14:paraId="449C8D12">
            <w:pPr>
              <w:keepNext w:val="0"/>
              <w:keepLines w:val="0"/>
              <w:widowControl/>
              <w:suppressLineNumbers w:val="0"/>
              <w:spacing w:before="0" w:beforeAutospacing="0" w:after="0" w:afterAutospacing="0"/>
              <w:ind w:left="0" w:right="0"/>
              <w:rPr>
                <w:rFonts w:hint="default" w:ascii="宋体" w:hAnsi="宋体"/>
                <w:szCs w:val="21"/>
              </w:rPr>
            </w:pPr>
          </w:p>
          <w:p w14:paraId="205BC690">
            <w:pPr>
              <w:keepNext w:val="0"/>
              <w:keepLines w:val="0"/>
              <w:widowControl/>
              <w:suppressLineNumbers w:val="0"/>
              <w:spacing w:before="0" w:beforeAutospacing="0" w:after="0" w:afterAutospacing="0"/>
              <w:ind w:left="0" w:right="0"/>
              <w:jc w:val="center"/>
              <w:rPr>
                <w:rFonts w:hint="default" w:ascii="宋体" w:hAnsi="宋体"/>
                <w:szCs w:val="21"/>
              </w:rPr>
            </w:pPr>
          </w:p>
          <w:p w14:paraId="318E1AD6">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授权委托人身份证反面</w:t>
            </w:r>
          </w:p>
          <w:p w14:paraId="49AF91FB">
            <w:pPr>
              <w:keepNext w:val="0"/>
              <w:keepLines w:val="0"/>
              <w:widowControl/>
              <w:suppressLineNumbers w:val="0"/>
              <w:spacing w:before="0" w:beforeAutospacing="0" w:after="0" w:afterAutospacing="0"/>
              <w:ind w:left="0" w:right="0"/>
              <w:rPr>
                <w:rFonts w:hint="default" w:ascii="宋体" w:hAnsi="宋体"/>
                <w:szCs w:val="21"/>
              </w:rPr>
            </w:pPr>
          </w:p>
          <w:p w14:paraId="3B1903B1">
            <w:pPr>
              <w:keepNext w:val="0"/>
              <w:keepLines w:val="0"/>
              <w:widowControl/>
              <w:suppressLineNumbers w:val="0"/>
              <w:spacing w:before="0" w:beforeAutospacing="0" w:after="0" w:afterAutospacing="0"/>
              <w:ind w:left="0" w:right="0"/>
              <w:rPr>
                <w:rFonts w:hint="default" w:ascii="宋体" w:hAnsi="宋体"/>
                <w:szCs w:val="21"/>
              </w:rPr>
            </w:pPr>
          </w:p>
          <w:p w14:paraId="64FE4F06">
            <w:pPr>
              <w:keepNext w:val="0"/>
              <w:keepLines w:val="0"/>
              <w:widowControl/>
              <w:suppressLineNumbers w:val="0"/>
              <w:spacing w:before="0" w:beforeAutospacing="0" w:after="0" w:afterAutospacing="0"/>
              <w:ind w:left="0" w:right="0"/>
              <w:rPr>
                <w:rFonts w:hint="default" w:ascii="宋体" w:hAnsi="宋体"/>
                <w:szCs w:val="21"/>
              </w:rPr>
            </w:pPr>
          </w:p>
          <w:p w14:paraId="32EC6BE3">
            <w:pPr>
              <w:keepNext w:val="0"/>
              <w:keepLines w:val="0"/>
              <w:widowControl/>
              <w:suppressLineNumbers w:val="0"/>
              <w:spacing w:before="0" w:beforeAutospacing="0" w:after="0" w:afterAutospacing="0"/>
              <w:ind w:left="0" w:right="0"/>
              <w:rPr>
                <w:rFonts w:hint="default" w:ascii="宋体" w:hAnsi="宋体"/>
                <w:szCs w:val="21"/>
              </w:rPr>
            </w:pPr>
          </w:p>
        </w:tc>
      </w:tr>
    </w:tbl>
    <w:p w14:paraId="7485EF1A">
      <w:pPr>
        <w:pStyle w:val="32"/>
        <w:ind w:firstLine="0"/>
        <w:rPr>
          <w:rFonts w:ascii="Times New Roman" w:eastAsia="仿宋"/>
        </w:rPr>
      </w:pPr>
    </w:p>
    <w:tbl>
      <w:tblPr>
        <w:tblStyle w:val="21"/>
        <w:tblpPr w:leftFromText="180" w:rightFromText="180" w:vertAnchor="text" w:horzAnchor="page" w:tblpX="1964" w:tblpY="36"/>
        <w:tblOverlap w:val="never"/>
        <w:tblW w:w="8222"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14:paraId="3E8E9B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30" w:hRule="atLeast"/>
        </w:trPr>
        <w:tc>
          <w:tcPr>
            <w:tcW w:w="4021" w:type="dxa"/>
            <w:vAlign w:val="top"/>
          </w:tcPr>
          <w:p w14:paraId="531A183C">
            <w:pPr>
              <w:keepNext w:val="0"/>
              <w:keepLines w:val="0"/>
              <w:widowControl/>
              <w:suppressLineNumbers w:val="0"/>
              <w:spacing w:before="0" w:beforeAutospacing="0" w:after="0" w:afterAutospacing="0"/>
              <w:ind w:left="0" w:right="0"/>
              <w:jc w:val="left"/>
              <w:rPr>
                <w:rFonts w:hint="default" w:ascii="宋体" w:hAnsi="宋体"/>
                <w:szCs w:val="21"/>
              </w:rPr>
            </w:pPr>
          </w:p>
          <w:p w14:paraId="2C42B66A">
            <w:pPr>
              <w:keepNext w:val="0"/>
              <w:keepLines w:val="0"/>
              <w:widowControl/>
              <w:suppressLineNumbers w:val="0"/>
              <w:spacing w:before="0" w:beforeAutospacing="0" w:after="0" w:afterAutospacing="0"/>
              <w:ind w:left="0" w:right="0"/>
              <w:rPr>
                <w:rFonts w:hint="default" w:ascii="宋体" w:hAnsi="宋体"/>
                <w:szCs w:val="21"/>
              </w:rPr>
            </w:pPr>
          </w:p>
          <w:p w14:paraId="08D90403">
            <w:pPr>
              <w:keepNext w:val="0"/>
              <w:keepLines w:val="0"/>
              <w:widowControl/>
              <w:suppressLineNumbers w:val="0"/>
              <w:spacing w:before="0" w:beforeAutospacing="0" w:after="0" w:afterAutospacing="0"/>
              <w:ind w:left="0" w:right="0"/>
              <w:rPr>
                <w:rFonts w:hint="default" w:ascii="宋体" w:hAnsi="宋体"/>
                <w:szCs w:val="21"/>
              </w:rPr>
            </w:pPr>
          </w:p>
          <w:p w14:paraId="783475E4">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法定代表人身份证正面</w:t>
            </w:r>
          </w:p>
          <w:p w14:paraId="134BD967">
            <w:pPr>
              <w:keepNext w:val="0"/>
              <w:keepLines w:val="0"/>
              <w:widowControl/>
              <w:suppressLineNumbers w:val="0"/>
              <w:spacing w:before="0" w:beforeAutospacing="0" w:after="0" w:afterAutospacing="0"/>
              <w:ind w:left="0" w:right="0"/>
              <w:rPr>
                <w:rFonts w:hint="default" w:ascii="宋体" w:hAnsi="宋体"/>
                <w:szCs w:val="21"/>
              </w:rPr>
            </w:pPr>
          </w:p>
          <w:p w14:paraId="71EE0729">
            <w:pPr>
              <w:keepNext w:val="0"/>
              <w:keepLines w:val="0"/>
              <w:widowControl/>
              <w:suppressLineNumbers w:val="0"/>
              <w:spacing w:before="0" w:beforeAutospacing="0" w:after="0" w:afterAutospacing="0"/>
              <w:ind w:left="0" w:right="0"/>
              <w:rPr>
                <w:rFonts w:hint="default" w:ascii="宋体" w:hAnsi="宋体"/>
                <w:szCs w:val="21"/>
              </w:rPr>
            </w:pPr>
          </w:p>
          <w:p w14:paraId="49C9C31D">
            <w:pPr>
              <w:keepNext w:val="0"/>
              <w:keepLines w:val="0"/>
              <w:widowControl/>
              <w:suppressLineNumbers w:val="0"/>
              <w:spacing w:before="0" w:beforeAutospacing="0" w:after="0" w:afterAutospacing="0"/>
              <w:ind w:left="0" w:right="0"/>
              <w:rPr>
                <w:rFonts w:hint="default" w:ascii="宋体" w:hAnsi="宋体"/>
                <w:szCs w:val="21"/>
              </w:rPr>
            </w:pPr>
          </w:p>
          <w:p w14:paraId="2D5F3DCB">
            <w:pPr>
              <w:keepNext w:val="0"/>
              <w:keepLines w:val="0"/>
              <w:widowControl/>
              <w:suppressLineNumbers w:val="0"/>
              <w:spacing w:before="0" w:beforeAutospacing="0" w:after="0" w:afterAutospacing="0"/>
              <w:ind w:left="0" w:right="0"/>
              <w:rPr>
                <w:rFonts w:hint="default" w:ascii="宋体" w:hAnsi="宋体"/>
                <w:szCs w:val="21"/>
              </w:rPr>
            </w:pPr>
          </w:p>
        </w:tc>
        <w:tc>
          <w:tcPr>
            <w:tcW w:w="4201" w:type="dxa"/>
            <w:vAlign w:val="top"/>
          </w:tcPr>
          <w:p w14:paraId="681BC196">
            <w:pPr>
              <w:keepNext w:val="0"/>
              <w:keepLines w:val="0"/>
              <w:widowControl/>
              <w:suppressLineNumbers w:val="0"/>
              <w:spacing w:before="0" w:beforeAutospacing="0" w:after="0" w:afterAutospacing="0"/>
              <w:ind w:left="0" w:right="0"/>
              <w:jc w:val="left"/>
              <w:rPr>
                <w:rFonts w:hint="default" w:ascii="宋体" w:hAnsi="宋体"/>
                <w:szCs w:val="21"/>
              </w:rPr>
            </w:pPr>
          </w:p>
          <w:p w14:paraId="58AB7C96">
            <w:pPr>
              <w:keepNext w:val="0"/>
              <w:keepLines w:val="0"/>
              <w:widowControl/>
              <w:suppressLineNumbers w:val="0"/>
              <w:spacing w:before="0" w:beforeAutospacing="0" w:after="0" w:afterAutospacing="0"/>
              <w:ind w:left="0" w:right="0"/>
              <w:rPr>
                <w:rFonts w:hint="default" w:ascii="宋体" w:hAnsi="宋体"/>
                <w:szCs w:val="21"/>
              </w:rPr>
            </w:pPr>
          </w:p>
          <w:p w14:paraId="37A14EDF">
            <w:pPr>
              <w:keepNext w:val="0"/>
              <w:keepLines w:val="0"/>
              <w:widowControl/>
              <w:suppressLineNumbers w:val="0"/>
              <w:spacing w:before="0" w:beforeAutospacing="0" w:after="0" w:afterAutospacing="0"/>
              <w:ind w:left="0" w:right="0"/>
              <w:jc w:val="center"/>
              <w:rPr>
                <w:rFonts w:hint="default" w:ascii="宋体" w:hAnsi="宋体"/>
                <w:szCs w:val="21"/>
              </w:rPr>
            </w:pPr>
          </w:p>
          <w:p w14:paraId="49EA55B1">
            <w:pPr>
              <w:keepNext w:val="0"/>
              <w:keepLines w:val="0"/>
              <w:widowControl/>
              <w:suppressLineNumbers w:val="0"/>
              <w:spacing w:before="0" w:beforeAutospacing="0" w:after="0" w:afterAutospacing="0"/>
              <w:ind w:left="0" w:right="0"/>
              <w:jc w:val="center"/>
              <w:rPr>
                <w:rFonts w:hint="eastAsia" w:ascii="宋体" w:hAnsi="宋体"/>
                <w:szCs w:val="21"/>
              </w:rPr>
            </w:pPr>
            <w:r>
              <w:rPr>
                <w:rFonts w:hint="eastAsia" w:ascii="宋体" w:hAnsi="宋体"/>
                <w:szCs w:val="21"/>
              </w:rPr>
              <w:t>法定代表人身份证反面</w:t>
            </w:r>
          </w:p>
          <w:p w14:paraId="548C2280">
            <w:pPr>
              <w:keepNext w:val="0"/>
              <w:keepLines w:val="0"/>
              <w:widowControl/>
              <w:suppressLineNumbers w:val="0"/>
              <w:spacing w:before="0" w:beforeAutospacing="0" w:after="0" w:afterAutospacing="0"/>
              <w:ind w:left="0" w:right="0"/>
              <w:rPr>
                <w:rFonts w:hint="default" w:ascii="宋体" w:hAnsi="宋体"/>
                <w:szCs w:val="21"/>
              </w:rPr>
            </w:pPr>
          </w:p>
          <w:p w14:paraId="3369ACC8">
            <w:pPr>
              <w:keepNext w:val="0"/>
              <w:keepLines w:val="0"/>
              <w:widowControl/>
              <w:suppressLineNumbers w:val="0"/>
              <w:spacing w:before="0" w:beforeAutospacing="0" w:after="0" w:afterAutospacing="0"/>
              <w:ind w:left="0" w:right="0"/>
              <w:rPr>
                <w:rFonts w:hint="default" w:ascii="宋体" w:hAnsi="宋体"/>
                <w:szCs w:val="21"/>
              </w:rPr>
            </w:pPr>
          </w:p>
          <w:p w14:paraId="1B5832BB">
            <w:pPr>
              <w:keepNext w:val="0"/>
              <w:keepLines w:val="0"/>
              <w:widowControl/>
              <w:suppressLineNumbers w:val="0"/>
              <w:spacing w:before="0" w:beforeAutospacing="0" w:after="0" w:afterAutospacing="0"/>
              <w:ind w:left="0" w:right="0"/>
              <w:rPr>
                <w:rFonts w:hint="default" w:ascii="宋体" w:hAnsi="宋体"/>
                <w:szCs w:val="21"/>
              </w:rPr>
            </w:pPr>
          </w:p>
          <w:p w14:paraId="0805D2D2">
            <w:pPr>
              <w:keepNext w:val="0"/>
              <w:keepLines w:val="0"/>
              <w:widowControl/>
              <w:suppressLineNumbers w:val="0"/>
              <w:spacing w:before="0" w:beforeAutospacing="0" w:after="0" w:afterAutospacing="0"/>
              <w:ind w:left="0" w:right="0"/>
              <w:rPr>
                <w:rFonts w:hint="default" w:ascii="宋体" w:hAnsi="宋体"/>
                <w:szCs w:val="21"/>
              </w:rPr>
            </w:pPr>
          </w:p>
        </w:tc>
      </w:tr>
    </w:tbl>
    <w:p w14:paraId="6859C815">
      <w:pPr>
        <w:pStyle w:val="32"/>
        <w:spacing w:line="360" w:lineRule="auto"/>
        <w:ind w:firstLine="0"/>
        <w:rPr>
          <w:rFonts w:ascii="Times New Roman" w:eastAsia="仿宋"/>
        </w:rPr>
      </w:pPr>
    </w:p>
    <w:p w14:paraId="3198A413">
      <w:pPr>
        <w:pStyle w:val="32"/>
        <w:spacing w:line="360" w:lineRule="auto"/>
        <w:ind w:firstLine="0"/>
        <w:rPr>
          <w:rFonts w:ascii="Times New Roman" w:eastAsia="仿宋"/>
          <w:color w:val="000000"/>
        </w:rPr>
      </w:pPr>
    </w:p>
    <w:p w14:paraId="69BFAE26">
      <w:pPr>
        <w:pStyle w:val="32"/>
        <w:spacing w:line="360" w:lineRule="auto"/>
        <w:rPr>
          <w:rFonts w:ascii="Times New Roman" w:eastAsia="仿宋"/>
          <w:color w:val="000000"/>
        </w:rPr>
      </w:pPr>
    </w:p>
    <w:p w14:paraId="5BF4CD2A">
      <w:pPr>
        <w:numPr>
          <w:ilvl w:val="0"/>
          <w:numId w:val="0"/>
        </w:numPr>
        <w:spacing w:line="360" w:lineRule="auto"/>
        <w:rPr>
          <w:rFonts w:hint="eastAsia" w:eastAsia="仿宋"/>
          <w:b/>
          <w:bCs/>
          <w:sz w:val="24"/>
        </w:rPr>
      </w:pPr>
      <w:bookmarkStart w:id="304" w:name="_Toc130"/>
      <w:bookmarkEnd w:id="304"/>
      <w:bookmarkStart w:id="305" w:name="_Toc11020"/>
      <w:bookmarkEnd w:id="305"/>
      <w:r>
        <w:rPr>
          <w:rFonts w:hint="eastAsia" w:eastAsia="仿宋"/>
          <w:b/>
          <w:bCs/>
          <w:sz w:val="24"/>
          <w:lang w:val="en-US" w:eastAsia="zh-CN"/>
        </w:rPr>
        <w:t>4.</w:t>
      </w:r>
      <w:r>
        <w:rPr>
          <w:rFonts w:hint="eastAsia" w:eastAsia="仿宋"/>
          <w:b/>
          <w:bCs/>
          <w:sz w:val="24"/>
        </w:rPr>
        <w:t>近两年</w:t>
      </w:r>
      <w:r>
        <w:rPr>
          <w:rFonts w:hint="eastAsia" w:eastAsia="仿宋"/>
          <w:b/>
          <w:bCs/>
          <w:sz w:val="24"/>
          <w:lang w:eastAsia="zh-CN"/>
        </w:rPr>
        <w:t>任意一年完整的</w:t>
      </w:r>
      <w:r>
        <w:rPr>
          <w:rFonts w:hint="eastAsia" w:eastAsia="仿宋"/>
          <w:b/>
          <w:bCs/>
          <w:sz w:val="24"/>
        </w:rPr>
        <w:t>财务审计报告（新成立公司提供开标前三个月内任意一个月有效银行资信证明）；</w:t>
      </w:r>
    </w:p>
    <w:p w14:paraId="5C1D2B27">
      <w:pPr>
        <w:pStyle w:val="32"/>
        <w:rPr>
          <w:rFonts w:hint="eastAsia" w:ascii="仿宋" w:hAnsi="仿宋" w:eastAsia="仿宋"/>
          <w:color w:val="000000"/>
          <w:kern w:val="2"/>
          <w:szCs w:val="24"/>
        </w:rPr>
      </w:pPr>
      <w:r>
        <w:rPr>
          <w:rFonts w:hint="eastAsia" w:ascii="仿宋" w:hAnsi="仿宋" w:eastAsia="仿宋"/>
          <w:color w:val="000000"/>
          <w:kern w:val="2"/>
          <w:szCs w:val="24"/>
        </w:rPr>
        <w:t>说明：</w:t>
      </w:r>
    </w:p>
    <w:p w14:paraId="2CAED82D">
      <w:pPr>
        <w:pStyle w:val="32"/>
        <w:rPr>
          <w:rFonts w:hint="eastAsia"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14:paraId="5EA728D8">
      <w:pPr>
        <w:pStyle w:val="32"/>
        <w:rPr>
          <w:rFonts w:hint="eastAsia"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14:paraId="61DF3AF9">
      <w:pPr>
        <w:pStyle w:val="37"/>
        <w:tabs>
          <w:tab w:val="left" w:pos="5580"/>
        </w:tabs>
        <w:spacing w:line="360" w:lineRule="auto"/>
        <w:ind w:left="1080" w:leftChars="257" w:hanging="540"/>
        <w:rPr>
          <w:rFonts w:ascii="Times New Roman" w:hAnsi="Times New Roman" w:eastAsia="仿宋"/>
          <w:color w:val="000000"/>
          <w:sz w:val="24"/>
        </w:rPr>
      </w:pPr>
    </w:p>
    <w:p w14:paraId="68CE1A54">
      <w:pPr>
        <w:tabs>
          <w:tab w:val="left" w:pos="5580"/>
        </w:tabs>
        <w:spacing w:line="360" w:lineRule="auto"/>
        <w:ind w:left="540" w:firstLine="480" w:firstLineChars="200"/>
        <w:rPr>
          <w:rFonts w:eastAsia="仿宋"/>
          <w:bCs/>
          <w:color w:val="000000"/>
          <w:sz w:val="24"/>
        </w:rPr>
      </w:pPr>
    </w:p>
    <w:p w14:paraId="6B107251">
      <w:pPr>
        <w:numPr>
          <w:ilvl w:val="0"/>
          <w:numId w:val="0"/>
        </w:numPr>
        <w:spacing w:line="360" w:lineRule="auto"/>
        <w:rPr>
          <w:rFonts w:hint="eastAsia" w:eastAsia="仿宋"/>
          <w:b/>
          <w:bCs/>
          <w:sz w:val="24"/>
        </w:rPr>
      </w:pPr>
      <w:r>
        <w:rPr>
          <w:rFonts w:hint="eastAsia" w:eastAsia="仿宋"/>
          <w:b/>
          <w:bCs/>
          <w:sz w:val="24"/>
          <w:lang w:val="en-US" w:eastAsia="zh-CN"/>
        </w:rPr>
        <w:t>5.</w:t>
      </w:r>
      <w:r>
        <w:rPr>
          <w:rFonts w:hint="eastAsia" w:eastAsia="仿宋"/>
          <w:b/>
          <w:bCs/>
          <w:sz w:val="24"/>
        </w:rPr>
        <w:t>投标企业</w:t>
      </w:r>
      <w:r>
        <w:rPr>
          <w:rFonts w:hint="eastAsia" w:ascii="仿宋" w:hAnsi="仿宋" w:eastAsia="仿宋"/>
          <w:b/>
          <w:bCs/>
          <w:sz w:val="24"/>
        </w:rPr>
        <w:t>依法缴纳近 6 个月任意一个月社会保险的凭据</w:t>
      </w:r>
      <w:r>
        <w:rPr>
          <w:rFonts w:hint="eastAsia" w:eastAsia="仿宋"/>
          <w:b/>
          <w:bCs/>
          <w:sz w:val="24"/>
        </w:rPr>
        <w:t>；</w:t>
      </w:r>
    </w:p>
    <w:p w14:paraId="3256904B">
      <w:pPr>
        <w:spacing w:line="360" w:lineRule="auto"/>
        <w:ind w:firstLine="480" w:firstLineChars="200"/>
        <w:rPr>
          <w:rFonts w:hint="eastAsia" w:ascii="仿宋" w:hAnsi="仿宋" w:eastAsia="仿宋"/>
          <w:color w:val="000000"/>
          <w:sz w:val="24"/>
        </w:rPr>
      </w:pPr>
      <w:r>
        <w:rPr>
          <w:rFonts w:hint="eastAsia" w:ascii="仿宋" w:hAnsi="仿宋" w:eastAsia="仿宋"/>
          <w:color w:val="000000"/>
          <w:sz w:val="24"/>
        </w:rPr>
        <w:t>说明：复印件上应加盖本单位章。</w:t>
      </w:r>
    </w:p>
    <w:p w14:paraId="4C171E08">
      <w:pPr>
        <w:pStyle w:val="37"/>
        <w:tabs>
          <w:tab w:val="left" w:pos="5580"/>
        </w:tabs>
        <w:spacing w:line="360" w:lineRule="auto"/>
        <w:ind w:left="1080" w:leftChars="257" w:hanging="540"/>
        <w:rPr>
          <w:rFonts w:ascii="Times New Roman" w:hAnsi="Times New Roman" w:eastAsia="仿宋"/>
          <w:color w:val="000000"/>
          <w:sz w:val="24"/>
        </w:rPr>
      </w:pPr>
    </w:p>
    <w:p w14:paraId="07B6F543">
      <w:pPr>
        <w:spacing w:line="360" w:lineRule="auto"/>
        <w:rPr>
          <w:rFonts w:hint="eastAsia" w:ascii="仿宋" w:hAnsi="仿宋" w:eastAsia="仿宋"/>
          <w:b/>
          <w:bCs/>
          <w:sz w:val="24"/>
        </w:rPr>
      </w:pPr>
      <w:r>
        <w:rPr>
          <w:rFonts w:hint="eastAsia" w:ascii="仿宋" w:hAnsi="仿宋" w:eastAsia="仿宋"/>
          <w:b/>
          <w:bCs/>
          <w:sz w:val="24"/>
        </w:rPr>
        <w:t>6.投标企业提供税务部门出具的近 6 个月任意一个月的完税证明；</w:t>
      </w:r>
    </w:p>
    <w:p w14:paraId="2D30D9CD">
      <w:pPr>
        <w:pStyle w:val="37"/>
        <w:tabs>
          <w:tab w:val="left" w:pos="5580"/>
        </w:tabs>
        <w:spacing w:line="240" w:lineRule="atLeast"/>
        <w:ind w:firstLine="480" w:firstLineChars="200"/>
        <w:rPr>
          <w:rFonts w:hint="eastAsia" w:ascii="仿宋" w:hAnsi="仿宋" w:eastAsia="仿宋"/>
          <w:color w:val="000000"/>
          <w:sz w:val="24"/>
          <w:lang w:eastAsia="zh-CN"/>
        </w:rPr>
      </w:pPr>
      <w:r>
        <w:rPr>
          <w:rFonts w:hint="eastAsia" w:ascii="仿宋" w:hAnsi="仿宋" w:eastAsia="仿宋"/>
          <w:color w:val="000000"/>
          <w:sz w:val="24"/>
        </w:rPr>
        <w:t>说明</w:t>
      </w:r>
      <w:r>
        <w:rPr>
          <w:rFonts w:hint="eastAsia" w:ascii="仿宋" w:hAnsi="仿宋" w:eastAsia="仿宋"/>
          <w:color w:val="000000"/>
          <w:sz w:val="24"/>
          <w:lang w:eastAsia="zh-CN"/>
        </w:rPr>
        <w:t>：</w:t>
      </w:r>
    </w:p>
    <w:p w14:paraId="2A4ED227">
      <w:pPr>
        <w:pStyle w:val="37"/>
        <w:numPr>
          <w:ilvl w:val="0"/>
          <w:numId w:val="7"/>
        </w:numPr>
        <w:tabs>
          <w:tab w:val="left" w:pos="5580"/>
        </w:tabs>
        <w:spacing w:line="240" w:lineRule="atLeast"/>
        <w:ind w:firstLine="480" w:firstLineChars="200"/>
        <w:rPr>
          <w:rFonts w:hint="eastAsia" w:ascii="仿宋" w:hAnsi="仿宋" w:eastAsia="仿宋"/>
          <w:kern w:val="0"/>
          <w:sz w:val="24"/>
          <w:szCs w:val="24"/>
        </w:rPr>
      </w:pPr>
      <w:r>
        <w:rPr>
          <w:rFonts w:hint="eastAsia" w:ascii="仿宋" w:hAnsi="仿宋" w:eastAsia="仿宋"/>
          <w:kern w:val="0"/>
          <w:sz w:val="24"/>
          <w:szCs w:val="24"/>
        </w:rPr>
        <w:t>投标企业提供税务部门出具的近6个月任意一个月的完税证明”：</w:t>
      </w:r>
    </w:p>
    <w:p w14:paraId="15C5E029">
      <w:pPr>
        <w:pStyle w:val="37"/>
        <w:numPr>
          <w:ilvl w:val="0"/>
          <w:numId w:val="0"/>
        </w:numPr>
        <w:tabs>
          <w:tab w:val="left" w:pos="5580"/>
        </w:tabs>
        <w:spacing w:line="240" w:lineRule="atLeast"/>
        <w:ind w:firstLine="480" w:firstLineChars="200"/>
        <w:rPr>
          <w:rFonts w:hint="eastAsia"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14:paraId="4ADCCE46">
      <w:pPr>
        <w:pStyle w:val="37"/>
        <w:numPr>
          <w:ilvl w:val="0"/>
          <w:numId w:val="0"/>
        </w:numPr>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14:paraId="49B8BDD9">
      <w:pPr>
        <w:pStyle w:val="37"/>
        <w:tabs>
          <w:tab w:val="left" w:pos="5580"/>
        </w:tabs>
        <w:spacing w:line="240" w:lineRule="atLeast"/>
        <w:ind w:firstLine="480" w:firstLineChars="200"/>
        <w:rPr>
          <w:rFonts w:hint="eastAsia" w:ascii="仿宋" w:hAnsi="仿宋" w:eastAsia="仿宋"/>
          <w:color w:val="000000"/>
          <w:sz w:val="24"/>
        </w:rPr>
      </w:pPr>
      <w:r>
        <w:rPr>
          <w:rFonts w:hint="eastAsia" w:ascii="仿宋" w:hAnsi="仿宋" w:eastAsia="仿宋"/>
          <w:color w:val="000000"/>
          <w:sz w:val="24"/>
        </w:rPr>
        <w:t>2）复印件上应加盖本单位章。</w:t>
      </w:r>
    </w:p>
    <w:p w14:paraId="7E5AEF23">
      <w:pPr>
        <w:tabs>
          <w:tab w:val="left" w:pos="5580"/>
        </w:tabs>
        <w:spacing w:line="360" w:lineRule="auto"/>
        <w:ind w:left="1080" w:leftChars="257" w:hanging="540"/>
        <w:rPr>
          <w:rFonts w:eastAsia="仿宋"/>
          <w:color w:val="000000"/>
          <w:sz w:val="24"/>
        </w:rPr>
      </w:pPr>
    </w:p>
    <w:p w14:paraId="4C12A0A2">
      <w:pPr>
        <w:tabs>
          <w:tab w:val="left" w:pos="5580"/>
        </w:tabs>
        <w:spacing w:line="240" w:lineRule="atLeast"/>
        <w:rPr>
          <w:rFonts w:hint="eastAsia" w:ascii="仿宋" w:hAnsi="仿宋" w:eastAsia="仿宋"/>
          <w:b/>
          <w:bCs/>
          <w:sz w:val="24"/>
        </w:rPr>
      </w:pPr>
      <w:r>
        <w:rPr>
          <w:rFonts w:hint="eastAsia" w:ascii="仿宋" w:hAnsi="仿宋" w:eastAsia="仿宋"/>
          <w:b/>
          <w:bCs/>
          <w:sz w:val="24"/>
        </w:rPr>
        <w:t>7.参与政府采购活动供应商在前3年内未被“信用中国”网站（www.creditchina.gov.cn）、“中国政府采购网”(www.ccgp.gov.cn)列入失信被执行人、重大税收违法案件当事人名单、政府采购严重失信行为记录名单（提供网页截图或承诺函任一均可）；（以招标代理或招标人查询为准）；；</w:t>
      </w:r>
    </w:p>
    <w:p w14:paraId="2942AFD0">
      <w:pPr>
        <w:pStyle w:val="37"/>
        <w:tabs>
          <w:tab w:val="left" w:pos="5580"/>
        </w:tabs>
        <w:spacing w:line="240" w:lineRule="atLeast"/>
        <w:ind w:firstLine="480" w:firstLineChars="200"/>
        <w:rPr>
          <w:rFonts w:hint="eastAsia" w:ascii="仿宋" w:hAnsi="仿宋" w:eastAsia="仿宋"/>
          <w:color w:val="000000"/>
          <w:sz w:val="24"/>
          <w:lang w:val="en-US" w:eastAsia="zh-CN"/>
        </w:rPr>
      </w:pPr>
      <w:r>
        <w:rPr>
          <w:rFonts w:hint="eastAsia" w:ascii="仿宋" w:hAnsi="仿宋" w:eastAsia="仿宋"/>
          <w:color w:val="000000"/>
          <w:sz w:val="24"/>
        </w:rPr>
        <w:t>说明：</w:t>
      </w:r>
      <w:r>
        <w:rPr>
          <w:rFonts w:hint="eastAsia" w:ascii="仿宋" w:hAnsi="仿宋" w:eastAsia="仿宋"/>
          <w:color w:val="000000"/>
          <w:sz w:val="24"/>
          <w:lang w:val="en-US" w:eastAsia="zh-CN"/>
        </w:rPr>
        <w:t>1、网页截图：3张，</w:t>
      </w:r>
    </w:p>
    <w:p w14:paraId="17328185">
      <w:pPr>
        <w:pStyle w:val="37"/>
        <w:numPr>
          <w:ilvl w:val="0"/>
          <w:numId w:val="8"/>
        </w:numPr>
        <w:tabs>
          <w:tab w:val="left" w:pos="5580"/>
        </w:tabs>
        <w:spacing w:line="240" w:lineRule="atLeast"/>
        <w:ind w:firstLine="1205" w:firstLineChars="500"/>
        <w:rPr>
          <w:rFonts w:hint="eastAsia" w:ascii="仿宋" w:hAnsi="仿宋" w:eastAsia="仿宋"/>
          <w:b/>
          <w:bCs/>
          <w:sz w:val="24"/>
        </w:rPr>
      </w:pPr>
      <w:r>
        <w:rPr>
          <w:rFonts w:hint="eastAsia" w:ascii="仿宋" w:hAnsi="仿宋" w:eastAsia="仿宋"/>
          <w:b/>
          <w:bCs/>
          <w:sz w:val="24"/>
        </w:rPr>
        <w:t>列入失信被执行人(信用中国</w:t>
      </w:r>
      <w:r>
        <w:rPr>
          <w:rFonts w:hint="eastAsia" w:ascii="仿宋" w:hAnsi="仿宋" w:eastAsia="仿宋"/>
          <w:b/>
          <w:bCs/>
          <w:sz w:val="24"/>
          <w:lang w:val="en-US" w:eastAsia="zh-CN"/>
        </w:rPr>
        <w:t>-</w:t>
      </w:r>
      <w:r>
        <w:rPr>
          <w:rFonts w:hint="eastAsia" w:ascii="仿宋" w:hAnsi="仿宋" w:eastAsia="仿宋"/>
          <w:b/>
          <w:bCs/>
          <w:sz w:val="24"/>
        </w:rPr>
        <w:t>信用服务-重点领域严重失信主</w:t>
      </w:r>
    </w:p>
    <w:p w14:paraId="218C0332">
      <w:pPr>
        <w:pStyle w:val="37"/>
        <w:numPr>
          <w:ilvl w:val="0"/>
          <w:numId w:val="0"/>
        </w:numPr>
        <w:tabs>
          <w:tab w:val="left" w:pos="5580"/>
        </w:tabs>
        <w:spacing w:line="240" w:lineRule="atLeast"/>
        <w:ind w:left="1915" w:leftChars="912" w:firstLine="0" w:firstLineChars="0"/>
        <w:rPr>
          <w:rFonts w:hint="eastAsia" w:ascii="仿宋" w:hAnsi="仿宋" w:eastAsia="仿宋"/>
          <w:b/>
          <w:bCs/>
          <w:sz w:val="24"/>
        </w:rPr>
      </w:pPr>
      <w:r>
        <w:rPr>
          <w:rFonts w:hint="eastAsia" w:ascii="仿宋" w:hAnsi="仿宋" w:eastAsia="仿宋"/>
          <w:b/>
          <w:bCs/>
          <w:sz w:val="24"/>
        </w:rPr>
        <w:t>体名单查询-失信被执行人</w:t>
      </w:r>
      <w:r>
        <w:rPr>
          <w:rFonts w:hint="eastAsia" w:ascii="仿宋" w:hAnsi="仿宋" w:eastAsia="仿宋"/>
          <w:b/>
          <w:bCs/>
          <w:sz w:val="24"/>
          <w:lang w:eastAsia="zh-CN"/>
        </w:rPr>
        <w:t>（</w:t>
      </w:r>
      <w:r>
        <w:rPr>
          <w:rFonts w:hint="eastAsia" w:ascii="仿宋" w:hAnsi="仿宋" w:eastAsia="仿宋"/>
          <w:b/>
          <w:bCs/>
          <w:sz w:val="24"/>
          <w:lang w:val="en-US" w:eastAsia="zh-CN"/>
        </w:rPr>
        <w:t>跳转中国执行信息公开网</w:t>
      </w:r>
      <w:r>
        <w:rPr>
          <w:rFonts w:hint="eastAsia" w:ascii="仿宋" w:hAnsi="仿宋" w:eastAsia="仿宋"/>
          <w:b/>
          <w:bCs/>
          <w:sz w:val="24"/>
          <w:lang w:eastAsia="zh-CN"/>
        </w:rPr>
        <w:t>）</w:t>
      </w:r>
      <w:r>
        <w:rPr>
          <w:rFonts w:hint="eastAsia" w:ascii="仿宋" w:hAnsi="仿宋" w:eastAsia="仿宋"/>
          <w:b/>
          <w:bCs/>
          <w:sz w:val="24"/>
          <w:lang w:val="en-US" w:eastAsia="zh-CN"/>
        </w:rPr>
        <w:t>-</w:t>
      </w:r>
      <w:r>
        <w:rPr>
          <w:rFonts w:hint="eastAsia" w:ascii="仿宋" w:hAnsi="仿宋" w:eastAsia="仿宋"/>
          <w:b/>
          <w:bCs/>
          <w:sz w:val="24"/>
        </w:rPr>
        <w:t>搜索栏输入单位全称-截图)</w:t>
      </w:r>
    </w:p>
    <w:p w14:paraId="7DC830B8">
      <w:pPr>
        <w:pStyle w:val="37"/>
        <w:numPr>
          <w:ilvl w:val="0"/>
          <w:numId w:val="8"/>
        </w:numPr>
        <w:tabs>
          <w:tab w:val="left" w:pos="5580"/>
        </w:tabs>
        <w:spacing w:line="240" w:lineRule="atLeast"/>
        <w:ind w:firstLine="1205" w:firstLineChars="500"/>
        <w:rPr>
          <w:rFonts w:hint="eastAsia" w:ascii="仿宋" w:hAnsi="仿宋" w:eastAsia="仿宋"/>
          <w:color w:val="000000"/>
          <w:sz w:val="24"/>
        </w:rPr>
      </w:pPr>
      <w:r>
        <w:rPr>
          <w:rFonts w:hint="eastAsia" w:ascii="仿宋" w:hAnsi="仿宋" w:eastAsia="仿宋"/>
          <w:b/>
          <w:bCs/>
          <w:sz w:val="24"/>
        </w:rPr>
        <w:t>重大税收违法案件当事人名单(信用服务-重点领域严重失信主</w:t>
      </w:r>
    </w:p>
    <w:p w14:paraId="398B1FED">
      <w:pPr>
        <w:pStyle w:val="37"/>
        <w:numPr>
          <w:ilvl w:val="0"/>
          <w:numId w:val="0"/>
        </w:numPr>
        <w:tabs>
          <w:tab w:val="left" w:pos="5580"/>
        </w:tabs>
        <w:spacing w:line="240" w:lineRule="atLeast"/>
        <w:ind w:firstLine="1928" w:firstLineChars="800"/>
        <w:rPr>
          <w:rFonts w:hint="eastAsia" w:ascii="仿宋" w:hAnsi="仿宋" w:eastAsia="仿宋"/>
          <w:color w:val="000000"/>
          <w:sz w:val="24"/>
        </w:rPr>
      </w:pPr>
      <w:r>
        <w:rPr>
          <w:rFonts w:hint="eastAsia" w:ascii="仿宋" w:hAnsi="仿宋" w:eastAsia="仿宋"/>
          <w:b/>
          <w:bCs/>
          <w:sz w:val="24"/>
        </w:rPr>
        <w:t>体名单查询-搜索栏输入单位全称-截图)、</w:t>
      </w:r>
    </w:p>
    <w:p w14:paraId="18101811">
      <w:pPr>
        <w:pStyle w:val="37"/>
        <w:numPr>
          <w:ilvl w:val="0"/>
          <w:numId w:val="8"/>
        </w:numPr>
        <w:tabs>
          <w:tab w:val="left" w:pos="5580"/>
        </w:tabs>
        <w:spacing w:line="240" w:lineRule="atLeast"/>
        <w:ind w:firstLine="1205" w:firstLineChars="500"/>
        <w:rPr>
          <w:rFonts w:hint="eastAsia" w:ascii="仿宋" w:hAnsi="仿宋" w:eastAsia="仿宋"/>
          <w:color w:val="000000"/>
          <w:sz w:val="24"/>
        </w:rPr>
      </w:pPr>
      <w:r>
        <w:rPr>
          <w:rFonts w:hint="eastAsia" w:ascii="仿宋" w:hAnsi="仿宋" w:eastAsia="仿宋"/>
          <w:b/>
          <w:bCs/>
          <w:sz w:val="24"/>
        </w:rPr>
        <w:t>中国政府采购网严重违法失信行为记录名单</w:t>
      </w:r>
    </w:p>
    <w:p w14:paraId="4C10D9C7">
      <w:pPr>
        <w:pStyle w:val="37"/>
        <w:tabs>
          <w:tab w:val="left" w:pos="5580"/>
        </w:tabs>
        <w:spacing w:line="240" w:lineRule="atLeast"/>
        <w:ind w:left="1677" w:leftChars="570" w:hanging="480" w:hangingChars="200"/>
        <w:rPr>
          <w:rFonts w:ascii="仿宋" w:hAnsi="仿宋" w:eastAsia="仿宋"/>
          <w:color w:val="000000"/>
          <w:sz w:val="24"/>
        </w:rPr>
      </w:pPr>
      <w:r>
        <w:rPr>
          <w:rFonts w:hint="eastAsia" w:ascii="仿宋" w:hAnsi="仿宋" w:eastAsia="仿宋"/>
          <w:color w:val="000000"/>
          <w:sz w:val="24"/>
          <w:lang w:val="en-US" w:eastAsia="zh-CN"/>
        </w:rPr>
        <w:t>2、提供承诺函</w:t>
      </w:r>
      <w:r>
        <w:rPr>
          <w:rFonts w:hint="eastAsia" w:ascii="仿宋" w:hAnsi="仿宋" w:eastAsia="仿宋"/>
          <w:color w:val="000000"/>
          <w:sz w:val="24"/>
        </w:rPr>
        <w:t>按照招标文件的规定加盖单位章（自然人投标的无需盖章，需要签字）。</w:t>
      </w:r>
    </w:p>
    <w:p w14:paraId="66589040">
      <w:pPr>
        <w:pStyle w:val="37"/>
        <w:tabs>
          <w:tab w:val="left" w:pos="5580"/>
        </w:tabs>
        <w:spacing w:line="240" w:lineRule="atLeast"/>
        <w:ind w:firstLine="480" w:firstLineChars="200"/>
        <w:rPr>
          <w:rFonts w:hint="eastAsia" w:ascii="仿宋" w:hAnsi="仿宋" w:eastAsia="仿宋"/>
          <w:color w:val="000000"/>
          <w:sz w:val="24"/>
        </w:rPr>
      </w:pPr>
    </w:p>
    <w:p w14:paraId="19EA6B12"/>
    <w:p w14:paraId="07B215AE"/>
    <w:p w14:paraId="70ABABA7">
      <w:pPr>
        <w:tabs>
          <w:tab w:val="left" w:pos="5580"/>
        </w:tabs>
        <w:spacing w:line="240" w:lineRule="atLeast"/>
        <w:rPr>
          <w:rFonts w:hint="eastAsia" w:ascii="仿宋" w:hAnsi="仿宋" w:eastAsia="仿宋" w:cs="Times New Roman"/>
          <w:b/>
          <w:bCs/>
          <w:sz w:val="24"/>
          <w:lang w:eastAsia="zh-CN"/>
        </w:rPr>
      </w:pPr>
      <w:r>
        <w:rPr>
          <w:rFonts w:hint="eastAsia" w:ascii="仿宋" w:hAnsi="仿宋" w:eastAsia="仿宋" w:cs="Times New Roman"/>
          <w:b/>
          <w:bCs/>
          <w:sz w:val="24"/>
          <w:lang w:val="en-US" w:eastAsia="zh-CN"/>
        </w:rPr>
        <w:t>8.投标商需</w:t>
      </w:r>
      <w:r>
        <w:rPr>
          <w:rFonts w:hint="eastAsia" w:ascii="仿宋" w:hAnsi="仿宋" w:eastAsia="仿宋" w:cs="Times New Roman"/>
          <w:b/>
          <w:bCs/>
          <w:sz w:val="24"/>
        </w:rPr>
        <w:t>符合《公安机关实施保安服务管理条例办法》规定，并具有有效的《保安服务许可证》；</w:t>
      </w:r>
    </w:p>
    <w:p w14:paraId="0868D19A">
      <w:pPr>
        <w:spacing w:line="360" w:lineRule="auto"/>
        <w:rPr>
          <w:rFonts w:hint="eastAsia" w:ascii="仿宋" w:hAnsi="仿宋" w:eastAsia="仿宋"/>
          <w:color w:val="000000"/>
          <w:sz w:val="24"/>
        </w:rPr>
      </w:pPr>
    </w:p>
    <w:p w14:paraId="07BF13B1">
      <w:pPr>
        <w:spacing w:line="360" w:lineRule="auto"/>
        <w:ind w:firstLine="480" w:firstLineChars="200"/>
        <w:rPr>
          <w:rFonts w:hint="eastAsia" w:ascii="仿宋" w:hAnsi="仿宋" w:eastAsia="仿宋"/>
          <w:color w:val="000000"/>
          <w:sz w:val="24"/>
        </w:rPr>
      </w:pPr>
      <w:r>
        <w:rPr>
          <w:rFonts w:hint="eastAsia" w:ascii="仿宋" w:hAnsi="仿宋" w:eastAsia="仿宋"/>
          <w:color w:val="000000"/>
          <w:sz w:val="24"/>
        </w:rPr>
        <w:t>说明：</w:t>
      </w:r>
      <w:r>
        <w:rPr>
          <w:rFonts w:hint="eastAsia" w:ascii="仿宋" w:hAnsi="仿宋" w:eastAsia="仿宋"/>
          <w:color w:val="000000"/>
          <w:sz w:val="24"/>
          <w:lang w:val="en-US" w:eastAsia="zh-CN"/>
        </w:rPr>
        <w:t>按要求上传《保安服务许可证》</w:t>
      </w:r>
      <w:r>
        <w:rPr>
          <w:rFonts w:hint="eastAsia" w:ascii="仿宋" w:hAnsi="仿宋" w:eastAsia="仿宋"/>
          <w:color w:val="000000"/>
          <w:sz w:val="24"/>
        </w:rPr>
        <w:t>。</w:t>
      </w:r>
    </w:p>
    <w:p w14:paraId="1367D653">
      <w:pPr>
        <w:tabs>
          <w:tab w:val="left" w:pos="5580"/>
        </w:tabs>
        <w:spacing w:line="240" w:lineRule="atLeast"/>
        <w:rPr>
          <w:rFonts w:hint="eastAsia" w:ascii="仿宋" w:hAnsi="仿宋" w:eastAsia="仿宋"/>
          <w:b/>
          <w:bCs/>
          <w:sz w:val="24"/>
        </w:rPr>
      </w:pPr>
    </w:p>
    <w:p w14:paraId="0AA038F4">
      <w:pPr>
        <w:tabs>
          <w:tab w:val="left" w:pos="5580"/>
        </w:tabs>
        <w:spacing w:line="240" w:lineRule="atLeast"/>
        <w:rPr>
          <w:rFonts w:hint="eastAsia" w:ascii="仿宋" w:hAnsi="仿宋" w:eastAsia="仿宋"/>
          <w:b/>
          <w:bCs/>
          <w:sz w:val="24"/>
        </w:rPr>
      </w:pPr>
    </w:p>
    <w:p w14:paraId="251C820C">
      <w:pPr>
        <w:tabs>
          <w:tab w:val="left" w:pos="5580"/>
        </w:tabs>
        <w:spacing w:line="240" w:lineRule="atLeast"/>
        <w:rPr>
          <w:rFonts w:hint="eastAsia" w:ascii="仿宋" w:hAnsi="仿宋" w:eastAsia="仿宋"/>
          <w:b/>
          <w:bCs/>
          <w:sz w:val="24"/>
        </w:rPr>
      </w:pPr>
    </w:p>
    <w:p w14:paraId="68364F49">
      <w:pPr>
        <w:spacing w:line="360" w:lineRule="auto"/>
        <w:rPr>
          <w:rFonts w:hint="eastAsia" w:ascii="仿宋" w:hAnsi="仿宋" w:eastAsia="仿宋"/>
          <w:b/>
          <w:bCs/>
        </w:rPr>
      </w:pPr>
      <w:r>
        <w:rPr>
          <w:rFonts w:hint="eastAsia" w:ascii="仿宋" w:hAnsi="仿宋" w:eastAsia="仿宋"/>
          <w:b/>
          <w:bCs/>
          <w:sz w:val="24"/>
          <w:lang w:val="en-US" w:eastAsia="zh-CN"/>
        </w:rPr>
        <w:t>9</w:t>
      </w:r>
      <w:r>
        <w:rPr>
          <w:rFonts w:hint="eastAsia" w:ascii="仿宋" w:hAnsi="仿宋" w:eastAsia="仿宋" w:cs="Times New Roman"/>
          <w:b/>
          <w:bCs/>
          <w:sz w:val="24"/>
          <w:lang w:eastAsia="zh-CN"/>
        </w:rPr>
        <w:t>、</w:t>
      </w:r>
      <w:r>
        <w:rPr>
          <w:rFonts w:hint="eastAsia" w:ascii="仿宋" w:hAnsi="仿宋" w:eastAsia="仿宋" w:cs="Times New Roman"/>
          <w:b/>
          <w:bCs/>
          <w:sz w:val="24"/>
        </w:rPr>
        <w:t>提</w:t>
      </w:r>
      <w:r>
        <w:rPr>
          <w:rFonts w:hint="eastAsia" w:ascii="仿宋" w:hAnsi="仿宋" w:eastAsia="仿宋"/>
          <w:b/>
          <w:bCs/>
          <w:sz w:val="24"/>
        </w:rPr>
        <w:t>供针对本次项目《反商业贿赂承诺书》</w:t>
      </w:r>
    </w:p>
    <w:p w14:paraId="434EB7DC">
      <w:pPr>
        <w:pStyle w:val="33"/>
        <w:tabs>
          <w:tab w:val="clear" w:pos="567"/>
        </w:tabs>
        <w:rPr>
          <w:rFonts w:hint="eastAsia" w:ascii="仿宋" w:hAnsi="仿宋" w:eastAsia="仿宋"/>
          <w:color w:val="000000"/>
        </w:rPr>
      </w:pPr>
      <w:r>
        <w:rPr>
          <w:rFonts w:hint="eastAsia" w:ascii="仿宋" w:hAnsi="仿宋" w:eastAsia="仿宋"/>
          <w:color w:val="000000"/>
        </w:rPr>
        <w:t>说明：承诺书应加盖本单位章</w:t>
      </w:r>
    </w:p>
    <w:p w14:paraId="0E37CC0E">
      <w:pPr>
        <w:spacing w:line="360" w:lineRule="auto"/>
        <w:rPr>
          <w:rFonts w:hint="eastAsia" w:ascii="仿宋" w:hAnsi="仿宋" w:eastAsia="仿宋"/>
          <w:b/>
          <w:bCs/>
          <w:sz w:val="24"/>
          <w:lang w:val="en-US" w:eastAsia="zh-CN"/>
        </w:rPr>
      </w:pPr>
      <w:bookmarkStart w:id="306" w:name="_Toc22494204"/>
      <w:bookmarkEnd w:id="306"/>
      <w:bookmarkStart w:id="307" w:name="_Toc21096"/>
      <w:bookmarkEnd w:id="307"/>
      <w:bookmarkStart w:id="308" w:name="_Toc39671745"/>
      <w:bookmarkEnd w:id="308"/>
      <w:bookmarkStart w:id="309" w:name="_Toc19464"/>
      <w:bookmarkEnd w:id="309"/>
    </w:p>
    <w:p w14:paraId="7495A819">
      <w:pPr>
        <w:spacing w:line="360" w:lineRule="auto"/>
        <w:rPr>
          <w:rFonts w:ascii="仿宋" w:hAnsi="仿宋" w:eastAsia="仿宋"/>
          <w:b/>
          <w:color w:val="000000"/>
          <w:szCs w:val="24"/>
        </w:rPr>
      </w:pPr>
      <w:r>
        <w:rPr>
          <w:rFonts w:hint="eastAsia" w:ascii="仿宋" w:hAnsi="仿宋" w:eastAsia="仿宋"/>
          <w:b/>
          <w:bCs/>
          <w:sz w:val="24"/>
          <w:lang w:val="en-US" w:eastAsia="zh-CN"/>
        </w:rPr>
        <w:t>10、</w:t>
      </w:r>
      <w:r>
        <w:rPr>
          <w:rFonts w:hint="eastAsia" w:ascii="仿宋" w:hAnsi="仿宋" w:eastAsia="仿宋"/>
          <w:b/>
          <w:bCs/>
          <w:sz w:val="24"/>
        </w:rPr>
        <w:t>缴纳投标保证金（电汇或转账）凭证复印件加盖公章；</w:t>
      </w:r>
    </w:p>
    <w:p w14:paraId="44B4A7EA">
      <w:pPr>
        <w:pStyle w:val="32"/>
        <w:ind w:left="0" w:leftChars="0" w:firstLine="482" w:firstLineChars="200"/>
        <w:rPr>
          <w:rFonts w:ascii="仿宋" w:hAnsi="仿宋" w:eastAsia="仿宋"/>
          <w:b/>
          <w:color w:val="000000"/>
          <w:szCs w:val="24"/>
        </w:rPr>
      </w:pPr>
      <w:r>
        <w:rPr>
          <w:rFonts w:hint="eastAsia" w:ascii="仿宋" w:hAnsi="仿宋" w:eastAsia="仿宋"/>
          <w:b/>
          <w:color w:val="000000"/>
          <w:szCs w:val="24"/>
        </w:rPr>
        <w:drawing>
          <wp:inline distT="0" distB="0" distL="0" distR="0">
            <wp:extent cx="135255" cy="126365"/>
            <wp:effectExtent l="0" t="0" r="4445" b="63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1"/>
                    <a:stretch>
                      <a:fillRect/>
                    </a:stretch>
                  </pic:blipFill>
                  <pic:spPr>
                    <a:xfrm>
                      <a:off x="0" y="0"/>
                      <a:ext cx="135843" cy="126987"/>
                    </a:xfrm>
                    <a:prstGeom prst="rect">
                      <a:avLst/>
                    </a:prstGeom>
                  </pic:spPr>
                </pic:pic>
              </a:graphicData>
            </a:graphic>
          </wp:inline>
        </w:drawing>
      </w:r>
      <w:r>
        <w:rPr>
          <w:rFonts w:hint="eastAsia" w:ascii="仿宋" w:hAnsi="仿宋" w:eastAsia="仿宋"/>
          <w:b/>
          <w:bCs/>
          <w:color w:val="000000"/>
          <w:kern w:val="2"/>
          <w:szCs w:val="24"/>
        </w:rPr>
        <w:t>本项目无需换取保证金收据。（通过银行转账方式缴纳的保证金，项目结束后在五个工作日内自动退还。）</w:t>
      </w:r>
    </w:p>
    <w:p w14:paraId="39A6F49A">
      <w:pPr>
        <w:rPr>
          <w:rFonts w:ascii="仿宋" w:hAnsi="仿宋" w:eastAsia="仿宋"/>
        </w:rPr>
      </w:pPr>
    </w:p>
    <w:p w14:paraId="2A207C1A">
      <w:pPr>
        <w:numPr>
          <w:ilvl w:val="0"/>
          <w:numId w:val="0"/>
        </w:numPr>
        <w:spacing w:line="360" w:lineRule="auto"/>
        <w:ind w:leftChars="0"/>
        <w:rPr>
          <w:rFonts w:hint="eastAsia" w:ascii="仿宋" w:hAnsi="仿宋" w:eastAsia="仿宋" w:cs="Times New Roman"/>
          <w:b/>
          <w:color w:val="000000"/>
          <w:kern w:val="0"/>
          <w:sz w:val="24"/>
          <w:szCs w:val="20"/>
          <w:u w:val="none"/>
          <w:lang w:val="en-US" w:eastAsia="zh-CN" w:bidi="ar-SA"/>
        </w:rPr>
      </w:pPr>
    </w:p>
    <w:p w14:paraId="52E1D5C9">
      <w:pPr>
        <w:numPr>
          <w:ilvl w:val="0"/>
          <w:numId w:val="0"/>
        </w:numPr>
        <w:spacing w:line="360" w:lineRule="auto"/>
        <w:ind w:leftChars="0"/>
        <w:rPr>
          <w:rFonts w:hint="eastAsia" w:ascii="仿宋" w:hAnsi="仿宋" w:eastAsia="仿宋" w:cs="Times New Roman"/>
          <w:b/>
          <w:color w:val="000000"/>
          <w:kern w:val="0"/>
          <w:sz w:val="24"/>
          <w:szCs w:val="20"/>
          <w:highlight w:val="yellow"/>
          <w:u w:val="none"/>
          <w:lang w:val="en-US" w:eastAsia="zh-CN" w:bidi="ar-SA"/>
        </w:rPr>
      </w:pPr>
    </w:p>
    <w:p w14:paraId="660E3E49">
      <w:pPr>
        <w:numPr>
          <w:ilvl w:val="0"/>
          <w:numId w:val="0"/>
        </w:numPr>
        <w:spacing w:line="360" w:lineRule="auto"/>
        <w:rPr>
          <w:rFonts w:hint="eastAsia" w:ascii="仿宋" w:hAnsi="仿宋" w:eastAsia="仿宋" w:cs="Times New Roman"/>
          <w:b/>
          <w:color w:val="000000"/>
          <w:kern w:val="0"/>
          <w:sz w:val="24"/>
          <w:szCs w:val="20"/>
          <w:highlight w:val="none"/>
          <w:u w:val="none"/>
          <w:lang w:val="en-US" w:eastAsia="zh-CN" w:bidi="ar-SA"/>
        </w:rPr>
      </w:pPr>
      <w:r>
        <w:rPr>
          <w:rFonts w:hint="eastAsia" w:ascii="仿宋" w:hAnsi="仿宋" w:eastAsia="仿宋" w:cs="Times New Roman"/>
          <w:b/>
          <w:color w:val="000000"/>
          <w:kern w:val="0"/>
          <w:sz w:val="24"/>
          <w:szCs w:val="20"/>
          <w:highlight w:val="none"/>
          <w:u w:val="none"/>
          <w:lang w:val="en-US" w:eastAsia="zh-CN" w:bidi="ar-SA"/>
        </w:rPr>
        <w:t>11、本项目专门面向中小微企业采购。</w:t>
      </w:r>
    </w:p>
    <w:p w14:paraId="565E8DFB">
      <w:pPr>
        <w:numPr>
          <w:ilvl w:val="0"/>
          <w:numId w:val="0"/>
        </w:numPr>
        <w:spacing w:line="360" w:lineRule="auto"/>
        <w:ind w:leftChars="200"/>
        <w:rPr>
          <w:rFonts w:hint="default" w:ascii="仿宋" w:hAnsi="仿宋" w:eastAsia="仿宋" w:cs="Times New Roman"/>
          <w:color w:val="000000"/>
          <w:kern w:val="2"/>
          <w:sz w:val="24"/>
          <w:szCs w:val="24"/>
          <w:lang w:val="en-US" w:eastAsia="zh-CN" w:bidi="ar-SA"/>
        </w:rPr>
      </w:pPr>
      <w:r>
        <w:rPr>
          <w:rFonts w:hint="eastAsia" w:ascii="仿宋" w:hAnsi="仿宋" w:eastAsia="仿宋" w:cs="Times New Roman"/>
          <w:color w:val="000000"/>
          <w:kern w:val="2"/>
          <w:sz w:val="24"/>
          <w:szCs w:val="24"/>
          <w:lang w:val="en-US" w:eastAsia="zh-CN" w:bidi="ar-SA"/>
        </w:rPr>
        <w:t>说明：此处上传《中小企业声明函》</w:t>
      </w:r>
    </w:p>
    <w:p w14:paraId="2C552A19">
      <w:pPr>
        <w:numPr>
          <w:ilvl w:val="0"/>
          <w:numId w:val="0"/>
        </w:numPr>
        <w:spacing w:line="360" w:lineRule="auto"/>
        <w:ind w:leftChars="0"/>
        <w:rPr>
          <w:rFonts w:hint="eastAsia" w:ascii="仿宋" w:hAnsi="仿宋" w:eastAsia="仿宋" w:cs="Times New Roman"/>
          <w:b/>
          <w:color w:val="000000"/>
          <w:kern w:val="0"/>
          <w:sz w:val="24"/>
          <w:szCs w:val="20"/>
          <w:u w:val="none"/>
          <w:lang w:val="en-US" w:eastAsia="zh-CN" w:bidi="ar-SA"/>
        </w:rPr>
      </w:pPr>
    </w:p>
    <w:p w14:paraId="03E37CF7">
      <w:pPr>
        <w:numPr>
          <w:ilvl w:val="0"/>
          <w:numId w:val="0"/>
        </w:numPr>
        <w:spacing w:line="360" w:lineRule="auto"/>
        <w:ind w:leftChars="0"/>
        <w:rPr>
          <w:rFonts w:hint="eastAsia" w:ascii="仿宋" w:hAnsi="仿宋" w:eastAsia="仿宋" w:cs="Times New Roman"/>
          <w:b/>
          <w:color w:val="000000"/>
          <w:kern w:val="0"/>
          <w:sz w:val="24"/>
          <w:szCs w:val="20"/>
          <w:u w:val="none"/>
          <w:lang w:val="en-US" w:eastAsia="zh-CN" w:bidi="ar-SA"/>
        </w:rPr>
      </w:pPr>
    </w:p>
    <w:p w14:paraId="4ED570C2">
      <w:pPr>
        <w:numPr>
          <w:ilvl w:val="0"/>
          <w:numId w:val="0"/>
        </w:numPr>
        <w:spacing w:line="360" w:lineRule="auto"/>
        <w:ind w:leftChars="0"/>
        <w:rPr>
          <w:rFonts w:hint="eastAsia" w:ascii="仿宋" w:hAnsi="仿宋" w:eastAsia="仿宋" w:cs="Times New Roman"/>
          <w:color w:val="000000"/>
          <w:kern w:val="2"/>
          <w:sz w:val="24"/>
          <w:szCs w:val="24"/>
          <w:lang w:val="en-US" w:eastAsia="zh-CN" w:bidi="ar-SA"/>
        </w:rPr>
      </w:pPr>
      <w:r>
        <w:rPr>
          <w:rFonts w:hint="eastAsia" w:ascii="仿宋" w:hAnsi="仿宋" w:eastAsia="仿宋" w:cs="Times New Roman"/>
          <w:b/>
          <w:color w:val="000000"/>
          <w:kern w:val="0"/>
          <w:sz w:val="24"/>
          <w:szCs w:val="20"/>
          <w:u w:val="none"/>
          <w:lang w:val="en-US" w:eastAsia="zh-CN" w:bidi="ar-SA"/>
        </w:rPr>
        <w:t>12、本项目不接受</w:t>
      </w:r>
      <w:r>
        <w:rPr>
          <w:rFonts w:hint="eastAsia" w:ascii="仿宋" w:hAnsi="仿宋" w:eastAsia="仿宋"/>
          <w:b/>
          <w:kern w:val="0"/>
          <w:sz w:val="24"/>
          <w:szCs w:val="20"/>
        </w:rPr>
        <w:t>联合体投标。</w:t>
      </w:r>
    </w:p>
    <w:p w14:paraId="7630B5F9">
      <w:pPr>
        <w:numPr>
          <w:ilvl w:val="0"/>
          <w:numId w:val="0"/>
        </w:numPr>
        <w:spacing w:line="360" w:lineRule="auto"/>
        <w:ind w:leftChars="0"/>
        <w:rPr>
          <w:rFonts w:hint="default" w:ascii="仿宋" w:hAnsi="仿宋" w:eastAsia="仿宋" w:cs="Times New Roman"/>
          <w:color w:val="000000"/>
          <w:kern w:val="2"/>
          <w:sz w:val="24"/>
          <w:szCs w:val="24"/>
          <w:lang w:val="en-US" w:eastAsia="zh-CN" w:bidi="ar-SA"/>
        </w:rPr>
      </w:pPr>
      <w:r>
        <w:rPr>
          <w:rFonts w:hint="eastAsia" w:ascii="仿宋" w:hAnsi="仿宋" w:eastAsia="仿宋" w:cs="Times New Roman"/>
          <w:color w:val="000000"/>
          <w:kern w:val="2"/>
          <w:sz w:val="24"/>
          <w:szCs w:val="24"/>
          <w:lang w:val="en-US" w:eastAsia="zh-CN" w:bidi="ar-SA"/>
        </w:rPr>
        <w:t xml:space="preserve">   说明：承诺书应加盖本单位章</w:t>
      </w:r>
    </w:p>
    <w:p w14:paraId="0883281F">
      <w:pPr>
        <w:pStyle w:val="40"/>
        <w:tabs>
          <w:tab w:val="clear" w:pos="4153"/>
          <w:tab w:val="clear" w:pos="8306"/>
        </w:tabs>
        <w:spacing w:line="360" w:lineRule="auto"/>
        <w:jc w:val="center"/>
        <w:rPr>
          <w:rFonts w:ascii="Times New Roman" w:eastAsia="仿宋"/>
          <w:bCs/>
          <w:iCs/>
          <w:color w:val="000000"/>
          <w:kern w:val="2"/>
          <w:sz w:val="24"/>
          <w:szCs w:val="24"/>
        </w:rPr>
      </w:pPr>
      <w:bookmarkStart w:id="310" w:name="_Toc518923115"/>
      <w:bookmarkEnd w:id="310"/>
      <w:bookmarkStart w:id="311" w:name="_Toc16844"/>
      <w:bookmarkEnd w:id="311"/>
      <w:r>
        <w:rPr>
          <w:rFonts w:ascii="Times New Roman" w:eastAsia="仿宋"/>
          <w:bCs/>
          <w:iCs/>
          <w:color w:val="000000"/>
          <w:kern w:val="2"/>
          <w:sz w:val="24"/>
          <w:szCs w:val="24"/>
        </w:rPr>
        <w:br w:type="page"/>
      </w:r>
      <w:r>
        <w:rPr>
          <w:rFonts w:ascii="Times New Roman" w:eastAsia="仿宋"/>
          <w:sz w:val="24"/>
        </w:rPr>
        <w:t>第二部分商务及技术文件</w:t>
      </w:r>
    </w:p>
    <w:p w14:paraId="4F130A96">
      <w:pPr>
        <w:pStyle w:val="37"/>
        <w:spacing w:line="360" w:lineRule="auto"/>
        <w:ind w:left="1080" w:leftChars="257" w:hanging="540"/>
        <w:rPr>
          <w:rFonts w:ascii="Times New Roman" w:hAnsi="Times New Roman" w:eastAsia="仿宋"/>
          <w:sz w:val="24"/>
        </w:rPr>
      </w:pPr>
    </w:p>
    <w:p w14:paraId="66BE7A6C">
      <w:pPr>
        <w:pStyle w:val="37"/>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14:paraId="0C068571">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14:paraId="3B7FAFF2">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14:paraId="1CD2B31C">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14:paraId="43CA81A3">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p>
    <w:p w14:paraId="39353C21">
      <w:pPr>
        <w:pStyle w:val="13"/>
        <w:spacing w:line="360" w:lineRule="auto"/>
        <w:ind w:left="1154" w:leftChars="485" w:hanging="136" w:hangingChars="57"/>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5-1《中小企业声明函》</w:t>
      </w:r>
    </w:p>
    <w:p w14:paraId="3C27F191">
      <w:pPr>
        <w:pStyle w:val="13"/>
        <w:spacing w:line="360" w:lineRule="auto"/>
        <w:ind w:left="1154" w:leftChars="485" w:hanging="136" w:hangingChars="57"/>
        <w:rPr>
          <w:rFonts w:hint="eastAsia" w:ascii="Times New Roman" w:hAnsi="Times New Roman" w:eastAsia="仿宋" w:cs="Times New Roman"/>
          <w:sz w:val="24"/>
          <w:lang w:val="en-US" w:eastAsia="zh-CN"/>
        </w:rPr>
      </w:pPr>
      <w:r>
        <w:rPr>
          <w:rFonts w:hint="eastAsia" w:ascii="Times New Roman" w:hAnsi="Times New Roman" w:eastAsia="仿宋" w:cs="Times New Roman"/>
          <w:sz w:val="24"/>
          <w:lang w:val="en-US" w:eastAsia="zh-CN"/>
        </w:rPr>
        <w:t>5-2 残疾人福利性单位声明函</w:t>
      </w:r>
    </w:p>
    <w:p w14:paraId="266329CC">
      <w:pPr>
        <w:pStyle w:val="37"/>
        <w:spacing w:line="360" w:lineRule="auto"/>
        <w:ind w:left="1154" w:leftChars="485" w:hanging="136" w:hangingChars="57"/>
        <w:rPr>
          <w:rFonts w:hint="eastAsia" w:ascii="Times New Roman" w:hAnsi="Times New Roman" w:eastAsia="仿宋"/>
          <w:sz w:val="24"/>
        </w:rPr>
      </w:pPr>
      <w:r>
        <w:rPr>
          <w:rFonts w:hint="eastAsia" w:ascii="Times New Roman" w:hAnsi="Times New Roman" w:eastAsia="仿宋" w:cs="Times New Roman"/>
          <w:sz w:val="24"/>
          <w:lang w:val="en-US" w:eastAsia="zh-CN"/>
        </w:rPr>
        <w:t>5-3 《监狱企业声明函》</w:t>
      </w:r>
    </w:p>
    <w:p w14:paraId="417BAE8C">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6、供应商关联单位的说明</w:t>
      </w:r>
    </w:p>
    <w:p w14:paraId="2BC4BEE1">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7、其他有利于供应商的文件或证明材料</w:t>
      </w:r>
    </w:p>
    <w:p w14:paraId="2C5B51C3">
      <w:pPr>
        <w:pStyle w:val="37"/>
        <w:spacing w:line="360" w:lineRule="auto"/>
        <w:ind w:left="1080" w:leftChars="257" w:hanging="540"/>
        <w:rPr>
          <w:rFonts w:hint="eastAsia" w:ascii="Times New Roman" w:hAnsi="Times New Roman" w:eastAsia="仿宋"/>
          <w:sz w:val="24"/>
        </w:rPr>
      </w:pPr>
      <w:r>
        <w:rPr>
          <w:rFonts w:hint="eastAsia" w:ascii="Times New Roman" w:hAnsi="Times New Roman" w:eastAsia="仿宋"/>
          <w:sz w:val="24"/>
        </w:rPr>
        <w:t>8、对本项目响应文件（响应文件）中资料真实性的承诺</w:t>
      </w:r>
    </w:p>
    <w:p w14:paraId="386243BA">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14:paraId="1CEEAC9A">
      <w:pPr>
        <w:pStyle w:val="27"/>
        <w:spacing w:before="0" w:line="360" w:lineRule="auto"/>
        <w:ind w:left="1080" w:leftChars="257" w:hanging="540"/>
        <w:rPr>
          <w:rFonts w:eastAsia="仿宋"/>
          <w:sz w:val="24"/>
        </w:rPr>
      </w:pPr>
      <w:bookmarkStart w:id="312" w:name="_Toc14169"/>
      <w:bookmarkEnd w:id="312"/>
      <w:bookmarkStart w:id="313" w:name="_Toc518923116"/>
      <w:bookmarkEnd w:id="313"/>
      <w:bookmarkStart w:id="314" w:name="_Toc15081"/>
      <w:bookmarkEnd w:id="314"/>
      <w:bookmarkStart w:id="315" w:name="_Hlt520355504"/>
      <w:bookmarkEnd w:id="315"/>
      <w:bookmarkStart w:id="316" w:name="_Toc9768"/>
      <w:bookmarkEnd w:id="316"/>
      <w:bookmarkStart w:id="317" w:name="_Toc10878"/>
      <w:bookmarkEnd w:id="317"/>
      <w:bookmarkStart w:id="318" w:name="_Toc26126"/>
      <w:bookmarkEnd w:id="318"/>
      <w:r>
        <w:rPr>
          <w:rFonts w:eastAsia="仿宋"/>
          <w:sz w:val="24"/>
        </w:rPr>
        <w:t>1</w:t>
      </w:r>
      <w:r>
        <w:rPr>
          <w:rFonts w:hint="eastAsia" w:eastAsia="仿宋"/>
          <w:sz w:val="24"/>
          <w:lang w:val="en-US" w:eastAsia="zh-CN"/>
        </w:rPr>
        <w:t>.</w:t>
      </w:r>
      <w:r>
        <w:rPr>
          <w:rFonts w:eastAsia="仿宋"/>
          <w:sz w:val="24"/>
        </w:rPr>
        <w:t>投标书</w:t>
      </w:r>
    </w:p>
    <w:p w14:paraId="572EAD99">
      <w:pPr>
        <w:tabs>
          <w:tab w:val="left" w:pos="5580"/>
        </w:tabs>
        <w:spacing w:line="360" w:lineRule="auto"/>
        <w:ind w:left="1080" w:leftChars="257" w:hanging="540"/>
        <w:rPr>
          <w:rFonts w:eastAsia="仿宋"/>
          <w:sz w:val="24"/>
        </w:rPr>
      </w:pPr>
    </w:p>
    <w:p w14:paraId="2A3CD76C">
      <w:pPr>
        <w:tabs>
          <w:tab w:val="left" w:pos="5580"/>
        </w:tabs>
        <w:spacing w:line="360" w:lineRule="auto"/>
        <w:ind w:left="1080" w:hanging="1080"/>
        <w:rPr>
          <w:rFonts w:eastAsia="仿宋"/>
          <w:sz w:val="24"/>
        </w:rPr>
      </w:pPr>
      <w:r>
        <w:rPr>
          <w:rFonts w:eastAsia="仿宋"/>
          <w:sz w:val="24"/>
        </w:rPr>
        <w:t>致：</w:t>
      </w:r>
      <w:r>
        <w:rPr>
          <w:rFonts w:eastAsia="仿宋"/>
          <w:color w:val="000000"/>
          <w:sz w:val="24"/>
          <w:u w:val="single"/>
        </w:rPr>
        <w:t>喀什地区公共资源交易中心</w:t>
      </w:r>
    </w:p>
    <w:p w14:paraId="251358B5">
      <w:pPr>
        <w:pStyle w:val="37"/>
        <w:tabs>
          <w:tab w:val="left" w:pos="5580"/>
        </w:tabs>
        <w:spacing w:line="360" w:lineRule="auto"/>
        <w:ind w:left="1080" w:leftChars="257" w:hanging="540"/>
        <w:rPr>
          <w:rFonts w:ascii="Times New Roman" w:hAnsi="Times New Roman" w:eastAsia="仿宋"/>
          <w:sz w:val="24"/>
        </w:rPr>
      </w:pPr>
    </w:p>
    <w:p w14:paraId="28793DEA">
      <w:pPr>
        <w:pStyle w:val="37"/>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lang w:val="en-US" w:eastAsia="zh-CN"/>
        </w:rPr>
        <w:t xml:space="preserve">   </w:t>
      </w:r>
      <w:r>
        <w:rPr>
          <w:rFonts w:ascii="Times New Roman" w:hAnsi="Times New Roman" w:eastAsia="仿宋"/>
          <w:sz w:val="24"/>
        </w:rPr>
        <w:t>份，并以</w:t>
      </w:r>
      <w:r>
        <w:rPr>
          <w:rFonts w:hint="eastAsia" w:ascii="Times New Roman" w:hAnsi="Times New Roman" w:eastAsia="仿宋"/>
          <w:sz w:val="24"/>
          <w:u w:val="single"/>
          <w:lang w:val="en-US" w:eastAsia="zh-CN"/>
        </w:rPr>
        <w:t xml:space="preserve">   </w:t>
      </w:r>
      <w:r>
        <w:rPr>
          <w:rFonts w:ascii="Times New Roman" w:hAnsi="Times New Roman" w:eastAsia="仿宋"/>
          <w:sz w:val="24"/>
        </w:rPr>
        <w:t>形式出具的金额为</w:t>
      </w:r>
      <w:r>
        <w:rPr>
          <w:rFonts w:hint="eastAsia" w:ascii="Times New Roman" w:hAnsi="Times New Roman" w:eastAsia="仿宋"/>
          <w:sz w:val="24"/>
          <w:u w:val="single"/>
          <w:lang w:val="en-US" w:eastAsia="zh-CN"/>
        </w:rPr>
        <w:t xml:space="preserve">   </w:t>
      </w:r>
      <w:r>
        <w:rPr>
          <w:rFonts w:ascii="Times New Roman" w:hAnsi="Times New Roman" w:eastAsia="仿宋"/>
          <w:sz w:val="24"/>
        </w:rPr>
        <w:t>人民币元的投标保证金。</w:t>
      </w:r>
    </w:p>
    <w:p w14:paraId="3520787A">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14:paraId="622E5171">
      <w:pPr>
        <w:pStyle w:val="37"/>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14:paraId="596FF37D">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lang w:val="en-US" w:eastAsia="zh-CN"/>
        </w:rPr>
        <w:t xml:space="preserve"> 90 </w:t>
      </w:r>
      <w:r>
        <w:rPr>
          <w:rFonts w:ascii="Times New Roman" w:hAnsi="Times New Roman" w:eastAsia="仿宋"/>
          <w:sz w:val="24"/>
        </w:rPr>
        <w:t>个日历日。</w:t>
      </w:r>
    </w:p>
    <w:p w14:paraId="3DB05BE2">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14:paraId="175EB5BB">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14:paraId="4C40AF71">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14:paraId="329E339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14:paraId="3E559AA8">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14:paraId="27700A5F">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14:paraId="22D8A0E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14:paraId="1E90DD17">
      <w:pPr>
        <w:pStyle w:val="37"/>
        <w:tabs>
          <w:tab w:val="left" w:pos="5580"/>
        </w:tabs>
        <w:spacing w:line="360" w:lineRule="auto"/>
        <w:ind w:left="359" w:leftChars="68" w:hanging="216" w:hangingChars="90"/>
        <w:rPr>
          <w:rFonts w:ascii="Times New Roman" w:hAnsi="Times New Roman" w:eastAsia="仿宋"/>
          <w:sz w:val="24"/>
        </w:rPr>
      </w:pPr>
    </w:p>
    <w:p w14:paraId="08D4AC19">
      <w:pPr>
        <w:pStyle w:val="37"/>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14:paraId="668790EC">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14:paraId="67BFD22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14:paraId="2EFAAA14">
      <w:pPr>
        <w:pStyle w:val="37"/>
        <w:tabs>
          <w:tab w:val="left" w:pos="5580"/>
        </w:tabs>
        <w:spacing w:line="360" w:lineRule="auto"/>
        <w:ind w:left="1080" w:leftChars="257" w:hanging="540"/>
        <w:rPr>
          <w:rFonts w:ascii="Times New Roman" w:hAnsi="Times New Roman" w:eastAsia="仿宋"/>
          <w:sz w:val="24"/>
        </w:rPr>
      </w:pPr>
    </w:p>
    <w:p w14:paraId="792CA736">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14:paraId="56EE542D">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14:paraId="1786A372">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14:paraId="296DF846">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14:paraId="5C4D705E">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14:paraId="6775DC72">
      <w:pPr>
        <w:pStyle w:val="37"/>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14:paraId="43218CB4">
      <w:pPr>
        <w:pStyle w:val="27"/>
        <w:spacing w:before="0" w:line="360" w:lineRule="auto"/>
        <w:ind w:left="1080" w:leftChars="257" w:hanging="540"/>
        <w:rPr>
          <w:rFonts w:eastAsia="仿宋"/>
          <w:sz w:val="24"/>
        </w:rPr>
      </w:pPr>
      <w:bookmarkStart w:id="319" w:name="_Hlt520356243"/>
      <w:bookmarkEnd w:id="319"/>
      <w:bookmarkStart w:id="320" w:name="_Hlt520355938"/>
      <w:bookmarkEnd w:id="320"/>
      <w:r>
        <w:rPr>
          <w:rFonts w:eastAsia="仿宋"/>
          <w:sz w:val="24"/>
        </w:rPr>
        <w:br w:type="page"/>
      </w:r>
    </w:p>
    <w:p w14:paraId="50B1DA61">
      <w:pPr>
        <w:pStyle w:val="27"/>
        <w:spacing w:before="0" w:line="360" w:lineRule="auto"/>
        <w:ind w:left="1080" w:leftChars="257" w:hanging="540"/>
        <w:rPr>
          <w:rFonts w:eastAsia="仿宋"/>
          <w:sz w:val="24"/>
        </w:rPr>
      </w:pPr>
    </w:p>
    <w:p w14:paraId="05AADF33">
      <w:pPr>
        <w:pStyle w:val="27"/>
        <w:spacing w:before="0" w:line="360" w:lineRule="auto"/>
        <w:ind w:left="1080" w:leftChars="257" w:hanging="540"/>
        <w:rPr>
          <w:rFonts w:hint="eastAsia" w:eastAsia="仿宋"/>
          <w:sz w:val="24"/>
        </w:rPr>
      </w:pPr>
      <w:bookmarkStart w:id="321" w:name="_Toc11050"/>
      <w:bookmarkEnd w:id="321"/>
      <w:bookmarkStart w:id="322" w:name="_Toc15800"/>
      <w:bookmarkEnd w:id="322"/>
      <w:r>
        <w:rPr>
          <w:rFonts w:hint="eastAsia" w:eastAsia="仿宋"/>
          <w:sz w:val="24"/>
        </w:rPr>
        <w:t>2</w:t>
      </w:r>
      <w:r>
        <w:rPr>
          <w:rFonts w:hint="eastAsia" w:eastAsia="仿宋"/>
          <w:sz w:val="24"/>
          <w:lang w:val="en-US" w:eastAsia="zh-CN"/>
        </w:rPr>
        <w:t>.</w:t>
      </w:r>
      <w:r>
        <w:rPr>
          <w:rFonts w:eastAsia="仿宋"/>
          <w:sz w:val="24"/>
        </w:rPr>
        <w:t>投标分项报价表</w:t>
      </w:r>
    </w:p>
    <w:p w14:paraId="3E82C718">
      <w:pPr>
        <w:pStyle w:val="37"/>
        <w:spacing w:line="360" w:lineRule="auto"/>
        <w:ind w:left="1080" w:leftChars="257" w:hanging="540"/>
        <w:rPr>
          <w:rFonts w:ascii="Times New Roman" w:hAnsi="Times New Roman" w:eastAsia="仿宋"/>
          <w:sz w:val="24"/>
        </w:rPr>
      </w:pPr>
    </w:p>
    <w:p w14:paraId="7E3EBF72">
      <w:pPr>
        <w:pStyle w:val="37"/>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lang w:val="en-US" w:eastAsia="zh-CN"/>
        </w:rPr>
        <w:t xml:space="preserve">          </w:t>
      </w:r>
      <w:r>
        <w:rPr>
          <w:rFonts w:ascii="Times New Roman" w:hAnsi="Times New Roman" w:eastAsia="仿宋"/>
          <w:sz w:val="24"/>
        </w:rPr>
        <w:t>报价单位：人民币元</w:t>
      </w:r>
    </w:p>
    <w:tbl>
      <w:tblPr>
        <w:tblStyle w:val="21"/>
        <w:tblW w:w="93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3402"/>
        <w:gridCol w:w="2236"/>
        <w:gridCol w:w="2112"/>
      </w:tblGrid>
      <w:tr w14:paraId="7A6B6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0E639870">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序号</w:t>
            </w:r>
          </w:p>
        </w:tc>
        <w:tc>
          <w:tcPr>
            <w:tcW w:w="3402" w:type="dxa"/>
            <w:vAlign w:val="center"/>
          </w:tcPr>
          <w:p w14:paraId="04B1348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分项名称</w:t>
            </w:r>
          </w:p>
        </w:tc>
        <w:tc>
          <w:tcPr>
            <w:tcW w:w="2236" w:type="dxa"/>
            <w:vAlign w:val="center"/>
          </w:tcPr>
          <w:p w14:paraId="016162E6">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分项价格</w:t>
            </w:r>
          </w:p>
        </w:tc>
        <w:tc>
          <w:tcPr>
            <w:tcW w:w="2112" w:type="dxa"/>
            <w:vAlign w:val="center"/>
          </w:tcPr>
          <w:p w14:paraId="2AA54816">
            <w:pPr>
              <w:pStyle w:val="59"/>
              <w:keepNext w:val="0"/>
              <w:keepLines w:val="0"/>
              <w:suppressLineNumbers w:val="0"/>
              <w:spacing w:before="0" w:beforeAutospacing="0" w:after="0" w:afterAutospacing="0" w:line="360" w:lineRule="auto"/>
              <w:ind w:left="0" w:right="0"/>
              <w:jc w:val="center"/>
              <w:rPr>
                <w:rFonts w:hint="eastAsia" w:ascii="Times New Roman" w:hAnsi="Times New Roman" w:eastAsia="仿宋"/>
                <w:color w:val="000000"/>
                <w:kern w:val="2"/>
                <w:sz w:val="28"/>
                <w:szCs w:val="28"/>
                <w:lang w:val="en-US" w:eastAsia="zh-CN"/>
              </w:rPr>
            </w:pPr>
            <w:r>
              <w:rPr>
                <w:rFonts w:hint="eastAsia" w:ascii="Times New Roman" w:hAnsi="Times New Roman" w:eastAsia="仿宋"/>
                <w:color w:val="000000"/>
                <w:kern w:val="2"/>
                <w:sz w:val="28"/>
                <w:szCs w:val="28"/>
                <w:lang w:val="en-US" w:eastAsia="zh-CN"/>
              </w:rPr>
              <w:t>备注</w:t>
            </w:r>
          </w:p>
        </w:tc>
      </w:tr>
      <w:tr w14:paraId="53492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7ACACB22">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3A107D2E">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73721886">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24BDEDC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7B3D1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6F1FF987">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573514BA">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20D2363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241DE2D4">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09D02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5386BCF5">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2C75FAFD">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1501EA6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6F75EF7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0ECD6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79CA34B5">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71901D7F">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236" w:type="dxa"/>
            <w:vAlign w:val="center"/>
          </w:tcPr>
          <w:p w14:paraId="5DB8930D">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44A2D5AF">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11C64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8" w:type="dxa"/>
            <w:gridSpan w:val="2"/>
            <w:vAlign w:val="center"/>
          </w:tcPr>
          <w:p w14:paraId="4432CAEF">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总价</w:t>
            </w:r>
          </w:p>
        </w:tc>
        <w:tc>
          <w:tcPr>
            <w:tcW w:w="2236" w:type="dxa"/>
            <w:vAlign w:val="center"/>
          </w:tcPr>
          <w:p w14:paraId="5BA17387">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2112" w:type="dxa"/>
            <w:vAlign w:val="center"/>
          </w:tcPr>
          <w:p w14:paraId="5E87B89B">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bl>
    <w:p w14:paraId="347AFF3E">
      <w:pPr>
        <w:pStyle w:val="37"/>
        <w:spacing w:line="360" w:lineRule="auto"/>
        <w:ind w:left="-141" w:leftChars="-67"/>
        <w:rPr>
          <w:rFonts w:ascii="Times New Roman" w:hAnsi="Times New Roman" w:eastAsia="仿宋"/>
          <w:sz w:val="24"/>
        </w:rPr>
      </w:pPr>
    </w:p>
    <w:p w14:paraId="4B651EBF">
      <w:pPr>
        <w:rPr>
          <w:b/>
          <w:bCs/>
        </w:rPr>
      </w:pPr>
    </w:p>
    <w:p w14:paraId="3C238C29">
      <w:pPr>
        <w:pStyle w:val="37"/>
        <w:spacing w:line="360" w:lineRule="auto"/>
        <w:ind w:left="-141" w:leftChars="-67"/>
        <w:rPr>
          <w:rFonts w:ascii="Times New Roman" w:hAnsi="Times New Roman" w:eastAsia="仿宋"/>
          <w:sz w:val="24"/>
        </w:rPr>
      </w:pPr>
    </w:p>
    <w:p w14:paraId="408778AC">
      <w:pPr>
        <w:pStyle w:val="37"/>
        <w:spacing w:line="360" w:lineRule="auto"/>
        <w:ind w:left="1080" w:leftChars="257" w:hanging="540"/>
        <w:rPr>
          <w:rFonts w:hint="default" w:ascii="Times New Roman" w:hAnsi="Times New Roman" w:eastAsia="仿宋"/>
          <w:sz w:val="24"/>
          <w:lang w:val="en-US" w:eastAsia="zh-CN"/>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lang w:val="en-US" w:eastAsia="zh-CN"/>
        </w:rPr>
        <w:t xml:space="preserve">             </w:t>
      </w:r>
    </w:p>
    <w:p w14:paraId="127D81B1">
      <w:pPr>
        <w:pStyle w:val="37"/>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14:paraId="15430FDF">
      <w:pPr>
        <w:pStyle w:val="37"/>
        <w:spacing w:line="360" w:lineRule="auto"/>
        <w:rPr>
          <w:rFonts w:ascii="Times New Roman" w:hAnsi="Times New Roman" w:eastAsia="仿宋"/>
          <w:sz w:val="24"/>
        </w:rPr>
      </w:pPr>
    </w:p>
    <w:p w14:paraId="47A83297">
      <w:pPr>
        <w:pStyle w:val="37"/>
        <w:spacing w:line="360" w:lineRule="auto"/>
        <w:ind w:left="1080" w:leftChars="257" w:hanging="540"/>
        <w:rPr>
          <w:rFonts w:ascii="Times New Roman" w:hAnsi="Times New Roman" w:eastAsia="仿宋"/>
          <w:sz w:val="24"/>
        </w:rPr>
      </w:pPr>
    </w:p>
    <w:p w14:paraId="39F12C1A">
      <w:pPr>
        <w:pStyle w:val="37"/>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1.如果投标人认为需要，每种货物填写一份该表。</w:t>
      </w:r>
    </w:p>
    <w:p w14:paraId="49EDDE17">
      <w:pPr>
        <w:pStyle w:val="37"/>
        <w:spacing w:line="360" w:lineRule="auto"/>
        <w:ind w:firstLine="480" w:firstLineChars="200"/>
        <w:rPr>
          <w:rFonts w:hint="eastAsia" w:ascii="Times New Roman" w:hAnsi="Times New Roman" w:eastAsia="仿宋"/>
          <w:sz w:val="24"/>
        </w:rPr>
      </w:pPr>
      <w:r>
        <w:rPr>
          <w:rFonts w:hint="eastAsia" w:ascii="Times New Roman" w:hAnsi="Times New Roman" w:eastAsia="仿宋"/>
          <w:sz w:val="24"/>
        </w:rPr>
        <w:t>2.如果按单价计算的结果与总价不一致,以单价为准修正总价。</w:t>
      </w:r>
    </w:p>
    <w:p w14:paraId="7404C254">
      <w:pPr>
        <w:pStyle w:val="37"/>
        <w:spacing w:line="360" w:lineRule="auto"/>
        <w:ind w:left="479" w:leftChars="228" w:firstLine="0" w:firstLineChars="0"/>
        <w:rPr>
          <w:rFonts w:hint="eastAsia" w:ascii="Times New Roman" w:hAnsi="Times New Roman" w:eastAsia="仿宋"/>
          <w:sz w:val="24"/>
        </w:rPr>
      </w:pPr>
      <w:r>
        <w:rPr>
          <w:rFonts w:hint="eastAsia" w:ascii="Times New Roman" w:hAnsi="Times New Roman" w:eastAsia="仿宋"/>
          <w:sz w:val="24"/>
        </w:rPr>
        <w:t>3.如果不提供详细分项报价将视为没有实质性响应招标文件。</w:t>
      </w:r>
    </w:p>
    <w:p w14:paraId="5E4CC972">
      <w:pPr>
        <w:pStyle w:val="3"/>
        <w:numPr>
          <w:ilvl w:val="1"/>
          <w:numId w:val="0"/>
        </w:numPr>
        <w:spacing w:before="0" w:line="360" w:lineRule="auto"/>
        <w:ind w:leftChars="0" w:firstLine="482" w:firstLineChars="200"/>
        <w:jc w:val="both"/>
        <w:rPr>
          <w:rFonts w:hint="eastAsia" w:ascii="仿宋" w:hAnsi="仿宋" w:eastAsia="仿宋" w:cs="仿宋"/>
          <w:sz w:val="24"/>
        </w:rPr>
      </w:pPr>
      <w:r>
        <w:rPr>
          <w:rFonts w:hint="eastAsia" w:ascii="Times New Roman" w:hAnsi="Times New Roman" w:eastAsia="仿宋"/>
          <w:sz w:val="24"/>
        </w:rPr>
        <w:t>4.如果开标一览表（报价表）内容与投标文件中明细表内容不一致的，以开标一览表（报价表）内容为准。</w:t>
      </w:r>
      <w:r>
        <w:rPr>
          <w:rFonts w:ascii="仿宋_GB2312" w:eastAsia="仿宋_GB2312"/>
          <w:sz w:val="24"/>
        </w:rPr>
        <w:br w:type="page"/>
      </w:r>
      <w:bookmarkStart w:id="323" w:name="_Toc16728"/>
      <w:r>
        <w:rPr>
          <w:rFonts w:hint="eastAsia" w:ascii="仿宋" w:hAnsi="仿宋" w:eastAsia="仿宋" w:cs="仿宋"/>
          <w:sz w:val="24"/>
        </w:rPr>
        <w:t>3 技术规格偏离表</w:t>
      </w:r>
      <w:bookmarkEnd w:id="323"/>
    </w:p>
    <w:p w14:paraId="04771FDA">
      <w:pPr>
        <w:pStyle w:val="13"/>
        <w:spacing w:line="360" w:lineRule="auto"/>
        <w:ind w:left="1080" w:leftChars="257" w:hanging="540"/>
        <w:rPr>
          <w:rFonts w:hint="eastAsia" w:ascii="仿宋" w:hAnsi="仿宋" w:eastAsia="仿宋" w:cs="仿宋"/>
          <w:sz w:val="24"/>
        </w:rPr>
      </w:pPr>
    </w:p>
    <w:p w14:paraId="5953CA74">
      <w:pPr>
        <w:pStyle w:val="13"/>
        <w:spacing w:line="360" w:lineRule="auto"/>
        <w:rPr>
          <w:rFonts w:hint="eastAsia" w:ascii="仿宋" w:hAnsi="仿宋" w:eastAsia="仿宋" w:cs="仿宋"/>
          <w:sz w:val="24"/>
        </w:rPr>
      </w:pPr>
      <w:r>
        <w:rPr>
          <w:rFonts w:hint="eastAsia" w:ascii="仿宋" w:hAnsi="仿宋" w:eastAsia="仿宋" w:cs="仿宋"/>
          <w:sz w:val="24"/>
        </w:rPr>
        <w:t xml:space="preserve">项目名称:                       招标编号:                    </w:t>
      </w:r>
    </w:p>
    <w:tbl>
      <w:tblPr>
        <w:tblStyle w:val="21"/>
        <w:tblW w:w="8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14:paraId="63273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center"/>
          </w:tcPr>
          <w:p w14:paraId="2536BCBC">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序号</w:t>
            </w:r>
          </w:p>
        </w:tc>
        <w:tc>
          <w:tcPr>
            <w:tcW w:w="1537" w:type="dxa"/>
            <w:noWrap w:val="0"/>
            <w:vAlign w:val="center"/>
          </w:tcPr>
          <w:p w14:paraId="47E87E1C">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名称</w:t>
            </w:r>
          </w:p>
        </w:tc>
        <w:tc>
          <w:tcPr>
            <w:tcW w:w="1938" w:type="dxa"/>
            <w:noWrap w:val="0"/>
            <w:vAlign w:val="center"/>
          </w:tcPr>
          <w:p w14:paraId="0FF0151F">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招标规格</w:t>
            </w:r>
          </w:p>
        </w:tc>
        <w:tc>
          <w:tcPr>
            <w:tcW w:w="1660" w:type="dxa"/>
            <w:noWrap w:val="0"/>
            <w:vAlign w:val="center"/>
          </w:tcPr>
          <w:p w14:paraId="63BAC8A4">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投标规格</w:t>
            </w:r>
          </w:p>
        </w:tc>
        <w:tc>
          <w:tcPr>
            <w:tcW w:w="1270" w:type="dxa"/>
            <w:noWrap w:val="0"/>
            <w:vAlign w:val="center"/>
          </w:tcPr>
          <w:p w14:paraId="429977E9">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偏离</w:t>
            </w:r>
          </w:p>
        </w:tc>
        <w:tc>
          <w:tcPr>
            <w:tcW w:w="966" w:type="dxa"/>
            <w:noWrap w:val="0"/>
            <w:vAlign w:val="center"/>
          </w:tcPr>
          <w:p w14:paraId="78AF8A64">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说明</w:t>
            </w:r>
          </w:p>
        </w:tc>
      </w:tr>
      <w:tr w14:paraId="290F5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29CEC82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3AA137B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6D9D442A">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D45B8F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28E63A3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DCBFB5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2EF7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1A989EA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CE46A1D">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18B58C9A">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3383767">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15DB2302">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3C5E13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4D18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7AA09988">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38DE74E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4C2D2C24">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4DC975E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73CB4D1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067D7692">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68C76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743520B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48A8709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3CA9B5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607D93C2">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4538DA2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1825B99">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CD3F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3031B30D">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58EF188">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772CADC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7C37CEA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3EC198A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56DC2A19">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1FE72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2EEB9B6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05AB847D">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0D13B0A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387FEBF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1E0B9FF2">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27329C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3031F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3BA0A6A">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73258644">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4AEBBCB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C049B3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62830763">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2E69CBC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7B25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38A1E41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6155A4B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B4BF85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07DB11E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5FCF807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353CD2A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0E387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26A8F63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6308ED8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3DBE438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525154E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369F3672">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7A86FBB8">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7E8E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172" w:type="dxa"/>
            <w:noWrap w:val="0"/>
            <w:vAlign w:val="top"/>
          </w:tcPr>
          <w:p w14:paraId="5D041AC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271B3FF5">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5064EBA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03D883B3">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60116DC8">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7EB308F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19EB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172" w:type="dxa"/>
            <w:noWrap w:val="0"/>
            <w:vAlign w:val="top"/>
          </w:tcPr>
          <w:p w14:paraId="76DBA313">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537" w:type="dxa"/>
            <w:noWrap w:val="0"/>
            <w:vAlign w:val="top"/>
          </w:tcPr>
          <w:p w14:paraId="6CADCEE2">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938" w:type="dxa"/>
            <w:noWrap w:val="0"/>
            <w:vAlign w:val="top"/>
          </w:tcPr>
          <w:p w14:paraId="7CFA2107">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660" w:type="dxa"/>
            <w:noWrap w:val="0"/>
            <w:vAlign w:val="top"/>
          </w:tcPr>
          <w:p w14:paraId="6D531EC3">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270" w:type="dxa"/>
            <w:noWrap w:val="0"/>
            <w:vAlign w:val="top"/>
          </w:tcPr>
          <w:p w14:paraId="506D1135">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966" w:type="dxa"/>
            <w:noWrap w:val="0"/>
            <w:vAlign w:val="top"/>
          </w:tcPr>
          <w:p w14:paraId="4B2D95E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bl>
    <w:p w14:paraId="0835B64B">
      <w:pPr>
        <w:pStyle w:val="13"/>
        <w:spacing w:line="360" w:lineRule="auto"/>
        <w:ind w:left="1080" w:leftChars="257" w:hanging="540"/>
        <w:rPr>
          <w:rFonts w:hint="eastAsia" w:ascii="仿宋" w:hAnsi="仿宋" w:eastAsia="仿宋" w:cs="仿宋"/>
          <w:sz w:val="24"/>
        </w:rPr>
      </w:pPr>
    </w:p>
    <w:p w14:paraId="4D4EC620">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注:</w:t>
      </w:r>
    </w:p>
    <w:p w14:paraId="22CD93D0">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1、供应商应对照采购文件采购需求中的技术参数</w:t>
      </w:r>
      <w:r>
        <w:rPr>
          <w:rFonts w:hint="eastAsia" w:ascii="仿宋" w:hAnsi="仿宋" w:eastAsia="仿宋" w:cs="仿宋"/>
          <w:sz w:val="24"/>
          <w:lang w:val="en-US" w:eastAsia="zh-CN"/>
        </w:rPr>
        <w:t>及要求</w:t>
      </w:r>
      <w:r>
        <w:rPr>
          <w:rFonts w:hint="eastAsia" w:ascii="仿宋" w:hAnsi="仿宋" w:eastAsia="仿宋" w:cs="仿宋"/>
          <w:sz w:val="24"/>
        </w:rPr>
        <w:t>，说明所提供产品</w:t>
      </w:r>
      <w:r>
        <w:rPr>
          <w:rFonts w:hint="eastAsia" w:ascii="仿宋" w:hAnsi="仿宋" w:eastAsia="仿宋" w:cs="仿宋"/>
          <w:sz w:val="24"/>
          <w:lang w:val="en-US" w:eastAsia="zh-CN"/>
        </w:rPr>
        <w:t>或（工程）服务</w:t>
      </w:r>
      <w:r>
        <w:rPr>
          <w:rFonts w:hint="eastAsia" w:ascii="仿宋" w:hAnsi="仿宋" w:eastAsia="仿宋" w:cs="仿宋"/>
          <w:sz w:val="24"/>
        </w:rPr>
        <w:t>已对采购文件的技术参数</w:t>
      </w:r>
      <w:r>
        <w:rPr>
          <w:rFonts w:hint="eastAsia" w:ascii="仿宋" w:hAnsi="仿宋" w:eastAsia="仿宋" w:cs="仿宋"/>
          <w:sz w:val="24"/>
          <w:lang w:eastAsia="zh-CN"/>
        </w:rPr>
        <w:t>（</w:t>
      </w:r>
      <w:r>
        <w:rPr>
          <w:rFonts w:hint="eastAsia" w:ascii="仿宋" w:hAnsi="仿宋" w:eastAsia="仿宋" w:cs="仿宋"/>
          <w:sz w:val="24"/>
          <w:lang w:val="en-US" w:eastAsia="zh-CN"/>
        </w:rPr>
        <w:t>需求</w:t>
      </w:r>
      <w:r>
        <w:rPr>
          <w:rFonts w:hint="eastAsia" w:ascii="仿宋" w:hAnsi="仿宋" w:eastAsia="仿宋" w:cs="仿宋"/>
          <w:sz w:val="24"/>
          <w:lang w:eastAsia="zh-CN"/>
        </w:rPr>
        <w:t>）</w:t>
      </w:r>
      <w:r>
        <w:rPr>
          <w:rFonts w:hint="eastAsia" w:ascii="仿宋" w:hAnsi="仿宋" w:eastAsia="仿宋" w:cs="仿宋"/>
          <w:sz w:val="24"/>
        </w:rPr>
        <w:t>做出了响应或偏离。</w:t>
      </w:r>
    </w:p>
    <w:p w14:paraId="68B57978">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14:paraId="1D36DD92">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3、供应商所供产品（工程</w:t>
      </w:r>
      <w:r>
        <w:rPr>
          <w:rFonts w:hint="eastAsia" w:ascii="仿宋" w:hAnsi="仿宋" w:eastAsia="仿宋" w:cs="仿宋"/>
          <w:sz w:val="24"/>
          <w:lang w:val="en-US" w:eastAsia="zh-CN"/>
        </w:rPr>
        <w:t>或</w:t>
      </w:r>
      <w:r>
        <w:rPr>
          <w:rFonts w:hint="eastAsia" w:ascii="仿宋" w:hAnsi="仿宋" w:eastAsia="仿宋" w:cs="仿宋"/>
          <w:sz w:val="24"/>
        </w:rPr>
        <w:t>服务</w:t>
      </w:r>
      <w:r>
        <w:rPr>
          <w:rFonts w:hint="eastAsia" w:ascii="仿宋" w:hAnsi="仿宋" w:eastAsia="仿宋" w:cs="仿宋"/>
          <w:sz w:val="24"/>
          <w:lang w:val="en-US" w:eastAsia="zh-CN"/>
        </w:rPr>
        <w:t>需求</w:t>
      </w:r>
      <w:r>
        <w:rPr>
          <w:rFonts w:hint="eastAsia" w:ascii="仿宋" w:hAnsi="仿宋" w:eastAsia="仿宋" w:cs="仿宋"/>
          <w:sz w:val="24"/>
        </w:rPr>
        <w:t>）如与采购文件要求的技术规格及配置不一致，则需在上表说明栏中注明:</w:t>
      </w:r>
    </w:p>
    <w:p w14:paraId="44940705">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4、如不按要求填写，产生的一切后果由供应商负责。</w:t>
      </w:r>
    </w:p>
    <w:p w14:paraId="71DD6B6D">
      <w:pPr>
        <w:pStyle w:val="13"/>
        <w:spacing w:line="360" w:lineRule="auto"/>
        <w:ind w:left="1080" w:leftChars="257" w:hanging="540"/>
        <w:rPr>
          <w:rFonts w:hint="eastAsia" w:ascii="仿宋" w:hAnsi="仿宋" w:eastAsia="仿宋" w:cs="仿宋"/>
          <w:sz w:val="24"/>
        </w:rPr>
      </w:pPr>
    </w:p>
    <w:p w14:paraId="33AB93F8">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265094A7">
      <w:pPr>
        <w:pStyle w:val="13"/>
        <w:tabs>
          <w:tab w:val="left" w:pos="5370"/>
        </w:tabs>
        <w:spacing w:line="360" w:lineRule="auto"/>
        <w:ind w:left="1080" w:leftChars="257" w:hanging="540"/>
        <w:rPr>
          <w:rFonts w:hint="eastAsia"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49CE66F3">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u w:val="single"/>
        </w:rPr>
        <w:br w:type="page"/>
      </w:r>
    </w:p>
    <w:p w14:paraId="15014F15">
      <w:pPr>
        <w:pStyle w:val="3"/>
        <w:numPr>
          <w:ilvl w:val="1"/>
          <w:numId w:val="0"/>
        </w:numPr>
        <w:spacing w:before="0" w:line="360" w:lineRule="auto"/>
        <w:jc w:val="center"/>
        <w:rPr>
          <w:rFonts w:hint="eastAsia" w:ascii="仿宋" w:hAnsi="仿宋" w:eastAsia="仿宋" w:cs="仿宋"/>
          <w:sz w:val="24"/>
        </w:rPr>
      </w:pPr>
      <w:bookmarkStart w:id="324" w:name="_Toc24529"/>
      <w:bookmarkStart w:id="325" w:name="_Toc216582818"/>
      <w:bookmarkStart w:id="326" w:name="_Toc8079"/>
      <w:bookmarkStart w:id="327" w:name="_Toc15309"/>
      <w:bookmarkStart w:id="328" w:name="_Toc20532"/>
      <w:bookmarkStart w:id="329" w:name="_Toc518923119"/>
      <w:r>
        <w:rPr>
          <w:rFonts w:hint="eastAsia" w:ascii="仿宋" w:hAnsi="仿宋" w:eastAsia="仿宋" w:cs="仿宋"/>
          <w:sz w:val="24"/>
          <w:lang w:val="en-US" w:eastAsia="zh-CN"/>
        </w:rPr>
        <w:t>4.</w:t>
      </w:r>
      <w:r>
        <w:rPr>
          <w:rFonts w:hint="eastAsia" w:ascii="仿宋" w:hAnsi="仿宋" w:eastAsia="仿宋" w:cs="仿宋"/>
          <w:sz w:val="24"/>
        </w:rPr>
        <w:t>商务条款偏离表</w:t>
      </w:r>
      <w:bookmarkEnd w:id="324"/>
      <w:bookmarkEnd w:id="325"/>
      <w:bookmarkEnd w:id="326"/>
      <w:bookmarkEnd w:id="327"/>
      <w:bookmarkEnd w:id="328"/>
      <w:bookmarkEnd w:id="329"/>
    </w:p>
    <w:p w14:paraId="5CB9651A">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 xml:space="preserve">项目名称:                      招标编号:             </w:t>
      </w:r>
    </w:p>
    <w:tbl>
      <w:tblPr>
        <w:tblStyle w:val="21"/>
        <w:tblW w:w="8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14:paraId="646F9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4E3FA4E3">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序号</w:t>
            </w:r>
          </w:p>
        </w:tc>
        <w:tc>
          <w:tcPr>
            <w:tcW w:w="2520" w:type="dxa"/>
            <w:noWrap w:val="0"/>
            <w:vAlign w:val="top"/>
          </w:tcPr>
          <w:p w14:paraId="7399EAC7">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招标文件的商务条款</w:t>
            </w:r>
          </w:p>
        </w:tc>
        <w:tc>
          <w:tcPr>
            <w:tcW w:w="2520" w:type="dxa"/>
            <w:noWrap w:val="0"/>
            <w:vAlign w:val="top"/>
          </w:tcPr>
          <w:p w14:paraId="61D5EE5C">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投标文件的商务条款</w:t>
            </w:r>
          </w:p>
        </w:tc>
        <w:tc>
          <w:tcPr>
            <w:tcW w:w="1301" w:type="dxa"/>
            <w:noWrap w:val="0"/>
            <w:vAlign w:val="top"/>
          </w:tcPr>
          <w:p w14:paraId="665AE234">
            <w:pPr>
              <w:pStyle w:val="13"/>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rPr>
              <w:t>说明</w:t>
            </w:r>
          </w:p>
        </w:tc>
      </w:tr>
      <w:tr w14:paraId="7A48F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BDEE6C5">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6E11943">
            <w:pPr>
              <w:pStyle w:val="13"/>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sz w:val="24"/>
              </w:rPr>
            </w:pPr>
          </w:p>
        </w:tc>
        <w:tc>
          <w:tcPr>
            <w:tcW w:w="2520" w:type="dxa"/>
            <w:noWrap w:val="0"/>
            <w:vAlign w:val="top"/>
          </w:tcPr>
          <w:p w14:paraId="60149E6C">
            <w:pPr>
              <w:pStyle w:val="13"/>
              <w:keepNext w:val="0"/>
              <w:keepLines w:val="0"/>
              <w:suppressLineNumbers w:val="0"/>
              <w:spacing w:before="0" w:beforeAutospacing="0" w:after="0" w:afterAutospacing="0" w:line="360" w:lineRule="auto"/>
              <w:ind w:left="1080" w:leftChars="257" w:right="0" w:hanging="540"/>
              <w:jc w:val="center"/>
              <w:rPr>
                <w:rFonts w:hint="eastAsia" w:ascii="仿宋" w:hAnsi="仿宋" w:eastAsia="仿宋" w:cs="仿宋"/>
                <w:sz w:val="24"/>
              </w:rPr>
            </w:pPr>
          </w:p>
        </w:tc>
        <w:tc>
          <w:tcPr>
            <w:tcW w:w="1301" w:type="dxa"/>
            <w:noWrap w:val="0"/>
            <w:vAlign w:val="top"/>
          </w:tcPr>
          <w:p w14:paraId="112F1424">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69802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1BEA036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410AD0C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C51E2A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20E9CD4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4EA99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8340D2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9BB2CED">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A2446C3">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272353A5">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78BF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7F54AF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35D2E1C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F0A8335">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4AB3A07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23C5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677AFC4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54A0B387">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1A6963A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76E6CFDD">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6C225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B7C4271">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E6C61F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7B668527">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0E8A0689">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5D970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73ADB0C">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FA9CC55">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4E419227">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CED052E">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72C4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06B443CA">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100C1D6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8C5FF56">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8DFF8D9">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F836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C52F96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6B1330F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005D0988">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55B17B8A">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r w14:paraId="26C55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2122" w:type="dxa"/>
            <w:noWrap w:val="0"/>
            <w:vAlign w:val="top"/>
          </w:tcPr>
          <w:p w14:paraId="7C6601F0">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5845FBDF">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2520" w:type="dxa"/>
            <w:noWrap w:val="0"/>
            <w:vAlign w:val="top"/>
          </w:tcPr>
          <w:p w14:paraId="2A900A6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c>
          <w:tcPr>
            <w:tcW w:w="1301" w:type="dxa"/>
            <w:noWrap w:val="0"/>
            <w:vAlign w:val="top"/>
          </w:tcPr>
          <w:p w14:paraId="63F3821B">
            <w:pPr>
              <w:pStyle w:val="13"/>
              <w:keepNext w:val="0"/>
              <w:keepLines w:val="0"/>
              <w:suppressLineNumbers w:val="0"/>
              <w:spacing w:before="0" w:beforeAutospacing="0" w:after="0" w:afterAutospacing="0" w:line="360" w:lineRule="auto"/>
              <w:ind w:left="1080" w:leftChars="257" w:right="0" w:hanging="540"/>
              <w:rPr>
                <w:rFonts w:hint="eastAsia" w:ascii="仿宋" w:hAnsi="仿宋" w:eastAsia="仿宋" w:cs="仿宋"/>
                <w:sz w:val="24"/>
              </w:rPr>
            </w:pPr>
          </w:p>
        </w:tc>
      </w:tr>
    </w:tbl>
    <w:p w14:paraId="7734C818">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注:</w:t>
      </w:r>
    </w:p>
    <w:p w14:paraId="5A2DECC7">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1、商务条款包括付款方式、交货地点</w:t>
      </w:r>
      <w:r>
        <w:rPr>
          <w:rFonts w:hint="eastAsia" w:ascii="仿宋" w:hAnsi="仿宋" w:eastAsia="仿宋" w:cs="仿宋"/>
          <w:sz w:val="24"/>
          <w:lang w:eastAsia="zh-CN"/>
        </w:rPr>
        <w:t>（</w:t>
      </w:r>
      <w:r>
        <w:rPr>
          <w:rFonts w:hint="eastAsia" w:ascii="仿宋" w:hAnsi="仿宋" w:eastAsia="仿宋" w:cs="仿宋"/>
          <w:sz w:val="24"/>
          <w:lang w:val="en-US" w:eastAsia="zh-CN"/>
        </w:rPr>
        <w:t>履约地点</w:t>
      </w:r>
      <w:r>
        <w:rPr>
          <w:rFonts w:hint="eastAsia" w:ascii="仿宋" w:hAnsi="仿宋" w:eastAsia="仿宋" w:cs="仿宋"/>
          <w:sz w:val="24"/>
          <w:lang w:eastAsia="zh-CN"/>
        </w:rPr>
        <w:t>）</w:t>
      </w:r>
      <w:r>
        <w:rPr>
          <w:rFonts w:hint="eastAsia" w:ascii="仿宋" w:hAnsi="仿宋" w:eastAsia="仿宋" w:cs="仿宋"/>
          <w:sz w:val="24"/>
        </w:rPr>
        <w:t>、合同履约期限等内容;</w:t>
      </w:r>
    </w:p>
    <w:p w14:paraId="66F6D9F2">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14:paraId="57915EAB">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14:paraId="08A68E63">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4、供应商所供产品</w:t>
      </w:r>
      <w:r>
        <w:rPr>
          <w:rFonts w:hint="eastAsia" w:ascii="仿宋" w:hAnsi="仿宋" w:eastAsia="仿宋" w:cs="仿宋"/>
          <w:sz w:val="24"/>
          <w:lang w:val="en-US" w:eastAsia="zh-CN"/>
        </w:rPr>
        <w:t>或服务</w:t>
      </w:r>
      <w:r>
        <w:rPr>
          <w:rFonts w:hint="eastAsia" w:ascii="仿宋" w:hAnsi="仿宋" w:eastAsia="仿宋" w:cs="仿宋"/>
          <w:sz w:val="24"/>
        </w:rPr>
        <w:t>如与采购文件要求的商务条款不一致，则需在上表说明栏中注明:</w:t>
      </w:r>
    </w:p>
    <w:p w14:paraId="0C08B9E0">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5、如不按要求填写，产生的一切后果由供应商负责。</w:t>
      </w:r>
    </w:p>
    <w:p w14:paraId="394DFD82">
      <w:pPr>
        <w:pStyle w:val="13"/>
        <w:spacing w:line="360" w:lineRule="auto"/>
        <w:ind w:left="1080" w:leftChars="257" w:hanging="540"/>
        <w:rPr>
          <w:rFonts w:hint="eastAsia" w:ascii="仿宋" w:hAnsi="仿宋" w:eastAsia="仿宋" w:cs="仿宋"/>
          <w:sz w:val="24"/>
        </w:rPr>
      </w:pPr>
    </w:p>
    <w:p w14:paraId="6785301E">
      <w:pPr>
        <w:pStyle w:val="13"/>
        <w:spacing w:line="360" w:lineRule="auto"/>
        <w:ind w:left="1080" w:leftChars="257" w:hanging="540"/>
        <w:rPr>
          <w:rFonts w:hint="eastAsia"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46FA60C1">
      <w:pPr>
        <w:pStyle w:val="13"/>
        <w:tabs>
          <w:tab w:val="left" w:pos="5370"/>
        </w:tabs>
        <w:spacing w:line="360" w:lineRule="auto"/>
        <w:ind w:left="1080" w:leftChars="257" w:hanging="540"/>
        <w:rPr>
          <w:rFonts w:hint="eastAsia"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14:paraId="3F46A10F">
      <w:pPr>
        <w:pStyle w:val="37"/>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14:paraId="422EB550">
      <w:pPr>
        <w:pStyle w:val="27"/>
        <w:spacing w:before="0" w:line="360" w:lineRule="auto"/>
        <w:ind w:firstLine="723" w:firstLineChars="300"/>
        <w:jc w:val="both"/>
        <w:rPr>
          <w:rFonts w:hint="eastAsia" w:eastAsia="仿宋"/>
          <w:sz w:val="24"/>
        </w:rPr>
      </w:pPr>
      <w:bookmarkStart w:id="330" w:name="_Toc23731"/>
      <w:bookmarkEnd w:id="330"/>
      <w:bookmarkStart w:id="331" w:name="_Toc518923120"/>
      <w:bookmarkEnd w:id="331"/>
      <w:bookmarkStart w:id="332" w:name="_Toc17685"/>
      <w:bookmarkEnd w:id="332"/>
      <w:bookmarkStart w:id="333" w:name="_Toc480"/>
      <w:bookmarkEnd w:id="333"/>
      <w:bookmarkStart w:id="334" w:name="_Toc12180"/>
      <w:bookmarkEnd w:id="334"/>
      <w:bookmarkStart w:id="335" w:name="_Toc29458"/>
      <w:bookmarkEnd w:id="335"/>
      <w:r>
        <w:rPr>
          <w:rFonts w:hint="eastAsia" w:eastAsia="仿宋"/>
          <w:sz w:val="24"/>
        </w:rPr>
        <w:t xml:space="preserve">5-1 </w:t>
      </w:r>
      <w:r>
        <w:rPr>
          <w:rFonts w:hint="eastAsia" w:ascii="仿宋" w:hAnsi="仿宋" w:eastAsia="仿宋"/>
          <w:bCs/>
          <w:sz w:val="24"/>
        </w:rPr>
        <w:t>中小企业声明函</w:t>
      </w:r>
    </w:p>
    <w:p w14:paraId="124E7AC4">
      <w:pPr>
        <w:widowControl/>
        <w:ind w:firstLine="2891" w:firstLineChars="1200"/>
        <w:jc w:val="left"/>
        <w:rPr>
          <w:rFonts w:hint="default" w:ascii="Times New Roman" w:hAnsi="Times New Roman" w:eastAsia="仿宋" w:cs="Times New Roman"/>
          <w:b/>
          <w:bCs/>
          <w:color w:val="auto"/>
          <w:kern w:val="0"/>
          <w:sz w:val="24"/>
          <w:highlight w:val="none"/>
          <w:lang w:bidi="ar"/>
        </w:rPr>
      </w:pPr>
    </w:p>
    <w:p w14:paraId="5F3BBFE3">
      <w:pPr>
        <w:widowControl/>
        <w:ind w:firstLine="2891" w:firstLineChars="1200"/>
        <w:jc w:val="left"/>
        <w:rPr>
          <w:rFonts w:ascii="仿宋" w:hAnsi="仿宋" w:eastAsia="仿宋" w:cs="仿宋"/>
          <w:sz w:val="24"/>
        </w:rPr>
      </w:pPr>
      <w:r>
        <w:rPr>
          <w:rFonts w:hint="default" w:ascii="Times New Roman" w:hAnsi="Times New Roman" w:eastAsia="仿宋" w:cs="Times New Roman"/>
          <w:b/>
          <w:bCs/>
          <w:color w:val="auto"/>
          <w:kern w:val="0"/>
          <w:sz w:val="24"/>
          <w:highlight w:val="none"/>
          <w:lang w:bidi="ar"/>
        </w:rPr>
        <w:t>中小企业声明函（</w:t>
      </w:r>
      <w:r>
        <w:rPr>
          <w:rFonts w:hint="eastAsia" w:ascii="Times New Roman" w:hAnsi="Times New Roman" w:eastAsia="仿宋" w:cs="Times New Roman"/>
          <w:b/>
          <w:bCs/>
          <w:color w:val="auto"/>
          <w:kern w:val="0"/>
          <w:sz w:val="24"/>
          <w:highlight w:val="none"/>
          <w:lang w:val="en-US" w:eastAsia="zh-CN" w:bidi="ar"/>
        </w:rPr>
        <w:t>服务</w:t>
      </w:r>
      <w:r>
        <w:rPr>
          <w:rFonts w:hint="default" w:ascii="Times New Roman" w:hAnsi="Times New Roman" w:eastAsia="仿宋" w:cs="Times New Roman"/>
          <w:b/>
          <w:bCs/>
          <w:color w:val="auto"/>
          <w:kern w:val="0"/>
          <w:sz w:val="24"/>
          <w:highlight w:val="none"/>
          <w:lang w:bidi="ar"/>
        </w:rPr>
        <w:t>）</w:t>
      </w:r>
    </w:p>
    <w:p w14:paraId="3E6F5425">
      <w:pPr>
        <w:widowControl/>
        <w:spacing w:line="460" w:lineRule="exact"/>
        <w:ind w:firstLine="480" w:firstLineChars="200"/>
        <w:jc w:val="left"/>
        <w:rPr>
          <w:rFonts w:hint="eastAsia" w:ascii="仿宋" w:hAnsi="仿宋" w:eastAsia="仿宋" w:cs="仿宋"/>
          <w:sz w:val="24"/>
        </w:rPr>
      </w:pPr>
    </w:p>
    <w:p w14:paraId="135588D8">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70AF98A8">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（采购文件中明确的所属行业）</w:t>
      </w:r>
      <w:r>
        <w:rPr>
          <w:rFonts w:hint="eastAsia" w:ascii="仿宋" w:hAnsi="仿宋" w:eastAsia="仿宋" w:cs="仿宋"/>
          <w:sz w:val="24"/>
        </w:rPr>
        <w:t>；承建（承接）企业为</w:t>
      </w:r>
      <w:r>
        <w:rPr>
          <w:rFonts w:hint="eastAsia" w:ascii="仿宋" w:hAnsi="仿宋" w:eastAsia="仿宋" w:cs="仿宋"/>
          <w:sz w:val="24"/>
          <w:u w:val="single"/>
        </w:rPr>
        <w:t>（企业名称）</w:t>
      </w:r>
      <w:r>
        <w:rPr>
          <w:rFonts w:hint="eastAsia" w:ascii="仿宋" w:hAnsi="仿宋" w:eastAsia="仿宋" w:cs="仿宋"/>
          <w:sz w:val="24"/>
        </w:rPr>
        <w:t>，从业人员人，营业收入为万元，资产总额为万元，属于</w:t>
      </w:r>
      <w:r>
        <w:rPr>
          <w:rFonts w:hint="eastAsia" w:ascii="仿宋" w:hAnsi="仿宋" w:eastAsia="仿宋" w:cs="仿宋"/>
          <w:sz w:val="24"/>
          <w:u w:val="single"/>
        </w:rPr>
        <w:t>（中型企业、小型企业、微型企业）</w:t>
      </w:r>
      <w:r>
        <w:rPr>
          <w:rFonts w:hint="eastAsia" w:ascii="仿宋" w:hAnsi="仿宋" w:eastAsia="仿宋" w:cs="仿宋"/>
          <w:sz w:val="24"/>
        </w:rPr>
        <w:t>；</w:t>
      </w:r>
    </w:p>
    <w:p w14:paraId="69ECBE75">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（采购文件中明确的所属行业）</w:t>
      </w:r>
      <w:r>
        <w:rPr>
          <w:rFonts w:hint="eastAsia" w:ascii="仿宋" w:hAnsi="仿宋" w:eastAsia="仿宋" w:cs="仿宋"/>
          <w:sz w:val="24"/>
        </w:rPr>
        <w:t>；承建（承接）企业为</w:t>
      </w:r>
      <w:r>
        <w:rPr>
          <w:rFonts w:hint="eastAsia" w:ascii="仿宋" w:hAnsi="仿宋" w:eastAsia="仿宋" w:cs="仿宋"/>
          <w:sz w:val="24"/>
          <w:u w:val="single"/>
        </w:rPr>
        <w:t>（企业名称）</w:t>
      </w:r>
      <w:r>
        <w:rPr>
          <w:rFonts w:hint="eastAsia" w:ascii="仿宋" w:hAnsi="仿宋" w:eastAsia="仿宋" w:cs="仿宋"/>
          <w:sz w:val="24"/>
        </w:rPr>
        <w:t>，从业人员人，营业收入为万元，资产总额为万元，属于</w:t>
      </w:r>
      <w:r>
        <w:rPr>
          <w:rFonts w:hint="eastAsia" w:ascii="仿宋" w:hAnsi="仿宋" w:eastAsia="仿宋" w:cs="仿宋"/>
          <w:sz w:val="24"/>
          <w:u w:val="single"/>
        </w:rPr>
        <w:t>（中型企业、小型企业、微型企业）</w:t>
      </w:r>
      <w:r>
        <w:rPr>
          <w:rFonts w:hint="eastAsia" w:ascii="仿宋" w:hAnsi="仿宋" w:eastAsia="仿宋" w:cs="仿宋"/>
          <w:sz w:val="24"/>
        </w:rPr>
        <w:t>；</w:t>
      </w:r>
    </w:p>
    <w:p w14:paraId="39E005BD">
      <w:pPr>
        <w:widowControl/>
        <w:spacing w:line="460" w:lineRule="exact"/>
        <w:ind w:firstLine="480" w:firstLineChars="200"/>
        <w:jc w:val="left"/>
        <w:rPr>
          <w:rFonts w:ascii="仿宋" w:hAnsi="仿宋" w:eastAsia="仿宋" w:cs="仿宋"/>
          <w:sz w:val="24"/>
        </w:rPr>
      </w:pPr>
    </w:p>
    <w:p w14:paraId="6859B881">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w:t>
      </w:r>
    </w:p>
    <w:p w14:paraId="54A75FBB">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2B1406D3">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7192E93C">
      <w:pPr>
        <w:widowControl/>
        <w:spacing w:line="460" w:lineRule="exact"/>
        <w:ind w:firstLine="480" w:firstLineChars="200"/>
        <w:jc w:val="left"/>
        <w:rPr>
          <w:rFonts w:ascii="仿宋" w:hAnsi="仿宋" w:eastAsia="仿宋" w:cs="仿宋"/>
          <w:sz w:val="24"/>
        </w:rPr>
      </w:pPr>
    </w:p>
    <w:p w14:paraId="23E7EEDC">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企业名称（盖章）：</w:t>
      </w:r>
    </w:p>
    <w:p w14:paraId="7094067B">
      <w:pPr>
        <w:widowControl/>
        <w:spacing w:line="460" w:lineRule="exact"/>
        <w:ind w:firstLine="480" w:firstLineChars="200"/>
        <w:jc w:val="left"/>
        <w:rPr>
          <w:rFonts w:ascii="仿宋" w:hAnsi="仿宋" w:eastAsia="仿宋" w:cs="仿宋"/>
          <w:sz w:val="24"/>
        </w:rPr>
      </w:pPr>
    </w:p>
    <w:p w14:paraId="29B844DD">
      <w:pPr>
        <w:widowControl/>
        <w:spacing w:line="460" w:lineRule="exact"/>
        <w:ind w:firstLine="480" w:firstLineChars="200"/>
        <w:jc w:val="left"/>
        <w:rPr>
          <w:rFonts w:ascii="仿宋" w:hAnsi="仿宋" w:eastAsia="仿宋" w:cs="仿宋"/>
          <w:sz w:val="24"/>
        </w:rPr>
      </w:pPr>
      <w:r>
        <w:rPr>
          <w:rFonts w:hint="eastAsia" w:ascii="仿宋" w:hAnsi="仿宋" w:eastAsia="仿宋" w:cs="仿宋"/>
          <w:sz w:val="24"/>
        </w:rPr>
        <w:t xml:space="preserve">日期：             </w:t>
      </w:r>
    </w:p>
    <w:p w14:paraId="3211955C">
      <w:pPr>
        <w:widowControl/>
        <w:spacing w:line="460" w:lineRule="exact"/>
        <w:ind w:firstLine="480" w:firstLineChars="200"/>
        <w:jc w:val="left"/>
        <w:rPr>
          <w:rFonts w:ascii="仿宋" w:hAnsi="仿宋" w:eastAsia="仿宋" w:cs="仿宋"/>
          <w:sz w:val="24"/>
        </w:rPr>
      </w:pPr>
    </w:p>
    <w:p w14:paraId="700524E3">
      <w:pPr>
        <w:widowControl/>
        <w:spacing w:line="330" w:lineRule="atLeast"/>
        <w:ind w:firstLine="480" w:firstLineChars="200"/>
        <w:jc w:val="left"/>
        <w:rPr>
          <w:rFonts w:ascii="仿宋" w:hAnsi="仿宋" w:eastAsia="仿宋" w:cs="仿宋"/>
          <w:b/>
          <w:bCs/>
          <w:color w:val="000000"/>
          <w:kern w:val="0"/>
          <w:sz w:val="24"/>
        </w:rPr>
      </w:pPr>
      <w:r>
        <w:rPr>
          <w:rFonts w:hint="eastAsia" w:ascii="仿宋" w:hAnsi="仿宋" w:eastAsia="仿宋" w:cs="仿宋"/>
          <w:sz w:val="24"/>
        </w:rPr>
        <w:t>注：从业人员、营业收入、资产总额填报上一年度数据，无上一年度数据的新成立企业可不填报。</w:t>
      </w:r>
      <w:r>
        <w:rPr>
          <w:rFonts w:hint="eastAsia" w:ascii="仿宋" w:hAnsi="仿宋" w:eastAsia="仿宋" w:cs="仿宋"/>
          <w:b/>
          <w:bCs/>
          <w:color w:val="000000"/>
          <w:kern w:val="0"/>
          <w:sz w:val="24"/>
        </w:rPr>
        <w:t>（中小微企业划分标准按《工业和信息化部、国家统计局国家发展和改革委员会、财政部关于印发中小企业划型标准规定的通知》（工信部联企业[2011]300号）规定执行）</w:t>
      </w:r>
    </w:p>
    <w:p w14:paraId="3D057CA7">
      <w:pPr>
        <w:ind w:firstLine="723" w:firstLineChars="300"/>
        <w:jc w:val="left"/>
        <w:rPr>
          <w:rFonts w:hint="eastAsia" w:ascii="楷体" w:hAnsi="楷体" w:eastAsia="楷体" w:cs="楷体"/>
          <w:b/>
          <w:bCs/>
          <w:sz w:val="24"/>
          <w:u w:val="single"/>
        </w:rPr>
      </w:pPr>
    </w:p>
    <w:p w14:paraId="677CFB2C">
      <w:pPr>
        <w:ind w:firstLine="723" w:firstLineChars="300"/>
        <w:jc w:val="left"/>
        <w:rPr>
          <w:rFonts w:hint="default" w:ascii="Times New Roman" w:hAnsi="Times New Roman" w:eastAsia="楷体" w:cs="Times New Roman"/>
          <w:color w:val="FF0000"/>
          <w:kern w:val="0"/>
          <w:sz w:val="24"/>
          <w:lang w:val="en-US" w:eastAsia="zh-CN"/>
        </w:rPr>
      </w:pPr>
      <w:r>
        <w:rPr>
          <w:rFonts w:hint="eastAsia" w:ascii="楷体" w:hAnsi="楷体" w:eastAsia="楷体" w:cs="楷体"/>
          <w:b/>
          <w:bCs/>
          <w:sz w:val="24"/>
          <w:u w:val="single"/>
        </w:rPr>
        <w:t>本项目行业类型：</w:t>
      </w:r>
      <w:r>
        <w:rPr>
          <w:rFonts w:hint="eastAsia" w:ascii="楷体" w:hAnsi="楷体" w:eastAsia="楷体" w:cs="楷体"/>
          <w:b/>
          <w:bCs/>
          <w:sz w:val="24"/>
          <w:u w:val="single"/>
          <w:lang w:val="en-US" w:eastAsia="zh-CN"/>
        </w:rPr>
        <w:t>物业管理</w:t>
      </w:r>
    </w:p>
    <w:p w14:paraId="6B73CF9E">
      <w:pPr>
        <w:widowControl/>
        <w:spacing w:line="330" w:lineRule="atLeast"/>
        <w:ind w:firstLine="482" w:firstLineChars="200"/>
        <w:jc w:val="left"/>
        <w:rPr>
          <w:rFonts w:ascii="仿宋" w:hAnsi="仿宋" w:eastAsia="仿宋"/>
          <w:b/>
          <w:bCs/>
          <w:color w:val="000000"/>
          <w:kern w:val="0"/>
          <w:sz w:val="24"/>
        </w:rPr>
      </w:pPr>
      <w:r>
        <w:rPr>
          <w:rFonts w:ascii="仿宋" w:hAnsi="仿宋" w:eastAsia="仿宋"/>
          <w:b/>
          <w:bCs/>
          <w:color w:val="000000"/>
          <w:kern w:val="0"/>
          <w:sz w:val="24"/>
        </w:rPr>
        <w:br w:type="page"/>
      </w:r>
    </w:p>
    <w:p w14:paraId="5D5F4112">
      <w:pPr>
        <w:widowControl/>
        <w:spacing w:before="100" w:beforeAutospacing="1" w:after="100" w:afterAutospacing="1" w:line="360" w:lineRule="auto"/>
        <w:jc w:val="left"/>
        <w:rPr>
          <w:rFonts w:hint="eastAsia" w:ascii="仿宋" w:hAnsi="仿宋" w:eastAsia="仿宋" w:cs="仿宋"/>
          <w:b/>
          <w:color w:val="auto"/>
          <w:sz w:val="24"/>
          <w:szCs w:val="24"/>
          <w:lang w:eastAsia="zh-CN"/>
        </w:rPr>
      </w:pPr>
      <w:r>
        <w:rPr>
          <w:rFonts w:hint="eastAsia" w:ascii="仿宋" w:hAnsi="仿宋" w:eastAsia="仿宋" w:cs="仿宋"/>
          <w:b/>
          <w:color w:val="auto"/>
          <w:kern w:val="0"/>
          <w:sz w:val="24"/>
          <w:szCs w:val="24"/>
          <w:lang w:val="en-US" w:eastAsia="zh-CN" w:bidi="ar-SA"/>
        </w:rPr>
        <w:t>5-2.</w:t>
      </w:r>
      <w:r>
        <w:rPr>
          <w:rFonts w:hint="eastAsia" w:ascii="仿宋" w:hAnsi="仿宋" w:eastAsia="仿宋" w:cs="仿宋"/>
          <w:b/>
          <w:bCs/>
          <w:color w:val="auto"/>
          <w:kern w:val="0"/>
          <w:sz w:val="24"/>
          <w:szCs w:val="24"/>
        </w:rPr>
        <w:t>残疾人福利性单位声明函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3DEBBC6E">
      <w:pPr>
        <w:pageBreakBefore w:val="0"/>
        <w:kinsoku/>
        <w:overflowPunct/>
        <w:topLinePunct w:val="0"/>
        <w:bidi w:val="0"/>
        <w:snapToGrid w:val="0"/>
        <w:spacing w:line="400" w:lineRule="exact"/>
        <w:ind w:firstLine="567"/>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14:paraId="28EDCD95">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本单位对上述声明的真实性负责。如有虚假，将依法承担相应责任。</w:t>
      </w:r>
    </w:p>
    <w:p w14:paraId="1C2C6590">
      <w:pPr>
        <w:pageBreakBefore w:val="0"/>
        <w:kinsoku/>
        <w:overflowPunct/>
        <w:topLinePunct w:val="0"/>
        <w:bidi w:val="0"/>
        <w:snapToGrid w:val="0"/>
        <w:spacing w:line="400" w:lineRule="exact"/>
        <w:textAlignment w:val="baseline"/>
        <w:rPr>
          <w:rFonts w:hint="eastAsia" w:ascii="仿宋" w:hAnsi="仿宋" w:eastAsia="仿宋" w:cs="仿宋"/>
          <w:color w:val="auto"/>
          <w:kern w:val="0"/>
          <w:sz w:val="24"/>
          <w:szCs w:val="24"/>
        </w:rPr>
      </w:pPr>
    </w:p>
    <w:p w14:paraId="02EB90DE">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p>
    <w:p w14:paraId="77840D52">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p>
    <w:p w14:paraId="1E00A7ED">
      <w:pPr>
        <w:pageBreakBefore w:val="0"/>
        <w:kinsoku/>
        <w:overflowPunct/>
        <w:topLinePunct w:val="0"/>
        <w:bidi w:val="0"/>
        <w:snapToGrid w:val="0"/>
        <w:spacing w:line="400" w:lineRule="exact"/>
        <w:ind w:left="1080" w:leftChars="257" w:hanging="540"/>
        <w:jc w:val="center"/>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残疾人福利性单位名称（公章）：______________</w:t>
      </w:r>
    </w:p>
    <w:p w14:paraId="54573701">
      <w:pPr>
        <w:pStyle w:val="5"/>
        <w:pageBreakBefore w:val="0"/>
        <w:kinsoku/>
        <w:overflowPunct/>
        <w:topLinePunct w:val="0"/>
        <w:bidi w:val="0"/>
        <w:spacing w:line="400" w:lineRule="exact"/>
        <w:ind w:firstLine="1920" w:firstLineChars="800"/>
        <w:rPr>
          <w:rFonts w:hint="eastAsia" w:ascii="仿宋" w:hAnsi="仿宋" w:eastAsia="仿宋" w:cs="仿宋"/>
          <w:color w:val="auto"/>
          <w:sz w:val="24"/>
          <w:szCs w:val="24"/>
        </w:rPr>
      </w:pPr>
      <w:r>
        <w:rPr>
          <w:rFonts w:hint="eastAsia" w:ascii="仿宋" w:hAnsi="仿宋" w:eastAsia="仿宋" w:cs="仿宋"/>
          <w:color w:val="auto"/>
          <w:sz w:val="24"/>
          <w:szCs w:val="24"/>
        </w:rPr>
        <w:t>日  期：_____________________</w:t>
      </w:r>
    </w:p>
    <w:p w14:paraId="2AA82B5B">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p>
    <w:p w14:paraId="342938CE">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6B74E61">
      <w:pPr>
        <w:pageBreakBefore w:val="0"/>
        <w:widowControl/>
        <w:kinsoku/>
        <w:overflowPunct/>
        <w:topLinePunct w:val="0"/>
        <w:bidi w:val="0"/>
        <w:spacing w:before="100" w:beforeAutospacing="1" w:after="100" w:afterAutospacing="1" w:line="400" w:lineRule="exact"/>
        <w:jc w:val="both"/>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lang w:val="en-US" w:eastAsia="zh-CN"/>
        </w:rPr>
        <w:t>5</w:t>
      </w:r>
      <w:r>
        <w:rPr>
          <w:rFonts w:hint="eastAsia" w:ascii="仿宋" w:hAnsi="仿宋" w:eastAsia="仿宋" w:cs="仿宋"/>
          <w:b/>
          <w:color w:val="auto"/>
          <w:kern w:val="0"/>
          <w:sz w:val="24"/>
          <w:szCs w:val="24"/>
        </w:rPr>
        <w:t>-</w:t>
      </w:r>
      <w:r>
        <w:rPr>
          <w:rFonts w:hint="eastAsia" w:ascii="仿宋" w:hAnsi="仿宋" w:eastAsia="仿宋" w:cs="仿宋"/>
          <w:b/>
          <w:color w:val="auto"/>
          <w:kern w:val="0"/>
          <w:sz w:val="24"/>
          <w:szCs w:val="24"/>
          <w:lang w:val="en-US" w:eastAsia="zh-CN"/>
        </w:rPr>
        <w:t>3.</w:t>
      </w:r>
      <w:r>
        <w:rPr>
          <w:rFonts w:hint="eastAsia" w:ascii="仿宋" w:hAnsi="仿宋" w:eastAsia="仿宋" w:cs="仿宋"/>
          <w:b/>
          <w:color w:val="auto"/>
          <w:kern w:val="0"/>
          <w:sz w:val="24"/>
          <w:szCs w:val="24"/>
        </w:rPr>
        <w:t>《监狱企业声明函》</w:t>
      </w:r>
      <w:r>
        <w:rPr>
          <w:rFonts w:hint="eastAsia" w:ascii="仿宋" w:hAnsi="仿宋" w:eastAsia="仿宋" w:cs="仿宋"/>
          <w:b/>
          <w:bCs/>
          <w:color w:val="auto"/>
          <w:kern w:val="0"/>
          <w:sz w:val="24"/>
          <w:szCs w:val="24"/>
          <w:lang w:eastAsia="zh-CN"/>
        </w:rPr>
        <w:t>（</w:t>
      </w:r>
      <w:r>
        <w:rPr>
          <w:rFonts w:hint="eastAsia" w:ascii="仿宋" w:hAnsi="仿宋" w:eastAsia="仿宋" w:cs="仿宋"/>
          <w:b/>
          <w:bCs/>
          <w:color w:val="auto"/>
          <w:kern w:val="0"/>
          <w:sz w:val="24"/>
          <w:szCs w:val="24"/>
          <w:lang w:val="en-US" w:eastAsia="zh-CN"/>
        </w:rPr>
        <w:t>若无，可不填</w:t>
      </w:r>
      <w:r>
        <w:rPr>
          <w:rFonts w:hint="eastAsia" w:ascii="仿宋" w:hAnsi="仿宋" w:eastAsia="仿宋" w:cs="仿宋"/>
          <w:b/>
          <w:bCs/>
          <w:color w:val="auto"/>
          <w:kern w:val="0"/>
          <w:sz w:val="24"/>
          <w:szCs w:val="24"/>
          <w:lang w:eastAsia="zh-CN"/>
        </w:rPr>
        <w:t>）</w:t>
      </w:r>
    </w:p>
    <w:p w14:paraId="47543C0D">
      <w:pPr>
        <w:pageBreakBefore w:val="0"/>
        <w:kinsoku/>
        <w:overflowPunct/>
        <w:topLinePunct w:val="0"/>
        <w:bidi w:val="0"/>
        <w:spacing w:line="400" w:lineRule="exact"/>
        <w:ind w:left="1080" w:leftChars="257" w:hanging="540"/>
        <w:jc w:val="center"/>
        <w:rPr>
          <w:rFonts w:hint="eastAsia" w:ascii="仿宋" w:hAnsi="仿宋" w:eastAsia="仿宋" w:cs="仿宋"/>
          <w:b/>
          <w:color w:val="auto"/>
          <w:kern w:val="0"/>
          <w:sz w:val="24"/>
          <w:szCs w:val="24"/>
        </w:rPr>
      </w:pPr>
    </w:p>
    <w:p w14:paraId="59BCD257">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 号）的规定，本公司（联合体）参加</w:t>
      </w:r>
      <w:r>
        <w:rPr>
          <w:rFonts w:hint="eastAsia" w:ascii="仿宋" w:hAnsi="仿宋" w:eastAsia="仿宋" w:cs="仿宋"/>
          <w:color w:val="auto"/>
          <w:kern w:val="0"/>
          <w:sz w:val="24"/>
          <w:szCs w:val="24"/>
          <w:u w:val="single"/>
        </w:rPr>
        <w:t xml:space="preserve"> （单位名称）</w:t>
      </w:r>
      <w:r>
        <w:rPr>
          <w:rFonts w:hint="eastAsia" w:ascii="仿宋" w:hAnsi="仿宋" w:eastAsia="仿宋" w:cs="仿宋"/>
          <w:color w:val="auto"/>
          <w:kern w:val="0"/>
          <w:sz w:val="24"/>
          <w:szCs w:val="24"/>
        </w:rPr>
        <w:t xml:space="preserve"> 的 </w:t>
      </w:r>
      <w:r>
        <w:rPr>
          <w:rFonts w:hint="eastAsia" w:ascii="仿宋" w:hAnsi="仿宋" w:eastAsia="仿宋" w:cs="仿宋"/>
          <w:color w:val="auto"/>
          <w:kern w:val="0"/>
          <w:sz w:val="24"/>
          <w:szCs w:val="24"/>
          <w:u w:val="single"/>
        </w:rPr>
        <w:t>（项目名称）</w:t>
      </w:r>
      <w:r>
        <w:rPr>
          <w:rFonts w:hint="eastAsia" w:ascii="仿宋" w:hAnsi="仿宋" w:eastAsia="仿宋" w:cs="仿宋"/>
          <w:color w:val="auto"/>
          <w:kern w:val="0"/>
          <w:sz w:val="24"/>
          <w:szCs w:val="24"/>
        </w:rPr>
        <w:t xml:space="preserve"> 采购活动，</w:t>
      </w:r>
      <w:r>
        <w:rPr>
          <w:rFonts w:hint="eastAsia" w:ascii="仿宋" w:hAnsi="仿宋" w:eastAsia="仿宋" w:cs="仿宋"/>
          <w:color w:val="auto"/>
          <w:kern w:val="0"/>
          <w:sz w:val="24"/>
          <w:szCs w:val="24"/>
          <w:lang w:eastAsia="zh-CN"/>
        </w:rPr>
        <w:t>货物</w:t>
      </w:r>
      <w:r>
        <w:rPr>
          <w:rFonts w:hint="eastAsia" w:ascii="仿宋" w:hAnsi="仿宋" w:eastAsia="仿宋" w:cs="仿宋"/>
          <w:color w:val="auto"/>
          <w:kern w:val="0"/>
          <w:sz w:val="24"/>
          <w:szCs w:val="24"/>
        </w:rPr>
        <w:t>全部为符合政策要求的中小企业（或者：服务全部由符合政策要求的中小企业承接）。相关企业（含联合体中的中小企业、签订分包意向协议的中小企业）的具</w:t>
      </w:r>
      <w:r>
        <w:rPr>
          <w:rFonts w:hint="eastAsia" w:ascii="仿宋" w:hAnsi="仿宋" w:eastAsia="仿宋" w:cs="仿宋"/>
          <w:b w:val="0"/>
          <w:bCs w:val="0"/>
          <w:color w:val="auto"/>
          <w:kern w:val="0"/>
          <w:sz w:val="24"/>
          <w:szCs w:val="24"/>
        </w:rPr>
        <w:t>体情况如下：</w:t>
      </w:r>
    </w:p>
    <w:p w14:paraId="39FA656B">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1.</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6AFE07C9">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w:t>
      </w:r>
      <w:r>
        <w:rPr>
          <w:rFonts w:hint="eastAsia" w:ascii="仿宋" w:hAnsi="仿宋" w:eastAsia="仿宋" w:cs="仿宋"/>
          <w:b w:val="0"/>
          <w:bCs w:val="0"/>
          <w:color w:val="auto"/>
          <w:sz w:val="24"/>
          <w:szCs w:val="24"/>
          <w:u w:val="single"/>
        </w:rPr>
        <w:t>（标的名称）</w:t>
      </w:r>
      <w:r>
        <w:rPr>
          <w:rFonts w:hint="eastAsia" w:ascii="仿宋" w:hAnsi="仿宋" w:eastAsia="仿宋" w:cs="仿宋"/>
          <w:b w:val="0"/>
          <w:bCs w:val="0"/>
          <w:color w:val="auto"/>
          <w:sz w:val="24"/>
          <w:szCs w:val="24"/>
        </w:rPr>
        <w:t>，承接单位为</w:t>
      </w:r>
      <w:r>
        <w:rPr>
          <w:rFonts w:hint="eastAsia" w:ascii="仿宋" w:hAnsi="仿宋" w:eastAsia="仿宋" w:cs="仿宋"/>
          <w:b w:val="0"/>
          <w:bCs w:val="0"/>
          <w:color w:val="auto"/>
          <w:sz w:val="24"/>
          <w:szCs w:val="24"/>
          <w:u w:val="single"/>
        </w:rPr>
        <w:t>（企业名称）</w:t>
      </w:r>
      <w:r>
        <w:rPr>
          <w:rFonts w:hint="eastAsia" w:ascii="仿宋" w:hAnsi="仿宋" w:eastAsia="仿宋" w:cs="仿宋"/>
          <w:b w:val="0"/>
          <w:bCs w:val="0"/>
          <w:color w:val="auto"/>
          <w:sz w:val="24"/>
          <w:szCs w:val="24"/>
        </w:rPr>
        <w:t>，属于</w:t>
      </w:r>
      <w:r>
        <w:rPr>
          <w:rFonts w:hint="eastAsia" w:ascii="仿宋" w:hAnsi="仿宋" w:eastAsia="仿宋" w:cs="仿宋"/>
          <w:b w:val="0"/>
          <w:bCs w:val="0"/>
          <w:color w:val="auto"/>
          <w:sz w:val="24"/>
          <w:szCs w:val="24"/>
          <w:u w:val="single"/>
        </w:rPr>
        <w:t>监狱企业</w:t>
      </w:r>
      <w:r>
        <w:rPr>
          <w:rFonts w:hint="eastAsia" w:ascii="仿宋" w:hAnsi="仿宋" w:eastAsia="仿宋" w:cs="仿宋"/>
          <w:b w:val="0"/>
          <w:bCs w:val="0"/>
          <w:color w:val="auto"/>
          <w:sz w:val="24"/>
          <w:szCs w:val="24"/>
        </w:rPr>
        <w:t>。</w:t>
      </w:r>
    </w:p>
    <w:p w14:paraId="26FB9D37">
      <w:pPr>
        <w:pageBreakBefore w:val="0"/>
        <w:kinsoku/>
        <w:overflowPunct/>
        <w:topLinePunct w:val="0"/>
        <w:bidi w:val="0"/>
        <w:spacing w:after="78" w:afterLines="25" w:line="400" w:lineRule="exact"/>
        <w:ind w:firstLine="480" w:firstLineChars="200"/>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 xml:space="preserve">…… </w:t>
      </w:r>
    </w:p>
    <w:p w14:paraId="774B3C40">
      <w:pPr>
        <w:pageBreakBefore w:val="0"/>
        <w:kinsoku/>
        <w:overflowPunct/>
        <w:topLinePunct w:val="0"/>
        <w:bidi w:val="0"/>
        <w:snapToGrid w:val="0"/>
        <w:spacing w:line="400" w:lineRule="exact"/>
        <w:ind w:firstLine="480" w:firstLineChars="20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kern w:val="0"/>
          <w:sz w:val="24"/>
          <w:szCs w:val="24"/>
        </w:rPr>
        <w:t>本单位对上述声明的真实性负责。如有虚假，依法承担相应责任。</w:t>
      </w:r>
    </w:p>
    <w:p w14:paraId="14F9516E">
      <w:pPr>
        <w:pageBreakBefore w:val="0"/>
        <w:kinsoku/>
        <w:overflowPunct/>
        <w:topLinePunct w:val="0"/>
        <w:bidi w:val="0"/>
        <w:snapToGrid w:val="0"/>
        <w:spacing w:line="400" w:lineRule="exact"/>
        <w:textAlignment w:val="baseline"/>
        <w:rPr>
          <w:rFonts w:hint="eastAsia" w:ascii="仿宋" w:hAnsi="仿宋" w:eastAsia="仿宋" w:cs="仿宋"/>
          <w:b w:val="0"/>
          <w:bCs w:val="0"/>
          <w:color w:val="auto"/>
          <w:kern w:val="0"/>
          <w:sz w:val="24"/>
          <w:szCs w:val="24"/>
        </w:rPr>
      </w:pPr>
    </w:p>
    <w:p w14:paraId="73EB77DB">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b w:val="0"/>
          <w:bCs w:val="0"/>
          <w:color w:val="auto"/>
          <w:kern w:val="0"/>
          <w:sz w:val="24"/>
          <w:szCs w:val="24"/>
        </w:rPr>
      </w:pPr>
      <w:r>
        <w:rPr>
          <w:rFonts w:hint="eastAsia" w:ascii="仿宋" w:hAnsi="仿宋" w:eastAsia="仿宋" w:cs="仿宋"/>
          <w:b w:val="0"/>
          <w:bCs w:val="0"/>
          <w:color w:val="auto"/>
          <w:sz w:val="24"/>
          <w:szCs w:val="24"/>
        </w:rPr>
        <w:t>附：省级以上监狱管理局、戒毒管理局（含新疆生产建设兵团）出具的监狱企业证明文件。</w:t>
      </w:r>
    </w:p>
    <w:p w14:paraId="630A91A5">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p>
    <w:p w14:paraId="2F25E328">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投标人（单位盖章）：________</w:t>
      </w:r>
    </w:p>
    <w:p w14:paraId="248D6382">
      <w:pPr>
        <w:pageBreakBefore w:val="0"/>
        <w:kinsoku/>
        <w:overflowPunct/>
        <w:topLinePunct w:val="0"/>
        <w:bidi w:val="0"/>
        <w:snapToGrid w:val="0"/>
        <w:spacing w:line="400" w:lineRule="exact"/>
        <w:ind w:left="1080" w:leftChars="257" w:hanging="540"/>
        <w:textAlignment w:val="baseline"/>
        <w:rPr>
          <w:rFonts w:hint="eastAsia" w:ascii="仿宋" w:hAnsi="仿宋" w:eastAsia="仿宋" w:cs="仿宋"/>
          <w:color w:val="auto"/>
          <w:kern w:val="0"/>
          <w:sz w:val="24"/>
          <w:szCs w:val="24"/>
          <w:u w:val="single"/>
        </w:rPr>
      </w:pPr>
      <w:r>
        <w:rPr>
          <w:rFonts w:hint="eastAsia" w:ascii="仿宋" w:hAnsi="仿宋" w:eastAsia="仿宋" w:cs="仿宋"/>
          <w:color w:val="auto"/>
          <w:kern w:val="0"/>
          <w:sz w:val="24"/>
          <w:szCs w:val="24"/>
        </w:rPr>
        <w:t>日  期：_______</w:t>
      </w:r>
    </w:p>
    <w:p w14:paraId="52C50A07">
      <w:pPr>
        <w:pStyle w:val="5"/>
        <w:pageBreakBefore w:val="0"/>
        <w:kinsoku/>
        <w:overflowPunct/>
        <w:topLinePunct w:val="0"/>
        <w:bidi w:val="0"/>
        <w:spacing w:line="400" w:lineRule="exact"/>
        <w:rPr>
          <w:rFonts w:hint="eastAsia" w:ascii="宋体" w:hAnsi="宋体" w:eastAsia="宋体" w:cs="宋体"/>
          <w:color w:val="auto"/>
          <w:sz w:val="24"/>
          <w:szCs w:val="24"/>
        </w:rPr>
      </w:pPr>
    </w:p>
    <w:p w14:paraId="54B1BCD8">
      <w:pPr>
        <w:rPr>
          <w:rFonts w:hint="eastAsia" w:ascii="Times New Roman" w:hAnsi="Times New Roman" w:eastAsia="仿宋"/>
          <w:b/>
          <w:bCs/>
          <w:color w:val="auto"/>
          <w:lang w:val="en-US" w:eastAsia="zh-CN"/>
        </w:rPr>
      </w:pPr>
      <w:r>
        <w:rPr>
          <w:rFonts w:hint="eastAsia" w:ascii="Times New Roman" w:hAnsi="Times New Roman" w:eastAsia="仿宋"/>
          <w:b/>
          <w:bCs/>
          <w:color w:val="auto"/>
          <w:lang w:val="en-US" w:eastAsia="zh-CN"/>
        </w:rPr>
        <w:br w:type="page"/>
      </w:r>
    </w:p>
    <w:p w14:paraId="46607E98">
      <w:pPr>
        <w:pStyle w:val="52"/>
        <w:rPr>
          <w:rFonts w:eastAsia="仿宋"/>
        </w:rPr>
      </w:pPr>
    </w:p>
    <w:p w14:paraId="3C70E953">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6   供应商关联单位的说明</w:t>
      </w:r>
    </w:p>
    <w:p w14:paraId="5F2E2DF6">
      <w:pPr>
        <w:pStyle w:val="37"/>
        <w:spacing w:line="360" w:lineRule="auto"/>
        <w:ind w:left="1080" w:leftChars="257" w:hanging="540"/>
        <w:rPr>
          <w:rFonts w:ascii="Times New Roman" w:hAnsi="Times New Roman" w:eastAsia="仿宋"/>
          <w:b/>
          <w:bCs/>
          <w:kern w:val="0"/>
          <w:sz w:val="24"/>
        </w:rPr>
      </w:pPr>
    </w:p>
    <w:p w14:paraId="43E39A0F">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14:paraId="4FBBB163">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14:paraId="28DD386E">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14:paraId="2889B539">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2B240B67">
      <w:pPr>
        <w:pStyle w:val="37"/>
        <w:spacing w:line="360" w:lineRule="auto"/>
        <w:ind w:left="1080" w:leftChars="257" w:hanging="540"/>
        <w:rPr>
          <w:rFonts w:hint="eastAsia"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14:paraId="7DEB9397">
      <w:pPr>
        <w:pStyle w:val="37"/>
        <w:spacing w:line="360" w:lineRule="auto"/>
        <w:ind w:left="1080" w:leftChars="257" w:hanging="540"/>
        <w:rPr>
          <w:rFonts w:hint="eastAsia"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14:paraId="1FAE9686">
      <w:pPr>
        <w:pStyle w:val="37"/>
        <w:spacing w:line="360" w:lineRule="auto"/>
        <w:ind w:left="1080" w:leftChars="257" w:hanging="540"/>
        <w:jc w:val="left"/>
        <w:rPr>
          <w:rFonts w:hint="eastAsia" w:ascii="Times New Roman" w:hAnsi="Times New Roman" w:eastAsia="仿宋"/>
          <w:b/>
          <w:bCs/>
          <w:kern w:val="0"/>
          <w:sz w:val="24"/>
        </w:rPr>
      </w:pPr>
      <w:r>
        <w:rPr>
          <w:rFonts w:hint="eastAsia" w:ascii="Times New Roman" w:hAnsi="Times New Roman" w:eastAsia="仿宋"/>
          <w:b/>
          <w:bCs/>
          <w:kern w:val="0"/>
          <w:sz w:val="24"/>
        </w:rPr>
        <w:br w:type="page"/>
      </w:r>
    </w:p>
    <w:p w14:paraId="3CD510B4">
      <w:pPr>
        <w:spacing w:line="360" w:lineRule="auto"/>
        <w:ind w:left="1080" w:leftChars="257" w:hanging="540"/>
        <w:jc w:val="left"/>
        <w:rPr>
          <w:rFonts w:hint="eastAsia" w:eastAsia="仿宋"/>
          <w:b/>
          <w:bCs/>
          <w:kern w:val="0"/>
          <w:sz w:val="24"/>
          <w:szCs w:val="20"/>
        </w:rPr>
      </w:pPr>
      <w:r>
        <w:rPr>
          <w:rFonts w:hint="eastAsia" w:eastAsia="仿宋"/>
          <w:b/>
          <w:bCs/>
          <w:kern w:val="0"/>
          <w:sz w:val="24"/>
          <w:szCs w:val="20"/>
        </w:rPr>
        <w:t>8 对本项目响应文件（响应文件）中资料真实性的承诺</w:t>
      </w:r>
    </w:p>
    <w:p w14:paraId="46251A5B">
      <w:pPr>
        <w:spacing w:line="360" w:lineRule="auto"/>
        <w:ind w:left="1080" w:leftChars="257" w:hanging="540"/>
        <w:jc w:val="left"/>
        <w:rPr>
          <w:rFonts w:eastAsia="仿宋"/>
          <w:b/>
          <w:bCs/>
          <w:kern w:val="0"/>
          <w:sz w:val="24"/>
          <w:szCs w:val="20"/>
        </w:rPr>
      </w:pPr>
    </w:p>
    <w:p w14:paraId="28589C3D">
      <w:pPr>
        <w:spacing w:line="360" w:lineRule="auto"/>
        <w:jc w:val="left"/>
        <w:rPr>
          <w:rFonts w:hint="eastAsia"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14:paraId="202C6049">
      <w:pPr>
        <w:spacing w:line="360" w:lineRule="auto"/>
        <w:ind w:firstLine="480" w:firstLineChars="200"/>
        <w:jc w:val="left"/>
        <w:rPr>
          <w:rFonts w:hint="eastAsia"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14:paraId="3B185E6B">
      <w:pPr>
        <w:spacing w:line="360" w:lineRule="auto"/>
        <w:ind w:firstLine="480" w:firstLineChars="200"/>
        <w:jc w:val="left"/>
        <w:rPr>
          <w:rFonts w:hint="eastAsia"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14:paraId="114B6A94">
      <w:pPr>
        <w:spacing w:line="360" w:lineRule="auto"/>
        <w:ind w:firstLine="480" w:firstLineChars="200"/>
        <w:jc w:val="left"/>
        <w:rPr>
          <w:rFonts w:hint="eastAsia"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14:paraId="2AFCFC25">
      <w:pPr>
        <w:spacing w:line="360" w:lineRule="auto"/>
        <w:ind w:firstLine="480" w:firstLineChars="200"/>
        <w:rPr>
          <w:rFonts w:hint="eastAsia" w:eastAsia="仿宋"/>
          <w:kern w:val="0"/>
          <w:sz w:val="24"/>
          <w:szCs w:val="20"/>
        </w:rPr>
      </w:pPr>
      <w:r>
        <w:rPr>
          <w:rFonts w:hint="eastAsia" w:eastAsia="仿宋"/>
          <w:kern w:val="0"/>
          <w:sz w:val="24"/>
          <w:szCs w:val="20"/>
        </w:rPr>
        <w:t>特此承诺</w:t>
      </w:r>
    </w:p>
    <w:p w14:paraId="0918E688">
      <w:pPr>
        <w:spacing w:line="360" w:lineRule="auto"/>
        <w:ind w:left="1080" w:leftChars="257" w:hanging="540"/>
        <w:jc w:val="center"/>
        <w:rPr>
          <w:rFonts w:eastAsia="仿宋"/>
          <w:b/>
          <w:bCs/>
          <w:kern w:val="0"/>
          <w:sz w:val="24"/>
          <w:szCs w:val="20"/>
        </w:rPr>
      </w:pPr>
    </w:p>
    <w:p w14:paraId="3CDB70AA">
      <w:pPr>
        <w:widowControl/>
        <w:spacing w:line="560" w:lineRule="exact"/>
        <w:ind w:firstLine="480" w:firstLineChars="200"/>
        <w:jc w:val="center"/>
        <w:rPr>
          <w:rFonts w:hint="eastAsia" w:eastAsia="仿宋"/>
          <w:kern w:val="0"/>
          <w:sz w:val="24"/>
        </w:rPr>
      </w:pPr>
      <w:r>
        <w:rPr>
          <w:rFonts w:hint="eastAsia" w:eastAsia="仿宋"/>
          <w:kern w:val="0"/>
          <w:sz w:val="24"/>
        </w:rPr>
        <w:t xml:space="preserve">  供应商（盖单位章）：</w:t>
      </w:r>
    </w:p>
    <w:p w14:paraId="54CDFC4F">
      <w:pPr>
        <w:widowControl/>
        <w:spacing w:line="560" w:lineRule="exact"/>
        <w:ind w:firstLine="480" w:firstLineChars="200"/>
        <w:jc w:val="center"/>
        <w:rPr>
          <w:rFonts w:hint="eastAsia"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14:paraId="093C56C3">
      <w:pPr>
        <w:widowControl/>
        <w:spacing w:line="560" w:lineRule="exact"/>
        <w:ind w:firstLine="480" w:firstLineChars="200"/>
        <w:jc w:val="center"/>
        <w:rPr>
          <w:rFonts w:hint="eastAsia" w:eastAsia="仿宋"/>
          <w:kern w:val="0"/>
          <w:sz w:val="24"/>
        </w:rPr>
      </w:pPr>
      <w:r>
        <w:rPr>
          <w:rFonts w:hint="eastAsia" w:eastAsia="仿宋"/>
          <w:kern w:val="0"/>
          <w:sz w:val="24"/>
        </w:rPr>
        <w:t xml:space="preserve">           日期：年 月 日</w:t>
      </w:r>
    </w:p>
    <w:p w14:paraId="7D97EF2B">
      <w:pPr>
        <w:spacing w:line="360" w:lineRule="auto"/>
        <w:ind w:left="1080" w:leftChars="257" w:hanging="540"/>
        <w:jc w:val="center"/>
        <w:rPr>
          <w:rFonts w:eastAsia="仿宋"/>
          <w:b/>
          <w:bCs/>
          <w:kern w:val="0"/>
          <w:sz w:val="24"/>
          <w:szCs w:val="20"/>
        </w:rPr>
      </w:pPr>
    </w:p>
    <w:p w14:paraId="7B0B9D9E">
      <w:pPr>
        <w:spacing w:line="360" w:lineRule="auto"/>
        <w:ind w:left="1080" w:leftChars="257" w:hanging="540"/>
        <w:jc w:val="center"/>
        <w:rPr>
          <w:rFonts w:eastAsia="仿宋"/>
          <w:b/>
          <w:bCs/>
          <w:kern w:val="0"/>
          <w:sz w:val="24"/>
          <w:szCs w:val="20"/>
        </w:rPr>
      </w:pPr>
    </w:p>
    <w:p w14:paraId="0D1A1FE4">
      <w:pPr>
        <w:spacing w:line="360" w:lineRule="auto"/>
        <w:ind w:left="1080" w:leftChars="257" w:hanging="540"/>
        <w:jc w:val="center"/>
        <w:rPr>
          <w:rFonts w:eastAsia="仿宋"/>
          <w:sz w:val="24"/>
        </w:rPr>
      </w:pPr>
      <w:r>
        <w:rPr>
          <w:rFonts w:eastAsia="仿宋"/>
          <w:sz w:val="24"/>
        </w:rPr>
        <w:br w:type="page"/>
      </w:r>
    </w:p>
    <w:p w14:paraId="77557E69">
      <w:pPr>
        <w:spacing w:line="360" w:lineRule="auto"/>
        <w:jc w:val="center"/>
        <w:rPr>
          <w:rFonts w:eastAsia="仿宋"/>
          <w:b/>
          <w:sz w:val="44"/>
          <w:szCs w:val="44"/>
        </w:rPr>
      </w:pPr>
    </w:p>
    <w:p w14:paraId="266E4AE4">
      <w:pPr>
        <w:pStyle w:val="33"/>
        <w:tabs>
          <w:tab w:val="clear" w:pos="567"/>
        </w:tabs>
        <w:rPr>
          <w:rFonts w:ascii="Times New Roman" w:hAnsi="Times New Roman" w:eastAsia="仿宋"/>
          <w:b/>
          <w:sz w:val="52"/>
          <w:szCs w:val="52"/>
        </w:rPr>
      </w:pPr>
    </w:p>
    <w:p w14:paraId="02D62BB0">
      <w:pPr>
        <w:widowControl/>
        <w:spacing w:line="360" w:lineRule="auto"/>
        <w:jc w:val="center"/>
        <w:rPr>
          <w:rFonts w:hint="eastAsia" w:ascii="方正小标宋简体" w:hAnsi="方正小标宋简体" w:eastAsia="方正小标宋简体"/>
          <w:b/>
          <w:sz w:val="52"/>
          <w:szCs w:val="52"/>
          <w:lang w:eastAsia="zh-CN"/>
        </w:rPr>
      </w:pPr>
      <w:r>
        <w:rPr>
          <w:rFonts w:hint="eastAsia" w:ascii="方正小标宋简体" w:hAnsi="方正小标宋简体" w:eastAsia="方正小标宋简体"/>
          <w:b/>
          <w:sz w:val="52"/>
          <w:szCs w:val="52"/>
          <w:lang w:val="en-US" w:eastAsia="zh-CN"/>
        </w:rPr>
        <w:t>喀什理工职业技术学院2025年物业服务采购项目(第二包二次)</w:t>
      </w:r>
    </w:p>
    <w:p w14:paraId="01CCEFF8">
      <w:pPr>
        <w:widowControl/>
        <w:spacing w:line="360" w:lineRule="auto"/>
        <w:jc w:val="center"/>
        <w:rPr>
          <w:rFonts w:hint="eastAsia" w:ascii="方正小标宋简体" w:hAnsi="方正小标宋简体" w:eastAsia="方正小标宋简体"/>
          <w:b/>
          <w:sz w:val="52"/>
          <w:szCs w:val="52"/>
          <w:lang w:eastAsia="zh-CN"/>
        </w:rPr>
      </w:pPr>
    </w:p>
    <w:p w14:paraId="77794CB5">
      <w:pPr>
        <w:widowControl/>
        <w:spacing w:line="360" w:lineRule="auto"/>
        <w:jc w:val="left"/>
        <w:rPr>
          <w:rFonts w:eastAsia="仿宋"/>
        </w:rPr>
      </w:pPr>
    </w:p>
    <w:p w14:paraId="78DB07FB">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2D975274">
      <w:pPr>
        <w:spacing w:line="360" w:lineRule="auto"/>
        <w:ind w:left="1080" w:leftChars="257" w:hanging="540"/>
        <w:jc w:val="center"/>
        <w:rPr>
          <w:rFonts w:eastAsia="仿宋"/>
          <w:bCs/>
          <w:sz w:val="52"/>
          <w:szCs w:val="52"/>
        </w:rPr>
      </w:pPr>
    </w:p>
    <w:p w14:paraId="2D3A51D5">
      <w:pPr>
        <w:spacing w:line="360" w:lineRule="auto"/>
        <w:ind w:left="1080" w:leftChars="257" w:hanging="540"/>
        <w:jc w:val="center"/>
        <w:rPr>
          <w:rFonts w:eastAsia="仿宋"/>
          <w:bCs/>
          <w:sz w:val="32"/>
          <w:szCs w:val="32"/>
        </w:rPr>
      </w:pPr>
      <w:r>
        <w:rPr>
          <w:rFonts w:eastAsia="仿宋"/>
          <w:bCs/>
          <w:sz w:val="32"/>
          <w:szCs w:val="32"/>
        </w:rPr>
        <w:t>（项目编号</w:t>
      </w:r>
      <w:r>
        <w:rPr>
          <w:rFonts w:eastAsia="仿宋"/>
          <w:bCs/>
          <w:sz w:val="32"/>
          <w:szCs w:val="32"/>
          <w:highlight w:val="none"/>
        </w:rPr>
        <w:t>：</w:t>
      </w:r>
      <w:r>
        <w:rPr>
          <w:rFonts w:hint="eastAsia" w:eastAsia="仿宋"/>
          <w:bCs/>
          <w:sz w:val="32"/>
          <w:szCs w:val="32"/>
          <w:highlight w:val="none"/>
          <w:lang w:eastAsia="zh-CN"/>
        </w:rPr>
        <w:t>KSDQZFCG（GK）2025-</w:t>
      </w:r>
      <w:r>
        <w:rPr>
          <w:rFonts w:hint="eastAsia" w:eastAsia="仿宋"/>
          <w:bCs/>
          <w:sz w:val="32"/>
          <w:szCs w:val="32"/>
          <w:highlight w:val="none"/>
          <w:lang w:val="en-US" w:eastAsia="zh-CN"/>
        </w:rPr>
        <w:t>28</w:t>
      </w:r>
      <w:r>
        <w:rPr>
          <w:rFonts w:eastAsia="仿宋"/>
          <w:bCs/>
          <w:sz w:val="32"/>
          <w:szCs w:val="32"/>
        </w:rPr>
        <w:t>）</w:t>
      </w:r>
    </w:p>
    <w:p w14:paraId="220D0020">
      <w:pPr>
        <w:spacing w:line="360" w:lineRule="auto"/>
        <w:ind w:left="1080" w:leftChars="257" w:hanging="540"/>
        <w:jc w:val="center"/>
        <w:rPr>
          <w:rFonts w:eastAsia="仿宋"/>
          <w:b/>
          <w:sz w:val="32"/>
          <w:szCs w:val="32"/>
        </w:rPr>
      </w:pPr>
    </w:p>
    <w:p w14:paraId="4434AAFD">
      <w:pPr>
        <w:spacing w:line="360" w:lineRule="auto"/>
        <w:ind w:left="1080" w:leftChars="257" w:hanging="540"/>
        <w:jc w:val="center"/>
        <w:rPr>
          <w:rFonts w:eastAsia="仿宋"/>
          <w:b/>
          <w:sz w:val="52"/>
        </w:rPr>
      </w:pPr>
      <w:r>
        <w:rPr>
          <w:rFonts w:eastAsia="仿宋"/>
          <w:b/>
          <w:sz w:val="36"/>
          <w:szCs w:val="36"/>
        </w:rPr>
        <w:t>第</w:t>
      </w:r>
      <w:r>
        <w:rPr>
          <w:rFonts w:hint="eastAsia" w:eastAsia="仿宋"/>
          <w:b/>
          <w:sz w:val="36"/>
          <w:szCs w:val="36"/>
        </w:rPr>
        <w:t>二</w:t>
      </w:r>
      <w:r>
        <w:rPr>
          <w:rFonts w:eastAsia="仿宋"/>
          <w:b/>
          <w:sz w:val="36"/>
          <w:szCs w:val="36"/>
        </w:rPr>
        <w:t>册</w:t>
      </w:r>
    </w:p>
    <w:p w14:paraId="3A7627CF">
      <w:pPr>
        <w:pStyle w:val="33"/>
        <w:tabs>
          <w:tab w:val="clear" w:pos="567"/>
        </w:tabs>
        <w:rPr>
          <w:rFonts w:ascii="Times New Roman" w:hAnsi="Times New Roman" w:eastAsia="仿宋"/>
          <w:b/>
          <w:sz w:val="52"/>
        </w:rPr>
      </w:pPr>
    </w:p>
    <w:p w14:paraId="57898EC2">
      <w:pPr>
        <w:spacing w:line="360" w:lineRule="auto"/>
        <w:ind w:firstLine="837" w:firstLineChars="299"/>
        <w:jc w:val="left"/>
        <w:rPr>
          <w:rFonts w:hint="default" w:eastAsia="仿宋"/>
          <w:sz w:val="28"/>
          <w:szCs w:val="28"/>
          <w:lang w:val="en-US"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val="en-US" w:eastAsia="zh-CN"/>
        </w:rPr>
        <w:t xml:space="preserve">喀什理工职业技术学院    </w:t>
      </w:r>
    </w:p>
    <w:p w14:paraId="4F7CCD04">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3CDF4027">
      <w:pPr>
        <w:spacing w:line="360" w:lineRule="auto"/>
        <w:ind w:firstLine="837" w:firstLineChars="299"/>
        <w:rPr>
          <w:rFonts w:hint="default" w:eastAsia="仿宋"/>
          <w:sz w:val="28"/>
          <w:szCs w:val="28"/>
          <w:lang w:val="en-US" w:eastAsia="zh-CN"/>
        </w:rPr>
      </w:pPr>
      <w:r>
        <w:rPr>
          <w:rFonts w:eastAsia="仿宋"/>
          <w:sz w:val="28"/>
          <w:szCs w:val="28"/>
        </w:rPr>
        <w:t>发出日期：</w:t>
      </w:r>
      <w:r>
        <w:rPr>
          <w:rFonts w:hint="eastAsia" w:eastAsia="仿宋"/>
          <w:sz w:val="28"/>
          <w:szCs w:val="28"/>
          <w:u w:val="single"/>
          <w:lang w:eastAsia="zh-CN"/>
        </w:rPr>
        <w:t>2025年</w:t>
      </w:r>
      <w:r>
        <w:rPr>
          <w:rFonts w:hint="eastAsia" w:eastAsia="仿宋"/>
          <w:sz w:val="28"/>
          <w:szCs w:val="28"/>
          <w:u w:val="single"/>
          <w:lang w:val="en-US" w:eastAsia="zh-CN"/>
        </w:rPr>
        <w:t>2</w:t>
      </w:r>
      <w:r>
        <w:rPr>
          <w:rFonts w:eastAsia="仿宋"/>
          <w:sz w:val="28"/>
          <w:szCs w:val="28"/>
          <w:u w:val="single"/>
        </w:rPr>
        <w:t>月</w:t>
      </w:r>
      <w:r>
        <w:rPr>
          <w:rFonts w:hint="eastAsia" w:eastAsia="仿宋"/>
          <w:sz w:val="28"/>
          <w:szCs w:val="28"/>
          <w:u w:val="single"/>
          <w:lang w:val="en-US" w:eastAsia="zh-CN"/>
        </w:rPr>
        <w:t xml:space="preserve">             </w:t>
      </w:r>
    </w:p>
    <w:p w14:paraId="5020509B">
      <w:pPr>
        <w:spacing w:line="360" w:lineRule="auto"/>
        <w:rPr>
          <w:rFonts w:eastAsia="仿宋"/>
          <w:b/>
          <w:sz w:val="52"/>
        </w:rPr>
      </w:pPr>
    </w:p>
    <w:p w14:paraId="5523707F">
      <w:pPr>
        <w:pStyle w:val="26"/>
        <w:tabs>
          <w:tab w:val="left" w:pos="0"/>
        </w:tabs>
        <w:spacing w:before="0" w:after="0" w:line="360" w:lineRule="auto"/>
        <w:jc w:val="both"/>
        <w:rPr>
          <w:rFonts w:ascii="Times New Roman" w:eastAsia="仿宋"/>
          <w:b w:val="0"/>
          <w:sz w:val="52"/>
        </w:rPr>
      </w:pPr>
      <w:r>
        <w:rPr>
          <w:rFonts w:ascii="Times New Roman" w:eastAsia="仿宋"/>
          <w:b w:val="0"/>
          <w:sz w:val="52"/>
        </w:rPr>
        <w:br w:type="page"/>
      </w:r>
    </w:p>
    <w:p w14:paraId="4DEBA0DE">
      <w:pPr>
        <w:pStyle w:val="26"/>
        <w:tabs>
          <w:tab w:val="left" w:pos="0"/>
        </w:tabs>
        <w:spacing w:before="0" w:after="0" w:line="360" w:lineRule="auto"/>
        <w:rPr>
          <w:rFonts w:hint="eastAsia" w:ascii="Times New Roman" w:eastAsia="仿宋"/>
        </w:rPr>
      </w:pPr>
      <w:bookmarkStart w:id="336" w:name="_Toc6823"/>
      <w:bookmarkEnd w:id="336"/>
      <w:bookmarkStart w:id="337" w:name="_Toc30701"/>
      <w:bookmarkEnd w:id="337"/>
      <w:bookmarkStart w:id="338" w:name="_Toc14452"/>
      <w:bookmarkEnd w:id="338"/>
      <w:r>
        <w:rPr>
          <w:rFonts w:hint="eastAsia" w:ascii="Times New Roman" w:eastAsia="仿宋"/>
        </w:rPr>
        <w:t>第3章</w:t>
      </w:r>
      <w:r>
        <w:rPr>
          <w:rFonts w:ascii="Times New Roman" w:eastAsia="仿宋"/>
        </w:rPr>
        <w:t>投标邀请</w:t>
      </w:r>
    </w:p>
    <w:p w14:paraId="526E1B6E">
      <w:pPr>
        <w:widowControl/>
        <w:spacing w:line="360" w:lineRule="auto"/>
        <w:jc w:val="center"/>
        <w:rPr>
          <w:rFonts w:hint="eastAsia" w:eastAsia="仿宋"/>
          <w:b/>
          <w:bCs/>
          <w:color w:val="000000"/>
          <w:sz w:val="28"/>
          <w:szCs w:val="28"/>
          <w:lang w:val="en-US" w:eastAsia="zh-CN"/>
        </w:rPr>
      </w:pPr>
      <w:r>
        <w:rPr>
          <w:rFonts w:hint="eastAsia" w:eastAsia="仿宋"/>
          <w:b/>
          <w:bCs/>
          <w:color w:val="000000"/>
          <w:sz w:val="28"/>
          <w:szCs w:val="28"/>
          <w:lang w:val="en-US" w:eastAsia="zh-CN"/>
        </w:rPr>
        <w:t>喀什理工职业技术学院2025年物业服务采购项目(第二包二次)</w:t>
      </w:r>
    </w:p>
    <w:p w14:paraId="504367CE">
      <w:pPr>
        <w:widowControl/>
        <w:spacing w:line="360" w:lineRule="auto"/>
        <w:jc w:val="center"/>
        <w:rPr>
          <w:rFonts w:hint="eastAsia" w:eastAsia="仿宋"/>
          <w:b/>
          <w:bCs/>
          <w:color w:val="000000"/>
          <w:kern w:val="0"/>
          <w:sz w:val="28"/>
          <w:szCs w:val="28"/>
        </w:rPr>
      </w:pPr>
      <w:r>
        <w:rPr>
          <w:rFonts w:hint="eastAsia" w:eastAsia="仿宋"/>
          <w:b/>
          <w:bCs/>
          <w:color w:val="000000"/>
          <w:kern w:val="0"/>
          <w:sz w:val="28"/>
          <w:szCs w:val="28"/>
        </w:rPr>
        <w:t>招标公告</w:t>
      </w:r>
    </w:p>
    <w:p w14:paraId="0F697F6B">
      <w:pPr>
        <w:keepNext/>
        <w:keepLines/>
        <w:tabs>
          <w:tab w:val="left" w:pos="0"/>
        </w:tabs>
        <w:autoSpaceDE w:val="0"/>
        <w:autoSpaceDN w:val="0"/>
        <w:jc w:val="center"/>
        <w:outlineLvl w:val="0"/>
        <w:rPr>
          <w:rFonts w:ascii="楷体" w:hAnsi="楷体" w:eastAsia="楷体"/>
          <w:b/>
          <w:bCs/>
          <w:kern w:val="44"/>
          <w:sz w:val="24"/>
        </w:rPr>
      </w:pPr>
    </w:p>
    <w:p w14:paraId="08F1EBEB">
      <w:pPr>
        <w:pBdr>
          <w:top w:val="single" w:color="000000" w:sz="4" w:space="1"/>
          <w:left w:val="single" w:color="000000" w:sz="4" w:space="4"/>
          <w:bottom w:val="single" w:color="000000" w:sz="4" w:space="1"/>
          <w:right w:val="single" w:color="000000" w:sz="4" w:space="4"/>
        </w:pBdr>
        <w:jc w:val="left"/>
        <w:rPr>
          <w:rFonts w:hint="eastAsia" w:ascii="仿宋" w:hAnsi="仿宋" w:eastAsia="仿宋"/>
          <w:b/>
          <w:bCs/>
          <w:sz w:val="24"/>
        </w:rPr>
      </w:pPr>
      <w:r>
        <w:rPr>
          <w:rFonts w:hint="eastAsia" w:ascii="仿宋" w:hAnsi="仿宋" w:eastAsia="仿宋"/>
          <w:b/>
          <w:bCs/>
          <w:sz w:val="24"/>
        </w:rPr>
        <w:t>项目概况</w:t>
      </w:r>
    </w:p>
    <w:p w14:paraId="22FEF38C">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olor w:val="000000"/>
          <w:sz w:val="24"/>
          <w:highlight w:val="none"/>
          <w:u w:val="single"/>
          <w:lang w:eastAsia="zh-CN"/>
        </w:rPr>
      </w:pPr>
      <w:r>
        <w:rPr>
          <w:rFonts w:hint="eastAsia" w:ascii="仿宋" w:hAnsi="仿宋" w:eastAsia="仿宋"/>
          <w:color w:val="000000"/>
          <w:sz w:val="24"/>
          <w:u w:val="single"/>
          <w:lang w:val="en-US" w:eastAsia="zh-CN"/>
        </w:rPr>
        <w:t>喀什理工职业技术学院2025年物业服务采购项目(第二包二次)</w:t>
      </w:r>
      <w:r>
        <w:rPr>
          <w:rFonts w:hint="eastAsia" w:ascii="仿宋" w:hAnsi="仿宋" w:eastAsia="仿宋"/>
          <w:sz w:val="24"/>
        </w:rPr>
        <w:t>招标项目的潜在投标人应在政采云平台获取招标文件，并于</w:t>
      </w:r>
      <w:r>
        <w:rPr>
          <w:rFonts w:hint="eastAsia" w:ascii="仿宋" w:hAnsi="仿宋" w:eastAsia="仿宋"/>
          <w:sz w:val="24"/>
          <w:highlight w:val="none"/>
        </w:rPr>
        <w:t>202</w:t>
      </w:r>
      <w:r>
        <w:rPr>
          <w:rFonts w:hint="eastAsia" w:ascii="仿宋" w:hAnsi="仿宋" w:eastAsia="仿宋"/>
          <w:sz w:val="24"/>
          <w:highlight w:val="none"/>
          <w:lang w:val="en-US" w:eastAsia="zh-CN"/>
        </w:rPr>
        <w:t>5</w:t>
      </w:r>
      <w:r>
        <w:rPr>
          <w:rFonts w:hint="eastAsia" w:ascii="仿宋" w:hAnsi="仿宋" w:eastAsia="仿宋"/>
          <w:sz w:val="24"/>
          <w:highlight w:val="none"/>
        </w:rPr>
        <w:t>年</w:t>
      </w:r>
      <w:r>
        <w:rPr>
          <w:rFonts w:hint="eastAsia" w:ascii="仿宋" w:hAnsi="仿宋" w:eastAsia="仿宋"/>
          <w:sz w:val="24"/>
          <w:highlight w:val="none"/>
          <w:lang w:val="en-US" w:eastAsia="zh-CN"/>
        </w:rPr>
        <w:t xml:space="preserve"> 3 </w:t>
      </w:r>
      <w:r>
        <w:rPr>
          <w:rFonts w:hint="eastAsia" w:ascii="仿宋" w:hAnsi="仿宋" w:eastAsia="仿宋"/>
          <w:sz w:val="24"/>
          <w:highlight w:val="none"/>
        </w:rPr>
        <w:t>月</w:t>
      </w:r>
      <w:r>
        <w:rPr>
          <w:rFonts w:hint="eastAsia" w:ascii="仿宋" w:hAnsi="仿宋" w:eastAsia="仿宋"/>
          <w:sz w:val="24"/>
          <w:highlight w:val="none"/>
          <w:lang w:val="en-US" w:eastAsia="zh-CN"/>
        </w:rPr>
        <w:t xml:space="preserve"> 25 </w:t>
      </w:r>
      <w:r>
        <w:rPr>
          <w:rFonts w:hint="eastAsia" w:ascii="仿宋" w:hAnsi="仿宋" w:eastAsia="仿宋"/>
          <w:sz w:val="24"/>
          <w:highlight w:val="none"/>
        </w:rPr>
        <w:t>日11点00分（北京时间）前上传投标文件。</w:t>
      </w:r>
    </w:p>
    <w:p w14:paraId="58A782E4">
      <w:pPr>
        <w:spacing w:line="360" w:lineRule="auto"/>
        <w:rPr>
          <w:rFonts w:eastAsia="仿宋"/>
          <w:highlight w:val="none"/>
        </w:rPr>
      </w:pPr>
    </w:p>
    <w:p w14:paraId="76505C0E">
      <w:pPr>
        <w:pStyle w:val="35"/>
        <w:spacing w:line="360" w:lineRule="exact"/>
        <w:rPr>
          <w:rFonts w:hint="eastAsia" w:ascii="仿宋" w:hAnsi="仿宋" w:eastAsia="仿宋"/>
          <w:b/>
          <w:bCs/>
          <w:color w:val="000000"/>
          <w:highlight w:val="none"/>
        </w:rPr>
      </w:pPr>
      <w:r>
        <w:rPr>
          <w:rFonts w:hint="eastAsia" w:ascii="仿宋" w:hAnsi="仿宋" w:eastAsia="仿宋"/>
          <w:b/>
          <w:bCs/>
          <w:color w:val="000000"/>
          <w:highlight w:val="none"/>
        </w:rPr>
        <w:t>一、项目基本情况</w:t>
      </w:r>
    </w:p>
    <w:p w14:paraId="08B78774">
      <w:pPr>
        <w:pStyle w:val="35"/>
        <w:spacing w:line="360" w:lineRule="exact"/>
        <w:ind w:firstLine="480" w:firstLineChars="200"/>
        <w:rPr>
          <w:rFonts w:hint="default" w:ascii="仿宋" w:hAnsi="仿宋" w:eastAsia="仿宋"/>
          <w:color w:val="000000"/>
          <w:highlight w:val="none"/>
          <w:lang w:val="en-US" w:eastAsia="zh-CN"/>
        </w:rPr>
      </w:pPr>
      <w:r>
        <w:rPr>
          <w:rFonts w:hint="eastAsia" w:ascii="仿宋" w:hAnsi="仿宋" w:eastAsia="仿宋"/>
          <w:color w:val="000000"/>
          <w:highlight w:val="none"/>
        </w:rPr>
        <w:t>1.项目编号：</w:t>
      </w:r>
      <w:r>
        <w:rPr>
          <w:rFonts w:hint="eastAsia" w:ascii="仿宋" w:hAnsi="仿宋" w:eastAsia="仿宋"/>
          <w:color w:val="000000"/>
          <w:highlight w:val="none"/>
          <w:lang w:eastAsia="zh-CN"/>
        </w:rPr>
        <w:t>KSDQZFCG（GK）2025-</w:t>
      </w:r>
      <w:r>
        <w:rPr>
          <w:rFonts w:hint="eastAsia" w:ascii="仿宋" w:hAnsi="仿宋" w:eastAsia="仿宋"/>
          <w:color w:val="000000"/>
          <w:highlight w:val="none"/>
          <w:lang w:val="en-US" w:eastAsia="zh-CN"/>
        </w:rPr>
        <w:t>28</w:t>
      </w:r>
    </w:p>
    <w:p w14:paraId="641965FC">
      <w:pPr>
        <w:pStyle w:val="35"/>
        <w:spacing w:line="360" w:lineRule="exact"/>
        <w:ind w:firstLine="480" w:firstLineChars="200"/>
        <w:rPr>
          <w:rFonts w:hint="eastAsia" w:ascii="仿宋" w:hAnsi="仿宋" w:eastAsia="仿宋"/>
          <w:color w:val="000000"/>
        </w:rPr>
      </w:pPr>
      <w:r>
        <w:rPr>
          <w:rFonts w:hint="eastAsia" w:ascii="仿宋" w:hAnsi="仿宋" w:eastAsia="仿宋"/>
          <w:color w:val="000000"/>
        </w:rPr>
        <w:t>2.项目名称：</w:t>
      </w:r>
      <w:r>
        <w:rPr>
          <w:rFonts w:hint="eastAsia" w:ascii="仿宋" w:hAnsi="仿宋" w:eastAsia="仿宋"/>
          <w:color w:val="000000"/>
          <w:lang w:val="en-US" w:eastAsia="zh-CN"/>
        </w:rPr>
        <w:t>喀什理工职业技术学院2025年物业服务采购项目(第二包二次)</w:t>
      </w:r>
    </w:p>
    <w:p w14:paraId="67117580">
      <w:pPr>
        <w:pStyle w:val="35"/>
        <w:spacing w:line="360" w:lineRule="exact"/>
        <w:ind w:firstLine="480" w:firstLineChars="200"/>
        <w:rPr>
          <w:rFonts w:hint="eastAsia" w:ascii="仿宋" w:hAnsi="仿宋" w:eastAsia="仿宋"/>
          <w:color w:val="000000"/>
        </w:rPr>
      </w:pPr>
      <w:r>
        <w:rPr>
          <w:rFonts w:hint="eastAsia" w:ascii="仿宋" w:hAnsi="仿宋" w:eastAsia="仿宋"/>
          <w:color w:val="000000"/>
        </w:rPr>
        <w:t>3.采购方式：公开招标</w:t>
      </w:r>
    </w:p>
    <w:p w14:paraId="5EE1BD2A">
      <w:pPr>
        <w:pStyle w:val="35"/>
        <w:spacing w:line="360" w:lineRule="exact"/>
        <w:ind w:firstLine="480" w:firstLineChars="200"/>
        <w:rPr>
          <w:rFonts w:hint="eastAsia" w:ascii="仿宋" w:hAnsi="仿宋" w:eastAsia="仿宋"/>
          <w:color w:val="000000"/>
          <w:lang w:eastAsia="zh-CN"/>
        </w:rPr>
      </w:pPr>
      <w:r>
        <w:rPr>
          <w:rFonts w:hint="eastAsia" w:ascii="仿宋" w:hAnsi="仿宋" w:eastAsia="仿宋"/>
          <w:color w:val="000000"/>
        </w:rPr>
        <w:t>4.预算金额：</w:t>
      </w:r>
      <w:r>
        <w:rPr>
          <w:rFonts w:hint="eastAsia" w:ascii="仿宋" w:hAnsi="仿宋" w:eastAsia="仿宋"/>
          <w:color w:val="000000"/>
          <w:lang w:val="en-US" w:eastAsia="zh-CN"/>
        </w:rPr>
        <w:t>113.85</w:t>
      </w:r>
      <w:r>
        <w:rPr>
          <w:rFonts w:hint="eastAsia" w:ascii="仿宋" w:hAnsi="仿宋" w:eastAsia="仿宋"/>
          <w:color w:val="000000"/>
          <w:lang w:eastAsia="zh-CN"/>
        </w:rPr>
        <w:t>万元</w:t>
      </w:r>
    </w:p>
    <w:p w14:paraId="34BB9EAC">
      <w:pPr>
        <w:pStyle w:val="35"/>
        <w:spacing w:line="360" w:lineRule="exact"/>
        <w:ind w:firstLine="480" w:firstLineChars="200"/>
        <w:rPr>
          <w:rFonts w:hint="default" w:ascii="仿宋" w:hAnsi="仿宋" w:eastAsia="仿宋"/>
          <w:color w:val="000000"/>
          <w:lang w:val="en-US" w:eastAsia="zh-CN"/>
        </w:rPr>
      </w:pPr>
      <w:r>
        <w:rPr>
          <w:rFonts w:hint="eastAsia" w:ascii="仿宋" w:hAnsi="仿宋" w:eastAsia="仿宋"/>
          <w:color w:val="000000"/>
        </w:rPr>
        <w:t>5.最高限价（万元）：</w:t>
      </w:r>
      <w:r>
        <w:rPr>
          <w:rFonts w:hint="eastAsia" w:ascii="仿宋" w:hAnsi="仿宋" w:eastAsia="仿宋"/>
          <w:color w:val="000000"/>
          <w:lang w:val="en-US" w:eastAsia="zh-CN"/>
        </w:rPr>
        <w:t>113.85</w:t>
      </w:r>
    </w:p>
    <w:p w14:paraId="43B5BED5">
      <w:pPr>
        <w:widowControl/>
        <w:ind w:firstLine="480" w:firstLineChars="200"/>
        <w:jc w:val="left"/>
        <w:rPr>
          <w:rFonts w:hint="eastAsia" w:ascii="仿宋" w:hAnsi="仿宋" w:eastAsia="仿宋" w:cs="Times New Roman"/>
          <w:color w:val="000000"/>
          <w:kern w:val="0"/>
          <w:sz w:val="24"/>
          <w:highlight w:val="none"/>
          <w:lang w:val="en-US" w:eastAsia="zh-CN"/>
        </w:rPr>
      </w:pPr>
      <w:r>
        <w:rPr>
          <w:rFonts w:hint="eastAsia" w:ascii="仿宋" w:hAnsi="仿宋" w:eastAsia="仿宋"/>
          <w:color w:val="000000"/>
          <w:kern w:val="0"/>
          <w:sz w:val="24"/>
          <w:highlight w:val="none"/>
          <w:lang w:val="en-US" w:eastAsia="zh-CN"/>
        </w:rPr>
        <w:t>6.</w:t>
      </w:r>
      <w:r>
        <w:rPr>
          <w:rFonts w:hint="eastAsia" w:ascii="仿宋" w:hAnsi="仿宋" w:eastAsia="仿宋" w:cs="Times New Roman"/>
          <w:color w:val="000000"/>
          <w:kern w:val="0"/>
          <w:sz w:val="24"/>
          <w:highlight w:val="none"/>
          <w:lang w:val="en-US" w:eastAsia="zh-CN"/>
        </w:rPr>
        <w:t>采购需求：本次采购共需求26名保安，男女比例8:2，详细采购内容详见招标文件。</w:t>
      </w:r>
    </w:p>
    <w:p w14:paraId="1AD22D22">
      <w:pPr>
        <w:widowControl/>
        <w:ind w:firstLine="480" w:firstLineChars="200"/>
        <w:jc w:val="left"/>
        <w:rPr>
          <w:rFonts w:hint="eastAsia" w:ascii="仿宋" w:hAnsi="仿宋" w:eastAsia="仿宋" w:cs="Times New Roman"/>
          <w:color w:val="000000"/>
          <w:kern w:val="0"/>
          <w:sz w:val="24"/>
          <w:highlight w:val="none"/>
          <w:lang w:val="en-US" w:eastAsia="zh-CN"/>
        </w:rPr>
      </w:pPr>
      <w:r>
        <w:rPr>
          <w:rFonts w:hint="eastAsia" w:ascii="仿宋" w:hAnsi="仿宋" w:eastAsia="仿宋" w:cs="Times New Roman"/>
          <w:color w:val="000000"/>
          <w:kern w:val="0"/>
          <w:sz w:val="24"/>
          <w:highlight w:val="none"/>
          <w:lang w:val="en-US" w:eastAsia="zh-CN"/>
        </w:rPr>
        <w:t>7.履约期限：一年（12个月）。</w:t>
      </w:r>
    </w:p>
    <w:p w14:paraId="3B29AD28">
      <w:pPr>
        <w:pStyle w:val="35"/>
        <w:spacing w:line="360" w:lineRule="exact"/>
        <w:rPr>
          <w:rFonts w:hint="eastAsia" w:ascii="仿宋" w:hAnsi="仿宋" w:eastAsia="仿宋"/>
          <w:b/>
          <w:bCs/>
          <w:color w:val="000000"/>
        </w:rPr>
      </w:pPr>
      <w:bookmarkStart w:id="339" w:name="_Toc28359090"/>
      <w:bookmarkEnd w:id="339"/>
      <w:bookmarkStart w:id="340" w:name="_Toc35393799"/>
      <w:bookmarkEnd w:id="340"/>
      <w:bookmarkStart w:id="341" w:name="_Toc35393630"/>
      <w:bookmarkEnd w:id="341"/>
      <w:bookmarkStart w:id="342" w:name="_Toc28359013"/>
      <w:bookmarkEnd w:id="342"/>
      <w:r>
        <w:rPr>
          <w:rFonts w:hint="eastAsia" w:ascii="仿宋" w:hAnsi="仿宋" w:eastAsia="仿宋"/>
          <w:b/>
          <w:bCs/>
          <w:color w:val="000000"/>
        </w:rPr>
        <w:t>二、投标供应商资格要求：</w:t>
      </w:r>
    </w:p>
    <w:p w14:paraId="0D0681E5">
      <w:pPr>
        <w:pStyle w:val="35"/>
        <w:spacing w:line="360" w:lineRule="exact"/>
        <w:ind w:firstLine="480" w:firstLineChars="200"/>
        <w:rPr>
          <w:rFonts w:hint="eastAsia" w:ascii="仿宋" w:hAnsi="仿宋" w:eastAsia="仿宋"/>
          <w:color w:val="000000"/>
        </w:rPr>
      </w:pPr>
      <w:r>
        <w:rPr>
          <w:rFonts w:hint="eastAsia" w:ascii="仿宋" w:hAnsi="仿宋" w:eastAsia="仿宋"/>
          <w:color w:val="000000"/>
        </w:rPr>
        <w:t>1.满足《中华人民共和国政府采购法》第二十二条要求：</w:t>
      </w:r>
    </w:p>
    <w:p w14:paraId="70CCECEE">
      <w:pPr>
        <w:pStyle w:val="35"/>
        <w:spacing w:line="360" w:lineRule="exact"/>
        <w:ind w:firstLine="240" w:firstLineChars="100"/>
        <w:rPr>
          <w:rFonts w:hint="eastAsia" w:ascii="仿宋" w:hAnsi="仿宋" w:eastAsia="仿宋"/>
          <w:color w:val="000000"/>
        </w:rPr>
      </w:pPr>
      <w:r>
        <w:rPr>
          <w:rFonts w:hint="eastAsia" w:ascii="仿宋" w:hAnsi="仿宋" w:eastAsia="仿宋"/>
          <w:color w:val="000000"/>
        </w:rPr>
        <w:t>（1）具有独立承担民事责任的能力；</w:t>
      </w:r>
    </w:p>
    <w:p w14:paraId="2BBEB6F7">
      <w:pPr>
        <w:pStyle w:val="35"/>
        <w:spacing w:line="360" w:lineRule="exact"/>
        <w:ind w:firstLine="240" w:firstLineChars="100"/>
        <w:rPr>
          <w:rFonts w:hint="eastAsia" w:ascii="仿宋" w:hAnsi="仿宋" w:eastAsia="仿宋"/>
          <w:color w:val="000000"/>
        </w:rPr>
      </w:pPr>
      <w:r>
        <w:rPr>
          <w:rFonts w:hint="eastAsia" w:ascii="仿宋" w:hAnsi="仿宋" w:eastAsia="仿宋"/>
          <w:color w:val="000000"/>
        </w:rPr>
        <w:t>（2）具有健全的财务会计制度；</w:t>
      </w:r>
    </w:p>
    <w:p w14:paraId="4EC55A90">
      <w:pPr>
        <w:pStyle w:val="35"/>
        <w:spacing w:line="360" w:lineRule="exact"/>
        <w:ind w:firstLine="240" w:firstLineChars="100"/>
        <w:rPr>
          <w:rFonts w:hint="eastAsia" w:ascii="仿宋" w:hAnsi="仿宋" w:eastAsia="仿宋"/>
          <w:color w:val="000000"/>
        </w:rPr>
      </w:pPr>
      <w:r>
        <w:rPr>
          <w:rFonts w:hint="eastAsia" w:ascii="仿宋" w:hAnsi="仿宋" w:eastAsia="仿宋"/>
          <w:color w:val="000000"/>
        </w:rPr>
        <w:t>（3）具有履行合同所必需的设备和专业技术能力；</w:t>
      </w:r>
    </w:p>
    <w:p w14:paraId="4EF47EC1">
      <w:pPr>
        <w:pStyle w:val="35"/>
        <w:spacing w:line="360" w:lineRule="exact"/>
        <w:ind w:firstLine="240" w:firstLineChars="100"/>
        <w:rPr>
          <w:rFonts w:hint="eastAsia" w:ascii="仿宋" w:hAnsi="仿宋" w:eastAsia="仿宋"/>
          <w:color w:val="000000"/>
        </w:rPr>
      </w:pPr>
      <w:r>
        <w:rPr>
          <w:rFonts w:hint="eastAsia" w:ascii="仿宋" w:hAnsi="仿宋" w:eastAsia="仿宋"/>
          <w:color w:val="000000"/>
        </w:rPr>
        <w:t>（4）有依法缴纳税收和社会保障资金的良好记录；</w:t>
      </w:r>
    </w:p>
    <w:p w14:paraId="215A0F57">
      <w:pPr>
        <w:pStyle w:val="35"/>
        <w:spacing w:line="360" w:lineRule="exact"/>
        <w:ind w:firstLine="240" w:firstLineChars="100"/>
        <w:rPr>
          <w:rFonts w:hint="eastAsia" w:ascii="仿宋" w:hAnsi="仿宋" w:eastAsia="仿宋"/>
          <w:color w:val="000000"/>
        </w:rPr>
      </w:pPr>
      <w:r>
        <w:rPr>
          <w:rFonts w:hint="eastAsia" w:ascii="仿宋" w:hAnsi="仿宋" w:eastAsia="仿宋"/>
          <w:color w:val="000000"/>
        </w:rPr>
        <w:t>（5）参加政府采购活动前三年内，在经营活动中没有重大违法记录；</w:t>
      </w:r>
    </w:p>
    <w:p w14:paraId="5257DCD8">
      <w:pPr>
        <w:pStyle w:val="35"/>
        <w:spacing w:line="360" w:lineRule="exact"/>
        <w:ind w:firstLine="240" w:firstLineChars="100"/>
        <w:rPr>
          <w:rFonts w:hint="eastAsia" w:ascii="仿宋" w:hAnsi="仿宋" w:eastAsia="仿宋"/>
          <w:color w:val="000000"/>
        </w:rPr>
      </w:pPr>
      <w:r>
        <w:rPr>
          <w:rFonts w:hint="eastAsia" w:ascii="仿宋" w:hAnsi="仿宋" w:eastAsia="仿宋"/>
          <w:color w:val="000000"/>
        </w:rPr>
        <w:t>（6）法律、行政法规规定的其他条件。</w:t>
      </w:r>
    </w:p>
    <w:p w14:paraId="2B4954E3">
      <w:pPr>
        <w:pStyle w:val="35"/>
        <w:spacing w:line="360" w:lineRule="exact"/>
        <w:ind w:firstLine="480" w:firstLineChars="200"/>
        <w:rPr>
          <w:rFonts w:hint="default" w:ascii="仿宋" w:hAnsi="仿宋" w:eastAsia="仿宋" w:cs="Times New Roman"/>
          <w:lang w:val="en-US" w:eastAsia="zh-CN"/>
        </w:rPr>
      </w:pPr>
      <w:r>
        <w:rPr>
          <w:rFonts w:hint="eastAsia" w:ascii="仿宋" w:hAnsi="仿宋" w:eastAsia="仿宋"/>
          <w:color w:val="000000"/>
        </w:rPr>
        <w:t>2.</w:t>
      </w:r>
      <w:r>
        <w:rPr>
          <w:rFonts w:hint="eastAsia" w:ascii="仿宋" w:hAnsi="仿宋" w:eastAsia="仿宋"/>
        </w:rPr>
        <w:t>在“信用中国”网站</w:t>
      </w:r>
      <w:r>
        <w:rPr>
          <w:rFonts w:hint="eastAsia" w:ascii="仿宋" w:hAnsi="仿宋" w:eastAsia="仿宋"/>
          <w:sz w:val="22"/>
          <w:szCs w:val="22"/>
        </w:rPr>
        <w:t>（ www.creditchina.gov.cn）</w:t>
      </w:r>
      <w:r>
        <w:rPr>
          <w:rFonts w:hint="eastAsia" w:ascii="仿宋" w:hAnsi="仿宋" w:eastAsia="仿宋"/>
        </w:rPr>
        <w:t>被列入失信被执行人、重大税收违法案件当事人名单(信用服务-重点领域严重失信主体名单查询-搜索栏输入单位全称-截图)、中国政府采购网</w:t>
      </w:r>
      <w:r>
        <w:rPr>
          <w:rFonts w:hint="eastAsia" w:ascii="仿宋" w:hAnsi="仿宋" w:eastAsia="仿宋"/>
          <w:sz w:val="21"/>
          <w:szCs w:val="21"/>
        </w:rPr>
        <w:t>（http://www.ccgp.gov.cn/search/cr/）</w:t>
      </w:r>
      <w:r>
        <w:rPr>
          <w:rFonts w:hint="eastAsia" w:ascii="仿宋" w:hAnsi="仿宋" w:eastAsia="仿宋"/>
        </w:rPr>
        <w:t>严重违法失信行为记录名单的（尚在处罚期内的）将拒绝其参加本次招标活动</w:t>
      </w:r>
      <w:r>
        <w:rPr>
          <w:rFonts w:hint="eastAsia" w:ascii="仿宋" w:hAnsi="仿宋" w:eastAsia="仿宋"/>
          <w:color w:val="000000"/>
        </w:rPr>
        <w:t>。</w:t>
      </w:r>
    </w:p>
    <w:p w14:paraId="68A9DE65">
      <w:pPr>
        <w:pStyle w:val="35"/>
        <w:spacing w:line="360" w:lineRule="exact"/>
        <w:ind w:firstLine="482" w:firstLineChars="200"/>
        <w:rPr>
          <w:rFonts w:hint="eastAsia" w:ascii="仿宋" w:hAnsi="仿宋" w:eastAsia="仿宋"/>
          <w:color w:val="000000"/>
        </w:rPr>
      </w:pPr>
      <w:r>
        <w:rPr>
          <w:rFonts w:hint="eastAsia" w:ascii="仿宋" w:hAnsi="仿宋" w:eastAsia="仿宋"/>
          <w:b/>
          <w:bCs/>
          <w:color w:val="000000"/>
          <w:lang w:val="en-US" w:eastAsia="zh-CN"/>
        </w:rPr>
        <w:t>3.</w:t>
      </w:r>
      <w:r>
        <w:rPr>
          <w:rFonts w:hint="eastAsia" w:ascii="仿宋" w:hAnsi="仿宋" w:eastAsia="仿宋"/>
          <w:b/>
          <w:bCs/>
          <w:color w:val="000000"/>
        </w:rPr>
        <w:t>本项目专门面向中小微企业采购</w:t>
      </w:r>
      <w:r>
        <w:rPr>
          <w:rFonts w:hint="eastAsia" w:ascii="仿宋" w:hAnsi="仿宋" w:eastAsia="仿宋"/>
          <w:color w:val="000000"/>
        </w:rPr>
        <w:t>。</w:t>
      </w:r>
    </w:p>
    <w:p w14:paraId="143F8C6E">
      <w:pPr>
        <w:pStyle w:val="35"/>
        <w:spacing w:line="360" w:lineRule="exact"/>
        <w:ind w:firstLine="480" w:firstLineChars="200"/>
        <w:rPr>
          <w:rFonts w:hint="eastAsia" w:ascii="仿宋" w:hAnsi="仿宋" w:eastAsia="仿宋"/>
          <w:color w:val="000000"/>
        </w:rPr>
      </w:pPr>
      <w:r>
        <w:rPr>
          <w:rFonts w:hint="eastAsia" w:ascii="仿宋" w:hAnsi="仿宋" w:eastAsia="仿宋"/>
          <w:color w:val="000000"/>
          <w:lang w:val="en-US" w:eastAsia="zh-CN"/>
        </w:rPr>
        <w:t>4</w:t>
      </w:r>
      <w:r>
        <w:rPr>
          <w:rFonts w:hint="eastAsia" w:ascii="仿宋" w:hAnsi="仿宋" w:eastAsia="仿宋"/>
          <w:color w:val="000000"/>
        </w:rPr>
        <w:t>.投标商需符合《公安机关实施保安服务管理条例办法》规定，并具有有效的《保安服务许可证》；</w:t>
      </w:r>
    </w:p>
    <w:p w14:paraId="6DFE7A5E">
      <w:pPr>
        <w:pStyle w:val="35"/>
        <w:spacing w:line="360" w:lineRule="exact"/>
        <w:ind w:firstLine="480" w:firstLineChars="200"/>
        <w:rPr>
          <w:rFonts w:hint="eastAsia" w:ascii="仿宋" w:hAnsi="仿宋" w:eastAsia="仿宋"/>
          <w:color w:val="000000"/>
          <w:lang w:eastAsia="zh-CN"/>
        </w:rPr>
      </w:pPr>
      <w:r>
        <w:rPr>
          <w:rFonts w:hint="eastAsia" w:ascii="仿宋" w:hAnsi="仿宋" w:eastAsia="仿宋"/>
          <w:color w:val="000000"/>
          <w:lang w:val="en-US" w:eastAsia="zh-CN"/>
        </w:rPr>
        <w:t>5.</w:t>
      </w:r>
      <w:r>
        <w:rPr>
          <w:rFonts w:hint="eastAsia" w:ascii="仿宋" w:hAnsi="仿宋" w:eastAsia="仿宋"/>
          <w:color w:val="000000"/>
        </w:rPr>
        <w:t>本项目不接受联合体投标</w:t>
      </w:r>
      <w:r>
        <w:rPr>
          <w:rFonts w:hint="eastAsia" w:ascii="仿宋" w:hAnsi="仿宋" w:eastAsia="仿宋"/>
          <w:color w:val="000000"/>
          <w:lang w:eastAsia="zh-CN"/>
        </w:rPr>
        <w:t>；</w:t>
      </w:r>
    </w:p>
    <w:p w14:paraId="65B5D1D9">
      <w:pPr>
        <w:pStyle w:val="35"/>
        <w:spacing w:line="360" w:lineRule="exact"/>
        <w:ind w:firstLine="480" w:firstLineChars="200"/>
        <w:rPr>
          <w:rFonts w:hint="eastAsia" w:ascii="仿宋" w:hAnsi="仿宋" w:eastAsia="仿宋"/>
          <w:color w:val="000000"/>
          <w:sz w:val="18"/>
          <w:szCs w:val="18"/>
        </w:rPr>
      </w:pPr>
      <w:r>
        <w:rPr>
          <w:rFonts w:hint="eastAsia" w:ascii="仿宋" w:hAnsi="仿宋" w:eastAsia="仿宋"/>
          <w:color w:val="000000"/>
          <w:lang w:val="en-US" w:eastAsia="zh-CN"/>
        </w:rPr>
        <w:t>6</w:t>
      </w:r>
      <w:r>
        <w:rPr>
          <w:rFonts w:hint="eastAsia" w:ascii="仿宋" w:hAnsi="仿宋" w:eastAsia="仿宋"/>
          <w:color w:val="000000"/>
        </w:rPr>
        <w:t>.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14:paraId="554B8CC4">
      <w:pPr>
        <w:pStyle w:val="35"/>
        <w:spacing w:line="360" w:lineRule="exact"/>
        <w:rPr>
          <w:rFonts w:hint="eastAsia" w:ascii="仿宋" w:hAnsi="仿宋" w:eastAsia="仿宋"/>
          <w:b/>
          <w:bCs/>
          <w:color w:val="000000"/>
        </w:rPr>
      </w:pPr>
      <w:r>
        <w:rPr>
          <w:rFonts w:hint="eastAsia" w:ascii="仿宋" w:hAnsi="仿宋" w:eastAsia="仿宋"/>
          <w:b/>
          <w:bCs/>
          <w:color w:val="000000"/>
        </w:rPr>
        <w:t>三、获取采购文件</w:t>
      </w:r>
    </w:p>
    <w:p w14:paraId="4B84B35C">
      <w:pPr>
        <w:spacing w:line="360" w:lineRule="exact"/>
        <w:ind w:firstLine="480" w:firstLineChars="200"/>
        <w:rPr>
          <w:rFonts w:hint="eastAsia" w:ascii="仿宋" w:hAnsi="仿宋" w:eastAsia="仿宋"/>
          <w:sz w:val="24"/>
        </w:rPr>
      </w:pPr>
      <w:r>
        <w:rPr>
          <w:rFonts w:hint="eastAsia" w:ascii="仿宋" w:hAnsi="仿宋" w:eastAsia="仿宋"/>
          <w:sz w:val="24"/>
        </w:rPr>
        <w:t>获取时间：</w:t>
      </w:r>
      <w:r>
        <w:rPr>
          <w:rFonts w:hint="eastAsia" w:ascii="仿宋" w:hAnsi="仿宋" w:eastAsia="仿宋"/>
          <w:color w:val="000000"/>
          <w:sz w:val="24"/>
        </w:rPr>
        <w:t>202</w:t>
      </w:r>
      <w:r>
        <w:rPr>
          <w:rFonts w:hint="eastAsia" w:ascii="仿宋" w:hAnsi="仿宋" w:eastAsia="仿宋"/>
          <w:color w:val="000000"/>
          <w:sz w:val="24"/>
          <w:lang w:val="en-US" w:eastAsia="zh-CN"/>
        </w:rPr>
        <w:t>5</w:t>
      </w:r>
      <w:r>
        <w:rPr>
          <w:rFonts w:hint="eastAsia" w:ascii="仿宋" w:hAnsi="仿宋" w:eastAsia="仿宋"/>
          <w:color w:val="000000"/>
          <w:sz w:val="24"/>
        </w:rPr>
        <w:t>年</w:t>
      </w:r>
      <w:r>
        <w:rPr>
          <w:rFonts w:hint="eastAsia" w:ascii="仿宋" w:hAnsi="仿宋" w:eastAsia="仿宋"/>
          <w:color w:val="000000"/>
          <w:sz w:val="24"/>
          <w:lang w:val="en-US" w:eastAsia="zh-CN"/>
        </w:rPr>
        <w:t xml:space="preserve"> 2 </w:t>
      </w:r>
      <w:r>
        <w:rPr>
          <w:rFonts w:hint="eastAsia" w:ascii="仿宋" w:hAnsi="仿宋" w:eastAsia="仿宋"/>
          <w:color w:val="000000"/>
          <w:sz w:val="24"/>
        </w:rPr>
        <w:t>月</w:t>
      </w:r>
      <w:r>
        <w:rPr>
          <w:rFonts w:hint="eastAsia" w:ascii="仿宋" w:hAnsi="仿宋" w:eastAsia="仿宋"/>
          <w:color w:val="000000"/>
          <w:sz w:val="24"/>
          <w:lang w:val="en-US" w:eastAsia="zh-CN"/>
        </w:rPr>
        <w:t xml:space="preserve">  28 </w:t>
      </w:r>
      <w:r>
        <w:rPr>
          <w:rFonts w:hint="eastAsia" w:ascii="仿宋" w:hAnsi="仿宋" w:eastAsia="仿宋"/>
          <w:color w:val="000000"/>
          <w:sz w:val="24"/>
        </w:rPr>
        <w:t>日至202</w:t>
      </w:r>
      <w:r>
        <w:rPr>
          <w:rFonts w:hint="eastAsia" w:ascii="仿宋" w:hAnsi="仿宋" w:eastAsia="仿宋"/>
          <w:color w:val="000000"/>
          <w:sz w:val="24"/>
          <w:lang w:val="en-US" w:eastAsia="zh-CN"/>
        </w:rPr>
        <w:t>5</w:t>
      </w:r>
      <w:r>
        <w:rPr>
          <w:rFonts w:hint="eastAsia" w:ascii="仿宋" w:hAnsi="仿宋" w:eastAsia="仿宋"/>
          <w:color w:val="000000"/>
          <w:sz w:val="24"/>
        </w:rPr>
        <w:t>年</w:t>
      </w:r>
      <w:r>
        <w:rPr>
          <w:rFonts w:hint="eastAsia" w:ascii="仿宋" w:hAnsi="仿宋" w:eastAsia="仿宋"/>
          <w:color w:val="000000"/>
          <w:sz w:val="24"/>
          <w:lang w:val="en-US" w:eastAsia="zh-CN"/>
        </w:rPr>
        <w:t xml:space="preserve"> 3  </w:t>
      </w:r>
      <w:r>
        <w:rPr>
          <w:rFonts w:hint="eastAsia" w:ascii="仿宋" w:hAnsi="仿宋" w:eastAsia="仿宋"/>
          <w:color w:val="000000"/>
          <w:sz w:val="24"/>
        </w:rPr>
        <w:t>月</w:t>
      </w:r>
      <w:r>
        <w:rPr>
          <w:rFonts w:hint="eastAsia" w:ascii="仿宋" w:hAnsi="仿宋" w:eastAsia="仿宋"/>
          <w:color w:val="000000"/>
          <w:sz w:val="24"/>
          <w:lang w:val="en-US" w:eastAsia="zh-CN"/>
        </w:rPr>
        <w:t xml:space="preserve">  24  </w:t>
      </w:r>
      <w:r>
        <w:rPr>
          <w:rFonts w:hint="eastAsia" w:ascii="仿宋" w:hAnsi="仿宋" w:eastAsia="仿宋"/>
          <w:color w:val="000000"/>
          <w:sz w:val="24"/>
        </w:rPr>
        <w:t>日</w:t>
      </w:r>
    </w:p>
    <w:p w14:paraId="5A3A36D4">
      <w:pPr>
        <w:spacing w:line="360" w:lineRule="exact"/>
        <w:ind w:firstLine="480" w:firstLineChars="200"/>
        <w:rPr>
          <w:rFonts w:hint="eastAsia" w:ascii="仿宋" w:hAnsi="仿宋" w:eastAsia="仿宋"/>
          <w:sz w:val="24"/>
        </w:rPr>
      </w:pPr>
      <w:r>
        <w:rPr>
          <w:rFonts w:hint="eastAsia" w:ascii="仿宋" w:hAnsi="仿宋" w:eastAsia="仿宋"/>
          <w:sz w:val="24"/>
        </w:rPr>
        <w:t>获取方式：供应商登陆新疆政府采购网 (ccgp-xinjiang.gov.cn)见此项目公告附件下载。</w:t>
      </w:r>
    </w:p>
    <w:p w14:paraId="16F20D6C">
      <w:pPr>
        <w:spacing w:line="360" w:lineRule="exact"/>
        <w:ind w:firstLine="480" w:firstLineChars="200"/>
        <w:rPr>
          <w:rFonts w:hint="eastAsia" w:ascii="仿宋" w:hAnsi="仿宋" w:eastAsia="仿宋"/>
          <w:sz w:val="24"/>
        </w:rPr>
      </w:pPr>
      <w:r>
        <w:rPr>
          <w:rFonts w:hint="eastAsia" w:ascii="仿宋" w:hAnsi="仿宋" w:eastAsia="仿宋"/>
          <w:sz w:val="24"/>
        </w:rPr>
        <w:t>获取地点：供应商登陆新疆政府采购网 (ccgp-xinjiang.gov.cn)见此项目公告附件下载。</w:t>
      </w:r>
    </w:p>
    <w:p w14:paraId="605A133B">
      <w:pPr>
        <w:spacing w:line="360" w:lineRule="exact"/>
        <w:rPr>
          <w:rFonts w:hint="eastAsia" w:ascii="仿宋" w:hAnsi="仿宋" w:eastAsia="仿宋" w:cs="Times New Roman"/>
          <w:b/>
          <w:bCs/>
          <w:color w:val="000000"/>
          <w:kern w:val="0"/>
          <w:sz w:val="24"/>
          <w:szCs w:val="24"/>
          <w:lang w:val="en-US" w:eastAsia="zh-CN" w:bidi="ar-SA"/>
        </w:rPr>
      </w:pPr>
      <w:bookmarkStart w:id="343" w:name="_Toc952"/>
      <w:bookmarkEnd w:id="343"/>
      <w:bookmarkStart w:id="344" w:name="_Toc28359005"/>
      <w:bookmarkEnd w:id="344"/>
      <w:bookmarkStart w:id="345" w:name="_Toc35393624"/>
      <w:bookmarkEnd w:id="345"/>
      <w:bookmarkStart w:id="346" w:name="_Toc9047"/>
      <w:bookmarkEnd w:id="346"/>
      <w:bookmarkStart w:id="347" w:name="_Toc28359082"/>
      <w:bookmarkEnd w:id="347"/>
      <w:bookmarkStart w:id="348" w:name="_Toc2532"/>
      <w:bookmarkEnd w:id="348"/>
      <w:bookmarkStart w:id="349" w:name="_Toc2422"/>
      <w:bookmarkEnd w:id="349"/>
      <w:bookmarkStart w:id="350" w:name="_Toc35393793"/>
      <w:bookmarkEnd w:id="350"/>
      <w:r>
        <w:rPr>
          <w:rFonts w:hint="eastAsia" w:ascii="仿宋" w:hAnsi="仿宋" w:eastAsia="仿宋" w:cs="Times New Roman"/>
          <w:b/>
          <w:bCs/>
          <w:color w:val="000000"/>
          <w:kern w:val="0"/>
          <w:sz w:val="24"/>
          <w:szCs w:val="24"/>
          <w:lang w:val="en-US" w:eastAsia="zh-CN" w:bidi="ar-SA"/>
        </w:rPr>
        <w:t>四、项目内容及需求：</w:t>
      </w:r>
    </w:p>
    <w:p w14:paraId="42C5E4BF">
      <w:pPr>
        <w:spacing w:line="360" w:lineRule="exact"/>
        <w:ind w:firstLine="480" w:firstLineChars="200"/>
        <w:rPr>
          <w:rFonts w:hint="eastAsia" w:ascii="仿宋" w:hAnsi="仿宋" w:eastAsia="仿宋"/>
          <w:sz w:val="24"/>
        </w:rPr>
      </w:pPr>
      <w:r>
        <w:rPr>
          <w:rFonts w:hint="eastAsia" w:ascii="仿宋" w:hAnsi="仿宋" w:eastAsia="仿宋"/>
          <w:sz w:val="24"/>
        </w:rPr>
        <w:t>1、采购人的具体采购需求：详见</w:t>
      </w:r>
      <w:r>
        <w:rPr>
          <w:rFonts w:hint="eastAsia" w:ascii="仿宋" w:hAnsi="仿宋" w:eastAsia="仿宋"/>
          <w:sz w:val="24"/>
          <w:lang w:val="en-US" w:eastAsia="zh-CN"/>
        </w:rPr>
        <w:t>招标</w:t>
      </w:r>
      <w:r>
        <w:rPr>
          <w:rFonts w:hint="eastAsia" w:ascii="仿宋" w:hAnsi="仿宋" w:eastAsia="仿宋"/>
          <w:sz w:val="24"/>
        </w:rPr>
        <w:t xml:space="preserve">文件第5章项目服务需求及技术规格。 </w:t>
      </w:r>
    </w:p>
    <w:p w14:paraId="4168752B">
      <w:pPr>
        <w:spacing w:line="360" w:lineRule="exact"/>
        <w:ind w:firstLine="480" w:firstLineChars="200"/>
        <w:rPr>
          <w:rFonts w:hint="default" w:ascii="仿宋" w:hAnsi="仿宋" w:eastAsia="仿宋"/>
          <w:sz w:val="24"/>
          <w:lang w:val="en-US" w:eastAsia="zh-CN"/>
        </w:rPr>
      </w:pPr>
      <w:r>
        <w:rPr>
          <w:rFonts w:hint="eastAsia" w:ascii="仿宋" w:hAnsi="仿宋" w:eastAsia="仿宋"/>
          <w:sz w:val="24"/>
        </w:rPr>
        <w:t>2、本项目属于政府采购项目</w:t>
      </w:r>
      <w:r>
        <w:rPr>
          <w:rFonts w:hint="eastAsia" w:ascii="仿宋" w:hAnsi="仿宋" w:eastAsia="仿宋"/>
          <w:sz w:val="24"/>
          <w:lang w:eastAsia="zh-CN"/>
        </w:rPr>
        <w:t>：</w:t>
      </w:r>
      <w:r>
        <w:rPr>
          <w:rFonts w:hint="eastAsia" w:ascii="仿宋" w:hAnsi="仿宋" w:eastAsia="仿宋"/>
          <w:b/>
          <w:bCs/>
          <w:sz w:val="24"/>
          <w:lang w:val="en-US" w:eastAsia="zh-CN"/>
        </w:rPr>
        <w:t>服务采购。</w:t>
      </w:r>
    </w:p>
    <w:p w14:paraId="175B73F1">
      <w:pPr>
        <w:spacing w:line="360" w:lineRule="exact"/>
        <w:ind w:firstLine="480" w:firstLineChars="200"/>
        <w:rPr>
          <w:rFonts w:hint="eastAsia" w:ascii="仿宋" w:hAnsi="仿宋" w:eastAsia="仿宋"/>
          <w:sz w:val="24"/>
        </w:rPr>
      </w:pPr>
      <w:r>
        <w:rPr>
          <w:rFonts w:hint="eastAsia" w:ascii="仿宋" w:hAnsi="仿宋" w:eastAsia="仿宋"/>
          <w:sz w:val="24"/>
        </w:rPr>
        <w:t xml:space="preserve">3、需要落实的政府采购政策：《政府采购促进中小企业发展管理办法》（财库〔2020〕46号）、《关于政府采购支持监狱企业发展有关问题的通知》(财库〔2014〕68 号)、《关于促进残疾人就业政府采购政策的通知》（财库〔2017〕141号)、《关于调整优化节能 产品、环境标志产品政府采购执行机制的通知》（财库〔2019〕09 号)、《财政部关于印发环境标志产品政府采购品目清单的通知》（财库〔2019〕18 号）《关于印发节能产品政府采购品目清单的通知》（财库〔2019〕19 号）。 </w:t>
      </w:r>
    </w:p>
    <w:p w14:paraId="5E5C010A">
      <w:pPr>
        <w:spacing w:line="360" w:lineRule="exact"/>
        <w:ind w:firstLine="480" w:firstLineChars="200"/>
        <w:rPr>
          <w:rFonts w:hint="eastAsia" w:ascii="仿宋" w:hAnsi="仿宋" w:eastAsia="仿宋"/>
          <w:b/>
          <w:sz w:val="24"/>
        </w:rPr>
      </w:pPr>
      <w:r>
        <w:rPr>
          <w:rFonts w:hint="eastAsia" w:ascii="仿宋" w:hAnsi="仿宋" w:eastAsia="仿宋"/>
          <w:sz w:val="24"/>
        </w:rPr>
        <w:t>4、本项目采购标的对应的中小企业划分标准</w:t>
      </w:r>
      <w:r>
        <w:rPr>
          <w:rFonts w:hint="eastAsia" w:ascii="仿宋" w:hAnsi="仿宋" w:eastAsia="仿宋"/>
          <w:b/>
          <w:bCs/>
          <w:sz w:val="24"/>
        </w:rPr>
        <w:t>所属行业：</w:t>
      </w:r>
      <w:r>
        <w:rPr>
          <w:rFonts w:hint="eastAsia" w:ascii="仿宋" w:hAnsi="仿宋" w:eastAsia="仿宋"/>
          <w:b/>
          <w:bCs/>
          <w:sz w:val="24"/>
          <w:lang w:val="en-US" w:eastAsia="zh-CN"/>
        </w:rPr>
        <w:t>物业管理</w:t>
      </w:r>
      <w:r>
        <w:rPr>
          <w:rFonts w:hint="eastAsia" w:ascii="仿宋" w:hAnsi="仿宋" w:eastAsia="仿宋"/>
          <w:b/>
          <w:bCs/>
          <w:sz w:val="24"/>
        </w:rPr>
        <w:t>。</w:t>
      </w:r>
    </w:p>
    <w:p w14:paraId="12B1153F">
      <w:pPr>
        <w:spacing w:line="360" w:lineRule="exact"/>
        <w:rPr>
          <w:rFonts w:hint="eastAsia" w:ascii="仿宋" w:hAnsi="仿宋" w:eastAsia="仿宋"/>
          <w:b/>
          <w:sz w:val="24"/>
        </w:rPr>
      </w:pPr>
      <w:r>
        <w:rPr>
          <w:rFonts w:hint="eastAsia" w:ascii="仿宋" w:hAnsi="仿宋" w:eastAsia="仿宋"/>
          <w:b/>
          <w:sz w:val="24"/>
          <w:lang w:val="en-US" w:eastAsia="zh-CN"/>
        </w:rPr>
        <w:t>五</w:t>
      </w:r>
      <w:r>
        <w:rPr>
          <w:rFonts w:hint="eastAsia" w:ascii="仿宋" w:hAnsi="仿宋" w:eastAsia="仿宋"/>
          <w:b/>
          <w:sz w:val="24"/>
        </w:rPr>
        <w:t>、提交投标文件截止时间、开标时间和地点</w:t>
      </w:r>
    </w:p>
    <w:p w14:paraId="01416559">
      <w:pPr>
        <w:spacing w:line="360" w:lineRule="exact"/>
        <w:ind w:firstLine="480" w:firstLineChars="200"/>
        <w:rPr>
          <w:rFonts w:hint="eastAsia" w:ascii="仿宋" w:hAnsi="仿宋" w:eastAsia="仿宋"/>
          <w:sz w:val="24"/>
        </w:rPr>
      </w:pPr>
      <w:r>
        <w:rPr>
          <w:rFonts w:hint="eastAsia" w:ascii="仿宋" w:hAnsi="仿宋" w:eastAsia="仿宋"/>
          <w:sz w:val="24"/>
        </w:rPr>
        <w:t>提交投标文件截止时间：202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 xml:space="preserve"> 3 </w:t>
      </w:r>
      <w:r>
        <w:rPr>
          <w:rFonts w:hint="eastAsia" w:ascii="仿宋" w:hAnsi="仿宋" w:eastAsia="仿宋"/>
          <w:sz w:val="24"/>
        </w:rPr>
        <w:t>月</w:t>
      </w:r>
      <w:r>
        <w:rPr>
          <w:rFonts w:hint="eastAsia" w:ascii="仿宋" w:hAnsi="仿宋" w:eastAsia="仿宋"/>
          <w:sz w:val="24"/>
          <w:lang w:val="en-US" w:eastAsia="zh-CN"/>
        </w:rPr>
        <w:t xml:space="preserve">25  </w:t>
      </w:r>
      <w:r>
        <w:rPr>
          <w:rFonts w:hint="eastAsia" w:ascii="仿宋" w:hAnsi="仿宋" w:eastAsia="仿宋"/>
          <w:sz w:val="24"/>
        </w:rPr>
        <w:t>日</w:t>
      </w:r>
      <w:r>
        <w:rPr>
          <w:rFonts w:hint="eastAsia" w:ascii="仿宋" w:hAnsi="仿宋" w:eastAsia="仿宋"/>
          <w:sz w:val="24"/>
          <w:lang w:val="en-US" w:eastAsia="zh-CN"/>
        </w:rPr>
        <w:t xml:space="preserve"> 11 </w:t>
      </w:r>
      <w:r>
        <w:rPr>
          <w:rFonts w:hint="eastAsia" w:ascii="仿宋" w:hAnsi="仿宋" w:eastAsia="仿宋"/>
          <w:sz w:val="24"/>
        </w:rPr>
        <w:t>点</w:t>
      </w:r>
      <w:r>
        <w:rPr>
          <w:rFonts w:hint="eastAsia" w:ascii="仿宋" w:hAnsi="仿宋" w:eastAsia="仿宋"/>
          <w:sz w:val="24"/>
          <w:lang w:val="en-US" w:eastAsia="zh-CN"/>
        </w:rPr>
        <w:t xml:space="preserve">00  </w:t>
      </w:r>
      <w:r>
        <w:rPr>
          <w:rFonts w:hint="eastAsia" w:ascii="仿宋" w:hAnsi="仿宋" w:eastAsia="仿宋"/>
          <w:sz w:val="24"/>
        </w:rPr>
        <w:t>分</w:t>
      </w:r>
      <w:r>
        <w:rPr>
          <w:rFonts w:hint="eastAsia" w:ascii="仿宋" w:hAnsi="仿宋" w:eastAsia="仿宋"/>
          <w:bCs/>
          <w:sz w:val="24"/>
        </w:rPr>
        <w:t>（北京时间）</w:t>
      </w:r>
    </w:p>
    <w:p w14:paraId="0A089704">
      <w:pPr>
        <w:spacing w:line="360" w:lineRule="exact"/>
        <w:ind w:firstLine="480" w:firstLineChars="200"/>
        <w:rPr>
          <w:rFonts w:hint="eastAsia" w:ascii="仿宋" w:hAnsi="仿宋" w:eastAsia="仿宋"/>
          <w:sz w:val="24"/>
        </w:rPr>
      </w:pPr>
      <w:r>
        <w:rPr>
          <w:rFonts w:hint="eastAsia" w:ascii="仿宋" w:hAnsi="仿宋" w:eastAsia="仿宋"/>
          <w:sz w:val="24"/>
        </w:rPr>
        <w:t>投标地点：</w:t>
      </w:r>
      <w:r>
        <w:rPr>
          <w:rFonts w:hint="eastAsia" w:ascii="仿宋" w:hAnsi="仿宋" w:eastAsia="仿宋"/>
          <w:kern w:val="0"/>
          <w:sz w:val="24"/>
        </w:rPr>
        <w:t>政采云平台</w:t>
      </w:r>
      <w:r>
        <w:rPr>
          <w:rFonts w:hint="eastAsia" w:ascii="仿宋" w:hAnsi="仿宋" w:eastAsia="仿宋"/>
          <w:sz w:val="22"/>
          <w:szCs w:val="22"/>
        </w:rPr>
        <w:t>（https://login.zcygov.cn/user-login/#/login）</w:t>
      </w:r>
    </w:p>
    <w:p w14:paraId="0D71502F">
      <w:pPr>
        <w:spacing w:line="360" w:lineRule="exact"/>
        <w:ind w:firstLine="480" w:firstLineChars="200"/>
        <w:rPr>
          <w:rFonts w:hint="eastAsia" w:ascii="仿宋" w:hAnsi="仿宋" w:eastAsia="仿宋"/>
          <w:sz w:val="24"/>
        </w:rPr>
      </w:pPr>
      <w:r>
        <w:rPr>
          <w:rFonts w:hint="eastAsia" w:ascii="仿宋" w:hAnsi="仿宋" w:eastAsia="仿宋"/>
          <w:sz w:val="24"/>
        </w:rPr>
        <w:t>开标时间：202</w:t>
      </w:r>
      <w:r>
        <w:rPr>
          <w:rFonts w:hint="eastAsia" w:ascii="仿宋" w:hAnsi="仿宋" w:eastAsia="仿宋"/>
          <w:sz w:val="24"/>
          <w:lang w:val="en-US" w:eastAsia="zh-CN"/>
        </w:rPr>
        <w:t>5</w:t>
      </w:r>
      <w:r>
        <w:rPr>
          <w:rFonts w:hint="eastAsia" w:ascii="仿宋" w:hAnsi="仿宋" w:eastAsia="仿宋"/>
          <w:sz w:val="24"/>
        </w:rPr>
        <w:t>年</w:t>
      </w:r>
      <w:r>
        <w:rPr>
          <w:rFonts w:hint="eastAsia" w:ascii="仿宋" w:hAnsi="仿宋" w:eastAsia="仿宋"/>
          <w:sz w:val="24"/>
          <w:lang w:val="en-US" w:eastAsia="zh-CN"/>
        </w:rPr>
        <w:t xml:space="preserve">  3 </w:t>
      </w:r>
      <w:r>
        <w:rPr>
          <w:rFonts w:hint="eastAsia" w:ascii="仿宋" w:hAnsi="仿宋" w:eastAsia="仿宋"/>
          <w:sz w:val="24"/>
        </w:rPr>
        <w:t>月</w:t>
      </w:r>
      <w:r>
        <w:rPr>
          <w:rFonts w:hint="eastAsia" w:ascii="仿宋" w:hAnsi="仿宋" w:eastAsia="仿宋"/>
          <w:sz w:val="24"/>
          <w:lang w:val="en-US" w:eastAsia="zh-CN"/>
        </w:rPr>
        <w:t xml:space="preserve">  25  </w:t>
      </w:r>
      <w:r>
        <w:rPr>
          <w:rFonts w:hint="eastAsia" w:ascii="仿宋" w:hAnsi="仿宋" w:eastAsia="仿宋"/>
          <w:sz w:val="24"/>
        </w:rPr>
        <w:t>日</w:t>
      </w:r>
      <w:r>
        <w:rPr>
          <w:rFonts w:hint="eastAsia" w:ascii="仿宋" w:hAnsi="仿宋" w:eastAsia="仿宋"/>
          <w:sz w:val="24"/>
          <w:lang w:val="en-US" w:eastAsia="zh-CN"/>
        </w:rPr>
        <w:t xml:space="preserve"> 11 </w:t>
      </w:r>
      <w:r>
        <w:rPr>
          <w:rFonts w:hint="eastAsia" w:ascii="仿宋" w:hAnsi="仿宋" w:eastAsia="仿宋"/>
          <w:sz w:val="24"/>
        </w:rPr>
        <w:t>点</w:t>
      </w:r>
      <w:r>
        <w:rPr>
          <w:rFonts w:hint="eastAsia" w:ascii="仿宋" w:hAnsi="仿宋" w:eastAsia="仿宋"/>
          <w:sz w:val="24"/>
          <w:lang w:val="en-US" w:eastAsia="zh-CN"/>
        </w:rPr>
        <w:t xml:space="preserve"> 00 </w:t>
      </w:r>
      <w:r>
        <w:rPr>
          <w:rFonts w:hint="eastAsia" w:ascii="仿宋" w:hAnsi="仿宋" w:eastAsia="仿宋"/>
          <w:sz w:val="24"/>
        </w:rPr>
        <w:t>分（北京时间）</w:t>
      </w:r>
    </w:p>
    <w:p w14:paraId="494DE615">
      <w:pPr>
        <w:spacing w:line="360" w:lineRule="exact"/>
        <w:ind w:firstLine="480" w:firstLineChars="200"/>
        <w:rPr>
          <w:rFonts w:hint="eastAsia" w:ascii="仿宋" w:hAnsi="仿宋" w:eastAsia="仿宋"/>
          <w:sz w:val="24"/>
        </w:rPr>
      </w:pPr>
      <w:r>
        <w:rPr>
          <w:rFonts w:hint="eastAsia" w:ascii="仿宋" w:hAnsi="仿宋" w:eastAsia="仿宋"/>
          <w:sz w:val="24"/>
        </w:rPr>
        <w:t>开标地点：</w:t>
      </w:r>
      <w:r>
        <w:rPr>
          <w:rFonts w:hint="eastAsia" w:ascii="仿宋" w:hAnsi="仿宋" w:eastAsia="仿宋"/>
          <w:kern w:val="0"/>
          <w:sz w:val="24"/>
        </w:rPr>
        <w:t>政采云平台</w:t>
      </w:r>
      <w:r>
        <w:rPr>
          <w:rFonts w:hint="eastAsia" w:ascii="仿宋" w:hAnsi="仿宋" w:eastAsia="仿宋"/>
          <w:sz w:val="22"/>
          <w:szCs w:val="22"/>
        </w:rPr>
        <w:t>（https://login.zcygov.cn/user-login/#/login）</w:t>
      </w:r>
    </w:p>
    <w:p w14:paraId="316B5B1F">
      <w:pPr>
        <w:spacing w:line="360" w:lineRule="exact"/>
        <w:rPr>
          <w:rFonts w:hint="eastAsia" w:ascii="仿宋" w:hAnsi="仿宋" w:eastAsia="仿宋"/>
          <w:b/>
          <w:sz w:val="24"/>
        </w:rPr>
      </w:pPr>
      <w:r>
        <w:rPr>
          <w:rFonts w:hint="eastAsia" w:ascii="仿宋" w:hAnsi="仿宋" w:eastAsia="仿宋"/>
          <w:b/>
          <w:sz w:val="24"/>
          <w:lang w:val="en-US" w:eastAsia="zh-CN"/>
        </w:rPr>
        <w:t>六</w:t>
      </w:r>
      <w:r>
        <w:rPr>
          <w:rFonts w:hint="eastAsia" w:ascii="仿宋" w:hAnsi="仿宋" w:eastAsia="仿宋"/>
          <w:b/>
          <w:sz w:val="24"/>
        </w:rPr>
        <w:t>、公告期限</w:t>
      </w:r>
    </w:p>
    <w:p w14:paraId="2DB7B8B6">
      <w:pPr>
        <w:spacing w:line="360" w:lineRule="exact"/>
        <w:ind w:firstLine="480" w:firstLineChars="200"/>
        <w:rPr>
          <w:rFonts w:hint="eastAsia" w:ascii="仿宋" w:hAnsi="仿宋" w:eastAsia="仿宋"/>
          <w:kern w:val="0"/>
          <w:sz w:val="24"/>
        </w:rPr>
      </w:pPr>
      <w:r>
        <w:rPr>
          <w:rFonts w:hint="eastAsia" w:ascii="仿宋" w:hAnsi="仿宋" w:eastAsia="仿宋"/>
          <w:kern w:val="0"/>
          <w:sz w:val="24"/>
        </w:rPr>
        <w:t>自本公告发布之日起5个工作日。</w:t>
      </w:r>
    </w:p>
    <w:p w14:paraId="5E875712">
      <w:pPr>
        <w:spacing w:line="360" w:lineRule="exact"/>
        <w:rPr>
          <w:rFonts w:hint="eastAsia" w:ascii="仿宋" w:hAnsi="仿宋" w:eastAsia="仿宋"/>
          <w:b/>
          <w:sz w:val="24"/>
        </w:rPr>
      </w:pPr>
      <w:r>
        <w:rPr>
          <w:rFonts w:hint="eastAsia" w:ascii="仿宋" w:hAnsi="仿宋" w:eastAsia="仿宋"/>
          <w:b/>
          <w:sz w:val="24"/>
          <w:lang w:val="en-US" w:eastAsia="zh-CN"/>
        </w:rPr>
        <w:t>七</w:t>
      </w:r>
      <w:r>
        <w:rPr>
          <w:rFonts w:hint="eastAsia" w:ascii="仿宋" w:hAnsi="仿宋" w:eastAsia="仿宋"/>
          <w:b/>
          <w:sz w:val="24"/>
        </w:rPr>
        <w:t>、其它补充事宜</w:t>
      </w:r>
    </w:p>
    <w:p w14:paraId="10EDF6ED">
      <w:pPr>
        <w:spacing w:line="360" w:lineRule="exact"/>
        <w:ind w:firstLine="540"/>
        <w:rPr>
          <w:rFonts w:hint="eastAsia" w:ascii="仿宋" w:hAnsi="仿宋" w:eastAsia="仿宋"/>
          <w:sz w:val="24"/>
        </w:rPr>
      </w:pPr>
      <w:r>
        <w:rPr>
          <w:rFonts w:hint="eastAsia" w:ascii="仿宋" w:hAnsi="仿宋" w:eastAsia="仿宋"/>
          <w:sz w:val="24"/>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13EA736B">
      <w:pPr>
        <w:spacing w:line="360" w:lineRule="exact"/>
        <w:ind w:firstLine="540"/>
        <w:rPr>
          <w:rFonts w:hint="eastAsia" w:ascii="仿宋" w:hAnsi="仿宋" w:eastAsia="仿宋"/>
          <w:sz w:val="24"/>
        </w:rPr>
      </w:pPr>
      <w:r>
        <w:rPr>
          <w:rFonts w:hint="eastAsia" w:ascii="仿宋" w:hAnsi="仿宋" w:eastAsia="仿宋"/>
          <w:sz w:val="24"/>
        </w:rPr>
        <w:t>（1）新疆CA服务热线0991-2819290（喀什办理地点喀什东城喀什市行政审批局一楼企业服务专区数字证书窗口，联系电话15001465669）</w:t>
      </w:r>
    </w:p>
    <w:p w14:paraId="5BE15313">
      <w:pPr>
        <w:spacing w:line="360" w:lineRule="exact"/>
        <w:ind w:firstLine="540"/>
        <w:rPr>
          <w:rFonts w:hint="eastAsia" w:ascii="仿宋" w:hAnsi="仿宋" w:eastAsia="仿宋"/>
          <w:sz w:val="24"/>
        </w:rPr>
      </w:pPr>
      <w:r>
        <w:rPr>
          <w:rFonts w:hint="eastAsia" w:ascii="仿宋" w:hAnsi="仿宋" w:eastAsia="仿宋"/>
          <w:sz w:val="24"/>
        </w:rPr>
        <w:t>（2）翔晟CA服务热线025-66085508（总部24小时电话）（喀什办理地点：喀什市东城行政审批局一楼28号窗口13150441724（喀什现场24小时电话）</w:t>
      </w:r>
    </w:p>
    <w:p w14:paraId="7719C4F9">
      <w:pPr>
        <w:spacing w:line="360" w:lineRule="exact"/>
        <w:ind w:firstLine="540"/>
        <w:rPr>
          <w:rFonts w:hint="eastAsia" w:ascii="仿宋" w:hAnsi="仿宋" w:eastAsia="仿宋"/>
          <w:sz w:val="24"/>
        </w:rPr>
      </w:pPr>
      <w:r>
        <w:rPr>
          <w:rFonts w:hint="eastAsia" w:ascii="仿宋" w:hAnsi="仿宋" w:eastAsia="仿宋"/>
          <w:sz w:val="24"/>
        </w:rPr>
        <w:t>2.本项目实行网上投标，采用电子投标文件(供应商须使用CA加密设备通过政采云电子投标客户端制作投标文件)。若供应商参与投标，自行承担投标一切费用。</w:t>
      </w:r>
    </w:p>
    <w:p w14:paraId="74153012">
      <w:pPr>
        <w:spacing w:line="360" w:lineRule="exact"/>
        <w:ind w:firstLine="540"/>
        <w:rPr>
          <w:rFonts w:hint="eastAsia" w:ascii="仿宋" w:hAnsi="仿宋" w:eastAsia="仿宋"/>
          <w:sz w:val="24"/>
        </w:rPr>
      </w:pPr>
      <w:r>
        <w:rPr>
          <w:rFonts w:hint="eastAsia" w:ascii="仿宋" w:hAnsi="仿宋" w:eastAsia="仿宋"/>
          <w:sz w:val="24"/>
        </w:rPr>
        <w:t>3.各供应商应在开标前应确保成为新疆政府采购网正式注册入库供应商，并完成CA数字证书申领。因未注册入库、未办理CA数字证书等原因造成无法投标或投标失败等后果由供应商自行承担。</w:t>
      </w:r>
    </w:p>
    <w:p w14:paraId="3AFCD455">
      <w:pPr>
        <w:spacing w:line="360" w:lineRule="exact"/>
        <w:ind w:firstLine="540"/>
        <w:rPr>
          <w:rFonts w:hint="eastAsia" w:ascii="仿宋" w:hAnsi="仿宋" w:eastAsia="仿宋"/>
          <w:sz w:val="24"/>
        </w:rPr>
      </w:pPr>
      <w:r>
        <w:rPr>
          <w:rFonts w:hint="eastAsia" w:ascii="仿宋" w:hAnsi="仿宋" w:eastAsia="仿宋"/>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655780C9">
      <w:pPr>
        <w:spacing w:line="360" w:lineRule="exact"/>
        <w:ind w:firstLine="540"/>
        <w:rPr>
          <w:rFonts w:hint="eastAsia" w:ascii="仿宋" w:hAnsi="仿宋" w:eastAsia="仿宋"/>
          <w:sz w:val="24"/>
        </w:rPr>
      </w:pPr>
      <w:r>
        <w:rPr>
          <w:rFonts w:hint="eastAsia" w:ascii="仿宋" w:hAnsi="仿宋" w:eastAsia="仿宋"/>
          <w:sz w:val="24"/>
        </w:rPr>
        <w:t>5.供应商在开标时须使用制作加密电子投标文件所使用的CA锁及电脑，电脑须提前配置好浏览器（建议使用360浏览器或谷歌浏览器），以便开标时解锁。</w:t>
      </w:r>
    </w:p>
    <w:p w14:paraId="7836B351">
      <w:pPr>
        <w:spacing w:line="360" w:lineRule="exact"/>
        <w:ind w:firstLine="540"/>
        <w:rPr>
          <w:rFonts w:hint="eastAsia" w:ascii="仿宋" w:hAnsi="仿宋" w:eastAsia="仿宋"/>
          <w:sz w:val="24"/>
        </w:rPr>
      </w:pPr>
      <w:r>
        <w:rPr>
          <w:rFonts w:hint="eastAsia" w:ascii="仿宋" w:hAnsi="仿宋" w:eastAsia="仿宋"/>
          <w:sz w:val="24"/>
        </w:rPr>
        <w:t>6.投标保证金缴纳及确认时间：凡拟参加本次招标项目的供应商，必须在开标前将投标保证金汇入指定账户。否则，届时其投标将被拒绝。</w:t>
      </w:r>
    </w:p>
    <w:p w14:paraId="1D947384">
      <w:pPr>
        <w:pStyle w:val="29"/>
        <w:keepNext w:val="0"/>
        <w:keepLines w:val="0"/>
        <w:widowControl/>
        <w:numPr>
          <w:ilvl w:val="0"/>
          <w:numId w:val="0"/>
        </w:numPr>
        <w:shd w:val="clear" w:color="auto" w:fill="FFFFFF"/>
        <w:tabs>
          <w:tab w:val="left" w:pos="864"/>
        </w:tabs>
        <w:wordWrap w:val="0"/>
        <w:spacing w:line="360" w:lineRule="exact"/>
        <w:ind w:firstLine="480" w:firstLineChars="200"/>
        <w:rPr>
          <w:rFonts w:hint="eastAsia" w:ascii="仿宋" w:hAnsi="仿宋" w:eastAsia="仿宋" w:cs="Times New Roman"/>
          <w:b w:val="0"/>
          <w:bCs w:val="0"/>
          <w:kern w:val="2"/>
          <w:sz w:val="24"/>
          <w:szCs w:val="24"/>
          <w:lang w:val="en-US" w:eastAsia="zh-CN" w:bidi="ar-SA"/>
        </w:rPr>
      </w:pPr>
      <w:r>
        <w:rPr>
          <w:rFonts w:hint="eastAsia" w:ascii="仿宋" w:hAnsi="仿宋" w:eastAsia="仿宋" w:cs="Times New Roman"/>
          <w:b w:val="0"/>
          <w:bCs w:val="0"/>
          <w:kern w:val="2"/>
          <w:sz w:val="24"/>
          <w:szCs w:val="24"/>
          <w:lang w:val="en-US" w:eastAsia="zh-CN" w:bidi="ar-SA"/>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1FDF5B8D">
      <w:pPr>
        <w:widowControl/>
        <w:spacing w:line="360" w:lineRule="auto"/>
        <w:ind w:firstLine="482" w:firstLineChars="200"/>
        <w:jc w:val="left"/>
        <w:rPr>
          <w:rFonts w:eastAsia="仿宋"/>
          <w:b/>
          <w:bCs/>
          <w:color w:val="000000"/>
          <w:kern w:val="0"/>
          <w:sz w:val="24"/>
        </w:rPr>
      </w:pPr>
      <w:bookmarkStart w:id="351" w:name="_Toc28359018"/>
      <w:bookmarkEnd w:id="351"/>
      <w:bookmarkStart w:id="352" w:name="_Toc35393805"/>
      <w:bookmarkEnd w:id="352"/>
      <w:bookmarkStart w:id="353" w:name="_Toc28359095"/>
      <w:bookmarkEnd w:id="353"/>
      <w:bookmarkStart w:id="354" w:name="_Toc35393636"/>
      <w:bookmarkEnd w:id="354"/>
      <w:r>
        <w:rPr>
          <w:rFonts w:hint="eastAsia" w:eastAsia="仿宋"/>
          <w:b/>
          <w:bCs/>
          <w:color w:val="000000"/>
          <w:kern w:val="0"/>
          <w:sz w:val="24"/>
          <w:lang w:val="en-US" w:eastAsia="zh-CN"/>
        </w:rPr>
        <w:t>八</w:t>
      </w:r>
      <w:r>
        <w:rPr>
          <w:rFonts w:eastAsia="仿宋"/>
          <w:b/>
          <w:bCs/>
          <w:color w:val="000000"/>
          <w:kern w:val="0"/>
          <w:sz w:val="24"/>
        </w:rPr>
        <w:t>、</w:t>
      </w:r>
      <w:r>
        <w:rPr>
          <w:rFonts w:hint="eastAsia" w:eastAsia="仿宋"/>
          <w:b/>
          <w:bCs/>
          <w:color w:val="000000"/>
          <w:kern w:val="0"/>
          <w:sz w:val="24"/>
        </w:rPr>
        <w:t>凡对本次采购提出询问，请按以下方式联系。</w:t>
      </w:r>
    </w:p>
    <w:p w14:paraId="17186273">
      <w:pPr>
        <w:spacing w:line="360" w:lineRule="auto"/>
        <w:ind w:firstLine="480" w:firstLineChars="200"/>
        <w:rPr>
          <w:rFonts w:hint="eastAsia" w:ascii="仿宋" w:hAnsi="仿宋" w:eastAsia="仿宋" w:cs="仿宋"/>
          <w:sz w:val="24"/>
          <w:lang w:eastAsia="zh-CN"/>
        </w:rPr>
      </w:pPr>
      <w:bookmarkStart w:id="355" w:name="_Toc15034"/>
      <w:bookmarkEnd w:id="355"/>
      <w:bookmarkStart w:id="356" w:name="_Toc28647"/>
      <w:bookmarkEnd w:id="356"/>
      <w:bookmarkStart w:id="357" w:name="_Toc216582823"/>
      <w:bookmarkEnd w:id="357"/>
      <w:bookmarkStart w:id="358" w:name="_Toc518923125"/>
      <w:bookmarkEnd w:id="358"/>
      <w:bookmarkStart w:id="359" w:name="_Toc30910"/>
      <w:bookmarkEnd w:id="359"/>
      <w:bookmarkStart w:id="360" w:name="_Toc7955"/>
      <w:bookmarkEnd w:id="360"/>
      <w:bookmarkStart w:id="361" w:name="_Toc507399903"/>
      <w:bookmarkEnd w:id="361"/>
      <w:r>
        <w:rPr>
          <w:rFonts w:hint="eastAsia" w:ascii="仿宋" w:hAnsi="仿宋" w:eastAsia="仿宋" w:cs="仿宋"/>
          <w:sz w:val="24"/>
        </w:rPr>
        <w:t>采购人名称：</w:t>
      </w:r>
      <w:r>
        <w:rPr>
          <w:rFonts w:hint="eastAsia" w:ascii="仿宋" w:hAnsi="仿宋" w:eastAsia="仿宋" w:cs="仿宋"/>
          <w:sz w:val="24"/>
          <w:lang w:val="en-US" w:eastAsia="zh-CN"/>
        </w:rPr>
        <w:t>喀什理工职业技术学院</w:t>
      </w:r>
    </w:p>
    <w:p w14:paraId="64D4AD8E">
      <w:pPr>
        <w:spacing w:line="360" w:lineRule="auto"/>
        <w:ind w:firstLine="480" w:firstLineChars="200"/>
        <w:rPr>
          <w:rFonts w:hint="default" w:ascii="仿宋" w:hAnsi="仿宋" w:eastAsia="仿宋" w:cs="仿宋"/>
          <w:sz w:val="24"/>
          <w:lang w:val="en-US" w:eastAsia="zh-CN"/>
        </w:rPr>
      </w:pPr>
      <w:r>
        <w:rPr>
          <w:rFonts w:hint="eastAsia" w:ascii="仿宋" w:hAnsi="仿宋" w:eastAsia="仿宋" w:cs="仿宋"/>
          <w:sz w:val="24"/>
        </w:rPr>
        <w:t>地  址：</w:t>
      </w:r>
      <w:r>
        <w:rPr>
          <w:rFonts w:hint="eastAsia" w:ascii="仿宋" w:hAnsi="仿宋" w:eastAsia="仿宋" w:cs="仿宋"/>
          <w:sz w:val="24"/>
          <w:lang w:val="en-US" w:eastAsia="zh-CN"/>
        </w:rPr>
        <w:t>莎车县浦东大道38号</w:t>
      </w:r>
    </w:p>
    <w:p w14:paraId="143CFBBC">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联 系 人：</w:t>
      </w:r>
      <w:r>
        <w:rPr>
          <w:rFonts w:hint="eastAsia" w:ascii="仿宋" w:hAnsi="仿宋" w:eastAsia="仿宋" w:cs="仿宋"/>
          <w:sz w:val="24"/>
          <w:lang w:val="en-US" w:eastAsia="zh-CN"/>
        </w:rPr>
        <w:t>努尔比耶</w:t>
      </w:r>
    </w:p>
    <w:p w14:paraId="22315552">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联 系 电 话：</w:t>
      </w:r>
      <w:r>
        <w:rPr>
          <w:rFonts w:hint="eastAsia" w:ascii="仿宋" w:hAnsi="仿宋" w:eastAsia="仿宋" w:cs="仿宋"/>
          <w:sz w:val="24"/>
          <w:lang w:val="en-US" w:eastAsia="zh-CN"/>
        </w:rPr>
        <w:t>15739570653</w:t>
      </w:r>
    </w:p>
    <w:p w14:paraId="3722B8A0">
      <w:pPr>
        <w:spacing w:line="360" w:lineRule="auto"/>
        <w:ind w:firstLine="480" w:firstLineChars="200"/>
        <w:rPr>
          <w:rFonts w:hint="eastAsia" w:ascii="仿宋" w:hAnsi="仿宋" w:eastAsia="仿宋" w:cs="仿宋"/>
          <w:sz w:val="24"/>
        </w:rPr>
      </w:pPr>
      <w:r>
        <w:rPr>
          <w:rFonts w:hint="eastAsia" w:ascii="仿宋" w:hAnsi="仿宋" w:eastAsia="仿宋" w:cs="仿宋"/>
          <w:sz w:val="24"/>
        </w:rPr>
        <w:t>采购机构：喀什地区公共资源交易中心</w:t>
      </w:r>
    </w:p>
    <w:p w14:paraId="7B5B9201">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采购机构地址：喀什地区疏附县商贸园区疆南农批市场内 </w:t>
      </w:r>
    </w:p>
    <w:p w14:paraId="73EABDB6">
      <w:pPr>
        <w:spacing w:line="360" w:lineRule="auto"/>
        <w:ind w:firstLine="480" w:firstLineChars="200"/>
        <w:rPr>
          <w:rFonts w:hint="eastAsia" w:ascii="仿宋" w:hAnsi="仿宋" w:eastAsia="仿宋" w:cs="仿宋"/>
          <w:sz w:val="24"/>
        </w:rPr>
      </w:pPr>
      <w:r>
        <w:rPr>
          <w:rFonts w:hint="eastAsia" w:ascii="仿宋" w:hAnsi="仿宋" w:eastAsia="仿宋" w:cs="仿宋"/>
          <w:sz w:val="24"/>
        </w:rPr>
        <w:t>联 系 人：朱文财   刘锦秀</w:t>
      </w:r>
    </w:p>
    <w:p w14:paraId="3434ABA2">
      <w:pPr>
        <w:spacing w:line="360" w:lineRule="auto"/>
        <w:ind w:firstLine="480" w:firstLineChars="200"/>
        <w:rPr>
          <w:rFonts w:hint="eastAsia" w:ascii="仿宋" w:hAnsi="仿宋" w:eastAsia="仿宋" w:cs="仿宋"/>
          <w:sz w:val="24"/>
        </w:rPr>
      </w:pPr>
      <w:r>
        <w:rPr>
          <w:rFonts w:hint="eastAsia" w:ascii="仿宋" w:hAnsi="仿宋" w:eastAsia="仿宋" w:cs="仿宋"/>
          <w:sz w:val="24"/>
        </w:rPr>
        <w:t>联 系 电 话：0998-5885138</w:t>
      </w:r>
    </w:p>
    <w:p w14:paraId="608EDB37">
      <w:pPr>
        <w:spacing w:line="360" w:lineRule="auto"/>
        <w:ind w:firstLine="480" w:firstLineChars="200"/>
        <w:rPr>
          <w:rFonts w:hint="eastAsia" w:ascii="仿宋" w:hAnsi="仿宋" w:eastAsia="仿宋" w:cs="仿宋"/>
          <w:sz w:val="24"/>
        </w:rPr>
      </w:pPr>
      <w:r>
        <w:rPr>
          <w:rFonts w:hint="eastAsia" w:ascii="仿宋" w:hAnsi="仿宋" w:eastAsia="仿宋" w:cs="仿宋"/>
          <w:sz w:val="24"/>
        </w:rPr>
        <w:t>监督单位：喀什地区财政局</w:t>
      </w:r>
    </w:p>
    <w:p w14:paraId="33AA7363">
      <w:pPr>
        <w:spacing w:line="360" w:lineRule="auto"/>
        <w:ind w:firstLine="480" w:firstLineChars="200"/>
        <w:rPr>
          <w:rFonts w:hint="eastAsia" w:ascii="仿宋" w:hAnsi="仿宋" w:eastAsia="仿宋" w:cs="仿宋"/>
          <w:sz w:val="24"/>
        </w:rPr>
      </w:pPr>
      <w:r>
        <w:rPr>
          <w:rFonts w:hint="eastAsia" w:ascii="仿宋" w:hAnsi="仿宋" w:eastAsia="仿宋" w:cs="仿宋"/>
          <w:sz w:val="24"/>
        </w:rPr>
        <w:t>地    址：喀什市解放北路46号喀什地区财政局办公大楼二层</w:t>
      </w:r>
    </w:p>
    <w:p w14:paraId="64F30369">
      <w:pPr>
        <w:pStyle w:val="5"/>
        <w:spacing w:line="360" w:lineRule="auto"/>
        <w:rPr>
          <w:rFonts w:hint="eastAsia" w:ascii="仿宋" w:hAnsi="仿宋" w:eastAsia="仿宋" w:cs="仿宋"/>
          <w:kern w:val="2"/>
          <w:szCs w:val="24"/>
        </w:rPr>
      </w:pPr>
      <w:r>
        <w:rPr>
          <w:rFonts w:hint="eastAsia" w:ascii="仿宋" w:hAnsi="仿宋" w:eastAsia="仿宋" w:cs="仿宋"/>
          <w:kern w:val="2"/>
          <w:szCs w:val="24"/>
        </w:rPr>
        <w:t>联 系 电 话：0998-2597200   2597000</w:t>
      </w:r>
    </w:p>
    <w:p w14:paraId="13ECE78B">
      <w:pPr>
        <w:pStyle w:val="26"/>
        <w:tabs>
          <w:tab w:val="left" w:pos="0"/>
        </w:tabs>
        <w:spacing w:before="0" w:after="0" w:line="360" w:lineRule="auto"/>
        <w:rPr>
          <w:rFonts w:ascii="Times New Roman" w:eastAsia="仿宋"/>
          <w:sz w:val="24"/>
        </w:rPr>
      </w:pPr>
      <w:r>
        <w:rPr>
          <w:rFonts w:ascii="Times New Roman" w:eastAsia="仿宋"/>
          <w:sz w:val="24"/>
        </w:rPr>
        <w:br w:type="page"/>
      </w:r>
      <w:r>
        <w:rPr>
          <w:rFonts w:ascii="Times New Roman" w:eastAsia="仿宋"/>
        </w:rPr>
        <w:t>第4章投标人须知资料表</w:t>
      </w:r>
    </w:p>
    <w:p w14:paraId="7DF514F2">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21"/>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14:paraId="3AD29B6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FE33D4F">
            <w:pPr>
              <w:keepNext w:val="0"/>
              <w:keepLines w:val="0"/>
              <w:suppressLineNumbers w:val="0"/>
              <w:spacing w:before="0" w:beforeAutospacing="0" w:after="0" w:afterAutospacing="0" w:line="360" w:lineRule="auto"/>
              <w:ind w:left="0" w:right="0" w:firstLine="480" w:firstLineChars="200"/>
              <w:rPr>
                <w:rFonts w:hint="eastAsia" w:eastAsia="仿宋"/>
                <w:sz w:val="24"/>
                <w:lang w:eastAsia="zh-CN"/>
              </w:rPr>
            </w:pPr>
            <w:r>
              <w:rPr>
                <w:rFonts w:hint="eastAsia" w:eastAsia="仿宋"/>
                <w:sz w:val="24"/>
                <w:lang w:val="en-US" w:eastAsia="zh-CN"/>
              </w:rPr>
              <w:t>序号</w:t>
            </w:r>
          </w:p>
        </w:tc>
        <w:tc>
          <w:tcPr>
            <w:tcW w:w="6840" w:type="dxa"/>
            <w:vAlign w:val="center"/>
          </w:tcPr>
          <w:p w14:paraId="3770AD06">
            <w:pPr>
              <w:keepNext w:val="0"/>
              <w:keepLines w:val="0"/>
              <w:suppressLineNumbers w:val="0"/>
              <w:spacing w:before="0" w:beforeAutospacing="0" w:after="0" w:afterAutospacing="0" w:line="360" w:lineRule="auto"/>
              <w:ind w:left="1080" w:leftChars="257" w:right="0" w:hanging="540"/>
              <w:rPr>
                <w:rFonts w:hint="default" w:eastAsia="仿宋"/>
                <w:b/>
                <w:sz w:val="24"/>
              </w:rPr>
            </w:pPr>
            <w:r>
              <w:rPr>
                <w:rFonts w:hint="default" w:eastAsia="仿宋"/>
                <w:b/>
                <w:sz w:val="24"/>
              </w:rPr>
              <w:t>内容</w:t>
            </w:r>
          </w:p>
        </w:tc>
      </w:tr>
      <w:tr w14:paraId="20EC8BA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805" w:hRule="atLeast"/>
        </w:trPr>
        <w:tc>
          <w:tcPr>
            <w:tcW w:w="1468" w:type="dxa"/>
            <w:vAlign w:val="center"/>
          </w:tcPr>
          <w:p w14:paraId="2591BAEB">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1</w:t>
            </w:r>
          </w:p>
        </w:tc>
        <w:tc>
          <w:tcPr>
            <w:tcW w:w="6840" w:type="dxa"/>
            <w:vAlign w:val="center"/>
          </w:tcPr>
          <w:p w14:paraId="5701FFBE">
            <w:pPr>
              <w:keepNext w:val="0"/>
              <w:keepLines w:val="0"/>
              <w:suppressLineNumbers w:val="0"/>
              <w:spacing w:before="0" w:beforeAutospacing="0" w:after="0" w:afterAutospacing="0" w:line="360" w:lineRule="auto"/>
              <w:ind w:left="0" w:right="0"/>
              <w:rPr>
                <w:rFonts w:hint="eastAsia" w:eastAsia="仿宋"/>
                <w:sz w:val="24"/>
                <w:u w:val="single"/>
                <w:lang w:eastAsia="zh-CN"/>
              </w:rPr>
            </w:pPr>
            <w:r>
              <w:rPr>
                <w:rFonts w:hint="default" w:eastAsia="仿宋"/>
                <w:sz w:val="24"/>
                <w:u w:val="none"/>
              </w:rPr>
              <w:t>采购人：</w:t>
            </w:r>
            <w:r>
              <w:rPr>
                <w:rFonts w:hint="eastAsia" w:eastAsia="仿宋"/>
                <w:sz w:val="24"/>
                <w:u w:val="single"/>
                <w:lang w:val="en-US" w:eastAsia="zh-CN"/>
              </w:rPr>
              <w:t>喀什理工职业技术学院</w:t>
            </w:r>
          </w:p>
          <w:p w14:paraId="3DDD13F1">
            <w:pPr>
              <w:keepNext w:val="0"/>
              <w:keepLines w:val="0"/>
              <w:suppressLineNumbers w:val="0"/>
              <w:spacing w:before="0" w:beforeAutospacing="0" w:after="0" w:afterAutospacing="0" w:line="360" w:lineRule="auto"/>
              <w:ind w:left="0" w:right="0"/>
              <w:rPr>
                <w:rFonts w:hint="default" w:eastAsia="仿宋"/>
                <w:sz w:val="24"/>
                <w:u w:val="single"/>
                <w:lang w:val="en-US" w:eastAsia="zh-CN"/>
              </w:rPr>
            </w:pPr>
            <w:r>
              <w:rPr>
                <w:rFonts w:hint="default" w:eastAsia="仿宋"/>
                <w:sz w:val="24"/>
                <w:u w:val="none"/>
              </w:rPr>
              <w:t>地  址：</w:t>
            </w:r>
            <w:r>
              <w:rPr>
                <w:rFonts w:hint="eastAsia" w:ascii="仿宋" w:hAnsi="仿宋" w:eastAsia="仿宋" w:cs="仿宋"/>
                <w:sz w:val="24"/>
                <w:u w:val="single"/>
                <w:lang w:val="en-US" w:eastAsia="zh-CN"/>
              </w:rPr>
              <w:t>莎车县浦东大道38号</w:t>
            </w:r>
          </w:p>
          <w:p w14:paraId="490242ED">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eastAsia="仿宋"/>
                <w:sz w:val="24"/>
              </w:rPr>
              <w:t>电  话：</w:t>
            </w:r>
            <w:r>
              <w:rPr>
                <w:rFonts w:hint="eastAsia" w:ascii="仿宋" w:hAnsi="仿宋" w:eastAsia="仿宋" w:cs="仿宋"/>
                <w:sz w:val="24"/>
                <w:u w:val="single"/>
                <w:lang w:val="en-US" w:eastAsia="zh-CN"/>
              </w:rPr>
              <w:t xml:space="preserve">15739570653        </w:t>
            </w:r>
          </w:p>
        </w:tc>
      </w:tr>
      <w:tr w14:paraId="060695A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4C0AFD5B">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2</w:t>
            </w:r>
          </w:p>
        </w:tc>
        <w:tc>
          <w:tcPr>
            <w:tcW w:w="6840" w:type="dxa"/>
            <w:vAlign w:val="center"/>
          </w:tcPr>
          <w:p w14:paraId="17DB8290">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采购代理机构：</w:t>
            </w:r>
            <w:r>
              <w:rPr>
                <w:rFonts w:hint="default" w:eastAsia="仿宋"/>
                <w:sz w:val="24"/>
                <w:u w:val="single"/>
              </w:rPr>
              <w:t>喀什地区公共资源交易中心</w:t>
            </w:r>
          </w:p>
          <w:p w14:paraId="2FA3852C">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地址：</w:t>
            </w:r>
            <w:r>
              <w:rPr>
                <w:rFonts w:hint="default" w:eastAsia="仿宋"/>
                <w:sz w:val="24"/>
                <w:u w:val="single"/>
              </w:rPr>
              <w:t>喀什地区疏附县商贸园区疆南农批电子交易大楼</w:t>
            </w:r>
          </w:p>
          <w:p w14:paraId="1E54C682">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业务联系人：</w:t>
            </w:r>
            <w:r>
              <w:rPr>
                <w:rFonts w:hint="eastAsia" w:eastAsia="仿宋"/>
                <w:sz w:val="24"/>
                <w:u w:val="single"/>
                <w:lang w:val="en-US" w:eastAsia="zh-CN"/>
              </w:rPr>
              <w:t>朱文财</w:t>
            </w:r>
            <w:r>
              <w:rPr>
                <w:rFonts w:hint="eastAsia" w:eastAsia="仿宋"/>
                <w:sz w:val="24"/>
                <w:u w:val="single"/>
              </w:rPr>
              <w:t xml:space="preserve"> </w:t>
            </w:r>
            <w:r>
              <w:rPr>
                <w:rFonts w:hint="eastAsia" w:eastAsia="仿宋"/>
                <w:sz w:val="24"/>
                <w:u w:val="single"/>
                <w:lang w:val="en-US" w:eastAsia="zh-CN"/>
              </w:rPr>
              <w:t xml:space="preserve"> 刘锦秀 </w:t>
            </w:r>
            <w:r>
              <w:rPr>
                <w:rFonts w:hint="default" w:eastAsia="仿宋"/>
                <w:sz w:val="24"/>
              </w:rPr>
              <w:t>电话：</w:t>
            </w:r>
            <w:r>
              <w:rPr>
                <w:rFonts w:hint="default" w:eastAsia="仿宋"/>
                <w:sz w:val="24"/>
                <w:u w:val="single"/>
              </w:rPr>
              <w:t>0998-5885138</w:t>
            </w:r>
          </w:p>
        </w:tc>
      </w:tr>
      <w:tr w14:paraId="3D09DCE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6B51439A">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3</w:t>
            </w:r>
          </w:p>
        </w:tc>
        <w:tc>
          <w:tcPr>
            <w:tcW w:w="6840" w:type="dxa"/>
            <w:vAlign w:val="center"/>
          </w:tcPr>
          <w:p w14:paraId="7BE33ACB">
            <w:pPr>
              <w:keepNext w:val="0"/>
              <w:keepLines w:val="0"/>
              <w:suppressLineNumbers w:val="0"/>
              <w:spacing w:before="0" w:beforeAutospacing="0" w:after="0" w:afterAutospacing="0" w:line="360" w:lineRule="auto"/>
              <w:ind w:left="0" w:right="0"/>
              <w:rPr>
                <w:rFonts w:hint="eastAsia" w:ascii="仿宋" w:hAnsi="仿宋" w:eastAsia="仿宋"/>
                <w:kern w:val="0"/>
                <w:sz w:val="24"/>
                <w:highlight w:val="none"/>
              </w:rPr>
            </w:pPr>
            <w:r>
              <w:rPr>
                <w:rFonts w:hint="eastAsia" w:ascii="仿宋" w:hAnsi="仿宋" w:eastAsia="仿宋"/>
                <w:kern w:val="0"/>
                <w:sz w:val="24"/>
                <w:highlight w:val="none"/>
              </w:rPr>
              <w:t>合格投标人资格要求</w:t>
            </w:r>
            <w:r>
              <w:rPr>
                <w:rFonts w:hint="eastAsia" w:ascii="仿宋" w:hAnsi="仿宋" w:eastAsia="仿宋"/>
                <w:kern w:val="0"/>
                <w:sz w:val="24"/>
                <w:highlight w:val="none"/>
                <w:lang w:eastAsia="zh-CN"/>
              </w:rPr>
              <w:t>（</w:t>
            </w:r>
            <w:r>
              <w:rPr>
                <w:rFonts w:hint="eastAsia" w:ascii="仿宋" w:hAnsi="仿宋" w:eastAsia="仿宋"/>
                <w:kern w:val="0"/>
                <w:sz w:val="24"/>
                <w:highlight w:val="none"/>
              </w:rPr>
              <w:t>满足《中华人民共和国政府采购法》第二十二条规定</w:t>
            </w:r>
            <w:r>
              <w:rPr>
                <w:rFonts w:hint="eastAsia" w:ascii="仿宋" w:hAnsi="仿宋" w:eastAsia="仿宋"/>
                <w:kern w:val="0"/>
                <w:sz w:val="24"/>
                <w:highlight w:val="none"/>
                <w:lang w:eastAsia="zh-CN"/>
              </w:rPr>
              <w:t>）</w:t>
            </w:r>
            <w:r>
              <w:rPr>
                <w:rFonts w:hint="eastAsia" w:ascii="仿宋" w:hAnsi="仿宋" w:eastAsia="仿宋"/>
                <w:kern w:val="0"/>
                <w:sz w:val="24"/>
                <w:highlight w:val="none"/>
              </w:rPr>
              <w:t>；</w:t>
            </w:r>
          </w:p>
          <w:p w14:paraId="7D1CC57A">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1</w:t>
            </w:r>
            <w:r>
              <w:rPr>
                <w:rFonts w:hint="eastAsia" w:ascii="仿宋" w:hAnsi="仿宋" w:eastAsia="仿宋"/>
                <w:kern w:val="0"/>
                <w:sz w:val="24"/>
                <w:highlight w:val="none"/>
              </w:rPr>
              <w:t>.独立承担民事责任能力的企业、事业、自然人，提供营业执照等经营性证件；</w:t>
            </w:r>
          </w:p>
          <w:p w14:paraId="6FDF418A">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2</w:t>
            </w:r>
            <w:r>
              <w:rPr>
                <w:rFonts w:hint="eastAsia" w:ascii="仿宋" w:hAnsi="仿宋" w:eastAsia="仿宋"/>
                <w:kern w:val="0"/>
                <w:sz w:val="24"/>
                <w:highlight w:val="none"/>
              </w:rPr>
              <w:t>.法人身份证明或法人授权委托书（含法人身份证复印件）和被授权人身份有效证件；</w:t>
            </w:r>
          </w:p>
          <w:p w14:paraId="2085F79A">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3</w:t>
            </w:r>
            <w:r>
              <w:rPr>
                <w:rFonts w:hint="eastAsia" w:ascii="仿宋" w:hAnsi="仿宋" w:eastAsia="仿宋"/>
                <w:kern w:val="0"/>
                <w:sz w:val="24"/>
                <w:highlight w:val="none"/>
              </w:rPr>
              <w:t>.近两年</w:t>
            </w:r>
            <w:r>
              <w:rPr>
                <w:rFonts w:hint="eastAsia" w:ascii="仿宋" w:hAnsi="仿宋" w:eastAsia="仿宋"/>
                <w:kern w:val="0"/>
                <w:sz w:val="24"/>
                <w:highlight w:val="none"/>
                <w:lang w:eastAsia="zh-CN"/>
              </w:rPr>
              <w:t>任意一年完整的</w:t>
            </w:r>
            <w:r>
              <w:rPr>
                <w:rFonts w:hint="eastAsia" w:ascii="仿宋" w:hAnsi="仿宋" w:eastAsia="仿宋"/>
                <w:kern w:val="0"/>
                <w:sz w:val="24"/>
                <w:highlight w:val="none"/>
              </w:rPr>
              <w:t>财务审计报告（新成立公司提供开标前三个月内任意一个月有效银行资信证明）；</w:t>
            </w:r>
          </w:p>
          <w:p w14:paraId="53DD4DDD">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4</w:t>
            </w:r>
            <w:r>
              <w:rPr>
                <w:rFonts w:hint="eastAsia" w:ascii="仿宋" w:hAnsi="仿宋" w:eastAsia="仿宋"/>
                <w:kern w:val="0"/>
                <w:sz w:val="24"/>
                <w:highlight w:val="none"/>
              </w:rPr>
              <w:t>.投标企业依法缴纳近 6 个月任意一个月社会保险的凭据；</w:t>
            </w:r>
          </w:p>
          <w:p w14:paraId="2FA98C8A">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5</w:t>
            </w:r>
            <w:r>
              <w:rPr>
                <w:rFonts w:hint="eastAsia" w:ascii="仿宋" w:hAnsi="仿宋" w:eastAsia="仿宋"/>
                <w:kern w:val="0"/>
                <w:sz w:val="24"/>
                <w:highlight w:val="none"/>
              </w:rPr>
              <w:t>.投标企业提供税务部门出具的近 6 个月任意一个月的完税证明；</w:t>
            </w:r>
          </w:p>
          <w:p w14:paraId="7D5457F9">
            <w:pPr>
              <w:pStyle w:val="37"/>
              <w:keepNext w:val="0"/>
              <w:keepLines w:val="0"/>
              <w:suppressLineNumbers w:val="0"/>
              <w:tabs>
                <w:tab w:val="left" w:pos="5580"/>
              </w:tabs>
              <w:spacing w:before="0" w:beforeAutospacing="0" w:after="0" w:afterAutospacing="0" w:line="240" w:lineRule="atLeast"/>
              <w:ind w:left="0" w:right="0"/>
              <w:rPr>
                <w:rFonts w:hint="eastAsia" w:ascii="仿宋" w:hAnsi="仿宋" w:eastAsia="仿宋" w:cs="Times New Roman"/>
                <w:kern w:val="0"/>
                <w:sz w:val="24"/>
                <w:szCs w:val="24"/>
                <w:highlight w:val="none"/>
                <w:lang w:val="en-US" w:eastAsia="zh-CN" w:bidi="ar-SA"/>
              </w:rPr>
            </w:pPr>
            <w:r>
              <w:rPr>
                <w:rFonts w:hint="eastAsia" w:ascii="仿宋" w:hAnsi="仿宋" w:eastAsia="仿宋"/>
                <w:kern w:val="0"/>
                <w:sz w:val="24"/>
                <w:highlight w:val="none"/>
                <w:lang w:val="en-US" w:eastAsia="zh-CN"/>
              </w:rPr>
              <w:t>6</w:t>
            </w:r>
            <w:r>
              <w:rPr>
                <w:rFonts w:hint="eastAsia" w:ascii="仿宋" w:hAnsi="仿宋" w:eastAsia="仿宋" w:cs="Times New Roman"/>
                <w:kern w:val="0"/>
                <w:sz w:val="24"/>
                <w:szCs w:val="24"/>
                <w:highlight w:val="none"/>
                <w:lang w:val="en-US" w:eastAsia="zh-CN" w:bidi="ar-SA"/>
              </w:rPr>
              <w:t>.参与政府采购活动供应商在前3年内未被“信用中国”网站（www.creditchina.gov.cn）、“中国政府采购网”(www.ccgp.gov.cn)列入失信被执行人、重大税收违法案件当事人名单、政府采购严重失信行为记录名单（提供网页截图或承诺函任一均可）；（以招标代理或招标人查询为准）；</w:t>
            </w:r>
          </w:p>
          <w:p w14:paraId="1F924724">
            <w:pPr>
              <w:pStyle w:val="55"/>
              <w:keepNext w:val="0"/>
              <w:keepLines w:val="0"/>
              <w:suppressLineNumbers w:val="0"/>
              <w:spacing w:before="0" w:beforeAutospacing="0" w:after="0" w:afterAutospacing="0"/>
              <w:ind w:left="0" w:right="0" w:firstLine="0" w:firstLineChars="0"/>
              <w:rPr>
                <w:rFonts w:hint="eastAsia" w:ascii="仿宋" w:hAnsi="仿宋" w:eastAsia="仿宋" w:cs="Times New Roman"/>
                <w:kern w:val="0"/>
                <w:sz w:val="24"/>
                <w:highlight w:val="none"/>
              </w:rPr>
            </w:pPr>
            <w:r>
              <w:rPr>
                <w:rFonts w:hint="eastAsia" w:ascii="仿宋" w:hAnsi="仿宋" w:eastAsia="仿宋" w:cs="Times New Roman"/>
                <w:kern w:val="0"/>
                <w:sz w:val="24"/>
                <w:highlight w:val="none"/>
                <w:lang w:val="en-US" w:eastAsia="zh-CN"/>
              </w:rPr>
              <w:t>7</w:t>
            </w:r>
            <w:r>
              <w:rPr>
                <w:rFonts w:hint="eastAsia" w:ascii="仿宋" w:hAnsi="仿宋" w:eastAsia="仿宋" w:cs="Times New Roman"/>
                <w:kern w:val="0"/>
                <w:sz w:val="24"/>
                <w:highlight w:val="none"/>
              </w:rPr>
              <w:t>.投标商需符合《公安机关实施保安服务管理条例办法》规定，并具有有效的《保安服务许可证》；</w:t>
            </w:r>
          </w:p>
          <w:p w14:paraId="53619D07">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8</w:t>
            </w:r>
            <w:r>
              <w:rPr>
                <w:rFonts w:hint="eastAsia" w:ascii="仿宋" w:hAnsi="仿宋" w:eastAsia="仿宋"/>
                <w:kern w:val="0"/>
                <w:sz w:val="24"/>
                <w:highlight w:val="none"/>
              </w:rPr>
              <w:t>.提供针对本次项目《反商业贿赂承诺书》；</w:t>
            </w:r>
          </w:p>
          <w:p w14:paraId="36093AD1">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9</w:t>
            </w:r>
            <w:r>
              <w:rPr>
                <w:rFonts w:hint="eastAsia" w:ascii="仿宋" w:hAnsi="仿宋" w:eastAsia="仿宋"/>
                <w:kern w:val="0"/>
                <w:sz w:val="24"/>
                <w:highlight w:val="none"/>
              </w:rPr>
              <w:t>.缴纳投标保证金有效凭证；</w:t>
            </w:r>
          </w:p>
          <w:p w14:paraId="076923D5">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rPr>
              <w:t>1</w:t>
            </w:r>
            <w:r>
              <w:rPr>
                <w:rFonts w:hint="eastAsia" w:ascii="仿宋" w:hAnsi="仿宋" w:eastAsia="仿宋"/>
                <w:kern w:val="0"/>
                <w:sz w:val="24"/>
                <w:highlight w:val="none"/>
                <w:lang w:val="en-US" w:eastAsia="zh-CN"/>
              </w:rPr>
              <w:t>0</w:t>
            </w:r>
            <w:r>
              <w:rPr>
                <w:rFonts w:hint="eastAsia" w:ascii="仿宋" w:hAnsi="仿宋" w:eastAsia="仿宋"/>
                <w:kern w:val="0"/>
                <w:sz w:val="24"/>
                <w:highlight w:val="none"/>
              </w:rPr>
              <w:t>.</w:t>
            </w:r>
            <w:r>
              <w:rPr>
                <w:rFonts w:hint="eastAsia" w:ascii="仿宋" w:hAnsi="仿宋" w:eastAsia="仿宋"/>
                <w:kern w:val="0"/>
                <w:sz w:val="24"/>
                <w:highlight w:val="none"/>
                <w:lang w:val="en-US" w:eastAsia="zh-CN"/>
              </w:rPr>
              <w:t>本项目专门面向中小微企业采购</w:t>
            </w:r>
            <w:r>
              <w:rPr>
                <w:rFonts w:hint="eastAsia" w:ascii="仿宋" w:hAnsi="仿宋" w:eastAsia="仿宋"/>
                <w:kern w:val="0"/>
                <w:sz w:val="24"/>
                <w:highlight w:val="none"/>
              </w:rPr>
              <w:t>；</w:t>
            </w:r>
          </w:p>
          <w:p w14:paraId="15D01397">
            <w:pPr>
              <w:pStyle w:val="55"/>
              <w:keepNext w:val="0"/>
              <w:keepLines w:val="0"/>
              <w:suppressLineNumbers w:val="0"/>
              <w:spacing w:before="0" w:beforeAutospacing="0" w:after="0" w:afterAutospacing="0"/>
              <w:ind w:left="0" w:right="0" w:firstLine="0" w:firstLineChars="0"/>
              <w:rPr>
                <w:rFonts w:hint="eastAsia" w:ascii="仿宋" w:hAnsi="仿宋" w:eastAsia="仿宋"/>
                <w:kern w:val="0"/>
                <w:sz w:val="24"/>
                <w:highlight w:val="none"/>
              </w:rPr>
            </w:pPr>
            <w:r>
              <w:rPr>
                <w:rFonts w:hint="eastAsia" w:ascii="仿宋" w:hAnsi="仿宋" w:eastAsia="仿宋"/>
                <w:kern w:val="0"/>
                <w:sz w:val="24"/>
                <w:highlight w:val="none"/>
                <w:lang w:val="en-US" w:eastAsia="zh-CN"/>
              </w:rPr>
              <w:t>11、</w:t>
            </w:r>
            <w:r>
              <w:rPr>
                <w:rFonts w:hint="eastAsia" w:ascii="仿宋" w:hAnsi="仿宋" w:eastAsia="仿宋"/>
                <w:kern w:val="0"/>
                <w:sz w:val="24"/>
                <w:highlight w:val="none"/>
              </w:rPr>
              <w:t>本项目不接受联合体投标。</w:t>
            </w:r>
          </w:p>
          <w:p w14:paraId="4C6ED628">
            <w:pPr>
              <w:pStyle w:val="48"/>
              <w:keepNext w:val="0"/>
              <w:keepLines w:val="0"/>
              <w:suppressLineNumbers w:val="0"/>
              <w:spacing w:before="0" w:beforeAutospacing="0" w:after="0" w:afterAutospacing="0"/>
              <w:ind w:left="0" w:right="0" w:firstLine="0" w:firstLineChars="0"/>
              <w:rPr>
                <w:rFonts w:hint="eastAsia" w:ascii="仿宋" w:hAnsi="仿宋" w:eastAsia="仿宋"/>
                <w:kern w:val="0"/>
                <w:sz w:val="18"/>
                <w:szCs w:val="18"/>
                <w:highlight w:val="none"/>
              </w:rPr>
            </w:pPr>
            <w:r>
              <w:rPr>
                <w:rFonts w:hint="eastAsia" w:ascii="仿宋" w:hAnsi="仿宋" w:eastAsia="仿宋"/>
                <w:kern w:val="0"/>
                <w:sz w:val="18"/>
                <w:szCs w:val="18"/>
                <w:highlight w:val="none"/>
              </w:rPr>
              <w:t>注：1、“提供税务部门出具的近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5E600B1B">
            <w:pPr>
              <w:pStyle w:val="33"/>
              <w:keepNext w:val="0"/>
              <w:keepLines w:val="0"/>
              <w:suppressLineNumbers w:val="0"/>
              <w:tabs>
                <w:tab w:val="clear" w:pos="567"/>
              </w:tabs>
              <w:spacing w:beforeAutospacing="0" w:after="0" w:afterAutospacing="0"/>
              <w:ind w:left="0" w:right="0"/>
              <w:rPr>
                <w:rFonts w:hint="eastAsia" w:ascii="仿宋" w:hAnsi="仿宋" w:eastAsia="仿宋"/>
                <w:b/>
                <w:bCs/>
                <w:kern w:val="0"/>
                <w:sz w:val="21"/>
                <w:szCs w:val="21"/>
                <w:highlight w:val="none"/>
              </w:rPr>
            </w:pPr>
            <w:r>
              <w:rPr>
                <w:rFonts w:hint="eastAsia" w:ascii="仿宋" w:hAnsi="仿宋" w:eastAsia="仿宋"/>
                <w:b/>
                <w:bCs/>
                <w:kern w:val="0"/>
                <w:sz w:val="21"/>
                <w:szCs w:val="21"/>
                <w:highlight w:val="none"/>
              </w:rPr>
              <w:t>提示：</w:t>
            </w:r>
            <w:r>
              <w:rPr>
                <w:rFonts w:hint="eastAsia" w:ascii="仿宋" w:hAnsi="仿宋" w:eastAsia="仿宋"/>
                <w:kern w:val="0"/>
                <w:sz w:val="21"/>
                <w:szCs w:val="21"/>
                <w:highlight w:val="none"/>
              </w:rPr>
              <w:t>上述资质开标现场能够通过官方网络查证的，均视为合格供应商。</w:t>
            </w:r>
          </w:p>
        </w:tc>
      </w:tr>
      <w:tr w14:paraId="36119D7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5E960469">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4</w:t>
            </w:r>
          </w:p>
        </w:tc>
        <w:tc>
          <w:tcPr>
            <w:tcW w:w="6840" w:type="dxa"/>
            <w:vAlign w:val="center"/>
          </w:tcPr>
          <w:p w14:paraId="3674F6B6">
            <w:pPr>
              <w:keepNext w:val="0"/>
              <w:keepLines w:val="0"/>
              <w:suppressLineNumbers w:val="0"/>
              <w:spacing w:before="0" w:beforeAutospacing="0" w:after="0" w:afterAutospacing="0" w:line="360" w:lineRule="auto"/>
              <w:ind w:left="0" w:right="0"/>
              <w:rPr>
                <w:rFonts w:hint="default" w:eastAsia="楷体"/>
                <w:b/>
                <w:bCs/>
                <w:color w:val="000000"/>
                <w:sz w:val="24"/>
                <w:highlight w:val="none"/>
                <w:lang w:val="en-US" w:eastAsia="zh-CN"/>
              </w:rPr>
            </w:pPr>
            <w:r>
              <w:rPr>
                <w:rFonts w:hint="default" w:eastAsia="仿宋"/>
                <w:b/>
                <w:bCs/>
                <w:color w:val="000000"/>
                <w:sz w:val="24"/>
                <w:highlight w:val="none"/>
              </w:rPr>
              <w:t>是否为专门面向中小企业采购：</w:t>
            </w:r>
            <w:r>
              <w:rPr>
                <w:rFonts w:hint="eastAsia" w:eastAsia="仿宋"/>
                <w:b/>
                <w:bCs/>
                <w:color w:val="000000"/>
                <w:sz w:val="24"/>
                <w:highlight w:val="none"/>
                <w:u w:val="single"/>
                <w:lang w:val="en-US" w:eastAsia="zh-CN"/>
              </w:rPr>
              <w:t>是</w:t>
            </w:r>
            <w:r>
              <w:rPr>
                <w:rFonts w:hint="default" w:eastAsia="仿宋"/>
                <w:b/>
                <w:bCs/>
                <w:i/>
                <w:color w:val="000000"/>
                <w:sz w:val="24"/>
                <w:highlight w:val="none"/>
              </w:rPr>
              <w:t>（是、否）</w:t>
            </w:r>
            <w:r>
              <w:rPr>
                <w:rFonts w:hint="eastAsia" w:ascii="楷体" w:hAnsi="楷体" w:eastAsia="楷体"/>
                <w:sz w:val="24"/>
                <w:highlight w:val="none"/>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sz w:val="24"/>
                <w:highlight w:val="none"/>
                <w:u w:val="single"/>
              </w:rPr>
              <w:t>行业类型：</w:t>
            </w:r>
            <w:r>
              <w:rPr>
                <w:rFonts w:hint="eastAsia" w:ascii="楷体" w:hAnsi="楷体" w:eastAsia="楷体" w:cs="楷体"/>
                <w:b/>
                <w:bCs/>
                <w:sz w:val="24"/>
                <w:highlight w:val="none"/>
                <w:u w:val="single"/>
                <w:lang w:val="en-US" w:eastAsia="zh-CN"/>
              </w:rPr>
              <w:t>物业管理</w:t>
            </w:r>
          </w:p>
        </w:tc>
      </w:tr>
      <w:tr w14:paraId="7C67558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38" w:hRule="atLeast"/>
        </w:trPr>
        <w:tc>
          <w:tcPr>
            <w:tcW w:w="1468" w:type="dxa"/>
            <w:vAlign w:val="center"/>
          </w:tcPr>
          <w:p w14:paraId="38EF3412">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5</w:t>
            </w:r>
          </w:p>
        </w:tc>
        <w:tc>
          <w:tcPr>
            <w:tcW w:w="6840" w:type="dxa"/>
            <w:vAlign w:val="center"/>
          </w:tcPr>
          <w:p w14:paraId="0269B6CF">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是否允许联合体投标：</w:t>
            </w:r>
            <w:r>
              <w:rPr>
                <w:rFonts w:hint="default" w:eastAsia="仿宋"/>
                <w:sz w:val="24"/>
                <w:u w:val="single"/>
              </w:rPr>
              <w:t>否</w:t>
            </w:r>
            <w:r>
              <w:rPr>
                <w:rFonts w:hint="default" w:eastAsia="仿宋"/>
                <w:i/>
                <w:sz w:val="24"/>
              </w:rPr>
              <w:t>（是、否）</w:t>
            </w:r>
          </w:p>
        </w:tc>
      </w:tr>
      <w:tr w14:paraId="66B0005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115D1EA0">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6</w:t>
            </w:r>
          </w:p>
        </w:tc>
        <w:tc>
          <w:tcPr>
            <w:tcW w:w="6840" w:type="dxa"/>
            <w:vAlign w:val="center"/>
          </w:tcPr>
          <w:p w14:paraId="5DFFFA1D">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联合体的其他资格要求：无</w:t>
            </w:r>
          </w:p>
        </w:tc>
      </w:tr>
      <w:tr w14:paraId="5F64682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747E4A75">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7</w:t>
            </w:r>
          </w:p>
        </w:tc>
        <w:tc>
          <w:tcPr>
            <w:tcW w:w="6840" w:type="dxa"/>
            <w:vAlign w:val="center"/>
          </w:tcPr>
          <w:p w14:paraId="0BCE7E38">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eastAsia="仿宋"/>
                <w:sz w:val="24"/>
              </w:rPr>
              <w:t>项目</w:t>
            </w:r>
            <w:r>
              <w:rPr>
                <w:rFonts w:hint="eastAsia" w:eastAsia="仿宋"/>
                <w:sz w:val="24"/>
                <w:lang w:eastAsia="zh-CN"/>
              </w:rPr>
              <w:t>总</w:t>
            </w:r>
            <w:r>
              <w:rPr>
                <w:rFonts w:hint="default" w:eastAsia="仿宋"/>
                <w:sz w:val="24"/>
              </w:rPr>
              <w:t>预算金额：</w:t>
            </w:r>
            <w:r>
              <w:rPr>
                <w:rFonts w:hint="eastAsia" w:eastAsia="仿宋"/>
                <w:sz w:val="24"/>
                <w:lang w:val="en-US" w:eastAsia="zh-CN"/>
              </w:rPr>
              <w:t>113.85</w:t>
            </w:r>
            <w:r>
              <w:rPr>
                <w:rFonts w:hint="eastAsia" w:eastAsia="仿宋"/>
                <w:sz w:val="24"/>
                <w:lang w:eastAsia="zh-CN"/>
              </w:rPr>
              <w:t>万元</w:t>
            </w:r>
          </w:p>
        </w:tc>
      </w:tr>
      <w:tr w14:paraId="7C5F74A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01" w:hRule="atLeast"/>
        </w:trPr>
        <w:tc>
          <w:tcPr>
            <w:tcW w:w="1468" w:type="dxa"/>
            <w:vAlign w:val="center"/>
          </w:tcPr>
          <w:p w14:paraId="18C23665">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8</w:t>
            </w:r>
          </w:p>
        </w:tc>
        <w:tc>
          <w:tcPr>
            <w:tcW w:w="6840" w:type="dxa"/>
            <w:vAlign w:val="center"/>
          </w:tcPr>
          <w:p w14:paraId="4412EDD2">
            <w:pPr>
              <w:keepNext w:val="0"/>
              <w:keepLines w:val="0"/>
              <w:suppressLineNumbers w:val="0"/>
              <w:spacing w:before="0" w:beforeAutospacing="0" w:after="0" w:afterAutospacing="0" w:line="360" w:lineRule="auto"/>
              <w:ind w:left="0" w:right="0"/>
              <w:rPr>
                <w:rFonts w:hint="eastAsia" w:eastAsia="仿宋"/>
                <w:sz w:val="24"/>
                <w:lang w:eastAsia="zh-CN"/>
              </w:rPr>
            </w:pPr>
            <w:r>
              <w:rPr>
                <w:rFonts w:hint="eastAsia" w:eastAsia="仿宋"/>
                <w:sz w:val="24"/>
              </w:rPr>
              <w:t>本项目最高限价：</w:t>
            </w:r>
            <w:r>
              <w:rPr>
                <w:rFonts w:hint="eastAsia" w:eastAsia="仿宋"/>
                <w:sz w:val="24"/>
                <w:lang w:val="en-US" w:eastAsia="zh-CN"/>
              </w:rPr>
              <w:t>113.85</w:t>
            </w:r>
            <w:r>
              <w:rPr>
                <w:rFonts w:hint="eastAsia" w:eastAsia="仿宋"/>
                <w:sz w:val="24"/>
                <w:lang w:eastAsia="zh-CN"/>
              </w:rPr>
              <w:t>万元</w:t>
            </w:r>
          </w:p>
        </w:tc>
      </w:tr>
      <w:tr w14:paraId="13814A4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92" w:hRule="atLeast"/>
        </w:trPr>
        <w:tc>
          <w:tcPr>
            <w:tcW w:w="1468" w:type="dxa"/>
            <w:vAlign w:val="center"/>
          </w:tcPr>
          <w:p w14:paraId="00843677">
            <w:pPr>
              <w:keepNext w:val="0"/>
              <w:keepLines w:val="0"/>
              <w:suppressLineNumbers w:val="0"/>
              <w:spacing w:before="0" w:beforeAutospacing="0" w:after="0" w:afterAutospacing="0" w:line="360" w:lineRule="auto"/>
              <w:ind w:left="1080" w:leftChars="257" w:right="0" w:hanging="540"/>
              <w:rPr>
                <w:rFonts w:hint="eastAsia" w:eastAsia="仿宋"/>
                <w:sz w:val="24"/>
                <w:lang w:eastAsia="zh-CN"/>
              </w:rPr>
            </w:pPr>
            <w:r>
              <w:rPr>
                <w:rFonts w:hint="eastAsia" w:eastAsia="仿宋"/>
                <w:sz w:val="24"/>
                <w:lang w:val="en-US" w:eastAsia="zh-CN"/>
              </w:rPr>
              <w:t>9</w:t>
            </w:r>
          </w:p>
        </w:tc>
        <w:tc>
          <w:tcPr>
            <w:tcW w:w="6840" w:type="dxa"/>
            <w:vAlign w:val="center"/>
          </w:tcPr>
          <w:p w14:paraId="02BEEBFF">
            <w:pPr>
              <w:keepNext w:val="0"/>
              <w:keepLines w:val="0"/>
              <w:suppressLineNumbers w:val="0"/>
              <w:spacing w:before="0" w:beforeAutospacing="0" w:after="0" w:afterAutospacing="0" w:line="360" w:lineRule="auto"/>
              <w:ind w:left="0" w:right="0"/>
              <w:rPr>
                <w:rFonts w:hint="default" w:ascii="仿宋" w:hAnsi="仿宋" w:eastAsia="仿宋" w:cs="仿宋"/>
                <w:b/>
                <w:bCs/>
                <w:sz w:val="24"/>
              </w:rPr>
            </w:pPr>
            <w:r>
              <w:rPr>
                <w:rFonts w:hint="eastAsia" w:ascii="仿宋" w:hAnsi="仿宋" w:eastAsia="仿宋" w:cs="仿宋"/>
                <w:b/>
                <w:bCs/>
                <w:sz w:val="24"/>
              </w:rPr>
              <w:t>签字盖章：</w:t>
            </w:r>
          </w:p>
          <w:p w14:paraId="13FC1805">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供应商必须按照竞争性磋商文件的规定和要求进行签章。</w:t>
            </w:r>
          </w:p>
          <w:p w14:paraId="6E5D9BA9">
            <w:pPr>
              <w:keepNext w:val="0"/>
              <w:keepLines w:val="0"/>
              <w:suppressLineNumbers w:val="0"/>
              <w:spacing w:before="0" w:beforeAutospacing="0" w:after="0" w:afterAutospacing="0" w:line="360" w:lineRule="auto"/>
              <w:ind w:left="0" w:right="0"/>
              <w:rPr>
                <w:rFonts w:hint="eastAsia" w:eastAsia="仿宋"/>
                <w:b/>
                <w:bCs/>
                <w:sz w:val="24"/>
              </w:rPr>
            </w:pPr>
            <w:r>
              <w:rPr>
                <w:rFonts w:hint="eastAsia" w:ascii="仿宋" w:hAnsi="仿宋" w:eastAsia="仿宋" w:cs="仿宋"/>
                <w:sz w:val="24"/>
              </w:rPr>
              <w:t>“电子签名”系指数据电文中以电子形式所含、所附用于识别签名人身份并表明签名人认可内容的数据；“公章”系指单位法定名称章。</w:t>
            </w:r>
          </w:p>
        </w:tc>
      </w:tr>
      <w:tr w14:paraId="4FDEA99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5E841FA8">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10</w:t>
            </w:r>
          </w:p>
        </w:tc>
        <w:tc>
          <w:tcPr>
            <w:tcW w:w="6840" w:type="dxa"/>
            <w:vAlign w:val="center"/>
          </w:tcPr>
          <w:p w14:paraId="22E9CBD7">
            <w:pPr>
              <w:pStyle w:val="32"/>
              <w:keepNext w:val="0"/>
              <w:keepLines w:val="0"/>
              <w:suppressLineNumbers w:val="0"/>
              <w:spacing w:before="0" w:beforeAutospacing="0" w:after="0" w:afterAutospacing="0" w:line="360" w:lineRule="auto"/>
              <w:ind w:left="0" w:right="0" w:firstLine="0"/>
              <w:rPr>
                <w:rFonts w:hint="default" w:ascii="Times New Roman" w:eastAsia="仿宋"/>
                <w:kern w:val="2"/>
                <w:szCs w:val="24"/>
              </w:rPr>
            </w:pPr>
            <w:r>
              <w:rPr>
                <w:rFonts w:hint="default" w:ascii="Times New Roman" w:eastAsia="仿宋"/>
                <w:kern w:val="2"/>
                <w:szCs w:val="24"/>
              </w:rPr>
              <w:t>投标保证金形式：</w:t>
            </w:r>
            <w:r>
              <w:rPr>
                <w:rFonts w:hint="eastAsia" w:ascii="仿宋" w:hAnsi="仿宋" w:eastAsia="仿宋"/>
              </w:rPr>
              <w:t>☑保函  ☑ 电汇 ☑</w:t>
            </w:r>
            <w:r>
              <w:rPr>
                <w:rFonts w:hint="eastAsia" w:ascii="仿宋" w:hAnsi="仿宋" w:eastAsia="仿宋"/>
                <w:lang w:val="en-US" w:eastAsia="zh-CN"/>
              </w:rPr>
              <w:t xml:space="preserve">支票 </w:t>
            </w:r>
            <w:r>
              <w:rPr>
                <w:rFonts w:hint="eastAsia" w:ascii="仿宋" w:hAnsi="仿宋" w:eastAsia="仿宋"/>
              </w:rPr>
              <w:t>☑</w:t>
            </w:r>
            <w:r>
              <w:rPr>
                <w:rFonts w:hint="eastAsia" w:ascii="仿宋" w:hAnsi="仿宋" w:eastAsia="仿宋"/>
                <w:lang w:val="en-US" w:eastAsia="zh-CN"/>
              </w:rPr>
              <w:t>本票</w:t>
            </w:r>
            <w:r>
              <w:rPr>
                <w:rFonts w:hint="eastAsia" w:ascii="仿宋" w:hAnsi="仿宋" w:eastAsia="仿宋"/>
              </w:rPr>
              <w:t>☑ 企业账户网银汇款（本项目允许的其他形式）</w:t>
            </w:r>
          </w:p>
          <w:p w14:paraId="73D02963">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eastAsia="仿宋"/>
                <w:sz w:val="24"/>
              </w:rPr>
              <w:t>保证金数额：</w:t>
            </w:r>
            <w:r>
              <w:rPr>
                <w:rFonts w:hint="eastAsia" w:eastAsia="仿宋"/>
                <w:sz w:val="24"/>
                <w:lang w:val="en-US" w:eastAsia="zh-CN"/>
              </w:rPr>
              <w:t>2.2万元</w:t>
            </w:r>
          </w:p>
          <w:p w14:paraId="6BCC1A71">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投标保证金收款人：喀什地区公共资源交易中心</w:t>
            </w:r>
          </w:p>
          <w:p w14:paraId="19A26E10">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开户行：中国建设银行股份有限公司疏附支行</w:t>
            </w:r>
          </w:p>
          <w:p w14:paraId="7DC34856">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银行账号：65050174602600000509-000003</w:t>
            </w:r>
          </w:p>
          <w:p w14:paraId="3E8535B2">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行号：105894200029</w:t>
            </w:r>
          </w:p>
          <w:p w14:paraId="081AC010">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1.打款时必须注明投标保证金项目名称或项目编号（否则视为无效打款）。到账截止时间：投标截止时间前（以到账时间为准，节假日除外）。</w:t>
            </w:r>
          </w:p>
          <w:p w14:paraId="1166933F">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2.本项目不需要换取收据，银行汇款凭证用于投标保证金证明。如因投标人自身原因打款不成功的，代理公司不承担任何责任。</w:t>
            </w:r>
          </w:p>
          <w:p w14:paraId="73597ADB">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3.中标人应在与采购人签订合同之日起5个工作日内，保证金收受机构根据中标人提供的打款凭证及时办理投标保证金无息退还手续。</w:t>
            </w:r>
          </w:p>
          <w:p w14:paraId="270113E9">
            <w:pPr>
              <w:keepNext w:val="0"/>
              <w:keepLines w:val="0"/>
              <w:suppressLineNumbers w:val="0"/>
              <w:spacing w:before="0" w:beforeAutospacing="0" w:after="0" w:afterAutospacing="0" w:line="360" w:lineRule="auto"/>
              <w:ind w:left="0" w:right="0"/>
              <w:rPr>
                <w:rFonts w:hint="eastAsia" w:ascii="仿宋" w:hAnsi="仿宋" w:eastAsia="仿宋"/>
                <w:szCs w:val="21"/>
              </w:rPr>
            </w:pPr>
            <w:r>
              <w:rPr>
                <w:rFonts w:hint="eastAsia" w:ascii="仿宋" w:hAnsi="仿宋" w:eastAsia="仿宋"/>
                <w:szCs w:val="21"/>
              </w:rPr>
              <w:t>4.未中标投标人的投标保证金将在中标通知书发出之日暨中标结果公告公布之日起5个工作日内无息退还，保证金收受机构根据未中标人提供的打款凭证及时办理退还投标保证金手续。</w:t>
            </w:r>
          </w:p>
        </w:tc>
      </w:tr>
      <w:tr w14:paraId="7FB04E2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394" w:hRule="atLeast"/>
        </w:trPr>
        <w:tc>
          <w:tcPr>
            <w:tcW w:w="1468" w:type="dxa"/>
            <w:vAlign w:val="center"/>
          </w:tcPr>
          <w:p w14:paraId="05560C49">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11</w:t>
            </w:r>
          </w:p>
        </w:tc>
        <w:tc>
          <w:tcPr>
            <w:tcW w:w="6840" w:type="dxa"/>
            <w:vAlign w:val="center"/>
          </w:tcPr>
          <w:p w14:paraId="1BD94BA8">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投标有效期：</w:t>
            </w:r>
            <w:r>
              <w:rPr>
                <w:rFonts w:hint="default" w:eastAsia="仿宋"/>
                <w:sz w:val="24"/>
                <w:u w:val="single"/>
              </w:rPr>
              <w:t>90</w:t>
            </w:r>
            <w:r>
              <w:rPr>
                <w:rFonts w:hint="default" w:eastAsia="仿宋"/>
                <w:sz w:val="24"/>
              </w:rPr>
              <w:t>日历日</w:t>
            </w:r>
          </w:p>
        </w:tc>
      </w:tr>
      <w:tr w14:paraId="41D291B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50" w:hRule="atLeast"/>
        </w:trPr>
        <w:tc>
          <w:tcPr>
            <w:tcW w:w="1468" w:type="dxa"/>
            <w:vAlign w:val="center"/>
          </w:tcPr>
          <w:p w14:paraId="201E2C0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12</w:t>
            </w:r>
          </w:p>
        </w:tc>
        <w:tc>
          <w:tcPr>
            <w:tcW w:w="6840" w:type="dxa"/>
            <w:vAlign w:val="center"/>
          </w:tcPr>
          <w:p w14:paraId="237AFC8A">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本项目为电子招投标，供应商需要使用CA加密设备，凡参加本项目必须可自主通过新疆CA申领渠道“新疆政务通”申请政采云平台可使用的CA设备，如原有兵团或公共资源使用的CA，可与新疆CA、翔晟CA联系，申请增加电子证书即可，无需重复申领。联系方式：</w:t>
            </w:r>
          </w:p>
          <w:p w14:paraId="105B663F">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（1）新疆CA服务热线0991-2819290（喀什办理地点喀什东城喀什市行政审批局一楼企业服务专区数字证书窗口，联系电话15001465669）</w:t>
            </w:r>
          </w:p>
          <w:p w14:paraId="464A9962">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（2）翔晟CA服务热线025-66085508（总部24小时电话）（喀什办理地点：喀什市东城行政审批局一楼28号窗口13150441724（喀什现场24小时电话）</w:t>
            </w:r>
          </w:p>
          <w:p w14:paraId="3CED9CE5">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2.本项目实行网上投标，采用电子投标文件(供应商须使用CA加密设备通过政采云电子投标客户端制作投标文件)。若供应商参与投标，自行承担投标一切费用。</w:t>
            </w:r>
          </w:p>
          <w:p w14:paraId="6BFB30FF">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3.各供应商应在开标前应确保成为新疆政府采购网正式注册入库供应商，并完成CA数字证书申领。因未注册入库、未办理CA数字证书等原因造成无法投标或投标失败等后果由供应商自行承担。</w:t>
            </w:r>
          </w:p>
          <w:p w14:paraId="2B99EC91">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49166D80">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5.供应商在开标时须使用制作加密电子投标文件所使用的CA锁及电脑，电脑须提前配置好浏览器（建议使用360浏览器或谷歌浏览器），以便开标时解锁。</w:t>
            </w:r>
          </w:p>
          <w:p w14:paraId="210E2195">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6.投标保证金缴纳及确认时间：凡拟参加本次招标项目的供应商，必须在开标前将投标保证金汇入指定账户。否则，届时其投标将被拒绝。</w:t>
            </w:r>
          </w:p>
          <w:p w14:paraId="13F1554B">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09773F2D">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8.各供应商须在投标截止时间前完成在系统上递交电子投标文件。投标供应商的电子投标文件是经过CA证书加密后上传提交的，任何单位或个人均无法在投标截止时间(即开标时间)之前查看或篡改，不存在泄密风险。（严格按照政采云电子投标流程制作并上传电子投标文件）</w:t>
            </w:r>
          </w:p>
          <w:p w14:paraId="04BFDA11">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9.各供应商在投标截止时间前将“投标文件”上传至政采云平台。投标文件包括“开标一览表及资格证明文件”与“商务及技术文件”两部分合并成一册。投标文件应按照招标文件规定的格式填写、签署和盖章，并以PDF格式上传至政采云开评标平台（投标文件为正本扫描件）。</w:t>
            </w:r>
          </w:p>
          <w:p w14:paraId="4E9E80A8">
            <w:pPr>
              <w:keepNext w:val="0"/>
              <w:keepLines w:val="0"/>
              <w:suppressLineNumbers w:val="0"/>
              <w:spacing w:before="0" w:beforeAutospacing="0" w:after="0" w:afterAutospacing="0"/>
              <w:ind w:left="0" w:right="0"/>
              <w:rPr>
                <w:rFonts w:hint="eastAsia" w:ascii="仿宋" w:hAnsi="仿宋" w:eastAsia="仿宋"/>
                <w:szCs w:val="21"/>
              </w:rPr>
            </w:pPr>
            <w:r>
              <w:rPr>
                <w:rFonts w:hint="eastAsia" w:ascii="仿宋" w:hAnsi="仿宋" w:eastAsia="仿宋"/>
                <w:szCs w:val="21"/>
              </w:rPr>
              <w:t>10.解密时长为30分钟。</w:t>
            </w:r>
          </w:p>
        </w:tc>
      </w:tr>
      <w:tr w14:paraId="1D0C198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84" w:hRule="atLeast"/>
        </w:trPr>
        <w:tc>
          <w:tcPr>
            <w:tcW w:w="1468" w:type="dxa"/>
            <w:vAlign w:val="center"/>
          </w:tcPr>
          <w:p w14:paraId="48206EBA">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13</w:t>
            </w:r>
          </w:p>
        </w:tc>
        <w:tc>
          <w:tcPr>
            <w:tcW w:w="6840" w:type="dxa"/>
            <w:vAlign w:val="center"/>
          </w:tcPr>
          <w:p w14:paraId="370A0071">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投标截止时间：</w:t>
            </w:r>
            <w:r>
              <w:rPr>
                <w:rFonts w:hint="default" w:eastAsia="仿宋"/>
                <w:sz w:val="24"/>
                <w:u w:val="single"/>
              </w:rPr>
              <w:t>202</w:t>
            </w:r>
            <w:r>
              <w:rPr>
                <w:rFonts w:hint="eastAsia" w:eastAsia="仿宋"/>
                <w:sz w:val="24"/>
                <w:u w:val="single"/>
                <w:lang w:val="en-US" w:eastAsia="zh-CN"/>
              </w:rPr>
              <w:t>5</w:t>
            </w:r>
            <w:r>
              <w:rPr>
                <w:rFonts w:hint="default" w:eastAsia="仿宋"/>
                <w:sz w:val="24"/>
                <w:u w:val="single"/>
              </w:rPr>
              <w:t>年</w:t>
            </w:r>
            <w:r>
              <w:rPr>
                <w:rFonts w:hint="eastAsia" w:eastAsia="仿宋"/>
                <w:sz w:val="24"/>
                <w:u w:val="single"/>
                <w:lang w:val="en-US" w:eastAsia="zh-CN"/>
              </w:rPr>
              <w:t xml:space="preserve">  3 </w:t>
            </w:r>
            <w:r>
              <w:rPr>
                <w:rFonts w:hint="default" w:eastAsia="仿宋"/>
                <w:sz w:val="24"/>
                <w:u w:val="single"/>
              </w:rPr>
              <w:t>月</w:t>
            </w:r>
            <w:r>
              <w:rPr>
                <w:rFonts w:hint="eastAsia" w:eastAsia="仿宋"/>
                <w:sz w:val="24"/>
                <w:u w:val="single"/>
                <w:lang w:val="en-US" w:eastAsia="zh-CN"/>
              </w:rPr>
              <w:t xml:space="preserve"> 25   </w:t>
            </w:r>
            <w:r>
              <w:rPr>
                <w:rFonts w:hint="default" w:eastAsia="仿宋"/>
                <w:sz w:val="24"/>
                <w:u w:val="single"/>
              </w:rPr>
              <w:t>日</w:t>
            </w:r>
            <w:r>
              <w:rPr>
                <w:rFonts w:hint="eastAsia" w:eastAsia="仿宋"/>
                <w:sz w:val="24"/>
                <w:u w:val="single"/>
                <w:lang w:val="en-US" w:eastAsia="zh-CN"/>
              </w:rPr>
              <w:t xml:space="preserve">11:00  </w:t>
            </w:r>
            <w:r>
              <w:rPr>
                <w:rFonts w:hint="default" w:eastAsia="仿宋"/>
                <w:sz w:val="24"/>
                <w:u w:val="single"/>
              </w:rPr>
              <w:t>（北京时间）</w:t>
            </w:r>
          </w:p>
        </w:tc>
      </w:tr>
      <w:tr w14:paraId="52798D1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415" w:hRule="atLeast"/>
        </w:trPr>
        <w:tc>
          <w:tcPr>
            <w:tcW w:w="1468" w:type="dxa"/>
            <w:vAlign w:val="center"/>
          </w:tcPr>
          <w:p w14:paraId="415AA4A6">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14</w:t>
            </w:r>
          </w:p>
        </w:tc>
        <w:tc>
          <w:tcPr>
            <w:tcW w:w="6840" w:type="dxa"/>
            <w:vAlign w:val="center"/>
          </w:tcPr>
          <w:p w14:paraId="544F97A6">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开标时间：</w:t>
            </w:r>
            <w:r>
              <w:rPr>
                <w:rFonts w:hint="default" w:eastAsia="仿宋"/>
                <w:b/>
                <w:bCs/>
                <w:sz w:val="24"/>
              </w:rPr>
              <w:t>202</w:t>
            </w:r>
            <w:r>
              <w:rPr>
                <w:rFonts w:hint="eastAsia" w:eastAsia="仿宋"/>
                <w:b/>
                <w:bCs/>
                <w:sz w:val="24"/>
                <w:lang w:val="en-US" w:eastAsia="zh-CN"/>
              </w:rPr>
              <w:t>5</w:t>
            </w:r>
            <w:r>
              <w:rPr>
                <w:rFonts w:hint="default" w:eastAsia="仿宋"/>
                <w:b/>
                <w:bCs/>
                <w:sz w:val="24"/>
              </w:rPr>
              <w:t>年</w:t>
            </w:r>
            <w:r>
              <w:rPr>
                <w:rFonts w:hint="eastAsia" w:eastAsia="仿宋"/>
                <w:b/>
                <w:bCs/>
                <w:sz w:val="24"/>
                <w:lang w:val="en-US" w:eastAsia="zh-CN"/>
              </w:rPr>
              <w:t xml:space="preserve">  3 </w:t>
            </w:r>
            <w:r>
              <w:rPr>
                <w:rFonts w:hint="default" w:eastAsia="仿宋"/>
                <w:b/>
                <w:bCs/>
                <w:sz w:val="24"/>
              </w:rPr>
              <w:t>月</w:t>
            </w:r>
            <w:r>
              <w:rPr>
                <w:rFonts w:hint="eastAsia" w:eastAsia="仿宋"/>
                <w:b/>
                <w:bCs/>
                <w:sz w:val="24"/>
                <w:lang w:val="en-US" w:eastAsia="zh-CN"/>
              </w:rPr>
              <w:t xml:space="preserve"> 25</w:t>
            </w:r>
            <w:bookmarkStart w:id="700" w:name="_GoBack"/>
            <w:bookmarkEnd w:id="700"/>
            <w:r>
              <w:rPr>
                <w:rFonts w:hint="eastAsia" w:eastAsia="仿宋"/>
                <w:b/>
                <w:bCs/>
                <w:sz w:val="24"/>
                <w:lang w:val="en-US" w:eastAsia="zh-CN"/>
              </w:rPr>
              <w:t xml:space="preserve">  </w:t>
            </w:r>
            <w:r>
              <w:rPr>
                <w:rFonts w:hint="default" w:eastAsia="仿宋"/>
                <w:b/>
                <w:bCs/>
                <w:sz w:val="24"/>
              </w:rPr>
              <w:t>日</w:t>
            </w:r>
            <w:r>
              <w:rPr>
                <w:rFonts w:hint="eastAsia" w:eastAsia="仿宋"/>
                <w:b/>
                <w:bCs/>
                <w:sz w:val="24"/>
                <w:lang w:val="en-US" w:eastAsia="zh-CN"/>
              </w:rPr>
              <w:t xml:space="preserve">11:00  </w:t>
            </w:r>
            <w:r>
              <w:rPr>
                <w:rFonts w:hint="default" w:eastAsia="仿宋"/>
                <w:b/>
                <w:bCs/>
                <w:sz w:val="24"/>
              </w:rPr>
              <w:t>（北京时间）</w:t>
            </w:r>
          </w:p>
          <w:p w14:paraId="0F8F419A">
            <w:pPr>
              <w:keepNext w:val="0"/>
              <w:keepLines w:val="0"/>
              <w:suppressLineNumbers w:val="0"/>
              <w:spacing w:before="0" w:beforeAutospacing="0" w:after="0" w:afterAutospacing="0" w:line="360" w:lineRule="auto"/>
              <w:ind w:left="0" w:right="0"/>
              <w:jc w:val="left"/>
              <w:rPr>
                <w:rFonts w:hint="eastAsia" w:ascii="仿宋" w:hAnsi="仿宋" w:eastAsia="仿宋"/>
                <w:sz w:val="24"/>
              </w:rPr>
            </w:pPr>
            <w:r>
              <w:rPr>
                <w:rFonts w:hint="eastAsia" w:ascii="仿宋" w:hAnsi="仿宋" w:eastAsia="仿宋"/>
                <w:sz w:val="24"/>
              </w:rPr>
              <w:t>开标地点：政采云平台（https://login.zcygov.cn/user-login/#/login</w:t>
            </w:r>
          </w:p>
        </w:tc>
      </w:tr>
      <w:tr w14:paraId="730DE95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70" w:hRule="atLeast"/>
        </w:trPr>
        <w:tc>
          <w:tcPr>
            <w:tcW w:w="1468" w:type="dxa"/>
            <w:vAlign w:val="center"/>
          </w:tcPr>
          <w:p w14:paraId="74D85D01">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15</w:t>
            </w:r>
          </w:p>
        </w:tc>
        <w:tc>
          <w:tcPr>
            <w:tcW w:w="6840" w:type="dxa"/>
            <w:vAlign w:val="center"/>
          </w:tcPr>
          <w:p w14:paraId="0B62AC47">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评标方法：适用</w:t>
            </w:r>
            <w:r>
              <w:rPr>
                <w:rFonts w:hint="default" w:eastAsia="仿宋"/>
                <w:sz w:val="24"/>
                <w:u w:val="single"/>
              </w:rPr>
              <w:t>综合评分法</w:t>
            </w:r>
          </w:p>
        </w:tc>
      </w:tr>
      <w:tr w14:paraId="3FFB73A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2BB38D3A">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16</w:t>
            </w:r>
          </w:p>
        </w:tc>
        <w:tc>
          <w:tcPr>
            <w:tcW w:w="6840" w:type="dxa"/>
            <w:vAlign w:val="center"/>
          </w:tcPr>
          <w:p w14:paraId="55AC92ED">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推荐中标候选供应商的数量：</w:t>
            </w:r>
            <w:r>
              <w:rPr>
                <w:rFonts w:hint="default" w:eastAsia="仿宋"/>
                <w:sz w:val="24"/>
                <w:u w:val="single"/>
              </w:rPr>
              <w:t>3</w:t>
            </w:r>
          </w:p>
        </w:tc>
      </w:tr>
      <w:tr w14:paraId="7D0ABA3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60" w:hRule="atLeast"/>
        </w:trPr>
        <w:tc>
          <w:tcPr>
            <w:tcW w:w="1468" w:type="dxa"/>
            <w:vAlign w:val="center"/>
          </w:tcPr>
          <w:p w14:paraId="52A2AD2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17</w:t>
            </w:r>
          </w:p>
        </w:tc>
        <w:tc>
          <w:tcPr>
            <w:tcW w:w="6840" w:type="dxa"/>
            <w:vAlign w:val="center"/>
          </w:tcPr>
          <w:p w14:paraId="7DBD6A3C">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招标人是否委托评标委员会直接确定中标人：</w:t>
            </w:r>
            <w:r>
              <w:rPr>
                <w:rFonts w:hint="default" w:eastAsia="仿宋"/>
                <w:sz w:val="24"/>
                <w:u w:val="single"/>
              </w:rPr>
              <w:t>否</w:t>
            </w:r>
            <w:r>
              <w:rPr>
                <w:rFonts w:hint="default" w:eastAsia="仿宋"/>
                <w:i/>
                <w:sz w:val="24"/>
              </w:rPr>
              <w:t>（是、否）</w:t>
            </w:r>
          </w:p>
        </w:tc>
      </w:tr>
      <w:tr w14:paraId="68C38EC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600" w:hRule="atLeast"/>
        </w:trPr>
        <w:tc>
          <w:tcPr>
            <w:tcW w:w="1468" w:type="dxa"/>
            <w:vAlign w:val="center"/>
          </w:tcPr>
          <w:p w14:paraId="2BDB52EB">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18</w:t>
            </w:r>
          </w:p>
        </w:tc>
        <w:tc>
          <w:tcPr>
            <w:tcW w:w="6840" w:type="dxa"/>
            <w:vAlign w:val="center"/>
          </w:tcPr>
          <w:p w14:paraId="41774498">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履约保证金金额：</w:t>
            </w:r>
            <w:r>
              <w:rPr>
                <w:rFonts w:hint="default" w:eastAsia="仿宋"/>
                <w:b/>
                <w:bCs/>
                <w:sz w:val="24"/>
              </w:rPr>
              <w:t>合同总价的</w:t>
            </w:r>
            <w:r>
              <w:rPr>
                <w:rFonts w:hint="eastAsia" w:eastAsia="仿宋"/>
                <w:b/>
                <w:bCs/>
                <w:sz w:val="24"/>
                <w:lang w:val="en-US" w:eastAsia="zh-CN"/>
              </w:rPr>
              <w:t>3</w:t>
            </w:r>
            <w:r>
              <w:rPr>
                <w:rFonts w:hint="default" w:eastAsia="仿宋"/>
                <w:b/>
                <w:bCs/>
                <w:sz w:val="24"/>
              </w:rPr>
              <w:t>%计算向下取整至万元（不得超过政府采购合同金额的10%）</w:t>
            </w:r>
            <w:r>
              <w:rPr>
                <w:rFonts w:hint="default" w:eastAsia="仿宋"/>
                <w:sz w:val="24"/>
              </w:rPr>
              <w:t>。</w:t>
            </w:r>
          </w:p>
          <w:p w14:paraId="6DAB665F">
            <w:pPr>
              <w:keepNext w:val="0"/>
              <w:keepLines w:val="0"/>
              <w:suppressLineNumbers w:val="0"/>
              <w:spacing w:before="0" w:beforeAutospacing="0" w:after="0" w:afterAutospacing="0" w:line="360" w:lineRule="auto"/>
              <w:ind w:left="0" w:right="0"/>
              <w:rPr>
                <w:rFonts w:hint="default" w:eastAsia="仿宋"/>
                <w:sz w:val="24"/>
              </w:rPr>
            </w:pPr>
            <w:bookmarkStart w:id="362" w:name="_Hlk22725541"/>
            <w:bookmarkEnd w:id="362"/>
            <w:r>
              <w:rPr>
                <w:rFonts w:hint="default" w:eastAsia="仿宋"/>
                <w:sz w:val="24"/>
              </w:rPr>
              <w:t>履约保证金形式：电汇或企业账户网银汇款。</w:t>
            </w:r>
          </w:p>
          <w:p w14:paraId="7554D2B0">
            <w:pPr>
              <w:keepNext w:val="0"/>
              <w:keepLines w:val="0"/>
              <w:suppressLineNumbers w:val="0"/>
              <w:spacing w:before="0" w:beforeAutospacing="0" w:after="0" w:afterAutospacing="0" w:line="360" w:lineRule="auto"/>
              <w:ind w:left="0" w:right="0"/>
              <w:rPr>
                <w:rFonts w:hint="eastAsia" w:ascii="仿宋" w:hAnsi="仿宋" w:eastAsia="仿宋"/>
                <w:sz w:val="24"/>
              </w:rPr>
            </w:pPr>
            <w:r>
              <w:rPr>
                <w:rFonts w:hint="eastAsia" w:ascii="仿宋" w:hAnsi="仿宋" w:eastAsia="仿宋"/>
                <w:sz w:val="24"/>
              </w:rPr>
              <w:t>提交履约保证金的时间：签订合同前打入甲方指定账户</w:t>
            </w:r>
          </w:p>
          <w:p w14:paraId="1F56AF0F">
            <w:pPr>
              <w:keepNext w:val="0"/>
              <w:keepLines w:val="0"/>
              <w:suppressLineNumbers w:val="0"/>
              <w:spacing w:before="0" w:beforeAutospacing="0" w:after="0" w:afterAutospacing="0" w:line="360" w:lineRule="auto"/>
              <w:ind w:left="0" w:right="0"/>
              <w:rPr>
                <w:rFonts w:hint="eastAsia" w:ascii="仿宋" w:hAnsi="仿宋" w:eastAsia="仿宋"/>
                <w:sz w:val="24"/>
              </w:rPr>
            </w:pPr>
            <w:r>
              <w:rPr>
                <w:rFonts w:hint="eastAsia" w:ascii="仿宋" w:hAnsi="仿宋" w:eastAsia="仿宋"/>
                <w:sz w:val="24"/>
              </w:rPr>
              <w:t xml:space="preserve"> 注：</w:t>
            </w:r>
            <w:r>
              <w:rPr>
                <w:rFonts w:hint="eastAsia" w:ascii="仿宋" w:hAnsi="仿宋" w:eastAsia="仿宋"/>
                <w:sz w:val="24"/>
                <w:lang w:val="zh-CN"/>
              </w:rPr>
              <w:t>双方可以通过协商另行约定其他退还时间和方式及用途。</w:t>
            </w:r>
          </w:p>
          <w:p w14:paraId="05A74F1B">
            <w:pPr>
              <w:keepNext w:val="0"/>
              <w:keepLines w:val="0"/>
              <w:suppressLineNumbers w:val="0"/>
              <w:spacing w:before="0" w:beforeAutospacing="0" w:after="0" w:afterAutospacing="0" w:line="360" w:lineRule="auto"/>
              <w:ind w:left="0" w:right="0"/>
              <w:rPr>
                <w:rFonts w:hint="default" w:eastAsia="仿宋"/>
                <w:sz w:val="24"/>
                <w:lang w:val="en-US" w:eastAsia="zh-CN"/>
              </w:rPr>
            </w:pPr>
            <w:r>
              <w:rPr>
                <w:rFonts w:hint="default" w:eastAsia="仿宋"/>
                <w:sz w:val="24"/>
              </w:rPr>
              <w:t>履约保证金收款人：</w:t>
            </w:r>
            <w:r>
              <w:rPr>
                <w:rFonts w:hint="eastAsia" w:eastAsia="仿宋"/>
                <w:sz w:val="24"/>
                <w:lang w:val="en-US" w:eastAsia="zh-CN"/>
              </w:rPr>
              <w:t>喀什理工职业技术学院</w:t>
            </w:r>
          </w:p>
        </w:tc>
      </w:tr>
      <w:tr w14:paraId="175792C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789E8A23">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19</w:t>
            </w:r>
          </w:p>
        </w:tc>
        <w:tc>
          <w:tcPr>
            <w:tcW w:w="6840" w:type="dxa"/>
            <w:vAlign w:val="center"/>
          </w:tcPr>
          <w:p w14:paraId="5CC2BF27">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本项目无中标服务费</w:t>
            </w:r>
          </w:p>
        </w:tc>
      </w:tr>
      <w:tr w14:paraId="7030572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304B7DAD">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20</w:t>
            </w:r>
          </w:p>
        </w:tc>
        <w:tc>
          <w:tcPr>
            <w:tcW w:w="6840" w:type="dxa"/>
            <w:vAlign w:val="center"/>
          </w:tcPr>
          <w:p w14:paraId="47335BDD">
            <w:pPr>
              <w:keepNext w:val="0"/>
              <w:keepLines w:val="0"/>
              <w:suppressLineNumbers w:val="0"/>
              <w:spacing w:before="0" w:beforeAutospacing="0" w:after="0" w:afterAutospacing="0" w:line="360" w:lineRule="auto"/>
              <w:ind w:left="0" w:right="0"/>
              <w:rPr>
                <w:rFonts w:hint="default" w:eastAsia="仿宋"/>
                <w:sz w:val="24"/>
              </w:rPr>
            </w:pPr>
            <w:r>
              <w:rPr>
                <w:rFonts w:hint="default" w:eastAsia="仿宋"/>
                <w:sz w:val="24"/>
              </w:rPr>
              <w:t>本项目是否属于信用担保试点范围：</w:t>
            </w:r>
            <w:r>
              <w:rPr>
                <w:rFonts w:hint="eastAsia" w:eastAsia="仿宋"/>
                <w:sz w:val="24"/>
                <w:u w:val="single"/>
              </w:rPr>
              <w:t>是</w:t>
            </w:r>
            <w:r>
              <w:rPr>
                <w:rFonts w:hint="default" w:eastAsia="仿宋"/>
                <w:i/>
                <w:sz w:val="24"/>
              </w:rPr>
              <w:t>（是、否）</w:t>
            </w:r>
          </w:p>
        </w:tc>
      </w:tr>
      <w:tr w14:paraId="2860F3B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362074AC">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21</w:t>
            </w:r>
          </w:p>
        </w:tc>
        <w:tc>
          <w:tcPr>
            <w:tcW w:w="6840" w:type="dxa"/>
            <w:vAlign w:val="center"/>
          </w:tcPr>
          <w:p w14:paraId="5BD4E560">
            <w:pPr>
              <w:keepNext w:val="0"/>
              <w:keepLines w:val="0"/>
              <w:suppressLineNumbers w:val="0"/>
              <w:spacing w:before="0" w:beforeAutospacing="0" w:after="0" w:afterAutospacing="0" w:line="360" w:lineRule="auto"/>
              <w:ind w:left="710" w:leftChars="-23" w:right="0" w:hanging="758" w:hangingChars="316"/>
              <w:rPr>
                <w:rFonts w:hint="default" w:eastAsia="仿宋"/>
                <w:sz w:val="24"/>
              </w:rPr>
            </w:pPr>
            <w:r>
              <w:rPr>
                <w:rFonts w:hint="default" w:eastAsia="仿宋"/>
                <w:sz w:val="24"/>
              </w:rPr>
              <w:t>反腐倡廉监督电话/邮箱：</w:t>
            </w:r>
            <w:r>
              <w:rPr>
                <w:rFonts w:hint="default" w:eastAsia="仿宋"/>
                <w:sz w:val="24"/>
                <w:u w:val="single"/>
              </w:rPr>
              <w:t>0998-2597200  2597000</w:t>
            </w:r>
          </w:p>
        </w:tc>
      </w:tr>
      <w:tr w14:paraId="47AAAAA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28" w:type="dxa"/>
            <w:bottom w:w="0" w:type="dxa"/>
            <w:right w:w="28" w:type="dxa"/>
          </w:tblCellMar>
        </w:tblPrEx>
        <w:trPr>
          <w:trHeight w:val="220" w:hRule="atLeast"/>
        </w:trPr>
        <w:tc>
          <w:tcPr>
            <w:tcW w:w="1468" w:type="dxa"/>
            <w:vAlign w:val="center"/>
          </w:tcPr>
          <w:p w14:paraId="5ED6855C">
            <w:pPr>
              <w:keepNext w:val="0"/>
              <w:keepLines w:val="0"/>
              <w:suppressLineNumbers w:val="0"/>
              <w:spacing w:before="0" w:beforeAutospacing="0" w:after="0" w:afterAutospacing="0" w:line="360" w:lineRule="auto"/>
              <w:ind w:left="1080" w:leftChars="257" w:right="0" w:hanging="540"/>
              <w:rPr>
                <w:rFonts w:hint="default" w:eastAsia="仿宋"/>
                <w:sz w:val="24"/>
                <w:lang w:val="en-US" w:eastAsia="zh-CN"/>
              </w:rPr>
            </w:pPr>
            <w:r>
              <w:rPr>
                <w:rFonts w:hint="eastAsia" w:eastAsia="仿宋"/>
                <w:sz w:val="24"/>
                <w:lang w:val="en-US" w:eastAsia="zh-CN"/>
              </w:rPr>
              <w:t>22</w:t>
            </w:r>
          </w:p>
        </w:tc>
        <w:tc>
          <w:tcPr>
            <w:tcW w:w="6840" w:type="dxa"/>
            <w:vAlign w:val="center"/>
          </w:tcPr>
          <w:p w14:paraId="2C9BD763">
            <w:pPr>
              <w:keepNext w:val="0"/>
              <w:keepLines w:val="0"/>
              <w:suppressLineNumbers w:val="0"/>
              <w:spacing w:before="0" w:beforeAutospacing="0" w:after="0" w:afterAutospacing="0" w:line="360" w:lineRule="auto"/>
              <w:ind w:left="710" w:leftChars="-23" w:right="0" w:hanging="758" w:hangingChars="316"/>
              <w:rPr>
                <w:rFonts w:hint="default" w:eastAsia="仿宋"/>
                <w:sz w:val="24"/>
                <w:highlight w:val="none"/>
              </w:rPr>
            </w:pPr>
            <w:r>
              <w:rPr>
                <w:rFonts w:hint="default" w:eastAsia="仿宋"/>
                <w:sz w:val="24"/>
              </w:rPr>
              <w:t>联系部门</w:t>
            </w:r>
            <w:r>
              <w:rPr>
                <w:rFonts w:hint="default" w:eastAsia="仿宋"/>
                <w:sz w:val="24"/>
                <w:u w:val="single"/>
              </w:rPr>
              <w:t>：</w:t>
            </w:r>
            <w:r>
              <w:rPr>
                <w:rFonts w:hint="eastAsia" w:eastAsia="仿宋"/>
                <w:sz w:val="24"/>
                <w:u w:val="single"/>
                <w:lang w:val="en-US" w:eastAsia="zh-CN"/>
              </w:rPr>
              <w:t>喀什理工职业技术学院</w:t>
            </w:r>
            <w:r>
              <w:rPr>
                <w:rFonts w:hint="default" w:eastAsia="仿宋"/>
                <w:sz w:val="24"/>
                <w:highlight w:val="none"/>
                <w:u w:val="single"/>
              </w:rPr>
              <w:t>或地区公共资源交易中心</w:t>
            </w:r>
          </w:p>
          <w:p w14:paraId="0D2C3868">
            <w:pPr>
              <w:keepNext w:val="0"/>
              <w:keepLines w:val="0"/>
              <w:suppressLineNumbers w:val="0"/>
              <w:spacing w:before="0" w:beforeAutospacing="0" w:after="0" w:afterAutospacing="0" w:line="360" w:lineRule="auto"/>
              <w:ind w:left="710" w:leftChars="-23" w:right="0" w:hanging="758" w:hangingChars="316"/>
              <w:rPr>
                <w:rFonts w:hint="default" w:eastAsia="仿宋"/>
                <w:sz w:val="24"/>
                <w:lang w:val="en-US"/>
              </w:rPr>
            </w:pPr>
            <w:r>
              <w:rPr>
                <w:rFonts w:hint="default" w:eastAsia="仿宋"/>
                <w:sz w:val="24"/>
                <w:highlight w:val="none"/>
              </w:rPr>
              <w:t>联系电话：</w:t>
            </w:r>
            <w:r>
              <w:rPr>
                <w:rFonts w:hint="eastAsia" w:ascii="仿宋" w:hAnsi="仿宋" w:eastAsia="仿宋" w:cs="仿宋"/>
                <w:sz w:val="24"/>
                <w:u w:val="single"/>
                <w:lang w:val="en-US" w:eastAsia="zh-CN"/>
              </w:rPr>
              <w:t>15739570653     0998-5885138</w:t>
            </w:r>
          </w:p>
        </w:tc>
      </w:tr>
      <w:tr w14:paraId="7EF86E08">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28" w:type="dxa"/>
            <w:bottom w:w="0" w:type="dxa"/>
            <w:right w:w="28" w:type="dxa"/>
          </w:tblCellMar>
        </w:tblPrEx>
        <w:trPr>
          <w:trHeight w:val="611" w:hRule="atLeast"/>
        </w:trPr>
        <w:tc>
          <w:tcPr>
            <w:tcW w:w="8308" w:type="dxa"/>
            <w:gridSpan w:val="2"/>
            <w:vAlign w:val="center"/>
          </w:tcPr>
          <w:p w14:paraId="4D4D58B8">
            <w:pPr>
              <w:keepNext w:val="0"/>
              <w:keepLines w:val="0"/>
              <w:suppressLineNumbers w:val="0"/>
              <w:spacing w:before="0" w:beforeAutospacing="0" w:after="0" w:afterAutospacing="0" w:line="360" w:lineRule="auto"/>
              <w:ind w:left="0" w:right="0"/>
              <w:rPr>
                <w:rFonts w:hint="default" w:eastAsia="仿宋"/>
                <w:sz w:val="24"/>
              </w:rPr>
            </w:pPr>
          </w:p>
        </w:tc>
      </w:tr>
    </w:tbl>
    <w:p w14:paraId="372A7076">
      <w:pPr>
        <w:spacing w:line="360" w:lineRule="auto"/>
        <w:ind w:left="1080" w:leftChars="257" w:hanging="540"/>
        <w:rPr>
          <w:rFonts w:eastAsia="仿宋"/>
          <w:sz w:val="24"/>
        </w:rPr>
        <w:sectPr>
          <w:footerReference r:id="rId5"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39"/>
          <w:cols w:space="720" w:num="1"/>
          <w:docGrid w:linePitch="312" w:charSpace="0"/>
        </w:sectPr>
      </w:pPr>
    </w:p>
    <w:p w14:paraId="41E32672">
      <w:pPr>
        <w:rPr>
          <w:rFonts w:ascii="Times New Roman" w:eastAsia="仿宋"/>
        </w:rPr>
      </w:pPr>
      <w:bookmarkStart w:id="363" w:name="_Toc7753"/>
      <w:bookmarkEnd w:id="363"/>
      <w:bookmarkStart w:id="364" w:name="_Toc24868"/>
      <w:bookmarkEnd w:id="364"/>
      <w:bookmarkStart w:id="365" w:name="_Toc20857"/>
      <w:bookmarkEnd w:id="365"/>
      <w:bookmarkStart w:id="366" w:name="_Toc20390"/>
      <w:bookmarkEnd w:id="366"/>
    </w:p>
    <w:p w14:paraId="124F1A28">
      <w:pPr>
        <w:jc w:val="center"/>
        <w:rPr>
          <w:rFonts w:hint="eastAsia" w:eastAsia="宋体"/>
          <w:b/>
          <w:bCs/>
          <w:sz w:val="28"/>
          <w:szCs w:val="18"/>
          <w:lang w:eastAsia="zh-CN"/>
        </w:rPr>
      </w:pPr>
      <w:r>
        <w:rPr>
          <w:b/>
          <w:bCs/>
          <w:sz w:val="28"/>
          <w:szCs w:val="18"/>
        </w:rPr>
        <w:t>资格审查表</w:t>
      </w:r>
    </w:p>
    <w:tbl>
      <w:tblPr>
        <w:tblStyle w:val="21"/>
        <w:tblpPr w:leftFromText="180" w:rightFromText="180" w:vertAnchor="text" w:horzAnchor="page" w:tblpXSpec="center" w:tblpY="142"/>
        <w:tblOverlap w:val="never"/>
        <w:tblW w:w="8631" w:type="dxa"/>
        <w:jc w:val="center"/>
        <w:tblLayout w:type="fixed"/>
        <w:tblCellMar>
          <w:top w:w="0" w:type="dxa"/>
          <w:left w:w="108" w:type="dxa"/>
          <w:bottom w:w="0" w:type="dxa"/>
          <w:right w:w="108" w:type="dxa"/>
        </w:tblCellMar>
      </w:tblPr>
      <w:tblGrid>
        <w:gridCol w:w="945"/>
        <w:gridCol w:w="6138"/>
        <w:gridCol w:w="355"/>
        <w:gridCol w:w="329"/>
        <w:gridCol w:w="399"/>
        <w:gridCol w:w="465"/>
      </w:tblGrid>
      <w:tr w14:paraId="6155E419">
        <w:tblPrEx>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51694EFA">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14:paraId="484C068A">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14:paraId="234D6DBA">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14:paraId="58978938">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投标人N</w:t>
            </w:r>
          </w:p>
        </w:tc>
      </w:tr>
      <w:tr w14:paraId="09F2FAB0">
        <w:tblPrEx>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14:paraId="148F5BC2">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000000"/>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14:paraId="66BBB276">
            <w:pPr>
              <w:keepNext w:val="0"/>
              <w:keepLines w:val="0"/>
              <w:widowControl/>
              <w:suppressLineNumbers w:val="0"/>
              <w:spacing w:before="0" w:beforeAutospacing="0" w:after="0" w:afterAutospacing="0" w:line="360" w:lineRule="auto"/>
              <w:ind w:left="0" w:right="0"/>
              <w:jc w:val="left"/>
              <w:rPr>
                <w:rFonts w:hint="default"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14:paraId="1366C5BF">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14:paraId="16A5A094">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14:paraId="3C34F155">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14:paraId="0B3BA229">
            <w:pPr>
              <w:keepNext w:val="0"/>
              <w:keepLines w:val="0"/>
              <w:widowControl/>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否</w:t>
            </w:r>
          </w:p>
        </w:tc>
      </w:tr>
      <w:tr w14:paraId="2B93944D">
        <w:tblPrEx>
          <w:tblCellMar>
            <w:top w:w="0" w:type="dxa"/>
            <w:left w:w="108" w:type="dxa"/>
            <w:bottom w:w="0" w:type="dxa"/>
            <w:right w:w="108" w:type="dxa"/>
          </w:tblCellMar>
        </w:tblPrEx>
        <w:trPr>
          <w:trHeight w:val="611" w:hRule="atLeast"/>
          <w:jc w:val="center"/>
        </w:trPr>
        <w:tc>
          <w:tcPr>
            <w:tcW w:w="945" w:type="dxa"/>
            <w:tcBorders>
              <w:top w:val="nil"/>
              <w:left w:val="single" w:color="000000" w:sz="4" w:space="0"/>
              <w:bottom w:val="single" w:color="000000" w:sz="4" w:space="0"/>
              <w:right w:val="single" w:color="000000" w:sz="4" w:space="0"/>
            </w:tcBorders>
            <w:vAlign w:val="center"/>
          </w:tcPr>
          <w:p w14:paraId="13EA18DC">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1</w:t>
            </w:r>
          </w:p>
        </w:tc>
        <w:tc>
          <w:tcPr>
            <w:tcW w:w="6138" w:type="dxa"/>
            <w:tcBorders>
              <w:top w:val="nil"/>
              <w:left w:val="nil"/>
              <w:bottom w:val="single" w:color="000000" w:sz="4" w:space="0"/>
              <w:right w:val="single" w:color="000000" w:sz="4" w:space="0"/>
            </w:tcBorders>
            <w:vAlign w:val="center"/>
          </w:tcPr>
          <w:p w14:paraId="4FA34999">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独立承担民事责任能力的企业、事业、自然人，提供营业执照等经营性证件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4235CAE4">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497C899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2CEADA8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C51FDD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4CC0FDC">
        <w:tblPrEx>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14:paraId="7544B8E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2</w:t>
            </w:r>
          </w:p>
        </w:tc>
        <w:tc>
          <w:tcPr>
            <w:tcW w:w="6138" w:type="dxa"/>
            <w:tcBorders>
              <w:top w:val="nil"/>
              <w:left w:val="nil"/>
              <w:bottom w:val="single" w:color="000000" w:sz="4" w:space="0"/>
              <w:right w:val="single" w:color="000000" w:sz="4" w:space="0"/>
            </w:tcBorders>
            <w:vAlign w:val="center"/>
          </w:tcPr>
          <w:p w14:paraId="0AD57785">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法人身份证明或法人授权委托书（含法人身份证复印件）和被授权人身份有效证件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14:paraId="1087B7C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7A1266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7026E4BB">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38290FF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65F4986">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64EF4508">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3</w:t>
            </w:r>
          </w:p>
        </w:tc>
        <w:tc>
          <w:tcPr>
            <w:tcW w:w="6138" w:type="dxa"/>
            <w:tcBorders>
              <w:top w:val="nil"/>
              <w:left w:val="nil"/>
              <w:bottom w:val="single" w:color="000000" w:sz="4" w:space="0"/>
              <w:right w:val="single" w:color="000000" w:sz="4" w:space="0"/>
            </w:tcBorders>
            <w:vAlign w:val="center"/>
          </w:tcPr>
          <w:p w14:paraId="6C0FC599">
            <w:pPr>
              <w:pStyle w:val="55"/>
              <w:keepNext w:val="0"/>
              <w:keepLines w:val="0"/>
              <w:suppressLineNumbers w:val="0"/>
              <w:spacing w:before="0" w:beforeAutospacing="0" w:after="0" w:afterAutospacing="0"/>
              <w:ind w:left="0" w:right="0" w:firstLine="0" w:firstLineChars="0"/>
              <w:rPr>
                <w:rFonts w:hint="eastAsia" w:ascii="仿宋" w:hAnsi="仿宋" w:eastAsia="仿宋"/>
                <w:kern w:val="0"/>
                <w:szCs w:val="21"/>
              </w:rPr>
            </w:pPr>
            <w:r>
              <w:rPr>
                <w:rFonts w:hint="eastAsia" w:ascii="仿宋" w:hAnsi="仿宋" w:eastAsia="仿宋"/>
                <w:kern w:val="0"/>
                <w:szCs w:val="21"/>
              </w:rPr>
              <w:t>近两年</w:t>
            </w:r>
            <w:r>
              <w:rPr>
                <w:rFonts w:hint="eastAsia" w:ascii="仿宋" w:hAnsi="仿宋" w:eastAsia="仿宋"/>
                <w:kern w:val="0"/>
                <w:szCs w:val="21"/>
                <w:lang w:eastAsia="zh-CN"/>
              </w:rPr>
              <w:t>任意一年完整的</w:t>
            </w:r>
            <w:r>
              <w:rPr>
                <w:rFonts w:hint="eastAsia" w:ascii="仿宋" w:hAnsi="仿宋" w:eastAsia="仿宋"/>
                <w:kern w:val="0"/>
                <w:szCs w:val="21"/>
              </w:rPr>
              <w:t>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14:paraId="75E295E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627CC0D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AD53B5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3CD697A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70F52544">
        <w:tblPrEx>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14:paraId="2D01511D">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4</w:t>
            </w:r>
          </w:p>
        </w:tc>
        <w:tc>
          <w:tcPr>
            <w:tcW w:w="6138" w:type="dxa"/>
            <w:tcBorders>
              <w:top w:val="nil"/>
              <w:left w:val="nil"/>
              <w:bottom w:val="single" w:color="000000" w:sz="4" w:space="0"/>
              <w:right w:val="single" w:color="000000" w:sz="4" w:space="0"/>
            </w:tcBorders>
            <w:vAlign w:val="center"/>
          </w:tcPr>
          <w:p w14:paraId="397F2ECA">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投标企业依法缴纳近 6 个月任意一个月社会保险的凭据；</w:t>
            </w:r>
          </w:p>
        </w:tc>
        <w:tc>
          <w:tcPr>
            <w:tcW w:w="355" w:type="dxa"/>
            <w:tcBorders>
              <w:top w:val="nil"/>
              <w:left w:val="nil"/>
              <w:bottom w:val="single" w:color="000000" w:sz="4" w:space="0"/>
              <w:right w:val="single" w:color="000000" w:sz="4" w:space="0"/>
            </w:tcBorders>
            <w:vAlign w:val="center"/>
          </w:tcPr>
          <w:p w14:paraId="4391DD8E">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6FC2E44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06AF477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2264DA1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015C93C0">
        <w:tblPrEx>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14:paraId="15B81058">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5</w:t>
            </w:r>
          </w:p>
        </w:tc>
        <w:tc>
          <w:tcPr>
            <w:tcW w:w="6138" w:type="dxa"/>
            <w:tcBorders>
              <w:top w:val="nil"/>
              <w:left w:val="nil"/>
              <w:bottom w:val="single" w:color="000000" w:sz="4" w:space="0"/>
              <w:right w:val="single" w:color="000000" w:sz="4" w:space="0"/>
            </w:tcBorders>
            <w:vAlign w:val="center"/>
          </w:tcPr>
          <w:p w14:paraId="44DB31F8">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投标企业提供税务部门出具的近 6 个月任意一个月的完税证明；</w:t>
            </w:r>
          </w:p>
        </w:tc>
        <w:tc>
          <w:tcPr>
            <w:tcW w:w="355" w:type="dxa"/>
            <w:tcBorders>
              <w:top w:val="nil"/>
              <w:left w:val="nil"/>
              <w:bottom w:val="single" w:color="000000" w:sz="4" w:space="0"/>
              <w:right w:val="single" w:color="000000" w:sz="4" w:space="0"/>
            </w:tcBorders>
            <w:vAlign w:val="center"/>
          </w:tcPr>
          <w:p w14:paraId="47579F3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37B27F1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572F10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DE29D5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2D1CA4AD">
        <w:tblPrEx>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14:paraId="4A01A4F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rPr>
            </w:pPr>
            <w:r>
              <w:rPr>
                <w:rFonts w:hint="eastAsia" w:ascii="仿宋" w:hAnsi="仿宋" w:eastAsia="仿宋"/>
                <w:color w:val="000000"/>
                <w:kern w:val="0"/>
                <w:szCs w:val="21"/>
              </w:rPr>
              <w:t>6</w:t>
            </w:r>
          </w:p>
        </w:tc>
        <w:tc>
          <w:tcPr>
            <w:tcW w:w="6138" w:type="dxa"/>
            <w:tcBorders>
              <w:top w:val="nil"/>
              <w:left w:val="nil"/>
              <w:bottom w:val="single" w:color="000000" w:sz="4" w:space="0"/>
              <w:right w:val="single" w:color="000000" w:sz="4" w:space="0"/>
            </w:tcBorders>
            <w:vAlign w:val="center"/>
          </w:tcPr>
          <w:p w14:paraId="5C8DA88B">
            <w:pPr>
              <w:keepNext w:val="0"/>
              <w:keepLines w:val="0"/>
              <w:widowControl/>
              <w:suppressLineNumbers w:val="0"/>
              <w:spacing w:before="0" w:beforeAutospacing="0" w:after="0" w:afterAutospacing="0" w:line="360" w:lineRule="auto"/>
              <w:ind w:left="0" w:right="0"/>
              <w:jc w:val="left"/>
              <w:rPr>
                <w:rFonts w:hint="eastAsia" w:ascii="仿宋" w:hAnsi="仿宋" w:eastAsia="仿宋" w:cs="Times New Roman"/>
                <w:kern w:val="0"/>
                <w:szCs w:val="21"/>
              </w:rPr>
            </w:pPr>
            <w:r>
              <w:rPr>
                <w:rFonts w:hint="eastAsia" w:ascii="仿宋" w:hAnsi="仿宋" w:eastAsia="仿宋" w:cs="Times New Roman"/>
                <w:kern w:val="0"/>
                <w:szCs w:val="21"/>
              </w:rPr>
              <w:t>参与政府采购活动供应商在前3年内未被“信用中国”网站（www.creditchina.gov.cn）、“中国政府采购网”(www.ccgp.gov.cn)列入失信被执行人、重大税收违法案件当事人名单、政府采购严重失信行为记录名单（提供网页截图或承诺函</w:t>
            </w:r>
            <w:r>
              <w:rPr>
                <w:rFonts w:hint="eastAsia" w:ascii="仿宋" w:hAnsi="仿宋" w:eastAsia="仿宋" w:cs="Times New Roman"/>
                <w:kern w:val="0"/>
                <w:szCs w:val="21"/>
                <w:lang w:val="en-US" w:eastAsia="zh-CN"/>
              </w:rPr>
              <w:t>任一均可</w:t>
            </w:r>
            <w:r>
              <w:rPr>
                <w:rFonts w:hint="eastAsia" w:ascii="仿宋" w:hAnsi="仿宋" w:eastAsia="仿宋" w:cs="Times New Roman"/>
                <w:kern w:val="0"/>
                <w:szCs w:val="21"/>
              </w:rPr>
              <w:t>）；（以招标代理或招标人查询为准）</w:t>
            </w:r>
          </w:p>
        </w:tc>
        <w:tc>
          <w:tcPr>
            <w:tcW w:w="355" w:type="dxa"/>
            <w:tcBorders>
              <w:top w:val="nil"/>
              <w:left w:val="nil"/>
              <w:bottom w:val="single" w:color="000000" w:sz="4" w:space="0"/>
              <w:right w:val="single" w:color="000000" w:sz="4" w:space="0"/>
            </w:tcBorders>
            <w:vAlign w:val="center"/>
          </w:tcPr>
          <w:p w14:paraId="633A1D2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3794651">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3B3E2F4C">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13CA5F8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1EC895EA">
        <w:tblPrEx>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14:paraId="20DDFC74">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lang w:val="en-US" w:eastAsia="zh-CN"/>
              </w:rPr>
            </w:pPr>
            <w:r>
              <w:rPr>
                <w:rFonts w:hint="eastAsia" w:ascii="仿宋" w:hAnsi="仿宋" w:eastAsia="仿宋"/>
                <w:color w:val="000000"/>
                <w:kern w:val="0"/>
                <w:szCs w:val="21"/>
                <w:lang w:val="en-US" w:eastAsia="zh-CN"/>
              </w:rPr>
              <w:t>7</w:t>
            </w:r>
          </w:p>
        </w:tc>
        <w:tc>
          <w:tcPr>
            <w:tcW w:w="6138" w:type="dxa"/>
            <w:tcBorders>
              <w:top w:val="nil"/>
              <w:left w:val="nil"/>
              <w:bottom w:val="single" w:color="000000" w:sz="4" w:space="0"/>
              <w:right w:val="single" w:color="000000" w:sz="4" w:space="0"/>
            </w:tcBorders>
            <w:vAlign w:val="center"/>
          </w:tcPr>
          <w:p w14:paraId="2D1F66DE">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cs="Times New Roman"/>
                <w:kern w:val="0"/>
                <w:szCs w:val="21"/>
              </w:rPr>
              <w:t>投标商需符合《公安机关实施保安服务管理条例办法》规定，并具有有效的《保安服务许可证》</w:t>
            </w:r>
          </w:p>
        </w:tc>
        <w:tc>
          <w:tcPr>
            <w:tcW w:w="355" w:type="dxa"/>
            <w:tcBorders>
              <w:top w:val="nil"/>
              <w:left w:val="nil"/>
              <w:bottom w:val="single" w:color="000000" w:sz="4" w:space="0"/>
              <w:right w:val="single" w:color="000000" w:sz="4" w:space="0"/>
            </w:tcBorders>
            <w:vAlign w:val="center"/>
          </w:tcPr>
          <w:p w14:paraId="325C80D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0A23F03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6B5BC75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25D6ABC7">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A09772A">
        <w:tblPrEx>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14:paraId="42D71C15">
            <w:pPr>
              <w:keepNext w:val="0"/>
              <w:keepLines w:val="0"/>
              <w:widowControl/>
              <w:suppressLineNumbers w:val="0"/>
              <w:spacing w:before="0" w:beforeAutospacing="0" w:after="0" w:afterAutospacing="0" w:line="360" w:lineRule="auto"/>
              <w:ind w:left="0" w:right="0"/>
              <w:jc w:val="center"/>
              <w:rPr>
                <w:rFonts w:hint="eastAsia" w:ascii="仿宋" w:hAnsi="仿宋" w:eastAsia="仿宋"/>
                <w:color w:val="000000"/>
                <w:kern w:val="0"/>
                <w:szCs w:val="21"/>
                <w:lang w:eastAsia="zh-CN"/>
              </w:rPr>
            </w:pPr>
            <w:r>
              <w:rPr>
                <w:rFonts w:hint="eastAsia" w:ascii="仿宋" w:hAnsi="仿宋" w:eastAsia="仿宋"/>
                <w:color w:val="000000"/>
                <w:kern w:val="0"/>
                <w:szCs w:val="21"/>
                <w:lang w:val="en-US" w:eastAsia="zh-CN"/>
              </w:rPr>
              <w:t>8</w:t>
            </w:r>
          </w:p>
        </w:tc>
        <w:tc>
          <w:tcPr>
            <w:tcW w:w="6138" w:type="dxa"/>
            <w:tcBorders>
              <w:top w:val="nil"/>
              <w:left w:val="nil"/>
              <w:bottom w:val="single" w:color="000000" w:sz="4" w:space="0"/>
              <w:right w:val="single" w:color="000000" w:sz="4" w:space="0"/>
            </w:tcBorders>
            <w:vAlign w:val="center"/>
          </w:tcPr>
          <w:p w14:paraId="79A9D79A">
            <w:pPr>
              <w:keepNext w:val="0"/>
              <w:keepLines w:val="0"/>
              <w:widowControl/>
              <w:suppressLineNumbers w:val="0"/>
              <w:spacing w:before="0" w:beforeAutospacing="0" w:after="0" w:afterAutospacing="0" w:line="360" w:lineRule="auto"/>
              <w:ind w:left="0" w:right="0"/>
              <w:jc w:val="left"/>
              <w:rPr>
                <w:rFonts w:hint="eastAsia" w:ascii="仿宋" w:hAnsi="仿宋" w:eastAsia="仿宋"/>
                <w:kern w:val="0"/>
                <w:szCs w:val="21"/>
              </w:rPr>
            </w:pPr>
            <w:r>
              <w:rPr>
                <w:rFonts w:hint="eastAsia" w:ascii="仿宋" w:hAnsi="仿宋" w:eastAsia="仿宋"/>
                <w:kern w:val="0"/>
                <w:szCs w:val="21"/>
              </w:rPr>
              <w:t>提供针对本次项目《反商业贿赂承诺书》；</w:t>
            </w:r>
          </w:p>
        </w:tc>
        <w:tc>
          <w:tcPr>
            <w:tcW w:w="355" w:type="dxa"/>
            <w:tcBorders>
              <w:top w:val="nil"/>
              <w:left w:val="nil"/>
              <w:bottom w:val="single" w:color="000000" w:sz="4" w:space="0"/>
              <w:right w:val="single" w:color="000000" w:sz="4" w:space="0"/>
            </w:tcBorders>
            <w:vAlign w:val="center"/>
          </w:tcPr>
          <w:p w14:paraId="2BE8E54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4121B9A">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2C264A7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810404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314F34E8">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46A532F4">
            <w:pPr>
              <w:keepNext w:val="0"/>
              <w:keepLines w:val="0"/>
              <w:widowControl/>
              <w:suppressLineNumbers w:val="0"/>
              <w:spacing w:before="0" w:beforeAutospacing="0" w:after="0" w:afterAutospacing="0" w:line="360" w:lineRule="auto"/>
              <w:ind w:left="0" w:right="0"/>
              <w:jc w:val="center"/>
              <w:rPr>
                <w:rFonts w:hint="default"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9</w:t>
            </w:r>
          </w:p>
        </w:tc>
        <w:tc>
          <w:tcPr>
            <w:tcW w:w="6138" w:type="dxa"/>
            <w:tcBorders>
              <w:top w:val="nil"/>
              <w:left w:val="nil"/>
              <w:bottom w:val="single" w:color="000000" w:sz="4" w:space="0"/>
              <w:right w:val="single" w:color="000000" w:sz="4" w:space="0"/>
            </w:tcBorders>
            <w:vAlign w:val="center"/>
          </w:tcPr>
          <w:p w14:paraId="25AE0E33">
            <w:pPr>
              <w:pStyle w:val="40"/>
              <w:keepNext w:val="0"/>
              <w:keepLines w:val="0"/>
              <w:suppressLineNumbers w:val="0"/>
              <w:tabs>
                <w:tab w:val="clear" w:pos="4153"/>
                <w:tab w:val="clear" w:pos="8306"/>
              </w:tabs>
              <w:spacing w:before="0" w:beforeAutospacing="0" w:after="0" w:afterAutospacing="0" w:line="360" w:lineRule="auto"/>
              <w:ind w:left="0" w:right="0"/>
              <w:rPr>
                <w:rFonts w:hint="eastAsia"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缴纳投标保证金有效凭证；</w:t>
            </w:r>
          </w:p>
        </w:tc>
        <w:tc>
          <w:tcPr>
            <w:tcW w:w="355" w:type="dxa"/>
            <w:tcBorders>
              <w:top w:val="nil"/>
              <w:left w:val="nil"/>
              <w:bottom w:val="single" w:color="000000" w:sz="4" w:space="0"/>
              <w:right w:val="single" w:color="000000" w:sz="4" w:space="0"/>
            </w:tcBorders>
            <w:vAlign w:val="center"/>
          </w:tcPr>
          <w:p w14:paraId="617E4E1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A78B3B3">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5A66BBA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57481C9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54F77EF0">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3C613B99">
            <w:pPr>
              <w:keepNext w:val="0"/>
              <w:keepLines w:val="0"/>
              <w:widowControl/>
              <w:suppressLineNumbers w:val="0"/>
              <w:spacing w:before="0" w:beforeAutospacing="0" w:after="0" w:afterAutospacing="0" w:line="360" w:lineRule="auto"/>
              <w:ind w:left="0" w:right="0"/>
              <w:jc w:val="center"/>
              <w:rPr>
                <w:rFonts w:hint="default" w:ascii="仿宋" w:hAnsi="仿宋" w:eastAsia="仿宋" w:cs="Times New Roman"/>
                <w:kern w:val="0"/>
                <w:sz w:val="21"/>
                <w:szCs w:val="21"/>
                <w:highlight w:val="none"/>
                <w:lang w:val="en-US" w:eastAsia="zh-CN" w:bidi="ar-SA"/>
              </w:rPr>
            </w:pPr>
            <w:r>
              <w:rPr>
                <w:rFonts w:hint="eastAsia" w:ascii="仿宋" w:hAnsi="仿宋" w:eastAsia="仿宋" w:cs="Times New Roman"/>
                <w:kern w:val="0"/>
                <w:sz w:val="21"/>
                <w:szCs w:val="21"/>
                <w:highlight w:val="none"/>
                <w:lang w:val="en-US" w:eastAsia="zh-CN" w:bidi="ar-SA"/>
              </w:rPr>
              <w:t>10</w:t>
            </w:r>
          </w:p>
        </w:tc>
        <w:tc>
          <w:tcPr>
            <w:tcW w:w="6138" w:type="dxa"/>
            <w:tcBorders>
              <w:top w:val="nil"/>
              <w:left w:val="nil"/>
              <w:bottom w:val="single" w:color="000000" w:sz="4" w:space="0"/>
              <w:right w:val="single" w:color="000000" w:sz="4" w:space="0"/>
            </w:tcBorders>
            <w:vAlign w:val="center"/>
          </w:tcPr>
          <w:p w14:paraId="1AAE44C0">
            <w:pPr>
              <w:pStyle w:val="40"/>
              <w:keepNext w:val="0"/>
              <w:keepLines w:val="0"/>
              <w:suppressLineNumbers w:val="0"/>
              <w:tabs>
                <w:tab w:val="clear" w:pos="4153"/>
                <w:tab w:val="clear" w:pos="8306"/>
              </w:tabs>
              <w:spacing w:before="0" w:beforeAutospacing="0" w:after="0" w:afterAutospacing="0" w:line="360" w:lineRule="auto"/>
              <w:ind w:left="0" w:right="0"/>
              <w:rPr>
                <w:rFonts w:hint="default" w:ascii="仿宋" w:hAnsi="仿宋" w:eastAsia="仿宋" w:cs="Times New Roman"/>
                <w:kern w:val="0"/>
                <w:sz w:val="21"/>
                <w:szCs w:val="21"/>
                <w:highlight w:val="none"/>
                <w:lang w:val="en-US" w:eastAsia="zh-CN" w:bidi="ar-SA"/>
              </w:rPr>
            </w:pPr>
            <w:r>
              <w:rPr>
                <w:rFonts w:hint="eastAsia" w:ascii="仿宋" w:hAnsi="仿宋" w:eastAsia="仿宋" w:cs="Times New Roman"/>
                <w:kern w:val="0"/>
                <w:sz w:val="21"/>
                <w:szCs w:val="21"/>
                <w:lang w:val="en-US" w:eastAsia="zh-CN" w:bidi="ar-SA"/>
              </w:rPr>
              <w:t>本项目专门面向中小微企业采购；</w:t>
            </w:r>
          </w:p>
        </w:tc>
        <w:tc>
          <w:tcPr>
            <w:tcW w:w="355" w:type="dxa"/>
            <w:tcBorders>
              <w:top w:val="nil"/>
              <w:left w:val="nil"/>
              <w:bottom w:val="single" w:color="000000" w:sz="4" w:space="0"/>
              <w:right w:val="single" w:color="000000" w:sz="4" w:space="0"/>
            </w:tcBorders>
            <w:vAlign w:val="center"/>
          </w:tcPr>
          <w:p w14:paraId="6118D0ED">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20F8920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49637E6F">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0F68B096">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5C51BA5E">
        <w:tblPrEx>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14:paraId="08B256A3">
            <w:pPr>
              <w:keepNext w:val="0"/>
              <w:keepLines w:val="0"/>
              <w:widowControl/>
              <w:suppressLineNumbers w:val="0"/>
              <w:spacing w:before="0" w:beforeAutospacing="0" w:after="0" w:afterAutospacing="0" w:line="360" w:lineRule="auto"/>
              <w:ind w:left="0" w:right="0"/>
              <w:jc w:val="center"/>
              <w:rPr>
                <w:rFonts w:hint="default"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11</w:t>
            </w:r>
          </w:p>
        </w:tc>
        <w:tc>
          <w:tcPr>
            <w:tcW w:w="6138" w:type="dxa"/>
            <w:tcBorders>
              <w:top w:val="nil"/>
              <w:left w:val="nil"/>
              <w:bottom w:val="single" w:color="000000" w:sz="4" w:space="0"/>
              <w:right w:val="single" w:color="000000" w:sz="4" w:space="0"/>
            </w:tcBorders>
            <w:vAlign w:val="center"/>
          </w:tcPr>
          <w:p w14:paraId="2022089F">
            <w:pPr>
              <w:pStyle w:val="40"/>
              <w:keepNext w:val="0"/>
              <w:keepLines w:val="0"/>
              <w:suppressLineNumbers w:val="0"/>
              <w:tabs>
                <w:tab w:val="clear" w:pos="4153"/>
                <w:tab w:val="clear" w:pos="8306"/>
              </w:tabs>
              <w:spacing w:before="0" w:beforeAutospacing="0" w:after="0" w:afterAutospacing="0" w:line="360" w:lineRule="auto"/>
              <w:ind w:left="0" w:right="0"/>
              <w:rPr>
                <w:rFonts w:hint="eastAsia" w:ascii="仿宋" w:hAnsi="仿宋" w:eastAsia="仿宋" w:cs="Times New Roman"/>
                <w:kern w:val="0"/>
                <w:sz w:val="21"/>
                <w:szCs w:val="21"/>
                <w:lang w:val="en-US" w:eastAsia="zh-CN" w:bidi="ar-SA"/>
              </w:rPr>
            </w:pPr>
            <w:r>
              <w:rPr>
                <w:rFonts w:hint="eastAsia" w:ascii="仿宋" w:hAnsi="仿宋" w:eastAsia="仿宋" w:cs="Times New Roman"/>
                <w:kern w:val="0"/>
                <w:sz w:val="21"/>
                <w:szCs w:val="21"/>
                <w:lang w:val="en-US" w:eastAsia="zh-CN" w:bidi="ar-SA"/>
              </w:rPr>
              <w:t>本项目不接受联合体投标。</w:t>
            </w:r>
          </w:p>
        </w:tc>
        <w:tc>
          <w:tcPr>
            <w:tcW w:w="355" w:type="dxa"/>
            <w:tcBorders>
              <w:top w:val="nil"/>
              <w:left w:val="nil"/>
              <w:bottom w:val="single" w:color="000000" w:sz="4" w:space="0"/>
              <w:right w:val="single" w:color="000000" w:sz="4" w:space="0"/>
            </w:tcBorders>
            <w:vAlign w:val="center"/>
          </w:tcPr>
          <w:p w14:paraId="74E1DAF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14:paraId="02F9C5A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14:paraId="1AA842F0">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14:paraId="7EDA7219">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r w14:paraId="541ABD9F">
        <w:tblPrEx>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14:paraId="288EA3F9">
            <w:pPr>
              <w:keepNext w:val="0"/>
              <w:keepLines w:val="0"/>
              <w:widowControl/>
              <w:suppressLineNumbers w:val="0"/>
              <w:spacing w:before="0" w:beforeAutospacing="0" w:after="0" w:afterAutospacing="0" w:line="360" w:lineRule="auto"/>
              <w:ind w:left="0" w:right="0"/>
              <w:jc w:val="center"/>
              <w:rPr>
                <w:rFonts w:hint="default" w:ascii="仿宋" w:hAnsi="仿宋" w:eastAsia="仿宋"/>
                <w:color w:val="000000"/>
                <w:kern w:val="0"/>
                <w:szCs w:val="21"/>
                <w:lang w:val="en-US" w:eastAsia="zh-CN"/>
              </w:rPr>
            </w:pPr>
            <w:r>
              <w:rPr>
                <w:rFonts w:hint="eastAsia" w:ascii="仿宋" w:hAnsi="仿宋" w:eastAsia="仿宋"/>
                <w:color w:val="000000"/>
                <w:kern w:val="0"/>
                <w:szCs w:val="21"/>
                <w:lang w:val="en-US" w:eastAsia="zh-CN"/>
              </w:rPr>
              <w:t xml:space="preserve">  </w:t>
            </w:r>
          </w:p>
        </w:tc>
        <w:tc>
          <w:tcPr>
            <w:tcW w:w="6138" w:type="dxa"/>
            <w:tcBorders>
              <w:top w:val="single" w:color="000000" w:sz="4" w:space="0"/>
              <w:left w:val="nil"/>
              <w:bottom w:val="single" w:color="000000" w:sz="4" w:space="0"/>
              <w:right w:val="single" w:color="000000" w:sz="4" w:space="0"/>
            </w:tcBorders>
            <w:vAlign w:val="center"/>
          </w:tcPr>
          <w:p w14:paraId="6FEBE1FE">
            <w:pPr>
              <w:keepNext w:val="0"/>
              <w:keepLines w:val="0"/>
              <w:suppressLineNumbers w:val="0"/>
              <w:spacing w:before="0" w:beforeAutospacing="0" w:after="0" w:afterAutospacing="0" w:line="360" w:lineRule="auto"/>
              <w:ind w:left="0" w:right="0"/>
              <w:jc w:val="center"/>
              <w:rPr>
                <w:rFonts w:hint="eastAsia"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14:paraId="491E795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14:paraId="0C05CD22">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14:paraId="31E05468">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14:paraId="2F763255">
            <w:pPr>
              <w:keepNext w:val="0"/>
              <w:keepLines w:val="0"/>
              <w:widowControl/>
              <w:suppressLineNumbers w:val="0"/>
              <w:spacing w:before="0" w:beforeAutospacing="0" w:after="0" w:afterAutospacing="0" w:line="360" w:lineRule="auto"/>
              <w:ind w:left="0" w:right="0"/>
              <w:jc w:val="left"/>
              <w:rPr>
                <w:rFonts w:hint="default" w:ascii="仿宋" w:hAnsi="仿宋" w:eastAsia="仿宋"/>
                <w:color w:val="000000"/>
                <w:kern w:val="0"/>
                <w:szCs w:val="21"/>
              </w:rPr>
            </w:pPr>
          </w:p>
        </w:tc>
      </w:tr>
    </w:tbl>
    <w:p w14:paraId="530A6525">
      <w:pPr>
        <w:rPr>
          <w:rFonts w:ascii="Times New Roman" w:eastAsia="仿宋"/>
        </w:rPr>
      </w:pPr>
    </w:p>
    <w:p w14:paraId="616B16F2">
      <w:pPr>
        <w:rPr>
          <w:rFonts w:eastAsia="仿宋"/>
        </w:rPr>
      </w:pPr>
      <w:r>
        <w:rPr>
          <w:rFonts w:eastAsia="仿宋"/>
        </w:rPr>
        <w:br w:type="page"/>
      </w:r>
    </w:p>
    <w:p w14:paraId="4668ABC2">
      <w:pPr>
        <w:pStyle w:val="52"/>
        <w:rPr>
          <w:rFonts w:eastAsia="仿宋"/>
        </w:rPr>
      </w:pPr>
    </w:p>
    <w:p w14:paraId="299AC43B">
      <w:pPr>
        <w:pStyle w:val="26"/>
        <w:tabs>
          <w:tab w:val="left" w:pos="0"/>
        </w:tabs>
        <w:spacing w:before="0" w:after="0" w:line="240" w:lineRule="atLeast"/>
        <w:ind w:left="630"/>
        <w:rPr>
          <w:rFonts w:hint="eastAsia" w:ascii="Times New Roman" w:hAnsi="Times New Roman" w:eastAsia="仿宋" w:cs="Times New Roman"/>
        </w:rPr>
      </w:pPr>
      <w:bookmarkStart w:id="367" w:name="_Toc12390"/>
      <w:bookmarkEnd w:id="367"/>
      <w:bookmarkStart w:id="368" w:name="_Toc7801"/>
      <w:bookmarkEnd w:id="368"/>
      <w:bookmarkStart w:id="369" w:name="_Toc6254"/>
      <w:bookmarkEnd w:id="369"/>
      <w:r>
        <w:rPr>
          <w:rFonts w:ascii="Times New Roman" w:hAnsi="Times New Roman" w:eastAsia="仿宋" w:cs="Times New Roman"/>
        </w:rPr>
        <w:t>第5章</w:t>
      </w:r>
      <w:r>
        <w:rPr>
          <w:rFonts w:hint="eastAsia" w:ascii="Times New Roman" w:eastAsia="仿宋" w:cs="Times New Roman"/>
          <w:lang w:val="en-US" w:eastAsia="zh-CN"/>
        </w:rPr>
        <w:t xml:space="preserve"> 服务内容及项目需求</w:t>
      </w:r>
    </w:p>
    <w:p w14:paraId="31A4068B">
      <w:pPr>
        <w:numPr>
          <w:ilvl w:val="0"/>
          <w:numId w:val="0"/>
        </w:numPr>
        <w:rPr>
          <w:rFonts w:hint="eastAsia" w:asciiTheme="minorEastAsia" w:hAnsiTheme="minorEastAsia" w:eastAsiaTheme="minorEastAsia" w:cstheme="minorEastAsia"/>
          <w:b/>
          <w:bCs/>
          <w:sz w:val="21"/>
          <w:szCs w:val="21"/>
          <w:lang w:val="en-US" w:eastAsia="zh-CN"/>
        </w:rPr>
      </w:pPr>
    </w:p>
    <w:p w14:paraId="3C0B83FA">
      <w:pPr>
        <w:widowControl/>
        <w:numPr>
          <w:ilvl w:val="0"/>
          <w:numId w:val="0"/>
        </w:numPr>
        <w:spacing w:line="520" w:lineRule="exact"/>
        <w:ind w:firstLine="562" w:firstLineChars="200"/>
        <w:rPr>
          <w:rFonts w:hint="eastAsia" w:ascii="仿宋" w:hAnsi="仿宋" w:eastAsia="仿宋" w:cs="仿宋"/>
          <w:b/>
          <w:bCs/>
          <w:sz w:val="28"/>
          <w:szCs w:val="28"/>
          <w:lang w:val="en-US" w:eastAsia="zh-CN"/>
        </w:rPr>
      </w:pPr>
      <w:r>
        <w:rPr>
          <w:rFonts w:hint="eastAsia" w:ascii="仿宋" w:hAnsi="仿宋" w:eastAsia="仿宋" w:cs="仿宋"/>
          <w:b/>
          <w:bCs/>
          <w:sz w:val="28"/>
          <w:szCs w:val="28"/>
          <w:lang w:val="en-US" w:eastAsia="zh-CN"/>
        </w:rPr>
        <w:t>一、</w:t>
      </w:r>
      <w:r>
        <w:rPr>
          <w:rFonts w:hint="eastAsia" w:ascii="仿宋" w:hAnsi="仿宋" w:eastAsia="仿宋" w:cs="仿宋"/>
          <w:b/>
          <w:bCs/>
          <w:sz w:val="28"/>
          <w:szCs w:val="28"/>
        </w:rPr>
        <w:t>基本情况</w:t>
      </w:r>
    </w:p>
    <w:p w14:paraId="55841842">
      <w:pPr>
        <w:spacing w:line="520" w:lineRule="exact"/>
        <w:ind w:firstLine="482" w:firstLineChars="200"/>
        <w:jc w:val="left"/>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1、服务内容及范围</w:t>
      </w:r>
    </w:p>
    <w:p w14:paraId="207D4887">
      <w:pPr>
        <w:spacing w:line="520" w:lineRule="exact"/>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本项目主要是需要26名保安对喀什理工职业技术学院开展日常安保服务，主要包括：</w:t>
      </w:r>
    </w:p>
    <w:p w14:paraId="2F8C818E">
      <w:pPr>
        <w:spacing w:line="520" w:lineRule="exact"/>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1、防火、防盗、防爆炸、防破坏等安全防范工作；</w:t>
      </w:r>
    </w:p>
    <w:p w14:paraId="5D010341">
      <w:pPr>
        <w:spacing w:line="520" w:lineRule="exact"/>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2、保护服务单位的财产、人员安全；</w:t>
      </w:r>
    </w:p>
    <w:p w14:paraId="633158E4">
      <w:pPr>
        <w:spacing w:line="520" w:lineRule="exact"/>
        <w:ind w:firstLine="480" w:firstLineChars="200"/>
        <w:jc w:val="left"/>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维护服务场所的正常秩序，保障服务区域内治安日常秩序、区域巡逻、安全检查、门卫值班、治安防盗、防范恶性事件、突发事件处理、安检室的管理、停车场管理等，如学校范围内发生传染病疫情，则配合学校开展相关防控工作。</w:t>
      </w:r>
    </w:p>
    <w:p w14:paraId="25B03BD9">
      <w:pPr>
        <w:spacing w:line="520" w:lineRule="exact"/>
        <w:ind w:firstLine="482" w:firstLineChars="200"/>
        <w:jc w:val="left"/>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2、设备及物耗配置要求</w:t>
      </w:r>
    </w:p>
    <w:p w14:paraId="1B71EA0C">
      <w:pPr>
        <w:spacing w:line="520" w:lineRule="exact"/>
        <w:ind w:firstLine="480" w:firstLineChars="200"/>
        <w:jc w:val="left"/>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主要安保设备：安保服装、防刺服、战术背心、防割手套、护目镜、头盔、盾牌、防爆叉、大头棒、强光手电筒、金属探测仪等安防器械、安保装备设施的发放、安装及维护维修，费用均由投标方承担。</w:t>
      </w:r>
    </w:p>
    <w:p w14:paraId="708ECA1F">
      <w:pPr>
        <w:spacing w:line="520" w:lineRule="exact"/>
        <w:ind w:firstLine="482" w:firstLineChars="200"/>
        <w:jc w:val="left"/>
        <w:rPr>
          <w:rFonts w:hint="eastAsia" w:ascii="仿宋" w:hAnsi="仿宋" w:eastAsia="仿宋" w:cs="仿宋"/>
          <w:b/>
          <w:bCs/>
          <w:sz w:val="24"/>
          <w:szCs w:val="24"/>
          <w:lang w:val="en-US" w:eastAsia="zh-CN"/>
        </w:rPr>
      </w:pPr>
      <w:r>
        <w:rPr>
          <w:rFonts w:hint="eastAsia" w:ascii="仿宋" w:hAnsi="仿宋" w:eastAsia="仿宋" w:cs="Times New Roman"/>
          <w:b/>
          <w:bCs/>
          <w:kern w:val="2"/>
          <w:sz w:val="24"/>
          <w:szCs w:val="24"/>
          <w:lang w:val="en-US" w:eastAsia="zh-CN" w:bidi="ar-SA"/>
        </w:rPr>
        <w:t>3、</w:t>
      </w:r>
      <w:r>
        <w:rPr>
          <w:rFonts w:hint="eastAsia" w:ascii="仿宋" w:hAnsi="仿宋" w:eastAsia="仿宋" w:cs="仿宋"/>
          <w:b/>
          <w:bCs/>
          <w:sz w:val="24"/>
          <w:szCs w:val="24"/>
          <w:lang w:val="en-US" w:eastAsia="zh-CN"/>
        </w:rPr>
        <w:t>人员要求</w:t>
      </w:r>
    </w:p>
    <w:p w14:paraId="19F41B81">
      <w:pPr>
        <w:spacing w:line="520" w:lineRule="exact"/>
        <w:ind w:firstLine="482" w:firstLineChars="200"/>
        <w:jc w:val="left"/>
        <w:rPr>
          <w:rFonts w:hint="eastAsia" w:ascii="仿宋" w:hAnsi="仿宋" w:eastAsia="仿宋"/>
          <w:sz w:val="24"/>
        </w:rPr>
      </w:pPr>
      <w:r>
        <w:rPr>
          <w:rFonts w:hint="eastAsia" w:ascii="仿宋" w:hAnsi="仿宋" w:eastAsia="仿宋"/>
          <w:b/>
          <w:bCs/>
          <w:sz w:val="24"/>
        </w:rPr>
        <w:t>（</w:t>
      </w:r>
      <w:r>
        <w:rPr>
          <w:rFonts w:hint="eastAsia" w:ascii="仿宋" w:hAnsi="仿宋" w:eastAsia="仿宋"/>
          <w:b/>
          <w:bCs/>
          <w:sz w:val="24"/>
          <w:lang w:val="en-US" w:eastAsia="zh-CN"/>
        </w:rPr>
        <w:t>1</w:t>
      </w:r>
      <w:r>
        <w:rPr>
          <w:rFonts w:hint="eastAsia" w:ascii="仿宋" w:hAnsi="仿宋" w:eastAsia="仿宋"/>
          <w:b/>
          <w:bCs/>
          <w:sz w:val="24"/>
        </w:rPr>
        <w:t>）</w:t>
      </w:r>
      <w:r>
        <w:rPr>
          <w:rFonts w:hint="eastAsia" w:ascii="仿宋" w:hAnsi="仿宋" w:eastAsia="仿宋"/>
          <w:b/>
          <w:bCs/>
          <w:sz w:val="24"/>
          <w:lang w:val="en-US" w:eastAsia="zh-CN"/>
        </w:rPr>
        <w:t>保安</w:t>
      </w:r>
      <w:r>
        <w:rPr>
          <w:rFonts w:hint="eastAsia" w:ascii="仿宋" w:hAnsi="仿宋" w:eastAsia="仿宋"/>
          <w:b/>
          <w:bCs/>
          <w:sz w:val="24"/>
        </w:rPr>
        <w:t>人员要求：</w:t>
      </w:r>
    </w:p>
    <w:p w14:paraId="406BE8EF">
      <w:pPr>
        <w:spacing w:line="520" w:lineRule="exact"/>
        <w:ind w:firstLine="480" w:firstLineChars="200"/>
        <w:jc w:val="left"/>
        <w:rPr>
          <w:rFonts w:hint="eastAsia" w:ascii="仿宋" w:hAnsi="仿宋" w:eastAsia="仿宋"/>
          <w:sz w:val="24"/>
        </w:rPr>
      </w:pPr>
      <w:r>
        <w:rPr>
          <w:rFonts w:hint="eastAsia" w:ascii="仿宋" w:hAnsi="仿宋" w:eastAsia="仿宋"/>
          <w:sz w:val="24"/>
        </w:rPr>
        <w:t>1、政治合格、品行良好，遵纪守法，无犯罪记录。</w:t>
      </w:r>
    </w:p>
    <w:p w14:paraId="230FEBCB">
      <w:pPr>
        <w:spacing w:line="520" w:lineRule="exact"/>
        <w:ind w:firstLine="480" w:firstLineChars="200"/>
        <w:jc w:val="left"/>
        <w:rPr>
          <w:rFonts w:hint="eastAsia" w:ascii="仿宋" w:hAnsi="仿宋" w:eastAsia="仿宋"/>
          <w:sz w:val="24"/>
        </w:rPr>
      </w:pPr>
      <w:r>
        <w:rPr>
          <w:rFonts w:hint="eastAsia" w:ascii="仿宋" w:hAnsi="仿宋" w:eastAsia="仿宋"/>
          <w:sz w:val="24"/>
        </w:rPr>
        <w:t>2、配备保安人员年龄在20周岁-45周岁、身体健康的中国公民。</w:t>
      </w:r>
    </w:p>
    <w:p w14:paraId="3FE4EBB3">
      <w:pPr>
        <w:spacing w:line="520" w:lineRule="exact"/>
        <w:ind w:firstLine="480" w:firstLineChars="200"/>
        <w:jc w:val="left"/>
        <w:rPr>
          <w:rFonts w:hint="eastAsia" w:ascii="仿宋" w:hAnsi="仿宋" w:eastAsia="仿宋"/>
          <w:sz w:val="24"/>
        </w:rPr>
      </w:pPr>
      <w:r>
        <w:rPr>
          <w:rFonts w:hint="eastAsia" w:ascii="仿宋" w:hAnsi="仿宋" w:eastAsia="仿宋"/>
          <w:sz w:val="24"/>
        </w:rPr>
        <w:t>3、业务技能要求:</w:t>
      </w:r>
      <w:r>
        <w:rPr>
          <w:rFonts w:hint="eastAsia" w:ascii="仿宋" w:hAnsi="仿宋" w:eastAsia="仿宋"/>
          <w:sz w:val="24"/>
          <w:lang w:val="en-US" w:eastAsia="zh-CN"/>
        </w:rPr>
        <w:t>服务人员</w:t>
      </w:r>
      <w:r>
        <w:rPr>
          <w:rFonts w:hint="eastAsia" w:ascii="仿宋" w:hAnsi="仿宋" w:eastAsia="仿宋"/>
          <w:sz w:val="24"/>
        </w:rPr>
        <w:t>持有《保安服务上岗证》，具有相关法律法规、安保和消防方面的专业知识和技能。</w:t>
      </w:r>
    </w:p>
    <w:p w14:paraId="04C1EA0F">
      <w:pPr>
        <w:spacing w:line="520" w:lineRule="exact"/>
        <w:ind w:firstLine="480" w:firstLineChars="200"/>
        <w:jc w:val="left"/>
        <w:rPr>
          <w:rFonts w:hint="eastAsia" w:ascii="仿宋" w:hAnsi="仿宋" w:eastAsia="仿宋"/>
          <w:sz w:val="24"/>
        </w:rPr>
      </w:pPr>
      <w:r>
        <w:rPr>
          <w:rFonts w:hint="eastAsia" w:ascii="仿宋" w:hAnsi="仿宋" w:eastAsia="仿宋"/>
          <w:sz w:val="24"/>
        </w:rPr>
        <w:t>4、初中以上文化程度，有志于保安工作的社会青年及退伍军人。</w:t>
      </w:r>
    </w:p>
    <w:p w14:paraId="52C0948B">
      <w:pPr>
        <w:spacing w:line="520" w:lineRule="exact"/>
        <w:ind w:firstLine="480" w:firstLineChars="200"/>
        <w:jc w:val="left"/>
        <w:rPr>
          <w:rFonts w:hint="eastAsia" w:ascii="仿宋" w:hAnsi="仿宋" w:eastAsia="仿宋"/>
          <w:sz w:val="24"/>
        </w:rPr>
      </w:pPr>
      <w:r>
        <w:rPr>
          <w:rFonts w:hint="eastAsia" w:ascii="仿宋" w:hAnsi="仿宋" w:eastAsia="仿宋"/>
          <w:sz w:val="24"/>
        </w:rPr>
        <w:t>5、</w:t>
      </w:r>
      <w:r>
        <w:rPr>
          <w:rFonts w:hint="eastAsia" w:ascii="仿宋" w:hAnsi="仿宋" w:eastAsia="仿宋"/>
          <w:sz w:val="24"/>
          <w:lang w:val="en-US" w:eastAsia="zh-CN"/>
        </w:rPr>
        <w:t>人员具有</w:t>
      </w:r>
      <w:r>
        <w:rPr>
          <w:rFonts w:hint="eastAsia" w:ascii="仿宋" w:hAnsi="仿宋" w:eastAsia="仿宋"/>
          <w:sz w:val="24"/>
        </w:rPr>
        <w:t>相关证件（包括健康证、个人简历等）。</w:t>
      </w:r>
    </w:p>
    <w:p w14:paraId="41EC880F">
      <w:pPr>
        <w:spacing w:line="520" w:lineRule="exact"/>
        <w:ind w:firstLine="482" w:firstLineChars="200"/>
        <w:jc w:val="left"/>
        <w:rPr>
          <w:rFonts w:hint="eastAsia" w:ascii="仿宋" w:hAnsi="仿宋" w:eastAsia="仿宋"/>
          <w:sz w:val="24"/>
        </w:rPr>
      </w:pPr>
      <w:r>
        <w:rPr>
          <w:rFonts w:hint="eastAsia" w:ascii="仿宋" w:hAnsi="仿宋" w:eastAsia="仿宋"/>
          <w:b/>
          <w:bCs/>
          <w:sz w:val="24"/>
        </w:rPr>
        <w:t>（</w:t>
      </w:r>
      <w:r>
        <w:rPr>
          <w:rFonts w:hint="eastAsia" w:ascii="仿宋" w:hAnsi="仿宋" w:eastAsia="仿宋"/>
          <w:b/>
          <w:bCs/>
          <w:sz w:val="24"/>
          <w:lang w:val="en-US" w:eastAsia="zh-CN"/>
        </w:rPr>
        <w:t>2</w:t>
      </w:r>
      <w:r>
        <w:rPr>
          <w:rFonts w:hint="eastAsia" w:ascii="仿宋" w:hAnsi="仿宋" w:eastAsia="仿宋"/>
          <w:b/>
          <w:bCs/>
          <w:sz w:val="24"/>
        </w:rPr>
        <w:t>）</w:t>
      </w:r>
      <w:r>
        <w:rPr>
          <w:rFonts w:hint="eastAsia" w:ascii="仿宋" w:hAnsi="仿宋" w:eastAsia="仿宋"/>
          <w:b/>
          <w:bCs/>
          <w:sz w:val="24"/>
          <w:lang w:val="en-US" w:eastAsia="zh-CN"/>
        </w:rPr>
        <w:t>保安队长</w:t>
      </w:r>
      <w:r>
        <w:rPr>
          <w:rFonts w:hint="eastAsia" w:ascii="仿宋" w:hAnsi="仿宋" w:eastAsia="仿宋"/>
          <w:b/>
          <w:bCs/>
          <w:sz w:val="24"/>
        </w:rPr>
        <w:t>要求：</w:t>
      </w:r>
    </w:p>
    <w:p w14:paraId="62289587">
      <w:pPr>
        <w:spacing w:line="520" w:lineRule="exact"/>
        <w:ind w:firstLine="480" w:firstLineChars="200"/>
        <w:jc w:val="left"/>
        <w:rPr>
          <w:rFonts w:hint="eastAsia" w:ascii="仿宋" w:hAnsi="仿宋" w:eastAsia="仿宋"/>
          <w:sz w:val="24"/>
        </w:rPr>
      </w:pPr>
      <w:r>
        <w:rPr>
          <w:rFonts w:hint="eastAsia" w:ascii="仿宋" w:hAnsi="仿宋" w:eastAsia="仿宋"/>
          <w:sz w:val="24"/>
        </w:rPr>
        <w:t>1、配备1名保安队长，高中以上文化程度，年龄在25周岁-40周岁，身体健康，三年以上保安队长的工作经验，并持有消防安全操作上岗证。具备较强处理突发事件的能力和一定的语言、文字表达能力。</w:t>
      </w:r>
    </w:p>
    <w:p w14:paraId="31F13F21">
      <w:pPr>
        <w:spacing w:line="520" w:lineRule="exact"/>
        <w:ind w:firstLine="480" w:firstLineChars="200"/>
        <w:jc w:val="left"/>
        <w:rPr>
          <w:rFonts w:hint="eastAsia" w:ascii="仿宋" w:hAnsi="仿宋" w:eastAsia="仿宋"/>
          <w:sz w:val="24"/>
        </w:rPr>
      </w:pPr>
      <w:r>
        <w:rPr>
          <w:rFonts w:hint="eastAsia" w:ascii="仿宋" w:hAnsi="仿宋" w:eastAsia="仿宋"/>
          <w:sz w:val="24"/>
        </w:rPr>
        <w:t>2、纪律性强、有一定的组织管理能力，有较好的沟通表达能力。</w:t>
      </w:r>
    </w:p>
    <w:p w14:paraId="7D20F377">
      <w:pPr>
        <w:spacing w:line="520" w:lineRule="exact"/>
        <w:ind w:firstLine="480" w:firstLineChars="200"/>
        <w:jc w:val="left"/>
        <w:rPr>
          <w:rFonts w:hint="eastAsia" w:ascii="仿宋" w:hAnsi="仿宋" w:eastAsia="仿宋"/>
          <w:sz w:val="24"/>
        </w:rPr>
      </w:pPr>
      <w:r>
        <w:rPr>
          <w:rFonts w:hint="eastAsia" w:ascii="仿宋" w:hAnsi="仿宋" w:eastAsia="仿宋"/>
          <w:sz w:val="24"/>
        </w:rPr>
        <w:t>3、退伍军人优先考虑。</w:t>
      </w:r>
    </w:p>
    <w:p w14:paraId="72F9804F">
      <w:pPr>
        <w:spacing w:line="520" w:lineRule="exact"/>
        <w:ind w:firstLine="480" w:firstLineChars="200"/>
        <w:jc w:val="left"/>
        <w:rPr>
          <w:rFonts w:hint="eastAsia" w:ascii="仿宋" w:hAnsi="仿宋" w:eastAsia="仿宋"/>
          <w:sz w:val="24"/>
        </w:rPr>
      </w:pPr>
      <w:r>
        <w:rPr>
          <w:rFonts w:hint="eastAsia" w:ascii="仿宋" w:hAnsi="仿宋" w:eastAsia="仿宋"/>
          <w:sz w:val="24"/>
        </w:rPr>
        <w:t>4、能够带领并督导下属做好安保工作，确保单位和人员的人身及财产安全。</w:t>
      </w:r>
    </w:p>
    <w:p w14:paraId="624AB03C">
      <w:pPr>
        <w:spacing w:line="520" w:lineRule="exact"/>
        <w:ind w:firstLine="480" w:firstLineChars="200"/>
        <w:jc w:val="left"/>
        <w:rPr>
          <w:rFonts w:hint="eastAsia" w:ascii="仿宋" w:hAnsi="仿宋" w:eastAsia="仿宋"/>
          <w:sz w:val="24"/>
        </w:rPr>
      </w:pPr>
      <w:r>
        <w:rPr>
          <w:rFonts w:hint="eastAsia" w:ascii="仿宋" w:hAnsi="仿宋" w:eastAsia="仿宋"/>
          <w:sz w:val="24"/>
        </w:rPr>
        <w:t>5、负责部署安保部门的工作计划安排和检查落实情况。</w:t>
      </w:r>
    </w:p>
    <w:p w14:paraId="3E4E36C3">
      <w:pPr>
        <w:spacing w:line="520" w:lineRule="exact"/>
        <w:ind w:firstLine="480" w:firstLineChars="200"/>
        <w:jc w:val="left"/>
        <w:rPr>
          <w:rFonts w:hint="eastAsia" w:ascii="仿宋" w:hAnsi="仿宋" w:eastAsia="仿宋"/>
          <w:sz w:val="24"/>
        </w:rPr>
      </w:pPr>
      <w:r>
        <w:rPr>
          <w:rFonts w:hint="eastAsia" w:ascii="仿宋" w:hAnsi="仿宋" w:eastAsia="仿宋"/>
          <w:sz w:val="24"/>
        </w:rPr>
        <w:t>6、负责对所有保安员的日常管理，督导训练，巡逻及考核。</w:t>
      </w:r>
    </w:p>
    <w:p w14:paraId="1F5182B8">
      <w:pPr>
        <w:spacing w:line="520" w:lineRule="exact"/>
        <w:ind w:firstLine="480" w:firstLineChars="200"/>
        <w:jc w:val="left"/>
        <w:rPr>
          <w:rFonts w:hint="eastAsia" w:ascii="仿宋" w:hAnsi="仿宋" w:eastAsia="仿宋"/>
          <w:sz w:val="24"/>
        </w:rPr>
      </w:pPr>
      <w:r>
        <w:rPr>
          <w:rFonts w:hint="eastAsia" w:ascii="仿宋" w:hAnsi="仿宋" w:eastAsia="仿宋"/>
          <w:sz w:val="24"/>
        </w:rPr>
        <w:t>7、督导保安值班，注意的礼仪礼节。</w:t>
      </w:r>
    </w:p>
    <w:p w14:paraId="26A00AF5">
      <w:pPr>
        <w:spacing w:line="520" w:lineRule="exact"/>
        <w:ind w:firstLine="480" w:firstLineChars="200"/>
        <w:jc w:val="left"/>
        <w:rPr>
          <w:rFonts w:hint="eastAsia" w:ascii="仿宋" w:hAnsi="仿宋" w:eastAsia="仿宋"/>
          <w:sz w:val="24"/>
        </w:rPr>
      </w:pPr>
      <w:r>
        <w:rPr>
          <w:rFonts w:hint="eastAsia" w:ascii="仿宋" w:hAnsi="仿宋" w:eastAsia="仿宋"/>
          <w:sz w:val="24"/>
        </w:rPr>
        <w:t>8、定期组织保安人员业务知识的学习，军训和消防训练以及各种应急演练。</w:t>
      </w:r>
    </w:p>
    <w:p w14:paraId="10D3D89F">
      <w:pPr>
        <w:spacing w:line="520" w:lineRule="exact"/>
        <w:ind w:firstLine="480" w:firstLineChars="200"/>
        <w:jc w:val="left"/>
        <w:rPr>
          <w:rFonts w:hint="eastAsia" w:ascii="仿宋" w:hAnsi="仿宋" w:eastAsia="仿宋"/>
          <w:sz w:val="24"/>
        </w:rPr>
      </w:pPr>
      <w:r>
        <w:rPr>
          <w:rFonts w:hint="eastAsia" w:ascii="仿宋" w:hAnsi="仿宋" w:eastAsia="仿宋"/>
          <w:sz w:val="24"/>
        </w:rPr>
        <w:t>9、按学校有关规定严格检查出入车辆、人员、物品并做好记录。</w:t>
      </w:r>
    </w:p>
    <w:p w14:paraId="276B8016">
      <w:pPr>
        <w:spacing w:line="520" w:lineRule="exact"/>
        <w:ind w:firstLine="480" w:firstLineChars="200"/>
        <w:jc w:val="left"/>
        <w:rPr>
          <w:rFonts w:hint="eastAsia" w:ascii="仿宋" w:hAnsi="仿宋" w:eastAsia="仿宋"/>
          <w:sz w:val="24"/>
        </w:rPr>
      </w:pPr>
      <w:r>
        <w:rPr>
          <w:rFonts w:hint="eastAsia" w:ascii="仿宋" w:hAnsi="仿宋" w:eastAsia="仿宋"/>
          <w:sz w:val="24"/>
        </w:rPr>
        <w:t>10、会使用各种安保设施和器材，会双语，会使用电脑，会使用消防灭火器材，完成上级安排的其它工作。</w:t>
      </w:r>
    </w:p>
    <w:p w14:paraId="0CD75A22">
      <w:pPr>
        <w:spacing w:line="520" w:lineRule="exact"/>
        <w:ind w:firstLine="482" w:firstLineChars="200"/>
        <w:jc w:val="left"/>
        <w:rPr>
          <w:rFonts w:hint="eastAsia" w:ascii="仿宋" w:hAnsi="仿宋" w:eastAsia="仿宋"/>
          <w:sz w:val="24"/>
        </w:rPr>
      </w:pPr>
      <w:r>
        <w:rPr>
          <w:rFonts w:hint="eastAsia" w:ascii="仿宋" w:hAnsi="仿宋" w:eastAsia="仿宋"/>
          <w:b/>
          <w:bCs/>
          <w:sz w:val="24"/>
          <w:lang w:val="en-US" w:eastAsia="zh-CN"/>
        </w:rPr>
        <w:t>4</w:t>
      </w:r>
      <w:r>
        <w:rPr>
          <w:rFonts w:hint="eastAsia" w:ascii="仿宋" w:hAnsi="仿宋" w:eastAsia="仿宋"/>
          <w:b/>
          <w:bCs/>
          <w:sz w:val="24"/>
        </w:rPr>
        <w:t>、服务能力要求</w:t>
      </w:r>
    </w:p>
    <w:p w14:paraId="3D615DAF">
      <w:pPr>
        <w:spacing w:line="520" w:lineRule="exact"/>
        <w:ind w:firstLine="482" w:firstLineChars="200"/>
        <w:jc w:val="left"/>
        <w:rPr>
          <w:rFonts w:hint="eastAsia" w:ascii="仿宋" w:hAnsi="仿宋" w:eastAsia="仿宋"/>
          <w:b/>
          <w:bCs/>
          <w:sz w:val="24"/>
          <w:lang w:val="en-US" w:eastAsia="zh-CN"/>
        </w:rPr>
      </w:pPr>
      <w:r>
        <w:rPr>
          <w:rFonts w:hint="eastAsia" w:ascii="仿宋" w:hAnsi="仿宋" w:eastAsia="仿宋"/>
          <w:b/>
          <w:bCs/>
          <w:sz w:val="24"/>
        </w:rPr>
        <w:t>（</w:t>
      </w:r>
      <w:r>
        <w:rPr>
          <w:rFonts w:hint="eastAsia" w:ascii="仿宋" w:hAnsi="仿宋" w:eastAsia="仿宋"/>
          <w:b/>
          <w:bCs/>
          <w:sz w:val="24"/>
          <w:lang w:val="en-US" w:eastAsia="zh-CN"/>
        </w:rPr>
        <w:t>1</w:t>
      </w:r>
      <w:r>
        <w:rPr>
          <w:rFonts w:hint="eastAsia" w:ascii="仿宋" w:hAnsi="仿宋" w:eastAsia="仿宋"/>
          <w:b/>
          <w:bCs/>
          <w:sz w:val="24"/>
        </w:rPr>
        <w:t>）服务能力</w:t>
      </w:r>
      <w:r>
        <w:rPr>
          <w:rFonts w:hint="eastAsia" w:ascii="仿宋" w:hAnsi="仿宋" w:eastAsia="仿宋"/>
          <w:b/>
          <w:bCs/>
          <w:sz w:val="24"/>
          <w:lang w:val="en-US" w:eastAsia="zh-CN"/>
        </w:rPr>
        <w:t>要求</w:t>
      </w:r>
    </w:p>
    <w:p w14:paraId="16DAAF03">
      <w:pPr>
        <w:widowControl/>
        <w:numPr>
          <w:ilvl w:val="0"/>
          <w:numId w:val="0"/>
        </w:numPr>
        <w:spacing w:line="520" w:lineRule="exact"/>
        <w:ind w:firstLine="482" w:firstLineChars="200"/>
        <w:rPr>
          <w:rFonts w:hint="eastAsia" w:ascii="仿宋" w:hAnsi="仿宋" w:eastAsia="仿宋"/>
          <w:b/>
          <w:bCs/>
          <w:sz w:val="24"/>
        </w:rPr>
      </w:pPr>
      <w:r>
        <w:rPr>
          <w:rFonts w:hint="eastAsia" w:ascii="仿宋" w:hAnsi="仿宋" w:eastAsia="仿宋"/>
          <w:b/>
          <w:bCs/>
          <w:sz w:val="24"/>
        </w:rPr>
        <w:t>1.服务团队</w:t>
      </w:r>
    </w:p>
    <w:p w14:paraId="46861D55">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1.1 投标单位的服务团队具有保安从业资格，</w:t>
      </w:r>
      <w:r>
        <w:rPr>
          <w:rFonts w:hint="eastAsia" w:ascii="仿宋" w:hAnsi="仿宋" w:eastAsia="仿宋"/>
          <w:b w:val="0"/>
          <w:bCs w:val="0"/>
          <w:sz w:val="24"/>
          <w:lang w:val="en-US" w:eastAsia="zh-CN"/>
        </w:rPr>
        <w:t>人员</w:t>
      </w:r>
      <w:r>
        <w:rPr>
          <w:rFonts w:hint="eastAsia" w:ascii="仿宋" w:hAnsi="仿宋" w:eastAsia="仿宋"/>
          <w:b w:val="0"/>
          <w:bCs w:val="0"/>
          <w:sz w:val="24"/>
        </w:rPr>
        <w:t>年龄在20周岁-45周岁、身体健康、无不良嗜好；初中以上文化程度；未受过刑事处罚及劳动教养的行政处罚；</w:t>
      </w:r>
      <w:r>
        <w:rPr>
          <w:rFonts w:hint="eastAsia" w:ascii="仿宋" w:hAnsi="仿宋" w:eastAsia="仿宋"/>
          <w:b/>
          <w:bCs/>
          <w:sz w:val="24"/>
          <w:lang w:val="en-US" w:eastAsia="zh-CN"/>
        </w:rPr>
        <w:t>投标单位需承诺：若中标，所投入服务人员</w:t>
      </w:r>
      <w:r>
        <w:rPr>
          <w:rFonts w:hint="eastAsia" w:ascii="仿宋" w:hAnsi="仿宋" w:eastAsia="仿宋"/>
          <w:b/>
          <w:bCs/>
          <w:sz w:val="24"/>
        </w:rPr>
        <w:t>上岗前</w:t>
      </w:r>
      <w:r>
        <w:rPr>
          <w:rFonts w:hint="eastAsia" w:ascii="仿宋" w:hAnsi="仿宋" w:eastAsia="仿宋"/>
          <w:b/>
          <w:bCs/>
          <w:sz w:val="24"/>
          <w:lang w:val="en-US" w:eastAsia="zh-CN"/>
        </w:rPr>
        <w:t>向采购方</w:t>
      </w:r>
      <w:r>
        <w:rPr>
          <w:rFonts w:hint="eastAsia" w:ascii="仿宋" w:hAnsi="仿宋" w:eastAsia="仿宋"/>
          <w:b/>
          <w:bCs/>
          <w:sz w:val="24"/>
        </w:rPr>
        <w:t>提供保安从业资格证、健康证；上岗前与安保服务单位签订《劳动合同》；</w:t>
      </w:r>
    </w:p>
    <w:p w14:paraId="2B058DD6">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 xml:space="preserve">1.2 </w:t>
      </w:r>
      <w:r>
        <w:rPr>
          <w:rFonts w:hint="eastAsia" w:ascii="仿宋" w:hAnsi="仿宋" w:eastAsia="仿宋"/>
          <w:b w:val="0"/>
          <w:bCs w:val="0"/>
          <w:sz w:val="24"/>
          <w:lang w:val="en-US" w:eastAsia="zh-CN"/>
        </w:rPr>
        <w:t>服务人员</w:t>
      </w:r>
      <w:r>
        <w:rPr>
          <w:rFonts w:hint="eastAsia" w:ascii="仿宋" w:hAnsi="仿宋" w:eastAsia="仿宋"/>
          <w:b w:val="0"/>
          <w:bCs w:val="0"/>
          <w:sz w:val="24"/>
        </w:rPr>
        <w:t>应当具备任职所需的有关业务工作经验，无被刑事处罚、在公安平台无不良记录、劳动教养、收容教育、强制隔离戒毒或者被开除公职、开除军籍等不良记录；</w:t>
      </w:r>
    </w:p>
    <w:p w14:paraId="5873B25C">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1.3 有与所提供的保安服务相适应的专业技术人员，其中法律、行政法规有资格要求的专业技术人员，应当取得相应的资格；</w:t>
      </w:r>
    </w:p>
    <w:p w14:paraId="6ED4BB0F">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1.4 有保安服务所需的设施、装备；</w:t>
      </w:r>
    </w:p>
    <w:p w14:paraId="1AF314F0">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1.5 有健全的组织机构和保安服务管理制度、岗位责任制度、保安员管理制度；</w:t>
      </w:r>
    </w:p>
    <w:p w14:paraId="76382446">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1.6 安保岗位涉及体现我单位精神面貌及形象的，需具备良好的形象及较高素质；</w:t>
      </w:r>
    </w:p>
    <w:p w14:paraId="2FDB3B8C">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1.7 保安员执行勤务时，着统一的保安服装，佩戴统一的保安标志，持有保安人员工作证件。</w:t>
      </w:r>
    </w:p>
    <w:p w14:paraId="25A15551">
      <w:pPr>
        <w:widowControl/>
        <w:numPr>
          <w:ilvl w:val="0"/>
          <w:numId w:val="0"/>
        </w:numPr>
        <w:spacing w:line="520" w:lineRule="exact"/>
        <w:ind w:firstLine="482" w:firstLineChars="200"/>
        <w:rPr>
          <w:rFonts w:hint="eastAsia" w:ascii="仿宋" w:hAnsi="仿宋" w:eastAsia="仿宋"/>
          <w:b/>
          <w:bCs/>
          <w:sz w:val="24"/>
        </w:rPr>
      </w:pPr>
      <w:r>
        <w:rPr>
          <w:rFonts w:hint="eastAsia" w:ascii="仿宋" w:hAnsi="仿宋" w:eastAsia="仿宋"/>
          <w:b/>
          <w:bCs/>
          <w:sz w:val="24"/>
        </w:rPr>
        <w:t>2.项目管理及技术能力</w:t>
      </w:r>
    </w:p>
    <w:p w14:paraId="0AF92597">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项目管控：投标人项目计划、进度控制方面能力的要求符合学校要求。</w:t>
      </w:r>
    </w:p>
    <w:p w14:paraId="36D13F50">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技术能力：投标人技术能力水平要求不低于国家标准和行业标准，符合学校要求。</w:t>
      </w:r>
    </w:p>
    <w:p w14:paraId="2D06531E">
      <w:pPr>
        <w:widowControl/>
        <w:numPr>
          <w:ilvl w:val="0"/>
          <w:numId w:val="0"/>
        </w:numPr>
        <w:spacing w:line="520" w:lineRule="exact"/>
        <w:ind w:firstLine="482" w:firstLineChars="200"/>
        <w:rPr>
          <w:rFonts w:hint="eastAsia" w:ascii="仿宋" w:hAnsi="仿宋" w:eastAsia="仿宋"/>
          <w:b/>
          <w:bCs/>
          <w:sz w:val="24"/>
        </w:rPr>
      </w:pPr>
      <w:r>
        <w:rPr>
          <w:rFonts w:hint="eastAsia" w:ascii="仿宋" w:hAnsi="仿宋" w:eastAsia="仿宋"/>
          <w:b/>
          <w:bCs/>
          <w:sz w:val="24"/>
        </w:rPr>
        <w:t>3.日常服务要求</w:t>
      </w:r>
    </w:p>
    <w:p w14:paraId="3DDFF07D">
      <w:pPr>
        <w:widowControl/>
        <w:numPr>
          <w:ilvl w:val="0"/>
          <w:numId w:val="0"/>
        </w:numPr>
        <w:spacing w:line="520" w:lineRule="exact"/>
        <w:ind w:firstLine="480" w:firstLineChars="200"/>
        <w:rPr>
          <w:rFonts w:hint="default" w:ascii="仿宋" w:hAnsi="仿宋" w:eastAsia="仿宋"/>
          <w:b w:val="0"/>
          <w:bCs w:val="0"/>
          <w:sz w:val="24"/>
          <w:lang w:val="en-US" w:eastAsia="zh-CN"/>
        </w:rPr>
      </w:pPr>
      <w:r>
        <w:rPr>
          <w:rFonts w:hint="eastAsia" w:ascii="仿宋" w:hAnsi="仿宋" w:eastAsia="仿宋"/>
          <w:b w:val="0"/>
          <w:bCs w:val="0"/>
          <w:sz w:val="24"/>
        </w:rPr>
        <w:t xml:space="preserve">3.1 </w:t>
      </w:r>
      <w:r>
        <w:rPr>
          <w:rFonts w:hint="eastAsia" w:ascii="仿宋" w:hAnsi="仿宋" w:eastAsia="仿宋"/>
          <w:b w:val="0"/>
          <w:bCs w:val="0"/>
          <w:sz w:val="24"/>
          <w:lang w:val="en-US" w:eastAsia="zh-CN"/>
        </w:rPr>
        <w:t>合理安排</w:t>
      </w:r>
      <w:r>
        <w:rPr>
          <w:rFonts w:hint="eastAsia" w:ascii="仿宋" w:hAnsi="仿宋" w:eastAsia="仿宋"/>
          <w:b w:val="0"/>
          <w:bCs w:val="0"/>
          <w:sz w:val="24"/>
        </w:rPr>
        <w:t>安保人员</w:t>
      </w:r>
      <w:r>
        <w:rPr>
          <w:rFonts w:hint="eastAsia" w:ascii="仿宋" w:hAnsi="仿宋" w:eastAsia="仿宋"/>
          <w:b w:val="0"/>
          <w:bCs w:val="0"/>
          <w:sz w:val="24"/>
          <w:lang w:val="en-US" w:eastAsia="zh-CN"/>
        </w:rPr>
        <w:t>确保满足采购人需求。</w:t>
      </w:r>
    </w:p>
    <w:p w14:paraId="1B7FD9C0">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3.2 对进出大门的人员、车辆及物品进行登记、检查。除送邮件、送货及特批允许进入单位的车辆外，制止非学校师生员工及私人车辆、社会闲杂人员及小商小贩入内。</w:t>
      </w:r>
    </w:p>
    <w:p w14:paraId="6EFA44D3">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 xml:space="preserve">3.3 实行昼夜24小时值班制度，并做好值班记录；岗位交接时，应做好交接班记录（所有执勤岗哨不能缺人、缺岗，夜班执勤人员不能睡觉）。保安人员应坚持24小时不定时对服务目标进行巡视并有书面记录。 </w:t>
      </w:r>
    </w:p>
    <w:p w14:paraId="4EDAC66C">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 xml:space="preserve">3.4 对采购人确定的各重要目标加强巡逻和检查，发现问题要及时处理并向采购单位治安保卫机构负责人报告。 </w:t>
      </w:r>
    </w:p>
    <w:p w14:paraId="08B52633">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3.5 保安人员发现可疑人员要进行询问并有书面记录。</w:t>
      </w:r>
    </w:p>
    <w:p w14:paraId="26F65F75">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3.6 结合服务目标内外环境，及时、正确处理火灾、盗窃、翻越围墙、隔墙抛掷物品等安全隐患并有书面记录。</w:t>
      </w:r>
    </w:p>
    <w:p w14:paraId="1AC8F56E">
      <w:pPr>
        <w:widowControl/>
        <w:numPr>
          <w:ilvl w:val="0"/>
          <w:numId w:val="0"/>
        </w:numPr>
        <w:spacing w:line="520" w:lineRule="exact"/>
        <w:ind w:firstLine="480" w:firstLineChars="200"/>
        <w:rPr>
          <w:rFonts w:hint="eastAsia" w:ascii="仿宋" w:hAnsi="仿宋" w:eastAsia="仿宋"/>
          <w:b w:val="0"/>
          <w:bCs w:val="0"/>
          <w:sz w:val="24"/>
          <w:lang w:eastAsia="zh-CN"/>
        </w:rPr>
      </w:pPr>
      <w:r>
        <w:rPr>
          <w:rFonts w:hint="eastAsia" w:ascii="仿宋" w:hAnsi="仿宋" w:eastAsia="仿宋"/>
          <w:b w:val="0"/>
          <w:bCs w:val="0"/>
          <w:sz w:val="24"/>
        </w:rPr>
        <w:t>3.7 制止在服务目标周围发生的寻衅滋事行为并有书面记录</w:t>
      </w:r>
      <w:r>
        <w:rPr>
          <w:rFonts w:hint="eastAsia" w:ascii="仿宋" w:hAnsi="仿宋" w:eastAsia="仿宋"/>
          <w:b w:val="0"/>
          <w:bCs w:val="0"/>
          <w:sz w:val="24"/>
          <w:lang w:eastAsia="zh-CN"/>
        </w:rPr>
        <w:t>。</w:t>
      </w:r>
    </w:p>
    <w:p w14:paraId="3E3676A0">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3.8 接受采购人管理、检查和考核，严格执行采购人制定的安保作业计划，做好安保检查工作。</w:t>
      </w:r>
    </w:p>
    <w:p w14:paraId="030DEE33">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3.9 因安保服务管理、服务流程不当造成直接、间接的损失，</w:t>
      </w:r>
      <w:r>
        <w:rPr>
          <w:rFonts w:hint="eastAsia" w:ascii="仿宋" w:hAnsi="仿宋" w:eastAsia="仿宋"/>
          <w:b w:val="0"/>
          <w:bCs w:val="0"/>
          <w:sz w:val="24"/>
          <w:lang w:val="en-US" w:eastAsia="zh-CN"/>
        </w:rPr>
        <w:t>中标单位</w:t>
      </w:r>
      <w:r>
        <w:rPr>
          <w:rFonts w:hint="eastAsia" w:ascii="仿宋" w:hAnsi="仿宋" w:eastAsia="仿宋"/>
          <w:b w:val="0"/>
          <w:bCs w:val="0"/>
          <w:sz w:val="24"/>
        </w:rPr>
        <w:t>应负全责并对造成的损失全额赔偿。</w:t>
      </w:r>
    </w:p>
    <w:p w14:paraId="62B17EB3">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3.10  配合采购人完成资源及资料核查工作,并严格执行保密制度。</w:t>
      </w:r>
    </w:p>
    <w:p w14:paraId="02C82BA5">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3.11 在安保检查中由投标人原因发生的任何安全事故，一切由</w:t>
      </w:r>
      <w:r>
        <w:rPr>
          <w:rFonts w:hint="eastAsia" w:ascii="仿宋" w:hAnsi="仿宋" w:eastAsia="仿宋"/>
          <w:b w:val="0"/>
          <w:bCs w:val="0"/>
          <w:sz w:val="24"/>
          <w:lang w:val="en-US" w:eastAsia="zh-CN"/>
        </w:rPr>
        <w:t>中标单位</w:t>
      </w:r>
      <w:r>
        <w:rPr>
          <w:rFonts w:hint="eastAsia" w:ascii="仿宋" w:hAnsi="仿宋" w:eastAsia="仿宋"/>
          <w:b w:val="0"/>
          <w:bCs w:val="0"/>
          <w:sz w:val="24"/>
        </w:rPr>
        <w:t>负全责。</w:t>
      </w:r>
    </w:p>
    <w:p w14:paraId="7F005F2B">
      <w:pPr>
        <w:widowControl/>
        <w:numPr>
          <w:ilvl w:val="0"/>
          <w:numId w:val="0"/>
        </w:numPr>
        <w:spacing w:line="520" w:lineRule="exact"/>
        <w:ind w:firstLine="482" w:firstLineChars="200"/>
        <w:rPr>
          <w:rFonts w:hint="eastAsia" w:ascii="仿宋" w:hAnsi="仿宋" w:eastAsia="仿宋"/>
          <w:b/>
          <w:bCs/>
          <w:sz w:val="24"/>
        </w:rPr>
      </w:pPr>
      <w:r>
        <w:rPr>
          <w:rFonts w:hint="eastAsia" w:ascii="仿宋" w:hAnsi="仿宋" w:eastAsia="仿宋"/>
          <w:b/>
          <w:bCs/>
          <w:sz w:val="24"/>
        </w:rPr>
        <w:t>（</w:t>
      </w:r>
      <w:r>
        <w:rPr>
          <w:rFonts w:hint="eastAsia" w:ascii="仿宋" w:hAnsi="仿宋" w:eastAsia="仿宋"/>
          <w:b/>
          <w:bCs/>
          <w:sz w:val="24"/>
          <w:lang w:val="en-US" w:eastAsia="zh-CN"/>
        </w:rPr>
        <w:t>2</w:t>
      </w:r>
      <w:r>
        <w:rPr>
          <w:rFonts w:hint="eastAsia" w:ascii="仿宋" w:hAnsi="仿宋" w:eastAsia="仿宋"/>
          <w:b/>
          <w:bCs/>
          <w:sz w:val="24"/>
        </w:rPr>
        <w:t>）学校安全防范</w:t>
      </w:r>
    </w:p>
    <w:p w14:paraId="24F9B556">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对出入学校的非学校师生员工进行身份证登记、确认进入人员身份，并进行开包及X光安检机检查，严防违禁物品携带入内。违禁物品包括：管制刀具、打火机、液体、危险化学物品等国家规定的违禁物品以及学校规定的违禁物品。</w:t>
      </w:r>
    </w:p>
    <w:p w14:paraId="057E1952">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2.对出入学校的学生核验并确认身份，学生入校时对携带物品进行开包及X光安检机检查，严防违禁物品携带入内。违禁物品包括：管制刀具、打火机、液体、危险化学物品等国家规定的违禁物品以及学校规定的违禁物品。</w:t>
      </w:r>
    </w:p>
    <w:p w14:paraId="20433BD1">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3.礼貌待客，文明服务，服从学校管理并有书面记录。</w:t>
      </w:r>
    </w:p>
    <w:p w14:paraId="7268A323">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4.对四周范围内的消防设施进行巡查并有书面记录，发现问题及时报告采购人治安保卫机构负责人。</w:t>
      </w:r>
    </w:p>
    <w:p w14:paraId="1D54AE8F">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5.学校区域内车辆出入和停放场地实行24小时值班，按规定进行检查和记录。</w:t>
      </w:r>
    </w:p>
    <w:p w14:paraId="5D21EEE8">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6.指挥前来办理业务的车辆停放，制止大货车停放在学校门前路面并有书面记录。</w:t>
      </w:r>
    </w:p>
    <w:p w14:paraId="561D9B59">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7.制止在学校门前路面或者校园周边摆摊设点、商业或者娱乐活动并有书面记录。</w:t>
      </w:r>
    </w:p>
    <w:p w14:paraId="65FA685D">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8.制止对学校四周范围内属于学校所有的设施、树木、花草等的损害行为并有书面记录。</w:t>
      </w:r>
    </w:p>
    <w:p w14:paraId="499F657C">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9.维护学校大门口、门前路面、学校周边的秩序并有书面记录。</w:t>
      </w:r>
    </w:p>
    <w:p w14:paraId="6B3CE2C7">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10.保安人员需做好值班及交接班书面记录。</w:t>
      </w:r>
    </w:p>
    <w:p w14:paraId="523B1D15">
      <w:pPr>
        <w:widowControl/>
        <w:numPr>
          <w:ilvl w:val="0"/>
          <w:numId w:val="0"/>
        </w:numPr>
        <w:spacing w:line="520" w:lineRule="exact"/>
        <w:ind w:firstLine="482" w:firstLineChars="200"/>
        <w:rPr>
          <w:rFonts w:hint="eastAsia" w:ascii="仿宋" w:hAnsi="仿宋" w:eastAsia="仿宋"/>
          <w:b/>
          <w:bCs/>
          <w:sz w:val="24"/>
        </w:rPr>
      </w:pPr>
      <w:r>
        <w:rPr>
          <w:rFonts w:hint="eastAsia" w:ascii="仿宋" w:hAnsi="仿宋" w:eastAsia="仿宋"/>
          <w:b/>
          <w:bCs/>
          <w:sz w:val="24"/>
        </w:rPr>
        <w:t>（</w:t>
      </w:r>
      <w:r>
        <w:rPr>
          <w:rFonts w:hint="eastAsia" w:ascii="仿宋" w:hAnsi="仿宋" w:eastAsia="仿宋"/>
          <w:b/>
          <w:bCs/>
          <w:sz w:val="24"/>
          <w:lang w:val="en-US" w:eastAsia="zh-CN"/>
        </w:rPr>
        <w:t>3</w:t>
      </w:r>
      <w:r>
        <w:rPr>
          <w:rFonts w:hint="eastAsia" w:ascii="仿宋" w:hAnsi="仿宋" w:eastAsia="仿宋"/>
          <w:b/>
          <w:bCs/>
          <w:sz w:val="24"/>
        </w:rPr>
        <w:t>）巡逻安全防范</w:t>
      </w:r>
    </w:p>
    <w:p w14:paraId="5E5B4EFD">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1.保安人员应坚持24小时不定时对服务目标进行巡视并有书面记录。</w:t>
      </w:r>
    </w:p>
    <w:p w14:paraId="30411EF5">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2.保安人员发现可疑人员要进行询问并有书面记录。</w:t>
      </w:r>
    </w:p>
    <w:p w14:paraId="30107218">
      <w:pPr>
        <w:widowControl/>
        <w:numPr>
          <w:ilvl w:val="0"/>
          <w:numId w:val="0"/>
        </w:numPr>
        <w:spacing w:line="520" w:lineRule="exact"/>
        <w:ind w:firstLine="480" w:firstLineChars="200"/>
        <w:rPr>
          <w:rFonts w:hint="eastAsia" w:ascii="仿宋" w:hAnsi="仿宋" w:eastAsia="仿宋"/>
          <w:b w:val="0"/>
          <w:bCs w:val="0"/>
          <w:sz w:val="24"/>
        </w:rPr>
      </w:pPr>
      <w:r>
        <w:rPr>
          <w:rFonts w:hint="eastAsia" w:ascii="仿宋" w:hAnsi="仿宋" w:eastAsia="仿宋"/>
          <w:b w:val="0"/>
          <w:bCs w:val="0"/>
          <w:sz w:val="24"/>
        </w:rPr>
        <w:t>3.结合服务目标内外环境，及时、正确处理火灾、盗窃、翻越围墙、隔墙抛掷物品等安全隐患并有书面记录。</w:t>
      </w:r>
    </w:p>
    <w:p w14:paraId="724D2E89">
      <w:pPr>
        <w:widowControl/>
        <w:numPr>
          <w:ilvl w:val="0"/>
          <w:numId w:val="0"/>
        </w:numPr>
        <w:spacing w:line="520" w:lineRule="exact"/>
        <w:ind w:firstLine="480" w:firstLineChars="200"/>
        <w:rPr>
          <w:rFonts w:hint="eastAsia" w:ascii="仿宋" w:hAnsi="仿宋" w:eastAsia="仿宋" w:cs="仿宋"/>
          <w:b/>
          <w:bCs/>
          <w:kern w:val="2"/>
          <w:sz w:val="28"/>
          <w:szCs w:val="28"/>
          <w:lang w:val="en-US" w:eastAsia="zh-CN" w:bidi="ar-SA"/>
        </w:rPr>
      </w:pPr>
      <w:r>
        <w:rPr>
          <w:rFonts w:hint="eastAsia" w:ascii="仿宋" w:hAnsi="仿宋" w:eastAsia="仿宋"/>
          <w:b w:val="0"/>
          <w:bCs w:val="0"/>
          <w:sz w:val="24"/>
        </w:rPr>
        <w:t>4.制止在服务目标周围发生的寻衅滋事行为并有书面记录。</w:t>
      </w:r>
    </w:p>
    <w:p w14:paraId="18CA5D61">
      <w:pPr>
        <w:widowControl/>
        <w:numPr>
          <w:ilvl w:val="0"/>
          <w:numId w:val="0"/>
        </w:numPr>
        <w:spacing w:line="520" w:lineRule="exact"/>
        <w:ind w:firstLine="562" w:firstLineChars="200"/>
        <w:rPr>
          <w:rFonts w:ascii="宋体" w:hAnsi="宋体" w:cs="宋体"/>
          <w:b/>
          <w:bCs/>
          <w:kern w:val="0"/>
          <w:sz w:val="28"/>
          <w:szCs w:val="28"/>
        </w:rPr>
      </w:pPr>
      <w:r>
        <w:rPr>
          <w:rFonts w:hint="eastAsia" w:ascii="宋体" w:hAnsi="宋体" w:cs="宋体"/>
          <w:b/>
          <w:bCs/>
          <w:kern w:val="0"/>
          <w:sz w:val="28"/>
          <w:szCs w:val="28"/>
          <w:lang w:val="en-US" w:eastAsia="zh-CN"/>
        </w:rPr>
        <w:t>二、</w:t>
      </w:r>
      <w:r>
        <w:rPr>
          <w:rFonts w:hint="eastAsia" w:ascii="宋体" w:hAnsi="宋体" w:cs="宋体"/>
          <w:b/>
          <w:bCs/>
          <w:kern w:val="0"/>
          <w:sz w:val="28"/>
          <w:szCs w:val="28"/>
        </w:rPr>
        <w:t>项目相关要求</w:t>
      </w:r>
    </w:p>
    <w:p w14:paraId="41AF1881">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投标方须严格执行《公安机关实施安保人员服务管理条例办法》，有严格的员工管理和考核体系。所有安保人员必须按规定规范着装，举止端庄，按行业标准要求自行配备安保服装，具备相关的上岗证书。对所有上岗人员应进行必要的职业道德培训及相关岗位的技术培训、消防知识培训、值守检查知识培训，以确保其良好的技术状态，能完成相应的技术工作。定期向总务科汇报情况，总结安保值守情况。</w:t>
      </w:r>
    </w:p>
    <w:p w14:paraId="5D995186">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）投标方须具有完善的文档管理体系。</w:t>
      </w:r>
      <w:r>
        <w:rPr>
          <w:rFonts w:hint="eastAsia" w:ascii="仿宋" w:hAnsi="仿宋" w:eastAsia="仿宋" w:cs="仿宋"/>
          <w:sz w:val="24"/>
          <w:lang w:val="en-US" w:eastAsia="zh-CN"/>
        </w:rPr>
        <w:t>中标方须</w:t>
      </w:r>
      <w:r>
        <w:rPr>
          <w:rFonts w:hint="eastAsia" w:ascii="仿宋" w:hAnsi="仿宋" w:eastAsia="仿宋" w:cs="仿宋"/>
          <w:sz w:val="24"/>
          <w:lang w:eastAsia="zh-CN"/>
        </w:rPr>
        <w:t>建立安保服务工作日志工作，对所有的设备、设施(治安、安防、安检设施、秩序维护设施)运行状况、检查情况和维修情况进行登记并造册列表，纳入交接班制度，以计算机和纸质文档两种方式保存，并要求员工在工作前进行确认。公司根据国家、自治区、地区相关安保规定和值守业务操作的具体业务流程进行培训，以规范操作。</w:t>
      </w:r>
    </w:p>
    <w:p w14:paraId="5A8D8FDA">
      <w:pPr>
        <w:tabs>
          <w:tab w:val="left" w:pos="1600"/>
        </w:tabs>
        <w:spacing w:line="520" w:lineRule="exact"/>
        <w:ind w:firstLine="480" w:firstLineChars="200"/>
        <w:rPr>
          <w:rFonts w:hint="eastAsia"/>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）投标人负责制订保安人员培训计划，定期对管理和保安人员进行岗位技能、安全生产知识、服务礼仪、消防设备使用及各类应急预案的培训和实操练习，并做好相关记录工作。</w:t>
      </w:r>
    </w:p>
    <w:p w14:paraId="4DFB4910">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4</w:t>
      </w:r>
      <w:r>
        <w:rPr>
          <w:rFonts w:hint="eastAsia" w:ascii="仿宋" w:hAnsi="仿宋" w:eastAsia="仿宋" w:cs="仿宋"/>
          <w:sz w:val="24"/>
          <w:lang w:eastAsia="zh-CN"/>
        </w:rPr>
        <w:t>）保安人员须注重礼节礼貌，讲究工作方法，积极主动灵活，做好防盗窃、防抢劫、防破坏、防爆炸、防火灾、防事故、保安全，不得与</w:t>
      </w:r>
      <w:r>
        <w:rPr>
          <w:rFonts w:hint="eastAsia" w:ascii="仿宋" w:hAnsi="仿宋" w:eastAsia="仿宋" w:cs="仿宋"/>
          <w:sz w:val="24"/>
          <w:lang w:val="en-US" w:eastAsia="zh-CN"/>
        </w:rPr>
        <w:t>服务对象</w:t>
      </w:r>
      <w:r>
        <w:rPr>
          <w:rFonts w:hint="eastAsia" w:ascii="仿宋" w:hAnsi="仿宋" w:eastAsia="仿宋" w:cs="仿宋"/>
          <w:sz w:val="24"/>
          <w:lang w:eastAsia="zh-CN"/>
        </w:rPr>
        <w:t>发生无理由争执。在执勤中，如遇不法分子不服制止，可采取正当防卫，但要避免防卫过当。对可疑人员进行身份核验。若在执勤时发生刑事案件或治安案件须保护现场、证据，维护秩序，并配合公安机关了解相关信息。保安有权、有责抓获犯罪分子，并扭送公安机关。中标方及其保安人员必须积极配合采购方应对突发性事件，服从调遣。</w:t>
      </w:r>
    </w:p>
    <w:p w14:paraId="2187015F">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5</w:t>
      </w:r>
      <w:r>
        <w:rPr>
          <w:rFonts w:hint="eastAsia" w:ascii="仿宋" w:hAnsi="仿宋" w:eastAsia="仿宋" w:cs="仿宋"/>
          <w:sz w:val="24"/>
          <w:lang w:eastAsia="zh-CN"/>
        </w:rPr>
        <w:t>）投标人应按照国家及喀什有关规定与保安服务人员签订劳动合同，所有派遣人员的工资、保险、劳动保护费要按时发放，并为其购买社保、购买保险、递交体检证明。</w:t>
      </w:r>
    </w:p>
    <w:p w14:paraId="2ACAD62C">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6</w:t>
      </w:r>
      <w:r>
        <w:rPr>
          <w:rFonts w:hint="eastAsia" w:ascii="仿宋" w:hAnsi="仿宋" w:eastAsia="仿宋" w:cs="仿宋"/>
          <w:sz w:val="24"/>
          <w:lang w:eastAsia="zh-CN"/>
        </w:rPr>
        <w:t>）投标人须采取积极有效措施，针对各类突发事件制订相应的治安应急处突预案等其他相关应急预案，包括且不限于人员纠纷、伤人事件、暴恐事件、自然灾害、盗窃案件、公共设施造成的安全隐患防范等内容。确保安保值守人员及学校师生员工人身和财产安全，确保安保设施设备及财产安全。保安人员应在突发事件发生时，积极协助采购方进行人员疏散工作，保证场所出入口畅通无阻。</w:t>
      </w:r>
    </w:p>
    <w:p w14:paraId="2B360B58">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7</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根据采购方要求完成</w:t>
      </w:r>
      <w:r>
        <w:rPr>
          <w:rFonts w:hint="eastAsia" w:ascii="仿宋" w:hAnsi="仿宋" w:eastAsia="仿宋" w:cs="仿宋"/>
          <w:color w:val="auto"/>
          <w:sz w:val="24"/>
          <w:lang w:eastAsia="zh-CN"/>
        </w:rPr>
        <w:t>防疫消杀工作，操作流程须按上级有关部门和学校的要求开展。</w:t>
      </w:r>
    </w:p>
    <w:p w14:paraId="613F6AB0">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8</w:t>
      </w:r>
      <w:r>
        <w:rPr>
          <w:rFonts w:hint="eastAsia" w:ascii="仿宋" w:hAnsi="仿宋" w:eastAsia="仿宋" w:cs="仿宋"/>
          <w:sz w:val="24"/>
          <w:lang w:eastAsia="zh-CN"/>
        </w:rPr>
        <w:t>）免责说明</w:t>
      </w:r>
    </w:p>
    <w:p w14:paraId="5CA913E1">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1.保安人员在岗履行工作职责期间，发生自身的人身伤害、伤亡，均由投标人负责处理并承担经济和道义上的责任，采购人不承担任何责任。</w:t>
      </w:r>
    </w:p>
    <w:p w14:paraId="437274C8">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2.投标人违反国家相关法规，与聘用人员发生纠纷，均由投标人负责调解与处理，采购人不承担责任。</w:t>
      </w:r>
    </w:p>
    <w:p w14:paraId="3BC63FBA">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3.投标人在安保服务中违反国家相关法规或保安行业规范，因过失造成他人人身伤亡的，均由投标人负责处理并承担法律责任和道义责任，采购人不承担任何责任。</w:t>
      </w:r>
    </w:p>
    <w:p w14:paraId="04EC7D0B">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4.投标人在组织、安排保安工作时，应符合国家相关法律法规，维护保安人员的正当权益，对其用工行为承担一切法律责任。</w:t>
      </w:r>
    </w:p>
    <w:p w14:paraId="6D1CEB2A">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5.在岗期间因安保服务人员导致发生的任何</w:t>
      </w:r>
      <w:r>
        <w:rPr>
          <w:rFonts w:hint="eastAsia" w:ascii="仿宋" w:hAnsi="仿宋" w:eastAsia="仿宋" w:cs="仿宋"/>
          <w:sz w:val="24"/>
          <w:lang w:val="en-US" w:eastAsia="zh-CN"/>
        </w:rPr>
        <w:t>情况</w:t>
      </w:r>
      <w:r>
        <w:rPr>
          <w:rFonts w:hint="eastAsia" w:ascii="仿宋" w:hAnsi="仿宋" w:eastAsia="仿宋" w:cs="仿宋"/>
          <w:sz w:val="24"/>
          <w:lang w:eastAsia="zh-CN"/>
        </w:rPr>
        <w:t xml:space="preserve">，造成的后果及经济损失，采购人不承担任何责任。 </w:t>
      </w:r>
    </w:p>
    <w:p w14:paraId="4F383286">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9</w:t>
      </w:r>
      <w:r>
        <w:rPr>
          <w:rFonts w:hint="eastAsia" w:ascii="仿宋" w:hAnsi="仿宋" w:eastAsia="仿宋" w:cs="仿宋"/>
          <w:sz w:val="24"/>
          <w:lang w:eastAsia="zh-CN"/>
        </w:rPr>
        <w:t>）投标人须提供详细可行的项目实施方案。实施方案要求要求投标人编写管理服务水平的整体设想及策划；拟采取的管理方式、工作计划和安保物资装备计划；人员的培训计划；管理规章制度计划；智能化系统的管理、维护计划；管理、检查、考核及奖惩措施齐全，且能完全满足采购单位需求。</w:t>
      </w:r>
    </w:p>
    <w:p w14:paraId="74740105">
      <w:pPr>
        <w:tabs>
          <w:tab w:val="left" w:pos="1600"/>
        </w:tabs>
        <w:spacing w:line="520" w:lineRule="exact"/>
        <w:ind w:firstLine="482" w:firstLineChars="200"/>
        <w:rPr>
          <w:rFonts w:hint="eastAsia" w:ascii="仿宋" w:hAnsi="仿宋" w:eastAsia="仿宋" w:cs="仿宋"/>
          <w:b/>
          <w:bCs/>
          <w:sz w:val="24"/>
          <w:lang w:eastAsia="zh-CN"/>
        </w:rPr>
      </w:pPr>
      <w:r>
        <w:rPr>
          <w:rFonts w:hint="eastAsia" w:ascii="仿宋" w:hAnsi="仿宋" w:eastAsia="仿宋" w:cs="仿宋"/>
          <w:b/>
          <w:bCs/>
          <w:sz w:val="24"/>
          <w:lang w:val="en-US" w:eastAsia="zh-CN"/>
        </w:rPr>
        <w:t>（10）</w:t>
      </w:r>
      <w:r>
        <w:rPr>
          <w:rFonts w:hint="eastAsia" w:ascii="仿宋" w:hAnsi="仿宋" w:eastAsia="仿宋" w:cs="仿宋"/>
          <w:b/>
          <w:bCs/>
          <w:sz w:val="24"/>
          <w:lang w:eastAsia="zh-CN"/>
        </w:rPr>
        <w:t>履约期限及履约地点</w:t>
      </w:r>
    </w:p>
    <w:p w14:paraId="6DFE7A43">
      <w:pPr>
        <w:tabs>
          <w:tab w:val="left" w:pos="1600"/>
        </w:tabs>
        <w:spacing w:line="520" w:lineRule="exact"/>
        <w:ind w:firstLine="482" w:firstLineChars="200"/>
        <w:rPr>
          <w:rFonts w:hint="eastAsia" w:ascii="仿宋" w:hAnsi="仿宋" w:eastAsia="仿宋" w:cs="仿宋"/>
          <w:b/>
          <w:bCs/>
          <w:sz w:val="24"/>
          <w:lang w:eastAsia="zh-CN"/>
        </w:rPr>
      </w:pPr>
      <w:r>
        <w:rPr>
          <w:rFonts w:hint="eastAsia" w:ascii="仿宋" w:hAnsi="仿宋" w:eastAsia="仿宋" w:cs="仿宋"/>
          <w:b/>
          <w:bCs/>
          <w:sz w:val="24"/>
          <w:lang w:eastAsia="zh-CN"/>
        </w:rPr>
        <w:t>履约期限：一年（12个月）（注：期满后采购方将对中标方总体服务质量进行满意度测评，测评满意率低于90%的终止合同；测评满意率高于等于90%的，可续签物业购买服务合同1年，最多续签2年，合同期满后，是否续签，由招标人决定。）</w:t>
      </w:r>
    </w:p>
    <w:p w14:paraId="5E2D6E38">
      <w:pPr>
        <w:tabs>
          <w:tab w:val="left" w:pos="1600"/>
        </w:tabs>
        <w:spacing w:line="520" w:lineRule="exact"/>
        <w:ind w:firstLine="482" w:firstLineChars="200"/>
        <w:rPr>
          <w:rFonts w:hint="eastAsia" w:ascii="仿宋" w:hAnsi="仿宋" w:eastAsia="仿宋" w:cs="仿宋"/>
          <w:b/>
          <w:bCs/>
          <w:sz w:val="24"/>
          <w:lang w:eastAsia="zh-CN"/>
        </w:rPr>
      </w:pPr>
      <w:r>
        <w:rPr>
          <w:rFonts w:hint="eastAsia" w:ascii="仿宋" w:hAnsi="仿宋" w:eastAsia="仿宋" w:cs="仿宋"/>
          <w:b/>
          <w:bCs/>
          <w:sz w:val="24"/>
          <w:lang w:eastAsia="zh-CN"/>
        </w:rPr>
        <w:t>履约地点：采购人指定地点。</w:t>
      </w:r>
    </w:p>
    <w:p w14:paraId="08D8E29A">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11</w:t>
      </w:r>
      <w:r>
        <w:rPr>
          <w:rFonts w:hint="eastAsia" w:ascii="仿宋" w:hAnsi="仿宋" w:eastAsia="仿宋" w:cs="仿宋"/>
          <w:sz w:val="24"/>
          <w:lang w:eastAsia="zh-CN"/>
        </w:rPr>
        <w:t>）付款方式：按月支付，根据采购人对服务质量考核结果进行支付。</w:t>
      </w:r>
    </w:p>
    <w:p w14:paraId="7F181952">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12</w:t>
      </w:r>
      <w:r>
        <w:rPr>
          <w:rFonts w:hint="eastAsia" w:ascii="仿宋" w:hAnsi="仿宋" w:eastAsia="仿宋" w:cs="仿宋"/>
          <w:sz w:val="24"/>
          <w:lang w:eastAsia="zh-CN"/>
        </w:rPr>
        <w:t>）考核及处罚制约条款</w:t>
      </w:r>
    </w:p>
    <w:p w14:paraId="04926A6E">
      <w:pPr>
        <w:tabs>
          <w:tab w:val="left" w:pos="1600"/>
        </w:tabs>
        <w:spacing w:line="520" w:lineRule="exact"/>
        <w:ind w:firstLine="480" w:firstLineChars="200"/>
        <w:rPr>
          <w:rFonts w:hint="default" w:ascii="仿宋" w:hAnsi="仿宋" w:eastAsia="仿宋" w:cs="仿宋"/>
          <w:sz w:val="24"/>
          <w:lang w:val="en-US" w:eastAsia="zh-CN"/>
        </w:rPr>
      </w:pPr>
      <w:r>
        <w:rPr>
          <w:rFonts w:hint="eastAsia" w:ascii="仿宋" w:hAnsi="仿宋" w:eastAsia="仿宋" w:cs="仿宋"/>
          <w:sz w:val="24"/>
          <w:lang w:eastAsia="zh-CN"/>
        </w:rPr>
        <w:t>1、</w:t>
      </w:r>
      <w:r>
        <w:rPr>
          <w:rFonts w:hint="eastAsia" w:ascii="仿宋" w:hAnsi="仿宋" w:eastAsia="仿宋" w:cs="仿宋"/>
          <w:sz w:val="24"/>
          <w:lang w:val="en-US" w:eastAsia="zh-CN"/>
        </w:rPr>
        <w:t>承诺要求：此处承诺：“若我单位中标，将严格按照</w:t>
      </w:r>
      <w:r>
        <w:rPr>
          <w:rFonts w:hint="eastAsia" w:ascii="仿宋" w:hAnsi="仿宋" w:eastAsia="仿宋" w:cs="仿宋"/>
          <w:sz w:val="24"/>
          <w:lang w:eastAsia="zh-CN"/>
        </w:rPr>
        <w:t>采购方</w:t>
      </w:r>
      <w:r>
        <w:rPr>
          <w:rFonts w:hint="eastAsia" w:ascii="仿宋" w:hAnsi="仿宋" w:eastAsia="仿宋" w:cs="仿宋"/>
          <w:sz w:val="24"/>
          <w:lang w:val="en-US" w:eastAsia="zh-CN"/>
        </w:rPr>
        <w:t>要求，</w:t>
      </w:r>
      <w:r>
        <w:rPr>
          <w:rFonts w:hint="eastAsia" w:ascii="仿宋" w:hAnsi="仿宋" w:eastAsia="仿宋" w:cs="仿宋"/>
          <w:sz w:val="24"/>
          <w:lang w:eastAsia="zh-CN"/>
        </w:rPr>
        <w:t>根据</w:t>
      </w:r>
      <w:r>
        <w:rPr>
          <w:rFonts w:hint="eastAsia" w:ascii="仿宋" w:hAnsi="仿宋" w:eastAsia="仿宋" w:cs="仿宋"/>
          <w:sz w:val="24"/>
          <w:lang w:val="en-US" w:eastAsia="zh-CN"/>
        </w:rPr>
        <w:t>招标文件</w:t>
      </w:r>
      <w:r>
        <w:rPr>
          <w:rFonts w:hint="eastAsia" w:ascii="仿宋" w:hAnsi="仿宋" w:eastAsia="仿宋" w:cs="仿宋"/>
          <w:sz w:val="24"/>
          <w:lang w:eastAsia="zh-CN"/>
        </w:rPr>
        <w:t>内容和考核细则，每月对服务工作质量进行检查，评定工作质量，</w:t>
      </w:r>
      <w:r>
        <w:rPr>
          <w:rFonts w:hint="eastAsia" w:ascii="仿宋" w:hAnsi="仿宋" w:eastAsia="仿宋" w:cs="仿宋"/>
          <w:sz w:val="24"/>
          <w:lang w:val="en-US" w:eastAsia="zh-CN"/>
        </w:rPr>
        <w:t>连续3个月考核不合格采购方有权解约，并赔偿采购方期间造成的损失”。</w:t>
      </w:r>
      <w:r>
        <w:rPr>
          <w:rFonts w:hint="eastAsia" w:ascii="仿宋" w:hAnsi="仿宋" w:eastAsia="仿宋" w:cs="仿宋"/>
          <w:b/>
          <w:bCs/>
          <w:sz w:val="24"/>
          <w:lang w:val="en-US" w:eastAsia="zh-CN"/>
        </w:rPr>
        <w:t>（不提供视为不响应）</w:t>
      </w:r>
    </w:p>
    <w:p w14:paraId="35F005E1">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2、中标方每月实际服务费=每月应付金额-业务考核扣款-行政考核扣款-安全考核扣款-其它扣款。（注：其它扣款指：投诉扣款，联合检查考核、经济赔偿等。）</w:t>
      </w:r>
    </w:p>
    <w:p w14:paraId="02CDE813">
      <w:pPr>
        <w:tabs>
          <w:tab w:val="left" w:pos="1600"/>
        </w:tabs>
        <w:spacing w:line="520" w:lineRule="exact"/>
        <w:ind w:firstLine="480" w:firstLineChars="200"/>
        <w:rPr>
          <w:rFonts w:hint="eastAsia" w:ascii="仿宋" w:hAnsi="仿宋" w:eastAsia="仿宋" w:cs="仿宋"/>
          <w:sz w:val="24"/>
          <w:lang w:eastAsia="zh-CN"/>
        </w:rPr>
      </w:pPr>
      <w:r>
        <w:rPr>
          <w:rFonts w:hint="eastAsia" w:ascii="仿宋" w:hAnsi="仿宋" w:eastAsia="仿宋" w:cs="仿宋"/>
          <w:sz w:val="24"/>
          <w:lang w:eastAsia="zh-CN"/>
        </w:rPr>
        <w:t>后附：附件一：安保服务考核表；</w:t>
      </w:r>
    </w:p>
    <w:p w14:paraId="31A9360D">
      <w:pPr>
        <w:tabs>
          <w:tab w:val="left" w:pos="1600"/>
        </w:tabs>
        <w:spacing w:line="520" w:lineRule="exact"/>
        <w:ind w:firstLine="1200" w:firstLineChars="500"/>
        <w:rPr>
          <w:rFonts w:hint="eastAsia" w:ascii="仿宋" w:hAnsi="仿宋" w:eastAsia="仿宋" w:cs="仿宋"/>
          <w:sz w:val="24"/>
          <w:lang w:eastAsia="zh-CN"/>
        </w:rPr>
      </w:pPr>
      <w:r>
        <w:rPr>
          <w:rFonts w:hint="eastAsia" w:ascii="仿宋" w:hAnsi="仿宋" w:eastAsia="仿宋" w:cs="仿宋"/>
          <w:sz w:val="24"/>
          <w:lang w:eastAsia="zh-CN"/>
        </w:rPr>
        <w:t>附件二：行政考核办法；</w:t>
      </w:r>
    </w:p>
    <w:p w14:paraId="42A10091">
      <w:pPr>
        <w:tabs>
          <w:tab w:val="left" w:pos="1600"/>
        </w:tabs>
        <w:spacing w:line="520" w:lineRule="exact"/>
        <w:ind w:firstLine="1200" w:firstLineChars="500"/>
        <w:rPr>
          <w:rFonts w:hint="eastAsia" w:ascii="仿宋" w:hAnsi="仿宋" w:eastAsia="仿宋" w:cs="仿宋"/>
          <w:sz w:val="24"/>
          <w:lang w:eastAsia="zh-CN"/>
        </w:rPr>
      </w:pPr>
      <w:r>
        <w:rPr>
          <w:rFonts w:hint="eastAsia" w:ascii="仿宋" w:hAnsi="仿宋" w:eastAsia="仿宋" w:cs="仿宋"/>
          <w:sz w:val="24"/>
          <w:lang w:eastAsia="zh-CN"/>
        </w:rPr>
        <w:t>附件三：行政考核表；</w:t>
      </w:r>
    </w:p>
    <w:p w14:paraId="086F5079">
      <w:pPr>
        <w:tabs>
          <w:tab w:val="left" w:pos="1600"/>
        </w:tabs>
        <w:spacing w:line="520" w:lineRule="exact"/>
        <w:ind w:firstLine="1200" w:firstLineChars="500"/>
        <w:rPr>
          <w:rFonts w:hint="eastAsia" w:ascii="仿宋" w:hAnsi="仿宋" w:eastAsia="仿宋" w:cs="仿宋"/>
          <w:sz w:val="24"/>
          <w:lang w:eastAsia="zh-CN"/>
        </w:rPr>
      </w:pPr>
      <w:r>
        <w:rPr>
          <w:rFonts w:hint="eastAsia" w:ascii="仿宋" w:hAnsi="仿宋" w:eastAsia="仿宋" w:cs="仿宋"/>
          <w:sz w:val="24"/>
          <w:lang w:eastAsia="zh-CN"/>
        </w:rPr>
        <w:t>附件四：安全责任事故考核扣分指标。</w:t>
      </w:r>
    </w:p>
    <w:p w14:paraId="1B3486CA">
      <w:pPr>
        <w:rPr>
          <w:rFonts w:hint="eastAsia" w:ascii="宋体" w:hAnsi="宋体" w:cs="宋体"/>
          <w:b/>
          <w:szCs w:val="21"/>
        </w:rPr>
      </w:pPr>
      <w:r>
        <w:rPr>
          <w:rFonts w:hint="eastAsia" w:ascii="宋体" w:hAnsi="宋体" w:cs="宋体"/>
          <w:b/>
          <w:szCs w:val="21"/>
        </w:rPr>
        <w:br w:type="page"/>
      </w:r>
    </w:p>
    <w:p w14:paraId="15B7A49C">
      <w:pPr>
        <w:spacing w:line="360" w:lineRule="auto"/>
        <w:rPr>
          <w:rFonts w:ascii="宋体" w:hAnsi="宋体" w:cs="宋体"/>
          <w:b/>
          <w:color w:val="000000"/>
          <w:szCs w:val="21"/>
        </w:rPr>
      </w:pPr>
      <w:r>
        <w:rPr>
          <w:rFonts w:hint="eastAsia" w:ascii="宋体" w:hAnsi="宋体" w:cs="宋体"/>
          <w:b/>
          <w:szCs w:val="21"/>
        </w:rPr>
        <w:t>附件一：安保服务考核表</w:t>
      </w:r>
    </w:p>
    <w:tbl>
      <w:tblPr>
        <w:tblStyle w:val="21"/>
        <w:tblW w:w="8854" w:type="dxa"/>
        <w:jc w:val="center"/>
        <w:tblLayout w:type="fixed"/>
        <w:tblCellMar>
          <w:top w:w="0" w:type="dxa"/>
          <w:left w:w="108" w:type="dxa"/>
          <w:bottom w:w="0" w:type="dxa"/>
          <w:right w:w="108" w:type="dxa"/>
        </w:tblCellMar>
      </w:tblPr>
      <w:tblGrid>
        <w:gridCol w:w="682"/>
        <w:gridCol w:w="3118"/>
        <w:gridCol w:w="3688"/>
        <w:gridCol w:w="739"/>
        <w:gridCol w:w="627"/>
      </w:tblGrid>
      <w:tr w14:paraId="1AC2A46C">
        <w:tblPrEx>
          <w:tblCellMar>
            <w:top w:w="0" w:type="dxa"/>
            <w:left w:w="108" w:type="dxa"/>
            <w:bottom w:w="0" w:type="dxa"/>
            <w:right w:w="108" w:type="dxa"/>
          </w:tblCellMar>
        </w:tblPrEx>
        <w:trPr>
          <w:trHeight w:val="420" w:hRule="atLeast"/>
          <w:jc w:val="center"/>
        </w:trPr>
        <w:tc>
          <w:tcPr>
            <w:tcW w:w="8854" w:type="dxa"/>
            <w:gridSpan w:val="5"/>
            <w:tcBorders>
              <w:top w:val="single" w:color="auto" w:sz="4" w:space="0"/>
              <w:left w:val="single" w:color="auto" w:sz="4" w:space="0"/>
              <w:bottom w:val="single" w:color="auto" w:sz="4" w:space="0"/>
              <w:right w:val="single" w:color="auto" w:sz="4" w:space="0"/>
            </w:tcBorders>
            <w:noWrap w:val="0"/>
            <w:vAlign w:val="center"/>
          </w:tcPr>
          <w:p w14:paraId="35468429">
            <w:pPr>
              <w:keepNext w:val="0"/>
              <w:keepLines w:val="0"/>
              <w:widowControl/>
              <w:suppressLineNumbers w:val="0"/>
              <w:spacing w:before="0" w:beforeAutospacing="0" w:after="0" w:afterAutospacing="0"/>
              <w:ind w:left="0" w:right="0"/>
              <w:jc w:val="center"/>
              <w:rPr>
                <w:rFonts w:hint="default" w:ascii="宋体" w:hAnsi="宋体" w:cs="宋体"/>
                <w:b/>
                <w:bCs/>
                <w:color w:val="000000"/>
                <w:kern w:val="0"/>
                <w:sz w:val="18"/>
                <w:szCs w:val="18"/>
              </w:rPr>
            </w:pPr>
            <w:r>
              <w:rPr>
                <w:rFonts w:hint="eastAsia" w:ascii="宋体" w:hAnsi="宋体" w:cs="宋体"/>
                <w:b/>
                <w:bCs/>
                <w:color w:val="000000"/>
                <w:kern w:val="0"/>
                <w:sz w:val="18"/>
                <w:szCs w:val="18"/>
              </w:rPr>
              <w:t>20</w:t>
            </w:r>
            <w:r>
              <w:rPr>
                <w:rFonts w:hint="eastAsia" w:ascii="宋体" w:hAnsi="宋体" w:cs="宋体"/>
                <w:b/>
                <w:bCs/>
                <w:color w:val="000000"/>
                <w:kern w:val="0"/>
                <w:sz w:val="18"/>
                <w:szCs w:val="18"/>
                <w:lang w:val="en-US" w:eastAsia="zh-CN"/>
              </w:rPr>
              <w:t>25</w:t>
            </w:r>
            <w:r>
              <w:rPr>
                <w:rFonts w:hint="eastAsia" w:ascii="宋体" w:hAnsi="宋体" w:cs="宋体"/>
                <w:b/>
                <w:bCs/>
                <w:color w:val="000000"/>
                <w:kern w:val="0"/>
                <w:sz w:val="18"/>
                <w:szCs w:val="18"/>
              </w:rPr>
              <w:t>年(     )月打分表</w:t>
            </w:r>
          </w:p>
        </w:tc>
      </w:tr>
      <w:tr w14:paraId="0A5679DE">
        <w:tblPrEx>
          <w:tblCellMar>
            <w:top w:w="0" w:type="dxa"/>
            <w:left w:w="108" w:type="dxa"/>
            <w:bottom w:w="0" w:type="dxa"/>
            <w:right w:w="108" w:type="dxa"/>
          </w:tblCellMar>
        </w:tblPrEx>
        <w:trPr>
          <w:trHeight w:val="420" w:hRule="atLeast"/>
          <w:jc w:val="center"/>
        </w:trPr>
        <w:tc>
          <w:tcPr>
            <w:tcW w:w="8854" w:type="dxa"/>
            <w:gridSpan w:val="5"/>
            <w:tcBorders>
              <w:top w:val="single" w:color="auto" w:sz="4" w:space="0"/>
              <w:left w:val="single" w:color="auto" w:sz="4" w:space="0"/>
              <w:bottom w:val="single" w:color="auto" w:sz="4" w:space="0"/>
              <w:right w:val="single" w:color="auto" w:sz="4" w:space="0"/>
            </w:tcBorders>
            <w:noWrap w:val="0"/>
            <w:vAlign w:val="center"/>
          </w:tcPr>
          <w:p w14:paraId="34230680">
            <w:pPr>
              <w:keepNext w:val="0"/>
              <w:keepLines w:val="0"/>
              <w:widowControl/>
              <w:suppressLineNumbers w:val="0"/>
              <w:spacing w:before="0" w:beforeAutospacing="0" w:after="0" w:afterAutospacing="0"/>
              <w:ind w:left="0" w:right="0"/>
              <w:jc w:val="center"/>
              <w:rPr>
                <w:rFonts w:hint="default" w:ascii="宋体" w:hAnsi="宋体" w:cs="宋体"/>
                <w:b/>
                <w:bCs/>
                <w:color w:val="333333"/>
                <w:kern w:val="0"/>
                <w:sz w:val="18"/>
                <w:szCs w:val="18"/>
              </w:rPr>
            </w:pPr>
            <w:r>
              <w:rPr>
                <w:rFonts w:hint="eastAsia" w:ascii="宋体" w:hAnsi="宋体" w:cs="宋体"/>
                <w:b/>
                <w:bCs/>
                <w:color w:val="333333"/>
                <w:kern w:val="0"/>
                <w:sz w:val="18"/>
                <w:szCs w:val="18"/>
              </w:rPr>
              <w:t>保安管理制度</w:t>
            </w:r>
          </w:p>
        </w:tc>
      </w:tr>
      <w:tr w14:paraId="2B0308BC">
        <w:tblPrEx>
          <w:tblCellMar>
            <w:top w:w="0" w:type="dxa"/>
            <w:left w:w="108" w:type="dxa"/>
            <w:bottom w:w="0" w:type="dxa"/>
            <w:right w:w="108" w:type="dxa"/>
          </w:tblCellMar>
        </w:tblPrEx>
        <w:trPr>
          <w:trHeight w:val="420" w:hRule="atLeast"/>
          <w:jc w:val="center"/>
        </w:trPr>
        <w:tc>
          <w:tcPr>
            <w:tcW w:w="682" w:type="dxa"/>
            <w:vMerge w:val="restart"/>
            <w:tcBorders>
              <w:top w:val="nil"/>
              <w:left w:val="single" w:color="auto" w:sz="4" w:space="0"/>
              <w:bottom w:val="single" w:color="auto" w:sz="4" w:space="0"/>
              <w:right w:val="single" w:color="auto" w:sz="4" w:space="0"/>
            </w:tcBorders>
            <w:noWrap w:val="0"/>
            <w:vAlign w:val="center"/>
          </w:tcPr>
          <w:p w14:paraId="61F348A2">
            <w:pPr>
              <w:keepNext w:val="0"/>
              <w:keepLines w:val="0"/>
              <w:widowControl/>
              <w:suppressLineNumbers w:val="0"/>
              <w:spacing w:before="0" w:beforeAutospacing="0" w:after="0" w:afterAutospacing="0"/>
              <w:ind w:left="0" w:right="0"/>
              <w:jc w:val="center"/>
              <w:rPr>
                <w:rFonts w:hint="default" w:ascii="宋体" w:hAnsi="宋体" w:cs="宋体"/>
                <w:b/>
                <w:bCs/>
                <w:color w:val="333333"/>
                <w:kern w:val="0"/>
                <w:sz w:val="18"/>
                <w:szCs w:val="18"/>
              </w:rPr>
            </w:pPr>
            <w:r>
              <w:rPr>
                <w:rFonts w:hint="eastAsia" w:ascii="宋体" w:hAnsi="宋体" w:cs="宋体"/>
                <w:b/>
                <w:bCs/>
                <w:color w:val="333333"/>
                <w:kern w:val="0"/>
                <w:sz w:val="18"/>
                <w:szCs w:val="18"/>
              </w:rPr>
              <w:t>保安服务和考核(100分）</w:t>
            </w:r>
          </w:p>
        </w:tc>
        <w:tc>
          <w:tcPr>
            <w:tcW w:w="3118" w:type="dxa"/>
            <w:tcBorders>
              <w:top w:val="nil"/>
              <w:left w:val="nil"/>
              <w:bottom w:val="single" w:color="auto" w:sz="4" w:space="0"/>
              <w:right w:val="single" w:color="auto" w:sz="4" w:space="0"/>
            </w:tcBorders>
            <w:noWrap w:val="0"/>
            <w:vAlign w:val="center"/>
          </w:tcPr>
          <w:p w14:paraId="3875389C">
            <w:pPr>
              <w:keepNext w:val="0"/>
              <w:keepLines w:val="0"/>
              <w:widowControl/>
              <w:suppressLineNumbers w:val="0"/>
              <w:spacing w:before="0" w:beforeAutospacing="0" w:after="0" w:afterAutospacing="0"/>
              <w:ind w:left="0" w:right="0"/>
              <w:jc w:val="center"/>
              <w:rPr>
                <w:rFonts w:hint="default" w:ascii="宋体" w:hAnsi="宋体" w:cs="宋体"/>
                <w:b/>
                <w:bCs/>
                <w:color w:val="333333"/>
                <w:kern w:val="0"/>
                <w:sz w:val="18"/>
                <w:szCs w:val="18"/>
              </w:rPr>
            </w:pPr>
            <w:r>
              <w:rPr>
                <w:rFonts w:hint="eastAsia" w:ascii="宋体" w:hAnsi="宋体" w:cs="宋体"/>
                <w:b/>
                <w:bCs/>
                <w:color w:val="333333"/>
                <w:kern w:val="0"/>
                <w:sz w:val="18"/>
                <w:szCs w:val="18"/>
              </w:rPr>
              <w:t>考核内容</w:t>
            </w:r>
          </w:p>
        </w:tc>
        <w:tc>
          <w:tcPr>
            <w:tcW w:w="3688" w:type="dxa"/>
            <w:tcBorders>
              <w:top w:val="nil"/>
              <w:left w:val="nil"/>
              <w:bottom w:val="single" w:color="auto" w:sz="4" w:space="0"/>
              <w:right w:val="single" w:color="auto" w:sz="4" w:space="0"/>
            </w:tcBorders>
            <w:noWrap w:val="0"/>
            <w:vAlign w:val="center"/>
          </w:tcPr>
          <w:p w14:paraId="3DF89643">
            <w:pPr>
              <w:keepNext w:val="0"/>
              <w:keepLines w:val="0"/>
              <w:widowControl/>
              <w:suppressLineNumbers w:val="0"/>
              <w:spacing w:before="0" w:beforeAutospacing="0" w:after="0" w:afterAutospacing="0"/>
              <w:ind w:left="0" w:right="0"/>
              <w:jc w:val="center"/>
              <w:rPr>
                <w:rFonts w:hint="default" w:ascii="宋体" w:hAnsi="宋体" w:cs="宋体"/>
                <w:b/>
                <w:bCs/>
                <w:color w:val="333333"/>
                <w:kern w:val="0"/>
                <w:sz w:val="18"/>
                <w:szCs w:val="18"/>
              </w:rPr>
            </w:pPr>
            <w:r>
              <w:rPr>
                <w:rFonts w:hint="eastAsia" w:ascii="宋体" w:hAnsi="宋体" w:cs="宋体"/>
                <w:b/>
                <w:bCs/>
                <w:color w:val="333333"/>
                <w:kern w:val="0"/>
                <w:sz w:val="18"/>
                <w:szCs w:val="18"/>
              </w:rPr>
              <w:t>扣分标准</w:t>
            </w:r>
          </w:p>
        </w:tc>
        <w:tc>
          <w:tcPr>
            <w:tcW w:w="739" w:type="dxa"/>
            <w:tcBorders>
              <w:top w:val="nil"/>
              <w:left w:val="nil"/>
              <w:bottom w:val="single" w:color="auto" w:sz="4" w:space="0"/>
              <w:right w:val="single" w:color="auto" w:sz="4" w:space="0"/>
            </w:tcBorders>
            <w:noWrap w:val="0"/>
            <w:vAlign w:val="center"/>
          </w:tcPr>
          <w:p w14:paraId="74FC1A29">
            <w:pPr>
              <w:keepNext w:val="0"/>
              <w:keepLines w:val="0"/>
              <w:widowControl/>
              <w:suppressLineNumbers w:val="0"/>
              <w:spacing w:before="0" w:beforeAutospacing="0" w:after="0" w:afterAutospacing="0"/>
              <w:ind w:left="0" w:right="0"/>
              <w:jc w:val="center"/>
              <w:rPr>
                <w:rFonts w:hint="default" w:ascii="宋体" w:hAnsi="宋体" w:cs="宋体"/>
                <w:b/>
                <w:bCs/>
                <w:color w:val="333333"/>
                <w:kern w:val="0"/>
                <w:sz w:val="18"/>
                <w:szCs w:val="18"/>
              </w:rPr>
            </w:pPr>
            <w:r>
              <w:rPr>
                <w:rFonts w:hint="eastAsia" w:ascii="宋体" w:hAnsi="宋体" w:cs="宋体"/>
                <w:b/>
                <w:bCs/>
                <w:color w:val="333333"/>
                <w:kern w:val="0"/>
                <w:sz w:val="18"/>
                <w:szCs w:val="18"/>
              </w:rPr>
              <w:t>考核分值</w:t>
            </w:r>
          </w:p>
        </w:tc>
        <w:tc>
          <w:tcPr>
            <w:tcW w:w="627" w:type="dxa"/>
            <w:tcBorders>
              <w:top w:val="nil"/>
              <w:left w:val="nil"/>
              <w:bottom w:val="single" w:color="auto" w:sz="4" w:space="0"/>
              <w:right w:val="single" w:color="auto" w:sz="4" w:space="0"/>
            </w:tcBorders>
            <w:noWrap w:val="0"/>
            <w:vAlign w:val="center"/>
          </w:tcPr>
          <w:p w14:paraId="50029E09">
            <w:pPr>
              <w:keepNext w:val="0"/>
              <w:keepLines w:val="0"/>
              <w:widowControl/>
              <w:suppressLineNumbers w:val="0"/>
              <w:spacing w:before="0" w:beforeAutospacing="0" w:after="0" w:afterAutospacing="0"/>
              <w:ind w:left="0" w:right="0"/>
              <w:jc w:val="center"/>
              <w:rPr>
                <w:rFonts w:hint="default" w:ascii="宋体" w:hAnsi="宋体" w:cs="宋体"/>
                <w:b/>
                <w:bCs/>
                <w:color w:val="333333"/>
                <w:kern w:val="0"/>
                <w:sz w:val="18"/>
                <w:szCs w:val="18"/>
              </w:rPr>
            </w:pPr>
            <w:r>
              <w:rPr>
                <w:rFonts w:hint="eastAsia" w:ascii="宋体" w:hAnsi="宋体" w:cs="宋体"/>
                <w:b/>
                <w:bCs/>
                <w:color w:val="333333"/>
                <w:kern w:val="0"/>
                <w:sz w:val="18"/>
                <w:szCs w:val="18"/>
              </w:rPr>
              <w:t>得分</w:t>
            </w:r>
          </w:p>
        </w:tc>
      </w:tr>
      <w:tr w14:paraId="6934060E">
        <w:tblPrEx>
          <w:tblCellMar>
            <w:top w:w="0" w:type="dxa"/>
            <w:left w:w="108" w:type="dxa"/>
            <w:bottom w:w="0" w:type="dxa"/>
            <w:right w:w="108" w:type="dxa"/>
          </w:tblCellMar>
        </w:tblPrEx>
        <w:trPr>
          <w:trHeight w:val="506"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3F4C9BEC">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7AD26370">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值班电话不允许以个人行为接打电话，</w:t>
            </w:r>
          </w:p>
        </w:tc>
        <w:tc>
          <w:tcPr>
            <w:tcW w:w="3688" w:type="dxa"/>
            <w:tcBorders>
              <w:top w:val="nil"/>
              <w:left w:val="nil"/>
              <w:bottom w:val="single" w:color="auto" w:sz="4" w:space="0"/>
              <w:right w:val="single" w:color="auto" w:sz="4" w:space="0"/>
            </w:tcBorders>
            <w:noWrap w:val="0"/>
            <w:vAlign w:val="center"/>
          </w:tcPr>
          <w:p w14:paraId="6990D0DA">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每发现一次用值班电话打个人电话的，一次考核5分</w:t>
            </w:r>
          </w:p>
        </w:tc>
        <w:tc>
          <w:tcPr>
            <w:tcW w:w="739" w:type="dxa"/>
            <w:tcBorders>
              <w:top w:val="nil"/>
              <w:left w:val="nil"/>
              <w:bottom w:val="single" w:color="auto" w:sz="4" w:space="0"/>
              <w:right w:val="single" w:color="auto" w:sz="4" w:space="0"/>
            </w:tcBorders>
            <w:noWrap w:val="0"/>
            <w:vAlign w:val="center"/>
          </w:tcPr>
          <w:p w14:paraId="2ED77464">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5</w:t>
            </w:r>
          </w:p>
        </w:tc>
        <w:tc>
          <w:tcPr>
            <w:tcW w:w="627" w:type="dxa"/>
            <w:tcBorders>
              <w:top w:val="nil"/>
              <w:left w:val="nil"/>
              <w:bottom w:val="single" w:color="auto" w:sz="4" w:space="0"/>
              <w:right w:val="single" w:color="auto" w:sz="4" w:space="0"/>
            </w:tcBorders>
            <w:noWrap w:val="0"/>
            <w:vAlign w:val="center"/>
          </w:tcPr>
          <w:p w14:paraId="7FDBF97F">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6ADC2AA2">
        <w:tblPrEx>
          <w:tblCellMar>
            <w:top w:w="0" w:type="dxa"/>
            <w:left w:w="108" w:type="dxa"/>
            <w:bottom w:w="0" w:type="dxa"/>
            <w:right w:w="108" w:type="dxa"/>
          </w:tblCellMar>
        </w:tblPrEx>
        <w:trPr>
          <w:trHeight w:val="724"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01E01097">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2405743B">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做好每班次安防器材交接、登记、记录工作</w:t>
            </w:r>
          </w:p>
        </w:tc>
        <w:tc>
          <w:tcPr>
            <w:tcW w:w="3688" w:type="dxa"/>
            <w:tcBorders>
              <w:top w:val="nil"/>
              <w:left w:val="nil"/>
              <w:bottom w:val="single" w:color="auto" w:sz="4" w:space="0"/>
              <w:right w:val="single" w:color="auto" w:sz="4" w:space="0"/>
            </w:tcBorders>
            <w:noWrap w:val="0"/>
            <w:vAlign w:val="center"/>
          </w:tcPr>
          <w:p w14:paraId="7DEE5F9F">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针对保安使用的对讲机、头盔、防刺服、电警棍、应急灯等安防器材，每班须有交接记录，经抽查发现，未进行交接登记的，一次扣分10分</w:t>
            </w:r>
          </w:p>
        </w:tc>
        <w:tc>
          <w:tcPr>
            <w:tcW w:w="739" w:type="dxa"/>
            <w:tcBorders>
              <w:top w:val="nil"/>
              <w:left w:val="nil"/>
              <w:bottom w:val="single" w:color="auto" w:sz="4" w:space="0"/>
              <w:right w:val="single" w:color="auto" w:sz="4" w:space="0"/>
            </w:tcBorders>
            <w:noWrap w:val="0"/>
            <w:vAlign w:val="center"/>
          </w:tcPr>
          <w:p w14:paraId="66865B56">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10</w:t>
            </w:r>
          </w:p>
        </w:tc>
        <w:tc>
          <w:tcPr>
            <w:tcW w:w="627" w:type="dxa"/>
            <w:tcBorders>
              <w:top w:val="nil"/>
              <w:left w:val="nil"/>
              <w:bottom w:val="single" w:color="auto" w:sz="4" w:space="0"/>
              <w:right w:val="single" w:color="auto" w:sz="4" w:space="0"/>
            </w:tcBorders>
            <w:noWrap w:val="0"/>
            <w:vAlign w:val="center"/>
          </w:tcPr>
          <w:p w14:paraId="582F9F08">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62284F3C">
        <w:tblPrEx>
          <w:tblCellMar>
            <w:top w:w="0" w:type="dxa"/>
            <w:left w:w="108" w:type="dxa"/>
            <w:bottom w:w="0" w:type="dxa"/>
            <w:right w:w="108" w:type="dxa"/>
          </w:tblCellMar>
        </w:tblPrEx>
        <w:trPr>
          <w:trHeight w:val="683"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1D010718">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4F5A644B">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保安对单位配置的各类安防器材有保管责任和义务</w:t>
            </w:r>
          </w:p>
        </w:tc>
        <w:tc>
          <w:tcPr>
            <w:tcW w:w="3688" w:type="dxa"/>
            <w:tcBorders>
              <w:top w:val="nil"/>
              <w:left w:val="nil"/>
              <w:bottom w:val="single" w:color="auto" w:sz="4" w:space="0"/>
              <w:right w:val="single" w:color="auto" w:sz="4" w:space="0"/>
            </w:tcBorders>
            <w:noWrap w:val="0"/>
            <w:vAlign w:val="center"/>
          </w:tcPr>
          <w:p w14:paraId="2B2A8245">
            <w:pPr>
              <w:keepNext w:val="0"/>
              <w:keepLines w:val="0"/>
              <w:widowControl/>
              <w:suppressLineNumbers w:val="0"/>
              <w:spacing w:before="0" w:beforeAutospacing="0" w:after="0" w:afterAutospacing="0"/>
              <w:ind w:left="0" w:right="0"/>
              <w:jc w:val="left"/>
              <w:rPr>
                <w:rFonts w:hint="default" w:ascii="宋体" w:hAnsi="宋体" w:cs="宋体"/>
                <w:color w:val="000000"/>
                <w:kern w:val="0"/>
                <w:sz w:val="15"/>
                <w:szCs w:val="15"/>
              </w:rPr>
            </w:pPr>
            <w:r>
              <w:rPr>
                <w:rFonts w:hint="eastAsia" w:ascii="宋体" w:hAnsi="宋体" w:cs="宋体"/>
                <w:color w:val="000000"/>
                <w:kern w:val="0"/>
                <w:sz w:val="15"/>
                <w:szCs w:val="15"/>
              </w:rPr>
              <w:t>发现使用不当或随意破坏安防器材的保安或他人未及时制止的，一次考核10分</w:t>
            </w:r>
          </w:p>
        </w:tc>
        <w:tc>
          <w:tcPr>
            <w:tcW w:w="739" w:type="dxa"/>
            <w:tcBorders>
              <w:top w:val="nil"/>
              <w:left w:val="nil"/>
              <w:bottom w:val="single" w:color="auto" w:sz="4" w:space="0"/>
              <w:right w:val="single" w:color="auto" w:sz="4" w:space="0"/>
            </w:tcBorders>
            <w:noWrap w:val="0"/>
            <w:vAlign w:val="center"/>
          </w:tcPr>
          <w:p w14:paraId="5458FF93">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10</w:t>
            </w:r>
          </w:p>
        </w:tc>
        <w:tc>
          <w:tcPr>
            <w:tcW w:w="627" w:type="dxa"/>
            <w:tcBorders>
              <w:top w:val="nil"/>
              <w:left w:val="nil"/>
              <w:bottom w:val="single" w:color="auto" w:sz="4" w:space="0"/>
              <w:right w:val="single" w:color="auto" w:sz="4" w:space="0"/>
            </w:tcBorders>
            <w:noWrap w:val="0"/>
            <w:vAlign w:val="center"/>
          </w:tcPr>
          <w:p w14:paraId="76AA1CD5">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675ACF65">
        <w:tblPrEx>
          <w:tblCellMar>
            <w:top w:w="0" w:type="dxa"/>
            <w:left w:w="108" w:type="dxa"/>
            <w:bottom w:w="0" w:type="dxa"/>
            <w:right w:w="108" w:type="dxa"/>
          </w:tblCellMar>
        </w:tblPrEx>
        <w:trPr>
          <w:trHeight w:val="683"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4E8AD93A">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534F9EC0">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来访人员实行身份确认和登记制度，到访客人必须进行打电话确认访客对象，并做身份登记</w:t>
            </w:r>
          </w:p>
        </w:tc>
        <w:tc>
          <w:tcPr>
            <w:tcW w:w="3688" w:type="dxa"/>
            <w:tcBorders>
              <w:top w:val="nil"/>
              <w:left w:val="nil"/>
              <w:bottom w:val="single" w:color="auto" w:sz="4" w:space="0"/>
              <w:right w:val="single" w:color="auto" w:sz="4" w:space="0"/>
            </w:tcBorders>
            <w:noWrap w:val="0"/>
            <w:vAlign w:val="center"/>
          </w:tcPr>
          <w:p w14:paraId="1317A18D">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被发现一次未做身份登记或没有确定访客对象直接进入的，扣10分</w:t>
            </w:r>
          </w:p>
        </w:tc>
        <w:tc>
          <w:tcPr>
            <w:tcW w:w="739" w:type="dxa"/>
            <w:tcBorders>
              <w:top w:val="nil"/>
              <w:left w:val="nil"/>
              <w:bottom w:val="single" w:color="auto" w:sz="4" w:space="0"/>
              <w:right w:val="single" w:color="auto" w:sz="4" w:space="0"/>
            </w:tcBorders>
            <w:noWrap w:val="0"/>
            <w:vAlign w:val="center"/>
          </w:tcPr>
          <w:p w14:paraId="725BB064">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10</w:t>
            </w:r>
          </w:p>
        </w:tc>
        <w:tc>
          <w:tcPr>
            <w:tcW w:w="627" w:type="dxa"/>
            <w:tcBorders>
              <w:top w:val="nil"/>
              <w:left w:val="nil"/>
              <w:bottom w:val="single" w:color="auto" w:sz="4" w:space="0"/>
              <w:right w:val="single" w:color="auto" w:sz="4" w:space="0"/>
            </w:tcBorders>
            <w:noWrap w:val="0"/>
            <w:vAlign w:val="center"/>
          </w:tcPr>
          <w:p w14:paraId="2420615E">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51D5756B">
        <w:tblPrEx>
          <w:tblCellMar>
            <w:top w:w="0" w:type="dxa"/>
            <w:left w:w="108" w:type="dxa"/>
            <w:bottom w:w="0" w:type="dxa"/>
            <w:right w:w="108" w:type="dxa"/>
          </w:tblCellMar>
        </w:tblPrEx>
        <w:trPr>
          <w:trHeight w:val="683"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3BF21570">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59699BEE">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到访客人实行安检制度，每名到访客人必须进行开包检查和全身安检检查</w:t>
            </w:r>
          </w:p>
        </w:tc>
        <w:tc>
          <w:tcPr>
            <w:tcW w:w="3688" w:type="dxa"/>
            <w:tcBorders>
              <w:top w:val="nil"/>
              <w:left w:val="nil"/>
              <w:bottom w:val="single" w:color="auto" w:sz="4" w:space="0"/>
              <w:right w:val="single" w:color="auto" w:sz="4" w:space="0"/>
            </w:tcBorders>
            <w:noWrap w:val="0"/>
            <w:vAlign w:val="center"/>
          </w:tcPr>
          <w:p w14:paraId="466CC33B">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被检查组通报或员工反应对访客未进行安检和开包的，一次考核20分</w:t>
            </w:r>
          </w:p>
        </w:tc>
        <w:tc>
          <w:tcPr>
            <w:tcW w:w="739" w:type="dxa"/>
            <w:tcBorders>
              <w:top w:val="nil"/>
              <w:left w:val="nil"/>
              <w:bottom w:val="single" w:color="auto" w:sz="4" w:space="0"/>
              <w:right w:val="single" w:color="auto" w:sz="4" w:space="0"/>
            </w:tcBorders>
            <w:noWrap w:val="0"/>
            <w:vAlign w:val="center"/>
          </w:tcPr>
          <w:p w14:paraId="0E4FC48E">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20</w:t>
            </w:r>
          </w:p>
        </w:tc>
        <w:tc>
          <w:tcPr>
            <w:tcW w:w="627" w:type="dxa"/>
            <w:tcBorders>
              <w:top w:val="nil"/>
              <w:left w:val="nil"/>
              <w:bottom w:val="single" w:color="auto" w:sz="4" w:space="0"/>
              <w:right w:val="single" w:color="auto" w:sz="4" w:space="0"/>
            </w:tcBorders>
            <w:noWrap w:val="0"/>
            <w:vAlign w:val="center"/>
          </w:tcPr>
          <w:p w14:paraId="4247F289">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43F817CA">
        <w:tblPrEx>
          <w:tblCellMar>
            <w:top w:w="0" w:type="dxa"/>
            <w:left w:w="108" w:type="dxa"/>
            <w:bottom w:w="0" w:type="dxa"/>
            <w:right w:w="108" w:type="dxa"/>
          </w:tblCellMar>
        </w:tblPrEx>
        <w:trPr>
          <w:trHeight w:val="642"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22A7CD8B">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024C6738">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车辆安检制度，所有进入公司外单位或个人车辆，必须进行认真、仔细检查</w:t>
            </w:r>
          </w:p>
        </w:tc>
        <w:tc>
          <w:tcPr>
            <w:tcW w:w="3688" w:type="dxa"/>
            <w:tcBorders>
              <w:top w:val="nil"/>
              <w:left w:val="nil"/>
              <w:bottom w:val="single" w:color="auto" w:sz="4" w:space="0"/>
              <w:right w:val="single" w:color="auto" w:sz="4" w:space="0"/>
            </w:tcBorders>
            <w:noWrap w:val="0"/>
            <w:vAlign w:val="center"/>
          </w:tcPr>
          <w:p w14:paraId="4D9FA1D7">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未认真履行车辆安全检查，造成车辆直接进入公司院内的，一次考核10分</w:t>
            </w:r>
          </w:p>
        </w:tc>
        <w:tc>
          <w:tcPr>
            <w:tcW w:w="739" w:type="dxa"/>
            <w:tcBorders>
              <w:top w:val="nil"/>
              <w:left w:val="nil"/>
              <w:bottom w:val="single" w:color="auto" w:sz="4" w:space="0"/>
              <w:right w:val="single" w:color="auto" w:sz="4" w:space="0"/>
            </w:tcBorders>
            <w:noWrap w:val="0"/>
            <w:vAlign w:val="center"/>
          </w:tcPr>
          <w:p w14:paraId="1BAC8A10">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10</w:t>
            </w:r>
          </w:p>
        </w:tc>
        <w:tc>
          <w:tcPr>
            <w:tcW w:w="627" w:type="dxa"/>
            <w:tcBorders>
              <w:top w:val="nil"/>
              <w:left w:val="nil"/>
              <w:bottom w:val="single" w:color="auto" w:sz="4" w:space="0"/>
              <w:right w:val="single" w:color="auto" w:sz="4" w:space="0"/>
            </w:tcBorders>
            <w:noWrap w:val="0"/>
            <w:vAlign w:val="center"/>
          </w:tcPr>
          <w:p w14:paraId="159B2187">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5117986F">
        <w:tblPrEx>
          <w:tblCellMar>
            <w:top w:w="0" w:type="dxa"/>
            <w:left w:w="108" w:type="dxa"/>
            <w:bottom w:w="0" w:type="dxa"/>
            <w:right w:w="108" w:type="dxa"/>
          </w:tblCellMar>
        </w:tblPrEx>
        <w:trPr>
          <w:trHeight w:val="765"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4D778E51">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6FDB712E">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上班期间不允许有睡觉、饮酒、打盹、会友、聊天等不端正行为。</w:t>
            </w:r>
          </w:p>
        </w:tc>
        <w:tc>
          <w:tcPr>
            <w:tcW w:w="3688" w:type="dxa"/>
            <w:tcBorders>
              <w:top w:val="nil"/>
              <w:left w:val="nil"/>
              <w:bottom w:val="single" w:color="auto" w:sz="4" w:space="0"/>
              <w:right w:val="single" w:color="auto" w:sz="4" w:space="0"/>
            </w:tcBorders>
            <w:noWrap w:val="0"/>
            <w:vAlign w:val="center"/>
          </w:tcPr>
          <w:p w14:paraId="2DCCFDCA">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发现一次有饮酒、会友、吸烟、聊天、打盹，举止不端正等行为之一的，考核5分</w:t>
            </w:r>
          </w:p>
        </w:tc>
        <w:tc>
          <w:tcPr>
            <w:tcW w:w="739" w:type="dxa"/>
            <w:tcBorders>
              <w:top w:val="nil"/>
              <w:left w:val="nil"/>
              <w:bottom w:val="single" w:color="auto" w:sz="4" w:space="0"/>
              <w:right w:val="single" w:color="auto" w:sz="4" w:space="0"/>
            </w:tcBorders>
            <w:noWrap w:val="0"/>
            <w:vAlign w:val="center"/>
          </w:tcPr>
          <w:p w14:paraId="6A121904">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5</w:t>
            </w:r>
          </w:p>
        </w:tc>
        <w:tc>
          <w:tcPr>
            <w:tcW w:w="627" w:type="dxa"/>
            <w:tcBorders>
              <w:top w:val="nil"/>
              <w:left w:val="nil"/>
              <w:bottom w:val="single" w:color="auto" w:sz="4" w:space="0"/>
              <w:right w:val="single" w:color="auto" w:sz="4" w:space="0"/>
            </w:tcBorders>
            <w:noWrap w:val="0"/>
            <w:vAlign w:val="center"/>
          </w:tcPr>
          <w:p w14:paraId="3A1C3478">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50C1821E">
        <w:tblPrEx>
          <w:tblCellMar>
            <w:top w:w="0" w:type="dxa"/>
            <w:left w:w="108" w:type="dxa"/>
            <w:bottom w:w="0" w:type="dxa"/>
            <w:right w:w="108" w:type="dxa"/>
          </w:tblCellMar>
        </w:tblPrEx>
        <w:trPr>
          <w:trHeight w:val="915"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12961389">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22EA0B61">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保安居住及周边环境卫生要及时打扫</w:t>
            </w:r>
          </w:p>
        </w:tc>
        <w:tc>
          <w:tcPr>
            <w:tcW w:w="3688" w:type="dxa"/>
            <w:tcBorders>
              <w:top w:val="nil"/>
              <w:left w:val="nil"/>
              <w:bottom w:val="single" w:color="auto" w:sz="4" w:space="0"/>
              <w:right w:val="single" w:color="auto" w:sz="4" w:space="0"/>
            </w:tcBorders>
            <w:noWrap w:val="0"/>
            <w:vAlign w:val="center"/>
          </w:tcPr>
          <w:p w14:paraId="514D5F0A">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针对保安值班室、值班大门口及周边环境丢弃的烟头、纸片、其他垃圾未及时清理的，一次考核5分</w:t>
            </w:r>
          </w:p>
        </w:tc>
        <w:tc>
          <w:tcPr>
            <w:tcW w:w="739" w:type="dxa"/>
            <w:tcBorders>
              <w:top w:val="nil"/>
              <w:left w:val="nil"/>
              <w:bottom w:val="single" w:color="auto" w:sz="4" w:space="0"/>
              <w:right w:val="single" w:color="auto" w:sz="4" w:space="0"/>
            </w:tcBorders>
            <w:noWrap w:val="0"/>
            <w:vAlign w:val="center"/>
          </w:tcPr>
          <w:p w14:paraId="62955B0E">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5</w:t>
            </w:r>
          </w:p>
        </w:tc>
        <w:tc>
          <w:tcPr>
            <w:tcW w:w="627" w:type="dxa"/>
            <w:tcBorders>
              <w:top w:val="nil"/>
              <w:left w:val="nil"/>
              <w:bottom w:val="single" w:color="auto" w:sz="4" w:space="0"/>
              <w:right w:val="single" w:color="auto" w:sz="4" w:space="0"/>
            </w:tcBorders>
            <w:noWrap w:val="0"/>
            <w:vAlign w:val="center"/>
          </w:tcPr>
          <w:p w14:paraId="0D3B7D95">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2159786B">
        <w:tblPrEx>
          <w:tblCellMar>
            <w:top w:w="0" w:type="dxa"/>
            <w:left w:w="108" w:type="dxa"/>
            <w:bottom w:w="0" w:type="dxa"/>
            <w:right w:w="108" w:type="dxa"/>
          </w:tblCellMar>
        </w:tblPrEx>
        <w:trPr>
          <w:trHeight w:val="915"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5F60A31E">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6623444A">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上班期间要求使用文明用语、注意自身形象和行为举止</w:t>
            </w:r>
          </w:p>
        </w:tc>
        <w:tc>
          <w:tcPr>
            <w:tcW w:w="3688" w:type="dxa"/>
            <w:tcBorders>
              <w:top w:val="nil"/>
              <w:left w:val="nil"/>
              <w:bottom w:val="single" w:color="auto" w:sz="4" w:space="0"/>
              <w:right w:val="single" w:color="auto" w:sz="4" w:space="0"/>
            </w:tcBorders>
            <w:noWrap w:val="0"/>
            <w:vAlign w:val="center"/>
          </w:tcPr>
          <w:p w14:paraId="1F1FFA6B">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被上级部门明查暗访时发现保安的行为、服务、语言等不当行为进行通报的，一次考核5分</w:t>
            </w:r>
          </w:p>
        </w:tc>
        <w:tc>
          <w:tcPr>
            <w:tcW w:w="739" w:type="dxa"/>
            <w:tcBorders>
              <w:top w:val="nil"/>
              <w:left w:val="nil"/>
              <w:bottom w:val="single" w:color="auto" w:sz="4" w:space="0"/>
              <w:right w:val="single" w:color="auto" w:sz="4" w:space="0"/>
            </w:tcBorders>
            <w:noWrap w:val="0"/>
            <w:vAlign w:val="center"/>
          </w:tcPr>
          <w:p w14:paraId="3EBE17E6">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5</w:t>
            </w:r>
          </w:p>
        </w:tc>
        <w:tc>
          <w:tcPr>
            <w:tcW w:w="627" w:type="dxa"/>
            <w:tcBorders>
              <w:top w:val="nil"/>
              <w:left w:val="nil"/>
              <w:bottom w:val="single" w:color="auto" w:sz="4" w:space="0"/>
              <w:right w:val="single" w:color="auto" w:sz="4" w:space="0"/>
            </w:tcBorders>
            <w:noWrap w:val="0"/>
            <w:vAlign w:val="center"/>
          </w:tcPr>
          <w:p w14:paraId="086AB9E7">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7D2F8683">
        <w:tblPrEx>
          <w:tblCellMar>
            <w:top w:w="0" w:type="dxa"/>
            <w:left w:w="108" w:type="dxa"/>
            <w:bottom w:w="0" w:type="dxa"/>
            <w:right w:w="108" w:type="dxa"/>
          </w:tblCellMar>
        </w:tblPrEx>
        <w:trPr>
          <w:trHeight w:val="915"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3FD857C3">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1F8791F2">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对周围或身边的危险性事或人，要及时制止或及时上报</w:t>
            </w:r>
          </w:p>
        </w:tc>
        <w:tc>
          <w:tcPr>
            <w:tcW w:w="3688" w:type="dxa"/>
            <w:tcBorders>
              <w:top w:val="nil"/>
              <w:left w:val="nil"/>
              <w:bottom w:val="single" w:color="auto" w:sz="4" w:space="0"/>
              <w:right w:val="single" w:color="auto" w:sz="4" w:space="0"/>
            </w:tcBorders>
            <w:noWrap w:val="0"/>
            <w:vAlign w:val="center"/>
          </w:tcPr>
          <w:p w14:paraId="1C61BD17">
            <w:pPr>
              <w:keepNext w:val="0"/>
              <w:keepLines w:val="0"/>
              <w:widowControl/>
              <w:suppressLineNumbers w:val="0"/>
              <w:spacing w:before="0" w:beforeAutospacing="0" w:after="0" w:afterAutospacing="0"/>
              <w:ind w:left="0" w:right="0"/>
              <w:jc w:val="left"/>
              <w:rPr>
                <w:rFonts w:hint="default" w:ascii="宋体" w:hAnsi="宋体" w:cs="宋体"/>
                <w:color w:val="000000"/>
                <w:kern w:val="0"/>
                <w:sz w:val="15"/>
                <w:szCs w:val="15"/>
              </w:rPr>
            </w:pPr>
            <w:r>
              <w:rPr>
                <w:rFonts w:hint="eastAsia" w:ascii="宋体" w:hAnsi="宋体" w:cs="宋体"/>
                <w:color w:val="000000"/>
                <w:kern w:val="0"/>
                <w:sz w:val="15"/>
                <w:szCs w:val="15"/>
              </w:rPr>
              <w:t>对发现周围未及时制止或上报的，一次考核5分</w:t>
            </w:r>
          </w:p>
        </w:tc>
        <w:tc>
          <w:tcPr>
            <w:tcW w:w="739" w:type="dxa"/>
            <w:tcBorders>
              <w:top w:val="nil"/>
              <w:left w:val="nil"/>
              <w:bottom w:val="single" w:color="auto" w:sz="4" w:space="0"/>
              <w:right w:val="single" w:color="auto" w:sz="4" w:space="0"/>
            </w:tcBorders>
            <w:noWrap w:val="0"/>
            <w:vAlign w:val="center"/>
          </w:tcPr>
          <w:p w14:paraId="79573B78">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5</w:t>
            </w:r>
          </w:p>
        </w:tc>
        <w:tc>
          <w:tcPr>
            <w:tcW w:w="627" w:type="dxa"/>
            <w:tcBorders>
              <w:top w:val="nil"/>
              <w:left w:val="nil"/>
              <w:bottom w:val="single" w:color="auto" w:sz="4" w:space="0"/>
              <w:right w:val="single" w:color="auto" w:sz="4" w:space="0"/>
            </w:tcBorders>
            <w:noWrap w:val="0"/>
            <w:vAlign w:val="center"/>
          </w:tcPr>
          <w:p w14:paraId="39DEA1DD">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7C70237D">
        <w:tblPrEx>
          <w:tblCellMar>
            <w:top w:w="0" w:type="dxa"/>
            <w:left w:w="108" w:type="dxa"/>
            <w:bottom w:w="0" w:type="dxa"/>
            <w:right w:w="108" w:type="dxa"/>
          </w:tblCellMar>
        </w:tblPrEx>
        <w:trPr>
          <w:trHeight w:val="910"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678F29AA">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5A6A36EE">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保安人员服从用人单位管理和安排，按照用人单位实际情况，在值班期间进行临时性工作安排和部署</w:t>
            </w:r>
          </w:p>
        </w:tc>
        <w:tc>
          <w:tcPr>
            <w:tcW w:w="3688" w:type="dxa"/>
            <w:tcBorders>
              <w:top w:val="nil"/>
              <w:left w:val="nil"/>
              <w:bottom w:val="single" w:color="auto" w:sz="4" w:space="0"/>
              <w:right w:val="single" w:color="auto" w:sz="4" w:space="0"/>
            </w:tcBorders>
            <w:noWrap w:val="0"/>
            <w:vAlign w:val="center"/>
          </w:tcPr>
          <w:p w14:paraId="73F55B3B">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保安人员服从用人单位主管的安排，不服从主管安排或不符合用人单位需求的，用人单位有权进行随时撤换或考核</w:t>
            </w:r>
          </w:p>
        </w:tc>
        <w:tc>
          <w:tcPr>
            <w:tcW w:w="739" w:type="dxa"/>
            <w:tcBorders>
              <w:top w:val="nil"/>
              <w:left w:val="nil"/>
              <w:bottom w:val="single" w:color="auto" w:sz="4" w:space="0"/>
              <w:right w:val="single" w:color="auto" w:sz="4" w:space="0"/>
            </w:tcBorders>
            <w:noWrap w:val="0"/>
            <w:vAlign w:val="center"/>
          </w:tcPr>
          <w:p w14:paraId="130D14AD">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10</w:t>
            </w:r>
          </w:p>
        </w:tc>
        <w:tc>
          <w:tcPr>
            <w:tcW w:w="627" w:type="dxa"/>
            <w:tcBorders>
              <w:top w:val="nil"/>
              <w:left w:val="nil"/>
              <w:bottom w:val="single" w:color="auto" w:sz="4" w:space="0"/>
              <w:right w:val="single" w:color="auto" w:sz="4" w:space="0"/>
            </w:tcBorders>
            <w:noWrap w:val="0"/>
            <w:vAlign w:val="center"/>
          </w:tcPr>
          <w:p w14:paraId="6F69F9CC">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3EF42D61">
        <w:tblPrEx>
          <w:tblCellMar>
            <w:top w:w="0" w:type="dxa"/>
            <w:left w:w="108" w:type="dxa"/>
            <w:bottom w:w="0" w:type="dxa"/>
            <w:right w:w="108" w:type="dxa"/>
          </w:tblCellMar>
        </w:tblPrEx>
        <w:trPr>
          <w:trHeight w:val="1133" w:hRule="atLeast"/>
          <w:jc w:val="center"/>
        </w:trPr>
        <w:tc>
          <w:tcPr>
            <w:tcW w:w="682" w:type="dxa"/>
            <w:vMerge w:val="continue"/>
            <w:tcBorders>
              <w:top w:val="nil"/>
              <w:left w:val="single" w:color="auto" w:sz="4" w:space="0"/>
              <w:bottom w:val="single" w:color="auto" w:sz="4" w:space="0"/>
              <w:right w:val="single" w:color="auto" w:sz="4" w:space="0"/>
            </w:tcBorders>
            <w:noWrap w:val="0"/>
            <w:vAlign w:val="center"/>
          </w:tcPr>
          <w:p w14:paraId="4EFC90F1">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p>
        </w:tc>
        <w:tc>
          <w:tcPr>
            <w:tcW w:w="3118" w:type="dxa"/>
            <w:tcBorders>
              <w:top w:val="nil"/>
              <w:left w:val="nil"/>
              <w:bottom w:val="single" w:color="auto" w:sz="4" w:space="0"/>
              <w:right w:val="single" w:color="auto" w:sz="4" w:space="0"/>
            </w:tcBorders>
            <w:noWrap w:val="0"/>
            <w:vAlign w:val="center"/>
          </w:tcPr>
          <w:p w14:paraId="6F8DDC46">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保安公司应积极配合用人单位对派遣的保安人员进行管理和考核</w:t>
            </w:r>
          </w:p>
        </w:tc>
        <w:tc>
          <w:tcPr>
            <w:tcW w:w="3688" w:type="dxa"/>
            <w:tcBorders>
              <w:top w:val="nil"/>
              <w:left w:val="nil"/>
              <w:bottom w:val="single" w:color="auto" w:sz="4" w:space="0"/>
              <w:right w:val="single" w:color="auto" w:sz="4" w:space="0"/>
            </w:tcBorders>
            <w:noWrap w:val="0"/>
            <w:vAlign w:val="center"/>
          </w:tcPr>
          <w:p w14:paraId="50AFF6E9">
            <w:pPr>
              <w:keepNext w:val="0"/>
              <w:keepLines w:val="0"/>
              <w:widowControl/>
              <w:suppressLineNumbers w:val="0"/>
              <w:spacing w:before="0" w:beforeAutospacing="0" w:after="0" w:afterAutospacing="0"/>
              <w:ind w:left="0" w:right="0"/>
              <w:jc w:val="left"/>
              <w:rPr>
                <w:rFonts w:hint="default" w:ascii="宋体" w:hAnsi="宋体" w:cs="宋体"/>
                <w:color w:val="333333"/>
                <w:kern w:val="0"/>
                <w:sz w:val="15"/>
                <w:szCs w:val="15"/>
              </w:rPr>
            </w:pPr>
            <w:r>
              <w:rPr>
                <w:rFonts w:hint="eastAsia" w:ascii="宋体" w:hAnsi="宋体" w:cs="宋体"/>
                <w:color w:val="333333"/>
                <w:kern w:val="0"/>
                <w:sz w:val="15"/>
                <w:szCs w:val="15"/>
              </w:rPr>
              <w:t>保安公司应派遣符合用人单位需求的保安人员，对年龄、身体状况、资格应严格审查，发现一次不符合要求的，考核10分</w:t>
            </w:r>
          </w:p>
        </w:tc>
        <w:tc>
          <w:tcPr>
            <w:tcW w:w="739" w:type="dxa"/>
            <w:tcBorders>
              <w:top w:val="nil"/>
              <w:left w:val="nil"/>
              <w:bottom w:val="single" w:color="auto" w:sz="4" w:space="0"/>
              <w:right w:val="single" w:color="auto" w:sz="4" w:space="0"/>
            </w:tcBorders>
            <w:noWrap w:val="0"/>
            <w:vAlign w:val="center"/>
          </w:tcPr>
          <w:p w14:paraId="528742F0">
            <w:pPr>
              <w:keepNext w:val="0"/>
              <w:keepLines w:val="0"/>
              <w:widowControl/>
              <w:suppressLineNumbers w:val="0"/>
              <w:spacing w:before="0" w:beforeAutospacing="0" w:after="0" w:afterAutospacing="0"/>
              <w:ind w:left="0" w:right="0"/>
              <w:jc w:val="center"/>
              <w:rPr>
                <w:rFonts w:hint="default" w:ascii="宋体" w:hAnsi="宋体" w:cs="宋体"/>
                <w:color w:val="333333"/>
                <w:kern w:val="0"/>
                <w:sz w:val="15"/>
                <w:szCs w:val="15"/>
              </w:rPr>
            </w:pPr>
            <w:r>
              <w:rPr>
                <w:rFonts w:hint="eastAsia" w:ascii="宋体" w:hAnsi="宋体" w:cs="宋体"/>
                <w:color w:val="333333"/>
                <w:kern w:val="0"/>
                <w:sz w:val="15"/>
                <w:szCs w:val="15"/>
              </w:rPr>
              <w:t>5</w:t>
            </w:r>
          </w:p>
        </w:tc>
        <w:tc>
          <w:tcPr>
            <w:tcW w:w="627" w:type="dxa"/>
            <w:tcBorders>
              <w:top w:val="nil"/>
              <w:left w:val="nil"/>
              <w:bottom w:val="single" w:color="auto" w:sz="4" w:space="0"/>
              <w:right w:val="single" w:color="auto" w:sz="4" w:space="0"/>
            </w:tcBorders>
            <w:noWrap w:val="0"/>
            <w:vAlign w:val="center"/>
          </w:tcPr>
          <w:p w14:paraId="4A6E7DDC">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27491330">
        <w:tblPrEx>
          <w:tblCellMar>
            <w:top w:w="0" w:type="dxa"/>
            <w:left w:w="108" w:type="dxa"/>
            <w:bottom w:w="0" w:type="dxa"/>
            <w:right w:w="108" w:type="dxa"/>
          </w:tblCellMar>
        </w:tblPrEx>
        <w:trPr>
          <w:trHeight w:val="611" w:hRule="atLeast"/>
          <w:jc w:val="center"/>
        </w:trPr>
        <w:tc>
          <w:tcPr>
            <w:tcW w:w="682" w:type="dxa"/>
            <w:tcBorders>
              <w:top w:val="nil"/>
              <w:left w:val="single" w:color="auto" w:sz="4" w:space="0"/>
              <w:bottom w:val="single" w:color="auto" w:sz="4" w:space="0"/>
              <w:right w:val="single" w:color="auto" w:sz="4" w:space="0"/>
            </w:tcBorders>
            <w:noWrap w:val="0"/>
            <w:vAlign w:val="center"/>
          </w:tcPr>
          <w:p w14:paraId="50CE1666">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8"/>
                <w:szCs w:val="18"/>
              </w:rPr>
            </w:pPr>
            <w:r>
              <w:rPr>
                <w:rFonts w:hint="eastAsia" w:ascii="宋体" w:hAnsi="宋体" w:cs="宋体"/>
                <w:color w:val="000000"/>
                <w:kern w:val="0"/>
                <w:sz w:val="18"/>
                <w:szCs w:val="18"/>
              </w:rPr>
              <w:t>合计</w:t>
            </w:r>
          </w:p>
        </w:tc>
        <w:tc>
          <w:tcPr>
            <w:tcW w:w="6806" w:type="dxa"/>
            <w:gridSpan w:val="2"/>
            <w:tcBorders>
              <w:top w:val="single" w:color="auto" w:sz="4" w:space="0"/>
              <w:left w:val="nil"/>
              <w:bottom w:val="single" w:color="auto" w:sz="4" w:space="0"/>
              <w:right w:val="single" w:color="auto" w:sz="4" w:space="0"/>
            </w:tcBorders>
            <w:noWrap w:val="0"/>
            <w:vAlign w:val="center"/>
          </w:tcPr>
          <w:p w14:paraId="3172FFFA">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100</w:t>
            </w:r>
          </w:p>
        </w:tc>
        <w:tc>
          <w:tcPr>
            <w:tcW w:w="739" w:type="dxa"/>
            <w:tcBorders>
              <w:top w:val="nil"/>
              <w:left w:val="nil"/>
              <w:bottom w:val="single" w:color="auto" w:sz="4" w:space="0"/>
              <w:right w:val="single" w:color="auto" w:sz="4" w:space="0"/>
            </w:tcBorders>
            <w:noWrap w:val="0"/>
            <w:vAlign w:val="center"/>
          </w:tcPr>
          <w:p w14:paraId="4408C3B9">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100</w:t>
            </w:r>
          </w:p>
        </w:tc>
        <w:tc>
          <w:tcPr>
            <w:tcW w:w="627" w:type="dxa"/>
            <w:tcBorders>
              <w:top w:val="nil"/>
              <w:left w:val="nil"/>
              <w:bottom w:val="single" w:color="auto" w:sz="4" w:space="0"/>
              <w:right w:val="single" w:color="auto" w:sz="4" w:space="0"/>
            </w:tcBorders>
            <w:noWrap w:val="0"/>
            <w:vAlign w:val="center"/>
          </w:tcPr>
          <w:p w14:paraId="472830D3">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5"/>
                <w:szCs w:val="15"/>
              </w:rPr>
            </w:pPr>
            <w:r>
              <w:rPr>
                <w:rFonts w:hint="eastAsia" w:ascii="宋体" w:hAnsi="宋体" w:cs="宋体"/>
                <w:color w:val="000000"/>
                <w:kern w:val="0"/>
                <w:sz w:val="15"/>
                <w:szCs w:val="15"/>
              </w:rPr>
              <w:t>　</w:t>
            </w:r>
          </w:p>
        </w:tc>
      </w:tr>
      <w:tr w14:paraId="654FD98D">
        <w:tblPrEx>
          <w:tblCellMar>
            <w:top w:w="0" w:type="dxa"/>
            <w:left w:w="108" w:type="dxa"/>
            <w:bottom w:w="0" w:type="dxa"/>
            <w:right w:w="108" w:type="dxa"/>
          </w:tblCellMar>
        </w:tblPrEx>
        <w:trPr>
          <w:trHeight w:val="1514" w:hRule="atLeast"/>
          <w:jc w:val="center"/>
        </w:trPr>
        <w:tc>
          <w:tcPr>
            <w:tcW w:w="682" w:type="dxa"/>
            <w:tcBorders>
              <w:top w:val="nil"/>
              <w:left w:val="single" w:color="auto" w:sz="4" w:space="0"/>
              <w:bottom w:val="single" w:color="auto" w:sz="4" w:space="0"/>
              <w:right w:val="single" w:color="auto" w:sz="4" w:space="0"/>
            </w:tcBorders>
            <w:noWrap w:val="0"/>
            <w:vAlign w:val="center"/>
          </w:tcPr>
          <w:p w14:paraId="66585DC4">
            <w:pPr>
              <w:keepNext w:val="0"/>
              <w:keepLines w:val="0"/>
              <w:widowControl/>
              <w:suppressLineNumbers w:val="0"/>
              <w:spacing w:before="0" w:beforeAutospacing="0" w:after="0" w:afterAutospacing="0"/>
              <w:ind w:left="0" w:right="0"/>
              <w:jc w:val="center"/>
              <w:rPr>
                <w:rFonts w:hint="default" w:ascii="宋体" w:hAnsi="宋体" w:cs="宋体"/>
                <w:color w:val="000000"/>
                <w:kern w:val="0"/>
                <w:sz w:val="18"/>
                <w:szCs w:val="18"/>
              </w:rPr>
            </w:pPr>
            <w:r>
              <w:rPr>
                <w:rFonts w:hint="eastAsia" w:ascii="宋体" w:hAnsi="宋体" w:cs="宋体"/>
                <w:color w:val="000000"/>
                <w:kern w:val="0"/>
                <w:sz w:val="18"/>
                <w:szCs w:val="18"/>
              </w:rPr>
              <w:t>备注</w:t>
            </w:r>
          </w:p>
        </w:tc>
        <w:tc>
          <w:tcPr>
            <w:tcW w:w="8172" w:type="dxa"/>
            <w:gridSpan w:val="4"/>
            <w:tcBorders>
              <w:top w:val="single" w:color="auto" w:sz="4" w:space="0"/>
              <w:left w:val="nil"/>
              <w:bottom w:val="single" w:color="auto" w:sz="4" w:space="0"/>
              <w:right w:val="single" w:color="auto" w:sz="4" w:space="0"/>
            </w:tcBorders>
            <w:noWrap w:val="0"/>
            <w:vAlign w:val="center"/>
          </w:tcPr>
          <w:p w14:paraId="399C71B5">
            <w:pPr>
              <w:keepNext w:val="0"/>
              <w:keepLines w:val="0"/>
              <w:widowControl/>
              <w:suppressLineNumbers w:val="0"/>
              <w:spacing w:before="0" w:beforeAutospacing="0" w:after="0" w:afterAutospacing="0"/>
              <w:ind w:left="0" w:right="0"/>
              <w:jc w:val="left"/>
              <w:rPr>
                <w:rFonts w:hint="default" w:ascii="宋体" w:hAnsi="宋体" w:cs="宋体"/>
                <w:b/>
                <w:bCs/>
                <w:color w:val="333333"/>
                <w:kern w:val="0"/>
                <w:sz w:val="18"/>
                <w:szCs w:val="18"/>
              </w:rPr>
            </w:pPr>
            <w:r>
              <w:rPr>
                <w:rFonts w:hint="eastAsia" w:ascii="宋体" w:hAnsi="宋体" w:cs="宋体"/>
                <w:b/>
                <w:bCs/>
                <w:color w:val="333333"/>
                <w:kern w:val="0"/>
                <w:sz w:val="18"/>
                <w:szCs w:val="18"/>
              </w:rPr>
              <w:t>1、月底考核得分在95分以上（含95分），不对保安公司做考核，低于95分的，采用线性得分，计算方式=分值*当月服务费金额。</w:t>
            </w:r>
            <w:r>
              <w:rPr>
                <w:rFonts w:hint="eastAsia" w:ascii="宋体" w:hAnsi="宋体" w:cs="宋体"/>
                <w:b/>
                <w:bCs/>
                <w:color w:val="333333"/>
                <w:kern w:val="0"/>
                <w:sz w:val="18"/>
                <w:szCs w:val="18"/>
              </w:rPr>
              <w:br w:type="textWrapping"/>
            </w:r>
            <w:r>
              <w:rPr>
                <w:rFonts w:hint="eastAsia" w:ascii="宋体" w:hAnsi="宋体" w:cs="宋体"/>
                <w:b/>
                <w:bCs/>
                <w:color w:val="333333"/>
                <w:kern w:val="0"/>
                <w:sz w:val="18"/>
                <w:szCs w:val="18"/>
              </w:rPr>
              <w:t>2、高于95分，有保安违规行为的，只考核单个保安当月服务费用，计算方式=单个保安当月服务费*分值。</w:t>
            </w:r>
          </w:p>
        </w:tc>
      </w:tr>
    </w:tbl>
    <w:p w14:paraId="7B4D8968">
      <w:pPr>
        <w:widowControl/>
        <w:jc w:val="left"/>
        <w:rPr>
          <w:rFonts w:ascii="宋体" w:hAnsi="宋体" w:cs="宋体"/>
          <w:b/>
          <w:bCs/>
          <w:sz w:val="28"/>
          <w:szCs w:val="28"/>
        </w:rPr>
      </w:pPr>
      <w:r>
        <w:rPr>
          <w:rFonts w:ascii="宋体" w:hAnsi="宋体" w:cs="宋体"/>
          <w:b/>
          <w:bCs/>
          <w:sz w:val="28"/>
          <w:szCs w:val="28"/>
        </w:rPr>
        <w:br w:type="page"/>
      </w:r>
    </w:p>
    <w:p w14:paraId="50A4300E">
      <w:pPr>
        <w:widowControl/>
        <w:jc w:val="left"/>
        <w:rPr>
          <w:rFonts w:ascii="宋体" w:hAnsi="宋体" w:cs="宋体"/>
          <w:b/>
          <w:szCs w:val="21"/>
        </w:rPr>
      </w:pPr>
      <w:r>
        <w:rPr>
          <w:rFonts w:hint="eastAsia" w:ascii="宋体" w:hAnsi="宋体" w:cs="宋体"/>
          <w:b/>
          <w:szCs w:val="21"/>
        </w:rPr>
        <w:t>附件二：行政考核办法</w:t>
      </w:r>
    </w:p>
    <w:p w14:paraId="0E13239D">
      <w:pPr>
        <w:keepNext w:val="0"/>
        <w:keepLines w:val="0"/>
        <w:pageBreakBefore w:val="0"/>
        <w:widowControl/>
        <w:kinsoku/>
        <w:wordWrap/>
        <w:overflowPunct/>
        <w:topLinePunct w:val="0"/>
        <w:autoSpaceDE/>
        <w:autoSpaceDN/>
        <w:bidi w:val="0"/>
        <w:adjustRightInd/>
        <w:snapToGrid/>
        <w:spacing w:line="500" w:lineRule="exact"/>
        <w:ind w:firstLine="442" w:firstLineChars="200"/>
        <w:jc w:val="center"/>
        <w:textAlignment w:val="auto"/>
        <w:rPr>
          <w:rFonts w:ascii="宋体" w:hAnsi="宋体" w:cs="宋体"/>
          <w:b/>
          <w:sz w:val="22"/>
          <w:szCs w:val="22"/>
        </w:rPr>
      </w:pPr>
      <w:r>
        <w:rPr>
          <w:rFonts w:hint="eastAsia" w:ascii="宋体" w:hAnsi="宋体" w:cs="宋体"/>
          <w:b/>
          <w:sz w:val="22"/>
          <w:szCs w:val="22"/>
        </w:rPr>
        <w:t>行政考核办法</w:t>
      </w:r>
    </w:p>
    <w:p w14:paraId="3113A775">
      <w:pPr>
        <w:keepNext w:val="0"/>
        <w:keepLines w:val="0"/>
        <w:pageBreakBefore w:val="0"/>
        <w:widowControl/>
        <w:kinsoku/>
        <w:wordWrap/>
        <w:overflowPunct/>
        <w:topLinePunct w:val="0"/>
        <w:autoSpaceDE/>
        <w:autoSpaceDN/>
        <w:bidi w:val="0"/>
        <w:adjustRightInd/>
        <w:snapToGrid/>
        <w:spacing w:line="500" w:lineRule="exact"/>
        <w:ind w:firstLine="361" w:firstLineChars="200"/>
        <w:jc w:val="left"/>
        <w:textAlignment w:val="auto"/>
        <w:rPr>
          <w:rFonts w:ascii="宋体" w:hAnsi="宋体" w:cs="宋体"/>
          <w:b/>
          <w:sz w:val="18"/>
          <w:szCs w:val="18"/>
        </w:rPr>
      </w:pPr>
    </w:p>
    <w:p w14:paraId="2C3AC0C4">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根据甲乙双方签订的《安保服务外包合同》，为更好的实现合同目的，明确考核内容，双方就《安保服务外包合同》中行政考核内容，制定以下考核办法，遵照执行：</w:t>
      </w:r>
    </w:p>
    <w:p w14:paraId="1C845EDC">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一、乙方必须严格遵守并执行甲方关于乙方委派进驻人员变动及外包业务变动的相关制度与流程。甲方对于乙方的行为进行以下考核：</w:t>
      </w:r>
    </w:p>
    <w:p w14:paraId="50AAA4F6">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1、未按照甲方规定的委派进驻人员上（离）岗流程、时间办理上（离）岗手续；</w:t>
      </w:r>
    </w:p>
    <w:p w14:paraId="2432228D">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2、未经甲方同意或未办理上岗手续，擅自让委派人员进驻上岗工作；</w:t>
      </w:r>
    </w:p>
    <w:p w14:paraId="42054287">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3、让未与乙方签订劳动合同的人员上岗；</w:t>
      </w:r>
    </w:p>
    <w:p w14:paraId="6217909E">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4、未及时将《上（离）岗通知书》传递至所服务区域的甲方负责人。</w:t>
      </w:r>
    </w:p>
    <w:p w14:paraId="317537FF">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乙方有本条1、2、3款中行为的，甲方可以从乙方承包费中扣除乙方1000元/每人/每次。乙方有本条第4款中行为的，甲方可以从乙方承包费中扣除乙方100元/每人/每次。</w:t>
      </w:r>
    </w:p>
    <w:p w14:paraId="6EFDCD18">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二、乙方必须按照甲方要求向甲方提供相关资料、文件，并符合国家法律规定。</w:t>
      </w:r>
    </w:p>
    <w:p w14:paraId="1CCEC38F">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1、未在甲方规定的时间内向甲方提供乙方与委派进驻人员签订的劳动合同及其他相关资料，甲方可以扣除乙方200元/每人/每次。</w:t>
      </w:r>
    </w:p>
    <w:p w14:paraId="07D10A03">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2、乙方与委派进驻人员签订的《劳动合同》违反法律规定，甲方可以扣除乙方200元/每人/每次。</w:t>
      </w:r>
    </w:p>
    <w:p w14:paraId="76FEB937">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3、乙方向甲方所提供的委派进驻人员《劳动合同》复印件与原件不符，甲方可以扣除乙方200元/每人/每次。</w:t>
      </w:r>
    </w:p>
    <w:p w14:paraId="1003F295">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4、乙方向甲方所提供的委派进驻人员档案已过期或是不真实，甲方可以扣除乙方100元/每人/每次。</w:t>
      </w:r>
    </w:p>
    <w:p w14:paraId="4E27D260">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三、因乙方未按时按量向其派驻人员发放工资，如有发现将扣除应发工资的2倍，由此而造成的上访，一经发生立即终止合同。</w:t>
      </w:r>
    </w:p>
    <w:p w14:paraId="3813C8E2">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四、乙方各区域的现场管理人员必须在岗，且该现场管理人员上岗必须持乙方的授权委托书，违反一次甲方可扣除乙方1000元/每次。</w:t>
      </w:r>
    </w:p>
    <w:p w14:paraId="37536ADE">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int="eastAsia" w:ascii="仿宋" w:hAnsi="仿宋" w:eastAsia="仿宋" w:cs="仿宋"/>
          <w:sz w:val="18"/>
          <w:szCs w:val="18"/>
        </w:rPr>
      </w:pPr>
      <w:r>
        <w:rPr>
          <w:rFonts w:hint="eastAsia" w:ascii="仿宋" w:hAnsi="仿宋" w:eastAsia="仿宋" w:cs="仿宋"/>
          <w:sz w:val="18"/>
          <w:szCs w:val="18"/>
        </w:rPr>
        <w:t>五、甲乙双方不定期召开联合办公会，用以协调双方安保服务和管理工作。联合办公会由甲方主办，乙方如有不参加或不按甲方要求提供相应资料，每次扣500元。</w:t>
      </w:r>
    </w:p>
    <w:p w14:paraId="75E33D71">
      <w:pPr>
        <w:keepNext w:val="0"/>
        <w:keepLines w:val="0"/>
        <w:pageBreakBefore w:val="0"/>
        <w:widowControl/>
        <w:kinsoku/>
        <w:wordWrap/>
        <w:overflowPunct/>
        <w:topLinePunct w:val="0"/>
        <w:autoSpaceDE/>
        <w:autoSpaceDN/>
        <w:bidi w:val="0"/>
        <w:adjustRightInd/>
        <w:snapToGrid/>
        <w:spacing w:line="500" w:lineRule="exact"/>
        <w:ind w:firstLine="360" w:firstLineChars="200"/>
        <w:jc w:val="left"/>
        <w:textAlignment w:val="auto"/>
        <w:rPr>
          <w:rFonts w:hAnsi="宋体" w:cs="宋体"/>
          <w:b/>
          <w:sz w:val="28"/>
          <w:szCs w:val="28"/>
        </w:rPr>
      </w:pPr>
      <w:r>
        <w:rPr>
          <w:rFonts w:hint="eastAsia" w:ascii="宋体" w:hAnsi="宋体" w:cs="宋体"/>
          <w:sz w:val="18"/>
          <w:szCs w:val="18"/>
        </w:rPr>
        <w:br w:type="page"/>
      </w:r>
    </w:p>
    <w:p w14:paraId="10088A10">
      <w:pPr>
        <w:widowControl/>
        <w:jc w:val="left"/>
        <w:rPr>
          <w:rFonts w:ascii="宋体" w:hAnsi="宋体" w:cs="宋体"/>
          <w:b/>
          <w:szCs w:val="21"/>
        </w:rPr>
      </w:pPr>
      <w:r>
        <w:rPr>
          <w:rFonts w:hint="eastAsia" w:ascii="宋体" w:hAnsi="宋体" w:cs="宋体"/>
          <w:b/>
          <w:szCs w:val="21"/>
        </w:rPr>
        <w:t>附件三：行政考核表</w:t>
      </w:r>
    </w:p>
    <w:p w14:paraId="11E50C1F">
      <w:pPr>
        <w:spacing w:line="360" w:lineRule="auto"/>
        <w:jc w:val="center"/>
        <w:rPr>
          <w:rFonts w:ascii="宋体" w:hAnsi="宋体" w:cs="宋体"/>
          <w:b/>
          <w:spacing w:val="24"/>
          <w:sz w:val="18"/>
          <w:szCs w:val="18"/>
        </w:rPr>
      </w:pPr>
      <w:r>
        <w:rPr>
          <w:rFonts w:hint="eastAsia" w:ascii="宋体" w:hAnsi="宋体" w:cs="宋体"/>
          <w:b/>
          <w:spacing w:val="24"/>
          <w:sz w:val="18"/>
          <w:szCs w:val="18"/>
        </w:rPr>
        <w:t>行政考核表</w:t>
      </w:r>
    </w:p>
    <w:tbl>
      <w:tblPr>
        <w:tblStyle w:val="21"/>
        <w:tblW w:w="8467" w:type="dxa"/>
        <w:jc w:val="center"/>
        <w:tblLayout w:type="fixed"/>
        <w:tblCellMar>
          <w:top w:w="0" w:type="dxa"/>
          <w:left w:w="108" w:type="dxa"/>
          <w:bottom w:w="0" w:type="dxa"/>
          <w:right w:w="108" w:type="dxa"/>
        </w:tblCellMar>
      </w:tblPr>
      <w:tblGrid>
        <w:gridCol w:w="627"/>
        <w:gridCol w:w="802"/>
        <w:gridCol w:w="388"/>
        <w:gridCol w:w="3441"/>
        <w:gridCol w:w="936"/>
        <w:gridCol w:w="678"/>
        <w:gridCol w:w="886"/>
        <w:gridCol w:w="709"/>
      </w:tblGrid>
      <w:tr w14:paraId="488AD149">
        <w:tblPrEx>
          <w:tblCellMar>
            <w:top w:w="0" w:type="dxa"/>
            <w:left w:w="108" w:type="dxa"/>
            <w:bottom w:w="0" w:type="dxa"/>
            <w:right w:w="108" w:type="dxa"/>
          </w:tblCellMar>
        </w:tblPrEx>
        <w:trPr>
          <w:trHeight w:val="675" w:hRule="atLeast"/>
          <w:jc w:val="center"/>
        </w:trPr>
        <w:tc>
          <w:tcPr>
            <w:tcW w:w="1429" w:type="dxa"/>
            <w:gridSpan w:val="2"/>
            <w:tcBorders>
              <w:top w:val="nil"/>
              <w:left w:val="nil"/>
              <w:bottom w:val="single" w:color="auto" w:sz="4" w:space="0"/>
              <w:right w:val="nil"/>
            </w:tcBorders>
            <w:noWrap w:val="0"/>
            <w:vAlign w:val="center"/>
          </w:tcPr>
          <w:p w14:paraId="17813D96">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考核月份：</w:t>
            </w:r>
          </w:p>
        </w:tc>
        <w:tc>
          <w:tcPr>
            <w:tcW w:w="3829" w:type="dxa"/>
            <w:gridSpan w:val="2"/>
            <w:tcBorders>
              <w:top w:val="nil"/>
              <w:left w:val="nil"/>
              <w:bottom w:val="nil"/>
              <w:right w:val="nil"/>
            </w:tcBorders>
            <w:noWrap w:val="0"/>
            <w:vAlign w:val="center"/>
          </w:tcPr>
          <w:p w14:paraId="253BF2A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被考核单位：</w:t>
            </w:r>
          </w:p>
        </w:tc>
        <w:tc>
          <w:tcPr>
            <w:tcW w:w="3209" w:type="dxa"/>
            <w:gridSpan w:val="4"/>
            <w:tcBorders>
              <w:top w:val="nil"/>
              <w:left w:val="nil"/>
              <w:bottom w:val="single" w:color="auto" w:sz="4" w:space="0"/>
              <w:right w:val="nil"/>
            </w:tcBorders>
            <w:noWrap w:val="0"/>
            <w:vAlign w:val="center"/>
          </w:tcPr>
          <w:p w14:paraId="58F6521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填报部门：</w:t>
            </w:r>
          </w:p>
        </w:tc>
      </w:tr>
      <w:tr w14:paraId="272CDE22">
        <w:tblPrEx>
          <w:tblCellMar>
            <w:top w:w="0" w:type="dxa"/>
            <w:left w:w="108" w:type="dxa"/>
            <w:bottom w:w="0" w:type="dxa"/>
            <w:right w:w="108" w:type="dxa"/>
          </w:tblCellMar>
        </w:tblPrEx>
        <w:trPr>
          <w:trHeight w:val="750" w:hRule="atLeast"/>
          <w:jc w:val="center"/>
        </w:trPr>
        <w:tc>
          <w:tcPr>
            <w:tcW w:w="627" w:type="dxa"/>
            <w:tcBorders>
              <w:top w:val="nil"/>
              <w:left w:val="single" w:color="auto" w:sz="4" w:space="0"/>
              <w:bottom w:val="single" w:color="auto" w:sz="4" w:space="0"/>
              <w:right w:val="single" w:color="auto" w:sz="4" w:space="0"/>
            </w:tcBorders>
            <w:noWrap w:val="0"/>
            <w:vAlign w:val="center"/>
          </w:tcPr>
          <w:p w14:paraId="71F4024B">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NO</w:t>
            </w:r>
          </w:p>
        </w:tc>
        <w:tc>
          <w:tcPr>
            <w:tcW w:w="802" w:type="dxa"/>
            <w:tcBorders>
              <w:top w:val="nil"/>
              <w:left w:val="nil"/>
              <w:bottom w:val="single" w:color="auto" w:sz="4" w:space="0"/>
              <w:right w:val="single" w:color="auto" w:sz="4" w:space="0"/>
            </w:tcBorders>
            <w:noWrap w:val="0"/>
            <w:vAlign w:val="center"/>
          </w:tcPr>
          <w:p w14:paraId="2DBD3C71">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项目</w:t>
            </w:r>
          </w:p>
        </w:tc>
        <w:tc>
          <w:tcPr>
            <w:tcW w:w="3829" w:type="dxa"/>
            <w:gridSpan w:val="2"/>
            <w:tcBorders>
              <w:top w:val="single" w:color="auto" w:sz="4" w:space="0"/>
              <w:left w:val="nil"/>
              <w:bottom w:val="single" w:color="auto" w:sz="4" w:space="0"/>
              <w:right w:val="single" w:color="auto" w:sz="4" w:space="0"/>
            </w:tcBorders>
            <w:noWrap w:val="0"/>
            <w:vAlign w:val="center"/>
          </w:tcPr>
          <w:p w14:paraId="127D9CEC">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考核细则</w:t>
            </w:r>
          </w:p>
        </w:tc>
        <w:tc>
          <w:tcPr>
            <w:tcW w:w="936" w:type="dxa"/>
            <w:tcBorders>
              <w:top w:val="nil"/>
              <w:left w:val="nil"/>
              <w:bottom w:val="single" w:color="auto" w:sz="4" w:space="0"/>
              <w:right w:val="single" w:color="auto" w:sz="4" w:space="0"/>
            </w:tcBorders>
            <w:noWrap w:val="0"/>
            <w:vAlign w:val="center"/>
          </w:tcPr>
          <w:p w14:paraId="19D884AD">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元/人/次（A）</w:t>
            </w:r>
          </w:p>
        </w:tc>
        <w:tc>
          <w:tcPr>
            <w:tcW w:w="678" w:type="dxa"/>
            <w:tcBorders>
              <w:top w:val="nil"/>
              <w:left w:val="nil"/>
              <w:bottom w:val="single" w:color="auto" w:sz="4" w:space="0"/>
              <w:right w:val="single" w:color="auto" w:sz="4" w:space="0"/>
            </w:tcBorders>
            <w:noWrap w:val="0"/>
            <w:vAlign w:val="center"/>
          </w:tcPr>
          <w:p w14:paraId="099174E9">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频次（B）</w:t>
            </w:r>
          </w:p>
        </w:tc>
        <w:tc>
          <w:tcPr>
            <w:tcW w:w="886" w:type="dxa"/>
            <w:tcBorders>
              <w:top w:val="nil"/>
              <w:left w:val="nil"/>
              <w:bottom w:val="single" w:color="auto" w:sz="4" w:space="0"/>
              <w:right w:val="single" w:color="auto" w:sz="4" w:space="0"/>
            </w:tcBorders>
            <w:noWrap w:val="0"/>
            <w:vAlign w:val="center"/>
          </w:tcPr>
          <w:p w14:paraId="59ABC55A">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小计(C=A*B)</w:t>
            </w:r>
          </w:p>
        </w:tc>
        <w:tc>
          <w:tcPr>
            <w:tcW w:w="709" w:type="dxa"/>
            <w:tcBorders>
              <w:top w:val="nil"/>
              <w:left w:val="nil"/>
              <w:bottom w:val="single" w:color="auto" w:sz="4" w:space="0"/>
              <w:right w:val="single" w:color="auto" w:sz="4" w:space="0"/>
            </w:tcBorders>
            <w:noWrap w:val="0"/>
            <w:vAlign w:val="center"/>
          </w:tcPr>
          <w:p w14:paraId="3025BD1E">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备注</w:t>
            </w:r>
          </w:p>
        </w:tc>
      </w:tr>
      <w:tr w14:paraId="75A17D3D">
        <w:tblPrEx>
          <w:tblCellMar>
            <w:top w:w="0" w:type="dxa"/>
            <w:left w:w="108" w:type="dxa"/>
            <w:bottom w:w="0" w:type="dxa"/>
            <w:right w:w="108" w:type="dxa"/>
          </w:tblCellMar>
        </w:tblPrEx>
        <w:trPr>
          <w:trHeight w:val="880" w:hRule="atLeast"/>
          <w:jc w:val="center"/>
        </w:trPr>
        <w:tc>
          <w:tcPr>
            <w:tcW w:w="627" w:type="dxa"/>
            <w:tcBorders>
              <w:top w:val="nil"/>
              <w:left w:val="single" w:color="auto" w:sz="4" w:space="0"/>
              <w:bottom w:val="single" w:color="auto" w:sz="4" w:space="0"/>
              <w:right w:val="single" w:color="auto" w:sz="4" w:space="0"/>
            </w:tcBorders>
            <w:noWrap w:val="0"/>
            <w:vAlign w:val="center"/>
          </w:tcPr>
          <w:p w14:paraId="2EE772E7">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w:t>
            </w:r>
          </w:p>
        </w:tc>
        <w:tc>
          <w:tcPr>
            <w:tcW w:w="802" w:type="dxa"/>
            <w:vMerge w:val="restart"/>
            <w:tcBorders>
              <w:top w:val="nil"/>
              <w:left w:val="single" w:color="auto" w:sz="4" w:space="0"/>
              <w:bottom w:val="single" w:color="auto" w:sz="4" w:space="0"/>
              <w:right w:val="single" w:color="auto" w:sz="4" w:space="0"/>
            </w:tcBorders>
            <w:noWrap w:val="0"/>
            <w:vAlign w:val="center"/>
          </w:tcPr>
          <w:p w14:paraId="451A028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委派进驻人员变动及外包业务变动的管理</w:t>
            </w:r>
          </w:p>
        </w:tc>
        <w:tc>
          <w:tcPr>
            <w:tcW w:w="3829" w:type="dxa"/>
            <w:gridSpan w:val="2"/>
            <w:tcBorders>
              <w:top w:val="nil"/>
              <w:left w:val="nil"/>
              <w:bottom w:val="single" w:color="auto" w:sz="4" w:space="0"/>
              <w:right w:val="single" w:color="auto" w:sz="4" w:space="0"/>
            </w:tcBorders>
            <w:noWrap w:val="0"/>
            <w:vAlign w:val="center"/>
          </w:tcPr>
          <w:p w14:paraId="1DC07D14">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未按照甲方规定的上（离）岗流程、时间办理员工上（离）岗手续</w:t>
            </w:r>
          </w:p>
        </w:tc>
        <w:tc>
          <w:tcPr>
            <w:tcW w:w="936" w:type="dxa"/>
            <w:tcBorders>
              <w:top w:val="nil"/>
              <w:left w:val="nil"/>
              <w:bottom w:val="single" w:color="auto" w:sz="4" w:space="0"/>
              <w:right w:val="single" w:color="auto" w:sz="4" w:space="0"/>
            </w:tcBorders>
            <w:noWrap w:val="0"/>
            <w:vAlign w:val="center"/>
          </w:tcPr>
          <w:p w14:paraId="701CE97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4840C34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73E0885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61F1E57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5CDFC96B">
        <w:tblPrEx>
          <w:tblCellMar>
            <w:top w:w="0" w:type="dxa"/>
            <w:left w:w="108" w:type="dxa"/>
            <w:bottom w:w="0" w:type="dxa"/>
            <w:right w:w="108" w:type="dxa"/>
          </w:tblCellMar>
        </w:tblPrEx>
        <w:trPr>
          <w:trHeight w:val="955" w:hRule="atLeast"/>
          <w:jc w:val="center"/>
        </w:trPr>
        <w:tc>
          <w:tcPr>
            <w:tcW w:w="627" w:type="dxa"/>
            <w:tcBorders>
              <w:top w:val="nil"/>
              <w:left w:val="single" w:color="auto" w:sz="4" w:space="0"/>
              <w:bottom w:val="single" w:color="auto" w:sz="4" w:space="0"/>
              <w:right w:val="single" w:color="auto" w:sz="4" w:space="0"/>
            </w:tcBorders>
            <w:noWrap w:val="0"/>
            <w:vAlign w:val="center"/>
          </w:tcPr>
          <w:p w14:paraId="4FF3382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2</w:t>
            </w:r>
          </w:p>
        </w:tc>
        <w:tc>
          <w:tcPr>
            <w:tcW w:w="802" w:type="dxa"/>
            <w:vMerge w:val="continue"/>
            <w:tcBorders>
              <w:top w:val="nil"/>
              <w:left w:val="single" w:color="auto" w:sz="4" w:space="0"/>
              <w:bottom w:val="single" w:color="auto" w:sz="4" w:space="0"/>
              <w:right w:val="single" w:color="auto" w:sz="4" w:space="0"/>
            </w:tcBorders>
            <w:noWrap w:val="0"/>
            <w:vAlign w:val="center"/>
          </w:tcPr>
          <w:p w14:paraId="5F7757E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3829" w:type="dxa"/>
            <w:gridSpan w:val="2"/>
            <w:tcBorders>
              <w:top w:val="nil"/>
              <w:left w:val="nil"/>
              <w:bottom w:val="single" w:color="auto" w:sz="4" w:space="0"/>
              <w:right w:val="single" w:color="auto" w:sz="4" w:space="0"/>
            </w:tcBorders>
            <w:noWrap w:val="0"/>
            <w:vAlign w:val="center"/>
          </w:tcPr>
          <w:p w14:paraId="564FF10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未经甲方同意或未办理上岗手续，擅自让委派人员进驻上岗工作</w:t>
            </w:r>
          </w:p>
        </w:tc>
        <w:tc>
          <w:tcPr>
            <w:tcW w:w="936" w:type="dxa"/>
            <w:tcBorders>
              <w:top w:val="nil"/>
              <w:left w:val="nil"/>
              <w:bottom w:val="single" w:color="auto" w:sz="4" w:space="0"/>
              <w:right w:val="single" w:color="auto" w:sz="4" w:space="0"/>
            </w:tcBorders>
            <w:noWrap w:val="0"/>
            <w:vAlign w:val="center"/>
          </w:tcPr>
          <w:p w14:paraId="4239C1FF">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1C912923">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7D7772B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470EBA7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18244FFE">
        <w:tblPrEx>
          <w:tblCellMar>
            <w:top w:w="0" w:type="dxa"/>
            <w:left w:w="108" w:type="dxa"/>
            <w:bottom w:w="0" w:type="dxa"/>
            <w:right w:w="108" w:type="dxa"/>
          </w:tblCellMar>
        </w:tblPrEx>
        <w:trPr>
          <w:trHeight w:val="684" w:hRule="atLeast"/>
          <w:jc w:val="center"/>
        </w:trPr>
        <w:tc>
          <w:tcPr>
            <w:tcW w:w="627" w:type="dxa"/>
            <w:tcBorders>
              <w:top w:val="nil"/>
              <w:left w:val="single" w:color="auto" w:sz="4" w:space="0"/>
              <w:bottom w:val="single" w:color="auto" w:sz="4" w:space="0"/>
              <w:right w:val="single" w:color="auto" w:sz="4" w:space="0"/>
            </w:tcBorders>
            <w:noWrap w:val="0"/>
            <w:vAlign w:val="center"/>
          </w:tcPr>
          <w:p w14:paraId="5951D467">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802" w:type="dxa"/>
            <w:vMerge w:val="continue"/>
            <w:tcBorders>
              <w:top w:val="nil"/>
              <w:left w:val="single" w:color="auto" w:sz="4" w:space="0"/>
              <w:bottom w:val="single" w:color="auto" w:sz="4" w:space="0"/>
              <w:right w:val="single" w:color="auto" w:sz="4" w:space="0"/>
            </w:tcBorders>
            <w:noWrap w:val="0"/>
            <w:vAlign w:val="center"/>
          </w:tcPr>
          <w:p w14:paraId="6468795E">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3829" w:type="dxa"/>
            <w:gridSpan w:val="2"/>
            <w:tcBorders>
              <w:top w:val="nil"/>
              <w:left w:val="nil"/>
              <w:bottom w:val="single" w:color="auto" w:sz="4" w:space="0"/>
              <w:right w:val="single" w:color="auto" w:sz="4" w:space="0"/>
            </w:tcBorders>
            <w:noWrap w:val="0"/>
            <w:vAlign w:val="center"/>
          </w:tcPr>
          <w:p w14:paraId="0BFDCA0C">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让未与乙方签订劳动合同的人员上岗</w:t>
            </w:r>
          </w:p>
        </w:tc>
        <w:tc>
          <w:tcPr>
            <w:tcW w:w="936" w:type="dxa"/>
            <w:tcBorders>
              <w:top w:val="nil"/>
              <w:left w:val="nil"/>
              <w:bottom w:val="single" w:color="auto" w:sz="4" w:space="0"/>
              <w:right w:val="single" w:color="auto" w:sz="4" w:space="0"/>
            </w:tcBorders>
            <w:noWrap w:val="0"/>
            <w:vAlign w:val="center"/>
          </w:tcPr>
          <w:p w14:paraId="0C58394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149CD30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0138C2F1">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3ADB311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2EFD16E7">
        <w:tblPrEx>
          <w:tblCellMar>
            <w:top w:w="0" w:type="dxa"/>
            <w:left w:w="108" w:type="dxa"/>
            <w:bottom w:w="0" w:type="dxa"/>
            <w:right w:w="108" w:type="dxa"/>
          </w:tblCellMar>
        </w:tblPrEx>
        <w:trPr>
          <w:trHeight w:val="1038" w:hRule="atLeast"/>
          <w:jc w:val="center"/>
        </w:trPr>
        <w:tc>
          <w:tcPr>
            <w:tcW w:w="627" w:type="dxa"/>
            <w:tcBorders>
              <w:top w:val="nil"/>
              <w:left w:val="single" w:color="auto" w:sz="4" w:space="0"/>
              <w:bottom w:val="single" w:color="auto" w:sz="4" w:space="0"/>
              <w:right w:val="single" w:color="auto" w:sz="4" w:space="0"/>
            </w:tcBorders>
            <w:noWrap w:val="0"/>
            <w:vAlign w:val="center"/>
          </w:tcPr>
          <w:p w14:paraId="314BC54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802" w:type="dxa"/>
            <w:vMerge w:val="continue"/>
            <w:tcBorders>
              <w:top w:val="nil"/>
              <w:left w:val="single" w:color="auto" w:sz="4" w:space="0"/>
              <w:bottom w:val="single" w:color="auto" w:sz="4" w:space="0"/>
              <w:right w:val="single" w:color="auto" w:sz="4" w:space="0"/>
            </w:tcBorders>
            <w:noWrap w:val="0"/>
            <w:vAlign w:val="center"/>
          </w:tcPr>
          <w:p w14:paraId="6142CB3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3829" w:type="dxa"/>
            <w:gridSpan w:val="2"/>
            <w:tcBorders>
              <w:top w:val="nil"/>
              <w:left w:val="nil"/>
              <w:bottom w:val="single" w:color="auto" w:sz="4" w:space="0"/>
              <w:right w:val="single" w:color="auto" w:sz="4" w:space="0"/>
            </w:tcBorders>
            <w:noWrap w:val="0"/>
            <w:vAlign w:val="center"/>
          </w:tcPr>
          <w:p w14:paraId="113AF23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未及时将《上（离）岗通知书》传递至所服务区域的甲方负责人</w:t>
            </w:r>
          </w:p>
        </w:tc>
        <w:tc>
          <w:tcPr>
            <w:tcW w:w="936" w:type="dxa"/>
            <w:tcBorders>
              <w:top w:val="nil"/>
              <w:left w:val="nil"/>
              <w:bottom w:val="single" w:color="auto" w:sz="4" w:space="0"/>
              <w:right w:val="single" w:color="auto" w:sz="4" w:space="0"/>
            </w:tcBorders>
            <w:noWrap w:val="0"/>
            <w:vAlign w:val="center"/>
          </w:tcPr>
          <w:p w14:paraId="1B8EBC6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53E0FBD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4596C69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3A0E171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77C1FD93">
        <w:tblPrEx>
          <w:tblCellMar>
            <w:top w:w="0" w:type="dxa"/>
            <w:left w:w="108" w:type="dxa"/>
            <w:bottom w:w="0" w:type="dxa"/>
            <w:right w:w="108" w:type="dxa"/>
          </w:tblCellMar>
        </w:tblPrEx>
        <w:trPr>
          <w:trHeight w:val="642" w:hRule="atLeast"/>
          <w:jc w:val="center"/>
        </w:trPr>
        <w:tc>
          <w:tcPr>
            <w:tcW w:w="627" w:type="dxa"/>
            <w:tcBorders>
              <w:top w:val="nil"/>
              <w:left w:val="single" w:color="auto" w:sz="4" w:space="0"/>
              <w:bottom w:val="single" w:color="auto" w:sz="4" w:space="0"/>
              <w:right w:val="single" w:color="auto" w:sz="4" w:space="0"/>
            </w:tcBorders>
            <w:noWrap w:val="0"/>
            <w:vAlign w:val="center"/>
          </w:tcPr>
          <w:p w14:paraId="317F8631">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802" w:type="dxa"/>
            <w:vMerge w:val="restart"/>
            <w:tcBorders>
              <w:top w:val="nil"/>
              <w:left w:val="single" w:color="auto" w:sz="4" w:space="0"/>
              <w:bottom w:val="single" w:color="auto" w:sz="4" w:space="0"/>
              <w:right w:val="single" w:color="auto" w:sz="4" w:space="0"/>
            </w:tcBorders>
            <w:noWrap w:val="0"/>
            <w:vAlign w:val="center"/>
          </w:tcPr>
          <w:p w14:paraId="0E5A7D7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相关资料、文件的管理</w:t>
            </w:r>
          </w:p>
        </w:tc>
        <w:tc>
          <w:tcPr>
            <w:tcW w:w="3829" w:type="dxa"/>
            <w:gridSpan w:val="2"/>
            <w:tcBorders>
              <w:top w:val="nil"/>
              <w:left w:val="nil"/>
              <w:bottom w:val="single" w:color="auto" w:sz="4" w:space="0"/>
              <w:right w:val="single" w:color="auto" w:sz="4" w:space="0"/>
            </w:tcBorders>
            <w:noWrap w:val="0"/>
            <w:vAlign w:val="center"/>
          </w:tcPr>
          <w:p w14:paraId="5F16A756">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未在规定的时间内向甲方提供乙方与委派进驻人员签订的劳动合同及其它相关资料</w:t>
            </w:r>
          </w:p>
        </w:tc>
        <w:tc>
          <w:tcPr>
            <w:tcW w:w="936" w:type="dxa"/>
            <w:tcBorders>
              <w:top w:val="nil"/>
              <w:left w:val="nil"/>
              <w:bottom w:val="single" w:color="auto" w:sz="4" w:space="0"/>
              <w:right w:val="single" w:color="auto" w:sz="4" w:space="0"/>
            </w:tcBorders>
            <w:noWrap w:val="0"/>
            <w:vAlign w:val="center"/>
          </w:tcPr>
          <w:p w14:paraId="3AB8A27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542637E3">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4135EAB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361E60F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535D6007">
        <w:tblPrEx>
          <w:tblCellMar>
            <w:top w:w="0" w:type="dxa"/>
            <w:left w:w="108" w:type="dxa"/>
            <w:bottom w:w="0" w:type="dxa"/>
            <w:right w:w="108" w:type="dxa"/>
          </w:tblCellMar>
        </w:tblPrEx>
        <w:trPr>
          <w:trHeight w:val="642" w:hRule="atLeast"/>
          <w:jc w:val="center"/>
        </w:trPr>
        <w:tc>
          <w:tcPr>
            <w:tcW w:w="627" w:type="dxa"/>
            <w:tcBorders>
              <w:top w:val="nil"/>
              <w:left w:val="single" w:color="auto" w:sz="4" w:space="0"/>
              <w:bottom w:val="single" w:color="auto" w:sz="4" w:space="0"/>
              <w:right w:val="single" w:color="auto" w:sz="4" w:space="0"/>
            </w:tcBorders>
            <w:noWrap w:val="0"/>
            <w:vAlign w:val="center"/>
          </w:tcPr>
          <w:p w14:paraId="1AD7BD9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6</w:t>
            </w:r>
          </w:p>
        </w:tc>
        <w:tc>
          <w:tcPr>
            <w:tcW w:w="802" w:type="dxa"/>
            <w:vMerge w:val="continue"/>
            <w:tcBorders>
              <w:top w:val="nil"/>
              <w:left w:val="single" w:color="auto" w:sz="4" w:space="0"/>
              <w:bottom w:val="single" w:color="auto" w:sz="4" w:space="0"/>
              <w:right w:val="single" w:color="auto" w:sz="4" w:space="0"/>
            </w:tcBorders>
            <w:noWrap w:val="0"/>
            <w:vAlign w:val="center"/>
          </w:tcPr>
          <w:p w14:paraId="2514C931">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3829" w:type="dxa"/>
            <w:gridSpan w:val="2"/>
            <w:tcBorders>
              <w:top w:val="nil"/>
              <w:left w:val="nil"/>
              <w:bottom w:val="single" w:color="auto" w:sz="4" w:space="0"/>
              <w:right w:val="single" w:color="auto" w:sz="4" w:space="0"/>
            </w:tcBorders>
            <w:noWrap w:val="0"/>
            <w:vAlign w:val="center"/>
          </w:tcPr>
          <w:p w14:paraId="75C9270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乙方与委派进驻人员签订的《劳动合同》违反法律规定</w:t>
            </w:r>
          </w:p>
        </w:tc>
        <w:tc>
          <w:tcPr>
            <w:tcW w:w="936" w:type="dxa"/>
            <w:tcBorders>
              <w:top w:val="nil"/>
              <w:left w:val="nil"/>
              <w:bottom w:val="single" w:color="auto" w:sz="4" w:space="0"/>
              <w:right w:val="single" w:color="auto" w:sz="4" w:space="0"/>
            </w:tcBorders>
            <w:noWrap w:val="0"/>
            <w:vAlign w:val="center"/>
          </w:tcPr>
          <w:p w14:paraId="6805938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6EED78A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5A73ED63">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0F02E721">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1CDA5E28">
        <w:tblPrEx>
          <w:tblCellMar>
            <w:top w:w="0" w:type="dxa"/>
            <w:left w:w="108" w:type="dxa"/>
            <w:bottom w:w="0" w:type="dxa"/>
            <w:right w:w="108" w:type="dxa"/>
          </w:tblCellMar>
        </w:tblPrEx>
        <w:trPr>
          <w:trHeight w:val="642" w:hRule="atLeast"/>
          <w:jc w:val="center"/>
        </w:trPr>
        <w:tc>
          <w:tcPr>
            <w:tcW w:w="627" w:type="dxa"/>
            <w:tcBorders>
              <w:top w:val="nil"/>
              <w:left w:val="single" w:color="auto" w:sz="4" w:space="0"/>
              <w:bottom w:val="single" w:color="auto" w:sz="4" w:space="0"/>
              <w:right w:val="single" w:color="auto" w:sz="4" w:space="0"/>
            </w:tcBorders>
            <w:noWrap w:val="0"/>
            <w:vAlign w:val="center"/>
          </w:tcPr>
          <w:p w14:paraId="3FD7D4BF">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7</w:t>
            </w:r>
          </w:p>
        </w:tc>
        <w:tc>
          <w:tcPr>
            <w:tcW w:w="802" w:type="dxa"/>
            <w:vMerge w:val="continue"/>
            <w:tcBorders>
              <w:top w:val="nil"/>
              <w:left w:val="single" w:color="auto" w:sz="4" w:space="0"/>
              <w:bottom w:val="single" w:color="auto" w:sz="4" w:space="0"/>
              <w:right w:val="single" w:color="auto" w:sz="4" w:space="0"/>
            </w:tcBorders>
            <w:noWrap w:val="0"/>
            <w:vAlign w:val="center"/>
          </w:tcPr>
          <w:p w14:paraId="5A53C3F8">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3829" w:type="dxa"/>
            <w:gridSpan w:val="2"/>
            <w:tcBorders>
              <w:top w:val="nil"/>
              <w:left w:val="nil"/>
              <w:bottom w:val="single" w:color="auto" w:sz="4" w:space="0"/>
              <w:right w:val="single" w:color="auto" w:sz="4" w:space="0"/>
            </w:tcBorders>
            <w:noWrap w:val="0"/>
            <w:vAlign w:val="center"/>
          </w:tcPr>
          <w:p w14:paraId="3E9A9DB3">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所提供的委派进驻人员《劳动合同》复印件与原件不符</w:t>
            </w:r>
          </w:p>
        </w:tc>
        <w:tc>
          <w:tcPr>
            <w:tcW w:w="936" w:type="dxa"/>
            <w:tcBorders>
              <w:top w:val="nil"/>
              <w:left w:val="nil"/>
              <w:bottom w:val="single" w:color="auto" w:sz="4" w:space="0"/>
              <w:right w:val="single" w:color="auto" w:sz="4" w:space="0"/>
            </w:tcBorders>
            <w:noWrap w:val="0"/>
            <w:vAlign w:val="center"/>
          </w:tcPr>
          <w:p w14:paraId="6F75D4E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09146D27">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4E19A13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143924C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354B0929">
        <w:tblPrEx>
          <w:tblCellMar>
            <w:top w:w="0" w:type="dxa"/>
            <w:left w:w="108" w:type="dxa"/>
            <w:bottom w:w="0" w:type="dxa"/>
            <w:right w:w="108" w:type="dxa"/>
          </w:tblCellMar>
        </w:tblPrEx>
        <w:trPr>
          <w:trHeight w:val="642" w:hRule="atLeast"/>
          <w:jc w:val="center"/>
        </w:trPr>
        <w:tc>
          <w:tcPr>
            <w:tcW w:w="627" w:type="dxa"/>
            <w:tcBorders>
              <w:top w:val="nil"/>
              <w:left w:val="single" w:color="auto" w:sz="4" w:space="0"/>
              <w:bottom w:val="single" w:color="auto" w:sz="4" w:space="0"/>
              <w:right w:val="single" w:color="auto" w:sz="4" w:space="0"/>
            </w:tcBorders>
            <w:noWrap w:val="0"/>
            <w:vAlign w:val="center"/>
          </w:tcPr>
          <w:p w14:paraId="771FF9A7">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802" w:type="dxa"/>
            <w:vMerge w:val="continue"/>
            <w:tcBorders>
              <w:top w:val="nil"/>
              <w:left w:val="single" w:color="auto" w:sz="4" w:space="0"/>
              <w:bottom w:val="single" w:color="auto" w:sz="4" w:space="0"/>
              <w:right w:val="single" w:color="auto" w:sz="4" w:space="0"/>
            </w:tcBorders>
            <w:noWrap w:val="0"/>
            <w:vAlign w:val="center"/>
          </w:tcPr>
          <w:p w14:paraId="6B6019F1">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3829" w:type="dxa"/>
            <w:gridSpan w:val="2"/>
            <w:tcBorders>
              <w:top w:val="nil"/>
              <w:left w:val="nil"/>
              <w:bottom w:val="single" w:color="auto" w:sz="4" w:space="0"/>
              <w:right w:val="single" w:color="auto" w:sz="4" w:space="0"/>
            </w:tcBorders>
            <w:noWrap w:val="0"/>
            <w:vAlign w:val="center"/>
          </w:tcPr>
          <w:p w14:paraId="7BDF7B4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所提供的委派进驻人员档案已过期或是不真实</w:t>
            </w:r>
          </w:p>
        </w:tc>
        <w:tc>
          <w:tcPr>
            <w:tcW w:w="936" w:type="dxa"/>
            <w:tcBorders>
              <w:top w:val="nil"/>
              <w:left w:val="nil"/>
              <w:bottom w:val="single" w:color="auto" w:sz="4" w:space="0"/>
              <w:right w:val="single" w:color="auto" w:sz="4" w:space="0"/>
            </w:tcBorders>
            <w:noWrap w:val="0"/>
            <w:vAlign w:val="center"/>
          </w:tcPr>
          <w:p w14:paraId="3981211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5CF4DC5D">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3037E7D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197D436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7CB69B25">
        <w:tblPrEx>
          <w:tblCellMar>
            <w:top w:w="0" w:type="dxa"/>
            <w:left w:w="108" w:type="dxa"/>
            <w:bottom w:w="0" w:type="dxa"/>
            <w:right w:w="108" w:type="dxa"/>
          </w:tblCellMar>
        </w:tblPrEx>
        <w:trPr>
          <w:trHeight w:val="617" w:hRule="atLeast"/>
          <w:jc w:val="center"/>
        </w:trPr>
        <w:tc>
          <w:tcPr>
            <w:tcW w:w="627" w:type="dxa"/>
            <w:tcBorders>
              <w:top w:val="nil"/>
              <w:left w:val="single" w:color="auto" w:sz="4" w:space="0"/>
              <w:bottom w:val="single" w:color="auto" w:sz="4" w:space="0"/>
              <w:right w:val="single" w:color="auto" w:sz="4" w:space="0"/>
            </w:tcBorders>
            <w:noWrap w:val="0"/>
            <w:vAlign w:val="center"/>
          </w:tcPr>
          <w:p w14:paraId="1441E16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9</w:t>
            </w:r>
          </w:p>
        </w:tc>
        <w:tc>
          <w:tcPr>
            <w:tcW w:w="802" w:type="dxa"/>
            <w:tcBorders>
              <w:left w:val="single" w:color="auto" w:sz="4" w:space="0"/>
              <w:bottom w:val="single" w:color="auto" w:sz="4" w:space="0"/>
              <w:right w:val="single" w:color="auto" w:sz="4" w:space="0"/>
            </w:tcBorders>
            <w:noWrap w:val="0"/>
            <w:vAlign w:val="center"/>
          </w:tcPr>
          <w:p w14:paraId="32C6A9B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劳动保障</w:t>
            </w:r>
          </w:p>
        </w:tc>
        <w:tc>
          <w:tcPr>
            <w:tcW w:w="3829" w:type="dxa"/>
            <w:gridSpan w:val="2"/>
            <w:tcBorders>
              <w:top w:val="nil"/>
              <w:left w:val="nil"/>
              <w:bottom w:val="single" w:color="auto" w:sz="4" w:space="0"/>
              <w:right w:val="single" w:color="auto" w:sz="4" w:space="0"/>
            </w:tcBorders>
            <w:noWrap w:val="0"/>
            <w:vAlign w:val="center"/>
          </w:tcPr>
          <w:p w14:paraId="3CBCEAC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未按时按量发放工资（按应发工资的双倍扣除）</w:t>
            </w:r>
          </w:p>
        </w:tc>
        <w:tc>
          <w:tcPr>
            <w:tcW w:w="936" w:type="dxa"/>
            <w:tcBorders>
              <w:top w:val="nil"/>
              <w:left w:val="nil"/>
              <w:bottom w:val="single" w:color="auto" w:sz="4" w:space="0"/>
              <w:right w:val="single" w:color="auto" w:sz="4" w:space="0"/>
            </w:tcBorders>
            <w:noWrap w:val="0"/>
            <w:vAlign w:val="center"/>
          </w:tcPr>
          <w:p w14:paraId="011CB83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0D913E3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886" w:type="dxa"/>
            <w:tcBorders>
              <w:top w:val="nil"/>
              <w:left w:val="nil"/>
              <w:bottom w:val="single" w:color="auto" w:sz="4" w:space="0"/>
              <w:right w:val="single" w:color="auto" w:sz="4" w:space="0"/>
            </w:tcBorders>
            <w:noWrap w:val="0"/>
            <w:vAlign w:val="bottom"/>
          </w:tcPr>
          <w:p w14:paraId="4AEDAF9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709" w:type="dxa"/>
            <w:tcBorders>
              <w:top w:val="nil"/>
              <w:left w:val="nil"/>
              <w:bottom w:val="single" w:color="auto" w:sz="4" w:space="0"/>
              <w:right w:val="single" w:color="auto" w:sz="4" w:space="0"/>
            </w:tcBorders>
            <w:noWrap w:val="0"/>
            <w:vAlign w:val="bottom"/>
          </w:tcPr>
          <w:p w14:paraId="3DAED36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r>
      <w:tr w14:paraId="3050A52F">
        <w:tblPrEx>
          <w:tblCellMar>
            <w:top w:w="0" w:type="dxa"/>
            <w:left w:w="108" w:type="dxa"/>
            <w:bottom w:w="0" w:type="dxa"/>
            <w:right w:w="108" w:type="dxa"/>
          </w:tblCellMar>
        </w:tblPrEx>
        <w:trPr>
          <w:trHeight w:val="642" w:hRule="atLeast"/>
          <w:jc w:val="center"/>
        </w:trPr>
        <w:tc>
          <w:tcPr>
            <w:tcW w:w="627" w:type="dxa"/>
            <w:tcBorders>
              <w:top w:val="nil"/>
              <w:left w:val="single" w:color="auto" w:sz="4" w:space="0"/>
              <w:bottom w:val="single" w:color="auto" w:sz="4" w:space="0"/>
              <w:right w:val="single" w:color="auto" w:sz="4" w:space="0"/>
            </w:tcBorders>
            <w:noWrap w:val="0"/>
            <w:vAlign w:val="center"/>
          </w:tcPr>
          <w:p w14:paraId="48FF0BA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10</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6F87FA0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人员配备</w:t>
            </w:r>
          </w:p>
        </w:tc>
        <w:tc>
          <w:tcPr>
            <w:tcW w:w="3829" w:type="dxa"/>
            <w:gridSpan w:val="2"/>
            <w:tcBorders>
              <w:top w:val="nil"/>
              <w:left w:val="nil"/>
              <w:bottom w:val="single" w:color="auto" w:sz="4" w:space="0"/>
              <w:right w:val="single" w:color="auto" w:sz="4" w:space="0"/>
            </w:tcBorders>
            <w:noWrap w:val="0"/>
            <w:vAlign w:val="center"/>
          </w:tcPr>
          <w:p w14:paraId="5DF632C5">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经乙方授权委托的现场管理人员不在岗</w:t>
            </w:r>
          </w:p>
        </w:tc>
        <w:tc>
          <w:tcPr>
            <w:tcW w:w="936" w:type="dxa"/>
            <w:tcBorders>
              <w:top w:val="nil"/>
              <w:left w:val="nil"/>
              <w:bottom w:val="single" w:color="auto" w:sz="4" w:space="0"/>
              <w:right w:val="single" w:color="auto" w:sz="4" w:space="0"/>
            </w:tcBorders>
            <w:noWrap w:val="0"/>
            <w:vAlign w:val="center"/>
          </w:tcPr>
          <w:p w14:paraId="2EF9AA1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678" w:type="dxa"/>
            <w:tcBorders>
              <w:top w:val="nil"/>
              <w:left w:val="nil"/>
              <w:bottom w:val="single" w:color="auto" w:sz="4" w:space="0"/>
              <w:right w:val="single" w:color="auto" w:sz="4" w:space="0"/>
            </w:tcBorders>
            <w:noWrap w:val="0"/>
            <w:vAlign w:val="center"/>
          </w:tcPr>
          <w:p w14:paraId="76EE1DD1">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3347124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5AD14BA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76B6C070">
        <w:tblPrEx>
          <w:tblCellMar>
            <w:top w:w="0" w:type="dxa"/>
            <w:left w:w="108" w:type="dxa"/>
            <w:bottom w:w="0" w:type="dxa"/>
            <w:right w:w="108" w:type="dxa"/>
          </w:tblCellMar>
        </w:tblPrEx>
        <w:trPr>
          <w:trHeight w:val="996" w:hRule="atLeast"/>
          <w:jc w:val="center"/>
        </w:trPr>
        <w:tc>
          <w:tcPr>
            <w:tcW w:w="627" w:type="dxa"/>
            <w:tcBorders>
              <w:top w:val="nil"/>
              <w:left w:val="single" w:color="auto" w:sz="4" w:space="0"/>
              <w:bottom w:val="single" w:color="auto" w:sz="4" w:space="0"/>
              <w:right w:val="single" w:color="auto" w:sz="4" w:space="0"/>
            </w:tcBorders>
            <w:noWrap w:val="0"/>
            <w:vAlign w:val="center"/>
          </w:tcPr>
          <w:p w14:paraId="22C05639">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11</w:t>
            </w:r>
          </w:p>
        </w:tc>
        <w:tc>
          <w:tcPr>
            <w:tcW w:w="802" w:type="dxa"/>
            <w:tcBorders>
              <w:top w:val="single" w:color="auto" w:sz="4" w:space="0"/>
              <w:left w:val="single" w:color="auto" w:sz="4" w:space="0"/>
              <w:bottom w:val="single" w:color="auto" w:sz="4" w:space="0"/>
              <w:right w:val="single" w:color="auto" w:sz="4" w:space="0"/>
            </w:tcBorders>
            <w:noWrap w:val="0"/>
            <w:vAlign w:val="center"/>
          </w:tcPr>
          <w:p w14:paraId="3038A63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联合办公</w:t>
            </w:r>
          </w:p>
        </w:tc>
        <w:tc>
          <w:tcPr>
            <w:tcW w:w="3829" w:type="dxa"/>
            <w:gridSpan w:val="2"/>
            <w:tcBorders>
              <w:top w:val="nil"/>
              <w:left w:val="nil"/>
              <w:bottom w:val="single" w:color="auto" w:sz="4" w:space="0"/>
              <w:right w:val="single" w:color="auto" w:sz="4" w:space="0"/>
            </w:tcBorders>
            <w:noWrap w:val="0"/>
            <w:vAlign w:val="center"/>
          </w:tcPr>
          <w:p w14:paraId="1D87E9CD">
            <w:pPr>
              <w:keepNext w:val="0"/>
              <w:keepLines w:val="0"/>
              <w:widowControl/>
              <w:suppressLineNumbers w:val="0"/>
              <w:spacing w:before="0" w:beforeAutospacing="0" w:after="0" w:afterAutospacing="0"/>
              <w:ind w:left="0" w:right="0"/>
              <w:rPr>
                <w:rFonts w:hint="default" w:ascii="宋体" w:hAnsi="宋体" w:cs="宋体"/>
                <w:kern w:val="0"/>
                <w:sz w:val="18"/>
                <w:szCs w:val="18"/>
              </w:rPr>
            </w:pPr>
            <w:r>
              <w:rPr>
                <w:rFonts w:hint="eastAsia" w:ascii="宋体" w:hAnsi="宋体" w:cs="宋体"/>
                <w:kern w:val="0"/>
                <w:sz w:val="18"/>
                <w:szCs w:val="18"/>
              </w:rPr>
              <w:t>联合办公会由甲方主办，乙方如有不参加或不按甲方要求提供相应资料，每次扣500元。</w:t>
            </w:r>
          </w:p>
        </w:tc>
        <w:tc>
          <w:tcPr>
            <w:tcW w:w="936" w:type="dxa"/>
            <w:tcBorders>
              <w:top w:val="nil"/>
              <w:left w:val="nil"/>
              <w:bottom w:val="single" w:color="auto" w:sz="4" w:space="0"/>
              <w:right w:val="single" w:color="auto" w:sz="4" w:space="0"/>
            </w:tcBorders>
            <w:noWrap w:val="0"/>
            <w:vAlign w:val="center"/>
          </w:tcPr>
          <w:p w14:paraId="3B82624D">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p>
        </w:tc>
        <w:tc>
          <w:tcPr>
            <w:tcW w:w="678" w:type="dxa"/>
            <w:tcBorders>
              <w:top w:val="nil"/>
              <w:left w:val="nil"/>
              <w:bottom w:val="single" w:color="auto" w:sz="4" w:space="0"/>
              <w:right w:val="single" w:color="auto" w:sz="4" w:space="0"/>
            </w:tcBorders>
            <w:noWrap w:val="0"/>
            <w:vAlign w:val="center"/>
          </w:tcPr>
          <w:p w14:paraId="15B46343">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886" w:type="dxa"/>
            <w:tcBorders>
              <w:top w:val="nil"/>
              <w:left w:val="nil"/>
              <w:bottom w:val="single" w:color="auto" w:sz="4" w:space="0"/>
              <w:right w:val="single" w:color="auto" w:sz="4" w:space="0"/>
            </w:tcBorders>
            <w:noWrap w:val="0"/>
            <w:vAlign w:val="bottom"/>
          </w:tcPr>
          <w:p w14:paraId="379D7DF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09" w:type="dxa"/>
            <w:tcBorders>
              <w:top w:val="nil"/>
              <w:left w:val="nil"/>
              <w:bottom w:val="single" w:color="auto" w:sz="4" w:space="0"/>
              <w:right w:val="single" w:color="auto" w:sz="4" w:space="0"/>
            </w:tcBorders>
            <w:noWrap w:val="0"/>
            <w:vAlign w:val="bottom"/>
          </w:tcPr>
          <w:p w14:paraId="10D4E5CD">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17B41FD0">
        <w:tblPrEx>
          <w:tblCellMar>
            <w:top w:w="0" w:type="dxa"/>
            <w:left w:w="108" w:type="dxa"/>
            <w:bottom w:w="0" w:type="dxa"/>
            <w:right w:w="108" w:type="dxa"/>
          </w:tblCellMar>
        </w:tblPrEx>
        <w:trPr>
          <w:trHeight w:val="979" w:hRule="atLeast"/>
          <w:jc w:val="center"/>
        </w:trPr>
        <w:tc>
          <w:tcPr>
            <w:tcW w:w="5258" w:type="dxa"/>
            <w:gridSpan w:val="4"/>
            <w:tcBorders>
              <w:top w:val="single" w:color="auto" w:sz="4" w:space="0"/>
              <w:left w:val="single" w:color="auto" w:sz="4" w:space="0"/>
              <w:bottom w:val="single" w:color="auto" w:sz="4" w:space="0"/>
              <w:right w:val="single" w:color="000000" w:sz="4" w:space="0"/>
            </w:tcBorders>
            <w:noWrap w:val="0"/>
            <w:vAlign w:val="center"/>
          </w:tcPr>
          <w:p w14:paraId="1339EE30">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合计</w:t>
            </w:r>
          </w:p>
        </w:tc>
        <w:tc>
          <w:tcPr>
            <w:tcW w:w="936" w:type="dxa"/>
            <w:tcBorders>
              <w:top w:val="nil"/>
              <w:left w:val="nil"/>
              <w:bottom w:val="single" w:color="auto" w:sz="4" w:space="0"/>
              <w:right w:val="single" w:color="auto" w:sz="4" w:space="0"/>
            </w:tcBorders>
            <w:noWrap w:val="0"/>
            <w:vAlign w:val="center"/>
          </w:tcPr>
          <w:p w14:paraId="1C954B12">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　</w:t>
            </w:r>
          </w:p>
        </w:tc>
        <w:tc>
          <w:tcPr>
            <w:tcW w:w="678" w:type="dxa"/>
            <w:tcBorders>
              <w:top w:val="nil"/>
              <w:left w:val="nil"/>
              <w:bottom w:val="single" w:color="auto" w:sz="4" w:space="0"/>
              <w:right w:val="single" w:color="auto" w:sz="4" w:space="0"/>
            </w:tcBorders>
            <w:noWrap w:val="0"/>
            <w:vAlign w:val="center"/>
          </w:tcPr>
          <w:p w14:paraId="01095508">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　</w:t>
            </w:r>
          </w:p>
        </w:tc>
        <w:tc>
          <w:tcPr>
            <w:tcW w:w="886" w:type="dxa"/>
            <w:tcBorders>
              <w:top w:val="nil"/>
              <w:left w:val="nil"/>
              <w:bottom w:val="single" w:color="auto" w:sz="4" w:space="0"/>
              <w:right w:val="single" w:color="auto" w:sz="4" w:space="0"/>
            </w:tcBorders>
            <w:noWrap w:val="0"/>
            <w:vAlign w:val="bottom"/>
          </w:tcPr>
          <w:p w14:paraId="21F3C614">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　</w:t>
            </w:r>
          </w:p>
        </w:tc>
        <w:tc>
          <w:tcPr>
            <w:tcW w:w="709" w:type="dxa"/>
            <w:tcBorders>
              <w:top w:val="nil"/>
              <w:left w:val="nil"/>
              <w:bottom w:val="single" w:color="auto" w:sz="4" w:space="0"/>
              <w:right w:val="single" w:color="auto" w:sz="4" w:space="0"/>
            </w:tcBorders>
            <w:noWrap w:val="0"/>
            <w:vAlign w:val="bottom"/>
          </w:tcPr>
          <w:p w14:paraId="6A5E252F">
            <w:pPr>
              <w:keepNext w:val="0"/>
              <w:keepLines w:val="0"/>
              <w:widowControl/>
              <w:suppressLineNumbers w:val="0"/>
              <w:spacing w:before="0" w:beforeAutospacing="0" w:after="0" w:afterAutospacing="0"/>
              <w:ind w:left="0" w:right="0"/>
              <w:jc w:val="center"/>
              <w:rPr>
                <w:rFonts w:hint="default" w:ascii="宋体" w:hAnsi="宋体" w:cs="宋体"/>
                <w:b/>
                <w:bCs/>
                <w:kern w:val="0"/>
                <w:sz w:val="18"/>
                <w:szCs w:val="18"/>
              </w:rPr>
            </w:pPr>
            <w:r>
              <w:rPr>
                <w:rFonts w:hint="eastAsia" w:ascii="宋体" w:hAnsi="宋体" w:cs="宋体"/>
                <w:b/>
                <w:bCs/>
                <w:kern w:val="0"/>
                <w:sz w:val="18"/>
                <w:szCs w:val="18"/>
              </w:rPr>
              <w:t>　</w:t>
            </w:r>
          </w:p>
        </w:tc>
      </w:tr>
      <w:tr w14:paraId="4A3AB7AA">
        <w:tblPrEx>
          <w:tblCellMar>
            <w:top w:w="0" w:type="dxa"/>
            <w:left w:w="108" w:type="dxa"/>
            <w:bottom w:w="0" w:type="dxa"/>
            <w:right w:w="108" w:type="dxa"/>
          </w:tblCellMar>
        </w:tblPrEx>
        <w:trPr>
          <w:trHeight w:val="435" w:hRule="atLeast"/>
          <w:jc w:val="center"/>
        </w:trPr>
        <w:tc>
          <w:tcPr>
            <w:tcW w:w="1817" w:type="dxa"/>
            <w:gridSpan w:val="3"/>
            <w:tcBorders>
              <w:top w:val="nil"/>
              <w:left w:val="nil"/>
              <w:bottom w:val="nil"/>
              <w:right w:val="nil"/>
            </w:tcBorders>
            <w:noWrap w:val="0"/>
            <w:vAlign w:val="center"/>
          </w:tcPr>
          <w:p w14:paraId="04BF490A">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审核部门主管：</w:t>
            </w:r>
          </w:p>
        </w:tc>
        <w:tc>
          <w:tcPr>
            <w:tcW w:w="4377" w:type="dxa"/>
            <w:gridSpan w:val="2"/>
            <w:tcBorders>
              <w:top w:val="single" w:color="auto" w:sz="4" w:space="0"/>
              <w:left w:val="nil"/>
              <w:bottom w:val="nil"/>
              <w:right w:val="nil"/>
            </w:tcBorders>
            <w:noWrap w:val="0"/>
            <w:vAlign w:val="center"/>
          </w:tcPr>
          <w:p w14:paraId="73477614">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xml:space="preserve">           审核人：                部门经理：</w:t>
            </w:r>
          </w:p>
        </w:tc>
        <w:tc>
          <w:tcPr>
            <w:tcW w:w="678" w:type="dxa"/>
            <w:tcBorders>
              <w:top w:val="nil"/>
              <w:left w:val="nil"/>
              <w:bottom w:val="nil"/>
              <w:right w:val="nil"/>
            </w:tcBorders>
            <w:noWrap w:val="0"/>
            <w:vAlign w:val="center"/>
          </w:tcPr>
          <w:p w14:paraId="002C7D4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c>
          <w:tcPr>
            <w:tcW w:w="886" w:type="dxa"/>
            <w:tcBorders>
              <w:top w:val="nil"/>
              <w:left w:val="nil"/>
              <w:bottom w:val="nil"/>
              <w:right w:val="nil"/>
            </w:tcBorders>
            <w:noWrap w:val="0"/>
            <w:vAlign w:val="center"/>
          </w:tcPr>
          <w:p w14:paraId="2AFB214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经办人：</w:t>
            </w:r>
          </w:p>
        </w:tc>
        <w:tc>
          <w:tcPr>
            <w:tcW w:w="709" w:type="dxa"/>
            <w:tcBorders>
              <w:top w:val="nil"/>
              <w:left w:val="nil"/>
              <w:bottom w:val="nil"/>
              <w:right w:val="nil"/>
            </w:tcBorders>
            <w:noWrap w:val="0"/>
            <w:vAlign w:val="center"/>
          </w:tcPr>
          <w:p w14:paraId="3542836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p>
        </w:tc>
      </w:tr>
    </w:tbl>
    <w:p w14:paraId="39B57F9C">
      <w:pPr>
        <w:widowControl/>
        <w:jc w:val="left"/>
        <w:rPr>
          <w:rFonts w:ascii="宋体" w:hAnsi="宋体" w:cs="宋体"/>
          <w:b/>
          <w:sz w:val="18"/>
          <w:szCs w:val="18"/>
        </w:rPr>
      </w:pPr>
    </w:p>
    <w:p w14:paraId="7D89FCA5">
      <w:pPr>
        <w:widowControl/>
        <w:jc w:val="left"/>
        <w:rPr>
          <w:rFonts w:ascii="宋体" w:hAnsi="宋体" w:cs="宋体"/>
          <w:b/>
          <w:sz w:val="18"/>
          <w:szCs w:val="18"/>
        </w:rPr>
      </w:pPr>
    </w:p>
    <w:p w14:paraId="06C54E53">
      <w:pPr>
        <w:widowControl/>
        <w:jc w:val="left"/>
      </w:pPr>
      <w:r>
        <w:rPr>
          <w:rFonts w:ascii="宋体" w:hAnsi="宋体" w:cs="宋体"/>
          <w:b/>
          <w:sz w:val="28"/>
          <w:szCs w:val="28"/>
        </w:rPr>
        <w:br w:type="page"/>
      </w:r>
    </w:p>
    <w:p w14:paraId="6F5412B2">
      <w:pPr>
        <w:widowControl/>
        <w:jc w:val="left"/>
        <w:rPr>
          <w:rFonts w:ascii="宋体" w:hAnsi="宋体" w:cs="宋体"/>
          <w:b/>
          <w:szCs w:val="21"/>
        </w:rPr>
      </w:pPr>
      <w:r>
        <w:rPr>
          <w:rFonts w:hint="eastAsia" w:ascii="宋体" w:hAnsi="宋体" w:cs="宋体"/>
          <w:b/>
          <w:szCs w:val="21"/>
        </w:rPr>
        <w:t>附件四：安全责任事故考核扣分指标</w:t>
      </w:r>
    </w:p>
    <w:tbl>
      <w:tblPr>
        <w:tblStyle w:val="21"/>
        <w:tblW w:w="9193" w:type="dxa"/>
        <w:jc w:val="center"/>
        <w:tblLayout w:type="fixed"/>
        <w:tblCellMar>
          <w:top w:w="0" w:type="dxa"/>
          <w:left w:w="108" w:type="dxa"/>
          <w:bottom w:w="0" w:type="dxa"/>
          <w:right w:w="108" w:type="dxa"/>
        </w:tblCellMar>
      </w:tblPr>
      <w:tblGrid>
        <w:gridCol w:w="778"/>
        <w:gridCol w:w="1581"/>
        <w:gridCol w:w="2538"/>
        <w:gridCol w:w="724"/>
        <w:gridCol w:w="850"/>
        <w:gridCol w:w="2150"/>
        <w:gridCol w:w="572"/>
      </w:tblGrid>
      <w:tr w14:paraId="34B552A1">
        <w:tblPrEx>
          <w:tblCellMar>
            <w:top w:w="0" w:type="dxa"/>
            <w:left w:w="108" w:type="dxa"/>
            <w:bottom w:w="0" w:type="dxa"/>
            <w:right w:w="108" w:type="dxa"/>
          </w:tblCellMar>
        </w:tblPrEx>
        <w:trPr>
          <w:trHeight w:val="375" w:hRule="atLeast"/>
          <w:jc w:val="center"/>
        </w:trPr>
        <w:tc>
          <w:tcPr>
            <w:tcW w:w="9193" w:type="dxa"/>
            <w:gridSpan w:val="7"/>
            <w:tcBorders>
              <w:top w:val="nil"/>
              <w:left w:val="nil"/>
              <w:bottom w:val="single" w:color="auto" w:sz="8" w:space="0"/>
              <w:right w:val="nil"/>
            </w:tcBorders>
            <w:noWrap w:val="0"/>
            <w:vAlign w:val="center"/>
          </w:tcPr>
          <w:p w14:paraId="6E580016">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bookmarkStart w:id="370" w:name="_Toc245727020"/>
            <w:r>
              <w:rPr>
                <w:rFonts w:hint="eastAsia" w:ascii="宋体" w:hAnsi="宋体" w:cs="宋体"/>
                <w:bCs/>
                <w:kern w:val="0"/>
                <w:sz w:val="18"/>
                <w:szCs w:val="18"/>
              </w:rPr>
              <w:t>《安全责任事故考核扣分指标》</w:t>
            </w:r>
          </w:p>
        </w:tc>
      </w:tr>
      <w:tr w14:paraId="06B0609F">
        <w:tblPrEx>
          <w:tblCellMar>
            <w:top w:w="0" w:type="dxa"/>
            <w:left w:w="108" w:type="dxa"/>
            <w:bottom w:w="0" w:type="dxa"/>
            <w:right w:w="108" w:type="dxa"/>
          </w:tblCellMar>
        </w:tblPrEx>
        <w:trPr>
          <w:trHeight w:val="380" w:hRule="atLeast"/>
          <w:jc w:val="center"/>
        </w:trPr>
        <w:tc>
          <w:tcPr>
            <w:tcW w:w="778" w:type="dxa"/>
            <w:vMerge w:val="restart"/>
            <w:tcBorders>
              <w:top w:val="nil"/>
              <w:left w:val="single" w:color="auto" w:sz="8" w:space="0"/>
              <w:bottom w:val="single" w:color="auto" w:sz="4" w:space="0"/>
              <w:right w:val="single" w:color="auto" w:sz="4" w:space="0"/>
            </w:tcBorders>
            <w:noWrap w:val="0"/>
            <w:vAlign w:val="center"/>
          </w:tcPr>
          <w:p w14:paraId="223AB177">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项目</w:t>
            </w:r>
          </w:p>
        </w:tc>
        <w:tc>
          <w:tcPr>
            <w:tcW w:w="1581" w:type="dxa"/>
            <w:vMerge w:val="restart"/>
            <w:tcBorders>
              <w:top w:val="nil"/>
              <w:left w:val="single" w:color="auto" w:sz="4" w:space="0"/>
              <w:bottom w:val="single" w:color="auto" w:sz="4" w:space="0"/>
              <w:right w:val="single" w:color="auto" w:sz="4" w:space="0"/>
            </w:tcBorders>
            <w:noWrap w:val="0"/>
            <w:vAlign w:val="center"/>
          </w:tcPr>
          <w:p w14:paraId="36B2C9C3">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考核内容</w:t>
            </w:r>
          </w:p>
        </w:tc>
        <w:tc>
          <w:tcPr>
            <w:tcW w:w="2538" w:type="dxa"/>
            <w:vMerge w:val="restart"/>
            <w:tcBorders>
              <w:top w:val="nil"/>
              <w:left w:val="single" w:color="auto" w:sz="4" w:space="0"/>
              <w:bottom w:val="single" w:color="auto" w:sz="4" w:space="0"/>
              <w:right w:val="single" w:color="auto" w:sz="4" w:space="0"/>
            </w:tcBorders>
            <w:noWrap w:val="0"/>
            <w:vAlign w:val="center"/>
          </w:tcPr>
          <w:p w14:paraId="0AB53E97">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直接经济损失</w:t>
            </w:r>
          </w:p>
        </w:tc>
        <w:tc>
          <w:tcPr>
            <w:tcW w:w="3724" w:type="dxa"/>
            <w:gridSpan w:val="3"/>
            <w:tcBorders>
              <w:top w:val="single" w:color="auto" w:sz="8" w:space="0"/>
              <w:left w:val="nil"/>
              <w:bottom w:val="nil"/>
              <w:right w:val="single" w:color="000000" w:sz="4" w:space="0"/>
            </w:tcBorders>
            <w:noWrap w:val="0"/>
            <w:vAlign w:val="center"/>
          </w:tcPr>
          <w:p w14:paraId="2DB9769A">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责任单位</w:t>
            </w:r>
          </w:p>
        </w:tc>
        <w:tc>
          <w:tcPr>
            <w:tcW w:w="572" w:type="dxa"/>
            <w:vMerge w:val="restart"/>
            <w:tcBorders>
              <w:top w:val="nil"/>
              <w:left w:val="single" w:color="auto" w:sz="4" w:space="0"/>
              <w:bottom w:val="single" w:color="000000" w:sz="4" w:space="0"/>
              <w:right w:val="single" w:color="auto" w:sz="8" w:space="0"/>
            </w:tcBorders>
            <w:noWrap w:val="0"/>
            <w:vAlign w:val="bottom"/>
          </w:tcPr>
          <w:p w14:paraId="521A5C4E">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备注</w:t>
            </w:r>
          </w:p>
        </w:tc>
      </w:tr>
      <w:tr w14:paraId="007C24A4">
        <w:tblPrEx>
          <w:tblCellMar>
            <w:top w:w="0" w:type="dxa"/>
            <w:left w:w="108" w:type="dxa"/>
            <w:bottom w:w="0" w:type="dxa"/>
            <w:right w:w="108" w:type="dxa"/>
          </w:tblCellMar>
        </w:tblPrEx>
        <w:trPr>
          <w:trHeight w:val="45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57C5E2ED">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auto" w:sz="4" w:space="0"/>
              <w:right w:val="single" w:color="auto" w:sz="4" w:space="0"/>
            </w:tcBorders>
            <w:noWrap w:val="0"/>
            <w:vAlign w:val="center"/>
          </w:tcPr>
          <w:p w14:paraId="09241772">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2538" w:type="dxa"/>
            <w:vMerge w:val="continue"/>
            <w:tcBorders>
              <w:top w:val="nil"/>
              <w:left w:val="single" w:color="auto" w:sz="4" w:space="0"/>
              <w:bottom w:val="single" w:color="auto" w:sz="4" w:space="0"/>
              <w:right w:val="single" w:color="auto" w:sz="4" w:space="0"/>
            </w:tcBorders>
            <w:noWrap w:val="0"/>
            <w:vAlign w:val="center"/>
          </w:tcPr>
          <w:p w14:paraId="0FAE49A8">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724" w:type="dxa"/>
            <w:tcBorders>
              <w:top w:val="single" w:color="auto" w:sz="4" w:space="0"/>
              <w:left w:val="nil"/>
              <w:bottom w:val="single" w:color="auto" w:sz="4" w:space="0"/>
              <w:right w:val="single" w:color="auto" w:sz="4" w:space="0"/>
            </w:tcBorders>
            <w:noWrap w:val="0"/>
            <w:vAlign w:val="center"/>
          </w:tcPr>
          <w:p w14:paraId="060AD3C6">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扣当月分</w:t>
            </w:r>
          </w:p>
        </w:tc>
        <w:tc>
          <w:tcPr>
            <w:tcW w:w="850" w:type="dxa"/>
            <w:tcBorders>
              <w:top w:val="single" w:color="auto" w:sz="4" w:space="0"/>
              <w:left w:val="nil"/>
              <w:bottom w:val="single" w:color="auto" w:sz="4" w:space="0"/>
              <w:right w:val="single" w:color="auto" w:sz="4" w:space="0"/>
            </w:tcBorders>
            <w:noWrap w:val="0"/>
            <w:vAlign w:val="center"/>
          </w:tcPr>
          <w:p w14:paraId="636371C8">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扣年终分</w:t>
            </w:r>
          </w:p>
        </w:tc>
        <w:tc>
          <w:tcPr>
            <w:tcW w:w="2150" w:type="dxa"/>
            <w:tcBorders>
              <w:top w:val="single" w:color="auto" w:sz="4" w:space="0"/>
              <w:left w:val="nil"/>
              <w:bottom w:val="single" w:color="auto" w:sz="4" w:space="0"/>
              <w:right w:val="single" w:color="auto" w:sz="4" w:space="0"/>
            </w:tcBorders>
            <w:noWrap w:val="0"/>
            <w:vAlign w:val="center"/>
          </w:tcPr>
          <w:p w14:paraId="0C471119">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赔偿责任</w:t>
            </w:r>
          </w:p>
        </w:tc>
        <w:tc>
          <w:tcPr>
            <w:tcW w:w="572" w:type="dxa"/>
            <w:vMerge w:val="continue"/>
            <w:tcBorders>
              <w:top w:val="nil"/>
              <w:left w:val="single" w:color="auto" w:sz="4" w:space="0"/>
              <w:bottom w:val="single" w:color="000000" w:sz="4" w:space="0"/>
              <w:right w:val="single" w:color="auto" w:sz="8" w:space="0"/>
            </w:tcBorders>
            <w:noWrap w:val="0"/>
            <w:vAlign w:val="center"/>
          </w:tcPr>
          <w:p w14:paraId="45152D63">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r>
      <w:tr w14:paraId="6459845B">
        <w:tblPrEx>
          <w:tblCellMar>
            <w:top w:w="0" w:type="dxa"/>
            <w:left w:w="108" w:type="dxa"/>
            <w:bottom w:w="0" w:type="dxa"/>
            <w:right w:w="108" w:type="dxa"/>
          </w:tblCellMar>
        </w:tblPrEx>
        <w:trPr>
          <w:trHeight w:val="270" w:hRule="atLeast"/>
          <w:jc w:val="center"/>
        </w:trPr>
        <w:tc>
          <w:tcPr>
            <w:tcW w:w="778" w:type="dxa"/>
            <w:vMerge w:val="restart"/>
            <w:tcBorders>
              <w:top w:val="nil"/>
              <w:left w:val="single" w:color="auto" w:sz="8" w:space="0"/>
              <w:bottom w:val="single" w:color="auto" w:sz="4" w:space="0"/>
              <w:right w:val="single" w:color="auto" w:sz="4" w:space="0"/>
            </w:tcBorders>
            <w:noWrap w:val="0"/>
            <w:vAlign w:val="center"/>
          </w:tcPr>
          <w:p w14:paraId="68AA62A9">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案件</w:t>
            </w:r>
          </w:p>
        </w:tc>
        <w:tc>
          <w:tcPr>
            <w:tcW w:w="1581" w:type="dxa"/>
            <w:vMerge w:val="restart"/>
            <w:tcBorders>
              <w:top w:val="nil"/>
              <w:left w:val="single" w:color="auto" w:sz="4" w:space="0"/>
              <w:bottom w:val="single" w:color="000000" w:sz="4" w:space="0"/>
              <w:right w:val="single" w:color="auto" w:sz="4" w:space="0"/>
            </w:tcBorders>
            <w:noWrap w:val="0"/>
            <w:vAlign w:val="center"/>
          </w:tcPr>
          <w:p w14:paraId="0F828C2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贪污挪用、携款潜逃</w:t>
            </w:r>
          </w:p>
        </w:tc>
        <w:tc>
          <w:tcPr>
            <w:tcW w:w="2538" w:type="dxa"/>
            <w:tcBorders>
              <w:top w:val="nil"/>
              <w:left w:val="nil"/>
              <w:bottom w:val="single" w:color="auto" w:sz="4" w:space="0"/>
              <w:right w:val="single" w:color="auto" w:sz="4" w:space="0"/>
            </w:tcBorders>
            <w:noWrap w:val="0"/>
            <w:vAlign w:val="center"/>
          </w:tcPr>
          <w:p w14:paraId="128599B4">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1万元以下（含1万）</w:t>
            </w:r>
          </w:p>
        </w:tc>
        <w:tc>
          <w:tcPr>
            <w:tcW w:w="724" w:type="dxa"/>
            <w:tcBorders>
              <w:top w:val="nil"/>
              <w:left w:val="nil"/>
              <w:bottom w:val="single" w:color="auto" w:sz="4" w:space="0"/>
              <w:right w:val="single" w:color="auto" w:sz="4" w:space="0"/>
            </w:tcBorders>
            <w:noWrap w:val="0"/>
            <w:vAlign w:val="center"/>
          </w:tcPr>
          <w:p w14:paraId="6E8BC17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850" w:type="dxa"/>
            <w:tcBorders>
              <w:top w:val="nil"/>
              <w:left w:val="nil"/>
              <w:bottom w:val="single" w:color="auto" w:sz="4" w:space="0"/>
              <w:right w:val="single" w:color="auto" w:sz="4" w:space="0"/>
            </w:tcBorders>
            <w:noWrap w:val="0"/>
            <w:vAlign w:val="center"/>
          </w:tcPr>
          <w:p w14:paraId="52CB764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w:t>
            </w:r>
          </w:p>
        </w:tc>
        <w:tc>
          <w:tcPr>
            <w:tcW w:w="2150" w:type="dxa"/>
            <w:vMerge w:val="restart"/>
            <w:tcBorders>
              <w:top w:val="nil"/>
              <w:left w:val="single" w:color="auto" w:sz="4" w:space="0"/>
              <w:bottom w:val="single" w:color="000000" w:sz="4" w:space="0"/>
              <w:right w:val="single" w:color="auto" w:sz="4" w:space="0"/>
            </w:tcBorders>
            <w:noWrap w:val="0"/>
            <w:vAlign w:val="center"/>
          </w:tcPr>
          <w:p w14:paraId="44AA6101">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根据国家规定处理，并追究法律责任。赔偿所发生的直接和间接经济损失。</w:t>
            </w:r>
          </w:p>
        </w:tc>
        <w:tc>
          <w:tcPr>
            <w:tcW w:w="572" w:type="dxa"/>
            <w:vMerge w:val="restart"/>
            <w:tcBorders>
              <w:top w:val="nil"/>
              <w:left w:val="single" w:color="auto" w:sz="4" w:space="0"/>
              <w:bottom w:val="single" w:color="000000" w:sz="4" w:space="0"/>
              <w:right w:val="single" w:color="auto" w:sz="8" w:space="0"/>
            </w:tcBorders>
            <w:noWrap w:val="0"/>
            <w:vAlign w:val="center"/>
          </w:tcPr>
          <w:p w14:paraId="37C7650D">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3952E6D6">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0ACC18D6">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01E00ED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1DA2E601">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1-3（含3万）</w:t>
            </w:r>
          </w:p>
        </w:tc>
        <w:tc>
          <w:tcPr>
            <w:tcW w:w="724" w:type="dxa"/>
            <w:tcBorders>
              <w:top w:val="nil"/>
              <w:left w:val="nil"/>
              <w:bottom w:val="single" w:color="auto" w:sz="4" w:space="0"/>
              <w:right w:val="single" w:color="auto" w:sz="4" w:space="0"/>
            </w:tcBorders>
            <w:noWrap w:val="0"/>
            <w:vAlign w:val="center"/>
          </w:tcPr>
          <w:p w14:paraId="00F6BF3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850" w:type="dxa"/>
            <w:tcBorders>
              <w:top w:val="nil"/>
              <w:left w:val="nil"/>
              <w:bottom w:val="single" w:color="auto" w:sz="4" w:space="0"/>
              <w:right w:val="single" w:color="auto" w:sz="4" w:space="0"/>
            </w:tcBorders>
            <w:noWrap w:val="0"/>
            <w:vAlign w:val="center"/>
          </w:tcPr>
          <w:p w14:paraId="52DACDAD">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2</w:t>
            </w:r>
          </w:p>
        </w:tc>
        <w:tc>
          <w:tcPr>
            <w:tcW w:w="2150" w:type="dxa"/>
            <w:vMerge w:val="continue"/>
            <w:tcBorders>
              <w:top w:val="nil"/>
              <w:left w:val="single" w:color="auto" w:sz="4" w:space="0"/>
              <w:bottom w:val="single" w:color="000000" w:sz="4" w:space="0"/>
              <w:right w:val="single" w:color="auto" w:sz="4" w:space="0"/>
            </w:tcBorders>
            <w:noWrap w:val="0"/>
            <w:vAlign w:val="center"/>
          </w:tcPr>
          <w:p w14:paraId="358B891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05DD276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0EF82881">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4F2F5AD0">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138FC7E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55CA6D9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3-5（含5万）</w:t>
            </w:r>
          </w:p>
        </w:tc>
        <w:tc>
          <w:tcPr>
            <w:tcW w:w="724" w:type="dxa"/>
            <w:tcBorders>
              <w:top w:val="nil"/>
              <w:left w:val="nil"/>
              <w:bottom w:val="single" w:color="auto" w:sz="4" w:space="0"/>
              <w:right w:val="single" w:color="auto" w:sz="4" w:space="0"/>
            </w:tcBorders>
            <w:noWrap w:val="0"/>
            <w:vAlign w:val="center"/>
          </w:tcPr>
          <w:p w14:paraId="2D968F1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850" w:type="dxa"/>
            <w:tcBorders>
              <w:top w:val="nil"/>
              <w:left w:val="nil"/>
              <w:bottom w:val="single" w:color="auto" w:sz="4" w:space="0"/>
              <w:right w:val="single" w:color="auto" w:sz="4" w:space="0"/>
            </w:tcBorders>
            <w:noWrap w:val="0"/>
            <w:vAlign w:val="center"/>
          </w:tcPr>
          <w:p w14:paraId="4642A04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2150" w:type="dxa"/>
            <w:vMerge w:val="continue"/>
            <w:tcBorders>
              <w:top w:val="nil"/>
              <w:left w:val="single" w:color="auto" w:sz="4" w:space="0"/>
              <w:bottom w:val="single" w:color="000000" w:sz="4" w:space="0"/>
              <w:right w:val="single" w:color="auto" w:sz="4" w:space="0"/>
            </w:tcBorders>
            <w:noWrap w:val="0"/>
            <w:vAlign w:val="center"/>
          </w:tcPr>
          <w:p w14:paraId="4280A97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181C2A53">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0A8F5D6E">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055D6BAB">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0F63297C">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2951B46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5-10（含10万）</w:t>
            </w:r>
          </w:p>
        </w:tc>
        <w:tc>
          <w:tcPr>
            <w:tcW w:w="724" w:type="dxa"/>
            <w:tcBorders>
              <w:top w:val="nil"/>
              <w:left w:val="nil"/>
              <w:bottom w:val="single" w:color="auto" w:sz="4" w:space="0"/>
              <w:right w:val="single" w:color="auto" w:sz="4" w:space="0"/>
            </w:tcBorders>
            <w:noWrap w:val="0"/>
            <w:vAlign w:val="center"/>
          </w:tcPr>
          <w:p w14:paraId="016840A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6</w:t>
            </w:r>
          </w:p>
        </w:tc>
        <w:tc>
          <w:tcPr>
            <w:tcW w:w="850" w:type="dxa"/>
            <w:tcBorders>
              <w:top w:val="nil"/>
              <w:left w:val="nil"/>
              <w:bottom w:val="single" w:color="auto" w:sz="4" w:space="0"/>
              <w:right w:val="single" w:color="auto" w:sz="4" w:space="0"/>
            </w:tcBorders>
            <w:noWrap w:val="0"/>
            <w:vAlign w:val="center"/>
          </w:tcPr>
          <w:p w14:paraId="05186CC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2150" w:type="dxa"/>
            <w:vMerge w:val="continue"/>
            <w:tcBorders>
              <w:top w:val="nil"/>
              <w:left w:val="single" w:color="auto" w:sz="4" w:space="0"/>
              <w:bottom w:val="single" w:color="000000" w:sz="4" w:space="0"/>
              <w:right w:val="single" w:color="auto" w:sz="4" w:space="0"/>
            </w:tcBorders>
            <w:noWrap w:val="0"/>
            <w:vAlign w:val="center"/>
          </w:tcPr>
          <w:p w14:paraId="64822F53">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126BEB86">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74D51023">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3DFA9602">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2261FDC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63FEB206">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10万以上（不含10万）</w:t>
            </w:r>
          </w:p>
        </w:tc>
        <w:tc>
          <w:tcPr>
            <w:tcW w:w="724" w:type="dxa"/>
            <w:tcBorders>
              <w:top w:val="nil"/>
              <w:left w:val="nil"/>
              <w:bottom w:val="single" w:color="auto" w:sz="4" w:space="0"/>
              <w:right w:val="single" w:color="auto" w:sz="4" w:space="0"/>
            </w:tcBorders>
            <w:noWrap w:val="0"/>
            <w:vAlign w:val="center"/>
          </w:tcPr>
          <w:p w14:paraId="3688C01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850" w:type="dxa"/>
            <w:tcBorders>
              <w:top w:val="nil"/>
              <w:left w:val="nil"/>
              <w:bottom w:val="single" w:color="auto" w:sz="4" w:space="0"/>
              <w:right w:val="single" w:color="auto" w:sz="4" w:space="0"/>
            </w:tcBorders>
            <w:noWrap w:val="0"/>
            <w:vAlign w:val="center"/>
          </w:tcPr>
          <w:p w14:paraId="2A8DA90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2150" w:type="dxa"/>
            <w:vMerge w:val="continue"/>
            <w:tcBorders>
              <w:top w:val="nil"/>
              <w:left w:val="single" w:color="auto" w:sz="4" w:space="0"/>
              <w:bottom w:val="single" w:color="000000" w:sz="4" w:space="0"/>
              <w:right w:val="single" w:color="auto" w:sz="4" w:space="0"/>
            </w:tcBorders>
            <w:noWrap w:val="0"/>
            <w:vAlign w:val="center"/>
          </w:tcPr>
          <w:p w14:paraId="43AE072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34355B18">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1F84C267">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792D82D5">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restart"/>
            <w:tcBorders>
              <w:top w:val="nil"/>
              <w:left w:val="single" w:color="auto" w:sz="4" w:space="0"/>
              <w:bottom w:val="single" w:color="000000" w:sz="4" w:space="0"/>
              <w:right w:val="single" w:color="auto" w:sz="4" w:space="0"/>
            </w:tcBorders>
            <w:noWrap w:val="0"/>
            <w:vAlign w:val="center"/>
          </w:tcPr>
          <w:p w14:paraId="2199490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发生盗窃、抢劫（含有价卡证）</w:t>
            </w:r>
          </w:p>
        </w:tc>
        <w:tc>
          <w:tcPr>
            <w:tcW w:w="2538" w:type="dxa"/>
            <w:tcBorders>
              <w:top w:val="nil"/>
              <w:left w:val="nil"/>
              <w:bottom w:val="single" w:color="auto" w:sz="4" w:space="0"/>
              <w:right w:val="single" w:color="auto" w:sz="4" w:space="0"/>
            </w:tcBorders>
            <w:noWrap w:val="0"/>
            <w:vAlign w:val="center"/>
          </w:tcPr>
          <w:p w14:paraId="1D181A1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1万元以下（含1万）</w:t>
            </w:r>
          </w:p>
        </w:tc>
        <w:tc>
          <w:tcPr>
            <w:tcW w:w="724" w:type="dxa"/>
            <w:tcBorders>
              <w:top w:val="nil"/>
              <w:left w:val="nil"/>
              <w:bottom w:val="single" w:color="auto" w:sz="4" w:space="0"/>
              <w:right w:val="single" w:color="auto" w:sz="4" w:space="0"/>
            </w:tcBorders>
            <w:noWrap w:val="0"/>
            <w:vAlign w:val="center"/>
          </w:tcPr>
          <w:p w14:paraId="2F3CBA1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850" w:type="dxa"/>
            <w:tcBorders>
              <w:top w:val="nil"/>
              <w:left w:val="nil"/>
              <w:bottom w:val="single" w:color="auto" w:sz="4" w:space="0"/>
              <w:right w:val="single" w:color="auto" w:sz="4" w:space="0"/>
            </w:tcBorders>
            <w:noWrap w:val="0"/>
            <w:vAlign w:val="center"/>
          </w:tcPr>
          <w:p w14:paraId="15EF98E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w:t>
            </w:r>
          </w:p>
        </w:tc>
        <w:tc>
          <w:tcPr>
            <w:tcW w:w="2150" w:type="dxa"/>
            <w:vMerge w:val="restart"/>
            <w:tcBorders>
              <w:top w:val="nil"/>
              <w:left w:val="single" w:color="auto" w:sz="4" w:space="0"/>
              <w:bottom w:val="single" w:color="000000" w:sz="4" w:space="0"/>
              <w:right w:val="single" w:color="auto" w:sz="4" w:space="0"/>
            </w:tcBorders>
            <w:noWrap w:val="0"/>
            <w:vAlign w:val="center"/>
          </w:tcPr>
          <w:p w14:paraId="6CCB045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根据国家规定处理，并追究法律责任。赔偿所发生的直接和间接经济损失</w:t>
            </w:r>
          </w:p>
        </w:tc>
        <w:tc>
          <w:tcPr>
            <w:tcW w:w="572" w:type="dxa"/>
            <w:vMerge w:val="restart"/>
            <w:tcBorders>
              <w:top w:val="nil"/>
              <w:left w:val="single" w:color="auto" w:sz="4" w:space="0"/>
              <w:bottom w:val="single" w:color="000000" w:sz="4" w:space="0"/>
              <w:right w:val="single" w:color="auto" w:sz="8" w:space="0"/>
            </w:tcBorders>
            <w:noWrap w:val="0"/>
            <w:vAlign w:val="center"/>
          </w:tcPr>
          <w:p w14:paraId="40F8D51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0D4F08F1">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58EA94E5">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092539D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5AE06ED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1-3（含3万）</w:t>
            </w:r>
          </w:p>
        </w:tc>
        <w:tc>
          <w:tcPr>
            <w:tcW w:w="724" w:type="dxa"/>
            <w:tcBorders>
              <w:top w:val="nil"/>
              <w:left w:val="nil"/>
              <w:bottom w:val="single" w:color="auto" w:sz="4" w:space="0"/>
              <w:right w:val="single" w:color="auto" w:sz="4" w:space="0"/>
            </w:tcBorders>
            <w:noWrap w:val="0"/>
            <w:vAlign w:val="center"/>
          </w:tcPr>
          <w:p w14:paraId="3D52E62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850" w:type="dxa"/>
            <w:tcBorders>
              <w:top w:val="nil"/>
              <w:left w:val="nil"/>
              <w:bottom w:val="single" w:color="auto" w:sz="4" w:space="0"/>
              <w:right w:val="single" w:color="auto" w:sz="4" w:space="0"/>
            </w:tcBorders>
            <w:noWrap w:val="0"/>
            <w:vAlign w:val="center"/>
          </w:tcPr>
          <w:p w14:paraId="32B8928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2</w:t>
            </w:r>
          </w:p>
        </w:tc>
        <w:tc>
          <w:tcPr>
            <w:tcW w:w="2150" w:type="dxa"/>
            <w:vMerge w:val="continue"/>
            <w:tcBorders>
              <w:top w:val="nil"/>
              <w:left w:val="single" w:color="auto" w:sz="4" w:space="0"/>
              <w:bottom w:val="single" w:color="000000" w:sz="4" w:space="0"/>
              <w:right w:val="single" w:color="auto" w:sz="4" w:space="0"/>
            </w:tcBorders>
            <w:noWrap w:val="0"/>
            <w:vAlign w:val="center"/>
          </w:tcPr>
          <w:p w14:paraId="3D215F54">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2D153DF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61BD7E57">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426D09D1">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21D4875A">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405B73AA">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3-5（含5万）</w:t>
            </w:r>
          </w:p>
        </w:tc>
        <w:tc>
          <w:tcPr>
            <w:tcW w:w="724" w:type="dxa"/>
            <w:tcBorders>
              <w:top w:val="nil"/>
              <w:left w:val="nil"/>
              <w:bottom w:val="single" w:color="auto" w:sz="4" w:space="0"/>
              <w:right w:val="single" w:color="auto" w:sz="4" w:space="0"/>
            </w:tcBorders>
            <w:noWrap w:val="0"/>
            <w:vAlign w:val="center"/>
          </w:tcPr>
          <w:p w14:paraId="42EB533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850" w:type="dxa"/>
            <w:tcBorders>
              <w:top w:val="nil"/>
              <w:left w:val="nil"/>
              <w:bottom w:val="single" w:color="auto" w:sz="4" w:space="0"/>
              <w:right w:val="single" w:color="auto" w:sz="4" w:space="0"/>
            </w:tcBorders>
            <w:noWrap w:val="0"/>
            <w:vAlign w:val="center"/>
          </w:tcPr>
          <w:p w14:paraId="5350D46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2150" w:type="dxa"/>
            <w:vMerge w:val="continue"/>
            <w:tcBorders>
              <w:top w:val="nil"/>
              <w:left w:val="single" w:color="auto" w:sz="4" w:space="0"/>
              <w:bottom w:val="single" w:color="000000" w:sz="4" w:space="0"/>
              <w:right w:val="single" w:color="auto" w:sz="4" w:space="0"/>
            </w:tcBorders>
            <w:noWrap w:val="0"/>
            <w:vAlign w:val="center"/>
          </w:tcPr>
          <w:p w14:paraId="1EA8AFCA">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099B8AE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091D2580">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31AF4E9B">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63EDE573">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234D4F45">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5-10（含10万）</w:t>
            </w:r>
          </w:p>
        </w:tc>
        <w:tc>
          <w:tcPr>
            <w:tcW w:w="724" w:type="dxa"/>
            <w:tcBorders>
              <w:top w:val="nil"/>
              <w:left w:val="nil"/>
              <w:bottom w:val="single" w:color="auto" w:sz="4" w:space="0"/>
              <w:right w:val="single" w:color="auto" w:sz="4" w:space="0"/>
            </w:tcBorders>
            <w:noWrap w:val="0"/>
            <w:vAlign w:val="center"/>
          </w:tcPr>
          <w:p w14:paraId="75413B74">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6</w:t>
            </w:r>
          </w:p>
        </w:tc>
        <w:tc>
          <w:tcPr>
            <w:tcW w:w="850" w:type="dxa"/>
            <w:tcBorders>
              <w:top w:val="nil"/>
              <w:left w:val="nil"/>
              <w:bottom w:val="single" w:color="auto" w:sz="4" w:space="0"/>
              <w:right w:val="single" w:color="auto" w:sz="4" w:space="0"/>
            </w:tcBorders>
            <w:noWrap w:val="0"/>
            <w:vAlign w:val="center"/>
          </w:tcPr>
          <w:p w14:paraId="2DDE9F0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2150" w:type="dxa"/>
            <w:vMerge w:val="continue"/>
            <w:tcBorders>
              <w:top w:val="nil"/>
              <w:left w:val="single" w:color="auto" w:sz="4" w:space="0"/>
              <w:bottom w:val="single" w:color="000000" w:sz="4" w:space="0"/>
              <w:right w:val="single" w:color="auto" w:sz="4" w:space="0"/>
            </w:tcBorders>
            <w:noWrap w:val="0"/>
            <w:vAlign w:val="center"/>
          </w:tcPr>
          <w:p w14:paraId="2B7FE20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7047B1CE">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663B6330">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593EA6C7">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04FFF92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6F41125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10万以上（不含10万）</w:t>
            </w:r>
          </w:p>
        </w:tc>
        <w:tc>
          <w:tcPr>
            <w:tcW w:w="724" w:type="dxa"/>
            <w:tcBorders>
              <w:top w:val="nil"/>
              <w:left w:val="nil"/>
              <w:bottom w:val="single" w:color="auto" w:sz="4" w:space="0"/>
              <w:right w:val="single" w:color="auto" w:sz="4" w:space="0"/>
            </w:tcBorders>
            <w:noWrap w:val="0"/>
            <w:vAlign w:val="center"/>
          </w:tcPr>
          <w:p w14:paraId="2C3D7B6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850" w:type="dxa"/>
            <w:tcBorders>
              <w:top w:val="nil"/>
              <w:left w:val="nil"/>
              <w:bottom w:val="single" w:color="auto" w:sz="4" w:space="0"/>
              <w:right w:val="single" w:color="auto" w:sz="4" w:space="0"/>
            </w:tcBorders>
            <w:noWrap w:val="0"/>
            <w:vAlign w:val="center"/>
          </w:tcPr>
          <w:p w14:paraId="7CB62453">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2150" w:type="dxa"/>
            <w:vMerge w:val="continue"/>
            <w:tcBorders>
              <w:top w:val="nil"/>
              <w:left w:val="single" w:color="auto" w:sz="4" w:space="0"/>
              <w:bottom w:val="single" w:color="000000" w:sz="4" w:space="0"/>
              <w:right w:val="single" w:color="auto" w:sz="4" w:space="0"/>
            </w:tcBorders>
            <w:noWrap w:val="0"/>
            <w:vAlign w:val="center"/>
          </w:tcPr>
          <w:p w14:paraId="303CE5BD">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60AD05A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41E909F5">
        <w:tblPrEx>
          <w:tblCellMar>
            <w:top w:w="0" w:type="dxa"/>
            <w:left w:w="108" w:type="dxa"/>
            <w:bottom w:w="0" w:type="dxa"/>
            <w:right w:w="108" w:type="dxa"/>
          </w:tblCellMar>
        </w:tblPrEx>
        <w:trPr>
          <w:trHeight w:val="270" w:hRule="atLeast"/>
          <w:jc w:val="center"/>
        </w:trPr>
        <w:tc>
          <w:tcPr>
            <w:tcW w:w="778" w:type="dxa"/>
            <w:vMerge w:val="restart"/>
            <w:tcBorders>
              <w:top w:val="nil"/>
              <w:left w:val="single" w:color="auto" w:sz="8" w:space="0"/>
              <w:bottom w:val="single" w:color="auto" w:sz="4" w:space="0"/>
              <w:right w:val="single" w:color="auto" w:sz="4" w:space="0"/>
            </w:tcBorders>
            <w:noWrap w:val="0"/>
            <w:vAlign w:val="center"/>
          </w:tcPr>
          <w:p w14:paraId="520B72AF">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事故</w:t>
            </w:r>
          </w:p>
        </w:tc>
        <w:tc>
          <w:tcPr>
            <w:tcW w:w="1581" w:type="dxa"/>
            <w:vMerge w:val="restart"/>
            <w:tcBorders>
              <w:top w:val="nil"/>
              <w:left w:val="single" w:color="auto" w:sz="4" w:space="0"/>
              <w:bottom w:val="single" w:color="000000" w:sz="4" w:space="0"/>
              <w:right w:val="single" w:color="auto" w:sz="4" w:space="0"/>
            </w:tcBorders>
            <w:noWrap w:val="0"/>
            <w:vAlign w:val="center"/>
          </w:tcPr>
          <w:p w14:paraId="53CE8E4C">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设备、材料、仪器仪表、车辆等人为损失、丢失、失窃</w:t>
            </w:r>
          </w:p>
        </w:tc>
        <w:tc>
          <w:tcPr>
            <w:tcW w:w="2538" w:type="dxa"/>
            <w:tcBorders>
              <w:top w:val="nil"/>
              <w:left w:val="nil"/>
              <w:bottom w:val="single" w:color="auto" w:sz="4" w:space="0"/>
              <w:right w:val="single" w:color="auto" w:sz="4" w:space="0"/>
            </w:tcBorders>
            <w:noWrap w:val="0"/>
            <w:vAlign w:val="center"/>
          </w:tcPr>
          <w:p w14:paraId="2AB2E7C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1万元以下（含1万）</w:t>
            </w:r>
          </w:p>
        </w:tc>
        <w:tc>
          <w:tcPr>
            <w:tcW w:w="724" w:type="dxa"/>
            <w:tcBorders>
              <w:top w:val="nil"/>
              <w:left w:val="nil"/>
              <w:bottom w:val="single" w:color="auto" w:sz="4" w:space="0"/>
              <w:right w:val="single" w:color="auto" w:sz="4" w:space="0"/>
            </w:tcBorders>
            <w:noWrap w:val="0"/>
            <w:vAlign w:val="center"/>
          </w:tcPr>
          <w:p w14:paraId="44E1588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850" w:type="dxa"/>
            <w:tcBorders>
              <w:top w:val="nil"/>
              <w:left w:val="nil"/>
              <w:bottom w:val="single" w:color="auto" w:sz="4" w:space="0"/>
              <w:right w:val="single" w:color="auto" w:sz="4" w:space="0"/>
            </w:tcBorders>
            <w:noWrap w:val="0"/>
            <w:vAlign w:val="center"/>
          </w:tcPr>
          <w:p w14:paraId="50FC296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w:t>
            </w:r>
          </w:p>
        </w:tc>
        <w:tc>
          <w:tcPr>
            <w:tcW w:w="2150" w:type="dxa"/>
            <w:vMerge w:val="restart"/>
            <w:tcBorders>
              <w:top w:val="nil"/>
              <w:left w:val="single" w:color="auto" w:sz="4" w:space="0"/>
              <w:bottom w:val="single" w:color="000000" w:sz="4" w:space="0"/>
              <w:right w:val="single" w:color="auto" w:sz="4" w:space="0"/>
            </w:tcBorders>
            <w:noWrap w:val="0"/>
            <w:vAlign w:val="center"/>
          </w:tcPr>
          <w:p w14:paraId="2026800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根据国家规定处理，并视情节追究法律责任。赔偿所发生的直接和间接经济损失。</w:t>
            </w:r>
          </w:p>
        </w:tc>
        <w:tc>
          <w:tcPr>
            <w:tcW w:w="572" w:type="dxa"/>
            <w:vMerge w:val="restart"/>
            <w:tcBorders>
              <w:top w:val="nil"/>
              <w:left w:val="single" w:color="auto" w:sz="4" w:space="0"/>
              <w:bottom w:val="single" w:color="000000" w:sz="4" w:space="0"/>
              <w:right w:val="single" w:color="auto" w:sz="8" w:space="0"/>
            </w:tcBorders>
            <w:noWrap w:val="0"/>
            <w:vAlign w:val="center"/>
          </w:tcPr>
          <w:p w14:paraId="7377497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0A5B1EDB">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33241CE8">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2A22935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1EAFCD2E">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1-3（含3万）</w:t>
            </w:r>
          </w:p>
        </w:tc>
        <w:tc>
          <w:tcPr>
            <w:tcW w:w="724" w:type="dxa"/>
            <w:tcBorders>
              <w:top w:val="nil"/>
              <w:left w:val="nil"/>
              <w:bottom w:val="single" w:color="auto" w:sz="4" w:space="0"/>
              <w:right w:val="single" w:color="auto" w:sz="4" w:space="0"/>
            </w:tcBorders>
            <w:noWrap w:val="0"/>
            <w:vAlign w:val="center"/>
          </w:tcPr>
          <w:p w14:paraId="121967F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850" w:type="dxa"/>
            <w:tcBorders>
              <w:top w:val="nil"/>
              <w:left w:val="nil"/>
              <w:bottom w:val="single" w:color="auto" w:sz="4" w:space="0"/>
              <w:right w:val="single" w:color="auto" w:sz="4" w:space="0"/>
            </w:tcBorders>
            <w:noWrap w:val="0"/>
            <w:vAlign w:val="center"/>
          </w:tcPr>
          <w:p w14:paraId="7725189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2</w:t>
            </w:r>
          </w:p>
        </w:tc>
        <w:tc>
          <w:tcPr>
            <w:tcW w:w="2150" w:type="dxa"/>
            <w:vMerge w:val="continue"/>
            <w:tcBorders>
              <w:top w:val="nil"/>
              <w:left w:val="single" w:color="auto" w:sz="4" w:space="0"/>
              <w:bottom w:val="single" w:color="000000" w:sz="4" w:space="0"/>
              <w:right w:val="single" w:color="auto" w:sz="4" w:space="0"/>
            </w:tcBorders>
            <w:noWrap w:val="0"/>
            <w:vAlign w:val="center"/>
          </w:tcPr>
          <w:p w14:paraId="4C8C4C5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5C15A16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53614802">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4DD86A4C">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1B4E23D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43EE3598">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3-5（含5万）</w:t>
            </w:r>
          </w:p>
        </w:tc>
        <w:tc>
          <w:tcPr>
            <w:tcW w:w="724" w:type="dxa"/>
            <w:tcBorders>
              <w:top w:val="nil"/>
              <w:left w:val="nil"/>
              <w:bottom w:val="single" w:color="auto" w:sz="4" w:space="0"/>
              <w:right w:val="single" w:color="auto" w:sz="4" w:space="0"/>
            </w:tcBorders>
            <w:noWrap w:val="0"/>
            <w:vAlign w:val="center"/>
          </w:tcPr>
          <w:p w14:paraId="70C6690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850" w:type="dxa"/>
            <w:tcBorders>
              <w:top w:val="nil"/>
              <w:left w:val="nil"/>
              <w:bottom w:val="single" w:color="auto" w:sz="4" w:space="0"/>
              <w:right w:val="single" w:color="auto" w:sz="4" w:space="0"/>
            </w:tcBorders>
            <w:noWrap w:val="0"/>
            <w:vAlign w:val="center"/>
          </w:tcPr>
          <w:p w14:paraId="56C6238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3</w:t>
            </w:r>
          </w:p>
        </w:tc>
        <w:tc>
          <w:tcPr>
            <w:tcW w:w="2150" w:type="dxa"/>
            <w:vMerge w:val="continue"/>
            <w:tcBorders>
              <w:top w:val="nil"/>
              <w:left w:val="single" w:color="auto" w:sz="4" w:space="0"/>
              <w:bottom w:val="single" w:color="000000" w:sz="4" w:space="0"/>
              <w:right w:val="single" w:color="auto" w:sz="4" w:space="0"/>
            </w:tcBorders>
            <w:noWrap w:val="0"/>
            <w:vAlign w:val="center"/>
          </w:tcPr>
          <w:p w14:paraId="65F4991E">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5EB15455">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7A81CF58">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43DB0632">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357CA431">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105707D0">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5-10（含10万）</w:t>
            </w:r>
          </w:p>
        </w:tc>
        <w:tc>
          <w:tcPr>
            <w:tcW w:w="724" w:type="dxa"/>
            <w:tcBorders>
              <w:top w:val="nil"/>
              <w:left w:val="nil"/>
              <w:bottom w:val="single" w:color="auto" w:sz="4" w:space="0"/>
              <w:right w:val="single" w:color="auto" w:sz="4" w:space="0"/>
            </w:tcBorders>
            <w:noWrap w:val="0"/>
            <w:vAlign w:val="center"/>
          </w:tcPr>
          <w:p w14:paraId="727ADED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6</w:t>
            </w:r>
          </w:p>
        </w:tc>
        <w:tc>
          <w:tcPr>
            <w:tcW w:w="850" w:type="dxa"/>
            <w:tcBorders>
              <w:top w:val="nil"/>
              <w:left w:val="nil"/>
              <w:bottom w:val="single" w:color="auto" w:sz="4" w:space="0"/>
              <w:right w:val="single" w:color="auto" w:sz="4" w:space="0"/>
            </w:tcBorders>
            <w:noWrap w:val="0"/>
            <w:vAlign w:val="center"/>
          </w:tcPr>
          <w:p w14:paraId="27F8989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4</w:t>
            </w:r>
          </w:p>
        </w:tc>
        <w:tc>
          <w:tcPr>
            <w:tcW w:w="2150" w:type="dxa"/>
            <w:vMerge w:val="continue"/>
            <w:tcBorders>
              <w:top w:val="nil"/>
              <w:left w:val="single" w:color="auto" w:sz="4" w:space="0"/>
              <w:bottom w:val="single" w:color="000000" w:sz="4" w:space="0"/>
              <w:right w:val="single" w:color="auto" w:sz="4" w:space="0"/>
            </w:tcBorders>
            <w:noWrap w:val="0"/>
            <w:vAlign w:val="center"/>
          </w:tcPr>
          <w:p w14:paraId="11FBA0D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1CC27DFA">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7E7A49E2">
        <w:tblPrEx>
          <w:tblCellMar>
            <w:top w:w="0" w:type="dxa"/>
            <w:left w:w="108" w:type="dxa"/>
            <w:bottom w:w="0" w:type="dxa"/>
            <w:right w:w="108" w:type="dxa"/>
          </w:tblCellMar>
        </w:tblPrEx>
        <w:trPr>
          <w:trHeight w:val="270"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514A130F">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71D8175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10B458A8">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10万以上（不含10万）</w:t>
            </w:r>
          </w:p>
        </w:tc>
        <w:tc>
          <w:tcPr>
            <w:tcW w:w="724" w:type="dxa"/>
            <w:tcBorders>
              <w:top w:val="nil"/>
              <w:left w:val="nil"/>
              <w:bottom w:val="single" w:color="auto" w:sz="4" w:space="0"/>
              <w:right w:val="single" w:color="auto" w:sz="4" w:space="0"/>
            </w:tcBorders>
            <w:noWrap w:val="0"/>
            <w:vAlign w:val="center"/>
          </w:tcPr>
          <w:p w14:paraId="71652653">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850" w:type="dxa"/>
            <w:tcBorders>
              <w:top w:val="nil"/>
              <w:left w:val="nil"/>
              <w:bottom w:val="single" w:color="auto" w:sz="4" w:space="0"/>
              <w:right w:val="single" w:color="auto" w:sz="4" w:space="0"/>
            </w:tcBorders>
            <w:noWrap w:val="0"/>
            <w:vAlign w:val="center"/>
          </w:tcPr>
          <w:p w14:paraId="5CA5916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2150" w:type="dxa"/>
            <w:vMerge w:val="continue"/>
            <w:tcBorders>
              <w:top w:val="nil"/>
              <w:left w:val="single" w:color="auto" w:sz="4" w:space="0"/>
              <w:bottom w:val="single" w:color="000000" w:sz="4" w:space="0"/>
              <w:right w:val="single" w:color="auto" w:sz="4" w:space="0"/>
            </w:tcBorders>
            <w:noWrap w:val="0"/>
            <w:vAlign w:val="center"/>
          </w:tcPr>
          <w:p w14:paraId="0DB2202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1773121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6B2C3A9D">
        <w:tblPrEx>
          <w:tblCellMar>
            <w:top w:w="0" w:type="dxa"/>
            <w:left w:w="108" w:type="dxa"/>
            <w:bottom w:w="0" w:type="dxa"/>
            <w:right w:w="108" w:type="dxa"/>
          </w:tblCellMar>
        </w:tblPrEx>
        <w:trPr>
          <w:trHeight w:val="1035"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28676BFF">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tcBorders>
              <w:top w:val="nil"/>
              <w:left w:val="nil"/>
              <w:bottom w:val="nil"/>
              <w:right w:val="single" w:color="auto" w:sz="4" w:space="0"/>
            </w:tcBorders>
            <w:noWrap w:val="0"/>
            <w:vAlign w:val="center"/>
          </w:tcPr>
          <w:p w14:paraId="737168C8">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网络重大事故</w:t>
            </w:r>
          </w:p>
        </w:tc>
        <w:tc>
          <w:tcPr>
            <w:tcW w:w="2538" w:type="dxa"/>
            <w:tcBorders>
              <w:top w:val="nil"/>
              <w:left w:val="nil"/>
              <w:bottom w:val="nil"/>
              <w:right w:val="single" w:color="auto" w:sz="4" w:space="0"/>
            </w:tcBorders>
            <w:noWrap w:val="0"/>
            <w:vAlign w:val="center"/>
          </w:tcPr>
          <w:p w14:paraId="0DD0C5E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由于维护人员违规操作或误操作造成通信及相关业务阻断及故障处理超时</w:t>
            </w:r>
          </w:p>
        </w:tc>
        <w:tc>
          <w:tcPr>
            <w:tcW w:w="724" w:type="dxa"/>
            <w:tcBorders>
              <w:top w:val="nil"/>
              <w:left w:val="nil"/>
              <w:bottom w:val="single" w:color="auto" w:sz="4" w:space="0"/>
              <w:right w:val="single" w:color="auto" w:sz="4" w:space="0"/>
            </w:tcBorders>
            <w:noWrap w:val="0"/>
            <w:vAlign w:val="center"/>
          </w:tcPr>
          <w:p w14:paraId="3625051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850" w:type="dxa"/>
            <w:tcBorders>
              <w:top w:val="nil"/>
              <w:left w:val="nil"/>
              <w:bottom w:val="single" w:color="auto" w:sz="4" w:space="0"/>
              <w:right w:val="single" w:color="auto" w:sz="4" w:space="0"/>
            </w:tcBorders>
            <w:noWrap w:val="0"/>
            <w:vAlign w:val="center"/>
          </w:tcPr>
          <w:p w14:paraId="6151695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xml:space="preserve">8 </w:t>
            </w:r>
          </w:p>
        </w:tc>
        <w:tc>
          <w:tcPr>
            <w:tcW w:w="2150" w:type="dxa"/>
            <w:tcBorders>
              <w:top w:val="nil"/>
              <w:left w:val="nil"/>
              <w:bottom w:val="single" w:color="auto" w:sz="4" w:space="0"/>
              <w:right w:val="single" w:color="auto" w:sz="4" w:space="0"/>
            </w:tcBorders>
            <w:noWrap w:val="0"/>
            <w:vAlign w:val="center"/>
          </w:tcPr>
          <w:p w14:paraId="370EC74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根据国家规定处理；赔偿直接经济损失的</w:t>
            </w:r>
            <w:r>
              <w:rPr>
                <w:rFonts w:hint="eastAsia" w:ascii="宋体" w:hAnsi="宋体" w:cs="宋体"/>
                <w:color w:val="000000"/>
                <w:kern w:val="0"/>
                <w:sz w:val="18"/>
                <w:szCs w:val="18"/>
              </w:rPr>
              <w:t>30%，</w:t>
            </w:r>
            <w:r>
              <w:rPr>
                <w:rFonts w:hint="eastAsia" w:ascii="宋体" w:hAnsi="宋体" w:cs="宋体"/>
                <w:kern w:val="0"/>
                <w:sz w:val="18"/>
                <w:szCs w:val="18"/>
              </w:rPr>
              <w:t xml:space="preserve">并视相关情节追究法律责任 </w:t>
            </w:r>
          </w:p>
        </w:tc>
        <w:tc>
          <w:tcPr>
            <w:tcW w:w="572" w:type="dxa"/>
            <w:tcBorders>
              <w:top w:val="nil"/>
              <w:left w:val="nil"/>
              <w:bottom w:val="single" w:color="auto" w:sz="4" w:space="0"/>
              <w:right w:val="single" w:color="auto" w:sz="8" w:space="0"/>
            </w:tcBorders>
            <w:noWrap w:val="0"/>
            <w:vAlign w:val="center"/>
          </w:tcPr>
          <w:p w14:paraId="45AB8F45">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r>
      <w:tr w14:paraId="73A40165">
        <w:tblPrEx>
          <w:tblCellMar>
            <w:top w:w="0" w:type="dxa"/>
            <w:left w:w="108" w:type="dxa"/>
            <w:bottom w:w="0" w:type="dxa"/>
            <w:right w:w="108" w:type="dxa"/>
          </w:tblCellMar>
        </w:tblPrEx>
        <w:trPr>
          <w:trHeight w:val="1005"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5D2A9676">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tcBorders>
              <w:top w:val="single" w:color="auto" w:sz="4" w:space="0"/>
              <w:left w:val="nil"/>
              <w:bottom w:val="nil"/>
              <w:right w:val="single" w:color="auto" w:sz="4" w:space="0"/>
            </w:tcBorders>
            <w:noWrap w:val="0"/>
            <w:vAlign w:val="center"/>
          </w:tcPr>
          <w:p w14:paraId="60BD4FA5">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施工重大事故</w:t>
            </w:r>
          </w:p>
        </w:tc>
        <w:tc>
          <w:tcPr>
            <w:tcW w:w="2538" w:type="dxa"/>
            <w:tcBorders>
              <w:top w:val="single" w:color="auto" w:sz="4" w:space="0"/>
              <w:left w:val="nil"/>
              <w:bottom w:val="nil"/>
              <w:right w:val="single" w:color="auto" w:sz="4" w:space="0"/>
            </w:tcBorders>
            <w:noWrap w:val="0"/>
            <w:vAlign w:val="center"/>
          </w:tcPr>
          <w:p w14:paraId="50B7A18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由于施工人员违规操作或误操作造成通信设备故障</w:t>
            </w:r>
          </w:p>
        </w:tc>
        <w:tc>
          <w:tcPr>
            <w:tcW w:w="724" w:type="dxa"/>
            <w:tcBorders>
              <w:top w:val="nil"/>
              <w:left w:val="nil"/>
              <w:bottom w:val="single" w:color="auto" w:sz="4" w:space="0"/>
              <w:right w:val="single" w:color="auto" w:sz="4" w:space="0"/>
            </w:tcBorders>
            <w:noWrap w:val="0"/>
            <w:vAlign w:val="center"/>
          </w:tcPr>
          <w:p w14:paraId="1FD0230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xml:space="preserve">8 </w:t>
            </w:r>
          </w:p>
        </w:tc>
        <w:tc>
          <w:tcPr>
            <w:tcW w:w="850" w:type="dxa"/>
            <w:tcBorders>
              <w:top w:val="nil"/>
              <w:left w:val="nil"/>
              <w:bottom w:val="single" w:color="auto" w:sz="4" w:space="0"/>
              <w:right w:val="single" w:color="auto" w:sz="4" w:space="0"/>
            </w:tcBorders>
            <w:noWrap w:val="0"/>
            <w:vAlign w:val="center"/>
          </w:tcPr>
          <w:p w14:paraId="42A41CE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2150" w:type="dxa"/>
            <w:tcBorders>
              <w:top w:val="nil"/>
              <w:left w:val="nil"/>
              <w:bottom w:val="single" w:color="auto" w:sz="4" w:space="0"/>
              <w:right w:val="single" w:color="auto" w:sz="4" w:space="0"/>
            </w:tcBorders>
            <w:noWrap w:val="0"/>
            <w:vAlign w:val="center"/>
          </w:tcPr>
          <w:p w14:paraId="760D231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根据国家规定处理；赔偿直接经济损失的</w:t>
            </w:r>
            <w:r>
              <w:rPr>
                <w:rFonts w:hint="eastAsia" w:ascii="宋体" w:hAnsi="宋体" w:cs="宋体"/>
                <w:color w:val="000000"/>
                <w:kern w:val="0"/>
                <w:sz w:val="18"/>
                <w:szCs w:val="18"/>
              </w:rPr>
              <w:t>20%，</w:t>
            </w:r>
            <w:r>
              <w:rPr>
                <w:rFonts w:hint="eastAsia" w:ascii="宋体" w:hAnsi="宋体" w:cs="宋体"/>
                <w:kern w:val="0"/>
                <w:sz w:val="18"/>
                <w:szCs w:val="18"/>
              </w:rPr>
              <w:t xml:space="preserve">并视相关情节追究法律责任 </w:t>
            </w:r>
          </w:p>
        </w:tc>
        <w:tc>
          <w:tcPr>
            <w:tcW w:w="572" w:type="dxa"/>
            <w:tcBorders>
              <w:top w:val="nil"/>
              <w:left w:val="nil"/>
              <w:bottom w:val="single" w:color="auto" w:sz="4" w:space="0"/>
              <w:right w:val="single" w:color="auto" w:sz="8" w:space="0"/>
            </w:tcBorders>
            <w:noWrap w:val="0"/>
            <w:vAlign w:val="center"/>
          </w:tcPr>
          <w:p w14:paraId="30D8F0C7">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r>
      <w:tr w14:paraId="2D3A3752">
        <w:tblPrEx>
          <w:tblCellMar>
            <w:top w:w="0" w:type="dxa"/>
            <w:left w:w="108" w:type="dxa"/>
            <w:bottom w:w="0" w:type="dxa"/>
            <w:right w:w="108" w:type="dxa"/>
          </w:tblCellMar>
        </w:tblPrEx>
        <w:trPr>
          <w:trHeight w:val="345" w:hRule="atLeast"/>
          <w:jc w:val="center"/>
        </w:trPr>
        <w:tc>
          <w:tcPr>
            <w:tcW w:w="778" w:type="dxa"/>
            <w:vMerge w:val="restart"/>
            <w:tcBorders>
              <w:top w:val="nil"/>
              <w:left w:val="single" w:color="auto" w:sz="8" w:space="0"/>
              <w:bottom w:val="single" w:color="auto" w:sz="4" w:space="0"/>
              <w:right w:val="single" w:color="auto" w:sz="4" w:space="0"/>
            </w:tcBorders>
            <w:noWrap w:val="0"/>
            <w:vAlign w:val="center"/>
          </w:tcPr>
          <w:p w14:paraId="052155B4">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火灾事故</w:t>
            </w:r>
          </w:p>
        </w:tc>
        <w:tc>
          <w:tcPr>
            <w:tcW w:w="1581" w:type="dxa"/>
            <w:vMerge w:val="restart"/>
            <w:tcBorders>
              <w:top w:val="single" w:color="auto" w:sz="4" w:space="0"/>
              <w:left w:val="single" w:color="auto" w:sz="4" w:space="0"/>
              <w:bottom w:val="single" w:color="auto" w:sz="4" w:space="0"/>
              <w:right w:val="single" w:color="auto" w:sz="4" w:space="0"/>
            </w:tcBorders>
            <w:noWrap w:val="0"/>
            <w:vAlign w:val="center"/>
          </w:tcPr>
          <w:p w14:paraId="024D368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违规操作或工作失误造成生产、经营、施工、维护、办公场地</w:t>
            </w:r>
          </w:p>
        </w:tc>
        <w:tc>
          <w:tcPr>
            <w:tcW w:w="2538" w:type="dxa"/>
            <w:tcBorders>
              <w:top w:val="single" w:color="auto" w:sz="4" w:space="0"/>
              <w:left w:val="nil"/>
              <w:bottom w:val="single" w:color="auto" w:sz="4" w:space="0"/>
              <w:right w:val="single" w:color="auto" w:sz="4" w:space="0"/>
            </w:tcBorders>
            <w:noWrap w:val="0"/>
            <w:vAlign w:val="center"/>
          </w:tcPr>
          <w:p w14:paraId="43FB6C44">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10万元以下（含10万）</w:t>
            </w:r>
          </w:p>
        </w:tc>
        <w:tc>
          <w:tcPr>
            <w:tcW w:w="724" w:type="dxa"/>
            <w:tcBorders>
              <w:top w:val="nil"/>
              <w:left w:val="nil"/>
              <w:bottom w:val="single" w:color="auto" w:sz="4" w:space="0"/>
              <w:right w:val="single" w:color="auto" w:sz="4" w:space="0"/>
            </w:tcBorders>
            <w:noWrap w:val="0"/>
            <w:vAlign w:val="center"/>
          </w:tcPr>
          <w:p w14:paraId="3A1E324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6</w:t>
            </w:r>
          </w:p>
        </w:tc>
        <w:tc>
          <w:tcPr>
            <w:tcW w:w="850" w:type="dxa"/>
            <w:tcBorders>
              <w:top w:val="nil"/>
              <w:left w:val="nil"/>
              <w:bottom w:val="single" w:color="auto" w:sz="4" w:space="0"/>
              <w:right w:val="single" w:color="auto" w:sz="4" w:space="0"/>
            </w:tcBorders>
            <w:noWrap w:val="0"/>
            <w:vAlign w:val="center"/>
          </w:tcPr>
          <w:p w14:paraId="207E4F91">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6</w:t>
            </w:r>
          </w:p>
        </w:tc>
        <w:tc>
          <w:tcPr>
            <w:tcW w:w="2150" w:type="dxa"/>
            <w:vMerge w:val="restart"/>
            <w:tcBorders>
              <w:top w:val="nil"/>
              <w:left w:val="single" w:color="auto" w:sz="4" w:space="0"/>
              <w:bottom w:val="single" w:color="auto" w:sz="4" w:space="0"/>
              <w:right w:val="single" w:color="auto" w:sz="4" w:space="0"/>
            </w:tcBorders>
            <w:noWrap w:val="0"/>
            <w:vAlign w:val="center"/>
          </w:tcPr>
          <w:p w14:paraId="49E2F2DC">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根据国家规定处理；追究法律责任。</w:t>
            </w:r>
            <w:r>
              <w:rPr>
                <w:rFonts w:hint="eastAsia" w:ascii="宋体" w:hAnsi="宋体" w:cs="宋体"/>
                <w:color w:val="000000"/>
                <w:kern w:val="0"/>
                <w:sz w:val="18"/>
                <w:szCs w:val="18"/>
              </w:rPr>
              <w:t>赔偿所发生的直接和间接经济损失</w:t>
            </w:r>
          </w:p>
        </w:tc>
        <w:tc>
          <w:tcPr>
            <w:tcW w:w="572" w:type="dxa"/>
            <w:vMerge w:val="restart"/>
            <w:tcBorders>
              <w:top w:val="nil"/>
              <w:left w:val="single" w:color="auto" w:sz="4" w:space="0"/>
              <w:bottom w:val="single" w:color="000000" w:sz="4" w:space="0"/>
              <w:right w:val="single" w:color="auto" w:sz="8" w:space="0"/>
            </w:tcBorders>
            <w:noWrap w:val="0"/>
            <w:vAlign w:val="center"/>
          </w:tcPr>
          <w:p w14:paraId="4D37C47F">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225110BD">
        <w:tblPrEx>
          <w:tblCellMar>
            <w:top w:w="0" w:type="dxa"/>
            <w:left w:w="108" w:type="dxa"/>
            <w:bottom w:w="0" w:type="dxa"/>
            <w:right w:w="108" w:type="dxa"/>
          </w:tblCellMar>
        </w:tblPrEx>
        <w:trPr>
          <w:trHeight w:val="345"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4786B779">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single" w:color="auto" w:sz="4" w:space="0"/>
              <w:left w:val="single" w:color="auto" w:sz="4" w:space="0"/>
              <w:bottom w:val="single" w:color="auto" w:sz="4" w:space="0"/>
              <w:right w:val="single" w:color="auto" w:sz="4" w:space="0"/>
            </w:tcBorders>
            <w:noWrap w:val="0"/>
            <w:vAlign w:val="center"/>
          </w:tcPr>
          <w:p w14:paraId="3B7207E4">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4ED4A3ED">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10-30万元（含30万）</w:t>
            </w:r>
          </w:p>
        </w:tc>
        <w:tc>
          <w:tcPr>
            <w:tcW w:w="724" w:type="dxa"/>
            <w:tcBorders>
              <w:top w:val="nil"/>
              <w:left w:val="nil"/>
              <w:bottom w:val="single" w:color="auto" w:sz="4" w:space="0"/>
              <w:right w:val="single" w:color="auto" w:sz="4" w:space="0"/>
            </w:tcBorders>
            <w:noWrap w:val="0"/>
            <w:vAlign w:val="center"/>
          </w:tcPr>
          <w:p w14:paraId="4833457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850" w:type="dxa"/>
            <w:tcBorders>
              <w:top w:val="nil"/>
              <w:left w:val="nil"/>
              <w:bottom w:val="single" w:color="auto" w:sz="4" w:space="0"/>
              <w:right w:val="single" w:color="auto" w:sz="4" w:space="0"/>
            </w:tcBorders>
            <w:noWrap w:val="0"/>
            <w:vAlign w:val="center"/>
          </w:tcPr>
          <w:p w14:paraId="73F06C1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8</w:t>
            </w:r>
          </w:p>
        </w:tc>
        <w:tc>
          <w:tcPr>
            <w:tcW w:w="2150" w:type="dxa"/>
            <w:vMerge w:val="continue"/>
            <w:tcBorders>
              <w:top w:val="nil"/>
              <w:left w:val="single" w:color="auto" w:sz="4" w:space="0"/>
              <w:bottom w:val="single" w:color="auto" w:sz="4" w:space="0"/>
              <w:right w:val="single" w:color="auto" w:sz="4" w:space="0"/>
            </w:tcBorders>
            <w:noWrap w:val="0"/>
            <w:vAlign w:val="center"/>
          </w:tcPr>
          <w:p w14:paraId="264891A3">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252FDD9D">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25EA83FB">
        <w:tblPrEx>
          <w:tblCellMar>
            <w:top w:w="0" w:type="dxa"/>
            <w:left w:w="108" w:type="dxa"/>
            <w:bottom w:w="0" w:type="dxa"/>
            <w:right w:w="108" w:type="dxa"/>
          </w:tblCellMar>
        </w:tblPrEx>
        <w:trPr>
          <w:trHeight w:val="345" w:hRule="atLeast"/>
          <w:jc w:val="center"/>
        </w:trPr>
        <w:tc>
          <w:tcPr>
            <w:tcW w:w="778" w:type="dxa"/>
            <w:vMerge w:val="continue"/>
            <w:tcBorders>
              <w:top w:val="nil"/>
              <w:left w:val="single" w:color="auto" w:sz="8" w:space="0"/>
              <w:bottom w:val="single" w:color="auto" w:sz="4" w:space="0"/>
              <w:right w:val="single" w:color="auto" w:sz="4" w:space="0"/>
            </w:tcBorders>
            <w:noWrap w:val="0"/>
            <w:vAlign w:val="center"/>
          </w:tcPr>
          <w:p w14:paraId="3FD067C9">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single" w:color="auto" w:sz="4" w:space="0"/>
              <w:left w:val="single" w:color="auto" w:sz="4" w:space="0"/>
              <w:bottom w:val="single" w:color="auto" w:sz="4" w:space="0"/>
              <w:right w:val="single" w:color="auto" w:sz="4" w:space="0"/>
            </w:tcBorders>
            <w:noWrap w:val="0"/>
            <w:vAlign w:val="center"/>
          </w:tcPr>
          <w:p w14:paraId="63685DF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37042289">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30万元以上</w:t>
            </w:r>
          </w:p>
        </w:tc>
        <w:tc>
          <w:tcPr>
            <w:tcW w:w="724" w:type="dxa"/>
            <w:tcBorders>
              <w:top w:val="nil"/>
              <w:left w:val="nil"/>
              <w:bottom w:val="single" w:color="auto" w:sz="4" w:space="0"/>
              <w:right w:val="single" w:color="auto" w:sz="4" w:space="0"/>
            </w:tcBorders>
            <w:noWrap w:val="0"/>
            <w:vAlign w:val="center"/>
          </w:tcPr>
          <w:p w14:paraId="41C0DE61">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10</w:t>
            </w:r>
          </w:p>
        </w:tc>
        <w:tc>
          <w:tcPr>
            <w:tcW w:w="850" w:type="dxa"/>
            <w:tcBorders>
              <w:top w:val="nil"/>
              <w:left w:val="nil"/>
              <w:bottom w:val="single" w:color="auto" w:sz="4" w:space="0"/>
              <w:right w:val="single" w:color="auto" w:sz="4" w:space="0"/>
            </w:tcBorders>
            <w:noWrap w:val="0"/>
            <w:vAlign w:val="center"/>
          </w:tcPr>
          <w:p w14:paraId="0B90D48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10</w:t>
            </w:r>
          </w:p>
        </w:tc>
        <w:tc>
          <w:tcPr>
            <w:tcW w:w="2150" w:type="dxa"/>
            <w:vMerge w:val="continue"/>
            <w:tcBorders>
              <w:top w:val="nil"/>
              <w:left w:val="single" w:color="auto" w:sz="4" w:space="0"/>
              <w:bottom w:val="single" w:color="auto" w:sz="4" w:space="0"/>
              <w:right w:val="single" w:color="auto" w:sz="4" w:space="0"/>
            </w:tcBorders>
            <w:noWrap w:val="0"/>
            <w:vAlign w:val="center"/>
          </w:tcPr>
          <w:p w14:paraId="091FBEFD">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68C211A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0CAB3453">
        <w:tblPrEx>
          <w:tblCellMar>
            <w:top w:w="0" w:type="dxa"/>
            <w:left w:w="108" w:type="dxa"/>
            <w:bottom w:w="0" w:type="dxa"/>
            <w:right w:w="108" w:type="dxa"/>
          </w:tblCellMar>
        </w:tblPrEx>
        <w:trPr>
          <w:trHeight w:val="570" w:hRule="atLeast"/>
          <w:jc w:val="center"/>
        </w:trPr>
        <w:tc>
          <w:tcPr>
            <w:tcW w:w="778" w:type="dxa"/>
            <w:vMerge w:val="restart"/>
            <w:tcBorders>
              <w:top w:val="nil"/>
              <w:left w:val="single" w:color="auto" w:sz="8" w:space="0"/>
              <w:bottom w:val="single" w:color="000000" w:sz="4" w:space="0"/>
              <w:right w:val="single" w:color="auto" w:sz="4" w:space="0"/>
            </w:tcBorders>
            <w:noWrap w:val="0"/>
            <w:vAlign w:val="center"/>
          </w:tcPr>
          <w:p w14:paraId="2EDBE16D">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人身伤亡事故</w:t>
            </w:r>
          </w:p>
        </w:tc>
        <w:tc>
          <w:tcPr>
            <w:tcW w:w="1581" w:type="dxa"/>
            <w:tcBorders>
              <w:top w:val="nil"/>
              <w:left w:val="nil"/>
              <w:bottom w:val="single" w:color="auto" w:sz="4" w:space="0"/>
              <w:right w:val="single" w:color="auto" w:sz="4" w:space="0"/>
            </w:tcBorders>
            <w:noWrap w:val="0"/>
            <w:vAlign w:val="center"/>
          </w:tcPr>
          <w:p w14:paraId="5AD7821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违规操作或工作失误造成人身伤害</w:t>
            </w:r>
          </w:p>
        </w:tc>
        <w:tc>
          <w:tcPr>
            <w:tcW w:w="2538" w:type="dxa"/>
            <w:tcBorders>
              <w:top w:val="nil"/>
              <w:left w:val="nil"/>
              <w:bottom w:val="single" w:color="auto" w:sz="4" w:space="0"/>
              <w:right w:val="single" w:color="auto" w:sz="4" w:space="0"/>
            </w:tcBorders>
            <w:noWrap w:val="0"/>
            <w:vAlign w:val="center"/>
          </w:tcPr>
          <w:p w14:paraId="5D2B512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发生一起</w:t>
            </w:r>
          </w:p>
        </w:tc>
        <w:tc>
          <w:tcPr>
            <w:tcW w:w="724" w:type="dxa"/>
            <w:tcBorders>
              <w:top w:val="nil"/>
              <w:left w:val="nil"/>
              <w:bottom w:val="single" w:color="auto" w:sz="4" w:space="0"/>
              <w:right w:val="single" w:color="auto" w:sz="4" w:space="0"/>
            </w:tcBorders>
            <w:noWrap w:val="0"/>
            <w:vAlign w:val="center"/>
          </w:tcPr>
          <w:p w14:paraId="5D16AF2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2-5</w:t>
            </w:r>
          </w:p>
        </w:tc>
        <w:tc>
          <w:tcPr>
            <w:tcW w:w="850" w:type="dxa"/>
            <w:tcBorders>
              <w:top w:val="nil"/>
              <w:left w:val="nil"/>
              <w:bottom w:val="single" w:color="auto" w:sz="4" w:space="0"/>
              <w:right w:val="single" w:color="auto" w:sz="4" w:space="0"/>
            </w:tcBorders>
            <w:noWrap w:val="0"/>
            <w:vAlign w:val="center"/>
          </w:tcPr>
          <w:p w14:paraId="7F109E1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2150" w:type="dxa"/>
            <w:vMerge w:val="restart"/>
            <w:tcBorders>
              <w:top w:val="nil"/>
              <w:left w:val="single" w:color="auto" w:sz="4" w:space="0"/>
              <w:bottom w:val="single" w:color="auto" w:sz="4" w:space="0"/>
              <w:right w:val="single" w:color="auto" w:sz="4" w:space="0"/>
            </w:tcBorders>
            <w:noWrap w:val="0"/>
            <w:vAlign w:val="center"/>
          </w:tcPr>
          <w:p w14:paraId="4B888C31">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根据国家</w:t>
            </w:r>
            <w:r>
              <w:rPr>
                <w:rFonts w:hint="eastAsia" w:ascii="宋体" w:hAnsi="宋体" w:cs="宋体"/>
                <w:color w:val="000000"/>
                <w:kern w:val="0"/>
                <w:sz w:val="18"/>
                <w:szCs w:val="18"/>
              </w:rPr>
              <w:t>规定</w:t>
            </w:r>
            <w:r>
              <w:rPr>
                <w:rFonts w:hint="eastAsia" w:ascii="宋体" w:hAnsi="宋体" w:cs="宋体"/>
                <w:kern w:val="0"/>
                <w:sz w:val="18"/>
                <w:szCs w:val="18"/>
              </w:rPr>
              <w:t>处理，并追究法律责任；赔偿所发生的直接和间接经济损失</w:t>
            </w:r>
          </w:p>
        </w:tc>
        <w:tc>
          <w:tcPr>
            <w:tcW w:w="572" w:type="dxa"/>
            <w:vMerge w:val="restart"/>
            <w:tcBorders>
              <w:top w:val="nil"/>
              <w:left w:val="single" w:color="auto" w:sz="4" w:space="0"/>
              <w:bottom w:val="single" w:color="000000" w:sz="4" w:space="0"/>
              <w:right w:val="single" w:color="auto" w:sz="8" w:space="0"/>
            </w:tcBorders>
            <w:noWrap w:val="0"/>
            <w:vAlign w:val="center"/>
          </w:tcPr>
          <w:p w14:paraId="215A619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r>
      <w:tr w14:paraId="5B80A938">
        <w:tblPrEx>
          <w:tblCellMar>
            <w:top w:w="0" w:type="dxa"/>
            <w:left w:w="108" w:type="dxa"/>
            <w:bottom w:w="0" w:type="dxa"/>
            <w:right w:w="108" w:type="dxa"/>
          </w:tblCellMar>
        </w:tblPrEx>
        <w:trPr>
          <w:trHeight w:val="525" w:hRule="atLeast"/>
          <w:jc w:val="center"/>
        </w:trPr>
        <w:tc>
          <w:tcPr>
            <w:tcW w:w="778" w:type="dxa"/>
            <w:vMerge w:val="continue"/>
            <w:tcBorders>
              <w:top w:val="nil"/>
              <w:left w:val="single" w:color="auto" w:sz="8" w:space="0"/>
              <w:bottom w:val="single" w:color="000000" w:sz="4" w:space="0"/>
              <w:right w:val="single" w:color="auto" w:sz="4" w:space="0"/>
            </w:tcBorders>
            <w:noWrap w:val="0"/>
            <w:vAlign w:val="center"/>
          </w:tcPr>
          <w:p w14:paraId="72CEE315">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tcBorders>
              <w:top w:val="nil"/>
              <w:left w:val="nil"/>
              <w:bottom w:val="single" w:color="auto" w:sz="4" w:space="0"/>
              <w:right w:val="single" w:color="auto" w:sz="4" w:space="0"/>
            </w:tcBorders>
            <w:noWrap w:val="0"/>
            <w:vAlign w:val="center"/>
          </w:tcPr>
          <w:p w14:paraId="51B4AF7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违规操作或工作失误造成因工责任死亡</w:t>
            </w:r>
          </w:p>
        </w:tc>
        <w:tc>
          <w:tcPr>
            <w:tcW w:w="2538" w:type="dxa"/>
            <w:tcBorders>
              <w:top w:val="nil"/>
              <w:left w:val="nil"/>
              <w:bottom w:val="single" w:color="auto" w:sz="4" w:space="0"/>
              <w:right w:val="single" w:color="auto" w:sz="4" w:space="0"/>
            </w:tcBorders>
            <w:noWrap w:val="0"/>
            <w:vAlign w:val="center"/>
          </w:tcPr>
          <w:p w14:paraId="23C8AD4C">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发生一起</w:t>
            </w:r>
          </w:p>
        </w:tc>
        <w:tc>
          <w:tcPr>
            <w:tcW w:w="724" w:type="dxa"/>
            <w:tcBorders>
              <w:top w:val="nil"/>
              <w:left w:val="nil"/>
              <w:bottom w:val="single" w:color="auto" w:sz="4" w:space="0"/>
              <w:right w:val="single" w:color="auto" w:sz="4" w:space="0"/>
            </w:tcBorders>
            <w:noWrap w:val="0"/>
            <w:vAlign w:val="center"/>
          </w:tcPr>
          <w:p w14:paraId="557E2FA0">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10</w:t>
            </w:r>
          </w:p>
        </w:tc>
        <w:tc>
          <w:tcPr>
            <w:tcW w:w="850" w:type="dxa"/>
            <w:tcBorders>
              <w:top w:val="nil"/>
              <w:left w:val="nil"/>
              <w:bottom w:val="single" w:color="auto" w:sz="4" w:space="0"/>
              <w:right w:val="single" w:color="auto" w:sz="4" w:space="0"/>
            </w:tcBorders>
            <w:noWrap w:val="0"/>
            <w:vAlign w:val="center"/>
          </w:tcPr>
          <w:p w14:paraId="72D8B0C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10</w:t>
            </w:r>
          </w:p>
        </w:tc>
        <w:tc>
          <w:tcPr>
            <w:tcW w:w="2150" w:type="dxa"/>
            <w:vMerge w:val="continue"/>
            <w:tcBorders>
              <w:top w:val="nil"/>
              <w:left w:val="single" w:color="auto" w:sz="4" w:space="0"/>
              <w:bottom w:val="single" w:color="auto" w:sz="4" w:space="0"/>
              <w:right w:val="single" w:color="auto" w:sz="4" w:space="0"/>
            </w:tcBorders>
            <w:noWrap w:val="0"/>
            <w:vAlign w:val="center"/>
          </w:tcPr>
          <w:p w14:paraId="2D5D591E">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572" w:type="dxa"/>
            <w:vMerge w:val="continue"/>
            <w:tcBorders>
              <w:top w:val="nil"/>
              <w:left w:val="single" w:color="auto" w:sz="4" w:space="0"/>
              <w:bottom w:val="single" w:color="000000" w:sz="4" w:space="0"/>
              <w:right w:val="single" w:color="auto" w:sz="8" w:space="0"/>
            </w:tcBorders>
            <w:noWrap w:val="0"/>
            <w:vAlign w:val="center"/>
          </w:tcPr>
          <w:p w14:paraId="1626DC1E">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r>
      <w:tr w14:paraId="61F0594F">
        <w:tblPrEx>
          <w:tblCellMar>
            <w:top w:w="0" w:type="dxa"/>
            <w:left w:w="108" w:type="dxa"/>
            <w:bottom w:w="0" w:type="dxa"/>
            <w:right w:w="108" w:type="dxa"/>
          </w:tblCellMar>
        </w:tblPrEx>
        <w:trPr>
          <w:trHeight w:val="294" w:hRule="atLeast"/>
          <w:jc w:val="center"/>
        </w:trPr>
        <w:tc>
          <w:tcPr>
            <w:tcW w:w="778" w:type="dxa"/>
            <w:vMerge w:val="restart"/>
            <w:tcBorders>
              <w:top w:val="nil"/>
              <w:left w:val="single" w:color="auto" w:sz="8" w:space="0"/>
              <w:bottom w:val="single" w:color="000000" w:sz="4" w:space="0"/>
              <w:right w:val="single" w:color="auto" w:sz="4" w:space="0"/>
            </w:tcBorders>
            <w:noWrap w:val="0"/>
            <w:vAlign w:val="center"/>
          </w:tcPr>
          <w:p w14:paraId="3C59CFE7">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安全生产检查</w:t>
            </w:r>
          </w:p>
        </w:tc>
        <w:tc>
          <w:tcPr>
            <w:tcW w:w="1581" w:type="dxa"/>
            <w:vMerge w:val="restart"/>
            <w:tcBorders>
              <w:top w:val="nil"/>
              <w:left w:val="single" w:color="auto" w:sz="4" w:space="0"/>
              <w:bottom w:val="single" w:color="000000" w:sz="4" w:space="0"/>
              <w:right w:val="single" w:color="auto" w:sz="4" w:space="0"/>
            </w:tcBorders>
            <w:noWrap w:val="0"/>
            <w:vAlign w:val="center"/>
          </w:tcPr>
          <w:p w14:paraId="1C9DFEF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发现安全隐患</w:t>
            </w:r>
          </w:p>
        </w:tc>
        <w:tc>
          <w:tcPr>
            <w:tcW w:w="2538" w:type="dxa"/>
            <w:tcBorders>
              <w:top w:val="nil"/>
              <w:left w:val="nil"/>
              <w:bottom w:val="single" w:color="auto" w:sz="4" w:space="0"/>
              <w:right w:val="single" w:color="auto" w:sz="4" w:space="0"/>
            </w:tcBorders>
            <w:noWrap w:val="0"/>
            <w:vAlign w:val="center"/>
          </w:tcPr>
          <w:p w14:paraId="30346095">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下达整改通知书后未在规定时限内整改的</w:t>
            </w:r>
          </w:p>
        </w:tc>
        <w:tc>
          <w:tcPr>
            <w:tcW w:w="724" w:type="dxa"/>
            <w:tcBorders>
              <w:top w:val="nil"/>
              <w:left w:val="nil"/>
              <w:bottom w:val="single" w:color="auto" w:sz="4" w:space="0"/>
              <w:right w:val="single" w:color="auto" w:sz="4" w:space="0"/>
            </w:tcBorders>
            <w:noWrap w:val="0"/>
            <w:vAlign w:val="center"/>
          </w:tcPr>
          <w:p w14:paraId="1F55F2A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10</w:t>
            </w:r>
          </w:p>
        </w:tc>
        <w:tc>
          <w:tcPr>
            <w:tcW w:w="850" w:type="dxa"/>
            <w:tcBorders>
              <w:top w:val="nil"/>
              <w:left w:val="nil"/>
              <w:bottom w:val="single" w:color="auto" w:sz="4" w:space="0"/>
              <w:right w:val="single" w:color="auto" w:sz="4" w:space="0"/>
            </w:tcBorders>
            <w:noWrap w:val="0"/>
            <w:vAlign w:val="center"/>
          </w:tcPr>
          <w:p w14:paraId="2DB31B1A">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1—10</w:t>
            </w:r>
          </w:p>
        </w:tc>
        <w:tc>
          <w:tcPr>
            <w:tcW w:w="2150" w:type="dxa"/>
            <w:tcBorders>
              <w:top w:val="nil"/>
              <w:left w:val="nil"/>
              <w:bottom w:val="single" w:color="auto" w:sz="4" w:space="0"/>
              <w:right w:val="single" w:color="auto" w:sz="4" w:space="0"/>
            </w:tcBorders>
            <w:noWrap w:val="0"/>
            <w:vAlign w:val="center"/>
          </w:tcPr>
          <w:p w14:paraId="69E63236">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c>
          <w:tcPr>
            <w:tcW w:w="572" w:type="dxa"/>
            <w:tcBorders>
              <w:top w:val="nil"/>
              <w:left w:val="nil"/>
              <w:bottom w:val="single" w:color="auto" w:sz="4" w:space="0"/>
              <w:right w:val="single" w:color="auto" w:sz="8" w:space="0"/>
            </w:tcBorders>
            <w:noWrap w:val="0"/>
            <w:vAlign w:val="center"/>
          </w:tcPr>
          <w:p w14:paraId="7236543F">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r>
      <w:tr w14:paraId="53503D1B">
        <w:tblPrEx>
          <w:tblCellMar>
            <w:top w:w="0" w:type="dxa"/>
            <w:left w:w="108" w:type="dxa"/>
            <w:bottom w:w="0" w:type="dxa"/>
            <w:right w:w="108" w:type="dxa"/>
          </w:tblCellMar>
        </w:tblPrEx>
        <w:trPr>
          <w:trHeight w:val="519" w:hRule="atLeast"/>
          <w:jc w:val="center"/>
        </w:trPr>
        <w:tc>
          <w:tcPr>
            <w:tcW w:w="778" w:type="dxa"/>
            <w:vMerge w:val="continue"/>
            <w:tcBorders>
              <w:top w:val="nil"/>
              <w:left w:val="single" w:color="auto" w:sz="8" w:space="0"/>
              <w:bottom w:val="single" w:color="000000" w:sz="4" w:space="0"/>
              <w:right w:val="single" w:color="auto" w:sz="4" w:space="0"/>
            </w:tcBorders>
            <w:noWrap w:val="0"/>
            <w:vAlign w:val="center"/>
          </w:tcPr>
          <w:p w14:paraId="209FF224">
            <w:pPr>
              <w:keepNext w:val="0"/>
              <w:keepLines w:val="0"/>
              <w:widowControl/>
              <w:suppressLineNumbers w:val="0"/>
              <w:spacing w:before="0" w:beforeAutospacing="0" w:after="0" w:afterAutospacing="0"/>
              <w:ind w:left="0" w:right="0"/>
              <w:jc w:val="left"/>
              <w:rPr>
                <w:rFonts w:hint="default" w:ascii="宋体" w:hAnsi="宋体" w:cs="宋体"/>
                <w:bCs/>
                <w:kern w:val="0"/>
                <w:sz w:val="18"/>
                <w:szCs w:val="18"/>
              </w:rPr>
            </w:pPr>
          </w:p>
        </w:tc>
        <w:tc>
          <w:tcPr>
            <w:tcW w:w="1581" w:type="dxa"/>
            <w:vMerge w:val="continue"/>
            <w:tcBorders>
              <w:top w:val="nil"/>
              <w:left w:val="single" w:color="auto" w:sz="4" w:space="0"/>
              <w:bottom w:val="single" w:color="000000" w:sz="4" w:space="0"/>
              <w:right w:val="single" w:color="auto" w:sz="4" w:space="0"/>
            </w:tcBorders>
            <w:noWrap w:val="0"/>
            <w:vAlign w:val="center"/>
          </w:tcPr>
          <w:p w14:paraId="014FC523">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p>
        </w:tc>
        <w:tc>
          <w:tcPr>
            <w:tcW w:w="2538" w:type="dxa"/>
            <w:tcBorders>
              <w:top w:val="nil"/>
              <w:left w:val="nil"/>
              <w:bottom w:val="single" w:color="auto" w:sz="4" w:space="0"/>
              <w:right w:val="single" w:color="auto" w:sz="4" w:space="0"/>
            </w:tcBorders>
            <w:noWrap w:val="0"/>
            <w:vAlign w:val="center"/>
          </w:tcPr>
          <w:p w14:paraId="6E3446D7">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未按时限要求上报整改情况的</w:t>
            </w:r>
          </w:p>
        </w:tc>
        <w:tc>
          <w:tcPr>
            <w:tcW w:w="724" w:type="dxa"/>
            <w:tcBorders>
              <w:top w:val="nil"/>
              <w:left w:val="nil"/>
              <w:bottom w:val="single" w:color="auto" w:sz="4" w:space="0"/>
              <w:right w:val="single" w:color="auto" w:sz="4" w:space="0"/>
            </w:tcBorders>
            <w:noWrap w:val="0"/>
            <w:vAlign w:val="center"/>
          </w:tcPr>
          <w:p w14:paraId="22ED9F16">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5</w:t>
            </w:r>
          </w:p>
        </w:tc>
        <w:tc>
          <w:tcPr>
            <w:tcW w:w="850" w:type="dxa"/>
            <w:tcBorders>
              <w:top w:val="nil"/>
              <w:left w:val="nil"/>
              <w:bottom w:val="single" w:color="auto" w:sz="4" w:space="0"/>
              <w:right w:val="single" w:color="auto" w:sz="4" w:space="0"/>
            </w:tcBorders>
            <w:noWrap w:val="0"/>
            <w:vAlign w:val="center"/>
          </w:tcPr>
          <w:p w14:paraId="564D2BA2">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1—10</w:t>
            </w:r>
          </w:p>
        </w:tc>
        <w:tc>
          <w:tcPr>
            <w:tcW w:w="2150" w:type="dxa"/>
            <w:tcBorders>
              <w:top w:val="nil"/>
              <w:left w:val="nil"/>
              <w:bottom w:val="single" w:color="auto" w:sz="4" w:space="0"/>
              <w:right w:val="single" w:color="auto" w:sz="4" w:space="0"/>
            </w:tcBorders>
            <w:noWrap w:val="0"/>
            <w:vAlign w:val="center"/>
          </w:tcPr>
          <w:p w14:paraId="089B11CA">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c>
          <w:tcPr>
            <w:tcW w:w="572" w:type="dxa"/>
            <w:tcBorders>
              <w:top w:val="nil"/>
              <w:left w:val="nil"/>
              <w:bottom w:val="single" w:color="auto" w:sz="4" w:space="0"/>
              <w:right w:val="single" w:color="auto" w:sz="8" w:space="0"/>
            </w:tcBorders>
            <w:noWrap w:val="0"/>
            <w:vAlign w:val="center"/>
          </w:tcPr>
          <w:p w14:paraId="332531A5">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r>
      <w:tr w14:paraId="3D8B3CDA">
        <w:tblPrEx>
          <w:tblCellMar>
            <w:top w:w="0" w:type="dxa"/>
            <w:left w:w="108" w:type="dxa"/>
            <w:bottom w:w="0" w:type="dxa"/>
            <w:right w:w="108" w:type="dxa"/>
          </w:tblCellMar>
        </w:tblPrEx>
        <w:trPr>
          <w:trHeight w:val="90" w:hRule="atLeast"/>
          <w:jc w:val="center"/>
        </w:trPr>
        <w:tc>
          <w:tcPr>
            <w:tcW w:w="778" w:type="dxa"/>
            <w:tcBorders>
              <w:top w:val="nil"/>
              <w:left w:val="single" w:color="auto" w:sz="8" w:space="0"/>
              <w:bottom w:val="single" w:color="auto" w:sz="8" w:space="0"/>
              <w:right w:val="single" w:color="auto" w:sz="4" w:space="0"/>
            </w:tcBorders>
            <w:noWrap w:val="0"/>
            <w:vAlign w:val="center"/>
          </w:tcPr>
          <w:p w14:paraId="603094CD">
            <w:pPr>
              <w:keepNext w:val="0"/>
              <w:keepLines w:val="0"/>
              <w:widowControl/>
              <w:suppressLineNumbers w:val="0"/>
              <w:spacing w:before="0" w:beforeAutospacing="0" w:after="0" w:afterAutospacing="0"/>
              <w:ind w:left="0" w:right="0"/>
              <w:jc w:val="center"/>
              <w:rPr>
                <w:rFonts w:hint="default" w:ascii="宋体" w:hAnsi="宋体" w:cs="宋体"/>
                <w:bCs/>
                <w:kern w:val="0"/>
                <w:sz w:val="18"/>
                <w:szCs w:val="18"/>
              </w:rPr>
            </w:pPr>
            <w:r>
              <w:rPr>
                <w:rFonts w:hint="eastAsia" w:ascii="宋体" w:hAnsi="宋体" w:cs="宋体"/>
                <w:bCs/>
                <w:kern w:val="0"/>
                <w:sz w:val="18"/>
                <w:szCs w:val="18"/>
              </w:rPr>
              <w:t>上报</w:t>
            </w:r>
          </w:p>
        </w:tc>
        <w:tc>
          <w:tcPr>
            <w:tcW w:w="1581" w:type="dxa"/>
            <w:tcBorders>
              <w:top w:val="nil"/>
              <w:left w:val="nil"/>
              <w:bottom w:val="single" w:color="auto" w:sz="8" w:space="0"/>
              <w:right w:val="single" w:color="auto" w:sz="4" w:space="0"/>
            </w:tcBorders>
            <w:noWrap w:val="0"/>
            <w:vAlign w:val="center"/>
          </w:tcPr>
          <w:p w14:paraId="1B86388D">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未及时上报或隐瞒各类事故</w:t>
            </w:r>
          </w:p>
        </w:tc>
        <w:tc>
          <w:tcPr>
            <w:tcW w:w="2538" w:type="dxa"/>
            <w:tcBorders>
              <w:top w:val="nil"/>
              <w:left w:val="nil"/>
              <w:bottom w:val="single" w:color="auto" w:sz="8" w:space="0"/>
              <w:right w:val="single" w:color="auto" w:sz="4" w:space="0"/>
            </w:tcBorders>
            <w:noWrap w:val="0"/>
            <w:vAlign w:val="center"/>
          </w:tcPr>
          <w:p w14:paraId="0271C5BB">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　</w:t>
            </w:r>
          </w:p>
        </w:tc>
        <w:tc>
          <w:tcPr>
            <w:tcW w:w="724" w:type="dxa"/>
            <w:tcBorders>
              <w:top w:val="nil"/>
              <w:left w:val="nil"/>
              <w:bottom w:val="single" w:color="auto" w:sz="8" w:space="0"/>
              <w:right w:val="single" w:color="auto" w:sz="4" w:space="0"/>
            </w:tcBorders>
            <w:noWrap w:val="0"/>
            <w:vAlign w:val="center"/>
          </w:tcPr>
          <w:p w14:paraId="6EF11E0E">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1—10</w:t>
            </w:r>
          </w:p>
        </w:tc>
        <w:tc>
          <w:tcPr>
            <w:tcW w:w="850" w:type="dxa"/>
            <w:tcBorders>
              <w:top w:val="nil"/>
              <w:left w:val="nil"/>
              <w:bottom w:val="single" w:color="auto" w:sz="8" w:space="0"/>
              <w:right w:val="single" w:color="auto" w:sz="4" w:space="0"/>
            </w:tcBorders>
            <w:noWrap w:val="0"/>
            <w:vAlign w:val="center"/>
          </w:tcPr>
          <w:p w14:paraId="2A016C28">
            <w:pPr>
              <w:keepNext w:val="0"/>
              <w:keepLines w:val="0"/>
              <w:widowControl/>
              <w:suppressLineNumbers w:val="0"/>
              <w:spacing w:before="0" w:beforeAutospacing="0" w:after="0" w:afterAutospacing="0"/>
              <w:ind w:left="0" w:right="0"/>
              <w:jc w:val="center"/>
              <w:rPr>
                <w:rFonts w:hint="default" w:ascii="宋体" w:hAnsi="宋体" w:cs="宋体"/>
                <w:kern w:val="0"/>
                <w:sz w:val="18"/>
                <w:szCs w:val="18"/>
              </w:rPr>
            </w:pPr>
            <w:r>
              <w:rPr>
                <w:rFonts w:hint="eastAsia" w:ascii="宋体" w:hAnsi="宋体" w:cs="宋体"/>
                <w:kern w:val="0"/>
                <w:sz w:val="18"/>
                <w:szCs w:val="18"/>
              </w:rPr>
              <w:t>1—10</w:t>
            </w:r>
          </w:p>
        </w:tc>
        <w:tc>
          <w:tcPr>
            <w:tcW w:w="2150" w:type="dxa"/>
            <w:tcBorders>
              <w:top w:val="nil"/>
              <w:left w:val="nil"/>
              <w:bottom w:val="single" w:color="auto" w:sz="8" w:space="0"/>
              <w:right w:val="single" w:color="auto" w:sz="4" w:space="0"/>
            </w:tcBorders>
            <w:noWrap w:val="0"/>
            <w:vAlign w:val="center"/>
          </w:tcPr>
          <w:p w14:paraId="10A86EE2">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c>
          <w:tcPr>
            <w:tcW w:w="572" w:type="dxa"/>
            <w:tcBorders>
              <w:top w:val="nil"/>
              <w:left w:val="nil"/>
              <w:bottom w:val="single" w:color="auto" w:sz="8" w:space="0"/>
              <w:right w:val="single" w:color="auto" w:sz="8" w:space="0"/>
            </w:tcBorders>
            <w:noWrap w:val="0"/>
            <w:vAlign w:val="center"/>
          </w:tcPr>
          <w:p w14:paraId="7FE5B44B">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　</w:t>
            </w:r>
          </w:p>
        </w:tc>
      </w:tr>
      <w:tr w14:paraId="2FDF6F59">
        <w:tblPrEx>
          <w:tblCellMar>
            <w:top w:w="0" w:type="dxa"/>
            <w:left w:w="108" w:type="dxa"/>
            <w:bottom w:w="0" w:type="dxa"/>
            <w:right w:w="108" w:type="dxa"/>
          </w:tblCellMar>
        </w:tblPrEx>
        <w:trPr>
          <w:trHeight w:val="465" w:hRule="atLeast"/>
          <w:jc w:val="center"/>
        </w:trPr>
        <w:tc>
          <w:tcPr>
            <w:tcW w:w="9193" w:type="dxa"/>
            <w:gridSpan w:val="7"/>
            <w:tcBorders>
              <w:top w:val="nil"/>
              <w:left w:val="nil"/>
              <w:bottom w:val="nil"/>
              <w:right w:val="nil"/>
            </w:tcBorders>
            <w:noWrap w:val="0"/>
            <w:vAlign w:val="top"/>
          </w:tcPr>
          <w:p w14:paraId="66C4862C">
            <w:pPr>
              <w:keepNext w:val="0"/>
              <w:keepLines w:val="0"/>
              <w:widowControl/>
              <w:suppressLineNumbers w:val="0"/>
              <w:spacing w:before="0" w:beforeAutospacing="0" w:after="0" w:afterAutospacing="0"/>
              <w:ind w:left="0" w:right="0"/>
              <w:jc w:val="left"/>
              <w:rPr>
                <w:rFonts w:hint="default" w:ascii="宋体" w:hAnsi="宋体" w:cs="宋体"/>
                <w:kern w:val="0"/>
                <w:sz w:val="18"/>
                <w:szCs w:val="18"/>
              </w:rPr>
            </w:pPr>
            <w:r>
              <w:rPr>
                <w:rFonts w:hint="eastAsia" w:ascii="宋体" w:hAnsi="宋体" w:cs="宋体"/>
                <w:kern w:val="0"/>
                <w:sz w:val="18"/>
                <w:szCs w:val="18"/>
              </w:rPr>
              <w:t>备注：《安全责任事故考核扣分指标》在责任单位每月或年终综合评定得分的基础上进行扣减；</w:t>
            </w:r>
          </w:p>
        </w:tc>
      </w:tr>
      <w:bookmarkEnd w:id="370"/>
    </w:tbl>
    <w:p w14:paraId="73AF6B8A"/>
    <w:p w14:paraId="378E9491">
      <w:pPr>
        <w:spacing w:line="400" w:lineRule="exact"/>
        <w:jc w:val="left"/>
        <w:rPr>
          <w:rFonts w:hint="default" w:ascii="宋体" w:hAnsi="宋体" w:eastAsia="宋体" w:cs="微软雅黑"/>
          <w:b/>
          <w:bCs/>
          <w:sz w:val="24"/>
        </w:rPr>
      </w:pPr>
    </w:p>
    <w:p w14:paraId="707CC55A">
      <w:pPr>
        <w:widowControl/>
        <w:numPr>
          <w:ilvl w:val="0"/>
          <w:numId w:val="0"/>
        </w:numPr>
        <w:spacing w:line="520" w:lineRule="exact"/>
        <w:ind w:firstLine="420" w:firstLineChars="200"/>
        <w:rPr>
          <w:rFonts w:hint="eastAsia" w:ascii="仿宋" w:hAnsi="仿宋" w:eastAsia="仿宋" w:cs="仿宋"/>
          <w:b/>
          <w:bCs/>
          <w:kern w:val="2"/>
          <w:sz w:val="28"/>
          <w:szCs w:val="28"/>
          <w:lang w:val="en-US" w:eastAsia="zh-CN" w:bidi="ar-SA"/>
        </w:rPr>
      </w:pPr>
      <w:r>
        <w:rPr>
          <w:rFonts w:hint="eastAsia" w:ascii="宋体" w:hAnsi="宋体" w:eastAsia="宋体" w:cs="微软雅黑"/>
          <w:kern w:val="2"/>
          <w:sz w:val="21"/>
          <w:szCs w:val="21"/>
          <w:lang w:val="en-US" w:eastAsia="zh-CN" w:bidi="ar-SA"/>
        </w:rPr>
        <w:br w:type="page"/>
      </w:r>
    </w:p>
    <w:p w14:paraId="1B771E11">
      <w:pPr>
        <w:numPr>
          <w:ilvl w:val="0"/>
          <w:numId w:val="0"/>
        </w:numPr>
        <w:spacing w:line="91" w:lineRule="auto"/>
        <w:rPr>
          <w:rFonts w:ascii="宋体" w:hAnsi="宋体" w:eastAsia="宋体"/>
          <w:sz w:val="18"/>
          <w:szCs w:val="18"/>
        </w:rPr>
      </w:pPr>
    </w:p>
    <w:p w14:paraId="63298B22">
      <w:pPr>
        <w:spacing w:line="360" w:lineRule="auto"/>
        <w:jc w:val="center"/>
        <w:outlineLvl w:val="0"/>
        <w:rPr>
          <w:rFonts w:eastAsia="仿宋"/>
          <w:b/>
          <w:bCs w:val="0"/>
          <w:color w:val="000000"/>
          <w:sz w:val="28"/>
          <w:szCs w:val="28"/>
        </w:rPr>
      </w:pPr>
      <w:bookmarkStart w:id="371" w:name="_Toc518923127"/>
      <w:bookmarkEnd w:id="371"/>
      <w:bookmarkStart w:id="372" w:name="_Toc14323"/>
      <w:bookmarkEnd w:id="372"/>
      <w:bookmarkStart w:id="373" w:name="_Toc507399907"/>
      <w:bookmarkEnd w:id="373"/>
      <w:bookmarkStart w:id="374" w:name="_Toc10220"/>
      <w:bookmarkEnd w:id="374"/>
      <w:r>
        <w:rPr>
          <w:rFonts w:eastAsia="仿宋"/>
          <w:b/>
          <w:bCs w:val="0"/>
          <w:color w:val="000000"/>
          <w:sz w:val="28"/>
          <w:szCs w:val="28"/>
        </w:rPr>
        <w:t>第</w:t>
      </w:r>
      <w:r>
        <w:rPr>
          <w:rFonts w:hint="eastAsia" w:eastAsia="仿宋"/>
          <w:b/>
          <w:bCs w:val="0"/>
          <w:color w:val="000000"/>
          <w:sz w:val="28"/>
          <w:szCs w:val="28"/>
        </w:rPr>
        <w:t>6</w:t>
      </w:r>
      <w:r>
        <w:rPr>
          <w:rFonts w:eastAsia="仿宋"/>
          <w:b/>
          <w:bCs w:val="0"/>
          <w:color w:val="000000"/>
          <w:sz w:val="28"/>
          <w:szCs w:val="28"/>
        </w:rPr>
        <w:t>章评标方法和标准</w:t>
      </w:r>
    </w:p>
    <w:p w14:paraId="52065A96">
      <w:pPr>
        <w:pStyle w:val="33"/>
        <w:tabs>
          <w:tab w:val="clear" w:pos="567"/>
        </w:tabs>
        <w:spacing w:before="0" w:line="360" w:lineRule="auto"/>
        <w:ind w:firstLine="540" w:firstLineChars="225"/>
        <w:rPr>
          <w:rFonts w:ascii="Times New Roman" w:hAnsi="Times New Roman" w:eastAsia="仿宋"/>
          <w:b w:val="0"/>
          <w:bCs/>
          <w:color w:val="000000"/>
        </w:rPr>
      </w:pPr>
      <w:r>
        <w:rPr>
          <w:rFonts w:ascii="Times New Roman" w:hAnsi="Times New Roman" w:eastAsia="仿宋"/>
          <w:b w:val="0"/>
          <w:bCs/>
          <w:color w:val="000000"/>
        </w:rPr>
        <w:t>本项目将按照招标文件第一章投标人须知中“五</w:t>
      </w:r>
      <w:r>
        <w:rPr>
          <w:rFonts w:hint="eastAsia" w:ascii="Times New Roman" w:hAnsi="Times New Roman" w:eastAsia="仿宋"/>
          <w:b w:val="0"/>
          <w:bCs/>
          <w:color w:val="000000"/>
          <w:lang w:eastAsia="zh-CN"/>
        </w:rPr>
        <w:t>、</w:t>
      </w:r>
      <w:r>
        <w:rPr>
          <w:rFonts w:ascii="Times New Roman" w:hAnsi="Times New Roman" w:eastAsia="仿宋"/>
          <w:b w:val="0"/>
          <w:bCs/>
          <w:color w:val="000000"/>
        </w:rPr>
        <w:t>开标及评标”、“六</w:t>
      </w:r>
      <w:r>
        <w:rPr>
          <w:rFonts w:hint="eastAsia" w:ascii="Times New Roman" w:hAnsi="Times New Roman" w:eastAsia="仿宋"/>
          <w:b w:val="0"/>
          <w:bCs/>
          <w:color w:val="000000"/>
          <w:lang w:eastAsia="zh-CN"/>
        </w:rPr>
        <w:t>、</w:t>
      </w:r>
      <w:r>
        <w:rPr>
          <w:rFonts w:ascii="Times New Roman" w:hAnsi="Times New Roman" w:eastAsia="仿宋"/>
          <w:b w:val="0"/>
          <w:bCs/>
          <w:color w:val="000000"/>
        </w:rPr>
        <w:t>确定中标”及本章的规定评标。</w:t>
      </w:r>
    </w:p>
    <w:p w14:paraId="0141E0C7">
      <w:pPr>
        <w:pStyle w:val="33"/>
        <w:tabs>
          <w:tab w:val="clear" w:pos="567"/>
        </w:tabs>
        <w:spacing w:before="100" w:beforeAutospacing="1" w:after="100" w:afterAutospacing="1" w:line="360" w:lineRule="auto"/>
        <w:ind w:left="1080" w:leftChars="257" w:hanging="540"/>
        <w:rPr>
          <w:rFonts w:ascii="Times New Roman" w:hAnsi="Times New Roman" w:eastAsia="仿宋"/>
          <w:b w:val="0"/>
          <w:bCs/>
          <w:i/>
          <w:color w:val="000000"/>
        </w:rPr>
      </w:pPr>
      <w:r>
        <w:rPr>
          <w:rFonts w:ascii="Times New Roman" w:hAnsi="Times New Roman" w:eastAsia="仿宋"/>
          <w:b w:val="0"/>
          <w:bCs/>
          <w:i/>
          <w:color w:val="000000"/>
        </w:rPr>
        <w:t>（内容要包括投标无效界定和详细评标标准）</w:t>
      </w:r>
    </w:p>
    <w:p w14:paraId="6D48B5A1">
      <w:pPr>
        <w:widowControl/>
        <w:spacing w:line="360" w:lineRule="auto"/>
        <w:ind w:firstLine="480" w:firstLineChars="200"/>
        <w:rPr>
          <w:rFonts w:eastAsia="仿宋"/>
          <w:b w:val="0"/>
          <w:bCs/>
          <w:color w:val="000000"/>
          <w:sz w:val="24"/>
        </w:rPr>
      </w:pPr>
      <w:r>
        <w:rPr>
          <w:rFonts w:eastAsia="仿宋"/>
          <w:b w:val="0"/>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报价扣除</w:t>
      </w:r>
      <w:r>
        <w:rPr>
          <w:rFonts w:eastAsia="仿宋"/>
          <w:b w:val="0"/>
          <w:bCs/>
          <w:color w:val="000000"/>
          <w:sz w:val="24"/>
          <w:u w:val="single"/>
        </w:rPr>
        <w:t xml:space="preserve">  10 </w:t>
      </w:r>
      <w:r>
        <w:rPr>
          <w:rFonts w:eastAsia="仿宋"/>
          <w:b w:val="0"/>
          <w:bCs/>
          <w:color w:val="000000"/>
          <w:sz w:val="24"/>
        </w:rPr>
        <w:t xml:space="preserve"> %后参与评审。对于同时属于小微企业、监狱企业或残疾人福利性单位的，不重复进行投标报价扣除。如有其它政策支持因素（如鼓励创新等）需一并列出。</w:t>
      </w:r>
    </w:p>
    <w:p w14:paraId="021D3ABA">
      <w:pPr>
        <w:widowControl/>
        <w:spacing w:line="360" w:lineRule="auto"/>
        <w:ind w:firstLine="480" w:firstLineChars="200"/>
        <w:jc w:val="left"/>
        <w:rPr>
          <w:rFonts w:eastAsia="仿宋"/>
          <w:b w:val="0"/>
          <w:bCs/>
          <w:color w:val="000000"/>
          <w:sz w:val="24"/>
        </w:rPr>
      </w:pPr>
      <w:r>
        <w:rPr>
          <w:rFonts w:eastAsia="仿宋"/>
          <w:b w:val="0"/>
          <w:bCs/>
          <w:color w:val="000000"/>
          <w:sz w:val="24"/>
        </w:rPr>
        <w:t>2.联合协议中约定，小型、微型企业和监狱企业的协议合同金额占到联合体协议合同总金额30%以上的，可给予联合体%的价格扣除。</w:t>
      </w:r>
    </w:p>
    <w:p w14:paraId="68A69693">
      <w:pPr>
        <w:widowControl/>
        <w:spacing w:line="360" w:lineRule="auto"/>
        <w:ind w:firstLine="480" w:firstLineChars="200"/>
        <w:jc w:val="left"/>
        <w:rPr>
          <w:rFonts w:eastAsia="仿宋"/>
          <w:b w:val="0"/>
          <w:bCs/>
          <w:color w:val="000000"/>
          <w:sz w:val="24"/>
        </w:rPr>
      </w:pPr>
      <w:r>
        <w:rPr>
          <w:rFonts w:eastAsia="仿宋"/>
          <w:b w:val="0"/>
          <w:bCs/>
          <w:color w:val="000000"/>
          <w:sz w:val="24"/>
        </w:rPr>
        <w:t>联合体各方均为小型、微型企业和监狱企业的，联合体视同为小型、微型企业和监狱企业。</w:t>
      </w:r>
    </w:p>
    <w:p w14:paraId="497A58EB">
      <w:pPr>
        <w:pStyle w:val="33"/>
        <w:tabs>
          <w:tab w:val="clear" w:pos="567"/>
        </w:tabs>
        <w:spacing w:before="0" w:line="360" w:lineRule="auto"/>
        <w:ind w:left="-61" w:leftChars="-29" w:firstLine="540" w:firstLineChars="225"/>
        <w:rPr>
          <w:rFonts w:ascii="Times New Roman" w:hAnsi="Times New Roman" w:eastAsia="仿宋"/>
          <w:b w:val="0"/>
          <w:bCs/>
          <w:color w:val="000000"/>
        </w:rPr>
      </w:pPr>
      <w:r>
        <w:rPr>
          <w:rFonts w:ascii="Times New Roman" w:hAnsi="Times New Roman" w:eastAsia="仿宋"/>
          <w:b w:val="0"/>
          <w:bCs/>
          <w:color w:val="000000"/>
        </w:rPr>
        <w:t>3.投标人为提供服务在投标中伴随投标的产品如被列入财政部与国家主管部门颁发的节能产品目录或环境标志产品目录或无线局域网产品目录，应提供相关证明，在评标时予以优先采购，具体优惠措施为</w:t>
      </w:r>
      <w:r>
        <w:rPr>
          <w:rFonts w:ascii="Times New Roman" w:hAnsi="Times New Roman" w:eastAsia="仿宋"/>
          <w:b w:val="0"/>
          <w:bCs/>
          <w:color w:val="000000"/>
          <w:u w:val="single"/>
        </w:rPr>
        <w:t>：《财政部、发展改革委、生态环境部、市场监管总局关于优化节能产品、环境标志产品政府采购执行机制的通知》（财库〔2019〕9号）。</w:t>
      </w:r>
    </w:p>
    <w:p w14:paraId="22B32190">
      <w:pPr>
        <w:pStyle w:val="33"/>
        <w:tabs>
          <w:tab w:val="clear" w:pos="567"/>
        </w:tabs>
        <w:spacing w:before="0" w:line="360" w:lineRule="auto"/>
        <w:ind w:left="-181" w:leftChars="-86" w:firstLine="660" w:firstLineChars="275"/>
        <w:rPr>
          <w:rFonts w:ascii="Times New Roman" w:hAnsi="Times New Roman" w:eastAsia="仿宋"/>
          <w:b w:val="0"/>
          <w:bCs/>
          <w:color w:val="000000"/>
        </w:rPr>
      </w:pPr>
      <w:r>
        <w:rPr>
          <w:rFonts w:ascii="Times New Roman" w:hAnsi="Times New Roman" w:eastAsia="仿宋"/>
          <w:b w:val="0"/>
          <w:bCs/>
          <w:color w:val="000000"/>
        </w:rPr>
        <w:t>4.中标候选人并列时的处理方式：</w:t>
      </w:r>
    </w:p>
    <w:p w14:paraId="08086F90">
      <w:pPr>
        <w:pStyle w:val="33"/>
        <w:tabs>
          <w:tab w:val="clear" w:pos="567"/>
        </w:tabs>
        <w:spacing w:before="0" w:line="360" w:lineRule="auto"/>
        <w:ind w:left="-181" w:leftChars="-86" w:firstLine="660" w:firstLineChars="275"/>
        <w:rPr>
          <w:rFonts w:ascii="仿宋" w:hAnsi="仿宋" w:eastAsia="仿宋"/>
          <w:b w:val="0"/>
          <w:bCs/>
          <w:color w:val="000000"/>
        </w:rPr>
      </w:pPr>
      <w:r>
        <w:rPr>
          <w:rFonts w:ascii="Times New Roman" w:hAnsi="Times New Roman" w:eastAsia="仿宋"/>
          <w:b w:val="0"/>
          <w:bCs/>
          <w:color w:val="000000"/>
        </w:rPr>
        <w:t>采用综合评标法，则：</w:t>
      </w:r>
      <w:r>
        <w:rPr>
          <w:rFonts w:ascii="Times New Roman" w:hAnsi="Times New Roman" w:eastAsia="仿宋"/>
          <w:b w:val="0"/>
          <w:bCs/>
          <w:color w:val="000000"/>
          <w:u w:val="single"/>
        </w:rPr>
        <w:t>评审得分相同的且投标报价不同的，按投标报价低的中标；评审得分相同且投标报价相同的，随机抽取决定</w:t>
      </w:r>
      <w:r>
        <w:rPr>
          <w:rFonts w:ascii="Times New Roman" w:hAnsi="Times New Roman" w:eastAsia="仿宋"/>
          <w:b w:val="0"/>
          <w:bCs/>
          <w:color w:val="000000"/>
        </w:rPr>
        <w:t>。</w:t>
      </w:r>
    </w:p>
    <w:p w14:paraId="3F9B107B">
      <w:pPr>
        <w:rPr>
          <w:rFonts w:hint="eastAsia" w:ascii="仿宋" w:hAnsi="仿宋" w:eastAsia="仿宋"/>
          <w:b w:val="0"/>
          <w:bCs/>
          <w:color w:val="000000"/>
        </w:rPr>
      </w:pPr>
      <w:r>
        <w:rPr>
          <w:rFonts w:hint="eastAsia" w:ascii="仿宋" w:hAnsi="仿宋" w:eastAsia="仿宋"/>
          <w:b w:val="0"/>
          <w:bCs/>
          <w:color w:val="000000"/>
        </w:rPr>
        <w:br w:type="page"/>
      </w:r>
    </w:p>
    <w:p w14:paraId="3FCDB6E4">
      <w:pPr>
        <w:ind w:firstLine="474" w:firstLineChars="200"/>
        <w:outlineLvl w:val="0"/>
        <w:rPr>
          <w:rFonts w:hint="eastAsia" w:ascii="仿宋" w:hAnsi="仿宋" w:eastAsia="仿宋" w:cs="Times New Roman"/>
          <w:b/>
          <w:bCs w:val="0"/>
          <w:color w:val="000000"/>
          <w:spacing w:val="-2"/>
          <w:kern w:val="2"/>
          <w:sz w:val="24"/>
          <w:szCs w:val="24"/>
          <w:lang w:val="en-US" w:eastAsia="zh-CN" w:bidi="ar-SA"/>
        </w:rPr>
      </w:pPr>
      <w:bookmarkStart w:id="375" w:name="_Toc21823"/>
      <w:bookmarkEnd w:id="375"/>
      <w:r>
        <w:rPr>
          <w:rFonts w:hint="eastAsia" w:ascii="仿宋" w:hAnsi="仿宋" w:eastAsia="仿宋" w:cs="Times New Roman"/>
          <w:b/>
          <w:bCs w:val="0"/>
          <w:color w:val="000000"/>
          <w:spacing w:val="-2"/>
          <w:kern w:val="2"/>
          <w:sz w:val="24"/>
          <w:szCs w:val="24"/>
          <w:lang w:val="en-US" w:eastAsia="zh-CN" w:bidi="ar-SA"/>
        </w:rPr>
        <w:t>5.评审附表</w:t>
      </w:r>
    </w:p>
    <w:p w14:paraId="7D8C5C84">
      <w:pPr>
        <w:pStyle w:val="33"/>
        <w:tabs>
          <w:tab w:val="clear" w:pos="567"/>
        </w:tabs>
        <w:spacing w:before="0" w:line="240" w:lineRule="auto"/>
        <w:ind w:firstLine="474" w:firstLineChars="200"/>
        <w:jc w:val="center"/>
        <w:rPr>
          <w:rFonts w:hint="eastAsia" w:ascii="仿宋" w:hAnsi="仿宋" w:eastAsia="仿宋"/>
          <w:b/>
          <w:bCs w:val="0"/>
          <w:color w:val="000000"/>
          <w:spacing w:val="-2"/>
        </w:rPr>
      </w:pPr>
      <w:r>
        <w:rPr>
          <w:rFonts w:hint="eastAsia" w:ascii="仿宋" w:hAnsi="仿宋" w:eastAsia="仿宋"/>
          <w:b/>
          <w:bCs w:val="0"/>
          <w:color w:val="000000"/>
          <w:spacing w:val="-2"/>
        </w:rPr>
        <w:t>附表一   商务符合性审查表</w:t>
      </w:r>
    </w:p>
    <w:p w14:paraId="396B1DCD">
      <w:pPr>
        <w:rPr>
          <w:b w:val="0"/>
          <w:bCs/>
          <w:color w:val="000000"/>
        </w:rPr>
      </w:pPr>
    </w:p>
    <w:tbl>
      <w:tblPr>
        <w:tblStyle w:val="21"/>
        <w:tblW w:w="79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14:paraId="38BDB6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restart"/>
            <w:vAlign w:val="center"/>
          </w:tcPr>
          <w:p w14:paraId="09942488">
            <w:pPr>
              <w:keepNext w:val="0"/>
              <w:keepLines w:val="0"/>
              <w:suppressLineNumbers w:val="0"/>
              <w:spacing w:before="0" w:beforeAutospacing="0" w:after="0" w:afterAutospacing="0"/>
              <w:ind w:left="0" w:right="0"/>
              <w:rPr>
                <w:rFonts w:hint="eastAsia" w:ascii="仿宋" w:hAnsi="仿宋" w:eastAsia="仿宋"/>
                <w:b w:val="0"/>
                <w:bCs/>
                <w:color w:val="000000"/>
              </w:rPr>
            </w:pPr>
            <w:r>
              <w:rPr>
                <w:rFonts w:hint="eastAsia" w:ascii="仿宋" w:hAnsi="仿宋" w:eastAsia="仿宋"/>
                <w:b w:val="0"/>
                <w:bCs/>
                <w:color w:val="000000"/>
              </w:rPr>
              <w:t>符合性审查</w:t>
            </w:r>
          </w:p>
        </w:tc>
        <w:tc>
          <w:tcPr>
            <w:tcW w:w="815" w:type="dxa"/>
            <w:vAlign w:val="bottom"/>
          </w:tcPr>
          <w:p w14:paraId="1BA92A59">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序号</w:t>
            </w:r>
          </w:p>
        </w:tc>
        <w:tc>
          <w:tcPr>
            <w:tcW w:w="6428" w:type="dxa"/>
            <w:vAlign w:val="bottom"/>
          </w:tcPr>
          <w:p w14:paraId="2AAA56ED">
            <w:pPr>
              <w:keepNext w:val="0"/>
              <w:keepLines w:val="0"/>
              <w:suppressLineNumbers w:val="0"/>
              <w:spacing w:before="0" w:beforeAutospacing="0" w:after="0" w:afterAutospacing="0"/>
              <w:ind w:left="0" w:right="0" w:firstLine="480"/>
              <w:jc w:val="center"/>
              <w:rPr>
                <w:rFonts w:hint="eastAsia" w:ascii="仿宋" w:hAnsi="仿宋" w:eastAsia="仿宋"/>
                <w:b w:val="0"/>
                <w:bCs/>
                <w:color w:val="000000"/>
              </w:rPr>
            </w:pPr>
            <w:r>
              <w:rPr>
                <w:rFonts w:hint="eastAsia" w:ascii="仿宋" w:hAnsi="仿宋" w:eastAsia="仿宋"/>
                <w:b w:val="0"/>
                <w:bCs/>
                <w:color w:val="000000"/>
              </w:rPr>
              <w:t>审查标准</w:t>
            </w:r>
          </w:p>
        </w:tc>
      </w:tr>
      <w:tr w14:paraId="32DE12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1FB6AD1E">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7391193">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1</w:t>
            </w:r>
          </w:p>
        </w:tc>
        <w:tc>
          <w:tcPr>
            <w:tcW w:w="6428" w:type="dxa"/>
            <w:vAlign w:val="center"/>
          </w:tcPr>
          <w:p w14:paraId="19D38A98">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rPr>
            </w:pPr>
            <w:r>
              <w:rPr>
                <w:rFonts w:hint="eastAsia" w:ascii="仿宋" w:hAnsi="仿宋" w:eastAsia="仿宋"/>
                <w:b w:val="0"/>
                <w:bCs/>
                <w:color w:val="000000"/>
              </w:rPr>
              <w:t>投标文件</w:t>
            </w:r>
            <w:r>
              <w:rPr>
                <w:rFonts w:hint="eastAsia" w:ascii="仿宋" w:hAnsi="仿宋" w:eastAsia="仿宋"/>
                <w:b w:val="0"/>
                <w:bCs/>
                <w:color w:val="000000"/>
                <w:kern w:val="0"/>
              </w:rPr>
              <w:t>是否按招标文件要求编制、</w:t>
            </w:r>
            <w:r>
              <w:rPr>
                <w:rFonts w:hint="eastAsia" w:ascii="仿宋" w:hAnsi="仿宋" w:eastAsia="仿宋"/>
                <w:b w:val="0"/>
                <w:bCs/>
                <w:color w:val="000000"/>
                <w:spacing w:val="-2"/>
              </w:rPr>
              <w:t>签署、盖章；</w:t>
            </w:r>
            <w:r>
              <w:rPr>
                <w:rFonts w:hint="eastAsia" w:ascii="仿宋" w:hAnsi="仿宋" w:eastAsia="仿宋"/>
                <w:b w:val="0"/>
                <w:bCs/>
                <w:color w:val="000000"/>
                <w:kern w:val="0"/>
              </w:rPr>
              <w:t>内容是否全面或字迹是否模糊、辨认不清的；</w:t>
            </w:r>
          </w:p>
        </w:tc>
      </w:tr>
      <w:tr w14:paraId="7FE1C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0330314">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5F36D46">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2</w:t>
            </w:r>
          </w:p>
        </w:tc>
        <w:tc>
          <w:tcPr>
            <w:tcW w:w="6428" w:type="dxa"/>
            <w:vAlign w:val="center"/>
          </w:tcPr>
          <w:p w14:paraId="18F62558">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投标文件</w:t>
            </w:r>
            <w:r>
              <w:rPr>
                <w:rFonts w:hint="eastAsia" w:ascii="仿宋" w:hAnsi="仿宋" w:eastAsia="仿宋"/>
                <w:b w:val="0"/>
                <w:bCs/>
                <w:color w:val="000000"/>
                <w:szCs w:val="21"/>
              </w:rPr>
              <w:t>记载的招标项目完成期限是否未超过招标文件规定的完成期限</w:t>
            </w:r>
            <w:r>
              <w:rPr>
                <w:rFonts w:hint="eastAsia" w:ascii="仿宋" w:hAnsi="仿宋" w:eastAsia="仿宋"/>
                <w:b w:val="0"/>
                <w:bCs/>
                <w:color w:val="000000"/>
                <w:kern w:val="0"/>
              </w:rPr>
              <w:t>；</w:t>
            </w:r>
          </w:p>
        </w:tc>
      </w:tr>
      <w:tr w14:paraId="7FDAAD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494F4B82">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A92AEFD">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3</w:t>
            </w:r>
          </w:p>
        </w:tc>
        <w:tc>
          <w:tcPr>
            <w:tcW w:w="6428" w:type="dxa"/>
            <w:vAlign w:val="center"/>
          </w:tcPr>
          <w:p w14:paraId="397E67BF">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rPr>
            </w:pPr>
            <w:r>
              <w:rPr>
                <w:rFonts w:hint="eastAsia" w:ascii="仿宋" w:hAnsi="仿宋" w:eastAsia="仿宋"/>
                <w:b w:val="0"/>
                <w:bCs/>
                <w:color w:val="000000"/>
              </w:rPr>
              <w:t>评审小组共同确定没有实质上不响应</w:t>
            </w:r>
            <w:r>
              <w:rPr>
                <w:rFonts w:hint="eastAsia" w:ascii="仿宋" w:hAnsi="仿宋" w:eastAsia="仿宋"/>
                <w:b w:val="0"/>
                <w:bCs/>
                <w:color w:val="000000"/>
                <w:szCs w:val="21"/>
              </w:rPr>
              <w:t>招标</w:t>
            </w:r>
            <w:r>
              <w:rPr>
                <w:rFonts w:hint="eastAsia" w:ascii="仿宋" w:hAnsi="仿宋" w:eastAsia="仿宋"/>
                <w:b w:val="0"/>
                <w:bCs/>
                <w:color w:val="000000"/>
              </w:rPr>
              <w:t>文件要求的。</w:t>
            </w:r>
          </w:p>
        </w:tc>
      </w:tr>
      <w:tr w14:paraId="3F4C4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32BEA5F7">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4EB50AB5">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4</w:t>
            </w:r>
          </w:p>
        </w:tc>
        <w:tc>
          <w:tcPr>
            <w:tcW w:w="6428" w:type="dxa"/>
            <w:vAlign w:val="center"/>
          </w:tcPr>
          <w:p w14:paraId="1847FD3F">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rPr>
            </w:pPr>
            <w:r>
              <w:rPr>
                <w:rFonts w:hint="eastAsia" w:ascii="仿宋" w:hAnsi="仿宋" w:eastAsia="仿宋"/>
                <w:b w:val="0"/>
                <w:bCs/>
                <w:color w:val="000000"/>
              </w:rPr>
              <w:t>投标有效期是否满足</w:t>
            </w:r>
            <w:r>
              <w:rPr>
                <w:rFonts w:hint="eastAsia" w:ascii="仿宋" w:hAnsi="仿宋" w:eastAsia="仿宋"/>
                <w:b w:val="0"/>
                <w:bCs/>
                <w:color w:val="000000"/>
                <w:szCs w:val="21"/>
              </w:rPr>
              <w:t>招标</w:t>
            </w:r>
            <w:r>
              <w:rPr>
                <w:rFonts w:hint="eastAsia" w:ascii="仿宋" w:hAnsi="仿宋" w:eastAsia="仿宋"/>
                <w:b w:val="0"/>
                <w:bCs/>
                <w:color w:val="000000"/>
              </w:rPr>
              <w:t>文件要求的；</w:t>
            </w:r>
          </w:p>
        </w:tc>
      </w:tr>
      <w:tr w14:paraId="23A40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0F8CD375">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41A2243C">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5</w:t>
            </w:r>
          </w:p>
        </w:tc>
        <w:tc>
          <w:tcPr>
            <w:tcW w:w="6428" w:type="dxa"/>
            <w:vAlign w:val="center"/>
          </w:tcPr>
          <w:p w14:paraId="1B148118">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投标报价是否高于采购预算价；</w:t>
            </w:r>
          </w:p>
        </w:tc>
      </w:tr>
      <w:tr w14:paraId="6D47B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F0C09AF">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396BE03D">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6</w:t>
            </w:r>
          </w:p>
        </w:tc>
        <w:tc>
          <w:tcPr>
            <w:tcW w:w="6428" w:type="dxa"/>
            <w:vAlign w:val="center"/>
          </w:tcPr>
          <w:p w14:paraId="49554EBA">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是否缴纳投标保证金并与</w:t>
            </w:r>
            <w:r>
              <w:rPr>
                <w:rFonts w:hint="eastAsia" w:ascii="仿宋" w:hAnsi="仿宋" w:eastAsia="仿宋"/>
                <w:b w:val="0"/>
                <w:bCs/>
                <w:color w:val="000000"/>
                <w:szCs w:val="21"/>
              </w:rPr>
              <w:t>招标</w:t>
            </w:r>
            <w:r>
              <w:rPr>
                <w:rFonts w:hint="eastAsia" w:ascii="仿宋" w:hAnsi="仿宋" w:eastAsia="仿宋"/>
                <w:b w:val="0"/>
                <w:bCs/>
                <w:color w:val="000000"/>
                <w:kern w:val="0"/>
              </w:rPr>
              <w:t>文件金额一致</w:t>
            </w:r>
          </w:p>
        </w:tc>
      </w:tr>
      <w:tr w14:paraId="6F4C1E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2FCA6C12">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69D8DE3">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7</w:t>
            </w:r>
          </w:p>
        </w:tc>
        <w:tc>
          <w:tcPr>
            <w:tcW w:w="6428" w:type="dxa"/>
            <w:vAlign w:val="center"/>
          </w:tcPr>
          <w:p w14:paraId="41144DD4">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明显不符合技术规格和技术标准（技术规格、合同条款有偏离情况的）</w:t>
            </w:r>
          </w:p>
        </w:tc>
      </w:tr>
      <w:tr w14:paraId="781752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6261B2BB">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0463DAB6">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8</w:t>
            </w:r>
          </w:p>
        </w:tc>
        <w:tc>
          <w:tcPr>
            <w:tcW w:w="6428" w:type="dxa"/>
            <w:vAlign w:val="center"/>
          </w:tcPr>
          <w:p w14:paraId="5AD94BE7">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商务条款是否有偏离情况的，供应商是否对</w:t>
            </w:r>
            <w:r>
              <w:rPr>
                <w:rFonts w:hint="eastAsia" w:ascii="仿宋" w:hAnsi="仿宋" w:eastAsia="仿宋"/>
                <w:b w:val="0"/>
                <w:bCs/>
                <w:color w:val="000000"/>
                <w:szCs w:val="21"/>
              </w:rPr>
              <w:t>招标</w:t>
            </w:r>
            <w:r>
              <w:rPr>
                <w:rFonts w:hint="eastAsia" w:ascii="仿宋" w:hAnsi="仿宋" w:eastAsia="仿宋"/>
                <w:b w:val="0"/>
                <w:bCs/>
                <w:color w:val="000000"/>
                <w:kern w:val="0"/>
              </w:rPr>
              <w:t>文件所列的所有内容进行投标；</w:t>
            </w:r>
          </w:p>
        </w:tc>
      </w:tr>
      <w:tr w14:paraId="6BA707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1F443B3F">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5365EABF">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9</w:t>
            </w:r>
          </w:p>
        </w:tc>
        <w:tc>
          <w:tcPr>
            <w:tcW w:w="6428" w:type="dxa"/>
            <w:vAlign w:val="center"/>
          </w:tcPr>
          <w:p w14:paraId="039012EE">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投标文件是否附有招标人不能接受条件的；</w:t>
            </w:r>
          </w:p>
        </w:tc>
      </w:tr>
      <w:tr w14:paraId="2E207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1" w:hRule="atLeast"/>
          <w:jc w:val="center"/>
        </w:trPr>
        <w:tc>
          <w:tcPr>
            <w:tcW w:w="737" w:type="dxa"/>
            <w:vMerge w:val="continue"/>
            <w:vAlign w:val="top"/>
          </w:tcPr>
          <w:p w14:paraId="5094ED29">
            <w:pPr>
              <w:keepNext w:val="0"/>
              <w:keepLines w:val="0"/>
              <w:suppressLineNumbers w:val="0"/>
              <w:spacing w:before="0" w:beforeAutospacing="0" w:after="0" w:afterAutospacing="0"/>
              <w:ind w:left="0" w:right="0" w:firstLine="360"/>
              <w:rPr>
                <w:rFonts w:hint="default" w:ascii="仿宋" w:hAnsi="仿宋" w:eastAsia="仿宋"/>
                <w:b w:val="0"/>
                <w:bCs/>
                <w:color w:val="000000"/>
                <w:sz w:val="18"/>
              </w:rPr>
            </w:pPr>
          </w:p>
        </w:tc>
        <w:tc>
          <w:tcPr>
            <w:tcW w:w="815" w:type="dxa"/>
            <w:vAlign w:val="bottom"/>
          </w:tcPr>
          <w:p w14:paraId="2CAC8DB4">
            <w:pPr>
              <w:keepNext w:val="0"/>
              <w:keepLines w:val="0"/>
              <w:suppressLineNumbers w:val="0"/>
              <w:spacing w:before="0" w:beforeAutospacing="0" w:after="0" w:afterAutospacing="0"/>
              <w:ind w:left="0" w:right="0"/>
              <w:jc w:val="center"/>
              <w:rPr>
                <w:rFonts w:hint="eastAsia" w:ascii="仿宋" w:hAnsi="仿宋" w:eastAsia="仿宋"/>
                <w:b w:val="0"/>
                <w:bCs/>
                <w:color w:val="000000"/>
              </w:rPr>
            </w:pPr>
            <w:r>
              <w:rPr>
                <w:rFonts w:hint="eastAsia" w:ascii="仿宋" w:hAnsi="仿宋" w:eastAsia="仿宋"/>
                <w:b w:val="0"/>
                <w:bCs/>
                <w:color w:val="000000"/>
              </w:rPr>
              <w:t>10</w:t>
            </w:r>
          </w:p>
        </w:tc>
        <w:tc>
          <w:tcPr>
            <w:tcW w:w="6428" w:type="dxa"/>
            <w:vAlign w:val="center"/>
          </w:tcPr>
          <w:p w14:paraId="6513E145">
            <w:pPr>
              <w:keepNext w:val="0"/>
              <w:keepLines w:val="0"/>
              <w:suppressLineNumbers w:val="0"/>
              <w:spacing w:before="0" w:beforeAutospacing="0" w:after="0" w:afterAutospacing="0"/>
              <w:ind w:left="105" w:right="62" w:hanging="105" w:hangingChars="50"/>
              <w:jc w:val="left"/>
              <w:rPr>
                <w:rFonts w:hint="eastAsia" w:ascii="仿宋" w:hAnsi="仿宋" w:eastAsia="仿宋"/>
                <w:b w:val="0"/>
                <w:bCs/>
                <w:color w:val="000000"/>
                <w:kern w:val="0"/>
              </w:rPr>
            </w:pPr>
            <w:r>
              <w:rPr>
                <w:rFonts w:hint="eastAsia" w:ascii="仿宋" w:hAnsi="仿宋" w:eastAsia="仿宋"/>
                <w:b w:val="0"/>
                <w:bCs/>
                <w:color w:val="000000"/>
                <w:kern w:val="0"/>
              </w:rPr>
              <w:t>是否存在法律、法规和招标文件规定的其他无效情形；</w:t>
            </w:r>
          </w:p>
        </w:tc>
      </w:tr>
    </w:tbl>
    <w:p w14:paraId="5823989A">
      <w:pPr>
        <w:pStyle w:val="33"/>
        <w:tabs>
          <w:tab w:val="clear" w:pos="567"/>
        </w:tabs>
        <w:spacing w:before="0" w:line="240" w:lineRule="auto"/>
        <w:rPr>
          <w:rFonts w:ascii="仿宋" w:hAnsi="仿宋" w:eastAsia="仿宋"/>
          <w:b w:val="0"/>
          <w:bCs/>
          <w:color w:val="000000"/>
          <w:spacing w:val="-2"/>
        </w:rPr>
      </w:pPr>
    </w:p>
    <w:p w14:paraId="14375FF4">
      <w:pPr>
        <w:rPr>
          <w:rFonts w:hint="eastAsia" w:ascii="仿宋" w:hAnsi="仿宋" w:eastAsia="仿宋"/>
          <w:b w:val="0"/>
          <w:bCs/>
          <w:color w:val="000000"/>
          <w:szCs w:val="21"/>
        </w:rPr>
      </w:pPr>
      <w:r>
        <w:rPr>
          <w:rFonts w:hint="eastAsia" w:ascii="仿宋" w:hAnsi="仿宋" w:eastAsia="仿宋"/>
          <w:b w:val="0"/>
          <w:bCs/>
          <w:color w:val="000000"/>
          <w:szCs w:val="21"/>
        </w:rPr>
        <w:t>备注：1.如果投标文件中有一项未通过上述审查标准，评标委员会将认定整个投标文件未响应招标文件而予以废标处理。</w:t>
      </w:r>
    </w:p>
    <w:p w14:paraId="2504F169">
      <w:pPr>
        <w:ind w:firstLine="630" w:firstLineChars="300"/>
        <w:rPr>
          <w:rFonts w:hint="eastAsia" w:ascii="仿宋" w:hAnsi="仿宋" w:eastAsia="仿宋"/>
          <w:b w:val="0"/>
          <w:bCs/>
          <w:color w:val="000000"/>
          <w:szCs w:val="21"/>
        </w:rPr>
      </w:pPr>
      <w:r>
        <w:rPr>
          <w:rFonts w:hint="eastAsia" w:ascii="仿宋" w:hAnsi="仿宋" w:eastAsia="仿宋"/>
          <w:b w:val="0"/>
          <w:bCs/>
          <w:color w:val="000000"/>
          <w:szCs w:val="21"/>
          <w:lang w:val="en-US" w:eastAsia="zh-CN"/>
        </w:rPr>
        <w:t>2.</w:t>
      </w:r>
      <w:r>
        <w:rPr>
          <w:rFonts w:hint="eastAsia" w:ascii="仿宋" w:hAnsi="仿宋" w:eastAsia="仿宋"/>
          <w:b w:val="0"/>
          <w:bCs/>
          <w:color w:val="000000"/>
          <w:szCs w:val="21"/>
        </w:rPr>
        <w:t>表中所述分项评审结果分两种：（1）合格用“√”表示；（2）不合格用“×”表示。</w:t>
      </w:r>
    </w:p>
    <w:p w14:paraId="1CD1D839">
      <w:pPr>
        <w:pStyle w:val="33"/>
        <w:tabs>
          <w:tab w:val="clear" w:pos="567"/>
        </w:tabs>
        <w:spacing w:before="0" w:line="360" w:lineRule="auto"/>
        <w:rPr>
          <w:rFonts w:ascii="Times New Roman" w:hAnsi="Times New Roman" w:eastAsia="仿宋"/>
          <w:b w:val="0"/>
          <w:bCs/>
          <w:color w:val="000000"/>
        </w:rPr>
      </w:pPr>
    </w:p>
    <w:p w14:paraId="6EC1DE56">
      <w:pPr>
        <w:pStyle w:val="33"/>
        <w:tabs>
          <w:tab w:val="clear" w:pos="567"/>
        </w:tabs>
        <w:spacing w:before="0" w:line="360" w:lineRule="auto"/>
        <w:rPr>
          <w:rFonts w:hint="eastAsia" w:ascii="仿宋" w:hAnsi="仿宋" w:eastAsia="仿宋"/>
          <w:b/>
          <w:bCs w:val="0"/>
          <w:color w:val="000000"/>
          <w:spacing w:val="-2"/>
        </w:rPr>
      </w:pPr>
      <w:r>
        <w:rPr>
          <w:rFonts w:ascii="Times New Roman" w:hAnsi="Times New Roman" w:eastAsia="仿宋"/>
          <w:b w:val="0"/>
          <w:bCs/>
          <w:color w:val="000000"/>
        </w:rPr>
        <w:br w:type="page"/>
      </w:r>
    </w:p>
    <w:p w14:paraId="79829FAF">
      <w:pPr>
        <w:pStyle w:val="33"/>
        <w:tabs>
          <w:tab w:val="clear" w:pos="567"/>
        </w:tabs>
        <w:spacing w:before="0" w:line="240" w:lineRule="auto"/>
        <w:jc w:val="both"/>
        <w:rPr>
          <w:rFonts w:hint="eastAsia" w:eastAsia="仿宋"/>
          <w:b w:val="0"/>
          <w:bCs/>
          <w:color w:val="000000"/>
          <w:lang w:eastAsia="zh-CN"/>
        </w:rPr>
      </w:pPr>
      <w:r>
        <w:rPr>
          <w:rFonts w:hint="eastAsia" w:ascii="仿宋" w:hAnsi="仿宋" w:eastAsia="仿宋"/>
          <w:b/>
          <w:bCs w:val="0"/>
          <w:color w:val="000000"/>
          <w:spacing w:val="-2"/>
        </w:rPr>
        <w:t>附表二   综合评分法评分标准</w:t>
      </w:r>
    </w:p>
    <w:p w14:paraId="1C4B1878">
      <w:pPr>
        <w:pStyle w:val="33"/>
        <w:tabs>
          <w:tab w:val="clear" w:pos="567"/>
        </w:tabs>
        <w:spacing w:before="0" w:line="240" w:lineRule="auto"/>
        <w:jc w:val="both"/>
        <w:rPr>
          <w:rFonts w:hint="eastAsia" w:ascii="仿宋" w:hAnsi="仿宋" w:eastAsia="仿宋"/>
          <w:b/>
          <w:bCs w:val="0"/>
          <w:color w:val="000000"/>
          <w:spacing w:val="-2"/>
        </w:rPr>
      </w:pPr>
    </w:p>
    <w:tbl>
      <w:tblPr>
        <w:tblStyle w:val="21"/>
        <w:tblW w:w="8895" w:type="dxa"/>
        <w:tblInd w:w="-106" w:type="dxa"/>
        <w:tblLayout w:type="fixed"/>
        <w:tblCellMar>
          <w:top w:w="0" w:type="dxa"/>
          <w:left w:w="108" w:type="dxa"/>
          <w:bottom w:w="0" w:type="dxa"/>
          <w:right w:w="108" w:type="dxa"/>
        </w:tblCellMar>
      </w:tblPr>
      <w:tblGrid>
        <w:gridCol w:w="880"/>
        <w:gridCol w:w="980"/>
        <w:gridCol w:w="6169"/>
        <w:gridCol w:w="866"/>
      </w:tblGrid>
      <w:tr w14:paraId="0AD319D4">
        <w:tblPrEx>
          <w:tblCellMar>
            <w:top w:w="0" w:type="dxa"/>
            <w:left w:w="108" w:type="dxa"/>
            <w:bottom w:w="0" w:type="dxa"/>
            <w:right w:w="108" w:type="dxa"/>
          </w:tblCellMar>
        </w:tblPrEx>
        <w:trPr>
          <w:trHeight w:val="682" w:hRule="atLeast"/>
        </w:trPr>
        <w:tc>
          <w:tcPr>
            <w:tcW w:w="1860" w:type="dxa"/>
            <w:gridSpan w:val="2"/>
            <w:tcBorders>
              <w:top w:val="single" w:color="auto" w:sz="4" w:space="0"/>
              <w:left w:val="single" w:color="auto" w:sz="4" w:space="0"/>
              <w:bottom w:val="single" w:color="auto" w:sz="4" w:space="0"/>
              <w:right w:val="single" w:color="auto" w:sz="4" w:space="0"/>
            </w:tcBorders>
            <w:noWrap w:val="0"/>
            <w:vAlign w:val="center"/>
          </w:tcPr>
          <w:p w14:paraId="1F0EC650">
            <w:pPr>
              <w:keepNext w:val="0"/>
              <w:keepLines w:val="0"/>
              <w:widowControl/>
              <w:suppressLineNumbers w:val="0"/>
              <w:spacing w:before="0" w:beforeAutospacing="0" w:after="0" w:afterAutospacing="0"/>
              <w:ind w:left="0" w:right="0"/>
              <w:jc w:val="center"/>
              <w:rPr>
                <w:rFonts w:hint="eastAsia" w:ascii="仿宋" w:hAnsi="仿宋" w:eastAsia="仿宋" w:cs="仿宋"/>
                <w:b/>
                <w:bCs/>
                <w:color w:val="000000"/>
                <w:kern w:val="0"/>
                <w:sz w:val="18"/>
                <w:szCs w:val="18"/>
              </w:rPr>
            </w:pPr>
            <w:r>
              <w:rPr>
                <w:rFonts w:hint="eastAsia" w:ascii="仿宋" w:hAnsi="仿宋" w:eastAsia="仿宋" w:cs="仿宋"/>
                <w:b/>
                <w:bCs/>
                <w:color w:val="000000"/>
                <w:kern w:val="0"/>
                <w:sz w:val="18"/>
                <w:szCs w:val="18"/>
              </w:rPr>
              <w:t>考核项目</w:t>
            </w:r>
          </w:p>
        </w:tc>
        <w:tc>
          <w:tcPr>
            <w:tcW w:w="6169" w:type="dxa"/>
            <w:tcBorders>
              <w:top w:val="single" w:color="auto" w:sz="4" w:space="0"/>
              <w:left w:val="nil"/>
              <w:bottom w:val="single" w:color="auto" w:sz="4" w:space="0"/>
              <w:right w:val="single" w:color="auto" w:sz="4" w:space="0"/>
            </w:tcBorders>
            <w:noWrap w:val="0"/>
            <w:vAlign w:val="center"/>
          </w:tcPr>
          <w:p w14:paraId="34E1543D">
            <w:pPr>
              <w:keepNext w:val="0"/>
              <w:keepLines w:val="0"/>
              <w:widowControl/>
              <w:suppressLineNumbers w:val="0"/>
              <w:spacing w:before="0" w:beforeAutospacing="0" w:after="0" w:afterAutospacing="0"/>
              <w:ind w:left="0" w:right="0"/>
              <w:jc w:val="center"/>
              <w:rPr>
                <w:rFonts w:hint="eastAsia" w:ascii="仿宋" w:hAnsi="仿宋" w:eastAsia="仿宋" w:cs="仿宋"/>
                <w:b/>
                <w:bCs/>
                <w:color w:val="000000"/>
                <w:kern w:val="0"/>
                <w:sz w:val="18"/>
                <w:szCs w:val="18"/>
              </w:rPr>
            </w:pPr>
            <w:r>
              <w:rPr>
                <w:rFonts w:hint="eastAsia" w:ascii="仿宋" w:hAnsi="仿宋" w:eastAsia="仿宋" w:cs="仿宋"/>
                <w:b/>
                <w:bCs/>
                <w:color w:val="000000"/>
                <w:kern w:val="0"/>
                <w:sz w:val="18"/>
                <w:szCs w:val="18"/>
              </w:rPr>
              <w:t>评分标准</w:t>
            </w:r>
          </w:p>
        </w:tc>
        <w:tc>
          <w:tcPr>
            <w:tcW w:w="866" w:type="dxa"/>
            <w:tcBorders>
              <w:top w:val="single" w:color="auto" w:sz="4" w:space="0"/>
              <w:left w:val="nil"/>
              <w:bottom w:val="single" w:color="auto" w:sz="4" w:space="0"/>
              <w:right w:val="single" w:color="auto" w:sz="4" w:space="0"/>
            </w:tcBorders>
            <w:noWrap w:val="0"/>
            <w:vAlign w:val="center"/>
          </w:tcPr>
          <w:p w14:paraId="21FBA4C6">
            <w:pPr>
              <w:keepNext w:val="0"/>
              <w:keepLines w:val="0"/>
              <w:widowControl/>
              <w:suppressLineNumbers w:val="0"/>
              <w:spacing w:before="0" w:beforeAutospacing="0" w:after="0" w:afterAutospacing="0"/>
              <w:ind w:left="0" w:right="0"/>
              <w:jc w:val="center"/>
              <w:rPr>
                <w:rFonts w:hint="eastAsia" w:ascii="仿宋" w:hAnsi="仿宋" w:eastAsia="仿宋" w:cs="仿宋"/>
                <w:b/>
                <w:bCs/>
                <w:color w:val="000000"/>
                <w:kern w:val="0"/>
                <w:sz w:val="18"/>
                <w:szCs w:val="18"/>
              </w:rPr>
            </w:pPr>
            <w:r>
              <w:rPr>
                <w:rFonts w:hint="eastAsia" w:ascii="仿宋" w:hAnsi="仿宋" w:eastAsia="仿宋" w:cs="仿宋"/>
                <w:b/>
                <w:bCs/>
                <w:color w:val="000000"/>
                <w:kern w:val="0"/>
                <w:sz w:val="18"/>
                <w:szCs w:val="18"/>
              </w:rPr>
              <w:t>投标人。。。　</w:t>
            </w:r>
          </w:p>
        </w:tc>
      </w:tr>
      <w:tr w14:paraId="351A2A5A">
        <w:tblPrEx>
          <w:tblCellMar>
            <w:top w:w="0" w:type="dxa"/>
            <w:left w:w="108" w:type="dxa"/>
            <w:bottom w:w="0" w:type="dxa"/>
            <w:right w:w="108" w:type="dxa"/>
          </w:tblCellMar>
        </w:tblPrEx>
        <w:trPr>
          <w:trHeight w:val="1538" w:hRule="atLeast"/>
        </w:trPr>
        <w:tc>
          <w:tcPr>
            <w:tcW w:w="880" w:type="dxa"/>
            <w:tcBorders>
              <w:top w:val="nil"/>
              <w:left w:val="single" w:color="auto" w:sz="4" w:space="0"/>
              <w:bottom w:val="single" w:color="auto" w:sz="4" w:space="0"/>
              <w:right w:val="single" w:color="auto" w:sz="4" w:space="0"/>
            </w:tcBorders>
            <w:noWrap w:val="0"/>
            <w:vAlign w:val="center"/>
          </w:tcPr>
          <w:p w14:paraId="40FF868D">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价格部分（30分）</w:t>
            </w:r>
          </w:p>
        </w:tc>
        <w:tc>
          <w:tcPr>
            <w:tcW w:w="7149" w:type="dxa"/>
            <w:gridSpan w:val="2"/>
            <w:tcBorders>
              <w:top w:val="single" w:color="auto" w:sz="4" w:space="0"/>
              <w:left w:val="nil"/>
              <w:bottom w:val="single" w:color="auto" w:sz="4" w:space="0"/>
              <w:right w:val="single" w:color="auto" w:sz="4" w:space="0"/>
            </w:tcBorders>
            <w:noWrap w:val="0"/>
            <w:vAlign w:val="center"/>
          </w:tcPr>
          <w:p w14:paraId="5C1CAA90">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评标基准价／投标报价)×价格权值×100；计算分数时四舍五入取小数点后两位,分数最高不超过30分。由监标人员负责核准每个合格供应商的价格得分。</w:t>
            </w:r>
          </w:p>
        </w:tc>
        <w:tc>
          <w:tcPr>
            <w:tcW w:w="866" w:type="dxa"/>
            <w:tcBorders>
              <w:top w:val="nil"/>
              <w:left w:val="nil"/>
              <w:bottom w:val="single" w:color="auto" w:sz="4" w:space="0"/>
              <w:right w:val="single" w:color="auto" w:sz="4" w:space="0"/>
            </w:tcBorders>
            <w:noWrap w:val="0"/>
            <w:vAlign w:val="center"/>
          </w:tcPr>
          <w:p w14:paraId="6F7F42D9">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8"/>
                <w:szCs w:val="28"/>
              </w:rPr>
            </w:pPr>
            <w:r>
              <w:rPr>
                <w:rFonts w:hint="eastAsia" w:ascii="仿宋" w:hAnsi="仿宋" w:eastAsia="仿宋" w:cs="仿宋"/>
                <w:color w:val="000000"/>
                <w:kern w:val="0"/>
                <w:sz w:val="28"/>
                <w:szCs w:val="28"/>
              </w:rPr>
              <w:t>　</w:t>
            </w:r>
          </w:p>
        </w:tc>
      </w:tr>
      <w:tr w14:paraId="2B8963E1">
        <w:tblPrEx>
          <w:tblCellMar>
            <w:top w:w="0" w:type="dxa"/>
            <w:left w:w="108" w:type="dxa"/>
            <w:bottom w:w="0" w:type="dxa"/>
            <w:right w:w="108" w:type="dxa"/>
          </w:tblCellMar>
        </w:tblPrEx>
        <w:trPr>
          <w:trHeight w:val="1305" w:hRule="atLeast"/>
        </w:trPr>
        <w:tc>
          <w:tcPr>
            <w:tcW w:w="880" w:type="dxa"/>
            <w:vMerge w:val="restart"/>
            <w:tcBorders>
              <w:top w:val="nil"/>
              <w:left w:val="single" w:color="auto" w:sz="4" w:space="0"/>
              <w:bottom w:val="single" w:color="auto" w:sz="4" w:space="0"/>
              <w:right w:val="single" w:color="auto" w:sz="4" w:space="0"/>
            </w:tcBorders>
            <w:noWrap w:val="0"/>
            <w:vAlign w:val="center"/>
          </w:tcPr>
          <w:p w14:paraId="39BEBACC">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技术部分（</w:t>
            </w:r>
            <w:r>
              <w:rPr>
                <w:rFonts w:hint="eastAsia" w:ascii="仿宋" w:hAnsi="仿宋" w:eastAsia="仿宋" w:cs="仿宋"/>
                <w:color w:val="000000"/>
                <w:kern w:val="0"/>
                <w:sz w:val="18"/>
                <w:szCs w:val="18"/>
                <w:lang w:val="en-US" w:eastAsia="zh-CN"/>
              </w:rPr>
              <w:t>60</w:t>
            </w:r>
            <w:r>
              <w:rPr>
                <w:rFonts w:hint="eastAsia" w:ascii="仿宋" w:hAnsi="仿宋" w:eastAsia="仿宋" w:cs="仿宋"/>
                <w:color w:val="000000"/>
                <w:kern w:val="0"/>
                <w:sz w:val="18"/>
                <w:szCs w:val="18"/>
              </w:rPr>
              <w:t>分）</w:t>
            </w:r>
          </w:p>
        </w:tc>
        <w:tc>
          <w:tcPr>
            <w:tcW w:w="980" w:type="dxa"/>
            <w:tcBorders>
              <w:top w:val="nil"/>
              <w:left w:val="nil"/>
              <w:bottom w:val="single" w:color="auto" w:sz="4" w:space="0"/>
              <w:right w:val="single" w:color="auto" w:sz="4" w:space="0"/>
            </w:tcBorders>
            <w:noWrap w:val="0"/>
            <w:vAlign w:val="center"/>
          </w:tcPr>
          <w:p w14:paraId="2F60B925">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保安服务实施方案的合理性（24分)</w:t>
            </w:r>
          </w:p>
        </w:tc>
        <w:tc>
          <w:tcPr>
            <w:tcW w:w="6169" w:type="dxa"/>
            <w:tcBorders>
              <w:top w:val="nil"/>
              <w:left w:val="nil"/>
              <w:bottom w:val="single" w:color="auto" w:sz="4" w:space="0"/>
              <w:right w:val="single" w:color="auto" w:sz="4" w:space="0"/>
            </w:tcBorders>
            <w:noWrap w:val="0"/>
            <w:vAlign w:val="center"/>
          </w:tcPr>
          <w:p w14:paraId="54E37F6D">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保安</w:t>
            </w:r>
            <w:r>
              <w:rPr>
                <w:rFonts w:hint="eastAsia" w:ascii="仿宋" w:hAnsi="仿宋" w:eastAsia="仿宋" w:cs="仿宋"/>
                <w:color w:val="000000"/>
                <w:kern w:val="0"/>
                <w:sz w:val="18"/>
                <w:szCs w:val="18"/>
                <w:lang w:eastAsia="zh-CN"/>
              </w:rPr>
              <w:t>服务实施</w:t>
            </w:r>
            <w:r>
              <w:rPr>
                <w:rFonts w:hint="eastAsia" w:ascii="仿宋" w:hAnsi="仿宋" w:eastAsia="仿宋" w:cs="仿宋"/>
                <w:color w:val="000000"/>
                <w:kern w:val="0"/>
                <w:sz w:val="18"/>
                <w:szCs w:val="18"/>
              </w:rPr>
              <w:t>方案（</w:t>
            </w:r>
            <w:r>
              <w:rPr>
                <w:rFonts w:hint="eastAsia" w:ascii="仿宋" w:hAnsi="仿宋" w:eastAsia="仿宋" w:cs="仿宋"/>
                <w:color w:val="000000"/>
                <w:kern w:val="0"/>
                <w:sz w:val="18"/>
                <w:szCs w:val="18"/>
                <w:lang w:val="en-US" w:eastAsia="zh-CN"/>
              </w:rPr>
              <w:t>24</w:t>
            </w:r>
            <w:r>
              <w:rPr>
                <w:rFonts w:hint="eastAsia" w:ascii="仿宋" w:hAnsi="仿宋" w:eastAsia="仿宋" w:cs="仿宋"/>
                <w:color w:val="000000"/>
                <w:kern w:val="0"/>
                <w:sz w:val="18"/>
                <w:szCs w:val="18"/>
              </w:rPr>
              <w:t>分）：根据投标人对本项目实际情况做出的</w:t>
            </w:r>
            <w:r>
              <w:rPr>
                <w:rFonts w:hint="eastAsia" w:ascii="仿宋" w:hAnsi="仿宋" w:eastAsia="仿宋" w:cs="仿宋"/>
                <w:color w:val="000000"/>
                <w:kern w:val="0"/>
                <w:sz w:val="18"/>
                <w:szCs w:val="18"/>
                <w:lang w:val="en-US" w:eastAsia="zh-CN"/>
              </w:rPr>
              <w:t>实施方案要求包括：1.管理服务水平的整体设想及策划；2.拟采取的管理方式、3.工作计划和安保物资装备计划；4.管理规章制度；5.智能化系统的管理、维护计划；6.管理、检查、考核及奖惩措施等。</w:t>
            </w:r>
          </w:p>
          <w:p w14:paraId="5DE94682">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评标委员会根据各投标人方案内容完整度及可行性进行评审，评审内容包含6项，项目服务实施方案内容完整可行最多得24分，每有一小项内容描述清晰完整可行得4分，内容一般符合要求的得3分，描述不清晰或有缺失内容的得2分。</w:t>
            </w:r>
          </w:p>
        </w:tc>
        <w:tc>
          <w:tcPr>
            <w:tcW w:w="866" w:type="dxa"/>
            <w:tcBorders>
              <w:top w:val="nil"/>
              <w:left w:val="nil"/>
              <w:bottom w:val="single" w:color="auto" w:sz="4" w:space="0"/>
              <w:right w:val="single" w:color="auto" w:sz="4" w:space="0"/>
            </w:tcBorders>
            <w:noWrap w:val="0"/>
            <w:vAlign w:val="top"/>
          </w:tcPr>
          <w:p w14:paraId="3921DFA3">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　</w:t>
            </w:r>
          </w:p>
        </w:tc>
      </w:tr>
      <w:tr w14:paraId="46B1D4B9">
        <w:tblPrEx>
          <w:tblCellMar>
            <w:top w:w="0" w:type="dxa"/>
            <w:left w:w="108" w:type="dxa"/>
            <w:bottom w:w="0" w:type="dxa"/>
            <w:right w:w="108" w:type="dxa"/>
          </w:tblCellMar>
        </w:tblPrEx>
        <w:trPr>
          <w:trHeight w:val="1132" w:hRule="atLeast"/>
        </w:trPr>
        <w:tc>
          <w:tcPr>
            <w:tcW w:w="880" w:type="dxa"/>
            <w:vMerge w:val="continue"/>
            <w:tcBorders>
              <w:left w:val="single" w:color="auto" w:sz="4" w:space="0"/>
              <w:right w:val="single" w:color="auto" w:sz="4" w:space="0"/>
            </w:tcBorders>
            <w:noWrap w:val="0"/>
            <w:vAlign w:val="center"/>
          </w:tcPr>
          <w:p w14:paraId="769C4453">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p>
        </w:tc>
        <w:tc>
          <w:tcPr>
            <w:tcW w:w="980" w:type="dxa"/>
            <w:tcBorders>
              <w:top w:val="nil"/>
              <w:left w:val="nil"/>
              <w:bottom w:val="single" w:color="auto" w:sz="4" w:space="0"/>
              <w:right w:val="single" w:color="auto" w:sz="4" w:space="0"/>
            </w:tcBorders>
            <w:noWrap w:val="0"/>
            <w:vAlign w:val="center"/>
          </w:tcPr>
          <w:p w14:paraId="4099E80D">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应急预案（4分)</w:t>
            </w:r>
          </w:p>
        </w:tc>
        <w:tc>
          <w:tcPr>
            <w:tcW w:w="6169" w:type="dxa"/>
            <w:tcBorders>
              <w:top w:val="nil"/>
              <w:left w:val="nil"/>
              <w:bottom w:val="single" w:color="auto" w:sz="4" w:space="0"/>
              <w:right w:val="single" w:color="auto" w:sz="4" w:space="0"/>
            </w:tcBorders>
            <w:noWrap w:val="0"/>
            <w:vAlign w:val="center"/>
          </w:tcPr>
          <w:p w14:paraId="2106FC08">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应急预案（4分)：针对本项目制定合理完善的应急预案及应急措施，对重大事件和节假日有科学合理的管理方案及措施，由评委进行综合评价。应急预案及管理方案完善优于要求的得4分，较好的得3分，一般得2分，较差得1分，不提供不得分。</w:t>
            </w:r>
          </w:p>
        </w:tc>
        <w:tc>
          <w:tcPr>
            <w:tcW w:w="866" w:type="dxa"/>
            <w:tcBorders>
              <w:top w:val="nil"/>
              <w:left w:val="nil"/>
              <w:bottom w:val="single" w:color="auto" w:sz="4" w:space="0"/>
              <w:right w:val="single" w:color="auto" w:sz="4" w:space="0"/>
            </w:tcBorders>
            <w:noWrap w:val="0"/>
            <w:vAlign w:val="top"/>
          </w:tcPr>
          <w:p w14:paraId="3CBAF10B">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p>
        </w:tc>
      </w:tr>
      <w:tr w14:paraId="3318019A">
        <w:tblPrEx>
          <w:tblCellMar>
            <w:top w:w="0" w:type="dxa"/>
            <w:left w:w="108" w:type="dxa"/>
            <w:bottom w:w="0" w:type="dxa"/>
            <w:right w:w="108" w:type="dxa"/>
          </w:tblCellMar>
        </w:tblPrEx>
        <w:trPr>
          <w:trHeight w:val="90" w:hRule="atLeast"/>
        </w:trPr>
        <w:tc>
          <w:tcPr>
            <w:tcW w:w="880" w:type="dxa"/>
            <w:vMerge w:val="continue"/>
            <w:tcBorders>
              <w:top w:val="nil"/>
              <w:left w:val="single" w:color="auto" w:sz="4" w:space="0"/>
              <w:bottom w:val="single" w:color="auto" w:sz="4" w:space="0"/>
              <w:right w:val="single" w:color="auto" w:sz="4" w:space="0"/>
            </w:tcBorders>
            <w:noWrap w:val="0"/>
            <w:vAlign w:val="center"/>
          </w:tcPr>
          <w:p w14:paraId="61850DAA">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rPr>
            </w:pPr>
          </w:p>
        </w:tc>
        <w:tc>
          <w:tcPr>
            <w:tcW w:w="980" w:type="dxa"/>
            <w:tcBorders>
              <w:top w:val="nil"/>
              <w:left w:val="nil"/>
              <w:bottom w:val="single" w:color="auto" w:sz="4" w:space="0"/>
              <w:right w:val="single" w:color="auto" w:sz="4" w:space="0"/>
            </w:tcBorders>
            <w:noWrap w:val="0"/>
            <w:vAlign w:val="center"/>
          </w:tcPr>
          <w:p w14:paraId="6C331D24">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培训计划（3分）</w:t>
            </w:r>
          </w:p>
        </w:tc>
        <w:tc>
          <w:tcPr>
            <w:tcW w:w="6169" w:type="dxa"/>
            <w:tcBorders>
              <w:top w:val="nil"/>
              <w:left w:val="nil"/>
              <w:bottom w:val="single" w:color="auto" w:sz="4" w:space="0"/>
              <w:right w:val="single" w:color="auto" w:sz="4" w:space="0"/>
            </w:tcBorders>
            <w:noWrap w:val="0"/>
            <w:vAlign w:val="center"/>
          </w:tcPr>
          <w:p w14:paraId="2C6FDD5B">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培训计划（3分）：根据项目情况制定详细明确的培训方案，培训方案包括培训目标、培训方式及内容等，培训计划优于需求的得3分，内容不够详细但能满足需求的得2分，较差得1分，不提供不得分。</w:t>
            </w:r>
          </w:p>
        </w:tc>
        <w:tc>
          <w:tcPr>
            <w:tcW w:w="866" w:type="dxa"/>
            <w:tcBorders>
              <w:top w:val="nil"/>
              <w:left w:val="nil"/>
              <w:bottom w:val="single" w:color="auto" w:sz="4" w:space="0"/>
              <w:right w:val="single" w:color="auto" w:sz="4" w:space="0"/>
            </w:tcBorders>
            <w:noWrap w:val="0"/>
            <w:vAlign w:val="top"/>
          </w:tcPr>
          <w:p w14:paraId="0CC3F52B">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　</w:t>
            </w:r>
          </w:p>
        </w:tc>
      </w:tr>
      <w:tr w14:paraId="06BBB916">
        <w:tblPrEx>
          <w:tblCellMar>
            <w:top w:w="0" w:type="dxa"/>
            <w:left w:w="108" w:type="dxa"/>
            <w:bottom w:w="0" w:type="dxa"/>
            <w:right w:w="108" w:type="dxa"/>
          </w:tblCellMar>
        </w:tblPrEx>
        <w:trPr>
          <w:trHeight w:val="1162" w:hRule="atLeast"/>
        </w:trPr>
        <w:tc>
          <w:tcPr>
            <w:tcW w:w="880" w:type="dxa"/>
            <w:vMerge w:val="continue"/>
            <w:tcBorders>
              <w:top w:val="nil"/>
              <w:left w:val="single" w:color="auto" w:sz="4" w:space="0"/>
              <w:bottom w:val="single" w:color="auto" w:sz="4" w:space="0"/>
              <w:right w:val="single" w:color="auto" w:sz="4" w:space="0"/>
            </w:tcBorders>
            <w:noWrap w:val="0"/>
            <w:vAlign w:val="center"/>
          </w:tcPr>
          <w:p w14:paraId="00E476C5">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rPr>
            </w:pPr>
          </w:p>
        </w:tc>
        <w:tc>
          <w:tcPr>
            <w:tcW w:w="980" w:type="dxa"/>
            <w:tcBorders>
              <w:top w:val="nil"/>
              <w:left w:val="nil"/>
              <w:bottom w:val="single" w:color="auto" w:sz="4" w:space="0"/>
              <w:right w:val="single" w:color="auto" w:sz="4" w:space="0"/>
            </w:tcBorders>
            <w:noWrap w:val="0"/>
            <w:vAlign w:val="center"/>
          </w:tcPr>
          <w:p w14:paraId="1A31A34A">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项目投入管理人员及其他从业人员情况（12分）</w:t>
            </w:r>
          </w:p>
        </w:tc>
        <w:tc>
          <w:tcPr>
            <w:tcW w:w="6169" w:type="dxa"/>
            <w:tcBorders>
              <w:top w:val="nil"/>
              <w:left w:val="nil"/>
              <w:bottom w:val="single" w:color="auto" w:sz="4" w:space="0"/>
              <w:right w:val="single" w:color="auto" w:sz="4" w:space="0"/>
            </w:tcBorders>
            <w:noWrap w:val="0"/>
            <w:vAlign w:val="center"/>
          </w:tcPr>
          <w:p w14:paraId="0161A629">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项目投入管理人员及其他从业人员情况（12分）</w:t>
            </w:r>
          </w:p>
          <w:p w14:paraId="63F8F4DF">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1.保安班长评价（3分）：保安服务经验和综合素质方面，一般的 1分，良好的2分，优秀的3分。（按所提供的保安班长的基本情况表、服务经验进行综合评比）</w:t>
            </w:r>
          </w:p>
          <w:p w14:paraId="0DB9E9B1">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2.其他从业人员评价（9分）：提供岗位设置及配备情况（包括但不限于1.人员年龄区间、2.男女比例、3.岗位明细、4.每个岗位的工作总时间、5.加班安排、6.每个岗位的总人数、7.每人每天上班时间、8.员工工资、9.社保缴纳等）得9分，每有一项低于采购要求或缺少一项的扣1分，扣至0分为止。</w:t>
            </w:r>
          </w:p>
        </w:tc>
        <w:tc>
          <w:tcPr>
            <w:tcW w:w="866" w:type="dxa"/>
            <w:tcBorders>
              <w:top w:val="nil"/>
              <w:left w:val="nil"/>
              <w:bottom w:val="single" w:color="auto" w:sz="4" w:space="0"/>
              <w:right w:val="single" w:color="auto" w:sz="4" w:space="0"/>
            </w:tcBorders>
            <w:noWrap w:val="0"/>
            <w:vAlign w:val="top"/>
          </w:tcPr>
          <w:p w14:paraId="3D8E6535">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　</w:t>
            </w:r>
          </w:p>
        </w:tc>
      </w:tr>
      <w:tr w14:paraId="4FFEEF22">
        <w:tblPrEx>
          <w:tblCellMar>
            <w:top w:w="0" w:type="dxa"/>
            <w:left w:w="108" w:type="dxa"/>
            <w:bottom w:w="0" w:type="dxa"/>
            <w:right w:w="108" w:type="dxa"/>
          </w:tblCellMar>
        </w:tblPrEx>
        <w:trPr>
          <w:trHeight w:val="832" w:hRule="atLeast"/>
        </w:trPr>
        <w:tc>
          <w:tcPr>
            <w:tcW w:w="880" w:type="dxa"/>
            <w:vMerge w:val="continue"/>
            <w:tcBorders>
              <w:top w:val="nil"/>
              <w:left w:val="single" w:color="auto" w:sz="4" w:space="0"/>
              <w:bottom w:val="single" w:color="auto" w:sz="4" w:space="0"/>
              <w:right w:val="single" w:color="auto" w:sz="4" w:space="0"/>
            </w:tcBorders>
            <w:noWrap w:val="0"/>
            <w:vAlign w:val="center"/>
          </w:tcPr>
          <w:p w14:paraId="2E3A16B0">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rPr>
            </w:pPr>
          </w:p>
        </w:tc>
        <w:tc>
          <w:tcPr>
            <w:tcW w:w="980" w:type="dxa"/>
            <w:tcBorders>
              <w:top w:val="nil"/>
              <w:left w:val="nil"/>
              <w:bottom w:val="single" w:color="auto" w:sz="4" w:space="0"/>
              <w:right w:val="single" w:color="auto" w:sz="4" w:space="0"/>
            </w:tcBorders>
            <w:noWrap w:val="0"/>
            <w:vAlign w:val="center"/>
          </w:tcPr>
          <w:p w14:paraId="4225FEB8">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项目投入的设施设备（5分）</w:t>
            </w:r>
          </w:p>
        </w:tc>
        <w:tc>
          <w:tcPr>
            <w:tcW w:w="6169" w:type="dxa"/>
            <w:tcBorders>
              <w:top w:val="nil"/>
              <w:left w:val="nil"/>
              <w:bottom w:val="single" w:color="auto" w:sz="4" w:space="0"/>
              <w:right w:val="single" w:color="auto" w:sz="4" w:space="0"/>
            </w:tcBorders>
            <w:noWrap w:val="0"/>
            <w:vAlign w:val="center"/>
          </w:tcPr>
          <w:p w14:paraId="5A14F50B">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项目投入的设施设备（5分）：为满足招标文件要求拟配置的设备、工具、器械等齐全完备得5分，每有一处不足或缺少一项的扣0.5分，扣至0分为止。</w:t>
            </w:r>
          </w:p>
        </w:tc>
        <w:tc>
          <w:tcPr>
            <w:tcW w:w="866" w:type="dxa"/>
            <w:tcBorders>
              <w:top w:val="nil"/>
              <w:left w:val="nil"/>
              <w:bottom w:val="single" w:color="auto" w:sz="4" w:space="0"/>
              <w:right w:val="single" w:color="auto" w:sz="4" w:space="0"/>
            </w:tcBorders>
            <w:noWrap w:val="0"/>
            <w:vAlign w:val="top"/>
          </w:tcPr>
          <w:p w14:paraId="515F2067">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　</w:t>
            </w:r>
          </w:p>
        </w:tc>
      </w:tr>
      <w:tr w14:paraId="284E3B79">
        <w:tblPrEx>
          <w:tblCellMar>
            <w:top w:w="0" w:type="dxa"/>
            <w:left w:w="108" w:type="dxa"/>
            <w:bottom w:w="0" w:type="dxa"/>
            <w:right w:w="108" w:type="dxa"/>
          </w:tblCellMar>
        </w:tblPrEx>
        <w:trPr>
          <w:trHeight w:val="90" w:hRule="atLeast"/>
        </w:trPr>
        <w:tc>
          <w:tcPr>
            <w:tcW w:w="880" w:type="dxa"/>
            <w:vMerge w:val="continue"/>
            <w:tcBorders>
              <w:top w:val="nil"/>
              <w:left w:val="single" w:color="auto" w:sz="4" w:space="0"/>
              <w:bottom w:val="single" w:color="auto" w:sz="4" w:space="0"/>
              <w:right w:val="single" w:color="auto" w:sz="4" w:space="0"/>
            </w:tcBorders>
            <w:noWrap w:val="0"/>
            <w:vAlign w:val="center"/>
          </w:tcPr>
          <w:p w14:paraId="1D874B02">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rPr>
            </w:pPr>
          </w:p>
        </w:tc>
        <w:tc>
          <w:tcPr>
            <w:tcW w:w="980" w:type="dxa"/>
            <w:tcBorders>
              <w:top w:val="nil"/>
              <w:left w:val="nil"/>
              <w:bottom w:val="single" w:color="auto" w:sz="4" w:space="0"/>
              <w:right w:val="single" w:color="auto" w:sz="4" w:space="0"/>
            </w:tcBorders>
            <w:noWrap w:val="0"/>
            <w:vAlign w:val="center"/>
          </w:tcPr>
          <w:p w14:paraId="794C0D2F">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管理制度及考核方案（12分）</w:t>
            </w:r>
          </w:p>
        </w:tc>
        <w:tc>
          <w:tcPr>
            <w:tcW w:w="6169" w:type="dxa"/>
            <w:tcBorders>
              <w:top w:val="nil"/>
              <w:left w:val="nil"/>
              <w:bottom w:val="single" w:color="auto" w:sz="4" w:space="0"/>
              <w:right w:val="single" w:color="auto" w:sz="4" w:space="0"/>
            </w:tcBorders>
            <w:noWrap w:val="0"/>
            <w:vAlign w:val="center"/>
          </w:tcPr>
          <w:p w14:paraId="7727FCB0">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eastAsia="zh-CN"/>
              </w:rPr>
            </w:pPr>
            <w:r>
              <w:rPr>
                <w:rFonts w:hint="eastAsia" w:ascii="仿宋" w:hAnsi="仿宋" w:eastAsia="仿宋" w:cs="仿宋"/>
                <w:color w:val="000000"/>
                <w:kern w:val="0"/>
                <w:sz w:val="18"/>
                <w:szCs w:val="18"/>
              </w:rPr>
              <w:t>管理制度及考核方</w:t>
            </w:r>
            <w:r>
              <w:rPr>
                <w:rFonts w:hint="eastAsia" w:ascii="仿宋" w:hAnsi="仿宋" w:eastAsia="仿宋" w:cs="仿宋"/>
                <w:color w:val="000000"/>
                <w:kern w:val="0"/>
                <w:sz w:val="18"/>
                <w:szCs w:val="18"/>
                <w:lang w:val="en-US" w:eastAsia="zh-CN"/>
              </w:rPr>
              <w:t>案</w:t>
            </w:r>
            <w:r>
              <w:rPr>
                <w:rFonts w:hint="eastAsia" w:ascii="仿宋" w:hAnsi="仿宋" w:eastAsia="仿宋" w:cs="仿宋"/>
                <w:color w:val="000000"/>
                <w:kern w:val="0"/>
                <w:sz w:val="18"/>
                <w:szCs w:val="18"/>
              </w:rPr>
              <w:t>（1</w:t>
            </w:r>
            <w:r>
              <w:rPr>
                <w:rFonts w:hint="eastAsia" w:ascii="仿宋" w:hAnsi="仿宋" w:eastAsia="仿宋" w:cs="仿宋"/>
                <w:color w:val="000000"/>
                <w:kern w:val="0"/>
                <w:sz w:val="18"/>
                <w:szCs w:val="18"/>
                <w:lang w:val="en-US" w:eastAsia="zh-CN"/>
              </w:rPr>
              <w:t>2</w:t>
            </w:r>
            <w:r>
              <w:rPr>
                <w:rFonts w:hint="eastAsia" w:ascii="仿宋" w:hAnsi="仿宋" w:eastAsia="仿宋" w:cs="仿宋"/>
                <w:color w:val="000000"/>
                <w:kern w:val="0"/>
                <w:sz w:val="18"/>
                <w:szCs w:val="18"/>
              </w:rPr>
              <w:t>分</w:t>
            </w:r>
            <w:r>
              <w:rPr>
                <w:rFonts w:hint="eastAsia" w:ascii="仿宋" w:hAnsi="仿宋" w:eastAsia="仿宋" w:cs="仿宋"/>
                <w:color w:val="000000"/>
                <w:kern w:val="0"/>
                <w:sz w:val="18"/>
                <w:szCs w:val="18"/>
                <w:lang w:eastAsia="zh-CN"/>
              </w:rPr>
              <w:t>）</w:t>
            </w:r>
            <w:r>
              <w:rPr>
                <w:rFonts w:hint="eastAsia" w:ascii="仿宋" w:hAnsi="仿宋" w:eastAsia="仿宋" w:cs="仿宋"/>
                <w:color w:val="000000"/>
                <w:kern w:val="0"/>
                <w:sz w:val="18"/>
                <w:szCs w:val="18"/>
              </w:rPr>
              <w:t>针对本项目管理制度及考核方</w:t>
            </w:r>
            <w:r>
              <w:rPr>
                <w:rFonts w:hint="eastAsia" w:ascii="仿宋" w:hAnsi="仿宋" w:eastAsia="仿宋" w:cs="仿宋"/>
                <w:color w:val="000000"/>
                <w:kern w:val="0"/>
                <w:sz w:val="18"/>
                <w:szCs w:val="18"/>
                <w:lang w:val="en-US" w:eastAsia="zh-CN"/>
              </w:rPr>
              <w:t>案要求投标人应有以下内容：1.</w:t>
            </w:r>
            <w:r>
              <w:rPr>
                <w:rFonts w:hint="eastAsia" w:ascii="仿宋" w:hAnsi="仿宋" w:eastAsia="仿宋" w:cs="仿宋"/>
                <w:color w:val="000000"/>
                <w:kern w:val="0"/>
                <w:sz w:val="18"/>
                <w:szCs w:val="18"/>
              </w:rPr>
              <w:t>公众服务制度、</w:t>
            </w:r>
            <w:r>
              <w:rPr>
                <w:rFonts w:hint="eastAsia" w:ascii="仿宋" w:hAnsi="仿宋" w:eastAsia="仿宋" w:cs="仿宋"/>
                <w:color w:val="000000"/>
                <w:kern w:val="0"/>
                <w:sz w:val="18"/>
                <w:szCs w:val="18"/>
                <w:lang w:val="en-US" w:eastAsia="zh-CN"/>
              </w:rPr>
              <w:t>2.</w:t>
            </w:r>
            <w:r>
              <w:rPr>
                <w:rFonts w:hint="eastAsia" w:ascii="仿宋" w:hAnsi="仿宋" w:eastAsia="仿宋" w:cs="仿宋"/>
                <w:color w:val="000000"/>
                <w:kern w:val="0"/>
                <w:sz w:val="18"/>
                <w:szCs w:val="18"/>
              </w:rPr>
              <w:t>内部岗位责任制度、</w:t>
            </w:r>
            <w:r>
              <w:rPr>
                <w:rFonts w:hint="eastAsia" w:ascii="仿宋" w:hAnsi="仿宋" w:eastAsia="仿宋" w:cs="仿宋"/>
                <w:color w:val="000000"/>
                <w:kern w:val="0"/>
                <w:sz w:val="18"/>
                <w:szCs w:val="18"/>
                <w:lang w:val="en-US" w:eastAsia="zh-CN"/>
              </w:rPr>
              <w:t>3.</w:t>
            </w:r>
            <w:r>
              <w:rPr>
                <w:rFonts w:hint="eastAsia" w:ascii="仿宋" w:hAnsi="仿宋" w:eastAsia="仿宋" w:cs="仿宋"/>
                <w:color w:val="000000"/>
                <w:kern w:val="0"/>
                <w:sz w:val="18"/>
                <w:szCs w:val="18"/>
              </w:rPr>
              <w:t>管理运作制度、</w:t>
            </w:r>
            <w:r>
              <w:rPr>
                <w:rFonts w:hint="eastAsia" w:ascii="仿宋" w:hAnsi="仿宋" w:eastAsia="仿宋" w:cs="仿宋"/>
                <w:color w:val="000000"/>
                <w:kern w:val="0"/>
                <w:sz w:val="18"/>
                <w:szCs w:val="18"/>
                <w:lang w:val="en-US" w:eastAsia="zh-CN"/>
              </w:rPr>
              <w:t>4.</w:t>
            </w:r>
            <w:r>
              <w:rPr>
                <w:rFonts w:hint="eastAsia" w:ascii="仿宋" w:hAnsi="仿宋" w:eastAsia="仿宋" w:cs="仿宋"/>
                <w:color w:val="000000"/>
                <w:kern w:val="0"/>
                <w:sz w:val="18"/>
                <w:szCs w:val="18"/>
              </w:rPr>
              <w:t>管理人员考核制度等</w:t>
            </w:r>
            <w:r>
              <w:rPr>
                <w:rFonts w:hint="eastAsia" w:ascii="仿宋" w:hAnsi="仿宋" w:eastAsia="仿宋" w:cs="仿宋"/>
                <w:color w:val="000000"/>
                <w:kern w:val="0"/>
                <w:sz w:val="18"/>
                <w:szCs w:val="18"/>
                <w:lang w:eastAsia="zh-CN"/>
              </w:rPr>
              <w:t>。</w:t>
            </w:r>
          </w:p>
          <w:p w14:paraId="65E1388B">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评标委员会根据各投标人方案内容完整度及可行性进行评审，评审内容包含4项，项目服务实施方案内容完整可行最多得12分，每有一小项内容描述清晰完整可行得3分，内容一般符合要求的得2分，描述不清晰或有缺失内容的得1分，不提供不得分。</w:t>
            </w:r>
          </w:p>
        </w:tc>
        <w:tc>
          <w:tcPr>
            <w:tcW w:w="866" w:type="dxa"/>
            <w:tcBorders>
              <w:top w:val="nil"/>
              <w:left w:val="nil"/>
              <w:bottom w:val="single" w:color="auto" w:sz="4" w:space="0"/>
              <w:right w:val="single" w:color="auto" w:sz="4" w:space="0"/>
            </w:tcBorders>
            <w:noWrap w:val="0"/>
            <w:vAlign w:val="top"/>
          </w:tcPr>
          <w:p w14:paraId="39096B3D">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eastAsia="zh-CN"/>
              </w:rPr>
            </w:pPr>
          </w:p>
        </w:tc>
      </w:tr>
      <w:tr w14:paraId="11BEA779">
        <w:tblPrEx>
          <w:tblCellMar>
            <w:top w:w="0" w:type="dxa"/>
            <w:left w:w="108" w:type="dxa"/>
            <w:bottom w:w="0" w:type="dxa"/>
            <w:right w:w="108" w:type="dxa"/>
          </w:tblCellMar>
        </w:tblPrEx>
        <w:trPr>
          <w:trHeight w:val="900" w:hRule="atLeast"/>
        </w:trPr>
        <w:tc>
          <w:tcPr>
            <w:tcW w:w="880" w:type="dxa"/>
            <w:vMerge w:val="restart"/>
            <w:tcBorders>
              <w:top w:val="nil"/>
              <w:left w:val="single" w:color="auto" w:sz="4" w:space="0"/>
              <w:bottom w:val="single" w:color="auto" w:sz="4" w:space="0"/>
              <w:right w:val="single" w:color="auto" w:sz="4" w:space="0"/>
            </w:tcBorders>
            <w:noWrap w:val="0"/>
            <w:vAlign w:val="center"/>
          </w:tcPr>
          <w:p w14:paraId="7CCBCEA0">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商务部分（</w:t>
            </w:r>
            <w:r>
              <w:rPr>
                <w:rFonts w:hint="eastAsia" w:ascii="仿宋" w:hAnsi="仿宋" w:eastAsia="仿宋" w:cs="仿宋"/>
                <w:color w:val="000000"/>
                <w:kern w:val="0"/>
                <w:sz w:val="18"/>
                <w:szCs w:val="18"/>
                <w:lang w:val="en-US" w:eastAsia="zh-CN"/>
              </w:rPr>
              <w:t>10</w:t>
            </w:r>
            <w:r>
              <w:rPr>
                <w:rFonts w:hint="eastAsia" w:ascii="仿宋" w:hAnsi="仿宋" w:eastAsia="仿宋" w:cs="仿宋"/>
                <w:color w:val="000000"/>
                <w:kern w:val="0"/>
                <w:sz w:val="18"/>
                <w:szCs w:val="18"/>
              </w:rPr>
              <w:t>分）</w:t>
            </w:r>
          </w:p>
        </w:tc>
        <w:tc>
          <w:tcPr>
            <w:tcW w:w="980" w:type="dxa"/>
            <w:tcBorders>
              <w:top w:val="nil"/>
              <w:left w:val="nil"/>
              <w:bottom w:val="single" w:color="auto" w:sz="4" w:space="0"/>
              <w:right w:val="single" w:color="auto" w:sz="4" w:space="0"/>
            </w:tcBorders>
            <w:noWrap w:val="0"/>
            <w:vAlign w:val="center"/>
          </w:tcPr>
          <w:p w14:paraId="03F91052">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业绩（6分）</w:t>
            </w:r>
          </w:p>
        </w:tc>
        <w:tc>
          <w:tcPr>
            <w:tcW w:w="6169" w:type="dxa"/>
            <w:tcBorders>
              <w:top w:val="nil"/>
              <w:left w:val="nil"/>
              <w:bottom w:val="single" w:color="auto" w:sz="4" w:space="0"/>
              <w:right w:val="single" w:color="auto" w:sz="4" w:space="0"/>
            </w:tcBorders>
            <w:noWrap w:val="0"/>
            <w:vAlign w:val="center"/>
          </w:tcPr>
          <w:p w14:paraId="4C944D41">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同类案例证明（6分）：有近三年同类项目成功案例相关证明1个加3分，满分为6分。（如中标通知书、履约验收报告、合同等相关资料。提供以上任意一项均可）</w:t>
            </w:r>
          </w:p>
        </w:tc>
        <w:tc>
          <w:tcPr>
            <w:tcW w:w="866" w:type="dxa"/>
            <w:tcBorders>
              <w:top w:val="nil"/>
              <w:left w:val="nil"/>
              <w:bottom w:val="single" w:color="auto" w:sz="4" w:space="0"/>
              <w:right w:val="single" w:color="auto" w:sz="4" w:space="0"/>
            </w:tcBorders>
            <w:noWrap w:val="0"/>
            <w:vAlign w:val="top"/>
          </w:tcPr>
          <w:p w14:paraId="263C9046">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　</w:t>
            </w:r>
          </w:p>
        </w:tc>
      </w:tr>
      <w:tr w14:paraId="62416AD4">
        <w:tblPrEx>
          <w:tblCellMar>
            <w:top w:w="0" w:type="dxa"/>
            <w:left w:w="108" w:type="dxa"/>
            <w:bottom w:w="0" w:type="dxa"/>
            <w:right w:w="108" w:type="dxa"/>
          </w:tblCellMar>
        </w:tblPrEx>
        <w:trPr>
          <w:trHeight w:val="507" w:hRule="atLeast"/>
        </w:trPr>
        <w:tc>
          <w:tcPr>
            <w:tcW w:w="880" w:type="dxa"/>
            <w:vMerge w:val="continue"/>
            <w:tcBorders>
              <w:top w:val="nil"/>
              <w:left w:val="single" w:color="auto" w:sz="4" w:space="0"/>
              <w:bottom w:val="single" w:color="auto" w:sz="4" w:space="0"/>
              <w:right w:val="single" w:color="auto" w:sz="4" w:space="0"/>
            </w:tcBorders>
            <w:noWrap w:val="0"/>
            <w:vAlign w:val="center"/>
          </w:tcPr>
          <w:p w14:paraId="513ABB68">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rPr>
            </w:pPr>
          </w:p>
        </w:tc>
        <w:tc>
          <w:tcPr>
            <w:tcW w:w="980" w:type="dxa"/>
            <w:tcBorders>
              <w:top w:val="nil"/>
              <w:left w:val="nil"/>
              <w:bottom w:val="single" w:color="auto" w:sz="4" w:space="0"/>
              <w:right w:val="single" w:color="auto" w:sz="4" w:space="0"/>
            </w:tcBorders>
            <w:noWrap w:val="0"/>
            <w:vAlign w:val="center"/>
          </w:tcPr>
          <w:p w14:paraId="5DEE38F3">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投标人企业实力及信誉情况（4分）</w:t>
            </w:r>
          </w:p>
        </w:tc>
        <w:tc>
          <w:tcPr>
            <w:tcW w:w="6169" w:type="dxa"/>
            <w:tcBorders>
              <w:top w:val="nil"/>
              <w:left w:val="nil"/>
              <w:bottom w:val="single" w:color="auto" w:sz="4" w:space="0"/>
              <w:right w:val="single" w:color="auto" w:sz="4" w:space="0"/>
            </w:tcBorders>
            <w:noWrap w:val="0"/>
            <w:vAlign w:val="center"/>
          </w:tcPr>
          <w:p w14:paraId="5C5DB48F">
            <w:pPr>
              <w:keepNext w:val="0"/>
              <w:keepLines w:val="0"/>
              <w:widowControl/>
              <w:suppressLineNumbers w:val="0"/>
              <w:spacing w:before="0" w:beforeAutospacing="0" w:after="0" w:afterAutospacing="0"/>
              <w:ind w:left="0" w:right="0"/>
              <w:jc w:val="left"/>
              <w:rPr>
                <w:rFonts w:hint="eastAsia" w:ascii="仿宋" w:hAnsi="仿宋" w:eastAsia="仿宋" w:cs="仿宋"/>
                <w:color w:val="000000"/>
                <w:kern w:val="0"/>
                <w:sz w:val="18"/>
                <w:szCs w:val="18"/>
                <w:lang w:val="en-US" w:eastAsia="zh-CN"/>
              </w:rPr>
            </w:pPr>
            <w:r>
              <w:rPr>
                <w:rFonts w:hint="eastAsia" w:ascii="仿宋" w:hAnsi="仿宋" w:eastAsia="仿宋" w:cs="仿宋"/>
                <w:color w:val="000000"/>
                <w:kern w:val="0"/>
                <w:sz w:val="18"/>
                <w:szCs w:val="18"/>
                <w:lang w:val="en-US" w:eastAsia="zh-CN"/>
              </w:rPr>
              <w:t>投标人实力及信誉（4分）投标人在当地是否有固定、长期的办事机构及服务人员，是否能够提供优质的本地化服务，能否提供及时到位品质服务等，提供相关证明文件，由评委进行评议并在0-4分之间进行评分。(提供证明材料固定长期服务机构及人员最高得4分，无证明材料的得0分）</w:t>
            </w:r>
          </w:p>
        </w:tc>
        <w:tc>
          <w:tcPr>
            <w:tcW w:w="866" w:type="dxa"/>
            <w:tcBorders>
              <w:top w:val="nil"/>
              <w:left w:val="nil"/>
              <w:bottom w:val="single" w:color="auto" w:sz="4" w:space="0"/>
              <w:right w:val="single" w:color="auto" w:sz="4" w:space="0"/>
            </w:tcBorders>
            <w:noWrap w:val="0"/>
            <w:vAlign w:val="top"/>
          </w:tcPr>
          <w:p w14:paraId="6FF02D8A">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18"/>
                <w:szCs w:val="18"/>
              </w:rPr>
            </w:pPr>
            <w:r>
              <w:rPr>
                <w:rFonts w:hint="eastAsia" w:ascii="仿宋" w:hAnsi="仿宋" w:eastAsia="仿宋" w:cs="仿宋"/>
                <w:color w:val="000000"/>
                <w:kern w:val="0"/>
                <w:sz w:val="18"/>
                <w:szCs w:val="18"/>
              </w:rPr>
              <w:t>　</w:t>
            </w:r>
          </w:p>
        </w:tc>
      </w:tr>
      <w:tr w14:paraId="395B40A0">
        <w:tblPrEx>
          <w:tblCellMar>
            <w:top w:w="0" w:type="dxa"/>
            <w:left w:w="108" w:type="dxa"/>
            <w:bottom w:w="0" w:type="dxa"/>
            <w:right w:w="108" w:type="dxa"/>
          </w:tblCellMar>
        </w:tblPrEx>
        <w:trPr>
          <w:trHeight w:val="492" w:hRule="atLeast"/>
        </w:trPr>
        <w:tc>
          <w:tcPr>
            <w:tcW w:w="8029" w:type="dxa"/>
            <w:gridSpan w:val="3"/>
            <w:tcBorders>
              <w:top w:val="single" w:color="auto" w:sz="4" w:space="0"/>
              <w:left w:val="single" w:color="auto" w:sz="4" w:space="0"/>
              <w:bottom w:val="single" w:color="auto" w:sz="4" w:space="0"/>
              <w:right w:val="single" w:color="auto" w:sz="4" w:space="0"/>
            </w:tcBorders>
            <w:noWrap/>
            <w:vAlign w:val="center"/>
          </w:tcPr>
          <w:p w14:paraId="67D22476">
            <w:pPr>
              <w:keepNext w:val="0"/>
              <w:keepLines w:val="0"/>
              <w:widowControl/>
              <w:suppressLineNumbers w:val="0"/>
              <w:spacing w:before="0" w:beforeAutospacing="0" w:after="0" w:afterAutospacing="0"/>
              <w:ind w:left="0" w:right="0"/>
              <w:jc w:val="center"/>
              <w:rPr>
                <w:rFonts w:hint="eastAsia" w:ascii="仿宋" w:hAnsi="仿宋" w:eastAsia="仿宋" w:cs="仿宋"/>
                <w:kern w:val="0"/>
                <w:sz w:val="24"/>
              </w:rPr>
            </w:pPr>
            <w:r>
              <w:rPr>
                <w:rFonts w:hint="eastAsia" w:ascii="仿宋" w:hAnsi="仿宋" w:eastAsia="仿宋" w:cs="仿宋"/>
                <w:kern w:val="0"/>
                <w:sz w:val="24"/>
              </w:rPr>
              <w:t>最后得分</w:t>
            </w:r>
          </w:p>
        </w:tc>
        <w:tc>
          <w:tcPr>
            <w:tcW w:w="866" w:type="dxa"/>
            <w:tcBorders>
              <w:top w:val="nil"/>
              <w:left w:val="nil"/>
              <w:bottom w:val="single" w:color="auto" w:sz="4" w:space="0"/>
              <w:right w:val="single" w:color="auto" w:sz="4" w:space="0"/>
            </w:tcBorders>
            <w:noWrap/>
            <w:vAlign w:val="center"/>
          </w:tcPr>
          <w:p w14:paraId="137FAB9F">
            <w:pPr>
              <w:keepNext w:val="0"/>
              <w:keepLines w:val="0"/>
              <w:widowControl/>
              <w:suppressLineNumbers w:val="0"/>
              <w:spacing w:before="0" w:beforeAutospacing="0" w:after="0" w:afterAutospacing="0"/>
              <w:ind w:left="0" w:right="0"/>
              <w:jc w:val="left"/>
              <w:rPr>
                <w:rFonts w:hint="eastAsia" w:ascii="仿宋" w:hAnsi="仿宋" w:eastAsia="仿宋" w:cs="仿宋"/>
                <w:kern w:val="0"/>
                <w:sz w:val="24"/>
              </w:rPr>
            </w:pPr>
            <w:r>
              <w:rPr>
                <w:rFonts w:hint="eastAsia" w:ascii="仿宋" w:hAnsi="仿宋" w:eastAsia="仿宋" w:cs="仿宋"/>
                <w:kern w:val="0"/>
                <w:sz w:val="24"/>
              </w:rPr>
              <w:t>　</w:t>
            </w:r>
          </w:p>
        </w:tc>
      </w:tr>
    </w:tbl>
    <w:p w14:paraId="73358F8E">
      <w:pPr>
        <w:widowControl/>
        <w:spacing w:line="360" w:lineRule="auto"/>
        <w:jc w:val="both"/>
        <w:rPr>
          <w:rFonts w:hint="eastAsia" w:ascii="方正小标宋简体" w:hAnsi="方正小标宋简体" w:eastAsia="方正小标宋简体"/>
          <w:b/>
          <w:sz w:val="52"/>
          <w:szCs w:val="52"/>
          <w:lang w:eastAsia="zh-CN"/>
        </w:rPr>
      </w:pPr>
    </w:p>
    <w:p w14:paraId="3CCACF95">
      <w:pPr>
        <w:spacing w:line="400" w:lineRule="atLeast"/>
        <w:jc w:val="center"/>
        <w:rPr>
          <w:rFonts w:hint="eastAsia" w:ascii="方正小标宋简体" w:hAnsi="方正小标宋简体" w:eastAsia="方正小标宋简体"/>
          <w:b/>
          <w:sz w:val="52"/>
          <w:szCs w:val="52"/>
          <w:lang w:val="en-US" w:eastAsia="zh-CN"/>
        </w:rPr>
      </w:pPr>
    </w:p>
    <w:p w14:paraId="3626DFD1">
      <w:pPr>
        <w:spacing w:line="400" w:lineRule="atLeast"/>
        <w:jc w:val="center"/>
        <w:rPr>
          <w:rFonts w:hint="eastAsia" w:ascii="方正小标宋简体" w:hAnsi="方正小标宋简体" w:eastAsia="方正小标宋简体"/>
          <w:b/>
          <w:sz w:val="52"/>
          <w:szCs w:val="52"/>
          <w:lang w:val="en-US" w:eastAsia="zh-CN"/>
        </w:rPr>
      </w:pPr>
    </w:p>
    <w:p w14:paraId="788075AD">
      <w:pPr>
        <w:spacing w:line="400" w:lineRule="atLeast"/>
        <w:jc w:val="center"/>
        <w:rPr>
          <w:rFonts w:ascii="方正小标宋简体" w:hAnsi="方正小标宋简体" w:eastAsia="方正小标宋简体"/>
          <w:b/>
          <w:sz w:val="52"/>
          <w:szCs w:val="52"/>
        </w:rPr>
      </w:pPr>
      <w:r>
        <w:rPr>
          <w:rFonts w:hint="eastAsia" w:ascii="方正小标宋简体" w:hAnsi="方正小标宋简体" w:eastAsia="方正小标宋简体"/>
          <w:b/>
          <w:sz w:val="52"/>
          <w:szCs w:val="52"/>
          <w:lang w:val="en-US" w:eastAsia="zh-CN"/>
        </w:rPr>
        <w:t>喀什理工职业技术学院</w:t>
      </w:r>
      <w:r>
        <w:rPr>
          <w:rFonts w:hint="eastAsia" w:ascii="方正小标宋简体" w:hAnsi="方正小标宋简体" w:eastAsia="方正小标宋简体"/>
          <w:b/>
          <w:sz w:val="52"/>
          <w:szCs w:val="52"/>
          <w:lang w:eastAsia="zh-CN"/>
        </w:rPr>
        <w:t>2025年物业服务采购项目（</w:t>
      </w:r>
      <w:r>
        <w:rPr>
          <w:rFonts w:hint="eastAsia" w:ascii="方正小标宋简体" w:hAnsi="方正小标宋简体" w:eastAsia="方正小标宋简体"/>
          <w:b/>
          <w:sz w:val="52"/>
          <w:szCs w:val="52"/>
          <w:lang w:val="en-US" w:eastAsia="zh-CN"/>
        </w:rPr>
        <w:t>第二包二次</w:t>
      </w:r>
      <w:r>
        <w:rPr>
          <w:rFonts w:hint="eastAsia" w:ascii="方正小标宋简体" w:hAnsi="方正小标宋简体" w:eastAsia="方正小标宋简体"/>
          <w:b/>
          <w:sz w:val="52"/>
          <w:szCs w:val="52"/>
          <w:lang w:eastAsia="zh-CN"/>
        </w:rPr>
        <w:t>）</w:t>
      </w:r>
    </w:p>
    <w:p w14:paraId="0E750C44">
      <w:pPr>
        <w:spacing w:line="400" w:lineRule="atLeast"/>
        <w:jc w:val="center"/>
        <w:rPr>
          <w:rFonts w:ascii="方正小标宋简体" w:hAnsi="方正小标宋简体" w:eastAsia="方正小标宋简体"/>
          <w:b/>
          <w:sz w:val="52"/>
          <w:szCs w:val="52"/>
        </w:rPr>
      </w:pPr>
    </w:p>
    <w:p w14:paraId="30841648">
      <w:pPr>
        <w:spacing w:line="400" w:lineRule="atLeast"/>
        <w:jc w:val="center"/>
        <w:rPr>
          <w:rFonts w:ascii="方正小标宋简体" w:hAnsi="方正小标宋简体" w:eastAsia="方正小标宋简体"/>
          <w:b/>
          <w:sz w:val="52"/>
          <w:szCs w:val="52"/>
        </w:rPr>
      </w:pPr>
      <w:r>
        <w:rPr>
          <w:rFonts w:ascii="方正小标宋简体" w:hAnsi="方正小标宋简体" w:eastAsia="方正小标宋简体"/>
          <w:b/>
          <w:sz w:val="52"/>
          <w:szCs w:val="52"/>
        </w:rPr>
        <w:t>公开招标文件</w:t>
      </w:r>
    </w:p>
    <w:p w14:paraId="50C76830">
      <w:pPr>
        <w:spacing w:line="360" w:lineRule="auto"/>
        <w:ind w:left="1080" w:leftChars="257" w:hanging="540"/>
        <w:jc w:val="center"/>
        <w:rPr>
          <w:rFonts w:eastAsia="仿宋"/>
          <w:bCs/>
          <w:sz w:val="52"/>
          <w:szCs w:val="52"/>
        </w:rPr>
      </w:pPr>
    </w:p>
    <w:p w14:paraId="01C27C11">
      <w:pPr>
        <w:spacing w:line="360" w:lineRule="auto"/>
        <w:ind w:left="1080" w:leftChars="257" w:hanging="540"/>
        <w:jc w:val="center"/>
        <w:rPr>
          <w:rFonts w:eastAsia="仿宋"/>
          <w:bCs/>
          <w:sz w:val="32"/>
          <w:szCs w:val="32"/>
          <w:highlight w:val="none"/>
        </w:rPr>
      </w:pPr>
      <w:r>
        <w:rPr>
          <w:rFonts w:eastAsia="仿宋"/>
          <w:bCs/>
          <w:sz w:val="32"/>
          <w:szCs w:val="32"/>
        </w:rPr>
        <w:t>（项目编号：</w:t>
      </w:r>
      <w:r>
        <w:rPr>
          <w:rFonts w:hint="eastAsia" w:eastAsia="仿宋"/>
          <w:bCs/>
          <w:sz w:val="32"/>
          <w:szCs w:val="32"/>
          <w:highlight w:val="none"/>
          <w:lang w:eastAsia="zh-CN"/>
        </w:rPr>
        <w:t>KSDQZFCG（GK）2025-</w:t>
      </w:r>
      <w:r>
        <w:rPr>
          <w:rFonts w:hint="eastAsia" w:eastAsia="仿宋"/>
          <w:bCs/>
          <w:sz w:val="32"/>
          <w:szCs w:val="32"/>
          <w:highlight w:val="none"/>
          <w:lang w:val="en-US" w:eastAsia="zh-CN"/>
        </w:rPr>
        <w:t>28</w:t>
      </w:r>
      <w:r>
        <w:rPr>
          <w:rFonts w:eastAsia="仿宋"/>
          <w:bCs/>
          <w:sz w:val="32"/>
          <w:szCs w:val="32"/>
          <w:highlight w:val="none"/>
        </w:rPr>
        <w:t>）</w:t>
      </w:r>
    </w:p>
    <w:p w14:paraId="6ED91CD1">
      <w:pPr>
        <w:spacing w:line="360" w:lineRule="auto"/>
        <w:ind w:left="1080" w:leftChars="257" w:hanging="540"/>
        <w:jc w:val="center"/>
        <w:rPr>
          <w:rFonts w:eastAsia="仿宋"/>
          <w:b/>
          <w:sz w:val="32"/>
          <w:szCs w:val="32"/>
        </w:rPr>
      </w:pPr>
    </w:p>
    <w:p w14:paraId="26F36051">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14:paraId="1E99E9FA">
      <w:pPr>
        <w:spacing w:line="360" w:lineRule="auto"/>
        <w:ind w:left="1080" w:leftChars="257" w:hanging="540"/>
        <w:jc w:val="center"/>
        <w:rPr>
          <w:rFonts w:eastAsia="仿宋"/>
          <w:b/>
          <w:sz w:val="52"/>
        </w:rPr>
      </w:pPr>
    </w:p>
    <w:p w14:paraId="1364AE90">
      <w:pPr>
        <w:pStyle w:val="33"/>
        <w:tabs>
          <w:tab w:val="clear" w:pos="567"/>
        </w:tabs>
        <w:rPr>
          <w:rFonts w:ascii="Times New Roman" w:hAnsi="Times New Roman" w:eastAsia="仿宋"/>
          <w:b/>
          <w:sz w:val="52"/>
        </w:rPr>
      </w:pPr>
    </w:p>
    <w:p w14:paraId="5EEFAC3B">
      <w:pPr>
        <w:pStyle w:val="33"/>
        <w:tabs>
          <w:tab w:val="clear" w:pos="567"/>
        </w:tabs>
        <w:rPr>
          <w:rFonts w:ascii="Times New Roman" w:hAnsi="Times New Roman" w:eastAsia="仿宋"/>
          <w:b/>
          <w:sz w:val="52"/>
        </w:rPr>
      </w:pPr>
    </w:p>
    <w:p w14:paraId="28A54924">
      <w:pPr>
        <w:spacing w:line="360" w:lineRule="auto"/>
        <w:ind w:firstLine="837" w:firstLineChars="299"/>
        <w:jc w:val="left"/>
        <w:rPr>
          <w:rFonts w:hint="eastAsia" w:eastAsia="仿宋"/>
          <w:sz w:val="28"/>
          <w:szCs w:val="28"/>
          <w:lang w:eastAsia="zh-CN"/>
        </w:rPr>
      </w:pPr>
      <w:r>
        <w:rPr>
          <w:rFonts w:eastAsia="仿宋"/>
          <w:sz w:val="28"/>
          <w:szCs w:val="28"/>
        </w:rPr>
        <w:t>采</w:t>
      </w:r>
      <w:r>
        <w:rPr>
          <w:rFonts w:hint="eastAsia" w:eastAsia="仿宋"/>
          <w:sz w:val="28"/>
          <w:szCs w:val="28"/>
          <w:lang w:val="en-US" w:eastAsia="zh-CN"/>
        </w:rPr>
        <w:t xml:space="preserve"> </w:t>
      </w:r>
      <w:r>
        <w:rPr>
          <w:rFonts w:eastAsia="仿宋"/>
          <w:sz w:val="28"/>
          <w:szCs w:val="28"/>
        </w:rPr>
        <w:t>购</w:t>
      </w:r>
      <w:r>
        <w:rPr>
          <w:rFonts w:hint="eastAsia" w:eastAsia="仿宋"/>
          <w:sz w:val="28"/>
          <w:szCs w:val="28"/>
          <w:lang w:val="en-US" w:eastAsia="zh-CN"/>
        </w:rPr>
        <w:t xml:space="preserve"> </w:t>
      </w:r>
      <w:r>
        <w:rPr>
          <w:rFonts w:eastAsia="仿宋"/>
          <w:sz w:val="28"/>
          <w:szCs w:val="28"/>
        </w:rPr>
        <w:t>人：</w:t>
      </w:r>
      <w:r>
        <w:rPr>
          <w:rFonts w:hint="eastAsia" w:eastAsia="仿宋"/>
          <w:sz w:val="28"/>
          <w:szCs w:val="28"/>
          <w:u w:val="single"/>
          <w:lang w:val="en-US" w:eastAsia="zh-CN"/>
        </w:rPr>
        <w:t>喀什理工职业技术学院</w:t>
      </w:r>
    </w:p>
    <w:p w14:paraId="3A900AC8">
      <w:pPr>
        <w:spacing w:line="360" w:lineRule="auto"/>
        <w:ind w:firstLine="837" w:firstLineChars="299"/>
        <w:rPr>
          <w:rFonts w:eastAsia="仿宋"/>
          <w:sz w:val="28"/>
          <w:szCs w:val="28"/>
        </w:rPr>
      </w:pPr>
      <w:r>
        <w:rPr>
          <w:rFonts w:eastAsia="仿宋"/>
          <w:sz w:val="28"/>
          <w:szCs w:val="28"/>
        </w:rPr>
        <w:t>采购机构：</w:t>
      </w:r>
      <w:r>
        <w:rPr>
          <w:rFonts w:eastAsia="仿宋"/>
          <w:sz w:val="28"/>
          <w:szCs w:val="28"/>
          <w:u w:val="single"/>
        </w:rPr>
        <w:t>喀什地区公共资源交易中心</w:t>
      </w:r>
    </w:p>
    <w:p w14:paraId="0BCF2868">
      <w:pPr>
        <w:spacing w:line="360" w:lineRule="auto"/>
        <w:ind w:firstLine="837" w:firstLineChars="299"/>
        <w:rPr>
          <w:rFonts w:hint="default" w:eastAsia="仿宋"/>
          <w:sz w:val="28"/>
          <w:szCs w:val="28"/>
          <w:lang w:val="en-US" w:eastAsia="zh-CN"/>
        </w:rPr>
      </w:pPr>
      <w:r>
        <w:rPr>
          <w:rFonts w:eastAsia="仿宋"/>
          <w:sz w:val="28"/>
          <w:szCs w:val="28"/>
        </w:rPr>
        <w:t>发出日期：</w:t>
      </w:r>
      <w:r>
        <w:rPr>
          <w:rFonts w:hint="eastAsia" w:eastAsia="仿宋"/>
          <w:sz w:val="28"/>
          <w:szCs w:val="28"/>
          <w:u w:val="single"/>
          <w:lang w:eastAsia="zh-CN"/>
        </w:rPr>
        <w:t>2025</w:t>
      </w:r>
      <w:r>
        <w:rPr>
          <w:rFonts w:hint="eastAsia" w:ascii="Times New Roman" w:hAnsi="Times New Roman" w:eastAsia="仿宋" w:cs="Times New Roman"/>
          <w:sz w:val="28"/>
          <w:szCs w:val="28"/>
          <w:u w:val="single"/>
          <w:lang w:eastAsia="zh-CN"/>
        </w:rPr>
        <w:t>年</w:t>
      </w:r>
      <w:r>
        <w:rPr>
          <w:rFonts w:hint="eastAsia" w:eastAsia="仿宋" w:cs="Times New Roman"/>
          <w:sz w:val="28"/>
          <w:szCs w:val="28"/>
          <w:u w:val="single"/>
          <w:lang w:val="en-US" w:eastAsia="zh-CN"/>
        </w:rPr>
        <w:t>2</w:t>
      </w:r>
      <w:r>
        <w:rPr>
          <w:rFonts w:ascii="Times New Roman" w:hAnsi="Times New Roman" w:eastAsia="仿宋" w:cs="Times New Roman"/>
          <w:sz w:val="28"/>
          <w:szCs w:val="28"/>
          <w:u w:val="single"/>
        </w:rPr>
        <w:t>月</w:t>
      </w:r>
      <w:r>
        <w:rPr>
          <w:rFonts w:hint="eastAsia" w:eastAsia="仿宋" w:cs="Times New Roman"/>
          <w:sz w:val="28"/>
          <w:szCs w:val="28"/>
          <w:u w:val="single"/>
          <w:lang w:val="en-US" w:eastAsia="zh-CN"/>
        </w:rPr>
        <w:t xml:space="preserve">           </w:t>
      </w:r>
    </w:p>
    <w:p w14:paraId="37771E13">
      <w:pPr>
        <w:pStyle w:val="26"/>
        <w:tabs>
          <w:tab w:val="left" w:pos="0"/>
        </w:tabs>
        <w:spacing w:before="0" w:after="0" w:line="360" w:lineRule="auto"/>
        <w:jc w:val="both"/>
        <w:rPr>
          <w:rFonts w:ascii="Times New Roman" w:eastAsia="仿宋"/>
        </w:rPr>
      </w:pPr>
      <w:r>
        <w:rPr>
          <w:rFonts w:ascii="Times New Roman" w:eastAsia="仿宋"/>
        </w:rPr>
        <w:br w:type="page"/>
      </w:r>
    </w:p>
    <w:p w14:paraId="457885C9">
      <w:pPr>
        <w:pStyle w:val="81"/>
        <w:rPr>
          <w:rFonts w:hint="default"/>
          <w:color w:val="auto"/>
          <w:highlight w:val="none"/>
        </w:rPr>
      </w:pPr>
      <w:bookmarkStart w:id="376" w:name="_Toc26032"/>
      <w:bookmarkEnd w:id="376"/>
      <w:bookmarkStart w:id="377" w:name="_Hlt487972895"/>
      <w:bookmarkEnd w:id="377"/>
    </w:p>
    <w:p w14:paraId="1C0E536B">
      <w:pPr>
        <w:pStyle w:val="2"/>
        <w:tabs>
          <w:tab w:val="left" w:pos="0"/>
        </w:tabs>
        <w:spacing w:before="0" w:after="0" w:line="360" w:lineRule="auto"/>
        <w:ind w:firstLine="2249" w:firstLineChars="700"/>
        <w:jc w:val="both"/>
        <w:rPr>
          <w:rFonts w:hint="default" w:ascii="Times New Roman" w:hAnsi="Times New Roman" w:eastAsia="仿宋"/>
          <w:color w:val="auto"/>
          <w:highlight w:val="none"/>
        </w:rPr>
      </w:pPr>
      <w:r>
        <w:rPr>
          <w:rFonts w:hint="default" w:ascii="Times New Roman" w:hAnsi="Times New Roman" w:eastAsia="仿宋"/>
          <w:color w:val="auto"/>
          <w:highlight w:val="none"/>
        </w:rPr>
        <w:t>第</w:t>
      </w:r>
      <w:r>
        <w:rPr>
          <w:rFonts w:hint="eastAsia" w:ascii="Times New Roman" w:hAnsi="Times New Roman" w:eastAsia="仿宋"/>
          <w:color w:val="auto"/>
          <w:highlight w:val="none"/>
          <w:lang w:val="en-US" w:eastAsia="zh-CN"/>
        </w:rPr>
        <w:t>7</w:t>
      </w:r>
      <w:r>
        <w:rPr>
          <w:rFonts w:hint="default" w:ascii="Times New Roman" w:hAnsi="Times New Roman" w:eastAsia="仿宋"/>
          <w:color w:val="auto"/>
          <w:highlight w:val="none"/>
        </w:rPr>
        <w:t>章  政府采购合同</w:t>
      </w:r>
      <w:bookmarkStart w:id="378" w:name="_Toc487900382"/>
      <w:bookmarkStart w:id="379" w:name="_Toc216513788"/>
    </w:p>
    <w:bookmarkEnd w:id="378"/>
    <w:bookmarkEnd w:id="379"/>
    <w:p w14:paraId="73E1BFE9">
      <w:pPr>
        <w:pStyle w:val="5"/>
        <w:spacing w:line="360" w:lineRule="auto"/>
        <w:ind w:left="1080" w:leftChars="257" w:hanging="540"/>
        <w:rPr>
          <w:rFonts w:hint="default" w:ascii="Times New Roman" w:hAnsi="Times New Roman" w:eastAsia="仿宋"/>
          <w:color w:val="auto"/>
          <w:sz w:val="28"/>
          <w:highlight w:val="none"/>
        </w:rPr>
      </w:pPr>
    </w:p>
    <w:p w14:paraId="229A3112">
      <w:pPr>
        <w:spacing w:line="360" w:lineRule="auto"/>
        <w:ind w:left="-567" w:leftChars="-270" w:firstLine="540"/>
        <w:jc w:val="center"/>
        <w:rPr>
          <w:rFonts w:eastAsia="仿宋"/>
          <w:kern w:val="44"/>
          <w:sz w:val="28"/>
          <w:szCs w:val="28"/>
        </w:rPr>
      </w:pPr>
      <w:r>
        <w:rPr>
          <w:rFonts w:eastAsia="仿宋"/>
          <w:kern w:val="44"/>
          <w:sz w:val="28"/>
          <w:szCs w:val="28"/>
        </w:rPr>
        <w:t>请参照</w:t>
      </w:r>
      <w:r>
        <w:rPr>
          <w:rFonts w:hint="eastAsia" w:eastAsia="仿宋"/>
          <w:kern w:val="44"/>
          <w:sz w:val="28"/>
          <w:szCs w:val="28"/>
        </w:rPr>
        <w:t>服务类</w:t>
      </w:r>
      <w:r>
        <w:rPr>
          <w:rFonts w:eastAsia="仿宋"/>
          <w:kern w:val="44"/>
          <w:sz w:val="28"/>
          <w:szCs w:val="28"/>
        </w:rPr>
        <w:t>政府采购合同参考范本订立采购合同。</w:t>
      </w:r>
    </w:p>
    <w:p w14:paraId="433C5AAE">
      <w:pPr>
        <w:spacing w:line="360" w:lineRule="auto"/>
        <w:rPr>
          <w:rFonts w:eastAsia="仿宋"/>
          <w:sz w:val="28"/>
          <w:szCs w:val="28"/>
        </w:rPr>
      </w:pPr>
    </w:p>
    <w:p w14:paraId="30C6F7D4">
      <w:pPr>
        <w:spacing w:line="360" w:lineRule="auto"/>
        <w:rPr>
          <w:rFonts w:eastAsia="仿宋"/>
          <w:sz w:val="28"/>
          <w:szCs w:val="28"/>
          <w:u w:val="single"/>
        </w:rPr>
      </w:pPr>
      <w:r>
        <w:rPr>
          <w:rFonts w:eastAsia="仿宋"/>
          <w:sz w:val="28"/>
          <w:szCs w:val="28"/>
        </w:rPr>
        <w:t>合同编号：</w:t>
      </w:r>
    </w:p>
    <w:p w14:paraId="6E2FD337">
      <w:pPr>
        <w:spacing w:line="360" w:lineRule="auto"/>
        <w:rPr>
          <w:rFonts w:eastAsia="仿宋"/>
          <w:b/>
          <w:bCs/>
          <w:sz w:val="28"/>
          <w:szCs w:val="28"/>
        </w:rPr>
      </w:pPr>
    </w:p>
    <w:p w14:paraId="48B543AD">
      <w:pPr>
        <w:spacing w:line="360" w:lineRule="auto"/>
        <w:jc w:val="center"/>
        <w:outlineLvl w:val="0"/>
        <w:rPr>
          <w:rFonts w:eastAsia="仿宋"/>
          <w:b/>
          <w:bCs/>
          <w:sz w:val="28"/>
          <w:szCs w:val="28"/>
        </w:rPr>
      </w:pPr>
      <w:bookmarkStart w:id="380" w:name="_Toc11640"/>
      <w:bookmarkStart w:id="381" w:name="_Toc23874"/>
      <w:bookmarkStart w:id="382" w:name="_Toc28076"/>
      <w:bookmarkStart w:id="383" w:name="_Toc12783"/>
      <w:bookmarkStart w:id="384" w:name="_Toc2691"/>
      <w:r>
        <w:rPr>
          <w:rFonts w:eastAsia="仿宋"/>
          <w:b/>
          <w:bCs/>
          <w:sz w:val="28"/>
          <w:szCs w:val="28"/>
        </w:rPr>
        <w:t>喀什地区政府采购合同</w:t>
      </w:r>
      <w:bookmarkEnd w:id="380"/>
      <w:bookmarkEnd w:id="381"/>
      <w:bookmarkEnd w:id="382"/>
      <w:bookmarkEnd w:id="383"/>
      <w:bookmarkEnd w:id="384"/>
    </w:p>
    <w:p w14:paraId="7F27CAE3">
      <w:pPr>
        <w:pStyle w:val="57"/>
        <w:spacing w:line="360" w:lineRule="auto"/>
        <w:ind w:firstLine="0"/>
        <w:rPr>
          <w:rFonts w:ascii="Times New Roman" w:eastAsia="仿宋"/>
          <w:sz w:val="28"/>
          <w:szCs w:val="28"/>
        </w:rPr>
      </w:pPr>
    </w:p>
    <w:p w14:paraId="1C042587">
      <w:pPr>
        <w:pStyle w:val="57"/>
        <w:spacing w:line="360" w:lineRule="auto"/>
        <w:ind w:firstLine="0"/>
        <w:rPr>
          <w:rFonts w:ascii="Times New Roman" w:eastAsia="仿宋"/>
          <w:sz w:val="28"/>
          <w:szCs w:val="28"/>
        </w:rPr>
      </w:pPr>
    </w:p>
    <w:p w14:paraId="03677122">
      <w:pPr>
        <w:pStyle w:val="57"/>
        <w:spacing w:line="360" w:lineRule="auto"/>
        <w:ind w:firstLine="0"/>
        <w:jc w:val="center"/>
        <w:outlineLvl w:val="0"/>
        <w:rPr>
          <w:rFonts w:ascii="Times New Roman" w:eastAsia="仿宋"/>
          <w:b/>
          <w:bCs/>
          <w:sz w:val="28"/>
          <w:szCs w:val="28"/>
        </w:rPr>
      </w:pPr>
      <w:bookmarkStart w:id="385" w:name="_Toc23162"/>
      <w:bookmarkStart w:id="386" w:name="_Toc5404"/>
      <w:bookmarkStart w:id="387" w:name="_Toc21311"/>
      <w:bookmarkStart w:id="388" w:name="_Toc7173"/>
      <w:bookmarkStart w:id="389" w:name="_Toc1212"/>
      <w:r>
        <w:rPr>
          <w:rFonts w:ascii="Times New Roman" w:eastAsia="仿宋"/>
          <w:b/>
          <w:bCs/>
          <w:sz w:val="28"/>
          <w:szCs w:val="28"/>
        </w:rPr>
        <w:t>第一部分合同书</w:t>
      </w:r>
      <w:bookmarkEnd w:id="385"/>
      <w:bookmarkEnd w:id="386"/>
      <w:bookmarkEnd w:id="387"/>
      <w:bookmarkEnd w:id="388"/>
      <w:bookmarkEnd w:id="389"/>
    </w:p>
    <w:p w14:paraId="55431869">
      <w:pPr>
        <w:pStyle w:val="57"/>
        <w:spacing w:line="360" w:lineRule="auto"/>
        <w:ind w:firstLine="0"/>
        <w:rPr>
          <w:rFonts w:ascii="Times New Roman" w:eastAsia="仿宋"/>
          <w:sz w:val="28"/>
          <w:szCs w:val="28"/>
        </w:rPr>
      </w:pPr>
    </w:p>
    <w:p w14:paraId="0C70F2D4">
      <w:pPr>
        <w:pStyle w:val="57"/>
        <w:spacing w:line="360" w:lineRule="auto"/>
        <w:ind w:firstLine="0"/>
        <w:rPr>
          <w:rFonts w:ascii="Times New Roman" w:eastAsia="仿宋"/>
          <w:sz w:val="28"/>
          <w:szCs w:val="28"/>
        </w:rPr>
      </w:pPr>
    </w:p>
    <w:p w14:paraId="15AB2DF0">
      <w:pPr>
        <w:spacing w:before="120" w:line="360" w:lineRule="auto"/>
        <w:rPr>
          <w:rFonts w:eastAsia="仿宋"/>
          <w:sz w:val="28"/>
          <w:szCs w:val="28"/>
        </w:rPr>
      </w:pPr>
    </w:p>
    <w:p w14:paraId="331292BE">
      <w:pPr>
        <w:spacing w:line="400" w:lineRule="atLeast"/>
        <w:ind w:firstLine="1120" w:firstLineChars="400"/>
        <w:jc w:val="both"/>
        <w:rPr>
          <w:rFonts w:hint="default" w:eastAsia="仿宋"/>
          <w:sz w:val="28"/>
          <w:szCs w:val="28"/>
          <w:u w:val="single"/>
          <w:lang w:val="en-US" w:eastAsia="zh-CN"/>
        </w:rPr>
      </w:pPr>
      <w:r>
        <w:rPr>
          <w:rFonts w:eastAsia="仿宋"/>
          <w:sz w:val="28"/>
          <w:szCs w:val="28"/>
        </w:rPr>
        <w:t>项目名称：</w:t>
      </w:r>
      <w:r>
        <w:rPr>
          <w:rFonts w:hint="eastAsia" w:eastAsia="仿宋"/>
          <w:sz w:val="28"/>
          <w:szCs w:val="28"/>
          <w:u w:val="single"/>
          <w:lang w:val="en-US" w:eastAsia="zh-CN"/>
        </w:rPr>
        <w:t xml:space="preserve">                          </w:t>
      </w:r>
    </w:p>
    <w:p w14:paraId="4038EE3F">
      <w:pPr>
        <w:spacing w:line="360" w:lineRule="auto"/>
        <w:ind w:left="2520" w:hanging="2520" w:hangingChars="900"/>
        <w:jc w:val="left"/>
        <w:rPr>
          <w:rFonts w:eastAsia="仿宋"/>
          <w:sz w:val="28"/>
          <w:szCs w:val="28"/>
          <w:u w:val="single"/>
        </w:rPr>
      </w:pPr>
    </w:p>
    <w:p w14:paraId="14A39B64">
      <w:pPr>
        <w:spacing w:before="120" w:line="360" w:lineRule="auto"/>
        <w:ind w:left="960"/>
        <w:rPr>
          <w:rFonts w:eastAsia="仿宋"/>
          <w:sz w:val="28"/>
          <w:szCs w:val="28"/>
        </w:rPr>
      </w:pPr>
    </w:p>
    <w:p w14:paraId="4EE32091">
      <w:pPr>
        <w:pStyle w:val="58"/>
        <w:spacing w:before="120"/>
        <w:rPr>
          <w:rFonts w:ascii="Times New Roman" w:eastAsia="仿宋"/>
          <w:sz w:val="28"/>
          <w:szCs w:val="28"/>
        </w:rPr>
      </w:pPr>
    </w:p>
    <w:p w14:paraId="56D090FC">
      <w:pPr>
        <w:spacing w:line="360" w:lineRule="auto"/>
        <w:rPr>
          <w:rFonts w:eastAsia="仿宋"/>
          <w:sz w:val="28"/>
          <w:szCs w:val="28"/>
        </w:rPr>
      </w:pPr>
    </w:p>
    <w:p w14:paraId="5CCACDAB">
      <w:pPr>
        <w:spacing w:before="120" w:line="360" w:lineRule="auto"/>
        <w:ind w:firstLine="560" w:firstLineChars="200"/>
        <w:rPr>
          <w:rFonts w:eastAsia="仿宋"/>
          <w:sz w:val="28"/>
          <w:szCs w:val="28"/>
        </w:rPr>
      </w:pPr>
      <w:r>
        <w:rPr>
          <w:rFonts w:eastAsia="仿宋"/>
          <w:sz w:val="28"/>
          <w:szCs w:val="28"/>
        </w:rPr>
        <w:t>甲方：</w:t>
      </w:r>
    </w:p>
    <w:p w14:paraId="32C274B2">
      <w:pPr>
        <w:spacing w:before="120" w:line="360" w:lineRule="auto"/>
        <w:ind w:firstLine="560" w:firstLineChars="200"/>
        <w:rPr>
          <w:rFonts w:eastAsia="仿宋"/>
          <w:sz w:val="28"/>
          <w:szCs w:val="28"/>
        </w:rPr>
      </w:pPr>
      <w:r>
        <w:rPr>
          <w:rFonts w:eastAsia="仿宋"/>
          <w:sz w:val="28"/>
          <w:szCs w:val="28"/>
        </w:rPr>
        <w:t>乙方：</w:t>
      </w:r>
    </w:p>
    <w:p w14:paraId="4D3D5AA4">
      <w:pPr>
        <w:spacing w:before="120" w:line="360" w:lineRule="auto"/>
        <w:ind w:firstLine="560" w:firstLineChars="200"/>
        <w:rPr>
          <w:rFonts w:eastAsia="仿宋"/>
          <w:sz w:val="28"/>
          <w:szCs w:val="28"/>
        </w:rPr>
      </w:pPr>
      <w:r>
        <w:rPr>
          <w:rFonts w:eastAsia="仿宋"/>
          <w:sz w:val="28"/>
          <w:szCs w:val="28"/>
        </w:rPr>
        <w:t>签订地：</w:t>
      </w:r>
    </w:p>
    <w:p w14:paraId="4CF7ED9D">
      <w:pPr>
        <w:spacing w:before="120" w:line="360" w:lineRule="auto"/>
        <w:ind w:firstLine="560" w:firstLineChars="200"/>
        <w:rPr>
          <w:rFonts w:eastAsia="仿宋"/>
          <w:sz w:val="28"/>
          <w:szCs w:val="28"/>
          <w:u w:val="single"/>
        </w:rPr>
      </w:pPr>
      <w:r>
        <w:rPr>
          <w:rFonts w:eastAsia="仿宋"/>
          <w:sz w:val="28"/>
          <w:szCs w:val="28"/>
        </w:rPr>
        <w:t>签订日期：</w:t>
      </w:r>
      <w:r>
        <w:rPr>
          <w:rFonts w:hint="eastAsia" w:eastAsia="仿宋"/>
          <w:sz w:val="28"/>
          <w:szCs w:val="28"/>
          <w:lang w:val="en-US" w:eastAsia="zh-CN"/>
        </w:rPr>
        <w:t xml:space="preserve"> </w:t>
      </w:r>
      <w:r>
        <w:rPr>
          <w:rFonts w:eastAsia="仿宋"/>
          <w:sz w:val="28"/>
          <w:szCs w:val="28"/>
        </w:rPr>
        <w:t>年</w:t>
      </w:r>
      <w:r>
        <w:rPr>
          <w:rFonts w:hint="eastAsia" w:eastAsia="仿宋"/>
          <w:sz w:val="28"/>
          <w:szCs w:val="28"/>
          <w:lang w:val="en-US" w:eastAsia="zh-CN"/>
        </w:rPr>
        <w:t xml:space="preserve"> </w:t>
      </w:r>
      <w:r>
        <w:rPr>
          <w:rFonts w:eastAsia="仿宋"/>
          <w:sz w:val="28"/>
          <w:szCs w:val="28"/>
        </w:rPr>
        <w:t>月</w:t>
      </w:r>
      <w:r>
        <w:rPr>
          <w:rFonts w:hint="eastAsia" w:eastAsia="仿宋"/>
          <w:sz w:val="28"/>
          <w:szCs w:val="28"/>
          <w:lang w:val="en-US" w:eastAsia="zh-CN"/>
        </w:rPr>
        <w:t xml:space="preserve"> </w:t>
      </w:r>
      <w:r>
        <w:rPr>
          <w:rFonts w:eastAsia="仿宋"/>
          <w:sz w:val="28"/>
          <w:szCs w:val="28"/>
        </w:rPr>
        <w:t>日</w:t>
      </w:r>
    </w:p>
    <w:p w14:paraId="0D6AB49F">
      <w:pPr>
        <w:autoSpaceDE w:val="0"/>
        <w:autoSpaceDN w:val="0"/>
        <w:adjustRightInd w:val="0"/>
        <w:spacing w:line="360" w:lineRule="auto"/>
        <w:ind w:firstLine="640"/>
        <w:jc w:val="center"/>
        <w:rPr>
          <w:rFonts w:eastAsia="仿宋"/>
          <w:sz w:val="28"/>
          <w:szCs w:val="28"/>
        </w:rPr>
        <w:sectPr>
          <w:headerReference r:id="rId6" w:type="default"/>
          <w:footerReference r:id="rId7"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7629CD09">
      <w:pPr>
        <w:spacing w:line="360" w:lineRule="auto"/>
        <w:ind w:firstLine="840" w:firstLineChars="300"/>
        <w:jc w:val="left"/>
        <w:rPr>
          <w:rFonts w:eastAsia="仿宋"/>
          <w:sz w:val="28"/>
          <w:szCs w:val="28"/>
        </w:rPr>
      </w:pPr>
      <w:r>
        <w:rPr>
          <w:rFonts w:eastAsia="仿宋"/>
          <w:sz w:val="28"/>
          <w:szCs w:val="28"/>
          <w:lang w:val="zh-CN"/>
        </w:rPr>
        <w:t>年</w:t>
      </w:r>
      <w:r>
        <w:rPr>
          <w:rFonts w:hint="eastAsia" w:eastAsia="仿宋"/>
          <w:sz w:val="28"/>
          <w:szCs w:val="28"/>
          <w:lang w:val="en-US" w:eastAsia="zh-CN"/>
        </w:rPr>
        <w:t xml:space="preserve"> </w:t>
      </w:r>
      <w:r>
        <w:rPr>
          <w:rFonts w:eastAsia="仿宋"/>
          <w:sz w:val="28"/>
          <w:szCs w:val="28"/>
          <w:lang w:val="zh-CN"/>
        </w:rPr>
        <w:t>月</w:t>
      </w:r>
      <w:r>
        <w:rPr>
          <w:rFonts w:hint="eastAsia" w:eastAsia="仿宋"/>
          <w:sz w:val="28"/>
          <w:szCs w:val="28"/>
          <w:lang w:val="en-US" w:eastAsia="zh-CN"/>
        </w:rPr>
        <w:t xml:space="preserve"> </w:t>
      </w:r>
      <w:r>
        <w:rPr>
          <w:rFonts w:eastAsia="仿宋"/>
          <w:sz w:val="28"/>
          <w:szCs w:val="28"/>
          <w:lang w:val="zh-CN"/>
        </w:rPr>
        <w:t>日</w:t>
      </w:r>
      <w:r>
        <w:rPr>
          <w:rFonts w:eastAsia="仿宋"/>
          <w:sz w:val="28"/>
          <w:szCs w:val="28"/>
        </w:rPr>
        <w:t>，</w:t>
      </w:r>
      <w:r>
        <w:rPr>
          <w:rFonts w:hint="eastAsia" w:eastAsia="仿宋"/>
          <w:sz w:val="28"/>
          <w:szCs w:val="28"/>
          <w:u w:val="single"/>
          <w:lang w:val="en-US" w:eastAsia="zh-CN"/>
        </w:rPr>
        <w:t xml:space="preserve">                     </w:t>
      </w:r>
      <w:r>
        <w:rPr>
          <w:rFonts w:eastAsia="仿宋"/>
          <w:sz w:val="28"/>
          <w:szCs w:val="28"/>
        </w:rPr>
        <w:t>进行了采购。经</w:t>
      </w:r>
      <w:r>
        <w:rPr>
          <w:rFonts w:eastAsia="仿宋"/>
          <w:sz w:val="28"/>
          <w:szCs w:val="28"/>
          <w:u w:val="single"/>
        </w:rPr>
        <w:t>（相关评定主体名称）</w:t>
      </w:r>
      <w:r>
        <w:rPr>
          <w:rFonts w:eastAsia="仿宋"/>
          <w:sz w:val="28"/>
          <w:szCs w:val="28"/>
        </w:rPr>
        <w:t>评定，</w:t>
      </w:r>
      <w:r>
        <w:rPr>
          <w:rFonts w:eastAsia="仿宋"/>
          <w:sz w:val="28"/>
          <w:szCs w:val="28"/>
          <w:u w:val="single"/>
        </w:rPr>
        <w:t>（中标供应商名称）</w:t>
      </w:r>
      <w:r>
        <w:rPr>
          <w:rFonts w:eastAsia="仿宋"/>
          <w:sz w:val="28"/>
          <w:szCs w:val="28"/>
        </w:rPr>
        <w:t>为该项目中标供应商。现于中标通知书发出之日起三十日内，按照采购文件确定的事项签订本合同。</w:t>
      </w:r>
    </w:p>
    <w:p w14:paraId="6ED67C48">
      <w:pPr>
        <w:spacing w:line="360" w:lineRule="auto"/>
        <w:ind w:firstLine="560" w:firstLineChars="200"/>
        <w:rPr>
          <w:rFonts w:eastAsia="仿宋"/>
          <w:sz w:val="28"/>
          <w:szCs w:val="28"/>
        </w:rPr>
      </w:pPr>
      <w:r>
        <w:rPr>
          <w:rFonts w:eastAsia="仿宋"/>
          <w:sz w:val="28"/>
          <w:szCs w:val="28"/>
          <w:lang w:val="zh-CN"/>
        </w:rPr>
        <w:t>根据《中华人民共和国合同法》、《中华人民共和国政府采购法》等相关法律法规之规定，按照平等、自愿、公平和诚实信用的原则，经</w:t>
      </w:r>
      <w:r>
        <w:rPr>
          <w:rFonts w:eastAsia="仿宋"/>
          <w:sz w:val="28"/>
          <w:szCs w:val="28"/>
          <w:u w:val="single"/>
        </w:rPr>
        <w:t>（采购人名称）</w:t>
      </w:r>
      <w:r>
        <w:rPr>
          <w:rFonts w:eastAsia="仿宋"/>
          <w:sz w:val="28"/>
          <w:szCs w:val="28"/>
          <w:lang w:val="zh-CN"/>
        </w:rPr>
        <w:t>(以下简称：甲方)和</w:t>
      </w:r>
      <w:r>
        <w:rPr>
          <w:rFonts w:eastAsia="仿宋"/>
          <w:sz w:val="28"/>
          <w:szCs w:val="28"/>
          <w:u w:val="single"/>
        </w:rPr>
        <w:t>（中标供应商名称）</w:t>
      </w:r>
      <w:r>
        <w:rPr>
          <w:rFonts w:eastAsia="仿宋"/>
          <w:sz w:val="28"/>
          <w:szCs w:val="28"/>
          <w:lang w:val="zh-CN"/>
        </w:rPr>
        <w:t>(以下简称：乙方)协商一致，约定以下合同</w:t>
      </w:r>
      <w:r>
        <w:rPr>
          <w:rFonts w:eastAsia="仿宋"/>
          <w:sz w:val="28"/>
          <w:szCs w:val="28"/>
        </w:rPr>
        <w:t>条款，以兹共同遵守、全面履行。</w:t>
      </w:r>
    </w:p>
    <w:p w14:paraId="35D7BAE6">
      <w:pPr>
        <w:spacing w:line="360" w:lineRule="auto"/>
        <w:ind w:firstLine="562" w:firstLineChars="200"/>
        <w:outlineLvl w:val="1"/>
        <w:rPr>
          <w:rFonts w:eastAsia="仿宋"/>
          <w:sz w:val="28"/>
          <w:szCs w:val="28"/>
        </w:rPr>
      </w:pPr>
      <w:bookmarkStart w:id="390" w:name="_Toc13913"/>
      <w:bookmarkStart w:id="391" w:name="_Toc15367"/>
      <w:bookmarkStart w:id="392" w:name="_Toc19273"/>
      <w:bookmarkStart w:id="393" w:name="_Toc22967"/>
      <w:bookmarkStart w:id="394" w:name="_Toc15512"/>
      <w:bookmarkStart w:id="395" w:name="_Toc17104"/>
      <w:bookmarkStart w:id="396" w:name="_Toc10692"/>
      <w:bookmarkStart w:id="397" w:name="_Toc16315"/>
      <w:bookmarkStart w:id="398" w:name="_Toc2214"/>
      <w:bookmarkStart w:id="399" w:name="_Toc20421"/>
      <w:bookmarkStart w:id="400" w:name="_Toc28855"/>
      <w:bookmarkStart w:id="401" w:name="_Toc24382"/>
      <w:r>
        <w:rPr>
          <w:rFonts w:eastAsia="仿宋"/>
          <w:b/>
          <w:bCs/>
          <w:sz w:val="28"/>
          <w:szCs w:val="28"/>
        </w:rPr>
        <w:t>1.1 合同组成部分</w:t>
      </w:r>
      <w:bookmarkEnd w:id="390"/>
      <w:bookmarkEnd w:id="391"/>
      <w:bookmarkEnd w:id="392"/>
      <w:bookmarkEnd w:id="393"/>
      <w:bookmarkEnd w:id="394"/>
      <w:bookmarkEnd w:id="395"/>
      <w:bookmarkEnd w:id="396"/>
      <w:bookmarkEnd w:id="397"/>
      <w:bookmarkEnd w:id="398"/>
      <w:bookmarkEnd w:id="399"/>
      <w:bookmarkEnd w:id="400"/>
      <w:bookmarkEnd w:id="401"/>
    </w:p>
    <w:p w14:paraId="171BD3DA">
      <w:pPr>
        <w:spacing w:line="360" w:lineRule="auto"/>
        <w:ind w:firstLine="560" w:firstLineChars="200"/>
        <w:rPr>
          <w:rFonts w:eastAsia="仿宋"/>
          <w:sz w:val="28"/>
          <w:szCs w:val="28"/>
        </w:rPr>
      </w:pPr>
      <w:r>
        <w:rPr>
          <w:rFonts w:eastAsia="仿宋"/>
          <w:sz w:val="28"/>
          <w:szCs w:val="28"/>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A277075">
      <w:pPr>
        <w:spacing w:line="360" w:lineRule="auto"/>
        <w:ind w:firstLine="560" w:firstLineChars="200"/>
        <w:rPr>
          <w:rFonts w:eastAsia="仿宋"/>
          <w:sz w:val="28"/>
          <w:szCs w:val="28"/>
        </w:rPr>
      </w:pPr>
      <w:r>
        <w:rPr>
          <w:rFonts w:eastAsia="仿宋"/>
          <w:sz w:val="28"/>
          <w:szCs w:val="28"/>
        </w:rPr>
        <w:t>1.1.1 本合同及其补充合同、变更协议；</w:t>
      </w:r>
    </w:p>
    <w:p w14:paraId="53D6EB97">
      <w:pPr>
        <w:spacing w:line="360" w:lineRule="auto"/>
        <w:ind w:firstLine="560" w:firstLineChars="200"/>
        <w:rPr>
          <w:rFonts w:eastAsia="仿宋"/>
          <w:sz w:val="28"/>
          <w:szCs w:val="28"/>
        </w:rPr>
      </w:pPr>
      <w:r>
        <w:rPr>
          <w:rFonts w:eastAsia="仿宋"/>
          <w:sz w:val="28"/>
          <w:szCs w:val="28"/>
        </w:rPr>
        <w:t>1.1.2 中标通知书；</w:t>
      </w:r>
    </w:p>
    <w:p w14:paraId="40B0AACD">
      <w:pPr>
        <w:spacing w:line="360" w:lineRule="auto"/>
        <w:ind w:firstLine="560" w:firstLineChars="200"/>
        <w:rPr>
          <w:rFonts w:eastAsia="仿宋"/>
          <w:sz w:val="28"/>
          <w:szCs w:val="28"/>
        </w:rPr>
      </w:pPr>
      <w:r>
        <w:rPr>
          <w:rFonts w:eastAsia="仿宋"/>
          <w:sz w:val="28"/>
          <w:szCs w:val="28"/>
        </w:rPr>
        <w:t>1.1.3 投标文件（含澄清或者说明文件）；</w:t>
      </w:r>
    </w:p>
    <w:p w14:paraId="399E87DA">
      <w:pPr>
        <w:spacing w:line="360" w:lineRule="auto"/>
        <w:ind w:firstLine="560" w:firstLineChars="200"/>
        <w:rPr>
          <w:rFonts w:eastAsia="仿宋"/>
          <w:sz w:val="28"/>
          <w:szCs w:val="28"/>
        </w:rPr>
      </w:pPr>
      <w:r>
        <w:rPr>
          <w:rFonts w:eastAsia="仿宋"/>
          <w:sz w:val="28"/>
          <w:szCs w:val="28"/>
        </w:rPr>
        <w:t>1.1.4 招标文件（含澄清或者修改文件）；</w:t>
      </w:r>
    </w:p>
    <w:p w14:paraId="1BE3BB44">
      <w:pPr>
        <w:spacing w:line="360" w:lineRule="auto"/>
        <w:ind w:firstLine="560" w:firstLineChars="200"/>
        <w:rPr>
          <w:rFonts w:eastAsia="仿宋"/>
          <w:sz w:val="28"/>
          <w:szCs w:val="28"/>
        </w:rPr>
      </w:pPr>
      <w:r>
        <w:rPr>
          <w:rFonts w:eastAsia="仿宋"/>
          <w:sz w:val="28"/>
          <w:szCs w:val="28"/>
        </w:rPr>
        <w:t>1.1.5 其他相关采购文件。</w:t>
      </w:r>
    </w:p>
    <w:p w14:paraId="45B7B837">
      <w:pPr>
        <w:spacing w:line="360" w:lineRule="auto"/>
        <w:ind w:firstLine="562" w:firstLineChars="200"/>
        <w:outlineLvl w:val="1"/>
        <w:rPr>
          <w:rFonts w:eastAsia="仿宋"/>
          <w:b/>
          <w:bCs/>
          <w:sz w:val="28"/>
          <w:szCs w:val="28"/>
        </w:rPr>
      </w:pPr>
      <w:bookmarkStart w:id="402" w:name="_Toc3854"/>
      <w:bookmarkStart w:id="403" w:name="_Toc27040"/>
      <w:bookmarkStart w:id="404" w:name="_Toc2918"/>
      <w:bookmarkStart w:id="405" w:name="_Toc508"/>
      <w:bookmarkStart w:id="406" w:name="_Toc24140"/>
      <w:bookmarkStart w:id="407" w:name="_Toc22185"/>
      <w:bookmarkStart w:id="408" w:name="_Toc6773"/>
      <w:bookmarkStart w:id="409" w:name="_Toc6311"/>
      <w:bookmarkStart w:id="410" w:name="_Toc18585"/>
      <w:bookmarkStart w:id="411" w:name="_Toc10091"/>
      <w:bookmarkStart w:id="412" w:name="_Toc10622"/>
      <w:bookmarkStart w:id="413" w:name="_Toc7536"/>
      <w:r>
        <w:rPr>
          <w:rFonts w:eastAsia="仿宋"/>
          <w:b/>
          <w:bCs/>
          <w:sz w:val="28"/>
          <w:szCs w:val="28"/>
        </w:rPr>
        <w:t>1.2 标的</w:t>
      </w:r>
      <w:bookmarkEnd w:id="402"/>
      <w:bookmarkEnd w:id="403"/>
      <w:bookmarkEnd w:id="404"/>
      <w:bookmarkEnd w:id="405"/>
      <w:bookmarkEnd w:id="406"/>
      <w:bookmarkEnd w:id="407"/>
      <w:bookmarkEnd w:id="408"/>
      <w:bookmarkEnd w:id="409"/>
      <w:bookmarkEnd w:id="410"/>
      <w:bookmarkEnd w:id="411"/>
      <w:bookmarkEnd w:id="412"/>
      <w:bookmarkEnd w:id="413"/>
    </w:p>
    <w:p w14:paraId="43D71A00">
      <w:pPr>
        <w:spacing w:line="360" w:lineRule="auto"/>
        <w:ind w:firstLine="560" w:firstLineChars="200"/>
        <w:jc w:val="left"/>
        <w:rPr>
          <w:rFonts w:hint="default" w:eastAsia="仿宋"/>
          <w:sz w:val="28"/>
          <w:szCs w:val="28"/>
          <w:u w:val="single"/>
          <w:lang w:val="en-US" w:eastAsia="zh-CN"/>
        </w:rPr>
      </w:pPr>
      <w:r>
        <w:rPr>
          <w:rFonts w:eastAsia="仿宋"/>
          <w:sz w:val="28"/>
          <w:szCs w:val="28"/>
        </w:rPr>
        <w:t>1.2.1 标的名称：</w:t>
      </w:r>
      <w:r>
        <w:rPr>
          <w:rFonts w:hint="eastAsia" w:eastAsia="仿宋"/>
          <w:sz w:val="28"/>
          <w:szCs w:val="28"/>
          <w:u w:val="single"/>
          <w:lang w:val="en-US" w:eastAsia="zh-CN"/>
        </w:rPr>
        <w:t xml:space="preserve">                      </w:t>
      </w:r>
    </w:p>
    <w:p w14:paraId="359296D8">
      <w:pPr>
        <w:spacing w:line="360" w:lineRule="auto"/>
        <w:ind w:firstLine="560" w:firstLineChars="200"/>
        <w:jc w:val="left"/>
        <w:rPr>
          <w:rFonts w:eastAsia="仿宋"/>
          <w:sz w:val="28"/>
          <w:szCs w:val="28"/>
          <w:u w:val="single"/>
        </w:rPr>
      </w:pPr>
      <w:r>
        <w:rPr>
          <w:rFonts w:eastAsia="仿宋"/>
          <w:sz w:val="28"/>
          <w:szCs w:val="28"/>
        </w:rPr>
        <w:t>1.2.2 标的数量：</w:t>
      </w:r>
      <w:r>
        <w:rPr>
          <w:rFonts w:eastAsia="仿宋"/>
          <w:sz w:val="28"/>
          <w:szCs w:val="28"/>
          <w:u w:val="single"/>
        </w:rPr>
        <w:t>按招标文件要求（详见清单）</w:t>
      </w:r>
    </w:p>
    <w:p w14:paraId="5897CCCD">
      <w:pPr>
        <w:spacing w:line="360" w:lineRule="auto"/>
        <w:ind w:firstLine="560" w:firstLineChars="200"/>
        <w:rPr>
          <w:rFonts w:eastAsia="仿宋"/>
          <w:sz w:val="28"/>
          <w:szCs w:val="28"/>
        </w:rPr>
      </w:pPr>
      <w:r>
        <w:rPr>
          <w:rFonts w:eastAsia="仿宋"/>
          <w:sz w:val="28"/>
          <w:szCs w:val="28"/>
        </w:rPr>
        <w:t>1.2.3 标的质量：</w:t>
      </w:r>
      <w:r>
        <w:rPr>
          <w:rFonts w:eastAsia="仿宋"/>
          <w:sz w:val="28"/>
          <w:szCs w:val="28"/>
          <w:u w:val="single"/>
        </w:rPr>
        <w:t>按招标文件要求和投标文件的实际填写。</w:t>
      </w:r>
    </w:p>
    <w:p w14:paraId="4379451B">
      <w:pPr>
        <w:spacing w:line="360" w:lineRule="auto"/>
        <w:ind w:firstLine="562" w:firstLineChars="200"/>
        <w:outlineLvl w:val="1"/>
        <w:rPr>
          <w:rFonts w:eastAsia="仿宋"/>
          <w:b/>
          <w:bCs/>
          <w:sz w:val="28"/>
          <w:szCs w:val="28"/>
        </w:rPr>
      </w:pPr>
      <w:bookmarkStart w:id="414" w:name="_Toc10350"/>
      <w:bookmarkStart w:id="415" w:name="_Toc20450"/>
      <w:bookmarkStart w:id="416" w:name="_Toc22890"/>
      <w:bookmarkStart w:id="417" w:name="_Toc21124"/>
      <w:bookmarkStart w:id="418" w:name="_Toc13918"/>
      <w:bookmarkStart w:id="419" w:name="_Toc1386"/>
      <w:bookmarkStart w:id="420" w:name="_Toc24605"/>
      <w:bookmarkStart w:id="421" w:name="_Toc23872"/>
      <w:bookmarkStart w:id="422" w:name="_Toc30162"/>
      <w:bookmarkStart w:id="423" w:name="_Toc11112"/>
      <w:bookmarkStart w:id="424" w:name="_Toc5635"/>
      <w:bookmarkStart w:id="425" w:name="_Toc4929"/>
      <w:r>
        <w:rPr>
          <w:rFonts w:eastAsia="仿宋"/>
          <w:b/>
          <w:bCs/>
          <w:sz w:val="28"/>
          <w:szCs w:val="28"/>
        </w:rPr>
        <w:t>1.3 价款</w:t>
      </w:r>
      <w:bookmarkEnd w:id="414"/>
      <w:bookmarkEnd w:id="415"/>
      <w:bookmarkEnd w:id="416"/>
      <w:bookmarkEnd w:id="417"/>
      <w:bookmarkEnd w:id="418"/>
      <w:bookmarkEnd w:id="419"/>
      <w:bookmarkEnd w:id="420"/>
      <w:bookmarkEnd w:id="421"/>
      <w:bookmarkEnd w:id="422"/>
      <w:bookmarkEnd w:id="423"/>
      <w:bookmarkEnd w:id="424"/>
      <w:bookmarkEnd w:id="425"/>
    </w:p>
    <w:p w14:paraId="7D0C6F64">
      <w:pPr>
        <w:spacing w:line="360" w:lineRule="auto"/>
        <w:ind w:firstLine="560" w:firstLineChars="200"/>
        <w:rPr>
          <w:rFonts w:eastAsia="仿宋"/>
          <w:sz w:val="28"/>
          <w:szCs w:val="28"/>
        </w:rPr>
      </w:pPr>
      <w:r>
        <w:rPr>
          <w:rFonts w:eastAsia="仿宋"/>
          <w:sz w:val="28"/>
          <w:szCs w:val="28"/>
        </w:rPr>
        <w:t>本合同总价为：￥元（大写：元人民币）。</w:t>
      </w:r>
    </w:p>
    <w:p w14:paraId="0F4F2FC1">
      <w:pPr>
        <w:spacing w:line="360" w:lineRule="auto"/>
        <w:ind w:firstLine="560" w:firstLineChars="200"/>
        <w:rPr>
          <w:rFonts w:eastAsia="仿宋"/>
          <w:sz w:val="28"/>
          <w:szCs w:val="28"/>
          <w:u w:val="single"/>
        </w:rPr>
      </w:pPr>
      <w:r>
        <w:rPr>
          <w:rFonts w:eastAsia="仿宋"/>
          <w:sz w:val="28"/>
          <w:szCs w:val="28"/>
        </w:rPr>
        <w:t>分项价格：</w:t>
      </w:r>
    </w:p>
    <w:tbl>
      <w:tblPr>
        <w:tblStyle w:val="21"/>
        <w:tblW w:w="82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3402"/>
        <w:gridCol w:w="3247"/>
      </w:tblGrid>
      <w:tr w14:paraId="5C406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21458606">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序号</w:t>
            </w:r>
          </w:p>
        </w:tc>
        <w:tc>
          <w:tcPr>
            <w:tcW w:w="3402" w:type="dxa"/>
            <w:vAlign w:val="center"/>
          </w:tcPr>
          <w:p w14:paraId="11DB9188">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分项名称</w:t>
            </w:r>
          </w:p>
        </w:tc>
        <w:tc>
          <w:tcPr>
            <w:tcW w:w="3247" w:type="dxa"/>
            <w:vAlign w:val="center"/>
          </w:tcPr>
          <w:p w14:paraId="500DD5CB">
            <w:pPr>
              <w:pStyle w:val="59"/>
              <w:keepNext w:val="0"/>
              <w:keepLines w:val="0"/>
              <w:suppressLineNumbers w:val="0"/>
              <w:spacing w:before="0" w:beforeAutospacing="0" w:after="0" w:afterAutospacing="0" w:line="360" w:lineRule="auto"/>
              <w:ind w:left="0" w:right="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分项价格</w:t>
            </w:r>
          </w:p>
        </w:tc>
      </w:tr>
      <w:tr w14:paraId="684AF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57F38740">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417C9547">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43BEFF01">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2AFDA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42DB83F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107A587E">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0A0DE1ED">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3A1AD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336ACC4B">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42FD410A">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2F273B06">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69C90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586" w:type="dxa"/>
            <w:vAlign w:val="center"/>
          </w:tcPr>
          <w:p w14:paraId="03A9004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402" w:type="dxa"/>
            <w:vAlign w:val="center"/>
          </w:tcPr>
          <w:p w14:paraId="46D25293">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c>
          <w:tcPr>
            <w:tcW w:w="3247" w:type="dxa"/>
            <w:vAlign w:val="center"/>
          </w:tcPr>
          <w:p w14:paraId="6F125F8A">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r w14:paraId="49C6A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8" w:type="dxa"/>
            <w:gridSpan w:val="2"/>
            <w:vAlign w:val="center"/>
          </w:tcPr>
          <w:p w14:paraId="7B8AB00C">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r>
              <w:rPr>
                <w:rFonts w:hint="default" w:ascii="Times New Roman" w:hAnsi="Times New Roman" w:eastAsia="仿宋"/>
                <w:color w:val="000000"/>
                <w:kern w:val="2"/>
                <w:sz w:val="28"/>
                <w:szCs w:val="28"/>
              </w:rPr>
              <w:t>总价</w:t>
            </w:r>
          </w:p>
        </w:tc>
        <w:tc>
          <w:tcPr>
            <w:tcW w:w="3247" w:type="dxa"/>
            <w:vAlign w:val="center"/>
          </w:tcPr>
          <w:p w14:paraId="43024F3B">
            <w:pPr>
              <w:pStyle w:val="59"/>
              <w:keepNext w:val="0"/>
              <w:keepLines w:val="0"/>
              <w:suppressLineNumbers w:val="0"/>
              <w:spacing w:before="0" w:beforeAutospacing="0" w:after="0" w:afterAutospacing="0" w:line="360" w:lineRule="auto"/>
              <w:ind w:left="0" w:right="0" w:firstLine="200"/>
              <w:jc w:val="center"/>
              <w:rPr>
                <w:rFonts w:hint="default" w:ascii="Times New Roman" w:hAnsi="Times New Roman" w:eastAsia="仿宋"/>
                <w:color w:val="000000"/>
                <w:kern w:val="2"/>
                <w:sz w:val="28"/>
                <w:szCs w:val="28"/>
              </w:rPr>
            </w:pPr>
          </w:p>
        </w:tc>
      </w:tr>
    </w:tbl>
    <w:p w14:paraId="32CAEBA9">
      <w:pPr>
        <w:spacing w:line="360" w:lineRule="auto"/>
        <w:ind w:firstLine="562" w:firstLineChars="200"/>
        <w:outlineLvl w:val="1"/>
        <w:rPr>
          <w:rFonts w:eastAsia="仿宋"/>
          <w:b/>
          <w:bCs/>
          <w:sz w:val="28"/>
          <w:szCs w:val="28"/>
        </w:rPr>
      </w:pPr>
      <w:bookmarkStart w:id="426" w:name="_Toc30506"/>
      <w:bookmarkStart w:id="427" w:name="_Toc14993"/>
      <w:bookmarkStart w:id="428" w:name="_Toc20344"/>
      <w:bookmarkStart w:id="429" w:name="_Toc8095"/>
      <w:bookmarkStart w:id="430" w:name="_Toc3654"/>
      <w:bookmarkStart w:id="431" w:name="_Toc12997"/>
      <w:bookmarkStart w:id="432" w:name="_Toc20410"/>
      <w:bookmarkStart w:id="433" w:name="_Toc9792"/>
      <w:bookmarkStart w:id="434" w:name="_Toc31751"/>
      <w:bookmarkStart w:id="435" w:name="_Toc26916"/>
      <w:bookmarkStart w:id="436" w:name="_Toc32618"/>
      <w:bookmarkStart w:id="437" w:name="_Toc30158"/>
      <w:r>
        <w:rPr>
          <w:rFonts w:eastAsia="仿宋"/>
          <w:b/>
          <w:bCs/>
          <w:sz w:val="28"/>
          <w:szCs w:val="28"/>
        </w:rPr>
        <w:t>1.4 付款方式和发票开具方式</w:t>
      </w:r>
      <w:bookmarkEnd w:id="426"/>
      <w:bookmarkEnd w:id="427"/>
      <w:bookmarkEnd w:id="428"/>
      <w:bookmarkEnd w:id="429"/>
      <w:bookmarkEnd w:id="430"/>
      <w:bookmarkEnd w:id="431"/>
      <w:bookmarkEnd w:id="432"/>
      <w:bookmarkEnd w:id="433"/>
      <w:bookmarkEnd w:id="434"/>
      <w:bookmarkEnd w:id="435"/>
      <w:bookmarkEnd w:id="436"/>
      <w:bookmarkEnd w:id="437"/>
    </w:p>
    <w:p w14:paraId="6B24D0B9">
      <w:pPr>
        <w:pStyle w:val="13"/>
        <w:spacing w:line="360" w:lineRule="auto"/>
        <w:ind w:firstLine="560" w:firstLineChars="200"/>
        <w:rPr>
          <w:rFonts w:ascii="Times New Roman" w:hAnsi="Times New Roman" w:eastAsia="仿宋"/>
          <w:sz w:val="28"/>
          <w:szCs w:val="28"/>
        </w:rPr>
      </w:pPr>
      <w:r>
        <w:rPr>
          <w:rFonts w:ascii="Times New Roman" w:hAnsi="Times New Roman" w:eastAsia="仿宋"/>
          <w:sz w:val="28"/>
          <w:szCs w:val="28"/>
        </w:rPr>
        <w:t>1.4.1付款方式：详见招标文件要求。</w:t>
      </w:r>
    </w:p>
    <w:p w14:paraId="3E9E44A1">
      <w:pPr>
        <w:spacing w:line="360" w:lineRule="auto"/>
        <w:ind w:firstLine="560" w:firstLineChars="200"/>
        <w:rPr>
          <w:rFonts w:eastAsia="仿宋"/>
          <w:sz w:val="28"/>
          <w:szCs w:val="28"/>
        </w:rPr>
      </w:pPr>
      <w:r>
        <w:rPr>
          <w:rFonts w:eastAsia="仿宋"/>
          <w:sz w:val="28"/>
          <w:szCs w:val="28"/>
        </w:rPr>
        <w:t>1.4.2 发票开具方式：乙方提供发票</w:t>
      </w:r>
    </w:p>
    <w:p w14:paraId="0A59E447">
      <w:pPr>
        <w:spacing w:line="360" w:lineRule="auto"/>
        <w:ind w:firstLine="562" w:firstLineChars="200"/>
        <w:outlineLvl w:val="1"/>
        <w:rPr>
          <w:rFonts w:eastAsia="仿宋"/>
          <w:b/>
          <w:bCs/>
          <w:sz w:val="28"/>
          <w:szCs w:val="28"/>
        </w:rPr>
      </w:pPr>
      <w:bookmarkStart w:id="438" w:name="_Toc25500"/>
      <w:bookmarkStart w:id="439" w:name="_Toc3540"/>
      <w:bookmarkStart w:id="440" w:name="_Toc9004"/>
      <w:bookmarkStart w:id="441" w:name="_Toc4760"/>
      <w:bookmarkStart w:id="442" w:name="_Toc13683"/>
      <w:bookmarkStart w:id="443" w:name="_Toc2641"/>
      <w:bookmarkStart w:id="444" w:name="_Toc10054"/>
      <w:bookmarkStart w:id="445" w:name="_Toc8772"/>
      <w:bookmarkStart w:id="446" w:name="_Toc31421"/>
      <w:bookmarkStart w:id="447" w:name="_Toc1299"/>
      <w:bookmarkStart w:id="448" w:name="_Toc3625"/>
      <w:bookmarkStart w:id="449" w:name="_Toc11108"/>
      <w:r>
        <w:rPr>
          <w:rFonts w:eastAsia="仿宋"/>
          <w:b/>
          <w:bCs/>
          <w:sz w:val="28"/>
          <w:szCs w:val="28"/>
        </w:rPr>
        <w:t>1.5 履行期限、地点和方式</w:t>
      </w:r>
      <w:bookmarkEnd w:id="438"/>
      <w:bookmarkEnd w:id="439"/>
      <w:bookmarkEnd w:id="440"/>
      <w:bookmarkEnd w:id="441"/>
      <w:bookmarkEnd w:id="442"/>
      <w:bookmarkEnd w:id="443"/>
      <w:bookmarkEnd w:id="444"/>
      <w:bookmarkEnd w:id="445"/>
      <w:bookmarkEnd w:id="446"/>
      <w:bookmarkEnd w:id="447"/>
      <w:bookmarkEnd w:id="448"/>
      <w:bookmarkEnd w:id="449"/>
    </w:p>
    <w:p w14:paraId="10C3A3DA">
      <w:pPr>
        <w:spacing w:line="360" w:lineRule="auto"/>
        <w:ind w:firstLine="560" w:firstLineChars="200"/>
        <w:rPr>
          <w:rFonts w:eastAsia="仿宋"/>
          <w:sz w:val="28"/>
          <w:szCs w:val="28"/>
          <w:u w:val="single"/>
        </w:rPr>
      </w:pPr>
      <w:r>
        <w:rPr>
          <w:rFonts w:eastAsia="仿宋"/>
          <w:sz w:val="28"/>
          <w:szCs w:val="28"/>
        </w:rPr>
        <w:t>1.5.1 履行期限：</w:t>
      </w:r>
      <w:r>
        <w:rPr>
          <w:rFonts w:eastAsia="仿宋"/>
          <w:sz w:val="28"/>
          <w:szCs w:val="28"/>
          <w:u w:val="single"/>
        </w:rPr>
        <w:t>按投标文件要求</w:t>
      </w:r>
    </w:p>
    <w:p w14:paraId="2DEAD558">
      <w:pPr>
        <w:spacing w:line="360" w:lineRule="auto"/>
        <w:ind w:firstLine="560" w:firstLineChars="200"/>
        <w:rPr>
          <w:rFonts w:eastAsia="仿宋"/>
          <w:b/>
          <w:bCs/>
          <w:sz w:val="28"/>
          <w:szCs w:val="28"/>
        </w:rPr>
      </w:pPr>
      <w:r>
        <w:rPr>
          <w:rFonts w:eastAsia="仿宋"/>
          <w:sz w:val="28"/>
          <w:szCs w:val="28"/>
        </w:rPr>
        <w:t xml:space="preserve">1.5.2 </w:t>
      </w:r>
      <w:r>
        <w:rPr>
          <w:rFonts w:eastAsia="仿宋"/>
          <w:b/>
          <w:bCs/>
          <w:sz w:val="28"/>
          <w:szCs w:val="28"/>
        </w:rPr>
        <w:t>履行地点：采购人指定地点</w:t>
      </w:r>
    </w:p>
    <w:p w14:paraId="6DC88771">
      <w:pPr>
        <w:spacing w:line="360" w:lineRule="auto"/>
        <w:ind w:firstLine="560" w:firstLineChars="200"/>
        <w:rPr>
          <w:rFonts w:eastAsia="仿宋"/>
          <w:sz w:val="28"/>
          <w:szCs w:val="28"/>
        </w:rPr>
      </w:pPr>
      <w:r>
        <w:rPr>
          <w:rFonts w:eastAsia="仿宋"/>
          <w:sz w:val="28"/>
          <w:szCs w:val="28"/>
        </w:rPr>
        <w:t>1.5.3 履行方式：现场验收。</w:t>
      </w:r>
    </w:p>
    <w:p w14:paraId="02CE0473">
      <w:pPr>
        <w:spacing w:line="360" w:lineRule="auto"/>
        <w:ind w:firstLine="562" w:firstLineChars="200"/>
        <w:outlineLvl w:val="1"/>
        <w:rPr>
          <w:rFonts w:eastAsia="仿宋"/>
          <w:sz w:val="28"/>
          <w:szCs w:val="28"/>
          <w:u w:val="single"/>
        </w:rPr>
      </w:pPr>
      <w:bookmarkStart w:id="450" w:name="_Toc29867"/>
      <w:bookmarkStart w:id="451" w:name="_Toc21576"/>
      <w:bookmarkStart w:id="452" w:name="_Toc3079"/>
      <w:bookmarkStart w:id="453" w:name="_Toc24662"/>
      <w:bookmarkStart w:id="454" w:name="_Toc6521"/>
      <w:bookmarkStart w:id="455" w:name="_Toc8586"/>
      <w:bookmarkStart w:id="456" w:name="_Toc16673"/>
      <w:bookmarkStart w:id="457" w:name="_Toc2375"/>
      <w:bookmarkStart w:id="458" w:name="_Toc5698"/>
      <w:bookmarkStart w:id="459" w:name="_Toc32137"/>
      <w:bookmarkStart w:id="460" w:name="_Toc31461"/>
      <w:bookmarkStart w:id="461" w:name="_Toc18565"/>
      <w:r>
        <w:rPr>
          <w:rFonts w:eastAsia="仿宋"/>
          <w:b/>
          <w:bCs/>
          <w:sz w:val="28"/>
          <w:szCs w:val="28"/>
        </w:rPr>
        <w:t>1.6 违约责任</w:t>
      </w:r>
      <w:bookmarkEnd w:id="450"/>
      <w:bookmarkEnd w:id="451"/>
      <w:bookmarkEnd w:id="452"/>
      <w:bookmarkEnd w:id="453"/>
      <w:bookmarkEnd w:id="454"/>
      <w:bookmarkEnd w:id="455"/>
      <w:bookmarkEnd w:id="456"/>
      <w:bookmarkEnd w:id="457"/>
      <w:bookmarkEnd w:id="458"/>
      <w:bookmarkEnd w:id="459"/>
      <w:bookmarkEnd w:id="460"/>
      <w:bookmarkEnd w:id="461"/>
    </w:p>
    <w:p w14:paraId="6072ADE5">
      <w:pPr>
        <w:spacing w:line="360" w:lineRule="auto"/>
        <w:ind w:firstLine="560" w:firstLineChars="200"/>
        <w:rPr>
          <w:rFonts w:hint="eastAsia" w:eastAsia="仿宋"/>
          <w:sz w:val="28"/>
          <w:szCs w:val="28"/>
          <w:lang w:eastAsia="zh-CN"/>
        </w:rPr>
      </w:pPr>
      <w:r>
        <w:rPr>
          <w:rFonts w:eastAsia="仿宋"/>
          <w:sz w:val="28"/>
          <w:szCs w:val="28"/>
        </w:rPr>
        <w:t>1.6.1 除不可抗力外，如果乙方没有按照本合同约定的期限、地点和方式履行，那么甲方可要求乙方支付违约金，违约金按每迟延</w:t>
      </w:r>
      <w:r>
        <w:rPr>
          <w:rFonts w:hint="eastAsia" w:eastAsia="仿宋"/>
          <w:sz w:val="28"/>
          <w:szCs w:val="28"/>
          <w:lang w:eastAsia="zh-CN"/>
        </w:rPr>
        <w:t>履行一日按照合同总价款</w:t>
      </w:r>
      <w:r>
        <w:rPr>
          <w:rFonts w:eastAsia="仿宋"/>
          <w:sz w:val="28"/>
          <w:szCs w:val="28"/>
        </w:rPr>
        <w:t xml:space="preserve"> 0.1 %计算</w:t>
      </w:r>
      <w:r>
        <w:rPr>
          <w:rFonts w:hint="eastAsia" w:eastAsia="仿宋"/>
          <w:sz w:val="28"/>
          <w:szCs w:val="28"/>
          <w:lang w:eastAsia="zh-CN"/>
        </w:rPr>
        <w:t>，甲方有权追究乙方的违约责任；</w:t>
      </w:r>
    </w:p>
    <w:p w14:paraId="5A0D4806">
      <w:pPr>
        <w:spacing w:line="360" w:lineRule="auto"/>
        <w:ind w:firstLine="560" w:firstLineChars="200"/>
        <w:rPr>
          <w:rFonts w:eastAsia="仿宋"/>
          <w:sz w:val="28"/>
          <w:szCs w:val="28"/>
        </w:rPr>
      </w:pPr>
      <w:r>
        <w:rPr>
          <w:rFonts w:eastAsia="仿宋"/>
          <w:sz w:val="28"/>
          <w:szCs w:val="28"/>
        </w:rPr>
        <w:t>1.6.2 除不可抗力外，如果甲方没有按照本合同约定的付款方式付款，那么乙方可要求甲方支付违约金，违约金按每迟延</w:t>
      </w:r>
      <w:r>
        <w:rPr>
          <w:rFonts w:hint="eastAsia" w:eastAsia="仿宋"/>
          <w:sz w:val="28"/>
          <w:szCs w:val="28"/>
          <w:lang w:eastAsia="zh-CN"/>
        </w:rPr>
        <w:t>履行一日按照合同总价款</w:t>
      </w:r>
      <w:r>
        <w:rPr>
          <w:rFonts w:eastAsia="仿宋"/>
          <w:sz w:val="28"/>
          <w:szCs w:val="28"/>
        </w:rPr>
        <w:t xml:space="preserve"> 0.1 %计算</w:t>
      </w:r>
      <w:r>
        <w:rPr>
          <w:rFonts w:hint="eastAsia" w:eastAsia="仿宋"/>
          <w:sz w:val="28"/>
          <w:szCs w:val="28"/>
          <w:lang w:eastAsia="zh-CN"/>
        </w:rPr>
        <w:t>，甲方有权追究乙方的违约责任；</w:t>
      </w:r>
    </w:p>
    <w:p w14:paraId="3EAAA912">
      <w:pPr>
        <w:spacing w:line="360" w:lineRule="auto"/>
        <w:ind w:firstLine="560" w:firstLineChars="200"/>
        <w:rPr>
          <w:rFonts w:eastAsia="仿宋"/>
          <w:sz w:val="28"/>
          <w:szCs w:val="28"/>
        </w:rPr>
      </w:pPr>
      <w:r>
        <w:rPr>
          <w:rFonts w:eastAsia="仿宋"/>
          <w:sz w:val="28"/>
          <w:szCs w:val="28"/>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7DE9F1C0">
      <w:pPr>
        <w:spacing w:line="360" w:lineRule="auto"/>
        <w:ind w:firstLine="560" w:firstLineChars="200"/>
        <w:rPr>
          <w:rFonts w:eastAsia="仿宋"/>
          <w:sz w:val="28"/>
          <w:szCs w:val="28"/>
        </w:rPr>
      </w:pPr>
      <w:r>
        <w:rPr>
          <w:rFonts w:eastAsia="仿宋"/>
          <w:sz w:val="28"/>
          <w:szCs w:val="28"/>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81CA103">
      <w:pPr>
        <w:spacing w:line="360" w:lineRule="auto"/>
        <w:ind w:firstLine="560" w:firstLineChars="200"/>
        <w:rPr>
          <w:rFonts w:eastAsia="仿宋"/>
          <w:sz w:val="28"/>
          <w:szCs w:val="28"/>
        </w:rPr>
      </w:pPr>
      <w:r>
        <w:rPr>
          <w:rFonts w:eastAsia="仿宋"/>
          <w:sz w:val="28"/>
          <w:szCs w:val="28"/>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08BE2102">
      <w:pPr>
        <w:spacing w:line="360" w:lineRule="auto"/>
        <w:ind w:firstLine="560" w:firstLineChars="200"/>
        <w:rPr>
          <w:rFonts w:eastAsia="仿宋"/>
          <w:sz w:val="28"/>
          <w:szCs w:val="28"/>
        </w:rPr>
      </w:pPr>
      <w:r>
        <w:rPr>
          <w:rFonts w:eastAsia="仿宋"/>
          <w:sz w:val="28"/>
          <w:szCs w:val="28"/>
        </w:rPr>
        <w:t>1.6.6 如果出现政府采购监督管理部门在处理投诉事项期间，书面通知甲方暂停采购活动的情形，或者询问或质疑事项可能影响中标结果的，导致甲方中止履行合同的情形，均不视为甲方违约。</w:t>
      </w:r>
    </w:p>
    <w:p w14:paraId="107634A3">
      <w:pPr>
        <w:spacing w:line="360" w:lineRule="auto"/>
        <w:ind w:firstLine="562" w:firstLineChars="200"/>
        <w:outlineLvl w:val="1"/>
        <w:rPr>
          <w:rFonts w:eastAsia="仿宋"/>
          <w:b/>
          <w:bCs/>
          <w:sz w:val="28"/>
          <w:szCs w:val="28"/>
        </w:rPr>
      </w:pPr>
      <w:bookmarkStart w:id="462" w:name="_Toc30329"/>
      <w:bookmarkStart w:id="463" w:name="_Toc21817"/>
      <w:bookmarkStart w:id="464" w:name="_Toc7752"/>
      <w:bookmarkStart w:id="465" w:name="_Toc26616"/>
      <w:bookmarkStart w:id="466" w:name="_Toc7162"/>
      <w:bookmarkStart w:id="467" w:name="_Toc21005"/>
      <w:bookmarkStart w:id="468" w:name="_Toc18683"/>
      <w:bookmarkStart w:id="469" w:name="_Toc9497"/>
      <w:bookmarkStart w:id="470" w:name="_Toc11642"/>
      <w:bookmarkStart w:id="471" w:name="_Toc12452"/>
      <w:bookmarkStart w:id="472" w:name="_Toc26807"/>
      <w:bookmarkStart w:id="473" w:name="_Toc32454"/>
      <w:r>
        <w:rPr>
          <w:rFonts w:eastAsia="仿宋"/>
          <w:b/>
          <w:bCs/>
          <w:sz w:val="28"/>
          <w:szCs w:val="28"/>
        </w:rPr>
        <w:t>1.7 合同争议的解决</w:t>
      </w:r>
      <w:bookmarkEnd w:id="462"/>
      <w:bookmarkEnd w:id="463"/>
      <w:bookmarkEnd w:id="464"/>
      <w:bookmarkEnd w:id="465"/>
      <w:bookmarkEnd w:id="466"/>
      <w:bookmarkEnd w:id="467"/>
      <w:bookmarkEnd w:id="468"/>
      <w:bookmarkEnd w:id="469"/>
      <w:bookmarkEnd w:id="470"/>
      <w:bookmarkEnd w:id="471"/>
      <w:bookmarkEnd w:id="472"/>
      <w:bookmarkEnd w:id="473"/>
    </w:p>
    <w:p w14:paraId="774C6403">
      <w:pPr>
        <w:spacing w:line="360" w:lineRule="auto"/>
        <w:ind w:firstLine="560" w:firstLineChars="200"/>
        <w:rPr>
          <w:rFonts w:eastAsia="仿宋"/>
          <w:sz w:val="28"/>
          <w:szCs w:val="28"/>
        </w:rPr>
      </w:pPr>
      <w:r>
        <w:rPr>
          <w:rFonts w:eastAsia="仿宋"/>
          <w:sz w:val="28"/>
          <w:szCs w:val="28"/>
        </w:rPr>
        <w:t>本合同履行过程中发生的任何争议，双方当事人均可通过和解或者调解解决；不愿和解、调解或者和解、调解不成的，可以选择下列第</w:t>
      </w:r>
      <w:r>
        <w:rPr>
          <w:rFonts w:eastAsia="仿宋"/>
          <w:sz w:val="28"/>
          <w:szCs w:val="28"/>
          <w:u w:val="single"/>
        </w:rPr>
        <w:t xml:space="preserve"> 2 </w:t>
      </w:r>
      <w:r>
        <w:rPr>
          <w:rFonts w:eastAsia="仿宋"/>
          <w:sz w:val="28"/>
          <w:szCs w:val="28"/>
        </w:rPr>
        <w:t>种方式解决：</w:t>
      </w:r>
    </w:p>
    <w:p w14:paraId="48234B90">
      <w:pPr>
        <w:spacing w:line="360" w:lineRule="auto"/>
        <w:ind w:firstLine="560" w:firstLineChars="200"/>
        <w:rPr>
          <w:rFonts w:eastAsia="仿宋"/>
          <w:sz w:val="28"/>
          <w:szCs w:val="28"/>
        </w:rPr>
      </w:pPr>
      <w:r>
        <w:rPr>
          <w:rFonts w:eastAsia="仿宋"/>
          <w:sz w:val="28"/>
          <w:szCs w:val="28"/>
        </w:rPr>
        <w:t>1.7.1 将争议提交仲裁委员会依申请仲裁时其现行有效的仲裁规则裁决；</w:t>
      </w:r>
    </w:p>
    <w:p w14:paraId="2F4612B6">
      <w:pPr>
        <w:spacing w:line="360" w:lineRule="auto"/>
        <w:ind w:firstLine="560" w:firstLineChars="200"/>
        <w:rPr>
          <w:rFonts w:eastAsia="仿宋"/>
          <w:sz w:val="28"/>
          <w:szCs w:val="28"/>
        </w:rPr>
      </w:pPr>
      <w:r>
        <w:rPr>
          <w:rFonts w:eastAsia="仿宋"/>
          <w:sz w:val="28"/>
          <w:szCs w:val="28"/>
        </w:rPr>
        <w:t>1.7.2 向</w:t>
      </w:r>
      <w:r>
        <w:rPr>
          <w:rFonts w:eastAsia="仿宋"/>
          <w:sz w:val="28"/>
          <w:szCs w:val="28"/>
          <w:u w:val="single"/>
        </w:rPr>
        <w:t>喀什市</w:t>
      </w:r>
      <w:r>
        <w:rPr>
          <w:rFonts w:eastAsia="仿宋"/>
          <w:sz w:val="28"/>
          <w:szCs w:val="28"/>
        </w:rPr>
        <w:t>人民法院起诉。</w:t>
      </w:r>
    </w:p>
    <w:p w14:paraId="27C6E64D">
      <w:pPr>
        <w:spacing w:line="360" w:lineRule="auto"/>
        <w:ind w:firstLine="562" w:firstLineChars="200"/>
        <w:outlineLvl w:val="1"/>
        <w:rPr>
          <w:rFonts w:eastAsia="仿宋"/>
          <w:b/>
          <w:bCs/>
          <w:sz w:val="28"/>
          <w:szCs w:val="28"/>
        </w:rPr>
      </w:pPr>
      <w:bookmarkStart w:id="474" w:name="_Toc22280"/>
      <w:bookmarkStart w:id="475" w:name="_Toc25268"/>
      <w:bookmarkStart w:id="476" w:name="_Toc12288"/>
      <w:bookmarkStart w:id="477" w:name="_Toc15827"/>
      <w:bookmarkStart w:id="478" w:name="_Toc12273"/>
      <w:bookmarkStart w:id="479" w:name="_Toc21620"/>
      <w:bookmarkStart w:id="480" w:name="_Toc7610"/>
      <w:bookmarkStart w:id="481" w:name="_Toc30200"/>
      <w:bookmarkStart w:id="482" w:name="_Toc10387"/>
      <w:bookmarkStart w:id="483" w:name="_Toc16417"/>
      <w:bookmarkStart w:id="484" w:name="_Toc26227"/>
      <w:bookmarkStart w:id="485" w:name="_Toc23784"/>
      <w:r>
        <w:rPr>
          <w:rFonts w:eastAsia="仿宋"/>
          <w:b/>
          <w:bCs/>
          <w:sz w:val="28"/>
          <w:szCs w:val="28"/>
        </w:rPr>
        <w:t>1.8 合同生效</w:t>
      </w:r>
      <w:bookmarkEnd w:id="474"/>
      <w:bookmarkEnd w:id="475"/>
      <w:bookmarkEnd w:id="476"/>
      <w:bookmarkEnd w:id="477"/>
      <w:bookmarkEnd w:id="478"/>
      <w:bookmarkEnd w:id="479"/>
      <w:bookmarkEnd w:id="480"/>
      <w:bookmarkEnd w:id="481"/>
      <w:bookmarkEnd w:id="482"/>
      <w:bookmarkEnd w:id="483"/>
      <w:bookmarkEnd w:id="484"/>
      <w:bookmarkEnd w:id="485"/>
    </w:p>
    <w:p w14:paraId="416E3191">
      <w:pPr>
        <w:spacing w:line="360" w:lineRule="auto"/>
        <w:ind w:firstLine="560" w:firstLineChars="200"/>
        <w:rPr>
          <w:rFonts w:eastAsia="仿宋"/>
          <w:b/>
          <w:bCs/>
          <w:sz w:val="28"/>
          <w:szCs w:val="28"/>
        </w:rPr>
      </w:pPr>
      <w:r>
        <w:rPr>
          <w:rFonts w:eastAsia="仿宋"/>
          <w:sz w:val="28"/>
          <w:szCs w:val="28"/>
        </w:rPr>
        <w:t>本合同自双方当事人盖章或者签字时生效。</w:t>
      </w:r>
    </w:p>
    <w:p w14:paraId="1FF29E1E">
      <w:pPr>
        <w:autoSpaceDE w:val="0"/>
        <w:autoSpaceDN w:val="0"/>
        <w:adjustRightInd w:val="0"/>
        <w:spacing w:line="360" w:lineRule="auto"/>
        <w:rPr>
          <w:rFonts w:eastAsia="仿宋"/>
          <w:sz w:val="28"/>
          <w:szCs w:val="28"/>
          <w:lang w:val="zh-CN"/>
        </w:rPr>
      </w:pPr>
    </w:p>
    <w:p w14:paraId="1A707B6E">
      <w:pPr>
        <w:autoSpaceDE w:val="0"/>
        <w:autoSpaceDN w:val="0"/>
        <w:adjustRightInd w:val="0"/>
        <w:spacing w:line="360" w:lineRule="auto"/>
        <w:outlineLvl w:val="1"/>
        <w:rPr>
          <w:rFonts w:eastAsia="仿宋"/>
          <w:sz w:val="28"/>
          <w:szCs w:val="28"/>
          <w:lang w:val="zh-CN"/>
        </w:rPr>
      </w:pPr>
      <w:bookmarkStart w:id="486" w:name="_Toc7991"/>
      <w:bookmarkStart w:id="487" w:name="_Toc16103"/>
      <w:bookmarkStart w:id="488" w:name="_Toc26283"/>
      <w:bookmarkStart w:id="489" w:name="_Toc13355"/>
      <w:bookmarkStart w:id="490" w:name="_Toc14799"/>
      <w:bookmarkStart w:id="491" w:name="_Toc16770"/>
      <w:r>
        <w:rPr>
          <w:rFonts w:eastAsia="仿宋"/>
          <w:b/>
          <w:bCs/>
          <w:sz w:val="28"/>
          <w:szCs w:val="28"/>
          <w:lang w:val="zh-CN"/>
        </w:rPr>
        <w:t>甲方</w:t>
      </w:r>
      <w:r>
        <w:rPr>
          <w:rFonts w:eastAsia="仿宋"/>
          <w:sz w:val="28"/>
          <w:szCs w:val="28"/>
          <w:lang w:val="zh-CN"/>
        </w:rPr>
        <w:t>：</w:t>
      </w:r>
      <w:r>
        <w:rPr>
          <w:rFonts w:hint="eastAsia" w:eastAsia="仿宋"/>
          <w:sz w:val="28"/>
          <w:szCs w:val="28"/>
        </w:rPr>
        <w:t xml:space="preserve">                    </w:t>
      </w:r>
      <w:r>
        <w:rPr>
          <w:rFonts w:eastAsia="仿宋"/>
          <w:b/>
          <w:bCs/>
          <w:sz w:val="28"/>
          <w:szCs w:val="28"/>
          <w:lang w:val="zh-CN"/>
        </w:rPr>
        <w:t>乙方</w:t>
      </w:r>
      <w:r>
        <w:rPr>
          <w:rFonts w:eastAsia="仿宋"/>
          <w:sz w:val="28"/>
          <w:szCs w:val="28"/>
          <w:lang w:val="zh-CN"/>
        </w:rPr>
        <w:t>：</w:t>
      </w:r>
      <w:bookmarkEnd w:id="486"/>
      <w:bookmarkEnd w:id="487"/>
      <w:bookmarkEnd w:id="488"/>
      <w:bookmarkEnd w:id="489"/>
      <w:bookmarkEnd w:id="490"/>
      <w:bookmarkEnd w:id="491"/>
    </w:p>
    <w:p w14:paraId="53931046">
      <w:pPr>
        <w:autoSpaceDE w:val="0"/>
        <w:autoSpaceDN w:val="0"/>
        <w:adjustRightInd w:val="0"/>
        <w:spacing w:line="360" w:lineRule="auto"/>
        <w:ind w:left="5880" w:hanging="5880" w:hangingChars="2100"/>
        <w:rPr>
          <w:rFonts w:eastAsia="仿宋"/>
          <w:sz w:val="28"/>
          <w:szCs w:val="28"/>
          <w:lang w:val="zh-CN"/>
        </w:rPr>
      </w:pPr>
      <w:r>
        <w:rPr>
          <w:rFonts w:eastAsia="仿宋"/>
          <w:sz w:val="28"/>
          <w:szCs w:val="28"/>
          <w:lang w:val="zh-CN"/>
        </w:rPr>
        <w:t>统一社会信用代码：</w:t>
      </w:r>
      <w:r>
        <w:rPr>
          <w:rFonts w:hint="eastAsia" w:eastAsia="仿宋"/>
          <w:sz w:val="28"/>
          <w:szCs w:val="28"/>
        </w:rPr>
        <w:t xml:space="preserve">        </w:t>
      </w:r>
      <w:r>
        <w:rPr>
          <w:rFonts w:eastAsia="仿宋"/>
          <w:sz w:val="28"/>
          <w:szCs w:val="28"/>
          <w:lang w:val="zh-CN"/>
        </w:rPr>
        <w:t>统一社会信用代码或身份证号码：</w:t>
      </w:r>
    </w:p>
    <w:p w14:paraId="3312BA57">
      <w:pPr>
        <w:autoSpaceDE w:val="0"/>
        <w:autoSpaceDN w:val="0"/>
        <w:adjustRightInd w:val="0"/>
        <w:spacing w:line="360" w:lineRule="auto"/>
        <w:rPr>
          <w:rFonts w:eastAsia="仿宋"/>
          <w:sz w:val="28"/>
          <w:szCs w:val="28"/>
          <w:lang w:val="zh-CN"/>
        </w:rPr>
      </w:pPr>
      <w:r>
        <w:rPr>
          <w:rFonts w:eastAsia="仿宋"/>
          <w:sz w:val="28"/>
          <w:szCs w:val="28"/>
          <w:lang w:val="zh-CN"/>
        </w:rPr>
        <w:t>住所：</w:t>
      </w:r>
      <w:r>
        <w:rPr>
          <w:rFonts w:hint="eastAsia" w:eastAsia="仿宋"/>
          <w:sz w:val="28"/>
          <w:szCs w:val="28"/>
        </w:rPr>
        <w:t xml:space="preserve">                    </w:t>
      </w:r>
      <w:r>
        <w:rPr>
          <w:rFonts w:eastAsia="仿宋"/>
          <w:sz w:val="28"/>
          <w:szCs w:val="28"/>
          <w:lang w:val="zh-CN"/>
        </w:rPr>
        <w:t>住所：</w:t>
      </w:r>
    </w:p>
    <w:p w14:paraId="173B7DDD">
      <w:pPr>
        <w:autoSpaceDE w:val="0"/>
        <w:autoSpaceDN w:val="0"/>
        <w:adjustRightInd w:val="0"/>
        <w:spacing w:line="360" w:lineRule="auto"/>
        <w:rPr>
          <w:rFonts w:eastAsia="仿宋"/>
          <w:sz w:val="28"/>
          <w:szCs w:val="28"/>
          <w:lang w:val="zh-CN"/>
        </w:rPr>
      </w:pPr>
      <w:r>
        <w:rPr>
          <w:rFonts w:eastAsia="仿宋"/>
          <w:sz w:val="28"/>
          <w:szCs w:val="28"/>
          <w:lang w:val="zh-CN"/>
        </w:rPr>
        <w:t>法定代表人或法定代表人</w:t>
      </w:r>
      <w:r>
        <w:rPr>
          <w:rFonts w:hint="eastAsia" w:eastAsia="仿宋"/>
          <w:sz w:val="28"/>
          <w:szCs w:val="28"/>
        </w:rPr>
        <w:t xml:space="preserve">    </w:t>
      </w:r>
      <w:r>
        <w:rPr>
          <w:rFonts w:eastAsia="仿宋"/>
          <w:sz w:val="28"/>
          <w:szCs w:val="28"/>
          <w:lang w:val="zh-CN"/>
        </w:rPr>
        <w:t xml:space="preserve">授权代表（签字）：或授权代表（签字）: </w:t>
      </w:r>
    </w:p>
    <w:p w14:paraId="49FA18A2">
      <w:pPr>
        <w:autoSpaceDE w:val="0"/>
        <w:autoSpaceDN w:val="0"/>
        <w:adjustRightInd w:val="0"/>
        <w:spacing w:line="360" w:lineRule="auto"/>
        <w:rPr>
          <w:rFonts w:eastAsia="仿宋"/>
          <w:sz w:val="28"/>
          <w:szCs w:val="28"/>
          <w:lang w:val="zh-CN"/>
        </w:rPr>
      </w:pPr>
      <w:r>
        <w:rPr>
          <w:rFonts w:eastAsia="仿宋"/>
          <w:sz w:val="28"/>
          <w:szCs w:val="28"/>
          <w:lang w:val="zh-CN"/>
        </w:rPr>
        <w:t>联系人：</w:t>
      </w:r>
      <w:r>
        <w:rPr>
          <w:rFonts w:hint="eastAsia" w:eastAsia="仿宋"/>
          <w:sz w:val="28"/>
          <w:szCs w:val="28"/>
        </w:rPr>
        <w:t xml:space="preserve">                  </w:t>
      </w:r>
      <w:r>
        <w:rPr>
          <w:rFonts w:eastAsia="仿宋"/>
          <w:sz w:val="28"/>
          <w:szCs w:val="28"/>
          <w:lang w:val="zh-CN"/>
        </w:rPr>
        <w:t>联系人：</w:t>
      </w:r>
    </w:p>
    <w:p w14:paraId="093ECB7F">
      <w:pPr>
        <w:autoSpaceDE w:val="0"/>
        <w:autoSpaceDN w:val="0"/>
        <w:adjustRightInd w:val="0"/>
        <w:spacing w:line="360" w:lineRule="auto"/>
        <w:rPr>
          <w:rFonts w:eastAsia="仿宋"/>
          <w:sz w:val="28"/>
          <w:szCs w:val="28"/>
          <w:lang w:val="zh-CN"/>
        </w:rPr>
      </w:pPr>
      <w:r>
        <w:rPr>
          <w:rFonts w:eastAsia="仿宋"/>
          <w:sz w:val="28"/>
          <w:szCs w:val="28"/>
          <w:lang w:val="zh-CN"/>
        </w:rPr>
        <w:t>约定送达地址：</w:t>
      </w:r>
      <w:r>
        <w:rPr>
          <w:rFonts w:hint="eastAsia" w:eastAsia="仿宋"/>
          <w:sz w:val="28"/>
          <w:szCs w:val="28"/>
        </w:rPr>
        <w:t xml:space="preserve">            </w:t>
      </w:r>
      <w:r>
        <w:rPr>
          <w:rFonts w:eastAsia="仿宋"/>
          <w:sz w:val="28"/>
          <w:szCs w:val="28"/>
          <w:lang w:val="zh-CN"/>
        </w:rPr>
        <w:t>约定送达地址：</w:t>
      </w:r>
    </w:p>
    <w:p w14:paraId="4E26DD61">
      <w:pPr>
        <w:autoSpaceDE w:val="0"/>
        <w:autoSpaceDN w:val="0"/>
        <w:adjustRightInd w:val="0"/>
        <w:spacing w:line="360" w:lineRule="auto"/>
        <w:rPr>
          <w:rFonts w:eastAsia="仿宋"/>
          <w:sz w:val="28"/>
          <w:szCs w:val="28"/>
          <w:lang w:val="zh-CN"/>
        </w:rPr>
      </w:pPr>
      <w:r>
        <w:rPr>
          <w:rFonts w:eastAsia="仿宋"/>
          <w:sz w:val="28"/>
          <w:szCs w:val="28"/>
          <w:lang w:val="zh-CN"/>
        </w:rPr>
        <w:t>邮政编码：</w:t>
      </w:r>
      <w:r>
        <w:rPr>
          <w:rFonts w:hint="eastAsia" w:eastAsia="仿宋"/>
          <w:sz w:val="28"/>
          <w:szCs w:val="28"/>
        </w:rPr>
        <w:t xml:space="preserve">                </w:t>
      </w:r>
      <w:r>
        <w:rPr>
          <w:rFonts w:eastAsia="仿宋"/>
          <w:sz w:val="28"/>
          <w:szCs w:val="28"/>
          <w:lang w:val="zh-CN"/>
        </w:rPr>
        <w:t>邮政编码：</w:t>
      </w:r>
    </w:p>
    <w:p w14:paraId="7CCC9DAE">
      <w:pPr>
        <w:autoSpaceDE w:val="0"/>
        <w:autoSpaceDN w:val="0"/>
        <w:adjustRightInd w:val="0"/>
        <w:spacing w:line="360" w:lineRule="auto"/>
        <w:rPr>
          <w:rFonts w:eastAsia="仿宋"/>
          <w:sz w:val="28"/>
          <w:szCs w:val="28"/>
          <w:lang w:val="zh-CN"/>
        </w:rPr>
      </w:pPr>
      <w:r>
        <w:rPr>
          <w:rFonts w:eastAsia="仿宋"/>
          <w:sz w:val="28"/>
          <w:szCs w:val="28"/>
          <w:lang w:val="zh-CN"/>
        </w:rPr>
        <w:t xml:space="preserve">电话:                      电话: </w:t>
      </w:r>
    </w:p>
    <w:p w14:paraId="29A42F97">
      <w:pPr>
        <w:autoSpaceDE w:val="0"/>
        <w:autoSpaceDN w:val="0"/>
        <w:adjustRightInd w:val="0"/>
        <w:spacing w:line="360" w:lineRule="auto"/>
        <w:rPr>
          <w:rFonts w:eastAsia="仿宋"/>
          <w:sz w:val="28"/>
          <w:szCs w:val="28"/>
          <w:lang w:val="zh-CN"/>
        </w:rPr>
      </w:pPr>
      <w:r>
        <w:rPr>
          <w:rFonts w:eastAsia="仿宋"/>
          <w:sz w:val="28"/>
          <w:szCs w:val="28"/>
          <w:lang w:val="zh-CN"/>
        </w:rPr>
        <w:t>传真:                      传真:</w:t>
      </w:r>
    </w:p>
    <w:p w14:paraId="4EF2ABD8">
      <w:pPr>
        <w:autoSpaceDE w:val="0"/>
        <w:autoSpaceDN w:val="0"/>
        <w:adjustRightInd w:val="0"/>
        <w:spacing w:line="360" w:lineRule="auto"/>
        <w:rPr>
          <w:rFonts w:eastAsia="仿宋"/>
          <w:sz w:val="28"/>
          <w:szCs w:val="28"/>
        </w:rPr>
      </w:pPr>
      <w:r>
        <w:rPr>
          <w:rFonts w:eastAsia="仿宋"/>
          <w:sz w:val="28"/>
          <w:szCs w:val="28"/>
          <w:lang w:val="zh-CN"/>
        </w:rPr>
        <w:t>电子邮箱：</w:t>
      </w:r>
      <w:r>
        <w:rPr>
          <w:rFonts w:hint="eastAsia" w:eastAsia="仿宋"/>
          <w:sz w:val="28"/>
          <w:szCs w:val="28"/>
        </w:rPr>
        <w:t xml:space="preserve">                 </w:t>
      </w:r>
      <w:r>
        <w:rPr>
          <w:rFonts w:eastAsia="仿宋"/>
          <w:sz w:val="28"/>
          <w:szCs w:val="28"/>
          <w:lang w:val="zh-CN"/>
        </w:rPr>
        <w:t>电子邮箱：</w:t>
      </w:r>
    </w:p>
    <w:p w14:paraId="56C47328">
      <w:pPr>
        <w:autoSpaceDE w:val="0"/>
        <w:autoSpaceDN w:val="0"/>
        <w:adjustRightInd w:val="0"/>
        <w:spacing w:line="360" w:lineRule="auto"/>
        <w:rPr>
          <w:rFonts w:eastAsia="仿宋"/>
          <w:sz w:val="28"/>
          <w:szCs w:val="28"/>
        </w:rPr>
      </w:pPr>
      <w:r>
        <w:rPr>
          <w:rFonts w:eastAsia="仿宋"/>
          <w:sz w:val="28"/>
          <w:szCs w:val="28"/>
        </w:rPr>
        <w:t>开户银行：</w:t>
      </w:r>
      <w:r>
        <w:rPr>
          <w:rFonts w:hint="eastAsia" w:eastAsia="仿宋"/>
          <w:sz w:val="28"/>
          <w:szCs w:val="28"/>
        </w:rPr>
        <w:t xml:space="preserve">                </w:t>
      </w:r>
      <w:r>
        <w:rPr>
          <w:rFonts w:eastAsia="仿宋"/>
          <w:sz w:val="28"/>
          <w:szCs w:val="28"/>
        </w:rPr>
        <w:t>开户银行：</w:t>
      </w:r>
    </w:p>
    <w:p w14:paraId="79EC4D54">
      <w:pPr>
        <w:autoSpaceDE w:val="0"/>
        <w:autoSpaceDN w:val="0"/>
        <w:adjustRightInd w:val="0"/>
        <w:spacing w:line="360" w:lineRule="auto"/>
        <w:rPr>
          <w:rFonts w:eastAsia="仿宋"/>
          <w:sz w:val="28"/>
          <w:szCs w:val="28"/>
        </w:rPr>
      </w:pPr>
      <w:r>
        <w:rPr>
          <w:rFonts w:eastAsia="仿宋"/>
          <w:sz w:val="28"/>
          <w:szCs w:val="28"/>
        </w:rPr>
        <w:t>开户名称：</w:t>
      </w:r>
      <w:r>
        <w:rPr>
          <w:rFonts w:hint="eastAsia" w:eastAsia="仿宋"/>
          <w:sz w:val="28"/>
          <w:szCs w:val="28"/>
        </w:rPr>
        <w:t xml:space="preserve">                </w:t>
      </w:r>
      <w:r>
        <w:rPr>
          <w:rFonts w:eastAsia="仿宋"/>
          <w:sz w:val="28"/>
          <w:szCs w:val="28"/>
        </w:rPr>
        <w:t>开户名称：</w:t>
      </w:r>
    </w:p>
    <w:p w14:paraId="648FB727">
      <w:pPr>
        <w:autoSpaceDE w:val="0"/>
        <w:autoSpaceDN w:val="0"/>
        <w:adjustRightInd w:val="0"/>
        <w:spacing w:line="360" w:lineRule="auto"/>
        <w:rPr>
          <w:rFonts w:eastAsia="仿宋"/>
          <w:sz w:val="28"/>
          <w:szCs w:val="28"/>
        </w:rPr>
      </w:pPr>
      <w:r>
        <w:rPr>
          <w:rFonts w:eastAsia="仿宋"/>
          <w:sz w:val="28"/>
          <w:szCs w:val="28"/>
        </w:rPr>
        <w:t>开户账号：</w:t>
      </w:r>
      <w:r>
        <w:rPr>
          <w:rFonts w:hint="eastAsia" w:eastAsia="仿宋"/>
          <w:sz w:val="28"/>
          <w:szCs w:val="28"/>
        </w:rPr>
        <w:t xml:space="preserve">                </w:t>
      </w:r>
      <w:r>
        <w:rPr>
          <w:rFonts w:eastAsia="仿宋"/>
          <w:sz w:val="28"/>
          <w:szCs w:val="28"/>
        </w:rPr>
        <w:t>开户账号：</w:t>
      </w:r>
    </w:p>
    <w:p w14:paraId="36BFD779">
      <w:pPr>
        <w:widowControl/>
        <w:spacing w:line="360" w:lineRule="auto"/>
        <w:jc w:val="left"/>
        <w:rPr>
          <w:rFonts w:eastAsia="仿宋"/>
          <w:b/>
          <w:bCs/>
          <w:sz w:val="28"/>
          <w:szCs w:val="28"/>
        </w:rPr>
      </w:pPr>
    </w:p>
    <w:p w14:paraId="6E40A3C5">
      <w:pPr>
        <w:widowControl/>
        <w:spacing w:line="360" w:lineRule="auto"/>
        <w:jc w:val="left"/>
        <w:rPr>
          <w:rFonts w:eastAsia="仿宋"/>
          <w:b/>
          <w:bCs/>
          <w:kern w:val="0"/>
          <w:sz w:val="28"/>
          <w:szCs w:val="28"/>
        </w:rPr>
      </w:pPr>
    </w:p>
    <w:p w14:paraId="3C994582">
      <w:pPr>
        <w:rPr>
          <w:rFonts w:ascii="Times New Roman" w:eastAsia="仿宋"/>
          <w:b/>
          <w:bCs/>
          <w:sz w:val="28"/>
          <w:szCs w:val="28"/>
        </w:rPr>
      </w:pPr>
      <w:r>
        <w:rPr>
          <w:rFonts w:ascii="Times New Roman" w:eastAsia="仿宋"/>
          <w:b/>
          <w:bCs/>
          <w:sz w:val="28"/>
          <w:szCs w:val="28"/>
        </w:rPr>
        <w:br w:type="page"/>
      </w:r>
    </w:p>
    <w:p w14:paraId="335E4FC9">
      <w:pPr>
        <w:pStyle w:val="57"/>
        <w:spacing w:line="360" w:lineRule="auto"/>
        <w:ind w:firstLine="200"/>
        <w:jc w:val="center"/>
        <w:outlineLvl w:val="0"/>
        <w:rPr>
          <w:rFonts w:ascii="Times New Roman" w:eastAsia="仿宋"/>
          <w:b/>
          <w:bCs/>
          <w:sz w:val="28"/>
          <w:szCs w:val="28"/>
        </w:rPr>
      </w:pPr>
    </w:p>
    <w:p w14:paraId="39411C13">
      <w:pPr>
        <w:pStyle w:val="57"/>
        <w:spacing w:line="360" w:lineRule="auto"/>
        <w:ind w:firstLine="200"/>
        <w:jc w:val="center"/>
        <w:outlineLvl w:val="0"/>
        <w:rPr>
          <w:rFonts w:ascii="Times New Roman" w:eastAsia="仿宋"/>
          <w:b/>
          <w:bCs/>
          <w:sz w:val="28"/>
          <w:szCs w:val="28"/>
        </w:rPr>
      </w:pPr>
      <w:bookmarkStart w:id="492" w:name="_Toc5531"/>
      <w:bookmarkStart w:id="493" w:name="_Toc29576"/>
      <w:bookmarkStart w:id="494" w:name="_Toc3390"/>
      <w:bookmarkStart w:id="495" w:name="_Toc30980"/>
      <w:bookmarkStart w:id="496" w:name="_Toc10214"/>
      <w:r>
        <w:rPr>
          <w:rFonts w:ascii="Times New Roman" w:eastAsia="仿宋"/>
          <w:b/>
          <w:bCs/>
          <w:sz w:val="28"/>
          <w:szCs w:val="28"/>
        </w:rPr>
        <w:t>第二部分合同一般条款</w:t>
      </w:r>
      <w:bookmarkEnd w:id="492"/>
      <w:bookmarkEnd w:id="493"/>
      <w:bookmarkEnd w:id="494"/>
      <w:bookmarkEnd w:id="495"/>
      <w:bookmarkEnd w:id="496"/>
    </w:p>
    <w:p w14:paraId="49684424">
      <w:pPr>
        <w:spacing w:line="360" w:lineRule="auto"/>
        <w:ind w:firstLine="562" w:firstLineChars="200"/>
        <w:outlineLvl w:val="1"/>
        <w:rPr>
          <w:rFonts w:eastAsia="仿宋"/>
          <w:b/>
          <w:bCs/>
          <w:sz w:val="28"/>
          <w:szCs w:val="28"/>
        </w:rPr>
      </w:pPr>
      <w:bookmarkStart w:id="497" w:name="_Toc19680"/>
      <w:bookmarkStart w:id="498" w:name="_Toc1427"/>
      <w:bookmarkStart w:id="499" w:name="_Toc27123"/>
      <w:bookmarkStart w:id="500" w:name="_Toc24181"/>
      <w:bookmarkStart w:id="501" w:name="_Toc31297"/>
      <w:bookmarkStart w:id="502" w:name="_Toc30493"/>
      <w:bookmarkStart w:id="503" w:name="_Toc5228"/>
      <w:bookmarkStart w:id="504" w:name="_Toc25079"/>
      <w:bookmarkStart w:id="505" w:name="_Toc14021"/>
      <w:bookmarkStart w:id="506" w:name="_Toc28977"/>
      <w:bookmarkStart w:id="507" w:name="_Toc22662"/>
      <w:bookmarkStart w:id="508" w:name="_Toc28784"/>
      <w:r>
        <w:rPr>
          <w:rFonts w:eastAsia="仿宋"/>
          <w:b/>
          <w:bCs/>
          <w:sz w:val="28"/>
          <w:szCs w:val="28"/>
        </w:rPr>
        <w:t>2.1 定义</w:t>
      </w:r>
      <w:bookmarkEnd w:id="497"/>
      <w:bookmarkEnd w:id="498"/>
      <w:bookmarkEnd w:id="499"/>
      <w:bookmarkEnd w:id="500"/>
      <w:bookmarkEnd w:id="501"/>
      <w:bookmarkEnd w:id="502"/>
      <w:bookmarkEnd w:id="503"/>
      <w:bookmarkEnd w:id="504"/>
      <w:bookmarkEnd w:id="505"/>
      <w:bookmarkEnd w:id="506"/>
      <w:bookmarkEnd w:id="507"/>
      <w:bookmarkEnd w:id="508"/>
    </w:p>
    <w:p w14:paraId="6C6547BB">
      <w:pPr>
        <w:spacing w:line="360" w:lineRule="auto"/>
        <w:ind w:firstLine="560" w:firstLineChars="200"/>
        <w:rPr>
          <w:rFonts w:eastAsia="仿宋"/>
          <w:sz w:val="28"/>
          <w:szCs w:val="28"/>
        </w:rPr>
      </w:pPr>
      <w:r>
        <w:rPr>
          <w:rFonts w:eastAsia="仿宋"/>
          <w:sz w:val="28"/>
          <w:szCs w:val="28"/>
        </w:rPr>
        <w:t>本合同中的下列词语应按以下内容进行解释：</w:t>
      </w:r>
    </w:p>
    <w:p w14:paraId="1B2FCC91">
      <w:pPr>
        <w:spacing w:line="360" w:lineRule="auto"/>
        <w:ind w:firstLine="560" w:firstLineChars="200"/>
        <w:rPr>
          <w:rFonts w:eastAsia="仿宋"/>
          <w:sz w:val="28"/>
          <w:szCs w:val="28"/>
        </w:rPr>
      </w:pPr>
      <w:r>
        <w:rPr>
          <w:rFonts w:eastAsia="仿宋"/>
          <w:sz w:val="28"/>
          <w:szCs w:val="28"/>
        </w:rPr>
        <w:t>2.1.1 “合同”系指采购人和中标供应商签订的载明双方当事人所达成的协议，并包括所有的附件、附录和构成合同的其他文件。</w:t>
      </w:r>
    </w:p>
    <w:p w14:paraId="5A217CB8">
      <w:pPr>
        <w:spacing w:line="360" w:lineRule="auto"/>
        <w:ind w:firstLine="560" w:firstLineChars="200"/>
        <w:rPr>
          <w:rFonts w:eastAsia="仿宋"/>
          <w:sz w:val="28"/>
          <w:szCs w:val="28"/>
        </w:rPr>
      </w:pPr>
      <w:r>
        <w:rPr>
          <w:rFonts w:eastAsia="仿宋"/>
          <w:sz w:val="28"/>
          <w:szCs w:val="28"/>
        </w:rPr>
        <w:t>2.1.2 “合同价”系指根据合同约定，中标供应商在完全履行合同义务后，采购人应支付给中标供应商的价格。</w:t>
      </w:r>
    </w:p>
    <w:p w14:paraId="6055D0DB">
      <w:pPr>
        <w:spacing w:line="560" w:lineRule="exact"/>
        <w:ind w:firstLine="560" w:firstLineChars="200"/>
        <w:rPr>
          <w:rFonts w:eastAsia="仿宋"/>
          <w:sz w:val="28"/>
          <w:szCs w:val="28"/>
        </w:rPr>
      </w:pPr>
      <w:r>
        <w:rPr>
          <w:rFonts w:eastAsia="仿宋"/>
          <w:sz w:val="28"/>
          <w:szCs w:val="28"/>
        </w:rPr>
        <w:t xml:space="preserve">2.1.3 </w:t>
      </w:r>
      <w:r>
        <w:rPr>
          <w:rFonts w:hint="eastAsia" w:eastAsia="仿宋"/>
          <w:sz w:val="28"/>
          <w:szCs w:val="28"/>
        </w:rPr>
        <w:t>“货物”系指中标供应商根据合同约定应向采购人交付的一切各种形态和种类的物品，包括原材料、燃料、设备、机械、仪表、备件、计算机软件、产品等，并包括工具、手册等其他相关资料。</w:t>
      </w:r>
    </w:p>
    <w:p w14:paraId="7D108C7F">
      <w:pPr>
        <w:spacing w:line="360" w:lineRule="auto"/>
        <w:ind w:firstLine="560" w:firstLineChars="200"/>
        <w:rPr>
          <w:rFonts w:eastAsia="仿宋"/>
          <w:sz w:val="28"/>
          <w:szCs w:val="28"/>
        </w:rPr>
      </w:pPr>
      <w:r>
        <w:rPr>
          <w:rFonts w:eastAsia="仿宋"/>
          <w:sz w:val="28"/>
          <w:szCs w:val="28"/>
        </w:rPr>
        <w:t>2.1.4 “甲方”系指与中标供应商签署合同的采购人；采购人委托采购代理机构代表其与乙方签订合同的，采购人的授权委托书作为合同附件。</w:t>
      </w:r>
    </w:p>
    <w:p w14:paraId="2DF2DD25">
      <w:pPr>
        <w:spacing w:line="360" w:lineRule="auto"/>
        <w:ind w:firstLine="560" w:firstLineChars="200"/>
        <w:rPr>
          <w:rFonts w:eastAsia="仿宋"/>
          <w:sz w:val="28"/>
          <w:szCs w:val="28"/>
        </w:rPr>
      </w:pPr>
      <w:r>
        <w:rPr>
          <w:rFonts w:eastAsia="仿宋"/>
          <w:sz w:val="28"/>
          <w:szCs w:val="28"/>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6E76C91">
      <w:pPr>
        <w:spacing w:line="360" w:lineRule="auto"/>
        <w:ind w:firstLine="560" w:firstLineChars="200"/>
        <w:rPr>
          <w:rFonts w:eastAsia="仿宋"/>
          <w:sz w:val="28"/>
          <w:szCs w:val="28"/>
        </w:rPr>
      </w:pPr>
      <w:r>
        <w:rPr>
          <w:rFonts w:eastAsia="仿宋"/>
          <w:sz w:val="28"/>
          <w:szCs w:val="28"/>
        </w:rPr>
        <w:t>2.1.6 “现场”系指合同约定提供服务的地点。</w:t>
      </w:r>
    </w:p>
    <w:p w14:paraId="6DEAE801">
      <w:pPr>
        <w:spacing w:line="360" w:lineRule="auto"/>
        <w:ind w:firstLine="562" w:firstLineChars="200"/>
        <w:outlineLvl w:val="1"/>
        <w:rPr>
          <w:rFonts w:eastAsia="仿宋"/>
          <w:b/>
          <w:bCs/>
          <w:sz w:val="28"/>
          <w:szCs w:val="28"/>
        </w:rPr>
      </w:pPr>
      <w:bookmarkStart w:id="509" w:name="_Toc23566"/>
      <w:bookmarkStart w:id="510" w:name="_Toc16752"/>
      <w:bookmarkStart w:id="511" w:name="_Toc113"/>
      <w:bookmarkStart w:id="512" w:name="_Toc19539"/>
      <w:bookmarkStart w:id="513" w:name="_Toc3769"/>
      <w:bookmarkStart w:id="514" w:name="_Toc23289"/>
      <w:bookmarkStart w:id="515" w:name="_Toc29502"/>
      <w:bookmarkStart w:id="516" w:name="_Toc15098"/>
      <w:bookmarkStart w:id="517" w:name="_Toc30691"/>
      <w:bookmarkStart w:id="518" w:name="_Toc24542"/>
      <w:bookmarkStart w:id="519" w:name="_Toc31402"/>
      <w:bookmarkStart w:id="520" w:name="_Toc5530"/>
      <w:r>
        <w:rPr>
          <w:rFonts w:eastAsia="仿宋"/>
          <w:b/>
          <w:bCs/>
          <w:sz w:val="28"/>
          <w:szCs w:val="28"/>
        </w:rPr>
        <w:t>2.2 技术规范</w:t>
      </w:r>
      <w:bookmarkEnd w:id="509"/>
      <w:bookmarkEnd w:id="510"/>
      <w:bookmarkEnd w:id="511"/>
      <w:bookmarkEnd w:id="512"/>
      <w:bookmarkEnd w:id="513"/>
      <w:bookmarkEnd w:id="514"/>
      <w:bookmarkEnd w:id="515"/>
      <w:bookmarkEnd w:id="516"/>
      <w:bookmarkEnd w:id="517"/>
      <w:bookmarkEnd w:id="518"/>
      <w:bookmarkEnd w:id="519"/>
      <w:bookmarkEnd w:id="520"/>
    </w:p>
    <w:p w14:paraId="25BD034E">
      <w:pPr>
        <w:spacing w:line="360" w:lineRule="auto"/>
        <w:ind w:firstLine="560" w:firstLineChars="200"/>
        <w:rPr>
          <w:rFonts w:eastAsia="仿宋"/>
          <w:sz w:val="28"/>
          <w:szCs w:val="28"/>
        </w:rPr>
      </w:pPr>
      <w:bookmarkStart w:id="521" w:name="_Toc1803"/>
      <w:bookmarkStart w:id="522" w:name="_Toc4133"/>
      <w:bookmarkStart w:id="523" w:name="_Toc23803"/>
      <w:bookmarkStart w:id="524" w:name="_Toc10746"/>
      <w:bookmarkStart w:id="525" w:name="_Toc4384"/>
      <w:bookmarkStart w:id="526" w:name="_Toc10170"/>
      <w:bookmarkStart w:id="527" w:name="_Toc13673"/>
      <w:bookmarkStart w:id="528" w:name="_Toc27945"/>
      <w:bookmarkStart w:id="529" w:name="_Toc9161"/>
      <w:bookmarkStart w:id="530" w:name="_Toc12412"/>
      <w:r>
        <w:rPr>
          <w:rFonts w:hint="eastAsia" w:eastAsia="仿宋"/>
          <w:sz w:val="28"/>
          <w:szCs w:val="28"/>
        </w:rPr>
        <w:t>货物所应遵守的技术规范应与采购文件规定的技术规范和技术规范附件</w:t>
      </w:r>
      <w:r>
        <w:rPr>
          <w:rFonts w:eastAsia="仿宋"/>
          <w:sz w:val="28"/>
          <w:szCs w:val="28"/>
        </w:rPr>
        <w:t>(</w:t>
      </w:r>
      <w:r>
        <w:rPr>
          <w:rFonts w:hint="eastAsia" w:eastAsia="仿宋"/>
          <w:sz w:val="28"/>
          <w:szCs w:val="28"/>
        </w:rPr>
        <w:t>如果有的话</w:t>
      </w:r>
      <w:r>
        <w:rPr>
          <w:rFonts w:eastAsia="仿宋"/>
          <w:sz w:val="28"/>
          <w:szCs w:val="28"/>
        </w:rPr>
        <w:t>)</w:t>
      </w:r>
      <w:r>
        <w:rPr>
          <w:rFonts w:hint="eastAsia" w:eastAsia="仿宋"/>
          <w:sz w:val="28"/>
          <w:szCs w:val="28"/>
        </w:rPr>
        <w:t>及其技术规范偏差表</w:t>
      </w:r>
      <w:r>
        <w:rPr>
          <w:rFonts w:eastAsia="仿宋"/>
          <w:sz w:val="28"/>
          <w:szCs w:val="28"/>
        </w:rPr>
        <w:t>(</w:t>
      </w:r>
      <w:r>
        <w:rPr>
          <w:rFonts w:hint="eastAsia" w:eastAsia="仿宋"/>
          <w:sz w:val="28"/>
          <w:szCs w:val="28"/>
        </w:rPr>
        <w:t>如果被甲方接受的话</w:t>
      </w:r>
      <w:r>
        <w:rPr>
          <w:rFonts w:eastAsia="仿宋"/>
          <w:sz w:val="28"/>
          <w:szCs w:val="28"/>
        </w:rPr>
        <w:t>)</w:t>
      </w:r>
      <w:r>
        <w:rPr>
          <w:rFonts w:hint="eastAsia" w:eastAsia="仿宋"/>
          <w:sz w:val="28"/>
          <w:szCs w:val="28"/>
        </w:rPr>
        <w:t>相一致；如果采购文件中没有技术规范的相应说明，那么应以国家有关部门最新颁布的相应标准和规范为准。</w:t>
      </w:r>
    </w:p>
    <w:p w14:paraId="35711B29">
      <w:pPr>
        <w:spacing w:line="360" w:lineRule="auto"/>
        <w:ind w:firstLine="562" w:firstLineChars="200"/>
        <w:outlineLvl w:val="1"/>
        <w:rPr>
          <w:rFonts w:eastAsia="仿宋"/>
          <w:b/>
          <w:bCs/>
          <w:sz w:val="28"/>
          <w:szCs w:val="28"/>
        </w:rPr>
      </w:pPr>
      <w:bookmarkStart w:id="531" w:name="_Toc30087"/>
      <w:bookmarkStart w:id="532" w:name="_Toc25596"/>
      <w:r>
        <w:rPr>
          <w:rFonts w:eastAsia="仿宋"/>
          <w:b/>
          <w:bCs/>
          <w:sz w:val="28"/>
          <w:szCs w:val="28"/>
        </w:rPr>
        <w:t>2.3 知识产权</w:t>
      </w:r>
      <w:bookmarkEnd w:id="521"/>
      <w:bookmarkEnd w:id="522"/>
      <w:bookmarkEnd w:id="523"/>
      <w:bookmarkEnd w:id="524"/>
      <w:bookmarkEnd w:id="525"/>
      <w:bookmarkEnd w:id="526"/>
      <w:bookmarkEnd w:id="527"/>
      <w:bookmarkEnd w:id="528"/>
      <w:bookmarkEnd w:id="529"/>
      <w:bookmarkEnd w:id="530"/>
      <w:bookmarkEnd w:id="531"/>
      <w:bookmarkEnd w:id="532"/>
    </w:p>
    <w:p w14:paraId="2C9A1803">
      <w:pPr>
        <w:spacing w:line="360" w:lineRule="auto"/>
        <w:ind w:firstLine="560" w:firstLineChars="200"/>
        <w:rPr>
          <w:rFonts w:eastAsia="仿宋"/>
          <w:sz w:val="28"/>
          <w:szCs w:val="28"/>
        </w:rPr>
      </w:pPr>
      <w:r>
        <w:rPr>
          <w:rFonts w:eastAsia="仿宋"/>
          <w:sz w:val="28"/>
          <w:szCs w:val="28"/>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62EAF8D">
      <w:pPr>
        <w:spacing w:line="360" w:lineRule="auto"/>
        <w:ind w:firstLine="560" w:firstLineChars="200"/>
        <w:rPr>
          <w:rFonts w:eastAsia="仿宋"/>
          <w:sz w:val="28"/>
          <w:szCs w:val="28"/>
        </w:rPr>
      </w:pPr>
      <w:r>
        <w:rPr>
          <w:rFonts w:eastAsia="仿宋"/>
          <w:sz w:val="28"/>
          <w:szCs w:val="28"/>
        </w:rPr>
        <w:t>2.3.2</w:t>
      </w:r>
      <w:r>
        <w:rPr>
          <w:rFonts w:hint="eastAsia" w:eastAsia="仿宋"/>
          <w:sz w:val="28"/>
          <w:szCs w:val="28"/>
        </w:rPr>
        <w:t>具有知识产权的计算机软件等货物的知识产权归属，详见</w:t>
      </w:r>
      <w:r>
        <w:rPr>
          <w:rFonts w:hint="eastAsia" w:eastAsia="仿宋"/>
          <w:sz w:val="28"/>
          <w:szCs w:val="28"/>
          <w:u w:val="single"/>
        </w:rPr>
        <w:t>合同专用条款</w:t>
      </w:r>
      <w:r>
        <w:rPr>
          <w:rFonts w:hint="eastAsia" w:eastAsia="仿宋"/>
          <w:sz w:val="28"/>
          <w:szCs w:val="28"/>
        </w:rPr>
        <w:t>。</w:t>
      </w:r>
    </w:p>
    <w:p w14:paraId="15F2FD5E">
      <w:pPr>
        <w:spacing w:line="360" w:lineRule="auto"/>
        <w:ind w:firstLine="562" w:firstLineChars="200"/>
        <w:outlineLvl w:val="1"/>
        <w:rPr>
          <w:rFonts w:eastAsia="仿宋"/>
          <w:b/>
          <w:bCs/>
          <w:sz w:val="28"/>
          <w:szCs w:val="28"/>
        </w:rPr>
      </w:pPr>
      <w:bookmarkStart w:id="533" w:name="_Toc29149"/>
      <w:bookmarkStart w:id="534" w:name="_Toc26940"/>
      <w:bookmarkStart w:id="535" w:name="_Toc11932"/>
      <w:bookmarkStart w:id="536" w:name="_Toc22144"/>
      <w:bookmarkStart w:id="537" w:name="_Toc4194"/>
      <w:r>
        <w:rPr>
          <w:rFonts w:eastAsia="仿宋"/>
          <w:b/>
          <w:bCs/>
          <w:sz w:val="28"/>
          <w:szCs w:val="28"/>
        </w:rPr>
        <w:t xml:space="preserve">2.4 </w:t>
      </w:r>
      <w:r>
        <w:rPr>
          <w:rFonts w:hint="eastAsia" w:eastAsia="仿宋"/>
          <w:b/>
          <w:bCs/>
          <w:sz w:val="28"/>
          <w:szCs w:val="28"/>
        </w:rPr>
        <w:t>包装和装运</w:t>
      </w:r>
      <w:bookmarkEnd w:id="533"/>
      <w:bookmarkEnd w:id="534"/>
      <w:bookmarkEnd w:id="535"/>
      <w:bookmarkEnd w:id="536"/>
      <w:bookmarkEnd w:id="537"/>
    </w:p>
    <w:p w14:paraId="57B41905">
      <w:pPr>
        <w:spacing w:line="360" w:lineRule="auto"/>
        <w:ind w:firstLine="560" w:firstLineChars="200"/>
        <w:rPr>
          <w:rFonts w:eastAsia="仿宋"/>
          <w:sz w:val="28"/>
          <w:szCs w:val="28"/>
        </w:rPr>
      </w:pPr>
      <w:r>
        <w:rPr>
          <w:rFonts w:eastAsia="仿宋"/>
          <w:sz w:val="28"/>
          <w:szCs w:val="28"/>
        </w:rPr>
        <w:t>2.4.1</w:t>
      </w:r>
      <w:r>
        <w:rPr>
          <w:rFonts w:hint="eastAsia" w:eastAsia="仿宋"/>
          <w:sz w:val="28"/>
          <w:szCs w:val="28"/>
        </w:rPr>
        <w:t>除合同专用条款另有约定外</w:t>
      </w:r>
      <w:r>
        <w:rPr>
          <w:rFonts w:eastAsia="仿宋"/>
          <w:sz w:val="28"/>
          <w:szCs w:val="28"/>
        </w:rPr>
        <w:t>,</w:t>
      </w:r>
      <w:r>
        <w:rPr>
          <w:rFonts w:hint="eastAsia" w:eastAsia="仿宋"/>
          <w:sz w:val="28"/>
          <w:szCs w:val="28"/>
        </w:rPr>
        <w:t>乙方交付的全部货物</w:t>
      </w:r>
      <w:r>
        <w:rPr>
          <w:rFonts w:eastAsia="仿宋"/>
          <w:sz w:val="28"/>
          <w:szCs w:val="28"/>
        </w:rPr>
        <w:t>,</w:t>
      </w:r>
      <w:r>
        <w:rPr>
          <w:rFonts w:hint="eastAsia" w:eastAsia="仿宋"/>
          <w:sz w:val="28"/>
          <w:szCs w:val="28"/>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6358A1D">
      <w:pPr>
        <w:spacing w:line="360" w:lineRule="auto"/>
        <w:ind w:firstLine="560" w:firstLineChars="200"/>
        <w:rPr>
          <w:rFonts w:eastAsia="仿宋"/>
          <w:sz w:val="28"/>
          <w:szCs w:val="28"/>
        </w:rPr>
      </w:pPr>
      <w:r>
        <w:rPr>
          <w:rFonts w:eastAsia="仿宋"/>
          <w:sz w:val="28"/>
          <w:szCs w:val="28"/>
        </w:rPr>
        <w:t xml:space="preserve">2.4.2 </w:t>
      </w:r>
      <w:r>
        <w:rPr>
          <w:rFonts w:hint="eastAsia" w:eastAsia="仿宋"/>
          <w:sz w:val="28"/>
          <w:szCs w:val="28"/>
        </w:rPr>
        <w:t>装运货物的要求和通知，详见</w:t>
      </w:r>
      <w:r>
        <w:rPr>
          <w:rFonts w:hint="eastAsia" w:eastAsia="仿宋"/>
          <w:sz w:val="28"/>
          <w:szCs w:val="28"/>
          <w:u w:val="single"/>
        </w:rPr>
        <w:t>合同专用条款</w:t>
      </w:r>
      <w:r>
        <w:rPr>
          <w:rFonts w:hint="eastAsia" w:eastAsia="仿宋"/>
          <w:sz w:val="28"/>
          <w:szCs w:val="28"/>
        </w:rPr>
        <w:t>。</w:t>
      </w:r>
    </w:p>
    <w:p w14:paraId="05A8663D">
      <w:pPr>
        <w:spacing w:line="360" w:lineRule="auto"/>
        <w:ind w:firstLine="562" w:firstLineChars="200"/>
        <w:outlineLvl w:val="1"/>
        <w:rPr>
          <w:rFonts w:eastAsia="仿宋"/>
          <w:b/>
          <w:bCs/>
          <w:sz w:val="28"/>
          <w:szCs w:val="28"/>
        </w:rPr>
      </w:pPr>
      <w:bookmarkStart w:id="538" w:name="_Toc21189"/>
      <w:bookmarkStart w:id="539" w:name="_Toc31211"/>
      <w:bookmarkStart w:id="540" w:name="_Toc10477"/>
      <w:bookmarkStart w:id="541" w:name="_Toc6841"/>
      <w:bookmarkStart w:id="542" w:name="_Toc1404"/>
      <w:r>
        <w:rPr>
          <w:rFonts w:eastAsia="仿宋"/>
          <w:b/>
          <w:bCs/>
          <w:sz w:val="28"/>
          <w:szCs w:val="28"/>
        </w:rPr>
        <w:t>2.</w:t>
      </w:r>
      <w:r>
        <w:rPr>
          <w:rFonts w:hint="eastAsia" w:eastAsia="仿宋"/>
          <w:b/>
          <w:bCs/>
          <w:sz w:val="28"/>
          <w:szCs w:val="28"/>
        </w:rPr>
        <w:t>5</w:t>
      </w:r>
      <w:r>
        <w:rPr>
          <w:rFonts w:eastAsia="仿宋"/>
          <w:b/>
          <w:bCs/>
          <w:sz w:val="28"/>
          <w:szCs w:val="28"/>
        </w:rPr>
        <w:t>履约检查和问题反馈</w:t>
      </w:r>
      <w:bookmarkEnd w:id="538"/>
      <w:bookmarkEnd w:id="539"/>
      <w:bookmarkEnd w:id="540"/>
      <w:bookmarkEnd w:id="541"/>
      <w:bookmarkEnd w:id="542"/>
    </w:p>
    <w:p w14:paraId="20EFB9A4">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5</w:t>
      </w:r>
      <w:r>
        <w:rPr>
          <w:rFonts w:eastAsia="仿宋"/>
          <w:sz w:val="28"/>
          <w:szCs w:val="28"/>
        </w:rPr>
        <w:t>.1甲方有权在其认为必要时，对乙方是否能够按照合同约定提供服务进行履约检查，以确保乙方所提供的服务能够依约满足甲方之项目需求，但不得因履约检查妨碍乙方的正常工作，乙方应予积极配合；</w:t>
      </w:r>
    </w:p>
    <w:p w14:paraId="7CD41814">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5</w:t>
      </w:r>
      <w:r>
        <w:rPr>
          <w:rFonts w:eastAsia="仿宋"/>
          <w:sz w:val="28"/>
          <w:szCs w:val="28"/>
        </w:rPr>
        <w:t>.2 合同履行期间，甲方有权将履行过程中出现的问题反馈给乙方，双方当事人应以书面形式约定需要完善和改进的内容。</w:t>
      </w:r>
    </w:p>
    <w:p w14:paraId="77F47B8A">
      <w:pPr>
        <w:spacing w:line="360" w:lineRule="auto"/>
        <w:ind w:firstLine="562" w:firstLineChars="200"/>
        <w:outlineLvl w:val="1"/>
        <w:rPr>
          <w:rFonts w:eastAsia="仿宋"/>
          <w:b/>
          <w:bCs/>
          <w:sz w:val="28"/>
          <w:szCs w:val="28"/>
        </w:rPr>
      </w:pPr>
      <w:bookmarkStart w:id="543" w:name="_Toc21690"/>
      <w:bookmarkStart w:id="544" w:name="_Toc16163"/>
      <w:bookmarkStart w:id="545" w:name="_Toc6801"/>
      <w:bookmarkStart w:id="546" w:name="_Toc13154"/>
      <w:bookmarkStart w:id="547" w:name="_Toc14174"/>
      <w:bookmarkStart w:id="548" w:name="_Toc2739"/>
      <w:bookmarkStart w:id="549" w:name="_Toc13467"/>
      <w:bookmarkStart w:id="550" w:name="_Toc30507"/>
      <w:bookmarkStart w:id="551" w:name="_Toc18990"/>
      <w:bookmarkStart w:id="552" w:name="_Toc21308"/>
      <w:bookmarkStart w:id="553" w:name="_Toc22436"/>
      <w:bookmarkStart w:id="554" w:name="_Toc27791"/>
      <w:r>
        <w:rPr>
          <w:rFonts w:eastAsia="仿宋"/>
          <w:b/>
          <w:bCs/>
          <w:sz w:val="28"/>
          <w:szCs w:val="28"/>
        </w:rPr>
        <w:t>2.</w:t>
      </w:r>
      <w:r>
        <w:rPr>
          <w:rFonts w:hint="eastAsia" w:eastAsia="仿宋"/>
          <w:b/>
          <w:bCs/>
          <w:sz w:val="28"/>
          <w:szCs w:val="28"/>
        </w:rPr>
        <w:t>6</w:t>
      </w:r>
      <w:r>
        <w:rPr>
          <w:rFonts w:eastAsia="仿宋"/>
          <w:b/>
          <w:bCs/>
          <w:sz w:val="28"/>
          <w:szCs w:val="28"/>
        </w:rPr>
        <w:t>技术资料和保密义务</w:t>
      </w:r>
      <w:bookmarkEnd w:id="543"/>
      <w:bookmarkEnd w:id="544"/>
      <w:bookmarkEnd w:id="545"/>
      <w:bookmarkEnd w:id="546"/>
      <w:bookmarkEnd w:id="547"/>
      <w:bookmarkEnd w:id="548"/>
      <w:bookmarkEnd w:id="549"/>
      <w:bookmarkEnd w:id="550"/>
      <w:bookmarkEnd w:id="551"/>
      <w:bookmarkEnd w:id="552"/>
      <w:bookmarkEnd w:id="553"/>
      <w:bookmarkEnd w:id="554"/>
    </w:p>
    <w:p w14:paraId="636128C8">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6</w:t>
      </w:r>
      <w:r>
        <w:rPr>
          <w:rFonts w:eastAsia="仿宋"/>
          <w:sz w:val="28"/>
          <w:szCs w:val="28"/>
        </w:rPr>
        <w:t>.1 乙方有权依据合同约定和项目需要，向甲方了解有关情况，调阅有关资料等，甲方应予积极配合；</w:t>
      </w:r>
    </w:p>
    <w:p w14:paraId="2320121A">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6</w:t>
      </w:r>
      <w:r>
        <w:rPr>
          <w:rFonts w:eastAsia="仿宋"/>
          <w:sz w:val="28"/>
          <w:szCs w:val="28"/>
        </w:rPr>
        <w:t>.2 乙方有义务妥善保管和保护由甲方提供的前款信息和资料等；</w:t>
      </w:r>
    </w:p>
    <w:p w14:paraId="51888AB7">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6</w:t>
      </w:r>
      <w:r>
        <w:rPr>
          <w:rFonts w:eastAsia="仿宋"/>
          <w:sz w:val="28"/>
          <w:szCs w:val="28"/>
        </w:rPr>
        <w:t>.3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C4A577B">
      <w:pPr>
        <w:spacing w:line="360" w:lineRule="auto"/>
        <w:ind w:firstLine="562" w:firstLineChars="200"/>
        <w:outlineLvl w:val="1"/>
        <w:rPr>
          <w:rFonts w:eastAsia="仿宋"/>
          <w:b/>
          <w:bCs/>
          <w:sz w:val="28"/>
          <w:szCs w:val="28"/>
        </w:rPr>
      </w:pPr>
      <w:bookmarkStart w:id="555" w:name="_Toc2481"/>
      <w:bookmarkStart w:id="556" w:name="_Toc27714"/>
      <w:bookmarkStart w:id="557" w:name="_Toc12301"/>
      <w:bookmarkStart w:id="558" w:name="_Toc19069"/>
      <w:bookmarkStart w:id="559" w:name="_Toc5379"/>
      <w:bookmarkStart w:id="560" w:name="_Toc5307"/>
      <w:bookmarkStart w:id="561" w:name="_Toc22669"/>
      <w:bookmarkStart w:id="562" w:name="_Toc22040"/>
      <w:r>
        <w:rPr>
          <w:rFonts w:eastAsia="仿宋"/>
          <w:b/>
          <w:bCs/>
          <w:sz w:val="28"/>
          <w:szCs w:val="28"/>
        </w:rPr>
        <w:t>2.</w:t>
      </w:r>
      <w:r>
        <w:rPr>
          <w:rFonts w:hint="eastAsia" w:eastAsia="仿宋"/>
          <w:b/>
          <w:bCs/>
          <w:sz w:val="28"/>
          <w:szCs w:val="28"/>
        </w:rPr>
        <w:t>7</w:t>
      </w:r>
      <w:r>
        <w:rPr>
          <w:rFonts w:eastAsia="仿宋"/>
          <w:b/>
          <w:bCs/>
          <w:sz w:val="28"/>
          <w:szCs w:val="28"/>
        </w:rPr>
        <w:t>质量保证</w:t>
      </w:r>
      <w:bookmarkEnd w:id="555"/>
      <w:bookmarkEnd w:id="556"/>
      <w:bookmarkEnd w:id="557"/>
      <w:bookmarkEnd w:id="558"/>
      <w:bookmarkEnd w:id="559"/>
      <w:bookmarkEnd w:id="560"/>
      <w:bookmarkEnd w:id="561"/>
      <w:bookmarkEnd w:id="562"/>
    </w:p>
    <w:p w14:paraId="2745B447">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7</w:t>
      </w:r>
      <w:r>
        <w:rPr>
          <w:rFonts w:eastAsia="仿宋"/>
          <w:sz w:val="28"/>
          <w:szCs w:val="28"/>
        </w:rPr>
        <w:t>.1 乙方应建立和完善履行合同的内部质量保证体系，并提供相关内部规章制度给甲方，以便甲方进行监督检查；</w:t>
      </w:r>
    </w:p>
    <w:p w14:paraId="024D814C">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7</w:t>
      </w:r>
      <w:r>
        <w:rPr>
          <w:rFonts w:eastAsia="仿宋"/>
          <w:sz w:val="28"/>
          <w:szCs w:val="28"/>
        </w:rPr>
        <w:t>.2 乙方应保证履行合同的人员数量和素质、软件和硬件设备的配置、场地、环境和设施等满足全面履行合同的要求，并应接受甲方的监督检查。</w:t>
      </w:r>
    </w:p>
    <w:p w14:paraId="234F0AF6">
      <w:pPr>
        <w:spacing w:line="360" w:lineRule="auto"/>
        <w:ind w:firstLine="562" w:firstLineChars="200"/>
        <w:outlineLvl w:val="1"/>
        <w:rPr>
          <w:rFonts w:eastAsia="仿宋"/>
          <w:b/>
          <w:bCs/>
          <w:sz w:val="28"/>
          <w:szCs w:val="28"/>
        </w:rPr>
      </w:pPr>
      <w:bookmarkStart w:id="563" w:name="_Toc17244"/>
      <w:bookmarkStart w:id="564" w:name="_Toc10042"/>
      <w:bookmarkStart w:id="565" w:name="_Toc30412"/>
      <w:r>
        <w:rPr>
          <w:rFonts w:eastAsia="仿宋"/>
          <w:b/>
          <w:bCs/>
          <w:sz w:val="28"/>
          <w:szCs w:val="28"/>
        </w:rPr>
        <w:t>2.</w:t>
      </w:r>
      <w:r>
        <w:rPr>
          <w:rFonts w:hint="eastAsia" w:eastAsia="仿宋"/>
          <w:b/>
          <w:bCs/>
          <w:sz w:val="28"/>
          <w:szCs w:val="28"/>
        </w:rPr>
        <w:t>8货物的风险负担</w:t>
      </w:r>
      <w:bookmarkEnd w:id="563"/>
      <w:bookmarkEnd w:id="564"/>
      <w:bookmarkEnd w:id="565"/>
    </w:p>
    <w:p w14:paraId="7CA7EAB9">
      <w:pPr>
        <w:spacing w:line="360" w:lineRule="auto"/>
        <w:ind w:firstLine="560" w:firstLineChars="200"/>
      </w:pPr>
      <w:r>
        <w:rPr>
          <w:rFonts w:hint="eastAsia" w:eastAsia="仿宋"/>
          <w:sz w:val="28"/>
          <w:szCs w:val="28"/>
        </w:rPr>
        <w:t>货物或者在途货物或者交付给第一承运人后的货物毁损、灭失的风险负担详见</w:t>
      </w:r>
      <w:r>
        <w:rPr>
          <w:rFonts w:hint="eastAsia" w:eastAsia="仿宋"/>
          <w:sz w:val="28"/>
          <w:szCs w:val="28"/>
          <w:u w:val="single"/>
        </w:rPr>
        <w:t>合同专用条款</w:t>
      </w:r>
      <w:r>
        <w:rPr>
          <w:rFonts w:hint="eastAsia" w:eastAsia="仿宋"/>
          <w:sz w:val="28"/>
          <w:szCs w:val="28"/>
        </w:rPr>
        <w:t>。</w:t>
      </w:r>
    </w:p>
    <w:p w14:paraId="551774AE">
      <w:pPr>
        <w:spacing w:line="360" w:lineRule="auto"/>
        <w:ind w:firstLine="562" w:firstLineChars="200"/>
        <w:outlineLvl w:val="1"/>
        <w:rPr>
          <w:rFonts w:eastAsia="仿宋"/>
          <w:b/>
          <w:bCs/>
          <w:sz w:val="28"/>
          <w:szCs w:val="28"/>
        </w:rPr>
      </w:pPr>
      <w:bookmarkStart w:id="566" w:name="_Toc21177"/>
      <w:bookmarkStart w:id="567" w:name="_Toc10440"/>
      <w:bookmarkStart w:id="568" w:name="_Toc4146"/>
      <w:bookmarkStart w:id="569" w:name="_Toc29767"/>
      <w:bookmarkStart w:id="570" w:name="_Toc24939"/>
      <w:bookmarkStart w:id="571" w:name="_Toc2673"/>
      <w:bookmarkStart w:id="572" w:name="_Toc22267"/>
      <w:bookmarkStart w:id="573" w:name="_Toc24821"/>
      <w:r>
        <w:rPr>
          <w:rFonts w:eastAsia="仿宋"/>
          <w:b/>
          <w:bCs/>
          <w:sz w:val="28"/>
          <w:szCs w:val="28"/>
        </w:rPr>
        <w:t>2.</w:t>
      </w:r>
      <w:r>
        <w:rPr>
          <w:rFonts w:hint="eastAsia" w:eastAsia="仿宋"/>
          <w:b/>
          <w:bCs/>
          <w:sz w:val="28"/>
          <w:szCs w:val="28"/>
        </w:rPr>
        <w:t>9</w:t>
      </w:r>
      <w:r>
        <w:rPr>
          <w:rFonts w:eastAsia="仿宋"/>
          <w:b/>
          <w:bCs/>
          <w:sz w:val="28"/>
          <w:szCs w:val="28"/>
        </w:rPr>
        <w:t>延迟履行</w:t>
      </w:r>
      <w:bookmarkEnd w:id="566"/>
      <w:bookmarkEnd w:id="567"/>
      <w:bookmarkEnd w:id="568"/>
      <w:bookmarkEnd w:id="569"/>
      <w:bookmarkEnd w:id="570"/>
      <w:bookmarkEnd w:id="571"/>
      <w:bookmarkEnd w:id="572"/>
      <w:bookmarkEnd w:id="573"/>
    </w:p>
    <w:p w14:paraId="2926995E">
      <w:pPr>
        <w:spacing w:line="360" w:lineRule="auto"/>
        <w:ind w:firstLine="560" w:firstLineChars="200"/>
        <w:rPr>
          <w:rFonts w:eastAsia="仿宋"/>
          <w:sz w:val="28"/>
          <w:szCs w:val="28"/>
        </w:rPr>
      </w:pPr>
      <w:r>
        <w:rPr>
          <w:rFonts w:eastAsia="仿宋"/>
          <w:sz w:val="28"/>
          <w:szCs w:val="28"/>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19205D2F">
      <w:pPr>
        <w:spacing w:line="360" w:lineRule="auto"/>
        <w:ind w:firstLine="562" w:firstLineChars="200"/>
        <w:outlineLvl w:val="1"/>
        <w:rPr>
          <w:rFonts w:eastAsia="仿宋"/>
          <w:b/>
          <w:bCs/>
          <w:sz w:val="28"/>
          <w:szCs w:val="28"/>
        </w:rPr>
      </w:pPr>
      <w:bookmarkStart w:id="574" w:name="_Toc10611"/>
      <w:bookmarkStart w:id="575" w:name="_Toc12749"/>
      <w:bookmarkStart w:id="576" w:name="_Toc16214"/>
      <w:bookmarkStart w:id="577" w:name="_Toc30048"/>
      <w:bookmarkStart w:id="578" w:name="_Toc3729"/>
      <w:bookmarkStart w:id="579" w:name="_Toc32473"/>
      <w:bookmarkStart w:id="580" w:name="_Toc9483"/>
      <w:bookmarkStart w:id="581" w:name="_Toc2914"/>
      <w:r>
        <w:rPr>
          <w:rFonts w:eastAsia="仿宋"/>
          <w:b/>
          <w:bCs/>
          <w:sz w:val="28"/>
          <w:szCs w:val="28"/>
        </w:rPr>
        <w:t>2.</w:t>
      </w:r>
      <w:r>
        <w:rPr>
          <w:rFonts w:hint="eastAsia" w:eastAsia="仿宋"/>
          <w:b/>
          <w:bCs/>
          <w:sz w:val="28"/>
          <w:szCs w:val="28"/>
        </w:rPr>
        <w:t>10</w:t>
      </w:r>
      <w:r>
        <w:rPr>
          <w:rFonts w:eastAsia="仿宋"/>
          <w:b/>
          <w:bCs/>
          <w:sz w:val="28"/>
          <w:szCs w:val="28"/>
        </w:rPr>
        <w:t>合同变更</w:t>
      </w:r>
      <w:bookmarkEnd w:id="574"/>
      <w:bookmarkEnd w:id="575"/>
      <w:bookmarkEnd w:id="576"/>
      <w:bookmarkEnd w:id="577"/>
      <w:bookmarkEnd w:id="578"/>
      <w:bookmarkEnd w:id="579"/>
      <w:bookmarkEnd w:id="580"/>
      <w:bookmarkEnd w:id="581"/>
    </w:p>
    <w:p w14:paraId="1FD824EF">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10</w:t>
      </w:r>
      <w:r>
        <w:rPr>
          <w:rFonts w:eastAsia="仿宋"/>
          <w:sz w:val="28"/>
          <w:szCs w:val="28"/>
        </w:rPr>
        <w:t>.1 双方当事人协商一致，可以签订书面补充合同的形式变更合同，但不得违背采购文件确定的事项，且如果系追加与合同标的相同的服务的，那么所有补充合同的采购金额不得超过原合同价的10%；</w:t>
      </w:r>
    </w:p>
    <w:p w14:paraId="017E95EC">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10</w:t>
      </w:r>
      <w:r>
        <w:rPr>
          <w:rFonts w:eastAsia="仿宋"/>
          <w:sz w:val="28"/>
          <w:szCs w:val="28"/>
        </w:rPr>
        <w:t>.2 合同继续履行将损害国家利益和社会公共利益的，双方当事人应当以书面形式变更合同。有过错的一方应当承担赔偿责任，双方当事人都有过错的，各自承担相应的责任。</w:t>
      </w:r>
    </w:p>
    <w:p w14:paraId="0650BDBF">
      <w:pPr>
        <w:spacing w:line="360" w:lineRule="auto"/>
        <w:ind w:firstLine="562" w:firstLineChars="200"/>
        <w:outlineLvl w:val="1"/>
        <w:rPr>
          <w:rFonts w:eastAsia="仿宋"/>
          <w:b/>
          <w:bCs/>
          <w:sz w:val="28"/>
          <w:szCs w:val="28"/>
        </w:rPr>
      </w:pPr>
      <w:bookmarkStart w:id="582" w:name="_Toc26689"/>
      <w:bookmarkStart w:id="583" w:name="_Toc3584"/>
      <w:bookmarkStart w:id="584" w:name="_Toc42"/>
      <w:bookmarkStart w:id="585" w:name="_Toc23368"/>
      <w:bookmarkStart w:id="586" w:name="_Toc24612"/>
      <w:bookmarkStart w:id="587" w:name="_Toc30276"/>
      <w:bookmarkStart w:id="588" w:name="_Toc29450"/>
      <w:bookmarkStart w:id="589" w:name="_Toc21830"/>
      <w:bookmarkStart w:id="590" w:name="_Toc11047"/>
      <w:bookmarkStart w:id="591" w:name="_Toc12098"/>
      <w:bookmarkStart w:id="592" w:name="_Toc10663"/>
      <w:bookmarkStart w:id="593" w:name="_Toc30634"/>
      <w:r>
        <w:rPr>
          <w:rFonts w:eastAsia="仿宋"/>
          <w:b/>
          <w:bCs/>
          <w:sz w:val="28"/>
          <w:szCs w:val="28"/>
        </w:rPr>
        <w:t>2.</w:t>
      </w:r>
      <w:r>
        <w:rPr>
          <w:rFonts w:hint="eastAsia" w:eastAsia="仿宋"/>
          <w:b/>
          <w:bCs/>
          <w:sz w:val="28"/>
          <w:szCs w:val="28"/>
        </w:rPr>
        <w:t>11</w:t>
      </w:r>
      <w:r>
        <w:rPr>
          <w:rFonts w:eastAsia="仿宋"/>
          <w:b/>
          <w:bCs/>
          <w:sz w:val="28"/>
          <w:szCs w:val="28"/>
        </w:rPr>
        <w:t>合同转让和分包</w:t>
      </w:r>
      <w:bookmarkEnd w:id="582"/>
      <w:bookmarkEnd w:id="583"/>
      <w:bookmarkEnd w:id="584"/>
      <w:bookmarkEnd w:id="585"/>
      <w:bookmarkEnd w:id="586"/>
      <w:bookmarkEnd w:id="587"/>
      <w:bookmarkEnd w:id="588"/>
      <w:bookmarkEnd w:id="589"/>
      <w:bookmarkEnd w:id="590"/>
      <w:bookmarkEnd w:id="591"/>
      <w:bookmarkEnd w:id="592"/>
      <w:bookmarkEnd w:id="593"/>
    </w:p>
    <w:p w14:paraId="68A4AC38">
      <w:pPr>
        <w:spacing w:line="360" w:lineRule="auto"/>
        <w:ind w:firstLine="560" w:firstLineChars="200"/>
        <w:rPr>
          <w:rFonts w:eastAsia="仿宋"/>
          <w:sz w:val="28"/>
          <w:szCs w:val="28"/>
        </w:rPr>
      </w:pPr>
      <w:r>
        <w:rPr>
          <w:rFonts w:eastAsia="仿宋"/>
          <w:sz w:val="28"/>
          <w:szCs w:val="28"/>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F976C9D">
      <w:pPr>
        <w:spacing w:line="360" w:lineRule="auto"/>
        <w:ind w:firstLine="562" w:firstLineChars="200"/>
        <w:outlineLvl w:val="1"/>
        <w:rPr>
          <w:rFonts w:eastAsia="仿宋"/>
          <w:b/>
          <w:bCs/>
          <w:sz w:val="28"/>
          <w:szCs w:val="28"/>
        </w:rPr>
      </w:pPr>
      <w:bookmarkStart w:id="594" w:name="_Toc28851"/>
      <w:bookmarkStart w:id="595" w:name="_Toc17551"/>
      <w:bookmarkStart w:id="596" w:name="_Toc8630"/>
      <w:bookmarkStart w:id="597" w:name="_Toc32494"/>
      <w:bookmarkStart w:id="598" w:name="_Toc27962"/>
      <w:bookmarkStart w:id="599" w:name="_Toc18064"/>
      <w:bookmarkStart w:id="600" w:name="_Toc25571"/>
      <w:bookmarkStart w:id="601" w:name="_Toc4720"/>
      <w:bookmarkStart w:id="602" w:name="_Toc14371"/>
      <w:bookmarkStart w:id="603" w:name="_Toc26633"/>
      <w:bookmarkStart w:id="604" w:name="_Toc10500"/>
      <w:bookmarkStart w:id="605" w:name="_Toc25143"/>
      <w:r>
        <w:rPr>
          <w:rFonts w:eastAsia="仿宋"/>
          <w:b/>
          <w:bCs/>
          <w:sz w:val="28"/>
          <w:szCs w:val="28"/>
        </w:rPr>
        <w:t>2.1</w:t>
      </w:r>
      <w:r>
        <w:rPr>
          <w:rFonts w:hint="eastAsia" w:eastAsia="仿宋"/>
          <w:b/>
          <w:bCs/>
          <w:sz w:val="28"/>
          <w:szCs w:val="28"/>
        </w:rPr>
        <w:t>2</w:t>
      </w:r>
      <w:r>
        <w:rPr>
          <w:rFonts w:eastAsia="仿宋"/>
          <w:b/>
          <w:bCs/>
          <w:sz w:val="28"/>
          <w:szCs w:val="28"/>
        </w:rPr>
        <w:t>不可抗力</w:t>
      </w:r>
      <w:bookmarkEnd w:id="594"/>
      <w:bookmarkEnd w:id="595"/>
      <w:bookmarkEnd w:id="596"/>
      <w:bookmarkEnd w:id="597"/>
      <w:bookmarkEnd w:id="598"/>
      <w:bookmarkEnd w:id="599"/>
      <w:bookmarkEnd w:id="600"/>
      <w:bookmarkEnd w:id="601"/>
      <w:bookmarkEnd w:id="602"/>
      <w:bookmarkEnd w:id="603"/>
      <w:bookmarkEnd w:id="604"/>
      <w:bookmarkEnd w:id="605"/>
    </w:p>
    <w:p w14:paraId="6CA0A0BC">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.1如果任何一方遭遇法律规定的不可抗力，致使合同履行受阻时，履行合同的期限应予延长，延长的期限应相当于不可抗力所影响的时间；</w:t>
      </w:r>
    </w:p>
    <w:p w14:paraId="35473A61">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.2 因不可抗力致使不能实现合同目的的，当事人可以解除合同；</w:t>
      </w:r>
    </w:p>
    <w:p w14:paraId="340D1F85">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.3 因不可抗力致使合同有变更必要的，双方当事人应在</w:t>
      </w:r>
      <w:r>
        <w:rPr>
          <w:rFonts w:eastAsia="仿宋"/>
          <w:b/>
          <w:bCs/>
          <w:i/>
          <w:iCs/>
          <w:sz w:val="28"/>
          <w:szCs w:val="28"/>
          <w:u w:val="single"/>
        </w:rPr>
        <w:t>5个工作日</w:t>
      </w:r>
      <w:r>
        <w:rPr>
          <w:rFonts w:eastAsia="仿宋"/>
          <w:sz w:val="28"/>
          <w:szCs w:val="28"/>
        </w:rPr>
        <w:t>内以书面形式变更合同；</w:t>
      </w:r>
    </w:p>
    <w:p w14:paraId="306DB8D8">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2</w:t>
      </w:r>
      <w:r>
        <w:rPr>
          <w:rFonts w:eastAsia="仿宋"/>
          <w:sz w:val="28"/>
          <w:szCs w:val="28"/>
        </w:rPr>
        <w:t>.4受不可抗力影响的一方在不可抗力发生后，应在</w:t>
      </w:r>
      <w:r>
        <w:rPr>
          <w:rFonts w:eastAsia="仿宋"/>
          <w:b/>
          <w:bCs/>
          <w:i/>
          <w:iCs/>
          <w:sz w:val="28"/>
          <w:szCs w:val="28"/>
          <w:u w:val="single"/>
        </w:rPr>
        <w:t>3个工作日</w:t>
      </w:r>
      <w:r>
        <w:rPr>
          <w:rFonts w:eastAsia="仿宋"/>
          <w:sz w:val="28"/>
          <w:szCs w:val="28"/>
        </w:rPr>
        <w:t>内以书面形式通知对方当事人，并在</w:t>
      </w:r>
      <w:r>
        <w:rPr>
          <w:rFonts w:eastAsia="仿宋"/>
          <w:b/>
          <w:bCs/>
          <w:i/>
          <w:iCs/>
          <w:sz w:val="28"/>
          <w:szCs w:val="28"/>
          <w:u w:val="single"/>
        </w:rPr>
        <w:t>5个工作日</w:t>
      </w:r>
      <w:r>
        <w:rPr>
          <w:rFonts w:eastAsia="仿宋"/>
          <w:sz w:val="28"/>
          <w:szCs w:val="28"/>
        </w:rPr>
        <w:t>内，将有关部门出具的证明文件送达对方当事人。</w:t>
      </w:r>
    </w:p>
    <w:p w14:paraId="3274B575">
      <w:pPr>
        <w:spacing w:line="360" w:lineRule="auto"/>
        <w:ind w:firstLine="562" w:firstLineChars="200"/>
        <w:outlineLvl w:val="1"/>
        <w:rPr>
          <w:rFonts w:eastAsia="仿宋"/>
          <w:b/>
          <w:bCs/>
          <w:sz w:val="28"/>
          <w:szCs w:val="28"/>
        </w:rPr>
      </w:pPr>
      <w:bookmarkStart w:id="606" w:name="_Toc24465"/>
      <w:bookmarkStart w:id="607" w:name="_Toc9467"/>
      <w:bookmarkStart w:id="608" w:name="_Toc914"/>
      <w:bookmarkStart w:id="609" w:name="_Toc12231"/>
      <w:bookmarkStart w:id="610" w:name="_Toc15042"/>
      <w:bookmarkStart w:id="611" w:name="_Toc5501"/>
      <w:bookmarkStart w:id="612" w:name="_Toc20962"/>
      <w:bookmarkStart w:id="613" w:name="_Toc3638"/>
      <w:bookmarkStart w:id="614" w:name="_Toc18692"/>
      <w:bookmarkStart w:id="615" w:name="_Toc23854"/>
      <w:bookmarkStart w:id="616" w:name="_Toc25783"/>
      <w:bookmarkStart w:id="617" w:name="_Toc14115"/>
      <w:r>
        <w:rPr>
          <w:rFonts w:eastAsia="仿宋"/>
          <w:b/>
          <w:bCs/>
          <w:sz w:val="28"/>
          <w:szCs w:val="28"/>
        </w:rPr>
        <w:t>2.1</w:t>
      </w:r>
      <w:r>
        <w:rPr>
          <w:rFonts w:hint="eastAsia" w:eastAsia="仿宋"/>
          <w:b/>
          <w:bCs/>
          <w:sz w:val="28"/>
          <w:szCs w:val="28"/>
        </w:rPr>
        <w:t>3</w:t>
      </w:r>
      <w:r>
        <w:rPr>
          <w:rFonts w:eastAsia="仿宋"/>
          <w:b/>
          <w:bCs/>
          <w:sz w:val="28"/>
          <w:szCs w:val="28"/>
        </w:rPr>
        <w:t>税费</w:t>
      </w:r>
      <w:bookmarkEnd w:id="606"/>
      <w:bookmarkEnd w:id="607"/>
      <w:bookmarkEnd w:id="608"/>
      <w:bookmarkEnd w:id="609"/>
      <w:bookmarkEnd w:id="610"/>
      <w:bookmarkEnd w:id="611"/>
      <w:bookmarkEnd w:id="612"/>
      <w:bookmarkEnd w:id="613"/>
      <w:bookmarkEnd w:id="614"/>
      <w:bookmarkEnd w:id="615"/>
      <w:bookmarkEnd w:id="616"/>
      <w:bookmarkEnd w:id="617"/>
    </w:p>
    <w:p w14:paraId="42F8CAB1">
      <w:pPr>
        <w:spacing w:line="360" w:lineRule="auto"/>
        <w:ind w:firstLine="560" w:firstLineChars="200"/>
        <w:rPr>
          <w:rFonts w:eastAsia="仿宋"/>
          <w:sz w:val="28"/>
          <w:szCs w:val="28"/>
        </w:rPr>
      </w:pPr>
      <w:r>
        <w:rPr>
          <w:rFonts w:eastAsia="仿宋"/>
          <w:sz w:val="28"/>
          <w:szCs w:val="28"/>
        </w:rPr>
        <w:t>与合同有关的一切税费，均按照中华人民共和国法律的相关规定缴纳。</w:t>
      </w:r>
    </w:p>
    <w:p w14:paraId="2A5434B8">
      <w:pPr>
        <w:spacing w:line="360" w:lineRule="auto"/>
        <w:ind w:firstLine="562" w:firstLineChars="200"/>
        <w:outlineLvl w:val="1"/>
        <w:rPr>
          <w:rFonts w:eastAsia="仿宋"/>
          <w:b/>
          <w:bCs/>
          <w:sz w:val="28"/>
          <w:szCs w:val="28"/>
        </w:rPr>
      </w:pPr>
      <w:bookmarkStart w:id="618" w:name="_Toc27119"/>
      <w:bookmarkStart w:id="619" w:name="_Toc27164"/>
      <w:bookmarkStart w:id="620" w:name="_Toc26678"/>
      <w:bookmarkStart w:id="621" w:name="_Toc5302"/>
      <w:bookmarkStart w:id="622" w:name="_Toc26883"/>
      <w:bookmarkStart w:id="623" w:name="_Toc21593"/>
      <w:bookmarkStart w:id="624" w:name="_Toc30105"/>
      <w:bookmarkStart w:id="625" w:name="_Toc7315"/>
      <w:bookmarkStart w:id="626" w:name="_Toc3373"/>
      <w:bookmarkStart w:id="627" w:name="_Toc25525"/>
      <w:bookmarkStart w:id="628" w:name="_Toc26476"/>
      <w:bookmarkStart w:id="629" w:name="_Toc14814"/>
      <w:r>
        <w:rPr>
          <w:rFonts w:eastAsia="仿宋"/>
          <w:b/>
          <w:bCs/>
          <w:sz w:val="28"/>
          <w:szCs w:val="28"/>
        </w:rPr>
        <w:t>2.1</w:t>
      </w:r>
      <w:r>
        <w:rPr>
          <w:rFonts w:hint="eastAsia" w:eastAsia="仿宋"/>
          <w:b/>
          <w:bCs/>
          <w:sz w:val="28"/>
          <w:szCs w:val="28"/>
        </w:rPr>
        <w:t>4</w:t>
      </w:r>
      <w:r>
        <w:rPr>
          <w:rFonts w:eastAsia="仿宋"/>
          <w:b/>
          <w:bCs/>
          <w:sz w:val="28"/>
          <w:szCs w:val="28"/>
        </w:rPr>
        <w:t>乙方破产</w:t>
      </w:r>
      <w:bookmarkEnd w:id="618"/>
      <w:bookmarkEnd w:id="619"/>
      <w:bookmarkEnd w:id="620"/>
      <w:bookmarkEnd w:id="621"/>
      <w:bookmarkEnd w:id="622"/>
      <w:bookmarkEnd w:id="623"/>
      <w:bookmarkEnd w:id="624"/>
      <w:bookmarkEnd w:id="625"/>
      <w:bookmarkEnd w:id="626"/>
      <w:bookmarkEnd w:id="627"/>
      <w:bookmarkEnd w:id="628"/>
      <w:bookmarkEnd w:id="629"/>
    </w:p>
    <w:p w14:paraId="50EEC08B">
      <w:pPr>
        <w:spacing w:line="360" w:lineRule="auto"/>
        <w:ind w:firstLine="560" w:firstLineChars="200"/>
        <w:rPr>
          <w:rFonts w:eastAsia="仿宋"/>
          <w:sz w:val="28"/>
          <w:szCs w:val="28"/>
        </w:rPr>
      </w:pPr>
      <w:r>
        <w:rPr>
          <w:rFonts w:eastAsia="仿宋"/>
          <w:sz w:val="28"/>
          <w:szCs w:val="28"/>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71B84DC">
      <w:pPr>
        <w:spacing w:line="360" w:lineRule="auto"/>
        <w:ind w:firstLine="562" w:firstLineChars="200"/>
        <w:outlineLvl w:val="1"/>
        <w:rPr>
          <w:rFonts w:eastAsia="仿宋"/>
          <w:b/>
          <w:bCs/>
          <w:sz w:val="28"/>
          <w:szCs w:val="28"/>
        </w:rPr>
      </w:pPr>
      <w:bookmarkStart w:id="630" w:name="_Toc24189"/>
      <w:bookmarkStart w:id="631" w:name="_Toc9735"/>
      <w:bookmarkStart w:id="632" w:name="_Toc24614"/>
      <w:bookmarkStart w:id="633" w:name="_Toc2016"/>
      <w:bookmarkStart w:id="634" w:name="_Toc10235"/>
      <w:bookmarkStart w:id="635" w:name="_Toc23323"/>
      <w:bookmarkStart w:id="636" w:name="_Toc18508"/>
      <w:bookmarkStart w:id="637" w:name="_Toc20424"/>
      <w:bookmarkStart w:id="638" w:name="_Toc1123"/>
      <w:bookmarkStart w:id="639" w:name="_Toc3791"/>
      <w:r>
        <w:rPr>
          <w:rFonts w:eastAsia="仿宋"/>
          <w:b/>
          <w:bCs/>
          <w:sz w:val="28"/>
          <w:szCs w:val="28"/>
        </w:rPr>
        <w:t>2.1</w:t>
      </w:r>
      <w:r>
        <w:rPr>
          <w:rFonts w:hint="eastAsia" w:eastAsia="仿宋"/>
          <w:b/>
          <w:bCs/>
          <w:sz w:val="28"/>
          <w:szCs w:val="28"/>
        </w:rPr>
        <w:t>5</w:t>
      </w:r>
      <w:r>
        <w:rPr>
          <w:rFonts w:eastAsia="仿宋"/>
          <w:b/>
          <w:bCs/>
          <w:sz w:val="28"/>
          <w:szCs w:val="28"/>
        </w:rPr>
        <w:t>合同中止、终止</w:t>
      </w:r>
      <w:bookmarkEnd w:id="630"/>
      <w:bookmarkEnd w:id="631"/>
      <w:bookmarkEnd w:id="632"/>
      <w:bookmarkEnd w:id="633"/>
      <w:bookmarkEnd w:id="634"/>
      <w:bookmarkEnd w:id="635"/>
      <w:bookmarkEnd w:id="636"/>
      <w:bookmarkEnd w:id="637"/>
      <w:bookmarkEnd w:id="638"/>
      <w:bookmarkEnd w:id="639"/>
    </w:p>
    <w:p w14:paraId="305DEF20">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5</w:t>
      </w:r>
      <w:r>
        <w:rPr>
          <w:rFonts w:eastAsia="仿宋"/>
          <w:sz w:val="28"/>
          <w:szCs w:val="28"/>
        </w:rPr>
        <w:t>.1 双方当事人不得擅自中止或者终止合同；</w:t>
      </w:r>
    </w:p>
    <w:p w14:paraId="51F30027">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5</w:t>
      </w:r>
      <w:r>
        <w:rPr>
          <w:rFonts w:eastAsia="仿宋"/>
          <w:sz w:val="28"/>
          <w:szCs w:val="28"/>
        </w:rPr>
        <w:t>.2合同继续履行将损害国家利益和社会公共利益的，双方当事人应当中止或者终止合同。有过错的一方应当承担赔偿责任，双方当事人都有过错的，各自承担相应的责任。</w:t>
      </w:r>
    </w:p>
    <w:p w14:paraId="6489867F">
      <w:pPr>
        <w:spacing w:line="360" w:lineRule="auto"/>
        <w:ind w:firstLine="562" w:firstLineChars="200"/>
        <w:outlineLvl w:val="1"/>
        <w:rPr>
          <w:rFonts w:eastAsia="仿宋"/>
          <w:b/>
          <w:bCs/>
          <w:sz w:val="28"/>
          <w:szCs w:val="28"/>
        </w:rPr>
      </w:pPr>
      <w:bookmarkStart w:id="640" w:name="_Toc13139"/>
      <w:bookmarkStart w:id="641" w:name="_Toc17363"/>
      <w:bookmarkStart w:id="642" w:name="_Toc31753"/>
      <w:bookmarkStart w:id="643" w:name="_Toc27931"/>
      <w:bookmarkStart w:id="644" w:name="_Toc4661"/>
      <w:bookmarkStart w:id="645" w:name="_Toc28282"/>
      <w:bookmarkStart w:id="646" w:name="_Toc21927"/>
      <w:bookmarkStart w:id="647" w:name="_Toc12391"/>
      <w:bookmarkStart w:id="648" w:name="_Toc14525"/>
      <w:bookmarkStart w:id="649" w:name="_Toc1969"/>
      <w:r>
        <w:rPr>
          <w:rFonts w:eastAsia="仿宋"/>
          <w:b/>
          <w:bCs/>
          <w:sz w:val="28"/>
          <w:szCs w:val="28"/>
        </w:rPr>
        <w:t>2.1</w:t>
      </w:r>
      <w:r>
        <w:rPr>
          <w:rFonts w:hint="eastAsia" w:eastAsia="仿宋"/>
          <w:b/>
          <w:bCs/>
          <w:sz w:val="28"/>
          <w:szCs w:val="28"/>
        </w:rPr>
        <w:t>6</w:t>
      </w:r>
      <w:r>
        <w:rPr>
          <w:rFonts w:eastAsia="仿宋"/>
          <w:b/>
          <w:bCs/>
          <w:sz w:val="28"/>
          <w:szCs w:val="28"/>
        </w:rPr>
        <w:t>检验和验收</w:t>
      </w:r>
      <w:bookmarkEnd w:id="640"/>
      <w:bookmarkEnd w:id="641"/>
      <w:bookmarkEnd w:id="642"/>
      <w:bookmarkEnd w:id="643"/>
      <w:bookmarkEnd w:id="644"/>
      <w:bookmarkEnd w:id="645"/>
      <w:bookmarkEnd w:id="646"/>
      <w:bookmarkEnd w:id="647"/>
      <w:bookmarkEnd w:id="648"/>
      <w:bookmarkEnd w:id="649"/>
    </w:p>
    <w:p w14:paraId="5C009A3C">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6</w:t>
      </w:r>
      <w:r>
        <w:rPr>
          <w:rFonts w:eastAsia="仿宋"/>
          <w:sz w:val="28"/>
          <w:szCs w:val="28"/>
        </w:rPr>
        <w:t>.1</w:t>
      </w:r>
      <w:r>
        <w:rPr>
          <w:rFonts w:hint="eastAsia" w:eastAsia="仿宋"/>
          <w:sz w:val="28"/>
          <w:szCs w:val="28"/>
        </w:rPr>
        <w:t>货物交付前，乙方应对货物的质量、数量等方面进行详细、全面的检验，并向甲方出具证明货物符合合同约定的文件；货物交付时，乙方在</w:t>
      </w:r>
      <w:r>
        <w:rPr>
          <w:rFonts w:hint="eastAsia" w:eastAsia="仿宋"/>
          <w:sz w:val="28"/>
          <w:szCs w:val="28"/>
          <w:u w:val="single"/>
        </w:rPr>
        <w:t>合同专用条款</w:t>
      </w:r>
      <w:r>
        <w:rPr>
          <w:rFonts w:hint="eastAsia" w:eastAsia="仿宋"/>
          <w:sz w:val="28"/>
          <w:szCs w:val="28"/>
        </w:rPr>
        <w:t>约定时间内组织验收，并可依法邀请相关方参加，验收应出具验收书。</w:t>
      </w:r>
    </w:p>
    <w:p w14:paraId="4F7D1879">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6</w:t>
      </w:r>
      <w:r>
        <w:rPr>
          <w:rFonts w:eastAsia="仿宋"/>
          <w:sz w:val="28"/>
          <w:szCs w:val="28"/>
        </w:rPr>
        <w:t>.2</w:t>
      </w:r>
      <w:r>
        <w:rPr>
          <w:rFonts w:hint="eastAsia" w:eastAsia="仿宋"/>
          <w:sz w:val="28"/>
          <w:szCs w:val="28"/>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63C28F04">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6</w:t>
      </w:r>
      <w:r>
        <w:rPr>
          <w:rFonts w:eastAsia="仿宋"/>
          <w:sz w:val="28"/>
          <w:szCs w:val="28"/>
        </w:rPr>
        <w:t xml:space="preserve">.3 </w:t>
      </w:r>
      <w:r>
        <w:rPr>
          <w:rFonts w:hint="eastAsia" w:eastAsia="仿宋"/>
          <w:sz w:val="28"/>
          <w:szCs w:val="28"/>
        </w:rPr>
        <w:t>检验和验收标准、程序等具体内容以及前述验收书的效力详见</w:t>
      </w:r>
      <w:r>
        <w:rPr>
          <w:rFonts w:hint="eastAsia" w:eastAsia="仿宋"/>
          <w:sz w:val="28"/>
          <w:szCs w:val="28"/>
          <w:u w:val="single"/>
        </w:rPr>
        <w:t>合同专用条款。</w:t>
      </w:r>
    </w:p>
    <w:p w14:paraId="7A9FCE4D">
      <w:pPr>
        <w:spacing w:line="360" w:lineRule="auto"/>
        <w:ind w:firstLine="562" w:firstLineChars="200"/>
        <w:outlineLvl w:val="1"/>
        <w:rPr>
          <w:rFonts w:eastAsia="仿宋"/>
          <w:b/>
          <w:bCs/>
          <w:sz w:val="28"/>
          <w:szCs w:val="28"/>
        </w:rPr>
      </w:pPr>
      <w:bookmarkStart w:id="650" w:name="_Toc31892"/>
      <w:bookmarkStart w:id="651" w:name="_Toc9808"/>
      <w:bookmarkStart w:id="652" w:name="_Toc21022"/>
      <w:bookmarkStart w:id="653" w:name="_Toc2308"/>
      <w:bookmarkStart w:id="654" w:name="_Toc26606"/>
      <w:bookmarkStart w:id="655" w:name="_Toc23066"/>
      <w:bookmarkStart w:id="656" w:name="_Toc9092"/>
      <w:bookmarkStart w:id="657" w:name="_Toc2628"/>
      <w:bookmarkStart w:id="658" w:name="_Toc12666"/>
      <w:bookmarkStart w:id="659" w:name="_Toc25198"/>
      <w:bookmarkStart w:id="660" w:name="_Toc25834"/>
      <w:bookmarkStart w:id="661" w:name="_Toc32200"/>
      <w:r>
        <w:rPr>
          <w:rFonts w:eastAsia="仿宋"/>
          <w:b/>
          <w:bCs/>
          <w:sz w:val="28"/>
          <w:szCs w:val="28"/>
        </w:rPr>
        <w:t>2.1</w:t>
      </w:r>
      <w:r>
        <w:rPr>
          <w:rFonts w:hint="eastAsia" w:eastAsia="仿宋"/>
          <w:b/>
          <w:bCs/>
          <w:sz w:val="28"/>
          <w:szCs w:val="28"/>
        </w:rPr>
        <w:t>7</w:t>
      </w:r>
      <w:r>
        <w:rPr>
          <w:rFonts w:eastAsia="仿宋"/>
          <w:b/>
          <w:bCs/>
          <w:sz w:val="28"/>
          <w:szCs w:val="28"/>
        </w:rPr>
        <w:t>通知和送达</w:t>
      </w:r>
      <w:bookmarkEnd w:id="650"/>
      <w:bookmarkEnd w:id="651"/>
      <w:bookmarkEnd w:id="652"/>
      <w:bookmarkEnd w:id="653"/>
      <w:bookmarkEnd w:id="654"/>
      <w:bookmarkEnd w:id="655"/>
      <w:bookmarkEnd w:id="656"/>
      <w:bookmarkEnd w:id="657"/>
      <w:bookmarkEnd w:id="658"/>
      <w:bookmarkEnd w:id="659"/>
      <w:bookmarkEnd w:id="660"/>
      <w:bookmarkEnd w:id="661"/>
    </w:p>
    <w:p w14:paraId="4AC92452">
      <w:pPr>
        <w:spacing w:line="360" w:lineRule="auto"/>
        <w:ind w:firstLine="560" w:firstLineChars="200"/>
        <w:rPr>
          <w:rFonts w:eastAsia="仿宋"/>
          <w:sz w:val="28"/>
          <w:szCs w:val="28"/>
        </w:rPr>
      </w:pPr>
      <w:bookmarkStart w:id="662" w:name="_Toc29220"/>
      <w:bookmarkStart w:id="663" w:name="_Toc7073"/>
      <w:r>
        <w:rPr>
          <w:rFonts w:eastAsia="仿宋"/>
          <w:sz w:val="28"/>
          <w:szCs w:val="28"/>
        </w:rPr>
        <w:t>2.1</w:t>
      </w:r>
      <w:r>
        <w:rPr>
          <w:rFonts w:hint="eastAsia" w:eastAsia="仿宋"/>
          <w:sz w:val="28"/>
          <w:szCs w:val="28"/>
        </w:rPr>
        <w:t>7</w:t>
      </w:r>
      <w:r>
        <w:rPr>
          <w:rFonts w:eastAsia="仿宋"/>
          <w:sz w:val="28"/>
          <w:szCs w:val="28"/>
        </w:rPr>
        <w:t>.1 任何一方因履行合同而以合同第一部分尾部所列明的所有通知、文件、材料，均视为已向对方当事人送达；任何一方变更上述送达方式或者地址的，应于</w:t>
      </w:r>
      <w:r>
        <w:rPr>
          <w:rFonts w:eastAsia="仿宋"/>
          <w:sz w:val="28"/>
          <w:szCs w:val="28"/>
          <w:u w:val="single"/>
        </w:rPr>
        <w:t xml:space="preserve"> 3</w:t>
      </w:r>
      <w:r>
        <w:rPr>
          <w:rFonts w:eastAsia="仿宋"/>
          <w:sz w:val="28"/>
          <w:szCs w:val="28"/>
        </w:rPr>
        <w:t>个工作日内书面通知对方当事人，在对方当事人收到有关变更通知之前，变更前的约定送达方式或者地址仍视为有效。</w:t>
      </w:r>
      <w:bookmarkEnd w:id="662"/>
      <w:bookmarkEnd w:id="663"/>
    </w:p>
    <w:p w14:paraId="40928B8B">
      <w:pPr>
        <w:spacing w:line="360" w:lineRule="auto"/>
        <w:ind w:firstLine="560" w:firstLineChars="200"/>
        <w:rPr>
          <w:rFonts w:eastAsia="仿宋"/>
          <w:sz w:val="28"/>
          <w:szCs w:val="28"/>
        </w:rPr>
      </w:pPr>
      <w:bookmarkStart w:id="664" w:name="_Toc27674"/>
      <w:bookmarkStart w:id="665" w:name="_Toc18401"/>
      <w:r>
        <w:rPr>
          <w:rFonts w:eastAsia="仿宋"/>
          <w:sz w:val="28"/>
          <w:szCs w:val="28"/>
        </w:rPr>
        <w:t>2.1</w:t>
      </w:r>
      <w:r>
        <w:rPr>
          <w:rFonts w:hint="eastAsia" w:eastAsia="仿宋"/>
          <w:sz w:val="28"/>
          <w:szCs w:val="28"/>
        </w:rPr>
        <w:t>7</w:t>
      </w:r>
      <w:r>
        <w:rPr>
          <w:rFonts w:eastAsia="仿宋"/>
          <w:sz w:val="28"/>
          <w:szCs w:val="28"/>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664"/>
      <w:bookmarkEnd w:id="665"/>
    </w:p>
    <w:p w14:paraId="329DEA2F">
      <w:pPr>
        <w:spacing w:line="360" w:lineRule="auto"/>
        <w:ind w:firstLine="562" w:firstLineChars="200"/>
        <w:outlineLvl w:val="1"/>
        <w:rPr>
          <w:rFonts w:eastAsia="仿宋"/>
          <w:b/>
          <w:bCs/>
          <w:sz w:val="28"/>
          <w:szCs w:val="28"/>
        </w:rPr>
      </w:pPr>
      <w:bookmarkStart w:id="666" w:name="_Toc27644"/>
      <w:bookmarkStart w:id="667" w:name="_Toc5063"/>
      <w:bookmarkStart w:id="668" w:name="_Toc20808"/>
      <w:bookmarkStart w:id="669" w:name="_Toc6574"/>
      <w:bookmarkStart w:id="670" w:name="_Toc1478"/>
      <w:bookmarkStart w:id="671" w:name="_Toc17754"/>
      <w:bookmarkStart w:id="672" w:name="_Toc12254"/>
      <w:bookmarkStart w:id="673" w:name="_Toc5425"/>
      <w:bookmarkStart w:id="674" w:name="_Toc28906"/>
      <w:bookmarkStart w:id="675" w:name="_Toc1420"/>
      <w:bookmarkStart w:id="676" w:name="_Toc3711"/>
      <w:bookmarkStart w:id="677" w:name="_Toc20171"/>
      <w:r>
        <w:rPr>
          <w:rFonts w:eastAsia="仿宋"/>
          <w:b/>
          <w:bCs/>
          <w:sz w:val="28"/>
          <w:szCs w:val="28"/>
        </w:rPr>
        <w:t>2.1</w:t>
      </w:r>
      <w:r>
        <w:rPr>
          <w:rFonts w:hint="eastAsia" w:eastAsia="仿宋"/>
          <w:b/>
          <w:bCs/>
          <w:sz w:val="28"/>
          <w:szCs w:val="28"/>
        </w:rPr>
        <w:t>8</w:t>
      </w:r>
      <w:r>
        <w:rPr>
          <w:rFonts w:eastAsia="仿宋"/>
          <w:b/>
          <w:bCs/>
          <w:sz w:val="28"/>
          <w:szCs w:val="28"/>
        </w:rPr>
        <w:t>合同使用的文字和适用的法律</w:t>
      </w:r>
      <w:bookmarkEnd w:id="666"/>
      <w:bookmarkEnd w:id="667"/>
      <w:bookmarkEnd w:id="668"/>
      <w:bookmarkEnd w:id="669"/>
      <w:bookmarkEnd w:id="670"/>
      <w:bookmarkEnd w:id="671"/>
      <w:bookmarkEnd w:id="672"/>
      <w:bookmarkEnd w:id="673"/>
      <w:bookmarkEnd w:id="674"/>
      <w:bookmarkEnd w:id="675"/>
      <w:bookmarkEnd w:id="676"/>
      <w:bookmarkEnd w:id="677"/>
    </w:p>
    <w:p w14:paraId="163987D8">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8</w:t>
      </w:r>
      <w:r>
        <w:rPr>
          <w:rFonts w:eastAsia="仿宋"/>
          <w:sz w:val="28"/>
          <w:szCs w:val="28"/>
        </w:rPr>
        <w:t>.1 合同使用汉语书就、变更和解释；</w:t>
      </w:r>
    </w:p>
    <w:p w14:paraId="61DE2988">
      <w:pPr>
        <w:spacing w:line="360" w:lineRule="auto"/>
        <w:ind w:firstLine="560" w:firstLineChars="200"/>
        <w:rPr>
          <w:rFonts w:eastAsia="仿宋"/>
          <w:sz w:val="28"/>
          <w:szCs w:val="28"/>
        </w:rPr>
      </w:pPr>
      <w:r>
        <w:rPr>
          <w:rFonts w:eastAsia="仿宋"/>
          <w:sz w:val="28"/>
          <w:szCs w:val="28"/>
        </w:rPr>
        <w:t>2.1</w:t>
      </w:r>
      <w:r>
        <w:rPr>
          <w:rFonts w:hint="eastAsia" w:eastAsia="仿宋"/>
          <w:sz w:val="28"/>
          <w:szCs w:val="28"/>
        </w:rPr>
        <w:t>8</w:t>
      </w:r>
      <w:r>
        <w:rPr>
          <w:rFonts w:eastAsia="仿宋"/>
          <w:sz w:val="28"/>
          <w:szCs w:val="28"/>
        </w:rPr>
        <w:t>.2 合同适用中华人民共和国法律。</w:t>
      </w:r>
    </w:p>
    <w:p w14:paraId="39D12E46">
      <w:pPr>
        <w:spacing w:line="360" w:lineRule="auto"/>
        <w:ind w:firstLine="562" w:firstLineChars="200"/>
        <w:outlineLvl w:val="1"/>
        <w:rPr>
          <w:rFonts w:eastAsia="仿宋"/>
          <w:b/>
          <w:bCs/>
          <w:sz w:val="28"/>
          <w:szCs w:val="28"/>
        </w:rPr>
      </w:pPr>
      <w:bookmarkStart w:id="678" w:name="_Toc26646"/>
      <w:bookmarkStart w:id="679" w:name="_Toc2476"/>
      <w:bookmarkStart w:id="680" w:name="_Toc4355"/>
      <w:bookmarkStart w:id="681" w:name="_Toc18540"/>
      <w:r>
        <w:rPr>
          <w:rFonts w:eastAsia="仿宋"/>
          <w:b/>
          <w:bCs/>
          <w:sz w:val="28"/>
          <w:szCs w:val="28"/>
        </w:rPr>
        <w:t xml:space="preserve">2.19 </w:t>
      </w:r>
      <w:r>
        <w:rPr>
          <w:rFonts w:hint="eastAsia" w:eastAsia="仿宋"/>
          <w:b/>
          <w:bCs/>
          <w:sz w:val="28"/>
          <w:szCs w:val="28"/>
        </w:rPr>
        <w:t>计量单位</w:t>
      </w:r>
      <w:bookmarkEnd w:id="678"/>
      <w:bookmarkEnd w:id="679"/>
      <w:bookmarkEnd w:id="680"/>
      <w:bookmarkEnd w:id="681"/>
    </w:p>
    <w:p w14:paraId="113618E8">
      <w:pPr>
        <w:pStyle w:val="52"/>
        <w:ind w:firstLine="560" w:firstLineChars="200"/>
      </w:pPr>
      <w:r>
        <w:rPr>
          <w:rFonts w:hint="eastAsia" w:eastAsia="仿宋"/>
          <w:bCs w:val="0"/>
          <w:spacing w:val="0"/>
          <w:kern w:val="2"/>
          <w:sz w:val="28"/>
          <w:szCs w:val="28"/>
        </w:rPr>
        <w:t>除技术规范中另有规定外</w:t>
      </w:r>
      <w:r>
        <w:rPr>
          <w:rFonts w:eastAsia="仿宋"/>
          <w:bCs w:val="0"/>
          <w:spacing w:val="0"/>
          <w:kern w:val="2"/>
          <w:sz w:val="28"/>
          <w:szCs w:val="28"/>
        </w:rPr>
        <w:t>,</w:t>
      </w:r>
      <w:r>
        <w:rPr>
          <w:rFonts w:hint="eastAsia" w:eastAsia="仿宋"/>
          <w:bCs w:val="0"/>
          <w:spacing w:val="0"/>
          <w:kern w:val="2"/>
          <w:sz w:val="28"/>
          <w:szCs w:val="28"/>
        </w:rPr>
        <w:t>合同的计量单位均使用国家法定计量单位。</w:t>
      </w:r>
    </w:p>
    <w:p w14:paraId="545DBE1B">
      <w:pPr>
        <w:spacing w:line="360" w:lineRule="auto"/>
        <w:ind w:firstLine="562" w:firstLineChars="200"/>
        <w:outlineLvl w:val="1"/>
        <w:rPr>
          <w:rFonts w:eastAsia="仿宋"/>
          <w:b/>
          <w:bCs/>
          <w:sz w:val="28"/>
          <w:szCs w:val="28"/>
        </w:rPr>
      </w:pPr>
      <w:bookmarkStart w:id="682" w:name="_Toc6092"/>
      <w:bookmarkStart w:id="683" w:name="_Toc30096"/>
      <w:bookmarkStart w:id="684" w:name="_Toc27127"/>
      <w:bookmarkStart w:id="685" w:name="_Toc7334"/>
      <w:bookmarkStart w:id="686" w:name="_Toc31842"/>
      <w:bookmarkStart w:id="687" w:name="_Toc8971"/>
      <w:bookmarkStart w:id="688" w:name="_Toc23844"/>
      <w:bookmarkStart w:id="689" w:name="_Toc27403"/>
      <w:bookmarkStart w:id="690" w:name="_Toc29801"/>
      <w:bookmarkStart w:id="691" w:name="_Toc12086"/>
      <w:bookmarkStart w:id="692" w:name="_Toc22266"/>
      <w:bookmarkStart w:id="693" w:name="_Toc1492"/>
      <w:r>
        <w:rPr>
          <w:rFonts w:eastAsia="仿宋"/>
          <w:b/>
          <w:bCs/>
          <w:sz w:val="28"/>
          <w:szCs w:val="28"/>
        </w:rPr>
        <w:t>2.</w:t>
      </w:r>
      <w:r>
        <w:rPr>
          <w:rFonts w:hint="eastAsia" w:eastAsia="仿宋"/>
          <w:b/>
          <w:bCs/>
          <w:sz w:val="28"/>
          <w:szCs w:val="28"/>
        </w:rPr>
        <w:t>20</w:t>
      </w:r>
      <w:r>
        <w:rPr>
          <w:rFonts w:eastAsia="仿宋"/>
          <w:b/>
          <w:bCs/>
          <w:sz w:val="28"/>
          <w:szCs w:val="28"/>
        </w:rPr>
        <w:t>履约保证金</w:t>
      </w:r>
      <w:bookmarkEnd w:id="682"/>
      <w:bookmarkEnd w:id="683"/>
      <w:bookmarkEnd w:id="684"/>
      <w:bookmarkEnd w:id="685"/>
      <w:bookmarkEnd w:id="686"/>
      <w:bookmarkEnd w:id="687"/>
      <w:bookmarkEnd w:id="688"/>
      <w:bookmarkEnd w:id="689"/>
      <w:bookmarkEnd w:id="690"/>
      <w:bookmarkEnd w:id="691"/>
      <w:bookmarkEnd w:id="692"/>
      <w:bookmarkEnd w:id="693"/>
    </w:p>
    <w:p w14:paraId="0454AE68">
      <w:pPr>
        <w:spacing w:line="360" w:lineRule="auto"/>
        <w:ind w:firstLine="560" w:firstLineChars="200"/>
        <w:rPr>
          <w:rFonts w:eastAsia="仿宋"/>
          <w:color w:val="0000FF"/>
          <w:sz w:val="28"/>
          <w:szCs w:val="28"/>
        </w:rPr>
      </w:pPr>
      <w:r>
        <w:rPr>
          <w:rFonts w:eastAsia="仿宋"/>
          <w:sz w:val="28"/>
          <w:szCs w:val="28"/>
        </w:rPr>
        <w:t>2.</w:t>
      </w:r>
      <w:r>
        <w:rPr>
          <w:rFonts w:hint="eastAsia" w:eastAsia="仿宋"/>
          <w:sz w:val="28"/>
          <w:szCs w:val="28"/>
        </w:rPr>
        <w:t>20</w:t>
      </w:r>
      <w:r>
        <w:rPr>
          <w:rFonts w:eastAsia="仿宋"/>
          <w:sz w:val="28"/>
          <w:szCs w:val="28"/>
        </w:rPr>
        <w:t>.1 采购文件要求乙方提交履约保证金的，乙方应按合同金额的</w:t>
      </w:r>
      <w:r>
        <w:rPr>
          <w:rFonts w:hint="eastAsia" w:eastAsia="仿宋"/>
          <w:b/>
          <w:bCs/>
          <w:sz w:val="28"/>
          <w:szCs w:val="28"/>
          <w:u w:val="single"/>
        </w:rPr>
        <w:t>3</w:t>
      </w:r>
      <w:r>
        <w:rPr>
          <w:rFonts w:eastAsia="仿宋"/>
          <w:b/>
          <w:bCs/>
          <w:sz w:val="28"/>
          <w:szCs w:val="28"/>
          <w:u w:val="single"/>
        </w:rPr>
        <w:t>%</w:t>
      </w:r>
      <w:r>
        <w:rPr>
          <w:rFonts w:eastAsia="仿宋"/>
          <w:sz w:val="28"/>
          <w:szCs w:val="28"/>
        </w:rPr>
        <w:t>计算向下取整至万元，以支票、汇票或者转账等非现金形式，在签订合同前5个日历日内向采购人交纳履约保证金；</w:t>
      </w:r>
    </w:p>
    <w:p w14:paraId="5BE6176C">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20</w:t>
      </w:r>
      <w:r>
        <w:rPr>
          <w:rFonts w:eastAsia="仿宋"/>
          <w:sz w:val="28"/>
          <w:szCs w:val="28"/>
        </w:rPr>
        <w:t>.2 履约保证金</w:t>
      </w:r>
      <w:r>
        <w:rPr>
          <w:rFonts w:hint="eastAsia" w:eastAsia="仿宋"/>
          <w:sz w:val="28"/>
          <w:szCs w:val="28"/>
        </w:rPr>
        <w:t>待质保期满</w:t>
      </w:r>
      <w:r>
        <w:rPr>
          <w:rFonts w:eastAsia="仿宋"/>
          <w:sz w:val="28"/>
          <w:szCs w:val="28"/>
        </w:rPr>
        <w:t>5个工作日内</w:t>
      </w:r>
      <w:r>
        <w:rPr>
          <w:rFonts w:hint="eastAsia" w:eastAsia="仿宋"/>
          <w:sz w:val="28"/>
          <w:szCs w:val="28"/>
        </w:rPr>
        <w:t>无息返还</w:t>
      </w:r>
      <w:r>
        <w:rPr>
          <w:rFonts w:eastAsia="仿宋"/>
          <w:sz w:val="28"/>
          <w:szCs w:val="28"/>
        </w:rPr>
        <w:t>乙方；</w:t>
      </w:r>
    </w:p>
    <w:p w14:paraId="1CE9E716">
      <w:pPr>
        <w:spacing w:line="360" w:lineRule="auto"/>
        <w:ind w:firstLine="560" w:firstLineChars="200"/>
        <w:rPr>
          <w:rFonts w:eastAsia="仿宋"/>
          <w:sz w:val="28"/>
          <w:szCs w:val="28"/>
        </w:rPr>
      </w:pPr>
      <w:r>
        <w:rPr>
          <w:rFonts w:eastAsia="仿宋"/>
          <w:sz w:val="28"/>
          <w:szCs w:val="28"/>
        </w:rPr>
        <w:t>2.</w:t>
      </w:r>
      <w:r>
        <w:rPr>
          <w:rFonts w:hint="eastAsia" w:eastAsia="仿宋"/>
          <w:sz w:val="28"/>
          <w:szCs w:val="28"/>
        </w:rPr>
        <w:t>20</w:t>
      </w:r>
      <w:r>
        <w:rPr>
          <w:rFonts w:eastAsia="仿宋"/>
          <w:sz w:val="28"/>
          <w:szCs w:val="28"/>
        </w:rPr>
        <w:t>.3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574F741">
      <w:pPr>
        <w:spacing w:line="360" w:lineRule="auto"/>
        <w:ind w:firstLine="562" w:firstLineChars="200"/>
        <w:outlineLvl w:val="1"/>
        <w:rPr>
          <w:rFonts w:eastAsia="仿宋"/>
          <w:b/>
          <w:bCs/>
          <w:sz w:val="28"/>
          <w:szCs w:val="28"/>
        </w:rPr>
      </w:pPr>
      <w:bookmarkStart w:id="694" w:name="_Toc3684"/>
      <w:bookmarkStart w:id="695" w:name="_Toc11668"/>
      <w:bookmarkStart w:id="696" w:name="_Toc2939"/>
      <w:bookmarkStart w:id="697" w:name="_Toc31492"/>
      <w:bookmarkStart w:id="698" w:name="_Toc11755"/>
      <w:r>
        <w:rPr>
          <w:rFonts w:eastAsia="仿宋"/>
          <w:b/>
          <w:bCs/>
          <w:sz w:val="28"/>
          <w:szCs w:val="28"/>
        </w:rPr>
        <w:t>2.</w:t>
      </w:r>
      <w:r>
        <w:rPr>
          <w:rFonts w:hint="eastAsia" w:eastAsia="仿宋"/>
          <w:b/>
          <w:bCs/>
          <w:sz w:val="28"/>
          <w:szCs w:val="28"/>
        </w:rPr>
        <w:t>21</w:t>
      </w:r>
      <w:r>
        <w:rPr>
          <w:rFonts w:eastAsia="仿宋"/>
          <w:b/>
          <w:bCs/>
          <w:sz w:val="28"/>
          <w:szCs w:val="28"/>
        </w:rPr>
        <w:t>合同份数</w:t>
      </w:r>
      <w:bookmarkEnd w:id="694"/>
      <w:bookmarkEnd w:id="695"/>
      <w:bookmarkEnd w:id="696"/>
      <w:bookmarkEnd w:id="697"/>
      <w:bookmarkEnd w:id="698"/>
    </w:p>
    <w:p w14:paraId="3290B4CA">
      <w:pPr>
        <w:spacing w:line="360" w:lineRule="auto"/>
        <w:ind w:firstLine="560" w:firstLineChars="200"/>
        <w:rPr>
          <w:rFonts w:eastAsia="仿宋"/>
          <w:sz w:val="28"/>
          <w:szCs w:val="28"/>
        </w:rPr>
      </w:pPr>
      <w:r>
        <w:rPr>
          <w:rFonts w:eastAsia="仿宋"/>
          <w:sz w:val="28"/>
          <w:szCs w:val="28"/>
        </w:rPr>
        <w:t>合同一式四份，甲乙双方各持2份，每份均具有同等法律效力。</w:t>
      </w:r>
    </w:p>
    <w:p w14:paraId="5B007694">
      <w:pPr>
        <w:rPr>
          <w:rFonts w:eastAsia="仿宋"/>
          <w:kern w:val="44"/>
          <w:sz w:val="28"/>
          <w:szCs w:val="28"/>
        </w:rPr>
      </w:pPr>
      <w:r>
        <w:rPr>
          <w:rFonts w:eastAsia="仿宋"/>
          <w:kern w:val="44"/>
          <w:sz w:val="28"/>
          <w:szCs w:val="28"/>
        </w:rPr>
        <w:br w:type="page"/>
      </w:r>
    </w:p>
    <w:p w14:paraId="649212E1">
      <w:pPr>
        <w:pStyle w:val="5"/>
      </w:pPr>
    </w:p>
    <w:p w14:paraId="3BE8BEF2">
      <w:pPr>
        <w:pStyle w:val="57"/>
        <w:spacing w:line="560" w:lineRule="exact"/>
        <w:ind w:firstLine="0"/>
        <w:jc w:val="center"/>
        <w:rPr>
          <w:rFonts w:ascii="Times New Roman" w:eastAsia="仿宋"/>
          <w:b/>
          <w:bCs/>
          <w:kern w:val="2"/>
          <w:sz w:val="28"/>
          <w:szCs w:val="28"/>
        </w:rPr>
      </w:pPr>
      <w:bookmarkStart w:id="699" w:name="_Toc331685784"/>
      <w:r>
        <w:rPr>
          <w:rFonts w:hint="eastAsia" w:ascii="Times New Roman" w:eastAsia="仿宋"/>
          <w:b/>
          <w:bCs/>
          <w:kern w:val="2"/>
          <w:sz w:val="28"/>
          <w:szCs w:val="28"/>
        </w:rPr>
        <w:t>第三部分合同专用条款</w:t>
      </w:r>
      <w:bookmarkEnd w:id="699"/>
    </w:p>
    <w:p w14:paraId="696E4C3B">
      <w:pPr>
        <w:spacing w:line="360" w:lineRule="auto"/>
        <w:ind w:firstLine="560" w:firstLineChars="200"/>
        <w:rPr>
          <w:rFonts w:eastAsia="仿宋"/>
          <w:sz w:val="28"/>
          <w:szCs w:val="28"/>
        </w:rPr>
      </w:pPr>
      <w:r>
        <w:rPr>
          <w:rFonts w:hint="eastAsia" w:eastAsia="仿宋"/>
          <w:sz w:val="28"/>
          <w:szCs w:val="28"/>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1"/>
        <w:tblW w:w="84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E1E77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612A4429">
            <w:pPr>
              <w:keepNext w:val="0"/>
              <w:keepLines w:val="0"/>
              <w:suppressLineNumbers w:val="0"/>
              <w:spacing w:before="0" w:beforeAutospacing="0" w:after="0" w:afterAutospacing="0" w:line="560" w:lineRule="exact"/>
              <w:ind w:left="0" w:right="0"/>
              <w:jc w:val="center"/>
              <w:rPr>
                <w:rFonts w:hint="default" w:ascii="楷体" w:hAnsi="楷体" w:eastAsia="楷体"/>
                <w:b/>
                <w:sz w:val="24"/>
              </w:rPr>
            </w:pPr>
            <w:r>
              <w:rPr>
                <w:rFonts w:hint="eastAsia" w:ascii="楷体" w:hAnsi="楷体" w:eastAsia="楷体"/>
                <w:b/>
                <w:sz w:val="24"/>
              </w:rPr>
              <w:t>条款号</w:t>
            </w:r>
          </w:p>
        </w:tc>
        <w:tc>
          <w:tcPr>
            <w:tcW w:w="7633" w:type="dxa"/>
            <w:vAlign w:val="center"/>
          </w:tcPr>
          <w:p w14:paraId="154537EE">
            <w:pPr>
              <w:keepNext w:val="0"/>
              <w:keepLines w:val="0"/>
              <w:suppressLineNumbers w:val="0"/>
              <w:spacing w:before="0" w:beforeAutospacing="0" w:after="0" w:afterAutospacing="0" w:line="560" w:lineRule="exact"/>
              <w:ind w:left="0" w:right="0"/>
              <w:jc w:val="center"/>
              <w:rPr>
                <w:rFonts w:hint="default" w:ascii="楷体" w:hAnsi="楷体" w:eastAsia="楷体"/>
                <w:b/>
                <w:sz w:val="24"/>
              </w:rPr>
            </w:pPr>
            <w:r>
              <w:rPr>
                <w:rFonts w:hint="eastAsia" w:ascii="楷体" w:hAnsi="楷体" w:eastAsia="楷体"/>
                <w:b/>
                <w:sz w:val="24"/>
              </w:rPr>
              <w:t>约定内容</w:t>
            </w:r>
          </w:p>
        </w:tc>
      </w:tr>
      <w:tr w14:paraId="07BDD3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32B3B632">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5421F80D">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44A51C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7067A1E">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4582DF9C">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0267C7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D6CDB82">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7BE5735D">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448FCB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D10C363">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7D07F4DD">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7C0D81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AB1BCD7">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5A147188">
            <w:pPr>
              <w:keepNext w:val="0"/>
              <w:keepLines w:val="0"/>
              <w:suppressLineNumbers w:val="0"/>
              <w:spacing w:before="0" w:beforeAutospacing="0" w:after="0" w:afterAutospacing="0" w:line="560" w:lineRule="exact"/>
              <w:ind w:left="0" w:right="0"/>
              <w:rPr>
                <w:rFonts w:hint="default" w:ascii="楷体" w:hAnsi="楷体" w:eastAsia="楷体"/>
                <w:sz w:val="24"/>
                <w:u w:val="single"/>
              </w:rPr>
            </w:pPr>
          </w:p>
        </w:tc>
      </w:tr>
      <w:tr w14:paraId="32BE62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F69FB5D">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673B435C">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4D6E5B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79EB6380">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0ED58FD1">
            <w:pPr>
              <w:keepNext w:val="0"/>
              <w:keepLines w:val="0"/>
              <w:suppressLineNumbers w:val="0"/>
              <w:spacing w:before="0" w:beforeAutospacing="0" w:after="0" w:afterAutospacing="0" w:line="560" w:lineRule="exact"/>
              <w:ind w:left="0" w:right="0"/>
              <w:rPr>
                <w:rFonts w:hint="default" w:ascii="楷体" w:hAnsi="楷体" w:eastAsia="楷体"/>
                <w:sz w:val="24"/>
                <w:u w:val="single"/>
              </w:rPr>
            </w:pPr>
          </w:p>
        </w:tc>
      </w:tr>
      <w:tr w14:paraId="11BF66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F7453FD">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4EB1CC5F">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09F50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31742B7">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230DBFE1">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6B0990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9476F8F">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16C70429">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6F6438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9660E29">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5D5AFFB8">
            <w:pPr>
              <w:keepNext w:val="0"/>
              <w:keepLines w:val="0"/>
              <w:suppressLineNumbers w:val="0"/>
              <w:spacing w:before="0" w:beforeAutospacing="0" w:after="0" w:afterAutospacing="0" w:line="560" w:lineRule="exact"/>
              <w:ind w:left="0" w:right="0"/>
              <w:rPr>
                <w:rFonts w:hint="default" w:ascii="楷体" w:hAnsi="楷体" w:eastAsia="楷体"/>
                <w:sz w:val="24"/>
              </w:rPr>
            </w:pPr>
          </w:p>
        </w:tc>
      </w:tr>
      <w:tr w14:paraId="176BA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9547EF8">
            <w:pPr>
              <w:keepNext w:val="0"/>
              <w:keepLines w:val="0"/>
              <w:suppressLineNumbers w:val="0"/>
              <w:spacing w:before="0" w:beforeAutospacing="0" w:after="0" w:afterAutospacing="0" w:line="560" w:lineRule="exact"/>
              <w:ind w:left="0" w:right="0"/>
              <w:rPr>
                <w:rFonts w:hint="default" w:ascii="楷体" w:hAnsi="楷体" w:eastAsia="楷体"/>
                <w:sz w:val="24"/>
              </w:rPr>
            </w:pPr>
          </w:p>
        </w:tc>
        <w:tc>
          <w:tcPr>
            <w:tcW w:w="7633" w:type="dxa"/>
            <w:vAlign w:val="center"/>
          </w:tcPr>
          <w:p w14:paraId="218FA6AE">
            <w:pPr>
              <w:keepNext w:val="0"/>
              <w:keepLines w:val="0"/>
              <w:suppressLineNumbers w:val="0"/>
              <w:spacing w:before="0" w:beforeAutospacing="0" w:after="0" w:afterAutospacing="0" w:line="560" w:lineRule="exact"/>
              <w:ind w:left="0" w:right="0"/>
              <w:rPr>
                <w:rFonts w:hint="default" w:ascii="楷体" w:hAnsi="楷体" w:eastAsia="楷体"/>
                <w:sz w:val="24"/>
              </w:rPr>
            </w:pPr>
          </w:p>
        </w:tc>
      </w:tr>
    </w:tbl>
    <w:p w14:paraId="5263260A">
      <w:pPr>
        <w:pStyle w:val="11"/>
        <w:ind w:firstLine="560"/>
        <w:rPr>
          <w:rFonts w:eastAsia="仿宋"/>
          <w:kern w:val="44"/>
          <w:sz w:val="28"/>
          <w:szCs w:val="28"/>
        </w:rPr>
      </w:pPr>
    </w:p>
    <w:p w14:paraId="339E5E80"/>
    <w:p w14:paraId="2BD81F1E"/>
    <w:p w14:paraId="52FAD621"/>
    <w:sectPr>
      <w:headerReference r:id="rId8" w:type="default"/>
      <w:footerReference r:id="rId9" w:type="default"/>
      <w:pgSz w:w="11907" w:h="16840"/>
      <w:pgMar w:top="1474" w:right="1814" w:bottom="1474" w:left="1757"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embedRegular r:id="rId1" w:fontKey="{E1738BF0-6346-49B0-AE97-EB6C277C96D5}"/>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embedRegular r:id="rId2" w:fontKey="{DA85F4C0-33A2-4316-BE22-F09AA28C7E2E}"/>
  </w:font>
  <w:font w:name="仿宋_GB2312">
    <w:panose1 w:val="02010609030101010101"/>
    <w:charset w:val="86"/>
    <w:family w:val="modern"/>
    <w:pitch w:val="default"/>
    <w:sig w:usb0="00000001" w:usb1="080E0000" w:usb2="00000000" w:usb3="00000000" w:csb0="00040000" w:csb1="00000000"/>
    <w:embedRegular r:id="rId3" w:fontKey="{154F6803-C3D0-477B-A0FE-17BB2CA42CD7}"/>
  </w:font>
  <w:font w:name="华文楷体">
    <w:panose1 w:val="02010600040101010101"/>
    <w:charset w:val="86"/>
    <w:family w:val="auto"/>
    <w:pitch w:val="default"/>
    <w:sig w:usb0="00000287" w:usb1="080F0000" w:usb2="00000000" w:usb3="00000000" w:csb0="0004009F" w:csb1="DFD70000"/>
  </w:font>
  <w:font w:name="方正小标宋简体">
    <w:panose1 w:val="02000000000000000000"/>
    <w:charset w:val="86"/>
    <w:family w:val="script"/>
    <w:pitch w:val="default"/>
    <w:sig w:usb0="A00002BF" w:usb1="184F6CFA" w:usb2="00000012" w:usb3="00000000" w:csb0="00040001" w:csb1="00000000"/>
    <w:embedRegular r:id="rId4" w:fontKey="{AEB15416-092E-41D8-9B52-ED665E73C891}"/>
  </w:font>
  <w:font w:name="微软雅黑">
    <w:panose1 w:val="020B0503020204020204"/>
    <w:charset w:val="86"/>
    <w:family w:val="swiss"/>
    <w:pitch w:val="default"/>
    <w:sig w:usb0="80000287" w:usb1="2ACF3C50" w:usb2="00000016" w:usb3="00000000" w:csb0="0004001F" w:csb1="00000000"/>
    <w:embedRegular r:id="rId5" w:fontKey="{372C542F-993B-43C3-B3CF-045030F1B04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E8B68">
    <w:pPr>
      <w:pStyle w:val="15"/>
      <w:ind w:right="360" w:firstLine="360"/>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7A81C8">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C7A81C8">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0B063">
    <w:pPr>
      <w:pStyle w:val="40"/>
      <w:tabs>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1DD1C0">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A1DD1C0">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813BB">
    <w:pPr>
      <w:pStyle w:val="15"/>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931EC6">
                          <w:pPr>
                            <w:pStyle w:val="15"/>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1931EC6">
                    <w:pPr>
                      <w:pStyle w:val="15"/>
                    </w:pPr>
                    <w:r>
                      <w:fldChar w:fldCharType="begin"/>
                    </w:r>
                    <w:r>
                      <w:instrText xml:space="preserve"> PAGE  \* MERGEFORMAT </w:instrText>
                    </w:r>
                    <w:r>
                      <w:fldChar w:fldCharType="separate"/>
                    </w:r>
                    <w:r>
                      <w:t>68</w:t>
                    </w:r>
                    <w:r>
                      <w:fldChar w:fldCharType="end"/>
                    </w:r>
                  </w:p>
                </w:txbxContent>
              </v:textbox>
            </v:shape>
          </w:pict>
        </mc:Fallback>
      </mc:AlternateContent>
    </w:r>
  </w:p>
  <w:p w14:paraId="73488AAF">
    <w:pPr>
      <w:pStyle w:val="15"/>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6457A">
    <w:pPr>
      <w:pStyle w:val="40"/>
      <w:tabs>
        <w:tab w:val="clear" w:pos="4153"/>
        <w:tab w:val="clear" w:pos="8306"/>
      </w:tabs>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DCF6D6">
                          <w:pPr>
                            <w:pStyle w:val="15"/>
                          </w:pPr>
                          <w:r>
                            <w:fldChar w:fldCharType="begin"/>
                          </w:r>
                          <w:r>
                            <w:instrText xml:space="preserve"> PAGE  \* MERGEFORMAT </w:instrText>
                          </w:r>
                          <w:r>
                            <w:fldChar w:fldCharType="separate"/>
                          </w:r>
                          <w:r>
                            <w:t>73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6DCF6D6">
                    <w:pPr>
                      <w:pStyle w:val="15"/>
                    </w:pPr>
                    <w:r>
                      <w:fldChar w:fldCharType="begin"/>
                    </w:r>
                    <w:r>
                      <w:instrText xml:space="preserve"> PAGE  \* MERGEFORMAT </w:instrText>
                    </w:r>
                    <w:r>
                      <w:fldChar w:fldCharType="separate"/>
                    </w:r>
                    <w:r>
                      <w:t>73</w:t>
                    </w:r>
                    <w:r>
                      <w:fldChar w:fldCharType="end"/>
                    </w:r>
                  </w:p>
                </w:txbxContent>
              </v:textbox>
            </v:shape>
          </w:pict>
        </mc:Fallback>
      </mc:AlternateContent>
    </w:r>
  </w:p>
  <w:p w14:paraId="1FBEE561">
    <w:pPr>
      <w:pStyle w:val="40"/>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1FA38">
    <w:pPr>
      <w:pStyle w:val="42"/>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1C360">
    <w:pPr>
      <w:pStyle w:val="16"/>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04CB0">
    <w:pPr>
      <w:pStyle w:val="42"/>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F145420E"/>
    <w:multiLevelType w:val="singleLevel"/>
    <w:tmpl w:val="F145420E"/>
    <w:lvl w:ilvl="0" w:tentative="0">
      <w:start w:val="1"/>
      <w:numFmt w:val="decimal"/>
      <w:suff w:val="nothing"/>
      <w:lvlText w:val="（%1）"/>
      <w:lvlJc w:val="left"/>
    </w:lvl>
  </w:abstractNum>
  <w:abstractNum w:abstractNumId="2">
    <w:nsid w:val="0422A1DA"/>
    <w:multiLevelType w:val="singleLevel"/>
    <w:tmpl w:val="0422A1DA"/>
    <w:lvl w:ilvl="0" w:tentative="0">
      <w:start w:val="1"/>
      <w:numFmt w:val="decimal"/>
      <w:suff w:val="nothing"/>
      <w:lvlText w:val="%1）"/>
      <w:lvlJc w:val="left"/>
    </w:lvl>
  </w:abstractNum>
  <w:abstractNum w:abstractNumId="3">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29"/>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4">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5">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6">
    <w:nsid w:val="2E7DBFFA"/>
    <w:multiLevelType w:val="multilevel"/>
    <w:tmpl w:val="2E7DBFFA"/>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7">
    <w:nsid w:val="5B22D606"/>
    <w:multiLevelType w:val="singleLevel"/>
    <w:tmpl w:val="5B22D606"/>
    <w:lvl w:ilvl="0" w:tentative="0">
      <w:start w:val="3"/>
      <w:numFmt w:val="decimal"/>
      <w:suff w:val="nothing"/>
      <w:lvlText w:val="%1、"/>
      <w:lvlJc w:val="left"/>
    </w:lvl>
  </w:abstractNum>
  <w:num w:numId="1">
    <w:abstractNumId w:val="0"/>
  </w:num>
  <w:num w:numId="2">
    <w:abstractNumId w:val="6"/>
  </w:num>
  <w:num w:numId="3">
    <w:abstractNumId w:val="3"/>
  </w:num>
  <w:num w:numId="4">
    <w:abstractNumId w:val="5"/>
  </w:num>
  <w:num w:numId="5">
    <w:abstractNumId w:val="4"/>
  </w:num>
  <w:num w:numId="6">
    <w:abstractNumId w:val="7"/>
  </w:num>
  <w:num w:numId="7">
    <w:abstractNumId w:val="2"/>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isplayHorizontalDrawingGridEvery w:val="1"/>
  <w:displayVerticalDrawingGridEvery w:val="1"/>
  <w:noPunctuationKerning w:val="1"/>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VmYjUwZjk4YjgwNTM1ZGJkMmJmZTcyOWFhYTQ0NDUifQ=="/>
  </w:docVars>
  <w:rsids>
    <w:rsidRoot w:val="00172A27"/>
    <w:rsid w:val="002317AA"/>
    <w:rsid w:val="007D6DE3"/>
    <w:rsid w:val="00A860F9"/>
    <w:rsid w:val="00B84843"/>
    <w:rsid w:val="00B90B02"/>
    <w:rsid w:val="00DD0ABB"/>
    <w:rsid w:val="013C3053"/>
    <w:rsid w:val="01866F0F"/>
    <w:rsid w:val="01EF773A"/>
    <w:rsid w:val="01F0154F"/>
    <w:rsid w:val="022B27B8"/>
    <w:rsid w:val="024C5FC6"/>
    <w:rsid w:val="02F65944"/>
    <w:rsid w:val="02FF5B06"/>
    <w:rsid w:val="03B04255"/>
    <w:rsid w:val="03E034B8"/>
    <w:rsid w:val="03EE78B6"/>
    <w:rsid w:val="03FD4606"/>
    <w:rsid w:val="040A0414"/>
    <w:rsid w:val="040A3C5D"/>
    <w:rsid w:val="042358AE"/>
    <w:rsid w:val="043A40F0"/>
    <w:rsid w:val="04402A92"/>
    <w:rsid w:val="044B09E7"/>
    <w:rsid w:val="04827BBC"/>
    <w:rsid w:val="048A5206"/>
    <w:rsid w:val="04A05DE2"/>
    <w:rsid w:val="04C55B20"/>
    <w:rsid w:val="05266C78"/>
    <w:rsid w:val="05276791"/>
    <w:rsid w:val="05413901"/>
    <w:rsid w:val="066811F6"/>
    <w:rsid w:val="0678329E"/>
    <w:rsid w:val="07537B0B"/>
    <w:rsid w:val="07F04A29"/>
    <w:rsid w:val="083231D5"/>
    <w:rsid w:val="08407AC7"/>
    <w:rsid w:val="08A37EC9"/>
    <w:rsid w:val="08CD40D9"/>
    <w:rsid w:val="091079E1"/>
    <w:rsid w:val="09240E6A"/>
    <w:rsid w:val="097A6D4E"/>
    <w:rsid w:val="09855EF7"/>
    <w:rsid w:val="0A4F639F"/>
    <w:rsid w:val="0A652968"/>
    <w:rsid w:val="0ACD7867"/>
    <w:rsid w:val="0B1C64DC"/>
    <w:rsid w:val="0B2A344E"/>
    <w:rsid w:val="0B8A4B25"/>
    <w:rsid w:val="0B8C1B1F"/>
    <w:rsid w:val="0BE60B7F"/>
    <w:rsid w:val="0C0E387C"/>
    <w:rsid w:val="0C7616F1"/>
    <w:rsid w:val="0C7D46A1"/>
    <w:rsid w:val="0C8C7D77"/>
    <w:rsid w:val="0D426A5B"/>
    <w:rsid w:val="0D474974"/>
    <w:rsid w:val="0D486D37"/>
    <w:rsid w:val="0D8C755B"/>
    <w:rsid w:val="0DF551B7"/>
    <w:rsid w:val="0E085C8C"/>
    <w:rsid w:val="0E0E3C2A"/>
    <w:rsid w:val="0E2A515F"/>
    <w:rsid w:val="0E5C71A2"/>
    <w:rsid w:val="0E98584A"/>
    <w:rsid w:val="0EB05F51"/>
    <w:rsid w:val="0ED87A52"/>
    <w:rsid w:val="0ED939EE"/>
    <w:rsid w:val="0EEC3B87"/>
    <w:rsid w:val="0F513A2E"/>
    <w:rsid w:val="0F5568A9"/>
    <w:rsid w:val="0F6D1EE7"/>
    <w:rsid w:val="0F871D69"/>
    <w:rsid w:val="0FB233CB"/>
    <w:rsid w:val="0FDA17CC"/>
    <w:rsid w:val="1006159F"/>
    <w:rsid w:val="10162069"/>
    <w:rsid w:val="10242858"/>
    <w:rsid w:val="10516ECB"/>
    <w:rsid w:val="1069217B"/>
    <w:rsid w:val="108D3662"/>
    <w:rsid w:val="10DD5FE6"/>
    <w:rsid w:val="10EE4259"/>
    <w:rsid w:val="10FE221D"/>
    <w:rsid w:val="113A6DAB"/>
    <w:rsid w:val="11750F13"/>
    <w:rsid w:val="119D52F6"/>
    <w:rsid w:val="11FC1B6F"/>
    <w:rsid w:val="1247587C"/>
    <w:rsid w:val="127C66E3"/>
    <w:rsid w:val="12C87A3D"/>
    <w:rsid w:val="12E4356E"/>
    <w:rsid w:val="12EB727F"/>
    <w:rsid w:val="12F96AC3"/>
    <w:rsid w:val="135C6A42"/>
    <w:rsid w:val="13856103"/>
    <w:rsid w:val="13942667"/>
    <w:rsid w:val="140F57D7"/>
    <w:rsid w:val="143940BA"/>
    <w:rsid w:val="14545D60"/>
    <w:rsid w:val="148A3985"/>
    <w:rsid w:val="14A33873"/>
    <w:rsid w:val="14D67A0C"/>
    <w:rsid w:val="15436193"/>
    <w:rsid w:val="156C41D2"/>
    <w:rsid w:val="156F10F9"/>
    <w:rsid w:val="15A35BCE"/>
    <w:rsid w:val="15B572DC"/>
    <w:rsid w:val="15B81EC8"/>
    <w:rsid w:val="15B8611F"/>
    <w:rsid w:val="15D65811"/>
    <w:rsid w:val="1652354B"/>
    <w:rsid w:val="16F91741"/>
    <w:rsid w:val="172872C1"/>
    <w:rsid w:val="178C456C"/>
    <w:rsid w:val="18EC16F5"/>
    <w:rsid w:val="19564CCF"/>
    <w:rsid w:val="19997E82"/>
    <w:rsid w:val="19A82A63"/>
    <w:rsid w:val="19B21A88"/>
    <w:rsid w:val="19DE214F"/>
    <w:rsid w:val="1A126968"/>
    <w:rsid w:val="1A7A062D"/>
    <w:rsid w:val="1A7A5906"/>
    <w:rsid w:val="1A7C4DF8"/>
    <w:rsid w:val="1ABC08F5"/>
    <w:rsid w:val="1AE00089"/>
    <w:rsid w:val="1B461699"/>
    <w:rsid w:val="1B4764EF"/>
    <w:rsid w:val="1B5211C1"/>
    <w:rsid w:val="1B7927E1"/>
    <w:rsid w:val="1B936766"/>
    <w:rsid w:val="1C026332"/>
    <w:rsid w:val="1C0F0772"/>
    <w:rsid w:val="1C183DA8"/>
    <w:rsid w:val="1C1D3E2E"/>
    <w:rsid w:val="1C4841D4"/>
    <w:rsid w:val="1C607472"/>
    <w:rsid w:val="1C6A0115"/>
    <w:rsid w:val="1C7B664E"/>
    <w:rsid w:val="1CAF137D"/>
    <w:rsid w:val="1CD06AC2"/>
    <w:rsid w:val="1CF6363D"/>
    <w:rsid w:val="1D027DA6"/>
    <w:rsid w:val="1D3B5CD3"/>
    <w:rsid w:val="1D4A3774"/>
    <w:rsid w:val="1DBC3167"/>
    <w:rsid w:val="1E05155B"/>
    <w:rsid w:val="1E282B09"/>
    <w:rsid w:val="1E295697"/>
    <w:rsid w:val="1E3C5F68"/>
    <w:rsid w:val="1E6812D9"/>
    <w:rsid w:val="1ED64F4B"/>
    <w:rsid w:val="1F63035D"/>
    <w:rsid w:val="1F7D8579"/>
    <w:rsid w:val="1FEC713C"/>
    <w:rsid w:val="208C150A"/>
    <w:rsid w:val="20B84370"/>
    <w:rsid w:val="20EF0957"/>
    <w:rsid w:val="210E6380"/>
    <w:rsid w:val="21185C6E"/>
    <w:rsid w:val="214E7D11"/>
    <w:rsid w:val="21982F44"/>
    <w:rsid w:val="21C610C3"/>
    <w:rsid w:val="21F46A3A"/>
    <w:rsid w:val="21FF2B05"/>
    <w:rsid w:val="223457F3"/>
    <w:rsid w:val="22524455"/>
    <w:rsid w:val="22610400"/>
    <w:rsid w:val="22E11150"/>
    <w:rsid w:val="22F74AE8"/>
    <w:rsid w:val="23016C1F"/>
    <w:rsid w:val="23083482"/>
    <w:rsid w:val="23620EA2"/>
    <w:rsid w:val="23786BBE"/>
    <w:rsid w:val="23AA61DD"/>
    <w:rsid w:val="23AD0250"/>
    <w:rsid w:val="23BB299F"/>
    <w:rsid w:val="23C433E1"/>
    <w:rsid w:val="2412444D"/>
    <w:rsid w:val="243915E2"/>
    <w:rsid w:val="244E05BD"/>
    <w:rsid w:val="245B719E"/>
    <w:rsid w:val="246F667F"/>
    <w:rsid w:val="24794C96"/>
    <w:rsid w:val="249F7734"/>
    <w:rsid w:val="24AA2867"/>
    <w:rsid w:val="24B7622A"/>
    <w:rsid w:val="256F5881"/>
    <w:rsid w:val="259256EC"/>
    <w:rsid w:val="25984562"/>
    <w:rsid w:val="259D5707"/>
    <w:rsid w:val="25D85CBE"/>
    <w:rsid w:val="25E551BC"/>
    <w:rsid w:val="25F470B8"/>
    <w:rsid w:val="26165BA1"/>
    <w:rsid w:val="26196450"/>
    <w:rsid w:val="26383A66"/>
    <w:rsid w:val="26513520"/>
    <w:rsid w:val="26703176"/>
    <w:rsid w:val="26CC64AE"/>
    <w:rsid w:val="26D02111"/>
    <w:rsid w:val="26E42E8D"/>
    <w:rsid w:val="270B29E8"/>
    <w:rsid w:val="273C5068"/>
    <w:rsid w:val="2763697D"/>
    <w:rsid w:val="27752598"/>
    <w:rsid w:val="27CD5A2A"/>
    <w:rsid w:val="285107C5"/>
    <w:rsid w:val="288C0AF5"/>
    <w:rsid w:val="28E7122C"/>
    <w:rsid w:val="28EE5E13"/>
    <w:rsid w:val="29025168"/>
    <w:rsid w:val="29031A03"/>
    <w:rsid w:val="29073726"/>
    <w:rsid w:val="29143889"/>
    <w:rsid w:val="29506EE6"/>
    <w:rsid w:val="29AD336D"/>
    <w:rsid w:val="29AF4518"/>
    <w:rsid w:val="29BF69CC"/>
    <w:rsid w:val="29F76EFA"/>
    <w:rsid w:val="2A1B6303"/>
    <w:rsid w:val="2A576619"/>
    <w:rsid w:val="2ABC2C3C"/>
    <w:rsid w:val="2B0A4044"/>
    <w:rsid w:val="2B2560C1"/>
    <w:rsid w:val="2B6868B2"/>
    <w:rsid w:val="2B9E0710"/>
    <w:rsid w:val="2BF70A5B"/>
    <w:rsid w:val="2C3342E6"/>
    <w:rsid w:val="2C3D57F2"/>
    <w:rsid w:val="2CAB4F54"/>
    <w:rsid w:val="2CDE649B"/>
    <w:rsid w:val="2CE739A2"/>
    <w:rsid w:val="2D0B63DB"/>
    <w:rsid w:val="2D361334"/>
    <w:rsid w:val="2D3F27E7"/>
    <w:rsid w:val="2D6454A6"/>
    <w:rsid w:val="2D645BB4"/>
    <w:rsid w:val="2D840B9A"/>
    <w:rsid w:val="2D8C1912"/>
    <w:rsid w:val="2D8C23B4"/>
    <w:rsid w:val="2DBE5D60"/>
    <w:rsid w:val="2DC3132E"/>
    <w:rsid w:val="2DDD7B5C"/>
    <w:rsid w:val="2DED4C9D"/>
    <w:rsid w:val="2E0E1929"/>
    <w:rsid w:val="2E564DD2"/>
    <w:rsid w:val="2EFA3F13"/>
    <w:rsid w:val="2F9D1FD9"/>
    <w:rsid w:val="2FCA780E"/>
    <w:rsid w:val="2FFE1BD8"/>
    <w:rsid w:val="303F594F"/>
    <w:rsid w:val="30715EF0"/>
    <w:rsid w:val="30865DE1"/>
    <w:rsid w:val="30955AF8"/>
    <w:rsid w:val="30A734F4"/>
    <w:rsid w:val="31687134"/>
    <w:rsid w:val="317A6FFA"/>
    <w:rsid w:val="31D518E9"/>
    <w:rsid w:val="320874FB"/>
    <w:rsid w:val="32246B9B"/>
    <w:rsid w:val="328D3015"/>
    <w:rsid w:val="328F24DD"/>
    <w:rsid w:val="33232DDA"/>
    <w:rsid w:val="337D76D2"/>
    <w:rsid w:val="33930FDE"/>
    <w:rsid w:val="33A67CB5"/>
    <w:rsid w:val="33F51405"/>
    <w:rsid w:val="34050B10"/>
    <w:rsid w:val="34604B59"/>
    <w:rsid w:val="346F1F2B"/>
    <w:rsid w:val="349618B6"/>
    <w:rsid w:val="349B07DD"/>
    <w:rsid w:val="34A73AF2"/>
    <w:rsid w:val="34CB2295"/>
    <w:rsid w:val="34DA7649"/>
    <w:rsid w:val="35154F94"/>
    <w:rsid w:val="35600A21"/>
    <w:rsid w:val="35892C17"/>
    <w:rsid w:val="35B62A66"/>
    <w:rsid w:val="35D85868"/>
    <w:rsid w:val="35DA3648"/>
    <w:rsid w:val="35F5520D"/>
    <w:rsid w:val="361956C9"/>
    <w:rsid w:val="36395730"/>
    <w:rsid w:val="364B3B6B"/>
    <w:rsid w:val="365E41AC"/>
    <w:rsid w:val="369B6EA4"/>
    <w:rsid w:val="369C0BF1"/>
    <w:rsid w:val="36DB3646"/>
    <w:rsid w:val="37064FF5"/>
    <w:rsid w:val="37454972"/>
    <w:rsid w:val="37BB6C79"/>
    <w:rsid w:val="37F02267"/>
    <w:rsid w:val="38175BF4"/>
    <w:rsid w:val="382174C4"/>
    <w:rsid w:val="38BE7F6F"/>
    <w:rsid w:val="38EFE013"/>
    <w:rsid w:val="390035D6"/>
    <w:rsid w:val="390058F8"/>
    <w:rsid w:val="39156A33"/>
    <w:rsid w:val="393371D3"/>
    <w:rsid w:val="39B7090C"/>
    <w:rsid w:val="39FFD3B1"/>
    <w:rsid w:val="3A581FE5"/>
    <w:rsid w:val="3A9D78E6"/>
    <w:rsid w:val="3AB12B58"/>
    <w:rsid w:val="3AD607CF"/>
    <w:rsid w:val="3ADD56F7"/>
    <w:rsid w:val="3B013775"/>
    <w:rsid w:val="3B345069"/>
    <w:rsid w:val="3B842CEA"/>
    <w:rsid w:val="3BD32D7F"/>
    <w:rsid w:val="3BF26BC1"/>
    <w:rsid w:val="3C1E3AE3"/>
    <w:rsid w:val="3C50729D"/>
    <w:rsid w:val="3C5E6C9A"/>
    <w:rsid w:val="3C6A1A01"/>
    <w:rsid w:val="3CCC3BFD"/>
    <w:rsid w:val="3CED5314"/>
    <w:rsid w:val="3D795675"/>
    <w:rsid w:val="3DAA3403"/>
    <w:rsid w:val="3DEB5A44"/>
    <w:rsid w:val="3E542E8B"/>
    <w:rsid w:val="3E7506E7"/>
    <w:rsid w:val="3E777C77"/>
    <w:rsid w:val="3E8D5805"/>
    <w:rsid w:val="3EEA6BC9"/>
    <w:rsid w:val="3F023B4A"/>
    <w:rsid w:val="3F0E6751"/>
    <w:rsid w:val="3F4D3CF6"/>
    <w:rsid w:val="3F576616"/>
    <w:rsid w:val="3F6787A7"/>
    <w:rsid w:val="3F744D96"/>
    <w:rsid w:val="3FED5C86"/>
    <w:rsid w:val="404F1E98"/>
    <w:rsid w:val="408256AF"/>
    <w:rsid w:val="40A142F5"/>
    <w:rsid w:val="40A33DBA"/>
    <w:rsid w:val="40C94C1E"/>
    <w:rsid w:val="415A0922"/>
    <w:rsid w:val="416F5202"/>
    <w:rsid w:val="41BC059D"/>
    <w:rsid w:val="425C138D"/>
    <w:rsid w:val="42610884"/>
    <w:rsid w:val="42637736"/>
    <w:rsid w:val="427C63D1"/>
    <w:rsid w:val="42A16452"/>
    <w:rsid w:val="42DE2DA6"/>
    <w:rsid w:val="42F44DD7"/>
    <w:rsid w:val="432930C3"/>
    <w:rsid w:val="43633FBF"/>
    <w:rsid w:val="43BD5CD5"/>
    <w:rsid w:val="442E77E0"/>
    <w:rsid w:val="4435427F"/>
    <w:rsid w:val="44530AC7"/>
    <w:rsid w:val="447509EA"/>
    <w:rsid w:val="449066DE"/>
    <w:rsid w:val="45444A71"/>
    <w:rsid w:val="454F75EF"/>
    <w:rsid w:val="457B22AB"/>
    <w:rsid w:val="45A75042"/>
    <w:rsid w:val="45AC2EEE"/>
    <w:rsid w:val="45D67513"/>
    <w:rsid w:val="461075D1"/>
    <w:rsid w:val="46233191"/>
    <w:rsid w:val="46774EA5"/>
    <w:rsid w:val="467926DA"/>
    <w:rsid w:val="469868AB"/>
    <w:rsid w:val="46FC5B12"/>
    <w:rsid w:val="47293B86"/>
    <w:rsid w:val="477F4B20"/>
    <w:rsid w:val="47A42919"/>
    <w:rsid w:val="47AE3EF0"/>
    <w:rsid w:val="47CB5940"/>
    <w:rsid w:val="47F70831"/>
    <w:rsid w:val="48605F4B"/>
    <w:rsid w:val="48723F04"/>
    <w:rsid w:val="48D040C6"/>
    <w:rsid w:val="49093A90"/>
    <w:rsid w:val="49703FE3"/>
    <w:rsid w:val="49EA2374"/>
    <w:rsid w:val="49FF64EB"/>
    <w:rsid w:val="4A0912A5"/>
    <w:rsid w:val="4A0C3686"/>
    <w:rsid w:val="4A242F19"/>
    <w:rsid w:val="4AF3148F"/>
    <w:rsid w:val="4B0A526A"/>
    <w:rsid w:val="4B294381"/>
    <w:rsid w:val="4B3A3596"/>
    <w:rsid w:val="4B7E4E3D"/>
    <w:rsid w:val="4B9F2EF6"/>
    <w:rsid w:val="4C3A53ED"/>
    <w:rsid w:val="4C5A6084"/>
    <w:rsid w:val="4C8C2321"/>
    <w:rsid w:val="4CC12FFC"/>
    <w:rsid w:val="4CC80ED0"/>
    <w:rsid w:val="4D78CE61"/>
    <w:rsid w:val="4D9427AD"/>
    <w:rsid w:val="4E4658E5"/>
    <w:rsid w:val="4E8509D5"/>
    <w:rsid w:val="4EA77529"/>
    <w:rsid w:val="4EB825B3"/>
    <w:rsid w:val="4ED344BA"/>
    <w:rsid w:val="4F0C2468"/>
    <w:rsid w:val="4F306F48"/>
    <w:rsid w:val="4F3529EA"/>
    <w:rsid w:val="4F490B42"/>
    <w:rsid w:val="4F4A4366"/>
    <w:rsid w:val="4F6F6B4F"/>
    <w:rsid w:val="4FB35119"/>
    <w:rsid w:val="4FD21DA9"/>
    <w:rsid w:val="4FD3437A"/>
    <w:rsid w:val="4FD95827"/>
    <w:rsid w:val="4FDB147F"/>
    <w:rsid w:val="4FF84CE5"/>
    <w:rsid w:val="50885593"/>
    <w:rsid w:val="50B73DD5"/>
    <w:rsid w:val="50BE4E57"/>
    <w:rsid w:val="5124310F"/>
    <w:rsid w:val="514461C7"/>
    <w:rsid w:val="516004B6"/>
    <w:rsid w:val="51A35340"/>
    <w:rsid w:val="522C0F7D"/>
    <w:rsid w:val="52345B76"/>
    <w:rsid w:val="52374C03"/>
    <w:rsid w:val="523C2FDD"/>
    <w:rsid w:val="52785756"/>
    <w:rsid w:val="52A54DC7"/>
    <w:rsid w:val="52E07C83"/>
    <w:rsid w:val="52EA2873"/>
    <w:rsid w:val="531620E8"/>
    <w:rsid w:val="533057CC"/>
    <w:rsid w:val="53381612"/>
    <w:rsid w:val="534053B7"/>
    <w:rsid w:val="53500F58"/>
    <w:rsid w:val="53BD17A9"/>
    <w:rsid w:val="53BF0B76"/>
    <w:rsid w:val="53CA514C"/>
    <w:rsid w:val="53CA7C27"/>
    <w:rsid w:val="53F76833"/>
    <w:rsid w:val="5487717E"/>
    <w:rsid w:val="54A643D3"/>
    <w:rsid w:val="54AD1F99"/>
    <w:rsid w:val="55011498"/>
    <w:rsid w:val="550E5FB2"/>
    <w:rsid w:val="556B2588"/>
    <w:rsid w:val="559F7BCA"/>
    <w:rsid w:val="55D24337"/>
    <w:rsid w:val="55DF4684"/>
    <w:rsid w:val="55E13205"/>
    <w:rsid w:val="55F36AF0"/>
    <w:rsid w:val="5635189E"/>
    <w:rsid w:val="56450F89"/>
    <w:rsid w:val="57021D07"/>
    <w:rsid w:val="571F1749"/>
    <w:rsid w:val="578869DF"/>
    <w:rsid w:val="578B6400"/>
    <w:rsid w:val="578F14CF"/>
    <w:rsid w:val="57951785"/>
    <w:rsid w:val="57A04C24"/>
    <w:rsid w:val="57D02195"/>
    <w:rsid w:val="57EF4CB5"/>
    <w:rsid w:val="582631F4"/>
    <w:rsid w:val="58435F74"/>
    <w:rsid w:val="58801B34"/>
    <w:rsid w:val="58C57884"/>
    <w:rsid w:val="58D37C55"/>
    <w:rsid w:val="58E303C3"/>
    <w:rsid w:val="58EA563B"/>
    <w:rsid w:val="58ED7993"/>
    <w:rsid w:val="59182681"/>
    <w:rsid w:val="591F781C"/>
    <w:rsid w:val="596D73E8"/>
    <w:rsid w:val="59725EA6"/>
    <w:rsid w:val="59C97520"/>
    <w:rsid w:val="59CF113C"/>
    <w:rsid w:val="59E773CD"/>
    <w:rsid w:val="5A137781"/>
    <w:rsid w:val="5A443B9D"/>
    <w:rsid w:val="5A4F736E"/>
    <w:rsid w:val="5A745BD3"/>
    <w:rsid w:val="5AAE09FE"/>
    <w:rsid w:val="5AE87B71"/>
    <w:rsid w:val="5AF47907"/>
    <w:rsid w:val="5B0F4C09"/>
    <w:rsid w:val="5B495DD7"/>
    <w:rsid w:val="5BA066AF"/>
    <w:rsid w:val="5BA44E6E"/>
    <w:rsid w:val="5C260861"/>
    <w:rsid w:val="5C47182F"/>
    <w:rsid w:val="5C530856"/>
    <w:rsid w:val="5C71631C"/>
    <w:rsid w:val="5D244222"/>
    <w:rsid w:val="5D4A4803"/>
    <w:rsid w:val="5D4D300F"/>
    <w:rsid w:val="5D543D2B"/>
    <w:rsid w:val="5D5D6B7B"/>
    <w:rsid w:val="5D866C2D"/>
    <w:rsid w:val="5DA2015E"/>
    <w:rsid w:val="5DAE6A2C"/>
    <w:rsid w:val="5E4C4141"/>
    <w:rsid w:val="5E956DFE"/>
    <w:rsid w:val="5EE77161"/>
    <w:rsid w:val="5F0773EC"/>
    <w:rsid w:val="5F2F25A2"/>
    <w:rsid w:val="5FEB4777"/>
    <w:rsid w:val="609A3E05"/>
    <w:rsid w:val="60BA7654"/>
    <w:rsid w:val="60C074C4"/>
    <w:rsid w:val="60F470E5"/>
    <w:rsid w:val="61F63B41"/>
    <w:rsid w:val="625A3651"/>
    <w:rsid w:val="625D1998"/>
    <w:rsid w:val="629D1B0A"/>
    <w:rsid w:val="62A50C44"/>
    <w:rsid w:val="62AE2D00"/>
    <w:rsid w:val="63684713"/>
    <w:rsid w:val="63904AFD"/>
    <w:rsid w:val="63A6664F"/>
    <w:rsid w:val="63E53514"/>
    <w:rsid w:val="64016D84"/>
    <w:rsid w:val="64300BD2"/>
    <w:rsid w:val="6430624A"/>
    <w:rsid w:val="644F0143"/>
    <w:rsid w:val="64A8436C"/>
    <w:rsid w:val="64A947E6"/>
    <w:rsid w:val="65626ED3"/>
    <w:rsid w:val="658008B5"/>
    <w:rsid w:val="65F242EE"/>
    <w:rsid w:val="665A56F7"/>
    <w:rsid w:val="668A55CF"/>
    <w:rsid w:val="66951B01"/>
    <w:rsid w:val="66B86080"/>
    <w:rsid w:val="671863B6"/>
    <w:rsid w:val="672B703A"/>
    <w:rsid w:val="673F5EBD"/>
    <w:rsid w:val="67873C54"/>
    <w:rsid w:val="67902CA6"/>
    <w:rsid w:val="67CD3C39"/>
    <w:rsid w:val="67D3133B"/>
    <w:rsid w:val="67D356AA"/>
    <w:rsid w:val="67F850EF"/>
    <w:rsid w:val="68235524"/>
    <w:rsid w:val="685A0014"/>
    <w:rsid w:val="686C3561"/>
    <w:rsid w:val="68F144FE"/>
    <w:rsid w:val="693D7FC2"/>
    <w:rsid w:val="69474A62"/>
    <w:rsid w:val="696316DB"/>
    <w:rsid w:val="696564FE"/>
    <w:rsid w:val="69D85132"/>
    <w:rsid w:val="69D92A68"/>
    <w:rsid w:val="69F73B9D"/>
    <w:rsid w:val="6A030C28"/>
    <w:rsid w:val="6A221B35"/>
    <w:rsid w:val="6A5B2A10"/>
    <w:rsid w:val="6AC01128"/>
    <w:rsid w:val="6AC3750B"/>
    <w:rsid w:val="6AFB701F"/>
    <w:rsid w:val="6B104F83"/>
    <w:rsid w:val="6B252A63"/>
    <w:rsid w:val="6B637A3C"/>
    <w:rsid w:val="6BBA6AC3"/>
    <w:rsid w:val="6BFE164A"/>
    <w:rsid w:val="6C046070"/>
    <w:rsid w:val="6C282AC3"/>
    <w:rsid w:val="6C516E73"/>
    <w:rsid w:val="6C721C5A"/>
    <w:rsid w:val="6CD34FDC"/>
    <w:rsid w:val="6CFC1CAA"/>
    <w:rsid w:val="6D3A299B"/>
    <w:rsid w:val="6D4973C4"/>
    <w:rsid w:val="6DB152D0"/>
    <w:rsid w:val="6DB51873"/>
    <w:rsid w:val="6DE05763"/>
    <w:rsid w:val="6E3B4E2B"/>
    <w:rsid w:val="6E9232C6"/>
    <w:rsid w:val="6EA4786B"/>
    <w:rsid w:val="6EF23438"/>
    <w:rsid w:val="6EFF1390"/>
    <w:rsid w:val="6F110466"/>
    <w:rsid w:val="6F5042AC"/>
    <w:rsid w:val="6F7F7910"/>
    <w:rsid w:val="6FC56943"/>
    <w:rsid w:val="6FD2002B"/>
    <w:rsid w:val="70160CB8"/>
    <w:rsid w:val="706A76F8"/>
    <w:rsid w:val="70D87C3B"/>
    <w:rsid w:val="70DD3B22"/>
    <w:rsid w:val="70E457BA"/>
    <w:rsid w:val="72071A7D"/>
    <w:rsid w:val="722021E3"/>
    <w:rsid w:val="7269718E"/>
    <w:rsid w:val="728D4B4F"/>
    <w:rsid w:val="73042AC3"/>
    <w:rsid w:val="73627339"/>
    <w:rsid w:val="73CA5FD3"/>
    <w:rsid w:val="73CE40A3"/>
    <w:rsid w:val="73F76F74"/>
    <w:rsid w:val="746147C1"/>
    <w:rsid w:val="74BB01CC"/>
    <w:rsid w:val="74CF1784"/>
    <w:rsid w:val="74D75C0D"/>
    <w:rsid w:val="74D9254A"/>
    <w:rsid w:val="75084170"/>
    <w:rsid w:val="750D6CC8"/>
    <w:rsid w:val="750E3F91"/>
    <w:rsid w:val="75215E52"/>
    <w:rsid w:val="7537210A"/>
    <w:rsid w:val="755A4242"/>
    <w:rsid w:val="756C47AD"/>
    <w:rsid w:val="75734F5F"/>
    <w:rsid w:val="758E3E18"/>
    <w:rsid w:val="75A63077"/>
    <w:rsid w:val="75A67E6C"/>
    <w:rsid w:val="75AF4EC7"/>
    <w:rsid w:val="75B261CA"/>
    <w:rsid w:val="75FE38AD"/>
    <w:rsid w:val="762B1B4D"/>
    <w:rsid w:val="767E1FB6"/>
    <w:rsid w:val="76B56870"/>
    <w:rsid w:val="76EC184F"/>
    <w:rsid w:val="76FC0A23"/>
    <w:rsid w:val="77091334"/>
    <w:rsid w:val="776431E2"/>
    <w:rsid w:val="77FD35E2"/>
    <w:rsid w:val="780C0333"/>
    <w:rsid w:val="78AB0F51"/>
    <w:rsid w:val="796318C0"/>
    <w:rsid w:val="79912D80"/>
    <w:rsid w:val="79AD7E05"/>
    <w:rsid w:val="7A0B18D6"/>
    <w:rsid w:val="7A757956"/>
    <w:rsid w:val="7A9B7241"/>
    <w:rsid w:val="7B364399"/>
    <w:rsid w:val="7B4C75A0"/>
    <w:rsid w:val="7BC508EE"/>
    <w:rsid w:val="7BF471F8"/>
    <w:rsid w:val="7BF80842"/>
    <w:rsid w:val="7C5A3E79"/>
    <w:rsid w:val="7C5C5371"/>
    <w:rsid w:val="7C7D7F40"/>
    <w:rsid w:val="7CBE5318"/>
    <w:rsid w:val="7CFD5CE2"/>
    <w:rsid w:val="7D077306"/>
    <w:rsid w:val="7D156BD5"/>
    <w:rsid w:val="7D31168C"/>
    <w:rsid w:val="7D551888"/>
    <w:rsid w:val="7D691FC4"/>
    <w:rsid w:val="7DB65D92"/>
    <w:rsid w:val="7E0A06A9"/>
    <w:rsid w:val="7E0C7BF1"/>
    <w:rsid w:val="7E215C47"/>
    <w:rsid w:val="7E605898"/>
    <w:rsid w:val="7E6E2528"/>
    <w:rsid w:val="7E743F0E"/>
    <w:rsid w:val="7E8219A6"/>
    <w:rsid w:val="7EC23C94"/>
    <w:rsid w:val="7F7348B8"/>
    <w:rsid w:val="7F9850C8"/>
    <w:rsid w:val="7F9E4B1F"/>
    <w:rsid w:val="7FDF6452"/>
    <w:rsid w:val="7FEC708A"/>
    <w:rsid w:val="7FF0514D"/>
    <w:rsid w:val="9BF5D7FF"/>
    <w:rsid w:val="B97E1B2E"/>
    <w:rsid w:val="DAD60305"/>
    <w:rsid w:val="E8BA93D7"/>
    <w:rsid w:val="F7BFAF27"/>
    <w:rsid w:val="F7CF3D95"/>
    <w:rsid w:val="FD5C79E7"/>
    <w:rsid w:val="FFEF37E5"/>
    <w:rsid w:val="FFFE0C8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unhideWhenUsed="0" w:uiPriority="99"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qFormat="1"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qFormat="1" w:unhideWhenUsed="0" w:uiPriority="0" w:semiHidden="0" w:name="Subtitle"/>
    <w:lsdException w:unhideWhenUsed="0" w:uiPriority="99" w:semiHidden="0" w:name="Salutation"/>
    <w:lsdException w:unhideWhenUsed="0" w:uiPriority="99" w:semiHidden="0" w:name="Date"/>
    <w:lsdException w:unhideWhenUsed="0" w:uiPriority="99" w:semiHidden="0" w:name="Body Text First Indent"/>
    <w:lsdException w:qFormat="1" w:uiPriority="99" w:semiHidden="0" w:name="Body Text First Indent 2"/>
    <w:lsdException w:unhideWhenUsed="0" w:uiPriority="99" w:semiHidden="0" w:name="Note Heading"/>
    <w:lsdException w:unhideWhenUsed="0" w:uiPriority="99" w:semiHidden="0" w:name="Body Text 2"/>
    <w:lsdException w:unhideWhenUsed="0" w:uiPriority="99" w:semiHidden="0" w:name="Body Text 3"/>
    <w:lsdException w:unhideWhenUsed="0" w:uiPriority="99" w:semiHidden="0" w:name="Body Text Indent 2"/>
    <w:lsdException w:unhideWhenUsed="0" w:uiPriority="99" w:semiHidden="0" w:name="Body Text Indent 3"/>
    <w:lsdException w:unhideWhenUsed="0" w:uiPriority="99" w:semiHidden="0" w:name="Block Text"/>
    <w:lsdException w:unhideWhenUsed="0" w:uiPriority="99" w:semiHidden="0" w:name="Hyperlink"/>
    <w:lsdException w:unhideWhenUsed="0" w:uiPriority="99" w:semiHidden="0" w:name="FollowedHyperlink"/>
    <w:lsdException w:unhideWhenUsed="0" w:uiPriority="99" w:semiHidden="0" w:name="Strong"/>
    <w:lsdException w:unhideWhenUsed="0" w:uiPriority="99" w:semiHidden="0" w:name="Emphasis"/>
    <w:lsdException w:unhideWhenUsed="0" w:uiPriority="99" w:semiHidden="0" w:name="Document Map"/>
    <w:lsdException w:qFormat="1" w:unhideWhenUsed="0" w:uiPriority="0" w:semiHidden="0" w:name="Plain Text"/>
    <w:lsdException w:unhideWhenUsed="0" w:uiPriority="99" w:semiHidden="0" w:name="E-mail Signature"/>
    <w:lsdException w:qFormat="1" w:unhideWhenUsed="0" w:uiPriority="0"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nhideWhenUsed="0" w:uiPriority="0" w:name="Normal Table"/>
    <w:lsdException w:unhideWhenUsed="0" w:uiPriority="99" w:semiHidden="0" w:name="annotation subject"/>
    <w:lsdException w:unhideWhenUsed="0" w:uiPriority="99" w:semiHidden="0" w:name="Table Simple 1"/>
    <w:lsdException w:unhideWhenUsed="0" w:uiPriority="99" w:semiHidden="0" w:name="Table Simple 2"/>
    <w:lsdException w:unhideWhenUsed="0" w:uiPriority="99" w:semiHidden="0" w:name="Table Simple 3"/>
    <w:lsdException w:unhideWhenUsed="0" w:uiPriority="99" w:semiHidden="0" w:name="Table Classic 1"/>
    <w:lsdException w:unhideWhenUsed="0" w:uiPriority="99" w:semiHidden="0" w:name="Table Classic 2"/>
    <w:lsdException w:unhideWhenUsed="0" w:uiPriority="99" w:semiHidden="0" w:name="Table Classic 3"/>
    <w:lsdException w:unhideWhenUsed="0" w:uiPriority="99" w:semiHidden="0" w:name="Table Classic 4"/>
    <w:lsdException w:unhideWhenUsed="0" w:uiPriority="99" w:semiHidden="0" w:name="Table Colorful 1"/>
    <w:lsdException w:unhideWhenUsed="0" w:uiPriority="99" w:semiHidden="0" w:name="Table Colorful 2"/>
    <w:lsdException w:unhideWhenUsed="0" w:uiPriority="99" w:semiHidden="0" w:name="Table Colorful 3"/>
    <w:lsdException w:unhideWhenUsed="0" w:uiPriority="99" w:semiHidden="0" w:name="Table Columns 1"/>
    <w:lsdException w:unhideWhenUsed="0" w:uiPriority="99" w:semiHidden="0" w:name="Table Columns 2"/>
    <w:lsdException w:unhideWhenUsed="0" w:uiPriority="99" w:semiHidden="0" w:name="Table Columns 3"/>
    <w:lsdException w:unhideWhenUsed="0" w:uiPriority="99" w:semiHidden="0" w:name="Table Columns 4"/>
    <w:lsdException w:unhideWhenUsed="0" w:uiPriority="99" w:semiHidden="0" w:name="Table Columns 5"/>
    <w:lsdException w:unhideWhenUsed="0" w:uiPriority="99" w:semiHidden="0" w:name="Table Grid 1"/>
    <w:lsdException w:unhideWhenUsed="0" w:uiPriority="99" w:semiHidden="0" w:name="Table Grid 2"/>
    <w:lsdException w:unhideWhenUsed="0" w:uiPriority="99" w:semiHidden="0" w:name="Table Grid 3"/>
    <w:lsdException w:unhideWhenUsed="0" w:uiPriority="99" w:semiHidden="0" w:name="Table Grid 4"/>
    <w:lsdException w:unhideWhenUsed="0" w:uiPriority="99" w:semiHidden="0" w:name="Table Grid 5"/>
    <w:lsdException w:unhideWhenUsed="0" w:uiPriority="99" w:semiHidden="0" w:name="Table Grid 6"/>
    <w:lsdException w:unhideWhenUsed="0" w:uiPriority="99" w:semiHidden="0" w:name="Table Grid 7"/>
    <w:lsdException w:unhideWhenUsed="0" w:uiPriority="99" w:semiHidden="0" w:name="Table Grid 8"/>
    <w:lsdException w:unhideWhenUsed="0" w:uiPriority="99" w:semiHidden="0" w:name="Table List 1"/>
    <w:lsdException w:unhideWhenUsed="0" w:uiPriority="99" w:semiHidden="0" w:name="Table List 2"/>
    <w:lsdException w:unhideWhenUsed="0" w:uiPriority="99" w:semiHidden="0" w:name="Table List 3"/>
    <w:lsdException w:unhideWhenUsed="0" w:uiPriority="99" w:semiHidden="0" w:name="Table List 4"/>
    <w:lsdException w:unhideWhenUsed="0" w:uiPriority="99" w:semiHidden="0" w:name="Table List 5"/>
    <w:lsdException w:unhideWhenUsed="0" w:uiPriority="99" w:semiHidden="0" w:name="Table List 6"/>
    <w:lsdException w:unhideWhenUsed="0" w:uiPriority="99" w:semiHidden="0" w:name="Table List 7"/>
    <w:lsdException w:unhideWhenUsed="0" w:uiPriority="99" w:semiHidden="0" w:name="Table List 8"/>
    <w:lsdException w:unhideWhenUsed="0" w:uiPriority="99" w:semiHidden="0" w:name="Table 3D effects 1"/>
    <w:lsdException w:unhideWhenUsed="0" w:uiPriority="99" w:semiHidden="0" w:name="Table 3D effects 2"/>
    <w:lsdException w:unhideWhenUsed="0" w:uiPriority="99" w:semiHidden="0" w:name="Table 3D effects 3"/>
    <w:lsdException w:unhideWhenUsed="0" w:uiPriority="99" w:semiHidden="0" w:name="Table Contemporary"/>
    <w:lsdException w:unhideWhenUsed="0" w:uiPriority="99" w:semiHidden="0" w:name="Table Elegant"/>
    <w:lsdException w:unhideWhenUsed="0" w:uiPriority="99" w:semiHidden="0" w:name="Table Professional"/>
    <w:lsdException w:unhideWhenUsed="0" w:uiPriority="99" w:semiHidden="0" w:name="Table Subtle 1"/>
    <w:lsdException w:unhideWhenUsed="0" w:uiPriority="99" w:semiHidden="0" w:name="Table Subtle 2"/>
    <w:lsdException w:unhideWhenUsed="0" w:uiPriority="99" w:semiHidden="0" w:name="Table Web 1"/>
    <w:lsdException w:unhideWhenUsed="0" w:uiPriority="99" w:semiHidden="0" w:name="Table Web 2"/>
    <w:lsdException w:unhideWhenUsed="0" w:uiPriority="99" w:semiHidden="0" w:name="Table Web 3"/>
    <w:lsdException w:unhideWhenUsed="0" w:uiPriority="99" w:semiHidden="0" w:name="Balloon Text"/>
    <w:lsdException w:qFormat="1" w:unhideWhenUsed="0" w:uiPriority="0"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80"/>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semiHidden/>
    <w:unhideWhenUsed/>
    <w:qFormat/>
    <w:uiPriority w:val="99"/>
    <w:pPr>
      <w:keepNext/>
      <w:keepLines/>
      <w:numPr>
        <w:ilvl w:val="1"/>
        <w:numId w:val="1"/>
      </w:numPr>
      <w:spacing w:beforeLines="0" w:beforeAutospacing="0" w:afterLines="0" w:afterAutospacing="0" w:line="560" w:lineRule="exact"/>
      <w:ind w:left="575" w:hanging="575" w:firstLineChars="0"/>
      <w:outlineLvl w:val="1"/>
    </w:pPr>
    <w:rPr>
      <w:rFonts w:ascii="Arial" w:hAnsi="Arial" w:eastAsia="楷体_GB2312" w:cs="Times New Roman"/>
      <w:b/>
      <w:sz w:val="32"/>
    </w:rPr>
  </w:style>
  <w:style w:type="paragraph" w:styleId="4">
    <w:name w:val="heading 3"/>
    <w:basedOn w:val="1"/>
    <w:next w:val="1"/>
    <w:semiHidden/>
    <w:unhideWhenUsed/>
    <w:qFormat/>
    <w:uiPriority w:val="99"/>
    <w:pPr>
      <w:keepNext/>
      <w:keepLines/>
      <w:numPr>
        <w:ilvl w:val="2"/>
        <w:numId w:val="2"/>
      </w:numPr>
      <w:autoSpaceDE w:val="0"/>
      <w:autoSpaceDN w:val="0"/>
      <w:adjustRightInd w:val="0"/>
      <w:spacing w:line="560" w:lineRule="exact"/>
      <w:ind w:left="720" w:hanging="720" w:firstLineChars="0"/>
      <w:jc w:val="left"/>
      <w:outlineLvl w:val="2"/>
    </w:pPr>
    <w:rPr>
      <w:rFonts w:ascii="宋体" w:hAnsi="宋体" w:eastAsia="楷体" w:cs="Times New Roman"/>
      <w:kern w:val="0"/>
      <w:sz w:val="32"/>
      <w:szCs w:val="20"/>
      <w:u w:val="single"/>
    </w:rPr>
  </w:style>
  <w:style w:type="character" w:default="1" w:styleId="23">
    <w:name w:val="Default Paragraph Font"/>
    <w:semiHidden/>
    <w:qFormat/>
    <w:uiPriority w:val="0"/>
  </w:style>
  <w:style w:type="table" w:default="1" w:styleId="21">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6">
    <w:name w:val="toa heading"/>
    <w:basedOn w:val="1"/>
    <w:next w:val="1"/>
    <w:unhideWhenUsed/>
    <w:qFormat/>
    <w:uiPriority w:val="99"/>
    <w:pPr>
      <w:spacing w:before="120"/>
    </w:pPr>
    <w:rPr>
      <w:rFonts w:ascii="Cambria" w:hAnsi="Cambria"/>
      <w:sz w:val="24"/>
    </w:rPr>
  </w:style>
  <w:style w:type="paragraph" w:styleId="7">
    <w:name w:val="Body Text"/>
    <w:basedOn w:val="1"/>
    <w:next w:val="8"/>
    <w:semiHidden/>
    <w:qFormat/>
    <w:uiPriority w:val="0"/>
    <w:rPr>
      <w:rFonts w:ascii="Arial" w:hAnsi="Arial" w:eastAsia="Arial" w:cs="Arial"/>
      <w:sz w:val="21"/>
      <w:szCs w:val="21"/>
      <w:lang w:val="en-US" w:eastAsia="en-US" w:bidi="ar-SA"/>
    </w:rPr>
  </w:style>
  <w:style w:type="paragraph" w:customStyle="1" w:styleId="8">
    <w:name w:val="_Style 2"/>
    <w:basedOn w:val="2"/>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styleId="9">
    <w:name w:val="Body Text Indent"/>
    <w:basedOn w:val="10"/>
    <w:next w:val="1"/>
    <w:qFormat/>
    <w:uiPriority w:val="0"/>
    <w:pPr>
      <w:spacing w:line="360" w:lineRule="auto"/>
      <w:ind w:firstLine="570"/>
    </w:pPr>
    <w:rPr>
      <w:sz w:val="24"/>
    </w:rPr>
  </w:style>
  <w:style w:type="paragraph" w:customStyle="1" w:styleId="10">
    <w:name w:val="Normal_6"/>
    <w:next w:val="11"/>
    <w:qFormat/>
    <w:uiPriority w:val="0"/>
    <w:pPr>
      <w:widowControl w:val="0"/>
    </w:pPr>
    <w:rPr>
      <w:rFonts w:ascii="宋体" w:hAnsi="宋体" w:eastAsia="宋体" w:cs="宋体"/>
      <w:sz w:val="22"/>
      <w:szCs w:val="22"/>
      <w:lang w:val="en-US" w:eastAsia="en-US" w:bidi="ar-SA"/>
    </w:rPr>
  </w:style>
  <w:style w:type="paragraph" w:styleId="11">
    <w:name w:val="Body Text First Indent 2"/>
    <w:basedOn w:val="9"/>
    <w:next w:val="5"/>
    <w:unhideWhenUsed/>
    <w:qFormat/>
    <w:uiPriority w:val="99"/>
    <w:pPr>
      <w:ind w:firstLine="420" w:firstLineChars="200"/>
    </w:pPr>
  </w:style>
  <w:style w:type="paragraph" w:styleId="12">
    <w:name w:val="toc 3"/>
    <w:basedOn w:val="1"/>
    <w:next w:val="1"/>
    <w:qFormat/>
    <w:uiPriority w:val="0"/>
    <w:pPr>
      <w:ind w:left="840" w:leftChars="400"/>
    </w:pPr>
  </w:style>
  <w:style w:type="paragraph" w:styleId="13">
    <w:name w:val="Plain Text"/>
    <w:basedOn w:val="1"/>
    <w:next w:val="14"/>
    <w:qFormat/>
    <w:uiPriority w:val="0"/>
    <w:rPr>
      <w:rFonts w:ascii="宋体" w:hAnsi="Courier New"/>
      <w:szCs w:val="20"/>
    </w:rPr>
  </w:style>
  <w:style w:type="paragraph" w:styleId="14">
    <w:name w:val="Subtitle"/>
    <w:next w:val="1"/>
    <w:qFormat/>
    <w:uiPriority w:val="0"/>
    <w:pPr>
      <w:wordWrap w:val="0"/>
      <w:spacing w:after="60"/>
      <w:jc w:val="center"/>
    </w:pPr>
    <w:rPr>
      <w:rFonts w:ascii="Calibri" w:hAnsi="Calibri" w:eastAsia="宋体" w:cs="Times New Roman"/>
      <w:sz w:val="24"/>
      <w:lang w:val="en-US" w:eastAsia="zh-CN" w:bidi="ar-SA"/>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style>
  <w:style w:type="paragraph" w:styleId="18">
    <w:name w:val="toc 2"/>
    <w:basedOn w:val="1"/>
    <w:next w:val="1"/>
    <w:qFormat/>
    <w:uiPriority w:val="0"/>
    <w:pPr>
      <w:ind w:left="420" w:leftChars="200"/>
    </w:pPr>
  </w:style>
  <w:style w:type="paragraph" w:styleId="19">
    <w:name w:val="Normal (Web)"/>
    <w:basedOn w:val="1"/>
    <w:next w:val="20"/>
    <w:qFormat/>
    <w:uiPriority w:val="0"/>
    <w:pPr>
      <w:widowControl/>
      <w:jc w:val="left"/>
    </w:pPr>
    <w:rPr>
      <w:rFonts w:ascii="宋体" w:hAnsi="宋体" w:cs="宋体"/>
      <w:kern w:val="0"/>
      <w:sz w:val="24"/>
    </w:rPr>
  </w:style>
  <w:style w:type="paragraph" w:customStyle="1" w:styleId="20">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paragraph" w:customStyle="1" w:styleId="24">
    <w:name w:val="Normal_0"/>
    <w:qFormat/>
    <w:uiPriority w:val="0"/>
    <w:pPr>
      <w:jc w:val="both"/>
    </w:pPr>
    <w:rPr>
      <w:rFonts w:ascii="Calibri" w:hAnsi="Calibri" w:eastAsia="宋体" w:cs="Times New Roman"/>
      <w:kern w:val="2"/>
      <w:sz w:val="21"/>
      <w:szCs w:val="21"/>
      <w:lang w:val="en-US" w:eastAsia="zh-CN" w:bidi="ar-SA"/>
    </w:rPr>
  </w:style>
  <w:style w:type="paragraph" w:customStyle="1" w:styleId="25">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customStyle="1" w:styleId="26">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27">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28">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29">
    <w:name w:val="标题 41"/>
    <w:basedOn w:val="1"/>
    <w:qFormat/>
    <w:uiPriority w:val="0"/>
    <w:pPr>
      <w:keepNext/>
      <w:keepLines/>
      <w:numPr>
        <w:ilvl w:val="3"/>
        <w:numId w:val="3"/>
      </w:numPr>
      <w:ind w:firstLine="0"/>
      <w:outlineLvl w:val="3"/>
    </w:pPr>
    <w:rPr>
      <w:b/>
      <w:bCs/>
      <w:szCs w:val="28"/>
    </w:rPr>
  </w:style>
  <w:style w:type="character" w:customStyle="1" w:styleId="30">
    <w:name w:val="默认段落字体1"/>
    <w:link w:val="1"/>
    <w:qFormat/>
    <w:uiPriority w:val="0"/>
  </w:style>
  <w:style w:type="table" w:customStyle="1" w:styleId="31">
    <w:name w:val="普通表格1"/>
    <w:qFormat/>
    <w:uiPriority w:val="0"/>
  </w:style>
  <w:style w:type="paragraph" w:customStyle="1" w:styleId="32">
    <w:name w:val="正文缩进11"/>
    <w:basedOn w:val="1"/>
    <w:qFormat/>
    <w:uiPriority w:val="0"/>
    <w:pPr>
      <w:autoSpaceDE w:val="0"/>
      <w:autoSpaceDN w:val="0"/>
      <w:ind w:firstLine="420"/>
      <w:jc w:val="left"/>
    </w:pPr>
    <w:rPr>
      <w:rFonts w:ascii="宋体"/>
      <w:kern w:val="0"/>
      <w:sz w:val="24"/>
      <w:szCs w:val="20"/>
    </w:rPr>
  </w:style>
  <w:style w:type="paragraph" w:customStyle="1" w:styleId="33">
    <w:name w:val="正文文本1"/>
    <w:basedOn w:val="1"/>
    <w:qFormat/>
    <w:uiPriority w:val="0"/>
    <w:pPr>
      <w:tabs>
        <w:tab w:val="left" w:pos="567"/>
      </w:tabs>
      <w:spacing w:before="120" w:line="22" w:lineRule="atLeast"/>
    </w:pPr>
    <w:rPr>
      <w:rFonts w:ascii="宋体" w:hAnsi="宋体"/>
      <w:sz w:val="24"/>
    </w:rPr>
  </w:style>
  <w:style w:type="paragraph" w:customStyle="1" w:styleId="34">
    <w:name w:val="正文文本缩进1"/>
    <w:basedOn w:val="1"/>
    <w:qFormat/>
    <w:uiPriority w:val="0"/>
    <w:pPr>
      <w:spacing w:line="360" w:lineRule="auto"/>
      <w:ind w:firstLine="570"/>
    </w:pPr>
    <w:rPr>
      <w:sz w:val="24"/>
    </w:rPr>
  </w:style>
  <w:style w:type="paragraph" w:customStyle="1" w:styleId="35">
    <w:name w:val="普通(网站)1"/>
    <w:basedOn w:val="1"/>
    <w:qFormat/>
    <w:uiPriority w:val="0"/>
    <w:pPr>
      <w:widowControl/>
      <w:jc w:val="left"/>
    </w:pPr>
    <w:rPr>
      <w:rFonts w:ascii="宋体" w:hAnsi="宋体"/>
      <w:kern w:val="0"/>
      <w:sz w:val="24"/>
    </w:rPr>
  </w:style>
  <w:style w:type="paragraph" w:customStyle="1" w:styleId="36">
    <w:name w:val="目录 31"/>
    <w:basedOn w:val="1"/>
    <w:qFormat/>
    <w:uiPriority w:val="0"/>
    <w:pPr>
      <w:tabs>
        <w:tab w:val="left" w:pos="1260"/>
        <w:tab w:val="right" w:leader="dot" w:pos="8630"/>
      </w:tabs>
      <w:ind w:left="840" w:leftChars="400"/>
    </w:pPr>
  </w:style>
  <w:style w:type="paragraph" w:customStyle="1" w:styleId="37">
    <w:name w:val="纯文本11"/>
    <w:basedOn w:val="1"/>
    <w:qFormat/>
    <w:uiPriority w:val="0"/>
    <w:rPr>
      <w:rFonts w:ascii="宋体" w:hAnsi="Courier New"/>
      <w:szCs w:val="20"/>
    </w:rPr>
  </w:style>
  <w:style w:type="paragraph" w:customStyle="1" w:styleId="38">
    <w:name w:val="批注框文本1"/>
    <w:basedOn w:val="1"/>
    <w:link w:val="39"/>
    <w:qFormat/>
    <w:uiPriority w:val="0"/>
    <w:rPr>
      <w:sz w:val="18"/>
      <w:szCs w:val="18"/>
    </w:rPr>
  </w:style>
  <w:style w:type="character" w:customStyle="1" w:styleId="39">
    <w:name w:val="批注框文本 Char"/>
    <w:basedOn w:val="30"/>
    <w:link w:val="38"/>
    <w:qFormat/>
    <w:uiPriority w:val="0"/>
    <w:rPr>
      <w:kern w:val="2"/>
      <w:sz w:val="18"/>
      <w:szCs w:val="18"/>
    </w:rPr>
  </w:style>
  <w:style w:type="paragraph" w:customStyle="1" w:styleId="40">
    <w:name w:val="页脚1"/>
    <w:basedOn w:val="1"/>
    <w:link w:val="41"/>
    <w:qFormat/>
    <w:uiPriority w:val="0"/>
    <w:pPr>
      <w:tabs>
        <w:tab w:val="center" w:pos="4153"/>
        <w:tab w:val="right" w:pos="8306"/>
      </w:tabs>
      <w:autoSpaceDE w:val="0"/>
      <w:autoSpaceDN w:val="0"/>
      <w:snapToGrid w:val="0"/>
      <w:jc w:val="left"/>
    </w:pPr>
    <w:rPr>
      <w:rFonts w:ascii="宋体"/>
      <w:kern w:val="0"/>
      <w:sz w:val="18"/>
      <w:szCs w:val="20"/>
    </w:rPr>
  </w:style>
  <w:style w:type="character" w:customStyle="1" w:styleId="41">
    <w:name w:val="页脚 Char"/>
    <w:basedOn w:val="30"/>
    <w:link w:val="40"/>
    <w:qFormat/>
    <w:uiPriority w:val="0"/>
    <w:rPr>
      <w:rFonts w:ascii="宋体"/>
      <w:sz w:val="18"/>
    </w:rPr>
  </w:style>
  <w:style w:type="paragraph" w:customStyle="1" w:styleId="42">
    <w:name w:val="页眉1"/>
    <w:basedOn w:val="1"/>
    <w:link w:val="43"/>
    <w:qFormat/>
    <w:uiPriority w:val="0"/>
    <w:pPr>
      <w:pBdr>
        <w:bottom w:val="single" w:color="000000" w:sz="6" w:space="1"/>
      </w:pBdr>
      <w:tabs>
        <w:tab w:val="center" w:pos="4153"/>
        <w:tab w:val="right" w:pos="8306"/>
      </w:tabs>
      <w:snapToGrid w:val="0"/>
      <w:jc w:val="center"/>
    </w:pPr>
    <w:rPr>
      <w:sz w:val="18"/>
      <w:szCs w:val="18"/>
    </w:rPr>
  </w:style>
  <w:style w:type="character" w:customStyle="1" w:styleId="43">
    <w:name w:val="页眉 Char"/>
    <w:basedOn w:val="30"/>
    <w:link w:val="42"/>
    <w:qFormat/>
    <w:uiPriority w:val="0"/>
    <w:rPr>
      <w:kern w:val="2"/>
      <w:sz w:val="18"/>
      <w:szCs w:val="18"/>
    </w:rPr>
  </w:style>
  <w:style w:type="paragraph" w:customStyle="1" w:styleId="44">
    <w:name w:val="目录 11"/>
    <w:basedOn w:val="1"/>
    <w:qFormat/>
    <w:uiPriority w:val="0"/>
  </w:style>
  <w:style w:type="paragraph" w:customStyle="1" w:styleId="45">
    <w:name w:val="脚注文本1"/>
    <w:basedOn w:val="1"/>
    <w:qFormat/>
    <w:uiPriority w:val="0"/>
    <w:pPr>
      <w:snapToGrid w:val="0"/>
    </w:pPr>
    <w:rPr>
      <w:sz w:val="18"/>
    </w:rPr>
  </w:style>
  <w:style w:type="paragraph" w:customStyle="1" w:styleId="46">
    <w:name w:val="目录 21"/>
    <w:basedOn w:val="1"/>
    <w:qFormat/>
    <w:uiPriority w:val="0"/>
    <w:pPr>
      <w:ind w:left="420" w:leftChars="200"/>
    </w:pPr>
  </w:style>
  <w:style w:type="paragraph" w:customStyle="1" w:styleId="47">
    <w:name w:val="正文首行缩进1"/>
    <w:basedOn w:val="33"/>
    <w:qFormat/>
    <w:uiPriority w:val="0"/>
    <w:pPr>
      <w:tabs>
        <w:tab w:val="clear" w:pos="567"/>
      </w:tabs>
      <w:autoSpaceDE w:val="0"/>
      <w:autoSpaceDN w:val="0"/>
      <w:spacing w:line="360" w:lineRule="auto"/>
      <w:ind w:firstLine="420" w:firstLineChars="200"/>
    </w:pPr>
    <w:rPr>
      <w:rFonts w:ascii="Arial" w:hAnsi="Arial"/>
      <w:szCs w:val="21"/>
    </w:rPr>
  </w:style>
  <w:style w:type="paragraph" w:customStyle="1" w:styleId="48">
    <w:name w:val="正文首行缩进 21"/>
    <w:basedOn w:val="34"/>
    <w:qFormat/>
    <w:uiPriority w:val="0"/>
    <w:pPr>
      <w:ind w:firstLine="420" w:firstLineChars="200"/>
    </w:pPr>
  </w:style>
  <w:style w:type="table" w:customStyle="1" w:styleId="49">
    <w:name w:val="网格型1"/>
    <w:basedOn w:val="31"/>
    <w:qFormat/>
    <w:uiPriority w:val="0"/>
    <w:pPr>
      <w:widowControl w:val="0"/>
      <w:jc w:val="both"/>
    </w:pPr>
  </w:style>
  <w:style w:type="character" w:customStyle="1" w:styleId="50">
    <w:name w:val="页码1"/>
    <w:link w:val="1"/>
    <w:qFormat/>
    <w:uiPriority w:val="0"/>
  </w:style>
  <w:style w:type="character" w:customStyle="1" w:styleId="51">
    <w:name w:val="超链接1"/>
    <w:basedOn w:val="30"/>
    <w:link w:val="1"/>
    <w:qFormat/>
    <w:uiPriority w:val="0"/>
    <w:rPr>
      <w:color w:val="0000FF"/>
      <w:u w:val="single"/>
    </w:rPr>
  </w:style>
  <w:style w:type="paragraph" w:customStyle="1" w:styleId="52">
    <w:name w:val="表格文字"/>
    <w:basedOn w:val="1"/>
    <w:qFormat/>
    <w:uiPriority w:val="0"/>
    <w:pPr>
      <w:spacing w:before="25" w:after="25"/>
      <w:jc w:val="left"/>
    </w:pPr>
    <w:rPr>
      <w:bCs/>
      <w:spacing w:val="10"/>
      <w:kern w:val="0"/>
      <w:sz w:val="24"/>
      <w:szCs w:val="20"/>
    </w:rPr>
  </w:style>
  <w:style w:type="paragraph" w:customStyle="1" w:styleId="53">
    <w:name w:val="FC正文"/>
    <w:basedOn w:val="1"/>
    <w:qFormat/>
    <w:uiPriority w:val="0"/>
    <w:pPr>
      <w:snapToGrid w:val="0"/>
      <w:spacing w:line="360" w:lineRule="auto"/>
      <w:ind w:firstLine="200" w:firstLineChars="200"/>
      <w:contextualSpacing/>
    </w:pPr>
    <w:rPr>
      <w:rFonts w:ascii="宋体" w:hAnsi="宋体"/>
    </w:rPr>
  </w:style>
  <w:style w:type="paragraph" w:customStyle="1" w:styleId="54">
    <w:name w:val="样式 正文首行缩进 2 + 首行缩进:  2 字符"/>
    <w:basedOn w:val="1"/>
    <w:qFormat/>
    <w:uiPriority w:val="0"/>
    <w:pPr>
      <w:spacing w:after="120"/>
      <w:ind w:left="200" w:leftChars="200" w:firstLine="170" w:firstLineChars="170"/>
    </w:pPr>
    <w:rPr>
      <w:szCs w:val="20"/>
    </w:rPr>
  </w:style>
  <w:style w:type="paragraph" w:customStyle="1" w:styleId="55">
    <w:name w:val="列出段落1"/>
    <w:basedOn w:val="1"/>
    <w:qFormat/>
    <w:uiPriority w:val="0"/>
    <w:pPr>
      <w:ind w:firstLine="420" w:firstLineChars="200"/>
    </w:pPr>
  </w:style>
  <w:style w:type="character" w:customStyle="1" w:styleId="56">
    <w:name w:val="font51"/>
    <w:basedOn w:val="23"/>
    <w:link w:val="1"/>
    <w:qFormat/>
    <w:uiPriority w:val="0"/>
    <w:rPr>
      <w:rFonts w:hint="eastAsia" w:ascii="宋体" w:hAnsi="宋体" w:eastAsia="宋体"/>
      <w:color w:val="000000"/>
      <w:sz w:val="20"/>
      <w:szCs w:val="20"/>
      <w:u w:val="none"/>
    </w:rPr>
  </w:style>
  <w:style w:type="paragraph" w:customStyle="1" w:styleId="57">
    <w:name w:val="正文缩进1"/>
    <w:basedOn w:val="1"/>
    <w:qFormat/>
    <w:uiPriority w:val="0"/>
    <w:pPr>
      <w:autoSpaceDE w:val="0"/>
      <w:autoSpaceDN w:val="0"/>
      <w:ind w:firstLine="420"/>
      <w:jc w:val="left"/>
    </w:pPr>
    <w:rPr>
      <w:rFonts w:ascii="宋体"/>
      <w:kern w:val="0"/>
      <w:sz w:val="24"/>
      <w:szCs w:val="20"/>
    </w:rPr>
  </w:style>
  <w:style w:type="paragraph" w:customStyle="1" w:styleId="58">
    <w:name w:val="索引 11"/>
    <w:basedOn w:val="1"/>
    <w:next w:val="1"/>
    <w:qFormat/>
    <w:uiPriority w:val="0"/>
    <w:pPr>
      <w:spacing w:line="360" w:lineRule="auto"/>
    </w:pPr>
    <w:rPr>
      <w:rFonts w:ascii="仿宋_GB2312" w:eastAsia="仿宋_GB2312"/>
      <w:sz w:val="24"/>
      <w:szCs w:val="20"/>
    </w:rPr>
  </w:style>
  <w:style w:type="paragraph" w:customStyle="1" w:styleId="59">
    <w:name w:val="纯文本1"/>
    <w:basedOn w:val="1"/>
    <w:qFormat/>
    <w:uiPriority w:val="0"/>
    <w:rPr>
      <w:rFonts w:ascii="宋体" w:hAnsi="Courier New"/>
      <w:kern w:val="0"/>
      <w:sz w:val="20"/>
      <w:szCs w:val="20"/>
    </w:rPr>
  </w:style>
  <w:style w:type="character" w:customStyle="1" w:styleId="60">
    <w:name w:val="font31"/>
    <w:basedOn w:val="30"/>
    <w:link w:val="1"/>
    <w:qFormat/>
    <w:uiPriority w:val="0"/>
    <w:rPr>
      <w:rFonts w:hint="eastAsia" w:ascii="宋体" w:hAnsi="宋体" w:eastAsia="宋体"/>
      <w:color w:val="000000"/>
      <w:sz w:val="14"/>
      <w:szCs w:val="14"/>
      <w:u w:val="none"/>
    </w:rPr>
  </w:style>
  <w:style w:type="character" w:customStyle="1" w:styleId="61">
    <w:name w:val="font142"/>
    <w:basedOn w:val="30"/>
    <w:link w:val="1"/>
    <w:qFormat/>
    <w:uiPriority w:val="0"/>
    <w:rPr>
      <w:rFonts w:hint="eastAsia" w:ascii="宋体" w:hAnsi="宋体" w:eastAsia="宋体"/>
      <w:color w:val="000000"/>
      <w:sz w:val="14"/>
      <w:szCs w:val="14"/>
      <w:u w:val="none"/>
      <w:vertAlign w:val="superscript"/>
    </w:rPr>
  </w:style>
  <w:style w:type="character" w:customStyle="1" w:styleId="62">
    <w:name w:val="font151"/>
    <w:basedOn w:val="30"/>
    <w:link w:val="1"/>
    <w:qFormat/>
    <w:uiPriority w:val="0"/>
    <w:rPr>
      <w:rFonts w:ascii="Arial" w:hAnsi="Arial"/>
      <w:color w:val="000000"/>
      <w:sz w:val="14"/>
      <w:szCs w:val="14"/>
      <w:u w:val="none"/>
    </w:rPr>
  </w:style>
  <w:style w:type="paragraph" w:customStyle="1" w:styleId="63">
    <w:name w:val="列出段落2"/>
    <w:basedOn w:val="1"/>
    <w:qFormat/>
    <w:uiPriority w:val="0"/>
    <w:pPr>
      <w:ind w:firstLine="420" w:firstLineChars="200"/>
    </w:pPr>
  </w:style>
  <w:style w:type="paragraph" w:customStyle="1" w:styleId="64">
    <w:name w:val="CL标准正文首行缩进2字"/>
    <w:qFormat/>
    <w:uiPriority w:val="0"/>
    <w:pPr>
      <w:widowControl w:val="0"/>
      <w:spacing w:line="360" w:lineRule="auto"/>
      <w:ind w:firstLine="200"/>
      <w:jc w:val="both"/>
    </w:pPr>
    <w:rPr>
      <w:rFonts w:ascii="Arial" w:hAnsi="Arial" w:eastAsia="宋体" w:cs="Times New Roman"/>
      <w:color w:val="000000"/>
      <w:kern w:val="2"/>
      <w:sz w:val="21"/>
      <w:szCs w:val="21"/>
      <w:lang w:val="en-US" w:eastAsia="zh-CN" w:bidi="ar-SA"/>
    </w:rPr>
  </w:style>
  <w:style w:type="paragraph" w:customStyle="1" w:styleId="65">
    <w:name w:val="*正文"/>
    <w:basedOn w:val="1"/>
    <w:qFormat/>
    <w:uiPriority w:val="0"/>
    <w:pPr>
      <w:autoSpaceDE w:val="0"/>
      <w:autoSpaceDN w:val="0"/>
      <w:spacing w:before="120" w:after="120" w:line="360" w:lineRule="auto"/>
      <w:ind w:firstLine="480" w:firstLineChars="200"/>
      <w:jc w:val="left"/>
    </w:pPr>
    <w:rPr>
      <w:rFonts w:ascii="宋体" w:hAnsi="宋体"/>
      <w:kern w:val="0"/>
    </w:rPr>
  </w:style>
  <w:style w:type="character" w:customStyle="1" w:styleId="66">
    <w:name w:val="font91"/>
    <w:basedOn w:val="30"/>
    <w:link w:val="1"/>
    <w:qFormat/>
    <w:uiPriority w:val="0"/>
    <w:rPr>
      <w:rFonts w:ascii="黑体" w:hAnsi="宋体" w:eastAsia="黑体"/>
      <w:b/>
      <w:bCs/>
      <w:color w:val="000000"/>
      <w:sz w:val="18"/>
      <w:szCs w:val="18"/>
      <w:u w:val="none"/>
    </w:rPr>
  </w:style>
  <w:style w:type="character" w:customStyle="1" w:styleId="67">
    <w:name w:val="font101"/>
    <w:basedOn w:val="30"/>
    <w:link w:val="1"/>
    <w:qFormat/>
    <w:uiPriority w:val="0"/>
    <w:rPr>
      <w:rFonts w:ascii="黑体" w:hAnsi="宋体" w:eastAsia="黑体"/>
      <w:color w:val="000000"/>
      <w:sz w:val="18"/>
      <w:szCs w:val="18"/>
      <w:u w:val="none"/>
    </w:rPr>
  </w:style>
  <w:style w:type="character" w:customStyle="1" w:styleId="68">
    <w:name w:val="font71"/>
    <w:basedOn w:val="30"/>
    <w:link w:val="1"/>
    <w:qFormat/>
    <w:uiPriority w:val="0"/>
    <w:rPr>
      <w:rFonts w:ascii="Arial" w:hAnsi="Arial"/>
      <w:color w:val="000000"/>
      <w:sz w:val="20"/>
      <w:szCs w:val="20"/>
      <w:u w:val="none"/>
    </w:rPr>
  </w:style>
  <w:style w:type="character" w:customStyle="1" w:styleId="69">
    <w:name w:val="font61"/>
    <w:basedOn w:val="30"/>
    <w:link w:val="1"/>
    <w:qFormat/>
    <w:uiPriority w:val="0"/>
    <w:rPr>
      <w:rFonts w:hint="eastAsia" w:ascii="宋体" w:hAnsi="宋体" w:eastAsia="宋体"/>
      <w:color w:val="000000"/>
      <w:sz w:val="22"/>
      <w:szCs w:val="22"/>
      <w:u w:val="none"/>
    </w:rPr>
  </w:style>
  <w:style w:type="character" w:customStyle="1" w:styleId="70">
    <w:name w:val="font81"/>
    <w:basedOn w:val="30"/>
    <w:link w:val="1"/>
    <w:qFormat/>
    <w:uiPriority w:val="0"/>
    <w:rPr>
      <w:rFonts w:ascii="Arial" w:hAnsi="Arial"/>
      <w:color w:val="000000"/>
      <w:sz w:val="18"/>
      <w:szCs w:val="18"/>
      <w:u w:val="none"/>
    </w:rPr>
  </w:style>
  <w:style w:type="character" w:customStyle="1" w:styleId="71">
    <w:name w:val="font112"/>
    <w:basedOn w:val="30"/>
    <w:link w:val="1"/>
    <w:qFormat/>
    <w:uiPriority w:val="0"/>
    <w:rPr>
      <w:rFonts w:hint="eastAsia" w:ascii="宋体" w:hAnsi="宋体" w:eastAsia="宋体"/>
      <w:color w:val="000000"/>
      <w:sz w:val="18"/>
      <w:szCs w:val="18"/>
      <w:u w:val="none"/>
    </w:rPr>
  </w:style>
  <w:style w:type="character" w:customStyle="1" w:styleId="72">
    <w:name w:val="font121"/>
    <w:basedOn w:val="30"/>
    <w:link w:val="1"/>
    <w:qFormat/>
    <w:uiPriority w:val="0"/>
    <w:rPr>
      <w:rFonts w:ascii="Arial" w:hAnsi="Arial"/>
      <w:color w:val="000000"/>
      <w:sz w:val="18"/>
      <w:szCs w:val="18"/>
      <w:u w:val="none"/>
    </w:rPr>
  </w:style>
  <w:style w:type="character" w:customStyle="1" w:styleId="73">
    <w:name w:val="font131"/>
    <w:basedOn w:val="30"/>
    <w:link w:val="1"/>
    <w:qFormat/>
    <w:uiPriority w:val="0"/>
    <w:rPr>
      <w:rFonts w:hint="eastAsia" w:ascii="宋体" w:hAnsi="宋体" w:eastAsia="宋体"/>
      <w:color w:val="000000"/>
      <w:sz w:val="18"/>
      <w:szCs w:val="18"/>
      <w:u w:val="none"/>
    </w:rPr>
  </w:style>
  <w:style w:type="character" w:customStyle="1" w:styleId="74">
    <w:name w:val="font141"/>
    <w:basedOn w:val="30"/>
    <w:link w:val="1"/>
    <w:qFormat/>
    <w:uiPriority w:val="0"/>
    <w:rPr>
      <w:rFonts w:ascii="黑体" w:hAnsi="宋体" w:eastAsia="黑体"/>
      <w:color w:val="000000"/>
      <w:sz w:val="8"/>
      <w:szCs w:val="8"/>
      <w:u w:val="none"/>
    </w:rPr>
  </w:style>
  <w:style w:type="paragraph" w:styleId="75">
    <w:name w:val="List Paragraph"/>
    <w:basedOn w:val="1"/>
    <w:qFormat/>
    <w:uiPriority w:val="0"/>
    <w:pPr>
      <w:ind w:firstLine="420" w:firstLineChars="200"/>
    </w:pPr>
  </w:style>
  <w:style w:type="character" w:customStyle="1" w:styleId="76">
    <w:name w:val="font11"/>
    <w:basedOn w:val="30"/>
    <w:link w:val="1"/>
    <w:qFormat/>
    <w:uiPriority w:val="0"/>
    <w:rPr>
      <w:rFonts w:hint="eastAsia" w:ascii="宋体" w:hAnsi="宋体" w:eastAsia="宋体"/>
      <w:color w:val="0D0D0D"/>
      <w:sz w:val="20"/>
      <w:szCs w:val="20"/>
      <w:u w:val="none"/>
    </w:rPr>
  </w:style>
  <w:style w:type="paragraph" w:customStyle="1" w:styleId="77">
    <w:name w:val="Table Text"/>
    <w:basedOn w:val="1"/>
    <w:semiHidden/>
    <w:qFormat/>
    <w:uiPriority w:val="0"/>
    <w:rPr>
      <w:rFonts w:ascii="黑体" w:hAnsi="黑体" w:eastAsia="黑体"/>
      <w:sz w:val="18"/>
      <w:szCs w:val="18"/>
      <w:lang w:eastAsia="en-US"/>
    </w:rPr>
  </w:style>
  <w:style w:type="table" w:customStyle="1" w:styleId="78">
    <w:name w:val="Table Normal"/>
    <w:qFormat/>
    <w:uiPriority w:val="0"/>
  </w:style>
  <w:style w:type="character" w:customStyle="1" w:styleId="79">
    <w:name w:val="font21"/>
    <w:basedOn w:val="30"/>
    <w:link w:val="1"/>
    <w:qFormat/>
    <w:uiPriority w:val="0"/>
    <w:rPr>
      <w:rFonts w:hint="eastAsia" w:ascii="黑体" w:hAnsi="宋体" w:eastAsia="黑体"/>
      <w:color w:val="000000"/>
      <w:sz w:val="18"/>
      <w:szCs w:val="18"/>
      <w:u w:val="none"/>
    </w:rPr>
  </w:style>
  <w:style w:type="character" w:customStyle="1" w:styleId="80">
    <w:name w:val="font41"/>
    <w:basedOn w:val="23"/>
    <w:link w:val="1"/>
    <w:qFormat/>
    <w:uiPriority w:val="0"/>
    <w:rPr>
      <w:rFonts w:ascii="Arial" w:hAnsi="Arial"/>
      <w:color w:val="000000"/>
      <w:sz w:val="18"/>
      <w:szCs w:val="18"/>
      <w:u w:val="none"/>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2">
    <w:name w:val="List Paragraph_1ffbf98a-d79d-4ba6-959b-084034549eb9"/>
    <w:basedOn w:val="1"/>
    <w:qFormat/>
    <w:uiPriority w:val="99"/>
    <w:pPr>
      <w:ind w:firstLine="420"/>
    </w:pPr>
  </w:style>
  <w:style w:type="paragraph" w:customStyle="1" w:styleId="83">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4">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81</Pages>
  <Words>57596</Words>
  <Characters>60821</Characters>
  <Lines>1</Lines>
  <Paragraphs>1</Paragraphs>
  <TotalTime>2</TotalTime>
  <ScaleCrop>false</ScaleCrop>
  <LinksUpToDate>false</LinksUpToDate>
  <CharactersWithSpaces>62858</CharactersWithSpaces>
  <Application>WPS Office_12.8.2.18606_F1E327BC-269C-435d-A152-05C5408002CA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2024-04-23T20:03:00Z</dcterms:created>
  <dc:creator>Shall Chen</dc:creator>
  <cp:lastModifiedBy>朱文财</cp:lastModifiedBy>
  <cp:lastPrinted>2025-01-15T04:05:00Z</cp:lastPrinted>
  <dcterms:modified xsi:type="dcterms:W3CDTF">2025-02-27T08:53:44Z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2052-12.8.2.18606</vt:lpwstr>
  </property>
  <property fmtid="{D5CDD505-2E9C-101B-9397-08002B2CF9AE}" pid="3" name="ICV">
    <vt:lpwstr>50258B84EABB42CCA7E49673C7C2F714_13</vt:lpwstr>
  </property>
  <property fmtid="{D5CDD505-2E9C-101B-9397-08002B2CF9AE}" pid="4" name="KSOTemplateDocerSaveRecord">
    <vt:lpwstr>eyJoZGlkIjoiOWRmNjk3ZDBlMDk2ZTA4OGQ1N2VmZWFjYjkwMTkzOWIifQ==</vt:lpwstr>
  </property>
</Properties>
</file>