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82BCE">
      <w:pPr>
        <w:snapToGrid w:val="0"/>
        <w:spacing w:line="360" w:lineRule="auto"/>
        <w:jc w:val="center"/>
        <w:textAlignment w:val="baseline"/>
        <w:rPr>
          <w:rFonts w:hint="eastAsia" w:ascii="宋体" w:hAnsi="宋体" w:eastAsia="宋体" w:cs="宋体"/>
          <w:b/>
          <w:color w:val="auto"/>
          <w:sz w:val="48"/>
          <w:szCs w:val="48"/>
        </w:rPr>
      </w:pPr>
    </w:p>
    <w:p w14:paraId="785B036F">
      <w:pPr>
        <w:pStyle w:val="15"/>
        <w:spacing w:line="360" w:lineRule="auto"/>
        <w:ind w:firstLine="480"/>
        <w:rPr>
          <w:rFonts w:hint="eastAsia" w:ascii="宋体" w:hAnsi="宋体" w:eastAsia="宋体" w:cs="宋体"/>
          <w:color w:val="auto"/>
          <w:sz w:val="28"/>
          <w:szCs w:val="28"/>
        </w:rPr>
      </w:pPr>
    </w:p>
    <w:p w14:paraId="72C976C7">
      <w:pPr>
        <w:pStyle w:val="39"/>
        <w:spacing w:line="360" w:lineRule="auto"/>
        <w:ind w:left="0" w:leftChars="0" w:firstLine="0" w:firstLineChars="0"/>
        <w:jc w:val="center"/>
        <w:rPr>
          <w:rFonts w:hint="eastAsia" w:ascii="宋体" w:hAnsi="宋体" w:eastAsia="宋体" w:cs="宋体"/>
          <w:color w:val="auto"/>
          <w:sz w:val="28"/>
          <w:szCs w:val="28"/>
        </w:rPr>
      </w:pPr>
      <w:r>
        <w:rPr>
          <w:rFonts w:hint="eastAsia" w:ascii="宋体" w:hAnsi="宋体" w:eastAsia="宋体" w:cs="宋体"/>
          <w:b/>
          <w:color w:val="auto"/>
          <w:sz w:val="48"/>
          <w:szCs w:val="48"/>
          <w:lang w:eastAsia="zh-CN"/>
        </w:rPr>
        <w:t>喀什经济开发区城北加工转化区东区基础设施建设项目（一期）监理服务</w:t>
      </w:r>
    </w:p>
    <w:p w14:paraId="18009BEA">
      <w:pPr>
        <w:snapToGrid w:val="0"/>
        <w:spacing w:line="360" w:lineRule="auto"/>
        <w:jc w:val="center"/>
        <w:textAlignment w:val="baseline"/>
        <w:rPr>
          <w:rFonts w:hint="eastAsia" w:ascii="宋体" w:hAnsi="宋体" w:eastAsia="宋体" w:cs="宋体"/>
          <w:b/>
          <w:color w:val="auto"/>
          <w:sz w:val="56"/>
          <w:szCs w:val="56"/>
        </w:rPr>
      </w:pPr>
      <w:r>
        <w:rPr>
          <w:rFonts w:hint="eastAsia" w:ascii="宋体" w:hAnsi="宋体" w:eastAsia="宋体" w:cs="宋体"/>
          <w:b/>
          <w:color w:val="auto"/>
          <w:sz w:val="56"/>
          <w:szCs w:val="56"/>
        </w:rPr>
        <w:t>磋 商 文 件</w:t>
      </w:r>
    </w:p>
    <w:p w14:paraId="43B9AC44">
      <w:pPr>
        <w:pStyle w:val="4"/>
        <w:spacing w:line="360" w:lineRule="auto"/>
        <w:rPr>
          <w:rFonts w:hint="eastAsia" w:ascii="宋体" w:hAnsi="宋体" w:eastAsia="宋体" w:cs="宋体"/>
          <w:color w:val="auto"/>
          <w:sz w:val="28"/>
          <w:szCs w:val="21"/>
        </w:rPr>
      </w:pPr>
    </w:p>
    <w:p w14:paraId="139E91C7">
      <w:pPr>
        <w:pStyle w:val="30"/>
        <w:spacing w:line="360" w:lineRule="auto"/>
        <w:textAlignment w:val="baseline"/>
        <w:rPr>
          <w:rFonts w:hint="eastAsia" w:ascii="宋体" w:hAnsi="宋体" w:eastAsia="宋体" w:cs="宋体"/>
          <w:color w:val="auto"/>
          <w:sz w:val="22"/>
          <w:szCs w:val="36"/>
        </w:rPr>
      </w:pPr>
    </w:p>
    <w:p w14:paraId="5A849163">
      <w:pPr>
        <w:snapToGrid w:val="0"/>
        <w:spacing w:line="360" w:lineRule="auto"/>
        <w:jc w:val="center"/>
        <w:textAlignment w:val="baseline"/>
        <w:rPr>
          <w:rFonts w:hint="eastAsia" w:ascii="宋体" w:hAnsi="宋体" w:eastAsia="宋体" w:cs="宋体"/>
          <w:color w:val="auto"/>
          <w:sz w:val="21"/>
          <w:szCs w:val="24"/>
          <w:lang w:val="en-US" w:eastAsia="zh-CN"/>
        </w:rPr>
      </w:pPr>
      <w:r>
        <w:rPr>
          <w:rFonts w:hint="eastAsia" w:ascii="宋体" w:hAnsi="宋体" w:eastAsia="宋体" w:cs="宋体"/>
          <w:b/>
          <w:color w:val="auto"/>
          <w:sz w:val="36"/>
          <w:szCs w:val="36"/>
        </w:rPr>
        <w:t>项目编号：</w:t>
      </w:r>
      <w:r>
        <w:rPr>
          <w:rFonts w:hint="eastAsia" w:ascii="宋体" w:hAnsi="宋体" w:eastAsia="宋体" w:cs="宋体"/>
          <w:b/>
          <w:color w:val="auto"/>
          <w:sz w:val="36"/>
          <w:szCs w:val="36"/>
          <w:lang w:eastAsia="zh-CN"/>
        </w:rPr>
        <w:t>KSJJKFQZFCG(CS)2024-59</w:t>
      </w:r>
    </w:p>
    <w:p w14:paraId="54175C78">
      <w:pPr>
        <w:pStyle w:val="30"/>
        <w:spacing w:line="360" w:lineRule="auto"/>
        <w:textAlignment w:val="baseline"/>
        <w:rPr>
          <w:rFonts w:hint="eastAsia" w:ascii="宋体" w:hAnsi="宋体" w:eastAsia="宋体" w:cs="宋体"/>
          <w:color w:val="auto"/>
          <w:sz w:val="20"/>
          <w:szCs w:val="28"/>
        </w:rPr>
      </w:pPr>
    </w:p>
    <w:p w14:paraId="1AB16C8F">
      <w:pPr>
        <w:snapToGrid w:val="0"/>
        <w:spacing w:line="360" w:lineRule="auto"/>
        <w:textAlignment w:val="baseline"/>
        <w:rPr>
          <w:rFonts w:hint="eastAsia" w:ascii="宋体" w:hAnsi="宋体" w:eastAsia="宋体" w:cs="宋体"/>
          <w:b/>
          <w:color w:val="auto"/>
          <w:sz w:val="32"/>
          <w:szCs w:val="32"/>
        </w:rPr>
      </w:pPr>
    </w:p>
    <w:p w14:paraId="7642508F">
      <w:pPr>
        <w:spacing w:line="360" w:lineRule="auto"/>
        <w:rPr>
          <w:rFonts w:hint="eastAsia" w:ascii="宋体" w:hAnsi="宋体" w:eastAsia="宋体" w:cs="宋体"/>
          <w:color w:val="auto"/>
          <w:sz w:val="22"/>
          <w:szCs w:val="28"/>
        </w:rPr>
      </w:pPr>
    </w:p>
    <w:p w14:paraId="1B78EB2D">
      <w:pPr>
        <w:snapToGrid w:val="0"/>
        <w:spacing w:line="360" w:lineRule="auto"/>
        <w:ind w:firstLine="964" w:firstLineChars="300"/>
        <w:textAlignment w:val="baseline"/>
        <w:rPr>
          <w:rFonts w:hint="eastAsia" w:ascii="宋体" w:hAnsi="宋体" w:eastAsia="宋体" w:cs="宋体"/>
          <w:b/>
          <w:color w:val="auto"/>
          <w:sz w:val="32"/>
          <w:szCs w:val="32"/>
          <w:u w:val="none" w:color="auto"/>
        </w:rPr>
      </w:pPr>
      <w:r>
        <w:rPr>
          <w:rFonts w:hint="eastAsia" w:ascii="宋体" w:hAnsi="宋体" w:eastAsia="宋体" w:cs="宋体"/>
          <w:b/>
          <w:color w:val="auto"/>
          <w:sz w:val="32"/>
          <w:szCs w:val="32"/>
          <w:u w:val="none" w:color="auto"/>
        </w:rPr>
        <w:t xml:space="preserve">采购单位名称：喀什经济开发区城北加工产业发展服务中心     </w:t>
      </w:r>
    </w:p>
    <w:p w14:paraId="5D9B922B">
      <w:pPr>
        <w:snapToGrid w:val="0"/>
        <w:spacing w:line="360" w:lineRule="auto"/>
        <w:ind w:firstLine="964" w:firstLineChars="300"/>
        <w:textAlignment w:val="baseline"/>
        <w:rPr>
          <w:rFonts w:hint="eastAsia" w:ascii="宋体" w:hAnsi="宋体" w:eastAsia="宋体" w:cs="宋体"/>
          <w:b/>
          <w:color w:val="auto"/>
          <w:sz w:val="32"/>
          <w:szCs w:val="32"/>
          <w:u w:val="none" w:color="auto"/>
        </w:rPr>
      </w:pPr>
      <w:r>
        <w:rPr>
          <w:rFonts w:hint="eastAsia" w:ascii="宋体" w:hAnsi="宋体" w:eastAsia="宋体" w:cs="宋体"/>
          <w:b/>
          <w:color w:val="auto"/>
          <w:sz w:val="32"/>
          <w:szCs w:val="32"/>
          <w:u w:val="none" w:color="auto"/>
        </w:rPr>
        <w:t>联   系   人：迪力亚尔</w:t>
      </w:r>
      <w:r>
        <w:rPr>
          <w:rFonts w:hint="eastAsia" w:ascii="宋体" w:hAnsi="宋体" w:eastAsia="宋体" w:cs="宋体"/>
          <w:b/>
          <w:color w:val="auto"/>
          <w:sz w:val="32"/>
          <w:szCs w:val="32"/>
          <w:u w:val="none" w:color="auto"/>
          <w:lang w:eastAsia="zh-CN"/>
        </w:rPr>
        <w:t xml:space="preserve"> </w:t>
      </w:r>
      <w:r>
        <w:rPr>
          <w:rFonts w:hint="eastAsia" w:ascii="宋体" w:hAnsi="宋体" w:eastAsia="宋体" w:cs="宋体"/>
          <w:b/>
          <w:color w:val="auto"/>
          <w:sz w:val="32"/>
          <w:szCs w:val="32"/>
          <w:u w:val="none" w:color="auto"/>
        </w:rPr>
        <w:t xml:space="preserve">   </w:t>
      </w:r>
    </w:p>
    <w:p w14:paraId="3061DC8D">
      <w:pPr>
        <w:snapToGrid w:val="0"/>
        <w:spacing w:line="360" w:lineRule="auto"/>
        <w:ind w:firstLine="964" w:firstLineChars="300"/>
        <w:textAlignment w:val="baseline"/>
        <w:rPr>
          <w:rFonts w:hint="eastAsia" w:ascii="宋体" w:hAnsi="宋体" w:eastAsia="宋体" w:cs="宋体"/>
          <w:b/>
          <w:color w:val="auto"/>
          <w:sz w:val="32"/>
          <w:szCs w:val="32"/>
          <w:u w:val="none" w:color="auto"/>
        </w:rPr>
      </w:pPr>
      <w:r>
        <w:rPr>
          <w:rFonts w:hint="eastAsia" w:ascii="宋体" w:hAnsi="宋体" w:eastAsia="宋体" w:cs="宋体"/>
          <w:b/>
          <w:color w:val="auto"/>
          <w:sz w:val="32"/>
          <w:szCs w:val="32"/>
          <w:u w:val="none" w:color="auto"/>
        </w:rPr>
        <w:t xml:space="preserve">联 系  电 话：18094997333 </w:t>
      </w:r>
      <w:r>
        <w:rPr>
          <w:rFonts w:hint="eastAsia" w:ascii="宋体" w:hAnsi="宋体" w:eastAsia="宋体" w:cs="宋体"/>
          <w:b/>
          <w:color w:val="auto"/>
          <w:sz w:val="32"/>
          <w:szCs w:val="32"/>
          <w:u w:val="none" w:color="auto"/>
          <w:lang w:val="en-US" w:eastAsia="zh-CN"/>
        </w:rPr>
        <w:t xml:space="preserve">   </w:t>
      </w:r>
    </w:p>
    <w:p w14:paraId="442B324F">
      <w:pPr>
        <w:pStyle w:val="39"/>
        <w:spacing w:line="360" w:lineRule="auto"/>
        <w:ind w:left="0" w:leftChars="0" w:firstLine="0" w:firstLineChars="0"/>
        <w:rPr>
          <w:rFonts w:hint="eastAsia" w:ascii="宋体" w:hAnsi="宋体" w:eastAsia="宋体" w:cs="宋体"/>
          <w:color w:val="auto"/>
          <w:sz w:val="28"/>
          <w:szCs w:val="28"/>
          <w:u w:val="none" w:color="auto"/>
          <w:lang w:eastAsia="zh-CN"/>
        </w:rPr>
      </w:pPr>
    </w:p>
    <w:p w14:paraId="7E364E46">
      <w:pPr>
        <w:snapToGrid w:val="0"/>
        <w:spacing w:line="360" w:lineRule="auto"/>
        <w:ind w:firstLine="964" w:firstLineChars="300"/>
        <w:textAlignment w:val="baseline"/>
        <w:rPr>
          <w:rFonts w:hint="eastAsia" w:ascii="宋体" w:hAnsi="宋体" w:eastAsia="宋体" w:cs="宋体"/>
          <w:b/>
          <w:color w:val="auto"/>
          <w:sz w:val="32"/>
          <w:szCs w:val="32"/>
          <w:u w:val="none" w:color="auto"/>
        </w:rPr>
      </w:pPr>
      <w:r>
        <w:rPr>
          <w:rFonts w:hint="eastAsia" w:ascii="宋体" w:hAnsi="宋体" w:eastAsia="宋体" w:cs="宋体"/>
          <w:b/>
          <w:color w:val="auto"/>
          <w:sz w:val="32"/>
          <w:szCs w:val="32"/>
          <w:u w:val="none" w:color="auto"/>
        </w:rPr>
        <w:t>代理机构名称</w:t>
      </w:r>
      <w:r>
        <w:rPr>
          <w:rFonts w:hint="eastAsia" w:ascii="宋体" w:hAnsi="宋体" w:eastAsia="宋体" w:cs="宋体"/>
          <w:b/>
          <w:color w:val="auto"/>
          <w:sz w:val="32"/>
          <w:szCs w:val="32"/>
          <w:u w:val="none" w:color="auto"/>
          <w:lang w:eastAsia="zh-CN"/>
        </w:rPr>
        <w:t xml:space="preserve">：新疆大喀建设项目咨询集团有限公司 </w:t>
      </w:r>
      <w:r>
        <w:rPr>
          <w:rFonts w:hint="eastAsia" w:ascii="宋体" w:hAnsi="宋体" w:eastAsia="宋体" w:cs="宋体"/>
          <w:b/>
          <w:color w:val="auto"/>
          <w:sz w:val="32"/>
          <w:szCs w:val="32"/>
          <w:u w:val="none" w:color="auto"/>
        </w:rPr>
        <w:t xml:space="preserve">  </w:t>
      </w:r>
    </w:p>
    <w:p w14:paraId="3B807113">
      <w:pPr>
        <w:snapToGrid w:val="0"/>
        <w:spacing w:line="360" w:lineRule="auto"/>
        <w:ind w:firstLine="964" w:firstLineChars="300"/>
        <w:textAlignment w:val="baseline"/>
        <w:rPr>
          <w:rFonts w:hint="eastAsia" w:ascii="宋体" w:hAnsi="宋体" w:eastAsia="宋体" w:cs="宋体"/>
          <w:b/>
          <w:color w:val="auto"/>
          <w:sz w:val="32"/>
          <w:szCs w:val="32"/>
          <w:u w:val="none" w:color="auto"/>
        </w:rPr>
      </w:pPr>
      <w:r>
        <w:rPr>
          <w:rFonts w:hint="eastAsia" w:ascii="宋体" w:hAnsi="宋体" w:eastAsia="宋体" w:cs="宋体"/>
          <w:b/>
          <w:color w:val="auto"/>
          <w:sz w:val="32"/>
          <w:szCs w:val="32"/>
          <w:u w:val="none" w:color="auto"/>
        </w:rPr>
        <w:t>联   系   人：</w:t>
      </w:r>
      <w:r>
        <w:rPr>
          <w:rFonts w:hint="eastAsia" w:ascii="宋体" w:hAnsi="宋体" w:eastAsia="宋体" w:cs="宋体"/>
          <w:b/>
          <w:color w:val="auto"/>
          <w:sz w:val="32"/>
          <w:szCs w:val="32"/>
          <w:u w:val="none" w:color="auto"/>
          <w:lang w:val="en-US" w:eastAsia="zh-CN"/>
        </w:rPr>
        <w:t>李工</w:t>
      </w:r>
      <w:r>
        <w:rPr>
          <w:rFonts w:hint="eastAsia" w:ascii="宋体" w:hAnsi="宋体" w:eastAsia="宋体" w:cs="宋体"/>
          <w:b/>
          <w:color w:val="auto"/>
          <w:sz w:val="32"/>
          <w:szCs w:val="32"/>
          <w:u w:val="none" w:color="auto"/>
        </w:rPr>
        <w:t xml:space="preserve">    </w:t>
      </w:r>
      <w:r>
        <w:rPr>
          <w:rFonts w:hint="eastAsia" w:ascii="宋体" w:hAnsi="宋体" w:eastAsia="宋体" w:cs="宋体"/>
          <w:b/>
          <w:color w:val="auto"/>
          <w:sz w:val="32"/>
          <w:szCs w:val="32"/>
          <w:u w:val="none" w:color="auto"/>
          <w:lang w:val="en-US" w:eastAsia="zh-CN"/>
        </w:rPr>
        <w:t xml:space="preserve">     </w:t>
      </w:r>
      <w:r>
        <w:rPr>
          <w:rFonts w:hint="eastAsia" w:ascii="宋体" w:hAnsi="宋体" w:eastAsia="宋体" w:cs="宋体"/>
          <w:b/>
          <w:color w:val="auto"/>
          <w:sz w:val="32"/>
          <w:szCs w:val="32"/>
          <w:u w:val="none" w:color="auto"/>
        </w:rPr>
        <w:t xml:space="preserve">    </w:t>
      </w:r>
    </w:p>
    <w:p w14:paraId="0E460D67">
      <w:pPr>
        <w:snapToGrid w:val="0"/>
        <w:spacing w:line="360" w:lineRule="auto"/>
        <w:ind w:firstLine="964" w:firstLineChars="300"/>
        <w:textAlignment w:val="baseline"/>
        <w:rPr>
          <w:rFonts w:hint="eastAsia" w:ascii="宋体" w:hAnsi="宋体" w:eastAsia="宋体" w:cs="宋体"/>
          <w:color w:val="auto"/>
          <w:sz w:val="21"/>
          <w:szCs w:val="28"/>
          <w:u w:val="none" w:color="auto"/>
        </w:rPr>
      </w:pPr>
      <w:r>
        <w:rPr>
          <w:rFonts w:hint="eastAsia" w:ascii="宋体" w:hAnsi="宋体" w:eastAsia="宋体" w:cs="宋体"/>
          <w:b/>
          <w:color w:val="auto"/>
          <w:sz w:val="32"/>
          <w:szCs w:val="32"/>
          <w:u w:val="none" w:color="auto"/>
        </w:rPr>
        <w:t>联 系  电 话：</w:t>
      </w:r>
      <w:r>
        <w:rPr>
          <w:rFonts w:hint="eastAsia" w:ascii="宋体" w:hAnsi="宋体" w:eastAsia="宋体" w:cs="宋体"/>
          <w:b/>
          <w:color w:val="auto"/>
          <w:sz w:val="32"/>
          <w:szCs w:val="32"/>
          <w:u w:val="none" w:color="auto"/>
          <w:lang w:val="en-US" w:eastAsia="zh-CN"/>
        </w:rPr>
        <w:t xml:space="preserve">17690105572    </w:t>
      </w:r>
      <w:r>
        <w:rPr>
          <w:rFonts w:hint="eastAsia" w:ascii="宋体" w:hAnsi="宋体" w:eastAsia="宋体" w:cs="宋体"/>
          <w:b/>
          <w:color w:val="auto"/>
          <w:sz w:val="32"/>
          <w:szCs w:val="32"/>
          <w:u w:val="none" w:color="auto"/>
        </w:rPr>
        <w:t xml:space="preserve">     </w:t>
      </w:r>
    </w:p>
    <w:p w14:paraId="567C18EB">
      <w:pPr>
        <w:pStyle w:val="15"/>
        <w:snapToGrid w:val="0"/>
        <w:spacing w:line="360" w:lineRule="auto"/>
        <w:textAlignment w:val="baseline"/>
        <w:rPr>
          <w:rFonts w:hint="eastAsia" w:ascii="宋体" w:hAnsi="宋体" w:eastAsia="宋体" w:cs="宋体"/>
          <w:color w:val="auto"/>
          <w:sz w:val="22"/>
          <w:szCs w:val="28"/>
        </w:rPr>
      </w:pPr>
    </w:p>
    <w:p w14:paraId="645CA958">
      <w:pPr>
        <w:spacing w:line="360" w:lineRule="auto"/>
        <w:rPr>
          <w:rFonts w:hint="eastAsia" w:ascii="宋体" w:hAnsi="宋体" w:eastAsia="宋体" w:cs="宋体"/>
          <w:b/>
          <w:color w:val="auto"/>
          <w:sz w:val="32"/>
          <w:szCs w:val="32"/>
        </w:rPr>
      </w:pPr>
    </w:p>
    <w:p w14:paraId="6974EF47">
      <w:pPr>
        <w:snapToGrid w:val="0"/>
        <w:spacing w:line="360" w:lineRule="auto"/>
        <w:ind w:left="1080" w:leftChars="257" w:hanging="540"/>
        <w:jc w:val="center"/>
        <w:textAlignment w:val="baseline"/>
        <w:rPr>
          <w:rFonts w:hint="eastAsia" w:ascii="宋体" w:hAnsi="宋体" w:eastAsia="宋体" w:cs="宋体"/>
          <w:b/>
          <w:color w:val="auto"/>
          <w:sz w:val="44"/>
          <w:szCs w:val="44"/>
        </w:rPr>
      </w:pPr>
      <w:r>
        <w:rPr>
          <w:rFonts w:hint="eastAsia" w:ascii="宋体" w:hAnsi="宋体" w:eastAsia="宋体" w:cs="宋体"/>
          <w:b/>
          <w:color w:val="auto"/>
          <w:sz w:val="44"/>
          <w:szCs w:val="44"/>
        </w:rPr>
        <w:t>目  录</w:t>
      </w:r>
    </w:p>
    <w:p w14:paraId="7EF883B4">
      <w:pPr>
        <w:pStyle w:val="27"/>
        <w:tabs>
          <w:tab w:val="right" w:leader="dot" w:pos="8306"/>
        </w:tabs>
        <w:spacing w:line="360" w:lineRule="auto"/>
        <w:rPr>
          <w:rFonts w:hint="eastAsia" w:ascii="宋体" w:hAnsi="宋体" w:eastAsia="宋体" w:cs="宋体"/>
        </w:rPr>
      </w:pPr>
      <w:bookmarkStart w:id="0" w:name="_Toc10715352"/>
      <w:bookmarkStart w:id="1" w:name="_Toc1462"/>
      <w:bookmarkStart w:id="2" w:name="_Toc518923059"/>
      <w:r>
        <w:rPr>
          <w:rFonts w:hint="eastAsia" w:ascii="宋体" w:hAnsi="宋体" w:eastAsia="宋体" w:cs="宋体"/>
          <w:color w:val="auto"/>
          <w:kern w:val="0"/>
          <w:sz w:val="28"/>
          <w:szCs w:val="28"/>
        </w:rPr>
        <w:fldChar w:fldCharType="begin"/>
      </w:r>
      <w:r>
        <w:rPr>
          <w:rFonts w:hint="eastAsia" w:ascii="宋体" w:hAnsi="宋体" w:eastAsia="宋体" w:cs="宋体"/>
          <w:color w:val="auto"/>
          <w:kern w:val="0"/>
          <w:sz w:val="28"/>
          <w:szCs w:val="28"/>
        </w:rPr>
        <w:instrText xml:space="preserve">TOC \o "1-2" \h \u </w:instrText>
      </w:r>
      <w:r>
        <w:rPr>
          <w:rFonts w:hint="eastAsia" w:ascii="宋体" w:hAnsi="宋体" w:eastAsia="宋体" w:cs="宋体"/>
          <w:color w:val="auto"/>
          <w:kern w:val="0"/>
          <w:sz w:val="28"/>
          <w:szCs w:val="28"/>
        </w:rPr>
        <w:fldChar w:fldCharType="separate"/>
      </w: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_Toc11745 </w:instrText>
      </w:r>
      <w:r>
        <w:rPr>
          <w:rFonts w:hint="eastAsia" w:ascii="宋体" w:hAnsi="宋体" w:eastAsia="宋体" w:cs="宋体"/>
          <w:kern w:val="0"/>
          <w:szCs w:val="28"/>
        </w:rPr>
        <w:fldChar w:fldCharType="separate"/>
      </w:r>
      <w:r>
        <w:rPr>
          <w:rFonts w:hint="eastAsia" w:ascii="宋体" w:hAnsi="宋体" w:eastAsia="宋体" w:cs="宋体"/>
          <w:kern w:val="0"/>
          <w:szCs w:val="28"/>
        </w:rPr>
        <w:t xml:space="preserve">第1章  </w:t>
      </w:r>
      <w:r>
        <w:rPr>
          <w:rFonts w:hint="eastAsia" w:ascii="宋体" w:hAnsi="宋体" w:eastAsia="宋体" w:cs="宋体"/>
          <w:szCs w:val="28"/>
        </w:rPr>
        <w:t>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_Toc11745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72DFCCF8">
      <w:pPr>
        <w:pStyle w:val="33"/>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_Toc9335 </w:instrText>
      </w:r>
      <w:r>
        <w:rPr>
          <w:rFonts w:hint="eastAsia" w:ascii="宋体" w:hAnsi="宋体" w:eastAsia="宋体" w:cs="宋体"/>
          <w:kern w:val="0"/>
          <w:szCs w:val="28"/>
        </w:rPr>
        <w:fldChar w:fldCharType="separate"/>
      </w:r>
      <w:r>
        <w:rPr>
          <w:rFonts w:hint="eastAsia" w:ascii="宋体" w:hAnsi="宋体" w:eastAsia="宋体" w:cs="宋体"/>
          <w:szCs w:val="28"/>
        </w:rPr>
        <w:t>一   总 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_Toc9335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3846B81A">
      <w:pPr>
        <w:pStyle w:val="33"/>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_Toc25208 </w:instrText>
      </w:r>
      <w:r>
        <w:rPr>
          <w:rFonts w:hint="eastAsia" w:ascii="宋体" w:hAnsi="宋体" w:eastAsia="宋体" w:cs="宋体"/>
          <w:kern w:val="0"/>
          <w:szCs w:val="28"/>
        </w:rPr>
        <w:fldChar w:fldCharType="separate"/>
      </w:r>
      <w:r>
        <w:rPr>
          <w:rFonts w:hint="eastAsia" w:ascii="宋体" w:hAnsi="宋体" w:eastAsia="宋体" w:cs="宋体"/>
          <w:szCs w:val="28"/>
        </w:rPr>
        <w:t>二   磋商文件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_Toc25208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0C599438">
      <w:pPr>
        <w:pStyle w:val="33"/>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_Toc16603 </w:instrText>
      </w:r>
      <w:r>
        <w:rPr>
          <w:rFonts w:hint="eastAsia" w:ascii="宋体" w:hAnsi="宋体" w:eastAsia="宋体" w:cs="宋体"/>
          <w:kern w:val="0"/>
          <w:szCs w:val="28"/>
        </w:rPr>
        <w:fldChar w:fldCharType="separate"/>
      </w:r>
      <w:r>
        <w:rPr>
          <w:rFonts w:hint="eastAsia" w:ascii="宋体" w:hAnsi="宋体" w:eastAsia="宋体" w:cs="宋体"/>
          <w:szCs w:val="28"/>
        </w:rPr>
        <w:t>三   响应文件的编制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_Toc16603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4F3AF9A8">
      <w:pPr>
        <w:pStyle w:val="33"/>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_Toc28059 </w:instrText>
      </w:r>
      <w:r>
        <w:rPr>
          <w:rFonts w:hint="eastAsia" w:ascii="宋体" w:hAnsi="宋体" w:eastAsia="宋体" w:cs="宋体"/>
          <w:kern w:val="0"/>
          <w:szCs w:val="28"/>
        </w:rPr>
        <w:fldChar w:fldCharType="separate"/>
      </w:r>
      <w:r>
        <w:rPr>
          <w:rFonts w:hint="eastAsia" w:ascii="宋体" w:hAnsi="宋体" w:eastAsia="宋体" w:cs="宋体"/>
          <w:szCs w:val="28"/>
        </w:rPr>
        <w:t>四   响应文件的递交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_Toc28059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6B5E6DD2">
      <w:pPr>
        <w:pStyle w:val="33"/>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_Toc14280 </w:instrText>
      </w:r>
      <w:r>
        <w:rPr>
          <w:rFonts w:hint="eastAsia" w:ascii="宋体" w:hAnsi="宋体" w:eastAsia="宋体" w:cs="宋体"/>
          <w:kern w:val="0"/>
          <w:szCs w:val="28"/>
        </w:rPr>
        <w:fldChar w:fldCharType="separate"/>
      </w:r>
      <w:r>
        <w:rPr>
          <w:rFonts w:hint="eastAsia" w:ascii="宋体" w:hAnsi="宋体" w:eastAsia="宋体" w:cs="宋体"/>
          <w:szCs w:val="28"/>
        </w:rPr>
        <w:t>五   磋商及评审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_Toc14280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0BC36279">
      <w:pPr>
        <w:pStyle w:val="33"/>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_Toc9204 </w:instrText>
      </w:r>
      <w:r>
        <w:rPr>
          <w:rFonts w:hint="eastAsia" w:ascii="宋体" w:hAnsi="宋体" w:eastAsia="宋体" w:cs="宋体"/>
          <w:kern w:val="0"/>
          <w:szCs w:val="28"/>
        </w:rPr>
        <w:fldChar w:fldCharType="separate"/>
      </w:r>
      <w:r>
        <w:rPr>
          <w:rFonts w:hint="eastAsia" w:ascii="宋体" w:hAnsi="宋体" w:eastAsia="宋体" w:cs="宋体"/>
          <w:szCs w:val="28"/>
        </w:rPr>
        <w:t>六   确定成交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_Toc9204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1B1D7B84">
      <w:pPr>
        <w:pStyle w:val="27"/>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_Toc28997 </w:instrText>
      </w:r>
      <w:r>
        <w:rPr>
          <w:rFonts w:hint="eastAsia" w:ascii="宋体" w:hAnsi="宋体" w:eastAsia="宋体" w:cs="宋体"/>
          <w:kern w:val="0"/>
          <w:szCs w:val="28"/>
        </w:rPr>
        <w:fldChar w:fldCharType="separate"/>
      </w:r>
      <w:r>
        <w:rPr>
          <w:rFonts w:hint="eastAsia" w:ascii="宋体" w:hAnsi="宋体" w:eastAsia="宋体" w:cs="宋体"/>
          <w:szCs w:val="28"/>
        </w:rPr>
        <w:t>第2章 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_Toc28997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182D3F7E">
      <w:pPr>
        <w:pStyle w:val="33"/>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_Toc15876 </w:instrText>
      </w:r>
      <w:r>
        <w:rPr>
          <w:rFonts w:hint="eastAsia" w:ascii="宋体" w:hAnsi="宋体" w:eastAsia="宋体" w:cs="宋体"/>
          <w:kern w:val="0"/>
          <w:szCs w:val="28"/>
        </w:rPr>
        <w:fldChar w:fldCharType="separate"/>
      </w:r>
      <w:r>
        <w:rPr>
          <w:rFonts w:hint="eastAsia" w:ascii="宋体" w:hAnsi="宋体" w:eastAsia="宋体" w:cs="宋体"/>
          <w:szCs w:val="28"/>
        </w:rPr>
        <w:t>第一部分 磋商开启一览表及资格证明文件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_Toc15876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2241CF17">
      <w:pPr>
        <w:pStyle w:val="33"/>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_Toc1816 </w:instrText>
      </w:r>
      <w:r>
        <w:rPr>
          <w:rFonts w:hint="eastAsia" w:ascii="宋体" w:hAnsi="宋体" w:eastAsia="宋体" w:cs="宋体"/>
          <w:kern w:val="0"/>
          <w:szCs w:val="28"/>
        </w:rPr>
        <w:fldChar w:fldCharType="separate"/>
      </w:r>
      <w:r>
        <w:rPr>
          <w:rFonts w:hint="eastAsia" w:ascii="宋体" w:hAnsi="宋体" w:eastAsia="宋体" w:cs="宋体"/>
          <w:szCs w:val="28"/>
        </w:rPr>
        <w:t>第二部分  商务及技术文件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_Toc1816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1EF65EC0">
      <w:pPr>
        <w:pStyle w:val="27"/>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_Toc19840 </w:instrText>
      </w:r>
      <w:r>
        <w:rPr>
          <w:rFonts w:hint="eastAsia" w:ascii="宋体" w:hAnsi="宋体" w:eastAsia="宋体" w:cs="宋体"/>
          <w:kern w:val="0"/>
          <w:szCs w:val="28"/>
        </w:rPr>
        <w:fldChar w:fldCharType="separate"/>
      </w:r>
      <w:r>
        <w:rPr>
          <w:rFonts w:hint="eastAsia" w:ascii="宋体" w:hAnsi="宋体" w:eastAsia="宋体" w:cs="宋体"/>
          <w:szCs w:val="21"/>
        </w:rPr>
        <w:t>第3章 磋商邀请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_Toc19840 \h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2CF28D46">
      <w:pPr>
        <w:pStyle w:val="33"/>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_Toc23897 </w:instrText>
      </w:r>
      <w:r>
        <w:rPr>
          <w:rFonts w:hint="eastAsia" w:ascii="宋体" w:hAnsi="宋体" w:eastAsia="宋体" w:cs="宋体"/>
          <w:kern w:val="0"/>
          <w:szCs w:val="28"/>
        </w:rPr>
        <w:fldChar w:fldCharType="separate"/>
      </w:r>
      <w:r>
        <w:rPr>
          <w:rFonts w:hint="eastAsia" w:ascii="宋体" w:hAnsi="宋体" w:eastAsia="宋体" w:cs="宋体"/>
          <w:kern w:val="2"/>
          <w:szCs w:val="28"/>
          <w:lang w:val="en-US" w:eastAsia="zh-CN" w:bidi="ar-SA"/>
        </w:rPr>
        <w:t>五、响应文件开启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_Toc23897 \h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53C1EFF4">
      <w:pPr>
        <w:pStyle w:val="27"/>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_Toc31476 </w:instrText>
      </w:r>
      <w:r>
        <w:rPr>
          <w:rFonts w:hint="eastAsia" w:ascii="宋体" w:hAnsi="宋体" w:eastAsia="宋体" w:cs="宋体"/>
          <w:kern w:val="0"/>
          <w:szCs w:val="28"/>
        </w:rPr>
        <w:fldChar w:fldCharType="separate"/>
      </w:r>
      <w:r>
        <w:rPr>
          <w:rFonts w:hint="eastAsia" w:ascii="宋体" w:hAnsi="宋体" w:eastAsia="宋体" w:cs="宋体"/>
          <w:szCs w:val="36"/>
        </w:rPr>
        <w:t>第4章  供应商须知资料表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_Toc31476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39FE3109">
      <w:pPr>
        <w:pStyle w:val="27"/>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_Toc3807 </w:instrText>
      </w:r>
      <w:r>
        <w:rPr>
          <w:rFonts w:hint="eastAsia" w:ascii="宋体" w:hAnsi="宋体" w:eastAsia="宋体" w:cs="宋体"/>
          <w:kern w:val="0"/>
          <w:szCs w:val="28"/>
        </w:rPr>
        <w:fldChar w:fldCharType="separate"/>
      </w:r>
      <w:r>
        <w:rPr>
          <w:rFonts w:hint="eastAsia" w:ascii="宋体" w:hAnsi="宋体" w:eastAsia="宋体" w:cs="宋体"/>
          <w:szCs w:val="21"/>
          <w:lang w:val="en-US" w:eastAsia="zh-CN"/>
        </w:rPr>
        <w:t>第5章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_Toc3807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3DF1C166">
      <w:pPr>
        <w:pStyle w:val="27"/>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_Toc20575 </w:instrText>
      </w:r>
      <w:r>
        <w:rPr>
          <w:rFonts w:hint="eastAsia" w:ascii="宋体" w:hAnsi="宋体" w:eastAsia="宋体" w:cs="宋体"/>
          <w:kern w:val="0"/>
          <w:szCs w:val="28"/>
        </w:rPr>
        <w:fldChar w:fldCharType="separate"/>
      </w:r>
      <w:r>
        <w:rPr>
          <w:rFonts w:hint="eastAsia" w:ascii="宋体" w:hAnsi="宋体" w:eastAsia="宋体" w:cs="宋体"/>
          <w:szCs w:val="21"/>
        </w:rPr>
        <w:t>第6章 评审方法和标准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_Toc20575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5576D289">
      <w:pPr>
        <w:pStyle w:val="33"/>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_Toc2505 </w:instrText>
      </w:r>
      <w:r>
        <w:rPr>
          <w:rFonts w:hint="eastAsia" w:ascii="宋体" w:hAnsi="宋体" w:eastAsia="宋体" w:cs="宋体"/>
          <w:kern w:val="0"/>
          <w:szCs w:val="28"/>
        </w:rPr>
        <w:fldChar w:fldCharType="separate"/>
      </w:r>
      <w:r>
        <w:rPr>
          <w:rFonts w:hint="eastAsia" w:ascii="宋体" w:hAnsi="宋体" w:eastAsia="宋体" w:cs="宋体"/>
          <w:bCs/>
          <w:szCs w:val="28"/>
        </w:rPr>
        <w:t>初步评审—资格性审查表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_Toc2505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0D37A8ED">
      <w:pPr>
        <w:pStyle w:val="33"/>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_Toc17081 </w:instrText>
      </w:r>
      <w:r>
        <w:rPr>
          <w:rFonts w:hint="eastAsia" w:ascii="宋体" w:hAnsi="宋体" w:eastAsia="宋体" w:cs="宋体"/>
          <w:kern w:val="0"/>
          <w:szCs w:val="28"/>
        </w:rPr>
        <w:fldChar w:fldCharType="separate"/>
      </w:r>
      <w:r>
        <w:rPr>
          <w:rFonts w:hint="eastAsia" w:ascii="宋体" w:hAnsi="宋体" w:eastAsia="宋体" w:cs="宋体"/>
          <w:szCs w:val="32"/>
        </w:rPr>
        <w:t>初步评审—符合性审查表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_Toc17081 \h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7BC925C4">
      <w:pPr>
        <w:pStyle w:val="33"/>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_Toc2957 </w:instrText>
      </w:r>
      <w:r>
        <w:rPr>
          <w:rFonts w:hint="eastAsia" w:ascii="宋体" w:hAnsi="宋体" w:eastAsia="宋体" w:cs="宋体"/>
          <w:kern w:val="0"/>
          <w:szCs w:val="28"/>
        </w:rPr>
        <w:fldChar w:fldCharType="separate"/>
      </w:r>
      <w:r>
        <w:rPr>
          <w:rFonts w:hint="eastAsia" w:ascii="宋体" w:hAnsi="宋体" w:eastAsia="宋体" w:cs="宋体"/>
          <w:szCs w:val="32"/>
        </w:rPr>
        <w:t>综合评分表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_Toc2957 \h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1CA40A4D">
      <w:pPr>
        <w:pStyle w:val="27"/>
        <w:tabs>
          <w:tab w:val="right" w:leader="dot" w:pos="8306"/>
        </w:tabs>
        <w:spacing w:line="360" w:lineRule="auto"/>
        <w:rPr>
          <w:rFonts w:hint="eastAsia" w:ascii="宋体" w:hAnsi="宋体" w:eastAsia="宋体" w:cs="宋体"/>
        </w:rPr>
      </w:pPr>
      <w:r>
        <w:rPr>
          <w:rFonts w:hint="eastAsia" w:ascii="宋体" w:hAnsi="宋体" w:eastAsia="宋体" w:cs="宋体"/>
          <w:color w:val="auto"/>
          <w:kern w:val="0"/>
          <w:szCs w:val="28"/>
        </w:rPr>
        <w:fldChar w:fldCharType="begin"/>
      </w:r>
      <w:r>
        <w:rPr>
          <w:rFonts w:hint="eastAsia" w:ascii="宋体" w:hAnsi="宋体" w:eastAsia="宋体" w:cs="宋体"/>
          <w:kern w:val="0"/>
          <w:szCs w:val="28"/>
        </w:rPr>
        <w:instrText xml:space="preserve"> HYPERLINK \l _Toc11415 </w:instrText>
      </w:r>
      <w:r>
        <w:rPr>
          <w:rFonts w:hint="eastAsia" w:ascii="宋体" w:hAnsi="宋体" w:eastAsia="宋体" w:cs="宋体"/>
          <w:kern w:val="0"/>
          <w:szCs w:val="28"/>
        </w:rPr>
        <w:fldChar w:fldCharType="separate"/>
      </w:r>
      <w:r>
        <w:rPr>
          <w:rFonts w:hint="eastAsia" w:ascii="宋体" w:hAnsi="宋体" w:eastAsia="宋体" w:cs="宋体"/>
          <w:szCs w:val="40"/>
        </w:rPr>
        <w:t>第7章 合同条款及格式</w:t>
      </w:r>
      <w:r>
        <w:rPr>
          <w:rFonts w:hint="eastAsia" w:ascii="宋体" w:hAnsi="宋体" w:eastAsia="宋体" w:cs="宋体"/>
          <w:szCs w:val="40"/>
          <w:lang w:eastAsia="zh-CN"/>
        </w:rPr>
        <w:t>（</w:t>
      </w:r>
      <w:r>
        <w:rPr>
          <w:rFonts w:hint="eastAsia" w:ascii="宋体" w:hAnsi="宋体" w:eastAsia="宋体" w:cs="宋体"/>
          <w:szCs w:val="40"/>
          <w:lang w:val="en-US" w:eastAsia="zh-CN"/>
        </w:rPr>
        <w:t>具体已签订合同为准）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_Toc11415 \h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color w:val="auto"/>
          <w:kern w:val="0"/>
          <w:szCs w:val="28"/>
        </w:rPr>
        <w:fldChar w:fldCharType="end"/>
      </w:r>
    </w:p>
    <w:p w14:paraId="197F69CE">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kern w:val="0"/>
          <w:sz w:val="28"/>
          <w:szCs w:val="28"/>
        </w:rPr>
      </w:pPr>
      <w:r>
        <w:rPr>
          <w:rFonts w:hint="eastAsia" w:ascii="宋体" w:hAnsi="宋体" w:eastAsia="宋体" w:cs="宋体"/>
          <w:color w:val="auto"/>
          <w:kern w:val="0"/>
          <w:szCs w:val="28"/>
        </w:rPr>
        <w:fldChar w:fldCharType="end"/>
      </w:r>
    </w:p>
    <w:p w14:paraId="759D9BF3">
      <w:pPr>
        <w:pStyle w:val="11"/>
        <w:spacing w:line="360" w:lineRule="auto"/>
        <w:rPr>
          <w:rFonts w:hint="eastAsia" w:ascii="宋体" w:hAnsi="宋体" w:eastAsia="宋体" w:cs="宋体"/>
          <w:color w:val="auto"/>
          <w:sz w:val="28"/>
          <w:szCs w:val="28"/>
        </w:rPr>
      </w:pPr>
    </w:p>
    <w:p w14:paraId="7948B4C2">
      <w:pPr>
        <w:pStyle w:val="4"/>
        <w:spacing w:line="360" w:lineRule="auto"/>
        <w:rPr>
          <w:rFonts w:hint="eastAsia" w:ascii="宋体" w:hAnsi="宋体" w:eastAsia="宋体" w:cs="宋体"/>
          <w:color w:val="auto"/>
          <w:sz w:val="28"/>
          <w:szCs w:val="28"/>
        </w:rPr>
      </w:pPr>
    </w:p>
    <w:p w14:paraId="4C2A1D79">
      <w:pPr>
        <w:spacing w:line="360" w:lineRule="auto"/>
        <w:rPr>
          <w:rFonts w:hint="eastAsia" w:ascii="宋体" w:hAnsi="宋体" w:eastAsia="宋体" w:cs="宋体"/>
          <w:color w:val="auto"/>
          <w:sz w:val="22"/>
          <w:szCs w:val="28"/>
        </w:rPr>
      </w:pPr>
    </w:p>
    <w:p w14:paraId="0A8C5870">
      <w:pPr>
        <w:pStyle w:val="2"/>
        <w:tabs>
          <w:tab w:val="left" w:pos="0"/>
        </w:tabs>
        <w:snapToGrid w:val="0"/>
        <w:spacing w:before="0" w:after="0" w:line="360" w:lineRule="auto"/>
        <w:jc w:val="both"/>
        <w:textAlignment w:val="baseline"/>
        <w:rPr>
          <w:rFonts w:hint="eastAsia" w:ascii="宋体" w:hAnsi="宋体" w:eastAsia="宋体" w:cs="宋体"/>
          <w:color w:val="auto"/>
          <w:kern w:val="0"/>
          <w:sz w:val="28"/>
          <w:szCs w:val="28"/>
        </w:rPr>
        <w:sectPr>
          <w:headerReference r:id="rId3" w:type="default"/>
          <w:footerReference r:id="rId4" w:type="default"/>
          <w:pgSz w:w="11906" w:h="16839"/>
          <w:pgMar w:top="1440" w:right="1800" w:bottom="1440" w:left="1800" w:header="0" w:footer="408" w:gutter="0"/>
          <w:pgNumType w:fmt="decimal"/>
          <w:cols w:space="720" w:num="1"/>
        </w:sectPr>
      </w:pPr>
      <w:bookmarkStart w:id="3" w:name="_Toc9179"/>
    </w:p>
    <w:p w14:paraId="35E4A541">
      <w:pPr>
        <w:pStyle w:val="2"/>
        <w:tabs>
          <w:tab w:val="left" w:pos="0"/>
        </w:tabs>
        <w:snapToGrid w:val="0"/>
        <w:spacing w:before="0" w:after="0" w:line="360" w:lineRule="auto"/>
        <w:jc w:val="center"/>
        <w:textAlignment w:val="baseline"/>
        <w:rPr>
          <w:rFonts w:hint="eastAsia" w:ascii="宋体" w:hAnsi="宋体" w:eastAsia="宋体" w:cs="宋体"/>
          <w:color w:val="auto"/>
          <w:sz w:val="28"/>
          <w:szCs w:val="28"/>
        </w:rPr>
      </w:pPr>
      <w:bookmarkStart w:id="4" w:name="_Toc11745"/>
      <w:r>
        <w:rPr>
          <w:rFonts w:hint="eastAsia" w:ascii="宋体" w:hAnsi="宋体" w:eastAsia="宋体" w:cs="宋体"/>
          <w:color w:val="auto"/>
          <w:kern w:val="0"/>
          <w:sz w:val="28"/>
          <w:szCs w:val="28"/>
        </w:rPr>
        <w:t xml:space="preserve">第1章  </w:t>
      </w:r>
      <w:r>
        <w:rPr>
          <w:rFonts w:hint="eastAsia" w:ascii="宋体" w:hAnsi="宋体" w:eastAsia="宋体" w:cs="宋体"/>
          <w:color w:val="auto"/>
          <w:sz w:val="28"/>
          <w:szCs w:val="28"/>
        </w:rPr>
        <w:t>供应商须知</w:t>
      </w:r>
      <w:bookmarkEnd w:id="0"/>
      <w:bookmarkEnd w:id="1"/>
      <w:bookmarkEnd w:id="2"/>
      <w:bookmarkEnd w:id="3"/>
      <w:bookmarkEnd w:id="4"/>
    </w:p>
    <w:p w14:paraId="42C01BEC">
      <w:pPr>
        <w:pStyle w:val="3"/>
        <w:snapToGrid w:val="0"/>
        <w:spacing w:before="0" w:line="360" w:lineRule="auto"/>
        <w:ind w:left="1080" w:leftChars="257" w:hanging="540"/>
        <w:textAlignment w:val="baseline"/>
        <w:rPr>
          <w:rFonts w:hint="eastAsia" w:ascii="宋体" w:hAnsi="宋体" w:eastAsia="宋体" w:cs="宋体"/>
          <w:color w:val="auto"/>
          <w:sz w:val="28"/>
          <w:szCs w:val="28"/>
        </w:rPr>
      </w:pPr>
      <w:bookmarkStart w:id="5" w:name="_Toc520356143"/>
      <w:bookmarkStart w:id="6" w:name="_Toc515647757"/>
      <w:bookmarkStart w:id="7" w:name="_Toc216582805"/>
      <w:bookmarkStart w:id="8" w:name="_Toc9335"/>
      <w:bookmarkStart w:id="9" w:name="_Toc21015"/>
      <w:bookmarkStart w:id="10" w:name="_Toc30837"/>
      <w:bookmarkStart w:id="11" w:name="_Toc21215"/>
      <w:r>
        <w:rPr>
          <w:rFonts w:hint="eastAsia" w:ascii="宋体" w:hAnsi="宋体" w:eastAsia="宋体" w:cs="宋体"/>
          <w:color w:val="auto"/>
          <w:sz w:val="28"/>
          <w:szCs w:val="28"/>
        </w:rPr>
        <w:t xml:space="preserve">一   </w:t>
      </w:r>
      <w:bookmarkEnd w:id="5"/>
      <w:bookmarkEnd w:id="6"/>
      <w:bookmarkEnd w:id="7"/>
      <w:r>
        <w:rPr>
          <w:rFonts w:hint="eastAsia" w:ascii="宋体" w:hAnsi="宋体" w:eastAsia="宋体" w:cs="宋体"/>
          <w:color w:val="auto"/>
          <w:sz w:val="28"/>
          <w:szCs w:val="28"/>
        </w:rPr>
        <w:t>总 则</w:t>
      </w:r>
      <w:bookmarkEnd w:id="8"/>
      <w:bookmarkEnd w:id="9"/>
      <w:bookmarkEnd w:id="10"/>
      <w:bookmarkEnd w:id="11"/>
    </w:p>
    <w:p w14:paraId="789718E1">
      <w:pPr>
        <w:pStyle w:val="4"/>
        <w:snapToGrid w:val="0"/>
        <w:spacing w:before="0" w:after="0" w:line="360" w:lineRule="auto"/>
        <w:textAlignment w:val="baseline"/>
        <w:rPr>
          <w:rFonts w:hint="eastAsia" w:ascii="宋体" w:hAnsi="宋体" w:eastAsia="宋体" w:cs="宋体"/>
          <w:color w:val="auto"/>
          <w:sz w:val="28"/>
          <w:szCs w:val="28"/>
          <w:u w:color="000000"/>
        </w:rPr>
      </w:pPr>
      <w:bookmarkStart w:id="12" w:name="_Toc515647758"/>
      <w:bookmarkStart w:id="13" w:name="_Toc32623"/>
      <w:bookmarkStart w:id="14" w:name="_Toc32189"/>
      <w:bookmarkStart w:id="15" w:name="_Toc520356144"/>
      <w:bookmarkStart w:id="16" w:name="_Toc19826"/>
      <w:bookmarkStart w:id="17" w:name="_Toc16079"/>
      <w:bookmarkStart w:id="18" w:name="_Toc20385"/>
      <w:bookmarkStart w:id="19" w:name="_Toc6040"/>
      <w:bookmarkStart w:id="20" w:name="_Toc16501"/>
      <w:bookmarkStart w:id="21" w:name="_Toc19219"/>
      <w:bookmarkStart w:id="22" w:name="_Toc27535"/>
      <w:bookmarkStart w:id="23" w:name="_Toc11217"/>
      <w:bookmarkStart w:id="24" w:name="_Toc28974"/>
      <w:r>
        <w:rPr>
          <w:rFonts w:hint="eastAsia" w:ascii="宋体" w:hAnsi="宋体" w:eastAsia="宋体" w:cs="宋体"/>
          <w:color w:val="auto"/>
          <w:sz w:val="28"/>
          <w:szCs w:val="28"/>
          <w:u w:color="000000"/>
        </w:rPr>
        <w:t>1.采购人、采购代理机构及</w:t>
      </w:r>
      <w:bookmarkEnd w:id="12"/>
      <w:bookmarkEnd w:id="13"/>
      <w:bookmarkEnd w:id="14"/>
      <w:bookmarkEnd w:id="15"/>
      <w:r>
        <w:rPr>
          <w:rFonts w:hint="eastAsia" w:ascii="宋体" w:hAnsi="宋体" w:eastAsia="宋体" w:cs="宋体"/>
          <w:color w:val="auto"/>
          <w:sz w:val="28"/>
          <w:szCs w:val="28"/>
          <w:u w:color="000000"/>
        </w:rPr>
        <w:t>供应商</w:t>
      </w:r>
      <w:bookmarkEnd w:id="16"/>
      <w:bookmarkEnd w:id="17"/>
      <w:bookmarkEnd w:id="18"/>
      <w:bookmarkEnd w:id="19"/>
      <w:bookmarkEnd w:id="20"/>
      <w:bookmarkEnd w:id="21"/>
      <w:bookmarkEnd w:id="22"/>
      <w:bookmarkEnd w:id="23"/>
      <w:bookmarkEnd w:id="24"/>
    </w:p>
    <w:p w14:paraId="2F8D15A1">
      <w:pPr>
        <w:tabs>
          <w:tab w:val="left" w:pos="0"/>
        </w:tabs>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1.1    采购人：是指依法开展政府采购活动的国家机关、事业单位、团体组织。</w:t>
      </w:r>
    </w:p>
    <w:p w14:paraId="672CD162">
      <w:pPr>
        <w:tabs>
          <w:tab w:val="left" w:pos="0"/>
        </w:tabs>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本项目的采购人见</w:t>
      </w:r>
      <w:r>
        <w:rPr>
          <w:rFonts w:hint="eastAsia" w:ascii="宋体" w:hAnsi="宋体" w:eastAsia="宋体" w:cs="宋体"/>
          <w:color w:val="auto"/>
          <w:sz w:val="28"/>
          <w:szCs w:val="28"/>
          <w:u w:val="single" w:color="000000"/>
        </w:rPr>
        <w:t>供应商须知资料表</w:t>
      </w:r>
      <w:r>
        <w:rPr>
          <w:rFonts w:hint="eastAsia" w:ascii="宋体" w:hAnsi="宋体" w:eastAsia="宋体" w:cs="宋体"/>
          <w:color w:val="auto"/>
          <w:sz w:val="28"/>
          <w:szCs w:val="28"/>
        </w:rPr>
        <w:t>。</w:t>
      </w:r>
    </w:p>
    <w:p w14:paraId="38B5ABEB">
      <w:pPr>
        <w:tabs>
          <w:tab w:val="left" w:pos="0"/>
        </w:tabs>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1.2   采购代理机构：是指在集中采购机构或从事采购代理业务的社会中介机构。本项目的采购代理机构见</w:t>
      </w:r>
      <w:r>
        <w:rPr>
          <w:rFonts w:hint="eastAsia" w:ascii="宋体" w:hAnsi="宋体" w:eastAsia="宋体" w:cs="宋体"/>
          <w:color w:val="auto"/>
          <w:sz w:val="28"/>
          <w:szCs w:val="28"/>
          <w:u w:val="single" w:color="000000"/>
        </w:rPr>
        <w:t>供应商须知资料表</w:t>
      </w:r>
      <w:r>
        <w:rPr>
          <w:rFonts w:hint="eastAsia" w:ascii="宋体" w:hAnsi="宋体" w:eastAsia="宋体" w:cs="宋体"/>
          <w:color w:val="auto"/>
          <w:sz w:val="28"/>
          <w:szCs w:val="28"/>
        </w:rPr>
        <w:t>。</w:t>
      </w:r>
    </w:p>
    <w:p w14:paraId="6A79B50E">
      <w:pPr>
        <w:numPr>
          <w:ilvl w:val="1"/>
          <w:numId w:val="2"/>
        </w:numPr>
        <w:snapToGrid w:val="0"/>
        <w:spacing w:line="360" w:lineRule="auto"/>
        <w:ind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供应商：是指向采购人提供货物、工程或者服务的法人、非法人组织或者自然人。</w:t>
      </w:r>
    </w:p>
    <w:p w14:paraId="1F13F077">
      <w:pPr>
        <w:snapToGrid w:val="0"/>
        <w:spacing w:line="360" w:lineRule="auto"/>
        <w:ind w:left="850" w:hanging="991" w:hangingChars="354"/>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1.3.1</w:t>
      </w:r>
      <w:r>
        <w:rPr>
          <w:rFonts w:hint="eastAsia" w:ascii="宋体" w:hAnsi="宋体" w:eastAsia="宋体" w:cs="宋体"/>
          <w:color w:val="auto"/>
          <w:sz w:val="28"/>
          <w:szCs w:val="28"/>
        </w:rPr>
        <w:tab/>
      </w:r>
      <w:r>
        <w:rPr>
          <w:rFonts w:hint="eastAsia" w:ascii="宋体" w:hAnsi="宋体" w:eastAsia="宋体" w:cs="宋体"/>
          <w:color w:val="auto"/>
          <w:sz w:val="28"/>
          <w:szCs w:val="28"/>
        </w:rPr>
        <w:t>在中华人民共和国境内注册，能够独立承担民事责任，有生产或供应能力的本国供应商。</w:t>
      </w:r>
    </w:p>
    <w:p w14:paraId="4EA1FF2D">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1.3.2  具备《中华人民共和国政府采购法》第二十二条关于供应商条件的规定，遵守本项目采购人本级和上级财政部门政府采购的有关规定。</w:t>
      </w:r>
    </w:p>
    <w:p w14:paraId="5B061701">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1.3.3   以采购代理机构认可的方式获得了本项目的磋商文件。</w:t>
      </w:r>
    </w:p>
    <w:p w14:paraId="17587A37">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1.3.4   符合</w:t>
      </w:r>
      <w:r>
        <w:rPr>
          <w:rFonts w:hint="eastAsia" w:ascii="宋体" w:hAnsi="宋体" w:eastAsia="宋体" w:cs="宋体"/>
          <w:color w:val="auto"/>
          <w:sz w:val="28"/>
          <w:szCs w:val="28"/>
          <w:u w:val="single" w:color="000000"/>
        </w:rPr>
        <w:t>供应商须知资料表</w:t>
      </w:r>
      <w:r>
        <w:rPr>
          <w:rFonts w:hint="eastAsia" w:ascii="宋体" w:hAnsi="宋体" w:eastAsia="宋体" w:cs="宋体"/>
          <w:color w:val="auto"/>
          <w:sz w:val="28"/>
          <w:szCs w:val="28"/>
        </w:rPr>
        <w:t>中规定的其他要求。</w:t>
      </w:r>
    </w:p>
    <w:p w14:paraId="4B9653F8">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1.3.5   若</w:t>
      </w:r>
      <w:r>
        <w:rPr>
          <w:rFonts w:hint="eastAsia" w:ascii="宋体" w:hAnsi="宋体" w:eastAsia="宋体" w:cs="宋体"/>
          <w:color w:val="auto"/>
          <w:sz w:val="28"/>
          <w:szCs w:val="28"/>
          <w:u w:val="single" w:color="000000"/>
        </w:rPr>
        <w:t>供应商须知资料表</w:t>
      </w:r>
      <w:r>
        <w:rPr>
          <w:rFonts w:hint="eastAsia" w:ascii="宋体" w:hAnsi="宋体" w:eastAsia="宋体" w:cs="宋体"/>
          <w:color w:val="auto"/>
          <w:sz w:val="28"/>
          <w:szCs w:val="28"/>
        </w:rPr>
        <w:t>中写明允许采购进口产品，供应商应保证所投产品可履行合法报通关手续进入中国关境内。</w:t>
      </w:r>
    </w:p>
    <w:p w14:paraId="623A57CB">
      <w:pPr>
        <w:snapToGrid w:val="0"/>
        <w:spacing w:line="360" w:lineRule="auto"/>
        <w:ind w:left="958" w:leftChars="456"/>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若</w:t>
      </w:r>
      <w:r>
        <w:rPr>
          <w:rFonts w:hint="eastAsia" w:ascii="宋体" w:hAnsi="宋体" w:eastAsia="宋体" w:cs="宋体"/>
          <w:color w:val="auto"/>
          <w:sz w:val="28"/>
          <w:szCs w:val="28"/>
          <w:u w:val="single" w:color="000000"/>
        </w:rPr>
        <w:t>供应商须知资料表</w:t>
      </w:r>
      <w:r>
        <w:rPr>
          <w:rFonts w:hint="eastAsia" w:ascii="宋体" w:hAnsi="宋体" w:eastAsia="宋体" w:cs="宋体"/>
          <w:color w:val="auto"/>
          <w:sz w:val="28"/>
          <w:szCs w:val="28"/>
        </w:rPr>
        <w:t>中未写明允许采购进口产品，如供应商所投产品为进口产品，其磋商将被认定为</w:t>
      </w:r>
      <w:r>
        <w:rPr>
          <w:rFonts w:hint="eastAsia" w:ascii="宋体" w:hAnsi="宋体" w:eastAsia="宋体" w:cs="宋体"/>
          <w:b/>
          <w:bCs/>
          <w:color w:val="auto"/>
          <w:sz w:val="28"/>
          <w:szCs w:val="28"/>
        </w:rPr>
        <w:t>磋商无效</w:t>
      </w:r>
      <w:r>
        <w:rPr>
          <w:rFonts w:hint="eastAsia" w:ascii="宋体" w:hAnsi="宋体" w:eastAsia="宋体" w:cs="宋体"/>
          <w:color w:val="auto"/>
          <w:sz w:val="28"/>
          <w:szCs w:val="28"/>
        </w:rPr>
        <w:t>。</w:t>
      </w:r>
    </w:p>
    <w:p w14:paraId="146DAA4B">
      <w:pPr>
        <w:snapToGrid w:val="0"/>
        <w:spacing w:line="360" w:lineRule="auto"/>
        <w:ind w:left="840" w:hanging="980" w:hangingChars="35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1.3.6  若</w:t>
      </w:r>
      <w:r>
        <w:rPr>
          <w:rFonts w:hint="eastAsia" w:ascii="宋体" w:hAnsi="宋体" w:eastAsia="宋体" w:cs="宋体"/>
          <w:color w:val="auto"/>
          <w:sz w:val="28"/>
          <w:szCs w:val="28"/>
          <w:u w:val="single" w:color="000000"/>
        </w:rPr>
        <w:t>供应商须知资料表</w:t>
      </w:r>
      <w:r>
        <w:rPr>
          <w:rFonts w:hint="eastAsia" w:ascii="宋体" w:hAnsi="宋体" w:eastAsia="宋体" w:cs="宋体"/>
          <w:color w:val="auto"/>
          <w:sz w:val="28"/>
          <w:szCs w:val="28"/>
        </w:rPr>
        <w:t>中写明专门面向中小企业采购的，如供应商为非中小企业且所投产品为非中小企业产品，其磋商将被认定为</w:t>
      </w:r>
      <w:r>
        <w:rPr>
          <w:rFonts w:hint="eastAsia" w:ascii="宋体" w:hAnsi="宋体" w:eastAsia="宋体" w:cs="宋体"/>
          <w:b/>
          <w:bCs/>
          <w:color w:val="auto"/>
          <w:sz w:val="28"/>
          <w:szCs w:val="28"/>
        </w:rPr>
        <w:t>磋商无效</w:t>
      </w:r>
      <w:r>
        <w:rPr>
          <w:rFonts w:hint="eastAsia" w:ascii="宋体" w:hAnsi="宋体" w:eastAsia="宋体" w:cs="宋体"/>
          <w:color w:val="auto"/>
          <w:sz w:val="28"/>
          <w:szCs w:val="28"/>
        </w:rPr>
        <w:t>。</w:t>
      </w:r>
    </w:p>
    <w:p w14:paraId="09B3DB70">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1.4     如</w:t>
      </w:r>
      <w:r>
        <w:rPr>
          <w:rFonts w:hint="eastAsia" w:ascii="宋体" w:hAnsi="宋体" w:eastAsia="宋体" w:cs="宋体"/>
          <w:color w:val="auto"/>
          <w:sz w:val="28"/>
          <w:szCs w:val="28"/>
          <w:u w:val="single" w:color="000000"/>
        </w:rPr>
        <w:t>供应商须知资料表</w:t>
      </w:r>
      <w:r>
        <w:rPr>
          <w:rFonts w:hint="eastAsia" w:ascii="宋体" w:hAnsi="宋体" w:eastAsia="宋体" w:cs="宋体"/>
          <w:color w:val="auto"/>
          <w:sz w:val="28"/>
          <w:szCs w:val="28"/>
        </w:rPr>
        <w:t>中允许联合体磋商，对联合体规定如下：</w:t>
      </w:r>
    </w:p>
    <w:p w14:paraId="47945F01">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1.4.1   两个以上供应商可以组成一个磋商联合体，以一个供应商的身份磋商。</w:t>
      </w:r>
    </w:p>
    <w:p w14:paraId="40000BA7">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1.4.2   联合体各方均应符合《中华人民共和国政府采购法》第二十二条规定的条件。</w:t>
      </w:r>
    </w:p>
    <w:p w14:paraId="53BA8C04">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1.4.3   采购人根据采购项目对供应商的特殊要求，联合体中至少应当有一方符合相关规定。</w:t>
      </w:r>
    </w:p>
    <w:p w14:paraId="505A705C">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1.4.4   联合体各方应签订共同磋商协议，明确约定联合体各方承担的工作和相应的责任，并将共同磋商协议连同作为磋商文件第一部分的内容提交。</w:t>
      </w:r>
    </w:p>
    <w:p w14:paraId="37B0D87D">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1.4.5   大中型企业、其他自然人、法人或者非法人组织与小型、微型企业组成联合体共同参加磋商，共同磋商协议中应写明小型、微型企业的协议合同金额占到共同磋商协议磋商总金额的比例。</w:t>
      </w:r>
    </w:p>
    <w:p w14:paraId="3007EB76">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1.4.6  联合体中有同类资质的供应商按照联合体分工承担相同工作的，按照较低的资质等级确定联合体的资质等级。</w:t>
      </w:r>
    </w:p>
    <w:p w14:paraId="7C2D564C">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1.4.7  以联合体形式参加政府采购活动的，联合体各方不得再单独参加或者与其他供应商另外组成联合体参加本项目磋商，否则相关磋商将被认定为</w:t>
      </w:r>
      <w:r>
        <w:rPr>
          <w:rFonts w:hint="eastAsia" w:ascii="宋体" w:hAnsi="宋体" w:eastAsia="宋体" w:cs="宋体"/>
          <w:b/>
          <w:bCs/>
          <w:color w:val="auto"/>
          <w:sz w:val="28"/>
          <w:szCs w:val="28"/>
        </w:rPr>
        <w:t>磋商无效</w:t>
      </w:r>
      <w:r>
        <w:rPr>
          <w:rFonts w:hint="eastAsia" w:ascii="宋体" w:hAnsi="宋体" w:eastAsia="宋体" w:cs="宋体"/>
          <w:color w:val="auto"/>
          <w:sz w:val="28"/>
          <w:szCs w:val="28"/>
        </w:rPr>
        <w:t>。</w:t>
      </w:r>
    </w:p>
    <w:p w14:paraId="02838C9F">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1.4.8   对联合体磋商的其他资格要求见</w:t>
      </w:r>
      <w:r>
        <w:rPr>
          <w:rFonts w:hint="eastAsia" w:ascii="宋体" w:hAnsi="宋体" w:eastAsia="宋体" w:cs="宋体"/>
          <w:color w:val="auto"/>
          <w:sz w:val="28"/>
          <w:szCs w:val="28"/>
          <w:u w:val="single" w:color="000000"/>
        </w:rPr>
        <w:t>供应商须知资料表</w:t>
      </w:r>
      <w:r>
        <w:rPr>
          <w:rFonts w:hint="eastAsia" w:ascii="宋体" w:hAnsi="宋体" w:eastAsia="宋体" w:cs="宋体"/>
          <w:color w:val="auto"/>
          <w:sz w:val="28"/>
          <w:szCs w:val="28"/>
        </w:rPr>
        <w:t>。</w:t>
      </w:r>
    </w:p>
    <w:p w14:paraId="2440169C">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1.5    单位负责人为同一人或者存在直接控股、管理关系的不同供应商，其相关磋商将被认定为</w:t>
      </w:r>
      <w:r>
        <w:rPr>
          <w:rFonts w:hint="eastAsia" w:ascii="宋体" w:hAnsi="宋体" w:eastAsia="宋体" w:cs="宋体"/>
          <w:b/>
          <w:bCs/>
          <w:color w:val="auto"/>
          <w:sz w:val="28"/>
          <w:szCs w:val="28"/>
        </w:rPr>
        <w:t>磋商无效</w:t>
      </w:r>
      <w:r>
        <w:rPr>
          <w:rFonts w:hint="eastAsia" w:ascii="宋体" w:hAnsi="宋体" w:eastAsia="宋体" w:cs="宋体"/>
          <w:color w:val="auto"/>
          <w:sz w:val="28"/>
          <w:szCs w:val="28"/>
        </w:rPr>
        <w:t>。</w:t>
      </w:r>
    </w:p>
    <w:p w14:paraId="6762C289">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1.6    为本项目提供过整体设计、规范编制或者项目管理、监理、检测等服务的供应商，不得再参加本项目上述货物以外的其他采购活动。否则其磋商将被认定为</w:t>
      </w:r>
      <w:r>
        <w:rPr>
          <w:rFonts w:hint="eastAsia" w:ascii="宋体" w:hAnsi="宋体" w:eastAsia="宋体" w:cs="宋体"/>
          <w:b/>
          <w:bCs/>
          <w:color w:val="auto"/>
          <w:sz w:val="28"/>
          <w:szCs w:val="28"/>
        </w:rPr>
        <w:t>磋商无效</w:t>
      </w:r>
      <w:r>
        <w:rPr>
          <w:rFonts w:hint="eastAsia" w:ascii="宋体" w:hAnsi="宋体" w:eastAsia="宋体" w:cs="宋体"/>
          <w:color w:val="auto"/>
          <w:sz w:val="28"/>
          <w:szCs w:val="28"/>
        </w:rPr>
        <w:t>。</w:t>
      </w:r>
    </w:p>
    <w:p w14:paraId="096A272C">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1.7</w:t>
      </w:r>
      <w:r>
        <w:rPr>
          <w:rFonts w:hint="eastAsia" w:ascii="宋体" w:hAnsi="宋体" w:eastAsia="宋体" w:cs="宋体"/>
          <w:color w:val="auto"/>
          <w:sz w:val="28"/>
          <w:szCs w:val="28"/>
        </w:rPr>
        <w:tab/>
      </w:r>
      <w:r>
        <w:rPr>
          <w:rFonts w:hint="eastAsia" w:ascii="宋体" w:hAnsi="宋体" w:eastAsia="宋体" w:cs="宋体"/>
          <w:color w:val="auto"/>
          <w:sz w:val="28"/>
          <w:szCs w:val="28"/>
        </w:rPr>
        <w:t>供应商在磋商过程中不得向采购人提供、给予任何有价值的物品，影响其正常决策行为。一经发现，其将被认定为</w:t>
      </w:r>
      <w:r>
        <w:rPr>
          <w:rFonts w:hint="eastAsia" w:ascii="宋体" w:hAnsi="宋体" w:eastAsia="宋体" w:cs="宋体"/>
          <w:b/>
          <w:bCs/>
          <w:color w:val="auto"/>
          <w:sz w:val="28"/>
          <w:szCs w:val="28"/>
        </w:rPr>
        <w:t>磋商无效</w:t>
      </w:r>
      <w:r>
        <w:rPr>
          <w:rFonts w:hint="eastAsia" w:ascii="宋体" w:hAnsi="宋体" w:eastAsia="宋体" w:cs="宋体"/>
          <w:color w:val="auto"/>
          <w:sz w:val="28"/>
          <w:szCs w:val="28"/>
        </w:rPr>
        <w:t>。</w:t>
      </w:r>
    </w:p>
    <w:p w14:paraId="351EF7E8">
      <w:pPr>
        <w:pStyle w:val="4"/>
        <w:snapToGrid w:val="0"/>
        <w:spacing w:before="0" w:after="0" w:line="360" w:lineRule="auto"/>
        <w:textAlignment w:val="baseline"/>
        <w:rPr>
          <w:rFonts w:hint="eastAsia" w:ascii="宋体" w:hAnsi="宋体" w:eastAsia="宋体" w:cs="宋体"/>
          <w:color w:val="auto"/>
          <w:sz w:val="28"/>
          <w:szCs w:val="28"/>
          <w:u w:color="000000"/>
        </w:rPr>
      </w:pPr>
      <w:bookmarkStart w:id="25" w:name="_Toc1145"/>
      <w:bookmarkStart w:id="26" w:name="_Toc21415"/>
      <w:bookmarkStart w:id="27" w:name="_Toc17954"/>
      <w:bookmarkStart w:id="28" w:name="_Toc20993"/>
      <w:bookmarkStart w:id="29" w:name="_Toc12139"/>
      <w:bookmarkStart w:id="30" w:name="_Toc12994"/>
      <w:bookmarkStart w:id="31" w:name="_Toc32017"/>
      <w:bookmarkStart w:id="32" w:name="_Toc515647759"/>
      <w:bookmarkStart w:id="33" w:name="_Toc31303"/>
      <w:bookmarkStart w:id="34" w:name="_Toc12082"/>
      <w:bookmarkStart w:id="35" w:name="_Toc17959"/>
      <w:bookmarkStart w:id="36" w:name="_Toc5286"/>
      <w:r>
        <w:rPr>
          <w:rFonts w:hint="eastAsia" w:ascii="宋体" w:hAnsi="宋体" w:eastAsia="宋体" w:cs="宋体"/>
          <w:color w:val="auto"/>
          <w:sz w:val="28"/>
          <w:szCs w:val="28"/>
          <w:u w:color="000000"/>
        </w:rPr>
        <w:t>2.资金来源</w:t>
      </w:r>
      <w:bookmarkEnd w:id="25"/>
      <w:bookmarkEnd w:id="26"/>
      <w:bookmarkEnd w:id="27"/>
      <w:bookmarkEnd w:id="28"/>
      <w:bookmarkEnd w:id="29"/>
      <w:bookmarkEnd w:id="30"/>
      <w:bookmarkEnd w:id="31"/>
      <w:bookmarkEnd w:id="32"/>
      <w:bookmarkEnd w:id="33"/>
      <w:bookmarkEnd w:id="34"/>
      <w:bookmarkEnd w:id="35"/>
      <w:bookmarkEnd w:id="36"/>
    </w:p>
    <w:p w14:paraId="53C84033">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2.1</w:t>
      </w:r>
      <w:r>
        <w:rPr>
          <w:rFonts w:hint="eastAsia" w:ascii="宋体" w:hAnsi="宋体" w:eastAsia="宋体" w:cs="宋体"/>
          <w:color w:val="auto"/>
          <w:sz w:val="28"/>
          <w:szCs w:val="28"/>
        </w:rPr>
        <w:tab/>
      </w:r>
      <w:r>
        <w:rPr>
          <w:rFonts w:hint="eastAsia" w:ascii="宋体" w:hAnsi="宋体" w:eastAsia="宋体" w:cs="宋体"/>
          <w:color w:val="auto"/>
          <w:sz w:val="28"/>
          <w:szCs w:val="28"/>
        </w:rPr>
        <w:t>本项目的采购人已获得足以支付本次招标后所签订的合同项下的资金（包括财政性资金和本项目采购中无法与财政性资金分割的非财政性资金）。</w:t>
      </w:r>
    </w:p>
    <w:p w14:paraId="4AB0BEFE">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2.2    项目预算金额和分项或分包最高限价</w:t>
      </w:r>
      <w:r>
        <w:rPr>
          <w:rFonts w:hint="eastAsia" w:ascii="宋体" w:hAnsi="宋体" w:eastAsia="宋体" w:cs="宋体"/>
          <w:color w:val="auto"/>
          <w:sz w:val="28"/>
          <w:szCs w:val="28"/>
          <w:u w:val="single" w:color="000000"/>
        </w:rPr>
        <w:t>见供应商须知资料表</w:t>
      </w:r>
      <w:r>
        <w:rPr>
          <w:rFonts w:hint="eastAsia" w:ascii="宋体" w:hAnsi="宋体" w:eastAsia="宋体" w:cs="宋体"/>
          <w:color w:val="auto"/>
          <w:sz w:val="28"/>
          <w:szCs w:val="28"/>
        </w:rPr>
        <w:t>。</w:t>
      </w:r>
    </w:p>
    <w:p w14:paraId="62739BB7">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2.3    供应商报价超过磋商文件规定的预算金额或者分项、分包最高限价的，其磋商将被认定为</w:t>
      </w:r>
      <w:r>
        <w:rPr>
          <w:rFonts w:hint="eastAsia" w:ascii="宋体" w:hAnsi="宋体" w:eastAsia="宋体" w:cs="宋体"/>
          <w:b/>
          <w:bCs/>
          <w:color w:val="auto"/>
          <w:sz w:val="28"/>
          <w:szCs w:val="28"/>
        </w:rPr>
        <w:t>磋商无效</w:t>
      </w:r>
      <w:r>
        <w:rPr>
          <w:rFonts w:hint="eastAsia" w:ascii="宋体" w:hAnsi="宋体" w:eastAsia="宋体" w:cs="宋体"/>
          <w:color w:val="auto"/>
          <w:sz w:val="28"/>
          <w:szCs w:val="28"/>
        </w:rPr>
        <w:t>。</w:t>
      </w:r>
    </w:p>
    <w:p w14:paraId="41D06328">
      <w:pPr>
        <w:pStyle w:val="4"/>
        <w:snapToGrid w:val="0"/>
        <w:spacing w:before="0" w:after="0" w:line="360" w:lineRule="auto"/>
        <w:textAlignment w:val="baseline"/>
        <w:rPr>
          <w:rFonts w:hint="eastAsia" w:ascii="宋体" w:hAnsi="宋体" w:eastAsia="宋体" w:cs="宋体"/>
          <w:color w:val="auto"/>
          <w:sz w:val="28"/>
          <w:szCs w:val="28"/>
          <w:u w:color="000000"/>
        </w:rPr>
      </w:pPr>
      <w:bookmarkStart w:id="37" w:name="_Toc520356145"/>
      <w:bookmarkStart w:id="38" w:name="_Toc6076"/>
      <w:bookmarkStart w:id="39" w:name="_Toc3164"/>
      <w:bookmarkStart w:id="40" w:name="_Toc18168"/>
      <w:bookmarkStart w:id="41" w:name="_Toc23939"/>
      <w:bookmarkStart w:id="42" w:name="_Toc20526"/>
      <w:bookmarkStart w:id="43" w:name="_Toc3987"/>
      <w:bookmarkStart w:id="44" w:name="_Toc15302"/>
      <w:bookmarkStart w:id="45" w:name="_Toc4556"/>
      <w:bookmarkStart w:id="46" w:name="_Toc91"/>
      <w:bookmarkStart w:id="47" w:name="_Toc20149"/>
      <w:bookmarkStart w:id="48" w:name="_Toc515647760"/>
      <w:bookmarkStart w:id="49" w:name="_Toc15936"/>
      <w:r>
        <w:rPr>
          <w:rFonts w:hint="eastAsia" w:ascii="宋体" w:hAnsi="宋体" w:eastAsia="宋体" w:cs="宋体"/>
          <w:color w:val="auto"/>
          <w:sz w:val="28"/>
          <w:szCs w:val="28"/>
          <w:u w:color="000000"/>
        </w:rPr>
        <w:t>3.磋商费用</w:t>
      </w:r>
      <w:bookmarkEnd w:id="37"/>
      <w:bookmarkEnd w:id="38"/>
      <w:bookmarkEnd w:id="39"/>
      <w:bookmarkEnd w:id="40"/>
      <w:bookmarkEnd w:id="41"/>
      <w:bookmarkEnd w:id="42"/>
      <w:bookmarkEnd w:id="43"/>
      <w:bookmarkEnd w:id="44"/>
      <w:bookmarkEnd w:id="45"/>
      <w:bookmarkEnd w:id="46"/>
      <w:bookmarkEnd w:id="47"/>
      <w:bookmarkEnd w:id="48"/>
      <w:bookmarkEnd w:id="49"/>
    </w:p>
    <w:p w14:paraId="02670C41">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不论磋商的结果如何，供应商应承担所有与准备和参加磋商有关的费用。</w:t>
      </w:r>
    </w:p>
    <w:p w14:paraId="6CBADF75">
      <w:pPr>
        <w:pStyle w:val="4"/>
        <w:snapToGrid w:val="0"/>
        <w:spacing w:before="0" w:after="0" w:line="360" w:lineRule="auto"/>
        <w:textAlignment w:val="baseline"/>
        <w:rPr>
          <w:rFonts w:hint="eastAsia" w:ascii="宋体" w:hAnsi="宋体" w:eastAsia="宋体" w:cs="宋体"/>
          <w:color w:val="auto"/>
          <w:sz w:val="28"/>
          <w:szCs w:val="28"/>
          <w:u w:color="000000"/>
        </w:rPr>
      </w:pPr>
      <w:bookmarkStart w:id="50" w:name="_Toc515647761"/>
      <w:bookmarkStart w:id="51" w:name="_Toc4463"/>
      <w:bookmarkStart w:id="52" w:name="_Toc2317"/>
      <w:bookmarkStart w:id="53" w:name="_Toc14158"/>
      <w:bookmarkStart w:id="54" w:name="_Toc26501"/>
      <w:bookmarkStart w:id="55" w:name="_Toc23425"/>
      <w:bookmarkStart w:id="56" w:name="_Toc6116"/>
      <w:bookmarkStart w:id="57" w:name="_Toc15164"/>
      <w:bookmarkStart w:id="58" w:name="_Toc32069"/>
      <w:bookmarkStart w:id="59" w:name="_Toc7327"/>
      <w:bookmarkStart w:id="60" w:name="_Toc29823"/>
      <w:bookmarkStart w:id="61" w:name="_Toc15428"/>
      <w:r>
        <w:rPr>
          <w:rFonts w:hint="eastAsia" w:ascii="宋体" w:hAnsi="宋体" w:eastAsia="宋体" w:cs="宋体"/>
          <w:color w:val="auto"/>
          <w:sz w:val="28"/>
          <w:szCs w:val="28"/>
          <w:u w:color="000000"/>
        </w:rPr>
        <w:t>4.适用法律</w:t>
      </w:r>
      <w:bookmarkEnd w:id="50"/>
      <w:bookmarkEnd w:id="51"/>
      <w:bookmarkEnd w:id="52"/>
      <w:bookmarkEnd w:id="53"/>
      <w:bookmarkEnd w:id="54"/>
      <w:bookmarkEnd w:id="55"/>
      <w:bookmarkEnd w:id="56"/>
      <w:bookmarkEnd w:id="57"/>
      <w:bookmarkEnd w:id="58"/>
      <w:bookmarkEnd w:id="59"/>
      <w:bookmarkEnd w:id="60"/>
      <w:bookmarkEnd w:id="61"/>
    </w:p>
    <w:p w14:paraId="0767EACE">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本项目采购人、采购代理机构、供应商、评审委员会的相关行为均受《中华人民共和国政府采购法》、《中华人民共和国政府采购法实施条例》、《政府采购竞争性磋商采购方式管理暂行办法》及本项目本级和上级财政部门政府采购有关规定的约束，其权利受到上述法律法规的保护。</w:t>
      </w:r>
    </w:p>
    <w:p w14:paraId="337C49DF">
      <w:pPr>
        <w:snapToGrid w:val="0"/>
        <w:spacing w:line="360" w:lineRule="auto"/>
        <w:textAlignment w:val="baseline"/>
        <w:rPr>
          <w:rFonts w:hint="eastAsia" w:ascii="宋体" w:hAnsi="宋体" w:eastAsia="宋体" w:cs="宋体"/>
          <w:color w:val="auto"/>
          <w:sz w:val="28"/>
          <w:szCs w:val="28"/>
        </w:rPr>
      </w:pPr>
    </w:p>
    <w:p w14:paraId="7CB7010A">
      <w:pPr>
        <w:pStyle w:val="3"/>
        <w:snapToGrid w:val="0"/>
        <w:spacing w:before="0" w:line="360" w:lineRule="auto"/>
        <w:ind w:hanging="540"/>
        <w:textAlignment w:val="baseline"/>
        <w:rPr>
          <w:rFonts w:hint="eastAsia" w:ascii="宋体" w:hAnsi="宋体" w:eastAsia="宋体" w:cs="宋体"/>
          <w:color w:val="auto"/>
          <w:sz w:val="28"/>
          <w:szCs w:val="28"/>
        </w:rPr>
      </w:pPr>
      <w:bookmarkStart w:id="62" w:name="_Toc4365"/>
      <w:bookmarkStart w:id="63" w:name="_Toc515647762"/>
      <w:bookmarkStart w:id="64" w:name="_Toc216582806"/>
      <w:bookmarkStart w:id="65" w:name="_Toc520356146"/>
      <w:bookmarkStart w:id="66" w:name="_Toc21566"/>
      <w:bookmarkStart w:id="67" w:name="_Toc19024"/>
      <w:bookmarkStart w:id="68" w:name="_Toc25208"/>
      <w:bookmarkStart w:id="69" w:name="_Toc13692"/>
      <w:r>
        <w:rPr>
          <w:rFonts w:hint="eastAsia" w:ascii="宋体" w:hAnsi="宋体" w:eastAsia="宋体" w:cs="宋体"/>
          <w:color w:val="auto"/>
          <w:sz w:val="28"/>
          <w:szCs w:val="28"/>
        </w:rPr>
        <w:t xml:space="preserve">二   </w:t>
      </w:r>
      <w:bookmarkEnd w:id="62"/>
      <w:bookmarkEnd w:id="63"/>
      <w:bookmarkEnd w:id="64"/>
      <w:bookmarkEnd w:id="65"/>
      <w:bookmarkEnd w:id="66"/>
      <w:r>
        <w:rPr>
          <w:rFonts w:hint="eastAsia" w:ascii="宋体" w:hAnsi="宋体" w:eastAsia="宋体" w:cs="宋体"/>
          <w:color w:val="auto"/>
          <w:sz w:val="28"/>
          <w:szCs w:val="28"/>
        </w:rPr>
        <w:t>磋商文件</w:t>
      </w:r>
      <w:bookmarkEnd w:id="67"/>
      <w:bookmarkEnd w:id="68"/>
      <w:bookmarkEnd w:id="69"/>
    </w:p>
    <w:p w14:paraId="403B0B1A">
      <w:pPr>
        <w:pStyle w:val="4"/>
        <w:snapToGrid w:val="0"/>
        <w:spacing w:before="0" w:after="0" w:line="360" w:lineRule="auto"/>
        <w:textAlignment w:val="baseline"/>
        <w:rPr>
          <w:rFonts w:hint="eastAsia" w:ascii="宋体" w:hAnsi="宋体" w:eastAsia="宋体" w:cs="宋体"/>
          <w:color w:val="auto"/>
          <w:sz w:val="28"/>
          <w:szCs w:val="28"/>
          <w:u w:color="000000"/>
        </w:rPr>
      </w:pPr>
      <w:bookmarkStart w:id="70" w:name="_Toc4254"/>
      <w:bookmarkStart w:id="71" w:name="_Toc14409"/>
      <w:bookmarkStart w:id="72" w:name="_Toc16521"/>
      <w:bookmarkStart w:id="73" w:name="_Toc16061"/>
      <w:bookmarkStart w:id="74" w:name="_Toc515647763"/>
      <w:bookmarkStart w:id="75" w:name="_Toc4773"/>
      <w:bookmarkStart w:id="76" w:name="_Toc25743"/>
      <w:bookmarkStart w:id="77" w:name="_Toc14084"/>
      <w:bookmarkStart w:id="78" w:name="_Toc520356147"/>
      <w:bookmarkStart w:id="79" w:name="_Toc12447"/>
      <w:bookmarkStart w:id="80" w:name="_Toc20128"/>
      <w:bookmarkStart w:id="81" w:name="_Toc27545"/>
      <w:bookmarkStart w:id="82" w:name="_Toc9520"/>
      <w:r>
        <w:rPr>
          <w:rFonts w:hint="eastAsia" w:ascii="宋体" w:hAnsi="宋体" w:eastAsia="宋体" w:cs="宋体"/>
          <w:color w:val="auto"/>
          <w:sz w:val="28"/>
          <w:szCs w:val="28"/>
          <w:u w:color="000000"/>
        </w:rPr>
        <w:t>5.磋商文件构成</w:t>
      </w:r>
      <w:bookmarkEnd w:id="70"/>
      <w:bookmarkEnd w:id="71"/>
      <w:bookmarkEnd w:id="72"/>
      <w:bookmarkEnd w:id="73"/>
      <w:bookmarkEnd w:id="74"/>
      <w:bookmarkEnd w:id="75"/>
      <w:bookmarkEnd w:id="76"/>
      <w:bookmarkEnd w:id="77"/>
      <w:bookmarkEnd w:id="78"/>
      <w:bookmarkEnd w:id="79"/>
      <w:bookmarkEnd w:id="80"/>
      <w:bookmarkEnd w:id="81"/>
      <w:bookmarkEnd w:id="82"/>
    </w:p>
    <w:p w14:paraId="78A1CF24">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5.1</w:t>
      </w:r>
      <w:r>
        <w:rPr>
          <w:rFonts w:hint="eastAsia" w:ascii="宋体" w:hAnsi="宋体" w:eastAsia="宋体" w:cs="宋体"/>
          <w:color w:val="auto"/>
          <w:sz w:val="28"/>
          <w:szCs w:val="28"/>
        </w:rPr>
        <w:tab/>
      </w:r>
      <w:r>
        <w:rPr>
          <w:rFonts w:hint="eastAsia" w:ascii="宋体" w:hAnsi="宋体" w:eastAsia="宋体" w:cs="宋体"/>
          <w:color w:val="auto"/>
          <w:sz w:val="28"/>
          <w:szCs w:val="28"/>
        </w:rPr>
        <w:t>磋商文件分为三册共7章，内容如下：</w:t>
      </w:r>
    </w:p>
    <w:p w14:paraId="40BBCAD5">
      <w:pPr>
        <w:snapToGrid w:val="0"/>
        <w:spacing w:line="360" w:lineRule="auto"/>
        <w:ind w:left="180" w:hanging="210" w:hangingChars="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第一册</w:t>
      </w:r>
    </w:p>
    <w:p w14:paraId="1884FEA8">
      <w:pPr>
        <w:tabs>
          <w:tab w:val="left" w:pos="0"/>
        </w:tabs>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第1章 供应商须知</w:t>
      </w:r>
    </w:p>
    <w:p w14:paraId="1B6068FB">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第2章 响应文件格式</w:t>
      </w:r>
    </w:p>
    <w:p w14:paraId="592E46D9">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第二册</w:t>
      </w:r>
    </w:p>
    <w:p w14:paraId="2776E2BB">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第3章 磋商邀请</w:t>
      </w:r>
    </w:p>
    <w:p w14:paraId="2B9A5916">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第4章 供应商须知资料表</w:t>
      </w:r>
    </w:p>
    <w:p w14:paraId="4B2082D6">
      <w:pPr>
        <w:snapToGrid w:val="0"/>
        <w:spacing w:line="360" w:lineRule="auto"/>
        <w:textAlignment w:val="baseline"/>
        <w:rPr>
          <w:rFonts w:hint="eastAsia" w:ascii="宋体" w:hAnsi="宋体" w:eastAsia="宋体" w:cs="宋体"/>
          <w:color w:val="auto"/>
          <w:sz w:val="28"/>
          <w:szCs w:val="28"/>
          <w:lang w:val="en-US"/>
        </w:rPr>
      </w:pPr>
      <w:r>
        <w:rPr>
          <w:rFonts w:hint="eastAsia" w:ascii="宋体" w:hAnsi="宋体" w:eastAsia="宋体" w:cs="宋体"/>
          <w:color w:val="auto"/>
          <w:sz w:val="28"/>
          <w:szCs w:val="28"/>
        </w:rPr>
        <w:t xml:space="preserve">第5章 </w:t>
      </w:r>
      <w:r>
        <w:rPr>
          <w:rFonts w:hint="eastAsia" w:ascii="宋体" w:hAnsi="宋体" w:eastAsia="宋体" w:cs="宋体"/>
          <w:color w:val="auto"/>
          <w:sz w:val="28"/>
          <w:szCs w:val="28"/>
          <w:lang w:val="en-US" w:eastAsia="zh-CN"/>
        </w:rPr>
        <w:t>采购内容</w:t>
      </w:r>
    </w:p>
    <w:p w14:paraId="52BE13AF">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第6章 评审方法和标准</w:t>
      </w:r>
    </w:p>
    <w:p w14:paraId="3D238AD0">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第三册</w:t>
      </w:r>
    </w:p>
    <w:p w14:paraId="3A811B06">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第7章 政府采购合同格式</w:t>
      </w:r>
    </w:p>
    <w:p w14:paraId="0B932396">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5.2</w:t>
      </w:r>
      <w:r>
        <w:rPr>
          <w:rFonts w:hint="eastAsia" w:ascii="宋体" w:hAnsi="宋体" w:eastAsia="宋体" w:cs="宋体"/>
          <w:color w:val="auto"/>
          <w:sz w:val="28"/>
          <w:szCs w:val="28"/>
        </w:rPr>
        <w:tab/>
      </w:r>
      <w:r>
        <w:rPr>
          <w:rFonts w:hint="eastAsia" w:ascii="宋体" w:hAnsi="宋体" w:eastAsia="宋体" w:cs="宋体"/>
          <w:color w:val="auto"/>
          <w:sz w:val="28"/>
          <w:szCs w:val="28"/>
        </w:rPr>
        <w:t>如本文件的前后内容不一致，以最后描述为准。</w:t>
      </w:r>
    </w:p>
    <w:p w14:paraId="6589060D">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5.3    供应商应认真阅读磋商文件所有的事项、格式、条款和技术规范等。如供应商没有按照磋商文件要求提交全部资料，或者磋商文件没有对磋商文件在各方面都做出实质性响应，可能导致其磋商将被认定为</w:t>
      </w:r>
      <w:r>
        <w:rPr>
          <w:rFonts w:hint="eastAsia" w:ascii="宋体" w:hAnsi="宋体" w:eastAsia="宋体" w:cs="宋体"/>
          <w:b/>
          <w:bCs/>
          <w:color w:val="auto"/>
          <w:sz w:val="28"/>
          <w:szCs w:val="28"/>
        </w:rPr>
        <w:t>磋商无效</w:t>
      </w:r>
      <w:r>
        <w:rPr>
          <w:rFonts w:hint="eastAsia" w:ascii="宋体" w:hAnsi="宋体" w:eastAsia="宋体" w:cs="宋体"/>
          <w:color w:val="auto"/>
          <w:sz w:val="28"/>
          <w:szCs w:val="28"/>
        </w:rPr>
        <w:t>。</w:t>
      </w:r>
    </w:p>
    <w:p w14:paraId="5A8AD302">
      <w:pPr>
        <w:pStyle w:val="4"/>
        <w:snapToGrid w:val="0"/>
        <w:spacing w:before="0" w:after="0" w:line="360" w:lineRule="auto"/>
        <w:textAlignment w:val="baseline"/>
        <w:rPr>
          <w:rFonts w:hint="eastAsia" w:ascii="宋体" w:hAnsi="宋体" w:eastAsia="宋体" w:cs="宋体"/>
          <w:color w:val="auto"/>
          <w:sz w:val="28"/>
          <w:szCs w:val="28"/>
          <w:u w:color="000000"/>
        </w:rPr>
      </w:pPr>
      <w:bookmarkStart w:id="83" w:name="_Toc515904805"/>
      <w:bookmarkStart w:id="84" w:name="_Toc520356148"/>
      <w:bookmarkStart w:id="85" w:name="_Toc9232"/>
      <w:bookmarkStart w:id="86" w:name="_Toc9693"/>
      <w:bookmarkStart w:id="87" w:name="_Toc5443"/>
      <w:bookmarkStart w:id="88" w:name="_Toc17695"/>
      <w:bookmarkStart w:id="89" w:name="_Toc24794"/>
      <w:bookmarkStart w:id="90" w:name="_Toc26044"/>
      <w:bookmarkStart w:id="91" w:name="_Toc12118"/>
      <w:bookmarkStart w:id="92" w:name="_Toc73"/>
      <w:bookmarkStart w:id="93" w:name="_Toc6163"/>
      <w:bookmarkStart w:id="94" w:name="_Toc19969"/>
      <w:bookmarkStart w:id="95" w:name="_Toc11954"/>
      <w:r>
        <w:rPr>
          <w:rFonts w:hint="eastAsia" w:ascii="宋体" w:hAnsi="宋体" w:eastAsia="宋体" w:cs="宋体"/>
          <w:color w:val="auto"/>
          <w:sz w:val="28"/>
          <w:szCs w:val="28"/>
          <w:u w:color="000000"/>
        </w:rPr>
        <w:t>6.磋商文件的澄清</w:t>
      </w:r>
      <w:bookmarkEnd w:id="83"/>
      <w:bookmarkEnd w:id="84"/>
      <w:r>
        <w:rPr>
          <w:rFonts w:hint="eastAsia" w:ascii="宋体" w:hAnsi="宋体" w:eastAsia="宋体" w:cs="宋体"/>
          <w:color w:val="auto"/>
          <w:sz w:val="28"/>
          <w:szCs w:val="28"/>
          <w:u w:color="000000"/>
        </w:rPr>
        <w:t>与修改</w:t>
      </w:r>
      <w:bookmarkEnd w:id="85"/>
      <w:bookmarkEnd w:id="86"/>
      <w:bookmarkEnd w:id="87"/>
      <w:bookmarkEnd w:id="88"/>
      <w:bookmarkEnd w:id="89"/>
      <w:bookmarkEnd w:id="90"/>
      <w:bookmarkEnd w:id="91"/>
      <w:bookmarkEnd w:id="92"/>
      <w:bookmarkEnd w:id="93"/>
      <w:bookmarkEnd w:id="94"/>
      <w:bookmarkEnd w:id="95"/>
    </w:p>
    <w:p w14:paraId="72489C3E">
      <w:pPr>
        <w:pStyle w:val="9"/>
        <w:snapToGrid w:val="0"/>
        <w:spacing w:line="360" w:lineRule="auto"/>
        <w:ind w:left="840" w:hanging="980" w:hangingChars="35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6.1    为了保证对磋商文件的澄清和修改满足法律的时限要求，任何要求对磋商文件进行澄清的供应商，均应在磋商截止时间至少5日前，以书面形式将澄清要求通知采购人或采购代理机构。</w:t>
      </w:r>
    </w:p>
    <w:p w14:paraId="1660B914">
      <w:pPr>
        <w:pStyle w:val="9"/>
        <w:snapToGrid w:val="0"/>
        <w:spacing w:line="360" w:lineRule="auto"/>
        <w:ind w:left="840" w:hanging="980" w:hangingChars="350"/>
        <w:textAlignment w:val="baseline"/>
        <w:rPr>
          <w:rFonts w:hint="eastAsia" w:ascii="宋体" w:hAnsi="宋体" w:eastAsia="宋体" w:cs="宋体"/>
          <w:color w:val="auto"/>
          <w:sz w:val="28"/>
          <w:szCs w:val="28"/>
        </w:rPr>
      </w:pPr>
      <w:bookmarkStart w:id="96" w:name="_Ref467378678"/>
      <w:bookmarkStart w:id="97" w:name="_Toc515904806"/>
      <w:bookmarkStart w:id="98" w:name="_Toc520356149"/>
      <w:r>
        <w:rPr>
          <w:rFonts w:hint="eastAsia" w:ascii="宋体" w:hAnsi="宋体" w:eastAsia="宋体" w:cs="宋体"/>
          <w:color w:val="auto"/>
          <w:sz w:val="28"/>
          <w:szCs w:val="28"/>
        </w:rPr>
        <w:t>6.2</w:t>
      </w:r>
      <w:r>
        <w:rPr>
          <w:rFonts w:hint="eastAsia" w:ascii="宋体" w:hAnsi="宋体" w:eastAsia="宋体" w:cs="宋体"/>
          <w:color w:val="auto"/>
          <w:sz w:val="28"/>
          <w:szCs w:val="28"/>
        </w:rPr>
        <w:tab/>
      </w:r>
      <w:r>
        <w:rPr>
          <w:rFonts w:hint="eastAsia" w:ascii="宋体" w:hAnsi="宋体" w:eastAsia="宋体" w:cs="宋体"/>
          <w:color w:val="auto"/>
          <w:sz w:val="28"/>
          <w:szCs w:val="28"/>
        </w:rPr>
        <w:t>采购人可主动地或在解答供应商提出的澄清问题时对磋商文件进行澄清或修改。采购代理机构将以发布澄清（更正）公告的方式，澄清或修改磋商文件，澄清或修改内容作为磋商文件的组成部分。</w:t>
      </w:r>
    </w:p>
    <w:p w14:paraId="738C0FDA">
      <w:pPr>
        <w:pStyle w:val="9"/>
        <w:snapToGrid w:val="0"/>
        <w:spacing w:line="360" w:lineRule="auto"/>
        <w:ind w:left="840" w:hanging="980" w:hangingChars="35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6.3</w:t>
      </w:r>
      <w:r>
        <w:rPr>
          <w:rFonts w:hint="eastAsia" w:ascii="宋体" w:hAnsi="宋体" w:eastAsia="宋体" w:cs="宋体"/>
          <w:color w:val="auto"/>
          <w:sz w:val="28"/>
          <w:szCs w:val="28"/>
        </w:rPr>
        <w:tab/>
      </w:r>
      <w:r>
        <w:rPr>
          <w:rFonts w:hint="eastAsia" w:ascii="宋体" w:hAnsi="宋体" w:eastAsia="宋体" w:cs="宋体"/>
          <w:color w:val="auto"/>
          <w:sz w:val="28"/>
          <w:szCs w:val="28"/>
        </w:rPr>
        <w:t>澄清或者修改的内容可能影响磋商文件编制的，采购代理机构将以书面形式通知所有购买磋商文件的潜在供应商，并对其具有约束力。供应商在收到上述通知后，应及时向采购代理机构回函确认。</w:t>
      </w:r>
    </w:p>
    <w:p w14:paraId="0356AD3F">
      <w:pPr>
        <w:pStyle w:val="4"/>
        <w:tabs>
          <w:tab w:val="left" w:pos="900"/>
        </w:tabs>
        <w:snapToGrid w:val="0"/>
        <w:spacing w:before="0" w:after="0" w:line="360" w:lineRule="auto"/>
        <w:textAlignment w:val="baseline"/>
        <w:rPr>
          <w:rFonts w:hint="eastAsia" w:ascii="宋体" w:hAnsi="宋体" w:eastAsia="宋体" w:cs="宋体"/>
          <w:color w:val="auto"/>
          <w:sz w:val="28"/>
          <w:szCs w:val="28"/>
          <w:u w:color="000000"/>
        </w:rPr>
      </w:pPr>
      <w:bookmarkStart w:id="99" w:name="_Toc14294"/>
      <w:bookmarkStart w:id="100" w:name="_Toc6738"/>
      <w:bookmarkStart w:id="101" w:name="_Toc12058"/>
      <w:bookmarkStart w:id="102" w:name="_Toc18879"/>
      <w:bookmarkStart w:id="103" w:name="_Toc3801"/>
      <w:bookmarkStart w:id="104" w:name="_Toc16792"/>
      <w:bookmarkStart w:id="105" w:name="_Toc14569"/>
      <w:bookmarkStart w:id="106" w:name="_Toc5970"/>
      <w:bookmarkStart w:id="107" w:name="_Toc16843"/>
      <w:bookmarkStart w:id="108" w:name="_Toc25635"/>
      <w:bookmarkStart w:id="109" w:name="_Toc28181"/>
      <w:r>
        <w:rPr>
          <w:rFonts w:hint="eastAsia" w:ascii="宋体" w:hAnsi="宋体" w:eastAsia="宋体" w:cs="宋体"/>
          <w:color w:val="auto"/>
          <w:sz w:val="28"/>
          <w:szCs w:val="28"/>
          <w:u w:color="000000"/>
        </w:rPr>
        <w:t>7</w:t>
      </w:r>
      <w:bookmarkEnd w:id="96"/>
      <w:bookmarkEnd w:id="97"/>
      <w:bookmarkEnd w:id="98"/>
      <w:r>
        <w:rPr>
          <w:rFonts w:hint="eastAsia" w:ascii="宋体" w:hAnsi="宋体" w:eastAsia="宋体" w:cs="宋体"/>
          <w:color w:val="auto"/>
          <w:sz w:val="28"/>
          <w:szCs w:val="28"/>
          <w:u w:color="000000"/>
        </w:rPr>
        <w:t>.磋商截止时间的顺延</w:t>
      </w:r>
      <w:bookmarkEnd w:id="99"/>
      <w:bookmarkEnd w:id="100"/>
      <w:bookmarkEnd w:id="101"/>
      <w:bookmarkEnd w:id="102"/>
      <w:bookmarkEnd w:id="103"/>
      <w:bookmarkEnd w:id="104"/>
      <w:bookmarkEnd w:id="105"/>
      <w:bookmarkEnd w:id="106"/>
      <w:bookmarkEnd w:id="107"/>
      <w:bookmarkEnd w:id="108"/>
      <w:bookmarkEnd w:id="109"/>
    </w:p>
    <w:p w14:paraId="48CC7EBB">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为使供应商准备磋商时有足够的时间对磋商文件的澄清或者修改部分进行研究，采购人将依法决定是否顺延磋商截止时间。</w:t>
      </w:r>
    </w:p>
    <w:p w14:paraId="4F089509">
      <w:pPr>
        <w:pStyle w:val="3"/>
        <w:tabs>
          <w:tab w:val="left" w:pos="900"/>
        </w:tabs>
        <w:snapToGrid w:val="0"/>
        <w:spacing w:before="0" w:line="360" w:lineRule="auto"/>
        <w:ind w:hanging="540"/>
        <w:textAlignment w:val="baseline"/>
        <w:rPr>
          <w:rFonts w:hint="eastAsia" w:ascii="宋体" w:hAnsi="宋体" w:eastAsia="宋体" w:cs="宋体"/>
          <w:color w:val="auto"/>
          <w:sz w:val="28"/>
          <w:szCs w:val="28"/>
        </w:rPr>
      </w:pPr>
      <w:bookmarkStart w:id="110" w:name="_Toc516367020"/>
      <w:bookmarkStart w:id="111" w:name="_Toc18070"/>
      <w:bookmarkStart w:id="112" w:name="_Toc216582807"/>
      <w:bookmarkStart w:id="113" w:name="_Toc16906"/>
      <w:bookmarkStart w:id="114" w:name="_Toc30808"/>
      <w:bookmarkStart w:id="115" w:name="_Toc515647766"/>
      <w:bookmarkStart w:id="116" w:name="_Toc520356150"/>
      <w:bookmarkStart w:id="117" w:name="_Toc6744"/>
      <w:bookmarkStart w:id="118" w:name="_Toc7636"/>
      <w:bookmarkStart w:id="119" w:name="_Toc16603"/>
      <w:r>
        <w:rPr>
          <w:rFonts w:hint="eastAsia" w:ascii="宋体" w:hAnsi="宋体" w:eastAsia="宋体" w:cs="宋体"/>
          <w:color w:val="auto"/>
          <w:sz w:val="28"/>
          <w:szCs w:val="28"/>
        </w:rPr>
        <w:t xml:space="preserve">三   </w:t>
      </w:r>
      <w:bookmarkEnd w:id="110"/>
      <w:r>
        <w:rPr>
          <w:rFonts w:hint="eastAsia" w:ascii="宋体" w:hAnsi="宋体" w:eastAsia="宋体" w:cs="宋体"/>
          <w:color w:val="auto"/>
          <w:sz w:val="28"/>
          <w:szCs w:val="28"/>
        </w:rPr>
        <w:t>响应文件的编制</w:t>
      </w:r>
      <w:bookmarkEnd w:id="111"/>
      <w:bookmarkEnd w:id="112"/>
      <w:bookmarkEnd w:id="113"/>
      <w:bookmarkEnd w:id="114"/>
      <w:bookmarkEnd w:id="115"/>
      <w:bookmarkEnd w:id="116"/>
      <w:bookmarkEnd w:id="117"/>
      <w:bookmarkEnd w:id="118"/>
      <w:bookmarkEnd w:id="119"/>
    </w:p>
    <w:p w14:paraId="6A0F4748">
      <w:pPr>
        <w:pStyle w:val="9"/>
        <w:snapToGrid w:val="0"/>
        <w:spacing w:line="360" w:lineRule="auto"/>
        <w:textAlignment w:val="baseline"/>
        <w:rPr>
          <w:rFonts w:hint="eastAsia" w:ascii="宋体" w:hAnsi="宋体" w:eastAsia="宋体" w:cs="宋体"/>
          <w:color w:val="auto"/>
          <w:sz w:val="28"/>
          <w:szCs w:val="28"/>
        </w:rPr>
      </w:pPr>
    </w:p>
    <w:p w14:paraId="397EB703">
      <w:pPr>
        <w:pStyle w:val="4"/>
        <w:tabs>
          <w:tab w:val="left" w:pos="900"/>
        </w:tabs>
        <w:snapToGrid w:val="0"/>
        <w:spacing w:before="0" w:after="0" w:line="360" w:lineRule="auto"/>
        <w:textAlignment w:val="baseline"/>
        <w:rPr>
          <w:rFonts w:hint="eastAsia" w:ascii="宋体" w:hAnsi="宋体" w:eastAsia="宋体" w:cs="宋体"/>
          <w:color w:val="auto"/>
          <w:sz w:val="28"/>
          <w:szCs w:val="28"/>
          <w:u w:color="000000"/>
        </w:rPr>
      </w:pPr>
      <w:bookmarkStart w:id="120" w:name="_Toc7786"/>
      <w:bookmarkStart w:id="121" w:name="_Toc19003"/>
      <w:bookmarkStart w:id="122" w:name="_Toc520356151"/>
      <w:bookmarkStart w:id="123" w:name="_Toc8762"/>
      <w:bookmarkStart w:id="124" w:name="_Toc516367021"/>
      <w:bookmarkStart w:id="125" w:name="_Toc21848"/>
      <w:bookmarkStart w:id="126" w:name="_Toc13379"/>
      <w:bookmarkStart w:id="127" w:name="_Toc20168"/>
      <w:bookmarkStart w:id="128" w:name="_Toc19644"/>
      <w:bookmarkStart w:id="129" w:name="_Toc515647767"/>
      <w:bookmarkStart w:id="130" w:name="_Toc31904"/>
      <w:bookmarkStart w:id="131" w:name="_Toc3553"/>
      <w:bookmarkStart w:id="132" w:name="_Toc14330"/>
      <w:bookmarkStart w:id="133" w:name="_Toc21065"/>
      <w:bookmarkStart w:id="134" w:name="_Toc4525"/>
      <w:r>
        <w:rPr>
          <w:rFonts w:hint="eastAsia" w:ascii="宋体" w:hAnsi="宋体" w:eastAsia="宋体" w:cs="宋体"/>
          <w:color w:val="auto"/>
          <w:sz w:val="28"/>
          <w:szCs w:val="28"/>
          <w:u w:color="000000"/>
        </w:rPr>
        <w:t>8.</w:t>
      </w:r>
      <w:r>
        <w:rPr>
          <w:rFonts w:hint="eastAsia" w:ascii="宋体" w:hAnsi="宋体" w:eastAsia="宋体" w:cs="宋体"/>
          <w:color w:val="auto"/>
          <w:sz w:val="28"/>
          <w:szCs w:val="28"/>
          <w:u w:color="000000"/>
        </w:rPr>
        <w:tab/>
      </w:r>
      <w:r>
        <w:rPr>
          <w:rFonts w:hint="eastAsia" w:ascii="宋体" w:hAnsi="宋体" w:eastAsia="宋体" w:cs="宋体"/>
          <w:color w:val="auto"/>
          <w:sz w:val="28"/>
          <w:szCs w:val="28"/>
          <w:u w:color="000000"/>
        </w:rPr>
        <w:t>磋商范围及响应文件成交准和计量单位的使用</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4C63ABBA">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8.1</w:t>
      </w:r>
      <w:r>
        <w:rPr>
          <w:rFonts w:hint="eastAsia" w:ascii="宋体" w:hAnsi="宋体" w:eastAsia="宋体" w:cs="宋体"/>
          <w:color w:val="auto"/>
          <w:sz w:val="28"/>
          <w:szCs w:val="28"/>
        </w:rPr>
        <w:tab/>
      </w:r>
      <w:r>
        <w:rPr>
          <w:rFonts w:hint="eastAsia" w:ascii="宋体" w:hAnsi="宋体" w:eastAsia="宋体" w:cs="宋体"/>
          <w:color w:val="auto"/>
          <w:sz w:val="28"/>
          <w:szCs w:val="28"/>
        </w:rPr>
        <w:t>项目有分包的，供应商可对磋商文件其中某一个或几个分包货物进行磋商，除非在</w:t>
      </w:r>
      <w:r>
        <w:rPr>
          <w:rFonts w:hint="eastAsia" w:ascii="宋体" w:hAnsi="宋体" w:eastAsia="宋体" w:cs="宋体"/>
          <w:color w:val="auto"/>
          <w:sz w:val="28"/>
          <w:szCs w:val="28"/>
          <w:u w:val="single" w:color="000000"/>
        </w:rPr>
        <w:t>供应商须知资料表</w:t>
      </w:r>
      <w:r>
        <w:rPr>
          <w:rFonts w:hint="eastAsia" w:ascii="宋体" w:hAnsi="宋体" w:eastAsia="宋体" w:cs="宋体"/>
          <w:color w:val="auto"/>
          <w:sz w:val="28"/>
          <w:szCs w:val="28"/>
        </w:rPr>
        <w:t>中另有规定。</w:t>
      </w:r>
    </w:p>
    <w:p w14:paraId="7D7A178A">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8.2     供应商应当对所投分包磋商文件中“</w:t>
      </w:r>
      <w:r>
        <w:rPr>
          <w:rFonts w:hint="eastAsia" w:ascii="宋体" w:hAnsi="宋体" w:eastAsia="宋体" w:cs="宋体"/>
          <w:color w:val="auto"/>
          <w:sz w:val="28"/>
          <w:szCs w:val="28"/>
          <w:lang w:val="en-US" w:eastAsia="zh-CN"/>
        </w:rPr>
        <w:t>采购内容</w:t>
      </w:r>
      <w:r>
        <w:rPr>
          <w:rFonts w:hint="eastAsia" w:ascii="宋体" w:hAnsi="宋体" w:eastAsia="宋体" w:cs="宋体"/>
          <w:color w:val="auto"/>
          <w:sz w:val="28"/>
          <w:szCs w:val="28"/>
        </w:rPr>
        <w:t>”所列的所有内容进行磋商，如仅响应分包中的部分内容，其该包磋商将被认定为</w:t>
      </w:r>
      <w:r>
        <w:rPr>
          <w:rFonts w:hint="eastAsia" w:ascii="宋体" w:hAnsi="宋体" w:eastAsia="宋体" w:cs="宋体"/>
          <w:b/>
          <w:bCs/>
          <w:color w:val="auto"/>
          <w:sz w:val="28"/>
          <w:szCs w:val="28"/>
        </w:rPr>
        <w:t>磋商无效</w:t>
      </w:r>
      <w:r>
        <w:rPr>
          <w:rFonts w:hint="eastAsia" w:ascii="宋体" w:hAnsi="宋体" w:eastAsia="宋体" w:cs="宋体"/>
          <w:color w:val="auto"/>
          <w:sz w:val="28"/>
          <w:szCs w:val="28"/>
        </w:rPr>
        <w:t>。</w:t>
      </w:r>
    </w:p>
    <w:p w14:paraId="0AE5737D">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8.3     无论</w:t>
      </w:r>
      <w:r>
        <w:rPr>
          <w:rFonts w:hint="eastAsia" w:ascii="宋体" w:hAnsi="宋体" w:eastAsia="宋体" w:cs="宋体"/>
          <w:color w:val="auto"/>
          <w:sz w:val="28"/>
          <w:szCs w:val="28"/>
          <w:lang w:eastAsia="zh-CN"/>
        </w:rPr>
        <w:t>磋商文件</w:t>
      </w:r>
      <w:r>
        <w:rPr>
          <w:rFonts w:hint="eastAsia" w:ascii="宋体" w:hAnsi="宋体" w:eastAsia="宋体" w:cs="宋体"/>
          <w:color w:val="auto"/>
          <w:sz w:val="28"/>
          <w:szCs w:val="28"/>
        </w:rPr>
        <w:t>第5章</w:t>
      </w:r>
      <w:r>
        <w:rPr>
          <w:rFonts w:hint="eastAsia" w:ascii="宋体" w:hAnsi="宋体" w:eastAsia="宋体" w:cs="宋体"/>
          <w:color w:val="auto"/>
          <w:sz w:val="28"/>
          <w:szCs w:val="28"/>
          <w:lang w:val="en-US" w:eastAsia="zh-CN"/>
        </w:rPr>
        <w:t>采购内容</w:t>
      </w:r>
      <w:r>
        <w:rPr>
          <w:rFonts w:hint="eastAsia" w:ascii="宋体" w:hAnsi="宋体" w:eastAsia="宋体" w:cs="宋体"/>
          <w:color w:val="auto"/>
          <w:sz w:val="28"/>
          <w:szCs w:val="28"/>
        </w:rPr>
        <w:t>中是否要求，</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所投服务均应符合国家强制性标准。</w:t>
      </w:r>
    </w:p>
    <w:p w14:paraId="79762234">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8.4     除磋商文件中有特殊要求外，响应文件中所使用的计量单位，应采用中华人民共和国法定计量单位。</w:t>
      </w:r>
    </w:p>
    <w:p w14:paraId="2BF565C2">
      <w:pPr>
        <w:pStyle w:val="4"/>
        <w:tabs>
          <w:tab w:val="left" w:pos="900"/>
        </w:tabs>
        <w:snapToGrid w:val="0"/>
        <w:spacing w:before="0" w:after="0" w:line="360" w:lineRule="auto"/>
        <w:textAlignment w:val="baseline"/>
        <w:rPr>
          <w:rFonts w:hint="eastAsia" w:ascii="宋体" w:hAnsi="宋体" w:eastAsia="宋体" w:cs="宋体"/>
          <w:color w:val="auto"/>
          <w:sz w:val="28"/>
          <w:szCs w:val="28"/>
          <w:u w:color="000000"/>
        </w:rPr>
      </w:pPr>
      <w:bookmarkStart w:id="135" w:name="_Toc516367022"/>
      <w:bookmarkStart w:id="136" w:name="_Ref467306195"/>
      <w:bookmarkStart w:id="137" w:name="_Ref467306676"/>
      <w:bookmarkStart w:id="138" w:name="_Toc28307"/>
      <w:bookmarkStart w:id="139" w:name="_Toc3006"/>
      <w:bookmarkStart w:id="140" w:name="_Toc14931"/>
      <w:bookmarkStart w:id="141" w:name="_Toc16896"/>
      <w:bookmarkStart w:id="142" w:name="_Toc2709"/>
      <w:bookmarkStart w:id="143" w:name="_Toc19752"/>
      <w:bookmarkStart w:id="144" w:name="_Toc10364"/>
      <w:bookmarkStart w:id="145" w:name="_Toc8989"/>
      <w:bookmarkStart w:id="146" w:name="_Toc520356152"/>
      <w:bookmarkStart w:id="147" w:name="_Toc515647768"/>
      <w:bookmarkStart w:id="148" w:name="_Toc2582"/>
      <w:bookmarkStart w:id="149" w:name="_Toc28670"/>
      <w:bookmarkStart w:id="150" w:name="_Toc13837"/>
      <w:bookmarkStart w:id="151" w:name="_Toc26502"/>
      <w:r>
        <w:rPr>
          <w:rFonts w:hint="eastAsia" w:ascii="宋体" w:hAnsi="宋体" w:eastAsia="宋体" w:cs="宋体"/>
          <w:color w:val="auto"/>
          <w:sz w:val="28"/>
          <w:szCs w:val="28"/>
          <w:u w:color="000000"/>
        </w:rPr>
        <w:t>9.</w:t>
      </w:r>
      <w:bookmarkEnd w:id="135"/>
      <w:bookmarkEnd w:id="136"/>
      <w:bookmarkEnd w:id="137"/>
      <w:r>
        <w:rPr>
          <w:rFonts w:hint="eastAsia" w:ascii="宋体" w:hAnsi="宋体" w:eastAsia="宋体" w:cs="宋体"/>
          <w:color w:val="auto"/>
          <w:sz w:val="28"/>
          <w:szCs w:val="28"/>
          <w:u w:color="000000"/>
        </w:rPr>
        <w:t>响应文件构成</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18D732C6">
      <w:pPr>
        <w:tabs>
          <w:tab w:val="left" w:pos="900"/>
          <w:tab w:val="left" w:pos="5580"/>
        </w:tabs>
        <w:snapToGrid w:val="0"/>
        <w:spacing w:line="360" w:lineRule="auto"/>
        <w:ind w:left="960" w:hanging="1120" w:hangingChars="400"/>
        <w:jc w:val="left"/>
        <w:textAlignment w:val="baseline"/>
        <w:rPr>
          <w:rFonts w:hint="eastAsia" w:ascii="宋体" w:hAnsi="宋体" w:eastAsia="宋体" w:cs="宋体"/>
          <w:color w:val="auto"/>
          <w:sz w:val="28"/>
          <w:szCs w:val="28"/>
          <w:u w:val="single" w:color="000000"/>
        </w:rPr>
      </w:pPr>
      <w:bookmarkStart w:id="152" w:name="_Ref467052588"/>
      <w:r>
        <w:rPr>
          <w:rFonts w:hint="eastAsia" w:ascii="宋体" w:hAnsi="宋体" w:eastAsia="宋体" w:cs="宋体"/>
          <w:color w:val="auto"/>
          <w:sz w:val="28"/>
          <w:szCs w:val="28"/>
        </w:rPr>
        <w:t xml:space="preserve">9.1     </w:t>
      </w:r>
      <w:r>
        <w:rPr>
          <w:rFonts w:hint="eastAsia" w:ascii="宋体" w:hAnsi="宋体" w:eastAsia="宋体" w:cs="宋体"/>
          <w:b/>
          <w:bCs/>
          <w:color w:val="auto"/>
          <w:sz w:val="28"/>
          <w:szCs w:val="28"/>
          <w:u w:val="single"/>
        </w:rPr>
        <w:t>供应商应完整地按</w:t>
      </w:r>
      <w:r>
        <w:rPr>
          <w:rFonts w:hint="eastAsia" w:ascii="宋体" w:hAnsi="宋体" w:eastAsia="宋体" w:cs="宋体"/>
          <w:b/>
          <w:bCs/>
          <w:color w:val="auto"/>
          <w:sz w:val="28"/>
          <w:szCs w:val="28"/>
          <w:u w:val="single"/>
          <w:lang w:eastAsia="zh-CN"/>
        </w:rPr>
        <w:t>磋商文件</w:t>
      </w:r>
      <w:r>
        <w:rPr>
          <w:rFonts w:hint="eastAsia" w:ascii="宋体" w:hAnsi="宋体" w:eastAsia="宋体" w:cs="宋体"/>
          <w:b/>
          <w:bCs/>
          <w:color w:val="auto"/>
          <w:sz w:val="28"/>
          <w:szCs w:val="28"/>
          <w:u w:val="single"/>
        </w:rPr>
        <w:t>提供的</w:t>
      </w:r>
      <w:r>
        <w:rPr>
          <w:rFonts w:hint="eastAsia" w:ascii="宋体" w:hAnsi="宋体" w:eastAsia="宋体" w:cs="宋体"/>
          <w:b/>
          <w:bCs/>
          <w:color w:val="auto"/>
          <w:sz w:val="28"/>
          <w:szCs w:val="28"/>
          <w:u w:val="single"/>
          <w:lang w:eastAsia="zh-CN"/>
        </w:rPr>
        <w:t>响应文件</w:t>
      </w:r>
      <w:r>
        <w:rPr>
          <w:rFonts w:hint="eastAsia" w:ascii="宋体" w:hAnsi="宋体" w:eastAsia="宋体" w:cs="宋体"/>
          <w:b/>
          <w:bCs/>
          <w:color w:val="auto"/>
          <w:sz w:val="28"/>
          <w:szCs w:val="28"/>
          <w:u w:val="single"/>
        </w:rPr>
        <w:t>格式及要求编写</w:t>
      </w:r>
      <w:r>
        <w:rPr>
          <w:rFonts w:hint="eastAsia" w:ascii="宋体" w:hAnsi="宋体" w:eastAsia="宋体" w:cs="宋体"/>
          <w:b/>
          <w:bCs/>
          <w:color w:val="auto"/>
          <w:sz w:val="28"/>
          <w:szCs w:val="28"/>
          <w:u w:val="single"/>
          <w:lang w:eastAsia="zh-CN"/>
        </w:rPr>
        <w:t>响应文件</w:t>
      </w:r>
      <w:r>
        <w:rPr>
          <w:rFonts w:hint="eastAsia" w:ascii="宋体" w:hAnsi="宋体" w:eastAsia="宋体" w:cs="宋体"/>
          <w:b/>
          <w:bCs/>
          <w:color w:val="auto"/>
          <w:sz w:val="28"/>
          <w:szCs w:val="28"/>
          <w:u w:val="single"/>
        </w:rPr>
        <w:t>，根据平台关联点上传对应佐证资料，</w:t>
      </w:r>
      <w:r>
        <w:rPr>
          <w:rFonts w:hint="eastAsia" w:ascii="宋体" w:hAnsi="宋体" w:eastAsia="宋体" w:cs="宋体"/>
          <w:b/>
          <w:bCs/>
          <w:color w:val="auto"/>
          <w:sz w:val="28"/>
          <w:szCs w:val="28"/>
          <w:u w:val="single"/>
          <w:lang w:eastAsia="zh-CN"/>
        </w:rPr>
        <w:t>响应文件</w:t>
      </w:r>
      <w:r>
        <w:rPr>
          <w:rFonts w:hint="eastAsia" w:ascii="宋体" w:hAnsi="宋体" w:eastAsia="宋体" w:cs="宋体"/>
          <w:b/>
          <w:bCs/>
          <w:color w:val="auto"/>
          <w:sz w:val="28"/>
          <w:szCs w:val="28"/>
          <w:u w:val="single"/>
        </w:rPr>
        <w:t>应包括“</w:t>
      </w:r>
      <w:r>
        <w:rPr>
          <w:rFonts w:hint="eastAsia" w:ascii="宋体" w:hAnsi="宋体" w:eastAsia="宋体" w:cs="宋体"/>
          <w:b/>
          <w:bCs/>
          <w:color w:val="auto"/>
          <w:sz w:val="28"/>
          <w:szCs w:val="28"/>
          <w:u w:val="single"/>
          <w:lang w:eastAsia="zh-CN"/>
        </w:rPr>
        <w:t>磋商一览表</w:t>
      </w:r>
      <w:r>
        <w:rPr>
          <w:rFonts w:hint="eastAsia" w:ascii="宋体" w:hAnsi="宋体" w:eastAsia="宋体" w:cs="宋体"/>
          <w:b/>
          <w:bCs/>
          <w:color w:val="auto"/>
          <w:sz w:val="28"/>
          <w:szCs w:val="28"/>
          <w:u w:val="single"/>
        </w:rPr>
        <w:t>及资格证明文件”和“商务及技术文件”两部分，两部分合并成完整一册</w:t>
      </w:r>
      <w:r>
        <w:rPr>
          <w:rFonts w:hint="eastAsia" w:ascii="宋体" w:hAnsi="宋体" w:eastAsia="宋体" w:cs="宋体"/>
          <w:b/>
          <w:bCs/>
          <w:color w:val="auto"/>
          <w:sz w:val="28"/>
          <w:szCs w:val="28"/>
          <w:u w:val="single"/>
          <w:lang w:val="en-US" w:eastAsia="zh-CN"/>
        </w:rPr>
        <w:t>经CA证书加密后上传提交</w:t>
      </w:r>
      <w:r>
        <w:rPr>
          <w:rFonts w:hint="eastAsia" w:ascii="宋体" w:hAnsi="宋体" w:eastAsia="宋体" w:cs="宋体"/>
          <w:b/>
          <w:bCs/>
          <w:color w:val="auto"/>
          <w:sz w:val="28"/>
          <w:szCs w:val="28"/>
          <w:u w:val="single"/>
        </w:rPr>
        <w:t>至政采云平台</w:t>
      </w:r>
      <w:r>
        <w:rPr>
          <w:rFonts w:hint="eastAsia" w:ascii="宋体" w:hAnsi="宋体" w:eastAsia="宋体" w:cs="宋体"/>
          <w:b/>
          <w:bCs/>
          <w:color w:val="auto"/>
          <w:sz w:val="28"/>
          <w:szCs w:val="28"/>
          <w:u w:val="single"/>
          <w:lang w:val="en-US" w:eastAsia="zh-CN"/>
        </w:rPr>
        <w:t>（严格按照政采云电子投标流程制作并上传电子响应文件）。</w:t>
      </w:r>
    </w:p>
    <w:p w14:paraId="018250DF">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9.2    上述文件应按照磋商文件规定的格式填写、签署和盖章。</w:t>
      </w:r>
      <w:bookmarkEnd w:id="152"/>
    </w:p>
    <w:p w14:paraId="67F719B9">
      <w:pPr>
        <w:pStyle w:val="4"/>
        <w:tabs>
          <w:tab w:val="left" w:pos="900"/>
        </w:tabs>
        <w:snapToGrid w:val="0"/>
        <w:spacing w:before="0" w:after="0" w:line="360" w:lineRule="auto"/>
        <w:textAlignment w:val="baseline"/>
        <w:rPr>
          <w:rFonts w:hint="eastAsia" w:ascii="宋体" w:hAnsi="宋体" w:eastAsia="宋体" w:cs="宋体"/>
          <w:color w:val="auto"/>
          <w:sz w:val="28"/>
          <w:szCs w:val="28"/>
          <w:u w:color="000000"/>
        </w:rPr>
      </w:pPr>
      <w:bookmarkStart w:id="153" w:name="_Toc515647769"/>
      <w:bookmarkStart w:id="154" w:name="_Toc516367023"/>
      <w:bookmarkStart w:id="155" w:name="_Toc4291"/>
      <w:bookmarkStart w:id="156" w:name="_Toc8626"/>
      <w:bookmarkStart w:id="157" w:name="_Toc870"/>
      <w:bookmarkStart w:id="158" w:name="_Toc6860"/>
      <w:bookmarkStart w:id="159" w:name="_Toc15064"/>
      <w:bookmarkStart w:id="160" w:name="_Toc32014"/>
      <w:bookmarkStart w:id="161" w:name="_Toc25631"/>
      <w:bookmarkStart w:id="162" w:name="_Toc10379"/>
      <w:bookmarkStart w:id="163" w:name="_Toc5860"/>
      <w:bookmarkStart w:id="164" w:name="_Toc18944"/>
      <w:bookmarkStart w:id="165" w:name="_Toc520356153"/>
      <w:bookmarkStart w:id="166" w:name="_Toc28330"/>
      <w:bookmarkStart w:id="167" w:name="_Toc4601"/>
      <w:r>
        <w:rPr>
          <w:rFonts w:hint="eastAsia" w:ascii="宋体" w:hAnsi="宋体" w:eastAsia="宋体" w:cs="宋体"/>
          <w:color w:val="auto"/>
          <w:sz w:val="28"/>
          <w:szCs w:val="28"/>
          <w:u w:color="000000"/>
        </w:rPr>
        <w:t>10.</w:t>
      </w:r>
      <w:r>
        <w:rPr>
          <w:rFonts w:hint="eastAsia" w:ascii="宋体" w:hAnsi="宋体" w:eastAsia="宋体" w:cs="宋体"/>
          <w:color w:val="auto"/>
          <w:sz w:val="28"/>
          <w:szCs w:val="28"/>
          <w:u w:color="000000"/>
        </w:rPr>
        <w:tab/>
      </w:r>
      <w:r>
        <w:rPr>
          <w:rFonts w:hint="eastAsia" w:ascii="宋体" w:hAnsi="宋体" w:eastAsia="宋体" w:cs="宋体"/>
          <w:color w:val="auto"/>
          <w:sz w:val="28"/>
          <w:szCs w:val="28"/>
          <w:u w:color="000000"/>
        </w:rPr>
        <w:t>证明磋商标的的合格性和符合磋商文件规定的技术文件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B065022">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10.1</w:t>
      </w:r>
      <w:r>
        <w:rPr>
          <w:rFonts w:hint="eastAsia" w:ascii="宋体" w:hAnsi="宋体" w:eastAsia="宋体" w:cs="宋体"/>
          <w:color w:val="auto"/>
          <w:sz w:val="28"/>
          <w:szCs w:val="28"/>
        </w:rPr>
        <w:tab/>
      </w:r>
      <w:r>
        <w:rPr>
          <w:rFonts w:hint="eastAsia" w:ascii="宋体" w:hAnsi="宋体" w:eastAsia="宋体" w:cs="宋体"/>
          <w:color w:val="auto"/>
          <w:sz w:val="28"/>
          <w:szCs w:val="28"/>
        </w:rPr>
        <w:t>供应商应提交证明文件，证明其磋商内容符合磋商文件规定。该证明文件是响应文件的一部分。</w:t>
      </w:r>
    </w:p>
    <w:p w14:paraId="00C6C697">
      <w:pPr>
        <w:snapToGrid w:val="0"/>
        <w:spacing w:line="360" w:lineRule="auto"/>
        <w:ind w:left="900" w:hanging="1050" w:hangingChars="375"/>
        <w:textAlignment w:val="baseline"/>
        <w:rPr>
          <w:rFonts w:hint="eastAsia" w:ascii="宋体" w:hAnsi="宋体" w:eastAsia="宋体" w:cs="宋体"/>
          <w:color w:val="auto"/>
          <w:sz w:val="28"/>
          <w:szCs w:val="28"/>
        </w:rPr>
      </w:pPr>
      <w:bookmarkStart w:id="168" w:name="_Ref467306244"/>
      <w:r>
        <w:rPr>
          <w:rFonts w:hint="eastAsia" w:ascii="宋体" w:hAnsi="宋体" w:eastAsia="宋体" w:cs="宋体"/>
          <w:color w:val="auto"/>
          <w:sz w:val="28"/>
          <w:szCs w:val="28"/>
        </w:rPr>
        <w:t>10.2</w:t>
      </w:r>
      <w:r>
        <w:rPr>
          <w:rFonts w:hint="eastAsia" w:ascii="宋体" w:hAnsi="宋体" w:eastAsia="宋体" w:cs="宋体"/>
          <w:color w:val="auto"/>
          <w:sz w:val="28"/>
          <w:szCs w:val="28"/>
        </w:rPr>
        <w:tab/>
      </w:r>
      <w:r>
        <w:rPr>
          <w:rFonts w:hint="eastAsia" w:ascii="宋体" w:hAnsi="宋体" w:eastAsia="宋体" w:cs="宋体"/>
          <w:color w:val="auto"/>
          <w:sz w:val="28"/>
          <w:szCs w:val="28"/>
        </w:rPr>
        <w:t>上款所述的证明文件，可以是文字资料、图纸和数据，</w:t>
      </w:r>
      <w:bookmarkEnd w:id="168"/>
      <w:r>
        <w:rPr>
          <w:rFonts w:hint="eastAsia" w:ascii="宋体" w:hAnsi="宋体" w:eastAsia="宋体" w:cs="宋体"/>
          <w:color w:val="auto"/>
          <w:sz w:val="28"/>
          <w:szCs w:val="28"/>
        </w:rPr>
        <w:t>它包括：</w:t>
      </w:r>
    </w:p>
    <w:p w14:paraId="15C7D5B9">
      <w:pPr>
        <w:pStyle w:val="4"/>
        <w:snapToGrid w:val="0"/>
        <w:spacing w:before="0" w:after="0" w:line="360" w:lineRule="auto"/>
        <w:textAlignment w:val="baseline"/>
        <w:rPr>
          <w:rFonts w:hint="eastAsia" w:ascii="宋体" w:hAnsi="宋体" w:eastAsia="宋体" w:cs="宋体"/>
          <w:color w:val="auto"/>
          <w:sz w:val="28"/>
          <w:szCs w:val="28"/>
          <w:u w:color="000000"/>
        </w:rPr>
      </w:pPr>
      <w:bookmarkStart w:id="169" w:name="_Toc2248"/>
      <w:bookmarkStart w:id="170" w:name="_Toc7688"/>
      <w:bookmarkStart w:id="171" w:name="_Toc23231"/>
      <w:bookmarkStart w:id="172" w:name="_Toc15870"/>
      <w:bookmarkStart w:id="173" w:name="_Toc4935"/>
      <w:bookmarkStart w:id="174" w:name="_Toc6864"/>
      <w:bookmarkStart w:id="175" w:name="_Toc5859"/>
      <w:bookmarkStart w:id="176" w:name="_Toc5239"/>
      <w:bookmarkStart w:id="177" w:name="_Toc515647770"/>
      <w:bookmarkStart w:id="178" w:name="_Toc7506"/>
      <w:bookmarkStart w:id="179" w:name="_Toc27117"/>
      <w:bookmarkStart w:id="180" w:name="_Toc16854"/>
      <w:bookmarkStart w:id="181" w:name="_Toc520356155"/>
      <w:bookmarkStart w:id="182" w:name="_Toc9025"/>
      <w:r>
        <w:rPr>
          <w:rFonts w:hint="eastAsia" w:ascii="宋体" w:hAnsi="宋体" w:eastAsia="宋体" w:cs="宋体"/>
          <w:color w:val="auto"/>
          <w:sz w:val="28"/>
          <w:szCs w:val="28"/>
          <w:u w:color="000000"/>
        </w:rPr>
        <w:t>11.磋商报价</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3EBD9469">
      <w:pPr>
        <w:spacing w:line="360" w:lineRule="auto"/>
        <w:ind w:left="900" w:hanging="1050" w:hangingChars="375"/>
        <w:rPr>
          <w:rFonts w:hint="eastAsia" w:ascii="宋体" w:hAnsi="宋体" w:eastAsia="宋体" w:cs="宋体"/>
          <w:color w:val="auto"/>
          <w:sz w:val="28"/>
          <w:szCs w:val="28"/>
        </w:rPr>
      </w:pPr>
      <w:bookmarkStart w:id="183" w:name="_Toc20519"/>
      <w:bookmarkStart w:id="184" w:name="_Toc515647771"/>
      <w:bookmarkStart w:id="185" w:name="_Toc5302"/>
      <w:bookmarkStart w:id="186" w:name="_Toc520356156"/>
      <w:bookmarkStart w:id="187" w:name="_Toc16693"/>
      <w:bookmarkStart w:id="188" w:name="_Toc19405"/>
      <w:bookmarkStart w:id="189" w:name="_Toc9763"/>
      <w:bookmarkStart w:id="190" w:name="_Toc17788"/>
      <w:bookmarkStart w:id="191" w:name="_Ref467306513"/>
      <w:bookmarkStart w:id="192" w:name="_Toc30640"/>
      <w:bookmarkStart w:id="193" w:name="_Toc8505"/>
      <w:bookmarkStart w:id="194" w:name="_Toc1651"/>
      <w:bookmarkStart w:id="195" w:name="_Toc29901"/>
      <w:bookmarkStart w:id="196" w:name="_Toc11514"/>
      <w:bookmarkStart w:id="197" w:name="_Toc31526"/>
      <w:r>
        <w:rPr>
          <w:rFonts w:hint="eastAsia" w:ascii="宋体" w:hAnsi="宋体" w:eastAsia="宋体" w:cs="宋体"/>
          <w:color w:val="auto"/>
          <w:sz w:val="28"/>
          <w:szCs w:val="28"/>
        </w:rPr>
        <w:t>11.1</w:t>
      </w:r>
      <w:r>
        <w:rPr>
          <w:rFonts w:hint="eastAsia" w:ascii="宋体" w:hAnsi="宋体" w:eastAsia="宋体" w:cs="宋体"/>
          <w:color w:val="auto"/>
          <w:sz w:val="28"/>
          <w:szCs w:val="28"/>
        </w:rPr>
        <w:tab/>
      </w:r>
      <w:r>
        <w:rPr>
          <w:rFonts w:hint="eastAsia" w:ascii="宋体" w:hAnsi="宋体" w:eastAsia="宋体" w:cs="宋体"/>
          <w:color w:val="auto"/>
          <w:sz w:val="28"/>
          <w:szCs w:val="28"/>
        </w:rPr>
        <w:t>所有响应文件均以人民币报价。供应商的磋商报价应遵守《中华人民共和国价格法》。同时，根据《中华人民共和国政府采购法》第二条的规定，为保证公平竞争，如有主体磋商标的的赠与行为，其磋商将被认定为磋商无效。</w:t>
      </w:r>
    </w:p>
    <w:p w14:paraId="4919927D">
      <w:pPr>
        <w:spacing w:line="360" w:lineRule="auto"/>
        <w:ind w:left="900" w:hanging="1050" w:hangingChars="375"/>
        <w:rPr>
          <w:rFonts w:hint="eastAsia" w:ascii="宋体" w:hAnsi="宋体" w:eastAsia="宋体" w:cs="宋体"/>
          <w:color w:val="auto"/>
          <w:sz w:val="28"/>
          <w:szCs w:val="28"/>
        </w:rPr>
      </w:pPr>
      <w:r>
        <w:rPr>
          <w:rFonts w:hint="eastAsia" w:ascii="宋体" w:hAnsi="宋体" w:eastAsia="宋体" w:cs="宋体"/>
          <w:color w:val="auto"/>
          <w:sz w:val="28"/>
          <w:szCs w:val="28"/>
        </w:rPr>
        <w:t>11.2</w:t>
      </w:r>
      <w:r>
        <w:rPr>
          <w:rFonts w:hint="eastAsia" w:ascii="宋体" w:hAnsi="宋体" w:eastAsia="宋体" w:cs="宋体"/>
          <w:color w:val="auto"/>
          <w:sz w:val="28"/>
          <w:szCs w:val="28"/>
        </w:rPr>
        <w:tab/>
      </w:r>
      <w:r>
        <w:rPr>
          <w:rFonts w:hint="eastAsia" w:ascii="宋体" w:hAnsi="宋体" w:eastAsia="宋体" w:cs="宋体"/>
          <w:color w:val="auto"/>
          <w:sz w:val="28"/>
          <w:szCs w:val="28"/>
          <w:highlight w:val="none"/>
        </w:rPr>
        <w:t>供应商应在标的分项报价表上标明分项服务的价格（如适用）和总价，并由法定代表人或其委托代理人签署。</w:t>
      </w:r>
    </w:p>
    <w:p w14:paraId="37AE52B2">
      <w:pPr>
        <w:spacing w:line="360" w:lineRule="auto"/>
        <w:ind w:left="900" w:hanging="1050" w:hangingChars="375"/>
        <w:rPr>
          <w:rFonts w:hint="eastAsia" w:ascii="宋体" w:hAnsi="宋体" w:eastAsia="宋体" w:cs="宋体"/>
          <w:color w:val="auto"/>
          <w:sz w:val="28"/>
          <w:szCs w:val="28"/>
        </w:rPr>
      </w:pPr>
      <w:r>
        <w:rPr>
          <w:rFonts w:hint="eastAsia" w:ascii="宋体" w:hAnsi="宋体" w:eastAsia="宋体" w:cs="宋体"/>
          <w:color w:val="auto"/>
          <w:sz w:val="28"/>
          <w:szCs w:val="28"/>
        </w:rPr>
        <w:t>11.3</w:t>
      </w:r>
      <w:r>
        <w:rPr>
          <w:rFonts w:hint="eastAsia" w:ascii="宋体" w:hAnsi="宋体" w:eastAsia="宋体" w:cs="宋体"/>
          <w:color w:val="auto"/>
          <w:sz w:val="28"/>
          <w:szCs w:val="28"/>
        </w:rPr>
        <w:tab/>
      </w:r>
      <w:r>
        <w:rPr>
          <w:rFonts w:hint="eastAsia" w:ascii="宋体" w:hAnsi="宋体" w:eastAsia="宋体" w:cs="宋体"/>
          <w:color w:val="auto"/>
          <w:sz w:val="28"/>
          <w:szCs w:val="28"/>
        </w:rPr>
        <w:t>采购人不接受具有附加条件的报价。</w:t>
      </w:r>
    </w:p>
    <w:p w14:paraId="5AD3A56A">
      <w:pPr>
        <w:spacing w:line="360" w:lineRule="auto"/>
        <w:ind w:left="900" w:hanging="1050" w:hangingChars="375"/>
        <w:rPr>
          <w:rFonts w:hint="eastAsia" w:ascii="宋体" w:hAnsi="宋体" w:eastAsia="宋体" w:cs="宋体"/>
          <w:color w:val="auto"/>
          <w:sz w:val="28"/>
          <w:szCs w:val="28"/>
        </w:rPr>
      </w:pPr>
      <w:r>
        <w:rPr>
          <w:rFonts w:hint="eastAsia" w:ascii="宋体" w:hAnsi="宋体" w:eastAsia="宋体" w:cs="宋体"/>
          <w:color w:val="auto"/>
          <w:sz w:val="28"/>
          <w:szCs w:val="28"/>
        </w:rPr>
        <w:t>11.4</w:t>
      </w:r>
      <w:r>
        <w:rPr>
          <w:rFonts w:hint="eastAsia" w:ascii="宋体" w:hAnsi="宋体" w:eastAsia="宋体" w:cs="宋体"/>
          <w:color w:val="auto"/>
          <w:sz w:val="28"/>
          <w:szCs w:val="28"/>
        </w:rPr>
        <w:tab/>
      </w:r>
      <w:r>
        <w:rPr>
          <w:rFonts w:hint="eastAsia" w:ascii="宋体" w:hAnsi="宋体" w:eastAsia="宋体" w:cs="宋体"/>
          <w:color w:val="auto"/>
          <w:sz w:val="28"/>
          <w:szCs w:val="28"/>
        </w:rPr>
        <w:t>供应商所报的各分项磋商报价在合同履行过程中是固定不变的，不得以任何理由予以变更。任何包含价格调整要求的磋商，将被认定为磋商无效。</w:t>
      </w:r>
    </w:p>
    <w:p w14:paraId="70E89BA7">
      <w:pPr>
        <w:spacing w:line="360" w:lineRule="auto"/>
        <w:ind w:left="900" w:hanging="1050" w:hangingChars="375"/>
        <w:rPr>
          <w:rFonts w:hint="eastAsia" w:ascii="宋体" w:hAnsi="宋体" w:eastAsia="宋体" w:cs="宋体"/>
          <w:b/>
          <w:bCs/>
          <w:color w:val="auto"/>
          <w:sz w:val="28"/>
          <w:szCs w:val="28"/>
          <w:u w:val="single"/>
        </w:rPr>
      </w:pPr>
      <w:r>
        <w:rPr>
          <w:rFonts w:hint="eastAsia" w:ascii="宋体" w:hAnsi="宋体" w:eastAsia="宋体" w:cs="宋体"/>
          <w:color w:val="auto"/>
          <w:sz w:val="28"/>
          <w:szCs w:val="28"/>
        </w:rPr>
        <w:t xml:space="preserve">11.5   </w:t>
      </w:r>
      <w:r>
        <w:rPr>
          <w:rFonts w:hint="eastAsia" w:ascii="宋体" w:hAnsi="宋体" w:eastAsia="宋体" w:cs="宋体"/>
          <w:b/>
          <w:bCs/>
          <w:color w:val="auto"/>
          <w:sz w:val="28"/>
          <w:szCs w:val="28"/>
          <w:u w:val="single"/>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14:paraId="4E98BC1E">
      <w:pPr>
        <w:pStyle w:val="4"/>
        <w:snapToGrid w:val="0"/>
        <w:spacing w:before="0" w:after="0" w:line="360" w:lineRule="auto"/>
        <w:textAlignment w:val="baseline"/>
        <w:rPr>
          <w:rFonts w:hint="eastAsia" w:ascii="宋体" w:hAnsi="宋体" w:eastAsia="宋体" w:cs="宋体"/>
          <w:color w:val="auto"/>
          <w:sz w:val="28"/>
          <w:szCs w:val="28"/>
          <w:u w:color="000000"/>
        </w:rPr>
      </w:pPr>
      <w:r>
        <w:rPr>
          <w:rFonts w:hint="eastAsia" w:ascii="宋体" w:hAnsi="宋体" w:eastAsia="宋体" w:cs="宋体"/>
          <w:color w:val="auto"/>
          <w:sz w:val="28"/>
          <w:szCs w:val="28"/>
          <w:u w:color="000000"/>
        </w:rPr>
        <w:t>12.磋商保证金</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3D6666E3">
      <w:pPr>
        <w:snapToGrid w:val="0"/>
        <w:spacing w:line="360" w:lineRule="auto"/>
        <w:ind w:left="900" w:hanging="1050" w:hangingChars="375"/>
        <w:textAlignment w:val="baseline"/>
        <w:rPr>
          <w:rFonts w:hint="eastAsia" w:ascii="宋体" w:hAnsi="宋体" w:eastAsia="宋体" w:cs="宋体"/>
          <w:color w:val="auto"/>
          <w:sz w:val="28"/>
          <w:szCs w:val="28"/>
        </w:rPr>
      </w:pPr>
      <w:bookmarkStart w:id="198" w:name="_Ref467306302"/>
      <w:r>
        <w:rPr>
          <w:rFonts w:hint="eastAsia" w:ascii="宋体" w:hAnsi="宋体" w:eastAsia="宋体" w:cs="宋体"/>
          <w:color w:val="auto"/>
          <w:sz w:val="28"/>
          <w:szCs w:val="28"/>
        </w:rPr>
        <w:t>12.1</w:t>
      </w:r>
      <w:r>
        <w:rPr>
          <w:rFonts w:hint="eastAsia" w:ascii="宋体" w:hAnsi="宋体" w:eastAsia="宋体" w:cs="宋体"/>
          <w:color w:val="auto"/>
          <w:sz w:val="28"/>
          <w:szCs w:val="28"/>
        </w:rPr>
        <w:tab/>
      </w:r>
      <w:r>
        <w:rPr>
          <w:rFonts w:hint="eastAsia" w:ascii="宋体" w:hAnsi="宋体" w:eastAsia="宋体" w:cs="宋体"/>
          <w:color w:val="auto"/>
          <w:sz w:val="28"/>
          <w:szCs w:val="28"/>
        </w:rPr>
        <w:t>供应商应提交</w:t>
      </w:r>
      <w:r>
        <w:rPr>
          <w:rFonts w:hint="eastAsia" w:ascii="宋体" w:hAnsi="宋体" w:eastAsia="宋体" w:cs="宋体"/>
          <w:color w:val="auto"/>
          <w:sz w:val="28"/>
          <w:szCs w:val="28"/>
          <w:u w:val="single" w:color="000000"/>
        </w:rPr>
        <w:t>供应商须知资料表</w:t>
      </w:r>
      <w:r>
        <w:rPr>
          <w:rFonts w:hint="eastAsia" w:ascii="宋体" w:hAnsi="宋体" w:eastAsia="宋体" w:cs="宋体"/>
          <w:color w:val="auto"/>
          <w:sz w:val="28"/>
          <w:szCs w:val="28"/>
        </w:rPr>
        <w:t>中规定的磋商保证金</w:t>
      </w:r>
      <w:bookmarkEnd w:id="198"/>
      <w:r>
        <w:rPr>
          <w:rFonts w:hint="eastAsia" w:ascii="宋体" w:hAnsi="宋体" w:eastAsia="宋体" w:cs="宋体"/>
          <w:color w:val="auto"/>
          <w:sz w:val="28"/>
          <w:szCs w:val="28"/>
        </w:rPr>
        <w:t>，并作为其磋商的一部分。</w:t>
      </w:r>
    </w:p>
    <w:p w14:paraId="48E3715D">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12.2</w:t>
      </w:r>
      <w:r>
        <w:rPr>
          <w:rFonts w:hint="eastAsia" w:ascii="宋体" w:hAnsi="宋体" w:eastAsia="宋体" w:cs="宋体"/>
          <w:color w:val="auto"/>
          <w:sz w:val="28"/>
          <w:szCs w:val="28"/>
        </w:rPr>
        <w:tab/>
      </w:r>
      <w:r>
        <w:rPr>
          <w:rFonts w:hint="eastAsia" w:ascii="宋体" w:hAnsi="宋体" w:eastAsia="宋体" w:cs="宋体"/>
          <w:color w:val="auto"/>
          <w:sz w:val="28"/>
          <w:szCs w:val="28"/>
        </w:rPr>
        <w:t>供应商存在下列情形的，磋商保证金不予退还：</w:t>
      </w:r>
    </w:p>
    <w:p w14:paraId="66B9FCFF">
      <w:pPr>
        <w:pStyle w:val="19"/>
        <w:tabs>
          <w:tab w:val="left" w:pos="2240"/>
        </w:tabs>
        <w:snapToGrid w:val="0"/>
        <w:spacing w:line="360" w:lineRule="auto"/>
        <w:ind w:left="300" w:hanging="350" w:hangingChars="12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（1）在磋商有效期内，撤销磋商的；</w:t>
      </w:r>
    </w:p>
    <w:p w14:paraId="1CC5813C">
      <w:pPr>
        <w:pStyle w:val="19"/>
        <w:tabs>
          <w:tab w:val="left" w:pos="2240"/>
        </w:tabs>
        <w:snapToGrid w:val="0"/>
        <w:spacing w:line="360" w:lineRule="auto"/>
        <w:ind w:left="300" w:hanging="350" w:hangingChars="12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（2）成交后不按本须知第30条的规定与采购人签订合同的；</w:t>
      </w:r>
    </w:p>
    <w:p w14:paraId="56C1B63B">
      <w:pPr>
        <w:pStyle w:val="19"/>
        <w:tabs>
          <w:tab w:val="left" w:pos="2240"/>
        </w:tabs>
        <w:snapToGrid w:val="0"/>
        <w:spacing w:line="360" w:lineRule="auto"/>
        <w:ind w:left="300" w:hanging="350" w:hangingChars="12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（3）成交后不按本须知第31条的规定提交履约保证金的；</w:t>
      </w:r>
    </w:p>
    <w:p w14:paraId="7D8C7905">
      <w:pPr>
        <w:pStyle w:val="19"/>
        <w:tabs>
          <w:tab w:val="left" w:pos="2240"/>
        </w:tabs>
        <w:snapToGrid w:val="0"/>
        <w:spacing w:line="360" w:lineRule="auto"/>
        <w:ind w:left="300" w:hanging="350" w:hangingChars="12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（4）成交后不按本须知第32条的规定缴纳成交代理费的；</w:t>
      </w:r>
    </w:p>
    <w:p w14:paraId="51625287">
      <w:pPr>
        <w:pStyle w:val="19"/>
        <w:tabs>
          <w:tab w:val="left" w:pos="2240"/>
        </w:tabs>
        <w:snapToGrid w:val="0"/>
        <w:spacing w:line="360" w:lineRule="auto"/>
        <w:ind w:left="300" w:hanging="350" w:hangingChars="12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（5）存在其他违法违规行为的。</w:t>
      </w:r>
    </w:p>
    <w:p w14:paraId="2F6C01AD">
      <w:pPr>
        <w:snapToGrid w:val="0"/>
        <w:spacing w:line="360" w:lineRule="auto"/>
        <w:ind w:left="900" w:hanging="1050" w:hangingChars="375"/>
        <w:textAlignment w:val="baseline"/>
        <w:rPr>
          <w:rFonts w:hint="eastAsia" w:ascii="宋体" w:hAnsi="宋体" w:eastAsia="宋体" w:cs="宋体"/>
          <w:color w:val="auto"/>
          <w:sz w:val="28"/>
          <w:szCs w:val="28"/>
        </w:rPr>
      </w:pPr>
      <w:bookmarkStart w:id="199" w:name="_Ref467306336"/>
      <w:r>
        <w:rPr>
          <w:rFonts w:hint="eastAsia" w:ascii="宋体" w:hAnsi="宋体" w:eastAsia="宋体" w:cs="宋体"/>
          <w:color w:val="auto"/>
          <w:sz w:val="28"/>
          <w:szCs w:val="28"/>
        </w:rPr>
        <w:t>12.3</w:t>
      </w:r>
      <w:r>
        <w:rPr>
          <w:rFonts w:hint="eastAsia" w:ascii="宋体" w:hAnsi="宋体" w:eastAsia="宋体" w:cs="宋体"/>
          <w:color w:val="auto"/>
          <w:sz w:val="28"/>
          <w:szCs w:val="28"/>
        </w:rPr>
        <w:tab/>
      </w:r>
      <w:bookmarkEnd w:id="199"/>
      <w:r>
        <w:rPr>
          <w:rFonts w:hint="eastAsia" w:ascii="宋体" w:hAnsi="宋体" w:eastAsia="宋体" w:cs="宋体"/>
          <w:color w:val="auto"/>
          <w:sz w:val="28"/>
          <w:szCs w:val="28"/>
        </w:rPr>
        <w:t>政府采购信用担保试点范围内的项目，接受符合财政部门规定的政府采购磋商担保函。</w:t>
      </w:r>
    </w:p>
    <w:p w14:paraId="552CD1B7">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12.4</w:t>
      </w:r>
      <w:r>
        <w:rPr>
          <w:rFonts w:hint="eastAsia" w:ascii="宋体" w:hAnsi="宋体" w:eastAsia="宋体" w:cs="宋体"/>
          <w:color w:val="auto"/>
          <w:sz w:val="28"/>
          <w:szCs w:val="28"/>
        </w:rPr>
        <w:tab/>
      </w:r>
      <w:r>
        <w:rPr>
          <w:rFonts w:hint="eastAsia" w:ascii="宋体" w:hAnsi="宋体" w:eastAsia="宋体" w:cs="宋体"/>
          <w:color w:val="auto"/>
          <w:sz w:val="28"/>
          <w:szCs w:val="28"/>
        </w:rPr>
        <w:t>供应商未按本须知第12.1和12.3条规定提交磋商保证金的，其磋商将被认定为</w:t>
      </w:r>
      <w:r>
        <w:rPr>
          <w:rFonts w:hint="eastAsia" w:ascii="宋体" w:hAnsi="宋体" w:eastAsia="宋体" w:cs="宋体"/>
          <w:b/>
          <w:bCs/>
          <w:color w:val="auto"/>
          <w:sz w:val="28"/>
          <w:szCs w:val="28"/>
        </w:rPr>
        <w:t>磋商无效</w:t>
      </w:r>
      <w:r>
        <w:rPr>
          <w:rFonts w:hint="eastAsia" w:ascii="宋体" w:hAnsi="宋体" w:eastAsia="宋体" w:cs="宋体"/>
          <w:color w:val="auto"/>
          <w:sz w:val="28"/>
          <w:szCs w:val="28"/>
        </w:rPr>
        <w:t>。</w:t>
      </w:r>
    </w:p>
    <w:p w14:paraId="0500E928">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12.4.1  采用电汇形式的，一般可以实时入账。</w:t>
      </w:r>
    </w:p>
    <w:p w14:paraId="42432FDC">
      <w:pPr>
        <w:snapToGrid w:val="0"/>
        <w:spacing w:line="360" w:lineRule="auto"/>
        <w:ind w:left="960" w:hanging="1120" w:hangingChars="4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3D99CEB4">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12.5   联合体磋商的，可以由联合体中的一方或者共同提交磋商保证金。以一方名义提交磋商保证金的，对联合体各方均具有约束力。</w:t>
      </w:r>
    </w:p>
    <w:p w14:paraId="0830947E">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12.6</w:t>
      </w:r>
      <w:r>
        <w:rPr>
          <w:rFonts w:hint="eastAsia" w:ascii="宋体" w:hAnsi="宋体" w:eastAsia="宋体" w:cs="宋体"/>
          <w:color w:val="auto"/>
          <w:sz w:val="28"/>
          <w:szCs w:val="28"/>
        </w:rPr>
        <w:tab/>
      </w:r>
      <w:r>
        <w:rPr>
          <w:rFonts w:hint="eastAsia" w:ascii="宋体" w:hAnsi="宋体" w:eastAsia="宋体" w:cs="宋体"/>
          <w:color w:val="auto"/>
          <w:sz w:val="28"/>
          <w:szCs w:val="28"/>
        </w:rPr>
        <w:t>磋商保证金的退还</w:t>
      </w:r>
    </w:p>
    <w:p w14:paraId="20A63802">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12.6.1  成交人应在与采购人签订合同之日起5个工作日内，及时联系保证金收受机构办理磋商保证金无息退还手续。</w:t>
      </w:r>
    </w:p>
    <w:p w14:paraId="18904FE0">
      <w:pPr>
        <w:snapToGrid w:val="0"/>
        <w:spacing w:line="360" w:lineRule="auto"/>
        <w:ind w:left="960" w:hanging="1120" w:hangingChars="4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12.6.2  未成交供应商的磋商保证金将在成交通知书发出之日暨成交结果公告公布之日起5个工作日内无息退还。供应商应及时联系保证金收受机构办理退还磋商保证金手续。</w:t>
      </w:r>
    </w:p>
    <w:p w14:paraId="4F185A03">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12.6.3  政府采购磋商担保函不予退回。</w:t>
      </w:r>
    </w:p>
    <w:p w14:paraId="6DE29893">
      <w:pPr>
        <w:snapToGrid w:val="0"/>
        <w:spacing w:line="360" w:lineRule="auto"/>
        <w:ind w:left="960" w:hanging="1120" w:hangingChars="4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12.7    因供应商自身原因导致无法及时退还的，采购人或采购代理机构将不承担相应责任。</w:t>
      </w:r>
    </w:p>
    <w:p w14:paraId="5A852927">
      <w:pPr>
        <w:pStyle w:val="4"/>
        <w:snapToGrid w:val="0"/>
        <w:spacing w:before="0" w:after="0" w:line="360" w:lineRule="auto"/>
        <w:textAlignment w:val="baseline"/>
        <w:rPr>
          <w:rFonts w:hint="eastAsia" w:ascii="宋体" w:hAnsi="宋体" w:eastAsia="宋体" w:cs="宋体"/>
          <w:color w:val="auto"/>
          <w:sz w:val="28"/>
          <w:szCs w:val="28"/>
          <w:u w:color="000000"/>
        </w:rPr>
      </w:pPr>
      <w:bookmarkStart w:id="200" w:name="_Toc515647772"/>
      <w:bookmarkStart w:id="201" w:name="_Toc13463"/>
      <w:bookmarkStart w:id="202" w:name="_Toc29124"/>
      <w:bookmarkStart w:id="203" w:name="_Toc12769"/>
      <w:bookmarkStart w:id="204" w:name="_Toc23590"/>
      <w:bookmarkStart w:id="205" w:name="_Toc3815"/>
      <w:bookmarkStart w:id="206" w:name="_Toc1400"/>
      <w:bookmarkStart w:id="207" w:name="_Toc325"/>
      <w:bookmarkStart w:id="208" w:name="_Toc21509"/>
      <w:bookmarkStart w:id="209" w:name="_Toc277"/>
      <w:bookmarkStart w:id="210" w:name="_Toc32569"/>
      <w:bookmarkStart w:id="211" w:name="_Toc20387"/>
      <w:bookmarkStart w:id="212" w:name="_Toc520356157"/>
      <w:bookmarkStart w:id="213" w:name="_Toc8146"/>
      <w:r>
        <w:rPr>
          <w:rFonts w:hint="eastAsia" w:ascii="宋体" w:hAnsi="宋体" w:eastAsia="宋体" w:cs="宋体"/>
          <w:color w:val="auto"/>
          <w:sz w:val="28"/>
          <w:szCs w:val="28"/>
          <w:u w:color="000000"/>
        </w:rPr>
        <w:t>13.磋商有效期</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F8FB9DE">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13.1</w:t>
      </w:r>
      <w:r>
        <w:rPr>
          <w:rFonts w:hint="eastAsia" w:ascii="宋体" w:hAnsi="宋体" w:eastAsia="宋体" w:cs="宋体"/>
          <w:color w:val="auto"/>
          <w:sz w:val="28"/>
          <w:szCs w:val="28"/>
        </w:rPr>
        <w:tab/>
      </w:r>
      <w:r>
        <w:rPr>
          <w:rFonts w:hint="eastAsia" w:ascii="宋体" w:hAnsi="宋体" w:eastAsia="宋体" w:cs="宋体"/>
          <w:color w:val="auto"/>
          <w:sz w:val="28"/>
          <w:szCs w:val="28"/>
        </w:rPr>
        <w:t>磋商应在</w:t>
      </w:r>
      <w:r>
        <w:rPr>
          <w:rFonts w:hint="eastAsia" w:ascii="宋体" w:hAnsi="宋体" w:eastAsia="宋体" w:cs="宋体"/>
          <w:color w:val="auto"/>
          <w:sz w:val="28"/>
          <w:szCs w:val="28"/>
          <w:u w:val="single" w:color="000000"/>
        </w:rPr>
        <w:t>供应商须知资料表</w:t>
      </w:r>
      <w:r>
        <w:rPr>
          <w:rFonts w:hint="eastAsia" w:ascii="宋体" w:hAnsi="宋体" w:eastAsia="宋体" w:cs="宋体"/>
          <w:color w:val="auto"/>
          <w:sz w:val="28"/>
          <w:szCs w:val="28"/>
        </w:rPr>
        <w:t>中规定时间内保持有效。磋商有效期不满足要求的磋商，其磋商将被认定为</w:t>
      </w:r>
      <w:r>
        <w:rPr>
          <w:rFonts w:hint="eastAsia" w:ascii="宋体" w:hAnsi="宋体" w:eastAsia="宋体" w:cs="宋体"/>
          <w:b/>
          <w:bCs/>
          <w:color w:val="auto"/>
          <w:sz w:val="28"/>
          <w:szCs w:val="28"/>
        </w:rPr>
        <w:t>磋商无效</w:t>
      </w:r>
      <w:r>
        <w:rPr>
          <w:rFonts w:hint="eastAsia" w:ascii="宋体" w:hAnsi="宋体" w:eastAsia="宋体" w:cs="宋体"/>
          <w:color w:val="auto"/>
          <w:sz w:val="28"/>
          <w:szCs w:val="28"/>
        </w:rPr>
        <w:t>。</w:t>
      </w:r>
    </w:p>
    <w:p w14:paraId="5DFC9A3C">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13.2</w:t>
      </w:r>
      <w:r>
        <w:rPr>
          <w:rFonts w:hint="eastAsia" w:ascii="宋体" w:hAnsi="宋体" w:eastAsia="宋体" w:cs="宋体"/>
          <w:color w:val="auto"/>
          <w:sz w:val="28"/>
          <w:szCs w:val="28"/>
        </w:rPr>
        <w:tab/>
      </w:r>
      <w:r>
        <w:rPr>
          <w:rFonts w:hint="eastAsia" w:ascii="宋体" w:hAnsi="宋体" w:eastAsia="宋体" w:cs="宋体"/>
          <w:color w:val="auto"/>
          <w:sz w:val="28"/>
          <w:szCs w:val="28"/>
        </w:rPr>
        <w:t>为保证有充分时间签订合同，采购人或采购代理机构可根据实际情况，在原磋商有效期截止之前，要求供应商延长响应文件的有效期。接受该要求的供应商将不会被要求和允许修正其磋商，且本须知中有关磋商保证金的要求须在延长的有效期内继续有效。供应商可以拒绝延长磋商有效期的要求，其磋商保证金将及时无息退还。上述要求和答复都应以书面形式提交。</w:t>
      </w:r>
    </w:p>
    <w:p w14:paraId="49FA1598">
      <w:pPr>
        <w:pStyle w:val="4"/>
        <w:snapToGrid w:val="0"/>
        <w:spacing w:before="0" w:after="0" w:line="360" w:lineRule="auto"/>
        <w:textAlignment w:val="baseline"/>
        <w:rPr>
          <w:rFonts w:hint="eastAsia" w:ascii="宋体" w:hAnsi="宋体" w:eastAsia="宋体" w:cs="宋体"/>
          <w:color w:val="auto"/>
          <w:sz w:val="28"/>
          <w:szCs w:val="28"/>
          <w:u w:color="000000"/>
        </w:rPr>
      </w:pPr>
      <w:bookmarkStart w:id="214" w:name="_Toc520356158"/>
      <w:bookmarkStart w:id="215" w:name="_Toc29649"/>
      <w:bookmarkStart w:id="216" w:name="_Toc13016"/>
      <w:bookmarkStart w:id="217" w:name="_Toc493"/>
      <w:bookmarkStart w:id="218" w:name="_Toc17074"/>
      <w:bookmarkStart w:id="219" w:name="_Toc21843"/>
      <w:bookmarkStart w:id="220" w:name="_Toc28395"/>
      <w:bookmarkStart w:id="221" w:name="_Toc540"/>
      <w:bookmarkStart w:id="222" w:name="_Toc19311"/>
      <w:bookmarkStart w:id="223" w:name="_Toc24880"/>
      <w:bookmarkStart w:id="224" w:name="_Toc26606"/>
      <w:bookmarkStart w:id="225" w:name="_Toc4551"/>
      <w:bookmarkStart w:id="226" w:name="_Toc515647773"/>
      <w:bookmarkStart w:id="227" w:name="_Toc14581"/>
      <w:r>
        <w:rPr>
          <w:rFonts w:hint="eastAsia" w:ascii="宋体" w:hAnsi="宋体" w:eastAsia="宋体" w:cs="宋体"/>
          <w:color w:val="auto"/>
          <w:sz w:val="28"/>
          <w:szCs w:val="28"/>
          <w:u w:color="000000"/>
        </w:rPr>
        <w:t>14.响应文件的签署</w:t>
      </w:r>
      <w:bookmarkEnd w:id="214"/>
      <w:r>
        <w:rPr>
          <w:rFonts w:hint="eastAsia" w:ascii="宋体" w:hAnsi="宋体" w:eastAsia="宋体" w:cs="宋体"/>
          <w:color w:val="auto"/>
          <w:sz w:val="28"/>
          <w:szCs w:val="28"/>
          <w:u w:color="000000"/>
        </w:rPr>
        <w:t>及规定</w:t>
      </w:r>
      <w:bookmarkEnd w:id="215"/>
      <w:bookmarkEnd w:id="216"/>
      <w:bookmarkEnd w:id="217"/>
      <w:bookmarkEnd w:id="218"/>
      <w:bookmarkEnd w:id="219"/>
      <w:bookmarkEnd w:id="220"/>
      <w:bookmarkEnd w:id="221"/>
      <w:bookmarkEnd w:id="222"/>
      <w:bookmarkEnd w:id="223"/>
      <w:bookmarkEnd w:id="224"/>
      <w:bookmarkEnd w:id="225"/>
      <w:bookmarkEnd w:id="226"/>
      <w:bookmarkEnd w:id="227"/>
    </w:p>
    <w:p w14:paraId="3698C60F">
      <w:pPr>
        <w:spacing w:line="360" w:lineRule="auto"/>
        <w:ind w:left="900" w:hanging="1050" w:hangingChars="375"/>
        <w:rPr>
          <w:rFonts w:hint="eastAsia" w:ascii="宋体" w:hAnsi="宋体" w:eastAsia="宋体" w:cs="宋体"/>
          <w:color w:val="auto"/>
          <w:sz w:val="28"/>
          <w:szCs w:val="28"/>
        </w:rPr>
      </w:pPr>
      <w:bookmarkStart w:id="228" w:name="_Toc16865"/>
      <w:bookmarkStart w:id="229" w:name="_Toc32551"/>
      <w:bookmarkStart w:id="230" w:name="_Toc8711"/>
      <w:bookmarkStart w:id="231" w:name="_Toc520356159"/>
      <w:bookmarkStart w:id="232" w:name="_Toc216582808"/>
      <w:bookmarkStart w:id="233" w:name="_Toc3461"/>
      <w:bookmarkStart w:id="234" w:name="_Toc515647774"/>
      <w:bookmarkStart w:id="235" w:name="_Toc11179"/>
      <w:r>
        <w:rPr>
          <w:rFonts w:hint="eastAsia" w:ascii="宋体" w:hAnsi="宋体" w:eastAsia="宋体" w:cs="宋体"/>
          <w:color w:val="auto"/>
          <w:sz w:val="28"/>
          <w:szCs w:val="28"/>
        </w:rPr>
        <w:t>14.1</w:t>
      </w:r>
      <w:r>
        <w:rPr>
          <w:rFonts w:hint="eastAsia" w:ascii="宋体" w:hAnsi="宋体" w:eastAsia="宋体" w:cs="宋体"/>
          <w:color w:val="auto"/>
          <w:sz w:val="28"/>
          <w:szCs w:val="28"/>
        </w:rPr>
        <w:tab/>
      </w:r>
      <w:r>
        <w:rPr>
          <w:rFonts w:hint="eastAsia" w:ascii="宋体" w:hAnsi="宋体" w:eastAsia="宋体" w:cs="宋体"/>
          <w:color w:val="auto"/>
          <w:sz w:val="28"/>
          <w:szCs w:val="28"/>
          <w:highlight w:val="none"/>
        </w:rPr>
        <w:t>供应商应按供应商须知资料表中的规定，准备和</w:t>
      </w:r>
      <w:r>
        <w:rPr>
          <w:rFonts w:hint="eastAsia" w:ascii="宋体" w:hAnsi="宋体" w:eastAsia="宋体" w:cs="宋体"/>
          <w:color w:val="auto"/>
          <w:sz w:val="28"/>
          <w:szCs w:val="28"/>
          <w:highlight w:val="none"/>
          <w:lang w:val="en-US" w:eastAsia="zh-CN"/>
        </w:rPr>
        <w:t>上传</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rPr>
        <w:t>。</w:t>
      </w:r>
    </w:p>
    <w:p w14:paraId="7230FCAB">
      <w:pPr>
        <w:spacing w:line="360" w:lineRule="auto"/>
        <w:ind w:left="900" w:hanging="1050" w:hangingChars="375"/>
        <w:rPr>
          <w:rFonts w:hint="eastAsia" w:ascii="宋体" w:hAnsi="宋体" w:eastAsia="宋体" w:cs="宋体"/>
          <w:color w:val="auto"/>
          <w:sz w:val="28"/>
          <w:szCs w:val="28"/>
        </w:rPr>
      </w:pPr>
      <w:r>
        <w:rPr>
          <w:rFonts w:hint="eastAsia" w:ascii="宋体" w:hAnsi="宋体" w:eastAsia="宋体" w:cs="宋体"/>
          <w:color w:val="auto"/>
          <w:sz w:val="28"/>
          <w:szCs w:val="28"/>
        </w:rPr>
        <w:t>14.2</w:t>
      </w:r>
      <w:r>
        <w:rPr>
          <w:rFonts w:hint="eastAsia" w:ascii="宋体" w:hAnsi="宋体" w:eastAsia="宋体" w:cs="宋体"/>
          <w:color w:val="auto"/>
          <w:sz w:val="28"/>
          <w:szCs w:val="28"/>
        </w:rPr>
        <w:tab/>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由供应商的法定代表人或经其正式委托代理人按</w:t>
      </w:r>
      <w:r>
        <w:rPr>
          <w:rFonts w:hint="eastAsia" w:ascii="宋体" w:hAnsi="宋体" w:eastAsia="宋体" w:cs="宋体"/>
          <w:color w:val="auto"/>
          <w:sz w:val="28"/>
          <w:szCs w:val="28"/>
          <w:lang w:eastAsia="zh-CN"/>
        </w:rPr>
        <w:t>磋商文件</w:t>
      </w:r>
      <w:r>
        <w:rPr>
          <w:rFonts w:hint="eastAsia" w:ascii="宋体" w:hAnsi="宋体" w:eastAsia="宋体" w:cs="宋体"/>
          <w:color w:val="auto"/>
          <w:sz w:val="28"/>
          <w:szCs w:val="28"/>
        </w:rPr>
        <w:t>规定在</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上签字或盖章并加盖单位印章。委托代理人须有书面的“法定代表人授权委托书”，并将其附在</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中。如对</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进行了修改，则应由供应商的法定代表人或其委托代理人在每一修改处签字。</w:t>
      </w:r>
    </w:p>
    <w:p w14:paraId="36DD28A0">
      <w:pPr>
        <w:spacing w:line="360" w:lineRule="auto"/>
        <w:ind w:left="900" w:hanging="1050" w:hangingChars="375"/>
        <w:jc w:val="both"/>
        <w:outlineLvl w:val="1"/>
        <w:rPr>
          <w:rFonts w:hint="eastAsia" w:ascii="宋体" w:hAnsi="宋体" w:eastAsia="宋体" w:cs="宋体"/>
          <w:color w:val="auto"/>
          <w:sz w:val="28"/>
          <w:szCs w:val="28"/>
        </w:rPr>
      </w:pPr>
      <w:bookmarkStart w:id="236" w:name="_Toc9074"/>
      <w:bookmarkStart w:id="237" w:name="_Toc13050"/>
      <w:bookmarkStart w:id="238" w:name="_Toc9747"/>
      <w:r>
        <w:rPr>
          <w:rFonts w:hint="eastAsia" w:ascii="宋体" w:hAnsi="宋体" w:eastAsia="宋体" w:cs="宋体"/>
          <w:color w:val="auto"/>
          <w:sz w:val="28"/>
          <w:szCs w:val="28"/>
        </w:rPr>
        <w:t>14.3    响应文件因字迹潦草、表达不清所引起的后果由供应商负责</w:t>
      </w:r>
      <w:bookmarkEnd w:id="236"/>
      <w:bookmarkEnd w:id="237"/>
      <w:bookmarkEnd w:id="238"/>
    </w:p>
    <w:p w14:paraId="3D7380EF">
      <w:pPr>
        <w:spacing w:line="360" w:lineRule="auto"/>
        <w:ind w:left="900" w:hanging="1050" w:hangingChars="375"/>
        <w:jc w:val="both"/>
        <w:outlineLvl w:val="1"/>
        <w:rPr>
          <w:rFonts w:hint="eastAsia" w:ascii="宋体" w:hAnsi="宋体" w:eastAsia="宋体" w:cs="宋体"/>
          <w:color w:val="auto"/>
          <w:sz w:val="28"/>
          <w:szCs w:val="28"/>
        </w:rPr>
      </w:pPr>
    </w:p>
    <w:p w14:paraId="18A82982">
      <w:pPr>
        <w:spacing w:line="360" w:lineRule="auto"/>
        <w:ind w:left="900" w:hanging="1054" w:hangingChars="375"/>
        <w:jc w:val="center"/>
        <w:outlineLvl w:val="1"/>
        <w:rPr>
          <w:rFonts w:hint="eastAsia" w:ascii="宋体" w:hAnsi="宋体" w:eastAsia="宋体" w:cs="宋体"/>
          <w:color w:val="auto"/>
          <w:sz w:val="28"/>
          <w:szCs w:val="28"/>
        </w:rPr>
      </w:pPr>
      <w:bookmarkStart w:id="239" w:name="_Toc28059"/>
      <w:r>
        <w:rPr>
          <w:rFonts w:hint="eastAsia" w:ascii="宋体" w:hAnsi="宋体" w:eastAsia="宋体" w:cs="宋体"/>
          <w:b/>
          <w:color w:val="auto"/>
          <w:sz w:val="28"/>
          <w:szCs w:val="28"/>
        </w:rPr>
        <w:t>四   响应文件的递交</w:t>
      </w:r>
      <w:bookmarkEnd w:id="228"/>
      <w:bookmarkEnd w:id="229"/>
      <w:bookmarkEnd w:id="230"/>
      <w:bookmarkEnd w:id="231"/>
      <w:bookmarkEnd w:id="232"/>
      <w:bookmarkEnd w:id="233"/>
      <w:bookmarkEnd w:id="234"/>
      <w:bookmarkEnd w:id="235"/>
      <w:bookmarkEnd w:id="239"/>
    </w:p>
    <w:p w14:paraId="7ED606E2">
      <w:pPr>
        <w:pStyle w:val="4"/>
        <w:snapToGrid w:val="0"/>
        <w:spacing w:before="0" w:after="0" w:line="360" w:lineRule="auto"/>
        <w:textAlignment w:val="baseline"/>
        <w:rPr>
          <w:rFonts w:hint="eastAsia" w:ascii="宋体" w:hAnsi="宋体" w:eastAsia="宋体" w:cs="宋体"/>
          <w:color w:val="auto"/>
          <w:sz w:val="28"/>
          <w:szCs w:val="28"/>
          <w:u w:color="000000"/>
          <w:lang w:eastAsia="zh-CN"/>
        </w:rPr>
      </w:pPr>
      <w:bookmarkStart w:id="240" w:name="_Toc1332"/>
      <w:bookmarkStart w:id="241" w:name="_Toc16507"/>
      <w:bookmarkStart w:id="242" w:name="_Toc6764"/>
      <w:bookmarkStart w:id="243" w:name="_Toc520356160"/>
      <w:bookmarkStart w:id="244" w:name="_Toc32337"/>
      <w:bookmarkStart w:id="245" w:name="_Toc6188"/>
      <w:bookmarkStart w:id="246" w:name="_Toc415"/>
      <w:bookmarkStart w:id="247" w:name="_Toc24069"/>
      <w:bookmarkStart w:id="248" w:name="_Toc13617"/>
      <w:bookmarkStart w:id="249" w:name="_Toc30799"/>
      <w:bookmarkStart w:id="250" w:name="_Toc22380"/>
      <w:bookmarkStart w:id="251" w:name="_Toc515647775"/>
      <w:bookmarkStart w:id="252" w:name="_Toc9759"/>
      <w:bookmarkStart w:id="253" w:name="_Toc21645"/>
      <w:r>
        <w:rPr>
          <w:rFonts w:hint="eastAsia" w:ascii="宋体" w:hAnsi="宋体" w:eastAsia="宋体" w:cs="宋体"/>
          <w:color w:val="auto"/>
          <w:sz w:val="28"/>
          <w:szCs w:val="28"/>
          <w:u w:color="000000"/>
        </w:rPr>
        <w:t>15.响应文件的密封和标记</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hint="eastAsia" w:ascii="宋体" w:hAnsi="宋体" w:eastAsia="宋体" w:cs="宋体"/>
          <w:color w:val="auto"/>
          <w:sz w:val="28"/>
          <w:szCs w:val="28"/>
          <w:u w:color="000000"/>
          <w:lang w:eastAsia="zh-CN"/>
        </w:rPr>
        <w:t>（全面电子化开评标）</w:t>
      </w:r>
    </w:p>
    <w:p w14:paraId="570CADB8">
      <w:pPr>
        <w:spacing w:line="360" w:lineRule="auto"/>
        <w:ind w:left="900" w:hanging="1050" w:hangingChars="375"/>
        <w:jc w:val="left"/>
        <w:rPr>
          <w:rFonts w:hint="eastAsia" w:ascii="宋体" w:hAnsi="宋体" w:eastAsia="宋体" w:cs="宋体"/>
          <w:b/>
          <w:bCs/>
          <w:color w:val="auto"/>
          <w:sz w:val="28"/>
          <w:szCs w:val="28"/>
          <w:u w:val="single"/>
          <w:lang w:val="en-US" w:eastAsia="zh-CN"/>
        </w:rPr>
      </w:pPr>
      <w:r>
        <w:rPr>
          <w:rFonts w:hint="eastAsia" w:ascii="宋体" w:hAnsi="宋体" w:eastAsia="宋体" w:cs="宋体"/>
          <w:color w:val="auto"/>
          <w:sz w:val="28"/>
          <w:szCs w:val="28"/>
        </w:rPr>
        <w:t xml:space="preserve">15.1   </w:t>
      </w:r>
      <w:r>
        <w:rPr>
          <w:rFonts w:hint="eastAsia" w:ascii="宋体" w:hAnsi="宋体" w:eastAsia="宋体" w:cs="宋体"/>
          <w:b/>
          <w:bCs/>
          <w:color w:val="auto"/>
          <w:sz w:val="28"/>
          <w:szCs w:val="28"/>
          <w:u w:val="single"/>
        </w:rPr>
        <w:t>为方便</w:t>
      </w:r>
      <w:r>
        <w:rPr>
          <w:rFonts w:hint="eastAsia" w:ascii="宋体" w:hAnsi="宋体" w:eastAsia="宋体" w:cs="宋体"/>
          <w:b/>
          <w:bCs/>
          <w:color w:val="auto"/>
          <w:sz w:val="28"/>
          <w:szCs w:val="28"/>
          <w:u w:val="single"/>
          <w:lang w:val="en-US" w:eastAsia="zh-CN"/>
        </w:rPr>
        <w:t>评审</w:t>
      </w:r>
      <w:r>
        <w:rPr>
          <w:rFonts w:hint="eastAsia" w:ascii="宋体" w:hAnsi="宋体" w:eastAsia="宋体" w:cs="宋体"/>
          <w:b/>
          <w:bCs/>
          <w:color w:val="auto"/>
          <w:sz w:val="28"/>
          <w:szCs w:val="28"/>
          <w:u w:val="single"/>
        </w:rPr>
        <w:t>及进行资格审查，供应商应完整地按</w:t>
      </w:r>
      <w:r>
        <w:rPr>
          <w:rFonts w:hint="eastAsia" w:ascii="宋体" w:hAnsi="宋体" w:eastAsia="宋体" w:cs="宋体"/>
          <w:b/>
          <w:bCs/>
          <w:color w:val="auto"/>
          <w:sz w:val="28"/>
          <w:szCs w:val="28"/>
          <w:u w:val="single"/>
          <w:lang w:eastAsia="zh-CN"/>
        </w:rPr>
        <w:t>磋商文件</w:t>
      </w:r>
      <w:r>
        <w:rPr>
          <w:rFonts w:hint="eastAsia" w:ascii="宋体" w:hAnsi="宋体" w:eastAsia="宋体" w:cs="宋体"/>
          <w:b/>
          <w:bCs/>
          <w:color w:val="auto"/>
          <w:sz w:val="28"/>
          <w:szCs w:val="28"/>
          <w:u w:val="single"/>
        </w:rPr>
        <w:t>提供的</w:t>
      </w:r>
      <w:r>
        <w:rPr>
          <w:rFonts w:hint="eastAsia" w:ascii="宋体" w:hAnsi="宋体" w:eastAsia="宋体" w:cs="宋体"/>
          <w:b/>
          <w:bCs/>
          <w:color w:val="auto"/>
          <w:sz w:val="28"/>
          <w:szCs w:val="28"/>
          <w:u w:val="single"/>
          <w:lang w:eastAsia="zh-CN"/>
        </w:rPr>
        <w:t>响应文件</w:t>
      </w:r>
      <w:r>
        <w:rPr>
          <w:rFonts w:hint="eastAsia" w:ascii="宋体" w:hAnsi="宋体" w:eastAsia="宋体" w:cs="宋体"/>
          <w:b/>
          <w:bCs/>
          <w:color w:val="auto"/>
          <w:sz w:val="28"/>
          <w:szCs w:val="28"/>
          <w:u w:val="single"/>
        </w:rPr>
        <w:t>格式及要求编写</w:t>
      </w:r>
      <w:r>
        <w:rPr>
          <w:rFonts w:hint="eastAsia" w:ascii="宋体" w:hAnsi="宋体" w:eastAsia="宋体" w:cs="宋体"/>
          <w:b/>
          <w:bCs/>
          <w:color w:val="auto"/>
          <w:sz w:val="28"/>
          <w:szCs w:val="28"/>
          <w:u w:val="single"/>
          <w:lang w:eastAsia="zh-CN"/>
        </w:rPr>
        <w:t>响应文件</w:t>
      </w:r>
      <w:r>
        <w:rPr>
          <w:rFonts w:hint="eastAsia" w:ascii="宋体" w:hAnsi="宋体" w:eastAsia="宋体" w:cs="宋体"/>
          <w:b/>
          <w:bCs/>
          <w:color w:val="auto"/>
          <w:sz w:val="28"/>
          <w:szCs w:val="28"/>
          <w:u w:val="single"/>
        </w:rPr>
        <w:t>，根据平台关联点上传对应佐证资料，</w:t>
      </w:r>
      <w:r>
        <w:rPr>
          <w:rFonts w:hint="eastAsia" w:ascii="宋体" w:hAnsi="宋体" w:eastAsia="宋体" w:cs="宋体"/>
          <w:b/>
          <w:bCs/>
          <w:color w:val="auto"/>
          <w:sz w:val="28"/>
          <w:szCs w:val="28"/>
          <w:u w:val="single"/>
          <w:lang w:eastAsia="zh-CN"/>
        </w:rPr>
        <w:t>响应文件</w:t>
      </w:r>
      <w:r>
        <w:rPr>
          <w:rFonts w:hint="eastAsia" w:ascii="宋体" w:hAnsi="宋体" w:eastAsia="宋体" w:cs="宋体"/>
          <w:b/>
          <w:bCs/>
          <w:color w:val="auto"/>
          <w:sz w:val="28"/>
          <w:szCs w:val="28"/>
          <w:u w:val="single"/>
        </w:rPr>
        <w:t>应包括“</w:t>
      </w:r>
      <w:r>
        <w:rPr>
          <w:rFonts w:hint="eastAsia" w:ascii="宋体" w:hAnsi="宋体" w:eastAsia="宋体" w:cs="宋体"/>
          <w:b/>
          <w:bCs/>
          <w:color w:val="auto"/>
          <w:sz w:val="28"/>
          <w:szCs w:val="28"/>
          <w:u w:val="single"/>
          <w:lang w:eastAsia="zh-CN"/>
        </w:rPr>
        <w:t>磋商一览表</w:t>
      </w:r>
      <w:r>
        <w:rPr>
          <w:rFonts w:hint="eastAsia" w:ascii="宋体" w:hAnsi="宋体" w:eastAsia="宋体" w:cs="宋体"/>
          <w:b/>
          <w:bCs/>
          <w:color w:val="auto"/>
          <w:sz w:val="28"/>
          <w:szCs w:val="28"/>
          <w:u w:val="single"/>
        </w:rPr>
        <w:t>及资格证明文件”和“商务及技术文件”两部分，两部分合并成完整一册</w:t>
      </w:r>
      <w:r>
        <w:rPr>
          <w:rFonts w:hint="eastAsia" w:ascii="宋体" w:hAnsi="宋体" w:eastAsia="宋体" w:cs="宋体"/>
          <w:b/>
          <w:bCs/>
          <w:color w:val="auto"/>
          <w:sz w:val="28"/>
          <w:szCs w:val="28"/>
          <w:u w:val="single"/>
          <w:lang w:val="en-US" w:eastAsia="zh-CN"/>
        </w:rPr>
        <w:t>经CA证书加密后上传提交</w:t>
      </w:r>
      <w:r>
        <w:rPr>
          <w:rFonts w:hint="eastAsia" w:ascii="宋体" w:hAnsi="宋体" w:eastAsia="宋体" w:cs="宋体"/>
          <w:b/>
          <w:bCs/>
          <w:color w:val="auto"/>
          <w:sz w:val="28"/>
          <w:szCs w:val="28"/>
          <w:u w:val="single"/>
        </w:rPr>
        <w:t>至政采云平台</w:t>
      </w:r>
      <w:r>
        <w:rPr>
          <w:rFonts w:hint="eastAsia" w:ascii="宋体" w:hAnsi="宋体" w:eastAsia="宋体" w:cs="宋体"/>
          <w:b/>
          <w:bCs/>
          <w:color w:val="auto"/>
          <w:sz w:val="28"/>
          <w:szCs w:val="28"/>
          <w:u w:val="single"/>
          <w:lang w:eastAsia="zh-CN"/>
        </w:rPr>
        <w:t>，</w:t>
      </w:r>
      <w:r>
        <w:rPr>
          <w:rFonts w:hint="eastAsia" w:ascii="宋体" w:hAnsi="宋体" w:eastAsia="宋体" w:cs="宋体"/>
          <w:b/>
          <w:bCs/>
          <w:color w:val="auto"/>
          <w:sz w:val="28"/>
          <w:szCs w:val="28"/>
          <w:u w:val="single"/>
          <w:lang w:val="en-US" w:eastAsia="zh-CN"/>
        </w:rPr>
        <w:t>任何单位或个人均无法在投标截止时间(即投标时间)之前查看或篡改，不存在泄密风险。（严格按照政采云电子投标流程制作并上传电子响应文件）。</w:t>
      </w:r>
    </w:p>
    <w:p w14:paraId="4F495C2A">
      <w:pPr>
        <w:spacing w:line="360" w:lineRule="auto"/>
        <w:rPr>
          <w:rFonts w:hint="eastAsia" w:ascii="宋体" w:hAnsi="宋体" w:eastAsia="宋体" w:cs="宋体"/>
          <w:color w:val="auto"/>
          <w:sz w:val="28"/>
          <w:szCs w:val="28"/>
          <w:highlight w:val="none"/>
        </w:rPr>
      </w:pPr>
      <w:r>
        <w:rPr>
          <w:rFonts w:hint="eastAsia" w:ascii="宋体" w:hAnsi="宋体" w:eastAsia="宋体" w:cs="宋体"/>
          <w:b w:val="0"/>
          <w:bCs w:val="0"/>
          <w:color w:val="auto"/>
          <w:sz w:val="28"/>
          <w:szCs w:val="28"/>
          <w:u w:val="none"/>
          <w:lang w:val="en-US" w:eastAsia="zh-CN"/>
        </w:rPr>
        <w:t xml:space="preserve">15.2    </w:t>
      </w:r>
      <w:r>
        <w:rPr>
          <w:rFonts w:hint="eastAsia" w:ascii="宋体" w:hAnsi="宋体" w:eastAsia="宋体" w:cs="宋体"/>
          <w:color w:val="auto"/>
          <w:sz w:val="28"/>
          <w:szCs w:val="28"/>
          <w:highlight w:val="none"/>
        </w:rPr>
        <w:t>如果供应商未按上述要求标记</w:t>
      </w:r>
      <w:r>
        <w:rPr>
          <w:rFonts w:hint="eastAsia" w:ascii="宋体" w:hAnsi="宋体" w:eastAsia="宋体" w:cs="宋体"/>
          <w:color w:val="auto"/>
          <w:sz w:val="28"/>
          <w:szCs w:val="28"/>
          <w:highlight w:val="none"/>
          <w:lang w:eastAsia="zh-CN"/>
        </w:rPr>
        <w:t>上传响应文件</w:t>
      </w:r>
      <w:r>
        <w:rPr>
          <w:rFonts w:hint="eastAsia" w:ascii="宋体" w:hAnsi="宋体" w:eastAsia="宋体" w:cs="宋体"/>
          <w:color w:val="auto"/>
          <w:sz w:val="28"/>
          <w:szCs w:val="28"/>
          <w:highlight w:val="none"/>
        </w:rPr>
        <w:t>的，将承担相应的后果。</w:t>
      </w:r>
    </w:p>
    <w:p w14:paraId="5487F76F">
      <w:pPr>
        <w:pStyle w:val="4"/>
        <w:snapToGrid w:val="0"/>
        <w:spacing w:before="0" w:after="0" w:line="360" w:lineRule="auto"/>
        <w:textAlignment w:val="baseline"/>
        <w:rPr>
          <w:rFonts w:hint="eastAsia" w:ascii="宋体" w:hAnsi="宋体" w:eastAsia="宋体" w:cs="宋体"/>
          <w:color w:val="auto"/>
          <w:sz w:val="28"/>
          <w:szCs w:val="28"/>
          <w:u w:color="000000"/>
        </w:rPr>
      </w:pPr>
      <w:bookmarkStart w:id="254" w:name="_Toc12690"/>
      <w:bookmarkStart w:id="255" w:name="_Toc9452"/>
      <w:bookmarkStart w:id="256" w:name="_Toc520356161"/>
      <w:bookmarkStart w:id="257" w:name="_Toc3372"/>
      <w:bookmarkStart w:id="258" w:name="_Toc515647776"/>
      <w:bookmarkStart w:id="259" w:name="_Toc2068"/>
      <w:bookmarkStart w:id="260" w:name="_Toc9840"/>
      <w:bookmarkStart w:id="261" w:name="_Toc8557"/>
      <w:bookmarkStart w:id="262" w:name="_Toc12751"/>
      <w:bookmarkStart w:id="263" w:name="_Toc24025"/>
      <w:bookmarkStart w:id="264" w:name="_Toc7478"/>
      <w:bookmarkStart w:id="265" w:name="_Toc18350"/>
      <w:bookmarkStart w:id="266" w:name="_Toc26069"/>
      <w:bookmarkStart w:id="267" w:name="_Toc31921"/>
      <w:r>
        <w:rPr>
          <w:rFonts w:hint="eastAsia" w:ascii="宋体" w:hAnsi="宋体" w:eastAsia="宋体" w:cs="宋体"/>
          <w:color w:val="auto"/>
          <w:sz w:val="28"/>
          <w:szCs w:val="28"/>
          <w:u w:color="000000"/>
        </w:rPr>
        <w:t>16.磋商截止</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086FC3F">
      <w:pPr>
        <w:spacing w:line="360" w:lineRule="auto"/>
        <w:ind w:left="900" w:hanging="1050" w:hangingChars="375"/>
        <w:rPr>
          <w:rFonts w:hint="eastAsia" w:ascii="宋体" w:hAnsi="宋体" w:eastAsia="宋体" w:cs="宋体"/>
          <w:color w:val="auto"/>
          <w:sz w:val="28"/>
          <w:szCs w:val="28"/>
        </w:rPr>
      </w:pPr>
      <w:bookmarkStart w:id="268" w:name="_Toc23557"/>
      <w:bookmarkStart w:id="269" w:name="_Toc520356162"/>
      <w:bookmarkStart w:id="270" w:name="_Toc18537"/>
      <w:bookmarkStart w:id="271" w:name="_Toc29943"/>
      <w:bookmarkStart w:id="272" w:name="_Toc11003"/>
      <w:bookmarkStart w:id="273" w:name="_Toc12952"/>
      <w:bookmarkStart w:id="274" w:name="_Toc24275"/>
      <w:bookmarkStart w:id="275" w:name="_Toc18594"/>
      <w:bookmarkStart w:id="276" w:name="_Toc9478"/>
      <w:bookmarkStart w:id="277" w:name="_Toc3014"/>
      <w:bookmarkStart w:id="278" w:name="_Toc22201"/>
      <w:bookmarkStart w:id="279" w:name="_Toc515647777"/>
      <w:bookmarkStart w:id="280" w:name="_Toc10299"/>
      <w:bookmarkStart w:id="281" w:name="_Toc7274"/>
      <w:r>
        <w:rPr>
          <w:rFonts w:hint="eastAsia" w:ascii="宋体" w:hAnsi="宋体" w:eastAsia="宋体" w:cs="宋体"/>
          <w:color w:val="auto"/>
          <w:sz w:val="28"/>
          <w:szCs w:val="28"/>
        </w:rPr>
        <w:t>16.1</w:t>
      </w:r>
      <w:r>
        <w:rPr>
          <w:rFonts w:hint="eastAsia" w:ascii="宋体" w:hAnsi="宋体" w:eastAsia="宋体" w:cs="宋体"/>
          <w:color w:val="auto"/>
          <w:sz w:val="28"/>
          <w:szCs w:val="28"/>
        </w:rPr>
        <w:tab/>
      </w:r>
      <w:r>
        <w:rPr>
          <w:rFonts w:hint="eastAsia" w:ascii="宋体" w:hAnsi="宋体" w:eastAsia="宋体" w:cs="宋体"/>
          <w:color w:val="auto"/>
          <w:sz w:val="28"/>
          <w:szCs w:val="28"/>
        </w:rPr>
        <w:t>供应商应在供应商须知资料表中规定的截止时间前，将响应文件上传到磋商公告中规定的地点。</w:t>
      </w:r>
    </w:p>
    <w:p w14:paraId="34329694">
      <w:pPr>
        <w:spacing w:line="360" w:lineRule="auto"/>
        <w:ind w:left="900" w:hanging="1050" w:hangingChars="375"/>
        <w:rPr>
          <w:rFonts w:hint="eastAsia" w:ascii="宋体" w:hAnsi="宋体" w:eastAsia="宋体" w:cs="宋体"/>
          <w:color w:val="auto"/>
          <w:sz w:val="28"/>
          <w:szCs w:val="28"/>
        </w:rPr>
      </w:pPr>
      <w:r>
        <w:rPr>
          <w:rFonts w:hint="eastAsia" w:ascii="宋体" w:hAnsi="宋体" w:eastAsia="宋体" w:cs="宋体"/>
          <w:color w:val="auto"/>
          <w:sz w:val="28"/>
          <w:szCs w:val="28"/>
        </w:rPr>
        <w:t>16.2</w:t>
      </w:r>
      <w:r>
        <w:rPr>
          <w:rFonts w:hint="eastAsia" w:ascii="宋体" w:hAnsi="宋体" w:eastAsia="宋体" w:cs="宋体"/>
          <w:color w:val="auto"/>
          <w:sz w:val="28"/>
          <w:szCs w:val="28"/>
        </w:rPr>
        <w:tab/>
      </w:r>
      <w:r>
        <w:rPr>
          <w:rFonts w:hint="eastAsia" w:ascii="宋体" w:hAnsi="宋体" w:eastAsia="宋体" w:cs="宋体"/>
          <w:color w:val="auto"/>
          <w:sz w:val="28"/>
          <w:szCs w:val="28"/>
        </w:rPr>
        <w:t>采购人和采购代理机构有权按本须知的规定，延迟磋商截止时间。在此情况下，采购人、采购代理机构和供应商受磋商截止时间制约的所有权利和义务均应延长至新的截止时间。</w:t>
      </w:r>
    </w:p>
    <w:p w14:paraId="351D3B9A">
      <w:pPr>
        <w:pStyle w:val="108"/>
        <w:spacing w:line="360" w:lineRule="auto"/>
        <w:ind w:left="0" w:leftChars="0"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16.3   采购人和采购代理机构将拒绝接收在磋商截止时间后上传的响应文件。</w:t>
      </w:r>
    </w:p>
    <w:p w14:paraId="411AC22C">
      <w:pPr>
        <w:pStyle w:val="4"/>
        <w:snapToGrid w:val="0"/>
        <w:spacing w:before="0" w:after="0" w:line="360" w:lineRule="auto"/>
        <w:textAlignment w:val="baseline"/>
        <w:rPr>
          <w:rFonts w:hint="eastAsia" w:ascii="宋体" w:hAnsi="宋体" w:eastAsia="宋体" w:cs="宋体"/>
          <w:color w:val="auto"/>
          <w:sz w:val="28"/>
          <w:szCs w:val="28"/>
          <w:u w:color="000000"/>
        </w:rPr>
      </w:pPr>
      <w:r>
        <w:rPr>
          <w:rFonts w:hint="eastAsia" w:ascii="宋体" w:hAnsi="宋体" w:eastAsia="宋体" w:cs="宋体"/>
          <w:color w:val="auto"/>
          <w:sz w:val="28"/>
          <w:szCs w:val="28"/>
          <w:u w:color="000000"/>
        </w:rPr>
        <w:t>17.响应文件的接收、修改与撤回</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316A4ABC">
      <w:pPr>
        <w:spacing w:line="360" w:lineRule="auto"/>
        <w:ind w:left="900" w:hanging="1050" w:hangingChars="375"/>
        <w:rPr>
          <w:rFonts w:hint="eastAsia" w:ascii="宋体" w:hAnsi="宋体" w:eastAsia="宋体" w:cs="宋体"/>
          <w:b/>
          <w:color w:val="auto"/>
          <w:sz w:val="28"/>
          <w:szCs w:val="28"/>
        </w:rPr>
      </w:pPr>
      <w:bookmarkStart w:id="282" w:name="_Toc16124"/>
      <w:bookmarkStart w:id="283" w:name="_Toc216582809"/>
      <w:bookmarkStart w:id="284" w:name="_Toc515647778"/>
      <w:bookmarkStart w:id="285" w:name="_Toc520356163"/>
      <w:bookmarkStart w:id="286" w:name="_Toc12436"/>
      <w:bookmarkStart w:id="287" w:name="_Toc27283"/>
      <w:bookmarkStart w:id="288" w:name="_Toc28398"/>
      <w:bookmarkStart w:id="289" w:name="_Toc6161"/>
      <w:r>
        <w:rPr>
          <w:rFonts w:hint="eastAsia" w:ascii="宋体" w:hAnsi="宋体" w:eastAsia="宋体" w:cs="宋体"/>
          <w:color w:val="auto"/>
          <w:sz w:val="28"/>
          <w:szCs w:val="28"/>
        </w:rPr>
        <w:t>17.1   在磋商截止时间后上传的响应文件的，采购人和采购代理机构将拒绝接收。</w:t>
      </w:r>
    </w:p>
    <w:p w14:paraId="0BFACCE6">
      <w:pPr>
        <w:spacing w:line="360" w:lineRule="auto"/>
        <w:ind w:left="900" w:hanging="1050" w:hangingChars="375"/>
        <w:rPr>
          <w:rFonts w:hint="eastAsia" w:ascii="宋体" w:hAnsi="宋体" w:eastAsia="宋体" w:cs="宋体"/>
          <w:color w:val="auto"/>
          <w:sz w:val="28"/>
          <w:szCs w:val="28"/>
        </w:rPr>
      </w:pPr>
      <w:r>
        <w:rPr>
          <w:rFonts w:hint="eastAsia" w:ascii="宋体" w:hAnsi="宋体" w:eastAsia="宋体" w:cs="宋体"/>
          <w:color w:val="auto"/>
          <w:sz w:val="28"/>
          <w:szCs w:val="28"/>
        </w:rPr>
        <w:t>17.2</w:t>
      </w:r>
      <w:r>
        <w:rPr>
          <w:rFonts w:hint="eastAsia" w:ascii="宋体" w:hAnsi="宋体" w:eastAsia="宋体" w:cs="宋体"/>
          <w:color w:val="auto"/>
          <w:sz w:val="28"/>
          <w:szCs w:val="28"/>
        </w:rPr>
        <w:tab/>
      </w:r>
      <w:r>
        <w:rPr>
          <w:rFonts w:hint="eastAsia" w:ascii="宋体" w:hAnsi="宋体" w:eastAsia="宋体" w:cs="宋体"/>
          <w:color w:val="auto"/>
          <w:sz w:val="28"/>
          <w:szCs w:val="28"/>
        </w:rPr>
        <w:t>上传响应文件以后，如果供应商要进行修改或撤回磋商，供应商对响应文件的修改或撤回通知应按本须知规定编制、标记。</w:t>
      </w:r>
    </w:p>
    <w:p w14:paraId="79A144C1">
      <w:pPr>
        <w:pStyle w:val="108"/>
        <w:spacing w:line="360" w:lineRule="auto"/>
        <w:ind w:firstLine="840" w:firstLineChars="300"/>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采购人和采购代理机构将予以接收，并视为响应文件的组成部分。</w:t>
      </w:r>
    </w:p>
    <w:p w14:paraId="7C26C3CF">
      <w:pPr>
        <w:spacing w:line="360" w:lineRule="auto"/>
        <w:ind w:left="900" w:hanging="1050" w:hangingChars="375"/>
        <w:rPr>
          <w:rFonts w:hint="eastAsia" w:ascii="宋体" w:hAnsi="宋体" w:eastAsia="宋体" w:cs="宋体"/>
          <w:color w:val="auto"/>
          <w:sz w:val="28"/>
          <w:szCs w:val="28"/>
        </w:rPr>
      </w:pPr>
      <w:r>
        <w:rPr>
          <w:rFonts w:hint="eastAsia" w:ascii="宋体" w:hAnsi="宋体" w:eastAsia="宋体" w:cs="宋体"/>
          <w:color w:val="auto"/>
          <w:sz w:val="28"/>
          <w:szCs w:val="28"/>
        </w:rPr>
        <w:t>17.3   在磋商截止期之后，采购人和采购代理机构不接受供应商主动对其响应文件做任何修改。</w:t>
      </w:r>
    </w:p>
    <w:p w14:paraId="49AD376D">
      <w:pPr>
        <w:spacing w:line="360" w:lineRule="auto"/>
        <w:ind w:left="900" w:hanging="1050" w:hangingChars="375"/>
        <w:rPr>
          <w:rFonts w:hint="eastAsia" w:ascii="宋体" w:hAnsi="宋体" w:eastAsia="宋体" w:cs="宋体"/>
          <w:color w:val="auto"/>
          <w:sz w:val="28"/>
          <w:szCs w:val="28"/>
        </w:rPr>
      </w:pPr>
      <w:r>
        <w:rPr>
          <w:rFonts w:hint="eastAsia" w:ascii="宋体" w:hAnsi="宋体" w:eastAsia="宋体" w:cs="宋体"/>
          <w:color w:val="auto"/>
          <w:sz w:val="28"/>
          <w:szCs w:val="28"/>
        </w:rPr>
        <w:t>17.4</w:t>
      </w:r>
      <w:r>
        <w:rPr>
          <w:rFonts w:hint="eastAsia" w:ascii="宋体" w:hAnsi="宋体" w:eastAsia="宋体" w:cs="宋体"/>
          <w:color w:val="auto"/>
          <w:sz w:val="28"/>
          <w:szCs w:val="28"/>
        </w:rPr>
        <w:tab/>
      </w:r>
      <w:r>
        <w:rPr>
          <w:rFonts w:hint="eastAsia" w:ascii="宋体" w:hAnsi="宋体" w:eastAsia="宋体" w:cs="宋体"/>
          <w:color w:val="auto"/>
          <w:sz w:val="28"/>
          <w:szCs w:val="28"/>
        </w:rPr>
        <w:t>采购人和采购代理机构对所接收响应文件概不退回。</w:t>
      </w:r>
    </w:p>
    <w:p w14:paraId="0288A7FA">
      <w:pPr>
        <w:pStyle w:val="3"/>
        <w:snapToGrid w:val="0"/>
        <w:spacing w:before="0" w:line="360" w:lineRule="auto"/>
        <w:ind w:hanging="540"/>
        <w:textAlignment w:val="baseline"/>
        <w:rPr>
          <w:rFonts w:hint="eastAsia" w:ascii="宋体" w:hAnsi="宋体" w:eastAsia="宋体" w:cs="宋体"/>
          <w:color w:val="auto"/>
          <w:sz w:val="28"/>
          <w:szCs w:val="28"/>
        </w:rPr>
      </w:pPr>
      <w:bookmarkStart w:id="290" w:name="_Toc14280"/>
      <w:r>
        <w:rPr>
          <w:rFonts w:hint="eastAsia" w:ascii="宋体" w:hAnsi="宋体" w:eastAsia="宋体" w:cs="宋体"/>
          <w:color w:val="auto"/>
          <w:sz w:val="28"/>
          <w:szCs w:val="28"/>
        </w:rPr>
        <w:t>五   磋商及评</w:t>
      </w:r>
      <w:bookmarkEnd w:id="282"/>
      <w:bookmarkEnd w:id="283"/>
      <w:bookmarkEnd w:id="284"/>
      <w:bookmarkEnd w:id="285"/>
      <w:bookmarkEnd w:id="286"/>
      <w:bookmarkEnd w:id="287"/>
      <w:bookmarkEnd w:id="288"/>
      <w:r>
        <w:rPr>
          <w:rFonts w:hint="eastAsia" w:ascii="宋体" w:hAnsi="宋体" w:eastAsia="宋体" w:cs="宋体"/>
          <w:color w:val="auto"/>
          <w:sz w:val="28"/>
          <w:szCs w:val="28"/>
        </w:rPr>
        <w:t>审</w:t>
      </w:r>
      <w:bookmarkEnd w:id="289"/>
      <w:bookmarkEnd w:id="290"/>
    </w:p>
    <w:p w14:paraId="5EAB3F1F">
      <w:pPr>
        <w:pStyle w:val="4"/>
        <w:numPr>
          <w:ilvl w:val="0"/>
          <w:numId w:val="3"/>
        </w:numPr>
        <w:snapToGrid w:val="0"/>
        <w:spacing w:before="0" w:after="0" w:line="360" w:lineRule="auto"/>
        <w:textAlignment w:val="baseline"/>
        <w:rPr>
          <w:rFonts w:hint="eastAsia" w:ascii="宋体" w:hAnsi="宋体" w:eastAsia="宋体" w:cs="宋体"/>
          <w:color w:val="auto"/>
          <w:sz w:val="28"/>
          <w:szCs w:val="28"/>
          <w:u w:color="000000"/>
        </w:rPr>
      </w:pPr>
      <w:bookmarkStart w:id="291" w:name="_Toc5344"/>
      <w:bookmarkStart w:id="292" w:name="_Toc20787"/>
      <w:bookmarkStart w:id="293" w:name="_Toc32056"/>
      <w:r>
        <w:rPr>
          <w:rFonts w:hint="eastAsia" w:ascii="宋体" w:hAnsi="宋体" w:eastAsia="宋体" w:cs="宋体"/>
          <w:color w:val="auto"/>
          <w:sz w:val="28"/>
          <w:szCs w:val="28"/>
          <w:u w:color="000000"/>
        </w:rPr>
        <w:t>磋商</w:t>
      </w:r>
      <w:bookmarkEnd w:id="291"/>
      <w:bookmarkEnd w:id="292"/>
      <w:bookmarkEnd w:id="293"/>
    </w:p>
    <w:p w14:paraId="7B19DE72">
      <w:pPr>
        <w:spacing w:line="360" w:lineRule="auto"/>
        <w:ind w:left="900" w:hanging="1050" w:hangingChars="375"/>
        <w:rPr>
          <w:rFonts w:hint="eastAsia" w:ascii="宋体" w:hAnsi="宋体" w:eastAsia="宋体" w:cs="宋体"/>
          <w:color w:val="auto"/>
          <w:sz w:val="28"/>
          <w:szCs w:val="28"/>
        </w:rPr>
      </w:pPr>
      <w:bookmarkStart w:id="294" w:name="_Toc520356165"/>
      <w:r>
        <w:rPr>
          <w:rFonts w:hint="eastAsia" w:ascii="宋体" w:hAnsi="宋体" w:eastAsia="宋体" w:cs="宋体"/>
          <w:color w:val="auto"/>
          <w:sz w:val="28"/>
          <w:szCs w:val="28"/>
        </w:rPr>
        <w:t>18.1</w:t>
      </w:r>
      <w:r>
        <w:rPr>
          <w:rFonts w:hint="eastAsia" w:ascii="宋体" w:hAnsi="宋体" w:eastAsia="宋体" w:cs="宋体"/>
          <w:color w:val="auto"/>
          <w:sz w:val="28"/>
          <w:szCs w:val="28"/>
        </w:rPr>
        <w:tab/>
      </w:r>
      <w:r>
        <w:rPr>
          <w:rFonts w:hint="eastAsia" w:ascii="宋体" w:hAnsi="宋体" w:eastAsia="宋体" w:cs="宋体"/>
          <w:color w:val="auto"/>
          <w:sz w:val="28"/>
          <w:szCs w:val="28"/>
        </w:rPr>
        <w:t>采购人和采购代理机构将按</w:t>
      </w:r>
      <w:r>
        <w:rPr>
          <w:rFonts w:hint="eastAsia" w:ascii="宋体" w:hAnsi="宋体" w:eastAsia="宋体" w:cs="宋体"/>
          <w:color w:val="auto"/>
          <w:sz w:val="28"/>
          <w:szCs w:val="28"/>
          <w:u w:val="single"/>
        </w:rPr>
        <w:t>供应商须知资料表</w:t>
      </w:r>
      <w:r>
        <w:rPr>
          <w:rFonts w:hint="eastAsia" w:ascii="宋体" w:hAnsi="宋体" w:eastAsia="宋体" w:cs="宋体"/>
          <w:color w:val="auto"/>
          <w:sz w:val="28"/>
          <w:szCs w:val="28"/>
        </w:rPr>
        <w:t xml:space="preserve">中规定的磋商开启时间和地点组织公开磋商开启并邀请所有供应商代表参加。  </w:t>
      </w:r>
    </w:p>
    <w:p w14:paraId="021156D2">
      <w:pPr>
        <w:spacing w:line="360" w:lineRule="auto"/>
        <w:ind w:left="960" w:hanging="1120" w:hangingChars="400"/>
        <w:rPr>
          <w:rFonts w:hint="eastAsia" w:ascii="宋体" w:hAnsi="宋体" w:eastAsia="宋体" w:cs="宋体"/>
          <w:color w:val="auto"/>
          <w:sz w:val="28"/>
          <w:szCs w:val="28"/>
        </w:rPr>
      </w:pPr>
      <w:r>
        <w:rPr>
          <w:rFonts w:hint="eastAsia" w:ascii="宋体" w:hAnsi="宋体" w:eastAsia="宋体" w:cs="宋体"/>
          <w:color w:val="auto"/>
          <w:sz w:val="28"/>
          <w:szCs w:val="28"/>
        </w:rPr>
        <w:t>18.2    供应商按照须知资料表中规定的开标时间和地点，在规定时间内上传响应文件。</w:t>
      </w:r>
    </w:p>
    <w:p w14:paraId="289A9C98">
      <w:pPr>
        <w:spacing w:line="360" w:lineRule="auto"/>
        <w:ind w:left="900" w:hanging="1050" w:hangingChars="375"/>
        <w:rPr>
          <w:rFonts w:hint="eastAsia" w:ascii="宋体" w:hAnsi="宋体" w:eastAsia="宋体" w:cs="宋体"/>
          <w:color w:val="auto"/>
          <w:sz w:val="28"/>
          <w:szCs w:val="28"/>
        </w:rPr>
      </w:pPr>
      <w:r>
        <w:rPr>
          <w:rFonts w:hint="eastAsia" w:ascii="宋体" w:hAnsi="宋体" w:eastAsia="宋体" w:cs="宋体"/>
          <w:color w:val="auto"/>
          <w:sz w:val="28"/>
          <w:szCs w:val="28"/>
        </w:rPr>
        <w:t>18.3    采购代理机构在规定时间内度响应文件进行解密，时长为 30 分钟。</w:t>
      </w:r>
    </w:p>
    <w:p w14:paraId="741E30B3">
      <w:pPr>
        <w:spacing w:line="360" w:lineRule="auto"/>
        <w:ind w:left="900" w:hanging="1050" w:hangingChars="375"/>
        <w:rPr>
          <w:rFonts w:hint="eastAsia" w:ascii="宋体" w:hAnsi="宋体" w:eastAsia="宋体" w:cs="宋体"/>
          <w:color w:val="auto"/>
          <w:sz w:val="28"/>
          <w:szCs w:val="28"/>
        </w:rPr>
      </w:pPr>
      <w:r>
        <w:rPr>
          <w:rFonts w:hint="eastAsia" w:ascii="宋体" w:hAnsi="宋体" w:eastAsia="宋体" w:cs="宋体"/>
          <w:color w:val="auto"/>
          <w:sz w:val="28"/>
          <w:szCs w:val="28"/>
        </w:rPr>
        <w:t>18.4    由采购代理机构开启开标记录，须供应商在政采云平台对报价进行签字确认。</w:t>
      </w:r>
    </w:p>
    <w:p w14:paraId="1744EDBE">
      <w:pPr>
        <w:pStyle w:val="4"/>
        <w:snapToGrid w:val="0"/>
        <w:spacing w:before="0" w:after="0" w:line="360" w:lineRule="auto"/>
        <w:textAlignment w:val="baseline"/>
        <w:rPr>
          <w:rFonts w:hint="eastAsia" w:ascii="宋体" w:hAnsi="宋体" w:eastAsia="宋体" w:cs="宋体"/>
          <w:color w:val="auto"/>
          <w:sz w:val="28"/>
          <w:szCs w:val="28"/>
          <w:u w:color="000000"/>
        </w:rPr>
      </w:pPr>
      <w:bookmarkStart w:id="295" w:name="_Toc515647780"/>
      <w:bookmarkStart w:id="296" w:name="_Toc21372"/>
      <w:bookmarkStart w:id="297" w:name="_Toc5428"/>
      <w:bookmarkStart w:id="298" w:name="_Toc19296"/>
      <w:bookmarkStart w:id="299" w:name="_Toc5402"/>
      <w:bookmarkStart w:id="300" w:name="_Toc24447"/>
      <w:bookmarkStart w:id="301" w:name="_Toc9240"/>
      <w:bookmarkStart w:id="302" w:name="_Toc18057"/>
      <w:bookmarkStart w:id="303" w:name="_Toc28768"/>
      <w:bookmarkStart w:id="304" w:name="_Toc6401"/>
      <w:bookmarkStart w:id="305" w:name="_Toc18658"/>
      <w:bookmarkStart w:id="306" w:name="_Toc5768"/>
      <w:bookmarkStart w:id="307" w:name="_Toc14954"/>
      <w:r>
        <w:rPr>
          <w:rFonts w:hint="eastAsia" w:ascii="宋体" w:hAnsi="宋体" w:eastAsia="宋体" w:cs="宋体"/>
          <w:color w:val="auto"/>
          <w:sz w:val="28"/>
          <w:szCs w:val="28"/>
          <w:u w:color="000000"/>
        </w:rPr>
        <w:t>19.</w:t>
      </w:r>
      <w:bookmarkEnd w:id="294"/>
      <w:r>
        <w:rPr>
          <w:rFonts w:hint="eastAsia" w:ascii="宋体" w:hAnsi="宋体" w:eastAsia="宋体" w:cs="宋体"/>
          <w:color w:val="auto"/>
          <w:sz w:val="28"/>
          <w:szCs w:val="28"/>
          <w:u w:color="000000"/>
        </w:rPr>
        <w:t>资格审查及组建</w:t>
      </w:r>
      <w:bookmarkEnd w:id="295"/>
      <w:bookmarkEnd w:id="296"/>
      <w:bookmarkEnd w:id="297"/>
      <w:bookmarkEnd w:id="298"/>
      <w:r>
        <w:rPr>
          <w:rFonts w:hint="eastAsia" w:ascii="宋体" w:hAnsi="宋体" w:eastAsia="宋体" w:cs="宋体"/>
          <w:color w:val="auto"/>
          <w:sz w:val="28"/>
          <w:szCs w:val="28"/>
          <w:u w:color="000000"/>
        </w:rPr>
        <w:t>磋商小组</w:t>
      </w:r>
      <w:bookmarkEnd w:id="299"/>
      <w:bookmarkEnd w:id="300"/>
      <w:bookmarkEnd w:id="301"/>
      <w:bookmarkEnd w:id="302"/>
      <w:bookmarkEnd w:id="303"/>
      <w:bookmarkEnd w:id="304"/>
      <w:bookmarkEnd w:id="305"/>
      <w:bookmarkEnd w:id="306"/>
      <w:bookmarkEnd w:id="307"/>
    </w:p>
    <w:p w14:paraId="62402612">
      <w:pPr>
        <w:snapToGrid w:val="0"/>
        <w:spacing w:line="360" w:lineRule="auto"/>
        <w:ind w:left="960" w:hanging="1120" w:hangingChars="4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19.1    采购人或采购代理机构依据法律法规和磋商文件中规定的内容，对供应商资格进行审查，未通过资格审查的供应商不进入评标。</w:t>
      </w:r>
    </w:p>
    <w:p w14:paraId="2021C7D6">
      <w:pPr>
        <w:widowControl/>
        <w:snapToGrid w:val="0"/>
        <w:spacing w:line="360" w:lineRule="auto"/>
        <w:jc w:val="left"/>
        <w:textAlignment w:val="baseline"/>
        <w:rPr>
          <w:rFonts w:hint="eastAsia" w:ascii="宋体" w:hAnsi="宋体" w:eastAsia="宋体" w:cs="宋体"/>
          <w:b/>
          <w:bCs/>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如下：合格供应商的其他资格要求：</w:t>
      </w:r>
    </w:p>
    <w:p w14:paraId="6CB982B2">
      <w:pPr>
        <w:snapToGrid w:val="0"/>
        <w:spacing w:line="360" w:lineRule="auto"/>
        <w:ind w:firstLine="843" w:firstLineChars="300"/>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1、满足《中华人民共和国政府采购法》第二十二条规定；</w:t>
      </w:r>
    </w:p>
    <w:p w14:paraId="06CE0492">
      <w:pPr>
        <w:numPr>
          <w:ilvl w:val="0"/>
          <w:numId w:val="4"/>
        </w:numPr>
        <w:snapToGrid w:val="0"/>
        <w:spacing w:line="360" w:lineRule="auto"/>
        <w:ind w:left="425" w:leftChars="0" w:hanging="425" w:firstLineChars="0"/>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有效的三证合一营业执照</w:t>
      </w:r>
    </w:p>
    <w:p w14:paraId="5D1D623A">
      <w:pPr>
        <w:numPr>
          <w:ilvl w:val="0"/>
          <w:numId w:val="4"/>
        </w:numPr>
        <w:snapToGrid w:val="0"/>
        <w:spacing w:line="360" w:lineRule="auto"/>
        <w:ind w:left="425" w:leftChars="0" w:hanging="425" w:firstLineChars="0"/>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企业资质要求：具备【市政公用工程监理专业乙级及以上资质】，并在人员、设备、资金等方面具有相应的监理能力。</w:t>
      </w:r>
    </w:p>
    <w:p w14:paraId="3D663B70">
      <w:pPr>
        <w:numPr>
          <w:ilvl w:val="0"/>
          <w:numId w:val="4"/>
        </w:numPr>
        <w:snapToGrid w:val="0"/>
        <w:spacing w:line="360" w:lineRule="auto"/>
        <w:ind w:left="425" w:leftChars="0" w:hanging="425" w:firstLineChars="0"/>
        <w:textAlignment w:val="baseline"/>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项目总监资质要求：项目总监须具备【市政公用工程专业注册监理工程师执业资格】，且不得有其他在施建设工程，提供近六个月任意一月有效的社保证明。</w:t>
      </w:r>
      <w:r>
        <w:rPr>
          <w:rFonts w:hint="eastAsia" w:ascii="宋体" w:hAnsi="宋体" w:eastAsia="宋体" w:cs="宋体"/>
          <w:b/>
          <w:bCs/>
          <w:color w:val="auto"/>
          <w:sz w:val="28"/>
          <w:szCs w:val="28"/>
          <w:lang w:val="en-US" w:eastAsia="zh-CN"/>
        </w:rPr>
        <w:t>。</w:t>
      </w:r>
    </w:p>
    <w:p w14:paraId="43CA901B">
      <w:pPr>
        <w:numPr>
          <w:ilvl w:val="0"/>
          <w:numId w:val="4"/>
        </w:numPr>
        <w:snapToGrid w:val="0"/>
        <w:spacing w:line="360" w:lineRule="auto"/>
        <w:ind w:left="425" w:leftChars="0" w:hanging="425" w:firstLineChars="0"/>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法定代表人投标需提供法定代表人资格证明书，委托代理人投标需提供法定代表人授权委托书；</w:t>
      </w:r>
    </w:p>
    <w:p w14:paraId="07D2BC1A">
      <w:pPr>
        <w:numPr>
          <w:ilvl w:val="0"/>
          <w:numId w:val="4"/>
        </w:numPr>
        <w:snapToGrid w:val="0"/>
        <w:spacing w:line="360" w:lineRule="auto"/>
        <w:ind w:left="425" w:leftChars="0" w:hanging="425" w:firstLineChars="0"/>
        <w:textAlignment w:val="baseline"/>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提供本单位缴纳的近六个月任意一个月社保缴纳证明</w:t>
      </w:r>
      <w:r>
        <w:rPr>
          <w:rFonts w:hint="eastAsia" w:ascii="宋体" w:hAnsi="宋体" w:eastAsia="宋体" w:cs="宋体"/>
          <w:b/>
          <w:bCs/>
          <w:color w:val="auto"/>
          <w:sz w:val="28"/>
          <w:szCs w:val="28"/>
          <w:lang w:val="en-US" w:eastAsia="zh-CN"/>
        </w:rPr>
        <w:t>；</w:t>
      </w:r>
    </w:p>
    <w:p w14:paraId="1666AAB2">
      <w:pPr>
        <w:numPr>
          <w:ilvl w:val="0"/>
          <w:numId w:val="4"/>
        </w:numPr>
        <w:snapToGrid w:val="0"/>
        <w:spacing w:line="360" w:lineRule="auto"/>
        <w:ind w:left="425" w:leftChars="0" w:hanging="425" w:firstLineChars="0"/>
        <w:textAlignment w:val="baseline"/>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提供近六个月任意一个月税务局开具的完税证明；（完税证明或税务部门出具的其他证明，非社会保险类）</w:t>
      </w:r>
    </w:p>
    <w:p w14:paraId="3135EF44">
      <w:pPr>
        <w:numPr>
          <w:ilvl w:val="0"/>
          <w:numId w:val="4"/>
        </w:numPr>
        <w:snapToGrid w:val="0"/>
        <w:spacing w:line="360" w:lineRule="auto"/>
        <w:ind w:left="425" w:leftChars="0" w:hanging="425" w:firstLineChars="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2023年度财务审计报告(新成立公司提供开标前六个月内任意一个月有效银行资信证明);</w:t>
      </w:r>
    </w:p>
    <w:p w14:paraId="32C3F35E">
      <w:pPr>
        <w:numPr>
          <w:ilvl w:val="0"/>
          <w:numId w:val="4"/>
        </w:numPr>
        <w:snapToGrid w:val="0"/>
        <w:spacing w:line="360" w:lineRule="auto"/>
        <w:ind w:left="425" w:leftChars="0" w:hanging="425" w:firstLineChars="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参加采购活动前三年内，投标企业未被“信用中国”（www.creditchina.gov.cn）、中国政府采购网（www.ccgp.gov.cn）列入失信被执行人、重大税收违法案件当事人名单、政府采购严重违法失信行为记录名单。</w:t>
      </w:r>
    </w:p>
    <w:p w14:paraId="7A1C47C8">
      <w:pPr>
        <w:numPr>
          <w:ilvl w:val="0"/>
          <w:numId w:val="4"/>
        </w:numPr>
        <w:snapToGrid w:val="0"/>
        <w:spacing w:line="360" w:lineRule="auto"/>
        <w:ind w:left="425" w:leftChars="0" w:hanging="425" w:firstLineChars="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磋商保证金有效凭证</w:t>
      </w:r>
      <w:r>
        <w:rPr>
          <w:rFonts w:hint="eastAsia" w:ascii="宋体" w:hAnsi="宋体" w:eastAsia="宋体" w:cs="宋体"/>
          <w:b/>
          <w:bCs/>
          <w:color w:val="auto"/>
          <w:sz w:val="28"/>
          <w:szCs w:val="28"/>
        </w:rPr>
        <w:t>。</w:t>
      </w:r>
    </w:p>
    <w:p w14:paraId="0F5530A7">
      <w:pPr>
        <w:snapToGrid w:val="0"/>
        <w:spacing w:line="360" w:lineRule="auto"/>
        <w:ind w:left="726" w:leftChars="342" w:hanging="8" w:hangingChars="3"/>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提示：未通过资格审查的供应商不进入评标；通过资格审查的供应商少于不足三家的，不得评标。</w:t>
      </w:r>
    </w:p>
    <w:p w14:paraId="51DBB656">
      <w:pPr>
        <w:snapToGrid w:val="0"/>
        <w:spacing w:line="360" w:lineRule="auto"/>
        <w:ind w:left="734" w:hanging="856" w:hangingChars="306"/>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19.2   采购人或采购代理机构将在开标前1个工作日至磋商截止后1小时的期间内查询供应商的信用记录。供应商存在不良信用记录的，其磋商将被认定为</w:t>
      </w:r>
      <w:r>
        <w:rPr>
          <w:rFonts w:hint="eastAsia" w:ascii="宋体" w:hAnsi="宋体" w:eastAsia="宋体" w:cs="宋体"/>
          <w:b/>
          <w:bCs/>
          <w:color w:val="auto"/>
          <w:sz w:val="28"/>
          <w:szCs w:val="28"/>
        </w:rPr>
        <w:t>磋商无效</w:t>
      </w:r>
      <w:r>
        <w:rPr>
          <w:rFonts w:hint="eastAsia" w:ascii="宋体" w:hAnsi="宋体" w:eastAsia="宋体" w:cs="宋体"/>
          <w:color w:val="auto"/>
          <w:sz w:val="28"/>
          <w:szCs w:val="28"/>
        </w:rPr>
        <w:t>。</w:t>
      </w:r>
    </w:p>
    <w:p w14:paraId="627637A0">
      <w:pPr>
        <w:snapToGrid w:val="0"/>
        <w:spacing w:line="360" w:lineRule="auto"/>
        <w:ind w:left="734" w:hanging="856" w:hangingChars="306"/>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19.2.1 不良信用记录指：在“信用中国”网站（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w:t>
      </w:r>
    </w:p>
    <w:p w14:paraId="1D44C932">
      <w:pPr>
        <w:snapToGrid w:val="0"/>
        <w:spacing w:line="360" w:lineRule="auto"/>
        <w:ind w:left="718" w:leftChars="341" w:hanging="2" w:hangingChars="1"/>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以联合体形式参加磋商的，联合体任何成员存在以上不良信用记录的，联合体磋商将被认定为</w:t>
      </w:r>
      <w:r>
        <w:rPr>
          <w:rFonts w:hint="eastAsia" w:ascii="宋体" w:hAnsi="宋体" w:eastAsia="宋体" w:cs="宋体"/>
          <w:b/>
          <w:bCs/>
          <w:color w:val="auto"/>
          <w:sz w:val="28"/>
          <w:szCs w:val="28"/>
        </w:rPr>
        <w:t>磋商无效</w:t>
      </w:r>
      <w:r>
        <w:rPr>
          <w:rFonts w:hint="eastAsia" w:ascii="宋体" w:hAnsi="宋体" w:eastAsia="宋体" w:cs="宋体"/>
          <w:color w:val="auto"/>
          <w:sz w:val="28"/>
          <w:szCs w:val="28"/>
        </w:rPr>
        <w:t>。</w:t>
      </w:r>
    </w:p>
    <w:p w14:paraId="25ABE469">
      <w:pPr>
        <w:snapToGrid w:val="0"/>
        <w:spacing w:line="360" w:lineRule="auto"/>
        <w:ind w:left="850" w:hanging="991" w:hangingChars="354"/>
        <w:textAlignment w:val="baseline"/>
        <w:rPr>
          <w:rFonts w:hint="eastAsia" w:ascii="宋体" w:hAnsi="宋体" w:eastAsia="宋体" w:cs="宋体"/>
          <w:b/>
          <w:bCs/>
          <w:color w:val="auto"/>
          <w:sz w:val="28"/>
          <w:szCs w:val="28"/>
        </w:rPr>
      </w:pPr>
      <w:r>
        <w:rPr>
          <w:rFonts w:hint="eastAsia" w:ascii="宋体" w:hAnsi="宋体" w:eastAsia="宋体" w:cs="宋体"/>
          <w:color w:val="auto"/>
          <w:sz w:val="28"/>
          <w:szCs w:val="28"/>
        </w:rPr>
        <w:t>19.2.2 查询及记录方式：采购人或采购代理机构经办人将查询网页打印、签字并存档备查。供应商不良信用记录以采购人或采购代理机构查询结果为准。</w:t>
      </w:r>
      <w:r>
        <w:rPr>
          <w:rFonts w:hint="eastAsia" w:ascii="宋体" w:hAnsi="宋体" w:eastAsia="宋体" w:cs="宋体"/>
          <w:b/>
          <w:bCs/>
          <w:color w:val="auto"/>
          <w:sz w:val="28"/>
          <w:szCs w:val="28"/>
        </w:rPr>
        <w:t>在本磋商文件规定的查询时间之后，网站信息发生的任何变更均不再作为评审依据。供应商自行提供的与网站信息不一致的其他证明材料亦不作为资格审查的依据。</w:t>
      </w:r>
    </w:p>
    <w:p w14:paraId="28F96627">
      <w:pPr>
        <w:snapToGrid w:val="0"/>
        <w:spacing w:line="360" w:lineRule="auto"/>
        <w:ind w:left="850" w:hanging="991" w:hangingChars="354"/>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19.3  </w:t>
      </w:r>
      <w:r>
        <w:rPr>
          <w:rFonts w:hint="eastAsia" w:ascii="宋体" w:hAnsi="宋体" w:eastAsia="宋体" w:cs="宋体"/>
          <w:b/>
          <w:bCs/>
          <w:color w:val="auto"/>
          <w:sz w:val="28"/>
          <w:szCs w:val="28"/>
        </w:rPr>
        <w:t xml:space="preserve"> </w:t>
      </w:r>
      <w:r>
        <w:rPr>
          <w:rFonts w:hint="eastAsia" w:ascii="宋体" w:hAnsi="宋体" w:eastAsia="宋体" w:cs="宋体"/>
          <w:b w:val="0"/>
          <w:bCs w:val="0"/>
          <w:color w:val="auto"/>
          <w:sz w:val="28"/>
          <w:szCs w:val="28"/>
        </w:rPr>
        <w:t>按照《中华人民共和国政府采购法》、《中华人民共和国政府采购法实施条例》、《政府采购竞争性磋商采购方式管理暂行办法》及本项目本级和上级财政部门的有关规定依法在政采云平台</w:t>
      </w:r>
      <w:r>
        <w:rPr>
          <w:rFonts w:hint="eastAsia" w:ascii="宋体" w:hAnsi="宋体" w:eastAsia="宋体" w:cs="宋体"/>
          <w:b w:val="0"/>
          <w:bCs w:val="0"/>
          <w:color w:val="auto"/>
          <w:sz w:val="28"/>
          <w:szCs w:val="28"/>
          <w:lang w:eastAsia="zh-CN"/>
        </w:rPr>
        <w:t>随机抽取</w:t>
      </w:r>
      <w:r>
        <w:rPr>
          <w:rFonts w:hint="eastAsia" w:ascii="宋体" w:hAnsi="宋体" w:eastAsia="宋体" w:cs="宋体"/>
          <w:b w:val="0"/>
          <w:bCs w:val="0"/>
          <w:color w:val="auto"/>
          <w:sz w:val="28"/>
          <w:szCs w:val="28"/>
        </w:rPr>
        <w:t>，组成磋商小组，负责评审工作</w:t>
      </w:r>
      <w:r>
        <w:rPr>
          <w:rFonts w:hint="eastAsia" w:ascii="宋体" w:hAnsi="宋体" w:eastAsia="宋体" w:cs="宋体"/>
          <w:b/>
          <w:bCs/>
          <w:color w:val="auto"/>
          <w:sz w:val="28"/>
          <w:szCs w:val="28"/>
        </w:rPr>
        <w:t>。</w:t>
      </w:r>
      <w:bookmarkStart w:id="308" w:name="_Toc520356166"/>
    </w:p>
    <w:p w14:paraId="4C6B5883">
      <w:pPr>
        <w:pStyle w:val="4"/>
        <w:snapToGrid w:val="0"/>
        <w:spacing w:before="0" w:after="0" w:line="360" w:lineRule="auto"/>
        <w:textAlignment w:val="baseline"/>
        <w:rPr>
          <w:rFonts w:hint="eastAsia" w:ascii="宋体" w:hAnsi="宋体" w:eastAsia="宋体" w:cs="宋体"/>
          <w:b w:val="0"/>
          <w:bCs/>
          <w:color w:val="auto"/>
          <w:sz w:val="28"/>
          <w:szCs w:val="28"/>
          <w:u w:color="000000"/>
          <w:bdr w:val="single" w:color="auto" w:sz="4" w:space="0"/>
        </w:rPr>
      </w:pPr>
      <w:bookmarkStart w:id="309" w:name="_Toc15335"/>
      <w:bookmarkStart w:id="310" w:name="_Toc29043"/>
      <w:bookmarkStart w:id="311" w:name="_Toc17557"/>
      <w:bookmarkStart w:id="312" w:name="_Toc19949"/>
      <w:bookmarkStart w:id="313" w:name="_Toc29938"/>
      <w:bookmarkStart w:id="314" w:name="_Toc17520"/>
      <w:bookmarkStart w:id="315" w:name="_Toc515647781"/>
      <w:bookmarkStart w:id="316" w:name="_Toc22740"/>
      <w:bookmarkStart w:id="317" w:name="_Toc7742"/>
      <w:bookmarkStart w:id="318" w:name="_Toc28479"/>
      <w:bookmarkStart w:id="319" w:name="_Toc19498"/>
      <w:bookmarkStart w:id="320" w:name="_Toc27625"/>
      <w:bookmarkStart w:id="321" w:name="_Toc656"/>
      <w:r>
        <w:rPr>
          <w:rFonts w:hint="eastAsia" w:ascii="宋体" w:hAnsi="宋体" w:eastAsia="宋体" w:cs="宋体"/>
          <w:color w:val="auto"/>
          <w:sz w:val="28"/>
          <w:szCs w:val="28"/>
          <w:u w:color="000000"/>
        </w:rPr>
        <w:t>20.</w:t>
      </w:r>
      <w:bookmarkEnd w:id="308"/>
      <w:r>
        <w:rPr>
          <w:rFonts w:hint="eastAsia" w:ascii="宋体" w:hAnsi="宋体" w:eastAsia="宋体" w:cs="宋体"/>
          <w:color w:val="auto"/>
          <w:sz w:val="28"/>
          <w:szCs w:val="28"/>
          <w:u w:color="000000"/>
        </w:rPr>
        <w:t>响应文件符合性审查与澄清</w:t>
      </w:r>
      <w:bookmarkEnd w:id="309"/>
      <w:bookmarkEnd w:id="310"/>
      <w:bookmarkEnd w:id="311"/>
      <w:bookmarkEnd w:id="312"/>
      <w:bookmarkEnd w:id="313"/>
      <w:bookmarkEnd w:id="314"/>
      <w:bookmarkEnd w:id="315"/>
      <w:bookmarkEnd w:id="316"/>
      <w:bookmarkEnd w:id="317"/>
      <w:bookmarkEnd w:id="318"/>
      <w:bookmarkEnd w:id="319"/>
      <w:bookmarkEnd w:id="320"/>
      <w:bookmarkEnd w:id="321"/>
    </w:p>
    <w:p w14:paraId="20240914">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20.1   符合性审查是指依据磋商文件的规定，从响应文件的有效性和完整性对磋商文件的响应程度进行审查，以确定是否对磋商文件的实质性要求做出响应。</w:t>
      </w:r>
      <w:bookmarkStart w:id="322" w:name="_Hlt522424701"/>
      <w:bookmarkEnd w:id="322"/>
      <w:bookmarkStart w:id="323" w:name="_Toc520356167"/>
    </w:p>
    <w:p w14:paraId="417154FF">
      <w:pPr>
        <w:snapToGrid w:val="0"/>
        <w:spacing w:line="360" w:lineRule="auto"/>
        <w:ind w:left="900" w:hanging="1054" w:hangingChars="375"/>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20.2</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t>响应文件的澄清</w:t>
      </w:r>
    </w:p>
    <w:p w14:paraId="78A2925B">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20.2.1  在</w:t>
      </w:r>
      <w:r>
        <w:rPr>
          <w:rFonts w:hint="eastAsia" w:ascii="宋体" w:hAnsi="宋体" w:eastAsia="宋体" w:cs="宋体"/>
          <w:color w:val="auto"/>
          <w:sz w:val="28"/>
          <w:szCs w:val="28"/>
          <w:lang w:val="en-US" w:eastAsia="zh-CN"/>
        </w:rPr>
        <w:t>评审</w:t>
      </w:r>
      <w:r>
        <w:rPr>
          <w:rFonts w:hint="eastAsia" w:ascii="宋体" w:hAnsi="宋体" w:eastAsia="宋体" w:cs="宋体"/>
          <w:color w:val="auto"/>
          <w:sz w:val="28"/>
          <w:szCs w:val="28"/>
        </w:rPr>
        <w:t>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w:t>
      </w:r>
    </w:p>
    <w:p w14:paraId="4AFDCEE6">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20.2.2  供应商的的澄清、说明或补正将作为响应文件的一部分。</w:t>
      </w:r>
    </w:p>
    <w:p w14:paraId="7546AE79">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20.3  响应文件报价出现前后不一致的，按照下列规定修正：</w:t>
      </w:r>
    </w:p>
    <w:p w14:paraId="3F9570B6">
      <w:pPr>
        <w:snapToGrid w:val="0"/>
        <w:spacing w:line="360" w:lineRule="auto"/>
        <w:ind w:left="1020" w:hanging="1190" w:hangingChars="42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（一）响应文件中开标一览表（报价表）内容与响应文件中相应内容不一致的，以开标一览表（报价表）为准；</w:t>
      </w:r>
    </w:p>
    <w:p w14:paraId="79F148D9">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（二）大写金额和小写金额不一致的，以大写金额为准；</w:t>
      </w:r>
    </w:p>
    <w:p w14:paraId="1564B8FD">
      <w:pPr>
        <w:snapToGrid w:val="0"/>
        <w:spacing w:line="360" w:lineRule="auto"/>
        <w:ind w:left="1020" w:hanging="1190" w:hangingChars="42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（三）单价金额小数点或者百分比有明显错位的，以开标一览表的总价为准，并修改单价；</w:t>
      </w:r>
    </w:p>
    <w:p w14:paraId="64339362">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（四）总价金额与按单价汇总金额不一致的，以单价金额计算结果为准。</w:t>
      </w:r>
    </w:p>
    <w:p w14:paraId="6ED2BF60">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同时出现两种以上不一致的，按照前款规定的顺序修正。修正后的报价按照第20.2条的规定经供应商确认后产生约束力，供应商不确认的，其磋商将被认定为</w:t>
      </w:r>
      <w:r>
        <w:rPr>
          <w:rFonts w:hint="eastAsia" w:ascii="宋体" w:hAnsi="宋体" w:eastAsia="宋体" w:cs="宋体"/>
          <w:b/>
          <w:bCs/>
          <w:color w:val="auto"/>
          <w:sz w:val="28"/>
          <w:szCs w:val="28"/>
        </w:rPr>
        <w:t>磋商无效</w:t>
      </w:r>
      <w:r>
        <w:rPr>
          <w:rFonts w:hint="eastAsia" w:ascii="宋体" w:hAnsi="宋体" w:eastAsia="宋体" w:cs="宋体"/>
          <w:color w:val="auto"/>
          <w:sz w:val="28"/>
          <w:szCs w:val="28"/>
        </w:rPr>
        <w:t>。</w:t>
      </w:r>
    </w:p>
    <w:p w14:paraId="2C8629EC">
      <w:pPr>
        <w:snapToGrid w:val="0"/>
        <w:spacing w:line="360" w:lineRule="auto"/>
        <w:ind w:firstLine="980" w:firstLineChars="35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对不同文字文本响应文件的解释发生异议的，以中文文本为准。</w:t>
      </w:r>
    </w:p>
    <w:p w14:paraId="66EC7488">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20.4   </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14:paraId="3DD72322">
      <w:pPr>
        <w:pStyle w:val="4"/>
        <w:snapToGrid w:val="0"/>
        <w:spacing w:before="0" w:after="0" w:line="360" w:lineRule="auto"/>
        <w:textAlignment w:val="baseline"/>
        <w:rPr>
          <w:rFonts w:hint="eastAsia" w:ascii="宋体" w:hAnsi="宋体" w:eastAsia="宋体" w:cs="宋体"/>
          <w:color w:val="auto"/>
          <w:sz w:val="28"/>
          <w:szCs w:val="28"/>
          <w:u w:color="000000"/>
        </w:rPr>
      </w:pPr>
      <w:bookmarkStart w:id="324" w:name="_Toc1939"/>
      <w:bookmarkStart w:id="325" w:name="_Toc12693"/>
      <w:bookmarkStart w:id="326" w:name="_Toc29782"/>
      <w:bookmarkStart w:id="327" w:name="_Toc12340"/>
      <w:bookmarkStart w:id="328" w:name="_Toc30430"/>
      <w:bookmarkStart w:id="329" w:name="_Toc28934"/>
      <w:bookmarkStart w:id="330" w:name="_Toc27164"/>
      <w:bookmarkStart w:id="331" w:name="_Toc18222"/>
      <w:bookmarkStart w:id="332" w:name="_Toc6695"/>
      <w:bookmarkStart w:id="333" w:name="_Toc515647782"/>
      <w:bookmarkStart w:id="334" w:name="_Toc9469"/>
      <w:bookmarkStart w:id="335" w:name="_Toc6364"/>
      <w:bookmarkStart w:id="336" w:name="_Toc14136"/>
      <w:r>
        <w:rPr>
          <w:rFonts w:hint="eastAsia" w:ascii="宋体" w:hAnsi="宋体" w:eastAsia="宋体" w:cs="宋体"/>
          <w:color w:val="auto"/>
          <w:sz w:val="28"/>
          <w:szCs w:val="28"/>
          <w:u w:color="000000"/>
        </w:rPr>
        <w:t>21.磋商偏离</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60D6D9F0">
      <w:pPr>
        <w:snapToGrid w:val="0"/>
        <w:spacing w:line="360" w:lineRule="auto"/>
        <w:ind w:left="641" w:hanging="747" w:hangingChars="267"/>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磋商小组</w:t>
      </w:r>
      <w:r>
        <w:rPr>
          <w:rFonts w:hint="eastAsia" w:ascii="宋体" w:hAnsi="宋体" w:eastAsia="宋体" w:cs="宋体"/>
          <w:color w:val="auto"/>
          <w:sz w:val="28"/>
          <w:szCs w:val="28"/>
          <w:lang w:val="en-US" w:eastAsia="zh-CN"/>
        </w:rPr>
        <w:t>不</w:t>
      </w:r>
      <w:r>
        <w:rPr>
          <w:rFonts w:hint="eastAsia" w:ascii="宋体" w:hAnsi="宋体" w:eastAsia="宋体" w:cs="宋体"/>
          <w:color w:val="auto"/>
          <w:sz w:val="28"/>
          <w:szCs w:val="28"/>
        </w:rPr>
        <w:t>接受响应文件中不构成实质性偏离的不正规或不一致。</w:t>
      </w:r>
    </w:p>
    <w:p w14:paraId="7C12D368">
      <w:pPr>
        <w:pStyle w:val="4"/>
        <w:snapToGrid w:val="0"/>
        <w:spacing w:before="0" w:after="0" w:line="360" w:lineRule="auto"/>
        <w:textAlignment w:val="baseline"/>
        <w:rPr>
          <w:rFonts w:hint="eastAsia" w:ascii="宋体" w:hAnsi="宋体" w:eastAsia="宋体" w:cs="宋体"/>
          <w:color w:val="auto"/>
          <w:sz w:val="28"/>
          <w:szCs w:val="28"/>
          <w:u w:color="000000"/>
        </w:rPr>
      </w:pPr>
      <w:bookmarkStart w:id="337" w:name="_Toc515647783"/>
      <w:bookmarkStart w:id="338" w:name="_Toc27656"/>
      <w:bookmarkStart w:id="339" w:name="_Toc9173"/>
      <w:bookmarkStart w:id="340" w:name="_Toc30267"/>
      <w:bookmarkStart w:id="341" w:name="_Toc31191"/>
      <w:bookmarkStart w:id="342" w:name="_Toc16242"/>
      <w:bookmarkStart w:id="343" w:name="_Toc13775"/>
      <w:bookmarkStart w:id="344" w:name="_Toc23480"/>
      <w:bookmarkStart w:id="345" w:name="_Toc27546"/>
      <w:bookmarkStart w:id="346" w:name="_Toc4950"/>
      <w:bookmarkStart w:id="347" w:name="_Toc108"/>
      <w:bookmarkStart w:id="348" w:name="_Toc2275"/>
      <w:bookmarkStart w:id="349" w:name="_Toc6092"/>
      <w:r>
        <w:rPr>
          <w:rFonts w:hint="eastAsia" w:ascii="宋体" w:hAnsi="宋体" w:eastAsia="宋体" w:cs="宋体"/>
          <w:color w:val="auto"/>
          <w:sz w:val="28"/>
          <w:szCs w:val="28"/>
          <w:u w:color="000000"/>
        </w:rPr>
        <w:t>22.</w:t>
      </w:r>
      <w:bookmarkEnd w:id="337"/>
      <w:r>
        <w:rPr>
          <w:rFonts w:hint="eastAsia" w:ascii="宋体" w:hAnsi="宋体" w:eastAsia="宋体" w:cs="宋体"/>
          <w:color w:val="auto"/>
          <w:sz w:val="28"/>
          <w:szCs w:val="28"/>
          <w:u w:color="000000"/>
        </w:rPr>
        <w:t>磋商无效</w:t>
      </w:r>
      <w:bookmarkEnd w:id="338"/>
      <w:bookmarkEnd w:id="339"/>
      <w:bookmarkEnd w:id="340"/>
      <w:bookmarkEnd w:id="341"/>
      <w:bookmarkEnd w:id="342"/>
      <w:bookmarkEnd w:id="343"/>
      <w:bookmarkEnd w:id="344"/>
      <w:bookmarkEnd w:id="345"/>
      <w:bookmarkEnd w:id="346"/>
      <w:bookmarkEnd w:id="347"/>
      <w:bookmarkEnd w:id="348"/>
      <w:bookmarkEnd w:id="349"/>
    </w:p>
    <w:p w14:paraId="7A3DC5B3">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22.1   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w:t>
      </w:r>
      <w:r>
        <w:rPr>
          <w:rFonts w:hint="eastAsia" w:ascii="宋体" w:hAnsi="宋体" w:eastAsia="宋体" w:cs="宋体"/>
          <w:b/>
          <w:bCs/>
          <w:color w:val="auto"/>
          <w:sz w:val="28"/>
          <w:szCs w:val="28"/>
        </w:rPr>
        <w:t>磋商无效</w:t>
      </w:r>
      <w:r>
        <w:rPr>
          <w:rFonts w:hint="eastAsia" w:ascii="宋体" w:hAnsi="宋体" w:eastAsia="宋体" w:cs="宋体"/>
          <w:color w:val="auto"/>
          <w:sz w:val="28"/>
          <w:szCs w:val="28"/>
        </w:rPr>
        <w:t>。供应商不得通过修正或撤销不符合要求的偏离，从而使其磋商成为实质上响应的磋商。</w:t>
      </w:r>
    </w:p>
    <w:p w14:paraId="15CBC7BD">
      <w:pPr>
        <w:snapToGrid w:val="0"/>
        <w:spacing w:line="360" w:lineRule="auto"/>
        <w:ind w:left="958" w:leftChars="456"/>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磋商小组决定磋商的响应性只根据磋商文件要求、响应文件内容及财政主管部门指定相关信息发布媒体。</w:t>
      </w:r>
    </w:p>
    <w:p w14:paraId="0CDE799D">
      <w:pPr>
        <w:snapToGrid w:val="0"/>
        <w:spacing w:line="360" w:lineRule="auto"/>
        <w:ind w:left="900" w:hanging="1050" w:hangingChars="375"/>
        <w:textAlignment w:val="baseline"/>
        <w:rPr>
          <w:rFonts w:hint="eastAsia" w:ascii="宋体" w:hAnsi="宋体" w:eastAsia="宋体" w:cs="宋体"/>
          <w:b/>
          <w:bCs/>
          <w:color w:val="auto"/>
          <w:sz w:val="28"/>
          <w:szCs w:val="28"/>
        </w:rPr>
      </w:pPr>
      <w:r>
        <w:rPr>
          <w:rFonts w:hint="eastAsia" w:ascii="宋体" w:hAnsi="宋体" w:eastAsia="宋体" w:cs="宋体"/>
          <w:color w:val="auto"/>
          <w:sz w:val="28"/>
          <w:szCs w:val="28"/>
        </w:rPr>
        <w:t>22.2</w:t>
      </w:r>
      <w:r>
        <w:rPr>
          <w:rFonts w:hint="eastAsia" w:ascii="宋体" w:hAnsi="宋体" w:eastAsia="宋体" w:cs="宋体"/>
          <w:color w:val="auto"/>
          <w:sz w:val="28"/>
          <w:szCs w:val="28"/>
        </w:rPr>
        <w:tab/>
      </w:r>
      <w:r>
        <w:rPr>
          <w:rFonts w:hint="eastAsia" w:ascii="宋体" w:hAnsi="宋体" w:eastAsia="宋体" w:cs="宋体"/>
          <w:b/>
          <w:bCs/>
          <w:color w:val="auto"/>
          <w:sz w:val="28"/>
          <w:szCs w:val="28"/>
        </w:rPr>
        <w:t>如发现下列情况之一的，其磋商将被认定为磋商无效：（以下情形应当在磋商文件中规定，并以醒目的方式标明）</w:t>
      </w:r>
    </w:p>
    <w:p w14:paraId="0455C1C9">
      <w:pPr>
        <w:snapToGrid w:val="0"/>
        <w:spacing w:line="360" w:lineRule="auto"/>
        <w:ind w:left="-180" w:firstLine="1124" w:firstLineChars="40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（1）未按磋商文件规定的形式和金额提交磋商保证金的；</w:t>
      </w:r>
    </w:p>
    <w:p w14:paraId="18F91FC5">
      <w:pPr>
        <w:snapToGrid w:val="0"/>
        <w:spacing w:line="360" w:lineRule="auto"/>
        <w:ind w:left="-180" w:firstLine="1124" w:firstLineChars="40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（2）未按照磋商文件规定要求签署、盖章的；</w:t>
      </w:r>
    </w:p>
    <w:p w14:paraId="28CA3FD9">
      <w:pPr>
        <w:snapToGrid w:val="0"/>
        <w:spacing w:line="360" w:lineRule="auto"/>
        <w:ind w:left="-180" w:firstLine="1124" w:firstLineChars="40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（3）未满足磋商文件中技术条款的实质性要求；</w:t>
      </w:r>
    </w:p>
    <w:p w14:paraId="62D2A4E1">
      <w:pPr>
        <w:snapToGrid w:val="0"/>
        <w:spacing w:line="360" w:lineRule="auto"/>
        <w:ind w:left="-180" w:firstLine="1124" w:firstLineChars="40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（4）与其他供应商串通磋商，或者与招标人串通磋商；</w:t>
      </w:r>
    </w:p>
    <w:p w14:paraId="561B31E5">
      <w:pPr>
        <w:snapToGrid w:val="0"/>
        <w:spacing w:line="360" w:lineRule="auto"/>
        <w:ind w:left="-180" w:firstLine="1124" w:firstLineChars="40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（5）属于磋商文件规定的其他磋商无效情形；</w:t>
      </w:r>
    </w:p>
    <w:p w14:paraId="76AA8077">
      <w:pPr>
        <w:snapToGrid w:val="0"/>
        <w:spacing w:line="360" w:lineRule="auto"/>
        <w:ind w:left="1339" w:leftChars="370" w:hanging="562" w:hangingChars="20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（6）磋商小组认为供应商的报价明显低于其他通过符合性检查供应商的报价，有可能影响履约的，且供应商未按照规定证明其报价合理性的；</w:t>
      </w:r>
    </w:p>
    <w:p w14:paraId="1D691724">
      <w:pPr>
        <w:snapToGrid w:val="0"/>
        <w:spacing w:line="360" w:lineRule="auto"/>
        <w:ind w:firstLine="843" w:firstLineChars="30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（7）响应文件含有采购人不能接受的附加条件的；</w:t>
      </w:r>
    </w:p>
    <w:p w14:paraId="635BB630">
      <w:pPr>
        <w:tabs>
          <w:tab w:val="left" w:pos="0"/>
        </w:tabs>
        <w:snapToGrid w:val="0"/>
        <w:spacing w:line="360" w:lineRule="auto"/>
        <w:ind w:left="-180" w:firstLine="1124" w:firstLineChars="40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（8）不符合法规和磋商文件中规定的其他实质性要求的。</w:t>
      </w:r>
    </w:p>
    <w:p w14:paraId="5BD36FA5">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22.3   有下列情形之一的，属于恶意串通，对供应商依照政府采购法第七十七条第一款的规定追究法律责任，对采购人、采购代理机构及其工作人员依照政府采购法第七十二条的规定追究法律责任：</w:t>
      </w:r>
    </w:p>
    <w:p w14:paraId="409F8D14">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（1）供应商直接或者间接从采购人或者采购代理机构处获得其他供应商的相关情况并修改其响应文件或者响应文件；</w:t>
      </w:r>
    </w:p>
    <w:p w14:paraId="2796558F">
      <w:pPr>
        <w:snapToGrid w:val="0"/>
        <w:spacing w:line="360" w:lineRule="auto"/>
        <w:ind w:left="928" w:leftChars="342" w:hanging="210" w:hangingChars="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（2）供应商按照采购人或者采购代理机构的授意撤换、修改响应文件或者响应文件；</w:t>
      </w:r>
    </w:p>
    <w:p w14:paraId="49E86B2D">
      <w:pPr>
        <w:snapToGrid w:val="0"/>
        <w:spacing w:line="360" w:lineRule="auto"/>
        <w:ind w:left="928" w:leftChars="342" w:hanging="210" w:hangingChars="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（3）供应商之间协商报价、技术方案等响应文件或者响应文件的实质性内容；</w:t>
      </w:r>
    </w:p>
    <w:p w14:paraId="4792A87D">
      <w:pPr>
        <w:snapToGrid w:val="0"/>
        <w:spacing w:line="360" w:lineRule="auto"/>
        <w:ind w:left="928" w:leftChars="342" w:hanging="210" w:hangingChars="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（4）属于同一集团、协会、商会等组织成员的供应商按照该组织要求协同参加政府采购活动；</w:t>
      </w:r>
    </w:p>
    <w:p w14:paraId="36FA7E3E">
      <w:pPr>
        <w:snapToGrid w:val="0"/>
        <w:spacing w:line="360" w:lineRule="auto"/>
        <w:ind w:left="928" w:leftChars="342" w:hanging="210" w:hangingChars="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（5）供应商之间事先约定由某一特定供应商中标、成交；</w:t>
      </w:r>
    </w:p>
    <w:p w14:paraId="2F063C55">
      <w:pPr>
        <w:snapToGrid w:val="0"/>
        <w:spacing w:line="360" w:lineRule="auto"/>
        <w:ind w:left="928" w:leftChars="342" w:hanging="210" w:hangingChars="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（6）供应商之间商定部分供应商放弃参加政府采购活动或者放弃中标、成交；</w:t>
      </w:r>
    </w:p>
    <w:p w14:paraId="2A76FB28">
      <w:pPr>
        <w:snapToGrid w:val="0"/>
        <w:spacing w:line="360" w:lineRule="auto"/>
        <w:ind w:left="928" w:leftChars="342" w:hanging="210" w:hangingChars="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（7）供应商与采购人或者采购代理机构之间、供应商相互之间，为谋求特定供应商中标、成交或者排斥其他供应商的其他串通行为。</w:t>
      </w:r>
    </w:p>
    <w:p w14:paraId="328ED286">
      <w:pPr>
        <w:pStyle w:val="4"/>
        <w:snapToGrid w:val="0"/>
        <w:spacing w:before="0" w:after="0" w:line="360" w:lineRule="auto"/>
        <w:textAlignment w:val="baseline"/>
        <w:rPr>
          <w:rFonts w:hint="eastAsia" w:ascii="宋体" w:hAnsi="宋体" w:eastAsia="宋体" w:cs="宋体"/>
          <w:color w:val="auto"/>
          <w:sz w:val="28"/>
          <w:szCs w:val="28"/>
          <w:u w:color="000000"/>
        </w:rPr>
      </w:pPr>
      <w:bookmarkStart w:id="350" w:name="_Toc4263"/>
      <w:bookmarkStart w:id="351" w:name="_Toc6450"/>
      <w:bookmarkStart w:id="352" w:name="_Toc515647784"/>
      <w:bookmarkStart w:id="353" w:name="_Toc13652"/>
      <w:bookmarkStart w:id="354" w:name="_Toc22941"/>
      <w:bookmarkStart w:id="355" w:name="_Toc28827"/>
      <w:bookmarkStart w:id="356" w:name="_Toc5075"/>
      <w:bookmarkStart w:id="357" w:name="_Toc31260"/>
      <w:bookmarkStart w:id="358" w:name="_Toc22903"/>
      <w:bookmarkStart w:id="359" w:name="_Toc3834"/>
      <w:bookmarkStart w:id="360" w:name="_Toc21841"/>
      <w:bookmarkStart w:id="361" w:name="_Toc30567"/>
      <w:bookmarkStart w:id="362" w:name="_Toc31440"/>
      <w:r>
        <w:rPr>
          <w:rFonts w:hint="eastAsia" w:ascii="宋体" w:hAnsi="宋体" w:eastAsia="宋体" w:cs="宋体"/>
          <w:color w:val="auto"/>
          <w:sz w:val="28"/>
          <w:szCs w:val="28"/>
          <w:u w:color="000000"/>
        </w:rPr>
        <w:t>23.</w:t>
      </w:r>
      <w:bookmarkEnd w:id="323"/>
      <w:r>
        <w:rPr>
          <w:rFonts w:hint="eastAsia" w:ascii="宋体" w:hAnsi="宋体" w:eastAsia="宋体" w:cs="宋体"/>
          <w:color w:val="auto"/>
          <w:sz w:val="28"/>
          <w:szCs w:val="28"/>
          <w:u w:color="000000"/>
        </w:rPr>
        <w:t>比较与评价</w:t>
      </w:r>
      <w:bookmarkEnd w:id="350"/>
      <w:bookmarkEnd w:id="351"/>
      <w:bookmarkEnd w:id="352"/>
      <w:bookmarkEnd w:id="353"/>
      <w:bookmarkEnd w:id="354"/>
      <w:bookmarkEnd w:id="355"/>
      <w:bookmarkEnd w:id="356"/>
      <w:bookmarkEnd w:id="357"/>
      <w:bookmarkEnd w:id="358"/>
      <w:bookmarkEnd w:id="359"/>
      <w:bookmarkEnd w:id="360"/>
      <w:bookmarkEnd w:id="361"/>
      <w:bookmarkEnd w:id="362"/>
    </w:p>
    <w:p w14:paraId="50C07BAE">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23.1</w:t>
      </w:r>
      <w:r>
        <w:rPr>
          <w:rFonts w:hint="eastAsia" w:ascii="宋体" w:hAnsi="宋体" w:eastAsia="宋体" w:cs="宋体"/>
          <w:color w:val="auto"/>
          <w:sz w:val="28"/>
          <w:szCs w:val="28"/>
        </w:rPr>
        <w:tab/>
      </w:r>
      <w:r>
        <w:rPr>
          <w:rFonts w:hint="eastAsia" w:ascii="宋体" w:hAnsi="宋体" w:eastAsia="宋体" w:cs="宋体"/>
          <w:color w:val="auto"/>
          <w:sz w:val="28"/>
          <w:szCs w:val="28"/>
        </w:rPr>
        <w:t>经符合性审查合格的响应文件，磋商小组将根据磋商文件确定的评标方法和标准，对其技术部分和商务部分作进一步的比较和评价。</w:t>
      </w:r>
    </w:p>
    <w:p w14:paraId="23ADC968">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23.2  </w:t>
      </w:r>
      <w:r>
        <w:rPr>
          <w:rFonts w:hint="eastAsia" w:ascii="宋体" w:hAnsi="宋体" w:eastAsia="宋体" w:cs="宋体"/>
          <w:color w:val="auto"/>
          <w:sz w:val="28"/>
          <w:szCs w:val="28"/>
        </w:rPr>
        <w:tab/>
      </w:r>
      <w:r>
        <w:rPr>
          <w:rFonts w:hint="eastAsia" w:ascii="宋体" w:hAnsi="宋体" w:eastAsia="宋体" w:cs="宋体"/>
          <w:color w:val="auto"/>
          <w:sz w:val="28"/>
          <w:szCs w:val="28"/>
        </w:rPr>
        <w:t>评标严格按照磋商文件的要求和条件进行。根据实际情况，在</w:t>
      </w:r>
      <w:r>
        <w:rPr>
          <w:rFonts w:hint="eastAsia" w:ascii="宋体" w:hAnsi="宋体" w:eastAsia="宋体" w:cs="宋体"/>
          <w:color w:val="auto"/>
          <w:sz w:val="28"/>
          <w:szCs w:val="28"/>
          <w:u w:val="single" w:color="000000"/>
        </w:rPr>
        <w:t>供应商须知资料表</w:t>
      </w:r>
      <w:r>
        <w:rPr>
          <w:rFonts w:hint="eastAsia" w:ascii="宋体" w:hAnsi="宋体" w:eastAsia="宋体" w:cs="宋体"/>
          <w:color w:val="auto"/>
          <w:sz w:val="28"/>
          <w:szCs w:val="28"/>
        </w:rPr>
        <w:t>中规定采用下列一种评标方法，详细评标标准见磋商文件</w:t>
      </w:r>
      <w:r>
        <w:rPr>
          <w:rFonts w:hint="eastAsia" w:ascii="宋体" w:hAnsi="宋体" w:eastAsia="宋体" w:cs="宋体"/>
          <w:b/>
          <w:color w:val="auto"/>
          <w:sz w:val="28"/>
          <w:szCs w:val="28"/>
        </w:rPr>
        <w:t>第六章：</w:t>
      </w:r>
    </w:p>
    <w:p w14:paraId="764874C0">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综合评分法，是指响应文件满足磋商文件全部实质性要求，且按照评审因素的量化指标评审得分最高的供应商为成交候选人的评标方法。</w:t>
      </w:r>
    </w:p>
    <w:p w14:paraId="2F9B1025">
      <w:pPr>
        <w:pStyle w:val="19"/>
        <w:snapToGrid w:val="0"/>
        <w:spacing w:line="360" w:lineRule="auto"/>
        <w:ind w:left="720" w:hanging="843" w:hangingChars="30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363" w:name="sendNo"/>
      <w:r>
        <w:rPr>
          <w:rFonts w:hint="eastAsia" w:ascii="宋体" w:hAnsi="宋体" w:eastAsia="宋体" w:cs="宋体"/>
          <w:b/>
          <w:bCs/>
          <w:color w:val="auto"/>
          <w:sz w:val="28"/>
          <w:szCs w:val="28"/>
        </w:rPr>
        <w:t>财库〔</w:t>
      </w:r>
      <w:bookmarkEnd w:id="363"/>
      <w:r>
        <w:rPr>
          <w:rFonts w:hint="eastAsia" w:ascii="宋体" w:hAnsi="宋体" w:eastAsia="宋体" w:cs="宋体"/>
          <w:b/>
          <w:bCs/>
          <w:color w:val="auto"/>
          <w:sz w:val="28"/>
          <w:szCs w:val="28"/>
        </w:rPr>
        <w:t>2017〕141号）</w:t>
      </w:r>
      <w:r>
        <w:rPr>
          <w:rFonts w:hint="eastAsia" w:ascii="宋体" w:hAnsi="宋体" w:eastAsia="宋体" w:cs="宋体"/>
          <w:b/>
          <w:bCs/>
          <w:color w:val="auto"/>
          <w:sz w:val="28"/>
          <w:szCs w:val="28"/>
          <w:lang w:eastAsia="zh-CN"/>
        </w:rPr>
        <w:t>、《关于进一步加大政府采购支持中小企业力度的通知》（财库〔2022〕19号）</w:t>
      </w:r>
      <w:r>
        <w:rPr>
          <w:rFonts w:hint="eastAsia" w:ascii="宋体" w:hAnsi="宋体" w:eastAsia="宋体" w:cs="宋体"/>
          <w:b/>
          <w:bCs/>
          <w:color w:val="auto"/>
          <w:sz w:val="28"/>
          <w:szCs w:val="28"/>
        </w:rPr>
        <w:t>的规定，对满足价格扣除条件且在投标文件中提交了《中小企业声明函》或省级以上监狱管理局、戒毒管理局（含新疆生产建设兵团）出具的属于监狱企业的证明文件的供应商，其投标报价扣除</w:t>
      </w:r>
      <w:r>
        <w:rPr>
          <w:rFonts w:hint="eastAsia" w:ascii="宋体" w:hAnsi="宋体" w:eastAsia="宋体" w:cs="宋体"/>
          <w:b/>
          <w:bCs/>
          <w:color w:val="auto"/>
          <w:sz w:val="28"/>
          <w:szCs w:val="28"/>
          <w:lang w:val="en-US" w:eastAsia="zh-CN"/>
        </w:rPr>
        <w:t>10%-20%</w:t>
      </w:r>
      <w:r>
        <w:rPr>
          <w:rFonts w:hint="eastAsia" w:ascii="宋体" w:hAnsi="宋体" w:eastAsia="宋体" w:cs="宋体"/>
          <w:b/>
          <w:bCs/>
          <w:color w:val="auto"/>
          <w:sz w:val="28"/>
          <w:szCs w:val="28"/>
        </w:rPr>
        <w:t>后参与</w:t>
      </w:r>
      <w:r>
        <w:rPr>
          <w:rFonts w:hint="eastAsia" w:ascii="宋体" w:hAnsi="宋体" w:eastAsia="宋体" w:cs="宋体"/>
          <w:b/>
          <w:bCs/>
          <w:color w:val="auto"/>
          <w:sz w:val="28"/>
          <w:szCs w:val="28"/>
          <w:lang w:eastAsia="zh-CN"/>
        </w:rPr>
        <w:t>评标</w:t>
      </w:r>
      <w:r>
        <w:rPr>
          <w:rFonts w:hint="eastAsia" w:ascii="宋体" w:hAnsi="宋体" w:eastAsia="宋体" w:cs="宋体"/>
          <w:b/>
          <w:bCs/>
          <w:color w:val="auto"/>
          <w:sz w:val="28"/>
          <w:szCs w:val="28"/>
        </w:rPr>
        <w:t>。具体办法详见磋商文件第6章。</w:t>
      </w:r>
    </w:p>
    <w:p w14:paraId="480D258A">
      <w:pPr>
        <w:pStyle w:val="19"/>
        <w:pageBreakBefore w:val="0"/>
        <w:kinsoku/>
        <w:wordWrap/>
        <w:overflowPunct/>
        <w:topLinePunct w:val="0"/>
        <w:bidi w:val="0"/>
        <w:spacing w:line="360" w:lineRule="auto"/>
        <w:ind w:left="900" w:hanging="1054" w:hangingChars="375"/>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23.4   根据《政府采购促进中小企业发展管理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标优惠。监狱企业及残疾人福利性单位视同小型、微型企业，享受预留份额、评标中价格扣除等政府采购促进中小企业发展的政府采购政策。</w:t>
      </w:r>
      <w:r>
        <w:rPr>
          <w:rFonts w:hint="eastAsia" w:ascii="宋体" w:hAnsi="宋体" w:eastAsia="宋体" w:cs="宋体"/>
          <w:color w:val="auto"/>
          <w:sz w:val="28"/>
          <w:szCs w:val="28"/>
          <w:lang w:val="en-US" w:eastAsia="zh-CN"/>
        </w:rPr>
        <w:t>  </w:t>
      </w:r>
    </w:p>
    <w:p w14:paraId="6FA28B7C">
      <w:pPr>
        <w:pStyle w:val="19"/>
        <w:snapToGrid w:val="0"/>
        <w:spacing w:line="360" w:lineRule="auto"/>
        <w:ind w:left="720" w:hanging="843" w:hangingChars="300"/>
        <w:textAlignment w:val="baseline"/>
        <w:rPr>
          <w:rFonts w:hint="eastAsia" w:ascii="宋体" w:hAnsi="宋体" w:eastAsia="宋体" w:cs="宋体"/>
          <w:b/>
          <w:bCs/>
          <w:color w:val="auto"/>
          <w:sz w:val="28"/>
          <w:szCs w:val="28"/>
        </w:rPr>
      </w:pPr>
    </w:p>
    <w:p w14:paraId="1226A4D6">
      <w:pPr>
        <w:pStyle w:val="4"/>
        <w:snapToGrid w:val="0"/>
        <w:spacing w:before="0" w:after="0" w:line="360" w:lineRule="auto"/>
        <w:textAlignment w:val="baseline"/>
        <w:rPr>
          <w:rFonts w:hint="eastAsia" w:ascii="宋体" w:hAnsi="宋体" w:eastAsia="宋体" w:cs="宋体"/>
          <w:color w:val="auto"/>
          <w:sz w:val="28"/>
          <w:szCs w:val="28"/>
          <w:u w:color="000000"/>
        </w:rPr>
      </w:pPr>
      <w:bookmarkStart w:id="364" w:name="_Toc520356168"/>
      <w:bookmarkStart w:id="365" w:name="_Toc4445"/>
      <w:bookmarkStart w:id="366" w:name="_Toc14935"/>
      <w:bookmarkStart w:id="367" w:name="_Toc2218"/>
      <w:bookmarkStart w:id="368" w:name="_Toc6912"/>
      <w:bookmarkStart w:id="369" w:name="_Toc16201"/>
      <w:bookmarkStart w:id="370" w:name="_Toc28843"/>
      <w:bookmarkStart w:id="371" w:name="_Toc28413"/>
      <w:bookmarkStart w:id="372" w:name="_Toc2539"/>
      <w:bookmarkStart w:id="373" w:name="_Toc18922"/>
      <w:bookmarkStart w:id="374" w:name="_Toc4586"/>
      <w:bookmarkStart w:id="375" w:name="_Toc9378"/>
      <w:bookmarkStart w:id="376" w:name="_Toc515647785"/>
      <w:bookmarkStart w:id="377" w:name="_Toc20227"/>
      <w:r>
        <w:rPr>
          <w:rFonts w:hint="eastAsia" w:ascii="宋体" w:hAnsi="宋体" w:eastAsia="宋体" w:cs="宋体"/>
          <w:color w:val="auto"/>
          <w:sz w:val="28"/>
          <w:szCs w:val="28"/>
          <w:u w:color="000000"/>
        </w:rPr>
        <w:t>24</w:t>
      </w:r>
      <w:bookmarkEnd w:id="364"/>
      <w:r>
        <w:rPr>
          <w:rFonts w:hint="eastAsia" w:ascii="宋体" w:hAnsi="宋体" w:eastAsia="宋体" w:cs="宋体"/>
          <w:color w:val="auto"/>
          <w:sz w:val="28"/>
          <w:szCs w:val="28"/>
          <w:u w:color="000000"/>
        </w:rPr>
        <w:t>.废标</w:t>
      </w:r>
      <w:bookmarkEnd w:id="365"/>
      <w:bookmarkEnd w:id="366"/>
      <w:bookmarkEnd w:id="367"/>
      <w:bookmarkEnd w:id="368"/>
      <w:bookmarkEnd w:id="369"/>
      <w:bookmarkEnd w:id="370"/>
      <w:bookmarkEnd w:id="371"/>
      <w:bookmarkEnd w:id="372"/>
      <w:bookmarkEnd w:id="373"/>
      <w:bookmarkEnd w:id="374"/>
      <w:bookmarkEnd w:id="375"/>
      <w:bookmarkEnd w:id="376"/>
      <w:bookmarkEnd w:id="377"/>
    </w:p>
    <w:p w14:paraId="0DF53285">
      <w:pPr>
        <w:snapToGrid w:val="0"/>
        <w:spacing w:line="360" w:lineRule="auto"/>
        <w:ind w:left="239" w:leftChars="114" w:firstLine="773" w:firstLineChars="275"/>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出现下列情形之一，将导致项目废标： </w:t>
      </w:r>
    </w:p>
    <w:p w14:paraId="60D084F1">
      <w:pPr>
        <w:snapToGrid w:val="0"/>
        <w:spacing w:line="360" w:lineRule="auto"/>
        <w:ind w:left="900" w:hanging="1054" w:hangingChars="375"/>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t>（1）出现影响采购公正的违法、违规行为的；</w:t>
      </w:r>
    </w:p>
    <w:p w14:paraId="3B6EF380">
      <w:pPr>
        <w:snapToGrid w:val="0"/>
        <w:spacing w:line="360" w:lineRule="auto"/>
        <w:ind w:firstLine="984" w:firstLineChars="35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（2）供应商的报价均超过了采购预算，采购人不能支付的；</w:t>
      </w:r>
    </w:p>
    <w:p w14:paraId="1CA16080">
      <w:pPr>
        <w:snapToGrid w:val="0"/>
        <w:spacing w:line="360" w:lineRule="auto"/>
        <w:ind w:firstLine="984" w:firstLineChars="35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（3）因重大变故，采购任务取消的。   </w:t>
      </w:r>
    </w:p>
    <w:p w14:paraId="19305658">
      <w:pPr>
        <w:pStyle w:val="4"/>
        <w:snapToGrid w:val="0"/>
        <w:spacing w:before="0" w:after="0" w:line="360" w:lineRule="auto"/>
        <w:textAlignment w:val="baseline"/>
        <w:rPr>
          <w:rFonts w:hint="eastAsia" w:ascii="宋体" w:hAnsi="宋体" w:eastAsia="宋体" w:cs="宋体"/>
          <w:color w:val="auto"/>
          <w:sz w:val="28"/>
          <w:szCs w:val="28"/>
          <w:u w:color="000000"/>
        </w:rPr>
      </w:pPr>
      <w:bookmarkStart w:id="378" w:name="_Toc11249"/>
      <w:bookmarkStart w:id="379" w:name="_Toc15505"/>
      <w:bookmarkStart w:id="380" w:name="_Toc4481"/>
      <w:bookmarkStart w:id="381" w:name="_Toc25920"/>
      <w:bookmarkStart w:id="382" w:name="_Toc20205"/>
      <w:bookmarkStart w:id="383" w:name="_Toc27162"/>
      <w:bookmarkStart w:id="384" w:name="_Toc8176"/>
      <w:bookmarkStart w:id="385" w:name="_Toc515647786"/>
      <w:bookmarkStart w:id="386" w:name="_Toc23141"/>
      <w:bookmarkStart w:id="387" w:name="_Toc31289"/>
      <w:bookmarkStart w:id="388" w:name="_Toc24972"/>
      <w:bookmarkStart w:id="389" w:name="_Toc8444"/>
      <w:bookmarkStart w:id="390" w:name="_Toc1106"/>
      <w:bookmarkStart w:id="391" w:name="_Toc520356169"/>
      <w:r>
        <w:rPr>
          <w:rFonts w:hint="eastAsia" w:ascii="宋体" w:hAnsi="宋体" w:eastAsia="宋体" w:cs="宋体"/>
          <w:color w:val="auto"/>
          <w:sz w:val="28"/>
          <w:szCs w:val="28"/>
          <w:u w:color="000000"/>
        </w:rPr>
        <w:t>25.保密原则</w:t>
      </w:r>
      <w:bookmarkEnd w:id="378"/>
      <w:bookmarkEnd w:id="379"/>
      <w:bookmarkEnd w:id="380"/>
      <w:bookmarkEnd w:id="381"/>
      <w:bookmarkEnd w:id="382"/>
      <w:bookmarkEnd w:id="383"/>
      <w:bookmarkEnd w:id="384"/>
      <w:bookmarkEnd w:id="385"/>
      <w:bookmarkEnd w:id="386"/>
      <w:bookmarkEnd w:id="387"/>
      <w:bookmarkEnd w:id="388"/>
      <w:bookmarkEnd w:id="389"/>
      <w:bookmarkEnd w:id="390"/>
    </w:p>
    <w:p w14:paraId="2B5A4457">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25.1</w:t>
      </w:r>
      <w:r>
        <w:rPr>
          <w:rFonts w:hint="eastAsia" w:ascii="宋体" w:hAnsi="宋体" w:eastAsia="宋体" w:cs="宋体"/>
          <w:color w:val="auto"/>
          <w:sz w:val="28"/>
          <w:szCs w:val="28"/>
        </w:rPr>
        <w:tab/>
      </w:r>
      <w:r>
        <w:rPr>
          <w:rFonts w:hint="eastAsia" w:ascii="宋体" w:hAnsi="宋体" w:eastAsia="宋体" w:cs="宋体"/>
          <w:color w:val="auto"/>
          <w:sz w:val="28"/>
          <w:szCs w:val="28"/>
          <w:lang w:val="en-US" w:eastAsia="zh-CN"/>
        </w:rPr>
        <w:t>评审</w:t>
      </w:r>
      <w:r>
        <w:rPr>
          <w:rFonts w:hint="eastAsia" w:ascii="宋体" w:hAnsi="宋体" w:eastAsia="宋体" w:cs="宋体"/>
          <w:color w:val="auto"/>
          <w:sz w:val="28"/>
          <w:szCs w:val="28"/>
        </w:rPr>
        <w:t>将在严格保密的情况下进行。</w:t>
      </w:r>
    </w:p>
    <w:p w14:paraId="06EF680E">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25.2</w:t>
      </w:r>
      <w:r>
        <w:rPr>
          <w:rFonts w:hint="eastAsia" w:ascii="宋体" w:hAnsi="宋体" w:eastAsia="宋体" w:cs="宋体"/>
          <w:color w:val="auto"/>
          <w:sz w:val="28"/>
          <w:szCs w:val="28"/>
        </w:rPr>
        <w:tab/>
      </w:r>
      <w:r>
        <w:rPr>
          <w:rFonts w:hint="eastAsia" w:ascii="宋体" w:hAnsi="宋体" w:eastAsia="宋体" w:cs="宋体"/>
          <w:color w:val="auto"/>
          <w:sz w:val="28"/>
          <w:szCs w:val="28"/>
        </w:rPr>
        <w:t>政府采购评审专家应当遵守评审工作纪律，不得泄露评审文件、评审情况和评审中获悉的商业秘密。</w:t>
      </w:r>
    </w:p>
    <w:p w14:paraId="078FB696">
      <w:pPr>
        <w:pStyle w:val="3"/>
        <w:snapToGrid w:val="0"/>
        <w:spacing w:before="0" w:line="360" w:lineRule="auto"/>
        <w:ind w:hanging="540"/>
        <w:textAlignment w:val="baseline"/>
        <w:rPr>
          <w:rFonts w:hint="eastAsia" w:ascii="宋体" w:hAnsi="宋体" w:eastAsia="宋体" w:cs="宋体"/>
          <w:color w:val="auto"/>
          <w:sz w:val="28"/>
          <w:szCs w:val="28"/>
        </w:rPr>
      </w:pPr>
      <w:bookmarkStart w:id="392" w:name="_Toc216582810"/>
      <w:bookmarkStart w:id="393" w:name="_Toc23904"/>
      <w:bookmarkStart w:id="394" w:name="_Toc12143"/>
      <w:bookmarkStart w:id="395" w:name="_Toc31195"/>
      <w:bookmarkStart w:id="396" w:name="_Toc515647787"/>
      <w:bookmarkStart w:id="397" w:name="_Toc27482"/>
      <w:bookmarkStart w:id="398" w:name="_Toc9204"/>
      <w:bookmarkStart w:id="399" w:name="_Toc18876"/>
      <w:r>
        <w:rPr>
          <w:rFonts w:hint="eastAsia" w:ascii="宋体" w:hAnsi="宋体" w:eastAsia="宋体" w:cs="宋体"/>
          <w:color w:val="auto"/>
          <w:sz w:val="28"/>
          <w:szCs w:val="28"/>
        </w:rPr>
        <w:t xml:space="preserve">六   </w:t>
      </w:r>
      <w:bookmarkEnd w:id="391"/>
      <w:r>
        <w:rPr>
          <w:rFonts w:hint="eastAsia" w:ascii="宋体" w:hAnsi="宋体" w:eastAsia="宋体" w:cs="宋体"/>
          <w:color w:val="auto"/>
          <w:sz w:val="28"/>
          <w:szCs w:val="28"/>
        </w:rPr>
        <w:t>确定</w:t>
      </w:r>
      <w:bookmarkEnd w:id="392"/>
      <w:bookmarkEnd w:id="393"/>
      <w:bookmarkEnd w:id="394"/>
      <w:bookmarkEnd w:id="395"/>
      <w:bookmarkEnd w:id="396"/>
      <w:r>
        <w:rPr>
          <w:rFonts w:hint="eastAsia" w:ascii="宋体" w:hAnsi="宋体" w:eastAsia="宋体" w:cs="宋体"/>
          <w:color w:val="auto"/>
          <w:sz w:val="28"/>
          <w:szCs w:val="28"/>
        </w:rPr>
        <w:t>成交</w:t>
      </w:r>
      <w:bookmarkEnd w:id="397"/>
      <w:bookmarkEnd w:id="398"/>
      <w:bookmarkEnd w:id="399"/>
    </w:p>
    <w:p w14:paraId="7D8B7FFF">
      <w:pPr>
        <w:pStyle w:val="9"/>
        <w:snapToGrid w:val="0"/>
        <w:spacing w:line="360" w:lineRule="auto"/>
        <w:ind w:firstLine="0"/>
        <w:textAlignment w:val="baseline"/>
        <w:rPr>
          <w:rFonts w:hint="eastAsia" w:ascii="宋体" w:hAnsi="宋体" w:eastAsia="宋体" w:cs="宋体"/>
          <w:color w:val="auto"/>
          <w:sz w:val="28"/>
          <w:szCs w:val="28"/>
        </w:rPr>
      </w:pPr>
    </w:p>
    <w:p w14:paraId="31EA794B">
      <w:pPr>
        <w:pStyle w:val="4"/>
        <w:snapToGrid w:val="0"/>
        <w:spacing w:before="0" w:after="0" w:line="360" w:lineRule="auto"/>
        <w:textAlignment w:val="baseline"/>
        <w:rPr>
          <w:rFonts w:hint="eastAsia" w:ascii="宋体" w:hAnsi="宋体" w:eastAsia="宋体" w:cs="宋体"/>
          <w:color w:val="auto"/>
          <w:sz w:val="28"/>
          <w:szCs w:val="28"/>
          <w:u w:color="000000"/>
        </w:rPr>
      </w:pPr>
      <w:bookmarkStart w:id="400" w:name="_Toc19391"/>
      <w:bookmarkStart w:id="401" w:name="_Toc7632"/>
      <w:bookmarkStart w:id="402" w:name="_Toc1360"/>
      <w:bookmarkStart w:id="403" w:name="_Toc29606"/>
      <w:bookmarkStart w:id="404" w:name="_Toc8936"/>
      <w:bookmarkStart w:id="405" w:name="_Toc10858"/>
      <w:bookmarkStart w:id="406" w:name="_Toc23762"/>
      <w:bookmarkStart w:id="407" w:name="_Toc23617"/>
      <w:bookmarkStart w:id="408" w:name="_Toc15848"/>
      <w:bookmarkStart w:id="409" w:name="_Toc20286"/>
      <w:bookmarkStart w:id="410" w:name="_Toc520356170"/>
      <w:bookmarkStart w:id="411" w:name="_Ref467307010"/>
      <w:bookmarkStart w:id="412" w:name="_Toc20156"/>
      <w:bookmarkStart w:id="413" w:name="_Toc4774"/>
      <w:bookmarkStart w:id="414" w:name="_Toc515647788"/>
      <w:r>
        <w:rPr>
          <w:rFonts w:hint="eastAsia" w:ascii="宋体" w:hAnsi="宋体" w:eastAsia="宋体" w:cs="宋体"/>
          <w:color w:val="auto"/>
          <w:sz w:val="28"/>
          <w:szCs w:val="28"/>
          <w:u w:color="000000"/>
        </w:rPr>
        <w:t>26.成交候选人的确定原则及标准</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757D513C">
      <w:pPr>
        <w:snapToGrid w:val="0"/>
        <w:spacing w:line="360" w:lineRule="auto"/>
        <w:ind w:firstLine="560" w:firstLineChars="200"/>
        <w:textAlignment w:val="baseline"/>
        <w:rPr>
          <w:rFonts w:hint="eastAsia" w:ascii="宋体" w:hAnsi="宋体" w:eastAsia="宋体" w:cs="宋体"/>
          <w:color w:val="auto"/>
          <w:sz w:val="28"/>
          <w:szCs w:val="28"/>
        </w:rPr>
      </w:pPr>
      <w:bookmarkStart w:id="415" w:name="_Toc520356171"/>
      <w:bookmarkStart w:id="416" w:name="_Toc515647789"/>
      <w:r>
        <w:rPr>
          <w:rFonts w:hint="eastAsia" w:ascii="宋体" w:hAnsi="宋体" w:eastAsia="宋体" w:cs="宋体"/>
          <w:color w:val="auto"/>
          <w:sz w:val="28"/>
          <w:szCs w:val="28"/>
        </w:rPr>
        <w:t>对实质上响应磋商文件的供应商按下列方法进行排序，确定投标候选人：</w:t>
      </w:r>
    </w:p>
    <w:p w14:paraId="7AB17D8B">
      <w:pPr>
        <w:snapToGrid w:val="0"/>
        <w:spacing w:line="360" w:lineRule="auto"/>
        <w:ind w:left="479" w:leftChars="228"/>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采用综合评分法，是经磋商确定最终采购需求和提交最后报价的供应商后，由磋商小组采用综合评分法对提交最后报价的供应商的响应文件和最后报价进行综合评分。响应文件满足磋商文件全部实质性要求且按评审因素的量化指标评审得分最高的供应商为成交候选供应商的评审方法。评审得分且最后报价相同的，按照技术指标优劣顺序推荐。得分与投标报价均相同的处理方式详见磋商文件第6章。</w:t>
      </w:r>
    </w:p>
    <w:p w14:paraId="6251626B">
      <w:pPr>
        <w:snapToGrid w:val="0"/>
        <w:spacing w:line="360" w:lineRule="auto"/>
        <w:ind w:firstLine="562" w:firstLineChars="200"/>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本项目采用综合评分法。</w:t>
      </w:r>
    </w:p>
    <w:p w14:paraId="6FBC2491">
      <w:pPr>
        <w:pStyle w:val="4"/>
        <w:tabs>
          <w:tab w:val="left" w:pos="900"/>
        </w:tabs>
        <w:snapToGrid w:val="0"/>
        <w:spacing w:before="0" w:after="0" w:line="360" w:lineRule="auto"/>
        <w:textAlignment w:val="baseline"/>
        <w:rPr>
          <w:rFonts w:hint="eastAsia" w:ascii="宋体" w:hAnsi="宋体" w:eastAsia="宋体" w:cs="宋体"/>
          <w:color w:val="auto"/>
          <w:sz w:val="28"/>
          <w:szCs w:val="28"/>
          <w:u w:color="000000"/>
        </w:rPr>
      </w:pPr>
      <w:bookmarkStart w:id="417" w:name="_Toc9653"/>
      <w:bookmarkStart w:id="418" w:name="_Toc17933"/>
      <w:bookmarkStart w:id="419" w:name="_Toc23951"/>
      <w:bookmarkStart w:id="420" w:name="_Toc3720"/>
      <w:bookmarkStart w:id="421" w:name="_Toc1644"/>
      <w:bookmarkStart w:id="422" w:name="_Toc14558"/>
      <w:bookmarkStart w:id="423" w:name="_Toc24948"/>
      <w:bookmarkStart w:id="424" w:name="_Toc5598"/>
      <w:bookmarkStart w:id="425" w:name="_Toc1227"/>
      <w:bookmarkStart w:id="426" w:name="_Toc15116"/>
      <w:bookmarkStart w:id="427" w:name="_Toc16846"/>
      <w:bookmarkStart w:id="428" w:name="_Toc17164"/>
      <w:r>
        <w:rPr>
          <w:rFonts w:hint="eastAsia" w:ascii="宋体" w:hAnsi="宋体" w:eastAsia="宋体" w:cs="宋体"/>
          <w:color w:val="auto"/>
          <w:sz w:val="28"/>
          <w:szCs w:val="28"/>
          <w:u w:color="000000"/>
        </w:rPr>
        <w:t>27</w:t>
      </w:r>
      <w:bookmarkEnd w:id="415"/>
      <w:r>
        <w:rPr>
          <w:rFonts w:hint="eastAsia" w:ascii="宋体" w:hAnsi="宋体" w:eastAsia="宋体" w:cs="宋体"/>
          <w:color w:val="auto"/>
          <w:sz w:val="28"/>
          <w:szCs w:val="28"/>
          <w:u w:color="000000"/>
        </w:rPr>
        <w:t>.确定成交候选人和</w:t>
      </w:r>
      <w:bookmarkEnd w:id="416"/>
      <w:bookmarkEnd w:id="417"/>
      <w:bookmarkEnd w:id="418"/>
      <w:bookmarkEnd w:id="419"/>
      <w:r>
        <w:rPr>
          <w:rFonts w:hint="eastAsia" w:ascii="宋体" w:hAnsi="宋体" w:eastAsia="宋体" w:cs="宋体"/>
          <w:color w:val="auto"/>
          <w:sz w:val="28"/>
          <w:szCs w:val="28"/>
          <w:u w:color="000000"/>
        </w:rPr>
        <w:t>成交人</w:t>
      </w:r>
      <w:bookmarkEnd w:id="420"/>
      <w:bookmarkEnd w:id="421"/>
      <w:bookmarkEnd w:id="422"/>
      <w:bookmarkEnd w:id="423"/>
      <w:bookmarkEnd w:id="424"/>
      <w:bookmarkEnd w:id="425"/>
      <w:bookmarkEnd w:id="426"/>
      <w:bookmarkEnd w:id="427"/>
      <w:bookmarkEnd w:id="428"/>
    </w:p>
    <w:p w14:paraId="238F5A12">
      <w:pPr>
        <w:snapToGrid w:val="0"/>
        <w:spacing w:line="360" w:lineRule="auto"/>
        <w:ind w:left="928" w:leftChars="342" w:hanging="210" w:hangingChars="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磋商小组将根据评标标准，按</w:t>
      </w:r>
      <w:r>
        <w:rPr>
          <w:rFonts w:hint="eastAsia" w:ascii="宋体" w:hAnsi="宋体" w:eastAsia="宋体" w:cs="宋体"/>
          <w:color w:val="auto"/>
          <w:sz w:val="28"/>
          <w:szCs w:val="28"/>
          <w:u w:val="single" w:color="000000"/>
        </w:rPr>
        <w:t>供应商须知资料表中</w:t>
      </w:r>
      <w:r>
        <w:rPr>
          <w:rFonts w:hint="eastAsia" w:ascii="宋体" w:hAnsi="宋体" w:eastAsia="宋体" w:cs="宋体"/>
          <w:color w:val="auto"/>
          <w:sz w:val="28"/>
          <w:szCs w:val="28"/>
        </w:rPr>
        <w:t>规定数量推荐成交候选人；或根据采购人的委托，直接确定成交人。</w:t>
      </w:r>
    </w:p>
    <w:p w14:paraId="08F5F162">
      <w:pPr>
        <w:pStyle w:val="4"/>
        <w:tabs>
          <w:tab w:val="left" w:pos="900"/>
        </w:tabs>
        <w:snapToGrid w:val="0"/>
        <w:spacing w:before="0" w:after="0" w:line="360" w:lineRule="auto"/>
        <w:textAlignment w:val="baseline"/>
        <w:rPr>
          <w:rFonts w:hint="eastAsia" w:ascii="宋体" w:hAnsi="宋体" w:eastAsia="宋体" w:cs="宋体"/>
          <w:color w:val="auto"/>
          <w:sz w:val="28"/>
          <w:szCs w:val="28"/>
          <w:u w:color="000000"/>
        </w:rPr>
      </w:pPr>
      <w:bookmarkStart w:id="429" w:name="_Ref467306874"/>
      <w:bookmarkStart w:id="430" w:name="_Toc520356173"/>
      <w:bookmarkStart w:id="431" w:name="_Toc2091"/>
      <w:bookmarkStart w:id="432" w:name="_Toc27308"/>
      <w:bookmarkStart w:id="433" w:name="_Toc20633"/>
      <w:bookmarkStart w:id="434" w:name="_Toc31900"/>
      <w:bookmarkStart w:id="435" w:name="_Toc27036"/>
      <w:bookmarkStart w:id="436" w:name="_Toc28562"/>
      <w:bookmarkStart w:id="437" w:name="_Toc7729"/>
      <w:bookmarkStart w:id="438" w:name="_Toc12652"/>
      <w:bookmarkStart w:id="439" w:name="_Toc8389"/>
      <w:bookmarkStart w:id="440" w:name="_Toc27133"/>
      <w:bookmarkStart w:id="441" w:name="_Toc515647790"/>
      <w:bookmarkStart w:id="442" w:name="_Toc24602"/>
      <w:bookmarkStart w:id="443" w:name="_Toc249"/>
      <w:r>
        <w:rPr>
          <w:rFonts w:hint="eastAsia" w:ascii="宋体" w:hAnsi="宋体" w:eastAsia="宋体" w:cs="宋体"/>
          <w:color w:val="auto"/>
          <w:sz w:val="28"/>
          <w:szCs w:val="28"/>
          <w:u w:color="000000"/>
        </w:rPr>
        <w:t>28.</w:t>
      </w:r>
      <w:bookmarkEnd w:id="429"/>
      <w:bookmarkEnd w:id="430"/>
      <w:r>
        <w:rPr>
          <w:rFonts w:hint="eastAsia" w:ascii="宋体" w:hAnsi="宋体" w:eastAsia="宋体" w:cs="宋体"/>
          <w:color w:val="auto"/>
          <w:sz w:val="28"/>
          <w:szCs w:val="28"/>
          <w:u w:color="000000"/>
        </w:rPr>
        <w:t>采购任务取消</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7CB59CA5">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因重大变故采购任务取消时，采购人有权拒绝任何供应商成交，且对受影响的供应商不承担任何责任。</w:t>
      </w:r>
      <w:bookmarkStart w:id="444" w:name="_Toc520356174"/>
    </w:p>
    <w:p w14:paraId="6D33E546">
      <w:pPr>
        <w:pStyle w:val="4"/>
        <w:snapToGrid w:val="0"/>
        <w:spacing w:before="0" w:after="0" w:line="360" w:lineRule="auto"/>
        <w:textAlignment w:val="baseline"/>
        <w:rPr>
          <w:rFonts w:hint="eastAsia" w:ascii="宋体" w:hAnsi="宋体" w:eastAsia="宋体" w:cs="宋体"/>
          <w:color w:val="auto"/>
          <w:sz w:val="28"/>
          <w:szCs w:val="28"/>
          <w:u w:color="000000"/>
        </w:rPr>
      </w:pPr>
      <w:bookmarkStart w:id="445" w:name="_Toc7938"/>
      <w:bookmarkStart w:id="446" w:name="_Toc26091"/>
      <w:bookmarkStart w:id="447" w:name="_Toc515647791"/>
      <w:bookmarkStart w:id="448" w:name="_Toc15270"/>
      <w:bookmarkStart w:id="449" w:name="_Toc27516"/>
      <w:bookmarkStart w:id="450" w:name="_Toc6223"/>
      <w:bookmarkStart w:id="451" w:name="_Toc29249"/>
      <w:bookmarkStart w:id="452" w:name="_Toc30170"/>
      <w:bookmarkStart w:id="453" w:name="_Toc11134"/>
      <w:bookmarkStart w:id="454" w:name="_Toc31506"/>
      <w:bookmarkStart w:id="455" w:name="_Toc20620"/>
      <w:bookmarkStart w:id="456" w:name="_Toc2401"/>
      <w:bookmarkStart w:id="457" w:name="_Toc31099"/>
      <w:r>
        <w:rPr>
          <w:rFonts w:hint="eastAsia" w:ascii="宋体" w:hAnsi="宋体" w:eastAsia="宋体" w:cs="宋体"/>
          <w:color w:val="auto"/>
          <w:sz w:val="28"/>
          <w:szCs w:val="28"/>
          <w:u w:color="000000"/>
        </w:rPr>
        <w:t>29.</w:t>
      </w:r>
      <w:bookmarkEnd w:id="444"/>
      <w:r>
        <w:rPr>
          <w:rFonts w:hint="eastAsia" w:ascii="宋体" w:hAnsi="宋体" w:eastAsia="宋体" w:cs="宋体"/>
          <w:color w:val="auto"/>
          <w:sz w:val="28"/>
          <w:szCs w:val="28"/>
          <w:u w:color="000000"/>
        </w:rPr>
        <w:t>成交通知书和</w:t>
      </w:r>
      <w:r>
        <w:rPr>
          <w:rFonts w:hint="eastAsia" w:ascii="宋体" w:hAnsi="宋体" w:eastAsia="宋体" w:cs="宋体"/>
          <w:color w:val="auto"/>
          <w:sz w:val="28"/>
          <w:szCs w:val="28"/>
          <w:u w:color="000000"/>
          <w:lang w:val="en-US" w:eastAsia="zh-CN"/>
        </w:rPr>
        <w:t>成交</w:t>
      </w:r>
      <w:r>
        <w:rPr>
          <w:rFonts w:hint="eastAsia" w:ascii="宋体" w:hAnsi="宋体" w:eastAsia="宋体" w:cs="宋体"/>
          <w:color w:val="auto"/>
          <w:sz w:val="28"/>
          <w:szCs w:val="28"/>
          <w:u w:color="000000"/>
        </w:rPr>
        <w:t>结果通知书</w:t>
      </w:r>
      <w:bookmarkEnd w:id="445"/>
      <w:bookmarkEnd w:id="446"/>
      <w:bookmarkEnd w:id="447"/>
      <w:bookmarkEnd w:id="448"/>
      <w:bookmarkEnd w:id="449"/>
      <w:bookmarkEnd w:id="450"/>
      <w:bookmarkEnd w:id="451"/>
      <w:bookmarkEnd w:id="452"/>
      <w:bookmarkEnd w:id="453"/>
      <w:bookmarkEnd w:id="454"/>
      <w:bookmarkEnd w:id="455"/>
      <w:bookmarkEnd w:id="456"/>
      <w:bookmarkEnd w:id="457"/>
    </w:p>
    <w:p w14:paraId="3D6FC308">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29.1</w:t>
      </w:r>
      <w:r>
        <w:rPr>
          <w:rFonts w:hint="eastAsia" w:ascii="宋体" w:hAnsi="宋体" w:eastAsia="宋体" w:cs="宋体"/>
          <w:color w:val="auto"/>
          <w:sz w:val="28"/>
          <w:szCs w:val="28"/>
        </w:rPr>
        <w:tab/>
      </w:r>
      <w:r>
        <w:rPr>
          <w:rFonts w:hint="eastAsia" w:ascii="宋体" w:hAnsi="宋体" w:eastAsia="宋体" w:cs="宋体"/>
          <w:color w:val="auto"/>
          <w:sz w:val="28"/>
          <w:szCs w:val="28"/>
        </w:rPr>
        <w:t>在磋商有效期内，成交人确定后，采购人或者采购代理机构发布成交公告，同时以书面形式向成交人发出成交通知书。</w:t>
      </w:r>
    </w:p>
    <w:p w14:paraId="28E02870">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29.2</w:t>
      </w:r>
      <w:r>
        <w:rPr>
          <w:rFonts w:hint="eastAsia" w:ascii="宋体" w:hAnsi="宋体" w:eastAsia="宋体" w:cs="宋体"/>
          <w:color w:val="auto"/>
          <w:sz w:val="28"/>
          <w:szCs w:val="28"/>
        </w:rPr>
        <w:tab/>
      </w:r>
      <w:r>
        <w:rPr>
          <w:rFonts w:hint="eastAsia" w:ascii="宋体" w:hAnsi="宋体" w:eastAsia="宋体" w:cs="宋体"/>
          <w:color w:val="auto"/>
          <w:sz w:val="28"/>
          <w:szCs w:val="28"/>
        </w:rPr>
        <w:t>成交通知书是合同的组成部分。</w:t>
      </w:r>
    </w:p>
    <w:p w14:paraId="05D03AF1">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29.3    </w:t>
      </w:r>
      <w:r>
        <w:rPr>
          <w:rFonts w:hint="eastAsia" w:ascii="宋体" w:hAnsi="宋体" w:eastAsia="宋体" w:cs="宋体"/>
          <w:color w:val="auto"/>
          <w:sz w:val="28"/>
          <w:szCs w:val="28"/>
          <w:lang w:val="en-US" w:eastAsia="zh-CN"/>
        </w:rPr>
        <w:t>成交</w:t>
      </w:r>
      <w:r>
        <w:rPr>
          <w:rFonts w:hint="eastAsia" w:ascii="宋体" w:hAnsi="宋体" w:eastAsia="宋体" w:cs="宋体"/>
          <w:color w:val="auto"/>
          <w:sz w:val="28"/>
          <w:szCs w:val="28"/>
        </w:rPr>
        <w:t>结果通知书和成交通知书同时发出。</w:t>
      </w:r>
      <w:r>
        <w:rPr>
          <w:rFonts w:hint="eastAsia" w:ascii="宋体" w:hAnsi="宋体" w:eastAsia="宋体" w:cs="宋体"/>
          <w:color w:val="auto"/>
          <w:sz w:val="28"/>
          <w:szCs w:val="28"/>
          <w:lang w:val="en-US" w:eastAsia="zh-CN"/>
        </w:rPr>
        <w:t>成交</w:t>
      </w:r>
      <w:r>
        <w:rPr>
          <w:rFonts w:hint="eastAsia" w:ascii="宋体" w:hAnsi="宋体" w:eastAsia="宋体" w:cs="宋体"/>
          <w:color w:val="auto"/>
          <w:sz w:val="28"/>
          <w:szCs w:val="28"/>
        </w:rPr>
        <w:t>结果通知书中将告知未通过资格审查的供应商未通过的原因；采用综合评分法评审的，还将告知未成交人本人的评审得分和排序。</w:t>
      </w:r>
    </w:p>
    <w:p w14:paraId="79D90D47">
      <w:pPr>
        <w:pStyle w:val="4"/>
        <w:snapToGrid w:val="0"/>
        <w:spacing w:before="0" w:after="0" w:line="360" w:lineRule="auto"/>
        <w:textAlignment w:val="baseline"/>
        <w:rPr>
          <w:rFonts w:hint="eastAsia" w:ascii="宋体" w:hAnsi="宋体" w:eastAsia="宋体" w:cs="宋体"/>
          <w:color w:val="auto"/>
          <w:sz w:val="28"/>
          <w:szCs w:val="28"/>
        </w:rPr>
      </w:pPr>
      <w:bookmarkStart w:id="458" w:name="_Toc13301"/>
      <w:bookmarkStart w:id="459" w:name="_Toc790"/>
      <w:bookmarkStart w:id="460" w:name="_Toc19431"/>
      <w:bookmarkStart w:id="461" w:name="_Toc20587"/>
      <w:bookmarkStart w:id="462" w:name="_Toc1076"/>
      <w:bookmarkStart w:id="463" w:name="_Toc7779"/>
      <w:bookmarkStart w:id="464" w:name="_Toc29762"/>
      <w:bookmarkStart w:id="465" w:name="_Toc8912"/>
      <w:bookmarkStart w:id="466" w:name="_Ref467307204"/>
      <w:bookmarkStart w:id="467" w:name="_Toc15063"/>
      <w:bookmarkStart w:id="468" w:name="_Ref467307062"/>
      <w:bookmarkStart w:id="469" w:name="_Toc520356175"/>
      <w:bookmarkStart w:id="470" w:name="_Ref467306377"/>
      <w:bookmarkStart w:id="471" w:name="_Ref467306978"/>
      <w:bookmarkStart w:id="472" w:name="_Toc22868"/>
      <w:bookmarkStart w:id="473" w:name="_Toc307"/>
      <w:bookmarkStart w:id="474" w:name="_Toc11296"/>
      <w:bookmarkStart w:id="475" w:name="_Toc515647792"/>
      <w:r>
        <w:rPr>
          <w:rFonts w:hint="eastAsia" w:ascii="宋体" w:hAnsi="宋体" w:eastAsia="宋体" w:cs="宋体"/>
          <w:color w:val="auto"/>
          <w:sz w:val="28"/>
          <w:szCs w:val="28"/>
        </w:rPr>
        <w:t>30.签订合同</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68A931F3">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30.1</w:t>
      </w:r>
      <w:r>
        <w:rPr>
          <w:rFonts w:hint="eastAsia" w:ascii="宋体" w:hAnsi="宋体" w:eastAsia="宋体" w:cs="宋体"/>
          <w:color w:val="auto"/>
          <w:sz w:val="28"/>
          <w:szCs w:val="28"/>
        </w:rPr>
        <w:tab/>
      </w:r>
      <w:r>
        <w:rPr>
          <w:rFonts w:hint="eastAsia" w:ascii="宋体" w:hAnsi="宋体" w:eastAsia="宋体" w:cs="宋体"/>
          <w:color w:val="auto"/>
          <w:sz w:val="28"/>
          <w:szCs w:val="28"/>
        </w:rPr>
        <w:t>成交人应当自发出成交通知书之日起30日内，与采购人签订合同。</w:t>
      </w:r>
    </w:p>
    <w:p w14:paraId="3CDC6832">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30.2</w:t>
      </w:r>
      <w:r>
        <w:rPr>
          <w:rFonts w:hint="eastAsia" w:ascii="宋体" w:hAnsi="宋体" w:eastAsia="宋体" w:cs="宋体"/>
          <w:color w:val="auto"/>
          <w:sz w:val="28"/>
          <w:szCs w:val="28"/>
        </w:rPr>
        <w:tab/>
      </w:r>
      <w:bookmarkStart w:id="476" w:name="_Ref467306425"/>
      <w:bookmarkStart w:id="477" w:name="_Toc520356176"/>
      <w:bookmarkStart w:id="478" w:name="_Ref467307090"/>
      <w:r>
        <w:rPr>
          <w:rFonts w:hint="eastAsia" w:ascii="宋体" w:hAnsi="宋体" w:eastAsia="宋体" w:cs="宋体"/>
          <w:color w:val="auto"/>
          <w:sz w:val="28"/>
          <w:szCs w:val="28"/>
        </w:rPr>
        <w:t>磋商文件、成交人的响应文件及其澄清文件等，均为签订合同的依据。</w:t>
      </w:r>
    </w:p>
    <w:p w14:paraId="329219F0">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30.3   成交人拒绝与采购人签订合同的，采购人可以按照评审报告推荐的成交候选人名单排序，确定下一成交候选人为成交人，也可以重新开展政府采购活动。</w:t>
      </w:r>
    </w:p>
    <w:p w14:paraId="6492C87E">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30.4   当出现法规规定的成交无效或成交结果无效情形时，采购人可与排名下一位的成交候选人另行签订合同，或依法重新开展采购活动。</w:t>
      </w:r>
    </w:p>
    <w:p w14:paraId="26859103">
      <w:pPr>
        <w:pStyle w:val="4"/>
        <w:snapToGrid w:val="0"/>
        <w:spacing w:before="0" w:after="0" w:line="360" w:lineRule="auto"/>
        <w:textAlignment w:val="baseline"/>
        <w:rPr>
          <w:rFonts w:hint="eastAsia" w:ascii="宋体" w:hAnsi="宋体" w:eastAsia="宋体" w:cs="宋体"/>
          <w:color w:val="auto"/>
          <w:sz w:val="28"/>
          <w:szCs w:val="28"/>
        </w:rPr>
      </w:pPr>
      <w:bookmarkStart w:id="479" w:name="_Toc15573"/>
      <w:bookmarkStart w:id="480" w:name="_Toc26893"/>
      <w:bookmarkStart w:id="481" w:name="_Toc515647793"/>
      <w:bookmarkStart w:id="482" w:name="_Toc22555"/>
      <w:bookmarkStart w:id="483" w:name="_Toc14080"/>
      <w:bookmarkStart w:id="484" w:name="_Toc24808"/>
      <w:bookmarkStart w:id="485" w:name="_Toc10911"/>
      <w:bookmarkStart w:id="486" w:name="_Toc5437"/>
      <w:bookmarkStart w:id="487" w:name="_Toc22126"/>
      <w:bookmarkStart w:id="488" w:name="_Toc6921"/>
      <w:bookmarkStart w:id="489" w:name="_Toc13164"/>
      <w:bookmarkStart w:id="490" w:name="_Toc32532"/>
      <w:bookmarkStart w:id="491" w:name="_Toc14839"/>
      <w:r>
        <w:rPr>
          <w:rFonts w:hint="eastAsia" w:ascii="宋体" w:hAnsi="宋体" w:eastAsia="宋体" w:cs="宋体"/>
          <w:color w:val="auto"/>
          <w:sz w:val="28"/>
          <w:szCs w:val="28"/>
        </w:rPr>
        <w:t>31.履约保证金</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2AD27088">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31.1</w:t>
      </w:r>
      <w:r>
        <w:rPr>
          <w:rFonts w:hint="eastAsia" w:ascii="宋体" w:hAnsi="宋体" w:eastAsia="宋体" w:cs="宋体"/>
          <w:color w:val="auto"/>
          <w:sz w:val="28"/>
          <w:szCs w:val="28"/>
        </w:rPr>
        <w:tab/>
      </w:r>
      <w:r>
        <w:rPr>
          <w:rFonts w:hint="eastAsia" w:ascii="宋体" w:hAnsi="宋体" w:eastAsia="宋体" w:cs="宋体"/>
          <w:color w:val="auto"/>
          <w:sz w:val="28"/>
          <w:szCs w:val="28"/>
        </w:rPr>
        <w:t>成交人应按照供应商须知资料表规定向采购人缴纳履约保证金（如采用保函形式，格式见本章附件1）。</w:t>
      </w:r>
    </w:p>
    <w:p w14:paraId="62F3D341">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31.2</w:t>
      </w:r>
      <w:r>
        <w:rPr>
          <w:rFonts w:hint="eastAsia" w:ascii="宋体" w:hAnsi="宋体" w:eastAsia="宋体" w:cs="宋体"/>
          <w:color w:val="auto"/>
          <w:sz w:val="28"/>
          <w:szCs w:val="28"/>
        </w:rPr>
        <w:tab/>
      </w:r>
      <w:r>
        <w:rPr>
          <w:rFonts w:hint="eastAsia" w:ascii="宋体" w:hAnsi="宋体" w:eastAsia="宋体" w:cs="宋体"/>
          <w:color w:val="auto"/>
          <w:sz w:val="28"/>
          <w:szCs w:val="28"/>
        </w:rPr>
        <w:t>政府采购利用担保试点范围内的项目，除31.1规定的情形外，成交人也可以按照财政部门的规定，向采购人提供合格的履约担保函（格式见本章附件2）。</w:t>
      </w:r>
    </w:p>
    <w:p w14:paraId="3E0F619A">
      <w:pPr>
        <w:snapToGrid w:val="0"/>
        <w:spacing w:line="360" w:lineRule="auto"/>
        <w:ind w:left="960" w:hanging="1120" w:hangingChars="400"/>
        <w:jc w:val="left"/>
        <w:textAlignment w:val="baseline"/>
        <w:rPr>
          <w:rFonts w:hint="eastAsia" w:ascii="宋体" w:hAnsi="宋体" w:eastAsia="宋体" w:cs="宋体"/>
          <w:bCs/>
          <w:color w:val="auto"/>
          <w:sz w:val="28"/>
          <w:szCs w:val="28"/>
          <w:u w:val="single" w:color="000000"/>
        </w:rPr>
      </w:pPr>
      <w:bookmarkStart w:id="492" w:name="_Toc13783"/>
      <w:bookmarkStart w:id="493" w:name="_Toc7088"/>
      <w:bookmarkStart w:id="494" w:name="_Toc32107"/>
      <w:bookmarkStart w:id="495" w:name="_Toc14350"/>
      <w:bookmarkStart w:id="496" w:name="_Toc1888"/>
      <w:bookmarkStart w:id="497" w:name="_Toc5352"/>
      <w:bookmarkStart w:id="498" w:name="_Toc864"/>
      <w:r>
        <w:rPr>
          <w:rFonts w:hint="eastAsia" w:ascii="宋体" w:hAnsi="宋体" w:eastAsia="宋体" w:cs="宋体"/>
          <w:color w:val="auto"/>
          <w:sz w:val="28"/>
          <w:szCs w:val="28"/>
        </w:rPr>
        <w:t>31.3   如果成交人没有按照上述履约保证金的规定执行，将视为放弃成交资格，成交人的磋商保证金将不予退还。在此情况下，采购人可确定下一候选</w:t>
      </w:r>
      <w:r>
        <w:rPr>
          <w:rFonts w:hint="eastAsia" w:ascii="宋体" w:hAnsi="宋体" w:eastAsia="宋体" w:cs="宋体"/>
          <w:bCs/>
          <w:color w:val="auto"/>
          <w:sz w:val="28"/>
          <w:szCs w:val="28"/>
        </w:rPr>
        <w:t>人为成交人，也可以重新开展采购活动。</w:t>
      </w:r>
      <w:bookmarkEnd w:id="492"/>
      <w:bookmarkEnd w:id="493"/>
      <w:bookmarkEnd w:id="494"/>
      <w:bookmarkEnd w:id="495"/>
      <w:bookmarkEnd w:id="496"/>
      <w:bookmarkEnd w:id="497"/>
      <w:bookmarkEnd w:id="498"/>
    </w:p>
    <w:p w14:paraId="622B1E87">
      <w:pPr>
        <w:pStyle w:val="4"/>
        <w:snapToGrid w:val="0"/>
        <w:spacing w:before="0" w:after="0" w:line="360" w:lineRule="auto"/>
        <w:textAlignment w:val="baseline"/>
        <w:rPr>
          <w:rFonts w:hint="eastAsia" w:ascii="宋体" w:hAnsi="宋体" w:eastAsia="宋体" w:cs="宋体"/>
          <w:color w:val="auto"/>
          <w:sz w:val="28"/>
          <w:szCs w:val="28"/>
        </w:rPr>
      </w:pPr>
      <w:bookmarkStart w:id="499" w:name="_Toc27934"/>
      <w:bookmarkStart w:id="500" w:name="_Toc10734"/>
      <w:bookmarkStart w:id="501" w:name="_Toc12971"/>
      <w:bookmarkStart w:id="502" w:name="_Toc29652"/>
      <w:bookmarkStart w:id="503" w:name="_Toc26452"/>
      <w:bookmarkStart w:id="504" w:name="_Toc11939"/>
      <w:bookmarkStart w:id="505" w:name="_Toc515647794"/>
      <w:bookmarkStart w:id="506" w:name="_Toc16384"/>
      <w:bookmarkStart w:id="507" w:name="_Toc29408"/>
      <w:bookmarkStart w:id="508" w:name="_Toc8658"/>
      <w:bookmarkStart w:id="509" w:name="_Toc23392"/>
      <w:bookmarkStart w:id="510" w:name="_Toc31215"/>
      <w:bookmarkStart w:id="511" w:name="_Toc3090"/>
      <w:r>
        <w:rPr>
          <w:rFonts w:hint="eastAsia" w:ascii="宋体" w:hAnsi="宋体" w:eastAsia="宋体" w:cs="宋体"/>
          <w:color w:val="auto"/>
          <w:sz w:val="28"/>
          <w:szCs w:val="28"/>
        </w:rPr>
        <w:t>32.成交服务费</w:t>
      </w:r>
      <w:bookmarkEnd w:id="499"/>
      <w:bookmarkEnd w:id="500"/>
      <w:bookmarkEnd w:id="501"/>
      <w:bookmarkEnd w:id="502"/>
      <w:bookmarkEnd w:id="503"/>
      <w:bookmarkEnd w:id="504"/>
      <w:bookmarkEnd w:id="505"/>
      <w:bookmarkEnd w:id="506"/>
      <w:bookmarkEnd w:id="507"/>
      <w:bookmarkEnd w:id="508"/>
      <w:bookmarkEnd w:id="509"/>
      <w:bookmarkEnd w:id="510"/>
      <w:bookmarkEnd w:id="511"/>
    </w:p>
    <w:p w14:paraId="065D106D">
      <w:pPr>
        <w:snapToGrid w:val="0"/>
        <w:spacing w:line="360" w:lineRule="auto"/>
        <w:jc w:val="left"/>
        <w:textAlignment w:val="baseline"/>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   </w:t>
      </w:r>
      <w:bookmarkStart w:id="512" w:name="_Toc6649"/>
      <w:bookmarkStart w:id="513" w:name="_Toc31147"/>
      <w:bookmarkStart w:id="514" w:name="_Toc30285"/>
      <w:bookmarkStart w:id="515" w:name="_Toc2958"/>
      <w:bookmarkStart w:id="516" w:name="_Toc23886"/>
      <w:bookmarkStart w:id="517" w:name="_Toc30095"/>
      <w:bookmarkStart w:id="518" w:name="_Toc3808"/>
      <w:r>
        <w:rPr>
          <w:rFonts w:hint="eastAsia" w:ascii="宋体" w:hAnsi="宋体" w:eastAsia="宋体" w:cs="宋体"/>
          <w:bCs/>
          <w:color w:val="auto"/>
          <w:sz w:val="28"/>
          <w:szCs w:val="28"/>
        </w:rPr>
        <w:t xml:space="preserve">   成交人须按照磋商须知资料表规定，向采购代理机构支付成交服务费。</w:t>
      </w:r>
      <w:bookmarkEnd w:id="512"/>
      <w:bookmarkEnd w:id="513"/>
      <w:bookmarkEnd w:id="514"/>
      <w:bookmarkEnd w:id="515"/>
      <w:bookmarkEnd w:id="516"/>
      <w:bookmarkEnd w:id="517"/>
      <w:bookmarkEnd w:id="518"/>
    </w:p>
    <w:p w14:paraId="135F97E8">
      <w:pPr>
        <w:pStyle w:val="4"/>
        <w:snapToGrid w:val="0"/>
        <w:spacing w:before="0" w:after="0" w:line="360" w:lineRule="auto"/>
        <w:textAlignment w:val="baseline"/>
        <w:rPr>
          <w:rFonts w:hint="eastAsia" w:ascii="宋体" w:hAnsi="宋体" w:eastAsia="宋体" w:cs="宋体"/>
          <w:color w:val="auto"/>
          <w:sz w:val="28"/>
          <w:szCs w:val="28"/>
        </w:rPr>
      </w:pPr>
      <w:bookmarkStart w:id="519" w:name="_Toc7049"/>
      <w:bookmarkStart w:id="520" w:name="_Toc24064"/>
      <w:bookmarkStart w:id="521" w:name="_Toc3754"/>
      <w:bookmarkStart w:id="522" w:name="_Toc6923"/>
      <w:bookmarkStart w:id="523" w:name="_Toc32437"/>
      <w:bookmarkStart w:id="524" w:name="_Toc15699"/>
      <w:bookmarkStart w:id="525" w:name="_Toc515647795"/>
      <w:bookmarkStart w:id="526" w:name="_Toc28128"/>
      <w:bookmarkStart w:id="527" w:name="_Toc5403"/>
      <w:bookmarkStart w:id="528" w:name="_Toc26134"/>
      <w:bookmarkStart w:id="529" w:name="_Toc1343"/>
      <w:bookmarkStart w:id="530" w:name="_Toc31549"/>
      <w:bookmarkStart w:id="531" w:name="_Toc18898"/>
      <w:r>
        <w:rPr>
          <w:rFonts w:hint="eastAsia" w:ascii="宋体" w:hAnsi="宋体" w:eastAsia="宋体" w:cs="宋体"/>
          <w:color w:val="auto"/>
          <w:sz w:val="28"/>
          <w:szCs w:val="28"/>
        </w:rPr>
        <w:t>33.政府采购信用担保</w:t>
      </w:r>
      <w:bookmarkEnd w:id="519"/>
      <w:bookmarkEnd w:id="520"/>
      <w:bookmarkEnd w:id="521"/>
      <w:bookmarkEnd w:id="522"/>
      <w:bookmarkEnd w:id="523"/>
      <w:bookmarkEnd w:id="524"/>
      <w:bookmarkEnd w:id="525"/>
      <w:bookmarkEnd w:id="526"/>
      <w:bookmarkEnd w:id="527"/>
      <w:bookmarkEnd w:id="528"/>
      <w:bookmarkEnd w:id="529"/>
      <w:bookmarkEnd w:id="530"/>
      <w:bookmarkEnd w:id="531"/>
    </w:p>
    <w:p w14:paraId="5C9C7575">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33.1   本项目是否属于信用担保试点范围见供应商须知资料表。</w:t>
      </w:r>
    </w:p>
    <w:p w14:paraId="26362391">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33.2   如属于政府采购信用担保试点范围内，中小型企业供应商可以自由按照财政部门的规定，采用磋商担保、履约担保和融资担保。</w:t>
      </w:r>
    </w:p>
    <w:p w14:paraId="0C1DA0DC">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33.2.1 供应商递交的磋商担保函和履约担保函应符合本磋商文件的规定。</w:t>
      </w:r>
    </w:p>
    <w:p w14:paraId="3617B582">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33.2.2 成交人可以采取融资担保的形式为政府采购项目履约进行融资。</w:t>
      </w:r>
    </w:p>
    <w:p w14:paraId="3C5C3701">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33.2.3 合格的政府采购专业信用担保机构名单见供应商须知资料表。</w:t>
      </w:r>
    </w:p>
    <w:p w14:paraId="116ACF2B">
      <w:pPr>
        <w:pStyle w:val="4"/>
        <w:snapToGrid w:val="0"/>
        <w:spacing w:before="0" w:after="0" w:line="360" w:lineRule="auto"/>
        <w:textAlignment w:val="baseline"/>
        <w:rPr>
          <w:rFonts w:hint="eastAsia" w:ascii="宋体" w:hAnsi="宋体" w:eastAsia="宋体" w:cs="宋体"/>
          <w:color w:val="auto"/>
          <w:sz w:val="28"/>
          <w:szCs w:val="28"/>
          <w:u w:color="000000"/>
        </w:rPr>
      </w:pPr>
      <w:bookmarkStart w:id="532" w:name="_Toc16394"/>
      <w:bookmarkStart w:id="533" w:name="_Toc9673"/>
      <w:bookmarkStart w:id="534" w:name="_Toc28874"/>
      <w:bookmarkStart w:id="535" w:name="_Toc15842"/>
      <w:bookmarkStart w:id="536" w:name="_Toc26887"/>
      <w:bookmarkStart w:id="537" w:name="_Toc9559"/>
      <w:bookmarkStart w:id="538" w:name="_Toc25781"/>
      <w:bookmarkStart w:id="539" w:name="_Toc7616"/>
      <w:bookmarkStart w:id="540" w:name="_Toc23999"/>
      <w:bookmarkStart w:id="541" w:name="_Toc24726"/>
      <w:bookmarkStart w:id="542" w:name="_Toc27619"/>
      <w:bookmarkStart w:id="543" w:name="_Toc2133"/>
      <w:bookmarkStart w:id="544" w:name="_Toc515647796"/>
      <w:r>
        <w:rPr>
          <w:rFonts w:hint="eastAsia" w:ascii="宋体" w:hAnsi="宋体" w:eastAsia="宋体" w:cs="宋体"/>
          <w:color w:val="auto"/>
          <w:sz w:val="28"/>
          <w:szCs w:val="28"/>
          <w:u w:color="000000"/>
        </w:rPr>
        <w:t>34.廉洁自律规定</w:t>
      </w:r>
      <w:bookmarkEnd w:id="532"/>
      <w:bookmarkEnd w:id="533"/>
      <w:bookmarkEnd w:id="534"/>
      <w:bookmarkEnd w:id="535"/>
      <w:bookmarkEnd w:id="536"/>
      <w:bookmarkEnd w:id="537"/>
      <w:bookmarkEnd w:id="538"/>
      <w:bookmarkEnd w:id="539"/>
      <w:bookmarkEnd w:id="540"/>
      <w:bookmarkEnd w:id="541"/>
      <w:bookmarkEnd w:id="542"/>
      <w:bookmarkEnd w:id="543"/>
      <w:bookmarkEnd w:id="544"/>
    </w:p>
    <w:p w14:paraId="6BF0C276">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34.1   采购代理机构工作人员不得以不正当手段获取政府采购代理业务，不得与采购人、供应商恶意串通操纵政府采购活动。</w:t>
      </w:r>
    </w:p>
    <w:p w14:paraId="2B9554CD">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34.2   采购代理机构工作人员不得接受采购人或者供应商组织的宴请、旅游、娱乐，不得收受礼品、现金、有价证券等，不得向采购人或者供应商报销应当由个人承担的费用。</w:t>
      </w:r>
    </w:p>
    <w:p w14:paraId="601AF436">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34.3   为强化采购代理机构内部监督机制，供应商可按</w:t>
      </w:r>
      <w:r>
        <w:rPr>
          <w:rFonts w:hint="eastAsia" w:ascii="宋体" w:hAnsi="宋体" w:eastAsia="宋体" w:cs="宋体"/>
          <w:color w:val="auto"/>
          <w:sz w:val="28"/>
          <w:szCs w:val="28"/>
          <w:u w:val="single" w:color="000000"/>
        </w:rPr>
        <w:t>供应商须知资料表中的</w:t>
      </w:r>
      <w:r>
        <w:rPr>
          <w:rFonts w:hint="eastAsia" w:ascii="宋体" w:hAnsi="宋体" w:eastAsia="宋体" w:cs="宋体"/>
          <w:color w:val="auto"/>
          <w:sz w:val="28"/>
          <w:szCs w:val="28"/>
        </w:rPr>
        <w:t>监督电话和邮箱，反映采购代理机构的廉洁自律等问题。</w:t>
      </w:r>
    </w:p>
    <w:p w14:paraId="06DD2692">
      <w:pPr>
        <w:pStyle w:val="4"/>
        <w:snapToGrid w:val="0"/>
        <w:spacing w:before="0" w:after="0" w:line="360" w:lineRule="auto"/>
        <w:textAlignment w:val="baseline"/>
        <w:rPr>
          <w:rFonts w:hint="eastAsia" w:ascii="宋体" w:hAnsi="宋体" w:eastAsia="宋体" w:cs="宋体"/>
          <w:color w:val="auto"/>
          <w:sz w:val="28"/>
          <w:szCs w:val="28"/>
          <w:u w:color="000000"/>
        </w:rPr>
      </w:pPr>
      <w:bookmarkStart w:id="545" w:name="_Toc11586"/>
      <w:bookmarkStart w:id="546" w:name="_Toc25440"/>
      <w:bookmarkStart w:id="547" w:name="_Toc24873"/>
      <w:bookmarkStart w:id="548" w:name="_Toc8702"/>
      <w:bookmarkStart w:id="549" w:name="_Toc17910"/>
      <w:bookmarkStart w:id="550" w:name="_Toc32457"/>
      <w:bookmarkStart w:id="551" w:name="_Toc515647797"/>
      <w:bookmarkStart w:id="552" w:name="_Toc1011"/>
      <w:bookmarkStart w:id="553" w:name="_Toc15647"/>
      <w:bookmarkStart w:id="554" w:name="_Toc3386"/>
      <w:bookmarkStart w:id="555" w:name="_Toc25480"/>
      <w:bookmarkStart w:id="556" w:name="_Toc20804"/>
      <w:bookmarkStart w:id="557" w:name="_Toc22851"/>
      <w:r>
        <w:rPr>
          <w:rFonts w:hint="eastAsia" w:ascii="宋体" w:hAnsi="宋体" w:eastAsia="宋体" w:cs="宋体"/>
          <w:color w:val="auto"/>
          <w:sz w:val="28"/>
          <w:szCs w:val="28"/>
          <w:u w:color="000000"/>
        </w:rPr>
        <w:t>35.人员回避</w:t>
      </w:r>
      <w:bookmarkEnd w:id="545"/>
      <w:bookmarkEnd w:id="546"/>
      <w:bookmarkEnd w:id="547"/>
      <w:bookmarkEnd w:id="548"/>
      <w:bookmarkEnd w:id="549"/>
      <w:bookmarkEnd w:id="550"/>
      <w:bookmarkEnd w:id="551"/>
      <w:bookmarkEnd w:id="552"/>
      <w:bookmarkEnd w:id="553"/>
      <w:bookmarkEnd w:id="554"/>
      <w:bookmarkEnd w:id="555"/>
      <w:bookmarkEnd w:id="556"/>
      <w:bookmarkEnd w:id="557"/>
    </w:p>
    <w:p w14:paraId="501ED9C4">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供应商认为采购人员及其相关人员有法律法规所列与其他供应商有利害关系的，可以向采购人或采购代理机构书面提出回避申请，并说明理由。</w:t>
      </w:r>
    </w:p>
    <w:p w14:paraId="70D6E4A1">
      <w:pPr>
        <w:pStyle w:val="4"/>
        <w:snapToGrid w:val="0"/>
        <w:spacing w:before="0" w:after="0" w:line="360" w:lineRule="auto"/>
        <w:textAlignment w:val="baseline"/>
        <w:rPr>
          <w:rFonts w:hint="eastAsia" w:ascii="宋体" w:hAnsi="宋体" w:eastAsia="宋体" w:cs="宋体"/>
          <w:color w:val="auto"/>
          <w:sz w:val="28"/>
          <w:szCs w:val="28"/>
          <w:u w:color="000000"/>
        </w:rPr>
      </w:pPr>
      <w:bookmarkStart w:id="558" w:name="_Toc30280"/>
      <w:bookmarkStart w:id="559" w:name="_Toc31508"/>
      <w:bookmarkStart w:id="560" w:name="_Toc17952"/>
      <w:bookmarkStart w:id="561" w:name="_Toc25962"/>
      <w:bookmarkStart w:id="562" w:name="_Toc9031"/>
      <w:bookmarkStart w:id="563" w:name="_Toc515647798"/>
      <w:bookmarkStart w:id="564" w:name="_Toc24595"/>
      <w:bookmarkStart w:id="565" w:name="_Toc24801"/>
      <w:bookmarkStart w:id="566" w:name="_Toc1148"/>
      <w:bookmarkStart w:id="567" w:name="_Toc11115"/>
      <w:bookmarkStart w:id="568" w:name="_Toc23729"/>
      <w:bookmarkStart w:id="569" w:name="_Toc15825"/>
      <w:bookmarkStart w:id="570" w:name="_Toc14325"/>
      <w:r>
        <w:rPr>
          <w:rFonts w:hint="eastAsia" w:ascii="宋体" w:hAnsi="宋体" w:eastAsia="宋体" w:cs="宋体"/>
          <w:color w:val="auto"/>
          <w:sz w:val="28"/>
          <w:szCs w:val="28"/>
          <w:u w:color="000000"/>
        </w:rPr>
        <w:t>36.质疑与接收</w:t>
      </w:r>
      <w:bookmarkEnd w:id="558"/>
      <w:bookmarkEnd w:id="559"/>
      <w:bookmarkEnd w:id="560"/>
      <w:bookmarkEnd w:id="561"/>
      <w:bookmarkEnd w:id="562"/>
      <w:bookmarkEnd w:id="563"/>
      <w:bookmarkEnd w:id="564"/>
      <w:bookmarkEnd w:id="565"/>
      <w:bookmarkEnd w:id="566"/>
      <w:bookmarkEnd w:id="567"/>
      <w:bookmarkEnd w:id="568"/>
      <w:bookmarkEnd w:id="569"/>
      <w:bookmarkEnd w:id="570"/>
    </w:p>
    <w:p w14:paraId="21618DA3">
      <w:pPr>
        <w:snapToGrid w:val="0"/>
        <w:spacing w:line="360" w:lineRule="auto"/>
        <w:ind w:left="708" w:hanging="826" w:hangingChars="29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36.1  供应商认为磋商文件、招标过程和成交结果使自己的权益受到损害的，可以根据《中华人民共和国政府采购法》、《中华人民共和国政府采购法实施条例》、《政府采购竞争性磋商采购方式管理暂行办法》和《政府采购质疑和投诉办法》的有关规定，依法向采购人或其委托的采购代理机构提出质疑。</w:t>
      </w:r>
    </w:p>
    <w:p w14:paraId="1A0A451D">
      <w:pPr>
        <w:snapToGrid w:val="0"/>
        <w:spacing w:line="360" w:lineRule="auto"/>
        <w:ind w:left="708" w:hanging="826" w:hangingChars="29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5D3614C6">
      <w:pPr>
        <w:snapToGrid w:val="0"/>
        <w:spacing w:line="360" w:lineRule="auto"/>
        <w:ind w:left="718" w:leftChars="342"/>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超出法定质疑期的、重复提出的、分次提出的或内容、形式不符合《政府采购质疑和投诉办法》的，质疑供应商将依法承担不利后果。</w:t>
      </w:r>
    </w:p>
    <w:p w14:paraId="776DD1EE">
      <w:pPr>
        <w:snapToGrid w:val="0"/>
        <w:spacing w:line="360" w:lineRule="auto"/>
        <w:ind w:left="708" w:hanging="826" w:hangingChars="29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36.3  采购代理机构质疑函接收部门、联系电话和通讯地址, 见</w:t>
      </w:r>
      <w:r>
        <w:rPr>
          <w:rFonts w:hint="eastAsia" w:ascii="宋体" w:hAnsi="宋体" w:eastAsia="宋体" w:cs="宋体"/>
          <w:color w:val="auto"/>
          <w:sz w:val="28"/>
          <w:szCs w:val="28"/>
          <w:u w:val="single" w:color="000000"/>
        </w:rPr>
        <w:t>供应商须知资料表。</w:t>
      </w:r>
    </w:p>
    <w:p w14:paraId="7A28D63F">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35.4   质疑的提出</w:t>
      </w:r>
    </w:p>
    <w:p w14:paraId="17826DB1">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35.5   本</w:t>
      </w:r>
      <w:r>
        <w:rPr>
          <w:rFonts w:hint="eastAsia" w:ascii="宋体" w:hAnsi="宋体" w:eastAsia="宋体" w:cs="宋体"/>
          <w:color w:val="auto"/>
          <w:sz w:val="28"/>
          <w:szCs w:val="28"/>
          <w:lang w:eastAsia="zh-CN"/>
        </w:rPr>
        <w:t>磋商文件</w:t>
      </w:r>
      <w:r>
        <w:rPr>
          <w:rFonts w:hint="eastAsia" w:ascii="宋体" w:hAnsi="宋体" w:eastAsia="宋体" w:cs="宋体"/>
          <w:color w:val="auto"/>
          <w:sz w:val="28"/>
          <w:szCs w:val="28"/>
        </w:rPr>
        <w:t>中所称质疑及答复，是指参加本次采购活动的供应商对政府采购活动中的</w:t>
      </w:r>
      <w:r>
        <w:rPr>
          <w:rFonts w:hint="eastAsia" w:ascii="宋体" w:hAnsi="宋体" w:eastAsia="宋体" w:cs="宋体"/>
          <w:color w:val="auto"/>
          <w:sz w:val="28"/>
          <w:szCs w:val="28"/>
          <w:lang w:eastAsia="zh-CN"/>
        </w:rPr>
        <w:t>磋商文件</w:t>
      </w:r>
      <w:r>
        <w:rPr>
          <w:rFonts w:hint="eastAsia" w:ascii="宋体" w:hAnsi="宋体" w:eastAsia="宋体" w:cs="宋体"/>
          <w:color w:val="auto"/>
          <w:sz w:val="28"/>
          <w:szCs w:val="28"/>
        </w:rPr>
        <w:t>、采购过程和成交结果向采购方提出质疑，采购方答复质疑的行为。</w:t>
      </w:r>
    </w:p>
    <w:p w14:paraId="530DDEE6">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35.6   供应商认为</w:t>
      </w:r>
      <w:r>
        <w:rPr>
          <w:rFonts w:hint="eastAsia" w:ascii="宋体" w:hAnsi="宋体" w:eastAsia="宋体" w:cs="宋体"/>
          <w:color w:val="auto"/>
          <w:sz w:val="28"/>
          <w:szCs w:val="28"/>
          <w:lang w:eastAsia="zh-CN"/>
        </w:rPr>
        <w:t>磋商文件</w:t>
      </w:r>
      <w:r>
        <w:rPr>
          <w:rFonts w:hint="eastAsia" w:ascii="宋体" w:hAnsi="宋体" w:eastAsia="宋体" w:cs="宋体"/>
          <w:color w:val="auto"/>
          <w:sz w:val="28"/>
          <w:szCs w:val="28"/>
        </w:rPr>
        <w:t>、采购过程和成交结果使自己的权益受到损害的，可以在知道或者应知其权益受到损害之日起7个工作日内，以书面形式向采购方提出质疑。供应商应知其权益受到损害之日，是指：</w:t>
      </w:r>
    </w:p>
    <w:p w14:paraId="37F39C93">
      <w:pPr>
        <w:snapToGrid w:val="0"/>
        <w:spacing w:line="360" w:lineRule="auto"/>
        <w:ind w:left="718" w:leftChars="342" w:firstLine="70" w:firstLineChars="2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（一）对可以质疑的</w:t>
      </w:r>
      <w:r>
        <w:rPr>
          <w:rFonts w:hint="eastAsia" w:ascii="宋体" w:hAnsi="宋体" w:eastAsia="宋体" w:cs="宋体"/>
          <w:color w:val="auto"/>
          <w:sz w:val="28"/>
          <w:szCs w:val="28"/>
          <w:lang w:eastAsia="zh-CN"/>
        </w:rPr>
        <w:t>磋商文件</w:t>
      </w:r>
      <w:r>
        <w:rPr>
          <w:rFonts w:hint="eastAsia" w:ascii="宋体" w:hAnsi="宋体" w:eastAsia="宋体" w:cs="宋体"/>
          <w:color w:val="auto"/>
          <w:sz w:val="28"/>
          <w:szCs w:val="28"/>
        </w:rPr>
        <w:t>提出质疑的，为收到</w:t>
      </w:r>
      <w:r>
        <w:rPr>
          <w:rFonts w:hint="eastAsia" w:ascii="宋体" w:hAnsi="宋体" w:eastAsia="宋体" w:cs="宋体"/>
          <w:color w:val="auto"/>
          <w:sz w:val="28"/>
          <w:szCs w:val="28"/>
          <w:lang w:eastAsia="zh-CN"/>
        </w:rPr>
        <w:t>磋商文件</w:t>
      </w:r>
      <w:r>
        <w:rPr>
          <w:rFonts w:hint="eastAsia" w:ascii="宋体" w:hAnsi="宋体" w:eastAsia="宋体" w:cs="宋体"/>
          <w:color w:val="auto"/>
          <w:sz w:val="28"/>
          <w:szCs w:val="28"/>
        </w:rPr>
        <w:t>之日或者</w:t>
      </w:r>
      <w:r>
        <w:rPr>
          <w:rFonts w:hint="eastAsia" w:ascii="宋体" w:hAnsi="宋体" w:eastAsia="宋体" w:cs="宋体"/>
          <w:color w:val="auto"/>
          <w:sz w:val="28"/>
          <w:szCs w:val="28"/>
          <w:lang w:eastAsia="zh-CN"/>
        </w:rPr>
        <w:t>磋商文件</w:t>
      </w:r>
      <w:r>
        <w:rPr>
          <w:rFonts w:hint="eastAsia" w:ascii="宋体" w:hAnsi="宋体" w:eastAsia="宋体" w:cs="宋体"/>
          <w:color w:val="auto"/>
          <w:sz w:val="28"/>
          <w:szCs w:val="28"/>
        </w:rPr>
        <w:t>公告期限届满之日；</w:t>
      </w:r>
    </w:p>
    <w:p w14:paraId="52AC6D81">
      <w:pPr>
        <w:snapToGrid w:val="0"/>
        <w:spacing w:line="360" w:lineRule="auto"/>
        <w:ind w:left="239" w:leftChars="114" w:firstLine="630" w:firstLineChars="22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（二）对采购过程提出质疑的，为各采购程序环节结束之日；</w:t>
      </w:r>
    </w:p>
    <w:p w14:paraId="427C364E">
      <w:pPr>
        <w:snapToGrid w:val="0"/>
        <w:spacing w:line="360" w:lineRule="auto"/>
        <w:ind w:firstLine="840" w:firstLineChars="3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（三）对成交结果提出质疑的，为成交结果公告期限届满之日。</w:t>
      </w:r>
    </w:p>
    <w:p w14:paraId="7BB882AB">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35.7   对可以质疑的</w:t>
      </w:r>
      <w:r>
        <w:rPr>
          <w:rFonts w:hint="eastAsia" w:ascii="宋体" w:hAnsi="宋体" w:eastAsia="宋体" w:cs="宋体"/>
          <w:color w:val="auto"/>
          <w:sz w:val="28"/>
          <w:szCs w:val="28"/>
          <w:lang w:eastAsia="zh-CN"/>
        </w:rPr>
        <w:t>磋商文件</w:t>
      </w:r>
      <w:r>
        <w:rPr>
          <w:rFonts w:hint="eastAsia" w:ascii="宋体" w:hAnsi="宋体" w:eastAsia="宋体" w:cs="宋体"/>
          <w:color w:val="auto"/>
          <w:sz w:val="28"/>
          <w:szCs w:val="28"/>
        </w:rPr>
        <w:t>提出质疑的，质疑人为参与本项目的报价方或潜在报价方。可质疑的文件为采购公告以及</w:t>
      </w:r>
      <w:r>
        <w:rPr>
          <w:rFonts w:hint="eastAsia" w:ascii="宋体" w:hAnsi="宋体" w:eastAsia="宋体" w:cs="宋体"/>
          <w:color w:val="auto"/>
          <w:sz w:val="28"/>
          <w:szCs w:val="28"/>
          <w:lang w:eastAsia="zh-CN"/>
        </w:rPr>
        <w:t>磋商文件</w:t>
      </w:r>
      <w:r>
        <w:rPr>
          <w:rFonts w:hint="eastAsia" w:ascii="宋体" w:hAnsi="宋体" w:eastAsia="宋体" w:cs="宋体"/>
          <w:color w:val="auto"/>
          <w:sz w:val="28"/>
          <w:szCs w:val="28"/>
        </w:rPr>
        <w:t>（包括属于其组成部分的澄清、修改、补充文件和评审标准、合同文本等）。</w:t>
      </w:r>
    </w:p>
    <w:p w14:paraId="157DDB57">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35.8   对采购过程和成交结果提出质疑的，质疑人为直接参与本项目的报价方。采购过程,即从采购项目信息公告发布起到成交结果公告止，包括</w:t>
      </w:r>
      <w:r>
        <w:rPr>
          <w:rFonts w:hint="eastAsia" w:ascii="宋体" w:hAnsi="宋体" w:eastAsia="宋体" w:cs="宋体"/>
          <w:color w:val="auto"/>
          <w:sz w:val="28"/>
          <w:szCs w:val="28"/>
          <w:lang w:eastAsia="zh-CN"/>
        </w:rPr>
        <w:t>磋商文件</w:t>
      </w:r>
      <w:r>
        <w:rPr>
          <w:rFonts w:hint="eastAsia" w:ascii="宋体" w:hAnsi="宋体" w:eastAsia="宋体" w:cs="宋体"/>
          <w:color w:val="auto"/>
          <w:sz w:val="28"/>
          <w:szCs w:val="28"/>
        </w:rPr>
        <w:t>的发出、提交响应文件、响应文件开启、评审等各个采购程序环节。</w:t>
      </w:r>
    </w:p>
    <w:p w14:paraId="7B7E7820">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35.9   提出质疑应当符合下列条件：</w:t>
      </w:r>
    </w:p>
    <w:p w14:paraId="3EBBDBAE">
      <w:pPr>
        <w:snapToGrid w:val="0"/>
        <w:spacing w:line="360" w:lineRule="auto"/>
        <w:ind w:left="239" w:leftChars="114" w:firstLine="630" w:firstLineChars="22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（一）质疑主体应当符合有关规定；</w:t>
      </w:r>
    </w:p>
    <w:p w14:paraId="207087E4">
      <w:pPr>
        <w:snapToGrid w:val="0"/>
        <w:spacing w:line="360" w:lineRule="auto"/>
        <w:ind w:left="239" w:leftChars="114" w:firstLine="630" w:firstLineChars="22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（二）在质疑法定期限内提出；</w:t>
      </w:r>
    </w:p>
    <w:p w14:paraId="562053C9">
      <w:pPr>
        <w:snapToGrid w:val="0"/>
        <w:spacing w:line="360" w:lineRule="auto"/>
        <w:ind w:left="1168" w:leftChars="456" w:hanging="210" w:hangingChars="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（三）属于可以提出质疑的政府采购事项受理范围和本项目采购人的管辖权范围；</w:t>
      </w:r>
    </w:p>
    <w:p w14:paraId="27398A74">
      <w:pPr>
        <w:snapToGrid w:val="0"/>
        <w:spacing w:line="360" w:lineRule="auto"/>
        <w:ind w:left="239" w:leftChars="114" w:firstLine="630" w:firstLineChars="22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（四）政府采购法律、法规、规章规定的其他条件。</w:t>
      </w:r>
    </w:p>
    <w:p w14:paraId="0C1D82FB">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CCD5983">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35.11  质疑人所提供的证明材料应当具有真实性、合法性以及与质疑事项的关联性和证明力，否则不能作为认定该质疑事项成立的依据。</w:t>
      </w:r>
    </w:p>
    <w:p w14:paraId="7A26A5E0">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35.12  质疑人提出质疑时应当提交质疑函。质疑函包括下列内容：</w:t>
      </w:r>
    </w:p>
    <w:p w14:paraId="57717F69">
      <w:pPr>
        <w:snapToGrid w:val="0"/>
        <w:spacing w:line="360" w:lineRule="auto"/>
        <w:ind w:left="239" w:leftChars="114" w:firstLine="630" w:firstLineChars="22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（一）提出质疑的质疑人的名称、地址、邮编、联系人及联系电话等；</w:t>
      </w:r>
    </w:p>
    <w:p w14:paraId="6FF574CA">
      <w:pPr>
        <w:snapToGrid w:val="0"/>
        <w:spacing w:line="360" w:lineRule="auto"/>
        <w:ind w:left="239" w:leftChars="114" w:firstLine="630" w:firstLineChars="22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（二）质疑项目的名称、编号；</w:t>
      </w:r>
    </w:p>
    <w:p w14:paraId="686EB1DB">
      <w:pPr>
        <w:snapToGrid w:val="0"/>
        <w:spacing w:line="360" w:lineRule="auto"/>
        <w:ind w:left="239" w:leftChars="114" w:firstLine="630" w:firstLineChars="22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（三）质疑事项；</w:t>
      </w:r>
    </w:p>
    <w:p w14:paraId="372334C1">
      <w:pPr>
        <w:snapToGrid w:val="0"/>
        <w:spacing w:line="360" w:lineRule="auto"/>
        <w:ind w:left="239" w:leftChars="114" w:firstLine="630" w:firstLineChars="22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（四）事实依据和证明材料；</w:t>
      </w:r>
    </w:p>
    <w:p w14:paraId="1A5C2E28">
      <w:pPr>
        <w:snapToGrid w:val="0"/>
        <w:spacing w:line="360" w:lineRule="auto"/>
        <w:ind w:left="239" w:leftChars="114" w:firstLine="630" w:firstLineChars="22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（五）法律依据；</w:t>
      </w:r>
    </w:p>
    <w:p w14:paraId="2B7E8707">
      <w:pPr>
        <w:snapToGrid w:val="0"/>
        <w:spacing w:line="360" w:lineRule="auto"/>
        <w:ind w:left="239" w:leftChars="114" w:firstLine="630" w:firstLineChars="22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（六）提出质疑的日期。</w:t>
      </w:r>
    </w:p>
    <w:p w14:paraId="7DD5365B">
      <w:pPr>
        <w:snapToGrid w:val="0"/>
        <w:spacing w:line="360" w:lineRule="auto"/>
        <w:ind w:left="958" w:leftChars="456" w:firstLine="70" w:firstLineChars="2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质疑函采用实名制。质疑人为自然人的应当由本人签字，并附有效身份证明文件；质疑人为法人或者非法人组织的应当由法定代表人或者负责人签字并加盖公章，并附有效身份证明文件。</w:t>
      </w:r>
    </w:p>
    <w:p w14:paraId="0989DC90">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35.13  质疑人可以委托代理人进行质疑。代理人应当提交授权委托书。授权委托书应当载明委托代理的具体权限、期限和相关事项。</w:t>
      </w:r>
    </w:p>
    <w:p w14:paraId="5299C7C3">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35.14  质疑的审查和受理</w:t>
      </w:r>
    </w:p>
    <w:p w14:paraId="54F4D459">
      <w:pPr>
        <w:snapToGrid w:val="0"/>
        <w:spacing w:line="360" w:lineRule="auto"/>
        <w:ind w:left="958" w:leftChars="456"/>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采购方在收到质疑函后应当及时审查是否符合质疑受理条件，对符合质疑受理条件的，及时予以受理。</w:t>
      </w:r>
    </w:p>
    <w:p w14:paraId="406ADEA4">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35.15  对不符合质疑受理条件的，分别按照下列不同情形予以处理：</w:t>
      </w:r>
    </w:p>
    <w:p w14:paraId="6BC7E89D">
      <w:pPr>
        <w:snapToGrid w:val="0"/>
        <w:spacing w:line="360" w:lineRule="auto"/>
        <w:ind w:left="1168" w:leftChars="456" w:hanging="210" w:hangingChars="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（一）质疑函内容不符合规定的，告知质疑人进行修改并重新提出质疑。修改后质疑事项仍不具体、不明确或者最终递交质疑函的时间超过质疑法定期限的，不予受理；</w:t>
      </w:r>
    </w:p>
    <w:p w14:paraId="40BE2FAB">
      <w:pPr>
        <w:snapToGrid w:val="0"/>
        <w:spacing w:line="360" w:lineRule="auto"/>
        <w:ind w:left="239" w:leftChars="114" w:firstLine="630" w:firstLineChars="22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（二）质疑主体不符合有关规定的，告知质疑人不予受理；</w:t>
      </w:r>
    </w:p>
    <w:p w14:paraId="7EE79F7D">
      <w:pPr>
        <w:snapToGrid w:val="0"/>
        <w:spacing w:line="360" w:lineRule="auto"/>
        <w:ind w:left="239" w:leftChars="114" w:firstLine="630" w:firstLineChars="22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（三）超过质疑法定期限提出质疑的，告知质疑人不予受理；</w:t>
      </w:r>
    </w:p>
    <w:p w14:paraId="54E6883A">
      <w:pPr>
        <w:snapToGrid w:val="0"/>
        <w:spacing w:line="360" w:lineRule="auto"/>
        <w:ind w:left="998" w:leftChars="342" w:hanging="280" w:hangingChars="1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（四）对不属于可以提出质疑的政府采购事项提出质疑的，告知质疑人不予受理；</w:t>
      </w:r>
    </w:p>
    <w:p w14:paraId="0A821B85">
      <w:pPr>
        <w:snapToGrid w:val="0"/>
        <w:spacing w:line="360" w:lineRule="auto"/>
        <w:ind w:left="718" w:leftChars="342"/>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（五）质疑不属于本项目采购方管辖的，告知质疑人向有管辖权的采购人提出质疑；</w:t>
      </w:r>
    </w:p>
    <w:p w14:paraId="4A22903B">
      <w:pPr>
        <w:snapToGrid w:val="0"/>
        <w:spacing w:line="360" w:lineRule="auto"/>
        <w:ind w:left="239" w:leftChars="114" w:firstLine="630" w:firstLineChars="22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（六）质疑不符合其他条件的，告知质疑人不予受理。</w:t>
      </w:r>
    </w:p>
    <w:p w14:paraId="3ECF1CF5">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35.16  质疑的处理和答复</w:t>
      </w:r>
    </w:p>
    <w:p w14:paraId="67DC8647">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35.17  采购方受理质疑后，将及时把质疑函发送给被质疑人，并要求其在一定限期内提交书面答复，同时提供有关证据、依据和相关材料。</w:t>
      </w:r>
    </w:p>
    <w:p w14:paraId="6EC327D2">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35.18  对于质疑事项中涉及的问题较多、情况比较复杂的，为了全面查清事实、取得充分的证据，采购方认为有必要时，可以进行调查取证或者组织质证。</w:t>
      </w:r>
    </w:p>
    <w:p w14:paraId="3B2099D8">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35.19  对评审过程、成交结果提出质疑的，采购方可以组织原评审委员会协助答复质疑。</w:t>
      </w:r>
    </w:p>
    <w:p w14:paraId="3A707A98">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35.20  质疑处理过程中，质疑人书面申请撤回质疑的，将终止质疑处理程序。</w:t>
      </w:r>
    </w:p>
    <w:p w14:paraId="550B3457">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35.21  质疑人拒绝配合采购方依法对质疑进行调查处理的，采购方将按质疑人自动撤回质疑处理；被质疑人拒绝配合采购方依法对质疑进行调查处理的，采购方将视同其认可质疑事项。</w:t>
      </w:r>
    </w:p>
    <w:p w14:paraId="3A4321CD">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35.22  质疑人拒绝配合采购方依法对质疑进行调查处理的，采购方将按质疑人自动撤回质疑处理；被质疑人拒绝配合采购方依法对质疑进行调查处理的，采购方将视同其认可质疑事项。</w:t>
      </w:r>
    </w:p>
    <w:p w14:paraId="4444D83F">
      <w:pPr>
        <w:snapToGrid w:val="0"/>
        <w:spacing w:line="360" w:lineRule="auto"/>
        <w:ind w:left="900" w:hanging="1050" w:hangingChars="375"/>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35.23  采购方将在正式受理质疑后7个工作日内作出答复。</w:t>
      </w:r>
    </w:p>
    <w:p w14:paraId="216A1319">
      <w:pPr>
        <w:pStyle w:val="66"/>
        <w:snapToGrid w:val="0"/>
        <w:spacing w:line="360" w:lineRule="auto"/>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35.24  质疑答复应当包括下列内容：</w:t>
      </w:r>
    </w:p>
    <w:p w14:paraId="742C1441">
      <w:pPr>
        <w:pStyle w:val="66"/>
        <w:snapToGrid w:val="0"/>
        <w:spacing w:line="360" w:lineRule="auto"/>
        <w:ind w:firstLine="840" w:firstLineChars="3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（一）质疑人的姓名或者名称；</w:t>
      </w:r>
    </w:p>
    <w:p w14:paraId="1D3848DC">
      <w:pPr>
        <w:pStyle w:val="66"/>
        <w:snapToGrid w:val="0"/>
        <w:spacing w:line="360" w:lineRule="auto"/>
        <w:ind w:firstLine="840" w:firstLineChars="3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（二）收到质疑函的日期、质疑项目名称及编号；</w:t>
      </w:r>
    </w:p>
    <w:p w14:paraId="0E38D040">
      <w:pPr>
        <w:pStyle w:val="66"/>
        <w:snapToGrid w:val="0"/>
        <w:spacing w:line="360" w:lineRule="auto"/>
        <w:ind w:firstLine="840" w:firstLineChars="3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（三）质疑事项、质疑答复的具体内容、事实依据和法律依据；</w:t>
      </w:r>
    </w:p>
    <w:p w14:paraId="043E31AC">
      <w:pPr>
        <w:pStyle w:val="66"/>
        <w:snapToGrid w:val="0"/>
        <w:spacing w:line="360" w:lineRule="auto"/>
        <w:ind w:firstLine="840" w:firstLineChars="3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（四）告知质疑供应商依法投诉的权利；</w:t>
      </w:r>
    </w:p>
    <w:p w14:paraId="47A47D8A">
      <w:pPr>
        <w:pStyle w:val="66"/>
        <w:snapToGrid w:val="0"/>
        <w:spacing w:line="360" w:lineRule="auto"/>
        <w:ind w:firstLine="840" w:firstLineChars="3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（五）质疑答复人名称；</w:t>
      </w:r>
    </w:p>
    <w:p w14:paraId="7C55883F">
      <w:pPr>
        <w:pStyle w:val="66"/>
        <w:snapToGrid w:val="0"/>
        <w:spacing w:line="360" w:lineRule="auto"/>
        <w:ind w:firstLine="840" w:firstLineChars="3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（六）答复质疑的日期。</w:t>
      </w:r>
    </w:p>
    <w:p w14:paraId="4843E29A">
      <w:pPr>
        <w:snapToGrid w:val="0"/>
        <w:spacing w:line="360" w:lineRule="auto"/>
        <w:jc w:val="center"/>
        <w:textAlignment w:val="baseline"/>
        <w:rPr>
          <w:rFonts w:hint="eastAsia" w:ascii="宋体" w:hAnsi="宋体" w:eastAsia="宋体" w:cs="宋体"/>
          <w:b/>
          <w:bCs/>
          <w:color w:val="auto"/>
          <w:sz w:val="28"/>
          <w:szCs w:val="28"/>
        </w:rPr>
      </w:pPr>
    </w:p>
    <w:p w14:paraId="5258F3C3">
      <w:pPr>
        <w:snapToGrid w:val="0"/>
        <w:spacing w:line="360" w:lineRule="auto"/>
        <w:textAlignment w:val="baseline"/>
        <w:rPr>
          <w:rFonts w:hint="eastAsia" w:ascii="宋体" w:hAnsi="宋体" w:eastAsia="宋体" w:cs="宋体"/>
          <w:b/>
          <w:bCs/>
          <w:color w:val="auto"/>
          <w:sz w:val="28"/>
          <w:szCs w:val="28"/>
        </w:rPr>
      </w:pPr>
      <w:bookmarkStart w:id="571" w:name="_Toc24577"/>
      <w:bookmarkStart w:id="572" w:name="_Toc14949"/>
      <w:r>
        <w:rPr>
          <w:rFonts w:hint="eastAsia" w:ascii="宋体" w:hAnsi="宋体" w:eastAsia="宋体" w:cs="宋体"/>
          <w:b/>
          <w:bCs/>
          <w:color w:val="auto"/>
          <w:sz w:val="28"/>
          <w:szCs w:val="28"/>
        </w:rPr>
        <w:t>质疑函范本</w:t>
      </w:r>
      <w:bookmarkEnd w:id="571"/>
      <w:bookmarkEnd w:id="572"/>
    </w:p>
    <w:p w14:paraId="3C0D07BF">
      <w:pPr>
        <w:snapToGrid w:val="0"/>
        <w:spacing w:line="360" w:lineRule="auto"/>
        <w:textAlignment w:val="baseline"/>
        <w:rPr>
          <w:rFonts w:hint="eastAsia" w:ascii="宋体" w:hAnsi="宋体" w:eastAsia="宋体" w:cs="宋体"/>
          <w:bCs/>
          <w:color w:val="auto"/>
          <w:sz w:val="28"/>
          <w:szCs w:val="28"/>
        </w:rPr>
      </w:pPr>
      <w:r>
        <w:rPr>
          <w:rFonts w:hint="eastAsia" w:ascii="宋体" w:hAnsi="宋体" w:eastAsia="宋体" w:cs="宋体"/>
          <w:bCs/>
          <w:color w:val="auto"/>
          <w:sz w:val="28"/>
          <w:szCs w:val="28"/>
        </w:rPr>
        <w:t>一、质疑供应商基本信息</w:t>
      </w:r>
    </w:p>
    <w:p w14:paraId="7B1AAA28">
      <w:pPr>
        <w:snapToGrid w:val="0"/>
        <w:spacing w:line="360" w:lineRule="auto"/>
        <w:textAlignment w:val="baseline"/>
        <w:rPr>
          <w:rFonts w:hint="eastAsia" w:ascii="宋体" w:hAnsi="宋体" w:eastAsia="宋体" w:cs="宋体"/>
          <w:color w:val="auto"/>
          <w:sz w:val="28"/>
          <w:szCs w:val="28"/>
          <w:u w:val="dotted" w:color="000000"/>
        </w:rPr>
      </w:pPr>
      <w:r>
        <w:rPr>
          <w:rFonts w:hint="eastAsia" w:ascii="宋体" w:hAnsi="宋体" w:eastAsia="宋体" w:cs="宋体"/>
          <w:color w:val="auto"/>
          <w:sz w:val="28"/>
          <w:szCs w:val="28"/>
        </w:rPr>
        <w:t>质疑供应商：</w:t>
      </w:r>
      <w:r>
        <w:rPr>
          <w:rFonts w:hint="eastAsia" w:ascii="宋体" w:hAnsi="宋体" w:eastAsia="宋体" w:cs="宋体"/>
          <w:color w:val="auto"/>
          <w:sz w:val="28"/>
          <w:szCs w:val="28"/>
          <w:u w:val="dotted" w:color="000000"/>
        </w:rPr>
        <w:t xml:space="preserve">                                        </w:t>
      </w:r>
    </w:p>
    <w:p w14:paraId="1FEEBFD3">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地址：</w:t>
      </w:r>
      <w:r>
        <w:rPr>
          <w:rFonts w:hint="eastAsia" w:ascii="宋体" w:hAnsi="宋体" w:eastAsia="宋体" w:cs="宋体"/>
          <w:color w:val="auto"/>
          <w:sz w:val="28"/>
          <w:szCs w:val="28"/>
          <w:u w:val="dotted" w:color="000000"/>
        </w:rPr>
        <w:t xml:space="preserve">                          </w:t>
      </w:r>
      <w:r>
        <w:rPr>
          <w:rFonts w:hint="eastAsia" w:ascii="宋体" w:hAnsi="宋体" w:eastAsia="宋体" w:cs="宋体"/>
          <w:color w:val="auto"/>
          <w:sz w:val="28"/>
          <w:szCs w:val="28"/>
        </w:rPr>
        <w:t>邮编：</w:t>
      </w:r>
      <w:r>
        <w:rPr>
          <w:rFonts w:hint="eastAsia" w:ascii="宋体" w:hAnsi="宋体" w:eastAsia="宋体" w:cs="宋体"/>
          <w:color w:val="auto"/>
          <w:sz w:val="28"/>
          <w:szCs w:val="28"/>
          <w:u w:val="dotted" w:color="000000"/>
        </w:rPr>
        <w:t xml:space="preserve">                                                   </w:t>
      </w:r>
    </w:p>
    <w:p w14:paraId="133D2E6B">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联系人：</w:t>
      </w:r>
      <w:r>
        <w:rPr>
          <w:rFonts w:hint="eastAsia" w:ascii="宋体" w:hAnsi="宋体" w:eastAsia="宋体" w:cs="宋体"/>
          <w:color w:val="auto"/>
          <w:sz w:val="28"/>
          <w:szCs w:val="28"/>
          <w:u w:val="dotted" w:color="000000"/>
        </w:rPr>
        <w:t xml:space="preserve">                      </w:t>
      </w:r>
      <w:r>
        <w:rPr>
          <w:rFonts w:hint="eastAsia" w:ascii="宋体" w:hAnsi="宋体" w:eastAsia="宋体" w:cs="宋体"/>
          <w:color w:val="auto"/>
          <w:sz w:val="28"/>
          <w:szCs w:val="28"/>
        </w:rPr>
        <w:t>联系电话：</w:t>
      </w:r>
      <w:r>
        <w:rPr>
          <w:rFonts w:hint="eastAsia" w:ascii="宋体" w:hAnsi="宋体" w:eastAsia="宋体" w:cs="宋体"/>
          <w:color w:val="auto"/>
          <w:sz w:val="28"/>
          <w:szCs w:val="28"/>
          <w:u w:val="dotted" w:color="000000"/>
        </w:rPr>
        <w:t xml:space="preserve">                              </w:t>
      </w:r>
    </w:p>
    <w:p w14:paraId="6CCBC748">
      <w:pPr>
        <w:snapToGrid w:val="0"/>
        <w:spacing w:line="360" w:lineRule="auto"/>
        <w:textAlignment w:val="baseline"/>
        <w:rPr>
          <w:rFonts w:hint="eastAsia" w:ascii="宋体" w:hAnsi="宋体" w:eastAsia="宋体" w:cs="宋体"/>
          <w:color w:val="auto"/>
          <w:sz w:val="28"/>
          <w:szCs w:val="28"/>
          <w:u w:val="dotted" w:color="000000"/>
        </w:rPr>
      </w:pPr>
      <w:r>
        <w:rPr>
          <w:rFonts w:hint="eastAsia" w:ascii="宋体" w:hAnsi="宋体" w:eastAsia="宋体" w:cs="宋体"/>
          <w:color w:val="auto"/>
          <w:sz w:val="28"/>
          <w:szCs w:val="28"/>
        </w:rPr>
        <w:t>授权代表：</w:t>
      </w:r>
      <w:r>
        <w:rPr>
          <w:rFonts w:hint="eastAsia" w:ascii="宋体" w:hAnsi="宋体" w:eastAsia="宋体" w:cs="宋体"/>
          <w:color w:val="auto"/>
          <w:sz w:val="28"/>
          <w:szCs w:val="28"/>
          <w:u w:val="dotted" w:color="000000"/>
        </w:rPr>
        <w:t xml:space="preserve">                                          </w:t>
      </w:r>
    </w:p>
    <w:p w14:paraId="1FC2AF07">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联系电话：</w:t>
      </w:r>
      <w:r>
        <w:rPr>
          <w:rFonts w:hint="eastAsia" w:ascii="宋体" w:hAnsi="宋体" w:eastAsia="宋体" w:cs="宋体"/>
          <w:color w:val="auto"/>
          <w:sz w:val="28"/>
          <w:szCs w:val="28"/>
          <w:u w:val="dotted" w:color="000000"/>
        </w:rPr>
        <w:t xml:space="preserve">                                           </w:t>
      </w:r>
      <w:r>
        <w:rPr>
          <w:rFonts w:hint="eastAsia" w:ascii="宋体" w:hAnsi="宋体" w:eastAsia="宋体" w:cs="宋体"/>
          <w:color w:val="auto"/>
          <w:sz w:val="28"/>
          <w:szCs w:val="28"/>
        </w:rPr>
        <w:t xml:space="preserve"> </w:t>
      </w:r>
    </w:p>
    <w:p w14:paraId="36A21631">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地址： </w:t>
      </w:r>
      <w:r>
        <w:rPr>
          <w:rFonts w:hint="eastAsia" w:ascii="宋体" w:hAnsi="宋体" w:eastAsia="宋体" w:cs="宋体"/>
          <w:color w:val="auto"/>
          <w:sz w:val="28"/>
          <w:szCs w:val="28"/>
          <w:u w:val="dotted" w:color="000000"/>
        </w:rPr>
        <w:t xml:space="preserve">                        </w:t>
      </w:r>
      <w:r>
        <w:rPr>
          <w:rFonts w:hint="eastAsia" w:ascii="宋体" w:hAnsi="宋体" w:eastAsia="宋体" w:cs="宋体"/>
          <w:color w:val="auto"/>
          <w:sz w:val="28"/>
          <w:szCs w:val="28"/>
        </w:rPr>
        <w:t>邮编：</w:t>
      </w:r>
      <w:r>
        <w:rPr>
          <w:rFonts w:hint="eastAsia" w:ascii="宋体" w:hAnsi="宋体" w:eastAsia="宋体" w:cs="宋体"/>
          <w:color w:val="auto"/>
          <w:sz w:val="28"/>
          <w:szCs w:val="28"/>
          <w:u w:val="dotted" w:color="000000"/>
        </w:rPr>
        <w:t xml:space="preserve">                                                </w:t>
      </w:r>
    </w:p>
    <w:p w14:paraId="135031F4">
      <w:pPr>
        <w:snapToGrid w:val="0"/>
        <w:spacing w:line="360" w:lineRule="auto"/>
        <w:textAlignment w:val="baseline"/>
        <w:rPr>
          <w:rFonts w:hint="eastAsia" w:ascii="宋体" w:hAnsi="宋体" w:eastAsia="宋体" w:cs="宋体"/>
          <w:bCs/>
          <w:color w:val="auto"/>
          <w:sz w:val="28"/>
          <w:szCs w:val="28"/>
        </w:rPr>
      </w:pPr>
      <w:r>
        <w:rPr>
          <w:rFonts w:hint="eastAsia" w:ascii="宋体" w:hAnsi="宋体" w:eastAsia="宋体" w:cs="宋体"/>
          <w:bCs/>
          <w:color w:val="auto"/>
          <w:sz w:val="28"/>
          <w:szCs w:val="28"/>
        </w:rPr>
        <w:t>二、质疑项目基本情况</w:t>
      </w:r>
    </w:p>
    <w:p w14:paraId="5C19F299">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质疑项目的名称：</w:t>
      </w:r>
      <w:r>
        <w:rPr>
          <w:rFonts w:hint="eastAsia" w:ascii="宋体" w:hAnsi="宋体" w:eastAsia="宋体" w:cs="宋体"/>
          <w:color w:val="auto"/>
          <w:sz w:val="28"/>
          <w:szCs w:val="28"/>
          <w:u w:val="dotted" w:color="000000"/>
        </w:rPr>
        <w:t xml:space="preserve">                                      </w:t>
      </w:r>
    </w:p>
    <w:p w14:paraId="23B27DCA">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质疑项目的编号：</w:t>
      </w:r>
      <w:r>
        <w:rPr>
          <w:rFonts w:hint="eastAsia" w:ascii="宋体" w:hAnsi="宋体" w:eastAsia="宋体" w:cs="宋体"/>
          <w:color w:val="auto"/>
          <w:sz w:val="28"/>
          <w:szCs w:val="28"/>
          <w:u w:val="dotted" w:color="000000"/>
        </w:rPr>
        <w:t xml:space="preserve">               </w:t>
      </w:r>
      <w:r>
        <w:rPr>
          <w:rFonts w:hint="eastAsia" w:ascii="宋体" w:hAnsi="宋体" w:eastAsia="宋体" w:cs="宋体"/>
          <w:color w:val="auto"/>
          <w:sz w:val="28"/>
          <w:szCs w:val="28"/>
        </w:rPr>
        <w:t>包号：</w:t>
      </w:r>
      <w:r>
        <w:rPr>
          <w:rFonts w:hint="eastAsia" w:ascii="宋体" w:hAnsi="宋体" w:eastAsia="宋体" w:cs="宋体"/>
          <w:color w:val="auto"/>
          <w:sz w:val="28"/>
          <w:szCs w:val="28"/>
          <w:u w:val="dotted" w:color="000000"/>
        </w:rPr>
        <w:t xml:space="preserve">                 </w:t>
      </w:r>
    </w:p>
    <w:p w14:paraId="73C035EF">
      <w:pPr>
        <w:snapToGrid w:val="0"/>
        <w:spacing w:line="360" w:lineRule="auto"/>
        <w:textAlignment w:val="baseline"/>
        <w:rPr>
          <w:rFonts w:hint="eastAsia" w:ascii="宋体" w:hAnsi="宋体" w:eastAsia="宋体" w:cs="宋体"/>
          <w:color w:val="auto"/>
          <w:sz w:val="28"/>
          <w:szCs w:val="28"/>
          <w:u w:val="dotted" w:color="000000"/>
        </w:rPr>
      </w:pPr>
      <w:r>
        <w:rPr>
          <w:rFonts w:hint="eastAsia" w:ascii="宋体" w:hAnsi="宋体" w:eastAsia="宋体" w:cs="宋体"/>
          <w:color w:val="auto"/>
          <w:sz w:val="28"/>
          <w:szCs w:val="28"/>
        </w:rPr>
        <w:t>采购人名称：</w:t>
      </w:r>
      <w:r>
        <w:rPr>
          <w:rFonts w:hint="eastAsia" w:ascii="宋体" w:hAnsi="宋体" w:eastAsia="宋体" w:cs="宋体"/>
          <w:color w:val="auto"/>
          <w:sz w:val="28"/>
          <w:szCs w:val="28"/>
          <w:u w:val="dotted" w:color="000000"/>
        </w:rPr>
        <w:t xml:space="preserve">                                         </w:t>
      </w:r>
    </w:p>
    <w:p w14:paraId="38FAB63A">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eastAsia="zh-CN"/>
        </w:rPr>
        <w:t>磋商文件</w:t>
      </w:r>
      <w:r>
        <w:rPr>
          <w:rFonts w:hint="eastAsia" w:ascii="宋体" w:hAnsi="宋体" w:eastAsia="宋体" w:cs="宋体"/>
          <w:color w:val="auto"/>
          <w:sz w:val="28"/>
          <w:szCs w:val="28"/>
        </w:rPr>
        <w:t>获取日期：</w:t>
      </w:r>
      <w:r>
        <w:rPr>
          <w:rFonts w:hint="eastAsia" w:ascii="宋体" w:hAnsi="宋体" w:eastAsia="宋体" w:cs="宋体"/>
          <w:color w:val="auto"/>
          <w:sz w:val="28"/>
          <w:szCs w:val="28"/>
          <w:u w:val="dotted" w:color="000000"/>
        </w:rPr>
        <w:t xml:space="preserve">                                           </w:t>
      </w:r>
    </w:p>
    <w:p w14:paraId="18159A29">
      <w:pPr>
        <w:snapToGrid w:val="0"/>
        <w:spacing w:line="360" w:lineRule="auto"/>
        <w:textAlignment w:val="baseline"/>
        <w:rPr>
          <w:rFonts w:hint="eastAsia" w:ascii="宋体" w:hAnsi="宋体" w:eastAsia="宋体" w:cs="宋体"/>
          <w:bCs/>
          <w:color w:val="auto"/>
          <w:sz w:val="28"/>
          <w:szCs w:val="28"/>
        </w:rPr>
      </w:pPr>
      <w:r>
        <w:rPr>
          <w:rFonts w:hint="eastAsia" w:ascii="宋体" w:hAnsi="宋体" w:eastAsia="宋体" w:cs="宋体"/>
          <w:bCs/>
          <w:color w:val="auto"/>
          <w:sz w:val="28"/>
          <w:szCs w:val="28"/>
        </w:rPr>
        <w:t>三、质疑事项具体内容</w:t>
      </w:r>
    </w:p>
    <w:p w14:paraId="72148EC9">
      <w:pPr>
        <w:snapToGrid w:val="0"/>
        <w:spacing w:line="360" w:lineRule="auto"/>
        <w:textAlignment w:val="baseline"/>
        <w:rPr>
          <w:rFonts w:hint="eastAsia" w:ascii="宋体" w:hAnsi="宋体" w:eastAsia="宋体" w:cs="宋体"/>
          <w:color w:val="auto"/>
          <w:sz w:val="28"/>
          <w:szCs w:val="28"/>
          <w:u w:val="dotted" w:color="000000"/>
        </w:rPr>
      </w:pPr>
      <w:r>
        <w:rPr>
          <w:rFonts w:hint="eastAsia" w:ascii="宋体" w:hAnsi="宋体" w:eastAsia="宋体" w:cs="宋体"/>
          <w:color w:val="auto"/>
          <w:sz w:val="28"/>
          <w:szCs w:val="28"/>
        </w:rPr>
        <w:t>质疑事项1：</w:t>
      </w:r>
      <w:r>
        <w:rPr>
          <w:rFonts w:hint="eastAsia" w:ascii="宋体" w:hAnsi="宋体" w:eastAsia="宋体" w:cs="宋体"/>
          <w:color w:val="auto"/>
          <w:sz w:val="28"/>
          <w:szCs w:val="28"/>
          <w:u w:val="dotted" w:color="000000"/>
        </w:rPr>
        <w:t xml:space="preserve">                                         </w:t>
      </w:r>
    </w:p>
    <w:p w14:paraId="53514E44">
      <w:pPr>
        <w:snapToGrid w:val="0"/>
        <w:spacing w:line="360" w:lineRule="auto"/>
        <w:textAlignment w:val="baseline"/>
        <w:rPr>
          <w:rFonts w:hint="eastAsia" w:ascii="宋体" w:hAnsi="宋体" w:eastAsia="宋体" w:cs="宋体"/>
          <w:color w:val="auto"/>
          <w:sz w:val="28"/>
          <w:szCs w:val="28"/>
          <w:u w:val="dotted" w:color="000000"/>
        </w:rPr>
      </w:pPr>
      <w:r>
        <w:rPr>
          <w:rFonts w:hint="eastAsia" w:ascii="宋体" w:hAnsi="宋体" w:eastAsia="宋体" w:cs="宋体"/>
          <w:color w:val="auto"/>
          <w:sz w:val="28"/>
          <w:szCs w:val="28"/>
        </w:rPr>
        <w:t>事实依据：</w:t>
      </w:r>
      <w:r>
        <w:rPr>
          <w:rFonts w:hint="eastAsia" w:ascii="宋体" w:hAnsi="宋体" w:eastAsia="宋体" w:cs="宋体"/>
          <w:color w:val="auto"/>
          <w:sz w:val="28"/>
          <w:szCs w:val="28"/>
          <w:u w:val="dotted" w:color="000000"/>
        </w:rPr>
        <w:t xml:space="preserve">                                          </w:t>
      </w:r>
    </w:p>
    <w:p w14:paraId="4E44B17C">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u w:val="dotted" w:color="000000"/>
        </w:rPr>
        <w:t xml:space="preserve">                                                       </w:t>
      </w:r>
    </w:p>
    <w:p w14:paraId="04D5CCB2">
      <w:pPr>
        <w:snapToGrid w:val="0"/>
        <w:spacing w:line="360" w:lineRule="auto"/>
        <w:textAlignment w:val="baseline"/>
        <w:rPr>
          <w:rFonts w:hint="eastAsia" w:ascii="宋体" w:hAnsi="宋体" w:eastAsia="宋体" w:cs="宋体"/>
          <w:color w:val="auto"/>
          <w:sz w:val="28"/>
          <w:szCs w:val="28"/>
          <w:u w:val="dotted" w:color="000000"/>
        </w:rPr>
      </w:pPr>
      <w:r>
        <w:rPr>
          <w:rFonts w:hint="eastAsia" w:ascii="宋体" w:hAnsi="宋体" w:eastAsia="宋体" w:cs="宋体"/>
          <w:color w:val="auto"/>
          <w:sz w:val="28"/>
          <w:szCs w:val="28"/>
        </w:rPr>
        <w:t>法律依据：</w:t>
      </w:r>
      <w:r>
        <w:rPr>
          <w:rFonts w:hint="eastAsia" w:ascii="宋体" w:hAnsi="宋体" w:eastAsia="宋体" w:cs="宋体"/>
          <w:color w:val="auto"/>
          <w:sz w:val="28"/>
          <w:szCs w:val="28"/>
          <w:u w:val="dotted" w:color="000000"/>
        </w:rPr>
        <w:t xml:space="preserve">                                          </w:t>
      </w:r>
    </w:p>
    <w:p w14:paraId="01252794">
      <w:pPr>
        <w:snapToGrid w:val="0"/>
        <w:spacing w:line="360" w:lineRule="auto"/>
        <w:textAlignment w:val="baseline"/>
        <w:rPr>
          <w:rFonts w:hint="eastAsia" w:ascii="宋体" w:hAnsi="宋体" w:eastAsia="宋体" w:cs="宋体"/>
          <w:color w:val="auto"/>
          <w:sz w:val="28"/>
          <w:szCs w:val="28"/>
          <w:u w:val="dotted" w:color="000000"/>
        </w:rPr>
      </w:pPr>
      <w:r>
        <w:rPr>
          <w:rFonts w:hint="eastAsia" w:ascii="宋体" w:hAnsi="宋体" w:eastAsia="宋体" w:cs="宋体"/>
          <w:color w:val="auto"/>
          <w:sz w:val="28"/>
          <w:szCs w:val="28"/>
          <w:u w:val="dotted" w:color="000000"/>
        </w:rPr>
        <w:t xml:space="preserve">                                                     </w:t>
      </w:r>
    </w:p>
    <w:p w14:paraId="27C96F72">
      <w:pPr>
        <w:snapToGrid w:val="0"/>
        <w:spacing w:line="360" w:lineRule="auto"/>
        <w:textAlignment w:val="baseline"/>
        <w:rPr>
          <w:rFonts w:hint="eastAsia" w:ascii="宋体" w:hAnsi="宋体" w:eastAsia="宋体" w:cs="宋体"/>
          <w:color w:val="auto"/>
          <w:sz w:val="28"/>
          <w:szCs w:val="28"/>
          <w:u w:val="dotted" w:color="000000"/>
        </w:rPr>
      </w:pPr>
      <w:r>
        <w:rPr>
          <w:rFonts w:hint="eastAsia" w:ascii="宋体" w:hAnsi="宋体" w:eastAsia="宋体" w:cs="宋体"/>
          <w:color w:val="auto"/>
          <w:sz w:val="28"/>
          <w:szCs w:val="28"/>
        </w:rPr>
        <w:t>质疑事项2</w:t>
      </w:r>
    </w:p>
    <w:p w14:paraId="547B9D82">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w:t>
      </w:r>
    </w:p>
    <w:p w14:paraId="0A955E31">
      <w:pPr>
        <w:snapToGrid w:val="0"/>
        <w:spacing w:line="360" w:lineRule="auto"/>
        <w:textAlignment w:val="baseline"/>
        <w:rPr>
          <w:rFonts w:hint="eastAsia" w:ascii="宋体" w:hAnsi="宋体" w:eastAsia="宋体" w:cs="宋体"/>
          <w:bCs/>
          <w:color w:val="auto"/>
          <w:sz w:val="28"/>
          <w:szCs w:val="28"/>
        </w:rPr>
      </w:pPr>
      <w:r>
        <w:rPr>
          <w:rFonts w:hint="eastAsia" w:ascii="宋体" w:hAnsi="宋体" w:eastAsia="宋体" w:cs="宋体"/>
          <w:bCs/>
          <w:color w:val="auto"/>
          <w:sz w:val="28"/>
          <w:szCs w:val="28"/>
        </w:rPr>
        <w:t>四、与质疑事项相关的质疑请求</w:t>
      </w:r>
    </w:p>
    <w:p w14:paraId="4F4C32E5">
      <w:pPr>
        <w:snapToGrid w:val="0"/>
        <w:spacing w:line="360" w:lineRule="auto"/>
        <w:textAlignment w:val="baseline"/>
        <w:rPr>
          <w:rFonts w:hint="eastAsia" w:ascii="宋体" w:hAnsi="宋体" w:eastAsia="宋体" w:cs="宋体"/>
          <w:color w:val="auto"/>
          <w:sz w:val="28"/>
          <w:szCs w:val="28"/>
          <w:u w:val="dotted" w:color="000000"/>
        </w:rPr>
      </w:pPr>
      <w:r>
        <w:rPr>
          <w:rFonts w:hint="eastAsia" w:ascii="宋体" w:hAnsi="宋体" w:eastAsia="宋体" w:cs="宋体"/>
          <w:color w:val="auto"/>
          <w:sz w:val="28"/>
          <w:szCs w:val="28"/>
        </w:rPr>
        <w:t>请求：</w:t>
      </w:r>
      <w:r>
        <w:rPr>
          <w:rFonts w:hint="eastAsia" w:ascii="宋体" w:hAnsi="宋体" w:eastAsia="宋体" w:cs="宋体"/>
          <w:color w:val="auto"/>
          <w:sz w:val="28"/>
          <w:szCs w:val="28"/>
          <w:u w:val="dotted" w:color="000000"/>
        </w:rPr>
        <w:t xml:space="preserve">                                               </w:t>
      </w:r>
    </w:p>
    <w:p w14:paraId="36B6CFB4">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签字(签章)：                   公章：                      </w:t>
      </w:r>
    </w:p>
    <w:p w14:paraId="6E9BCF63">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日期：    </w:t>
      </w:r>
    </w:p>
    <w:p w14:paraId="2BF3552D">
      <w:pPr>
        <w:snapToGrid w:val="0"/>
        <w:spacing w:line="360" w:lineRule="auto"/>
        <w:textAlignment w:val="baseline"/>
        <w:rPr>
          <w:rFonts w:hint="eastAsia" w:ascii="宋体" w:hAnsi="宋体" w:eastAsia="宋体" w:cs="宋体"/>
          <w:b/>
          <w:color w:val="auto"/>
          <w:sz w:val="28"/>
          <w:szCs w:val="28"/>
        </w:rPr>
      </w:pPr>
    </w:p>
    <w:p w14:paraId="7F5BFC3E">
      <w:pPr>
        <w:snapToGrid w:val="0"/>
        <w:spacing w:line="360" w:lineRule="auto"/>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rPr>
        <w:t>质疑函制作说明：</w:t>
      </w:r>
    </w:p>
    <w:p w14:paraId="0AB9F2EB">
      <w:pPr>
        <w:widowControl/>
        <w:snapToGrid w:val="0"/>
        <w:spacing w:line="360" w:lineRule="auto"/>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1.供应商提出质疑时，应提交质疑函和必要的证明材料。</w:t>
      </w:r>
    </w:p>
    <w:p w14:paraId="10C54201">
      <w:pPr>
        <w:widowControl/>
        <w:snapToGrid w:val="0"/>
        <w:spacing w:line="360" w:lineRule="auto"/>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rPr>
        <w:t>供应商签署的授权委托书。授权委托书应载明代理人的姓名或者名称、代理事项、具体权限、期限和相关事项。</w:t>
      </w:r>
    </w:p>
    <w:p w14:paraId="7EEB88DB">
      <w:pPr>
        <w:widowControl/>
        <w:snapToGrid w:val="0"/>
        <w:spacing w:line="360" w:lineRule="auto"/>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3.质疑供应商若对项目的某一分包进行质疑，质疑函中应列明具体分包号。</w:t>
      </w:r>
    </w:p>
    <w:p w14:paraId="350D4031">
      <w:pPr>
        <w:widowControl/>
        <w:snapToGrid w:val="0"/>
        <w:spacing w:line="360" w:lineRule="auto"/>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4.质疑函的质疑事项应具体、明确，并有必要的事实依据和法律依据。</w:t>
      </w:r>
    </w:p>
    <w:p w14:paraId="27F54860">
      <w:pPr>
        <w:widowControl/>
        <w:snapToGrid w:val="0"/>
        <w:spacing w:line="360" w:lineRule="auto"/>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5.质疑函的质疑请求应与质疑事项相关。</w:t>
      </w:r>
    </w:p>
    <w:p w14:paraId="17759026">
      <w:pPr>
        <w:widowControl/>
        <w:snapToGrid w:val="0"/>
        <w:spacing w:line="360" w:lineRule="auto"/>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6.质疑供应商为自然人的，质疑函应由本人签字；质疑供应商为法人或者其他组织的，质疑函应由法定代表人、主要负责人，或者其授权代表签字或者盖章，并加盖公章。</w:t>
      </w:r>
    </w:p>
    <w:p w14:paraId="32D574DA">
      <w:pPr>
        <w:pStyle w:val="9"/>
        <w:spacing w:line="360" w:lineRule="auto"/>
        <w:rPr>
          <w:rFonts w:hint="eastAsia" w:ascii="宋体" w:hAnsi="宋体" w:eastAsia="宋体" w:cs="宋体"/>
          <w:color w:val="auto"/>
          <w:sz w:val="28"/>
          <w:szCs w:val="28"/>
        </w:rPr>
      </w:pPr>
    </w:p>
    <w:p w14:paraId="6A1A17AE">
      <w:pPr>
        <w:spacing w:line="360" w:lineRule="auto"/>
        <w:rPr>
          <w:rFonts w:hint="eastAsia" w:ascii="宋体" w:hAnsi="宋体" w:eastAsia="宋体" w:cs="宋体"/>
          <w:color w:val="auto"/>
          <w:sz w:val="28"/>
          <w:szCs w:val="28"/>
        </w:rPr>
      </w:pPr>
    </w:p>
    <w:p w14:paraId="4D4F50ED">
      <w:pPr>
        <w:spacing w:line="360" w:lineRule="auto"/>
        <w:rPr>
          <w:rFonts w:hint="eastAsia" w:ascii="宋体" w:hAnsi="宋体" w:eastAsia="宋体" w:cs="宋体"/>
          <w:color w:val="auto"/>
          <w:sz w:val="28"/>
          <w:szCs w:val="28"/>
        </w:rPr>
      </w:pPr>
      <w:bookmarkStart w:id="573" w:name="_Toc216582812"/>
      <w:bookmarkStart w:id="574" w:name="_Toc728"/>
      <w:bookmarkStart w:id="575" w:name="_Toc702"/>
      <w:bookmarkStart w:id="576" w:name="_Toc12503"/>
      <w:bookmarkStart w:id="577" w:name="_Toc515647802"/>
    </w:p>
    <w:p w14:paraId="03F6C2D5">
      <w:pPr>
        <w:pStyle w:val="2"/>
        <w:snapToGrid w:val="0"/>
        <w:spacing w:before="0" w:after="0" w:line="360" w:lineRule="auto"/>
        <w:textAlignment w:val="baseline"/>
        <w:rPr>
          <w:rFonts w:hint="eastAsia" w:ascii="宋体" w:hAnsi="宋体" w:eastAsia="宋体" w:cs="宋体"/>
          <w:color w:val="auto"/>
          <w:sz w:val="28"/>
          <w:szCs w:val="21"/>
        </w:rPr>
      </w:pPr>
      <w:bookmarkStart w:id="578" w:name="_Toc28997"/>
      <w:r>
        <w:rPr>
          <w:rFonts w:hint="eastAsia" w:ascii="宋体" w:hAnsi="宋体" w:eastAsia="宋体" w:cs="宋体"/>
          <w:color w:val="auto"/>
          <w:sz w:val="28"/>
          <w:szCs w:val="28"/>
        </w:rPr>
        <w:t>第2章 响应文件格式</w:t>
      </w:r>
      <w:bookmarkEnd w:id="573"/>
      <w:bookmarkEnd w:id="574"/>
      <w:bookmarkEnd w:id="575"/>
      <w:bookmarkEnd w:id="576"/>
      <w:bookmarkEnd w:id="577"/>
      <w:bookmarkEnd w:id="578"/>
    </w:p>
    <w:p w14:paraId="2D69459A">
      <w:pPr>
        <w:pStyle w:val="3"/>
        <w:snapToGrid w:val="0"/>
        <w:spacing w:before="0" w:line="360" w:lineRule="auto"/>
        <w:ind w:left="1080" w:leftChars="257" w:hanging="540"/>
        <w:textAlignment w:val="baseline"/>
        <w:rPr>
          <w:rFonts w:hint="eastAsia" w:ascii="宋体" w:hAnsi="宋体" w:eastAsia="宋体" w:cs="宋体"/>
          <w:color w:val="auto"/>
          <w:sz w:val="28"/>
          <w:szCs w:val="21"/>
        </w:rPr>
      </w:pPr>
      <w:bookmarkStart w:id="579" w:name="_Toc15876"/>
      <w:bookmarkStart w:id="580" w:name="_Toc515647803"/>
      <w:bookmarkStart w:id="581" w:name="_Toc18974"/>
      <w:bookmarkStart w:id="582" w:name="_Toc18694"/>
      <w:bookmarkStart w:id="583" w:name="_Toc26489"/>
      <w:bookmarkStart w:id="584" w:name="_Toc1126"/>
      <w:bookmarkStart w:id="585" w:name="_Toc27184"/>
      <w:bookmarkStart w:id="586" w:name="_Toc3315"/>
      <w:bookmarkStart w:id="587" w:name="_Toc19961"/>
      <w:r>
        <w:rPr>
          <w:rFonts w:hint="eastAsia" w:ascii="宋体" w:hAnsi="宋体" w:eastAsia="宋体" w:cs="宋体"/>
          <w:color w:val="auto"/>
          <w:sz w:val="28"/>
          <w:szCs w:val="28"/>
        </w:rPr>
        <w:t>第一部分 磋商开启一览表及资格证明文件</w:t>
      </w:r>
      <w:bookmarkEnd w:id="579"/>
      <w:bookmarkEnd w:id="580"/>
      <w:bookmarkEnd w:id="581"/>
      <w:bookmarkEnd w:id="582"/>
      <w:bookmarkEnd w:id="583"/>
      <w:bookmarkEnd w:id="584"/>
      <w:bookmarkEnd w:id="585"/>
      <w:bookmarkEnd w:id="586"/>
      <w:bookmarkEnd w:id="587"/>
    </w:p>
    <w:p w14:paraId="4AEA8D51">
      <w:pPr>
        <w:numPr>
          <w:ilvl w:val="0"/>
          <w:numId w:val="0"/>
        </w:numPr>
        <w:tabs>
          <w:tab w:val="left" w:pos="5580"/>
        </w:tabs>
        <w:snapToGrid w:val="0"/>
        <w:spacing w:line="360" w:lineRule="auto"/>
        <w:ind w:leftChars="0" w:firstLine="560" w:firstLineChars="200"/>
        <w:jc w:val="lef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磋商报价一览表;</w:t>
      </w:r>
    </w:p>
    <w:p w14:paraId="5E6CA0E3">
      <w:pPr>
        <w:numPr>
          <w:ilvl w:val="0"/>
          <w:numId w:val="0"/>
        </w:numPr>
        <w:tabs>
          <w:tab w:val="left" w:pos="5580"/>
        </w:tabs>
        <w:snapToGrid w:val="0"/>
        <w:spacing w:line="360" w:lineRule="auto"/>
        <w:ind w:leftChars="0"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2、有效的三证合一营业执照</w:t>
      </w:r>
    </w:p>
    <w:p w14:paraId="09B69EAE">
      <w:pPr>
        <w:numPr>
          <w:ilvl w:val="0"/>
          <w:numId w:val="0"/>
        </w:numPr>
        <w:tabs>
          <w:tab w:val="left" w:pos="5580"/>
        </w:tabs>
        <w:snapToGrid w:val="0"/>
        <w:spacing w:line="360" w:lineRule="auto"/>
        <w:ind w:leftChars="0"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3、企业资质要求：具备【市政公用工程监理专业乙级及以上资质】，并在人员、设备、资金等方面具有相应的监理能力。</w:t>
      </w:r>
    </w:p>
    <w:p w14:paraId="3E34734F">
      <w:pPr>
        <w:numPr>
          <w:ilvl w:val="0"/>
          <w:numId w:val="0"/>
        </w:numPr>
        <w:tabs>
          <w:tab w:val="left" w:pos="5580"/>
        </w:tabs>
        <w:snapToGrid w:val="0"/>
        <w:spacing w:line="360" w:lineRule="auto"/>
        <w:ind w:leftChars="0" w:firstLine="560" w:firstLineChars="200"/>
        <w:jc w:val="left"/>
        <w:textAlignment w:val="baseline"/>
        <w:rPr>
          <w:rFonts w:hint="eastAsia" w:ascii="宋体" w:hAnsi="宋体" w:eastAsia="宋体" w:cs="宋体"/>
          <w:b w:val="0"/>
          <w:color w:val="auto"/>
          <w:kern w:val="2"/>
          <w:sz w:val="28"/>
          <w:szCs w:val="28"/>
          <w:highlight w:val="none"/>
          <w:u w:val="none"/>
          <w:lang w:val="en-US" w:eastAsia="zh-CN" w:bidi="ar-SA"/>
        </w:rPr>
      </w:pPr>
      <w:r>
        <w:rPr>
          <w:rFonts w:hint="eastAsia" w:ascii="宋体" w:hAnsi="宋体" w:eastAsia="宋体" w:cs="宋体"/>
          <w:color w:val="auto"/>
          <w:sz w:val="28"/>
          <w:szCs w:val="28"/>
          <w:highlight w:val="none"/>
          <w:lang w:val="en-US" w:eastAsia="zh-CN"/>
        </w:rPr>
        <w:t>4、</w:t>
      </w:r>
      <w:r>
        <w:rPr>
          <w:rFonts w:hint="eastAsia" w:ascii="宋体" w:hAnsi="宋体" w:cs="宋体"/>
          <w:color w:val="auto"/>
          <w:sz w:val="28"/>
          <w:szCs w:val="28"/>
          <w:highlight w:val="none"/>
          <w:lang w:val="en-US" w:eastAsia="zh-CN"/>
        </w:rPr>
        <w:t>项目总监资质要求：项目总监须具备【市政公用工程专业注册监理工程师执业资格】，且不得有其他在施建设工程，提供近六个月任意一月有效的社保证明。</w:t>
      </w:r>
      <w:r>
        <w:rPr>
          <w:rFonts w:hint="eastAsia" w:ascii="宋体" w:hAnsi="宋体" w:eastAsia="宋体" w:cs="宋体"/>
          <w:b w:val="0"/>
          <w:color w:val="auto"/>
          <w:kern w:val="2"/>
          <w:sz w:val="28"/>
          <w:szCs w:val="28"/>
          <w:highlight w:val="none"/>
          <w:u w:val="none"/>
          <w:lang w:val="en-US" w:eastAsia="zh-CN" w:bidi="ar-SA"/>
        </w:rPr>
        <w:t>。</w:t>
      </w:r>
    </w:p>
    <w:p w14:paraId="6D8546B7">
      <w:pPr>
        <w:numPr>
          <w:ilvl w:val="0"/>
          <w:numId w:val="0"/>
        </w:numPr>
        <w:tabs>
          <w:tab w:val="left" w:pos="5580"/>
        </w:tabs>
        <w:snapToGrid w:val="0"/>
        <w:spacing w:line="360" w:lineRule="auto"/>
        <w:ind w:leftChars="0"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5、法定代表人投标需提供法定代表人资格证明书，委托代理人投标需提供法定代表人授权委托书；</w:t>
      </w:r>
    </w:p>
    <w:p w14:paraId="2FFB35EB">
      <w:pPr>
        <w:numPr>
          <w:ilvl w:val="0"/>
          <w:numId w:val="0"/>
        </w:numPr>
        <w:tabs>
          <w:tab w:val="left" w:pos="5580"/>
        </w:tabs>
        <w:snapToGrid w:val="0"/>
        <w:spacing w:line="360" w:lineRule="auto"/>
        <w:ind w:leftChars="0"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w:t>
      </w:r>
      <w:r>
        <w:rPr>
          <w:rFonts w:hint="eastAsia" w:ascii="宋体" w:hAnsi="宋体" w:cs="宋体"/>
          <w:color w:val="auto"/>
          <w:sz w:val="28"/>
          <w:szCs w:val="28"/>
          <w:highlight w:val="none"/>
          <w:lang w:val="en-US" w:eastAsia="zh-CN"/>
        </w:rPr>
        <w:t>提供本单位缴纳的近六个月任意一个月社保缴纳证明</w:t>
      </w:r>
      <w:r>
        <w:rPr>
          <w:rFonts w:hint="eastAsia" w:ascii="宋体" w:hAnsi="宋体" w:eastAsia="宋体" w:cs="宋体"/>
          <w:color w:val="auto"/>
          <w:sz w:val="28"/>
          <w:szCs w:val="28"/>
          <w:highlight w:val="none"/>
          <w:lang w:val="en-US" w:eastAsia="zh-CN"/>
        </w:rPr>
        <w:t>；</w:t>
      </w:r>
    </w:p>
    <w:p w14:paraId="0AB7B020">
      <w:pPr>
        <w:numPr>
          <w:ilvl w:val="0"/>
          <w:numId w:val="0"/>
        </w:numPr>
        <w:tabs>
          <w:tab w:val="left" w:pos="5580"/>
        </w:tabs>
        <w:snapToGrid w:val="0"/>
        <w:spacing w:line="360" w:lineRule="auto"/>
        <w:ind w:leftChars="0" w:firstLine="560" w:firstLineChars="200"/>
        <w:jc w:val="left"/>
        <w:textAlignment w:val="baseline"/>
        <w:rPr>
          <w:rFonts w:hint="eastAsia" w:ascii="宋体" w:hAnsi="宋体" w:eastAsia="宋体" w:cs="宋体"/>
          <w:b w:val="0"/>
          <w:color w:val="auto"/>
          <w:kern w:val="2"/>
          <w:sz w:val="28"/>
          <w:szCs w:val="28"/>
          <w:highlight w:val="none"/>
          <w:u w:val="none"/>
          <w:lang w:val="en-US" w:eastAsia="zh-CN" w:bidi="ar-SA"/>
        </w:rPr>
      </w:pPr>
      <w:r>
        <w:rPr>
          <w:rFonts w:hint="eastAsia" w:ascii="宋体" w:hAnsi="宋体" w:eastAsia="宋体" w:cs="宋体"/>
          <w:b w:val="0"/>
          <w:color w:val="auto"/>
          <w:kern w:val="2"/>
          <w:sz w:val="28"/>
          <w:szCs w:val="28"/>
          <w:highlight w:val="none"/>
          <w:u w:val="none"/>
          <w:lang w:val="en-US" w:eastAsia="zh-CN" w:bidi="ar-SA"/>
        </w:rPr>
        <w:t>7、</w:t>
      </w:r>
      <w:r>
        <w:rPr>
          <w:rFonts w:hint="eastAsia" w:ascii="宋体" w:hAnsi="宋体" w:cs="宋体"/>
          <w:b w:val="0"/>
          <w:color w:val="auto"/>
          <w:kern w:val="2"/>
          <w:sz w:val="28"/>
          <w:szCs w:val="28"/>
          <w:highlight w:val="none"/>
          <w:u w:val="none"/>
          <w:lang w:val="en-US" w:eastAsia="zh-CN" w:bidi="ar-SA"/>
        </w:rPr>
        <w:t>提供近六个月任意一个月税务局开具的完税证明；（完税证明或税务部门出具的其他证明，非社会保险类）；</w:t>
      </w:r>
      <w:r>
        <w:rPr>
          <w:rFonts w:hint="eastAsia" w:ascii="宋体" w:hAnsi="宋体" w:eastAsia="宋体" w:cs="宋体"/>
          <w:b w:val="0"/>
          <w:color w:val="auto"/>
          <w:kern w:val="2"/>
          <w:sz w:val="28"/>
          <w:szCs w:val="28"/>
          <w:highlight w:val="none"/>
          <w:u w:val="none"/>
          <w:lang w:val="en-US" w:eastAsia="zh-CN" w:bidi="ar-SA"/>
        </w:rPr>
        <w:t>；</w:t>
      </w:r>
    </w:p>
    <w:p w14:paraId="214239DC">
      <w:pPr>
        <w:numPr>
          <w:ilvl w:val="0"/>
          <w:numId w:val="0"/>
        </w:numPr>
        <w:tabs>
          <w:tab w:val="left" w:pos="5580"/>
        </w:tabs>
        <w:snapToGrid w:val="0"/>
        <w:spacing w:line="360" w:lineRule="auto"/>
        <w:ind w:leftChars="0"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8、2023年度财务审计报告(新成立公司提供开标前六个月内任意一个月有效银 行资信证明)</w:t>
      </w:r>
    </w:p>
    <w:p w14:paraId="008B92D9">
      <w:pPr>
        <w:numPr>
          <w:ilvl w:val="0"/>
          <w:numId w:val="0"/>
        </w:numPr>
        <w:tabs>
          <w:tab w:val="left" w:pos="5580"/>
        </w:tabs>
        <w:snapToGrid w:val="0"/>
        <w:spacing w:line="360" w:lineRule="auto"/>
        <w:ind w:leftChars="0"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9、参加采购活动前三年内，投标企业未被“信用中国”（www.creditchina.gov.cn）、中国政府采购网（www.ccgp.gov.cn）列入失信被执行人、重大税收违法案件当事人名单、政府采购严重违法失信行为记录名单。</w:t>
      </w:r>
    </w:p>
    <w:p w14:paraId="7C61AADC">
      <w:pPr>
        <w:numPr>
          <w:ilvl w:val="0"/>
          <w:numId w:val="0"/>
        </w:numPr>
        <w:tabs>
          <w:tab w:val="left" w:pos="5580"/>
        </w:tabs>
        <w:snapToGrid w:val="0"/>
        <w:spacing w:line="360" w:lineRule="auto"/>
        <w:ind w:leftChars="0"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10、本项目为专门面向中小企业（供应商须根据招标文件中的法定格式填写中小企业声明函）</w:t>
      </w:r>
    </w:p>
    <w:p w14:paraId="05319B9B">
      <w:pPr>
        <w:numPr>
          <w:ilvl w:val="0"/>
          <w:numId w:val="0"/>
        </w:numPr>
        <w:tabs>
          <w:tab w:val="left" w:pos="5580"/>
        </w:tabs>
        <w:snapToGrid w:val="0"/>
        <w:spacing w:line="360" w:lineRule="auto"/>
        <w:ind w:leftChars="0" w:firstLine="560" w:firstLineChars="200"/>
        <w:jc w:val="left"/>
        <w:textAlignment w:val="baseline"/>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缴纳磋商保证金有效凭证</w:t>
      </w:r>
      <w:r>
        <w:rPr>
          <w:rFonts w:hint="eastAsia" w:ascii="宋体" w:hAnsi="宋体" w:eastAsia="宋体" w:cs="宋体"/>
          <w:color w:val="auto"/>
          <w:kern w:val="0"/>
          <w:sz w:val="28"/>
          <w:szCs w:val="28"/>
          <w:highlight w:val="none"/>
        </w:rPr>
        <w:t>；</w:t>
      </w:r>
    </w:p>
    <w:p w14:paraId="0AB0BE01">
      <w:pPr>
        <w:numPr>
          <w:ilvl w:val="0"/>
          <w:numId w:val="0"/>
        </w:numPr>
        <w:tabs>
          <w:tab w:val="left" w:pos="5580"/>
        </w:tabs>
        <w:snapToGrid w:val="0"/>
        <w:spacing w:line="360" w:lineRule="auto"/>
        <w:ind w:leftChars="0" w:firstLine="560" w:firstLineChars="200"/>
        <w:jc w:val="left"/>
        <w:textAlignment w:val="baseline"/>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12、投标人关联单位的说明</w:t>
      </w:r>
    </w:p>
    <w:p w14:paraId="3D48A3A5">
      <w:pPr>
        <w:numPr>
          <w:ilvl w:val="0"/>
          <w:numId w:val="0"/>
        </w:numPr>
        <w:tabs>
          <w:tab w:val="left" w:pos="5580"/>
        </w:tabs>
        <w:snapToGrid w:val="0"/>
        <w:spacing w:line="360" w:lineRule="auto"/>
        <w:ind w:leftChars="0" w:firstLine="560" w:firstLineChars="200"/>
        <w:jc w:val="left"/>
        <w:textAlignment w:val="baseline"/>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13、投标人须知资料表要求的其他资格证明文件</w:t>
      </w:r>
    </w:p>
    <w:p w14:paraId="0730D6FE">
      <w:pPr>
        <w:pStyle w:val="15"/>
        <w:snapToGrid w:val="0"/>
        <w:spacing w:line="360" w:lineRule="auto"/>
        <w:textAlignment w:val="baseline"/>
        <w:outlineLvl w:val="9"/>
        <w:rPr>
          <w:rFonts w:hint="eastAsia" w:ascii="宋体" w:hAnsi="宋体" w:eastAsia="宋体" w:cs="宋体"/>
          <w:color w:val="auto"/>
          <w:sz w:val="22"/>
          <w:szCs w:val="28"/>
        </w:rPr>
      </w:pPr>
    </w:p>
    <w:p w14:paraId="5E646786">
      <w:pPr>
        <w:spacing w:line="360" w:lineRule="auto"/>
        <w:rPr>
          <w:rFonts w:hint="eastAsia" w:ascii="宋体" w:hAnsi="宋体" w:eastAsia="宋体" w:cs="宋体"/>
          <w:color w:val="auto"/>
          <w:sz w:val="28"/>
          <w:szCs w:val="28"/>
        </w:rPr>
      </w:pPr>
      <w:bookmarkStart w:id="588" w:name="_Toc11175"/>
      <w:bookmarkStart w:id="589" w:name="_Toc24216"/>
      <w:bookmarkStart w:id="590" w:name="_Toc15138"/>
      <w:bookmarkStart w:id="591" w:name="_Toc216582813"/>
      <w:bookmarkStart w:id="592" w:name="_Toc520356217"/>
      <w:bookmarkStart w:id="593" w:name="_Toc480942349"/>
      <w:bookmarkStart w:id="594" w:name="_Ref467988698"/>
    </w:p>
    <w:p w14:paraId="08640F25">
      <w:pPr>
        <w:pStyle w:val="3"/>
        <w:snapToGrid w:val="0"/>
        <w:spacing w:before="0" w:line="360" w:lineRule="auto"/>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1、磋商报价一览表</w:t>
      </w:r>
      <w:bookmarkEnd w:id="588"/>
      <w:bookmarkEnd w:id="589"/>
      <w:bookmarkEnd w:id="590"/>
    </w:p>
    <w:p w14:paraId="67C155E9">
      <w:pPr>
        <w:pStyle w:val="9"/>
        <w:tabs>
          <w:tab w:val="left" w:pos="5580"/>
        </w:tabs>
        <w:snapToGrid w:val="0"/>
        <w:spacing w:line="360" w:lineRule="auto"/>
        <w:ind w:firstLine="0"/>
        <w:jc w:val="center"/>
        <w:textAlignment w:val="baseline"/>
        <w:rPr>
          <w:rFonts w:hint="eastAsia" w:ascii="宋体" w:hAnsi="宋体" w:eastAsia="宋体" w:cs="宋体"/>
          <w:color w:val="auto"/>
          <w:sz w:val="28"/>
          <w:szCs w:val="28"/>
        </w:rPr>
      </w:pPr>
      <w:bookmarkStart w:id="595" w:name="_Hlt520356241"/>
      <w:bookmarkEnd w:id="595"/>
      <w:r>
        <w:rPr>
          <w:rFonts w:hint="eastAsia" w:ascii="宋体" w:hAnsi="宋体" w:eastAsia="宋体" w:cs="宋体"/>
          <w:b/>
          <w:color w:val="auto"/>
          <w:sz w:val="28"/>
          <w:szCs w:val="28"/>
        </w:rPr>
        <w:t>磋商报价一览表</w:t>
      </w:r>
    </w:p>
    <w:p w14:paraId="2B23CE1C">
      <w:pPr>
        <w:tabs>
          <w:tab w:val="left" w:pos="1800"/>
          <w:tab w:val="left" w:pos="5580"/>
        </w:tabs>
        <w:snapToGrid w:val="0"/>
        <w:spacing w:line="360" w:lineRule="auto"/>
        <w:ind w:left="1080" w:leftChars="257" w:right="-86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项目名称：　                  项目编号：                        </w:t>
      </w:r>
    </w:p>
    <w:p w14:paraId="5C8EDB59">
      <w:pPr>
        <w:tabs>
          <w:tab w:val="left" w:pos="1800"/>
          <w:tab w:val="left" w:pos="5580"/>
        </w:tabs>
        <w:snapToGrid w:val="0"/>
        <w:spacing w:line="360" w:lineRule="auto"/>
        <w:ind w:left="1080" w:leftChars="257" w:right="-86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报价单位：人民币  </w:t>
      </w:r>
      <w:r>
        <w:rPr>
          <w:rFonts w:hint="eastAsia" w:ascii="宋体" w:hAnsi="宋体" w:eastAsia="宋体" w:cs="宋体"/>
          <w:b/>
          <w:color w:val="auto"/>
          <w:sz w:val="28"/>
          <w:szCs w:val="28"/>
        </w:rPr>
        <w:t>万元</w:t>
      </w:r>
    </w:p>
    <w:tbl>
      <w:tblPr>
        <w:tblStyle w:val="40"/>
        <w:tblW w:w="10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5"/>
        <w:gridCol w:w="1544"/>
        <w:gridCol w:w="2001"/>
        <w:gridCol w:w="1291"/>
        <w:gridCol w:w="1291"/>
        <w:gridCol w:w="1448"/>
        <w:gridCol w:w="1448"/>
      </w:tblGrid>
      <w:tr w14:paraId="6DFC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1295" w:type="dxa"/>
            <w:vAlign w:val="center"/>
          </w:tcPr>
          <w:p w14:paraId="47950D2A">
            <w:pPr>
              <w:tabs>
                <w:tab w:val="left" w:pos="5580"/>
              </w:tabs>
              <w:snapToGrid w:val="0"/>
              <w:spacing w:line="360" w:lineRule="auto"/>
              <w:ind w:right="-199"/>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名称</w:t>
            </w:r>
          </w:p>
        </w:tc>
        <w:tc>
          <w:tcPr>
            <w:tcW w:w="1544" w:type="dxa"/>
            <w:vAlign w:val="center"/>
          </w:tcPr>
          <w:p w14:paraId="4814F5A8">
            <w:pPr>
              <w:tabs>
                <w:tab w:val="left" w:pos="5580"/>
              </w:tabs>
              <w:snapToGrid w:val="0"/>
              <w:spacing w:line="360" w:lineRule="auto"/>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总报价</w:t>
            </w:r>
          </w:p>
        </w:tc>
        <w:tc>
          <w:tcPr>
            <w:tcW w:w="2001" w:type="dxa"/>
            <w:vAlign w:val="center"/>
          </w:tcPr>
          <w:p w14:paraId="7EEC86AA">
            <w:pPr>
              <w:tabs>
                <w:tab w:val="left" w:pos="5580"/>
              </w:tabs>
              <w:snapToGrid w:val="0"/>
              <w:spacing w:line="360" w:lineRule="auto"/>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磋商保证金</w:t>
            </w:r>
          </w:p>
        </w:tc>
        <w:tc>
          <w:tcPr>
            <w:tcW w:w="1291" w:type="dxa"/>
            <w:vAlign w:val="center"/>
          </w:tcPr>
          <w:p w14:paraId="0A701618">
            <w:pPr>
              <w:tabs>
                <w:tab w:val="left" w:pos="5580"/>
              </w:tabs>
              <w:snapToGrid w:val="0"/>
              <w:spacing w:line="360" w:lineRule="auto"/>
              <w:jc w:val="center"/>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项目总监</w:t>
            </w:r>
            <w:r>
              <w:rPr>
                <w:rFonts w:hint="eastAsia" w:ascii="宋体" w:hAnsi="宋体" w:eastAsia="宋体" w:cs="宋体"/>
                <w:color w:val="auto"/>
                <w:sz w:val="28"/>
                <w:szCs w:val="28"/>
                <w:lang w:val="en-US" w:eastAsia="zh-CN"/>
              </w:rPr>
              <w:t>姓名及注册证号</w:t>
            </w:r>
          </w:p>
        </w:tc>
        <w:tc>
          <w:tcPr>
            <w:tcW w:w="1291" w:type="dxa"/>
            <w:vAlign w:val="center"/>
          </w:tcPr>
          <w:p w14:paraId="7E7E82A8">
            <w:pPr>
              <w:tabs>
                <w:tab w:val="left" w:pos="5580"/>
              </w:tabs>
              <w:snapToGrid w:val="0"/>
              <w:spacing w:line="360" w:lineRule="auto"/>
              <w:jc w:val="center"/>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工期</w:t>
            </w:r>
          </w:p>
        </w:tc>
        <w:tc>
          <w:tcPr>
            <w:tcW w:w="1448" w:type="dxa"/>
            <w:vAlign w:val="center"/>
          </w:tcPr>
          <w:p w14:paraId="64C9856F">
            <w:pPr>
              <w:tabs>
                <w:tab w:val="left" w:pos="5580"/>
              </w:tabs>
              <w:snapToGrid w:val="0"/>
              <w:spacing w:line="360" w:lineRule="auto"/>
              <w:jc w:val="center"/>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工程质量</w:t>
            </w:r>
          </w:p>
        </w:tc>
        <w:tc>
          <w:tcPr>
            <w:tcW w:w="1448" w:type="dxa"/>
            <w:vAlign w:val="center"/>
          </w:tcPr>
          <w:p w14:paraId="33FAEADA">
            <w:pPr>
              <w:tabs>
                <w:tab w:val="left" w:pos="5580"/>
              </w:tabs>
              <w:snapToGrid w:val="0"/>
              <w:spacing w:line="360" w:lineRule="auto"/>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r>
      <w:tr w14:paraId="0387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6" w:hRule="atLeast"/>
          <w:jc w:val="center"/>
        </w:trPr>
        <w:tc>
          <w:tcPr>
            <w:tcW w:w="1295" w:type="dxa"/>
            <w:vAlign w:val="center"/>
          </w:tcPr>
          <w:p w14:paraId="45D5C99F">
            <w:pPr>
              <w:tabs>
                <w:tab w:val="left" w:pos="5580"/>
              </w:tabs>
              <w:snapToGrid w:val="0"/>
              <w:spacing w:line="360" w:lineRule="auto"/>
              <w:ind w:left="1080" w:leftChars="257" w:hanging="540"/>
              <w:jc w:val="center"/>
              <w:textAlignment w:val="baseline"/>
              <w:rPr>
                <w:rFonts w:hint="eastAsia" w:ascii="宋体" w:hAnsi="宋体" w:eastAsia="宋体" w:cs="宋体"/>
                <w:color w:val="auto"/>
                <w:sz w:val="28"/>
                <w:szCs w:val="28"/>
              </w:rPr>
            </w:pPr>
          </w:p>
        </w:tc>
        <w:tc>
          <w:tcPr>
            <w:tcW w:w="1544" w:type="dxa"/>
            <w:vAlign w:val="center"/>
          </w:tcPr>
          <w:p w14:paraId="24BF0F67">
            <w:pPr>
              <w:tabs>
                <w:tab w:val="left" w:pos="5580"/>
              </w:tabs>
              <w:snapToGrid w:val="0"/>
              <w:spacing w:line="360" w:lineRule="auto"/>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大写：</w:t>
            </w:r>
          </w:p>
          <w:p w14:paraId="3FB71E2E">
            <w:pPr>
              <w:tabs>
                <w:tab w:val="left" w:pos="5580"/>
              </w:tabs>
              <w:snapToGrid w:val="0"/>
              <w:spacing w:line="360" w:lineRule="auto"/>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小写：</w:t>
            </w:r>
          </w:p>
        </w:tc>
        <w:tc>
          <w:tcPr>
            <w:tcW w:w="2001" w:type="dxa"/>
            <w:vAlign w:val="center"/>
          </w:tcPr>
          <w:p w14:paraId="19B9CD63">
            <w:pPr>
              <w:tabs>
                <w:tab w:val="left" w:pos="5580"/>
              </w:tabs>
              <w:snapToGrid w:val="0"/>
              <w:spacing w:line="360" w:lineRule="auto"/>
              <w:ind w:left="1080" w:leftChars="257" w:hanging="540"/>
              <w:jc w:val="center"/>
              <w:textAlignment w:val="baseline"/>
              <w:rPr>
                <w:rFonts w:hint="eastAsia" w:ascii="宋体" w:hAnsi="宋体" w:eastAsia="宋体" w:cs="宋体"/>
                <w:color w:val="auto"/>
                <w:sz w:val="28"/>
                <w:szCs w:val="28"/>
              </w:rPr>
            </w:pPr>
          </w:p>
        </w:tc>
        <w:tc>
          <w:tcPr>
            <w:tcW w:w="1291" w:type="dxa"/>
            <w:vAlign w:val="center"/>
          </w:tcPr>
          <w:p w14:paraId="4FC171BD">
            <w:pPr>
              <w:tabs>
                <w:tab w:val="left" w:pos="5580"/>
              </w:tabs>
              <w:snapToGrid w:val="0"/>
              <w:spacing w:line="360" w:lineRule="auto"/>
              <w:ind w:left="1080" w:leftChars="257" w:hanging="540"/>
              <w:jc w:val="center"/>
              <w:textAlignment w:val="baseline"/>
              <w:rPr>
                <w:rFonts w:hint="eastAsia" w:ascii="宋体" w:hAnsi="宋体" w:eastAsia="宋体" w:cs="宋体"/>
                <w:color w:val="auto"/>
                <w:sz w:val="28"/>
                <w:szCs w:val="28"/>
              </w:rPr>
            </w:pPr>
          </w:p>
        </w:tc>
        <w:tc>
          <w:tcPr>
            <w:tcW w:w="1291" w:type="dxa"/>
            <w:vAlign w:val="center"/>
          </w:tcPr>
          <w:p w14:paraId="173BF3E5">
            <w:pPr>
              <w:tabs>
                <w:tab w:val="left" w:pos="5580"/>
              </w:tabs>
              <w:snapToGrid w:val="0"/>
              <w:spacing w:line="360" w:lineRule="auto"/>
              <w:ind w:left="1080" w:leftChars="257" w:hanging="540"/>
              <w:jc w:val="center"/>
              <w:textAlignment w:val="baseline"/>
              <w:rPr>
                <w:rFonts w:hint="eastAsia" w:ascii="宋体" w:hAnsi="宋体" w:eastAsia="宋体" w:cs="宋体"/>
                <w:color w:val="auto"/>
                <w:sz w:val="28"/>
                <w:szCs w:val="28"/>
              </w:rPr>
            </w:pPr>
          </w:p>
        </w:tc>
        <w:tc>
          <w:tcPr>
            <w:tcW w:w="1448" w:type="dxa"/>
            <w:vAlign w:val="center"/>
          </w:tcPr>
          <w:p w14:paraId="00FD415A">
            <w:pPr>
              <w:tabs>
                <w:tab w:val="left" w:pos="5580"/>
              </w:tabs>
              <w:snapToGrid w:val="0"/>
              <w:spacing w:line="360" w:lineRule="auto"/>
              <w:ind w:left="1080" w:leftChars="257" w:hanging="540"/>
              <w:jc w:val="center"/>
              <w:textAlignment w:val="baseline"/>
              <w:rPr>
                <w:rFonts w:hint="eastAsia" w:ascii="宋体" w:hAnsi="宋体" w:eastAsia="宋体" w:cs="宋体"/>
                <w:color w:val="auto"/>
                <w:sz w:val="28"/>
                <w:szCs w:val="28"/>
              </w:rPr>
            </w:pPr>
          </w:p>
        </w:tc>
        <w:tc>
          <w:tcPr>
            <w:tcW w:w="1448" w:type="dxa"/>
            <w:vAlign w:val="center"/>
          </w:tcPr>
          <w:p w14:paraId="610AD388">
            <w:pPr>
              <w:tabs>
                <w:tab w:val="left" w:pos="5580"/>
              </w:tabs>
              <w:snapToGrid w:val="0"/>
              <w:spacing w:line="360" w:lineRule="auto"/>
              <w:ind w:left="1080" w:leftChars="257" w:hanging="540"/>
              <w:jc w:val="center"/>
              <w:textAlignment w:val="baseline"/>
              <w:rPr>
                <w:rFonts w:hint="eastAsia" w:ascii="宋体" w:hAnsi="宋体" w:eastAsia="宋体" w:cs="宋体"/>
                <w:color w:val="auto"/>
                <w:sz w:val="28"/>
                <w:szCs w:val="28"/>
              </w:rPr>
            </w:pPr>
          </w:p>
        </w:tc>
      </w:tr>
    </w:tbl>
    <w:p w14:paraId="5649FE88">
      <w:pPr>
        <w:pStyle w:val="19"/>
        <w:tabs>
          <w:tab w:val="left" w:pos="5580"/>
        </w:tabs>
        <w:snapToGrid w:val="0"/>
        <w:spacing w:line="360" w:lineRule="auto"/>
        <w:textAlignment w:val="baseline"/>
        <w:rPr>
          <w:rFonts w:hint="eastAsia" w:ascii="宋体" w:hAnsi="宋体" w:eastAsia="宋体" w:cs="宋体"/>
          <w:color w:val="auto"/>
          <w:sz w:val="28"/>
          <w:szCs w:val="28"/>
          <w:u w:val="single" w:color="000000"/>
        </w:rPr>
      </w:pPr>
    </w:p>
    <w:p w14:paraId="5C58A548">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供应商名称（公章）：</w:t>
      </w:r>
      <w:r>
        <w:rPr>
          <w:rFonts w:hint="eastAsia" w:ascii="宋体" w:hAnsi="宋体" w:eastAsia="宋体" w:cs="宋体"/>
          <w:color w:val="auto"/>
          <w:sz w:val="28"/>
          <w:szCs w:val="28"/>
          <w:u w:val="single" w:color="000000"/>
        </w:rPr>
        <w:t xml:space="preserve">                       </w:t>
      </w:r>
    </w:p>
    <w:p w14:paraId="69D52ABA">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u w:val="single" w:color="000000"/>
        </w:rPr>
      </w:pPr>
      <w:r>
        <w:rPr>
          <w:rFonts w:hint="eastAsia" w:ascii="宋体" w:hAnsi="宋体" w:eastAsia="宋体" w:cs="宋体"/>
          <w:color w:val="auto"/>
          <w:sz w:val="28"/>
          <w:szCs w:val="28"/>
        </w:rPr>
        <w:t>法定代表人或委托代理(签字):</w:t>
      </w:r>
      <w:r>
        <w:rPr>
          <w:rFonts w:hint="eastAsia" w:ascii="宋体" w:hAnsi="宋体" w:eastAsia="宋体" w:cs="宋体"/>
          <w:color w:val="auto"/>
          <w:sz w:val="28"/>
          <w:szCs w:val="28"/>
          <w:u w:val="single" w:color="000000"/>
        </w:rPr>
        <w:tab/>
      </w:r>
    </w:p>
    <w:p w14:paraId="7921E4D1">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p>
    <w:p w14:paraId="355FE78A">
      <w:pPr>
        <w:pStyle w:val="20"/>
        <w:spacing w:line="360" w:lineRule="auto"/>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注:</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、此表应按投标人须知的规定上传。</w:t>
      </w:r>
    </w:p>
    <w:p w14:paraId="359CB98B">
      <w:pPr>
        <w:pStyle w:val="20"/>
        <w:spacing w:line="360" w:lineRule="auto"/>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2、此表中，每包的投标总价应和投标分项报价表的总价相一致。</w:t>
      </w:r>
    </w:p>
    <w:p w14:paraId="72C9D7E1">
      <w:pPr>
        <w:pStyle w:val="20"/>
        <w:spacing w:line="360" w:lineRule="auto"/>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3、此报价包括本次服务的全部费用。</w:t>
      </w:r>
    </w:p>
    <w:p w14:paraId="13010D3A">
      <w:pPr>
        <w:pStyle w:val="20"/>
        <w:spacing w:line="360" w:lineRule="auto"/>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4、符合《政府采购促进中小企业发展管理办法》《关于政府采购支持监狱企业发展有关 问题 的通知》和《三部门联合发布关于促进残疾人就业政府采购政策的通知》价格扣减 条件的投标人须提交） 。</w:t>
      </w:r>
    </w:p>
    <w:p w14:paraId="722ED236">
      <w:pPr>
        <w:spacing w:line="360" w:lineRule="auto"/>
        <w:rPr>
          <w:rFonts w:hint="eastAsia" w:ascii="宋体" w:hAnsi="宋体" w:eastAsia="宋体" w:cs="宋体"/>
          <w:color w:val="auto"/>
          <w:sz w:val="28"/>
          <w:szCs w:val="28"/>
        </w:rPr>
      </w:pPr>
    </w:p>
    <w:p w14:paraId="3B31B1CD">
      <w:pPr>
        <w:spacing w:line="360" w:lineRule="auto"/>
        <w:rPr>
          <w:rFonts w:hint="eastAsia" w:ascii="宋体" w:hAnsi="宋体" w:eastAsia="宋体" w:cs="宋体"/>
          <w:color w:val="auto"/>
          <w:sz w:val="22"/>
          <w:szCs w:val="28"/>
        </w:rPr>
      </w:pPr>
    </w:p>
    <w:p w14:paraId="49A49B1C">
      <w:pPr>
        <w:pStyle w:val="9"/>
        <w:spacing w:line="360" w:lineRule="auto"/>
        <w:outlineLvl w:val="9"/>
        <w:rPr>
          <w:rFonts w:hint="eastAsia" w:ascii="宋体" w:hAnsi="宋体" w:eastAsia="宋体" w:cs="宋体"/>
          <w:b/>
          <w:bCs/>
          <w:color w:val="auto"/>
          <w:sz w:val="28"/>
          <w:szCs w:val="21"/>
          <w:highlight w:val="none"/>
        </w:rPr>
      </w:pPr>
      <w:bookmarkStart w:id="596" w:name="_Toc32348"/>
      <w:bookmarkStart w:id="597" w:name="_Toc3218"/>
    </w:p>
    <w:p w14:paraId="08079DA0">
      <w:pPr>
        <w:pStyle w:val="9"/>
        <w:spacing w:line="360" w:lineRule="auto"/>
        <w:outlineLvl w:val="1"/>
        <w:rPr>
          <w:rFonts w:hint="eastAsia" w:ascii="宋体" w:hAnsi="宋体" w:eastAsia="宋体" w:cs="宋体"/>
          <w:b/>
          <w:bCs/>
          <w:color w:val="auto"/>
          <w:sz w:val="28"/>
          <w:szCs w:val="21"/>
          <w:highlight w:val="none"/>
          <w:lang w:val="en-US" w:eastAsia="zh-CN"/>
        </w:rPr>
      </w:pPr>
      <w:bookmarkStart w:id="598" w:name="_Toc21861"/>
      <w:bookmarkStart w:id="599" w:name="_Toc14643"/>
      <w:bookmarkStart w:id="600" w:name="_Toc15680"/>
      <w:r>
        <w:rPr>
          <w:rFonts w:hint="eastAsia" w:ascii="宋体" w:hAnsi="宋体" w:eastAsia="宋体" w:cs="宋体"/>
          <w:b/>
          <w:bCs/>
          <w:color w:val="auto"/>
          <w:sz w:val="28"/>
          <w:szCs w:val="21"/>
          <w:highlight w:val="none"/>
        </w:rPr>
        <w:t xml:space="preserve">2  </w:t>
      </w:r>
      <w:bookmarkEnd w:id="596"/>
      <w:bookmarkEnd w:id="597"/>
      <w:bookmarkEnd w:id="598"/>
      <w:bookmarkEnd w:id="599"/>
      <w:bookmarkEnd w:id="600"/>
      <w:bookmarkStart w:id="601" w:name="_Toc24241"/>
      <w:bookmarkStart w:id="602" w:name="_Toc8241"/>
      <w:bookmarkStart w:id="603" w:name="_Toc16088"/>
      <w:bookmarkStart w:id="604" w:name="_Toc22089"/>
      <w:bookmarkStart w:id="605" w:name="_Toc16516"/>
      <w:bookmarkStart w:id="606" w:name="_Toc20720"/>
      <w:bookmarkStart w:id="607" w:name="_Toc16480"/>
      <w:bookmarkStart w:id="608" w:name="_Toc16326"/>
      <w:bookmarkStart w:id="609" w:name="_Toc494296665"/>
      <w:bookmarkStart w:id="610" w:name="_Toc494296991"/>
      <w:bookmarkStart w:id="611" w:name="_Toc10102"/>
      <w:bookmarkStart w:id="612" w:name="_Toc28525"/>
      <w:r>
        <w:rPr>
          <w:rFonts w:hint="eastAsia" w:ascii="宋体" w:hAnsi="宋体" w:eastAsia="宋体" w:cs="宋体"/>
          <w:b/>
          <w:bCs/>
          <w:color w:val="auto"/>
          <w:sz w:val="28"/>
          <w:szCs w:val="21"/>
          <w:highlight w:val="none"/>
          <w:lang w:val="en-US" w:eastAsia="zh-CN"/>
        </w:rPr>
        <w:t>有效的三证合一营业执照</w:t>
      </w:r>
      <w:bookmarkEnd w:id="601"/>
    </w:p>
    <w:p w14:paraId="0966FCF7">
      <w:pPr>
        <w:pStyle w:val="9"/>
        <w:spacing w:line="360" w:lineRule="auto"/>
        <w:outlineLvl w:val="9"/>
        <w:rPr>
          <w:rFonts w:hint="eastAsia" w:ascii="宋体" w:hAnsi="宋体" w:eastAsia="宋体" w:cs="宋体"/>
          <w:b/>
          <w:bCs/>
          <w:color w:val="auto"/>
          <w:sz w:val="28"/>
          <w:szCs w:val="21"/>
          <w:highlight w:val="none"/>
        </w:rPr>
      </w:pPr>
      <w:r>
        <w:rPr>
          <w:rFonts w:hint="eastAsia" w:ascii="宋体" w:hAnsi="宋体" w:eastAsia="宋体" w:cs="宋体"/>
          <w:color w:val="auto"/>
          <w:kern w:val="2"/>
          <w:sz w:val="28"/>
          <w:szCs w:val="28"/>
          <w:highlight w:val="none"/>
          <w:lang w:val="en-US" w:eastAsia="zh-CN" w:bidi="ar-SA"/>
        </w:rPr>
        <w:t>说明：营业执照正本或副本，须上传扫描件并加盖本单位公章。</w:t>
      </w:r>
    </w:p>
    <w:p w14:paraId="67CCA061">
      <w:pPr>
        <w:pStyle w:val="30"/>
        <w:spacing w:line="360" w:lineRule="auto"/>
        <w:textAlignment w:val="baseline"/>
        <w:rPr>
          <w:rFonts w:hint="eastAsia" w:ascii="宋体" w:hAnsi="宋体" w:eastAsia="宋体" w:cs="宋体"/>
          <w:color w:val="auto"/>
          <w:sz w:val="20"/>
          <w:szCs w:val="28"/>
        </w:rPr>
      </w:pPr>
    </w:p>
    <w:p w14:paraId="5D24FA34">
      <w:pPr>
        <w:pStyle w:val="30"/>
        <w:spacing w:line="360" w:lineRule="auto"/>
        <w:textAlignment w:val="baseline"/>
        <w:rPr>
          <w:rFonts w:hint="eastAsia" w:ascii="宋体" w:hAnsi="宋体" w:eastAsia="宋体" w:cs="宋体"/>
          <w:color w:val="auto"/>
          <w:sz w:val="20"/>
          <w:szCs w:val="28"/>
        </w:rPr>
      </w:pPr>
    </w:p>
    <w:bookmarkEnd w:id="602"/>
    <w:bookmarkEnd w:id="603"/>
    <w:bookmarkEnd w:id="604"/>
    <w:bookmarkEnd w:id="605"/>
    <w:p w14:paraId="01DA5FD4">
      <w:pPr>
        <w:pStyle w:val="11"/>
        <w:snapToGrid w:val="0"/>
        <w:spacing w:line="360" w:lineRule="auto"/>
        <w:textAlignment w:val="baseline"/>
        <w:outlineLvl w:val="9"/>
        <w:rPr>
          <w:rFonts w:hint="eastAsia" w:ascii="宋体" w:hAnsi="宋体" w:eastAsia="宋体" w:cs="宋体"/>
          <w:b/>
          <w:bCs/>
          <w:i w:val="0"/>
          <w:iCs w:val="0"/>
          <w:caps w:val="0"/>
          <w:color w:val="auto"/>
          <w:spacing w:val="0"/>
          <w:kern w:val="0"/>
          <w:sz w:val="28"/>
          <w:szCs w:val="28"/>
          <w:highlight w:val="none"/>
          <w:lang w:val="en-US" w:eastAsia="zh-CN" w:bidi="ar-SA"/>
        </w:rPr>
        <w:sectPr>
          <w:footerReference r:id="rId5" w:type="default"/>
          <w:pgSz w:w="11906" w:h="16839"/>
          <w:pgMar w:top="1440" w:right="1800" w:bottom="1440" w:left="1800" w:header="0" w:footer="408" w:gutter="0"/>
          <w:pgNumType w:fmt="decimal" w:start="1"/>
          <w:cols w:space="720" w:num="1"/>
        </w:sectPr>
      </w:pPr>
    </w:p>
    <w:p w14:paraId="50F2A2AB">
      <w:pPr>
        <w:pStyle w:val="19"/>
        <w:numPr>
          <w:ilvl w:val="0"/>
          <w:numId w:val="0"/>
        </w:numPr>
        <w:tabs>
          <w:tab w:val="left" w:pos="5580"/>
        </w:tabs>
        <w:snapToGrid w:val="0"/>
        <w:spacing w:line="360" w:lineRule="auto"/>
        <w:textAlignment w:val="baseline"/>
        <w:rPr>
          <w:rFonts w:hint="eastAsia" w:ascii="宋体" w:hAnsi="宋体" w:eastAsia="宋体" w:cs="宋体"/>
          <w:b/>
          <w:bCs/>
          <w:color w:val="auto"/>
          <w:kern w:val="0"/>
          <w:sz w:val="28"/>
          <w:szCs w:val="21"/>
          <w:highlight w:val="none"/>
          <w:lang w:val="en-US" w:eastAsia="zh-CN" w:bidi="ar-SA"/>
        </w:rPr>
      </w:pPr>
      <w:r>
        <w:rPr>
          <w:rFonts w:hint="eastAsia" w:ascii="宋体" w:hAnsi="宋体" w:eastAsia="宋体" w:cs="宋体"/>
          <w:b/>
          <w:bCs/>
          <w:color w:val="auto"/>
          <w:kern w:val="0"/>
          <w:sz w:val="28"/>
          <w:szCs w:val="21"/>
          <w:lang w:val="en-US" w:eastAsia="zh-CN" w:bidi="ar-SA"/>
        </w:rPr>
        <w:t>3企业资质要求：具备【市政公用工程监理专业乙级及以上资质】，并在人员、设备、资金等方面具有相应的监理能力</w:t>
      </w:r>
      <w:r>
        <w:rPr>
          <w:rFonts w:hint="eastAsia" w:ascii="宋体" w:hAnsi="宋体" w:eastAsia="宋体" w:cs="宋体"/>
          <w:b/>
          <w:bCs/>
          <w:color w:val="auto"/>
          <w:kern w:val="0"/>
          <w:sz w:val="28"/>
          <w:szCs w:val="21"/>
          <w:highlight w:val="none"/>
          <w:lang w:val="en-US" w:eastAsia="zh-CN" w:bidi="ar-SA"/>
        </w:rPr>
        <w:t>；</w:t>
      </w:r>
    </w:p>
    <w:p w14:paraId="566DE8D3">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511A2503">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03460E86">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33E69B8C">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7CDBE410">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02E65C11">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3C09CBF1">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346C992A">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42C02257">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339C1F4C">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093BD650">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00C3652F">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328F20EB">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61502E67">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r>
        <w:rPr>
          <w:rFonts w:hint="eastAsia" w:ascii="宋体" w:hAnsi="宋体" w:eastAsia="宋体" w:cs="宋体"/>
          <w:b/>
          <w:bCs/>
          <w:color w:val="auto"/>
          <w:kern w:val="0"/>
          <w:sz w:val="28"/>
          <w:szCs w:val="21"/>
          <w:highlight w:val="none"/>
          <w:lang w:val="en-US" w:eastAsia="zh-CN" w:bidi="ar-SA"/>
        </w:rPr>
        <w:t>4</w:t>
      </w:r>
      <w:r>
        <w:rPr>
          <w:rFonts w:hint="eastAsia" w:ascii="宋体" w:hAnsi="宋体" w:cs="宋体"/>
          <w:b/>
          <w:bCs/>
          <w:color w:val="auto"/>
          <w:kern w:val="0"/>
          <w:sz w:val="28"/>
          <w:szCs w:val="21"/>
          <w:highlight w:val="none"/>
          <w:lang w:val="en-US" w:eastAsia="zh-CN" w:bidi="ar-SA"/>
        </w:rPr>
        <w:t>项目总监资质要求：项目总监须具备【市政公用工程专业注册监理工程师执业资格】，且不得有其他在施建设工程，提供近六个月任意一月有效的社保证明。</w:t>
      </w:r>
      <w:r>
        <w:rPr>
          <w:rFonts w:hint="eastAsia" w:ascii="宋体" w:hAnsi="宋体" w:eastAsia="宋体" w:cs="宋体"/>
          <w:b/>
          <w:bCs/>
          <w:color w:val="auto"/>
          <w:kern w:val="0"/>
          <w:sz w:val="28"/>
          <w:szCs w:val="21"/>
          <w:highlight w:val="none"/>
          <w:lang w:val="en-US" w:eastAsia="zh-CN" w:bidi="ar-SA"/>
        </w:rPr>
        <w:t>。</w:t>
      </w:r>
    </w:p>
    <w:p w14:paraId="5C3C7B97">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37263059">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5C4354A1">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1DBDA9BD">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677E26B3">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1C42ADA9">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2FAC1416">
      <w:pPr>
        <w:spacing w:line="360" w:lineRule="auto"/>
        <w:rPr>
          <w:rFonts w:hint="eastAsia" w:ascii="宋体" w:hAnsi="宋体" w:eastAsia="宋体" w:cs="宋体"/>
          <w:b/>
          <w:bCs/>
          <w:color w:val="auto"/>
          <w:kern w:val="0"/>
          <w:sz w:val="28"/>
          <w:szCs w:val="21"/>
          <w:highlight w:val="none"/>
          <w:lang w:val="en-US" w:eastAsia="zh-CN" w:bidi="ar-SA"/>
        </w:rPr>
      </w:pPr>
    </w:p>
    <w:p w14:paraId="0E1CB3C8">
      <w:pPr>
        <w:pStyle w:val="9"/>
        <w:spacing w:line="360" w:lineRule="auto"/>
        <w:ind w:left="0" w:leftChars="0" w:firstLine="0" w:firstLineChars="0"/>
        <w:rPr>
          <w:rFonts w:hint="eastAsia" w:ascii="宋体" w:hAnsi="宋体" w:eastAsia="宋体" w:cs="宋体"/>
          <w:color w:val="auto"/>
          <w:sz w:val="28"/>
          <w:szCs w:val="21"/>
          <w:lang w:val="en-US" w:eastAsia="zh-CN"/>
        </w:rPr>
      </w:pPr>
    </w:p>
    <w:p w14:paraId="5853E622">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r>
        <w:rPr>
          <w:rFonts w:hint="eastAsia" w:ascii="宋体" w:hAnsi="宋体" w:eastAsia="宋体" w:cs="宋体"/>
          <w:b/>
          <w:bCs/>
          <w:color w:val="auto"/>
          <w:kern w:val="0"/>
          <w:sz w:val="28"/>
          <w:szCs w:val="21"/>
          <w:highlight w:val="none"/>
          <w:lang w:val="en-US" w:eastAsia="zh-CN" w:bidi="ar-SA"/>
        </w:rPr>
        <w:t>5法定代表人投标需提供法定代表人资格证明书，委托代理人投标需提供法定代表人授权委托书；</w:t>
      </w:r>
    </w:p>
    <w:p w14:paraId="7DA9B304">
      <w:pPr>
        <w:snapToGrid w:val="0"/>
        <w:spacing w:before="312" w:after="312" w:line="360" w:lineRule="auto"/>
        <w:jc w:val="center"/>
        <w:textAlignment w:val="baseline"/>
        <w:rPr>
          <w:rFonts w:hint="eastAsia" w:ascii="宋体" w:hAnsi="宋体" w:eastAsia="宋体" w:cs="宋体"/>
          <w:color w:val="auto"/>
          <w:sz w:val="28"/>
          <w:szCs w:val="28"/>
        </w:rPr>
      </w:pPr>
      <w:r>
        <w:rPr>
          <w:rFonts w:hint="eastAsia" w:ascii="宋体" w:hAnsi="宋体" w:eastAsia="宋体" w:cs="宋体"/>
          <w:b/>
          <w:color w:val="auto"/>
          <w:sz w:val="28"/>
          <w:szCs w:val="28"/>
        </w:rPr>
        <w:t>法定代表人资格证明书</w:t>
      </w:r>
    </w:p>
    <w:p w14:paraId="7C2FE345">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同志，现任我单位          职务，为法定代表人，特此证明。</w:t>
      </w:r>
    </w:p>
    <w:p w14:paraId="64AE3A98">
      <w:pPr>
        <w:snapToGrid w:val="0"/>
        <w:spacing w:line="360" w:lineRule="auto"/>
        <w:ind w:firstLine="280" w:firstLineChars="1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签发日期：                  单位：         </w:t>
      </w:r>
    </w:p>
    <w:p w14:paraId="4D1D1D59">
      <w:pPr>
        <w:snapToGrid w:val="0"/>
        <w:spacing w:line="360" w:lineRule="auto"/>
        <w:ind w:firstLine="280" w:firstLineChars="1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附：代表人性别：            年龄：           身份证号码：</w:t>
      </w:r>
    </w:p>
    <w:p w14:paraId="7C46EB9C">
      <w:pPr>
        <w:snapToGrid w:val="0"/>
        <w:spacing w:line="360" w:lineRule="auto"/>
        <w:ind w:firstLine="280" w:firstLineChars="1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联系电话：</w:t>
      </w:r>
    </w:p>
    <w:p w14:paraId="40E4D165">
      <w:pPr>
        <w:snapToGrid w:val="0"/>
        <w:spacing w:line="360" w:lineRule="auto"/>
        <w:ind w:firstLine="280" w:firstLineChars="1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营业执照号码：              经济性质：</w:t>
      </w:r>
    </w:p>
    <w:p w14:paraId="145178E7">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说明：</w:t>
      </w:r>
    </w:p>
    <w:p w14:paraId="4837921C">
      <w:pPr>
        <w:snapToGrid w:val="0"/>
        <w:spacing w:line="360" w:lineRule="auto"/>
        <w:ind w:firstLine="280" w:firstLineChars="1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1、法定代表人为企业事业单位、国家机关、社会团体的主要行政负责人。</w:t>
      </w:r>
    </w:p>
    <w:p w14:paraId="2BB5B157">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2、内容必须填写真实、清楚、涂改无效，不得转让。</w:t>
      </w:r>
    </w:p>
    <w:p w14:paraId="7E8242B0">
      <w:pPr>
        <w:snapToGrid w:val="0"/>
        <w:spacing w:line="360" w:lineRule="auto"/>
        <w:ind w:firstLine="280" w:firstLineChars="1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3、将此证明书原件提交采购代理机构作为响应文件附件。</w:t>
      </w:r>
    </w:p>
    <w:p w14:paraId="0146C972">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(为避免废标，请供应商务必提供本附件)</w:t>
      </w:r>
    </w:p>
    <w:p w14:paraId="0FDD90E3">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mc:AlternateContent>
          <mc:Choice Requires="wps">
            <w:drawing>
              <wp:anchor distT="0" distB="0" distL="0" distR="0" simplePos="0" relativeHeight="251666432" behindDoc="0" locked="0" layoutInCell="1" allowOverlap="1">
                <wp:simplePos x="0" y="0"/>
                <wp:positionH relativeFrom="column">
                  <wp:posOffset>2850515</wp:posOffset>
                </wp:positionH>
                <wp:positionV relativeFrom="paragraph">
                  <wp:posOffset>48895</wp:posOffset>
                </wp:positionV>
                <wp:extent cx="2077085" cy="1385570"/>
                <wp:effectExtent l="7620" t="7620" r="10795" b="16510"/>
                <wp:wrapNone/>
                <wp:docPr id="5" name="圆角矩形 18"/>
                <wp:cNvGraphicFramePr/>
                <a:graphic xmlns:a="http://schemas.openxmlformats.org/drawingml/2006/main">
                  <a:graphicData uri="http://schemas.microsoft.com/office/word/2010/wordprocessingShape">
                    <wps:wsp>
                      <wps:cNvSpPr/>
                      <wps:spPr>
                        <a:xfrm>
                          <a:off x="0" y="0"/>
                          <a:ext cx="2077084" cy="138557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8B42050">
                            <w:pPr>
                              <w:jc w:val="center"/>
                              <w:rPr>
                                <w:rFonts w:hAnsi="宋体"/>
                                <w:szCs w:val="21"/>
                              </w:rPr>
                            </w:pPr>
                            <w:r>
                              <w:rPr>
                                <w:rFonts w:hint="eastAsia" w:hAnsi="宋体"/>
                                <w:szCs w:val="21"/>
                              </w:rPr>
                              <w:t xml:space="preserve">  </w:t>
                            </w:r>
                          </w:p>
                          <w:p w14:paraId="2E8E7643">
                            <w:pPr>
                              <w:jc w:val="center"/>
                              <w:rPr>
                                <w:rFonts w:hAnsi="宋体"/>
                                <w:szCs w:val="21"/>
                              </w:rPr>
                            </w:pPr>
                          </w:p>
                          <w:p w14:paraId="56DD944D">
                            <w:pPr>
                              <w:jc w:val="center"/>
                              <w:rPr>
                                <w:rFonts w:hAnsi="宋体"/>
                                <w:szCs w:val="21"/>
                              </w:rPr>
                            </w:pPr>
                          </w:p>
                          <w:p w14:paraId="7477C710">
                            <w:pPr>
                              <w:jc w:val="center"/>
                              <w:rPr>
                                <w:szCs w:val="21"/>
                              </w:rPr>
                            </w:pPr>
                          </w:p>
                          <w:p w14:paraId="75CE6D42"/>
                          <w:p w14:paraId="7908F575">
                            <w:pPr>
                              <w:pStyle w:val="9"/>
                            </w:pPr>
                          </w:p>
                          <w:p w14:paraId="0B21632C">
                            <w:pPr>
                              <w:pStyle w:val="9"/>
                            </w:pPr>
                          </w:p>
                          <w:p w14:paraId="77A31119">
                            <w:pPr>
                              <w:pStyle w:val="9"/>
                            </w:pPr>
                          </w:p>
                          <w:p w14:paraId="2BABF307">
                            <w:pPr>
                              <w:pStyle w:val="9"/>
                            </w:pPr>
                          </w:p>
                        </w:txbxContent>
                      </wps:txbx>
                      <wps:bodyPr upright="1"/>
                    </wps:wsp>
                  </a:graphicData>
                </a:graphic>
              </wp:anchor>
            </w:drawing>
          </mc:Choice>
          <mc:Fallback>
            <w:pict>
              <v:roundrect id="圆角矩形 18" o:spid="_x0000_s1026" o:spt="2" style="position:absolute;left:0pt;margin-left:224.45pt;margin-top:3.85pt;height:109.1pt;width:163.55pt;z-index:251666432;mso-width-relative:page;mso-height-relative:page;" fillcolor="#FFFFFF" filled="t" stroked="t" coordsize="21600,21600" arcsize="0.166666666666667" o:gfxdata="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PSOMtsAAAAJAQAADwAAAAAAAAABACAAAAAiAAAAZHJzL2Rvd25yZXYueG1sUEsB&#10;AhQAFAAAAAgAh07iQPLWqiUrAgAAYwQAAA4AAAAAAAAAAQAgAAAAKgEAAGRycy9lMm9Eb2MueG1s&#10;UEsFBgAAAAAGAAYAWQEAAMcFAAAAAA==&#10;">
                <v:fill on="t" focussize="0,0"/>
                <v:stroke weight="1.25pt" color="#808080" joinstyle="round"/>
                <v:imagedata o:title=""/>
                <o:lock v:ext="edit" aspectratio="f"/>
                <v:textbox>
                  <w:txbxContent>
                    <w:p w14:paraId="28B42050">
                      <w:pPr>
                        <w:jc w:val="center"/>
                        <w:rPr>
                          <w:rFonts w:hAnsi="宋体"/>
                          <w:szCs w:val="21"/>
                        </w:rPr>
                      </w:pPr>
                      <w:r>
                        <w:rPr>
                          <w:rFonts w:hint="eastAsia" w:hAnsi="宋体"/>
                          <w:szCs w:val="21"/>
                        </w:rPr>
                        <w:t xml:space="preserve">  </w:t>
                      </w:r>
                    </w:p>
                    <w:p w14:paraId="2E8E7643">
                      <w:pPr>
                        <w:jc w:val="center"/>
                        <w:rPr>
                          <w:rFonts w:hAnsi="宋体"/>
                          <w:szCs w:val="21"/>
                        </w:rPr>
                      </w:pPr>
                    </w:p>
                    <w:p w14:paraId="56DD944D">
                      <w:pPr>
                        <w:jc w:val="center"/>
                        <w:rPr>
                          <w:rFonts w:hAnsi="宋体"/>
                          <w:szCs w:val="21"/>
                        </w:rPr>
                      </w:pPr>
                    </w:p>
                    <w:p w14:paraId="7477C710">
                      <w:pPr>
                        <w:jc w:val="center"/>
                        <w:rPr>
                          <w:szCs w:val="21"/>
                        </w:rPr>
                      </w:pPr>
                    </w:p>
                    <w:p w14:paraId="75CE6D42"/>
                    <w:p w14:paraId="7908F575">
                      <w:pPr>
                        <w:pStyle w:val="9"/>
                      </w:pPr>
                    </w:p>
                    <w:p w14:paraId="0B21632C">
                      <w:pPr>
                        <w:pStyle w:val="9"/>
                      </w:pPr>
                    </w:p>
                    <w:p w14:paraId="77A31119">
                      <w:pPr>
                        <w:pStyle w:val="9"/>
                      </w:pPr>
                    </w:p>
                    <w:p w14:paraId="2BABF307">
                      <w:pPr>
                        <w:pStyle w:val="9"/>
                      </w:pPr>
                    </w:p>
                  </w:txbxContent>
                </v:textbox>
              </v:roundrect>
            </w:pict>
          </mc:Fallback>
        </mc:AlternateContent>
      </w:r>
      <w:r>
        <w:rPr>
          <w:rFonts w:hint="eastAsia" w:ascii="宋体" w:hAnsi="宋体" w:eastAsia="宋体" w:cs="宋体"/>
          <w:color w:val="auto"/>
          <w:sz w:val="28"/>
          <w:szCs w:val="28"/>
        </w:rPr>
        <mc:AlternateContent>
          <mc:Choice Requires="wps">
            <w:drawing>
              <wp:anchor distT="0" distB="0" distL="0" distR="0" simplePos="0" relativeHeight="251666432" behindDoc="0" locked="0" layoutInCell="1" allowOverlap="1">
                <wp:simplePos x="0" y="0"/>
                <wp:positionH relativeFrom="column">
                  <wp:posOffset>290195</wp:posOffset>
                </wp:positionH>
                <wp:positionV relativeFrom="paragraph">
                  <wp:posOffset>65405</wp:posOffset>
                </wp:positionV>
                <wp:extent cx="2114550" cy="1375410"/>
                <wp:effectExtent l="4445" t="4445" r="14605" b="10795"/>
                <wp:wrapNone/>
                <wp:docPr id="10" name="流程图: 可选过程 14"/>
                <wp:cNvGraphicFramePr/>
                <a:graphic xmlns:a="http://schemas.openxmlformats.org/drawingml/2006/main">
                  <a:graphicData uri="http://schemas.microsoft.com/office/word/2010/wordprocessingShape">
                    <wps:wsp>
                      <wps:cNvSpPr/>
                      <wps:spPr>
                        <a:xfrm>
                          <a:off x="0" y="0"/>
                          <a:ext cx="2114550" cy="13754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9AC78A9">
                            <w:pPr>
                              <w:jc w:val="center"/>
                              <w:rPr>
                                <w:rFonts w:hAnsi="宋体"/>
                                <w:szCs w:val="21"/>
                              </w:rPr>
                            </w:pPr>
                          </w:p>
                          <w:p w14:paraId="0D80B418">
                            <w:pPr>
                              <w:jc w:val="both"/>
                              <w:rPr>
                                <w:szCs w:val="21"/>
                              </w:rPr>
                            </w:pPr>
                          </w:p>
                        </w:txbxContent>
                      </wps:txbx>
                      <wps:bodyPr upright="1"/>
                    </wps:wsp>
                  </a:graphicData>
                </a:graphic>
              </wp:anchor>
            </w:drawing>
          </mc:Choice>
          <mc:Fallback>
            <w:pict>
              <v:shape id="流程图: 可选过程 14" o:spid="_x0000_s1026" o:spt="176" type="#_x0000_t176" style="position:absolute;left:0pt;margin-left:22.85pt;margin-top:5.15pt;height:108.3pt;width:166.5pt;z-index:251666432;mso-width-relative:page;mso-height-relative:page;" fillcolor="#FFFFFF" filled="t" stroked="t" coordsize="21600,21600" o:gfxdata="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t56RdYAAAAJAQAADwAAAAAAAAABACAAAAAiAAAAZHJzL2Rvd25yZXYueG1sUEsBAhQAFAAA&#10;AAgAh07iQDxza8cqAgAAUgQAAA4AAAAAAAAAAQAgAAAAJQEAAGRycy9lMm9Eb2MueG1sUEsFBgAA&#10;AAAGAAYAWQEAAMEFAAAAAA==&#10;">
                <v:fill on="t" focussize="0,0"/>
                <v:stroke color="#000000" joinstyle="miter"/>
                <v:imagedata o:title=""/>
                <o:lock v:ext="edit" aspectratio="f"/>
                <v:textbox>
                  <w:txbxContent>
                    <w:p w14:paraId="59AC78A9">
                      <w:pPr>
                        <w:jc w:val="center"/>
                        <w:rPr>
                          <w:rFonts w:hAnsi="宋体"/>
                          <w:szCs w:val="21"/>
                        </w:rPr>
                      </w:pPr>
                    </w:p>
                    <w:p w14:paraId="0D80B418">
                      <w:pPr>
                        <w:jc w:val="both"/>
                        <w:rPr>
                          <w:szCs w:val="21"/>
                        </w:rPr>
                      </w:pPr>
                    </w:p>
                  </w:txbxContent>
                </v:textbox>
              </v:shape>
            </w:pict>
          </mc:Fallback>
        </mc:AlternateContent>
      </w:r>
    </w:p>
    <w:p w14:paraId="1A8CE85F">
      <w:pPr>
        <w:snapToGrid w:val="0"/>
        <w:spacing w:line="360" w:lineRule="auto"/>
        <w:textAlignment w:val="baseline"/>
        <w:rPr>
          <w:rFonts w:hint="eastAsia" w:ascii="宋体" w:hAnsi="宋体" w:eastAsia="宋体" w:cs="宋体"/>
          <w:color w:val="auto"/>
          <w:sz w:val="28"/>
          <w:szCs w:val="28"/>
        </w:rPr>
      </w:pPr>
    </w:p>
    <w:p w14:paraId="3BD5B1C7">
      <w:pPr>
        <w:snapToGrid w:val="0"/>
        <w:spacing w:line="360" w:lineRule="auto"/>
        <w:textAlignment w:val="baseline"/>
        <w:rPr>
          <w:rFonts w:hint="eastAsia" w:ascii="宋体" w:hAnsi="宋体" w:eastAsia="宋体" w:cs="宋体"/>
          <w:color w:val="auto"/>
          <w:sz w:val="28"/>
          <w:szCs w:val="28"/>
        </w:rPr>
      </w:pPr>
    </w:p>
    <w:p w14:paraId="0C897D3E">
      <w:pPr>
        <w:pStyle w:val="30"/>
        <w:spacing w:line="360" w:lineRule="auto"/>
        <w:rPr>
          <w:rFonts w:hint="eastAsia" w:ascii="宋体" w:hAnsi="宋体" w:eastAsia="宋体" w:cs="宋体"/>
          <w:color w:val="auto"/>
          <w:sz w:val="28"/>
          <w:szCs w:val="28"/>
        </w:rPr>
      </w:pPr>
    </w:p>
    <w:p w14:paraId="3C1378DB">
      <w:pPr>
        <w:pStyle w:val="30"/>
        <w:spacing w:line="360" w:lineRule="auto"/>
        <w:rPr>
          <w:rFonts w:hint="eastAsia" w:ascii="宋体" w:hAnsi="宋体" w:eastAsia="宋体" w:cs="宋体"/>
          <w:color w:val="auto"/>
          <w:sz w:val="28"/>
          <w:szCs w:val="28"/>
        </w:rPr>
      </w:pPr>
    </w:p>
    <w:p w14:paraId="110B9CEF">
      <w:pPr>
        <w:snapToGrid w:val="0"/>
        <w:spacing w:line="360" w:lineRule="auto"/>
        <w:ind w:right="246"/>
        <w:textAlignment w:val="baseline"/>
        <w:rPr>
          <w:rFonts w:hint="eastAsia" w:ascii="宋体" w:hAnsi="宋体" w:eastAsia="宋体" w:cs="宋体"/>
          <w:color w:val="auto"/>
          <w:sz w:val="28"/>
          <w:szCs w:val="28"/>
        </w:rPr>
      </w:pPr>
    </w:p>
    <w:p w14:paraId="7D04BB0A">
      <w:pPr>
        <w:snapToGrid w:val="0"/>
        <w:spacing w:line="360" w:lineRule="auto"/>
        <w:ind w:right="246" w:firstLine="915" w:firstLineChars="327"/>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13BFA4AD">
      <w:pPr>
        <w:snapToGrid w:val="0"/>
        <w:spacing w:line="360" w:lineRule="auto"/>
        <w:ind w:firstLine="915" w:firstLineChars="327"/>
        <w:textAlignment w:val="baseline"/>
        <w:rPr>
          <w:rFonts w:hint="eastAsia" w:ascii="宋体" w:hAnsi="宋体" w:eastAsia="宋体" w:cs="宋体"/>
          <w:color w:val="auto"/>
          <w:sz w:val="28"/>
          <w:szCs w:val="28"/>
        </w:rPr>
      </w:pPr>
    </w:p>
    <w:p w14:paraId="2DC9B009">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法定代表人(签/章)： </w:t>
      </w:r>
    </w:p>
    <w:p w14:paraId="16B38488">
      <w:pPr>
        <w:pStyle w:val="19"/>
        <w:tabs>
          <w:tab w:val="left" w:pos="5370"/>
        </w:tabs>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供应商(公章):</w:t>
      </w:r>
      <w:r>
        <w:rPr>
          <w:rFonts w:hint="eastAsia" w:ascii="宋体" w:hAnsi="宋体" w:eastAsia="宋体" w:cs="宋体"/>
          <w:color w:val="auto"/>
          <w:sz w:val="28"/>
          <w:szCs w:val="21"/>
        </w:rPr>
        <w:t xml:space="preserve"> </w:t>
      </w:r>
      <w:r>
        <w:rPr>
          <w:rFonts w:hint="eastAsia" w:ascii="宋体" w:hAnsi="宋体" w:eastAsia="宋体" w:cs="宋体"/>
          <w:color w:val="auto"/>
          <w:sz w:val="28"/>
          <w:szCs w:val="28"/>
        </w:rPr>
        <w:t xml:space="preserve"> </w:t>
      </w:r>
    </w:p>
    <w:p w14:paraId="313CC1F9">
      <w:pPr>
        <w:pStyle w:val="19"/>
        <w:tabs>
          <w:tab w:val="left" w:pos="5370"/>
        </w:tabs>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日期：                                       </w:t>
      </w:r>
    </w:p>
    <w:p w14:paraId="65B40A48">
      <w:pPr>
        <w:pStyle w:val="19"/>
        <w:tabs>
          <w:tab w:val="left" w:pos="5580"/>
        </w:tabs>
        <w:snapToGrid w:val="0"/>
        <w:spacing w:line="360" w:lineRule="auto"/>
        <w:textAlignment w:val="baseline"/>
        <w:rPr>
          <w:rFonts w:hint="eastAsia" w:ascii="宋体" w:hAnsi="宋体" w:eastAsia="宋体" w:cs="宋体"/>
          <w:color w:val="auto"/>
          <w:sz w:val="28"/>
          <w:szCs w:val="28"/>
        </w:rPr>
      </w:pPr>
    </w:p>
    <w:p w14:paraId="11110AE1">
      <w:pPr>
        <w:pStyle w:val="19"/>
        <w:tabs>
          <w:tab w:val="left" w:pos="5580"/>
        </w:tabs>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说明：1.提供有效的营业执照等证明文件</w:t>
      </w:r>
      <w:r>
        <w:rPr>
          <w:rFonts w:hint="eastAsia" w:ascii="宋体" w:hAnsi="宋体" w:eastAsia="宋体" w:cs="宋体"/>
          <w:color w:val="auto"/>
          <w:sz w:val="28"/>
          <w:szCs w:val="28"/>
          <w:lang w:eastAsia="zh-CN"/>
        </w:rPr>
        <w:t>扫描件</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扫描件</w:t>
      </w:r>
      <w:r>
        <w:rPr>
          <w:rFonts w:hint="eastAsia" w:ascii="宋体" w:hAnsi="宋体" w:eastAsia="宋体" w:cs="宋体"/>
          <w:color w:val="auto"/>
          <w:sz w:val="28"/>
          <w:szCs w:val="28"/>
        </w:rPr>
        <w:t>上应加盖本单位</w:t>
      </w:r>
      <w:r>
        <w:rPr>
          <w:rFonts w:hint="eastAsia" w:hAnsi="宋体" w:cs="宋体"/>
          <w:color w:val="auto"/>
          <w:sz w:val="28"/>
          <w:szCs w:val="28"/>
          <w:lang w:val="en-US" w:eastAsia="zh-CN"/>
        </w:rPr>
        <w:t>公</w:t>
      </w:r>
      <w:r>
        <w:rPr>
          <w:rFonts w:hint="eastAsia" w:ascii="宋体" w:hAnsi="宋体" w:eastAsia="宋体" w:cs="宋体"/>
          <w:color w:val="auto"/>
          <w:sz w:val="28"/>
          <w:szCs w:val="28"/>
        </w:rPr>
        <w:t>章。</w:t>
      </w:r>
    </w:p>
    <w:p w14:paraId="61D52465">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2. 供应商为自然人的，应提供身份证明的</w:t>
      </w:r>
      <w:r>
        <w:rPr>
          <w:rFonts w:hint="eastAsia" w:ascii="宋体" w:hAnsi="宋体" w:eastAsia="宋体" w:cs="宋体"/>
          <w:color w:val="auto"/>
          <w:sz w:val="28"/>
          <w:szCs w:val="28"/>
          <w:lang w:eastAsia="zh-CN"/>
        </w:rPr>
        <w:t>扫描件</w:t>
      </w:r>
      <w:r>
        <w:rPr>
          <w:rFonts w:hint="eastAsia" w:ascii="宋体" w:hAnsi="宋体" w:eastAsia="宋体" w:cs="宋体"/>
          <w:color w:val="auto"/>
          <w:sz w:val="28"/>
          <w:szCs w:val="28"/>
        </w:rPr>
        <w:t>。</w:t>
      </w:r>
    </w:p>
    <w:p w14:paraId="4BA02D56">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3.联合体磋商应提供联合体各方满足以上要求的证明文件。</w:t>
      </w:r>
    </w:p>
    <w:p w14:paraId="48E4CCB4">
      <w:pPr>
        <w:pStyle w:val="15"/>
        <w:snapToGrid w:val="0"/>
        <w:spacing w:line="360" w:lineRule="auto"/>
        <w:ind w:firstLine="480"/>
        <w:textAlignment w:val="baseline"/>
        <w:rPr>
          <w:rFonts w:hint="eastAsia" w:ascii="宋体" w:hAnsi="宋体" w:eastAsia="宋体" w:cs="宋体"/>
          <w:color w:val="auto"/>
          <w:sz w:val="28"/>
          <w:szCs w:val="28"/>
        </w:rPr>
      </w:pPr>
    </w:p>
    <w:p w14:paraId="1409A57A">
      <w:pPr>
        <w:pStyle w:val="9"/>
        <w:spacing w:line="360" w:lineRule="auto"/>
        <w:rPr>
          <w:rFonts w:hint="eastAsia" w:ascii="宋体" w:hAnsi="宋体" w:eastAsia="宋体" w:cs="宋体"/>
          <w:color w:val="auto"/>
          <w:sz w:val="28"/>
          <w:szCs w:val="21"/>
        </w:rPr>
      </w:pPr>
    </w:p>
    <w:p w14:paraId="047C9487">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4FB19040">
      <w:pPr>
        <w:snapToGrid w:val="0"/>
        <w:spacing w:line="360" w:lineRule="auto"/>
        <w:ind w:left="1080" w:leftChars="257" w:hanging="540"/>
        <w:jc w:val="center"/>
        <w:textAlignment w:val="baseline"/>
        <w:rPr>
          <w:rFonts w:hint="eastAsia" w:ascii="宋体" w:hAnsi="宋体" w:eastAsia="宋体" w:cs="宋体"/>
          <w:b/>
          <w:bCs/>
          <w:color w:val="auto"/>
          <w:sz w:val="28"/>
          <w:szCs w:val="28"/>
          <w:u w:val="single" w:color="000000"/>
        </w:rPr>
      </w:pPr>
      <w:r>
        <w:rPr>
          <w:rFonts w:hint="eastAsia" w:ascii="宋体" w:hAnsi="宋体" w:eastAsia="宋体" w:cs="宋体"/>
          <w:b/>
          <w:bCs/>
          <w:color w:val="auto"/>
          <w:sz w:val="28"/>
          <w:szCs w:val="28"/>
        </w:rPr>
        <w:t>法定代表人授权委托书</w:t>
      </w:r>
    </w:p>
    <w:p w14:paraId="62579F0F">
      <w:pPr>
        <w:pStyle w:val="19"/>
        <w:tabs>
          <w:tab w:val="left" w:pos="5580"/>
        </w:tabs>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cr/>
      </w:r>
      <w:r>
        <w:rPr>
          <w:rFonts w:hint="eastAsia" w:ascii="宋体" w:hAnsi="宋体" w:eastAsia="宋体" w:cs="宋体"/>
          <w:color w:val="auto"/>
          <w:sz w:val="28"/>
          <w:szCs w:val="28"/>
        </w:rPr>
        <w:t xml:space="preserve">    本授权书声明：注册于（国家或地区的名称）的（供应商）的在下面签字的（法人代表姓名、职务）代表我单位授权（单位名称）的在下面签字的（被授权人的姓名、职务）为我单位的合法代理人，就（项目名称）的磋商，以我单位名义处理一切与之有关的事务。　　</w:t>
      </w:r>
    </w:p>
    <w:p w14:paraId="6C9B1EC1">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本授权书于           年     月     日签字生效,特此声明。</w:t>
      </w:r>
    </w:p>
    <w:p w14:paraId="2B2BA004">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mc:AlternateContent>
          <mc:Choice Requires="wps">
            <w:drawing>
              <wp:anchor distT="0" distB="0" distL="0" distR="0" simplePos="0" relativeHeight="251666432" behindDoc="0" locked="0" layoutInCell="1" allowOverlap="1">
                <wp:simplePos x="0" y="0"/>
                <wp:positionH relativeFrom="column">
                  <wp:posOffset>3039110</wp:posOffset>
                </wp:positionH>
                <wp:positionV relativeFrom="paragraph">
                  <wp:posOffset>97155</wp:posOffset>
                </wp:positionV>
                <wp:extent cx="2478405" cy="1387475"/>
                <wp:effectExtent l="7620" t="7620" r="9525" b="14605"/>
                <wp:wrapNone/>
                <wp:docPr id="11" name="圆角矩形 15"/>
                <wp:cNvGraphicFramePr/>
                <a:graphic xmlns:a="http://schemas.openxmlformats.org/drawingml/2006/main">
                  <a:graphicData uri="http://schemas.microsoft.com/office/word/2010/wordprocessingShape">
                    <wps:wsp>
                      <wps:cNvSpPr/>
                      <wps:spPr>
                        <a:xfrm>
                          <a:off x="0" y="0"/>
                          <a:ext cx="2478405" cy="138747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63488EE">
                            <w:pPr>
                              <w:rPr>
                                <w:rFonts w:hAnsi="宋体"/>
                              </w:rPr>
                            </w:pPr>
                          </w:p>
                          <w:p w14:paraId="787B5A33">
                            <w:pPr>
                              <w:rPr>
                                <w:rFonts w:hAnsi="宋体"/>
                              </w:rPr>
                            </w:pPr>
                          </w:p>
                          <w:p w14:paraId="3F5A1558">
                            <w:pPr>
                              <w:rPr>
                                <w:rFonts w:hAnsi="宋体"/>
                              </w:rPr>
                            </w:pPr>
                          </w:p>
                          <w:p w14:paraId="328CE974">
                            <w:pPr>
                              <w:ind w:firstLine="420" w:firstLineChars="200"/>
                            </w:pPr>
                            <w:r>
                              <w:rPr>
                                <w:rFonts w:hint="eastAsia" w:hAnsi="宋体"/>
                              </w:rPr>
                              <w:t>授权委托人身份证</w:t>
                            </w:r>
                            <w:r>
                              <w:rPr>
                                <w:rFonts w:hint="eastAsia" w:hAnsi="宋体"/>
                                <w:lang w:eastAsia="zh-CN"/>
                              </w:rPr>
                              <w:t>扫描件</w:t>
                            </w:r>
                            <w:r>
                              <w:rPr>
                                <w:rFonts w:hint="eastAsia" w:hAnsi="宋体"/>
                              </w:rPr>
                              <w:t>反面</w:t>
                            </w:r>
                          </w:p>
                          <w:p w14:paraId="302C80C0"/>
                        </w:txbxContent>
                      </wps:txbx>
                      <wps:bodyPr upright="1"/>
                    </wps:wsp>
                  </a:graphicData>
                </a:graphic>
              </wp:anchor>
            </w:drawing>
          </mc:Choice>
          <mc:Fallback>
            <w:pict>
              <v:roundrect id="圆角矩形 15" o:spid="_x0000_s1026" o:spt="2" style="position:absolute;left:0pt;margin-left:239.3pt;margin-top:7.65pt;height:109.25pt;width:195.15pt;z-index:251666432;mso-width-relative:page;mso-height-relative:page;" fillcolor="#FFFFFF" filled="t" stroked="t" coordsize="21600,21600" arcsize="0.166666666666667" o:gfxdata="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GTrZ9sAAAAKAQAADwAAAAAAAAABACAAAAAiAAAAZHJzL2Rvd25yZXYueG1sUEsB&#10;AhQAFAAAAAgAh07iQODIyWgrAgAAZAQAAA4AAAAAAAAAAQAgAAAAKgEAAGRycy9lMm9Eb2MueG1s&#10;UEsFBgAAAAAGAAYAWQEAAMcFAAAAAA==&#10;">
                <v:fill on="t" focussize="0,0"/>
                <v:stroke weight="1.25pt" color="#808080" joinstyle="round"/>
                <v:imagedata o:title=""/>
                <o:lock v:ext="edit" aspectratio="f"/>
                <v:textbox>
                  <w:txbxContent>
                    <w:p w14:paraId="263488EE">
                      <w:pPr>
                        <w:rPr>
                          <w:rFonts w:hAnsi="宋体"/>
                        </w:rPr>
                      </w:pPr>
                    </w:p>
                    <w:p w14:paraId="787B5A33">
                      <w:pPr>
                        <w:rPr>
                          <w:rFonts w:hAnsi="宋体"/>
                        </w:rPr>
                      </w:pPr>
                    </w:p>
                    <w:p w14:paraId="3F5A1558">
                      <w:pPr>
                        <w:rPr>
                          <w:rFonts w:hAnsi="宋体"/>
                        </w:rPr>
                      </w:pPr>
                    </w:p>
                    <w:p w14:paraId="328CE974">
                      <w:pPr>
                        <w:ind w:firstLine="420" w:firstLineChars="200"/>
                      </w:pPr>
                      <w:r>
                        <w:rPr>
                          <w:rFonts w:hint="eastAsia" w:hAnsi="宋体"/>
                        </w:rPr>
                        <w:t>授权委托人身份证</w:t>
                      </w:r>
                      <w:r>
                        <w:rPr>
                          <w:rFonts w:hint="eastAsia" w:hAnsi="宋体"/>
                          <w:lang w:eastAsia="zh-CN"/>
                        </w:rPr>
                        <w:t>扫描件</w:t>
                      </w:r>
                      <w:r>
                        <w:rPr>
                          <w:rFonts w:hint="eastAsia" w:hAnsi="宋体"/>
                        </w:rPr>
                        <w:t>反面</w:t>
                      </w:r>
                    </w:p>
                    <w:p w14:paraId="302C80C0"/>
                  </w:txbxContent>
                </v:textbox>
              </v:roundrect>
            </w:pict>
          </mc:Fallback>
        </mc:AlternateContent>
      </w:r>
      <w:r>
        <w:rPr>
          <w:rFonts w:hint="eastAsia" w:ascii="宋体" w:hAnsi="宋体" w:eastAsia="宋体" w:cs="宋体"/>
          <w:color w:val="auto"/>
          <w:sz w:val="28"/>
          <w:szCs w:val="28"/>
        </w:rPr>
        <mc:AlternateContent>
          <mc:Choice Requires="wps">
            <w:drawing>
              <wp:anchor distT="0" distB="0" distL="0" distR="0" simplePos="0" relativeHeight="251666432" behindDoc="0" locked="0" layoutInCell="1" allowOverlap="1">
                <wp:simplePos x="0" y="0"/>
                <wp:positionH relativeFrom="column">
                  <wp:posOffset>20955</wp:posOffset>
                </wp:positionH>
                <wp:positionV relativeFrom="paragraph">
                  <wp:posOffset>135890</wp:posOffset>
                </wp:positionV>
                <wp:extent cx="2507615" cy="1405890"/>
                <wp:effectExtent l="4445" t="4445" r="21590" b="18415"/>
                <wp:wrapNone/>
                <wp:docPr id="12" name="流程图: 可选过程 19"/>
                <wp:cNvGraphicFramePr/>
                <a:graphic xmlns:a="http://schemas.openxmlformats.org/drawingml/2006/main">
                  <a:graphicData uri="http://schemas.microsoft.com/office/word/2010/wordprocessingShape">
                    <wps:wsp>
                      <wps:cNvSpPr/>
                      <wps:spPr>
                        <a:xfrm>
                          <a:off x="0" y="0"/>
                          <a:ext cx="2507615" cy="14058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59FB360">
                            <w:pPr>
                              <w:jc w:val="center"/>
                              <w:rPr>
                                <w:rFonts w:hAnsi="宋体"/>
                              </w:rPr>
                            </w:pPr>
                          </w:p>
                          <w:p w14:paraId="76D531D2">
                            <w:pPr>
                              <w:jc w:val="center"/>
                              <w:rPr>
                                <w:rFonts w:hAnsi="宋体"/>
                              </w:rPr>
                            </w:pPr>
                          </w:p>
                          <w:p w14:paraId="2A007E1E">
                            <w:pPr>
                              <w:jc w:val="center"/>
                              <w:rPr>
                                <w:rFonts w:hAnsi="宋体"/>
                              </w:rPr>
                            </w:pPr>
                          </w:p>
                          <w:p w14:paraId="212A2662">
                            <w:pPr>
                              <w:jc w:val="center"/>
                            </w:pPr>
                            <w:r>
                              <w:rPr>
                                <w:rFonts w:hint="eastAsia" w:hAnsi="宋体"/>
                              </w:rPr>
                              <w:t>授权委托人身份证</w:t>
                            </w:r>
                            <w:r>
                              <w:rPr>
                                <w:rFonts w:hint="eastAsia" w:hAnsi="宋体"/>
                                <w:lang w:eastAsia="zh-CN"/>
                              </w:rPr>
                              <w:t>扫描件</w:t>
                            </w:r>
                            <w:r>
                              <w:rPr>
                                <w:rFonts w:hint="eastAsia" w:hAnsi="宋体"/>
                              </w:rPr>
                              <w:t>正面</w:t>
                            </w:r>
                          </w:p>
                        </w:txbxContent>
                      </wps:txbx>
                      <wps:bodyPr upright="1"/>
                    </wps:wsp>
                  </a:graphicData>
                </a:graphic>
              </wp:anchor>
            </w:drawing>
          </mc:Choice>
          <mc:Fallback>
            <w:pict>
              <v:shape id="流程图: 可选过程 19" o:spid="_x0000_s1026" o:spt="176" type="#_x0000_t176" style="position:absolute;left:0pt;margin-left:1.65pt;margin-top:10.7pt;height:110.7pt;width:197.45pt;z-index:251666432;mso-width-relative:page;mso-height-relative:page;" fillcolor="#FFFFFF" filled="t" stroked="t" coordsize="21600,21600" o:gfxdata="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kurbdcAAAAIAQAADwAAAAAAAAABACAAAAAiAAAAZHJzL2Rvd25yZXYueG1sUEsBAhQA&#10;FAAAAAgAh07iQHWh+2csAgAAUgQAAA4AAAAAAAAAAQAgAAAAJgEAAGRycy9lMm9Eb2MueG1sUEsF&#10;BgAAAAAGAAYAWQEAAMQFAAAAAA==&#10;">
                <v:fill on="t" focussize="0,0"/>
                <v:stroke color="#000000" joinstyle="miter"/>
                <v:imagedata o:title=""/>
                <o:lock v:ext="edit" aspectratio="f"/>
                <v:textbox>
                  <w:txbxContent>
                    <w:p w14:paraId="559FB360">
                      <w:pPr>
                        <w:jc w:val="center"/>
                        <w:rPr>
                          <w:rFonts w:hAnsi="宋体"/>
                        </w:rPr>
                      </w:pPr>
                    </w:p>
                    <w:p w14:paraId="76D531D2">
                      <w:pPr>
                        <w:jc w:val="center"/>
                        <w:rPr>
                          <w:rFonts w:hAnsi="宋体"/>
                        </w:rPr>
                      </w:pPr>
                    </w:p>
                    <w:p w14:paraId="2A007E1E">
                      <w:pPr>
                        <w:jc w:val="center"/>
                        <w:rPr>
                          <w:rFonts w:hAnsi="宋体"/>
                        </w:rPr>
                      </w:pPr>
                    </w:p>
                    <w:p w14:paraId="212A2662">
                      <w:pPr>
                        <w:jc w:val="center"/>
                      </w:pPr>
                      <w:r>
                        <w:rPr>
                          <w:rFonts w:hint="eastAsia" w:hAnsi="宋体"/>
                        </w:rPr>
                        <w:t>授权委托人身份证</w:t>
                      </w:r>
                      <w:r>
                        <w:rPr>
                          <w:rFonts w:hint="eastAsia" w:hAnsi="宋体"/>
                          <w:lang w:eastAsia="zh-CN"/>
                        </w:rPr>
                        <w:t>扫描件</w:t>
                      </w:r>
                      <w:r>
                        <w:rPr>
                          <w:rFonts w:hint="eastAsia" w:hAnsi="宋体"/>
                        </w:rPr>
                        <w:t>正面</w:t>
                      </w:r>
                    </w:p>
                  </w:txbxContent>
                </v:textbox>
              </v:shape>
            </w:pict>
          </mc:Fallback>
        </mc:AlternateContent>
      </w:r>
    </w:p>
    <w:p w14:paraId="53E645E3">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p>
    <w:p w14:paraId="2960783F">
      <w:pPr>
        <w:pStyle w:val="19"/>
        <w:tabs>
          <w:tab w:val="left" w:pos="5580"/>
        </w:tabs>
        <w:snapToGrid w:val="0"/>
        <w:spacing w:line="360" w:lineRule="auto"/>
        <w:textAlignment w:val="baseline"/>
        <w:rPr>
          <w:rFonts w:hint="eastAsia" w:ascii="宋体" w:hAnsi="宋体" w:eastAsia="宋体" w:cs="宋体"/>
          <w:color w:val="auto"/>
          <w:sz w:val="28"/>
          <w:szCs w:val="28"/>
        </w:rPr>
      </w:pPr>
    </w:p>
    <w:p w14:paraId="2AFE5F56">
      <w:pPr>
        <w:pStyle w:val="19"/>
        <w:tabs>
          <w:tab w:val="left" w:pos="5580"/>
        </w:tabs>
        <w:snapToGrid w:val="0"/>
        <w:spacing w:line="360" w:lineRule="auto"/>
        <w:textAlignment w:val="baseline"/>
        <w:rPr>
          <w:rFonts w:hint="eastAsia" w:ascii="宋体" w:hAnsi="宋体" w:eastAsia="宋体" w:cs="宋体"/>
          <w:color w:val="auto"/>
          <w:sz w:val="28"/>
          <w:szCs w:val="28"/>
        </w:rPr>
      </w:pPr>
    </w:p>
    <w:p w14:paraId="3A95EFEA">
      <w:pPr>
        <w:pStyle w:val="19"/>
        <w:tabs>
          <w:tab w:val="left" w:pos="5580"/>
        </w:tabs>
        <w:snapToGrid w:val="0"/>
        <w:spacing w:line="360" w:lineRule="auto"/>
        <w:textAlignment w:val="baseline"/>
        <w:rPr>
          <w:rFonts w:hint="eastAsia" w:ascii="宋体" w:hAnsi="宋体" w:eastAsia="宋体" w:cs="宋体"/>
          <w:color w:val="auto"/>
          <w:sz w:val="28"/>
          <w:szCs w:val="28"/>
        </w:rPr>
      </w:pPr>
    </w:p>
    <w:p w14:paraId="2B1DF352">
      <w:pPr>
        <w:pStyle w:val="19"/>
        <w:tabs>
          <w:tab w:val="left" w:pos="5580"/>
        </w:tabs>
        <w:snapToGrid w:val="0"/>
        <w:spacing w:line="360" w:lineRule="auto"/>
        <w:textAlignment w:val="baseline"/>
        <w:rPr>
          <w:rFonts w:hint="eastAsia" w:ascii="宋体" w:hAnsi="宋体" w:eastAsia="宋体" w:cs="宋体"/>
          <w:color w:val="auto"/>
          <w:sz w:val="28"/>
          <w:szCs w:val="28"/>
        </w:rPr>
      </w:pPr>
    </w:p>
    <w:p w14:paraId="6A2DFF31">
      <w:pPr>
        <w:pStyle w:val="19"/>
        <w:tabs>
          <w:tab w:val="left" w:pos="5580"/>
        </w:tabs>
        <w:snapToGrid w:val="0"/>
        <w:spacing w:line="360" w:lineRule="auto"/>
        <w:textAlignment w:val="baseline"/>
        <w:rPr>
          <w:rFonts w:hint="eastAsia" w:ascii="宋体" w:hAnsi="宋体" w:eastAsia="宋体" w:cs="宋体"/>
          <w:color w:val="auto"/>
          <w:sz w:val="28"/>
          <w:szCs w:val="28"/>
        </w:rPr>
      </w:pPr>
    </w:p>
    <w:p w14:paraId="6C7901D1">
      <w:pPr>
        <w:pStyle w:val="19"/>
        <w:tabs>
          <w:tab w:val="left" w:pos="5580"/>
        </w:tabs>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mc:AlternateContent>
          <mc:Choice Requires="wps">
            <w:drawing>
              <wp:anchor distT="0" distB="0" distL="0" distR="0" simplePos="0" relativeHeight="251666432" behindDoc="0" locked="0" layoutInCell="1" allowOverlap="1">
                <wp:simplePos x="0" y="0"/>
                <wp:positionH relativeFrom="column">
                  <wp:posOffset>29845</wp:posOffset>
                </wp:positionH>
                <wp:positionV relativeFrom="paragraph">
                  <wp:posOffset>235585</wp:posOffset>
                </wp:positionV>
                <wp:extent cx="2555240" cy="1409065"/>
                <wp:effectExtent l="7620" t="7620" r="8890" b="12065"/>
                <wp:wrapNone/>
                <wp:docPr id="13" name="圆角矩形 16"/>
                <wp:cNvGraphicFramePr/>
                <a:graphic xmlns:a="http://schemas.openxmlformats.org/drawingml/2006/main">
                  <a:graphicData uri="http://schemas.microsoft.com/office/word/2010/wordprocessingShape">
                    <wps:wsp>
                      <wps:cNvSpPr/>
                      <wps:spPr>
                        <a:xfrm>
                          <a:off x="0" y="0"/>
                          <a:ext cx="2555240" cy="140906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0D7A0D94">
                            <w:pPr>
                              <w:jc w:val="center"/>
                              <w:rPr>
                                <w:rFonts w:hAnsi="宋体"/>
                              </w:rPr>
                            </w:pPr>
                          </w:p>
                          <w:p w14:paraId="3B7DA7F2">
                            <w:pPr>
                              <w:jc w:val="center"/>
                              <w:rPr>
                                <w:rFonts w:hAnsi="宋体"/>
                              </w:rPr>
                            </w:pPr>
                          </w:p>
                          <w:p w14:paraId="7AC1F569">
                            <w:pPr>
                              <w:jc w:val="center"/>
                              <w:rPr>
                                <w:rFonts w:hAnsi="宋体"/>
                              </w:rPr>
                            </w:pPr>
                          </w:p>
                          <w:p w14:paraId="75CD049E">
                            <w:pPr>
                              <w:jc w:val="center"/>
                            </w:pPr>
                            <w:r>
                              <w:rPr>
                                <w:rFonts w:hint="eastAsia" w:hAnsi="宋体"/>
                              </w:rPr>
                              <w:t>法人身份证</w:t>
                            </w:r>
                            <w:r>
                              <w:rPr>
                                <w:rFonts w:hint="eastAsia" w:hAnsi="宋体"/>
                                <w:lang w:eastAsia="zh-CN"/>
                              </w:rPr>
                              <w:t>扫描件</w:t>
                            </w:r>
                            <w:r>
                              <w:rPr>
                                <w:rFonts w:hint="eastAsia" w:hAnsi="宋体"/>
                              </w:rPr>
                              <w:t>正面</w:t>
                            </w:r>
                          </w:p>
                          <w:p w14:paraId="104BCE7F"/>
                        </w:txbxContent>
                      </wps:txbx>
                      <wps:bodyPr upright="1"/>
                    </wps:wsp>
                  </a:graphicData>
                </a:graphic>
              </wp:anchor>
            </w:drawing>
          </mc:Choice>
          <mc:Fallback>
            <w:pict>
              <v:roundrect id="圆角矩形 16" o:spid="_x0000_s1026" o:spt="2" style="position:absolute;left:0pt;margin-left:2.35pt;margin-top:18.55pt;height:110.95pt;width:201.2pt;z-index:251666432;mso-width-relative:page;mso-height-relative:page;" fillcolor="#FFFFFF" filled="t" stroked="t" coordsize="21600,21600" arcsize="0.166666666666667" o:gfxdata="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VwlTNkAAAAIAQAADwAAAAAAAAABACAAAAAiAAAAZHJzL2Rvd25yZXYueG1sUEsBAhQA&#10;FAAAAAgAh07iQG7X6NgqAgAAZAQAAA4AAAAAAAAAAQAgAAAAKAEAAGRycy9lMm9Eb2MueG1sUEsF&#10;BgAAAAAGAAYAWQEAAMQFAAAAAA==&#10;">
                <v:fill on="t" focussize="0,0"/>
                <v:stroke weight="1.25pt" color="#808080" joinstyle="round"/>
                <v:imagedata o:title=""/>
                <o:lock v:ext="edit" aspectratio="f"/>
                <v:textbox>
                  <w:txbxContent>
                    <w:p w14:paraId="0D7A0D94">
                      <w:pPr>
                        <w:jc w:val="center"/>
                        <w:rPr>
                          <w:rFonts w:hAnsi="宋体"/>
                        </w:rPr>
                      </w:pPr>
                    </w:p>
                    <w:p w14:paraId="3B7DA7F2">
                      <w:pPr>
                        <w:jc w:val="center"/>
                        <w:rPr>
                          <w:rFonts w:hAnsi="宋体"/>
                        </w:rPr>
                      </w:pPr>
                    </w:p>
                    <w:p w14:paraId="7AC1F569">
                      <w:pPr>
                        <w:jc w:val="center"/>
                        <w:rPr>
                          <w:rFonts w:hAnsi="宋体"/>
                        </w:rPr>
                      </w:pPr>
                    </w:p>
                    <w:p w14:paraId="75CD049E">
                      <w:pPr>
                        <w:jc w:val="center"/>
                      </w:pPr>
                      <w:r>
                        <w:rPr>
                          <w:rFonts w:hint="eastAsia" w:hAnsi="宋体"/>
                        </w:rPr>
                        <w:t>法人身份证</w:t>
                      </w:r>
                      <w:r>
                        <w:rPr>
                          <w:rFonts w:hint="eastAsia" w:hAnsi="宋体"/>
                          <w:lang w:eastAsia="zh-CN"/>
                        </w:rPr>
                        <w:t>扫描件</w:t>
                      </w:r>
                      <w:r>
                        <w:rPr>
                          <w:rFonts w:hint="eastAsia" w:hAnsi="宋体"/>
                        </w:rPr>
                        <w:t>正面</w:t>
                      </w:r>
                    </w:p>
                    <w:p w14:paraId="104BCE7F"/>
                  </w:txbxContent>
                </v:textbox>
              </v:roundrect>
            </w:pict>
          </mc:Fallback>
        </mc:AlternateContent>
      </w:r>
    </w:p>
    <w:p w14:paraId="090140FB">
      <w:pPr>
        <w:pStyle w:val="19"/>
        <w:tabs>
          <w:tab w:val="left" w:pos="5580"/>
        </w:tabs>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mc:AlternateContent>
          <mc:Choice Requires="wps">
            <w:drawing>
              <wp:anchor distT="0" distB="0" distL="0" distR="0" simplePos="0" relativeHeight="251666432" behindDoc="0" locked="0" layoutInCell="1" allowOverlap="1">
                <wp:simplePos x="0" y="0"/>
                <wp:positionH relativeFrom="column">
                  <wp:posOffset>3028315</wp:posOffset>
                </wp:positionH>
                <wp:positionV relativeFrom="paragraph">
                  <wp:posOffset>140335</wp:posOffset>
                </wp:positionV>
                <wp:extent cx="2535555" cy="1252220"/>
                <wp:effectExtent l="7620" t="7620" r="9525" b="16510"/>
                <wp:wrapNone/>
                <wp:docPr id="14" name="圆角矩形 13"/>
                <wp:cNvGraphicFramePr/>
                <a:graphic xmlns:a="http://schemas.openxmlformats.org/drawingml/2006/main">
                  <a:graphicData uri="http://schemas.microsoft.com/office/word/2010/wordprocessingShape">
                    <wps:wsp>
                      <wps:cNvSpPr/>
                      <wps:spPr>
                        <a:xfrm>
                          <a:off x="0" y="0"/>
                          <a:ext cx="2535554" cy="12522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4CA1B3AF">
                            <w:pPr>
                              <w:jc w:val="center"/>
                              <w:rPr>
                                <w:rFonts w:hAnsi="宋体"/>
                              </w:rPr>
                            </w:pPr>
                            <w:r>
                              <w:rPr>
                                <w:rFonts w:hint="eastAsia" w:hAnsi="宋体"/>
                              </w:rPr>
                              <w:t xml:space="preserve">  </w:t>
                            </w:r>
                          </w:p>
                          <w:p w14:paraId="35F2C60C">
                            <w:pPr>
                              <w:jc w:val="center"/>
                              <w:rPr>
                                <w:rFonts w:hAnsi="宋体"/>
                              </w:rPr>
                            </w:pPr>
                          </w:p>
                          <w:p w14:paraId="615EAB26">
                            <w:pPr>
                              <w:jc w:val="center"/>
                            </w:pPr>
                            <w:r>
                              <w:rPr>
                                <w:rFonts w:hint="eastAsia" w:hAnsi="宋体"/>
                              </w:rPr>
                              <w:t>法人身份证</w:t>
                            </w:r>
                            <w:r>
                              <w:rPr>
                                <w:rFonts w:hint="eastAsia" w:hAnsi="宋体"/>
                                <w:lang w:eastAsia="zh-CN"/>
                              </w:rPr>
                              <w:t>扫描件</w:t>
                            </w:r>
                            <w:r>
                              <w:rPr>
                                <w:rFonts w:hint="eastAsia" w:hAnsi="宋体"/>
                              </w:rPr>
                              <w:t>反面</w:t>
                            </w:r>
                          </w:p>
                          <w:p w14:paraId="1B36DB81"/>
                        </w:txbxContent>
                      </wps:txbx>
                      <wps:bodyPr upright="1"/>
                    </wps:wsp>
                  </a:graphicData>
                </a:graphic>
              </wp:anchor>
            </w:drawing>
          </mc:Choice>
          <mc:Fallback>
            <w:pict>
              <v:roundrect id="圆角矩形 13" o:spid="_x0000_s1026" o:spt="2" style="position:absolute;left:0pt;margin-left:238.45pt;margin-top:11.05pt;height:98.6pt;width:199.65pt;z-index:251666432;mso-width-relative:page;mso-height-relative:page;" fillcolor="#FFFFFF" filled="t" stroked="t" coordsize="21600,21600" arcsize="0.166666666666667" o:gfxdata="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4W/PtsAAAAKAQAADwAAAAAAAAABACAAAAAiAAAAZHJzL2Rvd25yZXYueG1sUEsB&#10;AhQAFAAAAAgAh07iQNzBZ9ArAgAAZAQAAA4AAAAAAAAAAQAgAAAAKgEAAGRycy9lMm9Eb2MueG1s&#10;UEsFBgAAAAAGAAYAWQEAAMcFAAAAAA==&#10;">
                <v:fill on="t" focussize="0,0"/>
                <v:stroke weight="1.25pt" color="#808080" joinstyle="round"/>
                <v:imagedata o:title=""/>
                <o:lock v:ext="edit" aspectratio="f"/>
                <v:textbox>
                  <w:txbxContent>
                    <w:p w14:paraId="4CA1B3AF">
                      <w:pPr>
                        <w:jc w:val="center"/>
                        <w:rPr>
                          <w:rFonts w:hAnsi="宋体"/>
                        </w:rPr>
                      </w:pPr>
                      <w:r>
                        <w:rPr>
                          <w:rFonts w:hint="eastAsia" w:hAnsi="宋体"/>
                        </w:rPr>
                        <w:t xml:space="preserve">  </w:t>
                      </w:r>
                    </w:p>
                    <w:p w14:paraId="35F2C60C">
                      <w:pPr>
                        <w:jc w:val="center"/>
                        <w:rPr>
                          <w:rFonts w:hAnsi="宋体"/>
                        </w:rPr>
                      </w:pPr>
                    </w:p>
                    <w:p w14:paraId="615EAB26">
                      <w:pPr>
                        <w:jc w:val="center"/>
                      </w:pPr>
                      <w:r>
                        <w:rPr>
                          <w:rFonts w:hint="eastAsia" w:hAnsi="宋体"/>
                        </w:rPr>
                        <w:t>法人身份证</w:t>
                      </w:r>
                      <w:r>
                        <w:rPr>
                          <w:rFonts w:hint="eastAsia" w:hAnsi="宋体"/>
                          <w:lang w:eastAsia="zh-CN"/>
                        </w:rPr>
                        <w:t>扫描件</w:t>
                      </w:r>
                      <w:r>
                        <w:rPr>
                          <w:rFonts w:hint="eastAsia" w:hAnsi="宋体"/>
                        </w:rPr>
                        <w:t>反面</w:t>
                      </w:r>
                    </w:p>
                    <w:p w14:paraId="1B36DB81"/>
                  </w:txbxContent>
                </v:textbox>
              </v:roundrect>
            </w:pict>
          </mc:Fallback>
        </mc:AlternateContent>
      </w:r>
    </w:p>
    <w:p w14:paraId="443B69EB">
      <w:pPr>
        <w:pStyle w:val="19"/>
        <w:tabs>
          <w:tab w:val="left" w:pos="5580"/>
        </w:tabs>
        <w:snapToGrid w:val="0"/>
        <w:spacing w:line="360" w:lineRule="auto"/>
        <w:textAlignment w:val="baseline"/>
        <w:rPr>
          <w:rFonts w:hint="eastAsia" w:ascii="宋体" w:hAnsi="宋体" w:eastAsia="宋体" w:cs="宋体"/>
          <w:color w:val="auto"/>
          <w:sz w:val="28"/>
          <w:szCs w:val="28"/>
        </w:rPr>
      </w:pPr>
    </w:p>
    <w:p w14:paraId="3DD27599">
      <w:pPr>
        <w:pStyle w:val="19"/>
        <w:tabs>
          <w:tab w:val="left" w:pos="5580"/>
        </w:tabs>
        <w:snapToGrid w:val="0"/>
        <w:spacing w:line="360" w:lineRule="auto"/>
        <w:textAlignment w:val="baseline"/>
        <w:rPr>
          <w:rFonts w:hint="eastAsia" w:ascii="宋体" w:hAnsi="宋体" w:eastAsia="宋体" w:cs="宋体"/>
          <w:color w:val="auto"/>
          <w:sz w:val="28"/>
          <w:szCs w:val="28"/>
        </w:rPr>
      </w:pPr>
    </w:p>
    <w:p w14:paraId="05C3DC52">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供应商（盖单位章）;               </w:t>
      </w:r>
    </w:p>
    <w:p w14:paraId="4F21E02B">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p>
    <w:p w14:paraId="4E813854">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277FA9A8">
      <w:pPr>
        <w:pStyle w:val="19"/>
        <w:tabs>
          <w:tab w:val="left" w:pos="5370"/>
        </w:tabs>
        <w:snapToGrid w:val="0"/>
        <w:spacing w:line="360" w:lineRule="auto"/>
        <w:ind w:firstLine="560" w:firstLineChars="200"/>
        <w:textAlignment w:val="baseline"/>
        <w:rPr>
          <w:rFonts w:hint="eastAsia" w:ascii="宋体" w:hAnsi="宋体" w:eastAsia="宋体" w:cs="宋体"/>
          <w:color w:val="auto"/>
          <w:sz w:val="28"/>
          <w:szCs w:val="21"/>
        </w:rPr>
      </w:pPr>
      <w:r>
        <w:rPr>
          <w:rFonts w:hint="eastAsia" w:ascii="宋体" w:hAnsi="宋体" w:eastAsia="宋体" w:cs="宋体"/>
          <w:color w:val="auto"/>
          <w:sz w:val="28"/>
          <w:szCs w:val="28"/>
        </w:rPr>
        <w:t>供应商(公章):</w:t>
      </w:r>
    </w:p>
    <w:p w14:paraId="2FFEE6E8">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法定代表人（签/章）：                     </w:t>
      </w:r>
    </w:p>
    <w:p w14:paraId="1DD38758">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身份证号码： </w:t>
      </w:r>
    </w:p>
    <w:p w14:paraId="3EDE88C9">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委托代理人（签/章）：                                   </w:t>
      </w:r>
    </w:p>
    <w:p w14:paraId="18F0734A">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身份证号码：                                   </w:t>
      </w:r>
    </w:p>
    <w:p w14:paraId="31621622">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详细通讯地址：                                 </w:t>
      </w:r>
    </w:p>
    <w:p w14:paraId="4FE4BBB8">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邮 政 编 码 ：                                 </w:t>
      </w:r>
    </w:p>
    <w:p w14:paraId="250D26CD">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传　　　　真：                                 </w:t>
      </w:r>
    </w:p>
    <w:p w14:paraId="754373D2">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电　　　　话：                                 </w:t>
      </w:r>
    </w:p>
    <w:p w14:paraId="6FFB39EB">
      <w:pPr>
        <w:tabs>
          <w:tab w:val="left" w:pos="5580"/>
        </w:tabs>
        <w:snapToGrid w:val="0"/>
        <w:spacing w:line="360" w:lineRule="auto"/>
        <w:ind w:firstLine="562" w:firstLineChars="200"/>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41055616">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37F4139A">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30CC6355">
      <w:pPr>
        <w:tabs>
          <w:tab w:val="left" w:pos="5580"/>
        </w:tabs>
        <w:snapToGrid w:val="0"/>
        <w:spacing w:line="360" w:lineRule="auto"/>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51AD5B75">
      <w:pPr>
        <w:pStyle w:val="9"/>
        <w:spacing w:line="360" w:lineRule="auto"/>
        <w:rPr>
          <w:rFonts w:hint="eastAsia" w:ascii="宋体" w:hAnsi="宋体" w:eastAsia="宋体" w:cs="宋体"/>
          <w:color w:val="auto"/>
          <w:sz w:val="28"/>
          <w:szCs w:val="21"/>
          <w:lang w:val="en-US" w:eastAsia="zh-CN"/>
        </w:rPr>
      </w:pPr>
    </w:p>
    <w:p w14:paraId="2C91C98E">
      <w:pPr>
        <w:tabs>
          <w:tab w:val="left" w:pos="5580"/>
        </w:tabs>
        <w:snapToGrid w:val="0"/>
        <w:spacing w:line="360" w:lineRule="auto"/>
        <w:ind w:left="1" w:firstLine="655" w:firstLineChars="233"/>
        <w:jc w:val="left"/>
        <w:textAlignment w:val="baseline"/>
        <w:outlineLvl w:val="9"/>
        <w:rPr>
          <w:rFonts w:hint="eastAsia" w:ascii="宋体" w:hAnsi="宋体" w:eastAsia="宋体" w:cs="宋体"/>
          <w:b/>
          <w:bCs/>
          <w:color w:val="auto"/>
          <w:kern w:val="0"/>
          <w:sz w:val="28"/>
          <w:szCs w:val="21"/>
          <w:highlight w:val="none"/>
          <w:lang w:val="en-US" w:eastAsia="zh-CN" w:bidi="ar-SA"/>
        </w:rPr>
      </w:pPr>
    </w:p>
    <w:p w14:paraId="1D80EB3F">
      <w:pPr>
        <w:pStyle w:val="19"/>
        <w:numPr>
          <w:ilvl w:val="0"/>
          <w:numId w:val="0"/>
        </w:numPr>
        <w:tabs>
          <w:tab w:val="left" w:pos="5580"/>
        </w:tabs>
        <w:snapToGrid w:val="0"/>
        <w:spacing w:line="360" w:lineRule="auto"/>
        <w:ind w:leftChars="0"/>
        <w:textAlignment w:val="baseline"/>
        <w:rPr>
          <w:rFonts w:hint="eastAsia" w:ascii="宋体" w:hAnsi="宋体" w:eastAsia="宋体" w:cs="宋体"/>
          <w:b/>
          <w:bCs/>
          <w:color w:val="auto"/>
          <w:kern w:val="0"/>
          <w:sz w:val="28"/>
          <w:szCs w:val="21"/>
          <w:highlight w:val="none"/>
          <w:lang w:val="en-US" w:eastAsia="zh-CN" w:bidi="ar-SA"/>
        </w:rPr>
      </w:pPr>
      <w:r>
        <w:rPr>
          <w:rFonts w:hint="eastAsia" w:ascii="宋体" w:hAnsi="宋体" w:eastAsia="宋体" w:cs="宋体"/>
          <w:b/>
          <w:bCs/>
          <w:color w:val="auto"/>
          <w:kern w:val="0"/>
          <w:sz w:val="28"/>
          <w:szCs w:val="21"/>
          <w:highlight w:val="none"/>
          <w:lang w:val="en-US" w:eastAsia="zh-CN" w:bidi="ar-SA"/>
        </w:rPr>
        <w:t>6.</w:t>
      </w:r>
      <w:r>
        <w:rPr>
          <w:rFonts w:hint="eastAsia" w:hAnsi="宋体" w:cs="宋体"/>
          <w:b/>
          <w:bCs/>
          <w:color w:val="auto"/>
          <w:kern w:val="0"/>
          <w:sz w:val="28"/>
          <w:szCs w:val="21"/>
          <w:highlight w:val="none"/>
          <w:lang w:val="en-US" w:eastAsia="zh-CN" w:bidi="ar-SA"/>
        </w:rPr>
        <w:t>提供本单位缴纳的近六个月任意一个月社保缴纳证明</w:t>
      </w:r>
      <w:r>
        <w:rPr>
          <w:rFonts w:hint="eastAsia" w:ascii="宋体" w:hAnsi="宋体" w:eastAsia="宋体" w:cs="宋体"/>
          <w:b/>
          <w:bCs/>
          <w:color w:val="auto"/>
          <w:kern w:val="0"/>
          <w:sz w:val="28"/>
          <w:szCs w:val="21"/>
          <w:highlight w:val="none"/>
          <w:lang w:val="en-US" w:eastAsia="zh-CN" w:bidi="ar-SA"/>
        </w:rPr>
        <w:t>；</w:t>
      </w:r>
    </w:p>
    <w:p w14:paraId="14D3161F">
      <w:pPr>
        <w:pStyle w:val="19"/>
        <w:numPr>
          <w:ilvl w:val="0"/>
          <w:numId w:val="0"/>
        </w:numPr>
        <w:tabs>
          <w:tab w:val="left" w:pos="5580"/>
        </w:tabs>
        <w:snapToGrid w:val="0"/>
        <w:spacing w:line="360" w:lineRule="auto"/>
        <w:textAlignment w:val="baseline"/>
        <w:rPr>
          <w:rFonts w:hint="eastAsia" w:ascii="宋体" w:hAnsi="宋体" w:eastAsia="宋体" w:cs="宋体"/>
          <w:b w:val="0"/>
          <w:bCs/>
          <w:color w:val="auto"/>
          <w:kern w:val="0"/>
          <w:sz w:val="28"/>
          <w:szCs w:val="21"/>
          <w:lang w:val="en-US" w:eastAsia="zh-CN"/>
        </w:rPr>
      </w:pPr>
      <w:r>
        <w:rPr>
          <w:rFonts w:hint="eastAsia" w:ascii="宋体" w:hAnsi="宋体" w:eastAsia="宋体" w:cs="宋体"/>
          <w:b w:val="0"/>
          <w:bCs/>
          <w:color w:val="auto"/>
          <w:kern w:val="0"/>
          <w:sz w:val="28"/>
          <w:szCs w:val="21"/>
          <w:lang w:val="en-US" w:eastAsia="zh-CN"/>
        </w:rPr>
        <w:t>说明：1、社保证明可含：社保缴费凭证或社保缴费证明或社保缴费汇总单。</w:t>
      </w:r>
    </w:p>
    <w:p w14:paraId="43918A0A">
      <w:pPr>
        <w:pStyle w:val="4"/>
        <w:keepNext/>
        <w:keepLines/>
        <w:widowControl w:val="0"/>
        <w:numPr>
          <w:ilvl w:val="0"/>
          <w:numId w:val="0"/>
        </w:numPr>
        <w:autoSpaceDE w:val="0"/>
        <w:autoSpaceDN w:val="0"/>
        <w:adjustRightInd w:val="0"/>
        <w:spacing w:before="360" w:after="120" w:line="360" w:lineRule="auto"/>
        <w:jc w:val="left"/>
        <w:outlineLvl w:val="2"/>
        <w:rPr>
          <w:rFonts w:hint="eastAsia" w:ascii="宋体" w:hAnsi="宋体" w:eastAsia="宋体" w:cs="宋体"/>
          <w:color w:val="auto"/>
          <w:sz w:val="28"/>
          <w:szCs w:val="21"/>
          <w:lang w:val="en-US" w:eastAsia="zh-CN"/>
        </w:rPr>
      </w:pPr>
    </w:p>
    <w:p w14:paraId="11856EC7">
      <w:pPr>
        <w:spacing w:line="360" w:lineRule="auto"/>
        <w:rPr>
          <w:rFonts w:hint="eastAsia" w:ascii="宋体" w:hAnsi="宋体" w:eastAsia="宋体" w:cs="宋体"/>
          <w:color w:val="auto"/>
          <w:sz w:val="22"/>
          <w:szCs w:val="28"/>
          <w:lang w:val="en-US" w:eastAsia="zh-CN"/>
        </w:rPr>
      </w:pPr>
    </w:p>
    <w:p w14:paraId="623F8439">
      <w:pPr>
        <w:spacing w:line="360" w:lineRule="auto"/>
        <w:rPr>
          <w:rFonts w:hint="eastAsia" w:ascii="宋体" w:hAnsi="宋体" w:eastAsia="宋体" w:cs="宋体"/>
          <w:color w:val="auto"/>
          <w:sz w:val="22"/>
          <w:szCs w:val="28"/>
          <w:lang w:val="en-US" w:eastAsia="zh-CN"/>
        </w:rPr>
      </w:pPr>
    </w:p>
    <w:p w14:paraId="20FC94D5">
      <w:pPr>
        <w:pStyle w:val="4"/>
        <w:spacing w:line="360" w:lineRule="auto"/>
        <w:rPr>
          <w:rFonts w:hint="eastAsia" w:ascii="宋体" w:hAnsi="宋体" w:eastAsia="宋体" w:cs="宋体"/>
          <w:color w:val="auto"/>
          <w:sz w:val="28"/>
          <w:szCs w:val="21"/>
          <w:lang w:val="en-US" w:eastAsia="zh-CN"/>
        </w:rPr>
      </w:pPr>
    </w:p>
    <w:p w14:paraId="771043EE">
      <w:pPr>
        <w:tabs>
          <w:tab w:val="left" w:pos="5580"/>
        </w:tabs>
        <w:snapToGrid w:val="0"/>
        <w:spacing w:line="360" w:lineRule="auto"/>
        <w:jc w:val="left"/>
        <w:textAlignment w:val="baseline"/>
        <w:outlineLvl w:val="9"/>
        <w:rPr>
          <w:rFonts w:hint="eastAsia" w:ascii="宋体" w:hAnsi="宋体" w:eastAsia="宋体" w:cs="宋体"/>
          <w:b/>
          <w:bCs/>
          <w:color w:val="auto"/>
          <w:kern w:val="0"/>
          <w:sz w:val="28"/>
          <w:szCs w:val="21"/>
          <w:highlight w:val="none"/>
          <w:lang w:val="en-US" w:eastAsia="zh-CN" w:bidi="ar-SA"/>
        </w:rPr>
      </w:pPr>
      <w:r>
        <w:rPr>
          <w:rFonts w:hint="eastAsia" w:ascii="宋体" w:hAnsi="宋体" w:eastAsia="宋体" w:cs="宋体"/>
          <w:b/>
          <w:bCs/>
          <w:color w:val="auto"/>
          <w:kern w:val="0"/>
          <w:sz w:val="28"/>
          <w:szCs w:val="21"/>
          <w:highlight w:val="none"/>
          <w:lang w:val="en-US" w:eastAsia="zh-CN" w:bidi="ar-SA"/>
        </w:rPr>
        <w:t>7、</w:t>
      </w:r>
      <w:r>
        <w:rPr>
          <w:rFonts w:hint="eastAsia" w:ascii="宋体" w:hAnsi="宋体" w:cs="宋体"/>
          <w:b/>
          <w:bCs/>
          <w:color w:val="auto"/>
          <w:kern w:val="0"/>
          <w:sz w:val="28"/>
          <w:szCs w:val="21"/>
          <w:highlight w:val="none"/>
          <w:lang w:val="en-US" w:eastAsia="zh-CN" w:bidi="ar-SA"/>
        </w:rPr>
        <w:t>提供近六个月任意一个月税务局开具的完税证明；（完税证明或税务部门出具的其他证明，非社会保险类）；</w:t>
      </w:r>
    </w:p>
    <w:p w14:paraId="0C09B421">
      <w:pPr>
        <w:spacing w:line="360" w:lineRule="auto"/>
        <w:rPr>
          <w:rFonts w:hint="eastAsia" w:ascii="宋体" w:hAnsi="宋体" w:eastAsia="宋体" w:cs="宋体"/>
          <w:color w:val="auto"/>
          <w:sz w:val="22"/>
          <w:szCs w:val="28"/>
          <w:lang w:val="en-US" w:eastAsia="zh-CN"/>
        </w:rPr>
      </w:pPr>
    </w:p>
    <w:p w14:paraId="2745616D">
      <w:pPr>
        <w:spacing w:line="360" w:lineRule="auto"/>
        <w:rPr>
          <w:rFonts w:hint="eastAsia" w:ascii="宋体" w:hAnsi="宋体" w:eastAsia="宋体" w:cs="宋体"/>
          <w:color w:val="auto"/>
          <w:sz w:val="22"/>
          <w:szCs w:val="28"/>
          <w:lang w:val="en-US" w:eastAsia="zh-CN"/>
        </w:rPr>
      </w:pPr>
    </w:p>
    <w:p w14:paraId="493772DA">
      <w:pPr>
        <w:spacing w:line="360" w:lineRule="auto"/>
        <w:rPr>
          <w:rFonts w:hint="eastAsia" w:ascii="宋体" w:hAnsi="宋体" w:eastAsia="宋体" w:cs="宋体"/>
          <w:color w:val="auto"/>
          <w:sz w:val="22"/>
          <w:szCs w:val="28"/>
          <w:lang w:val="en-US" w:eastAsia="zh-CN"/>
        </w:rPr>
      </w:pPr>
    </w:p>
    <w:p w14:paraId="1A99AC29">
      <w:pPr>
        <w:spacing w:line="360" w:lineRule="auto"/>
        <w:rPr>
          <w:rFonts w:hint="eastAsia" w:ascii="宋体" w:hAnsi="宋体" w:eastAsia="宋体" w:cs="宋体"/>
          <w:color w:val="auto"/>
          <w:sz w:val="22"/>
          <w:szCs w:val="28"/>
          <w:lang w:val="en-US" w:eastAsia="zh-CN"/>
        </w:rPr>
      </w:pPr>
      <w:r>
        <w:rPr>
          <w:rFonts w:hint="eastAsia" w:ascii="宋体" w:hAnsi="宋体" w:eastAsia="宋体" w:cs="宋体"/>
          <w:b/>
          <w:bCs/>
          <w:color w:val="auto"/>
          <w:sz w:val="28"/>
          <w:szCs w:val="28"/>
          <w:lang w:val="en-US" w:eastAsia="zh-CN"/>
        </w:rPr>
        <w:t>8、2023年度财务审计报告(新成立公司提供开标前六个月内任意一个月有效银 行资信证明)</w:t>
      </w:r>
    </w:p>
    <w:p w14:paraId="33E67202">
      <w:pPr>
        <w:pStyle w:val="4"/>
        <w:numPr>
          <w:ilvl w:val="0"/>
          <w:numId w:val="0"/>
        </w:numPr>
        <w:spacing w:line="360" w:lineRule="auto"/>
        <w:rPr>
          <w:rFonts w:hint="eastAsia" w:ascii="宋体" w:hAnsi="宋体" w:eastAsia="宋体" w:cs="宋体"/>
          <w:b/>
          <w:bCs/>
          <w:color w:val="auto"/>
          <w:kern w:val="0"/>
          <w:sz w:val="28"/>
          <w:szCs w:val="21"/>
          <w:lang w:val="en-US" w:eastAsia="zh-CN" w:bidi="ar-SA"/>
        </w:rPr>
      </w:pPr>
    </w:p>
    <w:p w14:paraId="73F94135">
      <w:pPr>
        <w:pStyle w:val="4"/>
        <w:numPr>
          <w:ilvl w:val="0"/>
          <w:numId w:val="0"/>
        </w:numPr>
        <w:spacing w:line="360" w:lineRule="auto"/>
        <w:rPr>
          <w:rFonts w:hint="eastAsia" w:ascii="宋体" w:hAnsi="宋体" w:eastAsia="宋体" w:cs="宋体"/>
          <w:b/>
          <w:bCs/>
          <w:color w:val="auto"/>
          <w:kern w:val="0"/>
          <w:sz w:val="28"/>
          <w:szCs w:val="21"/>
          <w:lang w:val="en-US" w:eastAsia="zh-CN" w:bidi="ar-SA"/>
        </w:rPr>
      </w:pPr>
    </w:p>
    <w:p w14:paraId="5A382C43">
      <w:pPr>
        <w:pStyle w:val="4"/>
        <w:numPr>
          <w:ilvl w:val="0"/>
          <w:numId w:val="0"/>
        </w:numPr>
        <w:spacing w:line="360" w:lineRule="auto"/>
        <w:rPr>
          <w:rFonts w:hint="eastAsia" w:ascii="宋体" w:hAnsi="宋体" w:eastAsia="宋体" w:cs="宋体"/>
          <w:b/>
          <w:bCs/>
          <w:color w:val="auto"/>
          <w:kern w:val="0"/>
          <w:sz w:val="28"/>
          <w:szCs w:val="21"/>
          <w:highlight w:val="none"/>
          <w:u w:val="none"/>
          <w:lang w:val="en-US" w:eastAsia="zh-CN" w:bidi="ar-SA"/>
        </w:rPr>
      </w:pPr>
      <w:r>
        <w:rPr>
          <w:rFonts w:hint="eastAsia" w:ascii="宋体" w:hAnsi="宋体" w:eastAsia="宋体" w:cs="宋体"/>
          <w:b/>
          <w:bCs/>
          <w:color w:val="auto"/>
          <w:kern w:val="0"/>
          <w:sz w:val="28"/>
          <w:szCs w:val="21"/>
          <w:u w:val="none"/>
          <w:lang w:val="en-US" w:eastAsia="zh-CN" w:bidi="ar-SA"/>
        </w:rPr>
        <w:t>9、</w:t>
      </w:r>
      <w:r>
        <w:rPr>
          <w:rFonts w:hint="eastAsia" w:ascii="宋体" w:hAnsi="宋体" w:eastAsia="宋体" w:cs="宋体"/>
          <w:b/>
          <w:bCs/>
          <w:color w:val="auto"/>
          <w:kern w:val="0"/>
          <w:sz w:val="28"/>
          <w:szCs w:val="21"/>
          <w:highlight w:val="none"/>
          <w:u w:val="none"/>
          <w:lang w:val="en-US" w:eastAsia="zh-CN" w:bidi="ar-SA"/>
        </w:rPr>
        <w:t>参加采购活动前三年内，投标企业未被“信用中国”（www.creditchina.gov.cn）、中国政府采购网（www.ccgp.gov.cn）列入失信被执行人、重大税收违法案件当事人名单、政府采购严重违法失信行为记录名单。</w:t>
      </w:r>
    </w:p>
    <w:p w14:paraId="5288B395">
      <w:pPr>
        <w:numPr>
          <w:ilvl w:val="0"/>
          <w:numId w:val="0"/>
        </w:numPr>
        <w:spacing w:line="360" w:lineRule="auto"/>
        <w:rPr>
          <w:rFonts w:hint="eastAsia" w:ascii="宋体" w:hAnsi="宋体" w:eastAsia="宋体" w:cs="宋体"/>
          <w:color w:val="auto"/>
          <w:sz w:val="22"/>
          <w:szCs w:val="28"/>
          <w:lang w:val="en-US" w:eastAsia="zh-CN"/>
        </w:rPr>
      </w:pPr>
    </w:p>
    <w:p w14:paraId="31FD1781">
      <w:pPr>
        <w:pStyle w:val="9"/>
        <w:spacing w:line="360" w:lineRule="auto"/>
        <w:rPr>
          <w:rFonts w:hint="eastAsia" w:ascii="宋体" w:hAnsi="宋体" w:eastAsia="宋体" w:cs="宋体"/>
          <w:color w:val="auto"/>
          <w:sz w:val="28"/>
          <w:szCs w:val="21"/>
          <w:lang w:val="en-US" w:eastAsia="zh-CN"/>
        </w:rPr>
      </w:pPr>
    </w:p>
    <w:p w14:paraId="3FFD15B5">
      <w:pPr>
        <w:spacing w:line="360" w:lineRule="auto"/>
        <w:rPr>
          <w:rFonts w:hint="eastAsia" w:ascii="宋体" w:hAnsi="宋体" w:eastAsia="宋体" w:cs="宋体"/>
          <w:b/>
          <w:bCs/>
          <w:color w:val="auto"/>
          <w:kern w:val="0"/>
          <w:sz w:val="28"/>
          <w:szCs w:val="21"/>
          <w:highlight w:val="none"/>
          <w:lang w:val="en-US" w:eastAsia="zh-CN" w:bidi="ar-SA"/>
        </w:rPr>
      </w:pPr>
      <w:r>
        <w:rPr>
          <w:rFonts w:hint="eastAsia" w:ascii="宋体" w:hAnsi="宋体" w:eastAsia="宋体" w:cs="宋体"/>
          <w:b/>
          <w:bCs/>
          <w:color w:val="auto"/>
          <w:kern w:val="0"/>
          <w:sz w:val="28"/>
          <w:szCs w:val="21"/>
          <w:highlight w:val="none"/>
          <w:lang w:val="en-US" w:eastAsia="zh-CN" w:bidi="ar-SA"/>
        </w:rPr>
        <w:br w:type="page"/>
      </w:r>
    </w:p>
    <w:p w14:paraId="635F8C17">
      <w:pPr>
        <w:tabs>
          <w:tab w:val="left" w:pos="5580"/>
        </w:tabs>
        <w:snapToGrid w:val="0"/>
        <w:spacing w:line="360" w:lineRule="auto"/>
        <w:jc w:val="left"/>
        <w:textAlignment w:val="baseline"/>
        <w:outlineLvl w:val="9"/>
        <w:rPr>
          <w:rFonts w:hint="eastAsia" w:ascii="宋体" w:hAnsi="宋体" w:eastAsia="宋体" w:cs="宋体"/>
          <w:b/>
          <w:bCs/>
          <w:color w:val="auto"/>
          <w:kern w:val="0"/>
          <w:sz w:val="28"/>
          <w:szCs w:val="21"/>
          <w:highlight w:val="none"/>
          <w:lang w:val="en-US" w:eastAsia="zh-CN" w:bidi="ar-SA"/>
        </w:rPr>
      </w:pPr>
      <w:r>
        <w:rPr>
          <w:rFonts w:hint="eastAsia" w:ascii="宋体" w:hAnsi="宋体" w:eastAsia="宋体" w:cs="宋体"/>
          <w:b/>
          <w:bCs/>
          <w:color w:val="auto"/>
          <w:kern w:val="0"/>
          <w:sz w:val="28"/>
          <w:szCs w:val="21"/>
          <w:highlight w:val="none"/>
          <w:lang w:val="en-US" w:eastAsia="zh-CN" w:bidi="ar-SA"/>
        </w:rPr>
        <w:t>10）本项目为专门面向中小企业（供应商须根据招标文件中的法定格式填写中小企业声明函）</w:t>
      </w:r>
    </w:p>
    <w:p w14:paraId="798BC77C">
      <w:pPr>
        <w:spacing w:before="0" w:line="360" w:lineRule="auto"/>
        <w:ind w:firstLine="281" w:firstLineChars="100"/>
        <w:jc w:val="center"/>
        <w:outlineLvl w:val="9"/>
        <w:rPr>
          <w:rStyle w:val="100"/>
          <w:rFonts w:hint="eastAsia" w:ascii="宋体" w:hAnsi="宋体" w:eastAsia="宋体" w:cs="宋体"/>
          <w:b/>
          <w:bCs w:val="0"/>
          <w:color w:val="auto"/>
          <w:sz w:val="28"/>
          <w:szCs w:val="28"/>
        </w:rPr>
      </w:pPr>
      <w:r>
        <w:rPr>
          <w:rStyle w:val="100"/>
          <w:rFonts w:hint="eastAsia" w:ascii="宋体" w:hAnsi="宋体" w:eastAsia="宋体" w:cs="宋体"/>
          <w:b/>
          <w:bCs w:val="0"/>
          <w:color w:val="auto"/>
          <w:sz w:val="28"/>
          <w:szCs w:val="28"/>
        </w:rPr>
        <w:t>中小企业声明函（</w:t>
      </w:r>
      <w:r>
        <w:rPr>
          <w:rStyle w:val="100"/>
          <w:rFonts w:hint="eastAsia" w:ascii="宋体" w:hAnsi="宋体" w:cs="宋体"/>
          <w:b/>
          <w:bCs w:val="0"/>
          <w:color w:val="auto"/>
          <w:sz w:val="28"/>
          <w:szCs w:val="28"/>
          <w:lang w:val="en-US"/>
        </w:rPr>
        <w:t>服务</w:t>
      </w:r>
      <w:r>
        <w:rPr>
          <w:rStyle w:val="100"/>
          <w:rFonts w:hint="eastAsia" w:ascii="宋体" w:hAnsi="宋体" w:eastAsia="宋体" w:cs="宋体"/>
          <w:b/>
          <w:bCs w:val="0"/>
          <w:color w:val="auto"/>
          <w:sz w:val="28"/>
          <w:szCs w:val="28"/>
        </w:rPr>
        <w:t>）</w:t>
      </w:r>
    </w:p>
    <w:p w14:paraId="3E6326E8">
      <w:pPr>
        <w:widowControl/>
        <w:spacing w:before="100" w:beforeAutospacing="1" w:after="100" w:afterAutospacing="1"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本公司（联合体）郑重声明，根据《政府采购促进中小企业发展管理办法》（财库﹝2020﹞46 号）的规定，本公司（联合体）参加</w:t>
      </w:r>
      <w:r>
        <w:rPr>
          <w:rFonts w:hint="eastAsia" w:ascii="宋体" w:hAnsi="宋体" w:eastAsia="宋体" w:cs="宋体"/>
          <w:i/>
          <w:iCs/>
          <w:color w:val="auto"/>
          <w:kern w:val="0"/>
          <w:sz w:val="28"/>
          <w:szCs w:val="28"/>
          <w:u w:val="single"/>
        </w:rPr>
        <w:t>（单位名称  ）</w:t>
      </w:r>
      <w:r>
        <w:rPr>
          <w:rFonts w:hint="eastAsia" w:ascii="宋体" w:hAnsi="宋体" w:eastAsia="宋体" w:cs="宋体"/>
          <w:color w:val="auto"/>
          <w:kern w:val="0"/>
          <w:sz w:val="28"/>
          <w:szCs w:val="28"/>
        </w:rPr>
        <w:t>的</w:t>
      </w:r>
      <w:r>
        <w:rPr>
          <w:rFonts w:hint="eastAsia" w:ascii="宋体" w:hAnsi="宋体" w:eastAsia="宋体" w:cs="宋体"/>
          <w:color w:val="auto"/>
          <w:kern w:val="0"/>
          <w:sz w:val="28"/>
          <w:szCs w:val="28"/>
          <w:u w:val="single"/>
        </w:rPr>
        <w:t xml:space="preserve">  </w:t>
      </w:r>
      <w:r>
        <w:rPr>
          <w:rFonts w:hint="eastAsia" w:ascii="宋体" w:hAnsi="宋体" w:eastAsia="宋体" w:cs="宋体"/>
          <w:i/>
          <w:iCs/>
          <w:color w:val="auto"/>
          <w:kern w:val="0"/>
          <w:sz w:val="28"/>
          <w:szCs w:val="28"/>
          <w:u w:val="single"/>
        </w:rPr>
        <w:t>（项目名称）</w:t>
      </w:r>
      <w:r>
        <w:rPr>
          <w:rFonts w:hint="eastAsia" w:ascii="宋体" w:hAnsi="宋体" w:eastAsia="宋体" w:cs="宋体"/>
          <w:color w:val="auto"/>
          <w:kern w:val="0"/>
          <w:sz w:val="28"/>
          <w:szCs w:val="28"/>
        </w:rPr>
        <w:t>采购活动，服务全部由符合政策要求的中小企业承接。相关企业（含联合 体中的中小企业、签订分包意向协议的中小企业）的具体情况如下：</w:t>
      </w:r>
    </w:p>
    <w:p w14:paraId="6E2EADB0">
      <w:pPr>
        <w:pStyle w:val="97"/>
        <w:tabs>
          <w:tab w:val="left" w:pos="1243"/>
        </w:tabs>
        <w:spacing w:line="360" w:lineRule="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r>
        <w:rPr>
          <w:rFonts w:hint="eastAsia" w:ascii="宋体" w:hAnsi="宋体" w:eastAsia="宋体" w:cs="宋体"/>
          <w:i/>
          <w:iCs/>
          <w:color w:val="auto"/>
          <w:kern w:val="0"/>
          <w:sz w:val="28"/>
          <w:szCs w:val="28"/>
          <w:u w:val="single"/>
        </w:rPr>
        <w:t>（项目名称）</w:t>
      </w:r>
      <w:r>
        <w:rPr>
          <w:rFonts w:hint="eastAsia" w:ascii="宋体" w:hAnsi="宋体" w:eastAsia="宋体" w:cs="宋体"/>
          <w:color w:val="auto"/>
          <w:kern w:val="0"/>
          <w:sz w:val="28"/>
          <w:szCs w:val="28"/>
        </w:rPr>
        <w:t>，属于</w:t>
      </w:r>
      <w:r>
        <w:rPr>
          <w:rFonts w:hint="eastAsia" w:ascii="宋体" w:hAnsi="宋体" w:eastAsia="宋体" w:cs="宋体"/>
          <w:i/>
          <w:iCs/>
          <w:color w:val="auto"/>
          <w:kern w:val="0"/>
          <w:sz w:val="28"/>
          <w:szCs w:val="28"/>
          <w:u w:val="single"/>
        </w:rPr>
        <w:t>（采购文件中明确的所属行业）</w:t>
      </w:r>
      <w:r>
        <w:rPr>
          <w:rFonts w:hint="eastAsia" w:ascii="宋体" w:hAnsi="宋体" w:eastAsia="宋体" w:cs="宋体"/>
          <w:color w:val="auto"/>
          <w:kern w:val="0"/>
          <w:sz w:val="28"/>
          <w:szCs w:val="28"/>
        </w:rPr>
        <w:t xml:space="preserve">；承接企业为 </w:t>
      </w:r>
      <w:r>
        <w:rPr>
          <w:rFonts w:hint="eastAsia" w:ascii="宋体" w:hAnsi="宋体" w:eastAsia="宋体" w:cs="宋体"/>
          <w:i/>
          <w:iCs/>
          <w:color w:val="auto"/>
          <w:kern w:val="0"/>
          <w:sz w:val="28"/>
          <w:szCs w:val="28"/>
          <w:u w:val="single"/>
        </w:rPr>
        <w:t xml:space="preserve">  （企业名称） </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，从业人员</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rPr>
        <w:tab/>
      </w:r>
      <w:r>
        <w:rPr>
          <w:rFonts w:hint="eastAsia" w:ascii="宋体" w:hAnsi="宋体" w:eastAsia="宋体" w:cs="宋体"/>
          <w:color w:val="auto"/>
          <w:kern w:val="0"/>
          <w:sz w:val="28"/>
          <w:szCs w:val="28"/>
        </w:rPr>
        <w:t>人，营业收入为</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rPr>
        <w:tab/>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万元，资产总额为</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rPr>
        <w:tab/>
      </w:r>
      <w:r>
        <w:rPr>
          <w:rFonts w:hint="eastAsia" w:ascii="宋体" w:hAnsi="宋体" w:eastAsia="宋体" w:cs="宋体"/>
          <w:color w:val="auto"/>
          <w:kern w:val="0"/>
          <w:sz w:val="28"/>
          <w:szCs w:val="28"/>
        </w:rPr>
        <w:t>万元，属于</w:t>
      </w:r>
      <w:r>
        <w:rPr>
          <w:rFonts w:hint="eastAsia" w:ascii="宋体" w:hAnsi="宋体" w:eastAsia="宋体" w:cs="宋体"/>
          <w:i/>
          <w:iCs/>
          <w:color w:val="auto"/>
          <w:kern w:val="0"/>
          <w:sz w:val="28"/>
          <w:szCs w:val="28"/>
          <w:u w:val="single"/>
        </w:rPr>
        <w:t>（中型企业、小型企业、微型企业）</w:t>
      </w:r>
      <w:r>
        <w:rPr>
          <w:rFonts w:hint="eastAsia" w:ascii="宋体" w:hAnsi="宋体" w:eastAsia="宋体" w:cs="宋体"/>
          <w:color w:val="auto"/>
          <w:kern w:val="0"/>
          <w:sz w:val="28"/>
          <w:szCs w:val="28"/>
        </w:rPr>
        <w:t>；</w:t>
      </w:r>
    </w:p>
    <w:p w14:paraId="132EF84A">
      <w:pPr>
        <w:pStyle w:val="97"/>
        <w:tabs>
          <w:tab w:val="left" w:pos="1243"/>
        </w:tabs>
        <w:spacing w:line="360" w:lineRule="auto"/>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2.</w:t>
      </w:r>
      <w:r>
        <w:rPr>
          <w:rFonts w:hint="eastAsia" w:ascii="宋体" w:hAnsi="宋体" w:eastAsia="宋体" w:cs="宋体"/>
          <w:i/>
          <w:iCs/>
          <w:color w:val="auto"/>
          <w:kern w:val="0"/>
          <w:sz w:val="28"/>
          <w:szCs w:val="28"/>
          <w:u w:val="single"/>
        </w:rPr>
        <w:t>（项目名称）</w:t>
      </w:r>
      <w:r>
        <w:rPr>
          <w:rFonts w:hint="eastAsia" w:ascii="宋体" w:hAnsi="宋体" w:eastAsia="宋体" w:cs="宋体"/>
          <w:color w:val="auto"/>
          <w:kern w:val="0"/>
          <w:sz w:val="28"/>
          <w:szCs w:val="28"/>
          <w:u w:val="single"/>
        </w:rPr>
        <w:t>，</w:t>
      </w:r>
      <w:r>
        <w:rPr>
          <w:rFonts w:hint="eastAsia" w:ascii="宋体" w:hAnsi="宋体" w:eastAsia="宋体" w:cs="宋体"/>
          <w:color w:val="auto"/>
          <w:kern w:val="0"/>
          <w:sz w:val="28"/>
          <w:szCs w:val="28"/>
        </w:rPr>
        <w:t>属于</w:t>
      </w:r>
      <w:r>
        <w:rPr>
          <w:rFonts w:hint="eastAsia" w:ascii="宋体" w:hAnsi="宋体" w:eastAsia="宋体" w:cs="宋体"/>
          <w:i/>
          <w:iCs/>
          <w:color w:val="auto"/>
          <w:kern w:val="0"/>
          <w:sz w:val="28"/>
          <w:szCs w:val="28"/>
          <w:u w:val="single"/>
        </w:rPr>
        <w:t>（采购文件中明确的所属行业）</w:t>
      </w:r>
      <w:r>
        <w:rPr>
          <w:rFonts w:hint="eastAsia" w:ascii="宋体" w:hAnsi="宋体" w:eastAsia="宋体" w:cs="宋体"/>
          <w:color w:val="auto"/>
          <w:kern w:val="0"/>
          <w:sz w:val="28"/>
          <w:szCs w:val="28"/>
        </w:rPr>
        <w:t>；承接企业为</w:t>
      </w:r>
      <w:r>
        <w:rPr>
          <w:rFonts w:hint="eastAsia" w:ascii="宋体" w:hAnsi="宋体" w:eastAsia="宋体" w:cs="宋体"/>
          <w:i/>
          <w:iCs/>
          <w:color w:val="auto"/>
          <w:kern w:val="0"/>
          <w:sz w:val="28"/>
          <w:szCs w:val="28"/>
          <w:u w:val="single"/>
        </w:rPr>
        <w:t>（企业名称）</w:t>
      </w:r>
      <w:r>
        <w:rPr>
          <w:rFonts w:hint="eastAsia" w:ascii="宋体" w:hAnsi="宋体" w:eastAsia="宋体" w:cs="宋体"/>
          <w:color w:val="auto"/>
          <w:kern w:val="0"/>
          <w:sz w:val="28"/>
          <w:szCs w:val="28"/>
        </w:rPr>
        <w:t>，从业人员</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rPr>
        <w:tab/>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人，营业收入为</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rPr>
        <w:tab/>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万元，资产总额为</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rPr>
        <w:tab/>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万元，属于</w:t>
      </w:r>
      <w:r>
        <w:rPr>
          <w:rFonts w:hint="eastAsia" w:ascii="宋体" w:hAnsi="宋体" w:eastAsia="宋体" w:cs="宋体"/>
          <w:i/>
          <w:iCs/>
          <w:color w:val="auto"/>
          <w:kern w:val="0"/>
          <w:sz w:val="28"/>
          <w:szCs w:val="28"/>
          <w:u w:val="single"/>
        </w:rPr>
        <w:t>（中型企业、小型企业、微型企业）</w:t>
      </w:r>
      <w:r>
        <w:rPr>
          <w:rFonts w:hint="eastAsia" w:ascii="宋体" w:hAnsi="宋体" w:eastAsia="宋体" w:cs="宋体"/>
          <w:color w:val="auto"/>
          <w:kern w:val="0"/>
          <w:sz w:val="28"/>
          <w:szCs w:val="28"/>
        </w:rPr>
        <w:t>；</w:t>
      </w:r>
    </w:p>
    <w:p w14:paraId="726C296D">
      <w:pPr>
        <w:pStyle w:val="13"/>
        <w:spacing w:before="11" w:line="360" w:lineRule="auto"/>
        <w:ind w:left="86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p>
    <w:p w14:paraId="3C80C742">
      <w:pPr>
        <w:pStyle w:val="13"/>
        <w:spacing w:before="108" w:line="360" w:lineRule="auto"/>
        <w:ind w:right="417"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以上企业，不属于大企业的分支机构，不存在控股股东为大企业的情形，也不存在与大企业的负责人为同一人的情形。</w:t>
      </w:r>
    </w:p>
    <w:p w14:paraId="115FAFAE">
      <w:pPr>
        <w:pStyle w:val="13"/>
        <w:spacing w:before="108" w:line="360" w:lineRule="auto"/>
        <w:ind w:right="417"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本企业对上述声明内容的真实性负责。如有虚假，将依法承担相应责任。</w:t>
      </w:r>
    </w:p>
    <w:p w14:paraId="6ED6EBC1">
      <w:pPr>
        <w:pStyle w:val="97"/>
        <w:tabs>
          <w:tab w:val="left" w:pos="1243"/>
        </w:tabs>
        <w:spacing w:line="360" w:lineRule="auto"/>
        <w:ind w:left="420" w:leftChars="200" w:firstLine="0" w:firstLineChars="0"/>
        <w:rPr>
          <w:rFonts w:hint="eastAsia" w:ascii="宋体" w:hAnsi="宋体" w:eastAsia="宋体" w:cs="宋体"/>
          <w:color w:val="auto"/>
          <w:kern w:val="0"/>
          <w:sz w:val="28"/>
          <w:szCs w:val="28"/>
        </w:rPr>
      </w:pPr>
    </w:p>
    <w:p w14:paraId="10D3DADF">
      <w:pPr>
        <w:pStyle w:val="97"/>
        <w:tabs>
          <w:tab w:val="left" w:pos="1243"/>
        </w:tabs>
        <w:spacing w:line="360" w:lineRule="auto"/>
        <w:ind w:left="0" w:leftChars="0" w:firstLine="0" w:firstLineChars="0"/>
        <w:rPr>
          <w:rFonts w:hint="eastAsia" w:ascii="宋体" w:hAnsi="宋体" w:eastAsia="宋体" w:cs="宋体"/>
          <w:color w:val="auto"/>
          <w:kern w:val="0"/>
          <w:sz w:val="28"/>
          <w:szCs w:val="28"/>
        </w:rPr>
      </w:pPr>
    </w:p>
    <w:p w14:paraId="1657EB0F">
      <w:pPr>
        <w:pStyle w:val="97"/>
        <w:tabs>
          <w:tab w:val="left" w:pos="1243"/>
        </w:tabs>
        <w:spacing w:line="360" w:lineRule="auto"/>
        <w:ind w:left="420" w:leftChars="200" w:firstLine="0" w:firstLineChars="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供应商名称（盖章）：</w:t>
      </w:r>
    </w:p>
    <w:p w14:paraId="529771AE">
      <w:pPr>
        <w:pStyle w:val="97"/>
        <w:tabs>
          <w:tab w:val="left" w:pos="1243"/>
        </w:tabs>
        <w:spacing w:line="360" w:lineRule="auto"/>
        <w:ind w:left="0" w:leftChars="0" w:firstLine="0" w:firstLineChars="0"/>
        <w:rPr>
          <w:rFonts w:hint="eastAsia" w:ascii="宋体" w:hAnsi="宋体" w:eastAsia="宋体" w:cs="宋体"/>
          <w:color w:val="auto"/>
          <w:kern w:val="0"/>
          <w:sz w:val="28"/>
          <w:szCs w:val="28"/>
        </w:rPr>
      </w:pPr>
    </w:p>
    <w:p w14:paraId="31608582">
      <w:pPr>
        <w:pStyle w:val="97"/>
        <w:tabs>
          <w:tab w:val="left" w:pos="1243"/>
        </w:tabs>
        <w:spacing w:line="360" w:lineRule="auto"/>
        <w:ind w:left="420" w:leftChars="200" w:firstLine="0" w:firstLineChars="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日期：</w:t>
      </w:r>
    </w:p>
    <w:p w14:paraId="4CA8CA03">
      <w:pPr>
        <w:pStyle w:val="97"/>
        <w:tabs>
          <w:tab w:val="left" w:pos="1243"/>
        </w:tabs>
        <w:spacing w:line="360" w:lineRule="auto"/>
        <w:ind w:left="0" w:leftChars="0" w:firstLine="0" w:firstLineChars="0"/>
        <w:rPr>
          <w:rFonts w:hint="eastAsia" w:ascii="宋体" w:hAnsi="宋体" w:eastAsia="宋体" w:cs="宋体"/>
          <w:color w:val="auto"/>
          <w:kern w:val="0"/>
          <w:sz w:val="28"/>
          <w:szCs w:val="28"/>
        </w:rPr>
      </w:pPr>
    </w:p>
    <w:p w14:paraId="54710687">
      <w:pPr>
        <w:widowControl/>
        <w:spacing w:before="100" w:beforeAutospacing="1" w:after="100" w:afterAutospacing="1" w:line="360" w:lineRule="auto"/>
        <w:ind w:left="420" w:hanging="562" w:hangingChars="200"/>
        <w:jc w:val="both"/>
        <w:rPr>
          <w:rFonts w:hint="eastAsia" w:ascii="宋体" w:hAnsi="宋体" w:eastAsia="宋体" w:cs="宋体"/>
          <w:color w:val="auto"/>
          <w:sz w:val="28"/>
          <w:szCs w:val="28"/>
        </w:rPr>
      </w:pPr>
      <w:r>
        <w:rPr>
          <w:rFonts w:hint="eastAsia" w:ascii="宋体" w:hAnsi="宋体" w:eastAsia="宋体" w:cs="宋体"/>
          <w:b/>
          <w:bCs/>
          <w:color w:val="auto"/>
          <w:sz w:val="28"/>
          <w:szCs w:val="28"/>
        </w:rPr>
        <w:t>注：</w:t>
      </w:r>
      <w:r>
        <w:rPr>
          <w:rFonts w:hint="eastAsia" w:ascii="宋体" w:hAnsi="宋体" w:eastAsia="宋体" w:cs="宋体"/>
          <w:b/>
          <w:bCs/>
          <w:color w:val="auto"/>
          <w:sz w:val="28"/>
          <w:szCs w:val="28"/>
          <w:lang w:val="en-US" w:eastAsia="zh-CN"/>
        </w:rPr>
        <w:t xml:space="preserve">1、潜在投标企业属于中小微企业的，应在响应文件中提供‘’中小企业声明函”如果未提供或提供“中小企业声明函”内容不实的，供应商将承担由此造成的一切不利后果。  </w:t>
      </w:r>
      <w:r>
        <w:rPr>
          <w:rFonts w:hint="eastAsia" w:ascii="宋体" w:hAnsi="宋体" w:eastAsia="宋体" w:cs="宋体"/>
          <w:color w:val="auto"/>
          <w:sz w:val="28"/>
          <w:szCs w:val="28"/>
          <w:lang w:val="en-US" w:eastAsia="zh-CN"/>
        </w:rPr>
        <w:t xml:space="preserve">    </w:t>
      </w:r>
    </w:p>
    <w:p w14:paraId="5076019F">
      <w:pPr>
        <w:widowControl/>
        <w:numPr>
          <w:ilvl w:val="0"/>
          <w:numId w:val="0"/>
        </w:numPr>
        <w:spacing w:before="100" w:beforeAutospacing="1" w:after="100" w:afterAutospacing="1" w:line="360" w:lineRule="auto"/>
        <w:ind w:leftChars="339"/>
        <w:jc w:val="both"/>
        <w:rPr>
          <w:rFonts w:hint="eastAsia" w:ascii="宋体" w:hAnsi="宋体" w:eastAsia="宋体" w:cs="宋体"/>
          <w:color w:val="auto"/>
          <w:sz w:val="28"/>
          <w:szCs w:val="36"/>
        </w:rPr>
      </w:pPr>
      <w:r>
        <w:rPr>
          <w:rFonts w:hint="eastAsia" w:ascii="宋体" w:hAnsi="宋体" w:eastAsia="宋体" w:cs="宋体"/>
          <w:b/>
          <w:bCs/>
          <w:color w:val="auto"/>
          <w:sz w:val="28"/>
          <w:szCs w:val="28"/>
          <w:lang w:val="en-US" w:eastAsia="zh-CN"/>
        </w:rPr>
        <w:t>2、本项目所属行业：其他未列明行业。</w:t>
      </w:r>
    </w:p>
    <w:p w14:paraId="3E69F4A9">
      <w:pPr>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br w:type="page"/>
      </w:r>
    </w:p>
    <w:p w14:paraId="4BC93781">
      <w:pPr>
        <w:spacing w:line="360" w:lineRule="auto"/>
        <w:jc w:val="left"/>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附：</w:t>
      </w:r>
    </w:p>
    <w:p w14:paraId="59F9D9BD">
      <w:pPr>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中小微企业划型标准</w:t>
      </w:r>
    </w:p>
    <w:p w14:paraId="004FA49D">
      <w:pPr>
        <w:spacing w:line="360" w:lineRule="auto"/>
        <w:jc w:val="center"/>
        <w:rPr>
          <w:rFonts w:hint="eastAsia" w:ascii="宋体" w:hAnsi="宋体" w:eastAsia="宋体" w:cs="宋体"/>
          <w:b/>
          <w:bCs/>
          <w:color w:val="auto"/>
          <w:kern w:val="0"/>
          <w:sz w:val="28"/>
          <w:szCs w:val="28"/>
        </w:rPr>
      </w:pPr>
    </w:p>
    <w:p w14:paraId="098D7100">
      <w:pPr>
        <w:spacing w:line="360" w:lineRule="auto"/>
        <w:ind w:firstLine="560" w:firstLineChars="200"/>
        <w:jc w:val="left"/>
        <w:rPr>
          <w:rFonts w:hint="eastAsia" w:ascii="宋体" w:hAnsi="宋体" w:eastAsia="宋体" w:cs="宋体"/>
          <w:b/>
          <w:bCs/>
          <w:color w:val="auto"/>
          <w:kern w:val="0"/>
          <w:sz w:val="28"/>
          <w:szCs w:val="28"/>
        </w:rPr>
      </w:pPr>
      <w:bookmarkStart w:id="613" w:name="bookmark4"/>
      <w:bookmarkStart w:id="614" w:name="bookmark5"/>
      <w:r>
        <w:rPr>
          <w:rFonts w:hint="eastAsia" w:ascii="宋体" w:hAnsi="宋体" w:eastAsia="宋体" w:cs="宋体"/>
          <w:color w:val="auto"/>
          <w:kern w:val="0"/>
          <w:sz w:val="28"/>
          <w:szCs w:val="28"/>
        </w:rPr>
        <w:t>工业和信息化部、国家统计局、发展改革委、财政部等四部门《关于印发中 小企业划型标准规定的通知》（工信部联企业〔2011〕300号）规定中小企业划型标准如表所示：</w:t>
      </w:r>
      <w:bookmarkEnd w:id="613"/>
      <w:bookmarkEnd w:id="614"/>
    </w:p>
    <w:tbl>
      <w:tblPr>
        <w:tblStyle w:val="40"/>
        <w:tblW w:w="9793" w:type="dxa"/>
        <w:jc w:val="center"/>
        <w:tblLayout w:type="autofit"/>
        <w:tblCellMar>
          <w:top w:w="0" w:type="dxa"/>
          <w:left w:w="108" w:type="dxa"/>
          <w:bottom w:w="0" w:type="dxa"/>
          <w:right w:w="108" w:type="dxa"/>
        </w:tblCellMar>
      </w:tblPr>
      <w:tblGrid>
        <w:gridCol w:w="2391"/>
        <w:gridCol w:w="849"/>
        <w:gridCol w:w="6553"/>
      </w:tblGrid>
      <w:tr w14:paraId="24E05C64">
        <w:tblPrEx>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E7536">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0DAC0">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营业收入20000万元以下的为中小微型企业。</w:t>
            </w:r>
          </w:p>
        </w:tc>
      </w:tr>
      <w:tr w14:paraId="700FA6F5">
        <w:tblPrEx>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D462F">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66BA">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4F40">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500万元-20000万元</w:t>
            </w:r>
          </w:p>
        </w:tc>
      </w:tr>
      <w:tr w14:paraId="31F915B7">
        <w:tblPrEx>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6900">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1FCA">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12A6">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50万元-500万元</w:t>
            </w:r>
          </w:p>
        </w:tc>
      </w:tr>
      <w:tr w14:paraId="61494068">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0E585">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60C2">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3D05">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50万元以下</w:t>
            </w:r>
          </w:p>
        </w:tc>
      </w:tr>
      <w:tr w14:paraId="26C7AE19">
        <w:tblPrEx>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7D835">
            <w:pPr>
              <w:widowControl/>
              <w:spacing w:line="360" w:lineRule="auto"/>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工业</w:t>
            </w:r>
          </w:p>
          <w:p w14:paraId="4A43BACF">
            <w:pPr>
              <w:widowControl/>
              <w:spacing w:line="360" w:lineRule="auto"/>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（包括采矿业，制造 业，电力、热力、燃 气及水生产和供应</w:t>
            </w:r>
          </w:p>
          <w:p w14:paraId="30740D63">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F8F52">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从业人员1000人以下或营业收入 40000万元以下的为中小微型企业。</w:t>
            </w:r>
          </w:p>
        </w:tc>
      </w:tr>
      <w:tr w14:paraId="3BD35968">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85168">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FB5F">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76BA">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 300人一1000人，且营业收入 2000万元一40000万元</w:t>
            </w:r>
          </w:p>
        </w:tc>
      </w:tr>
      <w:tr w14:paraId="50289E5E">
        <w:tblPrEx>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60A59">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D4E1">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54DC">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从业人员20人一300人，且营业收入 300万元一2000万元</w:t>
            </w:r>
          </w:p>
        </w:tc>
      </w:tr>
      <w:tr w14:paraId="173FBA86">
        <w:tblPrEx>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D3F1D">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EF77">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7F31">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从业人员20人以下或营业收入 300万元以下</w:t>
            </w:r>
          </w:p>
        </w:tc>
      </w:tr>
      <w:tr w14:paraId="03E6128E">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E5A53">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B5CC3">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营业收入80000万元以下或资产总额 80000万元以下的为中小微型企业。</w:t>
            </w:r>
          </w:p>
        </w:tc>
      </w:tr>
      <w:tr w14:paraId="50067EB1">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AE0C6">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FFB0">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9335">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营业收入6000万元一80000万元，且资产总额 5000万元一80000万元</w:t>
            </w:r>
          </w:p>
        </w:tc>
      </w:tr>
      <w:tr w14:paraId="73DAC11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55F8A">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EDBB">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3D88">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营业收入 300万元一6000万元，且资产总额 300万一5000万元</w:t>
            </w:r>
          </w:p>
        </w:tc>
      </w:tr>
      <w:tr w14:paraId="6F59B39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E604F">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0B0B">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8B4B">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营业收入300万元以下或资产总额 300万元以下</w:t>
            </w:r>
          </w:p>
        </w:tc>
      </w:tr>
      <w:tr w14:paraId="7F226374">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36B6D">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B5A99">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从业人员200人以下或营业收入40000万元以下的为中小微型企业。</w:t>
            </w:r>
          </w:p>
        </w:tc>
      </w:tr>
      <w:tr w14:paraId="7888850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87A15">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91D9">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1D64">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从业人员20人一200人，且营业收入5000万元一40000万元</w:t>
            </w:r>
          </w:p>
        </w:tc>
      </w:tr>
      <w:tr w14:paraId="7743539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878F8">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EC12">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BC6E">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从业人员5人一20人，且营业收入1000万元一5000万元</w:t>
            </w:r>
          </w:p>
        </w:tc>
      </w:tr>
      <w:tr w14:paraId="7EEB93B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B60AF">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AC19">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31FC">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从业人员5人以下或营业收入1000万元以下</w:t>
            </w:r>
          </w:p>
        </w:tc>
      </w:tr>
      <w:tr w14:paraId="4FA11B32">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1A6D6">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68D37">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从业人员300人以下或营业收入 20000万元以下的为中小微型企业。</w:t>
            </w:r>
          </w:p>
        </w:tc>
      </w:tr>
      <w:tr w14:paraId="5100F83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DD56">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C68D">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89C8">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 50人一300人，且营业收入500万元一20000万元</w:t>
            </w:r>
          </w:p>
        </w:tc>
      </w:tr>
      <w:tr w14:paraId="5B9C937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5AEE">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3C5B">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4C5C">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从业人员10人一50人，且营业收入100万元一500万元</w:t>
            </w:r>
          </w:p>
        </w:tc>
      </w:tr>
      <w:tr w14:paraId="3249C3F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7CF56">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AAF2">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8553">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从业人员10人以下或营业收入100万元以下</w:t>
            </w:r>
          </w:p>
        </w:tc>
      </w:tr>
      <w:tr w14:paraId="199D94F5">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59E62">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5763C">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从业人员1000人以下或营业收入 30000万元以下的为中小微型企业。</w:t>
            </w:r>
          </w:p>
        </w:tc>
      </w:tr>
      <w:tr w14:paraId="13FFE9D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F3959">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FC4F">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7938">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 300人一1000人，且营业收入 3000万元一30000万元</w:t>
            </w:r>
          </w:p>
        </w:tc>
      </w:tr>
      <w:tr w14:paraId="5A5F62D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4EEBC">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01FD">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AA76">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从业人员20人一300人，且营业收入 200万元一3000万元</w:t>
            </w:r>
          </w:p>
        </w:tc>
      </w:tr>
      <w:tr w14:paraId="7884ACA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18D3E">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D0B2">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BDCC">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从业人员20人以下或营业收入200万元以下</w:t>
            </w:r>
          </w:p>
        </w:tc>
      </w:tr>
      <w:tr w14:paraId="44E91F46">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C84BD">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5AA38">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从业人员200人以下或营业收入 30000万元以下的为中小微型企业。</w:t>
            </w:r>
          </w:p>
        </w:tc>
      </w:tr>
      <w:tr w14:paraId="74F0268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E759">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C625">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DB37">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从业人员100人一200人，且营业收入 1000万元一30000万元</w:t>
            </w:r>
          </w:p>
        </w:tc>
      </w:tr>
      <w:tr w14:paraId="03622D0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01DC8">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307E">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B482">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从业人员20人一100人，且营业收入 100万元一1000万元</w:t>
            </w:r>
          </w:p>
        </w:tc>
      </w:tr>
      <w:tr w14:paraId="4AA3088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C319A">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6EBF">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C9DA">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从业人员20人以下或营业收入 100万元以下</w:t>
            </w:r>
          </w:p>
        </w:tc>
      </w:tr>
      <w:tr w14:paraId="4B1AE000">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AAAD0">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5B57D">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从业人员1000人以下或营业收入 30000万元以下的为中小微型企业。</w:t>
            </w:r>
          </w:p>
        </w:tc>
      </w:tr>
      <w:tr w14:paraId="378203F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16C9A">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0E75">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1F24">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 300人一1000人，且营业收入 2000万元一30000万元</w:t>
            </w:r>
          </w:p>
        </w:tc>
      </w:tr>
      <w:tr w14:paraId="4212892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4FCFA">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50D7">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BE45">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从业人员20人一300人，且营业收入 100万元一2000万元</w:t>
            </w:r>
          </w:p>
        </w:tc>
      </w:tr>
      <w:tr w14:paraId="5AEACA7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B20D8">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ACAF">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4961">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从业人员20人以下或营业收入 100万元以下</w:t>
            </w:r>
          </w:p>
        </w:tc>
      </w:tr>
      <w:tr w14:paraId="292BBEAB">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54C77">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CD171">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从业人员300人以下或营业收入 10000万元以下的为中小微型企业。</w:t>
            </w:r>
          </w:p>
        </w:tc>
      </w:tr>
      <w:tr w14:paraId="69EB13D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53DF7">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779F">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391F">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从业人员100人一300人，且营业收入 2000万元一10000万元</w:t>
            </w:r>
          </w:p>
        </w:tc>
      </w:tr>
      <w:tr w14:paraId="74E403E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69B13">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D163">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5EC6">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从业人员10人一100人，且营业收入 100万元一2000万元</w:t>
            </w:r>
          </w:p>
        </w:tc>
      </w:tr>
      <w:tr w14:paraId="00A0304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95708">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D2C7">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65C3">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从业人员10人以下或营业收入 100万元以下</w:t>
            </w:r>
          </w:p>
        </w:tc>
      </w:tr>
      <w:tr w14:paraId="413F1D5F">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44946">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CD021">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从业人员300人以下或营业收入 10000万元以下的为中小微型企业。</w:t>
            </w:r>
          </w:p>
        </w:tc>
      </w:tr>
      <w:tr w14:paraId="68CED9D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E91FF">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898F">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2186">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从业人员100— 300人，且营业收入 2000万元一10000万元</w:t>
            </w:r>
          </w:p>
        </w:tc>
      </w:tr>
      <w:tr w14:paraId="28A2D95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949B0">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DC2D">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D91A">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从业人员10人一100人，且营业收入 100万元一2000万元</w:t>
            </w:r>
          </w:p>
        </w:tc>
      </w:tr>
      <w:tr w14:paraId="062336F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302CC">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93E9">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9F9C">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从业人员10人以下或营业收入 100万元以下</w:t>
            </w:r>
          </w:p>
        </w:tc>
      </w:tr>
      <w:tr w14:paraId="7DE8181E">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A2679">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3E381">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从业人员2000人以下或营业收入 100000万元以下的为中小微型企业。</w:t>
            </w:r>
          </w:p>
        </w:tc>
      </w:tr>
      <w:tr w14:paraId="32970CD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2D026">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FCEE">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39A3">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从业人员100人一2000人，且营业收入 1000万元一10000万元</w:t>
            </w:r>
          </w:p>
        </w:tc>
      </w:tr>
      <w:tr w14:paraId="7BA089E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F8260">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B3D4">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2B66">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从业人员10人一100人，且营业收入 100万元一1000万元</w:t>
            </w:r>
          </w:p>
        </w:tc>
      </w:tr>
      <w:tr w14:paraId="1378265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F91C">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8C13">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DFD4">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从业人员10人以下或营业收入 100万元以下</w:t>
            </w:r>
          </w:p>
        </w:tc>
      </w:tr>
      <w:tr w14:paraId="07332D2A">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4B044">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75D26">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从业人员300人以下或营业收入 10000万元以下的为中小微型企业。</w:t>
            </w:r>
          </w:p>
        </w:tc>
      </w:tr>
      <w:tr w14:paraId="5A60F09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F7877">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51FB">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5859">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从业人员100— 300人，且营业收入 1000万元一10000万元</w:t>
            </w:r>
          </w:p>
        </w:tc>
      </w:tr>
      <w:tr w14:paraId="3C7D129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75043">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D424">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9E94">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从业人员10人一100人，且营业收入 50万元一1000万元</w:t>
            </w:r>
          </w:p>
        </w:tc>
      </w:tr>
      <w:tr w14:paraId="0661F12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F7EEA">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818D">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6284">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从业人员10人以下或营业收入 50万元以下</w:t>
            </w:r>
          </w:p>
        </w:tc>
      </w:tr>
      <w:tr w14:paraId="11AED760">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C3C97">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AF016">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营业收入200000万元以下或资产总额 10000万元以下的为中小微型企业。</w:t>
            </w:r>
          </w:p>
        </w:tc>
      </w:tr>
      <w:tr w14:paraId="7D28CA42">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4F16D">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AB25">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121B">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营业收入1000万元一200000万元，且资产总额 5000万元一10000万元</w:t>
            </w:r>
          </w:p>
        </w:tc>
      </w:tr>
      <w:tr w14:paraId="6FDB0409">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73BC5">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7287">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C324">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营业收入100万元一1000万元，且资产总额 2 000万元一5000 万元</w:t>
            </w:r>
          </w:p>
        </w:tc>
      </w:tr>
      <w:tr w14:paraId="0DFD430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7798C">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022F">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0575">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营业收入100万元以下或资产总额 2000万元以下的为微型企业</w:t>
            </w:r>
          </w:p>
        </w:tc>
      </w:tr>
      <w:tr w14:paraId="6721C1D3">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DA97C">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DE6B2">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从业人员1000人以下或营业收入 5000万元以下的为中小微型企业。</w:t>
            </w:r>
          </w:p>
        </w:tc>
      </w:tr>
      <w:tr w14:paraId="002B347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688DC">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8923">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B5DE">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 300人一1 000人，且营业收入 1000万元一5000万元</w:t>
            </w:r>
          </w:p>
        </w:tc>
      </w:tr>
      <w:tr w14:paraId="355C89C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F930D">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0BE7">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02F1">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从业人员100人一300人，且营业收入 500万元一1000万元</w:t>
            </w:r>
          </w:p>
        </w:tc>
      </w:tr>
      <w:tr w14:paraId="0C9EC4C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817CA">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5008">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2A4A">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从业人员100人以下或营业收入 500万元以下</w:t>
            </w:r>
          </w:p>
        </w:tc>
      </w:tr>
      <w:tr w14:paraId="31C4BC54">
        <w:tblPrEx>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17A87">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07145">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31A870E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5322F">
            <w:pPr>
              <w:spacing w:line="360" w:lineRule="auto"/>
              <w:jc w:val="left"/>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2688">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67B2">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从业人员100人一300人，且资产总额 8000万元一120000万元</w:t>
            </w:r>
          </w:p>
        </w:tc>
      </w:tr>
      <w:tr w14:paraId="4A38EC0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11068">
            <w:pPr>
              <w:spacing w:line="360" w:lineRule="auto"/>
              <w:jc w:val="left"/>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7F6C">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7A08">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从业人员10人一100人，且资产总额 100万元一8000万元</w:t>
            </w:r>
          </w:p>
        </w:tc>
      </w:tr>
      <w:tr w14:paraId="16D0DB4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EFE0D">
            <w:pPr>
              <w:spacing w:line="360" w:lineRule="auto"/>
              <w:jc w:val="left"/>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46BE">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83BD">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从业人员10人以下或资产总额 100万元以下</w:t>
            </w:r>
          </w:p>
        </w:tc>
      </w:tr>
      <w:tr w14:paraId="2FD7BD0A">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1C59D">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B8D4A">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从业人员300人以下的为中小微型企业。</w:t>
            </w:r>
          </w:p>
        </w:tc>
      </w:tr>
      <w:tr w14:paraId="4ED533D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CDC00">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B568">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0070">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从业人员100— 300人</w:t>
            </w:r>
          </w:p>
        </w:tc>
      </w:tr>
      <w:tr w14:paraId="766144D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EA8AA">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DD6A">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E169">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从业人员10人一100人</w:t>
            </w:r>
          </w:p>
        </w:tc>
      </w:tr>
      <w:tr w14:paraId="23D207BF">
        <w:tblPrEx>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279DF">
            <w:pPr>
              <w:spacing w:line="360" w:lineRule="auto"/>
              <w:jc w:val="center"/>
              <w:rPr>
                <w:rFonts w:hint="eastAsia" w:ascii="宋体" w:hAnsi="宋体" w:eastAsia="宋体" w:cs="宋体"/>
                <w:color w:val="auto"/>
                <w:sz w:val="22"/>
                <w:szCs w:val="22"/>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256E">
            <w:pPr>
              <w:widowControl/>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9E68">
            <w:pPr>
              <w:widowControl/>
              <w:spacing w:line="36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从业人员10人以下</w:t>
            </w:r>
          </w:p>
        </w:tc>
      </w:tr>
    </w:tbl>
    <w:p w14:paraId="151D9178">
      <w:pPr>
        <w:snapToGrid w:val="0"/>
        <w:spacing w:line="360" w:lineRule="auto"/>
        <w:contextualSpacing/>
        <w:jc w:val="left"/>
        <w:rPr>
          <w:rFonts w:hint="eastAsia" w:ascii="宋体" w:hAnsi="宋体" w:eastAsia="宋体" w:cs="宋体"/>
          <w:b/>
          <w:color w:val="auto"/>
          <w:sz w:val="28"/>
          <w:szCs w:val="28"/>
        </w:rPr>
      </w:pPr>
    </w:p>
    <w:p w14:paraId="32B7B6A7">
      <w:pPr>
        <w:snapToGrid w:val="0"/>
        <w:spacing w:line="360" w:lineRule="auto"/>
        <w:ind w:firstLine="281" w:firstLineChars="100"/>
        <w:contextualSpacing/>
        <w:jc w:val="left"/>
        <w:rPr>
          <w:rFonts w:hint="eastAsia" w:ascii="宋体" w:hAnsi="宋体" w:eastAsia="宋体" w:cs="宋体"/>
          <w:b/>
          <w:color w:val="auto"/>
          <w:sz w:val="28"/>
          <w:szCs w:val="28"/>
        </w:rPr>
      </w:pPr>
      <w:r>
        <w:rPr>
          <w:rFonts w:hint="eastAsia" w:ascii="宋体" w:hAnsi="宋体" w:eastAsia="宋体" w:cs="宋体"/>
          <w:b/>
          <w:color w:val="auto"/>
          <w:sz w:val="28"/>
          <w:szCs w:val="28"/>
        </w:rPr>
        <w:t>行业包括：</w:t>
      </w:r>
      <w:r>
        <w:rPr>
          <w:rFonts w:hint="eastAsia" w:ascii="宋体" w:hAnsi="宋体" w:eastAsia="宋体" w:cs="宋体"/>
          <w:bCs/>
          <w:color w:val="auto"/>
          <w:sz w:val="28"/>
          <w:szCs w:val="28"/>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b/>
          <w:color w:val="auto"/>
          <w:sz w:val="28"/>
          <w:szCs w:val="28"/>
        </w:rPr>
        <w:t>。</w:t>
      </w:r>
    </w:p>
    <w:p w14:paraId="6416F8C7">
      <w:pPr>
        <w:snapToGrid w:val="0"/>
        <w:spacing w:line="360" w:lineRule="auto"/>
        <w:contextualSpacing/>
        <w:jc w:val="left"/>
        <w:rPr>
          <w:rFonts w:hint="eastAsia" w:ascii="宋体" w:hAnsi="宋体" w:eastAsia="宋体" w:cs="宋体"/>
          <w:b/>
          <w:color w:val="auto"/>
          <w:sz w:val="28"/>
          <w:szCs w:val="28"/>
        </w:rPr>
      </w:pPr>
      <w:r>
        <w:rPr>
          <w:rFonts w:hint="eastAsia" w:ascii="宋体" w:hAnsi="宋体" w:eastAsia="宋体" w:cs="宋体"/>
          <w:b/>
          <w:color w:val="auto"/>
          <w:sz w:val="28"/>
          <w:szCs w:val="28"/>
        </w:rPr>
        <w:t>说明：</w:t>
      </w:r>
    </w:p>
    <w:p w14:paraId="4492E5B1">
      <w:pPr>
        <w:snapToGrid w:val="0"/>
        <w:spacing w:line="360" w:lineRule="auto"/>
        <w:contextualSpacing/>
        <w:jc w:val="left"/>
        <w:rPr>
          <w:rFonts w:hint="eastAsia" w:ascii="宋体" w:hAnsi="宋体" w:eastAsia="宋体" w:cs="宋体"/>
          <w:color w:val="auto"/>
          <w:sz w:val="28"/>
          <w:szCs w:val="28"/>
        </w:rPr>
      </w:pPr>
      <w:r>
        <w:rPr>
          <w:rFonts w:hint="eastAsia" w:ascii="宋体" w:hAnsi="宋体" w:eastAsia="宋体" w:cs="宋体"/>
          <w:color w:val="auto"/>
          <w:sz w:val="28"/>
          <w:szCs w:val="28"/>
        </w:rPr>
        <w:t>上述标准参照《关于印发中小企业划型标准规定的通知》（工信部联企业[2011]300号），大型、中型和小型企业须同时满足所列指标的下限，否则下划一档；微型企业只须满足所列指标中的一项即可。</w:t>
      </w:r>
    </w:p>
    <w:p w14:paraId="13ED3284">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本磋商文件所称中小企业，是指在中华人民共和国境内依法设立，依据国务院批准的</w:t>
      </w:r>
    </w:p>
    <w:p w14:paraId="2167A0A9">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93FE686">
      <w:pPr>
        <w:snapToGrid w:val="0"/>
        <w:spacing w:line="360" w:lineRule="auto"/>
        <w:ind w:firstLine="560" w:firstLineChars="200"/>
        <w:contextualSpacing/>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（1）在货物采购项目中，货物由中小企业制造，即货物由中小企业生产且使用该中小企业商号或者注册商标，不对其中涉及的工程承建商和服务的承接商作出要求；</w:t>
      </w:r>
    </w:p>
    <w:p w14:paraId="0A8D9D5F">
      <w:pPr>
        <w:snapToGrid w:val="0"/>
        <w:spacing w:line="360" w:lineRule="auto"/>
        <w:ind w:firstLine="560" w:firstLineChars="200"/>
        <w:contextualSpacing/>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（2）在工程采购项目中，工程由中小企业承建，即工程施工单位为中小企业，不对其中涉及的货物的制造商和服务的承接商作出要求；</w:t>
      </w:r>
    </w:p>
    <w:p w14:paraId="276709F3">
      <w:pPr>
        <w:snapToGrid w:val="0"/>
        <w:spacing w:line="360" w:lineRule="auto"/>
        <w:ind w:firstLine="560" w:firstLineChars="200"/>
        <w:contextualSpacing/>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（3）在服务采购项目中，服务由中小企业承接，即提供服务的人员为中小企业依照《中华人民共和国劳动合同法》订立劳动合同的从业人员，不对其中涉及的货物的制造商和工程承建商作出要求。</w:t>
      </w:r>
    </w:p>
    <w:p w14:paraId="7726944D">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356EBDF2">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依据本磋商文件规定享受扶持政策获得政府采购合同的，小微企业不得将合同分包给大中型企业，中型企业不得将合同分包给大型企业。</w:t>
      </w:r>
    </w:p>
    <w:p w14:paraId="4230CCF3">
      <w:pPr>
        <w:pStyle w:val="35"/>
        <w:widowControl/>
        <w:spacing w:line="360" w:lineRule="auto"/>
        <w:ind w:firstLine="420"/>
        <w:rPr>
          <w:rFonts w:hint="eastAsia" w:ascii="宋体" w:hAnsi="宋体" w:eastAsia="宋体" w:cs="宋体"/>
          <w:color w:val="auto"/>
          <w:sz w:val="22"/>
          <w:szCs w:val="22"/>
        </w:rPr>
      </w:pPr>
    </w:p>
    <w:p w14:paraId="37CB5430">
      <w:pPr>
        <w:snapToGrid w:val="0"/>
        <w:spacing w:line="360" w:lineRule="auto"/>
        <w:textAlignment w:val="baseline"/>
        <w:outlineLvl w:val="1"/>
        <w:rPr>
          <w:rFonts w:hint="eastAsia" w:ascii="宋体" w:hAnsi="宋体" w:eastAsia="宋体" w:cs="宋体"/>
          <w:b/>
          <w:color w:val="auto"/>
          <w:kern w:val="0"/>
          <w:sz w:val="28"/>
          <w:szCs w:val="28"/>
        </w:rPr>
      </w:pPr>
      <w:bookmarkStart w:id="615" w:name="_Toc6231"/>
      <w:bookmarkStart w:id="616" w:name="_Toc21441"/>
      <w:bookmarkStart w:id="617" w:name="_Toc30299"/>
      <w:r>
        <w:rPr>
          <w:rFonts w:hint="eastAsia" w:ascii="宋体" w:hAnsi="宋体" w:eastAsia="宋体" w:cs="宋体"/>
          <w:b/>
          <w:color w:val="auto"/>
          <w:kern w:val="0"/>
          <w:sz w:val="28"/>
          <w:szCs w:val="28"/>
          <w:lang w:val="en-US" w:eastAsia="zh-CN"/>
        </w:rPr>
        <w:t>11</w:t>
      </w:r>
      <w:r>
        <w:rPr>
          <w:rFonts w:hint="eastAsia" w:ascii="宋体" w:hAnsi="宋体" w:eastAsia="宋体" w:cs="宋体"/>
          <w:b/>
          <w:color w:val="auto"/>
          <w:kern w:val="0"/>
          <w:sz w:val="28"/>
          <w:szCs w:val="28"/>
        </w:rPr>
        <w:t>、</w:t>
      </w:r>
      <w:bookmarkEnd w:id="606"/>
      <w:bookmarkEnd w:id="607"/>
      <w:bookmarkEnd w:id="608"/>
      <w:bookmarkEnd w:id="609"/>
      <w:bookmarkEnd w:id="610"/>
      <w:bookmarkEnd w:id="611"/>
      <w:bookmarkEnd w:id="612"/>
      <w:r>
        <w:rPr>
          <w:rFonts w:hint="eastAsia" w:ascii="宋体" w:hAnsi="宋体" w:eastAsia="宋体" w:cs="宋体"/>
          <w:b/>
          <w:color w:val="auto"/>
          <w:kern w:val="0"/>
          <w:sz w:val="28"/>
          <w:szCs w:val="28"/>
        </w:rPr>
        <w:t>缴纳磋商保证金有效凭证；</w:t>
      </w:r>
      <w:bookmarkEnd w:id="615"/>
      <w:bookmarkEnd w:id="616"/>
      <w:bookmarkEnd w:id="617"/>
    </w:p>
    <w:p w14:paraId="76E2582F">
      <w:pPr>
        <w:snapToGrid w:val="0"/>
        <w:spacing w:line="360" w:lineRule="auto"/>
        <w:textAlignment w:val="baseline"/>
        <w:rPr>
          <w:rFonts w:hint="eastAsia" w:ascii="宋体" w:hAnsi="宋体" w:eastAsia="宋体" w:cs="宋体"/>
          <w:b w:val="0"/>
          <w:bCs w:val="0"/>
          <w:color w:val="auto"/>
          <w:sz w:val="28"/>
          <w:szCs w:val="28"/>
        </w:rPr>
      </w:pPr>
    </w:p>
    <w:p w14:paraId="75FEE902">
      <w:pPr>
        <w:snapToGrid w:val="0"/>
        <w:spacing w:line="360" w:lineRule="auto"/>
        <w:textAlignment w:val="baseline"/>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注：本项目以缴纳磋商保证金有效凭证</w:t>
      </w:r>
      <w:r>
        <w:rPr>
          <w:rFonts w:hint="eastAsia" w:ascii="宋体" w:hAnsi="宋体" w:eastAsia="宋体" w:cs="宋体"/>
          <w:b w:val="0"/>
          <w:bCs w:val="0"/>
          <w:color w:val="auto"/>
          <w:sz w:val="28"/>
          <w:szCs w:val="28"/>
          <w:lang w:eastAsia="zh-CN"/>
        </w:rPr>
        <w:t>扫描件</w:t>
      </w:r>
      <w:r>
        <w:rPr>
          <w:rFonts w:hint="eastAsia" w:ascii="宋体" w:hAnsi="宋体" w:eastAsia="宋体" w:cs="宋体"/>
          <w:b w:val="0"/>
          <w:bCs w:val="0"/>
          <w:color w:val="auto"/>
          <w:sz w:val="28"/>
          <w:szCs w:val="28"/>
        </w:rPr>
        <w:t>盖公章为准。</w:t>
      </w:r>
    </w:p>
    <w:p w14:paraId="5325F11D">
      <w:pPr>
        <w:spacing w:line="360" w:lineRule="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br w:type="page"/>
      </w:r>
    </w:p>
    <w:p w14:paraId="48ADB3FE">
      <w:pPr>
        <w:snapToGrid w:val="0"/>
        <w:spacing w:line="360" w:lineRule="auto"/>
        <w:textAlignment w:val="baseline"/>
        <w:outlineLvl w:val="1"/>
        <w:rPr>
          <w:rFonts w:hint="eastAsia" w:ascii="宋体" w:hAnsi="宋体" w:eastAsia="宋体" w:cs="宋体"/>
          <w:b/>
          <w:color w:val="auto"/>
          <w:kern w:val="0"/>
          <w:sz w:val="28"/>
          <w:szCs w:val="28"/>
        </w:rPr>
      </w:pPr>
      <w:bookmarkStart w:id="618" w:name="_Toc13866"/>
      <w:r>
        <w:rPr>
          <w:rFonts w:hint="eastAsia" w:ascii="宋体" w:hAnsi="宋体" w:eastAsia="宋体" w:cs="宋体"/>
          <w:b/>
          <w:color w:val="auto"/>
          <w:kern w:val="0"/>
          <w:sz w:val="28"/>
          <w:szCs w:val="28"/>
        </w:rPr>
        <w:t>12、投标人关联单位的说明</w:t>
      </w:r>
      <w:bookmarkEnd w:id="618"/>
    </w:p>
    <w:p w14:paraId="24558120">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致：采购人名称</w:t>
      </w:r>
    </w:p>
    <w:p w14:paraId="4E6100D8">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drawing>
          <wp:anchor distT="0" distB="0" distL="0" distR="0" simplePos="0" relativeHeight="251669504" behindDoc="1" locked="0" layoutInCell="1" allowOverlap="1">
            <wp:simplePos x="0" y="0"/>
            <wp:positionH relativeFrom="column">
              <wp:posOffset>6795135</wp:posOffset>
            </wp:positionH>
            <wp:positionV relativeFrom="paragraph">
              <wp:posOffset>2883535</wp:posOffset>
            </wp:positionV>
            <wp:extent cx="63500" cy="151130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1"/>
                    <a:stretch>
                      <a:fillRect/>
                    </a:stretch>
                  </pic:blipFill>
                  <pic:spPr>
                    <a:xfrm>
                      <a:off x="0" y="0"/>
                      <a:ext cx="63500" cy="1511300"/>
                    </a:xfrm>
                    <a:prstGeom prst="rect">
                      <a:avLst/>
                    </a:prstGeom>
                  </pic:spPr>
                </pic:pic>
              </a:graphicData>
            </a:graphic>
          </wp:anchor>
        </w:drawing>
      </w:r>
      <w:r>
        <w:rPr>
          <w:rFonts w:hint="eastAsia" w:ascii="宋体" w:hAnsi="宋体" w:eastAsia="宋体" w:cs="宋体"/>
          <w:color w:val="auto"/>
          <w:sz w:val="28"/>
          <w:szCs w:val="28"/>
        </w:rPr>
        <w:t>我方参加（项目名称） 的申请，根据法律法规维护投标公正性的相关规定，特就本 单位 控股及管理关系情况申报如下，并承担申报不实的责任。</w:t>
      </w:r>
    </w:p>
    <w:p w14:paraId="0E73C7A1">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p>
    <w:tbl>
      <w:tblPr>
        <w:tblStyle w:val="107"/>
        <w:tblW w:w="9034"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1"/>
        <w:gridCol w:w="2624"/>
        <w:gridCol w:w="3009"/>
      </w:tblGrid>
      <w:tr w14:paraId="4EB71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401" w:type="dxa"/>
            <w:vAlign w:val="top"/>
          </w:tcPr>
          <w:p w14:paraId="57883531">
            <w:pPr>
              <w:snapToGrid w:val="0"/>
              <w:spacing w:line="360" w:lineRule="auto"/>
              <w:contextualSpacing/>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申报人名称</w:t>
            </w:r>
          </w:p>
        </w:tc>
        <w:tc>
          <w:tcPr>
            <w:tcW w:w="5633" w:type="dxa"/>
            <w:gridSpan w:val="2"/>
            <w:vAlign w:val="top"/>
          </w:tcPr>
          <w:p w14:paraId="2371BA55">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p>
        </w:tc>
      </w:tr>
      <w:tr w14:paraId="1127A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3401" w:type="dxa"/>
            <w:vMerge w:val="restart"/>
            <w:tcBorders>
              <w:bottom w:val="nil"/>
            </w:tcBorders>
            <w:vAlign w:val="top"/>
          </w:tcPr>
          <w:p w14:paraId="0359E305">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p>
          <w:p w14:paraId="7942F531">
            <w:pPr>
              <w:snapToGrid w:val="0"/>
              <w:spacing w:line="360" w:lineRule="auto"/>
              <w:contextualSpacing/>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法定代表人/单位负责人</w:t>
            </w:r>
          </w:p>
        </w:tc>
        <w:tc>
          <w:tcPr>
            <w:tcW w:w="2624" w:type="dxa"/>
            <w:vAlign w:val="top"/>
          </w:tcPr>
          <w:p w14:paraId="67AE4111">
            <w:pPr>
              <w:snapToGrid w:val="0"/>
              <w:spacing w:line="360" w:lineRule="auto"/>
              <w:contextualSpacing/>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姓名</w:t>
            </w:r>
          </w:p>
        </w:tc>
        <w:tc>
          <w:tcPr>
            <w:tcW w:w="3009" w:type="dxa"/>
            <w:vAlign w:val="top"/>
          </w:tcPr>
          <w:p w14:paraId="2FB17675">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p>
        </w:tc>
      </w:tr>
      <w:tr w14:paraId="06D66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3401" w:type="dxa"/>
            <w:vMerge w:val="continue"/>
            <w:tcBorders>
              <w:top w:val="nil"/>
            </w:tcBorders>
            <w:vAlign w:val="top"/>
          </w:tcPr>
          <w:p w14:paraId="12C8A879">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p>
        </w:tc>
        <w:tc>
          <w:tcPr>
            <w:tcW w:w="2624" w:type="dxa"/>
            <w:vAlign w:val="top"/>
          </w:tcPr>
          <w:p w14:paraId="7907AEC3">
            <w:pPr>
              <w:snapToGrid w:val="0"/>
              <w:spacing w:line="360" w:lineRule="auto"/>
              <w:contextualSpacing/>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身份证号</w:t>
            </w:r>
          </w:p>
        </w:tc>
        <w:tc>
          <w:tcPr>
            <w:tcW w:w="3009" w:type="dxa"/>
            <w:vAlign w:val="top"/>
          </w:tcPr>
          <w:p w14:paraId="7624F49A">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p>
        </w:tc>
      </w:tr>
      <w:tr w14:paraId="2CACD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3401" w:type="dxa"/>
            <w:vAlign w:val="top"/>
          </w:tcPr>
          <w:p w14:paraId="73BE3FFC">
            <w:pPr>
              <w:snapToGrid w:val="0"/>
              <w:spacing w:line="360" w:lineRule="auto"/>
              <w:contextualSpacing/>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控股股东/投资人名 称 及出资比例</w:t>
            </w:r>
          </w:p>
        </w:tc>
        <w:tc>
          <w:tcPr>
            <w:tcW w:w="5633" w:type="dxa"/>
            <w:gridSpan w:val="2"/>
            <w:vAlign w:val="top"/>
          </w:tcPr>
          <w:p w14:paraId="2E917CE7">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p>
        </w:tc>
      </w:tr>
      <w:tr w14:paraId="0AB5D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3401" w:type="dxa"/>
            <w:vAlign w:val="top"/>
          </w:tcPr>
          <w:p w14:paraId="2E5162EB">
            <w:pPr>
              <w:snapToGrid w:val="0"/>
              <w:spacing w:line="360" w:lineRule="auto"/>
              <w:contextualSpacing/>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非控股股东/投资人名 称 及出资比例</w:t>
            </w:r>
          </w:p>
        </w:tc>
        <w:tc>
          <w:tcPr>
            <w:tcW w:w="5633" w:type="dxa"/>
            <w:gridSpan w:val="2"/>
            <w:vAlign w:val="top"/>
          </w:tcPr>
          <w:p w14:paraId="51DD73B1">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p>
        </w:tc>
      </w:tr>
      <w:tr w14:paraId="62B89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3401" w:type="dxa"/>
            <w:vMerge w:val="restart"/>
            <w:tcBorders>
              <w:bottom w:val="nil"/>
            </w:tcBorders>
            <w:vAlign w:val="top"/>
          </w:tcPr>
          <w:p w14:paraId="30A9EAB5">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p>
          <w:p w14:paraId="58DFA3E8">
            <w:pPr>
              <w:snapToGrid w:val="0"/>
              <w:spacing w:line="360" w:lineRule="auto"/>
              <w:contextualSpacing/>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管理关系单位名称</w:t>
            </w:r>
          </w:p>
        </w:tc>
        <w:tc>
          <w:tcPr>
            <w:tcW w:w="2624" w:type="dxa"/>
            <w:vAlign w:val="top"/>
          </w:tcPr>
          <w:p w14:paraId="7B0FFF90">
            <w:pPr>
              <w:snapToGrid w:val="0"/>
              <w:spacing w:line="360" w:lineRule="auto"/>
              <w:contextualSpacing/>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管理关系单位名称</w:t>
            </w:r>
          </w:p>
        </w:tc>
        <w:tc>
          <w:tcPr>
            <w:tcW w:w="3009" w:type="dxa"/>
            <w:vAlign w:val="top"/>
          </w:tcPr>
          <w:p w14:paraId="7FEDA564">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p>
        </w:tc>
      </w:tr>
      <w:tr w14:paraId="0DF61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3401" w:type="dxa"/>
            <w:vMerge w:val="continue"/>
            <w:tcBorders>
              <w:top w:val="nil"/>
            </w:tcBorders>
            <w:vAlign w:val="top"/>
          </w:tcPr>
          <w:p w14:paraId="320A65F6">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p>
        </w:tc>
        <w:tc>
          <w:tcPr>
            <w:tcW w:w="2624" w:type="dxa"/>
            <w:vAlign w:val="top"/>
          </w:tcPr>
          <w:p w14:paraId="30B48462">
            <w:pPr>
              <w:snapToGrid w:val="0"/>
              <w:spacing w:line="360" w:lineRule="auto"/>
              <w:contextualSpacing/>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被管理关系单位名称</w:t>
            </w:r>
          </w:p>
        </w:tc>
        <w:tc>
          <w:tcPr>
            <w:tcW w:w="3009" w:type="dxa"/>
            <w:vAlign w:val="top"/>
          </w:tcPr>
          <w:p w14:paraId="66000A76">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p>
        </w:tc>
      </w:tr>
      <w:tr w14:paraId="466CF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3401" w:type="dxa"/>
            <w:vAlign w:val="top"/>
          </w:tcPr>
          <w:p w14:paraId="77D3B374">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c>
          <w:tcPr>
            <w:tcW w:w="5633" w:type="dxa"/>
            <w:gridSpan w:val="2"/>
            <w:vAlign w:val="top"/>
          </w:tcPr>
          <w:p w14:paraId="34081A8A">
            <w:pPr>
              <w:snapToGrid w:val="0"/>
              <w:spacing w:line="360" w:lineRule="auto"/>
              <w:ind w:firstLine="560" w:firstLineChars="200"/>
              <w:contextualSpacing/>
              <w:jc w:val="left"/>
              <w:textAlignment w:val="center"/>
              <w:rPr>
                <w:rFonts w:hint="eastAsia" w:ascii="宋体" w:hAnsi="宋体" w:eastAsia="宋体" w:cs="宋体"/>
                <w:color w:val="auto"/>
                <w:sz w:val="28"/>
                <w:szCs w:val="28"/>
              </w:rPr>
            </w:pPr>
          </w:p>
        </w:tc>
      </w:tr>
    </w:tbl>
    <w:p w14:paraId="54F7847A">
      <w:pPr>
        <w:snapToGrid w:val="0"/>
        <w:spacing w:line="360" w:lineRule="auto"/>
        <w:textAlignment w:val="baseline"/>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备注</w:t>
      </w:r>
      <w:r>
        <w:rPr>
          <w:rFonts w:hint="eastAsia" w:ascii="宋体" w:hAnsi="宋体" w:eastAsia="宋体" w:cs="宋体"/>
          <w:b w:val="0"/>
          <w:bCs w:val="0"/>
          <w:color w:val="auto"/>
          <w:sz w:val="28"/>
          <w:szCs w:val="28"/>
        </w:rPr>
        <w:tab/>
      </w:r>
    </w:p>
    <w:p w14:paraId="38C76BC1">
      <w:pPr>
        <w:snapToGrid w:val="0"/>
        <w:spacing w:line="360" w:lineRule="auto"/>
        <w:textAlignment w:val="baseline"/>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注：1.控股股东/投资人是指出资比例在50%以上，或者出资比例不足50%，但享有公司股 东会/ 董事会控制权的投资方（含单位或者个人）；</w:t>
      </w:r>
    </w:p>
    <w:p w14:paraId="14E1B2E4">
      <w:pPr>
        <w:snapToGrid w:val="0"/>
        <w:spacing w:line="360" w:lineRule="auto"/>
        <w:textAlignment w:val="baseline"/>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2.管理关系单位是指与不具有出资持股关系的其他单位之间存在管理与被管理单位。</w:t>
      </w:r>
    </w:p>
    <w:p w14:paraId="35740635">
      <w:pPr>
        <w:snapToGrid w:val="0"/>
        <w:spacing w:line="360" w:lineRule="auto"/>
        <w:textAlignment w:val="baseline"/>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3.如未有相关情况，请在相应栏填写“无” 。 </w:t>
      </w:r>
    </w:p>
    <w:p w14:paraId="64FCBBF2">
      <w:pPr>
        <w:snapToGrid w:val="0"/>
        <w:spacing w:line="360" w:lineRule="auto"/>
        <w:textAlignment w:val="baseline"/>
        <w:rPr>
          <w:rFonts w:hint="eastAsia" w:ascii="宋体" w:hAnsi="宋体" w:eastAsia="宋体" w:cs="宋体"/>
          <w:b w:val="0"/>
          <w:bCs w:val="0"/>
          <w:color w:val="auto"/>
          <w:sz w:val="28"/>
          <w:szCs w:val="28"/>
        </w:rPr>
      </w:pPr>
    </w:p>
    <w:p w14:paraId="202EA2F4">
      <w:pPr>
        <w:snapToGrid w:val="0"/>
        <w:spacing w:line="360" w:lineRule="auto"/>
        <w:textAlignment w:val="baseline"/>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投标人名称（加盖公章）：</w:t>
      </w:r>
    </w:p>
    <w:p w14:paraId="2D4DB95B">
      <w:pPr>
        <w:snapToGrid w:val="0"/>
        <w:spacing w:line="360" w:lineRule="auto"/>
        <w:textAlignment w:val="baseline"/>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法定代表人或委托代理人（签字或盖章） ： </w:t>
      </w:r>
    </w:p>
    <w:p w14:paraId="68B15494">
      <w:pPr>
        <w:snapToGrid w:val="0"/>
        <w:spacing w:line="360" w:lineRule="auto"/>
        <w:textAlignment w:val="baseline"/>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日期：   年   月     日</w:t>
      </w:r>
    </w:p>
    <w:p w14:paraId="192E6A52">
      <w:pPr>
        <w:snapToGrid w:val="0"/>
        <w:spacing w:line="360" w:lineRule="auto"/>
        <w:textAlignment w:val="baseline"/>
        <w:rPr>
          <w:rFonts w:hint="eastAsia" w:ascii="宋体" w:hAnsi="宋体" w:eastAsia="宋体" w:cs="宋体"/>
          <w:b w:val="0"/>
          <w:bCs w:val="0"/>
          <w:color w:val="auto"/>
          <w:sz w:val="28"/>
          <w:szCs w:val="28"/>
        </w:rPr>
      </w:pPr>
    </w:p>
    <w:p w14:paraId="08C18A0F">
      <w:pPr>
        <w:snapToGrid w:val="0"/>
        <w:spacing w:line="360" w:lineRule="auto"/>
        <w:textAlignment w:val="baseline"/>
        <w:rPr>
          <w:rFonts w:hint="eastAsia" w:ascii="宋体" w:hAnsi="宋体" w:eastAsia="宋体" w:cs="宋体"/>
          <w:b w:val="0"/>
          <w:bCs w:val="0"/>
          <w:color w:val="auto"/>
          <w:sz w:val="28"/>
          <w:szCs w:val="28"/>
        </w:rPr>
      </w:pPr>
    </w:p>
    <w:p w14:paraId="48BD6BC1">
      <w:pPr>
        <w:snapToGrid w:val="0"/>
        <w:spacing w:line="360" w:lineRule="auto"/>
        <w:textAlignment w:val="baseline"/>
        <w:outlineLvl w:val="1"/>
        <w:rPr>
          <w:rFonts w:hint="eastAsia" w:ascii="宋体" w:hAnsi="宋体" w:eastAsia="宋体" w:cs="宋体"/>
          <w:b/>
          <w:color w:val="auto"/>
          <w:kern w:val="0"/>
          <w:sz w:val="28"/>
          <w:szCs w:val="28"/>
        </w:rPr>
      </w:pPr>
      <w:bookmarkStart w:id="619" w:name="_Toc11475"/>
      <w:r>
        <w:rPr>
          <w:rFonts w:hint="eastAsia" w:ascii="宋体" w:hAnsi="宋体" w:eastAsia="宋体" w:cs="宋体"/>
          <w:b/>
          <w:color w:val="auto"/>
          <w:kern w:val="0"/>
          <w:sz w:val="28"/>
          <w:szCs w:val="28"/>
        </w:rPr>
        <w:t>13、投标人须知资料表要求的其他资格证明文件</w:t>
      </w:r>
      <w:bookmarkEnd w:id="619"/>
    </w:p>
    <w:p w14:paraId="26D93118">
      <w:pPr>
        <w:snapToGrid w:val="0"/>
        <w:spacing w:line="360" w:lineRule="auto"/>
        <w:textAlignment w:val="baseline"/>
        <w:rPr>
          <w:rFonts w:hint="eastAsia" w:ascii="宋体" w:hAnsi="宋体" w:eastAsia="宋体" w:cs="宋体"/>
          <w:b w:val="0"/>
          <w:bCs w:val="0"/>
          <w:color w:val="auto"/>
          <w:sz w:val="28"/>
          <w:szCs w:val="28"/>
        </w:rPr>
      </w:pPr>
    </w:p>
    <w:p w14:paraId="6638CF79">
      <w:pPr>
        <w:snapToGrid w:val="0"/>
        <w:spacing w:line="360" w:lineRule="auto"/>
        <w:textAlignment w:val="baseline"/>
        <w:rPr>
          <w:rFonts w:hint="eastAsia" w:ascii="宋体" w:hAnsi="宋体" w:eastAsia="宋体" w:cs="宋体"/>
          <w:b w:val="0"/>
          <w:bCs w:val="0"/>
          <w:color w:val="auto"/>
          <w:sz w:val="28"/>
          <w:szCs w:val="28"/>
        </w:rPr>
      </w:pPr>
    </w:p>
    <w:p w14:paraId="3D2EBB73">
      <w:pPr>
        <w:snapToGrid w:val="0"/>
        <w:spacing w:line="360" w:lineRule="auto"/>
        <w:textAlignment w:val="baseline"/>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说明：1.应提供投标人须知资料表要求的其他资格证明文 件。 2.扫描件上应加盖本单位公章。</w:t>
      </w:r>
    </w:p>
    <w:p w14:paraId="0BD36D5F">
      <w:pPr>
        <w:snapToGrid w:val="0"/>
        <w:spacing w:line="360" w:lineRule="auto"/>
        <w:jc w:val="both"/>
        <w:textAlignment w:val="baseline"/>
        <w:rPr>
          <w:rFonts w:hint="eastAsia" w:ascii="宋体" w:hAnsi="宋体" w:eastAsia="宋体" w:cs="宋体"/>
          <w:b/>
          <w:color w:val="auto"/>
          <w:sz w:val="28"/>
          <w:szCs w:val="28"/>
        </w:rPr>
      </w:pPr>
      <w:bookmarkStart w:id="620" w:name="_Toc25827"/>
      <w:bookmarkStart w:id="621" w:name="_Toc12440"/>
      <w:bookmarkStart w:id="622" w:name="_Toc22967"/>
      <w:bookmarkStart w:id="623" w:name="_Toc11956"/>
      <w:bookmarkStart w:id="624" w:name="_Toc3552"/>
      <w:bookmarkStart w:id="625" w:name="_Toc11180"/>
      <w:bookmarkStart w:id="626" w:name="_Toc515647816"/>
    </w:p>
    <w:p w14:paraId="5C07B2AC">
      <w:pPr>
        <w:spacing w:line="360" w:lineRule="auto"/>
        <w:rPr>
          <w:rFonts w:hint="eastAsia" w:ascii="宋体" w:hAnsi="宋体" w:eastAsia="宋体" w:cs="宋体"/>
          <w:color w:val="auto"/>
          <w:sz w:val="28"/>
          <w:szCs w:val="28"/>
        </w:rPr>
      </w:pPr>
      <w:bookmarkStart w:id="627" w:name="_Toc15018"/>
      <w:r>
        <w:rPr>
          <w:rFonts w:hint="eastAsia" w:ascii="宋体" w:hAnsi="宋体" w:eastAsia="宋体" w:cs="宋体"/>
          <w:color w:val="auto"/>
          <w:sz w:val="28"/>
          <w:szCs w:val="28"/>
        </w:rPr>
        <w:br w:type="page"/>
      </w:r>
    </w:p>
    <w:p w14:paraId="35A6A06D">
      <w:pPr>
        <w:pStyle w:val="3"/>
        <w:snapToGrid w:val="0"/>
        <w:spacing w:before="0" w:line="360" w:lineRule="auto"/>
        <w:ind w:left="1080" w:leftChars="257" w:hanging="540"/>
        <w:textAlignment w:val="baseline"/>
        <w:rPr>
          <w:rFonts w:hint="eastAsia" w:ascii="宋体" w:hAnsi="宋体" w:eastAsia="宋体" w:cs="宋体"/>
          <w:color w:val="auto"/>
          <w:sz w:val="28"/>
          <w:szCs w:val="28"/>
        </w:rPr>
      </w:pPr>
      <w:bookmarkStart w:id="628" w:name="_Toc1816"/>
      <w:r>
        <w:rPr>
          <w:rFonts w:hint="eastAsia" w:ascii="宋体" w:hAnsi="宋体" w:eastAsia="宋体" w:cs="宋体"/>
          <w:color w:val="auto"/>
          <w:sz w:val="28"/>
          <w:szCs w:val="28"/>
        </w:rPr>
        <w:t>第二部分  商务及技术文件</w:t>
      </w:r>
      <w:bookmarkEnd w:id="620"/>
      <w:bookmarkEnd w:id="621"/>
      <w:bookmarkEnd w:id="622"/>
      <w:bookmarkEnd w:id="623"/>
      <w:bookmarkEnd w:id="624"/>
      <w:bookmarkEnd w:id="625"/>
      <w:bookmarkEnd w:id="626"/>
      <w:bookmarkEnd w:id="627"/>
      <w:bookmarkEnd w:id="628"/>
    </w:p>
    <w:p w14:paraId="34A03A58">
      <w:pPr>
        <w:spacing w:before="25" w:line="360" w:lineRule="auto"/>
        <w:ind w:left="578"/>
        <w:rPr>
          <w:rFonts w:hint="eastAsia" w:ascii="宋体" w:hAnsi="宋体" w:eastAsia="宋体" w:cs="宋体"/>
          <w:color w:val="auto"/>
          <w:sz w:val="28"/>
          <w:szCs w:val="28"/>
        </w:rPr>
      </w:pPr>
      <w:r>
        <w:rPr>
          <w:rFonts w:hint="eastAsia" w:ascii="宋体" w:hAnsi="宋体" w:eastAsia="宋体" w:cs="宋体"/>
          <w:color w:val="auto"/>
          <w:spacing w:val="5"/>
          <w:position w:val="1"/>
          <w:sz w:val="28"/>
          <w:szCs w:val="28"/>
        </w:rPr>
        <w:t>1</w:t>
      </w:r>
      <w:r>
        <w:rPr>
          <w:rFonts w:hint="eastAsia" w:ascii="宋体" w:hAnsi="宋体" w:eastAsia="宋体" w:cs="宋体"/>
          <w:color w:val="auto"/>
          <w:spacing w:val="3"/>
          <w:position w:val="1"/>
          <w:sz w:val="28"/>
          <w:szCs w:val="28"/>
        </w:rPr>
        <w:t>、磋商书</w:t>
      </w:r>
    </w:p>
    <w:p w14:paraId="05D21F91">
      <w:pPr>
        <w:spacing w:line="360" w:lineRule="auto"/>
        <w:ind w:left="563"/>
        <w:rPr>
          <w:rFonts w:hint="eastAsia" w:ascii="宋体" w:hAnsi="宋体" w:eastAsia="宋体" w:cs="宋体"/>
          <w:color w:val="auto"/>
          <w:sz w:val="28"/>
          <w:szCs w:val="28"/>
        </w:rPr>
      </w:pPr>
      <w:r>
        <w:rPr>
          <w:rFonts w:hint="eastAsia" w:ascii="宋体" w:hAnsi="宋体" w:eastAsia="宋体" w:cs="宋体"/>
          <w:color w:val="auto"/>
          <w:spacing w:val="9"/>
          <w:position w:val="1"/>
          <w:sz w:val="28"/>
          <w:szCs w:val="28"/>
        </w:rPr>
        <w:t>2</w:t>
      </w:r>
      <w:r>
        <w:rPr>
          <w:rFonts w:hint="eastAsia" w:ascii="宋体" w:hAnsi="宋体" w:eastAsia="宋体" w:cs="宋体"/>
          <w:color w:val="auto"/>
          <w:spacing w:val="7"/>
          <w:position w:val="1"/>
          <w:sz w:val="28"/>
          <w:szCs w:val="28"/>
        </w:rPr>
        <w:t>、磋商分项报价表；</w:t>
      </w:r>
    </w:p>
    <w:p w14:paraId="70F4B784">
      <w:pPr>
        <w:spacing w:line="360" w:lineRule="auto"/>
        <w:ind w:left="565"/>
        <w:rPr>
          <w:rFonts w:hint="eastAsia" w:ascii="宋体" w:hAnsi="宋体" w:eastAsia="宋体" w:cs="宋体"/>
          <w:color w:val="auto"/>
          <w:sz w:val="28"/>
          <w:szCs w:val="28"/>
        </w:rPr>
      </w:pPr>
      <w:r>
        <w:rPr>
          <w:rFonts w:hint="eastAsia" w:ascii="宋体" w:hAnsi="宋体" w:eastAsia="宋体" w:cs="宋体"/>
          <w:color w:val="auto"/>
          <w:spacing w:val="9"/>
          <w:position w:val="1"/>
          <w:sz w:val="28"/>
          <w:szCs w:val="28"/>
        </w:rPr>
        <w:t>3</w:t>
      </w:r>
      <w:r>
        <w:rPr>
          <w:rFonts w:hint="eastAsia" w:ascii="宋体" w:hAnsi="宋体" w:eastAsia="宋体" w:cs="宋体"/>
          <w:color w:val="auto"/>
          <w:spacing w:val="7"/>
          <w:position w:val="1"/>
          <w:sz w:val="28"/>
          <w:szCs w:val="28"/>
        </w:rPr>
        <w:t>、项目管理机构;</w:t>
      </w:r>
    </w:p>
    <w:p w14:paraId="536AE657">
      <w:pPr>
        <w:spacing w:before="26" w:line="360" w:lineRule="auto"/>
        <w:ind w:left="560"/>
        <w:rPr>
          <w:rFonts w:hint="eastAsia" w:ascii="宋体" w:hAnsi="宋体" w:eastAsia="宋体" w:cs="宋体"/>
          <w:color w:val="auto"/>
          <w:sz w:val="28"/>
          <w:szCs w:val="28"/>
        </w:rPr>
      </w:pPr>
      <w:r>
        <w:rPr>
          <w:rFonts w:hint="eastAsia" w:ascii="宋体" w:hAnsi="宋体" w:eastAsia="宋体" w:cs="宋体"/>
          <w:color w:val="auto"/>
          <w:spacing w:val="10"/>
          <w:position w:val="1"/>
          <w:sz w:val="28"/>
          <w:szCs w:val="28"/>
        </w:rPr>
        <w:t>4</w:t>
      </w:r>
      <w:r>
        <w:rPr>
          <w:rFonts w:hint="eastAsia" w:ascii="宋体" w:hAnsi="宋体" w:eastAsia="宋体" w:cs="宋体"/>
          <w:color w:val="auto"/>
          <w:spacing w:val="7"/>
          <w:position w:val="1"/>
          <w:sz w:val="28"/>
          <w:szCs w:val="28"/>
        </w:rPr>
        <w:t>、资格审查资料；</w:t>
      </w:r>
    </w:p>
    <w:p w14:paraId="36128D90">
      <w:pPr>
        <w:spacing w:line="360" w:lineRule="auto"/>
        <w:ind w:left="565"/>
        <w:rPr>
          <w:rFonts w:hint="eastAsia" w:ascii="宋体" w:hAnsi="宋体" w:eastAsia="宋体" w:cs="宋体"/>
          <w:color w:val="auto"/>
          <w:sz w:val="28"/>
          <w:szCs w:val="28"/>
        </w:rPr>
      </w:pPr>
      <w:r>
        <w:rPr>
          <w:rFonts w:hint="eastAsia" w:ascii="宋体" w:hAnsi="宋体" w:eastAsia="宋体" w:cs="宋体"/>
          <w:color w:val="auto"/>
          <w:spacing w:val="2"/>
          <w:position w:val="5"/>
          <w:sz w:val="28"/>
          <w:szCs w:val="28"/>
        </w:rPr>
        <w:t>5</w:t>
      </w:r>
      <w:r>
        <w:rPr>
          <w:rFonts w:hint="eastAsia" w:ascii="宋体" w:hAnsi="宋体" w:eastAsia="宋体" w:cs="宋体"/>
          <w:color w:val="auto"/>
          <w:spacing w:val="2"/>
          <w:position w:val="5"/>
          <w:sz w:val="28"/>
          <w:szCs w:val="28"/>
          <w:lang w:eastAsia="zh-CN"/>
        </w:rPr>
        <w:t>、</w:t>
      </w:r>
      <w:r>
        <w:rPr>
          <w:rFonts w:hint="eastAsia" w:ascii="宋体" w:hAnsi="宋体" w:eastAsia="宋体" w:cs="宋体"/>
          <w:color w:val="auto"/>
          <w:spacing w:val="7"/>
          <w:position w:val="1"/>
          <w:sz w:val="28"/>
          <w:szCs w:val="28"/>
        </w:rPr>
        <w:t>残疾人福利性单位声明函》</w:t>
      </w:r>
    </w:p>
    <w:p w14:paraId="6831FF14">
      <w:pPr>
        <w:spacing w:before="27" w:line="360" w:lineRule="auto"/>
        <w:ind w:left="566"/>
        <w:rPr>
          <w:rFonts w:hint="eastAsia" w:ascii="宋体" w:hAnsi="宋体" w:eastAsia="宋体" w:cs="宋体"/>
          <w:color w:val="auto"/>
          <w:sz w:val="28"/>
          <w:szCs w:val="28"/>
        </w:rPr>
      </w:pPr>
      <w:r>
        <w:rPr>
          <w:rFonts w:hint="eastAsia" w:ascii="宋体" w:hAnsi="宋体" w:eastAsia="宋体" w:cs="宋体"/>
          <w:color w:val="auto"/>
          <w:spacing w:val="8"/>
          <w:sz w:val="28"/>
          <w:szCs w:val="28"/>
        </w:rPr>
        <w:t>6、</w:t>
      </w:r>
      <w:r>
        <w:rPr>
          <w:rFonts w:hint="eastAsia" w:ascii="宋体" w:hAnsi="宋体" w:eastAsia="宋体" w:cs="宋体"/>
          <w:color w:val="auto"/>
          <w:spacing w:val="8"/>
          <w:position w:val="1"/>
          <w:sz w:val="28"/>
          <w:szCs w:val="28"/>
        </w:rPr>
        <w:t>技术部分主要包括下列内容</w:t>
      </w:r>
    </w:p>
    <w:p w14:paraId="5A369C73">
      <w:pPr>
        <w:spacing w:before="3" w:line="360" w:lineRule="auto"/>
        <w:ind w:left="562"/>
        <w:rPr>
          <w:rFonts w:hint="eastAsia" w:ascii="宋体" w:hAnsi="宋体" w:eastAsia="宋体" w:cs="宋体"/>
          <w:color w:val="auto"/>
          <w:sz w:val="28"/>
          <w:szCs w:val="28"/>
        </w:rPr>
      </w:pPr>
      <w:r>
        <w:rPr>
          <w:rFonts w:hint="eastAsia" w:ascii="宋体" w:hAnsi="宋体" w:eastAsia="宋体" w:cs="宋体"/>
          <w:color w:val="auto"/>
          <w:spacing w:val="15"/>
          <w:position w:val="1"/>
          <w:sz w:val="28"/>
          <w:szCs w:val="28"/>
          <w:lang w:val="en-US" w:eastAsia="zh-CN"/>
        </w:rPr>
        <w:t>7</w:t>
      </w:r>
      <w:r>
        <w:rPr>
          <w:rFonts w:hint="eastAsia" w:ascii="宋体" w:hAnsi="宋体" w:eastAsia="宋体" w:cs="宋体"/>
          <w:color w:val="auto"/>
          <w:spacing w:val="9"/>
          <w:position w:val="1"/>
          <w:sz w:val="28"/>
          <w:szCs w:val="28"/>
        </w:rPr>
        <w:t>、供应商可提供有利于投标的其他资格证明材料</w:t>
      </w:r>
    </w:p>
    <w:p w14:paraId="185A1524">
      <w:pPr>
        <w:spacing w:before="3" w:line="360" w:lineRule="auto"/>
        <w:ind w:left="562"/>
        <w:rPr>
          <w:rFonts w:hint="eastAsia" w:ascii="宋体" w:hAnsi="宋体" w:eastAsia="宋体" w:cs="宋体"/>
          <w:color w:val="auto"/>
          <w:sz w:val="28"/>
          <w:szCs w:val="28"/>
        </w:rPr>
      </w:pPr>
      <w:r>
        <w:rPr>
          <w:rFonts w:hint="eastAsia" w:ascii="宋体" w:hAnsi="宋体" w:eastAsia="宋体" w:cs="宋体"/>
          <w:color w:val="auto"/>
          <w:spacing w:val="12"/>
          <w:position w:val="1"/>
          <w:sz w:val="28"/>
          <w:szCs w:val="28"/>
          <w:lang w:val="en-US" w:eastAsia="zh-CN"/>
        </w:rPr>
        <w:t>8</w:t>
      </w:r>
      <w:r>
        <w:rPr>
          <w:rFonts w:hint="eastAsia" w:ascii="宋体" w:hAnsi="宋体" w:eastAsia="宋体" w:cs="宋体"/>
          <w:color w:val="auto"/>
          <w:spacing w:val="8"/>
          <w:position w:val="1"/>
          <w:sz w:val="28"/>
          <w:szCs w:val="28"/>
        </w:rPr>
        <w:t>、磋商文件格式范本</w:t>
      </w:r>
    </w:p>
    <w:p w14:paraId="4B3D4963">
      <w:pPr>
        <w:pStyle w:val="19"/>
        <w:snapToGrid w:val="0"/>
        <w:spacing w:line="360" w:lineRule="auto"/>
        <w:ind w:left="1080" w:leftChars="257" w:hanging="540"/>
        <w:textAlignment w:val="baseline"/>
        <w:rPr>
          <w:rFonts w:hint="eastAsia" w:ascii="宋体" w:hAnsi="宋体" w:eastAsia="宋体" w:cs="宋体"/>
          <w:color w:val="auto"/>
          <w:sz w:val="28"/>
          <w:szCs w:val="28"/>
        </w:rPr>
      </w:pPr>
    </w:p>
    <w:p w14:paraId="5AD5923C">
      <w:pPr>
        <w:pStyle w:val="19"/>
        <w:tabs>
          <w:tab w:val="left" w:pos="5580"/>
        </w:tabs>
        <w:snapToGrid w:val="0"/>
        <w:spacing w:line="360" w:lineRule="auto"/>
        <w:textAlignment w:val="baseline"/>
        <w:rPr>
          <w:rFonts w:hint="eastAsia" w:ascii="宋体" w:hAnsi="宋体" w:eastAsia="宋体" w:cs="宋体"/>
          <w:color w:val="auto"/>
          <w:sz w:val="28"/>
          <w:szCs w:val="28"/>
        </w:rPr>
      </w:pPr>
    </w:p>
    <w:p w14:paraId="1507F9A0">
      <w:pPr>
        <w:pStyle w:val="19"/>
        <w:tabs>
          <w:tab w:val="left" w:pos="5580"/>
        </w:tabs>
        <w:snapToGrid w:val="0"/>
        <w:spacing w:line="360" w:lineRule="auto"/>
        <w:textAlignment w:val="baseline"/>
        <w:rPr>
          <w:rFonts w:hint="eastAsia" w:ascii="宋体" w:hAnsi="宋体" w:eastAsia="宋体" w:cs="宋体"/>
          <w:color w:val="auto"/>
          <w:sz w:val="28"/>
          <w:szCs w:val="28"/>
        </w:rPr>
      </w:pPr>
    </w:p>
    <w:p w14:paraId="20ECB70F">
      <w:pPr>
        <w:pStyle w:val="19"/>
        <w:tabs>
          <w:tab w:val="left" w:pos="5580"/>
        </w:tabs>
        <w:snapToGrid w:val="0"/>
        <w:spacing w:line="360" w:lineRule="auto"/>
        <w:textAlignment w:val="baseline"/>
        <w:rPr>
          <w:rFonts w:hint="eastAsia" w:ascii="宋体" w:hAnsi="宋体" w:eastAsia="宋体" w:cs="宋体"/>
          <w:color w:val="auto"/>
          <w:sz w:val="28"/>
          <w:szCs w:val="28"/>
        </w:rPr>
      </w:pPr>
    </w:p>
    <w:p w14:paraId="517F6C38">
      <w:pPr>
        <w:pStyle w:val="19"/>
        <w:tabs>
          <w:tab w:val="left" w:pos="5580"/>
        </w:tabs>
        <w:snapToGrid w:val="0"/>
        <w:spacing w:line="360" w:lineRule="auto"/>
        <w:textAlignment w:val="baseline"/>
        <w:rPr>
          <w:rFonts w:hint="eastAsia" w:ascii="宋体" w:hAnsi="宋体" w:eastAsia="宋体" w:cs="宋体"/>
          <w:color w:val="auto"/>
          <w:sz w:val="28"/>
          <w:szCs w:val="28"/>
        </w:rPr>
      </w:pPr>
    </w:p>
    <w:p w14:paraId="370BD9A1">
      <w:pPr>
        <w:pStyle w:val="19"/>
        <w:tabs>
          <w:tab w:val="left" w:pos="5580"/>
        </w:tabs>
        <w:snapToGrid w:val="0"/>
        <w:spacing w:line="360" w:lineRule="auto"/>
        <w:textAlignment w:val="baseline"/>
        <w:rPr>
          <w:rFonts w:hint="eastAsia" w:ascii="宋体" w:hAnsi="宋体" w:eastAsia="宋体" w:cs="宋体"/>
          <w:color w:val="auto"/>
          <w:sz w:val="28"/>
          <w:szCs w:val="28"/>
        </w:rPr>
      </w:pPr>
    </w:p>
    <w:p w14:paraId="1E682AAD">
      <w:pPr>
        <w:pStyle w:val="19"/>
        <w:tabs>
          <w:tab w:val="left" w:pos="5580"/>
        </w:tabs>
        <w:snapToGrid w:val="0"/>
        <w:spacing w:line="360" w:lineRule="auto"/>
        <w:textAlignment w:val="baseline"/>
        <w:rPr>
          <w:rFonts w:hint="eastAsia" w:ascii="宋体" w:hAnsi="宋体" w:eastAsia="宋体" w:cs="宋体"/>
          <w:color w:val="auto"/>
          <w:sz w:val="28"/>
          <w:szCs w:val="28"/>
        </w:rPr>
      </w:pPr>
    </w:p>
    <w:p w14:paraId="6C036DCA">
      <w:pPr>
        <w:pStyle w:val="19"/>
        <w:tabs>
          <w:tab w:val="left" w:pos="5580"/>
        </w:tabs>
        <w:snapToGrid w:val="0"/>
        <w:spacing w:line="360" w:lineRule="auto"/>
        <w:textAlignment w:val="baseline"/>
        <w:rPr>
          <w:rFonts w:hint="eastAsia" w:ascii="宋体" w:hAnsi="宋体" w:eastAsia="宋体" w:cs="宋体"/>
          <w:color w:val="auto"/>
          <w:sz w:val="28"/>
          <w:szCs w:val="28"/>
        </w:rPr>
      </w:pPr>
    </w:p>
    <w:p w14:paraId="6628F501">
      <w:pPr>
        <w:pStyle w:val="20"/>
        <w:spacing w:line="360" w:lineRule="auto"/>
        <w:rPr>
          <w:rFonts w:hint="eastAsia" w:ascii="宋体" w:hAnsi="宋体" w:eastAsia="宋体" w:cs="宋体"/>
          <w:color w:val="auto"/>
          <w:sz w:val="28"/>
          <w:szCs w:val="28"/>
        </w:rPr>
      </w:pPr>
    </w:p>
    <w:p w14:paraId="6CBBA7D6">
      <w:pPr>
        <w:spacing w:line="360" w:lineRule="auto"/>
        <w:rPr>
          <w:rFonts w:hint="eastAsia" w:ascii="宋体" w:hAnsi="宋体" w:eastAsia="宋体" w:cs="宋体"/>
          <w:color w:val="auto"/>
          <w:sz w:val="28"/>
          <w:szCs w:val="28"/>
        </w:rPr>
      </w:pPr>
    </w:p>
    <w:p w14:paraId="63BECA2D">
      <w:pPr>
        <w:pStyle w:val="4"/>
        <w:spacing w:line="360" w:lineRule="auto"/>
        <w:rPr>
          <w:rFonts w:hint="eastAsia" w:ascii="宋体" w:hAnsi="宋体" w:eastAsia="宋体" w:cs="宋体"/>
          <w:color w:val="auto"/>
          <w:sz w:val="28"/>
          <w:szCs w:val="28"/>
        </w:rPr>
      </w:pPr>
    </w:p>
    <w:p w14:paraId="0AC460D4">
      <w:pPr>
        <w:spacing w:line="360" w:lineRule="auto"/>
        <w:rPr>
          <w:rFonts w:hint="eastAsia" w:ascii="宋体" w:hAnsi="宋体" w:eastAsia="宋体" w:cs="宋体"/>
          <w:color w:val="auto"/>
          <w:sz w:val="28"/>
          <w:szCs w:val="28"/>
        </w:rPr>
      </w:pPr>
    </w:p>
    <w:p w14:paraId="399D94BA">
      <w:pPr>
        <w:pStyle w:val="19"/>
        <w:tabs>
          <w:tab w:val="left" w:pos="5580"/>
        </w:tabs>
        <w:snapToGrid w:val="0"/>
        <w:spacing w:line="360" w:lineRule="auto"/>
        <w:textAlignment w:val="baseline"/>
        <w:rPr>
          <w:rFonts w:hint="eastAsia" w:ascii="宋体" w:hAnsi="宋体" w:eastAsia="宋体" w:cs="宋体"/>
          <w:color w:val="auto"/>
          <w:sz w:val="28"/>
          <w:szCs w:val="28"/>
        </w:rPr>
      </w:pPr>
    </w:p>
    <w:p w14:paraId="73A84764">
      <w:pPr>
        <w:spacing w:line="360" w:lineRule="auto"/>
        <w:rPr>
          <w:rFonts w:hint="eastAsia" w:ascii="宋体" w:hAnsi="宋体" w:eastAsia="宋体" w:cs="宋体"/>
          <w:color w:val="auto"/>
          <w:sz w:val="28"/>
          <w:szCs w:val="28"/>
        </w:rPr>
      </w:pPr>
      <w:bookmarkStart w:id="629" w:name="_Toc4701"/>
      <w:bookmarkStart w:id="630" w:name="_Toc9541"/>
      <w:r>
        <w:rPr>
          <w:rFonts w:hint="eastAsia" w:ascii="宋体" w:hAnsi="宋体" w:eastAsia="宋体" w:cs="宋体"/>
          <w:color w:val="auto"/>
          <w:sz w:val="28"/>
          <w:szCs w:val="28"/>
        </w:rPr>
        <w:br w:type="page"/>
      </w:r>
    </w:p>
    <w:p w14:paraId="1D9EB5E0">
      <w:pPr>
        <w:pStyle w:val="3"/>
        <w:snapToGrid w:val="0"/>
        <w:spacing w:before="0" w:line="360" w:lineRule="auto"/>
        <w:jc w:val="both"/>
        <w:textAlignment w:val="baseline"/>
        <w:rPr>
          <w:rFonts w:hint="eastAsia" w:ascii="宋体" w:hAnsi="宋体" w:eastAsia="宋体" w:cs="宋体"/>
          <w:color w:val="auto"/>
          <w:sz w:val="28"/>
          <w:szCs w:val="21"/>
        </w:rPr>
      </w:pPr>
      <w:bookmarkStart w:id="631" w:name="_Toc13752"/>
      <w:r>
        <w:rPr>
          <w:rFonts w:hint="eastAsia" w:ascii="宋体" w:hAnsi="宋体" w:eastAsia="宋体" w:cs="宋体"/>
          <w:color w:val="auto"/>
          <w:sz w:val="28"/>
          <w:szCs w:val="28"/>
        </w:rPr>
        <w:t>1 、磋商书</w:t>
      </w:r>
      <w:bookmarkEnd w:id="629"/>
      <w:bookmarkEnd w:id="630"/>
      <w:bookmarkEnd w:id="631"/>
    </w:p>
    <w:p w14:paraId="1B727B2C">
      <w:pPr>
        <w:tabs>
          <w:tab w:val="left" w:pos="5580"/>
        </w:tabs>
        <w:snapToGrid w:val="0"/>
        <w:spacing w:line="360" w:lineRule="auto"/>
        <w:ind w:left="1080" w:hanging="108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致：</w:t>
      </w:r>
    </w:p>
    <w:p w14:paraId="6D1168B5">
      <w:pPr>
        <w:pStyle w:val="19"/>
        <w:tabs>
          <w:tab w:val="left" w:pos="5580"/>
        </w:tabs>
        <w:snapToGrid w:val="0"/>
        <w:spacing w:line="360" w:lineRule="auto"/>
        <w:ind w:left="2" w:leftChars="1"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根据贵方(</w:t>
      </w:r>
      <w:r>
        <w:rPr>
          <w:rFonts w:hint="eastAsia" w:ascii="宋体" w:hAnsi="宋体" w:eastAsia="宋体" w:cs="宋体"/>
          <w:i/>
          <w:color w:val="auto"/>
          <w:sz w:val="28"/>
          <w:szCs w:val="28"/>
          <w:u w:val="single" w:color="000000"/>
        </w:rPr>
        <w:t>项目名称</w:t>
      </w:r>
      <w:r>
        <w:rPr>
          <w:rFonts w:hint="eastAsia" w:ascii="宋体" w:hAnsi="宋体" w:eastAsia="宋体" w:cs="宋体"/>
          <w:color w:val="auto"/>
          <w:sz w:val="28"/>
          <w:szCs w:val="28"/>
        </w:rPr>
        <w:t>)项目的磋商邀请(</w:t>
      </w:r>
      <w:r>
        <w:rPr>
          <w:rFonts w:hint="eastAsia" w:ascii="宋体" w:hAnsi="宋体" w:eastAsia="宋体" w:cs="宋体"/>
          <w:i/>
          <w:color w:val="auto"/>
          <w:sz w:val="28"/>
          <w:szCs w:val="28"/>
          <w:u w:val="single" w:color="000000"/>
        </w:rPr>
        <w:t>项目编号</w:t>
      </w:r>
      <w:r>
        <w:rPr>
          <w:rFonts w:hint="eastAsia" w:ascii="宋体" w:hAnsi="宋体" w:eastAsia="宋体" w:cs="宋体"/>
          <w:color w:val="auto"/>
          <w:sz w:val="28"/>
          <w:szCs w:val="28"/>
        </w:rPr>
        <w:t>),签字代表(</w:t>
      </w:r>
      <w:r>
        <w:rPr>
          <w:rFonts w:hint="eastAsia" w:ascii="宋体" w:hAnsi="宋体" w:eastAsia="宋体" w:cs="宋体"/>
          <w:i/>
          <w:color w:val="auto"/>
          <w:sz w:val="28"/>
          <w:szCs w:val="28"/>
          <w:u w:val="single" w:color="000000"/>
        </w:rPr>
        <w:t>姓名、职务</w:t>
      </w:r>
      <w:r>
        <w:rPr>
          <w:rFonts w:hint="eastAsia" w:ascii="宋体" w:hAnsi="宋体" w:eastAsia="宋体" w:cs="宋体"/>
          <w:color w:val="auto"/>
          <w:sz w:val="28"/>
          <w:szCs w:val="28"/>
        </w:rPr>
        <w:t>)经正式授权并代表供应商（</w:t>
      </w:r>
      <w:r>
        <w:rPr>
          <w:rFonts w:hint="eastAsia" w:ascii="宋体" w:hAnsi="宋体" w:eastAsia="宋体" w:cs="宋体"/>
          <w:i/>
          <w:color w:val="auto"/>
          <w:sz w:val="28"/>
          <w:szCs w:val="28"/>
          <w:u w:val="single" w:color="000000"/>
        </w:rPr>
        <w:t>名称、地址</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提交并签署响应文件</w:t>
      </w:r>
      <w:r>
        <w:rPr>
          <w:rFonts w:hint="eastAsia" w:ascii="宋体" w:hAnsi="宋体" w:eastAsia="宋体" w:cs="宋体"/>
          <w:color w:val="auto"/>
          <w:sz w:val="28"/>
          <w:szCs w:val="28"/>
        </w:rPr>
        <w:t>，并以</w:t>
      </w:r>
      <w:r>
        <w:rPr>
          <w:rFonts w:hint="eastAsia" w:ascii="宋体" w:hAnsi="宋体" w:eastAsia="宋体" w:cs="宋体"/>
          <w:color w:val="auto"/>
          <w:sz w:val="28"/>
          <w:szCs w:val="28"/>
          <w:u w:val="single" w:color="000000"/>
        </w:rPr>
        <w:t xml:space="preserve">         </w:t>
      </w:r>
      <w:r>
        <w:rPr>
          <w:rFonts w:hint="eastAsia" w:ascii="宋体" w:hAnsi="宋体" w:eastAsia="宋体" w:cs="宋体"/>
          <w:color w:val="auto"/>
          <w:sz w:val="28"/>
          <w:szCs w:val="28"/>
        </w:rPr>
        <w:t>形式出具的金额为人民币</w:t>
      </w:r>
      <w:r>
        <w:rPr>
          <w:rFonts w:hint="eastAsia" w:ascii="宋体" w:hAnsi="宋体" w:eastAsia="宋体" w:cs="宋体"/>
          <w:color w:val="auto"/>
          <w:sz w:val="28"/>
          <w:szCs w:val="28"/>
          <w:u w:val="single" w:color="000000"/>
        </w:rPr>
        <w:t>　　　　</w:t>
      </w:r>
      <w:r>
        <w:rPr>
          <w:rFonts w:hint="eastAsia" w:ascii="宋体" w:hAnsi="宋体" w:eastAsia="宋体" w:cs="宋体"/>
          <w:color w:val="auto"/>
          <w:sz w:val="28"/>
          <w:szCs w:val="28"/>
        </w:rPr>
        <w:t>元的磋商保证金。</w:t>
      </w:r>
    </w:p>
    <w:p w14:paraId="2A3D1FDF">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据此，签字代表宣布同意如下：</w:t>
      </w:r>
    </w:p>
    <w:p w14:paraId="2C78A5B1">
      <w:pPr>
        <w:pStyle w:val="19"/>
        <w:tabs>
          <w:tab w:val="left" w:pos="720"/>
          <w:tab w:val="left" w:pos="900"/>
        </w:tabs>
        <w:snapToGrid w:val="0"/>
        <w:spacing w:line="360" w:lineRule="auto"/>
        <w:ind w:left="769" w:leftChars="257" w:hanging="229"/>
        <w:textAlignment w:val="baseline"/>
        <w:rPr>
          <w:rFonts w:hint="eastAsia" w:ascii="宋体" w:hAnsi="宋体" w:eastAsia="宋体" w:cs="宋体"/>
          <w:color w:val="auto"/>
          <w:sz w:val="28"/>
          <w:szCs w:val="28"/>
          <w:u w:val="single" w:color="000000"/>
        </w:rPr>
      </w:pPr>
      <w:r>
        <w:rPr>
          <w:rFonts w:hint="eastAsia" w:ascii="宋体" w:hAnsi="宋体" w:eastAsia="宋体" w:cs="宋体"/>
          <w:color w:val="auto"/>
          <w:sz w:val="28"/>
          <w:szCs w:val="28"/>
        </w:rPr>
        <w:t>（1）附磋商价格表中规定的应提供货物的磋商总价详见磋商开启一览表，</w:t>
      </w:r>
      <w:r>
        <w:rPr>
          <w:rFonts w:hint="eastAsia" w:ascii="宋体" w:hAnsi="宋体" w:eastAsia="宋体" w:cs="宋体"/>
          <w:color w:val="auto"/>
          <w:sz w:val="28"/>
          <w:szCs w:val="28"/>
          <w:u w:val="single" w:color="000000"/>
        </w:rPr>
        <w:t>其中由小型和</w:t>
      </w:r>
      <w:r>
        <w:rPr>
          <w:rFonts w:hint="eastAsia" w:ascii="宋体" w:hAnsi="宋体" w:eastAsia="宋体" w:cs="宋体"/>
          <w:color w:val="auto"/>
          <w:sz w:val="28"/>
          <w:szCs w:val="28"/>
        </w:rPr>
        <w:t>微型企业</w:t>
      </w:r>
      <w:r>
        <w:rPr>
          <w:rFonts w:hint="eastAsia" w:hAnsi="宋体" w:cs="宋体"/>
          <w:color w:val="auto"/>
          <w:sz w:val="28"/>
          <w:szCs w:val="28"/>
          <w:lang w:val="en-US" w:eastAsia="zh-CN"/>
        </w:rPr>
        <w:t>提供服务</w:t>
      </w:r>
      <w:r>
        <w:rPr>
          <w:rFonts w:hint="eastAsia" w:ascii="宋体" w:hAnsi="宋体" w:eastAsia="宋体" w:cs="宋体"/>
          <w:color w:val="auto"/>
          <w:sz w:val="28"/>
          <w:szCs w:val="28"/>
        </w:rPr>
        <w:t>的价格为</w:t>
      </w:r>
      <w:r>
        <w:rPr>
          <w:rFonts w:hint="eastAsia" w:ascii="宋体" w:hAnsi="宋体" w:eastAsia="宋体" w:cs="宋体"/>
          <w:color w:val="auto"/>
          <w:sz w:val="28"/>
          <w:szCs w:val="28"/>
          <w:u w:val="single" w:color="000000"/>
        </w:rPr>
        <w:t>　　  （用文字和数字表示），占磋商总价   %</w:t>
      </w:r>
      <w:r>
        <w:rPr>
          <w:rFonts w:hint="eastAsia" w:ascii="宋体" w:hAnsi="宋体" w:eastAsia="宋体" w:cs="宋体"/>
          <w:color w:val="auto"/>
          <w:sz w:val="28"/>
          <w:szCs w:val="28"/>
        </w:rPr>
        <w:t>。</w:t>
      </w:r>
    </w:p>
    <w:p w14:paraId="1DEFA54B">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（2）本磋商有效期为自磋商截止之日起</w:t>
      </w:r>
      <w:r>
        <w:rPr>
          <w:rFonts w:hint="eastAsia" w:ascii="宋体" w:hAnsi="宋体" w:eastAsia="宋体" w:cs="宋体"/>
          <w:color w:val="auto"/>
          <w:sz w:val="28"/>
          <w:szCs w:val="28"/>
          <w:u w:val="single" w:color="000000"/>
        </w:rPr>
        <w:t xml:space="preserve">          </w:t>
      </w:r>
      <w:r>
        <w:rPr>
          <w:rFonts w:hint="eastAsia" w:ascii="宋体" w:hAnsi="宋体" w:eastAsia="宋体" w:cs="宋体"/>
          <w:color w:val="auto"/>
          <w:sz w:val="28"/>
          <w:szCs w:val="28"/>
        </w:rPr>
        <w:t>个日历日。</w:t>
      </w:r>
    </w:p>
    <w:p w14:paraId="69411D51">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（3）联合体中的大中型企业和其他自然人、法人或者非法人组织，与联合体中的小型、微型企业之间</w:t>
      </w:r>
      <w:r>
        <w:rPr>
          <w:rFonts w:hint="eastAsia" w:ascii="宋体" w:hAnsi="宋体" w:eastAsia="宋体" w:cs="宋体"/>
          <w:color w:val="auto"/>
          <w:sz w:val="28"/>
          <w:szCs w:val="28"/>
          <w:u w:val="single" w:color="000000"/>
        </w:rPr>
        <w:t xml:space="preserve">     （</w:t>
      </w:r>
      <w:r>
        <w:rPr>
          <w:rFonts w:hint="eastAsia" w:ascii="宋体" w:hAnsi="宋体" w:eastAsia="宋体" w:cs="宋体"/>
          <w:color w:val="auto"/>
          <w:sz w:val="28"/>
          <w:szCs w:val="28"/>
        </w:rPr>
        <w:t>存在、不存在）投资关系（如果是联合体的话）。</w:t>
      </w:r>
    </w:p>
    <w:p w14:paraId="7B30C935">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（4）已详细审查全部磋商文件，包括所有补充通知（如果有的话），完全理解并同意放弃对这方面有不明、误解和质疑的权力。</w:t>
      </w:r>
    </w:p>
    <w:p w14:paraId="7049CB59">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（5）在规定的磋商开启时间后，遵守磋商文件中有关保证金的规定。</w:t>
      </w:r>
    </w:p>
    <w:p w14:paraId="736D0C43">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（6）我方不是为本项目提供整体设计、规范编制或者项目管理、监理、检测等服务的供应商，我方不是采购代理机构的附属机构。</w:t>
      </w:r>
    </w:p>
    <w:p w14:paraId="7CAA33C2">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（7）在领取成交通知书的同时按磋商文件规定的形式，向贵方一次性支付成交服务费。</w:t>
      </w:r>
    </w:p>
    <w:p w14:paraId="329A412D">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（8）按照贵方可能要求，提供与其磋商有关的一切数据或资料，完全理解贵方不一定接受最低价的磋商或收到的任何磋商。</w:t>
      </w:r>
    </w:p>
    <w:p w14:paraId="3B49CF35">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（9）按照磋商文件的规定履行合同责任和义务。</w:t>
      </w:r>
    </w:p>
    <w:p w14:paraId="5E76AE51">
      <w:pPr>
        <w:pStyle w:val="19"/>
        <w:tabs>
          <w:tab w:val="left" w:pos="5580"/>
        </w:tabs>
        <w:snapToGrid w:val="0"/>
        <w:spacing w:line="360" w:lineRule="auto"/>
        <w:ind w:left="395" w:leftChars="68" w:hanging="252" w:hangingChars="9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与本磋商有关的一切正式往来信函请寄：</w:t>
      </w:r>
    </w:p>
    <w:p w14:paraId="61A46065">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地址</w:t>
      </w:r>
      <w:r>
        <w:rPr>
          <w:rFonts w:hint="eastAsia" w:ascii="宋体" w:hAnsi="宋体" w:eastAsia="宋体" w:cs="宋体"/>
          <w:color w:val="auto"/>
          <w:sz w:val="28"/>
          <w:szCs w:val="28"/>
          <w:u w:val="single" w:color="000000"/>
        </w:rPr>
        <w:t xml:space="preserve">                         </w:t>
      </w:r>
      <w:r>
        <w:rPr>
          <w:rFonts w:hint="eastAsia" w:ascii="宋体" w:hAnsi="宋体" w:eastAsia="宋体" w:cs="宋体"/>
          <w:color w:val="auto"/>
          <w:sz w:val="28"/>
          <w:szCs w:val="28"/>
        </w:rPr>
        <w:t xml:space="preserve">     传真</w:t>
      </w:r>
      <w:r>
        <w:rPr>
          <w:rFonts w:hint="eastAsia" w:ascii="宋体" w:hAnsi="宋体" w:eastAsia="宋体" w:cs="宋体"/>
          <w:color w:val="auto"/>
          <w:sz w:val="28"/>
          <w:szCs w:val="28"/>
          <w:u w:val="single" w:color="000000"/>
        </w:rPr>
        <w:t xml:space="preserve">                             </w:t>
      </w:r>
    </w:p>
    <w:p w14:paraId="22419931">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电话</w:t>
      </w:r>
      <w:r>
        <w:rPr>
          <w:rFonts w:hint="eastAsia" w:ascii="宋体" w:hAnsi="宋体" w:eastAsia="宋体" w:cs="宋体"/>
          <w:color w:val="auto"/>
          <w:sz w:val="28"/>
          <w:szCs w:val="28"/>
          <w:u w:val="single" w:color="000000"/>
        </w:rPr>
        <w:t xml:space="preserve">                         </w:t>
      </w:r>
      <w:r>
        <w:rPr>
          <w:rFonts w:hint="eastAsia" w:ascii="宋体" w:hAnsi="宋体" w:eastAsia="宋体" w:cs="宋体"/>
          <w:color w:val="auto"/>
          <w:sz w:val="28"/>
          <w:szCs w:val="28"/>
        </w:rPr>
        <w:t xml:space="preserve">     电子函件</w:t>
      </w:r>
      <w:r>
        <w:rPr>
          <w:rFonts w:hint="eastAsia" w:ascii="宋体" w:hAnsi="宋体" w:eastAsia="宋体" w:cs="宋体"/>
          <w:color w:val="auto"/>
          <w:sz w:val="28"/>
          <w:szCs w:val="28"/>
          <w:u w:val="single" w:color="000000"/>
        </w:rPr>
        <w:t xml:space="preserve">                         </w:t>
      </w:r>
    </w:p>
    <w:p w14:paraId="45404B61">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u w:val="single" w:color="000000"/>
        </w:rPr>
      </w:pPr>
      <w:r>
        <w:rPr>
          <w:rFonts w:hint="eastAsia" w:ascii="宋体" w:hAnsi="宋体" w:eastAsia="宋体" w:cs="宋体"/>
          <w:color w:val="auto"/>
          <w:sz w:val="28"/>
          <w:szCs w:val="28"/>
        </w:rPr>
        <w:t>法定代表人或其委托代理人（签/章）</w:t>
      </w:r>
      <w:r>
        <w:rPr>
          <w:rFonts w:hint="eastAsia" w:ascii="宋体" w:hAnsi="宋体" w:eastAsia="宋体" w:cs="宋体"/>
          <w:color w:val="auto"/>
          <w:sz w:val="28"/>
          <w:szCs w:val="28"/>
          <w:u w:val="single" w:color="000000"/>
        </w:rPr>
        <w:t xml:space="preserve">　　　　　　 </w:t>
      </w:r>
    </w:p>
    <w:p w14:paraId="593CADD9">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供应商名称（全称）</w:t>
      </w:r>
      <w:r>
        <w:rPr>
          <w:rFonts w:hint="eastAsia" w:ascii="宋体" w:hAnsi="宋体" w:eastAsia="宋体" w:cs="宋体"/>
          <w:color w:val="auto"/>
          <w:sz w:val="28"/>
          <w:szCs w:val="28"/>
          <w:u w:val="single" w:color="000000"/>
        </w:rPr>
        <w:t xml:space="preserve">　　　　　　 </w:t>
      </w:r>
    </w:p>
    <w:p w14:paraId="2E0D22DD">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供应商开户银行（全称）</w:t>
      </w:r>
      <w:r>
        <w:rPr>
          <w:rFonts w:hint="eastAsia" w:ascii="宋体" w:hAnsi="宋体" w:eastAsia="宋体" w:cs="宋体"/>
          <w:color w:val="auto"/>
          <w:sz w:val="28"/>
          <w:szCs w:val="28"/>
          <w:u w:val="single" w:color="000000"/>
        </w:rPr>
        <w:t xml:space="preserve">　　　　　　 </w:t>
      </w:r>
    </w:p>
    <w:p w14:paraId="5F1BA886">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供应商银行帐号</w:t>
      </w:r>
      <w:r>
        <w:rPr>
          <w:rFonts w:hint="eastAsia" w:ascii="宋体" w:hAnsi="宋体" w:eastAsia="宋体" w:cs="宋体"/>
          <w:color w:val="auto"/>
          <w:sz w:val="28"/>
          <w:szCs w:val="28"/>
          <w:u w:val="single" w:color="000000"/>
        </w:rPr>
        <w:t>　　　　　　　　 　　</w:t>
      </w:r>
    </w:p>
    <w:p w14:paraId="5D22D0E7">
      <w:pPr>
        <w:pStyle w:val="19"/>
        <w:tabs>
          <w:tab w:val="left" w:pos="5580"/>
        </w:tabs>
        <w:snapToGrid w:val="0"/>
        <w:spacing w:line="360" w:lineRule="auto"/>
        <w:ind w:left="1080" w:leftChars="257" w:hanging="540"/>
        <w:textAlignment w:val="baseline"/>
        <w:rPr>
          <w:rFonts w:hint="eastAsia" w:ascii="宋体" w:hAnsi="宋体" w:eastAsia="宋体" w:cs="宋体"/>
          <w:color w:val="auto"/>
          <w:sz w:val="28"/>
          <w:szCs w:val="28"/>
          <w:u w:val="single" w:color="000000"/>
        </w:rPr>
      </w:pPr>
      <w:r>
        <w:rPr>
          <w:rFonts w:hint="eastAsia" w:ascii="宋体" w:hAnsi="宋体" w:eastAsia="宋体" w:cs="宋体"/>
          <w:color w:val="auto"/>
          <w:sz w:val="28"/>
          <w:szCs w:val="28"/>
        </w:rPr>
        <w:t>供应商（公章）</w:t>
      </w:r>
      <w:r>
        <w:rPr>
          <w:rFonts w:hint="eastAsia" w:ascii="宋体" w:hAnsi="宋体" w:eastAsia="宋体" w:cs="宋体"/>
          <w:color w:val="auto"/>
          <w:sz w:val="28"/>
          <w:szCs w:val="28"/>
          <w:u w:val="single" w:color="000000"/>
        </w:rPr>
        <w:t xml:space="preserve">　　　　　　       </w:t>
      </w: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color="000000"/>
        </w:rPr>
        <w:t>　　　　　　</w:t>
      </w:r>
    </w:p>
    <w:p w14:paraId="2CF30B3B">
      <w:pPr>
        <w:pStyle w:val="19"/>
        <w:spacing w:line="360" w:lineRule="auto"/>
        <w:rPr>
          <w:rFonts w:hint="eastAsia" w:ascii="宋体" w:hAnsi="宋体" w:eastAsia="宋体" w:cs="宋体"/>
          <w:b/>
          <w:color w:val="auto"/>
          <w:kern w:val="0"/>
          <w:sz w:val="28"/>
          <w:szCs w:val="21"/>
        </w:rPr>
      </w:pPr>
    </w:p>
    <w:p w14:paraId="4E95C8D0">
      <w:pPr>
        <w:pStyle w:val="19"/>
        <w:spacing w:line="360" w:lineRule="auto"/>
        <w:rPr>
          <w:rFonts w:hint="eastAsia" w:ascii="宋体" w:hAnsi="宋体" w:eastAsia="宋体" w:cs="宋体"/>
          <w:b/>
          <w:color w:val="auto"/>
          <w:kern w:val="0"/>
          <w:sz w:val="28"/>
          <w:szCs w:val="21"/>
        </w:rPr>
      </w:pPr>
    </w:p>
    <w:p w14:paraId="1503BE87">
      <w:pPr>
        <w:pStyle w:val="19"/>
        <w:spacing w:line="360" w:lineRule="auto"/>
        <w:rPr>
          <w:rFonts w:hint="eastAsia" w:ascii="宋体" w:hAnsi="宋体" w:eastAsia="宋体" w:cs="宋体"/>
          <w:b/>
          <w:color w:val="auto"/>
          <w:kern w:val="0"/>
          <w:sz w:val="28"/>
          <w:szCs w:val="21"/>
        </w:rPr>
      </w:pPr>
    </w:p>
    <w:p w14:paraId="3CEDEE42">
      <w:pPr>
        <w:pStyle w:val="20"/>
        <w:spacing w:line="360" w:lineRule="auto"/>
        <w:rPr>
          <w:rFonts w:hint="eastAsia" w:ascii="宋体" w:hAnsi="宋体" w:eastAsia="宋体" w:cs="宋体"/>
          <w:b/>
          <w:color w:val="auto"/>
          <w:kern w:val="0"/>
          <w:sz w:val="28"/>
          <w:szCs w:val="28"/>
        </w:rPr>
      </w:pPr>
    </w:p>
    <w:p w14:paraId="19F91711">
      <w:pPr>
        <w:spacing w:line="360" w:lineRule="auto"/>
        <w:rPr>
          <w:rFonts w:hint="eastAsia" w:ascii="宋体" w:hAnsi="宋体" w:eastAsia="宋体" w:cs="宋体"/>
          <w:color w:val="auto"/>
          <w:sz w:val="22"/>
          <w:szCs w:val="28"/>
        </w:rPr>
      </w:pPr>
    </w:p>
    <w:p w14:paraId="1DF8D4F6">
      <w:pPr>
        <w:spacing w:line="360" w:lineRule="auto"/>
        <w:rPr>
          <w:rFonts w:hint="eastAsia" w:ascii="宋体" w:hAnsi="宋体" w:eastAsia="宋体" w:cs="宋体"/>
          <w:color w:val="auto"/>
          <w:sz w:val="28"/>
          <w:szCs w:val="28"/>
        </w:rPr>
      </w:pPr>
      <w:bookmarkStart w:id="632" w:name="_Toc5524"/>
      <w:bookmarkStart w:id="633" w:name="_Toc12710"/>
    </w:p>
    <w:p w14:paraId="198B0528">
      <w:pPr>
        <w:pStyle w:val="3"/>
        <w:spacing w:before="0" w:line="360" w:lineRule="auto"/>
        <w:ind w:left="1080" w:leftChars="257" w:hanging="540"/>
        <w:rPr>
          <w:rFonts w:hint="eastAsia" w:ascii="宋体" w:hAnsi="宋体" w:eastAsia="宋体" w:cs="宋体"/>
          <w:color w:val="auto"/>
          <w:sz w:val="28"/>
          <w:szCs w:val="28"/>
        </w:rPr>
      </w:pPr>
    </w:p>
    <w:p w14:paraId="190A0BCE">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57452008">
      <w:pPr>
        <w:pStyle w:val="3"/>
        <w:spacing w:before="0" w:line="360" w:lineRule="auto"/>
        <w:ind w:left="1080" w:leftChars="257" w:hanging="540"/>
        <w:rPr>
          <w:rFonts w:hint="eastAsia" w:ascii="宋体" w:hAnsi="宋体" w:eastAsia="宋体" w:cs="宋体"/>
          <w:color w:val="auto"/>
          <w:sz w:val="28"/>
          <w:szCs w:val="28"/>
          <w:lang w:eastAsia="zh-CN"/>
        </w:rPr>
      </w:pPr>
      <w:bookmarkStart w:id="634" w:name="_Toc18683"/>
      <w:r>
        <w:rPr>
          <w:rFonts w:hint="eastAsia" w:ascii="宋体" w:hAnsi="宋体" w:eastAsia="宋体" w:cs="宋体"/>
          <w:color w:val="auto"/>
          <w:sz w:val="28"/>
          <w:szCs w:val="28"/>
        </w:rPr>
        <w:t>2 、</w:t>
      </w:r>
      <w:r>
        <w:rPr>
          <w:rFonts w:hint="eastAsia" w:ascii="宋体" w:hAnsi="宋体" w:eastAsia="宋体" w:cs="宋体"/>
          <w:bCs/>
          <w:color w:val="auto"/>
          <w:sz w:val="28"/>
          <w:szCs w:val="28"/>
        </w:rPr>
        <w:t>磋商分项报价表</w:t>
      </w:r>
      <w:bookmarkEnd w:id="632"/>
      <w:bookmarkEnd w:id="633"/>
      <w:bookmarkEnd w:id="634"/>
    </w:p>
    <w:p w14:paraId="55336654">
      <w:pPr>
        <w:pStyle w:val="19"/>
        <w:spacing w:line="360" w:lineRule="auto"/>
        <w:jc w:val="left"/>
        <w:rPr>
          <w:rFonts w:hint="eastAsia" w:ascii="宋体" w:hAnsi="宋体" w:eastAsia="宋体" w:cs="宋体"/>
          <w:color w:val="auto"/>
          <w:sz w:val="28"/>
          <w:szCs w:val="28"/>
        </w:rPr>
      </w:pPr>
    </w:p>
    <w:p w14:paraId="11201918">
      <w:pPr>
        <w:pStyle w:val="19"/>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项目名称:                      招标编号:                       　 　             </w:t>
      </w:r>
    </w:p>
    <w:p w14:paraId="3364A90D">
      <w:pPr>
        <w:pStyle w:val="19"/>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报价单位：</w:t>
      </w:r>
    </w:p>
    <w:p w14:paraId="3AF71DC9">
      <w:pPr>
        <w:spacing w:before="75" w:line="360" w:lineRule="auto"/>
        <w:ind w:right="11"/>
        <w:rPr>
          <w:rFonts w:hint="eastAsia" w:ascii="宋体" w:hAnsi="宋体" w:eastAsia="宋体" w:cs="宋体"/>
          <w:color w:val="auto"/>
          <w:spacing w:val="7"/>
          <w:sz w:val="28"/>
          <w:szCs w:val="28"/>
          <w14:textOutline w14:w="4356" w14:cap="sq" w14:cmpd="sng">
            <w14:solidFill>
              <w14:srgbClr w14:val="000000"/>
            </w14:solidFill>
            <w14:prstDash w14:val="solid"/>
            <w14:bevel/>
          </w14:textOutline>
        </w:rPr>
      </w:pPr>
    </w:p>
    <w:tbl>
      <w:tblPr>
        <w:tblStyle w:val="107"/>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998"/>
        <w:gridCol w:w="2168"/>
        <w:gridCol w:w="2238"/>
        <w:gridCol w:w="2101"/>
      </w:tblGrid>
      <w:tr w14:paraId="2BB50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8" w:type="dxa"/>
            <w:vAlign w:val="center"/>
          </w:tcPr>
          <w:p w14:paraId="6584ABF2">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7505" w:type="dxa"/>
            <w:gridSpan w:val="4"/>
            <w:vAlign w:val="center"/>
          </w:tcPr>
          <w:p w14:paraId="4E00DC88">
            <w:pPr>
              <w:widowControl/>
              <w:spacing w:line="360" w:lineRule="auto"/>
              <w:jc w:val="center"/>
              <w:textAlignment w:val="center"/>
              <w:rPr>
                <w:rFonts w:hint="eastAsia" w:ascii="宋体" w:hAnsi="宋体" w:eastAsia="宋体" w:cs="宋体"/>
                <w:color w:val="auto"/>
                <w:kern w:val="0"/>
                <w:sz w:val="24"/>
                <w:szCs w:val="24"/>
              </w:rPr>
            </w:pPr>
          </w:p>
        </w:tc>
      </w:tr>
      <w:tr w14:paraId="7F86C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558" w:type="dxa"/>
            <w:vAlign w:val="center"/>
          </w:tcPr>
          <w:p w14:paraId="79BE0CAF">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p>
        </w:tc>
        <w:tc>
          <w:tcPr>
            <w:tcW w:w="7505" w:type="dxa"/>
            <w:gridSpan w:val="4"/>
            <w:vAlign w:val="center"/>
          </w:tcPr>
          <w:p w14:paraId="1DA2D73F">
            <w:pPr>
              <w:widowControl/>
              <w:spacing w:line="360" w:lineRule="auto"/>
              <w:jc w:val="center"/>
              <w:textAlignment w:val="center"/>
              <w:rPr>
                <w:rFonts w:hint="eastAsia" w:ascii="宋体" w:hAnsi="宋体" w:eastAsia="宋体" w:cs="宋体"/>
                <w:color w:val="auto"/>
                <w:kern w:val="0"/>
                <w:sz w:val="24"/>
                <w:szCs w:val="24"/>
              </w:rPr>
            </w:pPr>
          </w:p>
        </w:tc>
      </w:tr>
      <w:tr w14:paraId="52E14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558" w:type="dxa"/>
            <w:vAlign w:val="center"/>
          </w:tcPr>
          <w:p w14:paraId="4B971C52">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投标报价</w:t>
            </w:r>
          </w:p>
        </w:tc>
        <w:tc>
          <w:tcPr>
            <w:tcW w:w="5404" w:type="dxa"/>
            <w:gridSpan w:val="3"/>
            <w:vAlign w:val="center"/>
          </w:tcPr>
          <w:p w14:paraId="704F8773">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大写：</w:t>
            </w:r>
          </w:p>
        </w:tc>
        <w:tc>
          <w:tcPr>
            <w:tcW w:w="2101" w:type="dxa"/>
            <w:vAlign w:val="center"/>
          </w:tcPr>
          <w:p w14:paraId="23D22AB8">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       元</w:t>
            </w:r>
          </w:p>
        </w:tc>
      </w:tr>
      <w:tr w14:paraId="4305E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558" w:type="dxa"/>
            <w:vMerge w:val="restart"/>
            <w:tcBorders>
              <w:bottom w:val="nil"/>
            </w:tcBorders>
            <w:vAlign w:val="center"/>
          </w:tcPr>
          <w:p w14:paraId="152A41B4">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项目总监理工 程师</w:t>
            </w:r>
          </w:p>
        </w:tc>
        <w:tc>
          <w:tcPr>
            <w:tcW w:w="998" w:type="dxa"/>
            <w:vMerge w:val="restart"/>
            <w:tcBorders>
              <w:bottom w:val="nil"/>
            </w:tcBorders>
            <w:vAlign w:val="center"/>
          </w:tcPr>
          <w:p w14:paraId="6B5B97C2">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2168" w:type="dxa"/>
            <w:vMerge w:val="restart"/>
            <w:tcBorders>
              <w:bottom w:val="nil"/>
            </w:tcBorders>
            <w:vAlign w:val="center"/>
          </w:tcPr>
          <w:p w14:paraId="4879B9CB">
            <w:pPr>
              <w:widowControl/>
              <w:spacing w:line="360" w:lineRule="auto"/>
              <w:jc w:val="center"/>
              <w:textAlignment w:val="center"/>
              <w:rPr>
                <w:rFonts w:hint="eastAsia" w:ascii="宋体" w:hAnsi="宋体" w:eastAsia="宋体" w:cs="宋体"/>
                <w:color w:val="auto"/>
                <w:kern w:val="0"/>
                <w:sz w:val="24"/>
                <w:szCs w:val="24"/>
              </w:rPr>
            </w:pPr>
          </w:p>
        </w:tc>
        <w:tc>
          <w:tcPr>
            <w:tcW w:w="2238" w:type="dxa"/>
            <w:vAlign w:val="center"/>
          </w:tcPr>
          <w:p w14:paraId="2F6197F6">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监理注册证书注册号</w:t>
            </w:r>
          </w:p>
        </w:tc>
        <w:tc>
          <w:tcPr>
            <w:tcW w:w="2101" w:type="dxa"/>
            <w:vAlign w:val="center"/>
          </w:tcPr>
          <w:p w14:paraId="19A18911">
            <w:pPr>
              <w:widowControl/>
              <w:spacing w:line="360" w:lineRule="auto"/>
              <w:jc w:val="center"/>
              <w:textAlignment w:val="center"/>
              <w:rPr>
                <w:rFonts w:hint="eastAsia" w:ascii="宋体" w:hAnsi="宋体" w:eastAsia="宋体" w:cs="宋体"/>
                <w:color w:val="auto"/>
                <w:kern w:val="0"/>
                <w:sz w:val="24"/>
                <w:szCs w:val="24"/>
              </w:rPr>
            </w:pPr>
          </w:p>
        </w:tc>
      </w:tr>
      <w:tr w14:paraId="0D642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558" w:type="dxa"/>
            <w:vMerge w:val="continue"/>
            <w:tcBorders>
              <w:top w:val="nil"/>
            </w:tcBorders>
            <w:vAlign w:val="center"/>
          </w:tcPr>
          <w:p w14:paraId="5B416078">
            <w:pPr>
              <w:widowControl/>
              <w:spacing w:line="360" w:lineRule="auto"/>
              <w:jc w:val="center"/>
              <w:textAlignment w:val="center"/>
              <w:rPr>
                <w:rFonts w:hint="eastAsia" w:ascii="宋体" w:hAnsi="宋体" w:eastAsia="宋体" w:cs="宋体"/>
                <w:color w:val="auto"/>
                <w:kern w:val="0"/>
                <w:sz w:val="24"/>
                <w:szCs w:val="24"/>
              </w:rPr>
            </w:pPr>
          </w:p>
        </w:tc>
        <w:tc>
          <w:tcPr>
            <w:tcW w:w="998" w:type="dxa"/>
            <w:vMerge w:val="continue"/>
            <w:tcBorders>
              <w:top w:val="nil"/>
            </w:tcBorders>
            <w:vAlign w:val="center"/>
          </w:tcPr>
          <w:p w14:paraId="0BB9DBA4">
            <w:pPr>
              <w:widowControl/>
              <w:spacing w:line="360" w:lineRule="auto"/>
              <w:jc w:val="center"/>
              <w:textAlignment w:val="center"/>
              <w:rPr>
                <w:rFonts w:hint="eastAsia" w:ascii="宋体" w:hAnsi="宋体" w:eastAsia="宋体" w:cs="宋体"/>
                <w:color w:val="auto"/>
                <w:kern w:val="0"/>
                <w:sz w:val="24"/>
                <w:szCs w:val="24"/>
              </w:rPr>
            </w:pPr>
          </w:p>
        </w:tc>
        <w:tc>
          <w:tcPr>
            <w:tcW w:w="2168" w:type="dxa"/>
            <w:vMerge w:val="continue"/>
            <w:tcBorders>
              <w:top w:val="nil"/>
            </w:tcBorders>
            <w:vAlign w:val="center"/>
          </w:tcPr>
          <w:p w14:paraId="45B51765">
            <w:pPr>
              <w:widowControl/>
              <w:spacing w:line="360" w:lineRule="auto"/>
              <w:jc w:val="center"/>
              <w:textAlignment w:val="center"/>
              <w:rPr>
                <w:rFonts w:hint="eastAsia" w:ascii="宋体" w:hAnsi="宋体" w:eastAsia="宋体" w:cs="宋体"/>
                <w:color w:val="auto"/>
                <w:kern w:val="0"/>
                <w:sz w:val="24"/>
                <w:szCs w:val="24"/>
              </w:rPr>
            </w:pPr>
          </w:p>
        </w:tc>
        <w:tc>
          <w:tcPr>
            <w:tcW w:w="2238" w:type="dxa"/>
            <w:vAlign w:val="center"/>
          </w:tcPr>
          <w:p w14:paraId="455350A4">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注册专业</w:t>
            </w:r>
          </w:p>
        </w:tc>
        <w:tc>
          <w:tcPr>
            <w:tcW w:w="2101" w:type="dxa"/>
            <w:vAlign w:val="center"/>
          </w:tcPr>
          <w:p w14:paraId="7183725A">
            <w:pPr>
              <w:widowControl/>
              <w:spacing w:line="360" w:lineRule="auto"/>
              <w:jc w:val="center"/>
              <w:textAlignment w:val="center"/>
              <w:rPr>
                <w:rFonts w:hint="eastAsia" w:ascii="宋体" w:hAnsi="宋体" w:eastAsia="宋体" w:cs="宋体"/>
                <w:color w:val="auto"/>
                <w:kern w:val="0"/>
                <w:sz w:val="24"/>
                <w:szCs w:val="24"/>
              </w:rPr>
            </w:pPr>
          </w:p>
        </w:tc>
      </w:tr>
      <w:tr w14:paraId="59292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558" w:type="dxa"/>
            <w:vAlign w:val="center"/>
          </w:tcPr>
          <w:p w14:paraId="01F88787">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服务期限</w:t>
            </w:r>
          </w:p>
        </w:tc>
        <w:tc>
          <w:tcPr>
            <w:tcW w:w="7505" w:type="dxa"/>
            <w:gridSpan w:val="4"/>
            <w:vAlign w:val="center"/>
          </w:tcPr>
          <w:p w14:paraId="77BD6A84">
            <w:pPr>
              <w:widowControl/>
              <w:spacing w:line="360" w:lineRule="auto"/>
              <w:jc w:val="left"/>
              <w:textAlignment w:val="center"/>
              <w:rPr>
                <w:rFonts w:hint="eastAsia" w:ascii="宋体" w:hAnsi="宋体" w:eastAsia="宋体" w:cs="宋体"/>
                <w:color w:val="auto"/>
                <w:kern w:val="0"/>
                <w:sz w:val="24"/>
                <w:szCs w:val="24"/>
              </w:rPr>
            </w:pPr>
          </w:p>
        </w:tc>
      </w:tr>
      <w:tr w14:paraId="109C6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558" w:type="dxa"/>
            <w:vAlign w:val="center"/>
          </w:tcPr>
          <w:p w14:paraId="104D1F94">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c>
          <w:tcPr>
            <w:tcW w:w="7505" w:type="dxa"/>
            <w:gridSpan w:val="4"/>
            <w:vAlign w:val="center"/>
          </w:tcPr>
          <w:p w14:paraId="7FF768C7">
            <w:pPr>
              <w:widowControl/>
              <w:spacing w:line="360" w:lineRule="auto"/>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报价包含监理人员费用（包括监理人员的工资总额及一切辅助工资、奖金等）、 电讯费、现场办公费交通、差旅、住宿费、试验检测费、现场临时设施费、企业 管理费、税费、利润等相关服务费用的总合计。</w:t>
            </w:r>
          </w:p>
        </w:tc>
      </w:tr>
    </w:tbl>
    <w:p w14:paraId="76DBB603">
      <w:pPr>
        <w:pStyle w:val="19"/>
        <w:spacing w:line="360" w:lineRule="auto"/>
        <w:jc w:val="left"/>
        <w:rPr>
          <w:rFonts w:hint="eastAsia" w:ascii="宋体" w:hAnsi="宋体" w:eastAsia="宋体" w:cs="宋体"/>
          <w:color w:val="auto"/>
          <w:sz w:val="28"/>
          <w:szCs w:val="28"/>
        </w:rPr>
      </w:pPr>
    </w:p>
    <w:p w14:paraId="56999A06">
      <w:pPr>
        <w:pStyle w:val="20"/>
        <w:spacing w:line="360" w:lineRule="auto"/>
        <w:rPr>
          <w:rFonts w:hint="eastAsia" w:ascii="宋体" w:hAnsi="宋体" w:eastAsia="宋体" w:cs="宋体"/>
          <w:color w:val="auto"/>
          <w:sz w:val="28"/>
          <w:szCs w:val="28"/>
        </w:rPr>
      </w:pPr>
    </w:p>
    <w:p w14:paraId="04C5DE0A">
      <w:pPr>
        <w:spacing w:line="360" w:lineRule="auto"/>
        <w:rPr>
          <w:rFonts w:hint="eastAsia" w:ascii="宋体" w:hAnsi="宋体" w:eastAsia="宋体" w:cs="宋体"/>
          <w:color w:val="auto"/>
          <w:sz w:val="28"/>
          <w:szCs w:val="28"/>
        </w:rPr>
      </w:pPr>
    </w:p>
    <w:p w14:paraId="2643E1B9">
      <w:pPr>
        <w:pStyle w:val="39"/>
        <w:spacing w:line="360" w:lineRule="auto"/>
        <w:rPr>
          <w:rFonts w:hint="eastAsia" w:ascii="宋体" w:hAnsi="宋体" w:eastAsia="宋体" w:cs="宋体"/>
          <w:color w:val="auto"/>
          <w:sz w:val="28"/>
          <w:szCs w:val="28"/>
        </w:rPr>
      </w:pPr>
    </w:p>
    <w:p w14:paraId="1C696732">
      <w:pPr>
        <w:pStyle w:val="19"/>
        <w:spacing w:line="360" w:lineRule="auto"/>
        <w:ind w:left="1080" w:leftChars="257" w:hanging="540"/>
        <w:rPr>
          <w:rFonts w:hint="eastAsia" w:ascii="宋体" w:hAnsi="宋体" w:eastAsia="宋体" w:cs="宋体"/>
          <w:color w:val="auto"/>
          <w:sz w:val="28"/>
          <w:szCs w:val="28"/>
        </w:rPr>
      </w:pPr>
    </w:p>
    <w:p w14:paraId="5D809A5B">
      <w:pPr>
        <w:pStyle w:val="19"/>
        <w:spacing w:line="360" w:lineRule="auto"/>
        <w:ind w:left="1080" w:leftChars="257" w:hanging="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法定代表人或其委托代理人（签/章）:</w:t>
      </w:r>
    </w:p>
    <w:p w14:paraId="2AEEB574">
      <w:pPr>
        <w:pStyle w:val="19"/>
        <w:tabs>
          <w:tab w:val="left" w:pos="5370"/>
        </w:tabs>
        <w:spacing w:line="360" w:lineRule="auto"/>
        <w:ind w:left="1080" w:leftChars="257" w:hanging="540"/>
        <w:rPr>
          <w:rFonts w:hint="eastAsia" w:ascii="宋体" w:hAnsi="宋体" w:eastAsia="宋体" w:cs="宋体"/>
          <w:color w:val="auto"/>
          <w:sz w:val="28"/>
          <w:szCs w:val="28"/>
        </w:rPr>
      </w:pPr>
      <w:r>
        <w:rPr>
          <w:rFonts w:hint="eastAsia" w:ascii="宋体" w:hAnsi="宋体" w:eastAsia="宋体" w:cs="宋体"/>
          <w:color w:val="auto"/>
          <w:sz w:val="28"/>
          <w:szCs w:val="28"/>
        </w:rPr>
        <w:t>供应商(公章):</w:t>
      </w:r>
    </w:p>
    <w:p w14:paraId="23E45271">
      <w:pPr>
        <w:pStyle w:val="19"/>
        <w:spacing w:line="360" w:lineRule="auto"/>
        <w:rPr>
          <w:rFonts w:hint="eastAsia" w:ascii="宋体" w:hAnsi="宋体" w:eastAsia="宋体" w:cs="宋体"/>
          <w:b/>
          <w:color w:val="auto"/>
          <w:kern w:val="0"/>
          <w:sz w:val="28"/>
          <w:szCs w:val="28"/>
        </w:rPr>
      </w:pPr>
    </w:p>
    <w:p w14:paraId="6410F283">
      <w:pPr>
        <w:spacing w:line="360" w:lineRule="auto"/>
        <w:rPr>
          <w:rFonts w:hint="eastAsia" w:ascii="宋体" w:hAnsi="宋体" w:eastAsia="宋体" w:cs="宋体"/>
          <w:b/>
          <w:color w:val="auto"/>
          <w:kern w:val="0"/>
          <w:sz w:val="28"/>
          <w:szCs w:val="28"/>
        </w:rPr>
      </w:pPr>
      <w:bookmarkStart w:id="635" w:name="_Toc18706"/>
      <w:bookmarkStart w:id="636" w:name="_Toc17521"/>
    </w:p>
    <w:p w14:paraId="24445C93">
      <w:pPr>
        <w:pStyle w:val="19"/>
        <w:spacing w:line="360" w:lineRule="auto"/>
        <w:jc w:val="center"/>
        <w:rPr>
          <w:rFonts w:hint="eastAsia" w:ascii="宋体" w:hAnsi="宋体" w:eastAsia="宋体" w:cs="宋体"/>
          <w:b/>
          <w:color w:val="auto"/>
          <w:kern w:val="0"/>
          <w:sz w:val="28"/>
          <w:szCs w:val="21"/>
        </w:rPr>
      </w:pPr>
      <w:r>
        <w:rPr>
          <w:rFonts w:hint="eastAsia" w:ascii="宋体" w:hAnsi="宋体" w:eastAsia="宋体" w:cs="宋体"/>
          <w:b/>
          <w:color w:val="auto"/>
          <w:kern w:val="0"/>
          <w:sz w:val="28"/>
          <w:szCs w:val="21"/>
        </w:rPr>
        <w:t>3、项目管理机构</w:t>
      </w:r>
      <w:bookmarkEnd w:id="635"/>
      <w:bookmarkEnd w:id="636"/>
    </w:p>
    <w:p w14:paraId="61BB6A46">
      <w:pPr>
        <w:spacing w:before="149" w:line="360" w:lineRule="auto"/>
        <w:ind w:left="3237"/>
        <w:rPr>
          <w:rFonts w:hint="eastAsia" w:ascii="宋体" w:hAnsi="宋体" w:eastAsia="宋体" w:cs="宋体"/>
          <w:color w:val="auto"/>
          <w:sz w:val="28"/>
          <w:szCs w:val="28"/>
        </w:rPr>
      </w:pPr>
      <w:r>
        <w:rPr>
          <w:rFonts w:hint="eastAsia" w:ascii="宋体" w:hAnsi="宋体" w:eastAsia="宋体" w:cs="宋体"/>
          <w:color w:val="auto"/>
          <w:spacing w:val="17"/>
          <w:sz w:val="28"/>
          <w:szCs w:val="28"/>
        </w:rPr>
        <w:t>(现场技术力量配备)</w:t>
      </w:r>
    </w:p>
    <w:p w14:paraId="2E0A8F11">
      <w:pPr>
        <w:spacing w:before="160" w:line="360" w:lineRule="auto"/>
        <w:ind w:left="125"/>
        <w:rPr>
          <w:rFonts w:hint="eastAsia" w:ascii="宋体" w:hAnsi="宋体" w:eastAsia="宋体" w:cs="宋体"/>
          <w:color w:val="auto"/>
          <w:sz w:val="28"/>
          <w:szCs w:val="28"/>
        </w:rPr>
      </w:pPr>
      <w:r>
        <w:rPr>
          <w:rFonts w:hint="eastAsia" w:ascii="宋体" w:hAnsi="宋体" w:eastAsia="宋体" w:cs="宋体"/>
          <w:color w:val="auto"/>
          <w:spacing w:val="6"/>
          <w:position w:val="14"/>
          <w:sz w:val="28"/>
          <w:szCs w:val="28"/>
        </w:rPr>
        <w:t>3</w:t>
      </w:r>
      <w:r>
        <w:rPr>
          <w:rFonts w:hint="eastAsia" w:ascii="宋体" w:hAnsi="宋体" w:eastAsia="宋体" w:cs="宋体"/>
          <w:color w:val="auto"/>
          <w:spacing w:val="4"/>
          <w:position w:val="14"/>
          <w:sz w:val="28"/>
          <w:szCs w:val="28"/>
        </w:rPr>
        <w:t>.</w:t>
      </w:r>
      <w:r>
        <w:rPr>
          <w:rFonts w:hint="eastAsia" w:ascii="宋体" w:hAnsi="宋体" w:eastAsia="宋体" w:cs="宋体"/>
          <w:color w:val="auto"/>
          <w:spacing w:val="3"/>
          <w:position w:val="14"/>
          <w:sz w:val="28"/>
          <w:szCs w:val="28"/>
        </w:rPr>
        <w:t>1 专业监理工程师、监理员配备一览表</w:t>
      </w:r>
    </w:p>
    <w:tbl>
      <w:tblPr>
        <w:tblStyle w:val="107"/>
        <w:tblpPr w:leftFromText="180" w:rightFromText="180" w:vertAnchor="text" w:horzAnchor="page" w:tblpX="858" w:tblpY="387"/>
        <w:tblOverlap w:val="never"/>
        <w:tblW w:w="99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0"/>
        <w:gridCol w:w="228"/>
        <w:gridCol w:w="681"/>
        <w:gridCol w:w="165"/>
        <w:gridCol w:w="939"/>
        <w:gridCol w:w="329"/>
        <w:gridCol w:w="447"/>
        <w:gridCol w:w="400"/>
        <w:gridCol w:w="734"/>
        <w:gridCol w:w="252"/>
        <w:gridCol w:w="821"/>
        <w:gridCol w:w="1152"/>
        <w:gridCol w:w="281"/>
        <w:gridCol w:w="1474"/>
      </w:tblGrid>
      <w:tr w14:paraId="19A44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993" w:type="dxa"/>
            <w:gridSpan w:val="14"/>
            <w:tcBorders>
              <w:top w:val="single" w:color="000000" w:sz="10" w:space="0"/>
              <w:left w:val="single" w:color="000000" w:sz="10" w:space="0"/>
              <w:right w:val="single" w:color="000000" w:sz="10" w:space="0"/>
            </w:tcBorders>
            <w:vAlign w:val="top"/>
          </w:tcPr>
          <w:p w14:paraId="12AE245C">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专业监理工程师</w:t>
            </w:r>
          </w:p>
        </w:tc>
      </w:tr>
      <w:tr w14:paraId="3704A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trPr>
        <w:tc>
          <w:tcPr>
            <w:tcW w:w="2090" w:type="dxa"/>
            <w:tcBorders>
              <w:left w:val="single" w:color="000000" w:sz="10" w:space="0"/>
            </w:tcBorders>
            <w:vAlign w:val="top"/>
          </w:tcPr>
          <w:p w14:paraId="4267EDD7">
            <w:pPr>
              <w:widowControl/>
              <w:spacing w:line="360" w:lineRule="auto"/>
              <w:jc w:val="center"/>
              <w:textAlignment w:val="center"/>
              <w:rPr>
                <w:rFonts w:hint="eastAsia" w:ascii="宋体" w:hAnsi="宋体" w:eastAsia="宋体" w:cs="宋体"/>
                <w:color w:val="auto"/>
                <w:kern w:val="0"/>
                <w:sz w:val="24"/>
                <w:szCs w:val="24"/>
              </w:rPr>
            </w:pPr>
          </w:p>
          <w:p w14:paraId="1CD0567E">
            <w:pPr>
              <w:widowControl/>
              <w:spacing w:line="360" w:lineRule="auto"/>
              <w:jc w:val="center"/>
              <w:textAlignment w:val="center"/>
              <w:rPr>
                <w:rFonts w:hint="eastAsia" w:ascii="宋体" w:hAnsi="宋体" w:eastAsia="宋体" w:cs="宋体"/>
                <w:color w:val="auto"/>
                <w:kern w:val="0"/>
                <w:sz w:val="24"/>
                <w:szCs w:val="24"/>
              </w:rPr>
            </w:pPr>
          </w:p>
          <w:p w14:paraId="470067A0">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监理职务</w:t>
            </w:r>
          </w:p>
        </w:tc>
        <w:tc>
          <w:tcPr>
            <w:tcW w:w="909" w:type="dxa"/>
            <w:gridSpan w:val="2"/>
            <w:vAlign w:val="top"/>
          </w:tcPr>
          <w:p w14:paraId="0288ECFC">
            <w:pPr>
              <w:widowControl/>
              <w:spacing w:line="360" w:lineRule="auto"/>
              <w:jc w:val="center"/>
              <w:textAlignment w:val="center"/>
              <w:rPr>
                <w:rFonts w:hint="eastAsia" w:ascii="宋体" w:hAnsi="宋体" w:eastAsia="宋体" w:cs="宋体"/>
                <w:color w:val="auto"/>
                <w:kern w:val="0"/>
                <w:sz w:val="24"/>
                <w:szCs w:val="24"/>
              </w:rPr>
            </w:pPr>
          </w:p>
          <w:p w14:paraId="1C5B5ADC">
            <w:pPr>
              <w:widowControl/>
              <w:spacing w:line="360" w:lineRule="auto"/>
              <w:jc w:val="center"/>
              <w:textAlignment w:val="center"/>
              <w:rPr>
                <w:rFonts w:hint="eastAsia" w:ascii="宋体" w:hAnsi="宋体" w:eastAsia="宋体" w:cs="宋体"/>
                <w:color w:val="auto"/>
                <w:kern w:val="0"/>
                <w:sz w:val="24"/>
                <w:szCs w:val="24"/>
              </w:rPr>
            </w:pPr>
          </w:p>
          <w:p w14:paraId="2D237F3D">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104" w:type="dxa"/>
            <w:gridSpan w:val="2"/>
            <w:vAlign w:val="top"/>
          </w:tcPr>
          <w:p w14:paraId="0D561F3B">
            <w:pPr>
              <w:widowControl/>
              <w:spacing w:line="360" w:lineRule="auto"/>
              <w:jc w:val="center"/>
              <w:textAlignment w:val="center"/>
              <w:rPr>
                <w:rFonts w:hint="eastAsia" w:ascii="宋体" w:hAnsi="宋体" w:eastAsia="宋体" w:cs="宋体"/>
                <w:color w:val="auto"/>
                <w:kern w:val="0"/>
                <w:sz w:val="24"/>
                <w:szCs w:val="24"/>
              </w:rPr>
            </w:pPr>
          </w:p>
          <w:p w14:paraId="32C3A732">
            <w:pPr>
              <w:widowControl/>
              <w:spacing w:line="360" w:lineRule="auto"/>
              <w:jc w:val="center"/>
              <w:textAlignment w:val="center"/>
              <w:rPr>
                <w:rFonts w:hint="eastAsia" w:ascii="宋体" w:hAnsi="宋体" w:eastAsia="宋体" w:cs="宋体"/>
                <w:color w:val="auto"/>
                <w:kern w:val="0"/>
                <w:sz w:val="24"/>
                <w:szCs w:val="24"/>
              </w:rPr>
            </w:pPr>
          </w:p>
          <w:p w14:paraId="16D23611">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776" w:type="dxa"/>
            <w:gridSpan w:val="2"/>
            <w:vAlign w:val="top"/>
          </w:tcPr>
          <w:p w14:paraId="554FF2FA">
            <w:pPr>
              <w:widowControl/>
              <w:spacing w:line="360" w:lineRule="auto"/>
              <w:jc w:val="center"/>
              <w:textAlignment w:val="center"/>
              <w:rPr>
                <w:rFonts w:hint="eastAsia" w:ascii="宋体" w:hAnsi="宋体" w:eastAsia="宋体" w:cs="宋体"/>
                <w:color w:val="auto"/>
                <w:kern w:val="0"/>
                <w:sz w:val="24"/>
                <w:szCs w:val="24"/>
              </w:rPr>
            </w:pPr>
          </w:p>
          <w:p w14:paraId="1C43A95D">
            <w:pPr>
              <w:widowControl/>
              <w:spacing w:line="360" w:lineRule="auto"/>
              <w:jc w:val="center"/>
              <w:textAlignment w:val="center"/>
              <w:rPr>
                <w:rFonts w:hint="eastAsia" w:ascii="宋体" w:hAnsi="宋体" w:eastAsia="宋体" w:cs="宋体"/>
                <w:color w:val="auto"/>
                <w:kern w:val="0"/>
                <w:sz w:val="24"/>
                <w:szCs w:val="24"/>
              </w:rPr>
            </w:pPr>
          </w:p>
          <w:p w14:paraId="477DA23E">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年龄</w:t>
            </w:r>
          </w:p>
        </w:tc>
        <w:tc>
          <w:tcPr>
            <w:tcW w:w="1134" w:type="dxa"/>
            <w:gridSpan w:val="2"/>
            <w:vAlign w:val="top"/>
          </w:tcPr>
          <w:p w14:paraId="0E1BADE4">
            <w:pPr>
              <w:widowControl/>
              <w:spacing w:line="360" w:lineRule="auto"/>
              <w:jc w:val="center"/>
              <w:textAlignment w:val="center"/>
              <w:rPr>
                <w:rFonts w:hint="eastAsia" w:ascii="宋体" w:hAnsi="宋体" w:eastAsia="宋体" w:cs="宋体"/>
                <w:color w:val="auto"/>
                <w:kern w:val="0"/>
                <w:sz w:val="24"/>
                <w:szCs w:val="24"/>
              </w:rPr>
            </w:pPr>
          </w:p>
          <w:p w14:paraId="3E20C38A">
            <w:pPr>
              <w:widowControl/>
              <w:spacing w:line="360" w:lineRule="auto"/>
              <w:jc w:val="center"/>
              <w:textAlignment w:val="center"/>
              <w:rPr>
                <w:rFonts w:hint="eastAsia" w:ascii="宋体" w:hAnsi="宋体" w:eastAsia="宋体" w:cs="宋体"/>
                <w:color w:val="auto"/>
                <w:kern w:val="0"/>
                <w:sz w:val="24"/>
                <w:szCs w:val="24"/>
              </w:rPr>
            </w:pPr>
          </w:p>
          <w:p w14:paraId="6EDAE044">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注册号 （如有）</w:t>
            </w:r>
          </w:p>
        </w:tc>
        <w:tc>
          <w:tcPr>
            <w:tcW w:w="1073" w:type="dxa"/>
            <w:gridSpan w:val="2"/>
            <w:vAlign w:val="top"/>
          </w:tcPr>
          <w:p w14:paraId="1F97894A">
            <w:pPr>
              <w:widowControl/>
              <w:spacing w:line="360" w:lineRule="auto"/>
              <w:jc w:val="center"/>
              <w:textAlignment w:val="center"/>
              <w:rPr>
                <w:rFonts w:hint="eastAsia" w:ascii="宋体" w:hAnsi="宋体" w:eastAsia="宋体" w:cs="宋体"/>
                <w:color w:val="auto"/>
                <w:kern w:val="0"/>
                <w:sz w:val="24"/>
                <w:szCs w:val="24"/>
              </w:rPr>
            </w:pPr>
          </w:p>
          <w:p w14:paraId="0A885632">
            <w:pPr>
              <w:widowControl/>
              <w:spacing w:line="360" w:lineRule="auto"/>
              <w:jc w:val="center"/>
              <w:textAlignment w:val="center"/>
              <w:rPr>
                <w:rFonts w:hint="eastAsia" w:ascii="宋体" w:hAnsi="宋体" w:eastAsia="宋体" w:cs="宋体"/>
                <w:color w:val="auto"/>
                <w:kern w:val="0"/>
                <w:sz w:val="24"/>
                <w:szCs w:val="24"/>
              </w:rPr>
            </w:pPr>
          </w:p>
          <w:p w14:paraId="6EB05CD3">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职称</w:t>
            </w:r>
          </w:p>
        </w:tc>
        <w:tc>
          <w:tcPr>
            <w:tcW w:w="1433" w:type="dxa"/>
            <w:gridSpan w:val="2"/>
            <w:vAlign w:val="top"/>
          </w:tcPr>
          <w:p w14:paraId="68C5844D">
            <w:pPr>
              <w:widowControl/>
              <w:spacing w:line="360" w:lineRule="auto"/>
              <w:jc w:val="center"/>
              <w:textAlignment w:val="center"/>
              <w:rPr>
                <w:rFonts w:hint="eastAsia" w:ascii="宋体" w:hAnsi="宋体" w:eastAsia="宋体" w:cs="宋体"/>
                <w:color w:val="auto"/>
                <w:kern w:val="0"/>
                <w:sz w:val="24"/>
                <w:szCs w:val="24"/>
              </w:rPr>
            </w:pPr>
          </w:p>
          <w:p w14:paraId="371525AA">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监理培训 证书号</w:t>
            </w:r>
          </w:p>
        </w:tc>
        <w:tc>
          <w:tcPr>
            <w:tcW w:w="1474" w:type="dxa"/>
            <w:tcBorders>
              <w:right w:val="single" w:color="000000" w:sz="10" w:space="0"/>
            </w:tcBorders>
            <w:vAlign w:val="top"/>
          </w:tcPr>
          <w:p w14:paraId="0DD8862C">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正在承担</w:t>
            </w:r>
          </w:p>
          <w:p w14:paraId="7CE5746F">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监理工程</w:t>
            </w:r>
          </w:p>
          <w:p w14:paraId="480CB508">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名称</w:t>
            </w:r>
          </w:p>
        </w:tc>
      </w:tr>
      <w:tr w14:paraId="4B8CC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090" w:type="dxa"/>
            <w:tcBorders>
              <w:left w:val="single" w:color="000000" w:sz="10" w:space="0"/>
            </w:tcBorders>
            <w:vAlign w:val="top"/>
          </w:tcPr>
          <w:p w14:paraId="7348D8E2">
            <w:pPr>
              <w:widowControl/>
              <w:spacing w:line="360" w:lineRule="auto"/>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监理工程师</w:t>
            </w:r>
          </w:p>
        </w:tc>
        <w:tc>
          <w:tcPr>
            <w:tcW w:w="909" w:type="dxa"/>
            <w:gridSpan w:val="2"/>
            <w:vAlign w:val="top"/>
          </w:tcPr>
          <w:p w14:paraId="35DE9D8A">
            <w:pPr>
              <w:widowControl/>
              <w:spacing w:line="360" w:lineRule="auto"/>
              <w:jc w:val="center"/>
              <w:textAlignment w:val="center"/>
              <w:rPr>
                <w:rFonts w:hint="eastAsia" w:ascii="宋体" w:hAnsi="宋体" w:eastAsia="宋体" w:cs="宋体"/>
                <w:color w:val="auto"/>
                <w:kern w:val="0"/>
                <w:sz w:val="24"/>
                <w:szCs w:val="24"/>
              </w:rPr>
            </w:pPr>
          </w:p>
        </w:tc>
        <w:tc>
          <w:tcPr>
            <w:tcW w:w="1104" w:type="dxa"/>
            <w:gridSpan w:val="2"/>
            <w:vAlign w:val="top"/>
          </w:tcPr>
          <w:p w14:paraId="6797484B">
            <w:pPr>
              <w:widowControl/>
              <w:spacing w:line="360" w:lineRule="auto"/>
              <w:jc w:val="center"/>
              <w:textAlignment w:val="center"/>
              <w:rPr>
                <w:rFonts w:hint="eastAsia" w:ascii="宋体" w:hAnsi="宋体" w:eastAsia="宋体" w:cs="宋体"/>
                <w:color w:val="auto"/>
                <w:kern w:val="0"/>
                <w:sz w:val="24"/>
                <w:szCs w:val="24"/>
              </w:rPr>
            </w:pPr>
          </w:p>
        </w:tc>
        <w:tc>
          <w:tcPr>
            <w:tcW w:w="776" w:type="dxa"/>
            <w:gridSpan w:val="2"/>
            <w:vAlign w:val="top"/>
          </w:tcPr>
          <w:p w14:paraId="20B32327">
            <w:pPr>
              <w:widowControl/>
              <w:spacing w:line="360" w:lineRule="auto"/>
              <w:jc w:val="center"/>
              <w:textAlignment w:val="center"/>
              <w:rPr>
                <w:rFonts w:hint="eastAsia" w:ascii="宋体" w:hAnsi="宋体" w:eastAsia="宋体" w:cs="宋体"/>
                <w:color w:val="auto"/>
                <w:kern w:val="0"/>
                <w:sz w:val="24"/>
                <w:szCs w:val="24"/>
              </w:rPr>
            </w:pPr>
          </w:p>
        </w:tc>
        <w:tc>
          <w:tcPr>
            <w:tcW w:w="1134" w:type="dxa"/>
            <w:gridSpan w:val="2"/>
            <w:vAlign w:val="top"/>
          </w:tcPr>
          <w:p w14:paraId="537EFC76">
            <w:pPr>
              <w:widowControl/>
              <w:spacing w:line="360" w:lineRule="auto"/>
              <w:jc w:val="center"/>
              <w:textAlignment w:val="center"/>
              <w:rPr>
                <w:rFonts w:hint="eastAsia" w:ascii="宋体" w:hAnsi="宋体" w:eastAsia="宋体" w:cs="宋体"/>
                <w:color w:val="auto"/>
                <w:kern w:val="0"/>
                <w:sz w:val="24"/>
                <w:szCs w:val="24"/>
              </w:rPr>
            </w:pPr>
          </w:p>
        </w:tc>
        <w:tc>
          <w:tcPr>
            <w:tcW w:w="1073" w:type="dxa"/>
            <w:gridSpan w:val="2"/>
            <w:vAlign w:val="top"/>
          </w:tcPr>
          <w:p w14:paraId="7281DA10">
            <w:pPr>
              <w:widowControl/>
              <w:spacing w:line="360" w:lineRule="auto"/>
              <w:jc w:val="center"/>
              <w:textAlignment w:val="center"/>
              <w:rPr>
                <w:rFonts w:hint="eastAsia" w:ascii="宋体" w:hAnsi="宋体" w:eastAsia="宋体" w:cs="宋体"/>
                <w:color w:val="auto"/>
                <w:kern w:val="0"/>
                <w:sz w:val="24"/>
                <w:szCs w:val="24"/>
              </w:rPr>
            </w:pPr>
          </w:p>
        </w:tc>
        <w:tc>
          <w:tcPr>
            <w:tcW w:w="1433" w:type="dxa"/>
            <w:gridSpan w:val="2"/>
            <w:vAlign w:val="top"/>
          </w:tcPr>
          <w:p w14:paraId="00D8F6CC">
            <w:pPr>
              <w:widowControl/>
              <w:spacing w:line="360" w:lineRule="auto"/>
              <w:jc w:val="center"/>
              <w:textAlignment w:val="center"/>
              <w:rPr>
                <w:rFonts w:hint="eastAsia" w:ascii="宋体" w:hAnsi="宋体" w:eastAsia="宋体" w:cs="宋体"/>
                <w:color w:val="auto"/>
                <w:kern w:val="0"/>
                <w:sz w:val="24"/>
                <w:szCs w:val="24"/>
              </w:rPr>
            </w:pPr>
          </w:p>
        </w:tc>
        <w:tc>
          <w:tcPr>
            <w:tcW w:w="1474" w:type="dxa"/>
            <w:tcBorders>
              <w:right w:val="single" w:color="000000" w:sz="10" w:space="0"/>
            </w:tcBorders>
            <w:vAlign w:val="top"/>
          </w:tcPr>
          <w:p w14:paraId="08F34F6E">
            <w:pPr>
              <w:widowControl/>
              <w:spacing w:line="360" w:lineRule="auto"/>
              <w:jc w:val="center"/>
              <w:textAlignment w:val="center"/>
              <w:rPr>
                <w:rFonts w:hint="eastAsia" w:ascii="宋体" w:hAnsi="宋体" w:eastAsia="宋体" w:cs="宋体"/>
                <w:color w:val="auto"/>
                <w:kern w:val="0"/>
                <w:sz w:val="24"/>
                <w:szCs w:val="24"/>
              </w:rPr>
            </w:pPr>
          </w:p>
        </w:tc>
      </w:tr>
      <w:tr w14:paraId="4320B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2090" w:type="dxa"/>
            <w:tcBorders>
              <w:left w:val="single" w:color="000000" w:sz="10" w:space="0"/>
            </w:tcBorders>
            <w:vAlign w:val="top"/>
          </w:tcPr>
          <w:p w14:paraId="408E2736">
            <w:pPr>
              <w:widowControl/>
              <w:spacing w:line="360" w:lineRule="auto"/>
              <w:jc w:val="center"/>
              <w:textAlignment w:val="center"/>
              <w:rPr>
                <w:rFonts w:hint="eastAsia" w:ascii="宋体" w:hAnsi="宋体" w:eastAsia="宋体" w:cs="宋体"/>
                <w:color w:val="auto"/>
                <w:kern w:val="0"/>
                <w:sz w:val="24"/>
                <w:szCs w:val="24"/>
              </w:rPr>
            </w:pPr>
          </w:p>
        </w:tc>
        <w:tc>
          <w:tcPr>
            <w:tcW w:w="909" w:type="dxa"/>
            <w:gridSpan w:val="2"/>
            <w:vAlign w:val="top"/>
          </w:tcPr>
          <w:p w14:paraId="7C809F71">
            <w:pPr>
              <w:widowControl/>
              <w:spacing w:line="360" w:lineRule="auto"/>
              <w:jc w:val="center"/>
              <w:textAlignment w:val="center"/>
              <w:rPr>
                <w:rFonts w:hint="eastAsia" w:ascii="宋体" w:hAnsi="宋体" w:eastAsia="宋体" w:cs="宋体"/>
                <w:color w:val="auto"/>
                <w:kern w:val="0"/>
                <w:sz w:val="24"/>
                <w:szCs w:val="24"/>
              </w:rPr>
            </w:pPr>
          </w:p>
        </w:tc>
        <w:tc>
          <w:tcPr>
            <w:tcW w:w="1104" w:type="dxa"/>
            <w:gridSpan w:val="2"/>
            <w:vAlign w:val="top"/>
          </w:tcPr>
          <w:p w14:paraId="394AE56E">
            <w:pPr>
              <w:widowControl/>
              <w:spacing w:line="360" w:lineRule="auto"/>
              <w:jc w:val="center"/>
              <w:textAlignment w:val="center"/>
              <w:rPr>
                <w:rFonts w:hint="eastAsia" w:ascii="宋体" w:hAnsi="宋体" w:eastAsia="宋体" w:cs="宋体"/>
                <w:color w:val="auto"/>
                <w:kern w:val="0"/>
                <w:sz w:val="24"/>
                <w:szCs w:val="24"/>
              </w:rPr>
            </w:pPr>
          </w:p>
        </w:tc>
        <w:tc>
          <w:tcPr>
            <w:tcW w:w="776" w:type="dxa"/>
            <w:gridSpan w:val="2"/>
            <w:vAlign w:val="top"/>
          </w:tcPr>
          <w:p w14:paraId="6EB50800">
            <w:pPr>
              <w:widowControl/>
              <w:spacing w:line="360" w:lineRule="auto"/>
              <w:jc w:val="center"/>
              <w:textAlignment w:val="center"/>
              <w:rPr>
                <w:rFonts w:hint="eastAsia" w:ascii="宋体" w:hAnsi="宋体" w:eastAsia="宋体" w:cs="宋体"/>
                <w:color w:val="auto"/>
                <w:kern w:val="0"/>
                <w:sz w:val="24"/>
                <w:szCs w:val="24"/>
              </w:rPr>
            </w:pPr>
          </w:p>
        </w:tc>
        <w:tc>
          <w:tcPr>
            <w:tcW w:w="1134" w:type="dxa"/>
            <w:gridSpan w:val="2"/>
            <w:vAlign w:val="top"/>
          </w:tcPr>
          <w:p w14:paraId="317C6F76">
            <w:pPr>
              <w:widowControl/>
              <w:spacing w:line="360" w:lineRule="auto"/>
              <w:jc w:val="center"/>
              <w:textAlignment w:val="center"/>
              <w:rPr>
                <w:rFonts w:hint="eastAsia" w:ascii="宋体" w:hAnsi="宋体" w:eastAsia="宋体" w:cs="宋体"/>
                <w:color w:val="auto"/>
                <w:kern w:val="0"/>
                <w:sz w:val="24"/>
                <w:szCs w:val="24"/>
              </w:rPr>
            </w:pPr>
          </w:p>
        </w:tc>
        <w:tc>
          <w:tcPr>
            <w:tcW w:w="1073" w:type="dxa"/>
            <w:gridSpan w:val="2"/>
            <w:vAlign w:val="top"/>
          </w:tcPr>
          <w:p w14:paraId="3DC5C302">
            <w:pPr>
              <w:widowControl/>
              <w:spacing w:line="360" w:lineRule="auto"/>
              <w:jc w:val="center"/>
              <w:textAlignment w:val="center"/>
              <w:rPr>
                <w:rFonts w:hint="eastAsia" w:ascii="宋体" w:hAnsi="宋体" w:eastAsia="宋体" w:cs="宋体"/>
                <w:color w:val="auto"/>
                <w:kern w:val="0"/>
                <w:sz w:val="24"/>
                <w:szCs w:val="24"/>
              </w:rPr>
            </w:pPr>
          </w:p>
        </w:tc>
        <w:tc>
          <w:tcPr>
            <w:tcW w:w="1433" w:type="dxa"/>
            <w:gridSpan w:val="2"/>
            <w:vAlign w:val="top"/>
          </w:tcPr>
          <w:p w14:paraId="3797946C">
            <w:pPr>
              <w:widowControl/>
              <w:spacing w:line="360" w:lineRule="auto"/>
              <w:jc w:val="center"/>
              <w:textAlignment w:val="center"/>
              <w:rPr>
                <w:rFonts w:hint="eastAsia" w:ascii="宋体" w:hAnsi="宋体" w:eastAsia="宋体" w:cs="宋体"/>
                <w:color w:val="auto"/>
                <w:kern w:val="0"/>
                <w:sz w:val="24"/>
                <w:szCs w:val="24"/>
              </w:rPr>
            </w:pPr>
          </w:p>
        </w:tc>
        <w:tc>
          <w:tcPr>
            <w:tcW w:w="1474" w:type="dxa"/>
            <w:tcBorders>
              <w:right w:val="single" w:color="000000" w:sz="10" w:space="0"/>
            </w:tcBorders>
            <w:vAlign w:val="top"/>
          </w:tcPr>
          <w:p w14:paraId="4BE6E39B">
            <w:pPr>
              <w:widowControl/>
              <w:spacing w:line="360" w:lineRule="auto"/>
              <w:jc w:val="center"/>
              <w:textAlignment w:val="center"/>
              <w:rPr>
                <w:rFonts w:hint="eastAsia" w:ascii="宋体" w:hAnsi="宋体" w:eastAsia="宋体" w:cs="宋体"/>
                <w:color w:val="auto"/>
                <w:kern w:val="0"/>
                <w:sz w:val="24"/>
                <w:szCs w:val="24"/>
              </w:rPr>
            </w:pPr>
          </w:p>
        </w:tc>
      </w:tr>
      <w:tr w14:paraId="783B5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2090" w:type="dxa"/>
            <w:tcBorders>
              <w:left w:val="single" w:color="000000" w:sz="10" w:space="0"/>
            </w:tcBorders>
            <w:vAlign w:val="top"/>
          </w:tcPr>
          <w:p w14:paraId="1B1347A3">
            <w:pPr>
              <w:widowControl/>
              <w:spacing w:line="360" w:lineRule="auto"/>
              <w:jc w:val="center"/>
              <w:textAlignment w:val="center"/>
              <w:rPr>
                <w:rFonts w:hint="eastAsia" w:ascii="宋体" w:hAnsi="宋体" w:eastAsia="宋体" w:cs="宋体"/>
                <w:color w:val="auto"/>
                <w:kern w:val="0"/>
                <w:sz w:val="24"/>
                <w:szCs w:val="24"/>
              </w:rPr>
            </w:pPr>
          </w:p>
        </w:tc>
        <w:tc>
          <w:tcPr>
            <w:tcW w:w="909" w:type="dxa"/>
            <w:gridSpan w:val="2"/>
            <w:vAlign w:val="top"/>
          </w:tcPr>
          <w:p w14:paraId="6A908471">
            <w:pPr>
              <w:widowControl/>
              <w:spacing w:line="360" w:lineRule="auto"/>
              <w:jc w:val="center"/>
              <w:textAlignment w:val="center"/>
              <w:rPr>
                <w:rFonts w:hint="eastAsia" w:ascii="宋体" w:hAnsi="宋体" w:eastAsia="宋体" w:cs="宋体"/>
                <w:color w:val="auto"/>
                <w:kern w:val="0"/>
                <w:sz w:val="24"/>
                <w:szCs w:val="24"/>
              </w:rPr>
            </w:pPr>
          </w:p>
        </w:tc>
        <w:tc>
          <w:tcPr>
            <w:tcW w:w="1104" w:type="dxa"/>
            <w:gridSpan w:val="2"/>
            <w:vAlign w:val="top"/>
          </w:tcPr>
          <w:p w14:paraId="43BC8609">
            <w:pPr>
              <w:widowControl/>
              <w:spacing w:line="360" w:lineRule="auto"/>
              <w:jc w:val="center"/>
              <w:textAlignment w:val="center"/>
              <w:rPr>
                <w:rFonts w:hint="eastAsia" w:ascii="宋体" w:hAnsi="宋体" w:eastAsia="宋体" w:cs="宋体"/>
                <w:color w:val="auto"/>
                <w:kern w:val="0"/>
                <w:sz w:val="24"/>
                <w:szCs w:val="24"/>
              </w:rPr>
            </w:pPr>
          </w:p>
        </w:tc>
        <w:tc>
          <w:tcPr>
            <w:tcW w:w="776" w:type="dxa"/>
            <w:gridSpan w:val="2"/>
            <w:vAlign w:val="top"/>
          </w:tcPr>
          <w:p w14:paraId="4C3EB8D9">
            <w:pPr>
              <w:widowControl/>
              <w:spacing w:line="360" w:lineRule="auto"/>
              <w:jc w:val="center"/>
              <w:textAlignment w:val="center"/>
              <w:rPr>
                <w:rFonts w:hint="eastAsia" w:ascii="宋体" w:hAnsi="宋体" w:eastAsia="宋体" w:cs="宋体"/>
                <w:color w:val="auto"/>
                <w:kern w:val="0"/>
                <w:sz w:val="24"/>
                <w:szCs w:val="24"/>
              </w:rPr>
            </w:pPr>
          </w:p>
        </w:tc>
        <w:tc>
          <w:tcPr>
            <w:tcW w:w="1134" w:type="dxa"/>
            <w:gridSpan w:val="2"/>
            <w:vAlign w:val="top"/>
          </w:tcPr>
          <w:p w14:paraId="29078D93">
            <w:pPr>
              <w:widowControl/>
              <w:spacing w:line="360" w:lineRule="auto"/>
              <w:jc w:val="center"/>
              <w:textAlignment w:val="center"/>
              <w:rPr>
                <w:rFonts w:hint="eastAsia" w:ascii="宋体" w:hAnsi="宋体" w:eastAsia="宋体" w:cs="宋体"/>
                <w:color w:val="auto"/>
                <w:kern w:val="0"/>
                <w:sz w:val="24"/>
                <w:szCs w:val="24"/>
              </w:rPr>
            </w:pPr>
          </w:p>
        </w:tc>
        <w:tc>
          <w:tcPr>
            <w:tcW w:w="1073" w:type="dxa"/>
            <w:gridSpan w:val="2"/>
            <w:vAlign w:val="top"/>
          </w:tcPr>
          <w:p w14:paraId="731F9852">
            <w:pPr>
              <w:widowControl/>
              <w:spacing w:line="360" w:lineRule="auto"/>
              <w:jc w:val="center"/>
              <w:textAlignment w:val="center"/>
              <w:rPr>
                <w:rFonts w:hint="eastAsia" w:ascii="宋体" w:hAnsi="宋体" w:eastAsia="宋体" w:cs="宋体"/>
                <w:color w:val="auto"/>
                <w:kern w:val="0"/>
                <w:sz w:val="24"/>
                <w:szCs w:val="24"/>
              </w:rPr>
            </w:pPr>
          </w:p>
        </w:tc>
        <w:tc>
          <w:tcPr>
            <w:tcW w:w="1433" w:type="dxa"/>
            <w:gridSpan w:val="2"/>
            <w:vAlign w:val="top"/>
          </w:tcPr>
          <w:p w14:paraId="31745E25">
            <w:pPr>
              <w:widowControl/>
              <w:spacing w:line="360" w:lineRule="auto"/>
              <w:jc w:val="center"/>
              <w:textAlignment w:val="center"/>
              <w:rPr>
                <w:rFonts w:hint="eastAsia" w:ascii="宋体" w:hAnsi="宋体" w:eastAsia="宋体" w:cs="宋体"/>
                <w:color w:val="auto"/>
                <w:kern w:val="0"/>
                <w:sz w:val="24"/>
                <w:szCs w:val="24"/>
              </w:rPr>
            </w:pPr>
          </w:p>
        </w:tc>
        <w:tc>
          <w:tcPr>
            <w:tcW w:w="1474" w:type="dxa"/>
            <w:tcBorders>
              <w:right w:val="single" w:color="000000" w:sz="10" w:space="0"/>
            </w:tcBorders>
            <w:vAlign w:val="top"/>
          </w:tcPr>
          <w:p w14:paraId="1B874EE1">
            <w:pPr>
              <w:widowControl/>
              <w:spacing w:line="360" w:lineRule="auto"/>
              <w:jc w:val="center"/>
              <w:textAlignment w:val="center"/>
              <w:rPr>
                <w:rFonts w:hint="eastAsia" w:ascii="宋体" w:hAnsi="宋体" w:eastAsia="宋体" w:cs="宋体"/>
                <w:color w:val="auto"/>
                <w:kern w:val="0"/>
                <w:sz w:val="24"/>
                <w:szCs w:val="24"/>
              </w:rPr>
            </w:pPr>
          </w:p>
        </w:tc>
      </w:tr>
      <w:tr w14:paraId="65BEB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2090" w:type="dxa"/>
            <w:tcBorders>
              <w:left w:val="single" w:color="000000" w:sz="10" w:space="0"/>
            </w:tcBorders>
            <w:vAlign w:val="top"/>
          </w:tcPr>
          <w:p w14:paraId="420C0E87">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909" w:type="dxa"/>
            <w:gridSpan w:val="2"/>
            <w:vAlign w:val="top"/>
          </w:tcPr>
          <w:p w14:paraId="2DC6472D">
            <w:pPr>
              <w:widowControl/>
              <w:spacing w:line="360" w:lineRule="auto"/>
              <w:jc w:val="center"/>
              <w:textAlignment w:val="center"/>
              <w:rPr>
                <w:rFonts w:hint="eastAsia" w:ascii="宋体" w:hAnsi="宋体" w:eastAsia="宋体" w:cs="宋体"/>
                <w:color w:val="auto"/>
                <w:kern w:val="0"/>
                <w:sz w:val="24"/>
                <w:szCs w:val="24"/>
              </w:rPr>
            </w:pPr>
          </w:p>
        </w:tc>
        <w:tc>
          <w:tcPr>
            <w:tcW w:w="1104" w:type="dxa"/>
            <w:gridSpan w:val="2"/>
            <w:vAlign w:val="top"/>
          </w:tcPr>
          <w:p w14:paraId="7CA5D295">
            <w:pPr>
              <w:widowControl/>
              <w:spacing w:line="360" w:lineRule="auto"/>
              <w:jc w:val="center"/>
              <w:textAlignment w:val="center"/>
              <w:rPr>
                <w:rFonts w:hint="eastAsia" w:ascii="宋体" w:hAnsi="宋体" w:eastAsia="宋体" w:cs="宋体"/>
                <w:color w:val="auto"/>
                <w:kern w:val="0"/>
                <w:sz w:val="24"/>
                <w:szCs w:val="24"/>
              </w:rPr>
            </w:pPr>
          </w:p>
        </w:tc>
        <w:tc>
          <w:tcPr>
            <w:tcW w:w="776" w:type="dxa"/>
            <w:gridSpan w:val="2"/>
            <w:vAlign w:val="top"/>
          </w:tcPr>
          <w:p w14:paraId="63A6BD69">
            <w:pPr>
              <w:widowControl/>
              <w:spacing w:line="360" w:lineRule="auto"/>
              <w:jc w:val="center"/>
              <w:textAlignment w:val="center"/>
              <w:rPr>
                <w:rFonts w:hint="eastAsia" w:ascii="宋体" w:hAnsi="宋体" w:eastAsia="宋体" w:cs="宋体"/>
                <w:color w:val="auto"/>
                <w:kern w:val="0"/>
                <w:sz w:val="24"/>
                <w:szCs w:val="24"/>
              </w:rPr>
            </w:pPr>
          </w:p>
        </w:tc>
        <w:tc>
          <w:tcPr>
            <w:tcW w:w="1134" w:type="dxa"/>
            <w:gridSpan w:val="2"/>
            <w:vAlign w:val="top"/>
          </w:tcPr>
          <w:p w14:paraId="5BE54F82">
            <w:pPr>
              <w:widowControl/>
              <w:spacing w:line="360" w:lineRule="auto"/>
              <w:jc w:val="center"/>
              <w:textAlignment w:val="center"/>
              <w:rPr>
                <w:rFonts w:hint="eastAsia" w:ascii="宋体" w:hAnsi="宋体" w:eastAsia="宋体" w:cs="宋体"/>
                <w:color w:val="auto"/>
                <w:kern w:val="0"/>
                <w:sz w:val="24"/>
                <w:szCs w:val="24"/>
              </w:rPr>
            </w:pPr>
          </w:p>
        </w:tc>
        <w:tc>
          <w:tcPr>
            <w:tcW w:w="1073" w:type="dxa"/>
            <w:gridSpan w:val="2"/>
            <w:vAlign w:val="top"/>
          </w:tcPr>
          <w:p w14:paraId="681EE8E3">
            <w:pPr>
              <w:widowControl/>
              <w:spacing w:line="360" w:lineRule="auto"/>
              <w:jc w:val="center"/>
              <w:textAlignment w:val="center"/>
              <w:rPr>
                <w:rFonts w:hint="eastAsia" w:ascii="宋体" w:hAnsi="宋体" w:eastAsia="宋体" w:cs="宋体"/>
                <w:color w:val="auto"/>
                <w:kern w:val="0"/>
                <w:sz w:val="24"/>
                <w:szCs w:val="24"/>
              </w:rPr>
            </w:pPr>
          </w:p>
        </w:tc>
        <w:tc>
          <w:tcPr>
            <w:tcW w:w="1433" w:type="dxa"/>
            <w:gridSpan w:val="2"/>
            <w:vAlign w:val="top"/>
          </w:tcPr>
          <w:p w14:paraId="58168240">
            <w:pPr>
              <w:widowControl/>
              <w:spacing w:line="360" w:lineRule="auto"/>
              <w:jc w:val="center"/>
              <w:textAlignment w:val="center"/>
              <w:rPr>
                <w:rFonts w:hint="eastAsia" w:ascii="宋体" w:hAnsi="宋体" w:eastAsia="宋体" w:cs="宋体"/>
                <w:color w:val="auto"/>
                <w:kern w:val="0"/>
                <w:sz w:val="24"/>
                <w:szCs w:val="24"/>
              </w:rPr>
            </w:pPr>
          </w:p>
        </w:tc>
        <w:tc>
          <w:tcPr>
            <w:tcW w:w="1474" w:type="dxa"/>
            <w:tcBorders>
              <w:right w:val="single" w:color="000000" w:sz="10" w:space="0"/>
            </w:tcBorders>
            <w:vAlign w:val="top"/>
          </w:tcPr>
          <w:p w14:paraId="18969386">
            <w:pPr>
              <w:widowControl/>
              <w:spacing w:line="360" w:lineRule="auto"/>
              <w:jc w:val="center"/>
              <w:textAlignment w:val="center"/>
              <w:rPr>
                <w:rFonts w:hint="eastAsia" w:ascii="宋体" w:hAnsi="宋体" w:eastAsia="宋体" w:cs="宋体"/>
                <w:color w:val="auto"/>
                <w:kern w:val="0"/>
                <w:sz w:val="24"/>
                <w:szCs w:val="24"/>
              </w:rPr>
            </w:pPr>
          </w:p>
        </w:tc>
      </w:tr>
      <w:tr w14:paraId="363B5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090" w:type="dxa"/>
            <w:tcBorders>
              <w:left w:val="single" w:color="000000" w:sz="10" w:space="0"/>
              <w:bottom w:val="single" w:color="000000" w:sz="10" w:space="0"/>
            </w:tcBorders>
            <w:vAlign w:val="top"/>
          </w:tcPr>
          <w:p w14:paraId="78CC6E25">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909" w:type="dxa"/>
            <w:gridSpan w:val="2"/>
            <w:tcBorders>
              <w:bottom w:val="single" w:color="000000" w:sz="10" w:space="0"/>
            </w:tcBorders>
            <w:vAlign w:val="top"/>
          </w:tcPr>
          <w:p w14:paraId="083B06E2">
            <w:pPr>
              <w:widowControl/>
              <w:spacing w:line="360" w:lineRule="auto"/>
              <w:jc w:val="center"/>
              <w:textAlignment w:val="center"/>
              <w:rPr>
                <w:rFonts w:hint="eastAsia" w:ascii="宋体" w:hAnsi="宋体" w:eastAsia="宋体" w:cs="宋体"/>
                <w:color w:val="auto"/>
                <w:kern w:val="0"/>
                <w:sz w:val="24"/>
                <w:szCs w:val="24"/>
              </w:rPr>
            </w:pPr>
          </w:p>
        </w:tc>
        <w:tc>
          <w:tcPr>
            <w:tcW w:w="1104" w:type="dxa"/>
            <w:gridSpan w:val="2"/>
            <w:tcBorders>
              <w:bottom w:val="single" w:color="000000" w:sz="10" w:space="0"/>
            </w:tcBorders>
            <w:vAlign w:val="top"/>
          </w:tcPr>
          <w:p w14:paraId="7877F409">
            <w:pPr>
              <w:widowControl/>
              <w:spacing w:line="360" w:lineRule="auto"/>
              <w:jc w:val="center"/>
              <w:textAlignment w:val="center"/>
              <w:rPr>
                <w:rFonts w:hint="eastAsia" w:ascii="宋体" w:hAnsi="宋体" w:eastAsia="宋体" w:cs="宋体"/>
                <w:color w:val="auto"/>
                <w:kern w:val="0"/>
                <w:sz w:val="24"/>
                <w:szCs w:val="24"/>
              </w:rPr>
            </w:pPr>
          </w:p>
        </w:tc>
        <w:tc>
          <w:tcPr>
            <w:tcW w:w="776" w:type="dxa"/>
            <w:gridSpan w:val="2"/>
            <w:tcBorders>
              <w:bottom w:val="single" w:color="000000" w:sz="10" w:space="0"/>
            </w:tcBorders>
            <w:vAlign w:val="top"/>
          </w:tcPr>
          <w:p w14:paraId="620FF180">
            <w:pPr>
              <w:widowControl/>
              <w:spacing w:line="360" w:lineRule="auto"/>
              <w:jc w:val="center"/>
              <w:textAlignment w:val="center"/>
              <w:rPr>
                <w:rFonts w:hint="eastAsia" w:ascii="宋体" w:hAnsi="宋体" w:eastAsia="宋体" w:cs="宋体"/>
                <w:color w:val="auto"/>
                <w:kern w:val="0"/>
                <w:sz w:val="24"/>
                <w:szCs w:val="24"/>
              </w:rPr>
            </w:pPr>
          </w:p>
        </w:tc>
        <w:tc>
          <w:tcPr>
            <w:tcW w:w="1134" w:type="dxa"/>
            <w:gridSpan w:val="2"/>
            <w:tcBorders>
              <w:bottom w:val="single" w:color="000000" w:sz="10" w:space="0"/>
            </w:tcBorders>
            <w:vAlign w:val="top"/>
          </w:tcPr>
          <w:p w14:paraId="330B2D67">
            <w:pPr>
              <w:widowControl/>
              <w:spacing w:line="360" w:lineRule="auto"/>
              <w:jc w:val="center"/>
              <w:textAlignment w:val="center"/>
              <w:rPr>
                <w:rFonts w:hint="eastAsia" w:ascii="宋体" w:hAnsi="宋体" w:eastAsia="宋体" w:cs="宋体"/>
                <w:color w:val="auto"/>
                <w:kern w:val="0"/>
                <w:sz w:val="24"/>
                <w:szCs w:val="24"/>
              </w:rPr>
            </w:pPr>
          </w:p>
        </w:tc>
        <w:tc>
          <w:tcPr>
            <w:tcW w:w="1073" w:type="dxa"/>
            <w:gridSpan w:val="2"/>
            <w:tcBorders>
              <w:bottom w:val="single" w:color="000000" w:sz="10" w:space="0"/>
            </w:tcBorders>
            <w:vAlign w:val="top"/>
          </w:tcPr>
          <w:p w14:paraId="6B6EDE56">
            <w:pPr>
              <w:widowControl/>
              <w:spacing w:line="360" w:lineRule="auto"/>
              <w:jc w:val="center"/>
              <w:textAlignment w:val="center"/>
              <w:rPr>
                <w:rFonts w:hint="eastAsia" w:ascii="宋体" w:hAnsi="宋体" w:eastAsia="宋体" w:cs="宋体"/>
                <w:color w:val="auto"/>
                <w:kern w:val="0"/>
                <w:sz w:val="24"/>
                <w:szCs w:val="24"/>
              </w:rPr>
            </w:pPr>
          </w:p>
        </w:tc>
        <w:tc>
          <w:tcPr>
            <w:tcW w:w="1433" w:type="dxa"/>
            <w:gridSpan w:val="2"/>
            <w:tcBorders>
              <w:bottom w:val="single" w:color="000000" w:sz="10" w:space="0"/>
            </w:tcBorders>
            <w:vAlign w:val="top"/>
          </w:tcPr>
          <w:p w14:paraId="2D0CF8DD">
            <w:pPr>
              <w:widowControl/>
              <w:spacing w:line="360" w:lineRule="auto"/>
              <w:jc w:val="center"/>
              <w:textAlignment w:val="center"/>
              <w:rPr>
                <w:rFonts w:hint="eastAsia" w:ascii="宋体" w:hAnsi="宋体" w:eastAsia="宋体" w:cs="宋体"/>
                <w:color w:val="auto"/>
                <w:kern w:val="0"/>
                <w:sz w:val="24"/>
                <w:szCs w:val="24"/>
              </w:rPr>
            </w:pPr>
          </w:p>
        </w:tc>
        <w:tc>
          <w:tcPr>
            <w:tcW w:w="1474" w:type="dxa"/>
            <w:tcBorders>
              <w:bottom w:val="single" w:color="000000" w:sz="10" w:space="0"/>
              <w:right w:val="single" w:color="000000" w:sz="10" w:space="0"/>
            </w:tcBorders>
            <w:vAlign w:val="top"/>
          </w:tcPr>
          <w:p w14:paraId="46F57B62">
            <w:pPr>
              <w:widowControl/>
              <w:spacing w:line="360" w:lineRule="auto"/>
              <w:jc w:val="center"/>
              <w:textAlignment w:val="center"/>
              <w:rPr>
                <w:rFonts w:hint="eastAsia" w:ascii="宋体" w:hAnsi="宋体" w:eastAsia="宋体" w:cs="宋体"/>
                <w:color w:val="auto"/>
                <w:kern w:val="0"/>
                <w:sz w:val="24"/>
                <w:szCs w:val="24"/>
              </w:rPr>
            </w:pPr>
          </w:p>
        </w:tc>
      </w:tr>
      <w:tr w14:paraId="07279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993" w:type="dxa"/>
            <w:gridSpan w:val="14"/>
            <w:tcBorders>
              <w:top w:val="single" w:color="000000" w:sz="10" w:space="0"/>
              <w:left w:val="single" w:color="000000" w:sz="10" w:space="0"/>
              <w:right w:val="single" w:color="000000" w:sz="10" w:space="0"/>
            </w:tcBorders>
            <w:vAlign w:val="top"/>
          </w:tcPr>
          <w:p w14:paraId="545CCD24">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现场监理员</w:t>
            </w:r>
          </w:p>
        </w:tc>
      </w:tr>
      <w:tr w14:paraId="32E0E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318" w:type="dxa"/>
            <w:gridSpan w:val="2"/>
            <w:tcBorders>
              <w:left w:val="single" w:color="000000" w:sz="10" w:space="0"/>
            </w:tcBorders>
            <w:vAlign w:val="top"/>
          </w:tcPr>
          <w:p w14:paraId="4CE05972">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监理职务</w:t>
            </w:r>
          </w:p>
        </w:tc>
        <w:tc>
          <w:tcPr>
            <w:tcW w:w="846" w:type="dxa"/>
            <w:gridSpan w:val="2"/>
            <w:vAlign w:val="top"/>
          </w:tcPr>
          <w:p w14:paraId="4FCD87DB">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268" w:type="dxa"/>
            <w:gridSpan w:val="2"/>
            <w:vAlign w:val="top"/>
          </w:tcPr>
          <w:p w14:paraId="23D68C20">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847" w:type="dxa"/>
            <w:gridSpan w:val="2"/>
            <w:vAlign w:val="top"/>
          </w:tcPr>
          <w:p w14:paraId="0452B69E">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年龄</w:t>
            </w:r>
          </w:p>
        </w:tc>
        <w:tc>
          <w:tcPr>
            <w:tcW w:w="986" w:type="dxa"/>
            <w:gridSpan w:val="2"/>
            <w:vAlign w:val="top"/>
          </w:tcPr>
          <w:p w14:paraId="09A599BB">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职称</w:t>
            </w:r>
          </w:p>
        </w:tc>
        <w:tc>
          <w:tcPr>
            <w:tcW w:w="1973" w:type="dxa"/>
            <w:gridSpan w:val="2"/>
            <w:vAlign w:val="top"/>
          </w:tcPr>
          <w:p w14:paraId="217A27C5">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专业</w:t>
            </w:r>
          </w:p>
        </w:tc>
        <w:tc>
          <w:tcPr>
            <w:tcW w:w="1755" w:type="dxa"/>
            <w:gridSpan w:val="2"/>
            <w:tcBorders>
              <w:right w:val="single" w:color="000000" w:sz="10" w:space="0"/>
            </w:tcBorders>
            <w:vAlign w:val="top"/>
          </w:tcPr>
          <w:p w14:paraId="1963DF86">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培训证号</w:t>
            </w:r>
          </w:p>
        </w:tc>
      </w:tr>
      <w:tr w14:paraId="5C12C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318" w:type="dxa"/>
            <w:gridSpan w:val="2"/>
            <w:tcBorders>
              <w:left w:val="single" w:color="000000" w:sz="10" w:space="0"/>
              <w:bottom w:val="single" w:color="000000" w:sz="10" w:space="0"/>
            </w:tcBorders>
            <w:vAlign w:val="top"/>
          </w:tcPr>
          <w:p w14:paraId="5887569F">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现场监理员</w:t>
            </w:r>
          </w:p>
        </w:tc>
        <w:tc>
          <w:tcPr>
            <w:tcW w:w="846" w:type="dxa"/>
            <w:gridSpan w:val="2"/>
            <w:tcBorders>
              <w:bottom w:val="single" w:color="000000" w:sz="10" w:space="0"/>
            </w:tcBorders>
            <w:vAlign w:val="top"/>
          </w:tcPr>
          <w:p w14:paraId="521C03BF">
            <w:pPr>
              <w:widowControl/>
              <w:spacing w:line="360" w:lineRule="auto"/>
              <w:jc w:val="center"/>
              <w:textAlignment w:val="center"/>
              <w:rPr>
                <w:rFonts w:hint="eastAsia" w:ascii="宋体" w:hAnsi="宋体" w:eastAsia="宋体" w:cs="宋体"/>
                <w:color w:val="auto"/>
                <w:kern w:val="0"/>
                <w:sz w:val="24"/>
                <w:szCs w:val="24"/>
              </w:rPr>
            </w:pPr>
          </w:p>
        </w:tc>
        <w:tc>
          <w:tcPr>
            <w:tcW w:w="1268" w:type="dxa"/>
            <w:gridSpan w:val="2"/>
            <w:tcBorders>
              <w:bottom w:val="single" w:color="000000" w:sz="10" w:space="0"/>
            </w:tcBorders>
            <w:vAlign w:val="top"/>
          </w:tcPr>
          <w:p w14:paraId="3D4715ED">
            <w:pPr>
              <w:widowControl/>
              <w:spacing w:line="360" w:lineRule="auto"/>
              <w:jc w:val="center"/>
              <w:textAlignment w:val="center"/>
              <w:rPr>
                <w:rFonts w:hint="eastAsia" w:ascii="宋体" w:hAnsi="宋体" w:eastAsia="宋体" w:cs="宋体"/>
                <w:color w:val="auto"/>
                <w:kern w:val="0"/>
                <w:sz w:val="24"/>
                <w:szCs w:val="24"/>
              </w:rPr>
            </w:pPr>
          </w:p>
        </w:tc>
        <w:tc>
          <w:tcPr>
            <w:tcW w:w="847" w:type="dxa"/>
            <w:gridSpan w:val="2"/>
            <w:tcBorders>
              <w:bottom w:val="single" w:color="000000" w:sz="10" w:space="0"/>
            </w:tcBorders>
            <w:vAlign w:val="top"/>
          </w:tcPr>
          <w:p w14:paraId="5EB1DFF5">
            <w:pPr>
              <w:widowControl/>
              <w:spacing w:line="360" w:lineRule="auto"/>
              <w:jc w:val="center"/>
              <w:textAlignment w:val="center"/>
              <w:rPr>
                <w:rFonts w:hint="eastAsia" w:ascii="宋体" w:hAnsi="宋体" w:eastAsia="宋体" w:cs="宋体"/>
                <w:color w:val="auto"/>
                <w:kern w:val="0"/>
                <w:sz w:val="24"/>
                <w:szCs w:val="24"/>
              </w:rPr>
            </w:pPr>
          </w:p>
        </w:tc>
        <w:tc>
          <w:tcPr>
            <w:tcW w:w="986" w:type="dxa"/>
            <w:gridSpan w:val="2"/>
            <w:tcBorders>
              <w:bottom w:val="single" w:color="000000" w:sz="10" w:space="0"/>
            </w:tcBorders>
            <w:vAlign w:val="top"/>
          </w:tcPr>
          <w:p w14:paraId="6BD5C1CA">
            <w:pPr>
              <w:widowControl/>
              <w:spacing w:line="360" w:lineRule="auto"/>
              <w:jc w:val="center"/>
              <w:textAlignment w:val="center"/>
              <w:rPr>
                <w:rFonts w:hint="eastAsia" w:ascii="宋体" w:hAnsi="宋体" w:eastAsia="宋体" w:cs="宋体"/>
                <w:color w:val="auto"/>
                <w:kern w:val="0"/>
                <w:sz w:val="24"/>
                <w:szCs w:val="24"/>
              </w:rPr>
            </w:pPr>
          </w:p>
        </w:tc>
        <w:tc>
          <w:tcPr>
            <w:tcW w:w="1973" w:type="dxa"/>
            <w:gridSpan w:val="2"/>
            <w:tcBorders>
              <w:bottom w:val="single" w:color="000000" w:sz="10" w:space="0"/>
            </w:tcBorders>
            <w:vAlign w:val="top"/>
          </w:tcPr>
          <w:p w14:paraId="784D08FE">
            <w:pPr>
              <w:widowControl/>
              <w:spacing w:line="360" w:lineRule="auto"/>
              <w:jc w:val="center"/>
              <w:textAlignment w:val="center"/>
              <w:rPr>
                <w:rFonts w:hint="eastAsia" w:ascii="宋体" w:hAnsi="宋体" w:eastAsia="宋体" w:cs="宋体"/>
                <w:color w:val="auto"/>
                <w:kern w:val="0"/>
                <w:sz w:val="24"/>
                <w:szCs w:val="24"/>
              </w:rPr>
            </w:pPr>
          </w:p>
        </w:tc>
        <w:tc>
          <w:tcPr>
            <w:tcW w:w="1755" w:type="dxa"/>
            <w:gridSpan w:val="2"/>
            <w:tcBorders>
              <w:bottom w:val="single" w:color="000000" w:sz="10" w:space="0"/>
              <w:right w:val="single" w:color="000000" w:sz="10" w:space="0"/>
            </w:tcBorders>
            <w:vAlign w:val="top"/>
          </w:tcPr>
          <w:p w14:paraId="42108868">
            <w:pPr>
              <w:widowControl/>
              <w:spacing w:line="360" w:lineRule="auto"/>
              <w:jc w:val="center"/>
              <w:textAlignment w:val="center"/>
              <w:rPr>
                <w:rFonts w:hint="eastAsia" w:ascii="宋体" w:hAnsi="宋体" w:eastAsia="宋体" w:cs="宋体"/>
                <w:color w:val="auto"/>
                <w:kern w:val="0"/>
                <w:sz w:val="24"/>
                <w:szCs w:val="24"/>
              </w:rPr>
            </w:pPr>
          </w:p>
        </w:tc>
      </w:tr>
      <w:tr w14:paraId="24B21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993" w:type="dxa"/>
            <w:gridSpan w:val="14"/>
            <w:tcBorders>
              <w:top w:val="single" w:color="000000" w:sz="10" w:space="0"/>
              <w:left w:val="single" w:color="000000" w:sz="10" w:space="0"/>
              <w:right w:val="single" w:color="000000" w:sz="10" w:space="0"/>
            </w:tcBorders>
            <w:vAlign w:val="top"/>
          </w:tcPr>
          <w:p w14:paraId="1CE2D7B6">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其他支持人员</w:t>
            </w:r>
          </w:p>
        </w:tc>
      </w:tr>
      <w:tr w14:paraId="44016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2318" w:type="dxa"/>
            <w:gridSpan w:val="2"/>
            <w:tcBorders>
              <w:left w:val="single" w:color="000000" w:sz="10" w:space="0"/>
            </w:tcBorders>
            <w:vAlign w:val="top"/>
          </w:tcPr>
          <w:p w14:paraId="646BD3EB">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监理职务</w:t>
            </w:r>
          </w:p>
        </w:tc>
        <w:tc>
          <w:tcPr>
            <w:tcW w:w="846" w:type="dxa"/>
            <w:gridSpan w:val="2"/>
            <w:vAlign w:val="top"/>
          </w:tcPr>
          <w:p w14:paraId="07E26E86">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268" w:type="dxa"/>
            <w:gridSpan w:val="2"/>
            <w:vAlign w:val="top"/>
          </w:tcPr>
          <w:p w14:paraId="386CBE24">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847" w:type="dxa"/>
            <w:gridSpan w:val="2"/>
            <w:vAlign w:val="top"/>
          </w:tcPr>
          <w:p w14:paraId="4EBB9CCA">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年龄</w:t>
            </w:r>
          </w:p>
        </w:tc>
        <w:tc>
          <w:tcPr>
            <w:tcW w:w="986" w:type="dxa"/>
            <w:gridSpan w:val="2"/>
            <w:vAlign w:val="top"/>
          </w:tcPr>
          <w:p w14:paraId="537DC5F2">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职称</w:t>
            </w:r>
          </w:p>
        </w:tc>
        <w:tc>
          <w:tcPr>
            <w:tcW w:w="1973" w:type="dxa"/>
            <w:gridSpan w:val="2"/>
            <w:vAlign w:val="top"/>
          </w:tcPr>
          <w:p w14:paraId="5B81A9F5">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专业</w:t>
            </w:r>
          </w:p>
        </w:tc>
        <w:tc>
          <w:tcPr>
            <w:tcW w:w="1755" w:type="dxa"/>
            <w:gridSpan w:val="2"/>
            <w:tcBorders>
              <w:right w:val="single" w:color="000000" w:sz="10" w:space="0"/>
            </w:tcBorders>
            <w:vAlign w:val="top"/>
          </w:tcPr>
          <w:p w14:paraId="6406ACCB">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r>
      <w:tr w14:paraId="1C6B0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318" w:type="dxa"/>
            <w:gridSpan w:val="2"/>
            <w:tcBorders>
              <w:left w:val="single" w:color="000000" w:sz="10" w:space="0"/>
              <w:bottom w:val="single" w:color="000000" w:sz="10" w:space="0"/>
            </w:tcBorders>
            <w:vAlign w:val="top"/>
          </w:tcPr>
          <w:p w14:paraId="4CD8E44D">
            <w:pPr>
              <w:widowControl/>
              <w:spacing w:line="360" w:lineRule="auto"/>
              <w:jc w:val="center"/>
              <w:textAlignment w:val="center"/>
              <w:rPr>
                <w:rFonts w:hint="eastAsia" w:ascii="宋体" w:hAnsi="宋体" w:eastAsia="宋体" w:cs="宋体"/>
                <w:color w:val="auto"/>
                <w:kern w:val="0"/>
                <w:sz w:val="24"/>
                <w:szCs w:val="24"/>
              </w:rPr>
            </w:pPr>
          </w:p>
        </w:tc>
        <w:tc>
          <w:tcPr>
            <w:tcW w:w="846" w:type="dxa"/>
            <w:gridSpan w:val="2"/>
            <w:tcBorders>
              <w:bottom w:val="single" w:color="000000" w:sz="10" w:space="0"/>
            </w:tcBorders>
            <w:vAlign w:val="top"/>
          </w:tcPr>
          <w:p w14:paraId="399288AB">
            <w:pPr>
              <w:widowControl/>
              <w:spacing w:line="360" w:lineRule="auto"/>
              <w:jc w:val="center"/>
              <w:textAlignment w:val="center"/>
              <w:rPr>
                <w:rFonts w:hint="eastAsia" w:ascii="宋体" w:hAnsi="宋体" w:eastAsia="宋体" w:cs="宋体"/>
                <w:color w:val="auto"/>
                <w:kern w:val="0"/>
                <w:sz w:val="24"/>
                <w:szCs w:val="24"/>
              </w:rPr>
            </w:pPr>
          </w:p>
        </w:tc>
        <w:tc>
          <w:tcPr>
            <w:tcW w:w="1268" w:type="dxa"/>
            <w:gridSpan w:val="2"/>
            <w:tcBorders>
              <w:bottom w:val="single" w:color="000000" w:sz="10" w:space="0"/>
            </w:tcBorders>
            <w:vAlign w:val="top"/>
          </w:tcPr>
          <w:p w14:paraId="09F6E2D6">
            <w:pPr>
              <w:widowControl/>
              <w:spacing w:line="360" w:lineRule="auto"/>
              <w:jc w:val="center"/>
              <w:textAlignment w:val="center"/>
              <w:rPr>
                <w:rFonts w:hint="eastAsia" w:ascii="宋体" w:hAnsi="宋体" w:eastAsia="宋体" w:cs="宋体"/>
                <w:color w:val="auto"/>
                <w:kern w:val="0"/>
                <w:sz w:val="24"/>
                <w:szCs w:val="24"/>
              </w:rPr>
            </w:pPr>
          </w:p>
        </w:tc>
        <w:tc>
          <w:tcPr>
            <w:tcW w:w="847" w:type="dxa"/>
            <w:gridSpan w:val="2"/>
            <w:tcBorders>
              <w:bottom w:val="single" w:color="000000" w:sz="10" w:space="0"/>
            </w:tcBorders>
            <w:vAlign w:val="top"/>
          </w:tcPr>
          <w:p w14:paraId="3AAAE6BE">
            <w:pPr>
              <w:widowControl/>
              <w:spacing w:line="360" w:lineRule="auto"/>
              <w:jc w:val="center"/>
              <w:textAlignment w:val="center"/>
              <w:rPr>
                <w:rFonts w:hint="eastAsia" w:ascii="宋体" w:hAnsi="宋体" w:eastAsia="宋体" w:cs="宋体"/>
                <w:color w:val="auto"/>
                <w:kern w:val="0"/>
                <w:sz w:val="24"/>
                <w:szCs w:val="24"/>
              </w:rPr>
            </w:pPr>
          </w:p>
        </w:tc>
        <w:tc>
          <w:tcPr>
            <w:tcW w:w="986" w:type="dxa"/>
            <w:gridSpan w:val="2"/>
            <w:tcBorders>
              <w:bottom w:val="single" w:color="000000" w:sz="10" w:space="0"/>
            </w:tcBorders>
            <w:vAlign w:val="top"/>
          </w:tcPr>
          <w:p w14:paraId="76C1C1BF">
            <w:pPr>
              <w:widowControl/>
              <w:spacing w:line="360" w:lineRule="auto"/>
              <w:jc w:val="center"/>
              <w:textAlignment w:val="center"/>
              <w:rPr>
                <w:rFonts w:hint="eastAsia" w:ascii="宋体" w:hAnsi="宋体" w:eastAsia="宋体" w:cs="宋体"/>
                <w:color w:val="auto"/>
                <w:kern w:val="0"/>
                <w:sz w:val="24"/>
                <w:szCs w:val="24"/>
              </w:rPr>
            </w:pPr>
          </w:p>
        </w:tc>
        <w:tc>
          <w:tcPr>
            <w:tcW w:w="1973" w:type="dxa"/>
            <w:gridSpan w:val="2"/>
            <w:tcBorders>
              <w:bottom w:val="single" w:color="000000" w:sz="10" w:space="0"/>
            </w:tcBorders>
            <w:vAlign w:val="top"/>
          </w:tcPr>
          <w:p w14:paraId="3725B890">
            <w:pPr>
              <w:widowControl/>
              <w:spacing w:line="360" w:lineRule="auto"/>
              <w:jc w:val="center"/>
              <w:textAlignment w:val="center"/>
              <w:rPr>
                <w:rFonts w:hint="eastAsia" w:ascii="宋体" w:hAnsi="宋体" w:eastAsia="宋体" w:cs="宋体"/>
                <w:color w:val="auto"/>
                <w:kern w:val="0"/>
                <w:sz w:val="24"/>
                <w:szCs w:val="24"/>
              </w:rPr>
            </w:pPr>
          </w:p>
        </w:tc>
        <w:tc>
          <w:tcPr>
            <w:tcW w:w="1755" w:type="dxa"/>
            <w:gridSpan w:val="2"/>
            <w:tcBorders>
              <w:bottom w:val="single" w:color="000000" w:sz="10" w:space="0"/>
              <w:right w:val="single" w:color="000000" w:sz="10" w:space="0"/>
            </w:tcBorders>
            <w:vAlign w:val="top"/>
          </w:tcPr>
          <w:p w14:paraId="49F3FE20">
            <w:pPr>
              <w:widowControl/>
              <w:spacing w:line="360" w:lineRule="auto"/>
              <w:jc w:val="center"/>
              <w:textAlignment w:val="center"/>
              <w:rPr>
                <w:rFonts w:hint="eastAsia" w:ascii="宋体" w:hAnsi="宋体" w:eastAsia="宋体" w:cs="宋体"/>
                <w:color w:val="auto"/>
                <w:kern w:val="0"/>
                <w:sz w:val="24"/>
                <w:szCs w:val="24"/>
              </w:rPr>
            </w:pPr>
          </w:p>
        </w:tc>
      </w:tr>
    </w:tbl>
    <w:p w14:paraId="15D34FAD">
      <w:pPr>
        <w:spacing w:line="360" w:lineRule="auto"/>
        <w:rPr>
          <w:rFonts w:hint="eastAsia" w:ascii="宋体" w:hAnsi="宋体" w:eastAsia="宋体" w:cs="宋体"/>
          <w:color w:val="auto"/>
          <w:spacing w:val="7"/>
          <w:sz w:val="28"/>
          <w:szCs w:val="28"/>
        </w:rPr>
      </w:pPr>
      <w:r>
        <w:rPr>
          <w:rFonts w:hint="eastAsia" w:ascii="宋体" w:hAnsi="宋体" w:eastAsia="宋体" w:cs="宋体"/>
          <w:color w:val="auto"/>
          <w:spacing w:val="7"/>
          <w:sz w:val="28"/>
          <w:szCs w:val="28"/>
        </w:rPr>
        <w:br w:type="page"/>
      </w:r>
    </w:p>
    <w:p w14:paraId="69D98EBC">
      <w:pPr>
        <w:numPr>
          <w:ilvl w:val="0"/>
          <w:numId w:val="5"/>
        </w:numP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我方承诺上述填报内容真实。如不真实，将按照有关规定接受处理。</w:t>
      </w:r>
    </w:p>
    <w:p w14:paraId="32F9D079">
      <w:pPr>
        <w:numPr>
          <w:ilvl w:val="0"/>
          <w:numId w:val="5"/>
        </w:numPr>
        <w:spacing w:line="360" w:lineRule="auto"/>
        <w:ind w:firstLine="576" w:firstLineChars="200"/>
        <w:rPr>
          <w:rFonts w:hint="eastAsia" w:ascii="宋体" w:hAnsi="宋体" w:eastAsia="宋体" w:cs="宋体"/>
          <w:sz w:val="28"/>
          <w:szCs w:val="28"/>
        </w:rPr>
      </w:pPr>
      <w:r>
        <w:rPr>
          <w:rFonts w:hint="eastAsia" w:ascii="宋体" w:hAnsi="宋体" w:eastAsia="宋体" w:cs="宋体"/>
          <w:spacing w:val="4"/>
          <w:sz w:val="28"/>
          <w:szCs w:val="28"/>
        </w:rPr>
        <w:t>专业监理工程师具备中级及以上职称</w:t>
      </w:r>
      <w:r>
        <w:rPr>
          <w:rFonts w:hint="eastAsia" w:ascii="宋体" w:hAnsi="宋体" w:eastAsia="宋体" w:cs="宋体"/>
          <w:spacing w:val="4"/>
          <w:sz w:val="28"/>
          <w:szCs w:val="28"/>
          <w:lang w:eastAsia="zh-CN"/>
        </w:rPr>
        <w:t>（</w:t>
      </w:r>
      <w:r>
        <w:rPr>
          <w:rFonts w:hint="eastAsia" w:ascii="宋体" w:hAnsi="宋体" w:eastAsia="宋体" w:cs="宋体"/>
          <w:color w:val="000000"/>
          <w:kern w:val="0"/>
          <w:sz w:val="28"/>
          <w:szCs w:val="28"/>
          <w:lang w:val="en-US" w:eastAsia="zh-CN" w:bidi="ar"/>
        </w:rPr>
        <w:t>监理机构及监理人员要求： (总监理工程师，</w:t>
      </w:r>
      <w:r>
        <w:rPr>
          <w:rFonts w:hint="eastAsia" w:ascii="宋体" w:hAnsi="宋体" w:cs="宋体"/>
          <w:color w:val="000000"/>
          <w:kern w:val="0"/>
          <w:sz w:val="28"/>
          <w:szCs w:val="28"/>
          <w:lang w:val="en-US" w:eastAsia="zh-CN" w:bidi="ar"/>
        </w:rPr>
        <w:t>设备</w:t>
      </w:r>
      <w:r>
        <w:rPr>
          <w:rFonts w:hint="eastAsia" w:ascii="宋体" w:hAnsi="宋体" w:eastAsia="宋体" w:cs="宋体"/>
          <w:color w:val="000000"/>
          <w:kern w:val="0"/>
          <w:sz w:val="28"/>
          <w:szCs w:val="28"/>
          <w:lang w:val="en-US" w:eastAsia="zh-CN" w:bidi="ar"/>
        </w:rPr>
        <w:t>监理工程师，</w:t>
      </w:r>
      <w:r>
        <w:rPr>
          <w:rFonts w:hint="eastAsia" w:ascii="宋体" w:hAnsi="宋体" w:cs="宋体"/>
          <w:color w:val="000000"/>
          <w:kern w:val="0"/>
          <w:sz w:val="28"/>
          <w:szCs w:val="28"/>
          <w:lang w:val="en-US" w:eastAsia="zh-CN" w:bidi="ar"/>
        </w:rPr>
        <w:t>安全监理</w:t>
      </w:r>
      <w:r>
        <w:rPr>
          <w:rFonts w:hint="eastAsia" w:ascii="宋体" w:hAnsi="宋体" w:eastAsia="宋体" w:cs="宋体"/>
          <w:color w:val="000000"/>
          <w:kern w:val="0"/>
          <w:sz w:val="28"/>
          <w:szCs w:val="28"/>
          <w:lang w:val="en-US" w:eastAsia="zh-CN" w:bidi="ar"/>
        </w:rPr>
        <w:t>工程师</w:t>
      </w:r>
      <w:r>
        <w:rPr>
          <w:rFonts w:hint="eastAsia" w:ascii="宋体" w:hAnsi="宋体" w:eastAsia="宋体" w:cs="宋体"/>
          <w:spacing w:val="4"/>
          <w:sz w:val="28"/>
          <w:szCs w:val="28"/>
          <w:lang w:val="en-US" w:eastAsia="zh-CN"/>
        </w:rPr>
        <w:t>）</w:t>
      </w:r>
      <w:r>
        <w:rPr>
          <w:rFonts w:hint="eastAsia" w:ascii="宋体" w:hAnsi="宋体" w:eastAsia="宋体" w:cs="宋体"/>
          <w:spacing w:val="6"/>
          <w:sz w:val="28"/>
          <w:szCs w:val="28"/>
        </w:rPr>
        <w:t>。</w:t>
      </w:r>
      <w:r>
        <w:rPr>
          <w:rFonts w:hint="eastAsia" w:ascii="宋体" w:hAnsi="宋体" w:eastAsia="宋体" w:cs="宋体"/>
          <w:sz w:val="28"/>
          <w:szCs w:val="28"/>
        </w:rPr>
        <w:t xml:space="preserve"> </w:t>
      </w:r>
      <w:r>
        <w:rPr>
          <w:rFonts w:hint="eastAsia" w:ascii="宋体" w:hAnsi="宋体" w:eastAsia="宋体" w:cs="宋体"/>
          <w:spacing w:val="5"/>
          <w:sz w:val="28"/>
          <w:szCs w:val="28"/>
        </w:rPr>
        <w:t>后附工作经历、监理资历及相关证书。</w:t>
      </w:r>
    </w:p>
    <w:p w14:paraId="318BE9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textAlignment w:val="baseline"/>
        <w:rPr>
          <w:rFonts w:hint="eastAsia" w:ascii="宋体" w:hAnsi="宋体" w:eastAsia="宋体" w:cs="宋体"/>
          <w:sz w:val="28"/>
          <w:szCs w:val="28"/>
        </w:rPr>
      </w:pPr>
      <w:r>
        <w:rPr>
          <w:rFonts w:hint="eastAsia" w:ascii="宋体" w:hAnsi="宋体" w:eastAsia="宋体" w:cs="宋体"/>
          <w:spacing w:val="5"/>
          <w:sz w:val="28"/>
          <w:szCs w:val="28"/>
        </w:rPr>
        <w:t>3.监理员</w:t>
      </w:r>
      <w:r>
        <w:rPr>
          <w:rFonts w:hint="eastAsia" w:ascii="宋体" w:hAnsi="宋体" w:cs="宋体"/>
          <w:spacing w:val="5"/>
          <w:sz w:val="28"/>
          <w:szCs w:val="28"/>
          <w:lang w:val="en-US" w:eastAsia="zh-CN"/>
        </w:rPr>
        <w:t>4人及以上</w:t>
      </w:r>
      <w:r>
        <w:rPr>
          <w:rFonts w:hint="eastAsia" w:ascii="宋体" w:hAnsi="宋体" w:eastAsia="宋体" w:cs="宋体"/>
          <w:spacing w:val="5"/>
          <w:sz w:val="28"/>
          <w:szCs w:val="28"/>
          <w:lang w:val="en-US" w:eastAsia="zh-CN"/>
        </w:rPr>
        <w:t>同时具备中专及以上学历和监理培训证书</w:t>
      </w:r>
      <w:r>
        <w:rPr>
          <w:rFonts w:hint="eastAsia" w:ascii="宋体" w:hAnsi="宋体" w:eastAsia="宋体" w:cs="宋体"/>
          <w:spacing w:val="5"/>
          <w:sz w:val="28"/>
          <w:szCs w:val="28"/>
        </w:rPr>
        <w:t>。</w:t>
      </w:r>
      <w:r>
        <w:rPr>
          <w:rFonts w:hint="eastAsia" w:ascii="宋体" w:hAnsi="宋体" w:eastAsia="宋体" w:cs="宋体"/>
          <w:sz w:val="28"/>
          <w:szCs w:val="28"/>
        </w:rPr>
        <w:t xml:space="preserve"> </w:t>
      </w:r>
      <w:r>
        <w:rPr>
          <w:rFonts w:hint="eastAsia" w:ascii="宋体" w:hAnsi="宋体" w:eastAsia="宋体" w:cs="宋体"/>
          <w:spacing w:val="5"/>
          <w:sz w:val="28"/>
          <w:szCs w:val="28"/>
        </w:rPr>
        <w:t>后附工作经历、监理资历及相关证书。</w:t>
      </w:r>
    </w:p>
    <w:p w14:paraId="7F18E5FA">
      <w:pPr>
        <w:pStyle w:val="19"/>
        <w:spacing w:line="360" w:lineRule="auto"/>
        <w:ind w:left="1080" w:leftChars="257" w:hanging="540"/>
        <w:rPr>
          <w:rFonts w:hint="eastAsia" w:ascii="宋体" w:hAnsi="宋体" w:eastAsia="宋体" w:cs="宋体"/>
          <w:color w:val="auto"/>
          <w:sz w:val="28"/>
          <w:szCs w:val="28"/>
        </w:rPr>
      </w:pPr>
    </w:p>
    <w:p w14:paraId="18EFFA9B">
      <w:pPr>
        <w:pStyle w:val="19"/>
        <w:spacing w:line="360" w:lineRule="auto"/>
        <w:ind w:left="1080" w:leftChars="257" w:hanging="540"/>
        <w:rPr>
          <w:rFonts w:hint="eastAsia" w:ascii="宋体" w:hAnsi="宋体" w:eastAsia="宋体" w:cs="宋体"/>
          <w:color w:val="auto"/>
          <w:sz w:val="28"/>
          <w:szCs w:val="28"/>
        </w:rPr>
      </w:pPr>
    </w:p>
    <w:p w14:paraId="12471155">
      <w:pPr>
        <w:pStyle w:val="19"/>
        <w:spacing w:line="360" w:lineRule="auto"/>
        <w:ind w:left="1080" w:leftChars="257" w:hanging="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法定代表人或其委托代理人（签/章）:</w:t>
      </w:r>
    </w:p>
    <w:p w14:paraId="05BEEFA4">
      <w:pPr>
        <w:pStyle w:val="19"/>
        <w:tabs>
          <w:tab w:val="left" w:pos="5370"/>
        </w:tabs>
        <w:spacing w:line="360" w:lineRule="auto"/>
        <w:ind w:left="1080" w:leftChars="257" w:hanging="540"/>
        <w:rPr>
          <w:rFonts w:hint="eastAsia" w:ascii="宋体" w:hAnsi="宋体" w:eastAsia="宋体" w:cs="宋体"/>
          <w:color w:val="auto"/>
          <w:sz w:val="28"/>
          <w:szCs w:val="28"/>
        </w:rPr>
      </w:pPr>
      <w:r>
        <w:rPr>
          <w:rFonts w:hint="eastAsia" w:ascii="宋体" w:hAnsi="宋体" w:eastAsia="宋体" w:cs="宋体"/>
          <w:color w:val="auto"/>
          <w:sz w:val="28"/>
          <w:szCs w:val="28"/>
        </w:rPr>
        <w:t>供应商(公章):</w:t>
      </w:r>
    </w:p>
    <w:p w14:paraId="0AC3639F">
      <w:pPr>
        <w:pStyle w:val="4"/>
        <w:spacing w:line="360" w:lineRule="auto"/>
        <w:rPr>
          <w:rFonts w:hint="eastAsia" w:ascii="宋体" w:hAnsi="宋体" w:eastAsia="宋体" w:cs="宋体"/>
          <w:color w:val="auto"/>
          <w:spacing w:val="3"/>
          <w:sz w:val="28"/>
          <w:szCs w:val="28"/>
        </w:rPr>
      </w:pPr>
    </w:p>
    <w:p w14:paraId="69DEA811">
      <w:pPr>
        <w:spacing w:line="360" w:lineRule="auto"/>
        <w:rPr>
          <w:rFonts w:hint="eastAsia" w:ascii="宋体" w:hAnsi="宋体" w:eastAsia="宋体" w:cs="宋体"/>
          <w:color w:val="auto"/>
          <w:spacing w:val="3"/>
          <w:sz w:val="28"/>
          <w:szCs w:val="28"/>
        </w:rPr>
      </w:pPr>
    </w:p>
    <w:p w14:paraId="6C41292A">
      <w:pPr>
        <w:spacing w:before="65" w:line="360" w:lineRule="auto"/>
        <w:rPr>
          <w:rFonts w:hint="eastAsia" w:ascii="宋体" w:hAnsi="宋体" w:eastAsia="宋体" w:cs="宋体"/>
          <w:color w:val="auto"/>
          <w:spacing w:val="3"/>
          <w:sz w:val="28"/>
          <w:szCs w:val="28"/>
        </w:rPr>
      </w:pPr>
    </w:p>
    <w:p w14:paraId="4204FAB6">
      <w:pPr>
        <w:spacing w:line="360" w:lineRule="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br w:type="page"/>
      </w:r>
    </w:p>
    <w:p w14:paraId="3A8C98A3">
      <w:pPr>
        <w:spacing w:before="65" w:line="360" w:lineRule="auto"/>
        <w:ind w:left="232"/>
        <w:rPr>
          <w:rFonts w:hint="eastAsia" w:ascii="宋体" w:hAnsi="宋体" w:eastAsia="宋体" w:cs="宋体"/>
          <w:color w:val="auto"/>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2"/>
          <w:sz w:val="28"/>
          <w:szCs w:val="28"/>
        </w:rPr>
        <w:t>.2 主要人员简历表</w:t>
      </w:r>
    </w:p>
    <w:p w14:paraId="15C88699">
      <w:pPr>
        <w:spacing w:before="177" w:line="360" w:lineRule="auto"/>
        <w:ind w:left="24"/>
        <w:rPr>
          <w:rFonts w:hint="eastAsia" w:ascii="宋体" w:hAnsi="宋体" w:eastAsia="宋体" w:cs="宋体"/>
          <w:color w:val="auto"/>
          <w:sz w:val="28"/>
          <w:szCs w:val="28"/>
        </w:rPr>
      </w:pPr>
      <w:r>
        <w:rPr>
          <w:rFonts w:hint="eastAsia" w:ascii="宋体" w:hAnsi="宋体" w:eastAsia="宋体" w:cs="宋体"/>
          <w:color w:val="auto"/>
          <w:spacing w:val="4"/>
          <w:sz w:val="28"/>
          <w:szCs w:val="28"/>
        </w:rPr>
        <w:t>3.2</w:t>
      </w:r>
      <w:r>
        <w:rPr>
          <w:rFonts w:hint="eastAsia" w:ascii="宋体" w:hAnsi="宋体" w:eastAsia="宋体" w:cs="宋体"/>
          <w:color w:val="auto"/>
          <w:spacing w:val="2"/>
          <w:sz w:val="28"/>
          <w:szCs w:val="28"/>
        </w:rPr>
        <w:t>.1 项目</w:t>
      </w:r>
      <w:r>
        <w:rPr>
          <w:rFonts w:hint="eastAsia" w:ascii="宋体" w:hAnsi="宋体" w:eastAsia="宋体" w:cs="宋体"/>
          <w:color w:val="auto"/>
          <w:spacing w:val="2"/>
          <w:sz w:val="28"/>
          <w:szCs w:val="28"/>
          <w:lang w:val="en-US" w:eastAsia="zh-CN"/>
        </w:rPr>
        <w:t>总监</w:t>
      </w:r>
      <w:r>
        <w:rPr>
          <w:rFonts w:hint="eastAsia" w:ascii="宋体" w:hAnsi="宋体" w:eastAsia="宋体" w:cs="宋体"/>
          <w:color w:val="auto"/>
          <w:spacing w:val="2"/>
          <w:sz w:val="28"/>
          <w:szCs w:val="28"/>
        </w:rPr>
        <w:t>简历表</w:t>
      </w:r>
    </w:p>
    <w:p w14:paraId="024F870E">
      <w:pPr>
        <w:spacing w:line="360" w:lineRule="auto"/>
        <w:rPr>
          <w:rFonts w:hint="eastAsia" w:ascii="宋体" w:hAnsi="宋体" w:eastAsia="宋体" w:cs="宋体"/>
          <w:color w:val="auto"/>
          <w:sz w:val="28"/>
          <w:szCs w:val="28"/>
        </w:rPr>
      </w:pPr>
    </w:p>
    <w:tbl>
      <w:tblPr>
        <w:tblStyle w:val="107"/>
        <w:tblW w:w="9400"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8"/>
        <w:gridCol w:w="1482"/>
        <w:gridCol w:w="988"/>
        <w:gridCol w:w="488"/>
        <w:gridCol w:w="1203"/>
        <w:gridCol w:w="432"/>
        <w:gridCol w:w="1421"/>
        <w:gridCol w:w="542"/>
        <w:gridCol w:w="1446"/>
      </w:tblGrid>
      <w:tr w14:paraId="136E6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400" w:type="dxa"/>
            <w:gridSpan w:val="9"/>
            <w:tcBorders>
              <w:top w:val="single" w:color="000000" w:sz="10" w:space="0"/>
              <w:left w:val="single" w:color="000000" w:sz="10" w:space="0"/>
              <w:right w:val="single" w:color="000000" w:sz="10" w:space="0"/>
            </w:tcBorders>
            <w:vAlign w:val="top"/>
          </w:tcPr>
          <w:p w14:paraId="476B3729">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总监理工程师</w:t>
            </w:r>
          </w:p>
        </w:tc>
      </w:tr>
      <w:tr w14:paraId="37DBC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98" w:type="dxa"/>
            <w:tcBorders>
              <w:left w:val="single" w:color="000000" w:sz="10" w:space="0"/>
            </w:tcBorders>
            <w:vAlign w:val="top"/>
          </w:tcPr>
          <w:p w14:paraId="42210ACA">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  名</w:t>
            </w:r>
          </w:p>
        </w:tc>
        <w:tc>
          <w:tcPr>
            <w:tcW w:w="1482" w:type="dxa"/>
            <w:vAlign w:val="top"/>
          </w:tcPr>
          <w:p w14:paraId="61AB1E4E">
            <w:pPr>
              <w:widowControl/>
              <w:spacing w:line="360" w:lineRule="auto"/>
              <w:jc w:val="center"/>
              <w:textAlignment w:val="center"/>
              <w:rPr>
                <w:rFonts w:hint="eastAsia" w:ascii="宋体" w:hAnsi="宋体" w:eastAsia="宋体" w:cs="宋体"/>
                <w:color w:val="auto"/>
                <w:kern w:val="0"/>
                <w:sz w:val="24"/>
                <w:szCs w:val="24"/>
              </w:rPr>
            </w:pPr>
          </w:p>
        </w:tc>
        <w:tc>
          <w:tcPr>
            <w:tcW w:w="1476" w:type="dxa"/>
            <w:gridSpan w:val="2"/>
            <w:vAlign w:val="top"/>
          </w:tcPr>
          <w:p w14:paraId="7E5C0BEF">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  别</w:t>
            </w:r>
          </w:p>
        </w:tc>
        <w:tc>
          <w:tcPr>
            <w:tcW w:w="1635" w:type="dxa"/>
            <w:gridSpan w:val="2"/>
            <w:vAlign w:val="top"/>
          </w:tcPr>
          <w:p w14:paraId="6EB20811">
            <w:pPr>
              <w:widowControl/>
              <w:spacing w:line="360" w:lineRule="auto"/>
              <w:jc w:val="center"/>
              <w:textAlignment w:val="center"/>
              <w:rPr>
                <w:rFonts w:hint="eastAsia" w:ascii="宋体" w:hAnsi="宋体" w:eastAsia="宋体" w:cs="宋体"/>
                <w:color w:val="auto"/>
                <w:kern w:val="0"/>
                <w:sz w:val="24"/>
                <w:szCs w:val="24"/>
              </w:rPr>
            </w:pPr>
          </w:p>
        </w:tc>
        <w:tc>
          <w:tcPr>
            <w:tcW w:w="1421" w:type="dxa"/>
            <w:vAlign w:val="top"/>
          </w:tcPr>
          <w:p w14:paraId="3F916E11">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  龄</w:t>
            </w:r>
          </w:p>
        </w:tc>
        <w:tc>
          <w:tcPr>
            <w:tcW w:w="1988" w:type="dxa"/>
            <w:gridSpan w:val="2"/>
            <w:tcBorders>
              <w:right w:val="single" w:color="000000" w:sz="10" w:space="0"/>
            </w:tcBorders>
            <w:vAlign w:val="top"/>
          </w:tcPr>
          <w:p w14:paraId="369BB8C3">
            <w:pPr>
              <w:widowControl/>
              <w:spacing w:line="360" w:lineRule="auto"/>
              <w:jc w:val="center"/>
              <w:textAlignment w:val="center"/>
              <w:rPr>
                <w:rFonts w:hint="eastAsia" w:ascii="宋体" w:hAnsi="宋体" w:eastAsia="宋体" w:cs="宋体"/>
                <w:color w:val="auto"/>
                <w:kern w:val="0"/>
                <w:sz w:val="24"/>
                <w:szCs w:val="24"/>
              </w:rPr>
            </w:pPr>
          </w:p>
        </w:tc>
      </w:tr>
      <w:tr w14:paraId="409A9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98" w:type="dxa"/>
            <w:tcBorders>
              <w:left w:val="single" w:color="000000" w:sz="10" w:space="0"/>
            </w:tcBorders>
            <w:vAlign w:val="top"/>
          </w:tcPr>
          <w:p w14:paraId="4BFA4EDE">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  务</w:t>
            </w:r>
          </w:p>
        </w:tc>
        <w:tc>
          <w:tcPr>
            <w:tcW w:w="1482" w:type="dxa"/>
            <w:vAlign w:val="top"/>
          </w:tcPr>
          <w:p w14:paraId="4A85CC0F">
            <w:pPr>
              <w:widowControl/>
              <w:spacing w:line="360" w:lineRule="auto"/>
              <w:jc w:val="center"/>
              <w:textAlignment w:val="center"/>
              <w:rPr>
                <w:rFonts w:hint="eastAsia" w:ascii="宋体" w:hAnsi="宋体" w:eastAsia="宋体" w:cs="宋体"/>
                <w:color w:val="auto"/>
                <w:kern w:val="0"/>
                <w:sz w:val="24"/>
                <w:szCs w:val="24"/>
              </w:rPr>
            </w:pPr>
          </w:p>
        </w:tc>
        <w:tc>
          <w:tcPr>
            <w:tcW w:w="1476" w:type="dxa"/>
            <w:gridSpan w:val="2"/>
            <w:vAlign w:val="top"/>
          </w:tcPr>
          <w:p w14:paraId="62CEF9F8">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  称</w:t>
            </w:r>
          </w:p>
        </w:tc>
        <w:tc>
          <w:tcPr>
            <w:tcW w:w="1635" w:type="dxa"/>
            <w:gridSpan w:val="2"/>
            <w:vAlign w:val="top"/>
          </w:tcPr>
          <w:p w14:paraId="4C80FF4F">
            <w:pPr>
              <w:widowControl/>
              <w:spacing w:line="360" w:lineRule="auto"/>
              <w:jc w:val="center"/>
              <w:textAlignment w:val="center"/>
              <w:rPr>
                <w:rFonts w:hint="eastAsia" w:ascii="宋体" w:hAnsi="宋体" w:eastAsia="宋体" w:cs="宋体"/>
                <w:color w:val="auto"/>
                <w:kern w:val="0"/>
                <w:sz w:val="24"/>
                <w:szCs w:val="24"/>
              </w:rPr>
            </w:pPr>
          </w:p>
        </w:tc>
        <w:tc>
          <w:tcPr>
            <w:tcW w:w="1421" w:type="dxa"/>
            <w:vAlign w:val="top"/>
          </w:tcPr>
          <w:p w14:paraId="2F65A918">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学  历</w:t>
            </w:r>
          </w:p>
        </w:tc>
        <w:tc>
          <w:tcPr>
            <w:tcW w:w="1988" w:type="dxa"/>
            <w:gridSpan w:val="2"/>
            <w:tcBorders>
              <w:right w:val="single" w:color="000000" w:sz="10" w:space="0"/>
            </w:tcBorders>
            <w:vAlign w:val="top"/>
          </w:tcPr>
          <w:p w14:paraId="16F64F33">
            <w:pPr>
              <w:widowControl/>
              <w:spacing w:line="360" w:lineRule="auto"/>
              <w:jc w:val="center"/>
              <w:textAlignment w:val="center"/>
              <w:rPr>
                <w:rFonts w:hint="eastAsia" w:ascii="宋体" w:hAnsi="宋体" w:eastAsia="宋体" w:cs="宋体"/>
                <w:color w:val="auto"/>
                <w:kern w:val="0"/>
                <w:sz w:val="24"/>
                <w:szCs w:val="24"/>
              </w:rPr>
            </w:pPr>
          </w:p>
        </w:tc>
      </w:tr>
      <w:tr w14:paraId="062E8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2880" w:type="dxa"/>
            <w:gridSpan w:val="2"/>
            <w:tcBorders>
              <w:left w:val="single" w:color="000000" w:sz="10" w:space="0"/>
            </w:tcBorders>
            <w:vAlign w:val="top"/>
          </w:tcPr>
          <w:p w14:paraId="138CC6C9">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参加工作时间</w:t>
            </w:r>
          </w:p>
        </w:tc>
        <w:tc>
          <w:tcPr>
            <w:tcW w:w="1476" w:type="dxa"/>
            <w:gridSpan w:val="2"/>
            <w:vAlign w:val="top"/>
          </w:tcPr>
          <w:p w14:paraId="334E7D4C">
            <w:pPr>
              <w:widowControl/>
              <w:spacing w:line="360" w:lineRule="auto"/>
              <w:jc w:val="center"/>
              <w:textAlignment w:val="center"/>
              <w:rPr>
                <w:rFonts w:hint="eastAsia" w:ascii="宋体" w:hAnsi="宋体" w:eastAsia="宋体" w:cs="宋体"/>
                <w:color w:val="auto"/>
                <w:kern w:val="0"/>
                <w:sz w:val="24"/>
                <w:szCs w:val="24"/>
              </w:rPr>
            </w:pPr>
          </w:p>
        </w:tc>
        <w:tc>
          <w:tcPr>
            <w:tcW w:w="3056" w:type="dxa"/>
            <w:gridSpan w:val="3"/>
            <w:vAlign w:val="top"/>
          </w:tcPr>
          <w:p w14:paraId="41B926B3">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从事项目监理年限</w:t>
            </w:r>
          </w:p>
        </w:tc>
        <w:tc>
          <w:tcPr>
            <w:tcW w:w="1988" w:type="dxa"/>
            <w:gridSpan w:val="2"/>
            <w:tcBorders>
              <w:right w:val="single" w:color="000000" w:sz="10" w:space="0"/>
            </w:tcBorders>
            <w:vAlign w:val="top"/>
          </w:tcPr>
          <w:p w14:paraId="52D8D931">
            <w:pPr>
              <w:widowControl/>
              <w:spacing w:line="360" w:lineRule="auto"/>
              <w:jc w:val="center"/>
              <w:textAlignment w:val="center"/>
              <w:rPr>
                <w:rFonts w:hint="eastAsia" w:ascii="宋体" w:hAnsi="宋体" w:eastAsia="宋体" w:cs="宋体"/>
                <w:color w:val="auto"/>
                <w:kern w:val="0"/>
                <w:sz w:val="24"/>
                <w:szCs w:val="24"/>
              </w:rPr>
            </w:pPr>
          </w:p>
        </w:tc>
      </w:tr>
      <w:tr w14:paraId="43DC0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880" w:type="dxa"/>
            <w:gridSpan w:val="2"/>
            <w:tcBorders>
              <w:left w:val="single" w:color="000000" w:sz="10" w:space="0"/>
            </w:tcBorders>
            <w:vAlign w:val="top"/>
          </w:tcPr>
          <w:p w14:paraId="7FD34420">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监理注册证书注册号</w:t>
            </w:r>
          </w:p>
        </w:tc>
        <w:tc>
          <w:tcPr>
            <w:tcW w:w="6520" w:type="dxa"/>
            <w:gridSpan w:val="7"/>
            <w:tcBorders>
              <w:right w:val="single" w:color="000000" w:sz="10" w:space="0"/>
            </w:tcBorders>
            <w:vAlign w:val="top"/>
          </w:tcPr>
          <w:p w14:paraId="24D87E84">
            <w:pPr>
              <w:widowControl/>
              <w:spacing w:line="360" w:lineRule="auto"/>
              <w:jc w:val="center"/>
              <w:textAlignment w:val="center"/>
              <w:rPr>
                <w:rFonts w:hint="eastAsia" w:ascii="宋体" w:hAnsi="宋体" w:eastAsia="宋体" w:cs="宋体"/>
                <w:color w:val="auto"/>
                <w:kern w:val="0"/>
                <w:sz w:val="24"/>
                <w:szCs w:val="24"/>
              </w:rPr>
            </w:pPr>
          </w:p>
        </w:tc>
      </w:tr>
      <w:tr w14:paraId="706BB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880" w:type="dxa"/>
            <w:gridSpan w:val="2"/>
            <w:tcBorders>
              <w:left w:val="single" w:color="000000" w:sz="10" w:space="0"/>
              <w:bottom w:val="single" w:color="000000" w:sz="10" w:space="0"/>
            </w:tcBorders>
            <w:vAlign w:val="top"/>
          </w:tcPr>
          <w:p w14:paraId="47E3E254">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注册专业</w:t>
            </w:r>
          </w:p>
        </w:tc>
        <w:tc>
          <w:tcPr>
            <w:tcW w:w="6520" w:type="dxa"/>
            <w:gridSpan w:val="7"/>
            <w:tcBorders>
              <w:bottom w:val="single" w:color="000000" w:sz="10" w:space="0"/>
              <w:right w:val="single" w:color="000000" w:sz="10" w:space="0"/>
            </w:tcBorders>
            <w:vAlign w:val="top"/>
          </w:tcPr>
          <w:p w14:paraId="48791B47">
            <w:pPr>
              <w:widowControl/>
              <w:spacing w:line="360" w:lineRule="auto"/>
              <w:jc w:val="center"/>
              <w:textAlignment w:val="center"/>
              <w:rPr>
                <w:rFonts w:hint="eastAsia" w:ascii="宋体" w:hAnsi="宋体" w:eastAsia="宋体" w:cs="宋体"/>
                <w:color w:val="auto"/>
                <w:kern w:val="0"/>
                <w:sz w:val="24"/>
                <w:szCs w:val="24"/>
              </w:rPr>
            </w:pPr>
          </w:p>
        </w:tc>
      </w:tr>
      <w:tr w14:paraId="0483C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400" w:type="dxa"/>
            <w:gridSpan w:val="9"/>
            <w:tcBorders>
              <w:top w:val="single" w:color="000000" w:sz="10" w:space="0"/>
              <w:left w:val="single" w:color="000000" w:sz="10" w:space="0"/>
              <w:right w:val="single" w:color="000000" w:sz="10" w:space="0"/>
            </w:tcBorders>
            <w:vAlign w:val="top"/>
          </w:tcPr>
          <w:p w14:paraId="363F52CD">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近三年承担同类或相近工程项目</w:t>
            </w:r>
          </w:p>
        </w:tc>
      </w:tr>
      <w:tr w14:paraId="7F395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98" w:type="dxa"/>
            <w:tcBorders>
              <w:left w:val="single" w:color="000000" w:sz="10" w:space="0"/>
            </w:tcBorders>
            <w:vAlign w:val="top"/>
          </w:tcPr>
          <w:p w14:paraId="4FE7A552">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建设单位</w:t>
            </w:r>
          </w:p>
        </w:tc>
        <w:tc>
          <w:tcPr>
            <w:tcW w:w="2470" w:type="dxa"/>
            <w:gridSpan w:val="2"/>
            <w:vAlign w:val="top"/>
          </w:tcPr>
          <w:p w14:paraId="549DDF8D">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2123" w:type="dxa"/>
            <w:gridSpan w:val="3"/>
            <w:vAlign w:val="top"/>
          </w:tcPr>
          <w:p w14:paraId="132305DF">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采购需求</w:t>
            </w:r>
          </w:p>
        </w:tc>
        <w:tc>
          <w:tcPr>
            <w:tcW w:w="1963" w:type="dxa"/>
            <w:gridSpan w:val="2"/>
            <w:vAlign w:val="top"/>
          </w:tcPr>
          <w:p w14:paraId="4709C26D">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竣工验收日期</w:t>
            </w:r>
          </w:p>
        </w:tc>
        <w:tc>
          <w:tcPr>
            <w:tcW w:w="1446" w:type="dxa"/>
            <w:tcBorders>
              <w:right w:val="single" w:color="000000" w:sz="10" w:space="0"/>
            </w:tcBorders>
            <w:vAlign w:val="top"/>
          </w:tcPr>
          <w:p w14:paraId="683968B7">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质量等级</w:t>
            </w:r>
          </w:p>
        </w:tc>
      </w:tr>
      <w:tr w14:paraId="79313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98" w:type="dxa"/>
            <w:tcBorders>
              <w:left w:val="single" w:color="000000" w:sz="10" w:space="0"/>
            </w:tcBorders>
            <w:vAlign w:val="top"/>
          </w:tcPr>
          <w:p w14:paraId="703BEEFE">
            <w:pPr>
              <w:widowControl/>
              <w:spacing w:line="360" w:lineRule="auto"/>
              <w:jc w:val="center"/>
              <w:textAlignment w:val="center"/>
              <w:rPr>
                <w:rFonts w:hint="eastAsia" w:ascii="宋体" w:hAnsi="宋体" w:eastAsia="宋体" w:cs="宋体"/>
                <w:color w:val="auto"/>
                <w:kern w:val="0"/>
                <w:sz w:val="24"/>
                <w:szCs w:val="24"/>
              </w:rPr>
            </w:pPr>
          </w:p>
        </w:tc>
        <w:tc>
          <w:tcPr>
            <w:tcW w:w="2470" w:type="dxa"/>
            <w:gridSpan w:val="2"/>
            <w:vAlign w:val="top"/>
          </w:tcPr>
          <w:p w14:paraId="6FF8ABC5">
            <w:pPr>
              <w:widowControl/>
              <w:spacing w:line="360" w:lineRule="auto"/>
              <w:jc w:val="center"/>
              <w:textAlignment w:val="center"/>
              <w:rPr>
                <w:rFonts w:hint="eastAsia" w:ascii="宋体" w:hAnsi="宋体" w:eastAsia="宋体" w:cs="宋体"/>
                <w:color w:val="auto"/>
                <w:kern w:val="0"/>
                <w:sz w:val="24"/>
                <w:szCs w:val="24"/>
              </w:rPr>
            </w:pPr>
          </w:p>
        </w:tc>
        <w:tc>
          <w:tcPr>
            <w:tcW w:w="2123" w:type="dxa"/>
            <w:gridSpan w:val="3"/>
            <w:vAlign w:val="top"/>
          </w:tcPr>
          <w:p w14:paraId="5042B8C3">
            <w:pPr>
              <w:widowControl/>
              <w:spacing w:line="360" w:lineRule="auto"/>
              <w:jc w:val="center"/>
              <w:textAlignment w:val="center"/>
              <w:rPr>
                <w:rFonts w:hint="eastAsia" w:ascii="宋体" w:hAnsi="宋体" w:eastAsia="宋体" w:cs="宋体"/>
                <w:color w:val="auto"/>
                <w:kern w:val="0"/>
                <w:sz w:val="24"/>
                <w:szCs w:val="24"/>
              </w:rPr>
            </w:pPr>
          </w:p>
        </w:tc>
        <w:tc>
          <w:tcPr>
            <w:tcW w:w="1963" w:type="dxa"/>
            <w:gridSpan w:val="2"/>
            <w:vAlign w:val="top"/>
          </w:tcPr>
          <w:p w14:paraId="0D82E7C7">
            <w:pPr>
              <w:widowControl/>
              <w:spacing w:line="360" w:lineRule="auto"/>
              <w:jc w:val="center"/>
              <w:textAlignment w:val="center"/>
              <w:rPr>
                <w:rFonts w:hint="eastAsia" w:ascii="宋体" w:hAnsi="宋体" w:eastAsia="宋体" w:cs="宋体"/>
                <w:color w:val="auto"/>
                <w:kern w:val="0"/>
                <w:sz w:val="24"/>
                <w:szCs w:val="24"/>
              </w:rPr>
            </w:pPr>
          </w:p>
        </w:tc>
        <w:tc>
          <w:tcPr>
            <w:tcW w:w="1446" w:type="dxa"/>
            <w:tcBorders>
              <w:right w:val="single" w:color="000000" w:sz="10" w:space="0"/>
            </w:tcBorders>
            <w:vAlign w:val="top"/>
          </w:tcPr>
          <w:p w14:paraId="4AC27254">
            <w:pPr>
              <w:widowControl/>
              <w:spacing w:line="360" w:lineRule="auto"/>
              <w:jc w:val="center"/>
              <w:textAlignment w:val="center"/>
              <w:rPr>
                <w:rFonts w:hint="eastAsia" w:ascii="宋体" w:hAnsi="宋体" w:eastAsia="宋体" w:cs="宋体"/>
                <w:color w:val="auto"/>
                <w:kern w:val="0"/>
                <w:sz w:val="24"/>
                <w:szCs w:val="24"/>
              </w:rPr>
            </w:pPr>
          </w:p>
        </w:tc>
      </w:tr>
      <w:tr w14:paraId="72680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98" w:type="dxa"/>
            <w:tcBorders>
              <w:left w:val="single" w:color="000000" w:sz="10" w:space="0"/>
            </w:tcBorders>
            <w:vAlign w:val="top"/>
          </w:tcPr>
          <w:p w14:paraId="52726677">
            <w:pPr>
              <w:widowControl/>
              <w:spacing w:line="360" w:lineRule="auto"/>
              <w:jc w:val="center"/>
              <w:textAlignment w:val="center"/>
              <w:rPr>
                <w:rFonts w:hint="eastAsia" w:ascii="宋体" w:hAnsi="宋体" w:eastAsia="宋体" w:cs="宋体"/>
                <w:color w:val="auto"/>
                <w:kern w:val="0"/>
                <w:sz w:val="24"/>
                <w:szCs w:val="24"/>
              </w:rPr>
            </w:pPr>
          </w:p>
        </w:tc>
        <w:tc>
          <w:tcPr>
            <w:tcW w:w="2470" w:type="dxa"/>
            <w:gridSpan w:val="2"/>
            <w:vAlign w:val="top"/>
          </w:tcPr>
          <w:p w14:paraId="1C5DD818">
            <w:pPr>
              <w:widowControl/>
              <w:spacing w:line="360" w:lineRule="auto"/>
              <w:jc w:val="center"/>
              <w:textAlignment w:val="center"/>
              <w:rPr>
                <w:rFonts w:hint="eastAsia" w:ascii="宋体" w:hAnsi="宋体" w:eastAsia="宋体" w:cs="宋体"/>
                <w:color w:val="auto"/>
                <w:kern w:val="0"/>
                <w:sz w:val="24"/>
                <w:szCs w:val="24"/>
              </w:rPr>
            </w:pPr>
          </w:p>
        </w:tc>
        <w:tc>
          <w:tcPr>
            <w:tcW w:w="2123" w:type="dxa"/>
            <w:gridSpan w:val="3"/>
            <w:vAlign w:val="top"/>
          </w:tcPr>
          <w:p w14:paraId="3C806184">
            <w:pPr>
              <w:widowControl/>
              <w:spacing w:line="360" w:lineRule="auto"/>
              <w:jc w:val="center"/>
              <w:textAlignment w:val="center"/>
              <w:rPr>
                <w:rFonts w:hint="eastAsia" w:ascii="宋体" w:hAnsi="宋体" w:eastAsia="宋体" w:cs="宋体"/>
                <w:color w:val="auto"/>
                <w:kern w:val="0"/>
                <w:sz w:val="24"/>
                <w:szCs w:val="24"/>
              </w:rPr>
            </w:pPr>
          </w:p>
        </w:tc>
        <w:tc>
          <w:tcPr>
            <w:tcW w:w="1963" w:type="dxa"/>
            <w:gridSpan w:val="2"/>
            <w:vAlign w:val="top"/>
          </w:tcPr>
          <w:p w14:paraId="3148E70C">
            <w:pPr>
              <w:widowControl/>
              <w:spacing w:line="360" w:lineRule="auto"/>
              <w:jc w:val="center"/>
              <w:textAlignment w:val="center"/>
              <w:rPr>
                <w:rFonts w:hint="eastAsia" w:ascii="宋体" w:hAnsi="宋体" w:eastAsia="宋体" w:cs="宋体"/>
                <w:color w:val="auto"/>
                <w:kern w:val="0"/>
                <w:sz w:val="24"/>
                <w:szCs w:val="24"/>
              </w:rPr>
            </w:pPr>
          </w:p>
        </w:tc>
        <w:tc>
          <w:tcPr>
            <w:tcW w:w="1446" w:type="dxa"/>
            <w:tcBorders>
              <w:right w:val="single" w:color="000000" w:sz="10" w:space="0"/>
            </w:tcBorders>
            <w:vAlign w:val="top"/>
          </w:tcPr>
          <w:p w14:paraId="0724FC3E">
            <w:pPr>
              <w:widowControl/>
              <w:spacing w:line="360" w:lineRule="auto"/>
              <w:jc w:val="center"/>
              <w:textAlignment w:val="center"/>
              <w:rPr>
                <w:rFonts w:hint="eastAsia" w:ascii="宋体" w:hAnsi="宋体" w:eastAsia="宋体" w:cs="宋体"/>
                <w:color w:val="auto"/>
                <w:kern w:val="0"/>
                <w:sz w:val="24"/>
                <w:szCs w:val="24"/>
              </w:rPr>
            </w:pPr>
          </w:p>
        </w:tc>
      </w:tr>
      <w:tr w14:paraId="1401B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98" w:type="dxa"/>
            <w:tcBorders>
              <w:left w:val="single" w:color="000000" w:sz="10" w:space="0"/>
            </w:tcBorders>
            <w:vAlign w:val="top"/>
          </w:tcPr>
          <w:p w14:paraId="303BF8A3">
            <w:pPr>
              <w:widowControl/>
              <w:spacing w:line="360" w:lineRule="auto"/>
              <w:jc w:val="center"/>
              <w:textAlignment w:val="center"/>
              <w:rPr>
                <w:rFonts w:hint="eastAsia" w:ascii="宋体" w:hAnsi="宋体" w:eastAsia="宋体" w:cs="宋体"/>
                <w:color w:val="auto"/>
                <w:kern w:val="0"/>
                <w:sz w:val="24"/>
                <w:szCs w:val="24"/>
              </w:rPr>
            </w:pPr>
          </w:p>
        </w:tc>
        <w:tc>
          <w:tcPr>
            <w:tcW w:w="2470" w:type="dxa"/>
            <w:gridSpan w:val="2"/>
            <w:vAlign w:val="top"/>
          </w:tcPr>
          <w:p w14:paraId="2E29ED6D">
            <w:pPr>
              <w:widowControl/>
              <w:spacing w:line="360" w:lineRule="auto"/>
              <w:jc w:val="center"/>
              <w:textAlignment w:val="center"/>
              <w:rPr>
                <w:rFonts w:hint="eastAsia" w:ascii="宋体" w:hAnsi="宋体" w:eastAsia="宋体" w:cs="宋体"/>
                <w:color w:val="auto"/>
                <w:kern w:val="0"/>
                <w:sz w:val="24"/>
                <w:szCs w:val="24"/>
              </w:rPr>
            </w:pPr>
          </w:p>
        </w:tc>
        <w:tc>
          <w:tcPr>
            <w:tcW w:w="2123" w:type="dxa"/>
            <w:gridSpan w:val="3"/>
            <w:vAlign w:val="top"/>
          </w:tcPr>
          <w:p w14:paraId="01AA568F">
            <w:pPr>
              <w:widowControl/>
              <w:spacing w:line="360" w:lineRule="auto"/>
              <w:jc w:val="center"/>
              <w:textAlignment w:val="center"/>
              <w:rPr>
                <w:rFonts w:hint="eastAsia" w:ascii="宋体" w:hAnsi="宋体" w:eastAsia="宋体" w:cs="宋体"/>
                <w:color w:val="auto"/>
                <w:kern w:val="0"/>
                <w:sz w:val="24"/>
                <w:szCs w:val="24"/>
              </w:rPr>
            </w:pPr>
          </w:p>
        </w:tc>
        <w:tc>
          <w:tcPr>
            <w:tcW w:w="1963" w:type="dxa"/>
            <w:gridSpan w:val="2"/>
            <w:vAlign w:val="top"/>
          </w:tcPr>
          <w:p w14:paraId="39BDB1C9">
            <w:pPr>
              <w:widowControl/>
              <w:spacing w:line="360" w:lineRule="auto"/>
              <w:jc w:val="center"/>
              <w:textAlignment w:val="center"/>
              <w:rPr>
                <w:rFonts w:hint="eastAsia" w:ascii="宋体" w:hAnsi="宋体" w:eastAsia="宋体" w:cs="宋体"/>
                <w:color w:val="auto"/>
                <w:kern w:val="0"/>
                <w:sz w:val="24"/>
                <w:szCs w:val="24"/>
              </w:rPr>
            </w:pPr>
          </w:p>
        </w:tc>
        <w:tc>
          <w:tcPr>
            <w:tcW w:w="1446" w:type="dxa"/>
            <w:tcBorders>
              <w:right w:val="single" w:color="000000" w:sz="10" w:space="0"/>
            </w:tcBorders>
            <w:vAlign w:val="top"/>
          </w:tcPr>
          <w:p w14:paraId="735B9D2D">
            <w:pPr>
              <w:widowControl/>
              <w:spacing w:line="360" w:lineRule="auto"/>
              <w:jc w:val="center"/>
              <w:textAlignment w:val="center"/>
              <w:rPr>
                <w:rFonts w:hint="eastAsia" w:ascii="宋体" w:hAnsi="宋体" w:eastAsia="宋体" w:cs="宋体"/>
                <w:color w:val="auto"/>
                <w:kern w:val="0"/>
                <w:sz w:val="24"/>
                <w:szCs w:val="24"/>
              </w:rPr>
            </w:pPr>
          </w:p>
        </w:tc>
      </w:tr>
      <w:tr w14:paraId="56988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398" w:type="dxa"/>
            <w:tcBorders>
              <w:left w:val="single" w:color="000000" w:sz="10" w:space="0"/>
              <w:bottom w:val="single" w:color="000000" w:sz="10" w:space="0"/>
            </w:tcBorders>
            <w:vAlign w:val="top"/>
          </w:tcPr>
          <w:p w14:paraId="03BD131B">
            <w:pPr>
              <w:widowControl/>
              <w:spacing w:line="360" w:lineRule="auto"/>
              <w:jc w:val="center"/>
              <w:textAlignment w:val="center"/>
              <w:rPr>
                <w:rFonts w:hint="eastAsia" w:ascii="宋体" w:hAnsi="宋体" w:eastAsia="宋体" w:cs="宋体"/>
                <w:color w:val="auto"/>
                <w:kern w:val="0"/>
                <w:sz w:val="24"/>
                <w:szCs w:val="24"/>
              </w:rPr>
            </w:pPr>
          </w:p>
        </w:tc>
        <w:tc>
          <w:tcPr>
            <w:tcW w:w="2470" w:type="dxa"/>
            <w:gridSpan w:val="2"/>
            <w:tcBorders>
              <w:bottom w:val="single" w:color="000000" w:sz="10" w:space="0"/>
            </w:tcBorders>
            <w:vAlign w:val="top"/>
          </w:tcPr>
          <w:p w14:paraId="3F09B777">
            <w:pPr>
              <w:widowControl/>
              <w:spacing w:line="360" w:lineRule="auto"/>
              <w:jc w:val="center"/>
              <w:textAlignment w:val="center"/>
              <w:rPr>
                <w:rFonts w:hint="eastAsia" w:ascii="宋体" w:hAnsi="宋体" w:eastAsia="宋体" w:cs="宋体"/>
                <w:color w:val="auto"/>
                <w:kern w:val="0"/>
                <w:sz w:val="24"/>
                <w:szCs w:val="24"/>
              </w:rPr>
            </w:pPr>
          </w:p>
        </w:tc>
        <w:tc>
          <w:tcPr>
            <w:tcW w:w="2123" w:type="dxa"/>
            <w:gridSpan w:val="3"/>
            <w:tcBorders>
              <w:bottom w:val="single" w:color="000000" w:sz="10" w:space="0"/>
            </w:tcBorders>
            <w:vAlign w:val="top"/>
          </w:tcPr>
          <w:p w14:paraId="0FC0636B">
            <w:pPr>
              <w:widowControl/>
              <w:spacing w:line="360" w:lineRule="auto"/>
              <w:jc w:val="center"/>
              <w:textAlignment w:val="center"/>
              <w:rPr>
                <w:rFonts w:hint="eastAsia" w:ascii="宋体" w:hAnsi="宋体" w:eastAsia="宋体" w:cs="宋体"/>
                <w:color w:val="auto"/>
                <w:kern w:val="0"/>
                <w:sz w:val="24"/>
                <w:szCs w:val="24"/>
              </w:rPr>
            </w:pPr>
          </w:p>
        </w:tc>
        <w:tc>
          <w:tcPr>
            <w:tcW w:w="1963" w:type="dxa"/>
            <w:gridSpan w:val="2"/>
            <w:tcBorders>
              <w:bottom w:val="single" w:color="000000" w:sz="10" w:space="0"/>
            </w:tcBorders>
            <w:vAlign w:val="top"/>
          </w:tcPr>
          <w:p w14:paraId="5F7D7327">
            <w:pPr>
              <w:widowControl/>
              <w:spacing w:line="360" w:lineRule="auto"/>
              <w:jc w:val="center"/>
              <w:textAlignment w:val="center"/>
              <w:rPr>
                <w:rFonts w:hint="eastAsia" w:ascii="宋体" w:hAnsi="宋体" w:eastAsia="宋体" w:cs="宋体"/>
                <w:color w:val="auto"/>
                <w:kern w:val="0"/>
                <w:sz w:val="24"/>
                <w:szCs w:val="24"/>
              </w:rPr>
            </w:pPr>
          </w:p>
        </w:tc>
        <w:tc>
          <w:tcPr>
            <w:tcW w:w="1446" w:type="dxa"/>
            <w:tcBorders>
              <w:bottom w:val="single" w:color="000000" w:sz="10" w:space="0"/>
              <w:right w:val="single" w:color="000000" w:sz="10" w:space="0"/>
            </w:tcBorders>
            <w:vAlign w:val="top"/>
          </w:tcPr>
          <w:p w14:paraId="4E1F571B">
            <w:pPr>
              <w:widowControl/>
              <w:spacing w:line="360" w:lineRule="auto"/>
              <w:jc w:val="center"/>
              <w:textAlignment w:val="center"/>
              <w:rPr>
                <w:rFonts w:hint="eastAsia" w:ascii="宋体" w:hAnsi="宋体" w:eastAsia="宋体" w:cs="宋体"/>
                <w:color w:val="auto"/>
                <w:kern w:val="0"/>
                <w:sz w:val="24"/>
                <w:szCs w:val="24"/>
              </w:rPr>
            </w:pPr>
          </w:p>
        </w:tc>
      </w:tr>
      <w:tr w14:paraId="0CF1D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400" w:type="dxa"/>
            <w:gridSpan w:val="9"/>
            <w:tcBorders>
              <w:top w:val="single" w:color="000000" w:sz="10" w:space="0"/>
              <w:left w:val="single" w:color="000000" w:sz="10" w:space="0"/>
              <w:right w:val="single" w:color="000000" w:sz="10" w:space="0"/>
            </w:tcBorders>
            <w:vAlign w:val="top"/>
          </w:tcPr>
          <w:p w14:paraId="7DA2DDC7">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目 前 正 在 监 理 工 程</w:t>
            </w:r>
          </w:p>
        </w:tc>
      </w:tr>
      <w:tr w14:paraId="17A9D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98" w:type="dxa"/>
            <w:tcBorders>
              <w:left w:val="single" w:color="000000" w:sz="10" w:space="0"/>
            </w:tcBorders>
            <w:vAlign w:val="top"/>
          </w:tcPr>
          <w:p w14:paraId="50340FEE">
            <w:pPr>
              <w:widowControl/>
              <w:spacing w:line="360" w:lineRule="auto"/>
              <w:jc w:val="center"/>
              <w:textAlignment w:val="center"/>
              <w:rPr>
                <w:rFonts w:hint="eastAsia" w:ascii="宋体" w:hAnsi="宋体" w:eastAsia="宋体" w:cs="宋体"/>
                <w:color w:val="auto"/>
                <w:kern w:val="0"/>
                <w:sz w:val="24"/>
                <w:szCs w:val="24"/>
              </w:rPr>
            </w:pPr>
          </w:p>
        </w:tc>
        <w:tc>
          <w:tcPr>
            <w:tcW w:w="2470" w:type="dxa"/>
            <w:gridSpan w:val="2"/>
            <w:vAlign w:val="top"/>
          </w:tcPr>
          <w:p w14:paraId="2E340A76">
            <w:pPr>
              <w:widowControl/>
              <w:spacing w:line="360" w:lineRule="auto"/>
              <w:jc w:val="center"/>
              <w:textAlignment w:val="center"/>
              <w:rPr>
                <w:rFonts w:hint="eastAsia" w:ascii="宋体" w:hAnsi="宋体" w:eastAsia="宋体" w:cs="宋体"/>
                <w:color w:val="auto"/>
                <w:kern w:val="0"/>
                <w:sz w:val="24"/>
                <w:szCs w:val="24"/>
              </w:rPr>
            </w:pPr>
          </w:p>
        </w:tc>
        <w:tc>
          <w:tcPr>
            <w:tcW w:w="1691" w:type="dxa"/>
            <w:gridSpan w:val="2"/>
            <w:vAlign w:val="top"/>
          </w:tcPr>
          <w:p w14:paraId="4C7E0CAD">
            <w:pPr>
              <w:widowControl/>
              <w:spacing w:line="360" w:lineRule="auto"/>
              <w:jc w:val="center"/>
              <w:textAlignment w:val="center"/>
              <w:rPr>
                <w:rFonts w:hint="eastAsia" w:ascii="宋体" w:hAnsi="宋体" w:eastAsia="宋体" w:cs="宋体"/>
                <w:color w:val="auto"/>
                <w:kern w:val="0"/>
                <w:sz w:val="24"/>
                <w:szCs w:val="24"/>
              </w:rPr>
            </w:pPr>
          </w:p>
        </w:tc>
        <w:tc>
          <w:tcPr>
            <w:tcW w:w="2395" w:type="dxa"/>
            <w:gridSpan w:val="3"/>
            <w:vAlign w:val="top"/>
          </w:tcPr>
          <w:p w14:paraId="0A5CF768">
            <w:pPr>
              <w:widowControl/>
              <w:spacing w:line="360" w:lineRule="auto"/>
              <w:jc w:val="center"/>
              <w:textAlignment w:val="center"/>
              <w:rPr>
                <w:rFonts w:hint="eastAsia" w:ascii="宋体" w:hAnsi="宋体" w:eastAsia="宋体" w:cs="宋体"/>
                <w:color w:val="auto"/>
                <w:kern w:val="0"/>
                <w:sz w:val="24"/>
                <w:szCs w:val="24"/>
              </w:rPr>
            </w:pPr>
          </w:p>
        </w:tc>
        <w:tc>
          <w:tcPr>
            <w:tcW w:w="1446" w:type="dxa"/>
            <w:tcBorders>
              <w:right w:val="single" w:color="000000" w:sz="10" w:space="0"/>
            </w:tcBorders>
            <w:vAlign w:val="top"/>
          </w:tcPr>
          <w:p w14:paraId="63A75443">
            <w:pPr>
              <w:widowControl/>
              <w:spacing w:line="360" w:lineRule="auto"/>
              <w:jc w:val="center"/>
              <w:textAlignment w:val="center"/>
              <w:rPr>
                <w:rFonts w:hint="eastAsia" w:ascii="宋体" w:hAnsi="宋体" w:eastAsia="宋体" w:cs="宋体"/>
                <w:color w:val="auto"/>
                <w:kern w:val="0"/>
                <w:sz w:val="24"/>
                <w:szCs w:val="24"/>
              </w:rPr>
            </w:pPr>
          </w:p>
        </w:tc>
      </w:tr>
      <w:tr w14:paraId="2FCD4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398" w:type="dxa"/>
            <w:tcBorders>
              <w:left w:val="single" w:color="000000" w:sz="10" w:space="0"/>
              <w:bottom w:val="single" w:color="000000" w:sz="10" w:space="0"/>
            </w:tcBorders>
            <w:vAlign w:val="top"/>
          </w:tcPr>
          <w:p w14:paraId="79AE340D">
            <w:pPr>
              <w:widowControl/>
              <w:spacing w:line="360" w:lineRule="auto"/>
              <w:jc w:val="center"/>
              <w:textAlignment w:val="center"/>
              <w:rPr>
                <w:rFonts w:hint="eastAsia" w:ascii="宋体" w:hAnsi="宋体" w:eastAsia="宋体" w:cs="宋体"/>
                <w:color w:val="auto"/>
                <w:kern w:val="0"/>
                <w:sz w:val="24"/>
                <w:szCs w:val="24"/>
              </w:rPr>
            </w:pPr>
          </w:p>
        </w:tc>
        <w:tc>
          <w:tcPr>
            <w:tcW w:w="2470" w:type="dxa"/>
            <w:gridSpan w:val="2"/>
            <w:tcBorders>
              <w:bottom w:val="single" w:color="000000" w:sz="10" w:space="0"/>
            </w:tcBorders>
            <w:vAlign w:val="top"/>
          </w:tcPr>
          <w:p w14:paraId="59FBA728">
            <w:pPr>
              <w:widowControl/>
              <w:spacing w:line="360" w:lineRule="auto"/>
              <w:jc w:val="center"/>
              <w:textAlignment w:val="center"/>
              <w:rPr>
                <w:rFonts w:hint="eastAsia" w:ascii="宋体" w:hAnsi="宋体" w:eastAsia="宋体" w:cs="宋体"/>
                <w:color w:val="auto"/>
                <w:kern w:val="0"/>
                <w:sz w:val="24"/>
                <w:szCs w:val="24"/>
              </w:rPr>
            </w:pPr>
          </w:p>
        </w:tc>
        <w:tc>
          <w:tcPr>
            <w:tcW w:w="1691" w:type="dxa"/>
            <w:gridSpan w:val="2"/>
            <w:tcBorders>
              <w:bottom w:val="single" w:color="000000" w:sz="10" w:space="0"/>
            </w:tcBorders>
            <w:vAlign w:val="top"/>
          </w:tcPr>
          <w:p w14:paraId="76ECA891">
            <w:pPr>
              <w:widowControl/>
              <w:spacing w:line="360" w:lineRule="auto"/>
              <w:jc w:val="center"/>
              <w:textAlignment w:val="center"/>
              <w:rPr>
                <w:rFonts w:hint="eastAsia" w:ascii="宋体" w:hAnsi="宋体" w:eastAsia="宋体" w:cs="宋体"/>
                <w:color w:val="auto"/>
                <w:kern w:val="0"/>
                <w:sz w:val="24"/>
                <w:szCs w:val="24"/>
              </w:rPr>
            </w:pPr>
          </w:p>
        </w:tc>
        <w:tc>
          <w:tcPr>
            <w:tcW w:w="2395" w:type="dxa"/>
            <w:gridSpan w:val="3"/>
            <w:tcBorders>
              <w:bottom w:val="single" w:color="000000" w:sz="10" w:space="0"/>
            </w:tcBorders>
            <w:vAlign w:val="top"/>
          </w:tcPr>
          <w:p w14:paraId="77CAC570">
            <w:pPr>
              <w:widowControl/>
              <w:spacing w:line="360" w:lineRule="auto"/>
              <w:jc w:val="center"/>
              <w:textAlignment w:val="center"/>
              <w:rPr>
                <w:rFonts w:hint="eastAsia" w:ascii="宋体" w:hAnsi="宋体" w:eastAsia="宋体" w:cs="宋体"/>
                <w:color w:val="auto"/>
                <w:kern w:val="0"/>
                <w:sz w:val="24"/>
                <w:szCs w:val="24"/>
              </w:rPr>
            </w:pPr>
          </w:p>
        </w:tc>
        <w:tc>
          <w:tcPr>
            <w:tcW w:w="1446" w:type="dxa"/>
            <w:tcBorders>
              <w:bottom w:val="single" w:color="000000" w:sz="10" w:space="0"/>
              <w:right w:val="single" w:color="000000" w:sz="10" w:space="0"/>
            </w:tcBorders>
            <w:vAlign w:val="top"/>
          </w:tcPr>
          <w:p w14:paraId="58597571">
            <w:pPr>
              <w:widowControl/>
              <w:spacing w:line="360" w:lineRule="auto"/>
              <w:jc w:val="center"/>
              <w:textAlignment w:val="center"/>
              <w:rPr>
                <w:rFonts w:hint="eastAsia" w:ascii="宋体" w:hAnsi="宋体" w:eastAsia="宋体" w:cs="宋体"/>
                <w:color w:val="auto"/>
                <w:kern w:val="0"/>
                <w:sz w:val="24"/>
                <w:szCs w:val="24"/>
              </w:rPr>
            </w:pPr>
          </w:p>
        </w:tc>
      </w:tr>
    </w:tbl>
    <w:p w14:paraId="7A94CC85">
      <w:pPr>
        <w:spacing w:line="360" w:lineRule="auto"/>
        <w:rPr>
          <w:rFonts w:hint="eastAsia" w:ascii="宋体" w:hAnsi="宋体" w:eastAsia="宋体" w:cs="宋体"/>
          <w:color w:val="auto"/>
          <w:sz w:val="28"/>
          <w:szCs w:val="28"/>
        </w:rPr>
      </w:pPr>
    </w:p>
    <w:p w14:paraId="468B8592">
      <w:pPr>
        <w:spacing w:line="360" w:lineRule="auto"/>
        <w:rPr>
          <w:rFonts w:hint="eastAsia" w:ascii="宋体" w:hAnsi="宋体" w:eastAsia="宋体" w:cs="宋体"/>
          <w:color w:val="auto"/>
          <w:sz w:val="28"/>
          <w:szCs w:val="28"/>
        </w:rPr>
        <w:sectPr>
          <w:headerReference r:id="rId6" w:type="default"/>
          <w:footerReference r:id="rId7" w:type="default"/>
          <w:pgSz w:w="11906" w:h="16839"/>
          <w:pgMar w:top="1440" w:right="1800" w:bottom="1440" w:left="1800" w:header="0" w:footer="408" w:gutter="0"/>
          <w:pgNumType w:fmt="decimal"/>
          <w:cols w:space="720" w:num="1"/>
        </w:sectPr>
      </w:pPr>
    </w:p>
    <w:p w14:paraId="1142A94A">
      <w:pPr>
        <w:pStyle w:val="30"/>
        <w:spacing w:line="360" w:lineRule="auto"/>
        <w:rPr>
          <w:rFonts w:hint="eastAsia" w:ascii="宋体" w:hAnsi="宋体" w:eastAsia="宋体" w:cs="宋体"/>
          <w:b w:val="0"/>
          <w:bCs w:val="0"/>
          <w:color w:val="auto"/>
          <w:sz w:val="20"/>
          <w:szCs w:val="28"/>
        </w:rPr>
      </w:pPr>
    </w:p>
    <w:p w14:paraId="048A1BE2">
      <w:pPr>
        <w:keepNext w:val="0"/>
        <w:keepLines w:val="0"/>
        <w:pageBreakBefore w:val="0"/>
        <w:widowControl w:val="0"/>
        <w:kinsoku/>
        <w:wordWrap/>
        <w:overflowPunct/>
        <w:topLinePunct w:val="0"/>
        <w:autoSpaceDE/>
        <w:autoSpaceDN/>
        <w:bidi w:val="0"/>
        <w:adjustRightInd/>
        <w:snapToGrid/>
        <w:spacing w:before="65" w:line="360" w:lineRule="auto"/>
        <w:ind w:left="311"/>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8"/>
          <w:sz w:val="28"/>
          <w:szCs w:val="28"/>
        </w:rPr>
        <w:t>3</w:t>
      </w:r>
      <w:r>
        <w:rPr>
          <w:rFonts w:hint="eastAsia" w:ascii="宋体" w:hAnsi="宋体" w:eastAsia="宋体" w:cs="宋体"/>
          <w:b w:val="0"/>
          <w:bCs w:val="0"/>
          <w:color w:val="auto"/>
          <w:spacing w:val="4"/>
          <w:sz w:val="28"/>
          <w:szCs w:val="28"/>
        </w:rPr>
        <w:t>.2.2 主要项目管理人员简历表</w:t>
      </w:r>
    </w:p>
    <w:p w14:paraId="748EAAF0">
      <w:pPr>
        <w:keepNext w:val="0"/>
        <w:keepLines w:val="0"/>
        <w:pageBreakBefore w:val="0"/>
        <w:widowControl w:val="0"/>
        <w:kinsoku/>
        <w:wordWrap/>
        <w:overflowPunct/>
        <w:topLinePunct w:val="0"/>
        <w:autoSpaceDE/>
        <w:autoSpaceDN/>
        <w:bidi w:val="0"/>
        <w:adjustRightInd/>
        <w:snapToGrid/>
        <w:spacing w:before="172" w:line="360" w:lineRule="auto"/>
        <w:ind w:left="307" w:right="245" w:firstLine="1"/>
        <w:textAlignment w:val="auto"/>
        <w:rPr>
          <w:rFonts w:hint="eastAsia" w:ascii="宋体" w:hAnsi="宋体" w:eastAsia="宋体" w:cs="宋体"/>
          <w:color w:val="auto"/>
          <w:sz w:val="28"/>
          <w:szCs w:val="28"/>
        </w:rPr>
      </w:pPr>
      <w:r>
        <w:rPr>
          <w:rFonts w:hint="eastAsia" w:ascii="宋体" w:hAnsi="宋体" w:eastAsia="宋体" w:cs="宋体"/>
          <w:color w:val="auto"/>
          <w:spacing w:val="14"/>
          <w:sz w:val="28"/>
          <w:szCs w:val="28"/>
        </w:rPr>
        <w:t>主要项</w:t>
      </w:r>
      <w:r>
        <w:rPr>
          <w:rFonts w:hint="eastAsia" w:ascii="宋体" w:hAnsi="宋体" w:eastAsia="宋体" w:cs="宋体"/>
          <w:color w:val="auto"/>
          <w:spacing w:val="7"/>
          <w:sz w:val="28"/>
          <w:szCs w:val="28"/>
        </w:rPr>
        <w:t>目管理人员指</w:t>
      </w:r>
      <w:r>
        <w:rPr>
          <w:rFonts w:hint="eastAsia" w:ascii="宋体" w:hAnsi="宋体" w:eastAsia="宋体" w:cs="宋体"/>
          <w:color w:val="auto"/>
          <w:spacing w:val="7"/>
          <w:sz w:val="28"/>
          <w:szCs w:val="28"/>
          <w:lang w:val="en-US" w:eastAsia="zh-CN"/>
        </w:rPr>
        <w:t>监理工程师</w:t>
      </w:r>
      <w:r>
        <w:rPr>
          <w:rFonts w:hint="eastAsia" w:ascii="宋体" w:hAnsi="宋体" w:eastAsia="宋体" w:cs="宋体"/>
          <w:color w:val="auto"/>
          <w:spacing w:val="7"/>
          <w:sz w:val="28"/>
          <w:szCs w:val="28"/>
        </w:rPr>
        <w:t>、</w:t>
      </w:r>
      <w:r>
        <w:rPr>
          <w:rFonts w:hint="eastAsia" w:ascii="宋体" w:hAnsi="宋体" w:eastAsia="宋体" w:cs="宋体"/>
          <w:color w:val="auto"/>
          <w:spacing w:val="7"/>
          <w:sz w:val="28"/>
          <w:szCs w:val="28"/>
          <w:lang w:val="en-US" w:eastAsia="zh-CN"/>
        </w:rPr>
        <w:t>监理员</w:t>
      </w:r>
      <w:r>
        <w:rPr>
          <w:rFonts w:hint="eastAsia" w:ascii="宋体" w:hAnsi="宋体" w:eastAsia="宋体" w:cs="宋体"/>
          <w:color w:val="auto"/>
          <w:spacing w:val="7"/>
          <w:sz w:val="28"/>
          <w:szCs w:val="28"/>
        </w:rPr>
        <w:t>等岗位人员。应附注</w:t>
      </w:r>
      <w:r>
        <w:rPr>
          <w:rFonts w:hint="eastAsia" w:ascii="宋体" w:hAnsi="宋体" w:eastAsia="宋体" w:cs="宋体"/>
          <w:color w:val="auto"/>
          <w:spacing w:val="2"/>
          <w:sz w:val="28"/>
          <w:szCs w:val="28"/>
        </w:rPr>
        <w:t>册资格证书 (</w:t>
      </w:r>
      <w:r>
        <w:rPr>
          <w:rFonts w:hint="eastAsia" w:ascii="宋体" w:hAnsi="宋体" w:eastAsia="宋体" w:cs="宋体"/>
          <w:color w:val="auto"/>
          <w:spacing w:val="1"/>
          <w:sz w:val="28"/>
          <w:szCs w:val="28"/>
        </w:rPr>
        <w:t>如有) 、身份证、职称证 (如有) 、学历证、社保 (近</w:t>
      </w:r>
      <w:r>
        <w:rPr>
          <w:rFonts w:hint="eastAsia" w:ascii="宋体" w:hAnsi="宋体" w:eastAsia="宋体" w:cs="宋体"/>
          <w:color w:val="auto"/>
          <w:spacing w:val="1"/>
          <w:sz w:val="28"/>
          <w:szCs w:val="28"/>
          <w:lang w:val="en-US" w:eastAsia="zh-CN"/>
        </w:rPr>
        <w:t>6</w:t>
      </w:r>
      <w:r>
        <w:rPr>
          <w:rFonts w:hint="eastAsia" w:ascii="宋体" w:hAnsi="宋体" w:eastAsia="宋体" w:cs="宋体"/>
          <w:color w:val="auto"/>
          <w:spacing w:val="1"/>
          <w:sz w:val="28"/>
          <w:szCs w:val="28"/>
        </w:rPr>
        <w:t>个月</w:t>
      </w:r>
      <w:r>
        <w:rPr>
          <w:rFonts w:hint="eastAsia" w:ascii="宋体" w:hAnsi="宋体" w:eastAsia="宋体" w:cs="宋体"/>
          <w:color w:val="auto"/>
          <w:spacing w:val="1"/>
          <w:sz w:val="28"/>
          <w:szCs w:val="28"/>
          <w:lang w:val="en-US" w:eastAsia="zh-CN"/>
        </w:rPr>
        <w:t>任意一月</w:t>
      </w:r>
      <w:r>
        <w:rPr>
          <w:rFonts w:hint="eastAsia" w:ascii="宋体" w:hAnsi="宋体" w:eastAsia="宋体" w:cs="宋体"/>
          <w:color w:val="auto"/>
          <w:spacing w:val="1"/>
          <w:sz w:val="28"/>
          <w:szCs w:val="28"/>
        </w:rPr>
        <w:t>) 等资料</w:t>
      </w:r>
      <w:r>
        <w:rPr>
          <w:rFonts w:hint="eastAsia" w:ascii="宋体" w:hAnsi="宋体" w:eastAsia="宋体" w:cs="宋体"/>
          <w:color w:val="auto"/>
          <w:spacing w:val="1"/>
          <w:sz w:val="28"/>
          <w:szCs w:val="28"/>
          <w:lang w:eastAsia="zh-CN"/>
        </w:rPr>
        <w:t>扫描件</w:t>
      </w:r>
      <w:r>
        <w:rPr>
          <w:rFonts w:hint="eastAsia" w:ascii="宋体" w:hAnsi="宋体" w:eastAsia="宋体" w:cs="宋体"/>
          <w:color w:val="auto"/>
          <w:spacing w:val="9"/>
          <w:sz w:val="28"/>
          <w:szCs w:val="28"/>
        </w:rPr>
        <w:t>，主要业绩须附合同协议书。</w:t>
      </w:r>
    </w:p>
    <w:tbl>
      <w:tblPr>
        <w:tblStyle w:val="10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788"/>
        <w:gridCol w:w="3418"/>
        <w:gridCol w:w="1260"/>
        <w:gridCol w:w="2300"/>
      </w:tblGrid>
      <w:tr w14:paraId="52F1E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8904" w:type="dxa"/>
            <w:gridSpan w:val="5"/>
            <w:vAlign w:val="top"/>
          </w:tcPr>
          <w:p w14:paraId="5B76F1A8">
            <w:pPr>
              <w:keepNext w:val="0"/>
              <w:keepLines w:val="0"/>
              <w:pageBreakBefore w:val="0"/>
              <w:widowControl w:val="0"/>
              <w:kinsoku/>
              <w:wordWrap/>
              <w:overflowPunct/>
              <w:topLinePunct w:val="0"/>
              <w:autoSpaceDE/>
              <w:autoSpaceDN/>
              <w:bidi w:val="0"/>
              <w:adjustRightInd/>
              <w:snapToGrid/>
              <w:spacing w:before="190" w:line="360" w:lineRule="auto"/>
              <w:ind w:left="138"/>
              <w:textAlignment w:val="auto"/>
              <w:rPr>
                <w:rFonts w:hint="eastAsia" w:ascii="宋体" w:hAnsi="宋体" w:eastAsia="宋体" w:cs="宋体"/>
                <w:color w:val="auto"/>
                <w:sz w:val="28"/>
                <w:szCs w:val="28"/>
              </w:rPr>
            </w:pPr>
            <w:r>
              <w:rPr>
                <w:rFonts w:hint="eastAsia" w:ascii="宋体" w:hAnsi="宋体" w:eastAsia="宋体" w:cs="宋体"/>
                <w:color w:val="auto"/>
                <w:spacing w:val="2"/>
                <w:sz w:val="28"/>
                <w:szCs w:val="28"/>
              </w:rPr>
              <w:t>岗位</w:t>
            </w:r>
            <w:r>
              <w:rPr>
                <w:rFonts w:hint="eastAsia" w:ascii="宋体" w:hAnsi="宋体" w:eastAsia="宋体" w:cs="宋体"/>
                <w:color w:val="auto"/>
                <w:spacing w:val="1"/>
                <w:sz w:val="28"/>
                <w:szCs w:val="28"/>
              </w:rPr>
              <w:t>名称</w:t>
            </w:r>
          </w:p>
        </w:tc>
      </w:tr>
      <w:tr w14:paraId="33442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1926" w:type="dxa"/>
            <w:gridSpan w:val="2"/>
            <w:vAlign w:val="top"/>
          </w:tcPr>
          <w:p w14:paraId="65D82CF1">
            <w:pPr>
              <w:keepNext w:val="0"/>
              <w:keepLines w:val="0"/>
              <w:pageBreakBefore w:val="0"/>
              <w:widowControl w:val="0"/>
              <w:kinsoku/>
              <w:wordWrap/>
              <w:overflowPunct/>
              <w:topLinePunct w:val="0"/>
              <w:autoSpaceDE/>
              <w:autoSpaceDN/>
              <w:bidi w:val="0"/>
              <w:adjustRightInd/>
              <w:snapToGrid/>
              <w:spacing w:before="186" w:line="360" w:lineRule="auto"/>
              <w:ind w:left="115"/>
              <w:textAlignment w:val="auto"/>
              <w:rPr>
                <w:rFonts w:hint="eastAsia" w:ascii="宋体" w:hAnsi="宋体" w:eastAsia="宋体" w:cs="宋体"/>
                <w:color w:val="auto"/>
                <w:sz w:val="28"/>
                <w:szCs w:val="28"/>
              </w:rPr>
            </w:pPr>
            <w:r>
              <w:rPr>
                <w:rFonts w:hint="eastAsia" w:ascii="宋体" w:hAnsi="宋体" w:eastAsia="宋体" w:cs="宋体"/>
                <w:color w:val="auto"/>
                <w:spacing w:val="5"/>
                <w:sz w:val="28"/>
                <w:szCs w:val="28"/>
              </w:rPr>
              <w:t>姓</w:t>
            </w:r>
            <w:r>
              <w:rPr>
                <w:rFonts w:hint="eastAsia" w:ascii="宋体" w:hAnsi="宋体" w:eastAsia="宋体" w:cs="宋体"/>
                <w:color w:val="auto"/>
                <w:spacing w:val="4"/>
                <w:sz w:val="28"/>
                <w:szCs w:val="28"/>
              </w:rPr>
              <w:t>名</w:t>
            </w:r>
          </w:p>
        </w:tc>
        <w:tc>
          <w:tcPr>
            <w:tcW w:w="3418" w:type="dxa"/>
            <w:vAlign w:val="top"/>
          </w:tcPr>
          <w:p w14:paraId="242CD4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260" w:type="dxa"/>
            <w:vAlign w:val="top"/>
          </w:tcPr>
          <w:p w14:paraId="7C15E2C4">
            <w:pPr>
              <w:keepNext w:val="0"/>
              <w:keepLines w:val="0"/>
              <w:pageBreakBefore w:val="0"/>
              <w:widowControl w:val="0"/>
              <w:kinsoku/>
              <w:wordWrap/>
              <w:overflowPunct/>
              <w:topLinePunct w:val="0"/>
              <w:autoSpaceDE/>
              <w:autoSpaceDN/>
              <w:bidi w:val="0"/>
              <w:adjustRightInd/>
              <w:snapToGrid/>
              <w:spacing w:before="186" w:line="360" w:lineRule="auto"/>
              <w:ind w:left="114"/>
              <w:textAlignment w:val="auto"/>
              <w:rPr>
                <w:rFonts w:hint="eastAsia" w:ascii="宋体" w:hAnsi="宋体" w:eastAsia="宋体" w:cs="宋体"/>
                <w:color w:val="auto"/>
                <w:sz w:val="28"/>
                <w:szCs w:val="28"/>
              </w:rPr>
            </w:pPr>
            <w:r>
              <w:rPr>
                <w:rFonts w:hint="eastAsia" w:ascii="宋体" w:hAnsi="宋体" w:eastAsia="宋体" w:cs="宋体"/>
                <w:color w:val="auto"/>
                <w:spacing w:val="4"/>
                <w:sz w:val="28"/>
                <w:szCs w:val="28"/>
              </w:rPr>
              <w:t>年龄</w:t>
            </w:r>
          </w:p>
        </w:tc>
        <w:tc>
          <w:tcPr>
            <w:tcW w:w="2300" w:type="dxa"/>
            <w:vAlign w:val="top"/>
          </w:tcPr>
          <w:p w14:paraId="46B58E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17BD4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926" w:type="dxa"/>
            <w:gridSpan w:val="2"/>
            <w:vAlign w:val="top"/>
          </w:tcPr>
          <w:p w14:paraId="03C79994">
            <w:pPr>
              <w:keepNext w:val="0"/>
              <w:keepLines w:val="0"/>
              <w:pageBreakBefore w:val="0"/>
              <w:widowControl w:val="0"/>
              <w:kinsoku/>
              <w:wordWrap/>
              <w:overflowPunct/>
              <w:topLinePunct w:val="0"/>
              <w:autoSpaceDE/>
              <w:autoSpaceDN/>
              <w:bidi w:val="0"/>
              <w:adjustRightInd/>
              <w:snapToGrid/>
              <w:spacing w:before="175" w:line="360" w:lineRule="auto"/>
              <w:ind w:left="115"/>
              <w:textAlignment w:val="auto"/>
              <w:rPr>
                <w:rFonts w:hint="eastAsia" w:ascii="宋体" w:hAnsi="宋体" w:eastAsia="宋体" w:cs="宋体"/>
                <w:color w:val="auto"/>
                <w:sz w:val="28"/>
                <w:szCs w:val="28"/>
              </w:rPr>
            </w:pPr>
            <w:r>
              <w:rPr>
                <w:rFonts w:hint="eastAsia" w:ascii="宋体" w:hAnsi="宋体" w:eastAsia="宋体" w:cs="宋体"/>
                <w:color w:val="auto"/>
                <w:spacing w:val="5"/>
                <w:sz w:val="28"/>
                <w:szCs w:val="28"/>
              </w:rPr>
              <w:t>性</w:t>
            </w:r>
            <w:r>
              <w:rPr>
                <w:rFonts w:hint="eastAsia" w:ascii="宋体" w:hAnsi="宋体" w:eastAsia="宋体" w:cs="宋体"/>
                <w:color w:val="auto"/>
                <w:spacing w:val="4"/>
                <w:sz w:val="28"/>
                <w:szCs w:val="28"/>
              </w:rPr>
              <w:t>别</w:t>
            </w:r>
          </w:p>
        </w:tc>
        <w:tc>
          <w:tcPr>
            <w:tcW w:w="3418" w:type="dxa"/>
            <w:vAlign w:val="top"/>
          </w:tcPr>
          <w:p w14:paraId="7B4251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260" w:type="dxa"/>
            <w:vAlign w:val="top"/>
          </w:tcPr>
          <w:p w14:paraId="1B5FBA64">
            <w:pPr>
              <w:keepNext w:val="0"/>
              <w:keepLines w:val="0"/>
              <w:pageBreakBefore w:val="0"/>
              <w:widowControl w:val="0"/>
              <w:kinsoku/>
              <w:wordWrap/>
              <w:overflowPunct/>
              <w:topLinePunct w:val="0"/>
              <w:autoSpaceDE/>
              <w:autoSpaceDN/>
              <w:bidi w:val="0"/>
              <w:adjustRightInd/>
              <w:snapToGrid/>
              <w:spacing w:before="175" w:line="360" w:lineRule="auto"/>
              <w:ind w:left="117"/>
              <w:textAlignment w:val="auto"/>
              <w:rPr>
                <w:rFonts w:hint="eastAsia" w:ascii="宋体" w:hAnsi="宋体" w:eastAsia="宋体" w:cs="宋体"/>
                <w:color w:val="auto"/>
                <w:sz w:val="28"/>
                <w:szCs w:val="28"/>
              </w:rPr>
            </w:pPr>
            <w:r>
              <w:rPr>
                <w:rFonts w:hint="eastAsia" w:ascii="宋体" w:hAnsi="宋体" w:eastAsia="宋体" w:cs="宋体"/>
                <w:color w:val="auto"/>
                <w:spacing w:val="7"/>
                <w:sz w:val="28"/>
                <w:szCs w:val="28"/>
              </w:rPr>
              <w:t>毕</w:t>
            </w:r>
            <w:r>
              <w:rPr>
                <w:rFonts w:hint="eastAsia" w:ascii="宋体" w:hAnsi="宋体" w:eastAsia="宋体" w:cs="宋体"/>
                <w:color w:val="auto"/>
                <w:spacing w:val="6"/>
                <w:sz w:val="28"/>
                <w:szCs w:val="28"/>
              </w:rPr>
              <w:t>业学校</w:t>
            </w:r>
          </w:p>
        </w:tc>
        <w:tc>
          <w:tcPr>
            <w:tcW w:w="2300" w:type="dxa"/>
            <w:vAlign w:val="top"/>
          </w:tcPr>
          <w:p w14:paraId="1B1CBE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24FEA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926" w:type="dxa"/>
            <w:gridSpan w:val="2"/>
            <w:vAlign w:val="top"/>
          </w:tcPr>
          <w:p w14:paraId="22033192">
            <w:pPr>
              <w:keepNext w:val="0"/>
              <w:keepLines w:val="0"/>
              <w:pageBreakBefore w:val="0"/>
              <w:widowControl w:val="0"/>
              <w:kinsoku/>
              <w:wordWrap/>
              <w:overflowPunct/>
              <w:topLinePunct w:val="0"/>
              <w:autoSpaceDE/>
              <w:autoSpaceDN/>
              <w:bidi w:val="0"/>
              <w:adjustRightInd/>
              <w:snapToGrid/>
              <w:spacing w:before="173" w:line="360" w:lineRule="auto"/>
              <w:ind w:left="119"/>
              <w:textAlignment w:val="auto"/>
              <w:rPr>
                <w:rFonts w:hint="eastAsia" w:ascii="宋体" w:hAnsi="宋体" w:eastAsia="宋体" w:cs="宋体"/>
                <w:color w:val="auto"/>
                <w:sz w:val="28"/>
                <w:szCs w:val="28"/>
              </w:rPr>
            </w:pPr>
            <w:r>
              <w:rPr>
                <w:rFonts w:hint="eastAsia" w:ascii="宋体" w:hAnsi="宋体" w:eastAsia="宋体" w:cs="宋体"/>
                <w:color w:val="auto"/>
                <w:spacing w:val="8"/>
                <w:sz w:val="28"/>
                <w:szCs w:val="28"/>
              </w:rPr>
              <w:t>学</w:t>
            </w:r>
            <w:r>
              <w:rPr>
                <w:rFonts w:hint="eastAsia" w:ascii="宋体" w:hAnsi="宋体" w:eastAsia="宋体" w:cs="宋体"/>
                <w:color w:val="auto"/>
                <w:spacing w:val="7"/>
                <w:sz w:val="28"/>
                <w:szCs w:val="28"/>
              </w:rPr>
              <w:t>历和专业</w:t>
            </w:r>
          </w:p>
        </w:tc>
        <w:tc>
          <w:tcPr>
            <w:tcW w:w="3418" w:type="dxa"/>
            <w:vAlign w:val="top"/>
          </w:tcPr>
          <w:p w14:paraId="7FA74E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260" w:type="dxa"/>
            <w:vAlign w:val="top"/>
          </w:tcPr>
          <w:p w14:paraId="0CBEA828">
            <w:pPr>
              <w:keepNext w:val="0"/>
              <w:keepLines w:val="0"/>
              <w:pageBreakBefore w:val="0"/>
              <w:widowControl w:val="0"/>
              <w:kinsoku/>
              <w:wordWrap/>
              <w:overflowPunct/>
              <w:topLinePunct w:val="0"/>
              <w:autoSpaceDE/>
              <w:autoSpaceDN/>
              <w:bidi w:val="0"/>
              <w:adjustRightInd/>
              <w:snapToGrid/>
              <w:spacing w:before="173" w:line="360" w:lineRule="auto"/>
              <w:ind w:left="117"/>
              <w:textAlignment w:val="auto"/>
              <w:rPr>
                <w:rFonts w:hint="eastAsia" w:ascii="宋体" w:hAnsi="宋体" w:eastAsia="宋体" w:cs="宋体"/>
                <w:color w:val="auto"/>
                <w:sz w:val="28"/>
                <w:szCs w:val="28"/>
              </w:rPr>
            </w:pPr>
            <w:r>
              <w:rPr>
                <w:rFonts w:hint="eastAsia" w:ascii="宋体" w:hAnsi="宋体" w:eastAsia="宋体" w:cs="宋体"/>
                <w:color w:val="auto"/>
                <w:spacing w:val="7"/>
                <w:sz w:val="28"/>
                <w:szCs w:val="28"/>
              </w:rPr>
              <w:t>毕</w:t>
            </w:r>
            <w:r>
              <w:rPr>
                <w:rFonts w:hint="eastAsia" w:ascii="宋体" w:hAnsi="宋体" w:eastAsia="宋体" w:cs="宋体"/>
                <w:color w:val="auto"/>
                <w:spacing w:val="6"/>
                <w:sz w:val="28"/>
                <w:szCs w:val="28"/>
              </w:rPr>
              <w:t>业时间</w:t>
            </w:r>
          </w:p>
        </w:tc>
        <w:tc>
          <w:tcPr>
            <w:tcW w:w="2300" w:type="dxa"/>
            <w:vAlign w:val="top"/>
          </w:tcPr>
          <w:p w14:paraId="2FB5BA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01DD9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926" w:type="dxa"/>
            <w:gridSpan w:val="2"/>
            <w:vAlign w:val="top"/>
          </w:tcPr>
          <w:p w14:paraId="3C6D1C14">
            <w:pPr>
              <w:keepNext w:val="0"/>
              <w:keepLines w:val="0"/>
              <w:pageBreakBefore w:val="0"/>
              <w:widowControl w:val="0"/>
              <w:kinsoku/>
              <w:wordWrap/>
              <w:overflowPunct/>
              <w:topLinePunct w:val="0"/>
              <w:autoSpaceDE/>
              <w:autoSpaceDN/>
              <w:bidi w:val="0"/>
              <w:adjustRightInd/>
              <w:snapToGrid/>
              <w:spacing w:before="173" w:line="360" w:lineRule="auto"/>
              <w:textAlignment w:val="auto"/>
              <w:rPr>
                <w:rFonts w:hint="eastAsia" w:ascii="宋体" w:hAnsi="宋体" w:eastAsia="宋体" w:cs="宋体"/>
                <w:color w:val="auto"/>
                <w:sz w:val="28"/>
                <w:szCs w:val="28"/>
              </w:rPr>
            </w:pPr>
            <w:r>
              <w:rPr>
                <w:rFonts w:hint="eastAsia" w:ascii="宋体" w:hAnsi="宋体" w:eastAsia="宋体" w:cs="宋体"/>
                <w:color w:val="auto"/>
                <w:spacing w:val="12"/>
                <w:sz w:val="28"/>
                <w:szCs w:val="28"/>
              </w:rPr>
              <w:t>拥</w:t>
            </w:r>
            <w:r>
              <w:rPr>
                <w:rFonts w:hint="eastAsia" w:ascii="宋体" w:hAnsi="宋体" w:eastAsia="宋体" w:cs="宋体"/>
                <w:color w:val="auto"/>
                <w:spacing w:val="8"/>
                <w:sz w:val="28"/>
                <w:szCs w:val="28"/>
              </w:rPr>
              <w:t>有的执业资格</w:t>
            </w:r>
          </w:p>
        </w:tc>
        <w:tc>
          <w:tcPr>
            <w:tcW w:w="3418" w:type="dxa"/>
            <w:vAlign w:val="top"/>
          </w:tcPr>
          <w:p w14:paraId="0A4C38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260" w:type="dxa"/>
            <w:vAlign w:val="top"/>
          </w:tcPr>
          <w:p w14:paraId="08925490">
            <w:pPr>
              <w:keepNext w:val="0"/>
              <w:keepLines w:val="0"/>
              <w:pageBreakBefore w:val="0"/>
              <w:widowControl w:val="0"/>
              <w:kinsoku/>
              <w:wordWrap/>
              <w:overflowPunct/>
              <w:topLinePunct w:val="0"/>
              <w:autoSpaceDE/>
              <w:autoSpaceDN/>
              <w:bidi w:val="0"/>
              <w:adjustRightInd/>
              <w:snapToGrid/>
              <w:spacing w:before="173" w:line="360" w:lineRule="auto"/>
              <w:ind w:left="114"/>
              <w:textAlignment w:val="auto"/>
              <w:rPr>
                <w:rFonts w:hint="eastAsia" w:ascii="宋体" w:hAnsi="宋体" w:eastAsia="宋体" w:cs="宋体"/>
                <w:color w:val="auto"/>
                <w:sz w:val="28"/>
                <w:szCs w:val="28"/>
              </w:rPr>
            </w:pPr>
            <w:r>
              <w:rPr>
                <w:rFonts w:hint="eastAsia" w:ascii="宋体" w:hAnsi="宋体" w:eastAsia="宋体" w:cs="宋体"/>
                <w:color w:val="auto"/>
                <w:spacing w:val="7"/>
                <w:sz w:val="28"/>
                <w:szCs w:val="28"/>
              </w:rPr>
              <w:t>专业职称</w:t>
            </w:r>
          </w:p>
        </w:tc>
        <w:tc>
          <w:tcPr>
            <w:tcW w:w="2300" w:type="dxa"/>
            <w:vAlign w:val="top"/>
          </w:tcPr>
          <w:p w14:paraId="25DCAE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076DD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926" w:type="dxa"/>
            <w:gridSpan w:val="2"/>
            <w:vAlign w:val="top"/>
          </w:tcPr>
          <w:p w14:paraId="5A91B52B">
            <w:pPr>
              <w:keepNext w:val="0"/>
              <w:keepLines w:val="0"/>
              <w:pageBreakBefore w:val="0"/>
              <w:widowControl w:val="0"/>
              <w:kinsoku/>
              <w:wordWrap/>
              <w:overflowPunct/>
              <w:topLinePunct w:val="0"/>
              <w:autoSpaceDE/>
              <w:autoSpaceDN/>
              <w:bidi w:val="0"/>
              <w:adjustRightInd/>
              <w:snapToGrid/>
              <w:spacing w:before="185" w:line="360" w:lineRule="auto"/>
              <w:textAlignment w:val="auto"/>
              <w:rPr>
                <w:rFonts w:hint="eastAsia" w:ascii="宋体" w:hAnsi="宋体" w:eastAsia="宋体" w:cs="宋体"/>
                <w:color w:val="auto"/>
                <w:sz w:val="28"/>
                <w:szCs w:val="28"/>
              </w:rPr>
            </w:pPr>
            <w:r>
              <w:rPr>
                <w:rFonts w:hint="eastAsia" w:ascii="宋体" w:hAnsi="宋体" w:eastAsia="宋体" w:cs="宋体"/>
                <w:color w:val="auto"/>
                <w:spacing w:val="13"/>
                <w:sz w:val="28"/>
                <w:szCs w:val="28"/>
              </w:rPr>
              <w:t>执</w:t>
            </w:r>
            <w:r>
              <w:rPr>
                <w:rFonts w:hint="eastAsia" w:ascii="宋体" w:hAnsi="宋体" w:eastAsia="宋体" w:cs="宋体"/>
                <w:color w:val="auto"/>
                <w:spacing w:val="8"/>
                <w:sz w:val="28"/>
                <w:szCs w:val="28"/>
              </w:rPr>
              <w:t>业资格证书编号</w:t>
            </w:r>
          </w:p>
        </w:tc>
        <w:tc>
          <w:tcPr>
            <w:tcW w:w="3418" w:type="dxa"/>
            <w:vAlign w:val="top"/>
          </w:tcPr>
          <w:p w14:paraId="291C4B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260" w:type="dxa"/>
            <w:vAlign w:val="top"/>
          </w:tcPr>
          <w:p w14:paraId="6CDDDECC">
            <w:pPr>
              <w:keepNext w:val="0"/>
              <w:keepLines w:val="0"/>
              <w:pageBreakBefore w:val="0"/>
              <w:widowControl w:val="0"/>
              <w:kinsoku/>
              <w:wordWrap/>
              <w:overflowPunct/>
              <w:topLinePunct w:val="0"/>
              <w:autoSpaceDE/>
              <w:autoSpaceDN/>
              <w:bidi w:val="0"/>
              <w:adjustRightInd/>
              <w:snapToGrid/>
              <w:spacing w:before="186" w:line="360" w:lineRule="auto"/>
              <w:ind w:left="116"/>
              <w:textAlignment w:val="auto"/>
              <w:rPr>
                <w:rFonts w:hint="eastAsia" w:ascii="宋体" w:hAnsi="宋体" w:eastAsia="宋体" w:cs="宋体"/>
                <w:color w:val="auto"/>
                <w:sz w:val="28"/>
                <w:szCs w:val="28"/>
              </w:rPr>
            </w:pPr>
            <w:r>
              <w:rPr>
                <w:rFonts w:hint="eastAsia" w:ascii="宋体" w:hAnsi="宋体" w:eastAsia="宋体" w:cs="宋体"/>
                <w:color w:val="auto"/>
                <w:spacing w:val="9"/>
                <w:sz w:val="28"/>
                <w:szCs w:val="28"/>
              </w:rPr>
              <w:t>工</w:t>
            </w:r>
            <w:r>
              <w:rPr>
                <w:rFonts w:hint="eastAsia" w:ascii="宋体" w:hAnsi="宋体" w:eastAsia="宋体" w:cs="宋体"/>
                <w:color w:val="auto"/>
                <w:spacing w:val="6"/>
                <w:sz w:val="28"/>
                <w:szCs w:val="28"/>
              </w:rPr>
              <w:t>作年限</w:t>
            </w:r>
          </w:p>
        </w:tc>
        <w:tc>
          <w:tcPr>
            <w:tcW w:w="2300" w:type="dxa"/>
            <w:vAlign w:val="top"/>
          </w:tcPr>
          <w:p w14:paraId="6CB835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4737B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138" w:type="dxa"/>
            <w:vAlign w:val="top"/>
          </w:tcPr>
          <w:p w14:paraId="27FCDE90">
            <w:pPr>
              <w:keepNext w:val="0"/>
              <w:keepLines w:val="0"/>
              <w:pageBreakBefore w:val="0"/>
              <w:widowControl w:val="0"/>
              <w:kinsoku/>
              <w:wordWrap/>
              <w:overflowPunct/>
              <w:topLinePunct w:val="0"/>
              <w:autoSpaceDE/>
              <w:autoSpaceDN/>
              <w:bidi w:val="0"/>
              <w:adjustRightInd/>
              <w:snapToGrid/>
              <w:spacing w:before="283" w:line="36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主要工作业绩及担任的主要工作</w:t>
            </w:r>
          </w:p>
        </w:tc>
        <w:tc>
          <w:tcPr>
            <w:tcW w:w="7766" w:type="dxa"/>
            <w:gridSpan w:val="4"/>
            <w:vAlign w:val="top"/>
          </w:tcPr>
          <w:p w14:paraId="6D0ABC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bl>
    <w:p w14:paraId="398791CB">
      <w:pPr>
        <w:spacing w:line="360" w:lineRule="auto"/>
        <w:rPr>
          <w:rFonts w:hint="eastAsia" w:ascii="宋体" w:hAnsi="宋体" w:eastAsia="宋体" w:cs="宋体"/>
          <w:color w:val="auto"/>
          <w:sz w:val="22"/>
          <w:szCs w:val="28"/>
        </w:rPr>
      </w:pPr>
    </w:p>
    <w:p w14:paraId="33723130">
      <w:pPr>
        <w:spacing w:line="360" w:lineRule="auto"/>
        <w:rPr>
          <w:rFonts w:hint="eastAsia" w:ascii="宋体" w:hAnsi="宋体" w:eastAsia="宋体" w:cs="宋体"/>
          <w:color w:val="auto"/>
          <w:sz w:val="22"/>
          <w:szCs w:val="28"/>
        </w:rPr>
        <w:sectPr>
          <w:footerReference r:id="rId8" w:type="default"/>
          <w:pgSz w:w="11906" w:h="16839"/>
          <w:pgMar w:top="1440" w:right="1800" w:bottom="1440" w:left="1800" w:header="0" w:footer="408" w:gutter="0"/>
          <w:pgNumType w:fmt="decimal"/>
          <w:cols w:space="720" w:num="1"/>
        </w:sectPr>
      </w:pPr>
    </w:p>
    <w:p w14:paraId="50EAAAB4">
      <w:pPr>
        <w:keepNext w:val="0"/>
        <w:keepLines w:val="0"/>
        <w:pageBreakBefore w:val="0"/>
        <w:widowControl w:val="0"/>
        <w:kinsoku/>
        <w:wordWrap/>
        <w:overflowPunct/>
        <w:topLinePunct w:val="0"/>
        <w:autoSpaceDE/>
        <w:autoSpaceDN/>
        <w:bidi w:val="0"/>
        <w:adjustRightInd/>
        <w:snapToGrid/>
        <w:spacing w:before="74" w:line="360" w:lineRule="auto"/>
        <w:ind w:left="3432"/>
        <w:textAlignment w:val="auto"/>
        <w:outlineLvl w:val="1"/>
        <w:rPr>
          <w:rFonts w:hint="eastAsia" w:ascii="宋体" w:hAnsi="宋体" w:eastAsia="宋体" w:cs="宋体"/>
          <w:b/>
          <w:color w:val="auto"/>
          <w:kern w:val="0"/>
          <w:sz w:val="28"/>
          <w:szCs w:val="21"/>
          <w:lang w:val="en-US" w:eastAsia="zh-CN" w:bidi="ar-SA"/>
        </w:rPr>
      </w:pPr>
      <w:bookmarkStart w:id="637" w:name="_Toc10704"/>
      <w:bookmarkStart w:id="638" w:name="_Toc18432"/>
      <w:bookmarkStart w:id="639" w:name="_Toc527"/>
      <w:r>
        <w:rPr>
          <w:rFonts w:hint="eastAsia" w:ascii="宋体" w:hAnsi="宋体" w:eastAsia="宋体" w:cs="宋体"/>
          <w:b/>
          <w:color w:val="auto"/>
          <w:kern w:val="0"/>
          <w:sz w:val="28"/>
          <w:szCs w:val="21"/>
          <w:lang w:val="en-US" w:eastAsia="zh-CN" w:bidi="ar-SA"/>
        </w:rPr>
        <w:t>4.资格审查资料</w:t>
      </w:r>
      <w:bookmarkEnd w:id="637"/>
      <w:bookmarkEnd w:id="638"/>
      <w:bookmarkEnd w:id="639"/>
    </w:p>
    <w:p w14:paraId="74BDB466">
      <w:pPr>
        <w:keepNext w:val="0"/>
        <w:keepLines w:val="0"/>
        <w:pageBreakBefore w:val="0"/>
        <w:widowControl w:val="0"/>
        <w:kinsoku/>
        <w:wordWrap/>
        <w:overflowPunct/>
        <w:topLinePunct w:val="0"/>
        <w:autoSpaceDE/>
        <w:autoSpaceDN/>
        <w:bidi w:val="0"/>
        <w:adjustRightInd/>
        <w:snapToGrid/>
        <w:spacing w:before="274" w:line="360" w:lineRule="auto"/>
        <w:ind w:left="179"/>
        <w:textAlignment w:val="auto"/>
        <w:rPr>
          <w:rFonts w:hint="eastAsia" w:ascii="宋体" w:hAnsi="宋体" w:eastAsia="宋体" w:cs="宋体"/>
          <w:color w:val="auto"/>
          <w:sz w:val="28"/>
          <w:szCs w:val="28"/>
        </w:rPr>
      </w:pPr>
      <w:r>
        <w:rPr>
          <w:rFonts w:hint="eastAsia" w:ascii="宋体" w:hAnsi="宋体" w:eastAsia="宋体" w:cs="宋体"/>
          <w:color w:val="auto"/>
          <w:spacing w:val="4"/>
          <w:sz w:val="28"/>
          <w:szCs w:val="28"/>
        </w:rPr>
        <w:t>4</w:t>
      </w:r>
      <w:r>
        <w:rPr>
          <w:rFonts w:hint="eastAsia" w:ascii="宋体" w:hAnsi="宋体" w:eastAsia="宋体" w:cs="宋体"/>
          <w:color w:val="auto"/>
          <w:spacing w:val="3"/>
          <w:sz w:val="28"/>
          <w:szCs w:val="28"/>
        </w:rPr>
        <w:t>.1 投标人基本情况表</w:t>
      </w:r>
    </w:p>
    <w:tbl>
      <w:tblPr>
        <w:tblStyle w:val="107"/>
        <w:tblW w:w="91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5"/>
        <w:gridCol w:w="1023"/>
        <w:gridCol w:w="1166"/>
        <w:gridCol w:w="1134"/>
        <w:gridCol w:w="324"/>
        <w:gridCol w:w="228"/>
        <w:gridCol w:w="1423"/>
        <w:gridCol w:w="294"/>
        <w:gridCol w:w="810"/>
        <w:gridCol w:w="915"/>
      </w:tblGrid>
      <w:tr w14:paraId="3A018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865" w:type="dxa"/>
            <w:vAlign w:val="top"/>
          </w:tcPr>
          <w:p w14:paraId="613EB25F">
            <w:pPr>
              <w:keepNext w:val="0"/>
              <w:keepLines w:val="0"/>
              <w:pageBreakBefore w:val="0"/>
              <w:widowControl w:val="0"/>
              <w:kinsoku/>
              <w:wordWrap/>
              <w:overflowPunct/>
              <w:topLinePunct w:val="0"/>
              <w:autoSpaceDE/>
              <w:autoSpaceDN/>
              <w:bidi w:val="0"/>
              <w:adjustRightInd/>
              <w:snapToGrid/>
              <w:spacing w:before="184" w:line="360" w:lineRule="auto"/>
              <w:ind w:left="298"/>
              <w:textAlignment w:val="auto"/>
              <w:rPr>
                <w:rFonts w:hint="eastAsia" w:ascii="宋体" w:hAnsi="宋体" w:eastAsia="宋体" w:cs="宋体"/>
                <w:color w:val="auto"/>
                <w:sz w:val="28"/>
                <w:szCs w:val="28"/>
              </w:rPr>
            </w:pPr>
            <w:r>
              <w:rPr>
                <w:rFonts w:hint="eastAsia" w:ascii="宋体" w:hAnsi="宋体" w:eastAsia="宋体" w:cs="宋体"/>
                <w:color w:val="auto"/>
                <w:spacing w:val="10"/>
                <w:sz w:val="28"/>
                <w:szCs w:val="28"/>
              </w:rPr>
              <w:t>投</w:t>
            </w:r>
            <w:r>
              <w:rPr>
                <w:rFonts w:hint="eastAsia" w:ascii="宋体" w:hAnsi="宋体" w:eastAsia="宋体" w:cs="宋体"/>
                <w:color w:val="auto"/>
                <w:spacing w:val="7"/>
                <w:sz w:val="28"/>
                <w:szCs w:val="28"/>
              </w:rPr>
              <w:t>标人名称</w:t>
            </w:r>
          </w:p>
        </w:tc>
        <w:tc>
          <w:tcPr>
            <w:tcW w:w="7317" w:type="dxa"/>
            <w:gridSpan w:val="9"/>
            <w:vAlign w:val="top"/>
          </w:tcPr>
          <w:p w14:paraId="36FD13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00D0F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865" w:type="dxa"/>
            <w:vAlign w:val="top"/>
          </w:tcPr>
          <w:p w14:paraId="1DCC9E48">
            <w:pPr>
              <w:keepNext w:val="0"/>
              <w:keepLines w:val="0"/>
              <w:pageBreakBefore w:val="0"/>
              <w:widowControl w:val="0"/>
              <w:kinsoku/>
              <w:wordWrap/>
              <w:overflowPunct/>
              <w:topLinePunct w:val="0"/>
              <w:autoSpaceDE/>
              <w:autoSpaceDN/>
              <w:bidi w:val="0"/>
              <w:adjustRightInd/>
              <w:snapToGrid/>
              <w:spacing w:before="179" w:line="360" w:lineRule="auto"/>
              <w:ind w:left="401"/>
              <w:textAlignment w:val="auto"/>
              <w:rPr>
                <w:rFonts w:hint="eastAsia" w:ascii="宋体" w:hAnsi="宋体" w:eastAsia="宋体" w:cs="宋体"/>
                <w:color w:val="auto"/>
                <w:sz w:val="28"/>
                <w:szCs w:val="28"/>
              </w:rPr>
            </w:pPr>
            <w:r>
              <w:rPr>
                <w:rFonts w:hint="eastAsia" w:ascii="宋体" w:hAnsi="宋体" w:eastAsia="宋体" w:cs="宋体"/>
                <w:color w:val="auto"/>
                <w:spacing w:val="8"/>
                <w:sz w:val="28"/>
                <w:szCs w:val="28"/>
              </w:rPr>
              <w:t>注</w:t>
            </w:r>
            <w:r>
              <w:rPr>
                <w:rFonts w:hint="eastAsia" w:ascii="宋体" w:hAnsi="宋体" w:eastAsia="宋体" w:cs="宋体"/>
                <w:color w:val="auto"/>
                <w:spacing w:val="7"/>
                <w:sz w:val="28"/>
                <w:szCs w:val="28"/>
              </w:rPr>
              <w:t>册地址</w:t>
            </w:r>
          </w:p>
        </w:tc>
        <w:tc>
          <w:tcPr>
            <w:tcW w:w="3875" w:type="dxa"/>
            <w:gridSpan w:val="5"/>
            <w:vAlign w:val="top"/>
          </w:tcPr>
          <w:p w14:paraId="5DE6F2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423" w:type="dxa"/>
            <w:vAlign w:val="top"/>
          </w:tcPr>
          <w:p w14:paraId="6C80C3A7">
            <w:pPr>
              <w:keepNext w:val="0"/>
              <w:keepLines w:val="0"/>
              <w:pageBreakBefore w:val="0"/>
              <w:widowControl w:val="0"/>
              <w:kinsoku/>
              <w:wordWrap/>
              <w:overflowPunct/>
              <w:topLinePunct w:val="0"/>
              <w:autoSpaceDE/>
              <w:autoSpaceDN/>
              <w:bidi w:val="0"/>
              <w:adjustRightInd/>
              <w:snapToGrid/>
              <w:spacing w:before="179" w:line="360" w:lineRule="auto"/>
              <w:ind w:left="224"/>
              <w:textAlignment w:val="auto"/>
              <w:rPr>
                <w:rFonts w:hint="eastAsia" w:ascii="宋体" w:hAnsi="宋体" w:eastAsia="宋体" w:cs="宋体"/>
                <w:color w:val="auto"/>
                <w:sz w:val="28"/>
                <w:szCs w:val="28"/>
              </w:rPr>
            </w:pPr>
            <w:r>
              <w:rPr>
                <w:rFonts w:hint="eastAsia" w:ascii="宋体" w:hAnsi="宋体" w:eastAsia="宋体" w:cs="宋体"/>
                <w:color w:val="auto"/>
                <w:spacing w:val="5"/>
                <w:sz w:val="28"/>
                <w:szCs w:val="28"/>
              </w:rPr>
              <w:t>邮</w:t>
            </w:r>
            <w:r>
              <w:rPr>
                <w:rFonts w:hint="eastAsia" w:ascii="宋体" w:hAnsi="宋体" w:eastAsia="宋体" w:cs="宋体"/>
                <w:color w:val="auto"/>
                <w:spacing w:val="3"/>
                <w:sz w:val="28"/>
                <w:szCs w:val="28"/>
              </w:rPr>
              <w:t>政编码</w:t>
            </w:r>
          </w:p>
        </w:tc>
        <w:tc>
          <w:tcPr>
            <w:tcW w:w="2019" w:type="dxa"/>
            <w:gridSpan w:val="3"/>
            <w:vAlign w:val="top"/>
          </w:tcPr>
          <w:p w14:paraId="758B83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0963E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865" w:type="dxa"/>
            <w:vMerge w:val="restart"/>
            <w:tcBorders>
              <w:bottom w:val="nil"/>
            </w:tcBorders>
            <w:vAlign w:val="top"/>
          </w:tcPr>
          <w:p w14:paraId="78EA33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p w14:paraId="2DCCEE43">
            <w:pPr>
              <w:keepNext w:val="0"/>
              <w:keepLines w:val="0"/>
              <w:pageBreakBefore w:val="0"/>
              <w:widowControl w:val="0"/>
              <w:kinsoku/>
              <w:wordWrap/>
              <w:overflowPunct/>
              <w:topLinePunct w:val="0"/>
              <w:autoSpaceDE/>
              <w:autoSpaceDN/>
              <w:bidi w:val="0"/>
              <w:adjustRightInd/>
              <w:snapToGrid/>
              <w:spacing w:before="65" w:line="360" w:lineRule="auto"/>
              <w:ind w:left="401"/>
              <w:textAlignment w:val="auto"/>
              <w:rPr>
                <w:rFonts w:hint="eastAsia" w:ascii="宋体" w:hAnsi="宋体" w:eastAsia="宋体" w:cs="宋体"/>
                <w:color w:val="auto"/>
                <w:sz w:val="28"/>
                <w:szCs w:val="28"/>
              </w:rPr>
            </w:pPr>
            <w:r>
              <w:rPr>
                <w:rFonts w:hint="eastAsia" w:ascii="宋体" w:hAnsi="宋体" w:eastAsia="宋体" w:cs="宋体"/>
                <w:color w:val="auto"/>
                <w:spacing w:val="7"/>
                <w:sz w:val="28"/>
                <w:szCs w:val="28"/>
              </w:rPr>
              <w:t>联系方式</w:t>
            </w:r>
          </w:p>
        </w:tc>
        <w:tc>
          <w:tcPr>
            <w:tcW w:w="1023" w:type="dxa"/>
            <w:vAlign w:val="top"/>
          </w:tcPr>
          <w:p w14:paraId="64016BBD">
            <w:pPr>
              <w:keepNext w:val="0"/>
              <w:keepLines w:val="0"/>
              <w:pageBreakBefore w:val="0"/>
              <w:widowControl w:val="0"/>
              <w:kinsoku/>
              <w:wordWrap/>
              <w:overflowPunct/>
              <w:topLinePunct w:val="0"/>
              <w:autoSpaceDE/>
              <w:autoSpaceDN/>
              <w:bidi w:val="0"/>
              <w:adjustRightInd/>
              <w:snapToGrid/>
              <w:spacing w:before="179" w:line="360" w:lineRule="auto"/>
              <w:ind w:left="137"/>
              <w:textAlignment w:val="auto"/>
              <w:rPr>
                <w:rFonts w:hint="eastAsia" w:ascii="宋体" w:hAnsi="宋体" w:eastAsia="宋体" w:cs="宋体"/>
                <w:color w:val="auto"/>
                <w:sz w:val="28"/>
                <w:szCs w:val="28"/>
              </w:rPr>
            </w:pPr>
            <w:r>
              <w:rPr>
                <w:rFonts w:hint="eastAsia" w:ascii="宋体" w:hAnsi="宋体" w:eastAsia="宋体" w:cs="宋体"/>
                <w:color w:val="auto"/>
                <w:spacing w:val="7"/>
                <w:sz w:val="28"/>
                <w:szCs w:val="28"/>
              </w:rPr>
              <w:t>联</w:t>
            </w:r>
            <w:r>
              <w:rPr>
                <w:rFonts w:hint="eastAsia" w:ascii="宋体" w:hAnsi="宋体" w:eastAsia="宋体" w:cs="宋体"/>
                <w:color w:val="auto"/>
                <w:spacing w:val="6"/>
                <w:sz w:val="28"/>
                <w:szCs w:val="28"/>
              </w:rPr>
              <w:t>系人</w:t>
            </w:r>
          </w:p>
        </w:tc>
        <w:tc>
          <w:tcPr>
            <w:tcW w:w="2852" w:type="dxa"/>
            <w:gridSpan w:val="4"/>
            <w:vAlign w:val="top"/>
          </w:tcPr>
          <w:p w14:paraId="5EAAAB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423" w:type="dxa"/>
            <w:vAlign w:val="top"/>
          </w:tcPr>
          <w:p w14:paraId="66A7A2B0">
            <w:pPr>
              <w:keepNext w:val="0"/>
              <w:keepLines w:val="0"/>
              <w:pageBreakBefore w:val="0"/>
              <w:widowControl w:val="0"/>
              <w:kinsoku/>
              <w:wordWrap/>
              <w:overflowPunct/>
              <w:topLinePunct w:val="0"/>
              <w:autoSpaceDE/>
              <w:autoSpaceDN/>
              <w:bidi w:val="0"/>
              <w:adjustRightInd/>
              <w:snapToGrid/>
              <w:spacing w:before="179" w:line="360" w:lineRule="auto"/>
              <w:ind w:left="339"/>
              <w:textAlignment w:val="auto"/>
              <w:rPr>
                <w:rFonts w:hint="eastAsia" w:ascii="宋体" w:hAnsi="宋体" w:eastAsia="宋体" w:cs="宋体"/>
                <w:color w:val="auto"/>
                <w:sz w:val="28"/>
                <w:szCs w:val="28"/>
              </w:rPr>
            </w:pPr>
            <w:r>
              <w:rPr>
                <w:rFonts w:hint="eastAsia" w:ascii="宋体" w:hAnsi="宋体" w:eastAsia="宋体" w:cs="宋体"/>
                <w:color w:val="auto"/>
                <w:spacing w:val="-1"/>
                <w:sz w:val="28"/>
                <w:szCs w:val="28"/>
              </w:rPr>
              <w:t>电  话</w:t>
            </w:r>
          </w:p>
        </w:tc>
        <w:tc>
          <w:tcPr>
            <w:tcW w:w="2019" w:type="dxa"/>
            <w:gridSpan w:val="3"/>
            <w:vAlign w:val="top"/>
          </w:tcPr>
          <w:p w14:paraId="4A5F38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52204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865" w:type="dxa"/>
            <w:vMerge w:val="continue"/>
            <w:tcBorders>
              <w:top w:val="nil"/>
            </w:tcBorders>
            <w:vAlign w:val="top"/>
          </w:tcPr>
          <w:p w14:paraId="0C03D6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023" w:type="dxa"/>
            <w:vAlign w:val="top"/>
          </w:tcPr>
          <w:p w14:paraId="027854C4">
            <w:pPr>
              <w:keepNext w:val="0"/>
              <w:keepLines w:val="0"/>
              <w:pageBreakBefore w:val="0"/>
              <w:widowControl w:val="0"/>
              <w:kinsoku/>
              <w:wordWrap/>
              <w:overflowPunct/>
              <w:topLinePunct w:val="0"/>
              <w:autoSpaceDE/>
              <w:autoSpaceDN/>
              <w:bidi w:val="0"/>
              <w:adjustRightInd/>
              <w:snapToGrid/>
              <w:spacing w:before="180" w:line="360" w:lineRule="auto"/>
              <w:ind w:left="135"/>
              <w:textAlignment w:val="auto"/>
              <w:rPr>
                <w:rFonts w:hint="eastAsia" w:ascii="宋体" w:hAnsi="宋体" w:eastAsia="宋体" w:cs="宋体"/>
                <w:color w:val="auto"/>
                <w:sz w:val="28"/>
                <w:szCs w:val="28"/>
              </w:rPr>
            </w:pPr>
            <w:r>
              <w:rPr>
                <w:rFonts w:hint="eastAsia" w:ascii="宋体" w:hAnsi="宋体" w:eastAsia="宋体" w:cs="宋体"/>
                <w:color w:val="auto"/>
                <w:spacing w:val="6"/>
                <w:sz w:val="28"/>
                <w:szCs w:val="28"/>
              </w:rPr>
              <w:t>传 真</w:t>
            </w:r>
          </w:p>
        </w:tc>
        <w:tc>
          <w:tcPr>
            <w:tcW w:w="2852" w:type="dxa"/>
            <w:gridSpan w:val="4"/>
            <w:vAlign w:val="top"/>
          </w:tcPr>
          <w:p w14:paraId="6A386F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423" w:type="dxa"/>
            <w:vAlign w:val="top"/>
          </w:tcPr>
          <w:p w14:paraId="444CB74B">
            <w:pPr>
              <w:keepNext w:val="0"/>
              <w:keepLines w:val="0"/>
              <w:pageBreakBefore w:val="0"/>
              <w:widowControl w:val="0"/>
              <w:kinsoku/>
              <w:wordWrap/>
              <w:overflowPunct/>
              <w:topLinePunct w:val="0"/>
              <w:autoSpaceDE/>
              <w:autoSpaceDN/>
              <w:bidi w:val="0"/>
              <w:adjustRightInd/>
              <w:snapToGrid/>
              <w:spacing w:before="181" w:line="360" w:lineRule="auto"/>
              <w:ind w:left="331"/>
              <w:textAlignment w:val="auto"/>
              <w:rPr>
                <w:rFonts w:hint="eastAsia" w:ascii="宋体" w:hAnsi="宋体" w:eastAsia="宋体" w:cs="宋体"/>
                <w:color w:val="auto"/>
                <w:sz w:val="28"/>
                <w:szCs w:val="28"/>
              </w:rPr>
            </w:pPr>
            <w:r>
              <w:rPr>
                <w:rFonts w:hint="eastAsia" w:ascii="宋体" w:hAnsi="宋体" w:eastAsia="宋体" w:cs="宋体"/>
                <w:color w:val="auto"/>
                <w:spacing w:val="1"/>
                <w:sz w:val="28"/>
                <w:szCs w:val="28"/>
              </w:rPr>
              <w:t>网  址</w:t>
            </w:r>
          </w:p>
        </w:tc>
        <w:tc>
          <w:tcPr>
            <w:tcW w:w="2019" w:type="dxa"/>
            <w:gridSpan w:val="3"/>
            <w:vAlign w:val="top"/>
          </w:tcPr>
          <w:p w14:paraId="3302A4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0BEC8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865" w:type="dxa"/>
            <w:vAlign w:val="top"/>
          </w:tcPr>
          <w:p w14:paraId="4E6FF41E">
            <w:pPr>
              <w:keepNext w:val="0"/>
              <w:keepLines w:val="0"/>
              <w:pageBreakBefore w:val="0"/>
              <w:widowControl w:val="0"/>
              <w:kinsoku/>
              <w:wordWrap/>
              <w:overflowPunct/>
              <w:topLinePunct w:val="0"/>
              <w:autoSpaceDE/>
              <w:autoSpaceDN/>
              <w:bidi w:val="0"/>
              <w:adjustRightInd/>
              <w:snapToGrid/>
              <w:spacing w:before="181" w:line="360" w:lineRule="auto"/>
              <w:ind w:left="403"/>
              <w:textAlignment w:val="auto"/>
              <w:rPr>
                <w:rFonts w:hint="eastAsia" w:ascii="宋体" w:hAnsi="宋体" w:eastAsia="宋体" w:cs="宋体"/>
                <w:color w:val="auto"/>
                <w:sz w:val="28"/>
                <w:szCs w:val="28"/>
              </w:rPr>
            </w:pPr>
            <w:r>
              <w:rPr>
                <w:rFonts w:hint="eastAsia" w:ascii="宋体" w:hAnsi="宋体" w:eastAsia="宋体" w:cs="宋体"/>
                <w:color w:val="auto"/>
                <w:spacing w:val="9"/>
                <w:sz w:val="28"/>
                <w:szCs w:val="28"/>
              </w:rPr>
              <w:t>组</w:t>
            </w:r>
            <w:r>
              <w:rPr>
                <w:rFonts w:hint="eastAsia" w:ascii="宋体" w:hAnsi="宋体" w:eastAsia="宋体" w:cs="宋体"/>
                <w:color w:val="auto"/>
                <w:spacing w:val="6"/>
                <w:sz w:val="28"/>
                <w:szCs w:val="28"/>
              </w:rPr>
              <w:t>织结构</w:t>
            </w:r>
          </w:p>
        </w:tc>
        <w:tc>
          <w:tcPr>
            <w:tcW w:w="7317" w:type="dxa"/>
            <w:gridSpan w:val="9"/>
            <w:vAlign w:val="top"/>
          </w:tcPr>
          <w:p w14:paraId="326483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6EF80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865" w:type="dxa"/>
            <w:vAlign w:val="top"/>
          </w:tcPr>
          <w:p w14:paraId="2E16C6AA">
            <w:pPr>
              <w:keepNext w:val="0"/>
              <w:keepLines w:val="0"/>
              <w:pageBreakBefore w:val="0"/>
              <w:widowControl w:val="0"/>
              <w:kinsoku/>
              <w:wordWrap/>
              <w:overflowPunct/>
              <w:topLinePunct w:val="0"/>
              <w:autoSpaceDE/>
              <w:autoSpaceDN/>
              <w:bidi w:val="0"/>
              <w:adjustRightInd/>
              <w:snapToGrid/>
              <w:spacing w:before="183" w:line="360" w:lineRule="auto"/>
              <w:ind w:left="296"/>
              <w:textAlignment w:val="auto"/>
              <w:rPr>
                <w:rFonts w:hint="eastAsia" w:ascii="宋体" w:hAnsi="宋体" w:eastAsia="宋体" w:cs="宋体"/>
                <w:color w:val="auto"/>
                <w:sz w:val="28"/>
                <w:szCs w:val="28"/>
              </w:rPr>
            </w:pPr>
            <w:r>
              <w:rPr>
                <w:rFonts w:hint="eastAsia" w:ascii="宋体" w:hAnsi="宋体" w:eastAsia="宋体" w:cs="宋体"/>
                <w:color w:val="auto"/>
                <w:spacing w:val="8"/>
                <w:sz w:val="28"/>
                <w:szCs w:val="28"/>
              </w:rPr>
              <w:t>法定代表</w:t>
            </w:r>
            <w:r>
              <w:rPr>
                <w:rFonts w:hint="eastAsia" w:ascii="宋体" w:hAnsi="宋体" w:eastAsia="宋体" w:cs="宋体"/>
                <w:color w:val="auto"/>
                <w:spacing w:val="7"/>
                <w:sz w:val="28"/>
                <w:szCs w:val="28"/>
              </w:rPr>
              <w:t>人</w:t>
            </w:r>
          </w:p>
        </w:tc>
        <w:tc>
          <w:tcPr>
            <w:tcW w:w="1023" w:type="dxa"/>
            <w:vAlign w:val="top"/>
          </w:tcPr>
          <w:p w14:paraId="2C8C7422">
            <w:pPr>
              <w:keepNext w:val="0"/>
              <w:keepLines w:val="0"/>
              <w:pageBreakBefore w:val="0"/>
              <w:widowControl w:val="0"/>
              <w:kinsoku/>
              <w:wordWrap/>
              <w:overflowPunct/>
              <w:topLinePunct w:val="0"/>
              <w:autoSpaceDE/>
              <w:autoSpaceDN/>
              <w:bidi w:val="0"/>
              <w:adjustRightInd/>
              <w:snapToGrid/>
              <w:spacing w:before="183" w:line="360" w:lineRule="auto"/>
              <w:ind w:left="242"/>
              <w:textAlignment w:val="auto"/>
              <w:rPr>
                <w:rFonts w:hint="eastAsia" w:ascii="宋体" w:hAnsi="宋体" w:eastAsia="宋体" w:cs="宋体"/>
                <w:color w:val="auto"/>
                <w:sz w:val="28"/>
                <w:szCs w:val="28"/>
              </w:rPr>
            </w:pPr>
            <w:r>
              <w:rPr>
                <w:rFonts w:hint="eastAsia" w:ascii="宋体" w:hAnsi="宋体" w:eastAsia="宋体" w:cs="宋体"/>
                <w:color w:val="auto"/>
                <w:spacing w:val="5"/>
                <w:sz w:val="28"/>
                <w:szCs w:val="28"/>
              </w:rPr>
              <w:t>姓</w:t>
            </w:r>
            <w:r>
              <w:rPr>
                <w:rFonts w:hint="eastAsia" w:ascii="宋体" w:hAnsi="宋体" w:eastAsia="宋体" w:cs="宋体"/>
                <w:color w:val="auto"/>
                <w:spacing w:val="4"/>
                <w:sz w:val="28"/>
                <w:szCs w:val="28"/>
              </w:rPr>
              <w:t>名</w:t>
            </w:r>
          </w:p>
        </w:tc>
        <w:tc>
          <w:tcPr>
            <w:tcW w:w="1166" w:type="dxa"/>
            <w:vAlign w:val="top"/>
          </w:tcPr>
          <w:p w14:paraId="407F60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458" w:type="dxa"/>
            <w:gridSpan w:val="2"/>
            <w:vAlign w:val="top"/>
          </w:tcPr>
          <w:p w14:paraId="519C859F">
            <w:pPr>
              <w:keepNext w:val="0"/>
              <w:keepLines w:val="0"/>
              <w:pageBreakBefore w:val="0"/>
              <w:widowControl w:val="0"/>
              <w:kinsoku/>
              <w:wordWrap/>
              <w:overflowPunct/>
              <w:topLinePunct w:val="0"/>
              <w:autoSpaceDE/>
              <w:autoSpaceDN/>
              <w:bidi w:val="0"/>
              <w:adjustRightInd/>
              <w:snapToGrid/>
              <w:spacing w:before="183" w:line="360" w:lineRule="auto"/>
              <w:ind w:left="225"/>
              <w:textAlignment w:val="auto"/>
              <w:rPr>
                <w:rFonts w:hint="eastAsia" w:ascii="宋体" w:hAnsi="宋体" w:eastAsia="宋体" w:cs="宋体"/>
                <w:color w:val="auto"/>
                <w:sz w:val="28"/>
                <w:szCs w:val="28"/>
              </w:rPr>
            </w:pPr>
            <w:r>
              <w:rPr>
                <w:rFonts w:hint="eastAsia" w:ascii="宋体" w:hAnsi="宋体" w:eastAsia="宋体" w:cs="宋体"/>
                <w:color w:val="auto"/>
                <w:spacing w:val="7"/>
                <w:sz w:val="28"/>
                <w:szCs w:val="28"/>
              </w:rPr>
              <w:t>技术职称</w:t>
            </w:r>
          </w:p>
        </w:tc>
        <w:tc>
          <w:tcPr>
            <w:tcW w:w="1945" w:type="dxa"/>
            <w:gridSpan w:val="3"/>
            <w:vAlign w:val="top"/>
          </w:tcPr>
          <w:p w14:paraId="1518DA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810" w:type="dxa"/>
            <w:vAlign w:val="top"/>
          </w:tcPr>
          <w:p w14:paraId="08ADA716">
            <w:pPr>
              <w:keepNext w:val="0"/>
              <w:keepLines w:val="0"/>
              <w:pageBreakBefore w:val="0"/>
              <w:widowControl w:val="0"/>
              <w:kinsoku/>
              <w:wordWrap/>
              <w:overflowPunct/>
              <w:topLinePunct w:val="0"/>
              <w:autoSpaceDE/>
              <w:autoSpaceDN/>
              <w:bidi w:val="0"/>
              <w:adjustRightInd/>
              <w:snapToGrid/>
              <w:spacing w:before="182" w:line="360" w:lineRule="auto"/>
              <w:ind w:left="175"/>
              <w:textAlignment w:val="auto"/>
              <w:rPr>
                <w:rFonts w:hint="eastAsia" w:ascii="宋体" w:hAnsi="宋体" w:eastAsia="宋体" w:cs="宋体"/>
                <w:color w:val="auto"/>
                <w:sz w:val="28"/>
                <w:szCs w:val="28"/>
              </w:rPr>
            </w:pPr>
            <w:r>
              <w:rPr>
                <w:rFonts w:hint="eastAsia" w:ascii="宋体" w:hAnsi="宋体" w:eastAsia="宋体" w:cs="宋体"/>
                <w:color w:val="auto"/>
                <w:spacing w:val="-8"/>
                <w:sz w:val="28"/>
                <w:szCs w:val="28"/>
              </w:rPr>
              <w:t>电</w:t>
            </w:r>
            <w:r>
              <w:rPr>
                <w:rFonts w:hint="eastAsia" w:ascii="宋体" w:hAnsi="宋体" w:eastAsia="宋体" w:cs="宋体"/>
                <w:color w:val="auto"/>
                <w:spacing w:val="-7"/>
                <w:sz w:val="28"/>
                <w:szCs w:val="28"/>
              </w:rPr>
              <w:t>话</w:t>
            </w:r>
          </w:p>
        </w:tc>
        <w:tc>
          <w:tcPr>
            <w:tcW w:w="915" w:type="dxa"/>
            <w:vAlign w:val="top"/>
          </w:tcPr>
          <w:p w14:paraId="6C3E4B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129E1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865" w:type="dxa"/>
            <w:vAlign w:val="top"/>
          </w:tcPr>
          <w:p w14:paraId="686FEAC0">
            <w:pPr>
              <w:keepNext w:val="0"/>
              <w:keepLines w:val="0"/>
              <w:pageBreakBefore w:val="0"/>
              <w:widowControl w:val="0"/>
              <w:kinsoku/>
              <w:wordWrap/>
              <w:overflowPunct/>
              <w:topLinePunct w:val="0"/>
              <w:autoSpaceDE/>
              <w:autoSpaceDN/>
              <w:bidi w:val="0"/>
              <w:adjustRightInd/>
              <w:snapToGrid/>
              <w:spacing w:before="182" w:line="360" w:lineRule="auto"/>
              <w:ind w:left="296"/>
              <w:textAlignment w:val="auto"/>
              <w:rPr>
                <w:rFonts w:hint="eastAsia" w:ascii="宋体" w:hAnsi="宋体" w:eastAsia="宋体" w:cs="宋体"/>
                <w:color w:val="auto"/>
                <w:sz w:val="28"/>
                <w:szCs w:val="28"/>
              </w:rPr>
            </w:pPr>
            <w:r>
              <w:rPr>
                <w:rFonts w:hint="eastAsia" w:ascii="宋体" w:hAnsi="宋体" w:eastAsia="宋体" w:cs="宋体"/>
                <w:color w:val="auto"/>
                <w:spacing w:val="8"/>
                <w:sz w:val="28"/>
                <w:szCs w:val="28"/>
              </w:rPr>
              <w:t>技术负责</w:t>
            </w:r>
            <w:r>
              <w:rPr>
                <w:rFonts w:hint="eastAsia" w:ascii="宋体" w:hAnsi="宋体" w:eastAsia="宋体" w:cs="宋体"/>
                <w:color w:val="auto"/>
                <w:spacing w:val="7"/>
                <w:sz w:val="28"/>
                <w:szCs w:val="28"/>
              </w:rPr>
              <w:t>人</w:t>
            </w:r>
          </w:p>
        </w:tc>
        <w:tc>
          <w:tcPr>
            <w:tcW w:w="1023" w:type="dxa"/>
            <w:vAlign w:val="top"/>
          </w:tcPr>
          <w:p w14:paraId="1D9188D5">
            <w:pPr>
              <w:keepNext w:val="0"/>
              <w:keepLines w:val="0"/>
              <w:pageBreakBefore w:val="0"/>
              <w:widowControl w:val="0"/>
              <w:kinsoku/>
              <w:wordWrap/>
              <w:overflowPunct/>
              <w:topLinePunct w:val="0"/>
              <w:autoSpaceDE/>
              <w:autoSpaceDN/>
              <w:bidi w:val="0"/>
              <w:adjustRightInd/>
              <w:snapToGrid/>
              <w:spacing w:before="182" w:line="360" w:lineRule="auto"/>
              <w:ind w:left="242"/>
              <w:textAlignment w:val="auto"/>
              <w:rPr>
                <w:rFonts w:hint="eastAsia" w:ascii="宋体" w:hAnsi="宋体" w:eastAsia="宋体" w:cs="宋体"/>
                <w:color w:val="auto"/>
                <w:sz w:val="28"/>
                <w:szCs w:val="28"/>
              </w:rPr>
            </w:pPr>
            <w:r>
              <w:rPr>
                <w:rFonts w:hint="eastAsia" w:ascii="宋体" w:hAnsi="宋体" w:eastAsia="宋体" w:cs="宋体"/>
                <w:color w:val="auto"/>
                <w:spacing w:val="5"/>
                <w:sz w:val="28"/>
                <w:szCs w:val="28"/>
              </w:rPr>
              <w:t>姓</w:t>
            </w:r>
            <w:r>
              <w:rPr>
                <w:rFonts w:hint="eastAsia" w:ascii="宋体" w:hAnsi="宋体" w:eastAsia="宋体" w:cs="宋体"/>
                <w:color w:val="auto"/>
                <w:spacing w:val="4"/>
                <w:sz w:val="28"/>
                <w:szCs w:val="28"/>
              </w:rPr>
              <w:t>名</w:t>
            </w:r>
          </w:p>
        </w:tc>
        <w:tc>
          <w:tcPr>
            <w:tcW w:w="1166" w:type="dxa"/>
            <w:vAlign w:val="top"/>
          </w:tcPr>
          <w:p w14:paraId="5B7565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458" w:type="dxa"/>
            <w:gridSpan w:val="2"/>
            <w:vAlign w:val="top"/>
          </w:tcPr>
          <w:p w14:paraId="58C193FD">
            <w:pPr>
              <w:keepNext w:val="0"/>
              <w:keepLines w:val="0"/>
              <w:pageBreakBefore w:val="0"/>
              <w:widowControl w:val="0"/>
              <w:kinsoku/>
              <w:wordWrap/>
              <w:overflowPunct/>
              <w:topLinePunct w:val="0"/>
              <w:autoSpaceDE/>
              <w:autoSpaceDN/>
              <w:bidi w:val="0"/>
              <w:adjustRightInd/>
              <w:snapToGrid/>
              <w:spacing w:before="182" w:line="360" w:lineRule="auto"/>
              <w:ind w:left="225"/>
              <w:textAlignment w:val="auto"/>
              <w:rPr>
                <w:rFonts w:hint="eastAsia" w:ascii="宋体" w:hAnsi="宋体" w:eastAsia="宋体" w:cs="宋体"/>
                <w:color w:val="auto"/>
                <w:sz w:val="28"/>
                <w:szCs w:val="28"/>
              </w:rPr>
            </w:pPr>
            <w:r>
              <w:rPr>
                <w:rFonts w:hint="eastAsia" w:ascii="宋体" w:hAnsi="宋体" w:eastAsia="宋体" w:cs="宋体"/>
                <w:color w:val="auto"/>
                <w:spacing w:val="7"/>
                <w:sz w:val="28"/>
                <w:szCs w:val="28"/>
              </w:rPr>
              <w:t>技术职称</w:t>
            </w:r>
          </w:p>
        </w:tc>
        <w:tc>
          <w:tcPr>
            <w:tcW w:w="1945" w:type="dxa"/>
            <w:gridSpan w:val="3"/>
            <w:vAlign w:val="top"/>
          </w:tcPr>
          <w:p w14:paraId="09C758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810" w:type="dxa"/>
            <w:vAlign w:val="top"/>
          </w:tcPr>
          <w:p w14:paraId="7FEC8A79">
            <w:pPr>
              <w:keepNext w:val="0"/>
              <w:keepLines w:val="0"/>
              <w:pageBreakBefore w:val="0"/>
              <w:widowControl w:val="0"/>
              <w:kinsoku/>
              <w:wordWrap/>
              <w:overflowPunct/>
              <w:topLinePunct w:val="0"/>
              <w:autoSpaceDE/>
              <w:autoSpaceDN/>
              <w:bidi w:val="0"/>
              <w:adjustRightInd/>
              <w:snapToGrid/>
              <w:spacing w:before="181" w:line="360" w:lineRule="auto"/>
              <w:ind w:left="175"/>
              <w:textAlignment w:val="auto"/>
              <w:rPr>
                <w:rFonts w:hint="eastAsia" w:ascii="宋体" w:hAnsi="宋体" w:eastAsia="宋体" w:cs="宋体"/>
                <w:color w:val="auto"/>
                <w:sz w:val="28"/>
                <w:szCs w:val="28"/>
              </w:rPr>
            </w:pPr>
            <w:r>
              <w:rPr>
                <w:rFonts w:hint="eastAsia" w:ascii="宋体" w:hAnsi="宋体" w:eastAsia="宋体" w:cs="宋体"/>
                <w:color w:val="auto"/>
                <w:spacing w:val="-8"/>
                <w:sz w:val="28"/>
                <w:szCs w:val="28"/>
              </w:rPr>
              <w:t>电</w:t>
            </w:r>
            <w:r>
              <w:rPr>
                <w:rFonts w:hint="eastAsia" w:ascii="宋体" w:hAnsi="宋体" w:eastAsia="宋体" w:cs="宋体"/>
                <w:color w:val="auto"/>
                <w:spacing w:val="-7"/>
                <w:sz w:val="28"/>
                <w:szCs w:val="28"/>
              </w:rPr>
              <w:t>话</w:t>
            </w:r>
          </w:p>
        </w:tc>
        <w:tc>
          <w:tcPr>
            <w:tcW w:w="915" w:type="dxa"/>
            <w:vAlign w:val="top"/>
          </w:tcPr>
          <w:p w14:paraId="02EF78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79DF8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865" w:type="dxa"/>
            <w:vAlign w:val="top"/>
          </w:tcPr>
          <w:p w14:paraId="795B4528">
            <w:pPr>
              <w:keepNext w:val="0"/>
              <w:keepLines w:val="0"/>
              <w:pageBreakBefore w:val="0"/>
              <w:widowControl w:val="0"/>
              <w:kinsoku/>
              <w:wordWrap/>
              <w:overflowPunct/>
              <w:topLinePunct w:val="0"/>
              <w:autoSpaceDE/>
              <w:autoSpaceDN/>
              <w:bidi w:val="0"/>
              <w:adjustRightInd/>
              <w:snapToGrid/>
              <w:spacing w:before="109" w:line="360" w:lineRule="auto"/>
              <w:ind w:left="402"/>
              <w:textAlignment w:val="auto"/>
              <w:rPr>
                <w:rFonts w:hint="eastAsia" w:ascii="宋体" w:hAnsi="宋体" w:eastAsia="宋体" w:cs="宋体"/>
                <w:color w:val="auto"/>
                <w:sz w:val="28"/>
                <w:szCs w:val="28"/>
              </w:rPr>
            </w:pPr>
            <w:r>
              <w:rPr>
                <w:rFonts w:hint="eastAsia" w:ascii="宋体" w:hAnsi="宋体" w:eastAsia="宋体" w:cs="宋体"/>
                <w:color w:val="auto"/>
                <w:spacing w:val="7"/>
                <w:sz w:val="28"/>
                <w:szCs w:val="28"/>
              </w:rPr>
              <w:t>成立时</w:t>
            </w:r>
            <w:r>
              <w:rPr>
                <w:rFonts w:hint="eastAsia" w:ascii="宋体" w:hAnsi="宋体" w:eastAsia="宋体" w:cs="宋体"/>
                <w:color w:val="auto"/>
                <w:spacing w:val="6"/>
                <w:sz w:val="28"/>
                <w:szCs w:val="28"/>
              </w:rPr>
              <w:t>间</w:t>
            </w:r>
          </w:p>
        </w:tc>
        <w:tc>
          <w:tcPr>
            <w:tcW w:w="2189" w:type="dxa"/>
            <w:gridSpan w:val="2"/>
            <w:vAlign w:val="top"/>
          </w:tcPr>
          <w:p w14:paraId="1875DF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5128" w:type="dxa"/>
            <w:gridSpan w:val="7"/>
            <w:vAlign w:val="top"/>
          </w:tcPr>
          <w:p w14:paraId="401BA60F">
            <w:pPr>
              <w:keepNext w:val="0"/>
              <w:keepLines w:val="0"/>
              <w:pageBreakBefore w:val="0"/>
              <w:widowControl w:val="0"/>
              <w:kinsoku/>
              <w:wordWrap/>
              <w:overflowPunct/>
              <w:topLinePunct w:val="0"/>
              <w:autoSpaceDE/>
              <w:autoSpaceDN/>
              <w:bidi w:val="0"/>
              <w:adjustRightInd/>
              <w:snapToGrid/>
              <w:spacing w:before="109" w:line="360" w:lineRule="auto"/>
              <w:ind w:left="1934"/>
              <w:textAlignment w:val="auto"/>
              <w:rPr>
                <w:rFonts w:hint="eastAsia" w:ascii="宋体" w:hAnsi="宋体" w:eastAsia="宋体" w:cs="宋体"/>
                <w:color w:val="auto"/>
                <w:sz w:val="28"/>
                <w:szCs w:val="28"/>
              </w:rPr>
            </w:pPr>
            <w:r>
              <w:rPr>
                <w:rFonts w:hint="eastAsia" w:ascii="宋体" w:hAnsi="宋体" w:eastAsia="宋体" w:cs="宋体"/>
                <w:color w:val="auto"/>
                <w:spacing w:val="7"/>
                <w:sz w:val="28"/>
                <w:szCs w:val="28"/>
              </w:rPr>
              <w:t>员</w:t>
            </w:r>
            <w:r>
              <w:rPr>
                <w:rFonts w:hint="eastAsia" w:ascii="宋体" w:hAnsi="宋体" w:eastAsia="宋体" w:cs="宋体"/>
                <w:color w:val="auto"/>
                <w:spacing w:val="5"/>
                <w:sz w:val="28"/>
                <w:szCs w:val="28"/>
              </w:rPr>
              <w:t>工总人数：</w:t>
            </w:r>
          </w:p>
        </w:tc>
      </w:tr>
      <w:tr w14:paraId="7ABC7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865" w:type="dxa"/>
            <w:vAlign w:val="top"/>
          </w:tcPr>
          <w:p w14:paraId="3B46788A">
            <w:pPr>
              <w:keepNext w:val="0"/>
              <w:keepLines w:val="0"/>
              <w:pageBreakBefore w:val="0"/>
              <w:widowControl w:val="0"/>
              <w:kinsoku/>
              <w:wordWrap/>
              <w:overflowPunct/>
              <w:topLinePunct w:val="0"/>
              <w:autoSpaceDE/>
              <w:autoSpaceDN/>
              <w:bidi w:val="0"/>
              <w:adjustRightInd/>
              <w:snapToGrid/>
              <w:spacing w:before="126" w:line="360" w:lineRule="auto"/>
              <w:textAlignment w:val="auto"/>
              <w:rPr>
                <w:rFonts w:hint="eastAsia" w:ascii="宋体" w:hAnsi="宋体" w:eastAsia="宋体" w:cs="宋体"/>
                <w:color w:val="auto"/>
                <w:sz w:val="28"/>
                <w:szCs w:val="28"/>
              </w:rPr>
            </w:pPr>
            <w:r>
              <w:rPr>
                <w:rFonts w:hint="eastAsia" w:ascii="宋体" w:hAnsi="宋体" w:eastAsia="宋体" w:cs="宋体"/>
                <w:color w:val="auto"/>
                <w:spacing w:val="11"/>
                <w:sz w:val="28"/>
                <w:szCs w:val="28"/>
              </w:rPr>
              <w:t>企</w:t>
            </w:r>
            <w:r>
              <w:rPr>
                <w:rFonts w:hint="eastAsia" w:ascii="宋体" w:hAnsi="宋体" w:eastAsia="宋体" w:cs="宋体"/>
                <w:color w:val="auto"/>
                <w:spacing w:val="7"/>
                <w:sz w:val="28"/>
                <w:szCs w:val="28"/>
              </w:rPr>
              <w:t>业资质等级</w:t>
            </w:r>
          </w:p>
        </w:tc>
        <w:tc>
          <w:tcPr>
            <w:tcW w:w="1023" w:type="dxa"/>
            <w:vAlign w:val="top"/>
          </w:tcPr>
          <w:p w14:paraId="3202D9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166" w:type="dxa"/>
            <w:vAlign w:val="top"/>
          </w:tcPr>
          <w:p w14:paraId="4B7BB8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134" w:type="dxa"/>
            <w:vMerge w:val="restart"/>
            <w:tcBorders>
              <w:bottom w:val="nil"/>
            </w:tcBorders>
            <w:vAlign w:val="top"/>
          </w:tcPr>
          <w:p w14:paraId="156068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p w14:paraId="0AB1B8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p w14:paraId="79C6C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p w14:paraId="564F3BDC">
            <w:pPr>
              <w:keepNext w:val="0"/>
              <w:keepLines w:val="0"/>
              <w:pageBreakBefore w:val="0"/>
              <w:widowControl w:val="0"/>
              <w:kinsoku/>
              <w:wordWrap/>
              <w:overflowPunct/>
              <w:topLinePunct w:val="0"/>
              <w:autoSpaceDE/>
              <w:autoSpaceDN/>
              <w:bidi w:val="0"/>
              <w:adjustRightInd/>
              <w:snapToGrid/>
              <w:spacing w:before="65" w:line="360" w:lineRule="auto"/>
              <w:ind w:left="292"/>
              <w:textAlignment w:val="auto"/>
              <w:rPr>
                <w:rFonts w:hint="eastAsia" w:ascii="宋体" w:hAnsi="宋体" w:eastAsia="宋体" w:cs="宋体"/>
                <w:color w:val="auto"/>
                <w:sz w:val="28"/>
                <w:szCs w:val="28"/>
              </w:rPr>
            </w:pPr>
            <w:r>
              <w:rPr>
                <w:rFonts w:hint="eastAsia" w:ascii="宋体" w:hAnsi="宋体" w:eastAsia="宋体" w:cs="宋体"/>
                <w:color w:val="auto"/>
                <w:spacing w:val="4"/>
                <w:sz w:val="28"/>
                <w:szCs w:val="28"/>
              </w:rPr>
              <w:t>其中</w:t>
            </w:r>
          </w:p>
        </w:tc>
        <w:tc>
          <w:tcPr>
            <w:tcW w:w="2269" w:type="dxa"/>
            <w:gridSpan w:val="4"/>
            <w:vAlign w:val="top"/>
          </w:tcPr>
          <w:p w14:paraId="1C12B9D4">
            <w:pPr>
              <w:keepNext w:val="0"/>
              <w:keepLines w:val="0"/>
              <w:pageBreakBefore w:val="0"/>
              <w:widowControl w:val="0"/>
              <w:kinsoku/>
              <w:wordWrap/>
              <w:overflowPunct/>
              <w:topLinePunct w:val="0"/>
              <w:autoSpaceDE/>
              <w:autoSpaceDN/>
              <w:bidi w:val="0"/>
              <w:adjustRightInd/>
              <w:snapToGrid/>
              <w:spacing w:before="126" w:line="360" w:lineRule="auto"/>
              <w:ind w:left="582"/>
              <w:textAlignment w:val="auto"/>
              <w:rPr>
                <w:rFonts w:hint="eastAsia" w:ascii="宋体" w:hAnsi="宋体" w:eastAsia="宋体" w:cs="宋体"/>
                <w:color w:val="auto"/>
                <w:sz w:val="28"/>
                <w:szCs w:val="28"/>
              </w:rPr>
            </w:pPr>
            <w:r>
              <w:rPr>
                <w:rFonts w:hint="eastAsia" w:ascii="宋体" w:hAnsi="宋体" w:eastAsia="宋体" w:cs="宋体"/>
                <w:color w:val="auto"/>
                <w:spacing w:val="8"/>
                <w:sz w:val="28"/>
                <w:szCs w:val="28"/>
              </w:rPr>
              <w:t>项</w:t>
            </w:r>
            <w:r>
              <w:rPr>
                <w:rFonts w:hint="eastAsia" w:ascii="宋体" w:hAnsi="宋体" w:eastAsia="宋体" w:cs="宋体"/>
                <w:color w:val="auto"/>
                <w:spacing w:val="6"/>
                <w:sz w:val="28"/>
                <w:szCs w:val="28"/>
              </w:rPr>
              <w:t>目经理</w:t>
            </w:r>
          </w:p>
        </w:tc>
        <w:tc>
          <w:tcPr>
            <w:tcW w:w="1725" w:type="dxa"/>
            <w:gridSpan w:val="2"/>
            <w:vAlign w:val="top"/>
          </w:tcPr>
          <w:p w14:paraId="35851B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3AE09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865" w:type="dxa"/>
            <w:vAlign w:val="top"/>
          </w:tcPr>
          <w:p w14:paraId="744BB66B">
            <w:pPr>
              <w:keepNext w:val="0"/>
              <w:keepLines w:val="0"/>
              <w:pageBreakBefore w:val="0"/>
              <w:widowControl w:val="0"/>
              <w:kinsoku/>
              <w:wordWrap/>
              <w:overflowPunct/>
              <w:topLinePunct w:val="0"/>
              <w:autoSpaceDE/>
              <w:autoSpaceDN/>
              <w:bidi w:val="0"/>
              <w:adjustRightInd/>
              <w:snapToGrid/>
              <w:spacing w:before="118" w:line="360" w:lineRule="auto"/>
              <w:ind w:left="302"/>
              <w:textAlignment w:val="auto"/>
              <w:rPr>
                <w:rFonts w:hint="eastAsia" w:ascii="宋体" w:hAnsi="宋体" w:eastAsia="宋体" w:cs="宋体"/>
                <w:color w:val="auto"/>
                <w:sz w:val="28"/>
                <w:szCs w:val="28"/>
              </w:rPr>
            </w:pPr>
            <w:r>
              <w:rPr>
                <w:rFonts w:hint="eastAsia" w:ascii="宋体" w:hAnsi="宋体" w:eastAsia="宋体" w:cs="宋体"/>
                <w:color w:val="auto"/>
                <w:spacing w:val="7"/>
                <w:sz w:val="28"/>
                <w:szCs w:val="28"/>
              </w:rPr>
              <w:t>营业执照</w:t>
            </w:r>
            <w:r>
              <w:rPr>
                <w:rFonts w:hint="eastAsia" w:ascii="宋体" w:hAnsi="宋体" w:eastAsia="宋体" w:cs="宋体"/>
                <w:color w:val="auto"/>
                <w:spacing w:val="6"/>
                <w:sz w:val="28"/>
                <w:szCs w:val="28"/>
              </w:rPr>
              <w:t>号</w:t>
            </w:r>
          </w:p>
        </w:tc>
        <w:tc>
          <w:tcPr>
            <w:tcW w:w="1023" w:type="dxa"/>
            <w:vAlign w:val="top"/>
          </w:tcPr>
          <w:p w14:paraId="551EA1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166" w:type="dxa"/>
            <w:vAlign w:val="top"/>
          </w:tcPr>
          <w:p w14:paraId="788C70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134" w:type="dxa"/>
            <w:vMerge w:val="continue"/>
            <w:tcBorders>
              <w:top w:val="nil"/>
              <w:bottom w:val="nil"/>
            </w:tcBorders>
            <w:vAlign w:val="top"/>
          </w:tcPr>
          <w:p w14:paraId="525BF5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2269" w:type="dxa"/>
            <w:gridSpan w:val="4"/>
            <w:vAlign w:val="top"/>
          </w:tcPr>
          <w:p w14:paraId="6A169A91">
            <w:pPr>
              <w:keepNext w:val="0"/>
              <w:keepLines w:val="0"/>
              <w:pageBreakBefore w:val="0"/>
              <w:widowControl w:val="0"/>
              <w:kinsoku/>
              <w:wordWrap/>
              <w:overflowPunct/>
              <w:topLinePunct w:val="0"/>
              <w:autoSpaceDE/>
              <w:autoSpaceDN/>
              <w:bidi w:val="0"/>
              <w:adjustRightInd/>
              <w:snapToGrid/>
              <w:spacing w:before="118" w:line="360" w:lineRule="auto"/>
              <w:ind w:left="373"/>
              <w:textAlignment w:val="auto"/>
              <w:rPr>
                <w:rFonts w:hint="eastAsia" w:ascii="宋体" w:hAnsi="宋体" w:eastAsia="宋体" w:cs="宋体"/>
                <w:color w:val="auto"/>
                <w:sz w:val="28"/>
                <w:szCs w:val="28"/>
              </w:rPr>
            </w:pPr>
            <w:r>
              <w:rPr>
                <w:rFonts w:hint="eastAsia" w:ascii="宋体" w:hAnsi="宋体" w:eastAsia="宋体" w:cs="宋体"/>
                <w:color w:val="auto"/>
                <w:spacing w:val="8"/>
                <w:sz w:val="28"/>
                <w:szCs w:val="28"/>
              </w:rPr>
              <w:t>高</w:t>
            </w:r>
            <w:r>
              <w:rPr>
                <w:rFonts w:hint="eastAsia" w:ascii="宋体" w:hAnsi="宋体" w:eastAsia="宋体" w:cs="宋体"/>
                <w:color w:val="auto"/>
                <w:spacing w:val="7"/>
                <w:sz w:val="28"/>
                <w:szCs w:val="28"/>
              </w:rPr>
              <w:t>级职称人员</w:t>
            </w:r>
          </w:p>
        </w:tc>
        <w:tc>
          <w:tcPr>
            <w:tcW w:w="1725" w:type="dxa"/>
            <w:gridSpan w:val="2"/>
            <w:vAlign w:val="top"/>
          </w:tcPr>
          <w:p w14:paraId="6AC030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3A170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65" w:type="dxa"/>
            <w:vAlign w:val="top"/>
          </w:tcPr>
          <w:p w14:paraId="7366F127">
            <w:pPr>
              <w:keepNext w:val="0"/>
              <w:keepLines w:val="0"/>
              <w:pageBreakBefore w:val="0"/>
              <w:widowControl w:val="0"/>
              <w:kinsoku/>
              <w:wordWrap/>
              <w:overflowPunct/>
              <w:topLinePunct w:val="0"/>
              <w:autoSpaceDE/>
              <w:autoSpaceDN/>
              <w:bidi w:val="0"/>
              <w:adjustRightInd/>
              <w:snapToGrid/>
              <w:spacing w:before="104" w:line="360" w:lineRule="auto"/>
              <w:ind w:left="401"/>
              <w:textAlignment w:val="auto"/>
              <w:rPr>
                <w:rFonts w:hint="eastAsia" w:ascii="宋体" w:hAnsi="宋体" w:eastAsia="宋体" w:cs="宋体"/>
                <w:color w:val="auto"/>
                <w:sz w:val="28"/>
                <w:szCs w:val="28"/>
              </w:rPr>
            </w:pPr>
            <w:r>
              <w:rPr>
                <w:rFonts w:hint="eastAsia" w:ascii="宋体" w:hAnsi="宋体" w:eastAsia="宋体" w:cs="宋体"/>
                <w:color w:val="auto"/>
                <w:spacing w:val="8"/>
                <w:sz w:val="28"/>
                <w:szCs w:val="28"/>
              </w:rPr>
              <w:t>注</w:t>
            </w:r>
            <w:r>
              <w:rPr>
                <w:rFonts w:hint="eastAsia" w:ascii="宋体" w:hAnsi="宋体" w:eastAsia="宋体" w:cs="宋体"/>
                <w:color w:val="auto"/>
                <w:spacing w:val="7"/>
                <w:sz w:val="28"/>
                <w:szCs w:val="28"/>
              </w:rPr>
              <w:t>册资金</w:t>
            </w:r>
          </w:p>
        </w:tc>
        <w:tc>
          <w:tcPr>
            <w:tcW w:w="1023" w:type="dxa"/>
            <w:vAlign w:val="top"/>
          </w:tcPr>
          <w:p w14:paraId="62279B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166" w:type="dxa"/>
            <w:vAlign w:val="top"/>
          </w:tcPr>
          <w:p w14:paraId="7B9107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134" w:type="dxa"/>
            <w:vMerge w:val="continue"/>
            <w:tcBorders>
              <w:top w:val="nil"/>
              <w:bottom w:val="nil"/>
            </w:tcBorders>
            <w:vAlign w:val="top"/>
          </w:tcPr>
          <w:p w14:paraId="3F1683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2269" w:type="dxa"/>
            <w:gridSpan w:val="4"/>
            <w:vAlign w:val="top"/>
          </w:tcPr>
          <w:p w14:paraId="5397F63F">
            <w:pPr>
              <w:keepNext w:val="0"/>
              <w:keepLines w:val="0"/>
              <w:pageBreakBefore w:val="0"/>
              <w:widowControl w:val="0"/>
              <w:kinsoku/>
              <w:wordWrap/>
              <w:overflowPunct/>
              <w:topLinePunct w:val="0"/>
              <w:autoSpaceDE/>
              <w:autoSpaceDN/>
              <w:bidi w:val="0"/>
              <w:adjustRightInd/>
              <w:snapToGrid/>
              <w:spacing w:before="104" w:line="360" w:lineRule="auto"/>
              <w:ind w:left="387"/>
              <w:textAlignment w:val="auto"/>
              <w:rPr>
                <w:rFonts w:hint="eastAsia" w:ascii="宋体" w:hAnsi="宋体" w:eastAsia="宋体" w:cs="宋体"/>
                <w:color w:val="auto"/>
                <w:sz w:val="28"/>
                <w:szCs w:val="28"/>
              </w:rPr>
            </w:pPr>
            <w:r>
              <w:rPr>
                <w:rFonts w:hint="eastAsia" w:ascii="宋体" w:hAnsi="宋体" w:eastAsia="宋体" w:cs="宋体"/>
                <w:color w:val="auto"/>
                <w:spacing w:val="5"/>
                <w:sz w:val="28"/>
                <w:szCs w:val="28"/>
              </w:rPr>
              <w:t>中级职称人</w:t>
            </w:r>
            <w:r>
              <w:rPr>
                <w:rFonts w:hint="eastAsia" w:ascii="宋体" w:hAnsi="宋体" w:eastAsia="宋体" w:cs="宋体"/>
                <w:color w:val="auto"/>
                <w:spacing w:val="4"/>
                <w:sz w:val="28"/>
                <w:szCs w:val="28"/>
              </w:rPr>
              <w:t>员</w:t>
            </w:r>
          </w:p>
        </w:tc>
        <w:tc>
          <w:tcPr>
            <w:tcW w:w="1725" w:type="dxa"/>
            <w:gridSpan w:val="2"/>
            <w:vAlign w:val="top"/>
          </w:tcPr>
          <w:p w14:paraId="7AD920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03A0D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865" w:type="dxa"/>
            <w:vAlign w:val="top"/>
          </w:tcPr>
          <w:p w14:paraId="6D06ADC1">
            <w:pPr>
              <w:keepNext w:val="0"/>
              <w:keepLines w:val="0"/>
              <w:pageBreakBefore w:val="0"/>
              <w:widowControl w:val="0"/>
              <w:kinsoku/>
              <w:wordWrap/>
              <w:overflowPunct/>
              <w:topLinePunct w:val="0"/>
              <w:autoSpaceDE/>
              <w:autoSpaceDN/>
              <w:bidi w:val="0"/>
              <w:adjustRightInd/>
              <w:snapToGrid/>
              <w:spacing w:before="127" w:line="360" w:lineRule="auto"/>
              <w:ind w:left="401"/>
              <w:textAlignment w:val="auto"/>
              <w:rPr>
                <w:rFonts w:hint="eastAsia" w:ascii="宋体" w:hAnsi="宋体" w:eastAsia="宋体" w:cs="宋体"/>
                <w:color w:val="auto"/>
                <w:sz w:val="28"/>
                <w:szCs w:val="28"/>
              </w:rPr>
            </w:pPr>
            <w:r>
              <w:rPr>
                <w:rFonts w:hint="eastAsia" w:ascii="宋体" w:hAnsi="宋体" w:eastAsia="宋体" w:cs="宋体"/>
                <w:color w:val="auto"/>
                <w:spacing w:val="7"/>
                <w:sz w:val="28"/>
                <w:szCs w:val="28"/>
              </w:rPr>
              <w:t>开户银行</w:t>
            </w:r>
          </w:p>
        </w:tc>
        <w:tc>
          <w:tcPr>
            <w:tcW w:w="1023" w:type="dxa"/>
            <w:vAlign w:val="top"/>
          </w:tcPr>
          <w:p w14:paraId="0DE21E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166" w:type="dxa"/>
            <w:vAlign w:val="top"/>
          </w:tcPr>
          <w:p w14:paraId="0DB40F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134" w:type="dxa"/>
            <w:vMerge w:val="continue"/>
            <w:tcBorders>
              <w:top w:val="nil"/>
              <w:bottom w:val="nil"/>
            </w:tcBorders>
            <w:vAlign w:val="top"/>
          </w:tcPr>
          <w:p w14:paraId="21B88F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2269" w:type="dxa"/>
            <w:gridSpan w:val="4"/>
            <w:vAlign w:val="top"/>
          </w:tcPr>
          <w:p w14:paraId="55030C36">
            <w:pPr>
              <w:keepNext w:val="0"/>
              <w:keepLines w:val="0"/>
              <w:pageBreakBefore w:val="0"/>
              <w:widowControl w:val="0"/>
              <w:kinsoku/>
              <w:wordWrap/>
              <w:overflowPunct/>
              <w:topLinePunct w:val="0"/>
              <w:autoSpaceDE/>
              <w:autoSpaceDN/>
              <w:bidi w:val="0"/>
              <w:adjustRightInd/>
              <w:snapToGrid/>
              <w:spacing w:before="126" w:line="360" w:lineRule="auto"/>
              <w:ind w:left="367"/>
              <w:textAlignment w:val="auto"/>
              <w:rPr>
                <w:rFonts w:hint="eastAsia" w:ascii="宋体" w:hAnsi="宋体" w:eastAsia="宋体" w:cs="宋体"/>
                <w:color w:val="auto"/>
                <w:sz w:val="28"/>
                <w:szCs w:val="28"/>
              </w:rPr>
            </w:pPr>
            <w:r>
              <w:rPr>
                <w:rFonts w:hint="eastAsia" w:ascii="宋体" w:hAnsi="宋体" w:eastAsia="宋体" w:cs="宋体"/>
                <w:color w:val="auto"/>
                <w:spacing w:val="10"/>
                <w:sz w:val="28"/>
                <w:szCs w:val="28"/>
              </w:rPr>
              <w:t>初</w:t>
            </w:r>
            <w:r>
              <w:rPr>
                <w:rFonts w:hint="eastAsia" w:ascii="宋体" w:hAnsi="宋体" w:eastAsia="宋体" w:cs="宋体"/>
                <w:color w:val="auto"/>
                <w:spacing w:val="8"/>
                <w:sz w:val="28"/>
                <w:szCs w:val="28"/>
              </w:rPr>
              <w:t>级职称人员</w:t>
            </w:r>
          </w:p>
        </w:tc>
        <w:tc>
          <w:tcPr>
            <w:tcW w:w="1725" w:type="dxa"/>
            <w:gridSpan w:val="2"/>
            <w:vAlign w:val="top"/>
          </w:tcPr>
          <w:p w14:paraId="49C2D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4F4A4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65" w:type="dxa"/>
            <w:vAlign w:val="top"/>
          </w:tcPr>
          <w:p w14:paraId="135053AF">
            <w:pPr>
              <w:keepNext w:val="0"/>
              <w:keepLines w:val="0"/>
              <w:pageBreakBefore w:val="0"/>
              <w:widowControl w:val="0"/>
              <w:kinsoku/>
              <w:wordWrap/>
              <w:overflowPunct/>
              <w:topLinePunct w:val="0"/>
              <w:autoSpaceDE/>
              <w:autoSpaceDN/>
              <w:bidi w:val="0"/>
              <w:adjustRightInd/>
              <w:snapToGrid/>
              <w:spacing w:before="101" w:line="360" w:lineRule="auto"/>
              <w:ind w:left="613"/>
              <w:textAlignment w:val="auto"/>
              <w:rPr>
                <w:rFonts w:hint="eastAsia" w:ascii="宋体" w:hAnsi="宋体" w:eastAsia="宋体" w:cs="宋体"/>
                <w:color w:val="auto"/>
                <w:sz w:val="28"/>
                <w:szCs w:val="28"/>
              </w:rPr>
            </w:pPr>
            <w:r>
              <w:rPr>
                <w:rFonts w:hint="eastAsia" w:ascii="宋体" w:hAnsi="宋体" w:eastAsia="宋体" w:cs="宋体"/>
                <w:color w:val="auto"/>
                <w:spacing w:val="3"/>
                <w:sz w:val="28"/>
                <w:szCs w:val="28"/>
              </w:rPr>
              <w:t>账号</w:t>
            </w:r>
          </w:p>
        </w:tc>
        <w:tc>
          <w:tcPr>
            <w:tcW w:w="1023" w:type="dxa"/>
            <w:vAlign w:val="top"/>
          </w:tcPr>
          <w:p w14:paraId="3BFD8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166" w:type="dxa"/>
            <w:vAlign w:val="top"/>
          </w:tcPr>
          <w:p w14:paraId="30A8E2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1134" w:type="dxa"/>
            <w:vMerge w:val="continue"/>
            <w:tcBorders>
              <w:top w:val="nil"/>
            </w:tcBorders>
            <w:vAlign w:val="top"/>
          </w:tcPr>
          <w:p w14:paraId="1BE80D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c>
          <w:tcPr>
            <w:tcW w:w="2269" w:type="dxa"/>
            <w:gridSpan w:val="4"/>
            <w:vAlign w:val="top"/>
          </w:tcPr>
          <w:p w14:paraId="2BA931AC">
            <w:pPr>
              <w:keepNext w:val="0"/>
              <w:keepLines w:val="0"/>
              <w:pageBreakBefore w:val="0"/>
              <w:widowControl w:val="0"/>
              <w:kinsoku/>
              <w:wordWrap/>
              <w:overflowPunct/>
              <w:topLinePunct w:val="0"/>
              <w:autoSpaceDE/>
              <w:autoSpaceDN/>
              <w:bidi w:val="0"/>
              <w:adjustRightInd/>
              <w:snapToGrid/>
              <w:spacing w:before="101" w:line="360" w:lineRule="auto"/>
              <w:ind w:left="685"/>
              <w:textAlignment w:val="auto"/>
              <w:rPr>
                <w:rFonts w:hint="eastAsia" w:ascii="宋体" w:hAnsi="宋体" w:eastAsia="宋体" w:cs="宋体"/>
                <w:color w:val="auto"/>
                <w:sz w:val="28"/>
                <w:szCs w:val="28"/>
              </w:rPr>
            </w:pPr>
            <w:r>
              <w:rPr>
                <w:rFonts w:hint="eastAsia" w:ascii="宋体" w:hAnsi="宋体" w:eastAsia="宋体" w:cs="宋体"/>
                <w:color w:val="auto"/>
                <w:spacing w:val="6"/>
                <w:sz w:val="28"/>
                <w:szCs w:val="28"/>
              </w:rPr>
              <w:t>技</w:t>
            </w:r>
            <w:r>
              <w:rPr>
                <w:rFonts w:hint="eastAsia" w:ascii="宋体" w:hAnsi="宋体" w:eastAsia="宋体" w:cs="宋体"/>
                <w:color w:val="auto"/>
                <w:spacing w:val="5"/>
                <w:sz w:val="28"/>
                <w:szCs w:val="28"/>
              </w:rPr>
              <w:t xml:space="preserve">  工</w:t>
            </w:r>
          </w:p>
        </w:tc>
        <w:tc>
          <w:tcPr>
            <w:tcW w:w="1725" w:type="dxa"/>
            <w:gridSpan w:val="2"/>
            <w:vAlign w:val="top"/>
          </w:tcPr>
          <w:p w14:paraId="78B022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4D577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1865" w:type="dxa"/>
            <w:vAlign w:val="top"/>
          </w:tcPr>
          <w:p w14:paraId="5D03DAFB">
            <w:pPr>
              <w:keepNext w:val="0"/>
              <w:keepLines w:val="0"/>
              <w:pageBreakBefore w:val="0"/>
              <w:widowControl w:val="0"/>
              <w:kinsoku/>
              <w:wordWrap/>
              <w:overflowPunct/>
              <w:topLinePunct w:val="0"/>
              <w:autoSpaceDE/>
              <w:autoSpaceDN/>
              <w:bidi w:val="0"/>
              <w:adjustRightInd/>
              <w:snapToGrid/>
              <w:spacing w:before="65" w:line="360" w:lineRule="auto"/>
              <w:textAlignment w:val="auto"/>
              <w:rPr>
                <w:rFonts w:hint="eastAsia" w:ascii="宋体" w:hAnsi="宋体" w:eastAsia="宋体" w:cs="宋体"/>
                <w:color w:val="auto"/>
                <w:sz w:val="28"/>
                <w:szCs w:val="28"/>
              </w:rPr>
            </w:pPr>
            <w:r>
              <w:rPr>
                <w:rFonts w:hint="eastAsia" w:ascii="宋体" w:hAnsi="宋体" w:eastAsia="宋体" w:cs="宋体"/>
                <w:color w:val="auto"/>
                <w:spacing w:val="7"/>
                <w:sz w:val="28"/>
                <w:szCs w:val="28"/>
              </w:rPr>
              <w:t>经营范</w:t>
            </w:r>
            <w:r>
              <w:rPr>
                <w:rFonts w:hint="eastAsia" w:ascii="宋体" w:hAnsi="宋体" w:eastAsia="宋体" w:cs="宋体"/>
                <w:color w:val="auto"/>
                <w:spacing w:val="6"/>
                <w:sz w:val="28"/>
                <w:szCs w:val="28"/>
              </w:rPr>
              <w:t>围</w:t>
            </w:r>
          </w:p>
        </w:tc>
        <w:tc>
          <w:tcPr>
            <w:tcW w:w="7317" w:type="dxa"/>
            <w:gridSpan w:val="9"/>
            <w:vAlign w:val="top"/>
          </w:tcPr>
          <w:p w14:paraId="646124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6CF45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865" w:type="dxa"/>
            <w:vAlign w:val="top"/>
          </w:tcPr>
          <w:p w14:paraId="7F178F26">
            <w:pPr>
              <w:keepNext w:val="0"/>
              <w:keepLines w:val="0"/>
              <w:pageBreakBefore w:val="0"/>
              <w:widowControl w:val="0"/>
              <w:kinsoku/>
              <w:wordWrap/>
              <w:overflowPunct/>
              <w:topLinePunct w:val="0"/>
              <w:autoSpaceDE/>
              <w:autoSpaceDN/>
              <w:bidi w:val="0"/>
              <w:adjustRightInd/>
              <w:snapToGrid/>
              <w:spacing w:before="182" w:line="360" w:lineRule="auto"/>
              <w:ind w:left="612"/>
              <w:textAlignment w:val="auto"/>
              <w:rPr>
                <w:rFonts w:hint="eastAsia" w:ascii="宋体" w:hAnsi="宋体" w:eastAsia="宋体" w:cs="宋体"/>
                <w:color w:val="auto"/>
                <w:sz w:val="28"/>
                <w:szCs w:val="28"/>
              </w:rPr>
            </w:pPr>
            <w:r>
              <w:rPr>
                <w:rFonts w:hint="eastAsia" w:ascii="宋体" w:hAnsi="宋体" w:eastAsia="宋体" w:cs="宋体"/>
                <w:color w:val="auto"/>
                <w:spacing w:val="4"/>
                <w:sz w:val="28"/>
                <w:szCs w:val="28"/>
              </w:rPr>
              <w:t>备</w:t>
            </w:r>
            <w:r>
              <w:rPr>
                <w:rFonts w:hint="eastAsia" w:ascii="宋体" w:hAnsi="宋体" w:eastAsia="宋体" w:cs="宋体"/>
                <w:color w:val="auto"/>
                <w:spacing w:val="3"/>
                <w:sz w:val="28"/>
                <w:szCs w:val="28"/>
              </w:rPr>
              <w:t>注</w:t>
            </w:r>
          </w:p>
        </w:tc>
        <w:tc>
          <w:tcPr>
            <w:tcW w:w="7317" w:type="dxa"/>
            <w:gridSpan w:val="9"/>
            <w:vAlign w:val="top"/>
          </w:tcPr>
          <w:p w14:paraId="5A54E8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bl>
    <w:p w14:paraId="1A2CFDC2">
      <w:pPr>
        <w:pStyle w:val="19"/>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ascii="宋体" w:hAnsi="宋体" w:eastAsia="宋体" w:cs="宋体"/>
          <w:color w:val="auto"/>
          <w:sz w:val="28"/>
          <w:szCs w:val="28"/>
        </w:rPr>
      </w:pPr>
    </w:p>
    <w:p w14:paraId="27318408">
      <w:pPr>
        <w:pStyle w:val="19"/>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法定代表人或其委托代理人（签/章）:</w:t>
      </w:r>
    </w:p>
    <w:p w14:paraId="6C179B27">
      <w:pPr>
        <w:pStyle w:val="19"/>
        <w:keepNext w:val="0"/>
        <w:keepLines w:val="0"/>
        <w:pageBreakBefore w:val="0"/>
        <w:widowControl w:val="0"/>
        <w:tabs>
          <w:tab w:val="left" w:pos="5370"/>
        </w:tabs>
        <w:kinsoku/>
        <w:wordWrap/>
        <w:overflowPunct/>
        <w:topLinePunct w:val="0"/>
        <w:autoSpaceDE/>
        <w:autoSpaceDN/>
        <w:bidi w:val="0"/>
        <w:adjustRightInd/>
        <w:snapToGrid/>
        <w:spacing w:line="360" w:lineRule="auto"/>
        <w:ind w:left="1080" w:leftChars="257" w:hanging="54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供应商(公章):</w:t>
      </w:r>
    </w:p>
    <w:p w14:paraId="7740ACC5">
      <w:pPr>
        <w:spacing w:line="360" w:lineRule="auto"/>
        <w:rPr>
          <w:rFonts w:hint="eastAsia" w:ascii="宋体" w:hAnsi="宋体" w:eastAsia="宋体" w:cs="宋体"/>
          <w:color w:val="auto"/>
          <w:sz w:val="22"/>
          <w:szCs w:val="28"/>
        </w:rPr>
      </w:pPr>
    </w:p>
    <w:p w14:paraId="11EFF8F5">
      <w:pPr>
        <w:keepNext w:val="0"/>
        <w:keepLines w:val="0"/>
        <w:pageBreakBefore w:val="0"/>
        <w:widowControl w:val="0"/>
        <w:kinsoku/>
        <w:wordWrap/>
        <w:overflowPunct/>
        <w:topLinePunct w:val="0"/>
        <w:autoSpaceDE/>
        <w:autoSpaceDN/>
        <w:bidi w:val="0"/>
        <w:adjustRightInd/>
        <w:snapToGrid/>
        <w:spacing w:before="65" w:line="360" w:lineRule="auto"/>
        <w:textAlignment w:val="auto"/>
        <w:rPr>
          <w:rFonts w:hint="eastAsia" w:ascii="宋体" w:hAnsi="宋体" w:eastAsia="宋体" w:cs="宋体"/>
          <w:color w:val="auto"/>
          <w:sz w:val="28"/>
          <w:szCs w:val="28"/>
        </w:rPr>
      </w:pPr>
      <w:r>
        <w:rPr>
          <w:rFonts w:hint="eastAsia" w:ascii="宋体" w:hAnsi="宋体" w:eastAsia="宋体" w:cs="宋体"/>
          <w:color w:val="auto"/>
          <w:spacing w:val="5"/>
          <w:sz w:val="28"/>
          <w:szCs w:val="28"/>
        </w:rPr>
        <w:t>4.2 近年完成的类似项目情况</w:t>
      </w:r>
      <w:r>
        <w:rPr>
          <w:rFonts w:hint="eastAsia" w:ascii="宋体" w:hAnsi="宋体" w:eastAsia="宋体" w:cs="宋体"/>
          <w:color w:val="auto"/>
          <w:spacing w:val="2"/>
          <w:sz w:val="28"/>
          <w:szCs w:val="28"/>
        </w:rPr>
        <w:t>表</w:t>
      </w:r>
    </w:p>
    <w:p w14:paraId="067004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bl>
      <w:tblPr>
        <w:tblStyle w:val="107"/>
        <w:tblW w:w="98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8"/>
        <w:gridCol w:w="7091"/>
      </w:tblGrid>
      <w:tr w14:paraId="41230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2808" w:type="dxa"/>
            <w:vAlign w:val="top"/>
          </w:tcPr>
          <w:p w14:paraId="285AF95A">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项目名称</w:t>
            </w:r>
          </w:p>
        </w:tc>
        <w:tc>
          <w:tcPr>
            <w:tcW w:w="7091" w:type="dxa"/>
            <w:vAlign w:val="top"/>
          </w:tcPr>
          <w:p w14:paraId="21C2DE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33529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2808" w:type="dxa"/>
            <w:vAlign w:val="top"/>
          </w:tcPr>
          <w:p w14:paraId="077C107E">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项目所在地</w:t>
            </w:r>
          </w:p>
        </w:tc>
        <w:tc>
          <w:tcPr>
            <w:tcW w:w="7091" w:type="dxa"/>
            <w:vAlign w:val="top"/>
          </w:tcPr>
          <w:p w14:paraId="51D448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50CD9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2808" w:type="dxa"/>
            <w:vAlign w:val="top"/>
          </w:tcPr>
          <w:p w14:paraId="56DF5925">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发包人名称</w:t>
            </w:r>
          </w:p>
        </w:tc>
        <w:tc>
          <w:tcPr>
            <w:tcW w:w="7091" w:type="dxa"/>
            <w:vAlign w:val="top"/>
          </w:tcPr>
          <w:p w14:paraId="41DB7B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31999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2808" w:type="dxa"/>
            <w:vAlign w:val="top"/>
          </w:tcPr>
          <w:p w14:paraId="7A77275D">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发包人地址</w:t>
            </w:r>
          </w:p>
        </w:tc>
        <w:tc>
          <w:tcPr>
            <w:tcW w:w="7091" w:type="dxa"/>
            <w:vAlign w:val="top"/>
          </w:tcPr>
          <w:p w14:paraId="468005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54E05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2808" w:type="dxa"/>
            <w:vAlign w:val="top"/>
          </w:tcPr>
          <w:p w14:paraId="2D5C508C">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发包人联系人及电话</w:t>
            </w:r>
          </w:p>
        </w:tc>
        <w:tc>
          <w:tcPr>
            <w:tcW w:w="7091" w:type="dxa"/>
            <w:vAlign w:val="top"/>
          </w:tcPr>
          <w:p w14:paraId="14FAAD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48E08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2808" w:type="dxa"/>
            <w:vAlign w:val="top"/>
          </w:tcPr>
          <w:p w14:paraId="643F0408">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合同价格</w:t>
            </w:r>
          </w:p>
        </w:tc>
        <w:tc>
          <w:tcPr>
            <w:tcW w:w="7091" w:type="dxa"/>
            <w:vAlign w:val="top"/>
          </w:tcPr>
          <w:p w14:paraId="122A99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21E1B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2808" w:type="dxa"/>
            <w:vAlign w:val="top"/>
          </w:tcPr>
          <w:p w14:paraId="4F84CB58">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开工日期</w:t>
            </w:r>
          </w:p>
        </w:tc>
        <w:tc>
          <w:tcPr>
            <w:tcW w:w="7091" w:type="dxa"/>
            <w:vAlign w:val="top"/>
          </w:tcPr>
          <w:p w14:paraId="0A6523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43C34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2808" w:type="dxa"/>
            <w:vAlign w:val="top"/>
          </w:tcPr>
          <w:p w14:paraId="7CA25A14">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竣工日期</w:t>
            </w:r>
          </w:p>
        </w:tc>
        <w:tc>
          <w:tcPr>
            <w:tcW w:w="7091" w:type="dxa"/>
            <w:vAlign w:val="top"/>
          </w:tcPr>
          <w:p w14:paraId="291C9D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0D438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2808" w:type="dxa"/>
            <w:vAlign w:val="top"/>
          </w:tcPr>
          <w:p w14:paraId="04633FC8">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承担的工作</w:t>
            </w:r>
          </w:p>
        </w:tc>
        <w:tc>
          <w:tcPr>
            <w:tcW w:w="7091" w:type="dxa"/>
            <w:vAlign w:val="top"/>
          </w:tcPr>
          <w:p w14:paraId="1B424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7862B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2808" w:type="dxa"/>
            <w:vAlign w:val="top"/>
          </w:tcPr>
          <w:p w14:paraId="00C759FD">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工程质量</w:t>
            </w:r>
          </w:p>
        </w:tc>
        <w:tc>
          <w:tcPr>
            <w:tcW w:w="7091" w:type="dxa"/>
            <w:vAlign w:val="top"/>
          </w:tcPr>
          <w:p w14:paraId="21D1D1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2CD3A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2808" w:type="dxa"/>
            <w:vAlign w:val="top"/>
          </w:tcPr>
          <w:p w14:paraId="05FE3C29">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总监理工程师及电话</w:t>
            </w:r>
          </w:p>
        </w:tc>
        <w:tc>
          <w:tcPr>
            <w:tcW w:w="7091" w:type="dxa"/>
            <w:vAlign w:val="top"/>
          </w:tcPr>
          <w:p w14:paraId="753520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1E7EE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2808" w:type="dxa"/>
            <w:vAlign w:val="top"/>
          </w:tcPr>
          <w:p w14:paraId="7852BC16">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建设单位联系人、电话</w:t>
            </w:r>
          </w:p>
        </w:tc>
        <w:tc>
          <w:tcPr>
            <w:tcW w:w="7091" w:type="dxa"/>
            <w:vAlign w:val="top"/>
          </w:tcPr>
          <w:p w14:paraId="744B13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4B506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808" w:type="dxa"/>
            <w:vAlign w:val="top"/>
          </w:tcPr>
          <w:p w14:paraId="331A3BC9">
            <w:pPr>
              <w:keepNext w:val="0"/>
              <w:keepLines w:val="0"/>
              <w:pageBreakBefore w:val="0"/>
              <w:widowControl w:val="0"/>
              <w:kinsoku/>
              <w:wordWrap/>
              <w:overflowPunct/>
              <w:topLinePunct w:val="0"/>
              <w:autoSpaceDE/>
              <w:autoSpaceDN/>
              <w:bidi w:val="0"/>
              <w:adjustRightInd/>
              <w:snapToGrid/>
              <w:spacing w:before="172" w:line="360" w:lineRule="auto"/>
              <w:ind w:left="1011"/>
              <w:textAlignment w:val="auto"/>
              <w:rPr>
                <w:rFonts w:hint="eastAsia" w:ascii="宋体" w:hAnsi="宋体" w:eastAsia="宋体" w:cs="宋体"/>
                <w:color w:val="auto"/>
                <w:sz w:val="28"/>
                <w:szCs w:val="28"/>
              </w:rPr>
            </w:pPr>
            <w:r>
              <w:rPr>
                <w:rFonts w:hint="eastAsia" w:ascii="宋体" w:hAnsi="宋体" w:eastAsia="宋体" w:cs="宋体"/>
                <w:color w:val="auto"/>
                <w:spacing w:val="4"/>
                <w:sz w:val="28"/>
                <w:szCs w:val="28"/>
              </w:rPr>
              <w:t>备</w:t>
            </w:r>
            <w:r>
              <w:rPr>
                <w:rFonts w:hint="eastAsia" w:ascii="宋体" w:hAnsi="宋体" w:eastAsia="宋体" w:cs="宋体"/>
                <w:color w:val="auto"/>
                <w:spacing w:val="3"/>
                <w:sz w:val="28"/>
                <w:szCs w:val="28"/>
              </w:rPr>
              <w:t>注</w:t>
            </w:r>
          </w:p>
        </w:tc>
        <w:tc>
          <w:tcPr>
            <w:tcW w:w="7091" w:type="dxa"/>
            <w:vAlign w:val="top"/>
          </w:tcPr>
          <w:p w14:paraId="0B54D0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bl>
    <w:p w14:paraId="6E30EB78">
      <w:pPr>
        <w:pStyle w:val="19"/>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ascii="宋体" w:hAnsi="宋体" w:eastAsia="宋体" w:cs="宋体"/>
          <w:color w:val="auto"/>
          <w:sz w:val="28"/>
          <w:szCs w:val="28"/>
        </w:rPr>
      </w:pPr>
    </w:p>
    <w:p w14:paraId="70F8F941">
      <w:pPr>
        <w:pStyle w:val="19"/>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法定代表人或其委托代理人（签/章）:</w:t>
      </w:r>
    </w:p>
    <w:p w14:paraId="5DF16384">
      <w:pPr>
        <w:pStyle w:val="19"/>
        <w:keepNext w:val="0"/>
        <w:keepLines w:val="0"/>
        <w:pageBreakBefore w:val="0"/>
        <w:widowControl w:val="0"/>
        <w:tabs>
          <w:tab w:val="left" w:pos="5370"/>
        </w:tabs>
        <w:kinsoku/>
        <w:wordWrap/>
        <w:overflowPunct/>
        <w:topLinePunct w:val="0"/>
        <w:autoSpaceDE/>
        <w:autoSpaceDN/>
        <w:bidi w:val="0"/>
        <w:adjustRightInd/>
        <w:snapToGrid/>
        <w:spacing w:line="360" w:lineRule="auto"/>
        <w:ind w:left="1080" w:leftChars="257" w:hanging="540"/>
        <w:textAlignment w:val="auto"/>
        <w:rPr>
          <w:rFonts w:hint="eastAsia" w:ascii="宋体" w:hAnsi="宋体" w:eastAsia="宋体" w:cs="宋体"/>
          <w:color w:val="auto"/>
          <w:sz w:val="28"/>
          <w:szCs w:val="28"/>
        </w:rPr>
      </w:pPr>
    </w:p>
    <w:p w14:paraId="317FE170">
      <w:pPr>
        <w:pStyle w:val="19"/>
        <w:keepNext w:val="0"/>
        <w:keepLines w:val="0"/>
        <w:pageBreakBefore w:val="0"/>
        <w:widowControl w:val="0"/>
        <w:tabs>
          <w:tab w:val="left" w:pos="5370"/>
        </w:tabs>
        <w:kinsoku/>
        <w:wordWrap/>
        <w:overflowPunct/>
        <w:topLinePunct w:val="0"/>
        <w:autoSpaceDE/>
        <w:autoSpaceDN/>
        <w:bidi w:val="0"/>
        <w:adjustRightInd/>
        <w:snapToGrid/>
        <w:spacing w:line="360" w:lineRule="auto"/>
        <w:ind w:left="1080" w:leftChars="257" w:hanging="540"/>
        <w:textAlignment w:val="auto"/>
        <w:rPr>
          <w:rFonts w:hint="eastAsia" w:ascii="宋体" w:hAnsi="宋体" w:eastAsia="宋体" w:cs="宋体"/>
          <w:color w:val="auto"/>
          <w:spacing w:val="8"/>
          <w:sz w:val="28"/>
          <w:szCs w:val="28"/>
        </w:rPr>
      </w:pPr>
      <w:r>
        <w:rPr>
          <w:rFonts w:hint="eastAsia" w:ascii="宋体" w:hAnsi="宋体" w:eastAsia="宋体" w:cs="宋体"/>
          <w:color w:val="auto"/>
          <w:sz w:val="28"/>
          <w:szCs w:val="28"/>
        </w:rPr>
        <w:t>供应商(公章):</w:t>
      </w:r>
    </w:p>
    <w:p w14:paraId="13512AC8">
      <w:pPr>
        <w:keepNext w:val="0"/>
        <w:keepLines w:val="0"/>
        <w:pageBreakBefore w:val="0"/>
        <w:widowControl w:val="0"/>
        <w:kinsoku/>
        <w:wordWrap/>
        <w:overflowPunct/>
        <w:topLinePunct w:val="0"/>
        <w:autoSpaceDE/>
        <w:autoSpaceDN/>
        <w:bidi w:val="0"/>
        <w:adjustRightInd/>
        <w:snapToGrid/>
        <w:spacing w:before="172" w:line="360" w:lineRule="auto"/>
        <w:ind w:left="128"/>
        <w:textAlignment w:val="auto"/>
        <w:rPr>
          <w:rFonts w:hint="eastAsia" w:ascii="宋体" w:hAnsi="宋体" w:eastAsia="宋体" w:cs="宋体"/>
          <w:color w:val="auto"/>
          <w:spacing w:val="8"/>
          <w:sz w:val="28"/>
          <w:szCs w:val="28"/>
        </w:rPr>
      </w:pPr>
    </w:p>
    <w:p w14:paraId="24E18C21">
      <w:pPr>
        <w:keepNext w:val="0"/>
        <w:keepLines w:val="0"/>
        <w:pageBreakBefore w:val="0"/>
        <w:widowControl w:val="0"/>
        <w:kinsoku/>
        <w:wordWrap/>
        <w:overflowPunct/>
        <w:topLinePunct w:val="0"/>
        <w:autoSpaceDE/>
        <w:autoSpaceDN/>
        <w:bidi w:val="0"/>
        <w:adjustRightInd/>
        <w:snapToGrid/>
        <w:spacing w:before="172" w:line="360" w:lineRule="auto"/>
        <w:ind w:left="128"/>
        <w:textAlignment w:val="auto"/>
        <w:rPr>
          <w:rFonts w:hint="eastAsia" w:ascii="宋体" w:hAnsi="宋体" w:eastAsia="宋体" w:cs="宋体"/>
          <w:color w:val="auto"/>
          <w:sz w:val="28"/>
          <w:szCs w:val="28"/>
        </w:rPr>
      </w:pPr>
      <w:r>
        <w:rPr>
          <w:rFonts w:hint="eastAsia" w:ascii="宋体" w:hAnsi="宋体" w:eastAsia="宋体" w:cs="宋体"/>
          <w:color w:val="auto"/>
          <w:spacing w:val="8"/>
          <w:sz w:val="28"/>
          <w:szCs w:val="28"/>
        </w:rPr>
        <w:t>备</w:t>
      </w:r>
      <w:r>
        <w:rPr>
          <w:rFonts w:hint="eastAsia" w:ascii="宋体" w:hAnsi="宋体" w:eastAsia="宋体" w:cs="宋体"/>
          <w:color w:val="auto"/>
          <w:spacing w:val="6"/>
          <w:sz w:val="28"/>
          <w:szCs w:val="28"/>
        </w:rPr>
        <w:t>注</w:t>
      </w:r>
      <w:r>
        <w:rPr>
          <w:rFonts w:hint="eastAsia" w:ascii="宋体" w:hAnsi="宋体" w:eastAsia="宋体" w:cs="宋体"/>
          <w:color w:val="auto"/>
          <w:spacing w:val="4"/>
          <w:sz w:val="28"/>
          <w:szCs w:val="28"/>
        </w:rPr>
        <w:t>：1、类似项目指</w:t>
      </w:r>
      <w:r>
        <w:rPr>
          <w:rFonts w:hint="eastAsia" w:ascii="宋体" w:hAnsi="宋体" w:eastAsia="宋体" w:cs="宋体"/>
          <w:color w:val="auto"/>
          <w:spacing w:val="4"/>
          <w:sz w:val="28"/>
          <w:szCs w:val="28"/>
          <w:u w:val="single" w:color="auto"/>
        </w:rPr>
        <w:t xml:space="preserve">   规模、使用功能相似     </w:t>
      </w:r>
      <w:r>
        <w:rPr>
          <w:rFonts w:hint="eastAsia" w:ascii="宋体" w:hAnsi="宋体" w:eastAsia="宋体" w:cs="宋体"/>
          <w:color w:val="auto"/>
          <w:spacing w:val="4"/>
          <w:sz w:val="28"/>
          <w:szCs w:val="28"/>
        </w:rPr>
        <w:t xml:space="preserve"> 工程。</w:t>
      </w:r>
    </w:p>
    <w:p w14:paraId="453CFA13">
      <w:pPr>
        <w:keepNext w:val="0"/>
        <w:keepLines w:val="0"/>
        <w:pageBreakBefore w:val="0"/>
        <w:widowControl w:val="0"/>
        <w:kinsoku/>
        <w:wordWrap/>
        <w:overflowPunct/>
        <w:topLinePunct w:val="0"/>
        <w:autoSpaceDE/>
        <w:autoSpaceDN/>
        <w:bidi w:val="0"/>
        <w:adjustRightInd/>
        <w:snapToGrid/>
        <w:spacing w:before="193" w:line="360" w:lineRule="auto"/>
        <w:ind w:left="125" w:right="119" w:firstLine="631"/>
        <w:textAlignment w:val="auto"/>
        <w:rPr>
          <w:rFonts w:hint="eastAsia" w:ascii="宋体" w:hAnsi="宋体" w:eastAsia="宋体" w:cs="宋体"/>
          <w:color w:val="auto"/>
          <w:sz w:val="28"/>
          <w:szCs w:val="28"/>
        </w:rPr>
      </w:pPr>
      <w:r>
        <w:rPr>
          <w:rFonts w:hint="eastAsia" w:ascii="宋体" w:hAnsi="宋体" w:eastAsia="宋体" w:cs="宋体"/>
          <w:color w:val="auto"/>
          <w:spacing w:val="10"/>
          <w:sz w:val="28"/>
          <w:szCs w:val="28"/>
        </w:rPr>
        <w:t>2、本表后附中标通知书、合同协议书、五方单位竣工验收意见表的</w:t>
      </w:r>
      <w:r>
        <w:rPr>
          <w:rFonts w:hint="eastAsia" w:ascii="宋体" w:hAnsi="宋体" w:eastAsia="宋体" w:cs="宋体"/>
          <w:color w:val="auto"/>
          <w:spacing w:val="10"/>
          <w:sz w:val="28"/>
          <w:szCs w:val="28"/>
          <w:lang w:eastAsia="zh-CN"/>
        </w:rPr>
        <w:t>扫描件</w:t>
      </w:r>
      <w:r>
        <w:rPr>
          <w:rFonts w:hint="eastAsia" w:ascii="宋体" w:hAnsi="宋体" w:eastAsia="宋体" w:cs="宋体"/>
          <w:color w:val="auto"/>
          <w:spacing w:val="10"/>
          <w:sz w:val="28"/>
          <w:szCs w:val="28"/>
        </w:rPr>
        <w:t>，具体</w:t>
      </w:r>
      <w:r>
        <w:rPr>
          <w:rFonts w:hint="eastAsia" w:ascii="宋体" w:hAnsi="宋体" w:eastAsia="宋体" w:cs="宋体"/>
          <w:color w:val="auto"/>
          <w:spacing w:val="9"/>
          <w:sz w:val="28"/>
          <w:szCs w:val="28"/>
        </w:rPr>
        <w:t>年</w:t>
      </w:r>
      <w:r>
        <w:rPr>
          <w:rFonts w:hint="eastAsia" w:ascii="宋体" w:hAnsi="宋体" w:eastAsia="宋体" w:cs="宋体"/>
          <w:color w:val="auto"/>
          <w:spacing w:val="18"/>
          <w:sz w:val="28"/>
          <w:szCs w:val="28"/>
        </w:rPr>
        <w:t>份</w:t>
      </w:r>
      <w:r>
        <w:rPr>
          <w:rFonts w:hint="eastAsia" w:ascii="宋体" w:hAnsi="宋体" w:eastAsia="宋体" w:cs="宋体"/>
          <w:color w:val="auto"/>
          <w:spacing w:val="10"/>
          <w:sz w:val="28"/>
          <w:szCs w:val="28"/>
        </w:rPr>
        <w:t>要</w:t>
      </w:r>
      <w:r>
        <w:rPr>
          <w:rFonts w:hint="eastAsia" w:ascii="宋体" w:hAnsi="宋体" w:eastAsia="宋体" w:cs="宋体"/>
          <w:color w:val="auto"/>
          <w:spacing w:val="9"/>
          <w:sz w:val="28"/>
          <w:szCs w:val="28"/>
        </w:rPr>
        <w:t>求见投标人须知前附表。每张表格只填写一个项目，并标明序号。</w:t>
      </w:r>
    </w:p>
    <w:p w14:paraId="609D78F0">
      <w:pPr>
        <w:pStyle w:val="19"/>
        <w:tabs>
          <w:tab w:val="left" w:pos="5370"/>
        </w:tabs>
        <w:spacing w:line="360" w:lineRule="auto"/>
        <w:ind w:left="1080" w:leftChars="257" w:hanging="540"/>
        <w:rPr>
          <w:rFonts w:hint="eastAsia" w:ascii="宋体" w:hAnsi="宋体" w:eastAsia="宋体" w:cs="宋体"/>
          <w:color w:val="auto"/>
          <w:sz w:val="28"/>
          <w:szCs w:val="28"/>
          <w:u w:val="single"/>
        </w:rPr>
      </w:pPr>
    </w:p>
    <w:p w14:paraId="0C194411">
      <w:pPr>
        <w:pStyle w:val="19"/>
        <w:spacing w:line="360" w:lineRule="auto"/>
        <w:rPr>
          <w:rFonts w:hint="eastAsia" w:ascii="宋体" w:hAnsi="宋体" w:eastAsia="宋体" w:cs="宋体"/>
          <w:color w:val="auto"/>
          <w:sz w:val="28"/>
          <w:szCs w:val="21"/>
          <w:u w:val="single"/>
        </w:rPr>
      </w:pPr>
    </w:p>
    <w:p w14:paraId="560B6493">
      <w:pPr>
        <w:spacing w:line="360" w:lineRule="auto"/>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rPr>
        <w:br w:type="page"/>
      </w:r>
    </w:p>
    <w:p w14:paraId="0A4C9486">
      <w:pPr>
        <w:spacing w:before="65" w:line="360" w:lineRule="auto"/>
        <w:rPr>
          <w:rFonts w:hint="eastAsia" w:ascii="宋体" w:hAnsi="宋体" w:eastAsia="宋体" w:cs="宋体"/>
          <w:color w:val="auto"/>
          <w:sz w:val="28"/>
          <w:szCs w:val="28"/>
        </w:rPr>
      </w:pPr>
      <w:r>
        <w:rPr>
          <w:rFonts w:hint="eastAsia" w:ascii="宋体" w:hAnsi="宋体" w:eastAsia="宋体" w:cs="宋体"/>
          <w:color w:val="auto"/>
          <w:spacing w:val="10"/>
          <w:sz w:val="28"/>
          <w:szCs w:val="28"/>
        </w:rPr>
        <w:t>4.</w:t>
      </w:r>
      <w:r>
        <w:rPr>
          <w:rFonts w:hint="eastAsia" w:ascii="宋体" w:hAnsi="宋体" w:eastAsia="宋体" w:cs="宋体"/>
          <w:color w:val="auto"/>
          <w:spacing w:val="8"/>
          <w:sz w:val="28"/>
          <w:szCs w:val="28"/>
        </w:rPr>
        <w:t>3</w:t>
      </w:r>
      <w:r>
        <w:rPr>
          <w:rFonts w:hint="eastAsia" w:ascii="宋体" w:hAnsi="宋体" w:eastAsia="宋体" w:cs="宋体"/>
          <w:color w:val="auto"/>
          <w:spacing w:val="5"/>
          <w:sz w:val="28"/>
          <w:szCs w:val="28"/>
        </w:rPr>
        <w:t xml:space="preserve"> 正在施工的和新承接的项目情况表</w:t>
      </w:r>
    </w:p>
    <w:p w14:paraId="6F2AB3C7">
      <w:pPr>
        <w:spacing w:line="360" w:lineRule="auto"/>
        <w:rPr>
          <w:rFonts w:hint="eastAsia" w:ascii="宋体" w:hAnsi="宋体" w:eastAsia="宋体" w:cs="宋体"/>
          <w:color w:val="auto"/>
          <w:sz w:val="28"/>
          <w:szCs w:val="28"/>
        </w:rPr>
      </w:pPr>
    </w:p>
    <w:tbl>
      <w:tblPr>
        <w:tblStyle w:val="107"/>
        <w:tblW w:w="98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8"/>
        <w:gridCol w:w="7091"/>
      </w:tblGrid>
      <w:tr w14:paraId="29B30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2808" w:type="dxa"/>
            <w:vAlign w:val="top"/>
          </w:tcPr>
          <w:p w14:paraId="1F8A5187">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项目名称</w:t>
            </w:r>
          </w:p>
        </w:tc>
        <w:tc>
          <w:tcPr>
            <w:tcW w:w="7091" w:type="dxa"/>
            <w:vAlign w:val="top"/>
          </w:tcPr>
          <w:p w14:paraId="597C1D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7AF09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2808" w:type="dxa"/>
            <w:vAlign w:val="top"/>
          </w:tcPr>
          <w:p w14:paraId="27159A6D">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项目所在地</w:t>
            </w:r>
          </w:p>
        </w:tc>
        <w:tc>
          <w:tcPr>
            <w:tcW w:w="7091" w:type="dxa"/>
            <w:vAlign w:val="top"/>
          </w:tcPr>
          <w:p w14:paraId="36E0F8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1B0DD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2808" w:type="dxa"/>
            <w:vAlign w:val="top"/>
          </w:tcPr>
          <w:p w14:paraId="7A92504B">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发包人名称</w:t>
            </w:r>
          </w:p>
        </w:tc>
        <w:tc>
          <w:tcPr>
            <w:tcW w:w="7091" w:type="dxa"/>
            <w:vAlign w:val="top"/>
          </w:tcPr>
          <w:p w14:paraId="6872C9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1937F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2808" w:type="dxa"/>
            <w:vAlign w:val="top"/>
          </w:tcPr>
          <w:p w14:paraId="4BA22007">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发包人地址</w:t>
            </w:r>
          </w:p>
        </w:tc>
        <w:tc>
          <w:tcPr>
            <w:tcW w:w="7091" w:type="dxa"/>
            <w:vAlign w:val="top"/>
          </w:tcPr>
          <w:p w14:paraId="0A58A4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0D23C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2808" w:type="dxa"/>
            <w:vAlign w:val="top"/>
          </w:tcPr>
          <w:p w14:paraId="3679F7C3">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发包人联系人及电话</w:t>
            </w:r>
          </w:p>
        </w:tc>
        <w:tc>
          <w:tcPr>
            <w:tcW w:w="7091" w:type="dxa"/>
            <w:vAlign w:val="top"/>
          </w:tcPr>
          <w:p w14:paraId="32EF8F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20C4A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2808" w:type="dxa"/>
            <w:vAlign w:val="top"/>
          </w:tcPr>
          <w:p w14:paraId="4CA05A7F">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合同价格</w:t>
            </w:r>
          </w:p>
        </w:tc>
        <w:tc>
          <w:tcPr>
            <w:tcW w:w="7091" w:type="dxa"/>
            <w:vAlign w:val="top"/>
          </w:tcPr>
          <w:p w14:paraId="27925C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03905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2808" w:type="dxa"/>
            <w:vAlign w:val="top"/>
          </w:tcPr>
          <w:p w14:paraId="5D65A0A5">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开工日期</w:t>
            </w:r>
          </w:p>
        </w:tc>
        <w:tc>
          <w:tcPr>
            <w:tcW w:w="7091" w:type="dxa"/>
            <w:vAlign w:val="top"/>
          </w:tcPr>
          <w:p w14:paraId="37598C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26596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2808" w:type="dxa"/>
            <w:vAlign w:val="top"/>
          </w:tcPr>
          <w:p w14:paraId="0A4BB7D4">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竣工日期</w:t>
            </w:r>
          </w:p>
        </w:tc>
        <w:tc>
          <w:tcPr>
            <w:tcW w:w="7091" w:type="dxa"/>
            <w:vAlign w:val="top"/>
          </w:tcPr>
          <w:p w14:paraId="407218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1280B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2808" w:type="dxa"/>
            <w:vAlign w:val="top"/>
          </w:tcPr>
          <w:p w14:paraId="5320F77A">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承担的工作</w:t>
            </w:r>
          </w:p>
        </w:tc>
        <w:tc>
          <w:tcPr>
            <w:tcW w:w="7091" w:type="dxa"/>
            <w:vAlign w:val="top"/>
          </w:tcPr>
          <w:p w14:paraId="08DF9A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40A58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2808" w:type="dxa"/>
            <w:vAlign w:val="top"/>
          </w:tcPr>
          <w:p w14:paraId="241C7AE6">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工程质量</w:t>
            </w:r>
          </w:p>
        </w:tc>
        <w:tc>
          <w:tcPr>
            <w:tcW w:w="7091" w:type="dxa"/>
            <w:vAlign w:val="top"/>
          </w:tcPr>
          <w:p w14:paraId="2EAAC8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6814E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2808" w:type="dxa"/>
            <w:vAlign w:val="top"/>
          </w:tcPr>
          <w:p w14:paraId="0A9243B8">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总监理工程师及电话</w:t>
            </w:r>
          </w:p>
        </w:tc>
        <w:tc>
          <w:tcPr>
            <w:tcW w:w="7091" w:type="dxa"/>
            <w:vAlign w:val="top"/>
          </w:tcPr>
          <w:p w14:paraId="1F3281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6261B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2808" w:type="dxa"/>
            <w:vAlign w:val="top"/>
          </w:tcPr>
          <w:p w14:paraId="2C394CB4">
            <w:pPr>
              <w:keepNext w:val="0"/>
              <w:keepLines w:val="0"/>
              <w:pageBreakBefore w:val="0"/>
              <w:widowControl w:val="0"/>
              <w:kinsoku/>
              <w:wordWrap/>
              <w:overflowPunct/>
              <w:topLinePunct w:val="0"/>
              <w:autoSpaceDE/>
              <w:autoSpaceDN/>
              <w:bidi w:val="0"/>
              <w:adjustRightInd/>
              <w:snapToGrid/>
              <w:spacing w:before="104" w:line="360" w:lineRule="auto"/>
              <w:jc w:val="center"/>
              <w:textAlignment w:val="auto"/>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建设单位联系人、电话</w:t>
            </w:r>
          </w:p>
        </w:tc>
        <w:tc>
          <w:tcPr>
            <w:tcW w:w="7091" w:type="dxa"/>
            <w:vAlign w:val="top"/>
          </w:tcPr>
          <w:p w14:paraId="294BBA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r w14:paraId="41AB7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808" w:type="dxa"/>
            <w:vAlign w:val="top"/>
          </w:tcPr>
          <w:p w14:paraId="0930AE3C">
            <w:pPr>
              <w:keepNext w:val="0"/>
              <w:keepLines w:val="0"/>
              <w:pageBreakBefore w:val="0"/>
              <w:widowControl w:val="0"/>
              <w:kinsoku/>
              <w:wordWrap/>
              <w:overflowPunct/>
              <w:topLinePunct w:val="0"/>
              <w:autoSpaceDE/>
              <w:autoSpaceDN/>
              <w:bidi w:val="0"/>
              <w:adjustRightInd/>
              <w:snapToGrid/>
              <w:spacing w:before="172" w:line="360" w:lineRule="auto"/>
              <w:ind w:left="1011"/>
              <w:textAlignment w:val="auto"/>
              <w:rPr>
                <w:rFonts w:hint="eastAsia" w:ascii="宋体" w:hAnsi="宋体" w:eastAsia="宋体" w:cs="宋体"/>
                <w:color w:val="auto"/>
                <w:sz w:val="28"/>
                <w:szCs w:val="28"/>
              </w:rPr>
            </w:pPr>
            <w:r>
              <w:rPr>
                <w:rFonts w:hint="eastAsia" w:ascii="宋体" w:hAnsi="宋体" w:eastAsia="宋体" w:cs="宋体"/>
                <w:color w:val="auto"/>
                <w:spacing w:val="4"/>
                <w:sz w:val="28"/>
                <w:szCs w:val="28"/>
              </w:rPr>
              <w:t>备</w:t>
            </w:r>
            <w:r>
              <w:rPr>
                <w:rFonts w:hint="eastAsia" w:ascii="宋体" w:hAnsi="宋体" w:eastAsia="宋体" w:cs="宋体"/>
                <w:color w:val="auto"/>
                <w:spacing w:val="3"/>
                <w:sz w:val="28"/>
                <w:szCs w:val="28"/>
              </w:rPr>
              <w:t>注</w:t>
            </w:r>
          </w:p>
        </w:tc>
        <w:tc>
          <w:tcPr>
            <w:tcW w:w="7091" w:type="dxa"/>
            <w:vAlign w:val="top"/>
          </w:tcPr>
          <w:p w14:paraId="7F143E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tc>
      </w:tr>
    </w:tbl>
    <w:p w14:paraId="47DBE999">
      <w:pPr>
        <w:pStyle w:val="19"/>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ascii="宋体" w:hAnsi="宋体" w:eastAsia="宋体" w:cs="宋体"/>
          <w:color w:val="auto"/>
          <w:sz w:val="28"/>
          <w:szCs w:val="28"/>
        </w:rPr>
      </w:pPr>
    </w:p>
    <w:p w14:paraId="2CC8F7F8">
      <w:pPr>
        <w:pStyle w:val="19"/>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法定代表人或其委托代理人（签/章）:</w:t>
      </w:r>
    </w:p>
    <w:p w14:paraId="6D619144">
      <w:pPr>
        <w:pStyle w:val="19"/>
        <w:keepNext w:val="0"/>
        <w:keepLines w:val="0"/>
        <w:pageBreakBefore w:val="0"/>
        <w:widowControl w:val="0"/>
        <w:tabs>
          <w:tab w:val="left" w:pos="5370"/>
        </w:tabs>
        <w:kinsoku/>
        <w:wordWrap/>
        <w:overflowPunct/>
        <w:topLinePunct w:val="0"/>
        <w:autoSpaceDE/>
        <w:autoSpaceDN/>
        <w:bidi w:val="0"/>
        <w:adjustRightInd/>
        <w:snapToGrid/>
        <w:spacing w:line="360" w:lineRule="auto"/>
        <w:ind w:left="1080" w:leftChars="257" w:hanging="540"/>
        <w:textAlignment w:val="auto"/>
        <w:rPr>
          <w:rFonts w:hint="eastAsia" w:ascii="宋体" w:hAnsi="宋体" w:eastAsia="宋体" w:cs="宋体"/>
          <w:color w:val="auto"/>
          <w:sz w:val="28"/>
          <w:szCs w:val="28"/>
          <w:lang w:eastAsia="zh-CN"/>
        </w:rPr>
        <w:sectPr>
          <w:footerReference r:id="rId9" w:type="default"/>
          <w:pgSz w:w="11906" w:h="16839"/>
          <w:pgMar w:top="1440" w:right="1800" w:bottom="1440" w:left="1800" w:header="0" w:footer="408" w:gutter="0"/>
          <w:pgNumType w:fmt="decimal"/>
          <w:cols w:space="720" w:num="1"/>
        </w:sectPr>
      </w:pPr>
      <w:r>
        <w:rPr>
          <w:rFonts w:hint="eastAsia" w:ascii="宋体" w:hAnsi="宋体" w:eastAsia="宋体" w:cs="宋体"/>
          <w:color w:val="auto"/>
          <w:sz w:val="28"/>
          <w:szCs w:val="28"/>
        </w:rPr>
        <w:t>供应商(公章)</w:t>
      </w:r>
      <w:r>
        <w:rPr>
          <w:rFonts w:hint="eastAsia" w:ascii="宋体" w:hAnsi="宋体" w:eastAsia="宋体" w:cs="宋体"/>
          <w:color w:val="auto"/>
          <w:sz w:val="28"/>
          <w:szCs w:val="28"/>
          <w:lang w:eastAsia="zh-CN"/>
        </w:rPr>
        <w:t>：</w:t>
      </w:r>
    </w:p>
    <w:p w14:paraId="72012774">
      <w:pPr>
        <w:pStyle w:val="19"/>
        <w:snapToGrid w:val="0"/>
        <w:spacing w:line="360" w:lineRule="auto"/>
        <w:textAlignment w:val="baseline"/>
        <w:rPr>
          <w:rFonts w:hint="eastAsia" w:ascii="宋体" w:hAnsi="宋体" w:eastAsia="宋体" w:cs="宋体"/>
          <w:color w:val="auto"/>
          <w:sz w:val="28"/>
          <w:szCs w:val="28"/>
        </w:rPr>
      </w:pPr>
    </w:p>
    <w:p w14:paraId="0CE46563">
      <w:pPr>
        <w:spacing w:line="360" w:lineRule="auto"/>
        <w:rPr>
          <w:rFonts w:hint="eastAsia" w:ascii="宋体" w:hAnsi="宋体" w:eastAsia="宋体" w:cs="宋体"/>
          <w:b/>
          <w:bCs/>
          <w:color w:val="auto"/>
          <w:sz w:val="28"/>
          <w:szCs w:val="28"/>
        </w:rPr>
      </w:pPr>
      <w:bookmarkStart w:id="640" w:name="_Toc10205"/>
      <w:bookmarkStart w:id="641" w:name="_Toc30772"/>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残疾人福利性单位声明函</w:t>
      </w:r>
      <w:bookmarkEnd w:id="640"/>
      <w:bookmarkEnd w:id="641"/>
    </w:p>
    <w:p w14:paraId="0694CFCF">
      <w:pPr>
        <w:spacing w:line="360" w:lineRule="auto"/>
        <w:ind w:left="1080" w:leftChars="257" w:hanging="540"/>
        <w:jc w:val="center"/>
        <w:rPr>
          <w:rFonts w:hint="eastAsia" w:ascii="宋体" w:hAnsi="宋体" w:eastAsia="宋体" w:cs="宋体"/>
          <w:color w:val="auto"/>
          <w:kern w:val="0"/>
          <w:sz w:val="28"/>
          <w:szCs w:val="28"/>
        </w:rPr>
      </w:pPr>
    </w:p>
    <w:p w14:paraId="4A644E9A">
      <w:pPr>
        <w:spacing w:line="360" w:lineRule="auto"/>
        <w:ind w:firstLine="567"/>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DAC869E">
      <w:pPr>
        <w:spacing w:line="360" w:lineRule="auto"/>
        <w:ind w:left="1080" w:leftChars="257" w:hanging="5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本单位对上述声明的真实性负责。如有虚假，将依法承担相应责任。</w:t>
      </w:r>
    </w:p>
    <w:p w14:paraId="5950B076">
      <w:pPr>
        <w:spacing w:line="360" w:lineRule="auto"/>
        <w:ind w:left="1080" w:leftChars="257" w:hanging="540"/>
        <w:jc w:val="center"/>
        <w:rPr>
          <w:rFonts w:hint="eastAsia" w:ascii="宋体" w:hAnsi="宋体" w:eastAsia="宋体" w:cs="宋体"/>
          <w:color w:val="auto"/>
          <w:kern w:val="0"/>
          <w:sz w:val="28"/>
          <w:szCs w:val="28"/>
        </w:rPr>
      </w:pPr>
    </w:p>
    <w:p w14:paraId="27A5576A">
      <w:pPr>
        <w:spacing w:line="360" w:lineRule="auto"/>
        <w:ind w:left="1080" w:leftChars="257" w:hanging="540"/>
        <w:jc w:val="center"/>
        <w:rPr>
          <w:rFonts w:hint="eastAsia" w:ascii="宋体" w:hAnsi="宋体" w:eastAsia="宋体" w:cs="宋体"/>
          <w:color w:val="auto"/>
          <w:kern w:val="0"/>
          <w:sz w:val="28"/>
          <w:szCs w:val="28"/>
        </w:rPr>
      </w:pPr>
    </w:p>
    <w:p w14:paraId="260E5967">
      <w:pPr>
        <w:spacing w:line="360" w:lineRule="auto"/>
        <w:ind w:left="1080" w:leftChars="257" w:hanging="54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残疾人福利性单位名称（公章）：</w:t>
      </w:r>
    </w:p>
    <w:p w14:paraId="7329FC3C">
      <w:pPr>
        <w:spacing w:line="360" w:lineRule="auto"/>
        <w:ind w:left="1080" w:leftChars="257" w:hanging="540"/>
        <w:jc w:val="center"/>
        <w:rPr>
          <w:rFonts w:hint="eastAsia" w:ascii="宋体" w:hAnsi="宋体" w:eastAsia="宋体" w:cs="宋体"/>
          <w:color w:val="auto"/>
          <w:sz w:val="28"/>
          <w:szCs w:val="21"/>
        </w:rPr>
      </w:pPr>
      <w:r>
        <w:rPr>
          <w:rFonts w:hint="eastAsia" w:ascii="宋体" w:hAnsi="宋体" w:eastAsia="宋体" w:cs="宋体"/>
          <w:color w:val="auto"/>
          <w:kern w:val="0"/>
          <w:sz w:val="28"/>
          <w:szCs w:val="28"/>
        </w:rPr>
        <w:t xml:space="preserve">                 日  期：</w:t>
      </w:r>
    </w:p>
    <w:p w14:paraId="416A5C00">
      <w:pPr>
        <w:pStyle w:val="9"/>
        <w:keepNext w:val="0"/>
        <w:keepLines w:val="0"/>
        <w:pageBreakBefore w:val="0"/>
        <w:widowControl w:val="0"/>
        <w:kinsoku/>
        <w:wordWrap/>
        <w:overflowPunct/>
        <w:topLinePunct w:val="0"/>
        <w:bidi w:val="0"/>
        <w:snapToGrid/>
        <w:spacing w:line="360" w:lineRule="auto"/>
        <w:ind w:left="0" w:leftChars="0" w:firstLine="0" w:firstLineChars="0"/>
        <w:textAlignment w:val="auto"/>
        <w:outlineLvl w:val="1"/>
        <w:rPr>
          <w:rFonts w:hint="eastAsia" w:ascii="宋体" w:hAnsi="宋体" w:eastAsia="宋体" w:cs="宋体"/>
          <w:b/>
          <w:bCs/>
          <w:color w:val="auto"/>
          <w:kern w:val="2"/>
          <w:sz w:val="28"/>
          <w:szCs w:val="28"/>
          <w:lang w:val="en-US" w:eastAsia="zh-CN" w:bidi="ar-SA"/>
        </w:rPr>
      </w:pPr>
      <w:bookmarkStart w:id="642" w:name="_Toc31249"/>
      <w:bookmarkStart w:id="643" w:name="_Toc13322"/>
    </w:p>
    <w:p w14:paraId="76A2ED38">
      <w:pPr>
        <w:pStyle w:val="9"/>
        <w:keepNext w:val="0"/>
        <w:keepLines w:val="0"/>
        <w:pageBreakBefore w:val="0"/>
        <w:widowControl w:val="0"/>
        <w:kinsoku/>
        <w:wordWrap/>
        <w:overflowPunct/>
        <w:topLinePunct w:val="0"/>
        <w:bidi w:val="0"/>
        <w:snapToGrid/>
        <w:spacing w:line="360" w:lineRule="auto"/>
        <w:ind w:left="0" w:leftChars="0" w:firstLine="0" w:firstLineChars="0"/>
        <w:textAlignment w:val="auto"/>
        <w:outlineLvl w:val="1"/>
        <w:rPr>
          <w:rFonts w:hint="eastAsia" w:ascii="宋体" w:hAnsi="宋体" w:eastAsia="宋体" w:cs="宋体"/>
          <w:b/>
          <w:bCs/>
          <w:color w:val="auto"/>
          <w:kern w:val="2"/>
          <w:sz w:val="28"/>
          <w:szCs w:val="28"/>
          <w:lang w:val="en-US" w:eastAsia="zh-CN" w:bidi="ar-SA"/>
        </w:rPr>
      </w:pPr>
      <w:bookmarkStart w:id="644" w:name="_Toc19262"/>
      <w:r>
        <w:rPr>
          <w:rFonts w:hint="eastAsia" w:ascii="宋体" w:hAnsi="宋体" w:eastAsia="宋体" w:cs="宋体"/>
          <w:b/>
          <w:bCs/>
          <w:color w:val="auto"/>
          <w:kern w:val="2"/>
          <w:sz w:val="28"/>
          <w:szCs w:val="28"/>
          <w:lang w:val="en-US" w:eastAsia="zh-CN" w:bidi="ar-SA"/>
        </w:rPr>
        <w:t>6、技术部分</w:t>
      </w:r>
      <w:bookmarkEnd w:id="642"/>
      <w:bookmarkEnd w:id="643"/>
      <w:bookmarkEnd w:id="644"/>
      <w:bookmarkStart w:id="645" w:name="_Toc18621"/>
      <w:bookmarkStart w:id="646" w:name="_Toc5089"/>
    </w:p>
    <w:p w14:paraId="5944527A">
      <w:pPr>
        <w:spacing w:before="74" w:line="360" w:lineRule="auto"/>
        <w:ind w:left="551"/>
        <w:outlineLvl w:val="1"/>
        <w:rPr>
          <w:rFonts w:hint="eastAsia" w:ascii="宋体" w:hAnsi="宋体" w:eastAsia="宋体" w:cs="宋体"/>
          <w:b/>
          <w:bCs/>
          <w:color w:val="auto"/>
          <w:kern w:val="2"/>
          <w:sz w:val="28"/>
          <w:szCs w:val="28"/>
          <w:lang w:val="en-US" w:eastAsia="zh-CN" w:bidi="ar-SA"/>
        </w:rPr>
      </w:pPr>
    </w:p>
    <w:p w14:paraId="11CA244E">
      <w:pPr>
        <w:spacing w:before="74" w:line="360" w:lineRule="auto"/>
        <w:ind w:left="551"/>
        <w:outlineLvl w:val="1"/>
        <w:rPr>
          <w:rFonts w:hint="eastAsia" w:ascii="宋体" w:hAnsi="宋体" w:eastAsia="宋体" w:cs="宋体"/>
          <w:b/>
          <w:bCs/>
          <w:color w:val="auto"/>
          <w:kern w:val="2"/>
          <w:sz w:val="28"/>
          <w:szCs w:val="28"/>
          <w:lang w:val="en-US" w:eastAsia="zh-CN" w:bidi="ar-SA"/>
        </w:rPr>
      </w:pPr>
    </w:p>
    <w:p w14:paraId="20BBE34D">
      <w:pPr>
        <w:spacing w:before="74" w:line="360" w:lineRule="auto"/>
        <w:outlineLvl w:val="1"/>
        <w:rPr>
          <w:rFonts w:hint="eastAsia" w:ascii="宋体" w:hAnsi="宋体" w:eastAsia="宋体" w:cs="宋体"/>
          <w:color w:val="auto"/>
          <w:sz w:val="22"/>
          <w:szCs w:val="28"/>
        </w:rPr>
      </w:pPr>
      <w:bookmarkStart w:id="647" w:name="_Toc26005"/>
      <w:r>
        <w:rPr>
          <w:rFonts w:hint="eastAsia" w:ascii="宋体" w:hAnsi="宋体" w:eastAsia="宋体" w:cs="宋体"/>
          <w:b/>
          <w:bCs/>
          <w:color w:val="auto"/>
          <w:kern w:val="2"/>
          <w:sz w:val="28"/>
          <w:szCs w:val="28"/>
          <w:lang w:val="en-US" w:eastAsia="zh-CN" w:bidi="ar-SA"/>
        </w:rPr>
        <w:t>7、供应商可提供有利于投标的其他资格证明材料</w:t>
      </w:r>
      <w:bookmarkEnd w:id="645"/>
      <w:bookmarkEnd w:id="646"/>
      <w:bookmarkEnd w:id="647"/>
    </w:p>
    <w:p w14:paraId="4EA50B73">
      <w:pPr>
        <w:snapToGrid w:val="0"/>
        <w:spacing w:line="360" w:lineRule="auto"/>
        <w:ind w:left="1079" w:leftChars="257" w:hanging="539"/>
        <w:jc w:val="left"/>
        <w:textAlignment w:val="baseline"/>
        <w:outlineLvl w:val="1"/>
        <w:rPr>
          <w:rFonts w:hint="eastAsia" w:ascii="宋体" w:hAnsi="宋体" w:eastAsia="宋体" w:cs="宋体"/>
          <w:b/>
          <w:color w:val="auto"/>
          <w:kern w:val="0"/>
          <w:sz w:val="28"/>
          <w:szCs w:val="21"/>
          <w:lang w:val="en-US" w:eastAsia="zh-CN"/>
        </w:rPr>
      </w:pPr>
      <w:bookmarkStart w:id="648" w:name="_Toc1459"/>
      <w:bookmarkStart w:id="649" w:name="_Toc26156"/>
    </w:p>
    <w:p w14:paraId="3D9D1F13">
      <w:pPr>
        <w:snapToGrid w:val="0"/>
        <w:spacing w:line="360" w:lineRule="auto"/>
        <w:ind w:left="1079" w:leftChars="257" w:hanging="539"/>
        <w:jc w:val="left"/>
        <w:textAlignment w:val="baseline"/>
        <w:outlineLvl w:val="1"/>
        <w:rPr>
          <w:rFonts w:hint="eastAsia" w:ascii="宋体" w:hAnsi="宋体" w:eastAsia="宋体" w:cs="宋体"/>
          <w:b/>
          <w:color w:val="auto"/>
          <w:kern w:val="0"/>
          <w:sz w:val="28"/>
          <w:szCs w:val="21"/>
          <w:lang w:val="en-US" w:eastAsia="zh-CN"/>
        </w:rPr>
      </w:pPr>
    </w:p>
    <w:p w14:paraId="1D4ED615">
      <w:pPr>
        <w:snapToGrid w:val="0"/>
        <w:spacing w:line="360" w:lineRule="auto"/>
        <w:ind w:left="1079" w:leftChars="257" w:hanging="539"/>
        <w:jc w:val="left"/>
        <w:textAlignment w:val="baseline"/>
        <w:outlineLvl w:val="1"/>
        <w:rPr>
          <w:rFonts w:hint="eastAsia" w:ascii="宋体" w:hAnsi="宋体" w:eastAsia="宋体" w:cs="宋体"/>
          <w:b/>
          <w:color w:val="auto"/>
          <w:kern w:val="0"/>
          <w:sz w:val="28"/>
          <w:szCs w:val="21"/>
          <w:lang w:val="en-US" w:eastAsia="zh-CN"/>
        </w:rPr>
      </w:pPr>
    </w:p>
    <w:p w14:paraId="721A5884">
      <w:pPr>
        <w:snapToGrid w:val="0"/>
        <w:spacing w:line="360" w:lineRule="auto"/>
        <w:jc w:val="left"/>
        <w:textAlignment w:val="baseline"/>
        <w:outlineLvl w:val="1"/>
        <w:rPr>
          <w:rFonts w:hint="eastAsia" w:ascii="宋体" w:hAnsi="宋体" w:eastAsia="宋体" w:cs="宋体"/>
          <w:b/>
          <w:color w:val="auto"/>
          <w:kern w:val="0"/>
          <w:sz w:val="28"/>
          <w:szCs w:val="21"/>
          <w:lang w:val="en-US" w:eastAsia="zh-CN"/>
        </w:rPr>
      </w:pPr>
    </w:p>
    <w:p w14:paraId="6485B4B4">
      <w:pPr>
        <w:spacing w:line="360" w:lineRule="auto"/>
        <w:rPr>
          <w:rFonts w:hint="eastAsia" w:ascii="宋体" w:hAnsi="宋体" w:eastAsia="宋体" w:cs="宋体"/>
          <w:b/>
          <w:color w:val="auto"/>
          <w:kern w:val="0"/>
          <w:sz w:val="28"/>
          <w:szCs w:val="21"/>
          <w:lang w:val="en-US" w:eastAsia="zh-CN"/>
        </w:rPr>
      </w:pPr>
      <w:r>
        <w:rPr>
          <w:rFonts w:hint="eastAsia" w:ascii="宋体" w:hAnsi="宋体" w:eastAsia="宋体" w:cs="宋体"/>
          <w:b/>
          <w:color w:val="auto"/>
          <w:kern w:val="0"/>
          <w:sz w:val="28"/>
          <w:szCs w:val="21"/>
          <w:lang w:val="en-US" w:eastAsia="zh-CN"/>
        </w:rPr>
        <w:br w:type="page"/>
      </w:r>
    </w:p>
    <w:p w14:paraId="1B86BB6D">
      <w:pPr>
        <w:spacing w:line="360" w:lineRule="auto"/>
        <w:rPr>
          <w:rFonts w:hint="eastAsia" w:ascii="宋体" w:hAnsi="宋体" w:eastAsia="宋体" w:cs="宋体"/>
          <w:b/>
          <w:color w:val="auto"/>
          <w:sz w:val="28"/>
          <w:szCs w:val="28"/>
        </w:rPr>
      </w:pPr>
      <w:r>
        <w:rPr>
          <w:rFonts w:hint="eastAsia" w:ascii="宋体" w:hAnsi="宋体" w:eastAsia="宋体" w:cs="宋体"/>
          <w:b/>
          <w:color w:val="auto"/>
          <w:kern w:val="0"/>
          <w:sz w:val="28"/>
          <w:szCs w:val="21"/>
          <w:lang w:val="en-US" w:eastAsia="zh-CN"/>
        </w:rPr>
        <w:t>8</w:t>
      </w:r>
      <w:r>
        <w:rPr>
          <w:rFonts w:hint="eastAsia" w:ascii="宋体" w:hAnsi="宋体" w:eastAsia="宋体" w:cs="宋体"/>
          <w:b/>
          <w:color w:val="auto"/>
          <w:kern w:val="0"/>
          <w:sz w:val="28"/>
          <w:szCs w:val="21"/>
        </w:rPr>
        <w:t>、响应文件格式范本</w:t>
      </w:r>
      <w:bookmarkEnd w:id="648"/>
      <w:bookmarkEnd w:id="649"/>
    </w:p>
    <w:tbl>
      <w:tblPr>
        <w:tblStyle w:val="40"/>
        <w:tblpPr w:leftFromText="180" w:rightFromText="180" w:vertAnchor="text" w:horzAnchor="page" w:tblpX="1343" w:tblpY="413"/>
        <w:tblOverlap w:val="never"/>
        <w:tblW w:w="928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280"/>
      </w:tblGrid>
      <w:tr w14:paraId="3BC35E9B">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2753" w:hRule="atLeast"/>
        </w:trPr>
        <w:tc>
          <w:tcPr>
            <w:tcW w:w="9280" w:type="dxa"/>
            <w:shd w:val="clear" w:color="auto" w:fill="FCFEEA"/>
          </w:tcPr>
          <w:p w14:paraId="4F2C7E51">
            <w:pPr>
              <w:pStyle w:val="13"/>
              <w:snapToGrid w:val="0"/>
              <w:spacing w:line="360" w:lineRule="auto"/>
              <w:jc w:val="center"/>
              <w:textAlignment w:val="baseline"/>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w:t>
            </w:r>
          </w:p>
          <w:p w14:paraId="62FA096C">
            <w:pPr>
              <w:pStyle w:val="13"/>
              <w:snapToGrid w:val="0"/>
              <w:spacing w:line="360" w:lineRule="auto"/>
              <w:textAlignment w:val="baseline"/>
              <w:rPr>
                <w:rFonts w:hint="eastAsia" w:ascii="宋体" w:hAnsi="宋体" w:eastAsia="宋体" w:cs="宋体"/>
                <w:b/>
                <w:bCs/>
                <w:color w:val="auto"/>
                <w:sz w:val="32"/>
                <w:szCs w:val="32"/>
              </w:rPr>
            </w:pPr>
          </w:p>
          <w:p w14:paraId="14C5D5A7">
            <w:pPr>
              <w:pStyle w:val="13"/>
              <w:snapToGrid w:val="0"/>
              <w:spacing w:line="360" w:lineRule="auto"/>
              <w:ind w:firstLine="2891" w:firstLineChars="900"/>
              <w:textAlignment w:val="baseline"/>
              <w:rPr>
                <w:rFonts w:hint="eastAsia" w:ascii="宋体" w:hAnsi="宋体" w:eastAsia="宋体" w:cs="宋体"/>
                <w:b/>
                <w:bCs/>
                <w:color w:val="auto"/>
                <w:sz w:val="32"/>
                <w:szCs w:val="32"/>
              </w:rPr>
            </w:pPr>
            <w:r>
              <w:rPr>
                <w:rFonts w:hint="eastAsia" w:ascii="宋体" w:hAnsi="宋体" w:eastAsia="宋体" w:cs="宋体"/>
                <w:b/>
                <w:bCs/>
                <w:color w:val="auto"/>
                <w:sz w:val="32"/>
                <w:szCs w:val="32"/>
              </w:rPr>
              <w:t>***** *** *** *** ***   项目***</w:t>
            </w:r>
          </w:p>
          <w:p w14:paraId="4FCCB493">
            <w:pPr>
              <w:pStyle w:val="13"/>
              <w:snapToGrid w:val="0"/>
              <w:spacing w:line="360" w:lineRule="auto"/>
              <w:jc w:val="center"/>
              <w:textAlignment w:val="baseline"/>
              <w:rPr>
                <w:rFonts w:hint="eastAsia" w:ascii="宋体" w:hAnsi="宋体" w:eastAsia="宋体" w:cs="宋体"/>
                <w:b/>
                <w:bCs/>
                <w:color w:val="auto"/>
                <w:sz w:val="22"/>
                <w:szCs w:val="22"/>
              </w:rPr>
            </w:pPr>
          </w:p>
          <w:p w14:paraId="6478DD6F">
            <w:pPr>
              <w:pStyle w:val="13"/>
              <w:snapToGrid w:val="0"/>
              <w:spacing w:line="360" w:lineRule="auto"/>
              <w:ind w:firstLine="3313" w:firstLineChars="1500"/>
              <w:textAlignment w:val="baseline"/>
              <w:rPr>
                <w:rFonts w:hint="eastAsia" w:ascii="宋体" w:hAnsi="宋体" w:eastAsia="宋体" w:cs="宋体"/>
                <w:b/>
                <w:bCs/>
                <w:color w:val="auto"/>
                <w:sz w:val="22"/>
                <w:szCs w:val="22"/>
              </w:rPr>
            </w:pPr>
            <w:r>
              <w:rPr>
                <w:rFonts w:hint="eastAsia" w:ascii="宋体" w:hAnsi="宋体" w:eastAsia="宋体" w:cs="宋体"/>
                <w:b/>
                <w:bCs/>
                <w:color w:val="auto"/>
                <w:sz w:val="22"/>
                <w:szCs w:val="22"/>
              </w:rPr>
              <w:t>编号 ＊＊＊</w:t>
            </w:r>
          </w:p>
          <w:p w14:paraId="58AF7798">
            <w:pPr>
              <w:pStyle w:val="13"/>
              <w:snapToGrid w:val="0"/>
              <w:spacing w:line="360" w:lineRule="auto"/>
              <w:jc w:val="both"/>
              <w:textAlignment w:val="baseline"/>
              <w:rPr>
                <w:rFonts w:hint="eastAsia" w:ascii="宋体" w:hAnsi="宋体" w:eastAsia="宋体" w:cs="宋体"/>
                <w:b/>
                <w:bCs/>
                <w:color w:val="auto"/>
                <w:sz w:val="52"/>
                <w:szCs w:val="28"/>
              </w:rPr>
            </w:pPr>
          </w:p>
          <w:p w14:paraId="0AD82245">
            <w:pPr>
              <w:pStyle w:val="13"/>
              <w:snapToGrid w:val="0"/>
              <w:spacing w:line="360" w:lineRule="auto"/>
              <w:jc w:val="center"/>
              <w:textAlignment w:val="baseline"/>
              <w:rPr>
                <w:rFonts w:hint="eastAsia" w:ascii="宋体" w:hAnsi="宋体" w:eastAsia="宋体" w:cs="宋体"/>
                <w:b/>
                <w:color w:val="auto"/>
                <w:sz w:val="36"/>
                <w:szCs w:val="21"/>
              </w:rPr>
            </w:pPr>
            <w:r>
              <w:rPr>
                <w:rFonts w:hint="eastAsia" w:ascii="宋体" w:hAnsi="宋体" w:eastAsia="宋体" w:cs="宋体"/>
                <w:b/>
                <w:bCs/>
                <w:color w:val="auto"/>
                <w:sz w:val="52"/>
                <w:szCs w:val="28"/>
              </w:rPr>
              <w:t>响 应 文 件</w:t>
            </w:r>
          </w:p>
          <w:p w14:paraId="762BBC06">
            <w:pPr>
              <w:snapToGrid w:val="0"/>
              <w:spacing w:line="360" w:lineRule="auto"/>
              <w:textAlignment w:val="baseline"/>
              <w:rPr>
                <w:rFonts w:hint="eastAsia" w:ascii="宋体" w:hAnsi="宋体" w:eastAsia="宋体" w:cs="宋体"/>
                <w:color w:val="auto"/>
                <w:sz w:val="22"/>
                <w:szCs w:val="22"/>
              </w:rPr>
            </w:pPr>
          </w:p>
          <w:p w14:paraId="251F2BEE">
            <w:pPr>
              <w:snapToGrid w:val="0"/>
              <w:spacing w:line="360" w:lineRule="auto"/>
              <w:ind w:left="176" w:leftChars="84" w:firstLine="880" w:firstLineChars="400"/>
              <w:textAlignment w:val="baseline"/>
              <w:rPr>
                <w:rFonts w:hint="eastAsia" w:ascii="宋体" w:hAnsi="宋体" w:eastAsia="宋体" w:cs="宋体"/>
                <w:color w:val="auto"/>
                <w:sz w:val="22"/>
                <w:szCs w:val="22"/>
              </w:rPr>
            </w:pPr>
          </w:p>
          <w:p w14:paraId="50DD084B">
            <w:pPr>
              <w:snapToGrid w:val="0"/>
              <w:spacing w:line="360" w:lineRule="auto"/>
              <w:ind w:left="176" w:leftChars="84" w:firstLine="880" w:firstLineChars="400"/>
              <w:textAlignment w:val="baseline"/>
              <w:rPr>
                <w:rFonts w:hint="eastAsia" w:ascii="宋体" w:hAnsi="宋体" w:eastAsia="宋体" w:cs="宋体"/>
                <w:color w:val="auto"/>
                <w:sz w:val="21"/>
                <w:szCs w:val="22"/>
              </w:rPr>
            </w:pPr>
            <w:r>
              <w:rPr>
                <w:rFonts w:hint="eastAsia" w:ascii="宋体" w:hAnsi="宋体" w:eastAsia="宋体" w:cs="宋体"/>
                <w:color w:val="auto"/>
                <w:sz w:val="22"/>
                <w:szCs w:val="22"/>
              </w:rPr>
              <w:t>磋商单位：</w:t>
            </w:r>
            <w:r>
              <w:rPr>
                <w:rFonts w:hint="eastAsia" w:ascii="宋体" w:hAnsi="宋体" w:eastAsia="宋体" w:cs="宋体"/>
                <w:color w:val="auto"/>
                <w:sz w:val="22"/>
                <w:szCs w:val="22"/>
                <w:u w:val="single" w:color="000000"/>
              </w:rPr>
              <w:t xml:space="preserve">                                       </w:t>
            </w:r>
            <w:r>
              <w:rPr>
                <w:rFonts w:hint="eastAsia" w:ascii="宋体" w:hAnsi="宋体" w:eastAsia="宋体" w:cs="宋体"/>
                <w:color w:val="auto"/>
                <w:sz w:val="22"/>
                <w:szCs w:val="22"/>
              </w:rPr>
              <w:t>（公章）</w:t>
            </w:r>
          </w:p>
          <w:p w14:paraId="448728D1">
            <w:pPr>
              <w:snapToGrid w:val="0"/>
              <w:spacing w:line="360" w:lineRule="auto"/>
              <w:ind w:left="176" w:leftChars="84" w:firstLine="880" w:firstLineChars="400"/>
              <w:textAlignment w:val="baseline"/>
              <w:rPr>
                <w:rFonts w:hint="eastAsia" w:ascii="宋体" w:hAnsi="宋体" w:eastAsia="宋体" w:cs="宋体"/>
                <w:color w:val="auto"/>
                <w:sz w:val="21"/>
                <w:szCs w:val="22"/>
                <w:u w:val="single" w:color="000000"/>
              </w:rPr>
            </w:pPr>
            <w:r>
              <w:rPr>
                <w:rFonts w:hint="eastAsia" w:ascii="宋体" w:hAnsi="宋体" w:eastAsia="宋体" w:cs="宋体"/>
                <w:color w:val="auto"/>
                <w:sz w:val="22"/>
                <w:szCs w:val="22"/>
              </w:rPr>
              <w:t>项目名称：</w:t>
            </w:r>
            <w:r>
              <w:rPr>
                <w:rFonts w:hint="eastAsia" w:ascii="宋体" w:hAnsi="宋体" w:eastAsia="宋体" w:cs="宋体"/>
                <w:color w:val="auto"/>
                <w:sz w:val="22"/>
                <w:szCs w:val="22"/>
                <w:u w:val="single" w:color="000000"/>
              </w:rPr>
              <w:t xml:space="preserve">                                          </w:t>
            </w:r>
          </w:p>
          <w:p w14:paraId="2938EFA5">
            <w:pPr>
              <w:snapToGrid w:val="0"/>
              <w:spacing w:line="360" w:lineRule="auto"/>
              <w:ind w:left="176" w:leftChars="84" w:firstLine="880" w:firstLineChars="400"/>
              <w:textAlignment w:val="baseline"/>
              <w:rPr>
                <w:rFonts w:hint="eastAsia" w:ascii="宋体" w:hAnsi="宋体" w:eastAsia="宋体" w:cs="宋体"/>
                <w:color w:val="auto"/>
                <w:sz w:val="21"/>
                <w:szCs w:val="22"/>
                <w:u w:val="single" w:color="000000"/>
              </w:rPr>
            </w:pPr>
            <w:r>
              <w:rPr>
                <w:rFonts w:hint="eastAsia" w:ascii="宋体" w:hAnsi="宋体" w:eastAsia="宋体" w:cs="宋体"/>
                <w:color w:val="auto"/>
                <w:sz w:val="22"/>
                <w:szCs w:val="22"/>
              </w:rPr>
              <w:t>项目编号：</w:t>
            </w:r>
            <w:r>
              <w:rPr>
                <w:rFonts w:hint="eastAsia" w:ascii="宋体" w:hAnsi="宋体" w:eastAsia="宋体" w:cs="宋体"/>
                <w:color w:val="auto"/>
                <w:sz w:val="22"/>
                <w:szCs w:val="22"/>
                <w:u w:val="single" w:color="000000"/>
              </w:rPr>
              <w:t xml:space="preserve">                                        </w:t>
            </w:r>
          </w:p>
          <w:p w14:paraId="74608145">
            <w:pPr>
              <w:snapToGrid w:val="0"/>
              <w:spacing w:line="360" w:lineRule="auto"/>
              <w:ind w:left="176" w:leftChars="84" w:firstLine="880" w:firstLineChars="400"/>
              <w:textAlignment w:val="baseline"/>
              <w:rPr>
                <w:rFonts w:hint="eastAsia" w:ascii="宋体" w:hAnsi="宋体" w:eastAsia="宋体" w:cs="宋体"/>
                <w:color w:val="auto"/>
                <w:sz w:val="21"/>
                <w:szCs w:val="22"/>
                <w:u w:val="single" w:color="000000"/>
              </w:rPr>
            </w:pPr>
            <w:r>
              <w:rPr>
                <w:rFonts w:hint="eastAsia" w:ascii="宋体" w:hAnsi="宋体" w:eastAsia="宋体" w:cs="宋体"/>
                <w:color w:val="auto"/>
                <w:sz w:val="22"/>
                <w:szCs w:val="22"/>
              </w:rPr>
              <w:t>联 系 人：</w:t>
            </w:r>
            <w:r>
              <w:rPr>
                <w:rFonts w:hint="eastAsia" w:ascii="宋体" w:hAnsi="宋体" w:eastAsia="宋体" w:cs="宋体"/>
                <w:color w:val="auto"/>
                <w:sz w:val="22"/>
                <w:szCs w:val="22"/>
                <w:u w:val="single" w:color="000000"/>
              </w:rPr>
              <w:t xml:space="preserve">                                        </w:t>
            </w:r>
          </w:p>
          <w:p w14:paraId="2E716518">
            <w:pPr>
              <w:snapToGrid w:val="0"/>
              <w:spacing w:line="360" w:lineRule="auto"/>
              <w:ind w:left="176" w:leftChars="84" w:firstLine="880" w:firstLineChars="400"/>
              <w:textAlignment w:val="baseline"/>
              <w:rPr>
                <w:rFonts w:hint="eastAsia" w:ascii="宋体" w:hAnsi="宋体" w:eastAsia="宋体" w:cs="宋体"/>
                <w:color w:val="auto"/>
                <w:sz w:val="21"/>
                <w:szCs w:val="22"/>
              </w:rPr>
            </w:pPr>
            <w:r>
              <w:rPr>
                <w:rFonts w:hint="eastAsia" w:ascii="宋体" w:hAnsi="宋体" w:eastAsia="宋体" w:cs="宋体"/>
                <w:color w:val="auto"/>
                <w:sz w:val="22"/>
                <w:szCs w:val="22"/>
              </w:rPr>
              <w:t>电    话：</w:t>
            </w:r>
            <w:r>
              <w:rPr>
                <w:rFonts w:hint="eastAsia" w:ascii="宋体" w:hAnsi="宋体" w:eastAsia="宋体" w:cs="宋体"/>
                <w:color w:val="auto"/>
                <w:sz w:val="22"/>
                <w:szCs w:val="22"/>
                <w:u w:val="single" w:color="000000"/>
              </w:rPr>
              <w:t xml:space="preserve">                                        </w:t>
            </w:r>
          </w:p>
          <w:p w14:paraId="761BD3F0">
            <w:pPr>
              <w:snapToGrid w:val="0"/>
              <w:spacing w:line="360" w:lineRule="auto"/>
              <w:ind w:left="176" w:leftChars="84" w:firstLine="880" w:firstLineChars="400"/>
              <w:textAlignment w:val="baseline"/>
              <w:rPr>
                <w:rFonts w:hint="eastAsia" w:ascii="宋体" w:hAnsi="宋体" w:eastAsia="宋体" w:cs="宋体"/>
                <w:color w:val="auto"/>
                <w:sz w:val="21"/>
                <w:szCs w:val="22"/>
                <w:u w:val="single" w:color="000000"/>
              </w:rPr>
            </w:pPr>
            <w:r>
              <w:rPr>
                <w:rFonts w:hint="eastAsia" w:ascii="宋体" w:hAnsi="宋体" w:eastAsia="宋体" w:cs="宋体"/>
                <w:color w:val="auto"/>
                <w:sz w:val="22"/>
                <w:szCs w:val="22"/>
              </w:rPr>
              <w:t xml:space="preserve">地    址  ：  </w:t>
            </w:r>
            <w:r>
              <w:rPr>
                <w:rFonts w:hint="eastAsia" w:ascii="宋体" w:hAnsi="宋体" w:eastAsia="宋体" w:cs="宋体"/>
                <w:color w:val="auto"/>
                <w:sz w:val="22"/>
                <w:szCs w:val="22"/>
                <w:u w:val="single" w:color="000000"/>
              </w:rPr>
              <w:t xml:space="preserve">                                    </w:t>
            </w:r>
          </w:p>
          <w:p w14:paraId="5A21B57F">
            <w:pPr>
              <w:snapToGrid w:val="0"/>
              <w:spacing w:line="360" w:lineRule="auto"/>
              <w:jc w:val="both"/>
              <w:textAlignment w:val="baseline"/>
              <w:rPr>
                <w:rFonts w:hint="eastAsia" w:ascii="宋体" w:hAnsi="宋体" w:eastAsia="宋体" w:cs="宋体"/>
                <w:b/>
                <w:bCs/>
                <w:color w:val="auto"/>
                <w:sz w:val="21"/>
                <w:szCs w:val="28"/>
              </w:rPr>
            </w:pPr>
          </w:p>
          <w:p w14:paraId="6756C662">
            <w:pPr>
              <w:snapToGrid w:val="0"/>
              <w:spacing w:line="360" w:lineRule="auto"/>
              <w:jc w:val="center"/>
              <w:textAlignment w:val="baseline"/>
              <w:rPr>
                <w:rFonts w:hint="eastAsia" w:ascii="宋体" w:hAnsi="宋体" w:eastAsia="宋体" w:cs="宋体"/>
                <w:b/>
                <w:bCs/>
                <w:color w:val="auto"/>
                <w:sz w:val="21"/>
                <w:szCs w:val="28"/>
              </w:rPr>
            </w:pPr>
          </w:p>
          <w:p w14:paraId="02867D82">
            <w:pPr>
              <w:snapToGrid w:val="0"/>
              <w:spacing w:line="360" w:lineRule="auto"/>
              <w:jc w:val="center"/>
              <w:textAlignment w:val="baseline"/>
              <w:rPr>
                <w:rFonts w:hint="eastAsia" w:ascii="宋体" w:hAnsi="宋体" w:eastAsia="宋体" w:cs="宋体"/>
                <w:b/>
                <w:bCs/>
                <w:color w:val="auto"/>
                <w:sz w:val="22"/>
                <w:szCs w:val="28"/>
              </w:rPr>
            </w:pPr>
          </w:p>
          <w:p w14:paraId="481C1AC1">
            <w:pPr>
              <w:snapToGrid w:val="0"/>
              <w:spacing w:line="360" w:lineRule="auto"/>
              <w:jc w:val="center"/>
              <w:textAlignment w:val="baseline"/>
              <w:rPr>
                <w:rFonts w:hint="eastAsia" w:ascii="宋体" w:hAnsi="宋体" w:eastAsia="宋体" w:cs="宋体"/>
                <w:b/>
                <w:bCs/>
                <w:color w:val="auto"/>
                <w:sz w:val="22"/>
                <w:szCs w:val="28"/>
              </w:rPr>
            </w:pPr>
          </w:p>
          <w:p w14:paraId="2B8B3541">
            <w:pPr>
              <w:snapToGrid w:val="0"/>
              <w:spacing w:line="360" w:lineRule="auto"/>
              <w:jc w:val="center"/>
              <w:textAlignment w:val="baseline"/>
              <w:rPr>
                <w:rFonts w:hint="eastAsia" w:ascii="宋体" w:hAnsi="宋体" w:eastAsia="宋体" w:cs="宋体"/>
                <w:b/>
                <w:bCs/>
                <w:color w:val="auto"/>
                <w:sz w:val="22"/>
                <w:szCs w:val="28"/>
              </w:rPr>
            </w:pPr>
          </w:p>
          <w:p w14:paraId="4FC58BB2">
            <w:pPr>
              <w:snapToGrid w:val="0"/>
              <w:spacing w:line="360" w:lineRule="auto"/>
              <w:jc w:val="center"/>
              <w:textAlignment w:val="baseline"/>
              <w:rPr>
                <w:rFonts w:hint="eastAsia" w:ascii="宋体" w:hAnsi="宋体" w:eastAsia="宋体" w:cs="宋体"/>
                <w:b/>
                <w:bCs/>
                <w:color w:val="auto"/>
                <w:sz w:val="22"/>
                <w:szCs w:val="28"/>
              </w:rPr>
            </w:pPr>
          </w:p>
          <w:p w14:paraId="49115416">
            <w:pPr>
              <w:snapToGrid w:val="0"/>
              <w:spacing w:line="360" w:lineRule="auto"/>
              <w:jc w:val="center"/>
              <w:textAlignment w:val="baseline"/>
              <w:rPr>
                <w:rFonts w:hint="eastAsia" w:ascii="宋体" w:hAnsi="宋体" w:eastAsia="宋体" w:cs="宋体"/>
                <w:b/>
                <w:bCs/>
                <w:color w:val="auto"/>
                <w:sz w:val="21"/>
                <w:szCs w:val="28"/>
                <w:lang w:eastAsia="zh-CN"/>
              </w:rPr>
            </w:pPr>
            <w:r>
              <w:rPr>
                <w:rFonts w:hint="eastAsia" w:ascii="宋体" w:hAnsi="宋体" w:eastAsia="宋体" w:cs="宋体"/>
                <w:b/>
                <w:bCs/>
                <w:color w:val="auto"/>
                <w:sz w:val="22"/>
                <w:szCs w:val="28"/>
              </w:rPr>
              <w:t>注：   在20XX年   月  日 X午</w:t>
            </w:r>
            <w:r>
              <w:rPr>
                <w:rFonts w:hint="eastAsia" w:ascii="宋体" w:hAnsi="宋体" w:eastAsia="宋体" w:cs="宋体"/>
                <w:color w:val="auto"/>
                <w:kern w:val="0"/>
                <w:sz w:val="22"/>
                <w:szCs w:val="22"/>
              </w:rPr>
              <w:t>XX</w:t>
            </w:r>
            <w:r>
              <w:rPr>
                <w:rFonts w:hint="eastAsia" w:ascii="宋体" w:hAnsi="宋体" w:eastAsia="宋体" w:cs="宋体"/>
                <w:b/>
                <w:bCs/>
                <w:color w:val="auto"/>
                <w:sz w:val="22"/>
                <w:szCs w:val="28"/>
              </w:rPr>
              <w:t>之前不得</w:t>
            </w:r>
            <w:r>
              <w:rPr>
                <w:rFonts w:hint="eastAsia" w:ascii="宋体" w:hAnsi="宋体" w:cs="宋体"/>
                <w:b/>
                <w:bCs/>
                <w:color w:val="auto"/>
                <w:sz w:val="22"/>
                <w:szCs w:val="28"/>
                <w:lang w:val="en-US" w:eastAsia="zh-CN"/>
              </w:rPr>
              <w:t>开启</w:t>
            </w:r>
          </w:p>
          <w:p w14:paraId="289CFBAC">
            <w:pPr>
              <w:snapToGrid w:val="0"/>
              <w:spacing w:line="360" w:lineRule="auto"/>
              <w:jc w:val="center"/>
              <w:textAlignment w:val="baseline"/>
              <w:rPr>
                <w:rFonts w:hint="eastAsia" w:ascii="宋体" w:hAnsi="宋体" w:eastAsia="宋体" w:cs="宋体"/>
                <w:b/>
                <w:bCs/>
                <w:color w:val="auto"/>
                <w:sz w:val="21"/>
                <w:szCs w:val="28"/>
              </w:rPr>
            </w:pPr>
          </w:p>
        </w:tc>
      </w:tr>
    </w:tbl>
    <w:p w14:paraId="4D17A0EB">
      <w:pPr>
        <w:snapToGrid w:val="0"/>
        <w:spacing w:line="360" w:lineRule="auto"/>
        <w:textAlignment w:val="baseline"/>
        <w:rPr>
          <w:rFonts w:hint="eastAsia" w:ascii="宋体" w:hAnsi="宋体" w:eastAsia="宋体" w:cs="宋体"/>
          <w:b/>
          <w:color w:val="auto"/>
          <w:sz w:val="32"/>
          <w:szCs w:val="32"/>
        </w:rPr>
      </w:pPr>
      <w:r>
        <w:rPr>
          <w:rFonts w:hint="eastAsia" w:ascii="宋体" w:hAnsi="宋体" w:eastAsia="宋体" w:cs="宋体"/>
          <w:color w:val="auto"/>
          <w:sz w:val="28"/>
          <w:szCs w:val="28"/>
        </w:rPr>
        <w:br w:type="page"/>
      </w:r>
    </w:p>
    <w:bookmarkEnd w:id="591"/>
    <w:bookmarkEnd w:id="592"/>
    <w:bookmarkEnd w:id="593"/>
    <w:bookmarkEnd w:id="594"/>
    <w:p w14:paraId="6847985F">
      <w:pPr>
        <w:pStyle w:val="39"/>
        <w:spacing w:line="360" w:lineRule="auto"/>
        <w:ind w:left="0" w:leftChars="0" w:firstLine="0" w:firstLineChars="0"/>
        <w:jc w:val="both"/>
        <w:rPr>
          <w:rFonts w:hint="eastAsia" w:ascii="宋体" w:hAnsi="宋体" w:eastAsia="宋体" w:cs="宋体"/>
          <w:b/>
          <w:color w:val="auto"/>
          <w:sz w:val="48"/>
          <w:szCs w:val="48"/>
          <w:lang w:eastAsia="zh-CN"/>
        </w:rPr>
      </w:pPr>
      <w:bookmarkStart w:id="650" w:name="_Toc219175634"/>
      <w:bookmarkStart w:id="651" w:name="_Toc16370"/>
      <w:bookmarkStart w:id="652" w:name="_Toc216582822"/>
      <w:bookmarkStart w:id="653" w:name="_Toc28765"/>
      <w:bookmarkStart w:id="654" w:name="_Toc507399902"/>
      <w:bookmarkStart w:id="655" w:name="_Toc218935350"/>
      <w:bookmarkStart w:id="656" w:name="_Toc515647829"/>
    </w:p>
    <w:p w14:paraId="7F8BFE98">
      <w:pPr>
        <w:pStyle w:val="39"/>
        <w:spacing w:line="360" w:lineRule="auto"/>
        <w:ind w:left="0" w:leftChars="0" w:firstLine="0" w:firstLineChars="0"/>
        <w:jc w:val="center"/>
        <w:rPr>
          <w:rFonts w:hint="eastAsia" w:ascii="宋体" w:hAnsi="宋体" w:eastAsia="宋体" w:cs="宋体"/>
          <w:color w:val="auto"/>
          <w:sz w:val="28"/>
          <w:szCs w:val="28"/>
        </w:rPr>
      </w:pPr>
      <w:r>
        <w:rPr>
          <w:rFonts w:hint="eastAsia" w:ascii="宋体" w:hAnsi="宋体" w:eastAsia="宋体" w:cs="宋体"/>
          <w:b/>
          <w:color w:val="auto"/>
          <w:sz w:val="48"/>
          <w:szCs w:val="48"/>
          <w:lang w:eastAsia="zh-CN"/>
        </w:rPr>
        <w:t>喀什经济开发区城北加工转化区东区基础设施建设项目（一期）监理服务</w:t>
      </w:r>
    </w:p>
    <w:p w14:paraId="21B9A146">
      <w:pPr>
        <w:snapToGrid w:val="0"/>
        <w:spacing w:line="360" w:lineRule="auto"/>
        <w:jc w:val="center"/>
        <w:textAlignment w:val="baseline"/>
        <w:rPr>
          <w:rFonts w:hint="eastAsia" w:ascii="宋体" w:hAnsi="宋体" w:eastAsia="宋体" w:cs="宋体"/>
          <w:b/>
          <w:color w:val="auto"/>
          <w:sz w:val="56"/>
          <w:szCs w:val="56"/>
        </w:rPr>
      </w:pPr>
    </w:p>
    <w:p w14:paraId="566546F5">
      <w:pPr>
        <w:snapToGrid w:val="0"/>
        <w:spacing w:line="360" w:lineRule="auto"/>
        <w:jc w:val="center"/>
        <w:textAlignment w:val="baseline"/>
        <w:rPr>
          <w:rFonts w:hint="eastAsia" w:ascii="宋体" w:hAnsi="宋体" w:eastAsia="宋体" w:cs="宋体"/>
          <w:b/>
          <w:color w:val="auto"/>
          <w:sz w:val="56"/>
          <w:szCs w:val="56"/>
        </w:rPr>
      </w:pPr>
    </w:p>
    <w:p w14:paraId="45A1A288">
      <w:pPr>
        <w:snapToGrid w:val="0"/>
        <w:spacing w:line="360" w:lineRule="auto"/>
        <w:jc w:val="center"/>
        <w:textAlignment w:val="baseline"/>
        <w:rPr>
          <w:rFonts w:hint="eastAsia" w:ascii="宋体" w:hAnsi="宋体" w:eastAsia="宋体" w:cs="宋体"/>
          <w:b/>
          <w:color w:val="auto"/>
          <w:sz w:val="56"/>
          <w:szCs w:val="56"/>
        </w:rPr>
      </w:pPr>
      <w:r>
        <w:rPr>
          <w:rFonts w:hint="eastAsia" w:ascii="宋体" w:hAnsi="宋体" w:eastAsia="宋体" w:cs="宋体"/>
          <w:b/>
          <w:color w:val="auto"/>
          <w:sz w:val="56"/>
          <w:szCs w:val="56"/>
        </w:rPr>
        <w:t>磋 商 文 件</w:t>
      </w:r>
    </w:p>
    <w:p w14:paraId="11D6C9AD">
      <w:pPr>
        <w:pStyle w:val="4"/>
        <w:spacing w:line="360" w:lineRule="auto"/>
        <w:rPr>
          <w:rFonts w:hint="eastAsia" w:ascii="宋体" w:hAnsi="宋体" w:eastAsia="宋体" w:cs="宋体"/>
          <w:color w:val="auto"/>
          <w:sz w:val="28"/>
          <w:szCs w:val="21"/>
        </w:rPr>
      </w:pPr>
    </w:p>
    <w:p w14:paraId="4917B1A7">
      <w:pPr>
        <w:pStyle w:val="30"/>
        <w:spacing w:line="360" w:lineRule="auto"/>
        <w:textAlignment w:val="baseline"/>
        <w:rPr>
          <w:rFonts w:hint="eastAsia" w:ascii="宋体" w:hAnsi="宋体" w:eastAsia="宋体" w:cs="宋体"/>
          <w:color w:val="auto"/>
          <w:sz w:val="22"/>
          <w:szCs w:val="36"/>
        </w:rPr>
      </w:pPr>
    </w:p>
    <w:p w14:paraId="06293AFB">
      <w:pPr>
        <w:snapToGrid w:val="0"/>
        <w:spacing w:line="360" w:lineRule="auto"/>
        <w:jc w:val="center"/>
        <w:textAlignment w:val="baseline"/>
        <w:rPr>
          <w:rFonts w:hint="eastAsia" w:ascii="宋体" w:hAnsi="宋体" w:eastAsia="宋体" w:cs="宋体"/>
          <w:b/>
          <w:color w:val="auto"/>
          <w:sz w:val="36"/>
          <w:szCs w:val="36"/>
        </w:rPr>
      </w:pPr>
    </w:p>
    <w:p w14:paraId="4A36BB02">
      <w:pPr>
        <w:snapToGrid w:val="0"/>
        <w:spacing w:line="360" w:lineRule="auto"/>
        <w:jc w:val="center"/>
        <w:textAlignment w:val="baseline"/>
        <w:rPr>
          <w:rFonts w:hint="eastAsia" w:ascii="宋体" w:hAnsi="宋体" w:eastAsia="宋体" w:cs="宋体"/>
          <w:color w:val="auto"/>
          <w:sz w:val="21"/>
          <w:szCs w:val="24"/>
          <w:lang w:val="en-US" w:eastAsia="zh-CN"/>
        </w:rPr>
      </w:pPr>
      <w:r>
        <w:rPr>
          <w:rFonts w:hint="eastAsia" w:ascii="宋体" w:hAnsi="宋体" w:eastAsia="宋体" w:cs="宋体"/>
          <w:b/>
          <w:color w:val="auto"/>
          <w:sz w:val="36"/>
          <w:szCs w:val="36"/>
        </w:rPr>
        <w:t>项目编号：</w:t>
      </w:r>
      <w:r>
        <w:rPr>
          <w:rFonts w:hint="eastAsia" w:ascii="宋体" w:hAnsi="宋体" w:eastAsia="宋体" w:cs="宋体"/>
          <w:b/>
          <w:color w:val="auto"/>
          <w:sz w:val="36"/>
          <w:szCs w:val="36"/>
          <w:lang w:eastAsia="zh-CN"/>
        </w:rPr>
        <w:t>KSJJKFQZFCG(CS)2024-59</w:t>
      </w:r>
    </w:p>
    <w:p w14:paraId="0AC2FB7A">
      <w:pPr>
        <w:snapToGrid w:val="0"/>
        <w:spacing w:line="360" w:lineRule="auto"/>
        <w:jc w:val="both"/>
        <w:textAlignment w:val="baseline"/>
        <w:rPr>
          <w:rFonts w:hint="eastAsia" w:ascii="宋体" w:hAnsi="宋体" w:eastAsia="宋体" w:cs="宋体"/>
          <w:b/>
          <w:color w:val="auto"/>
          <w:sz w:val="44"/>
          <w:szCs w:val="44"/>
        </w:rPr>
      </w:pPr>
    </w:p>
    <w:p w14:paraId="3651F8C9">
      <w:pPr>
        <w:snapToGrid w:val="0"/>
        <w:spacing w:line="360" w:lineRule="auto"/>
        <w:textAlignment w:val="baseline"/>
        <w:rPr>
          <w:rFonts w:hint="eastAsia" w:ascii="宋体" w:hAnsi="宋体" w:eastAsia="宋体" w:cs="宋体"/>
          <w:b/>
          <w:color w:val="auto"/>
          <w:sz w:val="56"/>
          <w:szCs w:val="28"/>
        </w:rPr>
      </w:pPr>
    </w:p>
    <w:p w14:paraId="37FC2683">
      <w:pPr>
        <w:snapToGrid w:val="0"/>
        <w:spacing w:line="360" w:lineRule="auto"/>
        <w:jc w:val="center"/>
        <w:textAlignment w:val="baseline"/>
        <w:rPr>
          <w:rFonts w:hint="eastAsia" w:ascii="宋体" w:hAnsi="宋体" w:eastAsia="宋体" w:cs="宋体"/>
          <w:b/>
          <w:color w:val="auto"/>
          <w:sz w:val="52"/>
          <w:szCs w:val="52"/>
        </w:rPr>
      </w:pPr>
      <w:r>
        <w:rPr>
          <w:rFonts w:hint="eastAsia" w:ascii="宋体" w:hAnsi="宋体" w:eastAsia="宋体" w:cs="宋体"/>
          <w:b/>
          <w:color w:val="auto"/>
          <w:sz w:val="52"/>
          <w:szCs w:val="52"/>
        </w:rPr>
        <w:t>第二册</w:t>
      </w:r>
    </w:p>
    <w:p w14:paraId="58291363">
      <w:pPr>
        <w:snapToGrid w:val="0"/>
        <w:spacing w:line="360" w:lineRule="auto"/>
        <w:ind w:left="1080" w:leftChars="257" w:hanging="540"/>
        <w:textAlignment w:val="baseline"/>
        <w:rPr>
          <w:rFonts w:hint="eastAsia" w:ascii="宋体" w:hAnsi="宋体" w:eastAsia="宋体" w:cs="宋体"/>
          <w:b/>
          <w:color w:val="auto"/>
          <w:sz w:val="32"/>
          <w:szCs w:val="28"/>
        </w:rPr>
      </w:pPr>
    </w:p>
    <w:p w14:paraId="716004B1">
      <w:pPr>
        <w:pStyle w:val="4"/>
        <w:spacing w:line="360" w:lineRule="auto"/>
        <w:rPr>
          <w:rFonts w:hint="eastAsia" w:ascii="宋体" w:hAnsi="宋体" w:eastAsia="宋体" w:cs="宋体"/>
          <w:color w:val="auto"/>
          <w:sz w:val="28"/>
          <w:szCs w:val="21"/>
        </w:rPr>
      </w:pPr>
    </w:p>
    <w:p w14:paraId="1FAE4EF8">
      <w:pPr>
        <w:spacing w:line="360" w:lineRule="auto"/>
        <w:rPr>
          <w:rFonts w:hint="eastAsia" w:ascii="宋体" w:hAnsi="宋体" w:eastAsia="宋体" w:cs="宋体"/>
          <w:color w:val="auto"/>
          <w:sz w:val="36"/>
          <w:szCs w:val="21"/>
        </w:rPr>
      </w:pPr>
      <w:bookmarkStart w:id="657" w:name="_Toc22088"/>
      <w:r>
        <w:rPr>
          <w:rFonts w:hint="eastAsia" w:ascii="宋体" w:hAnsi="宋体" w:eastAsia="宋体" w:cs="宋体"/>
          <w:color w:val="auto"/>
          <w:sz w:val="36"/>
          <w:szCs w:val="21"/>
        </w:rPr>
        <w:br w:type="page"/>
      </w:r>
    </w:p>
    <w:p w14:paraId="370163CB">
      <w:pPr>
        <w:pStyle w:val="2"/>
        <w:tabs>
          <w:tab w:val="left" w:pos="0"/>
        </w:tabs>
        <w:snapToGrid w:val="0"/>
        <w:spacing w:before="0" w:after="0" w:line="360" w:lineRule="auto"/>
        <w:textAlignment w:val="baseline"/>
        <w:rPr>
          <w:rFonts w:hint="eastAsia" w:ascii="宋体" w:hAnsi="宋体" w:eastAsia="宋体" w:cs="宋体"/>
          <w:color w:val="auto"/>
          <w:sz w:val="36"/>
          <w:szCs w:val="21"/>
        </w:rPr>
      </w:pPr>
      <w:bookmarkStart w:id="658" w:name="_Toc19840"/>
      <w:r>
        <w:rPr>
          <w:rFonts w:hint="eastAsia" w:ascii="宋体" w:hAnsi="宋体" w:eastAsia="宋体" w:cs="宋体"/>
          <w:color w:val="auto"/>
          <w:sz w:val="36"/>
          <w:szCs w:val="21"/>
        </w:rPr>
        <w:t>第3章 磋商邀请</w:t>
      </w:r>
      <w:bookmarkEnd w:id="650"/>
      <w:bookmarkEnd w:id="651"/>
      <w:bookmarkEnd w:id="652"/>
      <w:bookmarkEnd w:id="653"/>
      <w:bookmarkEnd w:id="654"/>
      <w:bookmarkEnd w:id="655"/>
      <w:bookmarkEnd w:id="656"/>
      <w:bookmarkEnd w:id="657"/>
      <w:bookmarkEnd w:id="658"/>
    </w:p>
    <w:p w14:paraId="2F8F2442">
      <w:pPr>
        <w:keepNext/>
        <w:keepLines/>
        <w:tabs>
          <w:tab w:val="left" w:pos="0"/>
        </w:tabs>
        <w:autoSpaceDE w:val="0"/>
        <w:autoSpaceDN w:val="0"/>
        <w:adjustRightInd w:val="0"/>
        <w:spacing w:line="360" w:lineRule="auto"/>
        <w:jc w:val="center"/>
        <w:rPr>
          <w:rFonts w:hint="eastAsia" w:ascii="宋体" w:hAnsi="宋体" w:eastAsia="宋体" w:cs="宋体"/>
          <w:b/>
          <w:bCs/>
          <w:color w:val="auto"/>
          <w:kern w:val="44"/>
          <w:sz w:val="32"/>
          <w:szCs w:val="32"/>
        </w:rPr>
      </w:pPr>
      <w:bookmarkStart w:id="659" w:name="_Toc35393797"/>
      <w:bookmarkStart w:id="660" w:name="_Toc28359011"/>
      <w:bookmarkStart w:id="661" w:name="_Toc31583"/>
      <w:bookmarkStart w:id="662" w:name="_Toc512937850"/>
      <w:bookmarkStart w:id="663" w:name="_Toc507399903"/>
      <w:bookmarkStart w:id="664" w:name="_Toc216582823"/>
      <w:bookmarkStart w:id="665" w:name="_Toc515647830"/>
      <w:bookmarkStart w:id="666" w:name="_Toc10488"/>
      <w:r>
        <w:rPr>
          <w:rFonts w:hint="eastAsia" w:ascii="宋体" w:hAnsi="宋体" w:eastAsia="宋体" w:cs="宋体"/>
          <w:b/>
          <w:bCs/>
          <w:color w:val="auto"/>
          <w:kern w:val="44"/>
          <w:sz w:val="32"/>
          <w:szCs w:val="32"/>
        </w:rPr>
        <w:t>喀什经济开发区城北加工转化区东区基础设施建设项目（一期）监理服务竞争性磋商公告</w:t>
      </w:r>
      <w:bookmarkEnd w:id="659"/>
      <w:bookmarkEnd w:id="660"/>
    </w:p>
    <w:p w14:paraId="67E4C318">
      <w:pPr>
        <w:spacing w:line="360" w:lineRule="auto"/>
        <w:rPr>
          <w:rFonts w:hint="eastAsia" w:ascii="宋体" w:hAnsi="宋体" w:eastAsia="宋体" w:cs="宋体"/>
          <w:color w:val="auto"/>
          <w:sz w:val="28"/>
          <w:szCs w:val="28"/>
        </w:rPr>
      </w:pPr>
    </w:p>
    <w:p w14:paraId="13B1C3A0">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项目概况</w:t>
      </w:r>
    </w:p>
    <w:p w14:paraId="63ACD6A8">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宋体" w:hAnsi="宋体" w:eastAsia="宋体" w:cs="宋体"/>
          <w:sz w:val="28"/>
          <w:szCs w:val="28"/>
          <w:u w:val="none"/>
        </w:rPr>
      </w:pPr>
      <w:bookmarkStart w:id="667" w:name="_Toc28359012"/>
      <w:bookmarkStart w:id="668" w:name="_Toc35393798"/>
      <w:bookmarkStart w:id="669" w:name="_Toc28359089"/>
      <w:bookmarkStart w:id="670" w:name="_Toc35393629"/>
      <w:r>
        <w:rPr>
          <w:rFonts w:hint="eastAsia" w:ascii="宋体" w:hAnsi="宋体" w:eastAsia="宋体" w:cs="宋体"/>
          <w:sz w:val="28"/>
          <w:szCs w:val="28"/>
          <w:u w:val="none"/>
        </w:rPr>
        <w:t>喀什经济开发区城北加工转化区东区基础设施建设项目（一期）监理服务的潜在投标人应在</w:t>
      </w:r>
      <w:r>
        <w:rPr>
          <w:rFonts w:hint="eastAsia" w:ascii="宋体" w:hAnsi="宋体" w:eastAsia="宋体" w:cs="宋体"/>
          <w:sz w:val="28"/>
          <w:szCs w:val="28"/>
          <w:u w:val="none"/>
          <w:lang w:eastAsia="zh-CN"/>
        </w:rPr>
        <w:t>政采云平台（</w:t>
      </w:r>
      <w:r>
        <w:rPr>
          <w:rFonts w:hint="eastAsia" w:ascii="宋体" w:hAnsi="宋体" w:eastAsia="宋体" w:cs="宋体"/>
          <w:sz w:val="28"/>
          <w:szCs w:val="28"/>
          <w:u w:val="none"/>
          <w:lang w:val="en-US" w:eastAsia="zh-CN"/>
        </w:rPr>
        <w:t>https://www.zcygov.cn/</w:t>
      </w:r>
      <w:r>
        <w:rPr>
          <w:rFonts w:hint="eastAsia" w:ascii="宋体" w:hAnsi="宋体" w:eastAsia="宋体" w:cs="宋体"/>
          <w:sz w:val="28"/>
          <w:szCs w:val="28"/>
          <w:u w:val="none"/>
          <w:lang w:eastAsia="zh-CN"/>
        </w:rPr>
        <w:t>）</w:t>
      </w:r>
      <w:r>
        <w:rPr>
          <w:rFonts w:hint="eastAsia" w:ascii="宋体" w:hAnsi="宋体" w:eastAsia="宋体" w:cs="宋体"/>
          <w:sz w:val="28"/>
          <w:szCs w:val="28"/>
          <w:u w:val="none"/>
        </w:rPr>
        <w:t>获取采购文件，并于</w:t>
      </w:r>
      <w:r>
        <w:rPr>
          <w:rFonts w:hint="eastAsia" w:ascii="宋体" w:hAnsi="宋体" w:eastAsia="宋体" w:cs="宋体"/>
          <w:sz w:val="28"/>
          <w:szCs w:val="28"/>
          <w:u w:val="none"/>
          <w:lang w:val="en-US" w:eastAsia="zh-CN"/>
        </w:rPr>
        <w:t>202</w:t>
      </w:r>
      <w:r>
        <w:rPr>
          <w:rFonts w:hint="eastAsia" w:ascii="宋体" w:hAnsi="宋体" w:cs="宋体"/>
          <w:sz w:val="28"/>
          <w:szCs w:val="28"/>
          <w:u w:val="none"/>
          <w:lang w:val="en-US" w:eastAsia="zh-CN"/>
        </w:rPr>
        <w:t>5</w:t>
      </w:r>
      <w:r>
        <w:rPr>
          <w:rFonts w:hint="eastAsia" w:ascii="宋体" w:hAnsi="宋体" w:eastAsia="宋体" w:cs="宋体"/>
          <w:bCs/>
          <w:sz w:val="28"/>
          <w:szCs w:val="28"/>
          <w:u w:val="none"/>
        </w:rPr>
        <w:t>年</w:t>
      </w:r>
      <w:r>
        <w:rPr>
          <w:rFonts w:hint="eastAsia" w:ascii="宋体" w:hAnsi="宋体" w:cs="宋体"/>
          <w:color w:val="auto"/>
          <w:sz w:val="28"/>
          <w:szCs w:val="28"/>
          <w:u w:val="none"/>
          <w:lang w:val="en-US" w:eastAsia="zh-CN"/>
        </w:rPr>
        <w:t>1</w:t>
      </w:r>
      <w:r>
        <w:rPr>
          <w:rFonts w:hint="eastAsia" w:ascii="宋体" w:hAnsi="宋体" w:eastAsia="宋体" w:cs="宋体"/>
          <w:bCs/>
          <w:sz w:val="28"/>
          <w:szCs w:val="28"/>
          <w:u w:val="none"/>
        </w:rPr>
        <w:t>月</w:t>
      </w:r>
      <w:r>
        <w:rPr>
          <w:rFonts w:hint="eastAsia" w:ascii="宋体" w:hAnsi="宋体" w:cs="宋体"/>
          <w:color w:val="auto"/>
          <w:sz w:val="28"/>
          <w:szCs w:val="28"/>
          <w:u w:val="none"/>
          <w:lang w:val="en-US" w:eastAsia="zh-CN"/>
        </w:rPr>
        <w:t>6</w:t>
      </w:r>
      <w:r>
        <w:rPr>
          <w:rFonts w:hint="eastAsia" w:ascii="宋体" w:hAnsi="宋体" w:eastAsia="宋体" w:cs="宋体"/>
          <w:bCs/>
          <w:sz w:val="28"/>
          <w:szCs w:val="28"/>
          <w:u w:val="none"/>
        </w:rPr>
        <w:t>日</w:t>
      </w:r>
      <w:r>
        <w:rPr>
          <w:rFonts w:hint="eastAsia" w:ascii="宋体" w:hAnsi="宋体" w:cs="宋体"/>
          <w:bCs/>
          <w:sz w:val="28"/>
          <w:szCs w:val="28"/>
          <w:u w:val="none"/>
          <w:lang w:val="en-US" w:eastAsia="zh-CN"/>
        </w:rPr>
        <w:t>下</w:t>
      </w:r>
      <w:r>
        <w:rPr>
          <w:rFonts w:hint="eastAsia" w:ascii="宋体" w:hAnsi="宋体" w:eastAsia="宋体" w:cs="宋体"/>
          <w:bCs/>
          <w:sz w:val="28"/>
          <w:szCs w:val="28"/>
          <w:u w:val="none"/>
        </w:rPr>
        <w:t>午</w:t>
      </w:r>
      <w:r>
        <w:rPr>
          <w:rFonts w:hint="eastAsia" w:ascii="宋体" w:hAnsi="宋体" w:eastAsia="宋体" w:cs="宋体"/>
          <w:bCs/>
          <w:sz w:val="28"/>
          <w:szCs w:val="28"/>
          <w:u w:val="none"/>
          <w:lang w:val="en-US" w:eastAsia="zh-CN"/>
        </w:rPr>
        <w:t>1</w:t>
      </w:r>
      <w:r>
        <w:rPr>
          <w:rFonts w:hint="eastAsia" w:ascii="宋体" w:hAnsi="宋体" w:cs="宋体"/>
          <w:bCs/>
          <w:sz w:val="28"/>
          <w:szCs w:val="28"/>
          <w:u w:val="none"/>
          <w:lang w:val="en-US" w:eastAsia="zh-CN"/>
        </w:rPr>
        <w:t>6</w:t>
      </w:r>
      <w:r>
        <w:rPr>
          <w:rFonts w:hint="eastAsia" w:ascii="宋体" w:hAnsi="宋体" w:eastAsia="宋体" w:cs="宋体"/>
          <w:bCs/>
          <w:sz w:val="28"/>
          <w:szCs w:val="28"/>
          <w:u w:val="none"/>
        </w:rPr>
        <w:t>:00（北京时间）前提交响应文件</w:t>
      </w:r>
      <w:r>
        <w:rPr>
          <w:rFonts w:hint="eastAsia" w:ascii="宋体" w:hAnsi="宋体" w:eastAsia="宋体" w:cs="宋体"/>
          <w:sz w:val="28"/>
          <w:szCs w:val="28"/>
          <w:u w:val="none"/>
        </w:rPr>
        <w:t>。</w:t>
      </w:r>
    </w:p>
    <w:p w14:paraId="32193AB9">
      <w:pPr>
        <w:keepNext/>
        <w:keepLines/>
        <w:pageBreakBefore w:val="0"/>
        <w:kinsoku/>
        <w:wordWrap/>
        <w:overflowPunct/>
        <w:topLinePunct w:val="0"/>
        <w:autoSpaceDE/>
        <w:autoSpaceDN/>
        <w:bidi w:val="0"/>
        <w:adjustRightInd/>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一、项目基本情况</w:t>
      </w:r>
      <w:bookmarkEnd w:id="667"/>
      <w:bookmarkEnd w:id="668"/>
      <w:bookmarkEnd w:id="669"/>
      <w:bookmarkEnd w:id="670"/>
    </w:p>
    <w:p w14:paraId="023D8EA5">
      <w:pPr>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lang w:eastAsia="zh-CN"/>
        </w:rPr>
        <w:t>KSJJKFQZFCG(CS)2024-59</w:t>
      </w:r>
    </w:p>
    <w:p w14:paraId="671DDFDB">
      <w:pPr>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lang w:eastAsia="zh-CN"/>
        </w:rPr>
        <w:t>喀什经济开发区城北加工转化区东区基础设施建设项目（一期）监理</w:t>
      </w:r>
      <w:r>
        <w:rPr>
          <w:rFonts w:hint="eastAsia" w:ascii="宋体" w:hAnsi="宋体" w:eastAsia="宋体" w:cs="宋体"/>
          <w:sz w:val="28"/>
          <w:szCs w:val="28"/>
          <w:u w:val="none"/>
        </w:rPr>
        <w:t>服务</w:t>
      </w:r>
      <w:bookmarkStart w:id="778" w:name="_GoBack"/>
      <w:bookmarkEnd w:id="778"/>
    </w:p>
    <w:p w14:paraId="5D72A04B">
      <w:pPr>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务</w:t>
      </w:r>
      <w:r>
        <w:rPr>
          <w:rFonts w:hint="eastAsia" w:ascii="宋体" w:hAnsi="宋体" w:eastAsia="宋体" w:cs="宋体"/>
          <w:color w:val="auto"/>
          <w:sz w:val="28"/>
          <w:szCs w:val="28"/>
        </w:rPr>
        <w:t>采购方式：竞争性磋商</w:t>
      </w:r>
    </w:p>
    <w:p w14:paraId="38736B8B">
      <w:pPr>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预算金额</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458160</w:t>
      </w:r>
      <w:r>
        <w:rPr>
          <w:rFonts w:hint="eastAsia" w:ascii="宋体" w:hAnsi="宋体" w:eastAsia="宋体" w:cs="宋体"/>
          <w:color w:val="auto"/>
          <w:sz w:val="28"/>
          <w:szCs w:val="28"/>
        </w:rPr>
        <w:t>元</w:t>
      </w:r>
    </w:p>
    <w:p w14:paraId="677E79C9">
      <w:pPr>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最高限价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458160</w:t>
      </w:r>
      <w:r>
        <w:rPr>
          <w:rFonts w:hint="eastAsia" w:ascii="宋体" w:hAnsi="宋体" w:eastAsia="宋体" w:cs="宋体"/>
          <w:color w:val="auto"/>
          <w:sz w:val="28"/>
          <w:szCs w:val="28"/>
        </w:rPr>
        <w:t>元</w:t>
      </w:r>
    </w:p>
    <w:p w14:paraId="47B8C217">
      <w:pPr>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采购需求：</w:t>
      </w:r>
    </w:p>
    <w:p w14:paraId="5E752374">
      <w:pPr>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简要规格描述：新建3条路，总长2380米。其中，合运路长781米，宽33米；联创路长784米，宽33米；捷运西路长815米，宽33米；绿化、管网及交通信号标牌等相关附属配套设施。.本项目施工图纸和工程量清单范围内所有内容监理。</w:t>
      </w:r>
    </w:p>
    <w:p w14:paraId="211207E4">
      <w:pPr>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合同履约期限：</w:t>
      </w:r>
      <w:r>
        <w:rPr>
          <w:rFonts w:hint="eastAsia" w:ascii="宋体" w:hAnsi="宋体" w:eastAsia="宋体" w:cs="宋体"/>
          <w:color w:val="auto"/>
          <w:sz w:val="28"/>
          <w:szCs w:val="28"/>
          <w:lang w:val="en-US" w:eastAsia="zh-CN"/>
        </w:rPr>
        <w:t>详见招标文件</w:t>
      </w:r>
      <w:r>
        <w:rPr>
          <w:rFonts w:hint="eastAsia" w:ascii="宋体" w:hAnsi="宋体" w:eastAsia="宋体" w:cs="宋体"/>
          <w:color w:val="auto"/>
          <w:sz w:val="28"/>
          <w:szCs w:val="28"/>
          <w:lang w:eastAsia="zh-CN"/>
        </w:rPr>
        <w:t>。</w:t>
      </w:r>
    </w:p>
    <w:p w14:paraId="65DBD6AE">
      <w:pPr>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color w:val="auto"/>
          <w:sz w:val="28"/>
          <w:szCs w:val="28"/>
          <w:lang w:eastAsia="zh-CN"/>
        </w:rPr>
      </w:pPr>
      <w:bookmarkStart w:id="671" w:name="_Toc28359090"/>
      <w:bookmarkStart w:id="672" w:name="_Toc28359013"/>
      <w:bookmarkStart w:id="673" w:name="_Toc35393799"/>
      <w:bookmarkStart w:id="674" w:name="_Toc35393630"/>
      <w:r>
        <w:rPr>
          <w:rFonts w:hint="eastAsia" w:ascii="宋体" w:hAnsi="宋体" w:eastAsia="宋体" w:cs="宋体"/>
          <w:color w:val="auto"/>
          <w:sz w:val="28"/>
          <w:szCs w:val="28"/>
          <w:lang w:eastAsia="zh-CN"/>
        </w:rPr>
        <w:t>本项目不接受联合体。</w:t>
      </w:r>
    </w:p>
    <w:p w14:paraId="48BD9489">
      <w:pPr>
        <w:pageBreakBefore w:val="0"/>
        <w:kinsoku/>
        <w:wordWrap/>
        <w:overflowPunct/>
        <w:topLinePunct w:val="0"/>
        <w:autoSpaceDE/>
        <w:autoSpaceDN/>
        <w:bidi w:val="0"/>
        <w:adjustRightInd/>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二、供应商资格要求：</w:t>
      </w:r>
      <w:bookmarkEnd w:id="671"/>
      <w:bookmarkEnd w:id="672"/>
      <w:bookmarkEnd w:id="673"/>
      <w:bookmarkEnd w:id="674"/>
      <w:bookmarkStart w:id="675" w:name="_Toc35393801"/>
      <w:bookmarkStart w:id="676" w:name="_Toc28359015"/>
      <w:bookmarkStart w:id="677" w:name="_Toc35393632"/>
      <w:bookmarkStart w:id="678" w:name="_Toc28359092"/>
    </w:p>
    <w:p w14:paraId="366A748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4A508B8A">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.落实政府采购政策需满足的资格要求：</w:t>
      </w:r>
      <w:r>
        <w:rPr>
          <w:rFonts w:hint="eastAsia" w:ascii="宋体" w:hAnsi="宋体" w:eastAsia="宋体" w:cs="宋体"/>
          <w:sz w:val="28"/>
          <w:szCs w:val="28"/>
          <w:u w:val="none"/>
          <w:lang w:eastAsia="zh-CN"/>
        </w:rPr>
        <w:t>本项目专门面</w:t>
      </w:r>
      <w:r>
        <w:rPr>
          <w:rFonts w:hint="eastAsia" w:ascii="宋体" w:hAnsi="宋体" w:eastAsia="宋体" w:cs="宋体"/>
          <w:sz w:val="28"/>
          <w:szCs w:val="28"/>
          <w:lang w:eastAsia="zh-CN"/>
        </w:rPr>
        <w:t>向中小企业</w:t>
      </w:r>
    </w:p>
    <w:p w14:paraId="6201914E">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3.本项目的特定资格要求：</w:t>
      </w:r>
      <w:r>
        <w:rPr>
          <w:rFonts w:hint="eastAsia" w:ascii="宋体" w:hAnsi="宋体" w:eastAsia="宋体" w:cs="宋体"/>
          <w:sz w:val="28"/>
          <w:szCs w:val="28"/>
          <w:lang w:val="en-US" w:eastAsia="zh-CN"/>
        </w:rPr>
        <w:t>(1)企业资质要求：具备【市政公用工程监理专业乙级及以上资质】，并在人员、设备、资金等方面具有相应的监理能力。</w:t>
      </w:r>
    </w:p>
    <w:p w14:paraId="481B7AE8">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项目总监资质要求：项目总监须具备【市政公用工程专业注册监理工程师执业资格】，且不得有其他在施建设工程，提供近六个月任意一月有效的社保证明。</w:t>
      </w:r>
      <w:r>
        <w:rPr>
          <w:rFonts w:hint="eastAsia" w:ascii="宋体" w:hAnsi="宋体" w:eastAsia="宋体" w:cs="宋体"/>
          <w:sz w:val="28"/>
          <w:szCs w:val="28"/>
          <w:lang w:val="en-US" w:eastAsia="zh-CN"/>
        </w:rPr>
        <w:t>。。</w:t>
      </w:r>
    </w:p>
    <w:p w14:paraId="16A38160">
      <w:pPr>
        <w:keepNext/>
        <w:keepLines/>
        <w:pageBreakBefore w:val="0"/>
        <w:kinsoku/>
        <w:wordWrap/>
        <w:overflowPunct/>
        <w:topLinePunct w:val="0"/>
        <w:autoSpaceDE/>
        <w:autoSpaceDN/>
        <w:bidi w:val="0"/>
        <w:adjustRightInd/>
        <w:spacing w:line="360" w:lineRule="auto"/>
        <w:ind w:firstLine="562" w:firstLineChars="200"/>
        <w:jc w:val="left"/>
        <w:rPr>
          <w:rFonts w:hint="eastAsia" w:ascii="宋体" w:hAnsi="宋体" w:eastAsia="宋体" w:cs="宋体"/>
          <w:b/>
          <w:color w:val="auto"/>
          <w:kern w:val="0"/>
          <w:sz w:val="28"/>
          <w:szCs w:val="28"/>
        </w:rPr>
      </w:pPr>
      <w:r>
        <w:rPr>
          <w:rFonts w:hint="eastAsia" w:ascii="宋体" w:hAnsi="宋体" w:eastAsia="宋体" w:cs="宋体"/>
          <w:b/>
          <w:color w:val="auto"/>
          <w:sz w:val="28"/>
          <w:szCs w:val="28"/>
        </w:rPr>
        <w:t>三、获取采购文件</w:t>
      </w:r>
    </w:p>
    <w:p w14:paraId="2A87A819">
      <w:pPr>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时间：20</w:t>
      </w:r>
      <w:r>
        <w:rPr>
          <w:rFonts w:hint="eastAsia" w:ascii="宋体" w:hAnsi="宋体" w:eastAsia="宋体" w:cs="宋体"/>
          <w:color w:val="auto"/>
          <w:sz w:val="28"/>
          <w:szCs w:val="28"/>
          <w:lang w:val="en-US" w:eastAsia="zh-CN"/>
        </w:rPr>
        <w:t>24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25</w:t>
      </w:r>
      <w:r>
        <w:rPr>
          <w:rFonts w:hint="eastAsia" w:ascii="宋体" w:hAnsi="宋体" w:eastAsia="宋体" w:cs="宋体"/>
          <w:color w:val="auto"/>
          <w:sz w:val="28"/>
          <w:szCs w:val="28"/>
        </w:rPr>
        <w:t>日至202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01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02</w:t>
      </w:r>
      <w:r>
        <w:rPr>
          <w:rFonts w:hint="eastAsia" w:ascii="宋体" w:hAnsi="宋体" w:eastAsia="宋体" w:cs="宋体"/>
          <w:color w:val="auto"/>
          <w:sz w:val="28"/>
          <w:szCs w:val="28"/>
        </w:rPr>
        <w:t>日（上午</w:t>
      </w:r>
      <w:r>
        <w:rPr>
          <w:rFonts w:hint="eastAsia" w:ascii="宋体" w:hAnsi="宋体" w:cs="宋体"/>
          <w:color w:val="auto"/>
          <w:sz w:val="28"/>
          <w:szCs w:val="28"/>
          <w:lang w:val="en-US" w:eastAsia="zh-CN"/>
        </w:rPr>
        <w:t>00</w:t>
      </w:r>
      <w:r>
        <w:rPr>
          <w:rFonts w:hint="eastAsia" w:ascii="宋体" w:hAnsi="宋体" w:eastAsia="宋体" w:cs="宋体"/>
          <w:color w:val="auto"/>
          <w:sz w:val="28"/>
          <w:szCs w:val="28"/>
        </w:rPr>
        <w:t>:00-1</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:00，下午1</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:00-</w:t>
      </w: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0）</w:t>
      </w:r>
    </w:p>
    <w:p w14:paraId="1ACF3B2E">
      <w:pPr>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color w:val="auto"/>
          <w:sz w:val="28"/>
          <w:szCs w:val="28"/>
        </w:rPr>
        <w:t>方式：</w:t>
      </w:r>
      <w:r>
        <w:rPr>
          <w:rFonts w:hint="eastAsia" w:ascii="宋体" w:hAnsi="宋体" w:eastAsia="宋体" w:cs="宋体"/>
          <w:i w:val="0"/>
          <w:iCs w:val="0"/>
          <w:caps w:val="0"/>
          <w:color w:val="auto"/>
          <w:spacing w:val="0"/>
          <w:sz w:val="28"/>
          <w:szCs w:val="28"/>
          <w:highlight w:val="none"/>
          <w:lang w:val="en-US" w:eastAsia="zh-CN"/>
        </w:rPr>
        <w:t>（1）线上获取（登录政府采购云平台 → 项目采购 → 获取磋商文件）。</w:t>
      </w:r>
    </w:p>
    <w:p w14:paraId="269E9B1E">
      <w:pPr>
        <w:pageBreakBefore w:val="0"/>
        <w:kinsoku/>
        <w:wordWrap/>
        <w:overflowPunct/>
        <w:topLinePunct w:val="0"/>
        <w:autoSpaceDE/>
        <w:autoSpaceDN/>
        <w:bidi w:val="0"/>
        <w:adjustRightInd/>
        <w:spacing w:line="360" w:lineRule="auto"/>
        <w:ind w:firstLine="1400" w:firstLineChars="500"/>
        <w:rPr>
          <w:rFonts w:hint="eastAsia" w:ascii="宋体" w:hAnsi="宋体" w:eastAsia="宋体" w:cs="宋体"/>
          <w:color w:val="auto"/>
          <w:sz w:val="28"/>
          <w:szCs w:val="28"/>
          <w:lang w:val="en-US" w:eastAsia="zh-CN"/>
        </w:rPr>
      </w:pPr>
      <w:r>
        <w:rPr>
          <w:rFonts w:hint="eastAsia" w:ascii="宋体" w:hAnsi="宋体" w:eastAsia="宋体" w:cs="宋体"/>
          <w:i w:val="0"/>
          <w:iCs w:val="0"/>
          <w:caps w:val="0"/>
          <w:color w:val="auto"/>
          <w:spacing w:val="0"/>
          <w:sz w:val="28"/>
          <w:szCs w:val="28"/>
          <w:highlight w:val="none"/>
          <w:lang w:val="en-US" w:eastAsia="zh-CN"/>
        </w:rPr>
        <w:t>（2）供应商获取磋商文件前应注册成为政府采购云平台正式供应商。</w:t>
      </w:r>
    </w:p>
    <w:p w14:paraId="37463670">
      <w:pPr>
        <w:pStyle w:val="15"/>
        <w:pageBreakBefore w:val="0"/>
        <w:kinsoku/>
        <w:wordWrap/>
        <w:overflowPunct/>
        <w:topLinePunct w:val="0"/>
        <w:autoSpaceDE/>
        <w:autoSpaceDN/>
        <w:bidi w:val="0"/>
        <w:adjustRightInd/>
        <w:spacing w:line="360" w:lineRule="auto"/>
        <w:ind w:firstLine="480"/>
        <w:rPr>
          <w:rFonts w:hint="eastAsia" w:ascii="宋体" w:hAnsi="宋体" w:eastAsia="宋体" w:cs="宋体"/>
          <w:color w:val="auto"/>
          <w:sz w:val="28"/>
          <w:szCs w:val="28"/>
        </w:rPr>
      </w:pPr>
      <w:r>
        <w:rPr>
          <w:rFonts w:hint="eastAsia" w:ascii="宋体" w:hAnsi="宋体" w:eastAsia="宋体" w:cs="宋体"/>
          <w:color w:val="auto"/>
          <w:sz w:val="28"/>
          <w:szCs w:val="28"/>
        </w:rPr>
        <w:t>地点：</w:t>
      </w:r>
      <w:r>
        <w:rPr>
          <w:rFonts w:hint="eastAsia" w:ascii="宋体" w:hAnsi="宋体" w:eastAsia="宋体" w:cs="宋体"/>
          <w:i w:val="0"/>
          <w:iCs w:val="0"/>
          <w:caps w:val="0"/>
          <w:color w:val="auto"/>
          <w:spacing w:val="0"/>
          <w:sz w:val="28"/>
          <w:szCs w:val="28"/>
          <w:highlight w:val="none"/>
          <w:lang w:val="en-US" w:eastAsia="zh-CN"/>
        </w:rPr>
        <w:t>政采云平台（https://www.zcygov.cn/） </w:t>
      </w:r>
    </w:p>
    <w:p w14:paraId="5200754B">
      <w:pPr>
        <w:keepNext/>
        <w:keepLines/>
        <w:pageBreakBefore w:val="0"/>
        <w:numPr>
          <w:ilvl w:val="0"/>
          <w:numId w:val="0"/>
        </w:numPr>
        <w:kinsoku/>
        <w:wordWrap/>
        <w:overflowPunct/>
        <w:topLinePunct w:val="0"/>
        <w:autoSpaceDE/>
        <w:autoSpaceDN/>
        <w:bidi w:val="0"/>
        <w:adjustRightInd/>
        <w:spacing w:line="360" w:lineRule="auto"/>
        <w:rPr>
          <w:rFonts w:hint="eastAsia" w:ascii="宋体" w:hAnsi="宋体" w:eastAsia="宋体" w:cs="宋体"/>
          <w:b/>
          <w:color w:val="auto"/>
          <w:sz w:val="28"/>
          <w:szCs w:val="28"/>
        </w:rPr>
      </w:pPr>
      <w:r>
        <w:rPr>
          <w:rFonts w:hint="eastAsia" w:ascii="宋体" w:hAnsi="宋体" w:eastAsia="宋体" w:cs="宋体"/>
          <w:b/>
          <w:color w:val="auto"/>
          <w:kern w:val="2"/>
          <w:sz w:val="28"/>
          <w:szCs w:val="28"/>
          <w:lang w:val="en-US" w:eastAsia="zh-CN" w:bidi="ar-SA"/>
        </w:rPr>
        <w:t>四、</w:t>
      </w:r>
      <w:r>
        <w:rPr>
          <w:rFonts w:hint="eastAsia" w:ascii="宋体" w:hAnsi="宋体" w:eastAsia="宋体" w:cs="宋体"/>
          <w:b/>
          <w:color w:val="auto"/>
          <w:sz w:val="28"/>
          <w:szCs w:val="28"/>
        </w:rPr>
        <w:t>响应文件提交</w:t>
      </w:r>
      <w:bookmarkEnd w:id="675"/>
      <w:bookmarkEnd w:id="676"/>
      <w:bookmarkEnd w:id="677"/>
      <w:bookmarkEnd w:id="678"/>
      <w:bookmarkStart w:id="679" w:name="_Toc28359093"/>
      <w:bookmarkStart w:id="680" w:name="_Toc35393633"/>
      <w:bookmarkStart w:id="681" w:name="_Toc28359016"/>
      <w:bookmarkStart w:id="682" w:name="_Toc35393802"/>
    </w:p>
    <w:p w14:paraId="19985FB5">
      <w:pPr>
        <w:keepNext/>
        <w:keepLines/>
        <w:pageBreakBefore w:val="0"/>
        <w:numPr>
          <w:ilvl w:val="0"/>
          <w:numId w:val="0"/>
        </w:numPr>
        <w:kinsoku/>
        <w:wordWrap/>
        <w:overflowPunct/>
        <w:topLinePunct w:val="0"/>
        <w:autoSpaceDE/>
        <w:autoSpaceDN/>
        <w:bidi w:val="0"/>
        <w:adjustRightInd/>
        <w:spacing w:line="360" w:lineRule="auto"/>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截止时间：2025年1月6日下午16:00（北京时间）</w:t>
      </w:r>
    </w:p>
    <w:p w14:paraId="3D47DC44">
      <w:pPr>
        <w:keepNext/>
        <w:keepLines/>
        <w:pageBreakBefore w:val="0"/>
        <w:numPr>
          <w:ilvl w:val="0"/>
          <w:numId w:val="0"/>
        </w:numPr>
        <w:kinsoku/>
        <w:wordWrap/>
        <w:overflowPunct/>
        <w:topLinePunct w:val="0"/>
        <w:autoSpaceDE/>
        <w:autoSpaceDN/>
        <w:bidi w:val="0"/>
        <w:adjustRightInd/>
        <w:spacing w:line="360" w:lineRule="auto"/>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地点：请登录政采云投标客户端投标</w:t>
      </w:r>
    </w:p>
    <w:p w14:paraId="7276ADC1">
      <w:pPr>
        <w:pStyle w:val="3"/>
        <w:numPr>
          <w:ilvl w:val="0"/>
          <w:numId w:val="0"/>
        </w:numPr>
        <w:spacing w:before="0" w:line="360" w:lineRule="auto"/>
        <w:jc w:val="both"/>
        <w:rPr>
          <w:rFonts w:hint="eastAsia" w:ascii="宋体" w:hAnsi="宋体" w:eastAsia="宋体" w:cs="宋体"/>
          <w:b/>
          <w:color w:val="auto"/>
          <w:kern w:val="2"/>
          <w:sz w:val="28"/>
          <w:szCs w:val="28"/>
          <w:lang w:val="en-US" w:eastAsia="zh-CN" w:bidi="ar-SA"/>
        </w:rPr>
      </w:pPr>
      <w:bookmarkStart w:id="683" w:name="_Toc23897"/>
      <w:r>
        <w:rPr>
          <w:rFonts w:hint="eastAsia" w:ascii="宋体" w:hAnsi="宋体" w:eastAsia="宋体" w:cs="宋体"/>
          <w:b/>
          <w:color w:val="auto"/>
          <w:kern w:val="2"/>
          <w:sz w:val="28"/>
          <w:szCs w:val="28"/>
          <w:lang w:val="en-US" w:eastAsia="zh-CN" w:bidi="ar-SA"/>
        </w:rPr>
        <w:t>五、响应文件开启</w:t>
      </w:r>
      <w:bookmarkEnd w:id="683"/>
    </w:p>
    <w:p w14:paraId="42575717">
      <w:pPr>
        <w:keepNext/>
        <w:keepLines/>
        <w:pageBreakBefore w:val="0"/>
        <w:numPr>
          <w:ilvl w:val="0"/>
          <w:numId w:val="0"/>
        </w:numPr>
        <w:kinsoku/>
        <w:wordWrap/>
        <w:overflowPunct/>
        <w:topLinePunct w:val="0"/>
        <w:autoSpaceDE/>
        <w:autoSpaceDN/>
        <w:bidi w:val="0"/>
        <w:adjustRightInd/>
        <w:spacing w:line="360" w:lineRule="auto"/>
        <w:rPr>
          <w:rFonts w:hint="eastAsia" w:ascii="宋体" w:hAnsi="宋体" w:eastAsia="宋体" w:cs="宋体"/>
          <w:bCs/>
          <w:sz w:val="28"/>
          <w:szCs w:val="28"/>
          <w:u w:val="none"/>
        </w:rPr>
      </w:pPr>
      <w:r>
        <w:rPr>
          <w:rFonts w:hint="eastAsia" w:ascii="宋体" w:hAnsi="宋体" w:eastAsia="宋体" w:cs="宋体"/>
          <w:i w:val="0"/>
          <w:iCs w:val="0"/>
          <w:caps w:val="0"/>
          <w:color w:val="auto"/>
          <w:spacing w:val="0"/>
          <w:sz w:val="28"/>
          <w:szCs w:val="28"/>
          <w:highlight w:val="none"/>
          <w:lang w:val="en-US" w:eastAsia="zh-CN"/>
        </w:rPr>
        <w:t>时间：2025年1月6日下午16:00（北京时间）</w:t>
      </w:r>
    </w:p>
    <w:p w14:paraId="617E81C1">
      <w:pPr>
        <w:keepNext/>
        <w:keepLines/>
        <w:pageBreakBefore w:val="0"/>
        <w:numPr>
          <w:ilvl w:val="0"/>
          <w:numId w:val="0"/>
        </w:numPr>
        <w:kinsoku/>
        <w:wordWrap/>
        <w:overflowPunct/>
        <w:topLinePunct w:val="0"/>
        <w:autoSpaceDE/>
        <w:autoSpaceDN/>
        <w:bidi w:val="0"/>
        <w:adjustRightInd/>
        <w:spacing w:line="360" w:lineRule="auto"/>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地点：投标人登录政采云平台（https://www.zcygov.cn/），进入（项目采购→开标评标→右边选择对应项目点击“进入项目”进入开标大厅）</w:t>
      </w:r>
    </w:p>
    <w:p w14:paraId="6BFFE756">
      <w:pPr>
        <w:keepNext/>
        <w:keepLines/>
        <w:pageBreakBefore w:val="0"/>
        <w:kinsoku/>
        <w:wordWrap/>
        <w:overflowPunct/>
        <w:topLinePunct w:val="0"/>
        <w:autoSpaceDE/>
        <w:autoSpaceDN/>
        <w:bidi w:val="0"/>
        <w:adjustRightInd/>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rPr>
        <w:t>、</w:t>
      </w:r>
      <w:bookmarkEnd w:id="679"/>
      <w:bookmarkEnd w:id="680"/>
      <w:bookmarkEnd w:id="681"/>
      <w:bookmarkEnd w:id="682"/>
      <w:bookmarkStart w:id="684" w:name="_Toc28359094"/>
      <w:bookmarkStart w:id="685" w:name="_Toc28359017"/>
      <w:bookmarkStart w:id="686" w:name="_Toc35393803"/>
      <w:bookmarkStart w:id="687" w:name="_Toc35393634"/>
      <w:r>
        <w:rPr>
          <w:rFonts w:hint="eastAsia" w:ascii="宋体" w:hAnsi="宋体" w:eastAsia="宋体" w:cs="宋体"/>
          <w:b/>
          <w:color w:val="auto"/>
          <w:sz w:val="28"/>
          <w:szCs w:val="28"/>
        </w:rPr>
        <w:t>公告期限</w:t>
      </w:r>
      <w:bookmarkEnd w:id="684"/>
      <w:bookmarkEnd w:id="685"/>
      <w:bookmarkEnd w:id="686"/>
      <w:bookmarkEnd w:id="687"/>
    </w:p>
    <w:p w14:paraId="46F5E3E7">
      <w:pPr>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自本公告发布之日起</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个工作日。</w:t>
      </w:r>
    </w:p>
    <w:p w14:paraId="52540C59">
      <w:pPr>
        <w:pageBreakBefore w:val="0"/>
        <w:numPr>
          <w:ilvl w:val="0"/>
          <w:numId w:val="6"/>
        </w:numPr>
        <w:kinsoku/>
        <w:wordWrap/>
        <w:overflowPunct/>
        <w:topLinePunct w:val="0"/>
        <w:autoSpaceDE/>
        <w:autoSpaceDN/>
        <w:bidi w:val="0"/>
        <w:adjustRightInd/>
        <w:spacing w:line="360" w:lineRule="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其他补充事宜</w:t>
      </w:r>
      <w:r>
        <w:rPr>
          <w:rFonts w:hint="eastAsia" w:ascii="宋体" w:hAnsi="宋体" w:eastAsia="宋体" w:cs="宋体"/>
          <w:b/>
          <w:color w:val="auto"/>
          <w:sz w:val="28"/>
          <w:szCs w:val="28"/>
          <w:lang w:eastAsia="zh-CN"/>
        </w:rPr>
        <w:t>：</w:t>
      </w:r>
    </w:p>
    <w:p w14:paraId="61C29B2F">
      <w:pPr>
        <w:pStyle w:val="35"/>
        <w:keepNext w:val="0"/>
        <w:keepLines w:val="0"/>
        <w:widowControl/>
        <w:suppressLineNumbers w:val="0"/>
        <w:spacing w:before="50" w:beforeAutospacing="0" w:after="50" w:afterAutospacing="0" w:line="360" w:lineRule="auto"/>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0"/>
          <w:szCs w:val="20"/>
        </w:rPr>
        <w:t> </w:t>
      </w:r>
      <w:r>
        <w:rPr>
          <w:rFonts w:hint="eastAsia" w:ascii="宋体" w:hAnsi="宋体" w:eastAsia="宋体" w:cs="宋体"/>
          <w:i w:val="0"/>
          <w:iCs w:val="0"/>
          <w:caps w:val="0"/>
          <w:color w:val="000000"/>
          <w:spacing w:val="0"/>
          <w:sz w:val="28"/>
          <w:szCs w:val="28"/>
        </w:rPr>
        <w:t>1、本项目实行网上投标，采用电子投标文件，若供应商参与投标，自行承担投标一切费用；2、各供应商应在开标前应确保成为新疆维吾尔自治区政府采购网正式注册入库供应商，并完成CA数字证书申领。因未注册入库、未办理CA数字证书等原因造成无法响应或响应失败等后果由供应商自行承担；3、未办理CA的供应商可自主通过新疆CA申领渠道“新疆政务通”申请政采云平台可使用的CA设备，如原有兵团或公共资源使用的CA，可与新疆CA联系，申请增加电子证书即可，无需重复申领；4、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5、逾期未上传的或不符合规定的投标文件将被拒绝接收，采购人不予受理。  </w:t>
      </w:r>
    </w:p>
    <w:p w14:paraId="0EF92BD1">
      <w:pPr>
        <w:pStyle w:val="35"/>
        <w:keepNext w:val="0"/>
        <w:keepLines w:val="0"/>
        <w:widowControl/>
        <w:suppressLineNumbers w:val="0"/>
        <w:spacing w:before="50" w:beforeAutospacing="0" w:after="50" w:afterAutospacing="0" w:line="360" w:lineRule="auto"/>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特别提示：</w:t>
      </w:r>
    </w:p>
    <w:p w14:paraId="2AC14143">
      <w:pPr>
        <w:pStyle w:val="35"/>
        <w:keepNext w:val="0"/>
        <w:keepLines w:val="0"/>
        <w:widowControl/>
        <w:suppressLineNumbers w:val="0"/>
        <w:spacing w:before="50" w:beforeAutospacing="0" w:after="50" w:afterAutospacing="0" w:line="360" w:lineRule="auto"/>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1、采购限额标准以上，200万元以下的货物和服务采购项目、400万元以下的工程采购项目，适宜由中小企业提供的，采购人应当专门面向中小企业采购。</w:t>
      </w:r>
    </w:p>
    <w:p w14:paraId="0F9FEA75">
      <w:pPr>
        <w:pStyle w:val="35"/>
        <w:keepNext w:val="0"/>
        <w:keepLines w:val="0"/>
        <w:widowControl/>
        <w:suppressLineNumbers w:val="0"/>
        <w:spacing w:before="50" w:beforeAutospacing="0" w:after="50" w:afterAutospacing="0" w:line="360" w:lineRule="auto"/>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2、超过200万元的货物和服务采购项目，预留该部分采购项目预算总额的30%以上专门面向中小企业采购，其中预留给小微企业的比例不低于60%。</w:t>
      </w:r>
    </w:p>
    <w:p w14:paraId="3278DDB0">
      <w:pPr>
        <w:pStyle w:val="35"/>
        <w:keepNext w:val="0"/>
        <w:keepLines w:val="0"/>
        <w:widowControl/>
        <w:suppressLineNumbers w:val="0"/>
        <w:spacing w:before="50" w:beforeAutospacing="0" w:after="50" w:afterAutospacing="0" w:line="360" w:lineRule="auto"/>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3、超过400万元的工程采购项目中适宜由中小企业提供的，预留该部分采购项目预算总额的40%以上专门面向中小企业采购，其中预留给小微企业的比例不低于60%。</w:t>
      </w:r>
    </w:p>
    <w:p w14:paraId="6175CDEE">
      <w:pPr>
        <w:pStyle w:val="35"/>
        <w:keepNext w:val="0"/>
        <w:keepLines w:val="0"/>
        <w:widowControl/>
        <w:suppressLineNumbers w:val="0"/>
        <w:spacing w:before="50" w:beforeAutospacing="0" w:after="50" w:afterAutospacing="0" w:line="360" w:lineRule="auto"/>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DF00D2C">
      <w:pPr>
        <w:pStyle w:val="35"/>
        <w:keepNext w:val="0"/>
        <w:keepLines w:val="0"/>
        <w:widowControl/>
        <w:suppressLineNumbers w:val="0"/>
        <w:spacing w:before="50" w:beforeAutospacing="0" w:after="50" w:afterAutospacing="0" w:line="360" w:lineRule="auto"/>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60C9EFE">
      <w:pPr>
        <w:pageBreakBefore w:val="0"/>
        <w:numPr>
          <w:ilvl w:val="0"/>
          <w:numId w:val="0"/>
        </w:numPr>
        <w:kinsoku/>
        <w:wordWrap/>
        <w:overflowPunct/>
        <w:topLinePunct w:val="0"/>
        <w:autoSpaceDE/>
        <w:autoSpaceDN/>
        <w:bidi w:val="0"/>
        <w:adjustRightInd/>
        <w:spacing w:line="360" w:lineRule="auto"/>
        <w:rPr>
          <w:rFonts w:hint="eastAsia" w:ascii="宋体" w:hAnsi="宋体" w:eastAsia="宋体" w:cs="宋体"/>
          <w:b/>
          <w:color w:val="auto"/>
          <w:sz w:val="28"/>
          <w:szCs w:val="28"/>
          <w:lang w:eastAsia="zh-CN"/>
        </w:rPr>
      </w:pPr>
    </w:p>
    <w:p w14:paraId="2D811267">
      <w:pPr>
        <w:pStyle w:val="30"/>
        <w:pageBreakBefore w:val="0"/>
        <w:kinsoku/>
        <w:wordWrap/>
        <w:overflowPunct/>
        <w:topLinePunct w:val="0"/>
        <w:autoSpaceDE/>
        <w:autoSpaceDN/>
        <w:bidi w:val="0"/>
        <w:adjustRightInd/>
        <w:spacing w:line="360" w:lineRule="auto"/>
        <w:rPr>
          <w:rFonts w:hint="eastAsia" w:ascii="宋体" w:hAnsi="宋体" w:eastAsia="宋体" w:cs="宋体"/>
          <w:b/>
          <w:color w:val="auto"/>
          <w:sz w:val="28"/>
          <w:szCs w:val="28"/>
        </w:rPr>
      </w:pPr>
      <w:bookmarkStart w:id="688" w:name="_Toc35393635"/>
      <w:bookmarkStart w:id="689" w:name="_Toc35393804"/>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rPr>
        <w:t>、</w:t>
      </w:r>
      <w:bookmarkEnd w:id="688"/>
      <w:bookmarkEnd w:id="689"/>
      <w:bookmarkStart w:id="690" w:name="_Toc35393805"/>
      <w:bookmarkStart w:id="691" w:name="_Toc28359018"/>
      <w:bookmarkStart w:id="692" w:name="_Toc28359095"/>
      <w:bookmarkStart w:id="693" w:name="_Toc35393636"/>
      <w:r>
        <w:rPr>
          <w:rFonts w:hint="eastAsia" w:ascii="宋体" w:hAnsi="宋体" w:eastAsia="宋体" w:cs="宋体"/>
          <w:b/>
          <w:color w:val="auto"/>
          <w:sz w:val="28"/>
          <w:szCs w:val="28"/>
        </w:rPr>
        <w:t>凡对本次采购提出询问，请按以下方式联系。</w:t>
      </w:r>
      <w:bookmarkEnd w:id="690"/>
      <w:bookmarkEnd w:id="691"/>
      <w:bookmarkEnd w:id="692"/>
      <w:bookmarkEnd w:id="693"/>
      <w:bookmarkStart w:id="694" w:name="_Toc4002"/>
      <w:bookmarkStart w:id="695" w:name="_Toc28359019"/>
      <w:bookmarkStart w:id="696" w:name="_Toc35393637"/>
      <w:bookmarkStart w:id="697" w:name="_Toc35393806"/>
      <w:bookmarkStart w:id="698" w:name="_Toc28359096"/>
    </w:p>
    <w:p w14:paraId="6341731C">
      <w:pPr>
        <w:pStyle w:val="30"/>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1.采购人信息</w:t>
      </w:r>
      <w:bookmarkEnd w:id="694"/>
      <w:bookmarkEnd w:id="695"/>
      <w:bookmarkEnd w:id="696"/>
      <w:bookmarkEnd w:id="697"/>
      <w:bookmarkEnd w:id="698"/>
      <w:bookmarkStart w:id="699" w:name="_Toc29470"/>
      <w:bookmarkStart w:id="700" w:name="_Toc35393807"/>
      <w:bookmarkStart w:id="701" w:name="_Toc28359097"/>
      <w:bookmarkStart w:id="702" w:name="_Toc28359020"/>
      <w:bookmarkStart w:id="703" w:name="_Toc35393638"/>
    </w:p>
    <w:p w14:paraId="1B17A748">
      <w:pPr>
        <w:pStyle w:val="30"/>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rPr>
        <w:t>名    称：</w:t>
      </w:r>
      <w:bookmarkEnd w:id="699"/>
      <w:bookmarkStart w:id="704" w:name="_Toc21820"/>
      <w:r>
        <w:rPr>
          <w:rFonts w:hint="eastAsia" w:ascii="宋体" w:hAnsi="宋体" w:eastAsia="宋体" w:cs="宋体"/>
          <w:color w:val="333333"/>
          <w:sz w:val="28"/>
          <w:szCs w:val="28"/>
        </w:rPr>
        <w:t>喀什经济开发区城北加工产业发展服务中心</w:t>
      </w:r>
    </w:p>
    <w:p w14:paraId="613C8B5D">
      <w:pPr>
        <w:pStyle w:val="30"/>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rPr>
        <w:t>地    址：</w:t>
      </w:r>
      <w:bookmarkEnd w:id="704"/>
      <w:bookmarkStart w:id="705" w:name="_Toc7391"/>
      <w:r>
        <w:rPr>
          <w:rFonts w:hint="eastAsia" w:ascii="宋体" w:hAnsi="宋体" w:eastAsia="宋体" w:cs="宋体"/>
          <w:color w:val="333333"/>
          <w:sz w:val="28"/>
          <w:szCs w:val="28"/>
        </w:rPr>
        <w:t>喀什经济开发区城北加工产业发展服务中心</w:t>
      </w:r>
    </w:p>
    <w:p w14:paraId="33E77011">
      <w:pPr>
        <w:pStyle w:val="30"/>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rPr>
        <w:t>联 系 人：</w:t>
      </w:r>
      <w:bookmarkEnd w:id="705"/>
      <w:r>
        <w:rPr>
          <w:rFonts w:hint="eastAsia" w:ascii="宋体" w:hAnsi="宋体" w:eastAsia="宋体" w:cs="宋体"/>
          <w:bCs/>
          <w:color w:val="auto"/>
          <w:sz w:val="28"/>
          <w:szCs w:val="28"/>
        </w:rPr>
        <w:t>迪力亚尔</w:t>
      </w:r>
    </w:p>
    <w:p w14:paraId="7268DFE5">
      <w:pPr>
        <w:pStyle w:val="30"/>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bCs/>
          <w:color w:val="auto"/>
          <w:sz w:val="28"/>
          <w:szCs w:val="28"/>
          <w:lang w:eastAsia="zh-CN"/>
        </w:rPr>
      </w:pPr>
      <w:bookmarkStart w:id="706" w:name="_Toc242"/>
      <w:bookmarkStart w:id="707" w:name="_Toc15683"/>
      <w:r>
        <w:rPr>
          <w:rFonts w:hint="eastAsia" w:ascii="宋体" w:hAnsi="宋体" w:eastAsia="宋体" w:cs="宋体"/>
          <w:bCs/>
          <w:color w:val="auto"/>
          <w:sz w:val="28"/>
          <w:szCs w:val="28"/>
          <w:lang w:eastAsia="zh-CN"/>
        </w:rPr>
        <w:t>联系方式：</w:t>
      </w:r>
      <w:bookmarkEnd w:id="706"/>
      <w:bookmarkEnd w:id="707"/>
      <w:r>
        <w:rPr>
          <w:rFonts w:hint="eastAsia" w:ascii="宋体" w:hAnsi="宋体" w:eastAsia="宋体" w:cs="宋体"/>
          <w:color w:val="333333"/>
          <w:sz w:val="28"/>
          <w:szCs w:val="28"/>
        </w:rPr>
        <w:t>18094997333</w:t>
      </w:r>
    </w:p>
    <w:p w14:paraId="515EFE75">
      <w:pPr>
        <w:pageBreakBefore w:val="0"/>
        <w:kinsoku/>
        <w:wordWrap/>
        <w:overflowPunct/>
        <w:topLinePunct w:val="0"/>
        <w:autoSpaceDE/>
        <w:autoSpaceDN/>
        <w:bidi w:val="0"/>
        <w:adjustRightInd/>
        <w:spacing w:before="0" w:line="360" w:lineRule="auto"/>
        <w:ind w:firstLine="560" w:firstLineChars="200"/>
        <w:jc w:val="left"/>
        <w:outlineLvl w:val="9"/>
        <w:rPr>
          <w:rFonts w:hint="eastAsia" w:ascii="宋体" w:hAnsi="宋体" w:eastAsia="宋体" w:cs="宋体"/>
          <w:bCs/>
          <w:color w:val="auto"/>
          <w:kern w:val="2"/>
          <w:sz w:val="28"/>
          <w:szCs w:val="28"/>
        </w:rPr>
      </w:pPr>
      <w:bookmarkStart w:id="708" w:name="_Toc1170"/>
      <w:bookmarkStart w:id="709" w:name="_Toc19222"/>
      <w:bookmarkStart w:id="710" w:name="_Toc15983"/>
      <w:bookmarkStart w:id="711" w:name="_Toc24525"/>
      <w:r>
        <w:rPr>
          <w:rFonts w:hint="eastAsia" w:ascii="宋体" w:hAnsi="宋体" w:eastAsia="宋体" w:cs="宋体"/>
          <w:bCs/>
          <w:color w:val="auto"/>
          <w:kern w:val="2"/>
          <w:sz w:val="28"/>
          <w:szCs w:val="28"/>
        </w:rPr>
        <w:t>2.采购代理机构信息</w:t>
      </w:r>
      <w:bookmarkEnd w:id="700"/>
      <w:bookmarkEnd w:id="701"/>
      <w:bookmarkEnd w:id="702"/>
      <w:bookmarkEnd w:id="703"/>
      <w:bookmarkEnd w:id="708"/>
      <w:bookmarkEnd w:id="709"/>
      <w:bookmarkEnd w:id="710"/>
      <w:bookmarkEnd w:id="711"/>
    </w:p>
    <w:p w14:paraId="398BE5C4">
      <w:pPr>
        <w:pStyle w:val="30"/>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名 称： 新疆大喀建设项目咨询集团有限公司</w:t>
      </w:r>
    </w:p>
    <w:p w14:paraId="4357D3EB">
      <w:pPr>
        <w:pStyle w:val="30"/>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地 址：喀什市深喀大道川渝大厦19楼</w:t>
      </w:r>
    </w:p>
    <w:p w14:paraId="7C87968F">
      <w:pPr>
        <w:pStyle w:val="30"/>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项目联系人：李工</w:t>
      </w:r>
    </w:p>
    <w:p w14:paraId="632F58D2">
      <w:pPr>
        <w:pStyle w:val="30"/>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color w:val="auto"/>
          <w:sz w:val="22"/>
          <w:szCs w:val="36"/>
        </w:rPr>
      </w:pPr>
      <w:r>
        <w:rPr>
          <w:rFonts w:hint="eastAsia" w:ascii="宋体" w:hAnsi="宋体" w:eastAsia="宋体" w:cs="宋体"/>
          <w:bCs/>
          <w:color w:val="auto"/>
          <w:sz w:val="28"/>
          <w:szCs w:val="28"/>
          <w:lang w:val="en-US" w:eastAsia="zh-CN"/>
        </w:rPr>
        <w:t>联系方式：17690105572</w:t>
      </w:r>
      <w:bookmarkStart w:id="712" w:name="_Toc21562"/>
    </w:p>
    <w:p w14:paraId="541CF9D7">
      <w:pPr>
        <w:spacing w:line="360" w:lineRule="auto"/>
        <w:rPr>
          <w:rFonts w:hint="eastAsia" w:ascii="宋体" w:hAnsi="宋体" w:eastAsia="宋体" w:cs="宋体"/>
          <w:color w:val="auto"/>
          <w:sz w:val="36"/>
          <w:szCs w:val="36"/>
        </w:rPr>
      </w:pPr>
      <w:r>
        <w:rPr>
          <w:rFonts w:hint="eastAsia" w:ascii="宋体" w:hAnsi="宋体" w:eastAsia="宋体" w:cs="宋体"/>
          <w:color w:val="auto"/>
          <w:sz w:val="36"/>
          <w:szCs w:val="36"/>
        </w:rPr>
        <w:br w:type="page"/>
      </w:r>
    </w:p>
    <w:p w14:paraId="33E22A0C">
      <w:pPr>
        <w:pStyle w:val="2"/>
        <w:tabs>
          <w:tab w:val="left" w:pos="0"/>
        </w:tabs>
        <w:snapToGrid w:val="0"/>
        <w:spacing w:before="0" w:after="0" w:line="360" w:lineRule="auto"/>
        <w:textAlignment w:val="baseline"/>
        <w:rPr>
          <w:rFonts w:hint="eastAsia" w:ascii="宋体" w:hAnsi="宋体" w:eastAsia="宋体" w:cs="宋体"/>
          <w:color w:val="auto"/>
          <w:sz w:val="36"/>
          <w:szCs w:val="36"/>
        </w:rPr>
      </w:pPr>
      <w:bookmarkStart w:id="713" w:name="_Toc31476"/>
      <w:r>
        <w:rPr>
          <w:rFonts w:hint="eastAsia" w:ascii="宋体" w:hAnsi="宋体" w:eastAsia="宋体" w:cs="宋体"/>
          <w:color w:val="auto"/>
          <w:sz w:val="36"/>
          <w:szCs w:val="36"/>
        </w:rPr>
        <w:t>第4章  供应商须知资料表</w:t>
      </w:r>
      <w:bookmarkEnd w:id="661"/>
      <w:bookmarkEnd w:id="662"/>
      <w:bookmarkEnd w:id="663"/>
      <w:bookmarkEnd w:id="664"/>
      <w:bookmarkEnd w:id="665"/>
      <w:bookmarkEnd w:id="666"/>
      <w:bookmarkEnd w:id="712"/>
      <w:bookmarkEnd w:id="713"/>
    </w:p>
    <w:p w14:paraId="0399C13B">
      <w:pPr>
        <w:snapToGrid w:val="0"/>
        <w:spacing w:line="360" w:lineRule="auto"/>
        <w:ind w:firstLine="420" w:firstLineChars="15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本表是本采购项目的具体资料，是对供应商须知的具体补充和修改，如有矛盾，应以本资料表为准。</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95"/>
        <w:gridCol w:w="8115"/>
      </w:tblGrid>
      <w:tr w14:paraId="2A973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1395" w:type="dxa"/>
            <w:vAlign w:val="center"/>
          </w:tcPr>
          <w:p w14:paraId="4DD26240">
            <w:pPr>
              <w:snapToGrid w:val="0"/>
              <w:spacing w:line="360" w:lineRule="auto"/>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条款号</w:t>
            </w:r>
          </w:p>
        </w:tc>
        <w:tc>
          <w:tcPr>
            <w:tcW w:w="8115" w:type="dxa"/>
            <w:vAlign w:val="center"/>
          </w:tcPr>
          <w:p w14:paraId="46F784FE">
            <w:pPr>
              <w:snapToGrid w:val="0"/>
              <w:spacing w:line="360" w:lineRule="auto"/>
              <w:ind w:left="1080" w:leftChars="257" w:hanging="540"/>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rPr>
              <w:t>内      容</w:t>
            </w:r>
          </w:p>
        </w:tc>
      </w:tr>
      <w:tr w14:paraId="12625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6" w:hRule="atLeast"/>
          <w:jc w:val="center"/>
        </w:trPr>
        <w:tc>
          <w:tcPr>
            <w:tcW w:w="1395" w:type="dxa"/>
            <w:vAlign w:val="center"/>
          </w:tcPr>
          <w:p w14:paraId="52D09016">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1.1</w:t>
            </w:r>
          </w:p>
        </w:tc>
        <w:tc>
          <w:tcPr>
            <w:tcW w:w="8115" w:type="dxa"/>
            <w:vAlign w:val="center"/>
          </w:tcPr>
          <w:p w14:paraId="4CF3D130">
            <w:pPr>
              <w:pStyle w:val="35"/>
              <w:widowControl/>
              <w:snapToGrid w:val="0"/>
              <w:spacing w:before="0" w:after="0" w:line="360" w:lineRule="auto"/>
              <w:textAlignment w:val="baseline"/>
              <w:rPr>
                <w:rFonts w:hint="eastAsia" w:ascii="宋体" w:hAnsi="宋体" w:eastAsia="宋体" w:cs="宋体"/>
                <w:color w:val="auto"/>
                <w:sz w:val="28"/>
                <w:szCs w:val="28"/>
                <w:u w:val="single"/>
              </w:rPr>
            </w:pPr>
            <w:r>
              <w:rPr>
                <w:rFonts w:hint="eastAsia" w:ascii="宋体" w:hAnsi="宋体" w:eastAsia="宋体" w:cs="宋体"/>
                <w:color w:val="auto"/>
                <w:sz w:val="28"/>
                <w:szCs w:val="28"/>
              </w:rPr>
              <w:t>采购人：</w:t>
            </w:r>
            <w:r>
              <w:rPr>
                <w:rFonts w:hint="eastAsia" w:ascii="宋体" w:hAnsi="宋体" w:eastAsia="宋体" w:cs="宋体"/>
                <w:color w:val="333333"/>
                <w:sz w:val="28"/>
                <w:szCs w:val="28"/>
              </w:rPr>
              <w:t>喀什经济开发区城北加工产业发展服务中心</w:t>
            </w:r>
          </w:p>
          <w:p w14:paraId="6BADA0FF">
            <w:pPr>
              <w:pStyle w:val="35"/>
              <w:widowControl/>
              <w:snapToGrid w:val="0"/>
              <w:spacing w:before="0" w:after="0"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联 </w:t>
            </w:r>
            <w:r>
              <w:rPr>
                <w:rFonts w:hint="eastAsia" w:ascii="宋体" w:hAnsi="宋体" w:eastAsia="宋体" w:cs="宋体"/>
                <w:color w:val="auto"/>
                <w:sz w:val="28"/>
                <w:szCs w:val="28"/>
                <w:lang w:val="en-US" w:eastAsia="zh-CN"/>
              </w:rPr>
              <w:t>系 人：</w:t>
            </w:r>
            <w:r>
              <w:rPr>
                <w:rFonts w:hint="eastAsia" w:ascii="宋体" w:hAnsi="宋体" w:eastAsia="宋体" w:cs="宋体"/>
                <w:bCs/>
                <w:color w:val="auto"/>
                <w:sz w:val="28"/>
                <w:szCs w:val="28"/>
              </w:rPr>
              <w:t>迪力亚尔</w:t>
            </w:r>
            <w:r>
              <w:rPr>
                <w:rFonts w:hint="eastAsia" w:ascii="宋体" w:hAnsi="宋体" w:eastAsia="宋体" w:cs="宋体"/>
                <w:color w:val="auto"/>
                <w:sz w:val="28"/>
                <w:szCs w:val="28"/>
                <w:lang w:val="en-US" w:eastAsia="zh-CN"/>
              </w:rPr>
              <w:t xml:space="preserve">       联系电话：</w:t>
            </w:r>
            <w:r>
              <w:rPr>
                <w:rFonts w:hint="eastAsia" w:ascii="宋体" w:hAnsi="宋体" w:eastAsia="宋体" w:cs="宋体"/>
                <w:b w:val="0"/>
                <w:bCs/>
                <w:color w:val="auto"/>
                <w:kern w:val="2"/>
                <w:sz w:val="28"/>
                <w:szCs w:val="28"/>
                <w:u w:val="none"/>
                <w:lang w:val="en-US" w:eastAsia="zh-CN" w:bidi="ar-SA"/>
              </w:rPr>
              <w:t xml:space="preserve"> </w:t>
            </w:r>
            <w:r>
              <w:rPr>
                <w:rFonts w:hint="eastAsia" w:ascii="宋体" w:hAnsi="宋体" w:eastAsia="宋体" w:cs="宋体"/>
                <w:color w:val="333333"/>
                <w:sz w:val="28"/>
                <w:szCs w:val="28"/>
              </w:rPr>
              <w:t>18094997333</w:t>
            </w:r>
          </w:p>
        </w:tc>
      </w:tr>
      <w:tr w14:paraId="13FDC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7DAF2E56">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1.2</w:t>
            </w:r>
          </w:p>
        </w:tc>
        <w:tc>
          <w:tcPr>
            <w:tcW w:w="8115" w:type="dxa"/>
            <w:vAlign w:val="center"/>
          </w:tcPr>
          <w:p w14:paraId="243B1EBB">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采购代理机构：</w:t>
            </w:r>
            <w:r>
              <w:rPr>
                <w:rFonts w:hint="eastAsia" w:ascii="宋体" w:hAnsi="宋体" w:eastAsia="宋体" w:cs="宋体"/>
                <w:b w:val="0"/>
                <w:bCs/>
                <w:color w:val="auto"/>
                <w:kern w:val="2"/>
                <w:sz w:val="28"/>
                <w:szCs w:val="28"/>
                <w:u w:val="none"/>
                <w:lang w:val="en-US" w:eastAsia="zh-CN" w:bidi="ar-SA"/>
              </w:rPr>
              <w:t xml:space="preserve"> 新疆大喀建设项目咨询集团有限公司 </w:t>
            </w:r>
          </w:p>
          <w:p w14:paraId="6B679E26">
            <w:pPr>
              <w:snapToGrid w:val="0"/>
              <w:spacing w:line="360" w:lineRule="auto"/>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项目联系人：李工</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联系方式：17690105572</w:t>
            </w:r>
          </w:p>
        </w:tc>
      </w:tr>
      <w:tr w14:paraId="0393C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493712A8">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1.3.4</w:t>
            </w:r>
          </w:p>
        </w:tc>
        <w:tc>
          <w:tcPr>
            <w:tcW w:w="8115" w:type="dxa"/>
            <w:vAlign w:val="center"/>
          </w:tcPr>
          <w:p w14:paraId="17C641AB">
            <w:pPr>
              <w:numPr>
                <w:ilvl w:val="0"/>
                <w:numId w:val="0"/>
              </w:numPr>
              <w:snapToGrid w:val="0"/>
              <w:spacing w:line="360" w:lineRule="auto"/>
              <w:ind w:leftChars="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合格供应商的其他资格要求：</w:t>
            </w:r>
          </w:p>
          <w:p w14:paraId="7FE47B40">
            <w:pPr>
              <w:widowControl/>
              <w:snapToGrid w:val="0"/>
              <w:spacing w:line="360" w:lineRule="auto"/>
              <w:jc w:val="left"/>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1、满足《中华人民共和国政府采购法》第二十二条规定；</w:t>
            </w:r>
          </w:p>
          <w:p w14:paraId="3FCDAE08">
            <w:pPr>
              <w:widowControl/>
              <w:snapToGrid w:val="0"/>
              <w:spacing w:line="360" w:lineRule="auto"/>
              <w:jc w:val="left"/>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2、有效的三证合一营业执照；</w:t>
            </w:r>
          </w:p>
          <w:p w14:paraId="01CE6C1F">
            <w:pPr>
              <w:widowControl/>
              <w:snapToGrid w:val="0"/>
              <w:spacing w:line="360" w:lineRule="auto"/>
              <w:jc w:val="left"/>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3、企业资质要求：具备【市政公用工程监理专业乙级及以上资质】，并在人员、设备、资金等方面具有相应的监理能力。</w:t>
            </w:r>
          </w:p>
          <w:p w14:paraId="0FCD4666">
            <w:pPr>
              <w:widowControl/>
              <w:snapToGrid w:val="0"/>
              <w:spacing w:line="360" w:lineRule="auto"/>
              <w:jc w:val="left"/>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4、</w:t>
            </w:r>
            <w:r>
              <w:rPr>
                <w:rFonts w:hint="eastAsia" w:ascii="宋体" w:hAnsi="宋体" w:cs="宋体"/>
                <w:b/>
                <w:bCs/>
                <w:color w:val="auto"/>
                <w:sz w:val="28"/>
                <w:szCs w:val="28"/>
                <w:lang w:val="en-US" w:eastAsia="zh-CN"/>
              </w:rPr>
              <w:t>项目总监资质要求：项目总监须具备【市政公用工程专业注册监理工程师执业资格】，且不得有其他在施建设工程，提供近六个月任意一月有效的社保证明。</w:t>
            </w:r>
          </w:p>
          <w:p w14:paraId="764DBB77">
            <w:pPr>
              <w:widowControl/>
              <w:snapToGrid w:val="0"/>
              <w:spacing w:line="360" w:lineRule="auto"/>
              <w:jc w:val="left"/>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5、法定代表人投标需提供法定代表人资格证明书，委托代理人投标需提供法定代表人授权委托书；</w:t>
            </w:r>
          </w:p>
          <w:p w14:paraId="32353F9E">
            <w:pPr>
              <w:widowControl/>
              <w:snapToGrid w:val="0"/>
              <w:spacing w:line="360" w:lineRule="auto"/>
              <w:jc w:val="left"/>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6、</w:t>
            </w:r>
            <w:r>
              <w:rPr>
                <w:rFonts w:hint="eastAsia" w:ascii="宋体" w:hAnsi="宋体" w:cs="宋体"/>
                <w:b/>
                <w:bCs/>
                <w:color w:val="auto"/>
                <w:sz w:val="28"/>
                <w:szCs w:val="28"/>
                <w:lang w:val="en-US" w:eastAsia="zh-CN"/>
              </w:rPr>
              <w:t>提供本单位缴纳的近六个月任意一个月社保缴纳证明</w:t>
            </w:r>
            <w:r>
              <w:rPr>
                <w:rFonts w:hint="eastAsia" w:ascii="宋体" w:hAnsi="宋体" w:eastAsia="宋体" w:cs="宋体"/>
                <w:b/>
                <w:bCs/>
                <w:color w:val="auto"/>
                <w:sz w:val="28"/>
                <w:szCs w:val="28"/>
                <w:lang w:val="en-US" w:eastAsia="zh-CN"/>
              </w:rPr>
              <w:t>；</w:t>
            </w:r>
          </w:p>
          <w:p w14:paraId="2DC57C28">
            <w:pPr>
              <w:widowControl/>
              <w:snapToGrid w:val="0"/>
              <w:spacing w:line="360" w:lineRule="auto"/>
              <w:jc w:val="left"/>
              <w:textAlignment w:val="baseline"/>
              <w:rPr>
                <w:rFonts w:hint="eastAsia" w:ascii="宋体" w:hAnsi="宋体" w:eastAsia="宋体" w:cs="宋体"/>
                <w:b/>
                <w:bCs/>
                <w:color w:val="auto"/>
                <w:kern w:val="2"/>
                <w:sz w:val="28"/>
                <w:szCs w:val="28"/>
                <w:u w:val="none"/>
                <w:lang w:val="en-US" w:eastAsia="zh-CN" w:bidi="ar-SA"/>
              </w:rPr>
            </w:pPr>
            <w:r>
              <w:rPr>
                <w:rFonts w:hint="eastAsia" w:ascii="宋体" w:hAnsi="宋体" w:eastAsia="宋体" w:cs="宋体"/>
                <w:b/>
                <w:bCs/>
                <w:color w:val="auto"/>
                <w:kern w:val="2"/>
                <w:sz w:val="28"/>
                <w:szCs w:val="28"/>
                <w:u w:val="none"/>
                <w:lang w:val="en-US" w:eastAsia="zh-CN" w:bidi="ar-SA"/>
              </w:rPr>
              <w:t>7、提供近六个月任意一个月税务局开具的完税证明；（完税证明或税务部门出具的其他证明，非社会保险类）；</w:t>
            </w:r>
          </w:p>
          <w:p w14:paraId="5BCF0799">
            <w:pPr>
              <w:widowControl/>
              <w:snapToGrid w:val="0"/>
              <w:spacing w:line="360" w:lineRule="auto"/>
              <w:jc w:val="left"/>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8、2023年度财务审计报告(新成立公司提供开标前六个月内任意一个月有效银行资信证明)</w:t>
            </w:r>
          </w:p>
          <w:p w14:paraId="2F11BDBD">
            <w:pPr>
              <w:widowControl/>
              <w:snapToGrid w:val="0"/>
              <w:spacing w:line="360" w:lineRule="auto"/>
              <w:jc w:val="left"/>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9、参加采购活动前三年内，投标企业未被“信用中国”（www.creditchina.gov.cn）、中国政府采购网（www.ccgp.gov.cn）列入失信被执行人、重大税收违法案件当事人名单、政府采购严重违法失信行为记录名单。</w:t>
            </w:r>
          </w:p>
          <w:p w14:paraId="1AB50C9D">
            <w:pPr>
              <w:widowControl/>
              <w:snapToGrid w:val="0"/>
              <w:spacing w:line="360" w:lineRule="auto"/>
              <w:jc w:val="left"/>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10、本项目为专门面向中小企业（供应商须根据招标文件中的法定格式填写中小企业声明函）</w:t>
            </w:r>
          </w:p>
          <w:p w14:paraId="1E7227E0">
            <w:pPr>
              <w:widowControl/>
              <w:snapToGrid w:val="0"/>
              <w:spacing w:line="360" w:lineRule="auto"/>
              <w:jc w:val="left"/>
              <w:textAlignment w:val="baseline"/>
              <w:rPr>
                <w:rFonts w:hint="eastAsia" w:ascii="宋体" w:hAnsi="宋体" w:eastAsia="宋体" w:cs="宋体"/>
                <w:color w:val="auto"/>
                <w:sz w:val="22"/>
                <w:szCs w:val="28"/>
              </w:rPr>
            </w:pPr>
            <w:r>
              <w:rPr>
                <w:rFonts w:hint="eastAsia" w:ascii="宋体" w:hAnsi="宋体" w:eastAsia="宋体" w:cs="宋体"/>
                <w:b/>
                <w:bCs/>
                <w:color w:val="auto"/>
                <w:sz w:val="28"/>
                <w:szCs w:val="28"/>
                <w:lang w:val="en-US" w:eastAsia="zh-CN"/>
              </w:rPr>
              <w:t>11、缴纳磋商保证金有效凭证；</w:t>
            </w:r>
          </w:p>
        </w:tc>
      </w:tr>
      <w:tr w14:paraId="0FB68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5F785B36">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1.3.5   </w:t>
            </w:r>
          </w:p>
        </w:tc>
        <w:tc>
          <w:tcPr>
            <w:tcW w:w="8115" w:type="dxa"/>
            <w:vAlign w:val="center"/>
          </w:tcPr>
          <w:p w14:paraId="3CB6D51A">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是否允许采购进口产品：</w:t>
            </w:r>
            <w:r>
              <w:rPr>
                <w:rFonts w:hint="eastAsia" w:ascii="宋体" w:hAnsi="宋体" w:eastAsia="宋体" w:cs="宋体"/>
                <w:color w:val="auto"/>
                <w:sz w:val="28"/>
                <w:szCs w:val="28"/>
                <w:u w:val="single" w:color="000000"/>
              </w:rPr>
              <w:t xml:space="preserve">  否  </w:t>
            </w:r>
          </w:p>
        </w:tc>
      </w:tr>
      <w:tr w14:paraId="50AF8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50E0925C">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1.3.6</w:t>
            </w:r>
          </w:p>
        </w:tc>
        <w:tc>
          <w:tcPr>
            <w:tcW w:w="8115" w:type="dxa"/>
            <w:vAlign w:val="center"/>
          </w:tcPr>
          <w:p w14:paraId="02A4D377">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是否为专门面向中小企业采购：</w:t>
            </w:r>
            <w:r>
              <w:rPr>
                <w:rFonts w:hint="eastAsia" w:ascii="宋体" w:hAnsi="宋体" w:eastAsia="宋体" w:cs="宋体"/>
                <w:color w:val="auto"/>
                <w:sz w:val="28"/>
                <w:szCs w:val="28"/>
                <w:u w:val="single" w:color="000000"/>
              </w:rPr>
              <w:t xml:space="preserve">  </w:t>
            </w:r>
            <w:r>
              <w:rPr>
                <w:rFonts w:hint="eastAsia" w:ascii="宋体" w:hAnsi="宋体" w:eastAsia="宋体" w:cs="宋体"/>
                <w:color w:val="auto"/>
                <w:sz w:val="28"/>
                <w:szCs w:val="28"/>
                <w:u w:val="single" w:color="000000"/>
                <w:lang w:val="en-US" w:eastAsia="zh-CN"/>
              </w:rPr>
              <w:t>是</w:t>
            </w:r>
            <w:r>
              <w:rPr>
                <w:rFonts w:hint="eastAsia" w:ascii="宋体" w:hAnsi="宋体" w:eastAsia="宋体" w:cs="宋体"/>
                <w:color w:val="auto"/>
                <w:sz w:val="28"/>
                <w:szCs w:val="28"/>
                <w:u w:val="single" w:color="000000"/>
              </w:rPr>
              <w:t xml:space="preserve"> </w:t>
            </w:r>
            <w:r>
              <w:rPr>
                <w:rFonts w:hint="eastAsia" w:ascii="宋体" w:hAnsi="宋体" w:eastAsia="宋体" w:cs="宋体"/>
                <w:b/>
                <w:bCs/>
                <w:color w:val="auto"/>
                <w:sz w:val="28"/>
                <w:szCs w:val="28"/>
                <w:u w:val="none" w:color="auto"/>
                <w:lang w:val="en-US" w:eastAsia="zh-CN"/>
              </w:rPr>
              <w:t>潜在投标企业属于中小微企业的，应在响应文件中提供</w:t>
            </w:r>
            <w:r>
              <w:rPr>
                <w:rFonts w:hint="eastAsia" w:ascii="宋体" w:hAnsi="宋体" w:cs="宋体"/>
                <w:b/>
                <w:bCs/>
                <w:color w:val="auto"/>
                <w:sz w:val="28"/>
                <w:szCs w:val="28"/>
                <w:u w:val="none" w:color="auto"/>
                <w:lang w:val="en-US" w:eastAsia="zh-CN"/>
              </w:rPr>
              <w:t>“</w:t>
            </w:r>
            <w:r>
              <w:rPr>
                <w:rFonts w:hint="eastAsia" w:ascii="宋体" w:hAnsi="宋体" w:eastAsia="宋体" w:cs="宋体"/>
                <w:b/>
                <w:bCs/>
                <w:color w:val="auto"/>
                <w:sz w:val="28"/>
                <w:szCs w:val="28"/>
                <w:u w:val="none" w:color="auto"/>
                <w:lang w:val="en-US" w:eastAsia="zh-CN"/>
              </w:rPr>
              <w:t>中小企业声明函”如果未提供或提供“中小企业声明函”内容不实的，供应商将承担由此造成的一切不利后果。</w:t>
            </w:r>
          </w:p>
        </w:tc>
      </w:tr>
      <w:tr w14:paraId="74D60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395" w:type="dxa"/>
            <w:vAlign w:val="center"/>
          </w:tcPr>
          <w:p w14:paraId="7022CE08">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1.4</w:t>
            </w:r>
          </w:p>
        </w:tc>
        <w:tc>
          <w:tcPr>
            <w:tcW w:w="8115" w:type="dxa"/>
            <w:vAlign w:val="center"/>
          </w:tcPr>
          <w:p w14:paraId="628A4421">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是否允许联合体磋商：</w:t>
            </w:r>
            <w:r>
              <w:rPr>
                <w:rFonts w:hint="eastAsia" w:ascii="宋体" w:hAnsi="宋体" w:eastAsia="宋体" w:cs="宋体"/>
                <w:color w:val="auto"/>
                <w:sz w:val="28"/>
                <w:szCs w:val="28"/>
                <w:u w:val="single" w:color="000000"/>
              </w:rPr>
              <w:t xml:space="preserve">   否   </w:t>
            </w:r>
          </w:p>
        </w:tc>
      </w:tr>
      <w:tr w14:paraId="65EFA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395" w:type="dxa"/>
            <w:vAlign w:val="center"/>
          </w:tcPr>
          <w:p w14:paraId="16D97ECF">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1.4.8</w:t>
            </w:r>
          </w:p>
        </w:tc>
        <w:tc>
          <w:tcPr>
            <w:tcW w:w="8115" w:type="dxa"/>
            <w:vAlign w:val="center"/>
          </w:tcPr>
          <w:p w14:paraId="3014FC33">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联合体的其他资格要求：无</w:t>
            </w:r>
          </w:p>
        </w:tc>
      </w:tr>
      <w:tr w14:paraId="4D862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395" w:type="dxa"/>
            <w:vAlign w:val="center"/>
          </w:tcPr>
          <w:p w14:paraId="6E481D80">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2.2</w:t>
            </w:r>
          </w:p>
        </w:tc>
        <w:tc>
          <w:tcPr>
            <w:tcW w:w="8115" w:type="dxa"/>
            <w:vAlign w:val="center"/>
          </w:tcPr>
          <w:p w14:paraId="21E08168">
            <w:pPr>
              <w:pStyle w:val="9"/>
              <w:snapToGrid w:val="0"/>
              <w:spacing w:line="360" w:lineRule="auto"/>
              <w:ind w:firstLine="0"/>
              <w:textAlignment w:val="baseline"/>
              <w:rPr>
                <w:rFonts w:hint="eastAsia" w:ascii="宋体" w:hAnsi="宋体" w:eastAsia="宋体" w:cs="宋体"/>
                <w:color w:val="auto"/>
                <w:sz w:val="28"/>
                <w:szCs w:val="28"/>
                <w:lang w:val="en-US" w:eastAsia="zh-CN"/>
              </w:rPr>
            </w:pPr>
            <w:r>
              <w:rPr>
                <w:rFonts w:hint="eastAsia" w:ascii="宋体" w:hAnsi="宋体" w:eastAsia="宋体" w:cs="宋体"/>
                <w:b/>
                <w:bCs/>
                <w:color w:val="auto"/>
                <w:kern w:val="2"/>
                <w:sz w:val="28"/>
                <w:szCs w:val="28"/>
                <w:lang w:eastAsia="zh-CN"/>
              </w:rPr>
              <w:t>招标控制价</w:t>
            </w:r>
            <w:r>
              <w:rPr>
                <w:rFonts w:hint="eastAsia" w:ascii="宋体" w:hAnsi="宋体" w:eastAsia="宋体" w:cs="宋体"/>
                <w:b/>
                <w:bCs/>
                <w:color w:val="auto"/>
                <w:kern w:val="2"/>
                <w:sz w:val="28"/>
                <w:szCs w:val="28"/>
              </w:rPr>
              <w:t>：</w:t>
            </w:r>
            <w:r>
              <w:rPr>
                <w:rFonts w:hint="eastAsia" w:ascii="宋体" w:hAnsi="宋体" w:eastAsia="宋体" w:cs="宋体"/>
                <w:b/>
                <w:bCs/>
                <w:color w:val="auto"/>
                <w:kern w:val="2"/>
                <w:sz w:val="28"/>
                <w:szCs w:val="28"/>
                <w:lang w:val="en-US" w:eastAsia="zh-CN"/>
              </w:rPr>
              <w:t>小写：458160</w:t>
            </w:r>
            <w:r>
              <w:rPr>
                <w:rFonts w:hint="eastAsia" w:ascii="宋体" w:hAnsi="宋体" w:eastAsia="宋体" w:cs="宋体"/>
                <w:b/>
                <w:bCs/>
                <w:color w:val="auto"/>
                <w:kern w:val="2"/>
                <w:sz w:val="28"/>
                <w:szCs w:val="28"/>
              </w:rPr>
              <w:t>元；</w:t>
            </w:r>
            <w:r>
              <w:rPr>
                <w:rFonts w:hint="eastAsia" w:ascii="宋体" w:hAnsi="宋体" w:eastAsia="宋体" w:cs="宋体"/>
                <w:b/>
                <w:bCs/>
                <w:color w:val="auto"/>
                <w:kern w:val="2"/>
                <w:sz w:val="28"/>
                <w:szCs w:val="28"/>
                <w:lang w:val="en-US" w:eastAsia="zh-CN"/>
              </w:rPr>
              <w:t>大写：（肆拾伍万捌仟壹佰陆拾元）</w:t>
            </w:r>
          </w:p>
        </w:tc>
      </w:tr>
      <w:tr w14:paraId="4B925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395" w:type="dxa"/>
            <w:vMerge w:val="restart"/>
            <w:vAlign w:val="center"/>
          </w:tcPr>
          <w:p w14:paraId="6F98102F">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12.1</w:t>
            </w:r>
          </w:p>
        </w:tc>
        <w:tc>
          <w:tcPr>
            <w:tcW w:w="8115" w:type="dxa"/>
            <w:vAlign w:val="top"/>
          </w:tcPr>
          <w:p w14:paraId="697C2FBA">
            <w:pPr>
              <w:snapToGrid w:val="0"/>
              <w:spacing w:line="360" w:lineRule="auto"/>
              <w:ind w:left="480" w:hanging="562" w:hangingChars="20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投标保证金</w:t>
            </w:r>
          </w:p>
          <w:p w14:paraId="006A4ADD">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b/>
                <w:bCs/>
                <w:color w:val="auto"/>
                <w:sz w:val="28"/>
                <w:szCs w:val="28"/>
              </w:rPr>
              <w:t>投标保证金交纳方式：</w:t>
            </w:r>
            <w:r>
              <w:rPr>
                <w:rFonts w:hint="eastAsia" w:ascii="宋体" w:hAnsi="宋体" w:eastAsia="宋体" w:cs="宋体"/>
                <w:color w:val="auto"/>
                <w:sz w:val="28"/>
                <w:szCs w:val="28"/>
              </w:rPr>
              <w:t>投标保证金应当以支票、汇票、本票、网上银行支付或者金融机构、担保机构出具的保函等非现金形式交纳。</w:t>
            </w:r>
          </w:p>
          <w:p w14:paraId="47C87C04">
            <w:pPr>
              <w:snapToGrid w:val="0"/>
              <w:spacing w:line="360" w:lineRule="auto"/>
              <w:ind w:left="480" w:hanging="562" w:hangingChars="200"/>
              <w:textAlignment w:val="baseline"/>
              <w:rPr>
                <w:rFonts w:hint="eastAsia" w:ascii="宋体" w:hAnsi="宋体" w:eastAsia="宋体" w:cs="宋体"/>
                <w:b/>
                <w:bCs/>
                <w:color w:val="auto"/>
                <w:kern w:val="2"/>
                <w:sz w:val="28"/>
                <w:szCs w:val="28"/>
                <w:lang w:eastAsia="zh-CN"/>
              </w:rPr>
            </w:pPr>
            <w:r>
              <w:rPr>
                <w:rFonts w:hint="eastAsia" w:ascii="宋体" w:hAnsi="宋体" w:eastAsia="宋体" w:cs="宋体"/>
                <w:b/>
                <w:bCs/>
                <w:color w:val="auto"/>
                <w:sz w:val="28"/>
                <w:szCs w:val="28"/>
              </w:rPr>
              <w:t>投标保证金的金额：</w:t>
            </w:r>
            <w:r>
              <w:rPr>
                <w:rFonts w:hint="eastAsia" w:ascii="宋体" w:hAnsi="宋体" w:eastAsia="宋体" w:cs="宋体"/>
                <w:b/>
                <w:bCs/>
                <w:color w:val="auto"/>
                <w:sz w:val="28"/>
                <w:szCs w:val="28"/>
                <w:lang w:val="en-US" w:eastAsia="zh-CN"/>
              </w:rPr>
              <w:t>8000.00</w:t>
            </w:r>
            <w:r>
              <w:rPr>
                <w:rFonts w:hint="eastAsia" w:ascii="宋体" w:hAnsi="宋体" w:eastAsia="宋体" w:cs="宋体"/>
                <w:b/>
                <w:bCs/>
                <w:color w:val="auto"/>
                <w:sz w:val="28"/>
                <w:szCs w:val="28"/>
              </w:rPr>
              <w:t>元（</w:t>
            </w:r>
            <w:r>
              <w:rPr>
                <w:rFonts w:hint="eastAsia" w:ascii="宋体" w:hAnsi="宋体" w:eastAsia="宋体" w:cs="宋体"/>
                <w:b/>
                <w:bCs/>
                <w:color w:val="auto"/>
                <w:sz w:val="28"/>
                <w:szCs w:val="28"/>
                <w:lang w:val="en-US" w:eastAsia="zh-CN"/>
              </w:rPr>
              <w:t>捌仟元整</w:t>
            </w:r>
            <w:r>
              <w:rPr>
                <w:rFonts w:hint="eastAsia" w:ascii="宋体" w:hAnsi="宋体" w:eastAsia="宋体" w:cs="宋体"/>
                <w:b/>
                <w:bCs/>
                <w:color w:val="auto"/>
                <w:sz w:val="28"/>
                <w:szCs w:val="28"/>
              </w:rPr>
              <w:t>）</w:t>
            </w:r>
          </w:p>
        </w:tc>
      </w:tr>
      <w:tr w14:paraId="7FAFD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395" w:type="dxa"/>
            <w:vMerge w:val="continue"/>
            <w:vAlign w:val="center"/>
          </w:tcPr>
          <w:p w14:paraId="36449DDA">
            <w:pPr>
              <w:snapToGrid w:val="0"/>
              <w:spacing w:line="360" w:lineRule="auto"/>
              <w:ind w:left="1080" w:leftChars="257" w:hanging="540"/>
              <w:textAlignment w:val="baseline"/>
              <w:rPr>
                <w:rFonts w:hint="eastAsia" w:ascii="宋体" w:hAnsi="宋体" w:eastAsia="宋体" w:cs="宋体"/>
                <w:color w:val="auto"/>
                <w:sz w:val="28"/>
                <w:szCs w:val="28"/>
              </w:rPr>
            </w:pPr>
          </w:p>
        </w:tc>
        <w:tc>
          <w:tcPr>
            <w:tcW w:w="8115" w:type="dxa"/>
            <w:vAlign w:val="center"/>
          </w:tcPr>
          <w:p w14:paraId="3515DDBD">
            <w:pPr>
              <w:snapToGrid w:val="0"/>
              <w:spacing w:line="360" w:lineRule="auto"/>
              <w:ind w:left="480" w:hanging="560" w:hanging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1、投标保证金以电汇、网银等转账形式提交的，应在投标截止时间前以总公司的基本账户一次性汇入指定账户（以到账时间为准），不接受现金及任何个人汇款。</w:t>
            </w:r>
          </w:p>
          <w:p w14:paraId="4DB5145A">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2、投标保证金以保函等票据形式提交的，需注明项目名称及单位名称，银行保函（电子保函）的有效期与投标有效期一致。需提供基本户开户行 出具的银行保函，投标文件内附此保函原件电子件。</w:t>
            </w:r>
          </w:p>
          <w:p w14:paraId="207D317C">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3、有效投标保证金成功交纳后，截止开标时间，供应商无正当理由不参加该项目投标且不递交弃标函，投标保证金不予退还。</w:t>
            </w:r>
          </w:p>
          <w:p w14:paraId="5AB22E90">
            <w:pPr>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户  名：</w:t>
            </w:r>
            <w:r>
              <w:rPr>
                <w:rFonts w:hint="eastAsia" w:ascii="宋体" w:hAnsi="宋体" w:eastAsia="宋体" w:cs="宋体"/>
                <w:b/>
                <w:bCs/>
                <w:color w:val="auto"/>
                <w:sz w:val="28"/>
                <w:szCs w:val="28"/>
                <w:lang w:val="en-US" w:eastAsia="zh-CN"/>
              </w:rPr>
              <w:t>新疆大喀建设项目咨询集团有限公司</w:t>
            </w:r>
          </w:p>
          <w:p w14:paraId="5422DCD5">
            <w:pPr>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开户行地址：中国农业银行喀什健康路（兵团）支行</w:t>
            </w:r>
          </w:p>
          <w:p w14:paraId="33E0F151">
            <w:pPr>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账号：30783601040006254</w:t>
            </w:r>
          </w:p>
          <w:p w14:paraId="42BD336B">
            <w:pPr>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行号：103894078367</w:t>
            </w:r>
          </w:p>
          <w:p w14:paraId="674498E4">
            <w:pPr>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联 系 人：</w:t>
            </w:r>
            <w:r>
              <w:rPr>
                <w:rFonts w:hint="eastAsia" w:ascii="宋体" w:hAnsi="宋体" w:eastAsia="宋体" w:cs="宋体"/>
                <w:b/>
                <w:bCs/>
                <w:color w:val="auto"/>
                <w:sz w:val="28"/>
                <w:szCs w:val="28"/>
                <w:lang w:val="en-US" w:eastAsia="zh-CN"/>
              </w:rPr>
              <w:t>李工</w:t>
            </w:r>
          </w:p>
          <w:p w14:paraId="2F57B8F2">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b/>
                <w:bCs/>
                <w:color w:val="auto"/>
                <w:sz w:val="28"/>
                <w:szCs w:val="28"/>
              </w:rPr>
              <w:t>电   话：</w:t>
            </w:r>
            <w:r>
              <w:rPr>
                <w:rFonts w:hint="eastAsia" w:ascii="宋体" w:hAnsi="宋体" w:eastAsia="宋体" w:cs="宋体"/>
                <w:b/>
                <w:bCs/>
                <w:color w:val="auto"/>
                <w:sz w:val="28"/>
                <w:szCs w:val="28"/>
                <w:lang w:val="en-US" w:eastAsia="zh-CN"/>
              </w:rPr>
              <w:t>17690105572</w:t>
            </w:r>
            <w:r>
              <w:rPr>
                <w:rFonts w:hint="eastAsia" w:ascii="宋体" w:hAnsi="宋体" w:eastAsia="宋体" w:cs="宋体"/>
                <w:color w:val="auto"/>
                <w:sz w:val="28"/>
                <w:szCs w:val="28"/>
              </w:rPr>
              <w:t>（备注：必须写清楚某某公司某某项目保证金）</w:t>
            </w:r>
          </w:p>
          <w:p w14:paraId="05685E62">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投标保证金退还</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投标保证金的退还：中标通知书发出之日起5个工作日内退还未中标人的磋商保证金，中标单位磋商保证金在与采购单位签订合同后，把合同扫描件发送至代理公司后，5个工作日内原账户退回。</w:t>
            </w:r>
            <w:r>
              <w:rPr>
                <w:rFonts w:hint="eastAsia" w:ascii="宋体" w:hAnsi="宋体" w:eastAsia="宋体" w:cs="宋体"/>
                <w:color w:val="auto"/>
                <w:sz w:val="28"/>
                <w:szCs w:val="28"/>
              </w:rPr>
              <w:t xml:space="preserve"> </w:t>
            </w:r>
          </w:p>
        </w:tc>
      </w:tr>
      <w:tr w14:paraId="3A45B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395" w:type="dxa"/>
            <w:vAlign w:val="center"/>
          </w:tcPr>
          <w:p w14:paraId="3FD3900E">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13.1</w:t>
            </w:r>
          </w:p>
        </w:tc>
        <w:tc>
          <w:tcPr>
            <w:tcW w:w="8115" w:type="dxa"/>
            <w:vAlign w:val="center"/>
          </w:tcPr>
          <w:p w14:paraId="025A80F0">
            <w:pPr>
              <w:snapToGrid w:val="0"/>
              <w:spacing w:line="360" w:lineRule="auto"/>
              <w:textAlignment w:val="baseline"/>
              <w:rPr>
                <w:rFonts w:hint="eastAsia" w:ascii="宋体" w:hAnsi="宋体" w:eastAsia="宋体" w:cs="宋体"/>
                <w:color w:val="auto"/>
                <w:sz w:val="28"/>
                <w:szCs w:val="28"/>
                <w:u w:val="single" w:color="000000"/>
              </w:rPr>
            </w:pPr>
            <w:r>
              <w:rPr>
                <w:rFonts w:hint="eastAsia" w:ascii="宋体" w:hAnsi="宋体" w:eastAsia="宋体" w:cs="宋体"/>
                <w:color w:val="auto"/>
                <w:sz w:val="28"/>
                <w:szCs w:val="28"/>
              </w:rPr>
              <w:t>磋商有效期：</w:t>
            </w:r>
            <w:r>
              <w:rPr>
                <w:rFonts w:hint="eastAsia" w:ascii="宋体" w:hAnsi="宋体" w:eastAsia="宋体" w:cs="宋体"/>
                <w:color w:val="auto"/>
                <w:sz w:val="28"/>
                <w:szCs w:val="28"/>
                <w:u w:val="single" w:color="000000"/>
              </w:rPr>
              <w:t>　</w:t>
            </w:r>
            <w:r>
              <w:rPr>
                <w:rFonts w:hint="eastAsia" w:ascii="宋体" w:hAnsi="宋体" w:eastAsia="宋体" w:cs="宋体"/>
                <w:color w:val="auto"/>
                <w:sz w:val="28"/>
                <w:szCs w:val="28"/>
                <w:u w:val="single" w:color="000000"/>
                <w:lang w:val="en-US" w:eastAsia="zh-CN"/>
              </w:rPr>
              <w:t>90</w:t>
            </w:r>
            <w:r>
              <w:rPr>
                <w:rFonts w:hint="eastAsia" w:ascii="宋体" w:hAnsi="宋体" w:eastAsia="宋体" w:cs="宋体"/>
                <w:color w:val="auto"/>
                <w:sz w:val="28"/>
                <w:szCs w:val="28"/>
                <w:u w:val="single" w:color="000000"/>
              </w:rPr>
              <w:t>　</w:t>
            </w:r>
            <w:r>
              <w:rPr>
                <w:rFonts w:hint="eastAsia" w:ascii="宋体" w:hAnsi="宋体" w:eastAsia="宋体" w:cs="宋体"/>
                <w:color w:val="auto"/>
                <w:sz w:val="28"/>
                <w:szCs w:val="28"/>
              </w:rPr>
              <w:t>日历日</w:t>
            </w:r>
          </w:p>
        </w:tc>
      </w:tr>
      <w:tr w14:paraId="616C4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395" w:type="dxa"/>
            <w:vAlign w:val="center"/>
          </w:tcPr>
          <w:p w14:paraId="44A4EB73">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14.1</w:t>
            </w:r>
          </w:p>
        </w:tc>
        <w:tc>
          <w:tcPr>
            <w:tcW w:w="8115" w:type="dxa"/>
            <w:vAlign w:val="center"/>
          </w:tcPr>
          <w:p w14:paraId="0DD46A5B">
            <w:pPr>
              <w:pStyle w:val="9"/>
              <w:keepNext w:val="0"/>
              <w:keepLines w:val="0"/>
              <w:pageBreakBefore w:val="0"/>
              <w:widowControl w:val="0"/>
              <w:kinsoku/>
              <w:wordWrap/>
              <w:overflowPunct/>
              <w:topLinePunct w:val="0"/>
              <w:bidi w:val="0"/>
              <w:snapToGrid/>
              <w:spacing w:line="360" w:lineRule="auto"/>
              <w:ind w:left="0" w:leftChars="0" w:firstLine="0" w:firstLineChars="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0EC8FF42">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（2）本项目实行网上投标响应，采用电子响应文件(供应商须使用CA加密设备通过政采云电子投标客户端制作响应文件)。若供应商参与投标，自行承担投标一切费用。</w:t>
            </w:r>
          </w:p>
          <w:p w14:paraId="57412383">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4D34F9F2">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2B053320">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（5）供应商在开标时须使用制作加密电子响应文件所使用的CA锁及电脑，电脑须提前配置好浏览器（建议使用谷歌浏览器），以便开标时解锁。</w:t>
            </w:r>
          </w:p>
          <w:p w14:paraId="551C105C">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14:paraId="40689914">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60CED4E0">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（8）各供应商</w:t>
            </w:r>
            <w:r>
              <w:rPr>
                <w:rFonts w:hint="eastAsia" w:ascii="宋体" w:hAnsi="宋体" w:eastAsia="宋体" w:cs="宋体"/>
                <w:color w:val="auto"/>
                <w:sz w:val="28"/>
                <w:szCs w:val="28"/>
                <w:highlight w:val="none"/>
              </w:rPr>
              <w:t>须在投标截止时间前完成在系统上递交电子</w:t>
            </w:r>
            <w:r>
              <w:rPr>
                <w:rFonts w:hint="eastAsia" w:ascii="宋体" w:hAnsi="宋体" w:eastAsia="宋体" w:cs="宋体"/>
                <w:color w:val="auto"/>
                <w:sz w:val="28"/>
                <w:szCs w:val="28"/>
                <w:highlight w:val="none"/>
                <w:lang w:val="en-US" w:eastAsia="zh-CN"/>
              </w:rPr>
              <w:t>响应文件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的电子</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是经过CA证书加密后上传提交的，任何单位或个人均无法在投标截止时间(即开标时间)之前查看或篡改，不存在泄密风险。（严格按照政采云电子投标流程制作并上传电子</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w:t>
            </w:r>
          </w:p>
          <w:p w14:paraId="4368D010">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各供应商在投标截止时间前将“响应文件”上传至政采云平台。响应文件包括“开标一览表表及资格证明文件”与“商务及技术文件”两部分合并成一册。响应文件应按照磋商文件规定的格式填写、签署和盖章，并以.jmbs格式上传至政采云开评标平台（响应文件为正本扫描件）。</w:t>
            </w:r>
          </w:p>
          <w:p w14:paraId="79CC34FA">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宋体" w:hAnsi="宋体" w:eastAsia="宋体" w:cs="宋体"/>
                <w:color w:val="auto"/>
                <w:sz w:val="28"/>
                <w:szCs w:val="21"/>
                <w:lang w:val="en-US" w:eastAsia="zh-CN"/>
              </w:rPr>
            </w:pPr>
            <w:r>
              <w:rPr>
                <w:rFonts w:hint="eastAsia" w:ascii="宋体" w:hAnsi="宋体" w:eastAsia="宋体" w:cs="宋体"/>
                <w:b/>
                <w:bCs/>
                <w:color w:val="auto"/>
                <w:sz w:val="28"/>
                <w:szCs w:val="28"/>
                <w:highlight w:val="none"/>
                <w:lang w:val="en-US" w:eastAsia="zh-CN"/>
              </w:rPr>
              <w:t>（10）解密时长为30分钟，</w:t>
            </w:r>
            <w:r>
              <w:rPr>
                <w:rFonts w:hint="eastAsia" w:ascii="宋体" w:hAnsi="宋体" w:eastAsia="宋体" w:cs="宋体"/>
                <w:b/>
                <w:bCs/>
                <w:color w:val="auto"/>
                <w:sz w:val="28"/>
                <w:szCs w:val="21"/>
                <w:highlight w:val="none"/>
                <w:lang w:val="en-US" w:eastAsia="zh-CN"/>
              </w:rPr>
              <w:t>超出解密时长，作无效投标处理。</w:t>
            </w:r>
          </w:p>
          <w:p w14:paraId="6111DE46">
            <w:pPr>
              <w:snapToGrid w:val="0"/>
              <w:spacing w:line="360" w:lineRule="auto"/>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kern w:val="0"/>
                <w:sz w:val="28"/>
                <w:szCs w:val="28"/>
                <w:highlight w:val="none"/>
                <w:lang w:val="en-US" w:eastAsia="zh-CN" w:bidi="ar-SA"/>
              </w:rPr>
              <w:t>（11）须供应商提供备份的投标文件,后缀为.bfbs。</w:t>
            </w:r>
          </w:p>
        </w:tc>
      </w:tr>
      <w:tr w14:paraId="7D665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1395" w:type="dxa"/>
            <w:vAlign w:val="center"/>
          </w:tcPr>
          <w:p w14:paraId="68764CCE">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16.1</w:t>
            </w:r>
          </w:p>
        </w:tc>
        <w:tc>
          <w:tcPr>
            <w:tcW w:w="8115" w:type="dxa"/>
            <w:vAlign w:val="center"/>
          </w:tcPr>
          <w:p w14:paraId="0B504521">
            <w:pPr>
              <w:snapToGrid w:val="0"/>
              <w:spacing w:line="360" w:lineRule="auto"/>
              <w:textAlignment w:val="baseline"/>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磋商截止时间：</w:t>
            </w:r>
            <w:r>
              <w:rPr>
                <w:rFonts w:hint="eastAsia" w:ascii="宋体" w:hAnsi="宋体" w:eastAsia="宋体" w:cs="宋体"/>
                <w:sz w:val="28"/>
                <w:szCs w:val="28"/>
                <w:u w:val="none"/>
                <w:lang w:val="en-US" w:eastAsia="zh-CN"/>
              </w:rPr>
              <w:t>202</w:t>
            </w:r>
            <w:r>
              <w:rPr>
                <w:rFonts w:hint="eastAsia" w:ascii="宋体" w:hAnsi="宋体" w:cs="宋体"/>
                <w:sz w:val="28"/>
                <w:szCs w:val="28"/>
                <w:u w:val="none"/>
                <w:lang w:val="en-US" w:eastAsia="zh-CN"/>
              </w:rPr>
              <w:t>5</w:t>
            </w:r>
            <w:r>
              <w:rPr>
                <w:rFonts w:hint="eastAsia" w:ascii="宋体" w:hAnsi="宋体" w:eastAsia="宋体" w:cs="宋体"/>
                <w:bCs/>
                <w:sz w:val="28"/>
                <w:szCs w:val="28"/>
                <w:u w:val="none"/>
              </w:rPr>
              <w:t>年</w:t>
            </w:r>
            <w:r>
              <w:rPr>
                <w:rFonts w:hint="eastAsia" w:ascii="宋体" w:hAnsi="宋体" w:cs="宋体"/>
                <w:color w:val="auto"/>
                <w:sz w:val="28"/>
                <w:szCs w:val="28"/>
                <w:u w:val="none"/>
                <w:lang w:val="en-US" w:eastAsia="zh-CN"/>
              </w:rPr>
              <w:t>1</w:t>
            </w:r>
            <w:r>
              <w:rPr>
                <w:rFonts w:hint="eastAsia" w:ascii="宋体" w:hAnsi="宋体" w:eastAsia="宋体" w:cs="宋体"/>
                <w:bCs/>
                <w:sz w:val="28"/>
                <w:szCs w:val="28"/>
                <w:u w:val="none"/>
              </w:rPr>
              <w:t>月</w:t>
            </w:r>
            <w:r>
              <w:rPr>
                <w:rFonts w:hint="eastAsia" w:ascii="宋体" w:hAnsi="宋体" w:cs="宋体"/>
                <w:color w:val="auto"/>
                <w:sz w:val="28"/>
                <w:szCs w:val="28"/>
                <w:u w:val="none"/>
                <w:lang w:val="en-US" w:eastAsia="zh-CN"/>
              </w:rPr>
              <w:t>6</w:t>
            </w:r>
            <w:r>
              <w:rPr>
                <w:rFonts w:hint="eastAsia" w:ascii="宋体" w:hAnsi="宋体" w:eastAsia="宋体" w:cs="宋体"/>
                <w:bCs/>
                <w:sz w:val="28"/>
                <w:szCs w:val="28"/>
                <w:u w:val="none"/>
              </w:rPr>
              <w:t>日</w:t>
            </w:r>
            <w:r>
              <w:rPr>
                <w:rFonts w:hint="eastAsia" w:ascii="宋体" w:hAnsi="宋体" w:cs="宋体"/>
                <w:bCs/>
                <w:sz w:val="28"/>
                <w:szCs w:val="28"/>
                <w:u w:val="none"/>
                <w:lang w:val="en-US" w:eastAsia="zh-CN"/>
              </w:rPr>
              <w:t>下</w:t>
            </w:r>
            <w:r>
              <w:rPr>
                <w:rFonts w:hint="eastAsia" w:ascii="宋体" w:hAnsi="宋体" w:eastAsia="宋体" w:cs="宋体"/>
                <w:bCs/>
                <w:sz w:val="28"/>
                <w:szCs w:val="28"/>
                <w:u w:val="none"/>
              </w:rPr>
              <w:t>午</w:t>
            </w:r>
            <w:r>
              <w:rPr>
                <w:rFonts w:hint="eastAsia" w:ascii="宋体" w:hAnsi="宋体" w:eastAsia="宋体" w:cs="宋体"/>
                <w:bCs/>
                <w:sz w:val="28"/>
                <w:szCs w:val="28"/>
                <w:u w:val="none"/>
                <w:lang w:val="en-US" w:eastAsia="zh-CN"/>
              </w:rPr>
              <w:t>1</w:t>
            </w:r>
            <w:r>
              <w:rPr>
                <w:rFonts w:hint="eastAsia" w:ascii="宋体" w:hAnsi="宋体" w:cs="宋体"/>
                <w:bCs/>
                <w:sz w:val="28"/>
                <w:szCs w:val="28"/>
                <w:u w:val="none"/>
                <w:lang w:val="en-US" w:eastAsia="zh-CN"/>
              </w:rPr>
              <w:t>6</w:t>
            </w:r>
            <w:r>
              <w:rPr>
                <w:rFonts w:hint="eastAsia" w:ascii="宋体" w:hAnsi="宋体" w:eastAsia="宋体" w:cs="宋体"/>
                <w:bCs/>
                <w:sz w:val="28"/>
                <w:szCs w:val="28"/>
                <w:u w:val="none"/>
              </w:rPr>
              <w:t>:00（北京时间）</w:t>
            </w:r>
          </w:p>
        </w:tc>
      </w:tr>
      <w:tr w14:paraId="7105E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7025C1F8">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18.1</w:t>
            </w:r>
          </w:p>
        </w:tc>
        <w:tc>
          <w:tcPr>
            <w:tcW w:w="8115" w:type="dxa"/>
            <w:vAlign w:val="center"/>
          </w:tcPr>
          <w:p w14:paraId="485C0714">
            <w:pPr>
              <w:snapToGrid w:val="0"/>
              <w:spacing w:line="360" w:lineRule="auto"/>
              <w:textAlignment w:val="baseline"/>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磋商时间：</w:t>
            </w:r>
            <w:r>
              <w:rPr>
                <w:rFonts w:hint="eastAsia" w:ascii="宋体" w:hAnsi="宋体" w:eastAsia="宋体" w:cs="宋体"/>
                <w:sz w:val="28"/>
                <w:szCs w:val="28"/>
                <w:u w:val="none"/>
                <w:lang w:val="en-US" w:eastAsia="zh-CN"/>
              </w:rPr>
              <w:t>202</w:t>
            </w:r>
            <w:r>
              <w:rPr>
                <w:rFonts w:hint="eastAsia" w:ascii="宋体" w:hAnsi="宋体" w:cs="宋体"/>
                <w:sz w:val="28"/>
                <w:szCs w:val="28"/>
                <w:u w:val="none"/>
                <w:lang w:val="en-US" w:eastAsia="zh-CN"/>
              </w:rPr>
              <w:t>5</w:t>
            </w:r>
            <w:r>
              <w:rPr>
                <w:rFonts w:hint="eastAsia" w:ascii="宋体" w:hAnsi="宋体" w:eastAsia="宋体" w:cs="宋体"/>
                <w:bCs/>
                <w:sz w:val="28"/>
                <w:szCs w:val="28"/>
                <w:u w:val="none"/>
              </w:rPr>
              <w:t>年</w:t>
            </w:r>
            <w:r>
              <w:rPr>
                <w:rFonts w:hint="eastAsia" w:ascii="宋体" w:hAnsi="宋体" w:cs="宋体"/>
                <w:color w:val="auto"/>
                <w:sz w:val="28"/>
                <w:szCs w:val="28"/>
                <w:u w:val="none"/>
                <w:lang w:val="en-US" w:eastAsia="zh-CN"/>
              </w:rPr>
              <w:t>1</w:t>
            </w:r>
            <w:r>
              <w:rPr>
                <w:rFonts w:hint="eastAsia" w:ascii="宋体" w:hAnsi="宋体" w:eastAsia="宋体" w:cs="宋体"/>
                <w:bCs/>
                <w:sz w:val="28"/>
                <w:szCs w:val="28"/>
                <w:u w:val="none"/>
              </w:rPr>
              <w:t>月</w:t>
            </w:r>
            <w:r>
              <w:rPr>
                <w:rFonts w:hint="eastAsia" w:ascii="宋体" w:hAnsi="宋体" w:cs="宋体"/>
                <w:color w:val="auto"/>
                <w:sz w:val="28"/>
                <w:szCs w:val="28"/>
                <w:u w:val="none"/>
                <w:lang w:val="en-US" w:eastAsia="zh-CN"/>
              </w:rPr>
              <w:t>6</w:t>
            </w:r>
            <w:r>
              <w:rPr>
                <w:rFonts w:hint="eastAsia" w:ascii="宋体" w:hAnsi="宋体" w:eastAsia="宋体" w:cs="宋体"/>
                <w:bCs/>
                <w:sz w:val="28"/>
                <w:szCs w:val="28"/>
                <w:u w:val="none"/>
              </w:rPr>
              <w:t>日</w:t>
            </w:r>
            <w:r>
              <w:rPr>
                <w:rFonts w:hint="eastAsia" w:ascii="宋体" w:hAnsi="宋体" w:cs="宋体"/>
                <w:bCs/>
                <w:sz w:val="28"/>
                <w:szCs w:val="28"/>
                <w:u w:val="none"/>
                <w:lang w:val="en-US" w:eastAsia="zh-CN"/>
              </w:rPr>
              <w:t>下</w:t>
            </w:r>
            <w:r>
              <w:rPr>
                <w:rFonts w:hint="eastAsia" w:ascii="宋体" w:hAnsi="宋体" w:eastAsia="宋体" w:cs="宋体"/>
                <w:bCs/>
                <w:sz w:val="28"/>
                <w:szCs w:val="28"/>
                <w:u w:val="none"/>
              </w:rPr>
              <w:t>午</w:t>
            </w:r>
            <w:r>
              <w:rPr>
                <w:rFonts w:hint="eastAsia" w:ascii="宋体" w:hAnsi="宋体" w:eastAsia="宋体" w:cs="宋体"/>
                <w:bCs/>
                <w:sz w:val="28"/>
                <w:szCs w:val="28"/>
                <w:u w:val="none"/>
                <w:lang w:val="en-US" w:eastAsia="zh-CN"/>
              </w:rPr>
              <w:t>1</w:t>
            </w:r>
            <w:r>
              <w:rPr>
                <w:rFonts w:hint="eastAsia" w:ascii="宋体" w:hAnsi="宋体" w:cs="宋体"/>
                <w:bCs/>
                <w:sz w:val="28"/>
                <w:szCs w:val="28"/>
                <w:u w:val="none"/>
                <w:lang w:val="en-US" w:eastAsia="zh-CN"/>
              </w:rPr>
              <w:t>6</w:t>
            </w:r>
            <w:r>
              <w:rPr>
                <w:rFonts w:hint="eastAsia" w:ascii="宋体" w:hAnsi="宋体" w:eastAsia="宋体" w:cs="宋体"/>
                <w:bCs/>
                <w:sz w:val="28"/>
                <w:szCs w:val="28"/>
                <w:u w:val="none"/>
              </w:rPr>
              <w:t>:00（北京时间）</w:t>
            </w:r>
          </w:p>
          <w:p w14:paraId="4F2C6DA9">
            <w:pPr>
              <w:snapToGrid w:val="0"/>
              <w:spacing w:line="360" w:lineRule="auto"/>
              <w:textAlignment w:val="baseline"/>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磋商地点：政采云平台投标客户端</w:t>
            </w:r>
          </w:p>
        </w:tc>
      </w:tr>
      <w:tr w14:paraId="5990A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1395" w:type="dxa"/>
            <w:vAlign w:val="center"/>
          </w:tcPr>
          <w:p w14:paraId="3AF21548">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23.2</w:t>
            </w:r>
          </w:p>
        </w:tc>
        <w:tc>
          <w:tcPr>
            <w:tcW w:w="8115" w:type="dxa"/>
            <w:vAlign w:val="center"/>
          </w:tcPr>
          <w:p w14:paraId="12A89E62">
            <w:pPr>
              <w:snapToGrid w:val="0"/>
              <w:spacing w:line="360" w:lineRule="auto"/>
              <w:textAlignment w:val="baseline"/>
              <w:rPr>
                <w:rFonts w:hint="eastAsia" w:ascii="宋体" w:hAnsi="宋体" w:eastAsia="宋体" w:cs="宋体"/>
                <w:i/>
                <w:color w:val="auto"/>
                <w:sz w:val="28"/>
                <w:szCs w:val="28"/>
              </w:rPr>
            </w:pPr>
            <w:r>
              <w:rPr>
                <w:rFonts w:hint="eastAsia" w:ascii="宋体" w:hAnsi="宋体" w:eastAsia="宋体" w:cs="宋体"/>
                <w:color w:val="auto"/>
                <w:sz w:val="28"/>
                <w:szCs w:val="28"/>
              </w:rPr>
              <w:t>评审方法：</w:t>
            </w:r>
            <w:r>
              <w:rPr>
                <w:rFonts w:hint="eastAsia" w:ascii="宋体" w:hAnsi="宋体" w:eastAsia="宋体" w:cs="宋体"/>
                <w:color w:val="auto"/>
                <w:sz w:val="28"/>
                <w:szCs w:val="28"/>
                <w:u w:val="single" w:color="000000"/>
              </w:rPr>
              <w:t>　综合评分法　</w:t>
            </w:r>
            <w:r>
              <w:rPr>
                <w:rFonts w:hint="eastAsia" w:ascii="宋体" w:hAnsi="宋体" w:eastAsia="宋体" w:cs="宋体"/>
                <w:color w:val="auto"/>
                <w:sz w:val="28"/>
                <w:szCs w:val="28"/>
              </w:rPr>
              <w:t>　　　　　</w:t>
            </w:r>
          </w:p>
        </w:tc>
      </w:tr>
      <w:tr w14:paraId="5653B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1395" w:type="dxa"/>
            <w:vAlign w:val="center"/>
          </w:tcPr>
          <w:p w14:paraId="04272980">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27</w:t>
            </w:r>
          </w:p>
        </w:tc>
        <w:tc>
          <w:tcPr>
            <w:tcW w:w="8115" w:type="dxa"/>
            <w:vAlign w:val="center"/>
          </w:tcPr>
          <w:p w14:paraId="1AEDD845">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推荐成交候选供应商的数量：</w:t>
            </w:r>
            <w:r>
              <w:rPr>
                <w:rFonts w:hint="eastAsia" w:ascii="宋体" w:hAnsi="宋体" w:eastAsia="宋体" w:cs="宋体"/>
                <w:color w:val="auto"/>
                <w:sz w:val="28"/>
                <w:szCs w:val="28"/>
                <w:u w:val="single" w:color="000000"/>
              </w:rPr>
              <w:t>　   3　　</w:t>
            </w:r>
          </w:p>
        </w:tc>
      </w:tr>
      <w:tr w14:paraId="0A4A6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549135D6">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27</w:t>
            </w:r>
          </w:p>
        </w:tc>
        <w:tc>
          <w:tcPr>
            <w:tcW w:w="8115" w:type="dxa"/>
            <w:vAlign w:val="center"/>
          </w:tcPr>
          <w:p w14:paraId="57317BFC">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采购人是否委托评审委员会直接确定成交人：</w:t>
            </w:r>
            <w:r>
              <w:rPr>
                <w:rFonts w:hint="eastAsia" w:ascii="宋体" w:hAnsi="宋体" w:eastAsia="宋体" w:cs="宋体"/>
                <w:color w:val="auto"/>
                <w:sz w:val="28"/>
                <w:szCs w:val="28"/>
                <w:u w:val="single" w:color="000000"/>
              </w:rPr>
              <w:t xml:space="preserve">  </w:t>
            </w:r>
            <w:r>
              <w:rPr>
                <w:rFonts w:hint="eastAsia" w:ascii="宋体" w:hAnsi="宋体" w:cs="宋体"/>
                <w:color w:val="auto"/>
                <w:sz w:val="28"/>
                <w:szCs w:val="28"/>
                <w:u w:val="single" w:color="000000"/>
                <w:lang w:val="en-US" w:eastAsia="zh-CN"/>
              </w:rPr>
              <w:t>否</w:t>
            </w:r>
            <w:r>
              <w:rPr>
                <w:rFonts w:hint="eastAsia" w:ascii="宋体" w:hAnsi="宋体" w:eastAsia="宋体" w:cs="宋体"/>
                <w:color w:val="auto"/>
                <w:sz w:val="28"/>
                <w:szCs w:val="28"/>
                <w:u w:val="single" w:color="000000"/>
              </w:rPr>
              <w:t xml:space="preserve">  </w:t>
            </w:r>
            <w:r>
              <w:rPr>
                <w:rFonts w:hint="eastAsia" w:ascii="宋体" w:hAnsi="宋体" w:eastAsia="宋体" w:cs="宋体"/>
                <w:color w:val="auto"/>
                <w:sz w:val="28"/>
                <w:szCs w:val="28"/>
              </w:rPr>
              <w:t xml:space="preserve"> </w:t>
            </w:r>
          </w:p>
        </w:tc>
      </w:tr>
      <w:tr w14:paraId="501AA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395" w:type="dxa"/>
            <w:vAlign w:val="center"/>
          </w:tcPr>
          <w:p w14:paraId="6A8ACBBC">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31.1</w:t>
            </w:r>
          </w:p>
        </w:tc>
        <w:tc>
          <w:tcPr>
            <w:tcW w:w="8115" w:type="dxa"/>
            <w:vAlign w:val="center"/>
          </w:tcPr>
          <w:p w14:paraId="34BD911F">
            <w:pPr>
              <w:snapToGrid w:val="0"/>
              <w:spacing w:line="360" w:lineRule="auto"/>
              <w:textAlignment w:val="baseline"/>
              <w:rPr>
                <w:rFonts w:hint="eastAsia" w:ascii="宋体" w:hAnsi="宋体" w:cs="宋体"/>
                <w:color w:val="auto"/>
                <w:sz w:val="28"/>
                <w:szCs w:val="28"/>
                <w:u w:val="single" w:color="000000"/>
                <w:lang w:val="en-US" w:eastAsia="zh-CN"/>
              </w:rPr>
            </w:pPr>
            <w:r>
              <w:rPr>
                <w:rFonts w:hint="eastAsia" w:ascii="宋体" w:hAnsi="宋体" w:eastAsia="宋体" w:cs="宋体"/>
                <w:color w:val="auto"/>
                <w:sz w:val="28"/>
                <w:szCs w:val="28"/>
              </w:rPr>
              <w:t>履约保证金金额：合同总价的</w:t>
            </w:r>
            <w:r>
              <w:rPr>
                <w:rFonts w:hint="eastAsia" w:ascii="宋体" w:hAnsi="宋体" w:eastAsia="宋体" w:cs="宋体"/>
                <w:color w:val="auto"/>
                <w:sz w:val="28"/>
                <w:szCs w:val="28"/>
                <w:u w:val="single" w:color="000000"/>
              </w:rPr>
              <w:t>　5%</w:t>
            </w:r>
            <w:r>
              <w:rPr>
                <w:rFonts w:hint="eastAsia" w:ascii="宋体" w:hAnsi="宋体" w:cs="宋体"/>
                <w:color w:val="auto"/>
                <w:sz w:val="28"/>
                <w:szCs w:val="28"/>
                <w:u w:val="single" w:color="000000"/>
                <w:lang w:eastAsia="zh-CN"/>
              </w:rPr>
              <w:t>（</w:t>
            </w:r>
            <w:r>
              <w:rPr>
                <w:rFonts w:hint="eastAsia" w:ascii="宋体" w:hAnsi="宋体" w:cs="宋体"/>
                <w:color w:val="auto"/>
                <w:sz w:val="28"/>
                <w:szCs w:val="28"/>
                <w:u w:val="single" w:color="000000"/>
                <w:lang w:val="en-US" w:eastAsia="zh-CN"/>
              </w:rPr>
              <w:t>具体以签订合同为准)</w:t>
            </w:r>
          </w:p>
          <w:p w14:paraId="7E61BAD1">
            <w:pPr>
              <w:snapToGrid w:val="0"/>
              <w:spacing w:line="360" w:lineRule="auto"/>
              <w:textAlignment w:val="baseline"/>
              <w:rPr>
                <w:rFonts w:hint="eastAsia" w:ascii="宋体" w:hAnsi="宋体" w:eastAsia="宋体" w:cs="宋体"/>
                <w:color w:val="auto"/>
                <w:sz w:val="28"/>
                <w:szCs w:val="28"/>
                <w:u w:val="single" w:color="000000"/>
              </w:rPr>
            </w:pPr>
            <w:r>
              <w:rPr>
                <w:rFonts w:hint="eastAsia" w:ascii="宋体" w:hAnsi="宋体" w:cs="宋体"/>
                <w:color w:val="auto"/>
                <w:sz w:val="28"/>
                <w:szCs w:val="28"/>
                <w:u w:val="single" w:color="000000"/>
                <w:lang w:val="en-US" w:eastAsia="zh-CN"/>
              </w:rPr>
              <w:t>(</w:t>
            </w:r>
            <w:r>
              <w:rPr>
                <w:rFonts w:hint="eastAsia" w:ascii="宋体" w:hAnsi="宋体" w:eastAsia="宋体" w:cs="宋体"/>
                <w:color w:val="auto"/>
                <w:sz w:val="28"/>
                <w:szCs w:val="28"/>
                <w:u w:val="single" w:color="000000"/>
              </w:rPr>
              <w:t>打入甲方账号）</w:t>
            </w:r>
          </w:p>
          <w:p w14:paraId="10B8A5CE">
            <w:pPr>
              <w:snapToGrid w:val="0"/>
              <w:spacing w:line="360" w:lineRule="auto"/>
              <w:textAlignment w:val="baseline"/>
              <w:rPr>
                <w:rFonts w:hint="eastAsia" w:ascii="宋体" w:hAnsi="宋体" w:eastAsia="宋体" w:cs="宋体"/>
                <w:color w:val="auto"/>
                <w:sz w:val="28"/>
                <w:szCs w:val="28"/>
                <w:u w:val="single" w:color="000000"/>
              </w:rPr>
            </w:pPr>
            <w:r>
              <w:rPr>
                <w:rFonts w:hint="eastAsia" w:ascii="宋体" w:hAnsi="宋体" w:eastAsia="宋体" w:cs="宋体"/>
                <w:color w:val="auto"/>
                <w:sz w:val="28"/>
                <w:szCs w:val="28"/>
              </w:rPr>
              <w:t xml:space="preserve">履约保证金形式：☑保函  ☑电汇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支票   ☑对公转账 </w:t>
            </w:r>
          </w:p>
          <w:p w14:paraId="55E1D5F6">
            <w:pPr>
              <w:snapToGrid w:val="0"/>
              <w:spacing w:line="360" w:lineRule="auto"/>
              <w:textAlignment w:val="baseline"/>
              <w:rPr>
                <w:rFonts w:hint="eastAsia" w:ascii="宋体" w:hAnsi="宋体" w:eastAsia="宋体" w:cs="宋体"/>
                <w:color w:val="auto"/>
                <w:sz w:val="28"/>
                <w:szCs w:val="28"/>
                <w:u w:val="single" w:color="000000"/>
              </w:rPr>
            </w:pPr>
            <w:r>
              <w:rPr>
                <w:rFonts w:hint="eastAsia" w:ascii="宋体" w:hAnsi="宋体" w:eastAsia="宋体" w:cs="宋体"/>
                <w:color w:val="auto"/>
                <w:sz w:val="28"/>
                <w:szCs w:val="28"/>
                <w:u w:val="single" w:color="000000"/>
              </w:rPr>
              <w:t>提交履约保证金的时间：签订合同前 5 日内</w:t>
            </w:r>
          </w:p>
        </w:tc>
      </w:tr>
      <w:tr w14:paraId="27950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95" w:type="dxa"/>
            <w:vAlign w:val="center"/>
          </w:tcPr>
          <w:p w14:paraId="6C8AC375">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32</w:t>
            </w:r>
          </w:p>
        </w:tc>
        <w:tc>
          <w:tcPr>
            <w:tcW w:w="8115" w:type="dxa"/>
            <w:vAlign w:val="center"/>
          </w:tcPr>
          <w:p w14:paraId="5CE24579">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成交服务费：</w:t>
            </w:r>
            <w:r>
              <w:rPr>
                <w:rFonts w:hint="eastAsia" w:ascii="宋体" w:hAnsi="宋体" w:eastAsia="宋体" w:cs="宋体"/>
                <w:color w:val="auto"/>
                <w:sz w:val="28"/>
                <w:szCs w:val="28"/>
                <w:u w:val="single"/>
                <w:lang w:val="en-US" w:eastAsia="zh-CN"/>
              </w:rPr>
              <w:t>采购代理服务费由中标（成交）单位一次性支付，以成交金额作为收费的计算基数，收取标准为1.5%</w:t>
            </w:r>
          </w:p>
          <w:p w14:paraId="0D41A21E">
            <w:pPr>
              <w:snapToGrid w:val="0"/>
              <w:spacing w:line="360" w:lineRule="auto"/>
              <w:ind w:left="900" w:hanging="1050" w:hangingChars="375"/>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支付形式：</w:t>
            </w:r>
            <w:r>
              <w:rPr>
                <w:rFonts w:hint="eastAsia" w:ascii="宋体" w:hAnsi="宋体" w:eastAsia="宋体" w:cs="宋体"/>
                <w:color w:val="auto"/>
                <w:sz w:val="28"/>
                <w:szCs w:val="28"/>
                <w:u w:val="single" w:color="000000"/>
              </w:rPr>
              <w:t xml:space="preserve"> 对公转账  </w:t>
            </w:r>
          </w:p>
          <w:p w14:paraId="140784E9">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支付时间：</w:t>
            </w:r>
            <w:r>
              <w:rPr>
                <w:rFonts w:hint="eastAsia" w:ascii="宋体" w:hAnsi="宋体" w:eastAsia="宋体" w:cs="宋体"/>
                <w:color w:val="auto"/>
                <w:sz w:val="28"/>
                <w:szCs w:val="28"/>
                <w:u w:val="single" w:color="000000"/>
              </w:rPr>
              <w:t xml:space="preserve"> 领取成交通知书时 </w:t>
            </w:r>
          </w:p>
        </w:tc>
      </w:tr>
      <w:tr w14:paraId="2C8EA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95" w:type="dxa"/>
            <w:vAlign w:val="center"/>
          </w:tcPr>
          <w:p w14:paraId="6DE08B29">
            <w:pPr>
              <w:snapToGrid w:val="0"/>
              <w:spacing w:line="360" w:lineRule="auto"/>
              <w:ind w:left="1080" w:leftChars="257" w:hanging="54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33.1</w:t>
            </w:r>
          </w:p>
        </w:tc>
        <w:tc>
          <w:tcPr>
            <w:tcW w:w="8115" w:type="dxa"/>
            <w:vAlign w:val="center"/>
          </w:tcPr>
          <w:p w14:paraId="5661F354">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本项目是否属于信用担保试点范围：</w:t>
            </w:r>
            <w:r>
              <w:rPr>
                <w:rFonts w:hint="eastAsia" w:ascii="宋体" w:hAnsi="宋体" w:eastAsia="宋体" w:cs="宋体"/>
                <w:color w:val="auto"/>
                <w:sz w:val="28"/>
                <w:szCs w:val="28"/>
                <w:u w:val="single" w:color="000000"/>
              </w:rPr>
              <w:t xml:space="preserve"> </w:t>
            </w:r>
            <w:r>
              <w:rPr>
                <w:rFonts w:hint="eastAsia" w:ascii="宋体" w:hAnsi="宋体" w:eastAsia="宋体" w:cs="宋体"/>
                <w:color w:val="auto"/>
                <w:sz w:val="28"/>
                <w:szCs w:val="28"/>
                <w:u w:val="single" w:color="000000"/>
                <w:lang w:val="en-US" w:eastAsia="zh-CN"/>
              </w:rPr>
              <w:t>是</w:t>
            </w:r>
            <w:r>
              <w:rPr>
                <w:rFonts w:hint="eastAsia" w:ascii="宋体" w:hAnsi="宋体" w:eastAsia="宋体" w:cs="宋体"/>
                <w:color w:val="auto"/>
                <w:sz w:val="28"/>
                <w:szCs w:val="28"/>
                <w:u w:val="single" w:color="000000"/>
              </w:rPr>
              <w:t xml:space="preserve"> </w:t>
            </w:r>
            <w:r>
              <w:rPr>
                <w:rFonts w:hint="eastAsia" w:ascii="宋体" w:hAnsi="宋体" w:eastAsia="宋体" w:cs="宋体"/>
                <w:color w:val="auto"/>
                <w:sz w:val="28"/>
                <w:szCs w:val="28"/>
              </w:rPr>
              <w:t xml:space="preserve"> </w:t>
            </w:r>
          </w:p>
        </w:tc>
      </w:tr>
    </w:tbl>
    <w:p w14:paraId="3895F7F1">
      <w:pPr>
        <w:spacing w:line="360" w:lineRule="auto"/>
        <w:rPr>
          <w:rFonts w:hint="eastAsia" w:ascii="宋体" w:hAnsi="宋体" w:eastAsia="宋体" w:cs="宋体"/>
          <w:color w:val="auto"/>
          <w:sz w:val="22"/>
          <w:szCs w:val="28"/>
        </w:rPr>
        <w:sectPr>
          <w:headerReference r:id="rId10" w:type="default"/>
          <w:footerReference r:id="rId11" w:type="default"/>
          <w:pgSz w:w="11905" w:h="16838"/>
          <w:pgMar w:top="1440" w:right="1800" w:bottom="1440" w:left="1800" w:header="851" w:footer="992" w:gutter="0"/>
          <w:pgNumType w:fmt="decimal"/>
          <w:cols w:space="0" w:num="1"/>
          <w:rtlGutter w:val="0"/>
          <w:docGrid w:linePitch="462" w:charSpace="0"/>
        </w:sectPr>
      </w:pPr>
      <w:bookmarkStart w:id="714" w:name="_Toc218935355"/>
      <w:bookmarkStart w:id="715" w:name="_Toc216582826"/>
      <w:bookmarkStart w:id="716" w:name="_Toc219175639"/>
    </w:p>
    <w:p w14:paraId="3DA4DE9E">
      <w:pPr>
        <w:pStyle w:val="2"/>
        <w:numPr>
          <w:ilvl w:val="0"/>
          <w:numId w:val="7"/>
        </w:numPr>
        <w:tabs>
          <w:tab w:val="left" w:pos="0"/>
        </w:tabs>
        <w:snapToGrid w:val="0"/>
        <w:spacing w:before="0" w:after="0" w:line="360" w:lineRule="auto"/>
        <w:jc w:val="center"/>
        <w:textAlignment w:val="baseline"/>
        <w:rPr>
          <w:rFonts w:hint="eastAsia" w:ascii="宋体" w:hAnsi="宋体" w:eastAsia="宋体" w:cs="宋体"/>
          <w:color w:val="auto"/>
          <w:sz w:val="36"/>
          <w:szCs w:val="21"/>
          <w:lang w:val="en-US" w:eastAsia="zh-CN"/>
        </w:rPr>
      </w:pPr>
      <w:bookmarkStart w:id="717" w:name="_Toc3807"/>
      <w:r>
        <w:rPr>
          <w:rFonts w:hint="eastAsia" w:ascii="宋体" w:hAnsi="宋体" w:eastAsia="宋体" w:cs="宋体"/>
          <w:color w:val="auto"/>
          <w:sz w:val="36"/>
          <w:szCs w:val="21"/>
          <w:lang w:val="en-US" w:eastAsia="zh-CN"/>
        </w:rPr>
        <w:t>采购需求</w:t>
      </w:r>
      <w:bookmarkEnd w:id="717"/>
    </w:p>
    <w:p w14:paraId="31556870">
      <w:pPr>
        <w:numPr>
          <w:ilvl w:val="0"/>
          <w:numId w:val="0"/>
        </w:numPr>
        <w:spacing w:line="360" w:lineRule="auto"/>
        <w:rPr>
          <w:rFonts w:hint="eastAsia" w:ascii="宋体" w:hAnsi="宋体" w:eastAsia="宋体" w:cs="宋体"/>
          <w:sz w:val="22"/>
          <w:szCs w:val="28"/>
          <w:lang w:val="en-US" w:eastAsia="zh-CN"/>
        </w:rPr>
      </w:pPr>
    </w:p>
    <w:p w14:paraId="1531AB01">
      <w:pPr>
        <w:keepNext w:val="0"/>
        <w:keepLines w:val="0"/>
        <w:widowControl/>
        <w:suppressLineNumbers w:val="0"/>
        <w:spacing w:line="360" w:lineRule="auto"/>
        <w:ind w:firstLine="560" w:firstLineChars="200"/>
        <w:jc w:val="left"/>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新建3条路，总长2380米。其中，合运路长781米，宽33米；联创路长784米，宽33米；捷运西路长815米，宽33米；绿化、管网及交通信号标牌等相关附属配套设施。.本项目施工图纸和工程量清单范围内所有内容监理。</w:t>
      </w:r>
    </w:p>
    <w:p w14:paraId="496D8C99">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监理服务商必须依照有关标准和法律法规以及建设方的需求， 本着科学、公正、严格、守信、守纪、守法的原则，以高度的责任心、丰富的项目管理和专业技术经验，对工程建设项目实施全面的、有重点的、精线条的监督管理，受建设方委托负责审核建设承包合同条款、控制工程进度和质量、进行成本核算，按期分段对工程验收，保证工程按期、高质量地完成，最终提交建设方满意的成果。</w:t>
      </w:r>
    </w:p>
    <w:p w14:paraId="4005DE0A">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bookmarkStart w:id="718" w:name="_Toc15856"/>
      <w:r>
        <w:rPr>
          <w:rFonts w:hint="eastAsia" w:ascii="宋体" w:hAnsi="宋体" w:eastAsia="宋体" w:cs="宋体"/>
          <w:color w:val="000000"/>
          <w:kern w:val="0"/>
          <w:sz w:val="28"/>
          <w:szCs w:val="28"/>
          <w:lang w:val="en-US" w:eastAsia="zh-CN" w:bidi="ar"/>
        </w:rPr>
        <w:t>（按本工程设计图纸、工程量清单</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编制说明及工程量清单全部内容施工的全过程监理服务 )</w:t>
      </w:r>
    </w:p>
    <w:p w14:paraId="1363D01E">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工期</w:t>
      </w:r>
      <w:r>
        <w:rPr>
          <w:rFonts w:hint="eastAsia" w:ascii="宋体" w:hAnsi="宋体" w:eastAsia="宋体" w:cs="宋体"/>
          <w:color w:val="000000"/>
          <w:kern w:val="0"/>
          <w:sz w:val="28"/>
          <w:szCs w:val="28"/>
          <w:lang w:val="en-US" w:eastAsia="zh-CN" w:bidi="ar"/>
        </w:rPr>
        <w:t>：按照施工承包人驻场自工程竣工验收止（具体以签订合同为准）。</w:t>
      </w:r>
    </w:p>
    <w:p w14:paraId="5A2EBC83">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二、服务规范要求</w:t>
      </w:r>
    </w:p>
    <w:p w14:paraId="20C51E11">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1、监理工作的实施</w:t>
      </w:r>
    </w:p>
    <w:p w14:paraId="58255302">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本工程的监理服务均须执行中华人民共和国国家标准及住房和城乡建设部颁发的有关建 筑工程、市政工程现行的规程、标准、规范、办法，以及住房和城乡建设部、新疆维吾尔自 治区住房和城乡建设行政主管部门下发的有关建设工程监理方面的文件规定。监理实施过程 中严格执行国家、自治区的各项规范、标准、规定和《建设工程监理规范》及《建设工程监理工作规程》。</w:t>
      </w:r>
    </w:p>
    <w:p w14:paraId="31B65463">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2、监理规划</w:t>
      </w:r>
    </w:p>
    <w:p w14:paraId="40F8EB43">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监理单位与采购人签订监理合同后，按照《建设工程监理规范》及《建设工程监理工作规程》的要求编制监理规划。</w:t>
      </w:r>
    </w:p>
    <w:p w14:paraId="731E535F">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3、监理机构职责</w:t>
      </w:r>
    </w:p>
    <w:p w14:paraId="03835D47">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监理单位公正、独立、自主地开展监理工作，维护采购人和承包单位的合法权益。承接 本工程的监理业务后未经采购人同意不得分包。</w:t>
      </w:r>
    </w:p>
    <w:p w14:paraId="660B2A62">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（一）质量标准</w:t>
      </w:r>
    </w:p>
    <w:p w14:paraId="3BE7EF1F">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服务质量标准：应符合我国国家有关技术规范和技术标准要求。</w:t>
      </w:r>
    </w:p>
    <w:p w14:paraId="5811F0BD">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（二）履约验收</w:t>
      </w:r>
    </w:p>
    <w:p w14:paraId="38AA60FA">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验收主体：喀什经济开发区城北加工产业发展服务中心及相关单位</w:t>
      </w:r>
    </w:p>
    <w:p w14:paraId="527D7260">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验收标准：符合国家标准、行业标准以及有关技术规范要求。 验收方式：自行验收</w:t>
      </w:r>
    </w:p>
    <w:p w14:paraId="3CAC3F6F">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技术履约验收内容：按照本项目磋商文件中“</w:t>
      </w:r>
      <w:r>
        <w:rPr>
          <w:rFonts w:hint="eastAsia" w:ascii="宋体" w:hAnsi="宋体" w:cs="宋体"/>
          <w:color w:val="000000"/>
          <w:kern w:val="0"/>
          <w:sz w:val="28"/>
          <w:szCs w:val="28"/>
          <w:lang w:val="en-US" w:eastAsia="zh-CN" w:bidi="ar"/>
        </w:rPr>
        <w:t>采购需求</w:t>
      </w:r>
      <w:r>
        <w:rPr>
          <w:rFonts w:hint="eastAsia" w:ascii="宋体" w:hAnsi="宋体" w:eastAsia="宋体" w:cs="宋体"/>
          <w:color w:val="000000"/>
          <w:kern w:val="0"/>
          <w:sz w:val="28"/>
          <w:szCs w:val="28"/>
          <w:lang w:val="en-US" w:eastAsia="zh-CN" w:bidi="ar"/>
        </w:rPr>
        <w:t xml:space="preserve"> ”及成交供应商响应文件进行验收。</w:t>
      </w:r>
    </w:p>
    <w:p w14:paraId="7225D262">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商务履约验收内容：按照本项目磋商文件中相关要求及成交供应商响应文件进行验收。</w:t>
      </w:r>
    </w:p>
    <w:p w14:paraId="224B738A">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履约验收标准：本项目严格按照《财政部关于进一步加强政府采购需求和履约验收管理 的指导意见》（财库〔2016〕205 号）等政府采购相关法律法规的要求进行验收。</w:t>
      </w:r>
    </w:p>
    <w:p w14:paraId="2239EFFC">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验收中发现供应商未达到服务质量标准或合同的规定，供应商必须及时免费提供达到标准的服务，并且承担由此给采购人造成的损失。</w:t>
      </w:r>
    </w:p>
    <w:p w14:paraId="54333522">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三、监理工作内容</w:t>
      </w:r>
    </w:p>
    <w:p w14:paraId="54BF7C05">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（1）收到工程设计文件后编制监理规划，并在第一次工地会议7天前报采购人。根据有关规定和监理工作需要，编制监理实施细则</w:t>
      </w:r>
    </w:p>
    <w:p w14:paraId="145ED571">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（2）熟悉工程设计文件，并参加由采购人主持的图纸会审和设计交底会议；</w:t>
      </w:r>
    </w:p>
    <w:p w14:paraId="44DCEAFA">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（3）参加由采购人主持的第一次工地会议；主持监理例会并根据工程需要主持或参加 专题会议；</w:t>
      </w:r>
    </w:p>
    <w:p w14:paraId="029CD85B">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（4）审查施工承包人提交的施工组织设计，重点审查其中的质量安全技术措施、专项 施工方案与工程建设强制性标准的符合性；</w:t>
      </w:r>
    </w:p>
    <w:p w14:paraId="6A8CCCF6">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（5）检查施工承包人工程质量、安全生产管理制度及组织机构和人员资格；</w:t>
      </w:r>
    </w:p>
    <w:p w14:paraId="6C2E3F43">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（6）检查施工承包人专职安全生产管理人员的配备情况；</w:t>
      </w:r>
    </w:p>
    <w:p w14:paraId="28590333">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（7）审查施工承包人提交的施工进度计划，核查承包人对施工进度计划的调整；</w:t>
      </w:r>
    </w:p>
    <w:p w14:paraId="2BB2D833">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（8）检查施工承包人的试验室；</w:t>
      </w:r>
    </w:p>
    <w:p w14:paraId="7A1970B1">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（9）审核施工分包人资质条件；</w:t>
      </w:r>
    </w:p>
    <w:p w14:paraId="54E109A6">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（10）查验施工承包人的施工测量放线成果；</w:t>
      </w:r>
    </w:p>
    <w:p w14:paraId="194CEE33">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（11）审查工程开工条件，对条件具备的签发开工令；</w:t>
      </w:r>
    </w:p>
    <w:p w14:paraId="5EB33A36">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（12）审查施工承包人报送的工程材料、构配件、设备质量证明文件的有效性和符合性，并按规定对用于工程的材料采取平行检验或见证取样方式进行抽检；</w:t>
      </w:r>
    </w:p>
    <w:p w14:paraId="0C307C09">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（13）审核施工承包人提交的工程款支付申请，签发或出具工程款支付证书， 并报采购人审核、批准；</w:t>
      </w:r>
    </w:p>
    <w:p w14:paraId="4C5C8468">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（14）在巡视、旁站和检验过程中，发现工程质量、施工安全存在事故隐患的，要求施 工承包人整改并报采购人；</w:t>
      </w:r>
    </w:p>
    <w:p w14:paraId="1F1C6AA0">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（15）经采购人同意，签发工程暂停令和复工令；</w:t>
      </w:r>
    </w:p>
    <w:p w14:paraId="4337BD1E">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（16）审查施工承包人提交的采用新材料、新工艺、新技术、新设备的论证材料及相关验收标准；</w:t>
      </w:r>
    </w:p>
    <w:p w14:paraId="7048946F">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（17）验收隐蔽工程、分部分项工程；</w:t>
      </w:r>
    </w:p>
    <w:p w14:paraId="21D8F932">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（18）审查施工承包人提交的工程变更申请，协调处理施工进度调整、费用索赔、合同 争议等事项；</w:t>
      </w:r>
    </w:p>
    <w:p w14:paraId="5340C9F1">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（19）审查施工承包人提交的竣工验收申请，编写工程质量评估报告；</w:t>
      </w:r>
    </w:p>
    <w:p w14:paraId="1F28578A">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（20）参加工程竣工验收，签署竣工验收意见；</w:t>
      </w:r>
    </w:p>
    <w:p w14:paraId="57983DCE">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（21）审查施工承包人提交的竣工结算申请并报采购人；</w:t>
      </w:r>
    </w:p>
    <w:p w14:paraId="506875A2">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（22）编制、整理工程监理归档文件并报采购人；</w:t>
      </w:r>
    </w:p>
    <w:p w14:paraId="6F3EBD5C">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（23）针对招标工程特点，配备必要监理设备及仪器。</w:t>
      </w:r>
    </w:p>
    <w:p w14:paraId="60F13511">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四、工程质量标准</w:t>
      </w:r>
    </w:p>
    <w:p w14:paraId="53C8B8A7">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满足国家和地方相关技术规范和标准要求。</w:t>
      </w:r>
    </w:p>
    <w:p w14:paraId="6FF2C3C6">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五、付款方式和服务地点</w:t>
      </w:r>
    </w:p>
    <w:p w14:paraId="48FB8F43">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（1）付款方式：具体按合同约定执行。</w:t>
      </w:r>
    </w:p>
    <w:p w14:paraId="7A77EC69">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（2）服务地点：采购人指定地点（具体以签订合同内容为准）</w:t>
      </w:r>
    </w:p>
    <w:p w14:paraId="72E1260D">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六、投标人资格要求：</w:t>
      </w:r>
    </w:p>
    <w:p w14:paraId="00CC359F">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1、投标人必须是中华人民共和国境内注册的，具有独立法人资格的企业；</w:t>
      </w:r>
    </w:p>
    <w:p w14:paraId="017D987D">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2、资质要求：</w:t>
      </w:r>
    </w:p>
    <w:p w14:paraId="7F502F21">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（1）投标人应当具备下列资质条件：具具备【市政公用工程监理专业乙级及以上资质】以上资质。</w:t>
      </w:r>
    </w:p>
    <w:p w14:paraId="57A3DA72">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3、总监理工程师的资格要求：</w:t>
      </w:r>
      <w:r>
        <w:rPr>
          <w:rFonts w:hint="eastAsia" w:ascii="宋体" w:hAnsi="宋体" w:cs="宋体"/>
          <w:color w:val="000000"/>
          <w:kern w:val="0"/>
          <w:sz w:val="28"/>
          <w:szCs w:val="28"/>
          <w:lang w:val="en-US" w:eastAsia="zh-CN" w:bidi="ar"/>
        </w:rPr>
        <w:t>市政</w:t>
      </w:r>
      <w:r>
        <w:rPr>
          <w:rFonts w:hint="eastAsia" w:ascii="宋体" w:hAnsi="宋体" w:eastAsia="宋体" w:cs="宋体"/>
          <w:color w:val="000000"/>
          <w:kern w:val="0"/>
          <w:sz w:val="28"/>
          <w:szCs w:val="28"/>
          <w:lang w:val="en-US" w:eastAsia="zh-CN" w:bidi="ar"/>
        </w:rPr>
        <w:t>专业注册监理工程师资格。</w:t>
      </w:r>
    </w:p>
    <w:p w14:paraId="585350BD">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总监理工程师为注册监理工程师，在投标单位注册；区外的总监理工程师已办理有效的区外进疆建筑企业信息报送相关手续；总监理工程师不得同时在两个及以上在建工程中担任总监理工程师并做出承诺。</w:t>
      </w:r>
    </w:p>
    <w:p w14:paraId="7C42DDE0">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4、监理机构及监理人员要求： (总监理工程师1人，</w:t>
      </w:r>
      <w:r>
        <w:rPr>
          <w:rFonts w:hint="eastAsia" w:ascii="宋体" w:hAnsi="宋体" w:cs="宋体"/>
          <w:color w:val="000000"/>
          <w:kern w:val="0"/>
          <w:sz w:val="28"/>
          <w:szCs w:val="28"/>
          <w:lang w:val="en-US" w:eastAsia="zh-CN" w:bidi="ar"/>
        </w:rPr>
        <w:t>设备</w:t>
      </w:r>
      <w:r>
        <w:rPr>
          <w:rFonts w:hint="eastAsia" w:ascii="宋体" w:hAnsi="宋体" w:eastAsia="宋体" w:cs="宋体"/>
          <w:color w:val="000000"/>
          <w:kern w:val="0"/>
          <w:sz w:val="28"/>
          <w:szCs w:val="28"/>
          <w:lang w:val="en-US" w:eastAsia="zh-CN" w:bidi="ar"/>
        </w:rPr>
        <w:t>监理工程师1人，</w:t>
      </w:r>
      <w:r>
        <w:rPr>
          <w:rFonts w:hint="eastAsia" w:ascii="宋体" w:hAnsi="宋体" w:cs="宋体"/>
          <w:color w:val="000000"/>
          <w:kern w:val="0"/>
          <w:sz w:val="28"/>
          <w:szCs w:val="28"/>
          <w:lang w:val="en-US" w:eastAsia="zh-CN" w:bidi="ar"/>
        </w:rPr>
        <w:t>安全监理</w:t>
      </w:r>
      <w:r>
        <w:rPr>
          <w:rFonts w:hint="eastAsia" w:ascii="宋体" w:hAnsi="宋体" w:eastAsia="宋体" w:cs="宋体"/>
          <w:color w:val="000000"/>
          <w:kern w:val="0"/>
          <w:sz w:val="28"/>
          <w:szCs w:val="28"/>
          <w:lang w:val="en-US" w:eastAsia="zh-CN" w:bidi="ar"/>
        </w:rPr>
        <w:t>工程师1 人，现场监理员</w:t>
      </w:r>
      <w:r>
        <w:rPr>
          <w:rFonts w:hint="eastAsia" w:ascii="宋体" w:hAnsi="宋体" w:cs="宋体"/>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人。） 在人员、设备、资金等方面具有承担本工程的能力。</w:t>
      </w:r>
    </w:p>
    <w:p w14:paraId="0407B00C">
      <w:pPr>
        <w:keepNext w:val="0"/>
        <w:keepLines w:val="0"/>
        <w:widowControl/>
        <w:suppressLineNumbers w:val="0"/>
        <w:spacing w:line="360" w:lineRule="auto"/>
        <w:ind w:firstLine="560" w:firstLineChars="200"/>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4.1专业监理工程师为具有工程类注册执业资格或具有中级及 以上专业技术职称、2 年及以上工程实践经验并具备监理培训证书，工程类注册执业资格在投标单位注册</w:t>
      </w:r>
      <w:r>
        <w:rPr>
          <w:rFonts w:hint="eastAsia" w:ascii="宋体" w:hAnsi="宋体" w:cs="宋体"/>
          <w:color w:val="000000"/>
          <w:kern w:val="0"/>
          <w:sz w:val="28"/>
          <w:szCs w:val="28"/>
          <w:lang w:val="en-US" w:eastAsia="zh-CN" w:bidi="ar"/>
        </w:rPr>
        <w:t>.；投标人在投标文件中确定的专业监理工程师为专职人员，拟担任本招标项目的专业监理工程师时，不得同时在其他项目担任监理职务。</w:t>
      </w:r>
    </w:p>
    <w:p w14:paraId="43B9A042">
      <w:pPr>
        <w:keepNext w:val="0"/>
        <w:keepLines w:val="0"/>
        <w:widowControl/>
        <w:suppressLineNumbers w:val="0"/>
        <w:spacing w:line="360" w:lineRule="auto"/>
        <w:ind w:firstLine="560" w:firstLineChars="200"/>
        <w:jc w:val="left"/>
        <w:rPr>
          <w:rFonts w:hint="eastAsia" w:ascii="宋体" w:hAnsi="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w:t>
      </w:r>
      <w:r>
        <w:rPr>
          <w:rFonts w:hint="eastAsia" w:ascii="宋体" w:hAnsi="宋体" w:cs="宋体"/>
          <w:color w:val="000000"/>
          <w:kern w:val="0"/>
          <w:sz w:val="28"/>
          <w:szCs w:val="28"/>
          <w:lang w:val="en-US" w:eastAsia="zh-CN" w:bidi="ar"/>
        </w:rPr>
        <w:t>2监理员同时具备中专及以上学历和监理培训证书。</w:t>
      </w:r>
    </w:p>
    <w:p w14:paraId="406AFC10">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4.3</w:t>
      </w:r>
      <w:r>
        <w:rPr>
          <w:rFonts w:hint="eastAsia" w:ascii="宋体" w:hAnsi="宋体" w:eastAsia="宋体" w:cs="宋体"/>
          <w:color w:val="000000"/>
          <w:kern w:val="0"/>
          <w:sz w:val="28"/>
          <w:szCs w:val="28"/>
          <w:lang w:val="en-US" w:eastAsia="zh-CN" w:bidi="ar"/>
        </w:rPr>
        <w:t>无法律、法规和规章禁止的其他情况</w:t>
      </w:r>
    </w:p>
    <w:p w14:paraId="29C945E5">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七</w:t>
      </w:r>
      <w:r>
        <w:rPr>
          <w:rFonts w:hint="eastAsia" w:ascii="宋体" w:hAnsi="宋体" w:eastAsia="宋体" w:cs="宋体"/>
          <w:color w:val="000000"/>
          <w:kern w:val="0"/>
          <w:sz w:val="28"/>
          <w:szCs w:val="28"/>
          <w:lang w:val="en-US" w:eastAsia="zh-CN" w:bidi="ar"/>
        </w:rPr>
        <w:t>、其他要求</w:t>
      </w:r>
    </w:p>
    <w:p w14:paraId="50648D97">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1、安全责任：供应商所提供的服务质量须达到采购单位要求，在保证服务期和服务质 量的前提下做好各项服务，服务中的一切风险（包括人员安全事故责任、与第三方的劳务纠 纷、项目实施过程中的劳务纠纷及人员伤害等）均由供应商一方承担责任。</w:t>
      </w:r>
    </w:p>
    <w:p w14:paraId="0B96282A">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中标人在执行本项目期限内，必须按投标时所报的人员进行作业，业务人员要按采购人要求提供业务服务等相关工作；如有特殊情况需要更换业务人员（业务人员需具备相应的资质），必须经采购人及监管部门同意后方可更换。</w:t>
      </w:r>
    </w:p>
    <w:p w14:paraId="5CC4A6FE">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3、供应商必须在响应文件中对以上条款和服务承诺明确列出，承诺内容必须达到本篇及磋商文件其他条款的要求。</w:t>
      </w:r>
    </w:p>
    <w:p w14:paraId="220FF46A">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4、其他未尽事宜由供需双方在采购合同中详细约定。</w:t>
      </w:r>
    </w:p>
    <w:p w14:paraId="068B6F78">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八、知识产权</w:t>
      </w:r>
    </w:p>
    <w:p w14:paraId="37964F72">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采购人在中华人民共和国境内使用供应商提供的服务时免受第三方提出的侵犯其专利权 或其它知识产权的起诉。如果第三方提出侵权指控，成交供应商应承担由此而引起的一切法律责任和费用。</w:t>
      </w:r>
    </w:p>
    <w:p w14:paraId="66D35E56">
      <w:pPr>
        <w:spacing w:line="360" w:lineRule="auto"/>
        <w:rPr>
          <w:rFonts w:hint="eastAsia" w:ascii="宋体" w:hAnsi="宋体" w:eastAsia="宋体" w:cs="宋体"/>
          <w:color w:val="auto"/>
          <w:sz w:val="22"/>
          <w:szCs w:val="28"/>
        </w:rPr>
      </w:pPr>
    </w:p>
    <w:p w14:paraId="064DD78A">
      <w:pPr>
        <w:spacing w:line="360" w:lineRule="auto"/>
        <w:rPr>
          <w:rFonts w:hint="eastAsia" w:ascii="宋体" w:hAnsi="宋体" w:eastAsia="宋体" w:cs="宋体"/>
          <w:color w:val="auto"/>
          <w:sz w:val="22"/>
          <w:szCs w:val="28"/>
        </w:rPr>
      </w:pPr>
    </w:p>
    <w:p w14:paraId="1757C464">
      <w:pPr>
        <w:spacing w:line="360" w:lineRule="auto"/>
        <w:rPr>
          <w:rFonts w:hint="eastAsia" w:ascii="宋体" w:hAnsi="宋体" w:eastAsia="宋体" w:cs="宋体"/>
          <w:color w:val="auto"/>
          <w:sz w:val="36"/>
          <w:szCs w:val="21"/>
          <w:lang w:eastAsia="zh-CN"/>
        </w:rPr>
      </w:pPr>
      <w:bookmarkStart w:id="719" w:name="_Toc20575"/>
      <w:r>
        <w:rPr>
          <w:rFonts w:hint="eastAsia" w:ascii="宋体" w:hAnsi="宋体" w:eastAsia="宋体" w:cs="宋体"/>
          <w:color w:val="auto"/>
          <w:sz w:val="36"/>
          <w:szCs w:val="21"/>
          <w:lang w:eastAsia="zh-CN"/>
        </w:rPr>
        <w:br w:type="page"/>
      </w:r>
    </w:p>
    <w:p w14:paraId="536256D1">
      <w:pPr>
        <w:pStyle w:val="2"/>
        <w:tabs>
          <w:tab w:val="left" w:pos="0"/>
        </w:tabs>
        <w:snapToGrid w:val="0"/>
        <w:spacing w:before="0" w:after="0" w:line="360" w:lineRule="auto"/>
        <w:textAlignment w:val="baseline"/>
        <w:rPr>
          <w:rFonts w:hint="eastAsia" w:ascii="宋体" w:hAnsi="宋体" w:eastAsia="宋体" w:cs="宋体"/>
          <w:b w:val="0"/>
          <w:color w:val="auto"/>
          <w:sz w:val="28"/>
          <w:szCs w:val="21"/>
        </w:rPr>
      </w:pPr>
      <w:r>
        <w:rPr>
          <w:rFonts w:hint="eastAsia" w:ascii="宋体" w:hAnsi="宋体" w:eastAsia="宋体" w:cs="宋体"/>
          <w:color w:val="auto"/>
          <w:sz w:val="36"/>
          <w:szCs w:val="21"/>
        </w:rPr>
        <w:t xml:space="preserve">第6章 </w:t>
      </w:r>
      <w:bookmarkStart w:id="720" w:name="_Toc507399907"/>
      <w:bookmarkStart w:id="721" w:name="_Toc7971"/>
      <w:bookmarkStart w:id="722" w:name="_Toc515647832"/>
      <w:bookmarkStart w:id="723" w:name="_Toc32647"/>
      <w:r>
        <w:rPr>
          <w:rFonts w:hint="eastAsia" w:ascii="宋体" w:hAnsi="宋体" w:eastAsia="宋体" w:cs="宋体"/>
          <w:color w:val="auto"/>
          <w:sz w:val="36"/>
          <w:szCs w:val="21"/>
        </w:rPr>
        <w:t>评审方法和标准</w:t>
      </w:r>
      <w:bookmarkEnd w:id="714"/>
      <w:bookmarkEnd w:id="715"/>
      <w:bookmarkEnd w:id="716"/>
      <w:bookmarkEnd w:id="718"/>
      <w:bookmarkEnd w:id="719"/>
      <w:bookmarkEnd w:id="720"/>
      <w:bookmarkEnd w:id="721"/>
      <w:bookmarkEnd w:id="722"/>
      <w:bookmarkEnd w:id="723"/>
    </w:p>
    <w:p w14:paraId="6A6685D1">
      <w:pPr>
        <w:pStyle w:val="13"/>
        <w:keepNext w:val="0"/>
        <w:keepLines w:val="0"/>
        <w:pageBreakBefore w:val="0"/>
        <w:kinsoku/>
        <w:wordWrap/>
        <w:overflowPunct/>
        <w:topLinePunct w:val="0"/>
        <w:bidi w:val="0"/>
        <w:snapToGrid w:val="0"/>
        <w:spacing w:before="0" w:beforeAutospacing="0" w:after="0" w:afterAutospacing="0" w:line="360" w:lineRule="auto"/>
        <w:ind w:firstLine="630" w:firstLineChars="225"/>
        <w:jc w:val="both"/>
        <w:textAlignment w:val="baseline"/>
        <w:rPr>
          <w:rFonts w:hint="eastAsia" w:ascii="宋体" w:hAnsi="宋体" w:eastAsia="宋体" w:cs="宋体"/>
          <w:b w:val="0"/>
          <w:i w:val="0"/>
          <w:caps w:val="0"/>
          <w:color w:val="auto"/>
          <w:spacing w:val="0"/>
          <w:w w:val="100"/>
          <w:sz w:val="28"/>
          <w:szCs w:val="28"/>
          <w:highlight w:val="none"/>
        </w:rPr>
      </w:pPr>
      <w:bookmarkStart w:id="724" w:name="_Toc15607"/>
      <w:bookmarkStart w:id="725" w:name="_Toc4729"/>
      <w:bookmarkStart w:id="726" w:name="_Toc18284"/>
      <w:bookmarkStart w:id="727" w:name="_Toc25450"/>
      <w:bookmarkStart w:id="728" w:name="_Toc11629"/>
      <w:bookmarkStart w:id="729" w:name="_Toc5480"/>
      <w:bookmarkStart w:id="730" w:name="_Toc5997"/>
      <w:bookmarkStart w:id="731" w:name="_Toc9048"/>
      <w:bookmarkStart w:id="732" w:name="_Toc3722"/>
      <w:bookmarkStart w:id="733" w:name="_Toc19292"/>
      <w:r>
        <w:rPr>
          <w:rFonts w:hint="eastAsia" w:ascii="宋体" w:hAnsi="宋体" w:eastAsia="宋体" w:cs="宋体"/>
          <w:b w:val="0"/>
          <w:i w:val="0"/>
          <w:caps w:val="0"/>
          <w:color w:val="auto"/>
          <w:spacing w:val="0"/>
          <w:w w:val="100"/>
          <w:sz w:val="28"/>
          <w:szCs w:val="28"/>
          <w:highlight w:val="none"/>
        </w:rPr>
        <w:t>本项目将按照磋商文件第一章供应商须知中“五 磋商开启及评审”、“六 确定成交”及本章的规定评标。</w:t>
      </w:r>
    </w:p>
    <w:p w14:paraId="08402B48">
      <w:pPr>
        <w:keepNext w:val="0"/>
        <w:keepLines w:val="0"/>
        <w:pageBreakBefore w:val="0"/>
        <w:shd w:val="clear" w:color="auto" w:fill="auto"/>
        <w:kinsoku/>
        <w:wordWrap/>
        <w:overflowPunct/>
        <w:topLinePunct w:val="0"/>
        <w:bidi w:val="0"/>
        <w:spacing w:line="360" w:lineRule="auto"/>
        <w:ind w:firstLine="281" w:firstLineChars="1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1、落实政府采购政策</w:t>
      </w:r>
    </w:p>
    <w:p w14:paraId="17CFB915">
      <w:pPr>
        <w:keepNext w:val="0"/>
        <w:keepLines w:val="0"/>
        <w:pageBreakBefore w:val="0"/>
        <w:widowControl/>
        <w:kinsoku/>
        <w:wordWrap/>
        <w:overflowPunct/>
        <w:topLinePunct w:val="0"/>
        <w:autoSpaceDE/>
        <w:autoSpaceDN/>
        <w:bidi w:val="0"/>
        <w:adjustRightInd/>
        <w:spacing w:line="360" w:lineRule="auto"/>
        <w:ind w:firstLine="562" w:firstLineChars="200"/>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①根据《政府采购促进中小企业发展管理办法》（财库﹝2020﹞46 号）</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关于落实好政府采购支持中小企业发展的通知</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新财购 〔2022〕22号</w:t>
      </w:r>
      <w:r>
        <w:rPr>
          <w:rFonts w:hint="eastAsia" w:ascii="宋体" w:hAnsi="宋体" w:eastAsia="宋体" w:cs="宋体"/>
          <w:b/>
          <w:bCs/>
          <w:color w:val="auto"/>
          <w:sz w:val="28"/>
          <w:szCs w:val="28"/>
          <w:lang w:eastAsia="zh-CN"/>
        </w:rPr>
        <w:t>）</w:t>
      </w:r>
      <w:r>
        <w:rPr>
          <w:rFonts w:hint="eastAsia" w:ascii="宋体" w:hAnsi="宋体" w:eastAsia="宋体" w:cs="宋体"/>
          <w:b/>
          <w:bCs/>
          <w:color w:val="auto"/>
          <w:kern w:val="2"/>
          <w:sz w:val="28"/>
          <w:szCs w:val="28"/>
          <w:highlight w:val="none"/>
          <w:lang w:val="en-US" w:eastAsia="zh-CN" w:bidi="ar-SA"/>
        </w:rPr>
        <w:t xml:space="preserve">、《财政部司法部关于政府采购支持监狱企业发展有关问题的通知》（财库〔2014〕68号）和《三部门联合发布关于促进残疾人就业政府采购政策的通知》（财库〔2017〕141号）的规定，其中小型、微型及小微企业在响应文件中提交了《中小企业声明函》、《残疾人福利性单位声明函》或省级以上监狱管理局、戒毒管理局（含新疆生产建设兵团）出具的属于监狱企业的证明文件的供应商，其报价扣除  </w:t>
      </w:r>
      <w:r>
        <w:rPr>
          <w:rFonts w:hint="eastAsia" w:ascii="宋体" w:hAnsi="宋体" w:eastAsia="宋体" w:cs="宋体"/>
          <w:b/>
          <w:bCs/>
          <w:color w:val="auto"/>
          <w:kern w:val="2"/>
          <w:sz w:val="28"/>
          <w:szCs w:val="28"/>
          <w:highlight w:val="none"/>
          <w:u w:val="single"/>
          <w:lang w:val="en-US" w:eastAsia="zh-CN" w:bidi="ar-SA"/>
        </w:rPr>
        <w:t xml:space="preserve">10  </w:t>
      </w:r>
      <w:r>
        <w:rPr>
          <w:rFonts w:hint="eastAsia" w:ascii="宋体" w:hAnsi="宋体" w:eastAsia="宋体" w:cs="宋体"/>
          <w:b/>
          <w:bCs/>
          <w:color w:val="auto"/>
          <w:kern w:val="2"/>
          <w:sz w:val="28"/>
          <w:szCs w:val="28"/>
          <w:highlight w:val="none"/>
          <w:lang w:val="en-US" w:eastAsia="zh-CN" w:bidi="ar-SA"/>
        </w:rPr>
        <w:t>%后参与评审。对于同时属于小型、微型及小微企业、监狱企业或残疾人福利性单位的，不重复进行报价扣除。</w:t>
      </w:r>
    </w:p>
    <w:p w14:paraId="402EB4A5">
      <w:pPr>
        <w:pStyle w:val="9"/>
        <w:keepNext w:val="0"/>
        <w:keepLines w:val="0"/>
        <w:pageBreakBefore w:val="0"/>
        <w:widowControl w:val="0"/>
        <w:kinsoku/>
        <w:wordWrap/>
        <w:overflowPunct/>
        <w:topLinePunct w:val="0"/>
        <w:bidi w:val="0"/>
        <w:snapToGrid w:val="0"/>
        <w:spacing w:before="0" w:beforeAutospacing="0" w:after="0" w:afterAutospacing="0" w:line="360" w:lineRule="auto"/>
        <w:ind w:firstLine="562" w:firstLineChars="200"/>
        <w:jc w:val="left"/>
        <w:textAlignment w:val="baseline"/>
        <w:rPr>
          <w:rFonts w:hint="eastAsia" w:ascii="宋体" w:hAnsi="宋体" w:eastAsia="宋体" w:cs="宋体"/>
          <w:b/>
          <w:bCs/>
          <w:i w:val="0"/>
          <w:caps w:val="0"/>
          <w:color w:val="auto"/>
          <w:spacing w:val="0"/>
          <w:w w:val="100"/>
          <w:sz w:val="28"/>
          <w:szCs w:val="28"/>
          <w:highlight w:val="none"/>
        </w:rPr>
      </w:pPr>
      <w:r>
        <w:rPr>
          <w:rFonts w:hint="eastAsia" w:ascii="宋体" w:hAnsi="宋体" w:eastAsia="宋体" w:cs="宋体"/>
          <w:b/>
          <w:bCs/>
          <w:i w:val="0"/>
          <w:caps w:val="0"/>
          <w:color w:val="auto"/>
          <w:spacing w:val="0"/>
          <w:w w:val="100"/>
          <w:sz w:val="28"/>
          <w:szCs w:val="28"/>
          <w:highlight w:val="none"/>
          <w:lang w:eastAsia="zh-CN"/>
        </w:rPr>
        <w:t>②</w:t>
      </w:r>
      <w:r>
        <w:rPr>
          <w:rFonts w:hint="eastAsia" w:ascii="宋体" w:hAnsi="宋体" w:eastAsia="宋体" w:cs="宋体"/>
          <w:b/>
          <w:bCs/>
          <w:i w:val="0"/>
          <w:caps w:val="0"/>
          <w:color w:val="auto"/>
          <w:spacing w:val="0"/>
          <w:w w:val="100"/>
          <w:sz w:val="28"/>
          <w:szCs w:val="28"/>
          <w:highlight w:val="none"/>
        </w:rPr>
        <w:t>联合协议中约定，小型、微型企业和监狱企业的协议合同金额占到联合体协议合同总金额40%以上的，可给予联合体4%~6%的价格扣除。（本项目不适用）</w:t>
      </w:r>
    </w:p>
    <w:p w14:paraId="21A63F45">
      <w:pPr>
        <w:pStyle w:val="9"/>
        <w:keepNext w:val="0"/>
        <w:keepLines w:val="0"/>
        <w:pageBreakBefore w:val="0"/>
        <w:widowControl w:val="0"/>
        <w:kinsoku/>
        <w:wordWrap/>
        <w:overflowPunct/>
        <w:topLinePunct w:val="0"/>
        <w:bidi w:val="0"/>
        <w:snapToGrid w:val="0"/>
        <w:spacing w:before="0" w:beforeAutospacing="0" w:after="0" w:afterAutospacing="0" w:line="360" w:lineRule="auto"/>
        <w:ind w:firstLine="0"/>
        <w:jc w:val="left"/>
        <w:textAlignment w:val="baseline"/>
        <w:rPr>
          <w:rFonts w:hint="eastAsia" w:ascii="宋体" w:hAnsi="宋体" w:eastAsia="宋体" w:cs="宋体"/>
          <w:b/>
          <w:bCs/>
          <w:i w:val="0"/>
          <w:caps w:val="0"/>
          <w:color w:val="auto"/>
          <w:spacing w:val="0"/>
          <w:w w:val="100"/>
          <w:sz w:val="28"/>
          <w:szCs w:val="28"/>
          <w:highlight w:val="none"/>
        </w:rPr>
      </w:pPr>
      <w:r>
        <w:rPr>
          <w:rFonts w:hint="eastAsia" w:ascii="宋体" w:hAnsi="宋体" w:eastAsia="宋体" w:cs="宋体"/>
          <w:b/>
          <w:bCs/>
          <w:i w:val="0"/>
          <w:caps w:val="0"/>
          <w:color w:val="auto"/>
          <w:spacing w:val="0"/>
          <w:w w:val="100"/>
          <w:sz w:val="28"/>
          <w:szCs w:val="28"/>
          <w:highlight w:val="none"/>
        </w:rPr>
        <w:t>联合体各方均为小型、微型企业和监狱企业的，联合体视同为小型、微型企业和监狱企业。</w:t>
      </w:r>
    </w:p>
    <w:p w14:paraId="3E93CA68">
      <w:pPr>
        <w:pStyle w:val="9"/>
        <w:keepNext w:val="0"/>
        <w:keepLines w:val="0"/>
        <w:pageBreakBefore w:val="0"/>
        <w:widowControl w:val="0"/>
        <w:kinsoku/>
        <w:wordWrap/>
        <w:overflowPunct/>
        <w:topLinePunct w:val="0"/>
        <w:bidi w:val="0"/>
        <w:snapToGrid w:val="0"/>
        <w:spacing w:before="0" w:beforeAutospacing="0" w:after="0" w:afterAutospacing="0" w:line="360" w:lineRule="auto"/>
        <w:ind w:firstLine="562" w:firstLineChars="200"/>
        <w:jc w:val="left"/>
        <w:textAlignment w:val="baseline"/>
        <w:rPr>
          <w:rFonts w:hint="eastAsia" w:ascii="宋体" w:hAnsi="宋体" w:eastAsia="宋体" w:cs="宋体"/>
          <w:b/>
          <w:bCs/>
          <w:i w:val="0"/>
          <w:caps w:val="0"/>
          <w:color w:val="auto"/>
          <w:spacing w:val="0"/>
          <w:w w:val="100"/>
          <w:sz w:val="28"/>
          <w:szCs w:val="28"/>
          <w:highlight w:val="none"/>
        </w:rPr>
      </w:pPr>
      <w:r>
        <w:rPr>
          <w:rFonts w:hint="eastAsia" w:ascii="宋体" w:hAnsi="宋体" w:eastAsia="宋体" w:cs="宋体"/>
          <w:b/>
          <w:bCs/>
          <w:i w:val="0"/>
          <w:caps w:val="0"/>
          <w:color w:val="auto"/>
          <w:spacing w:val="0"/>
          <w:w w:val="100"/>
          <w:sz w:val="28"/>
          <w:szCs w:val="28"/>
          <w:highlight w:val="none"/>
          <w:lang w:eastAsia="zh-CN"/>
        </w:rPr>
        <w:t>③</w:t>
      </w:r>
      <w:r>
        <w:rPr>
          <w:rFonts w:hint="eastAsia" w:ascii="宋体" w:hAnsi="宋体" w:eastAsia="宋体" w:cs="宋体"/>
          <w:b/>
          <w:bCs/>
          <w:i w:val="0"/>
          <w:caps w:val="0"/>
          <w:color w:val="auto"/>
          <w:spacing w:val="0"/>
          <w:w w:val="100"/>
          <w:sz w:val="28"/>
          <w:szCs w:val="28"/>
          <w:highlight w:val="none"/>
        </w:rPr>
        <w:t>供应商所投产品如被列入财政部与国家主管部门颁发的节能产品目录或环境标志产品目录或无线局域网产品目录，应提供相关证明，在评标时予以优先采购，具体优惠措施为：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w:t>
      </w:r>
      <w:r>
        <w:rPr>
          <w:rFonts w:hint="eastAsia" w:ascii="宋体" w:hAnsi="宋体" w:eastAsia="宋体" w:cs="宋体"/>
          <w:b/>
          <w:bCs/>
          <w:i w:val="0"/>
          <w:caps w:val="0"/>
          <w:color w:val="auto"/>
          <w:spacing w:val="0"/>
          <w:w w:val="100"/>
          <w:sz w:val="28"/>
          <w:szCs w:val="28"/>
          <w:highlight w:val="none"/>
          <w:lang w:eastAsia="zh-CN"/>
        </w:rPr>
        <w:t>扫描件</w:t>
      </w:r>
      <w:r>
        <w:rPr>
          <w:rFonts w:hint="eastAsia" w:ascii="宋体" w:hAnsi="宋体" w:eastAsia="宋体" w:cs="宋体"/>
          <w:b/>
          <w:bCs/>
          <w:i w:val="0"/>
          <w:caps w:val="0"/>
          <w:color w:val="auto"/>
          <w:spacing w:val="0"/>
          <w:w w:val="100"/>
          <w:sz w:val="28"/>
          <w:szCs w:val="28"/>
          <w:highlight w:val="none"/>
        </w:rPr>
        <w:t>加盖公章）。</w:t>
      </w:r>
    </w:p>
    <w:p w14:paraId="031F6388">
      <w:pPr>
        <w:pStyle w:val="9"/>
        <w:keepNext w:val="0"/>
        <w:keepLines w:val="0"/>
        <w:pageBreakBefore w:val="0"/>
        <w:widowControl w:val="0"/>
        <w:kinsoku/>
        <w:wordWrap/>
        <w:overflowPunct/>
        <w:topLinePunct w:val="0"/>
        <w:bidi w:val="0"/>
        <w:snapToGrid w:val="0"/>
        <w:spacing w:before="0" w:beforeAutospacing="0" w:after="0" w:afterAutospacing="0" w:line="360" w:lineRule="auto"/>
        <w:ind w:firstLine="562" w:firstLineChars="200"/>
        <w:jc w:val="left"/>
        <w:textAlignment w:val="baseline"/>
        <w:rPr>
          <w:rFonts w:hint="eastAsia" w:ascii="宋体" w:hAnsi="宋体" w:eastAsia="宋体" w:cs="宋体"/>
          <w:b/>
          <w:bCs/>
          <w:i w:val="0"/>
          <w:caps w:val="0"/>
          <w:color w:val="auto"/>
          <w:spacing w:val="0"/>
          <w:w w:val="100"/>
          <w:sz w:val="28"/>
          <w:szCs w:val="28"/>
          <w:highlight w:val="none"/>
        </w:rPr>
      </w:pPr>
      <w:r>
        <w:rPr>
          <w:rFonts w:hint="eastAsia" w:ascii="宋体" w:hAnsi="宋体" w:eastAsia="宋体" w:cs="宋体"/>
          <w:b/>
          <w:bCs/>
          <w:i w:val="0"/>
          <w:caps w:val="0"/>
          <w:color w:val="auto"/>
          <w:spacing w:val="0"/>
          <w:w w:val="100"/>
          <w:sz w:val="28"/>
          <w:szCs w:val="28"/>
          <w:highlight w:val="none"/>
          <w:lang w:eastAsia="zh-CN"/>
        </w:rPr>
        <w:t>④</w:t>
      </w:r>
      <w:r>
        <w:rPr>
          <w:rFonts w:hint="eastAsia" w:ascii="宋体" w:hAnsi="宋体" w:eastAsia="宋体" w:cs="宋体"/>
          <w:b/>
          <w:bCs/>
          <w:i w:val="0"/>
          <w:caps w:val="0"/>
          <w:color w:val="auto"/>
          <w:spacing w:val="0"/>
          <w:w w:val="100"/>
          <w:sz w:val="28"/>
          <w:szCs w:val="28"/>
          <w:highlight w:val="none"/>
        </w:rPr>
        <w:t>如采购人所采购产品为政府强制采购的节能产品，供应商所投产品的品牌及型号必须为清单中有效期内产品并提供证明文件，否则其投标将被认定为投标无效。</w:t>
      </w:r>
    </w:p>
    <w:p w14:paraId="173218F8">
      <w:pPr>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bCs/>
          <w:i w:val="0"/>
          <w:caps w:val="0"/>
          <w:color w:val="auto"/>
          <w:spacing w:val="0"/>
          <w:w w:val="100"/>
          <w:sz w:val="28"/>
          <w:szCs w:val="28"/>
          <w:highlight w:val="none"/>
          <w:lang w:eastAsia="zh-CN"/>
        </w:rPr>
        <w:t>⑤</w:t>
      </w:r>
      <w:r>
        <w:rPr>
          <w:rFonts w:hint="eastAsia" w:ascii="宋体" w:hAnsi="宋体" w:eastAsia="宋体" w:cs="宋体"/>
          <w:b/>
          <w:bCs/>
          <w:i w:val="0"/>
          <w:caps w:val="0"/>
          <w:color w:val="auto"/>
          <w:spacing w:val="0"/>
          <w:w w:val="100"/>
          <w:sz w:val="28"/>
          <w:szCs w:val="28"/>
          <w:highlight w:val="none"/>
        </w:rPr>
        <w:t>对创新产品或创新性企业的优惠措施为：</w:t>
      </w:r>
      <w:r>
        <w:rPr>
          <w:rFonts w:hint="eastAsia" w:ascii="宋体" w:hAnsi="宋体" w:eastAsia="宋体" w:cs="宋体"/>
          <w:b/>
          <w:bCs/>
          <w:i w:val="0"/>
          <w:caps w:val="0"/>
          <w:color w:val="auto"/>
          <w:spacing w:val="0"/>
          <w:w w:val="100"/>
          <w:sz w:val="28"/>
          <w:szCs w:val="28"/>
          <w:highlight w:val="none"/>
          <w:u w:val="single"/>
        </w:rPr>
        <w:t xml:space="preserve">    / </w:t>
      </w:r>
      <w:r>
        <w:rPr>
          <w:rFonts w:hint="eastAsia" w:ascii="宋体" w:hAnsi="宋体" w:eastAsia="宋体" w:cs="宋体"/>
          <w:b w:val="0"/>
          <w:color w:val="auto"/>
          <w:kern w:val="2"/>
          <w:sz w:val="28"/>
          <w:szCs w:val="28"/>
          <w:u w:val="single"/>
          <w:lang w:val="en-US" w:eastAsia="zh-CN" w:bidi="ar-SA"/>
        </w:rPr>
        <w:t xml:space="preserve">    </w:t>
      </w:r>
    </w:p>
    <w:p w14:paraId="4993063E">
      <w:pPr>
        <w:keepNext w:val="0"/>
        <w:keepLines w:val="0"/>
        <w:pageBreakBefore w:val="0"/>
        <w:shd w:val="clear" w:color="auto" w:fill="auto"/>
        <w:kinsoku/>
        <w:wordWrap/>
        <w:overflowPunct/>
        <w:topLinePunct w:val="0"/>
        <w:bidi w:val="0"/>
        <w:snapToGrid w:val="0"/>
        <w:spacing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 开标</w:t>
      </w:r>
    </w:p>
    <w:p w14:paraId="4FBD832F">
      <w:pPr>
        <w:keepNext w:val="0"/>
        <w:keepLines w:val="0"/>
        <w:pageBreakBefore w:val="0"/>
        <w:shd w:val="clear" w:color="auto" w:fill="auto"/>
        <w:kinsoku/>
        <w:wordWrap/>
        <w:overflowPunct/>
        <w:topLinePunct w:val="0"/>
        <w:bidi w:val="0"/>
        <w:snapToGrid w:val="0"/>
        <w:spacing w:line="360" w:lineRule="auto"/>
        <w:ind w:firstLine="562" w:firstLineChars="200"/>
        <w:rPr>
          <w:rFonts w:hint="eastAsia" w:ascii="宋体" w:hAnsi="宋体" w:eastAsia="宋体" w:cs="宋体"/>
          <w:b/>
          <w:bCs/>
          <w:color w:val="auto"/>
          <w:sz w:val="28"/>
          <w:szCs w:val="28"/>
          <w:highlight w:val="none"/>
          <w:lang w:val="en-US" w:eastAsia="zh-CN"/>
        </w:rPr>
      </w:pPr>
      <w:bookmarkStart w:id="734" w:name="_Toc73975822"/>
      <w:r>
        <w:rPr>
          <w:rFonts w:hint="eastAsia" w:ascii="宋体" w:hAnsi="宋体" w:eastAsia="宋体" w:cs="宋体"/>
          <w:b/>
          <w:bCs/>
          <w:color w:val="auto"/>
          <w:sz w:val="28"/>
          <w:szCs w:val="28"/>
          <w:highlight w:val="none"/>
          <w:lang w:val="en-US" w:eastAsia="zh-CN"/>
        </w:rPr>
        <w:t>2.1开标邀请</w:t>
      </w:r>
      <w:bookmarkEnd w:id="734"/>
    </w:p>
    <w:p w14:paraId="4EF23A75">
      <w:pPr>
        <w:pStyle w:val="19"/>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lang w:val="en-US" w:eastAsia="zh-CN"/>
        </w:rPr>
        <w:t>1</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开标准备：本项目开标的准备工作由采购组织机构负责落实，开标过程由采购组织机构负责记录；</w:t>
      </w:r>
    </w:p>
    <w:p w14:paraId="22D730F7">
      <w:pPr>
        <w:pStyle w:val="19"/>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lang w:val="en-US" w:eastAsia="zh-CN"/>
        </w:rPr>
        <w:t>2）</w:t>
      </w:r>
      <w:r>
        <w:rPr>
          <w:rFonts w:hint="eastAsia" w:ascii="宋体" w:hAnsi="宋体" w:eastAsia="宋体" w:cs="宋体"/>
          <w:b w:val="0"/>
          <w:bCs/>
          <w:color w:val="auto"/>
          <w:sz w:val="28"/>
          <w:szCs w:val="28"/>
          <w:highlight w:val="none"/>
        </w:rPr>
        <w:t>开标主持：本项目开标由采购人或者采购代理机构主持；</w:t>
      </w:r>
    </w:p>
    <w:p w14:paraId="2F1EAE5B">
      <w:pPr>
        <w:pStyle w:val="19"/>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lang w:eastAsia="zh-CN"/>
        </w:rPr>
        <w:t>（</w:t>
      </w:r>
      <w:r>
        <w:rPr>
          <w:rFonts w:hint="eastAsia" w:ascii="宋体" w:hAnsi="宋体" w:eastAsia="宋体" w:cs="宋体"/>
          <w:b w:val="0"/>
          <w:color w:val="auto"/>
          <w:sz w:val="28"/>
          <w:szCs w:val="28"/>
          <w:highlight w:val="none"/>
          <w:lang w:val="en-US" w:eastAsia="zh-CN"/>
        </w:rPr>
        <w:t>3</w:t>
      </w:r>
      <w:r>
        <w:rPr>
          <w:rFonts w:hint="eastAsia" w:ascii="宋体" w:hAnsi="宋体" w:eastAsia="宋体" w:cs="宋体"/>
          <w:b w:val="0"/>
          <w:color w:val="auto"/>
          <w:sz w:val="28"/>
          <w:szCs w:val="28"/>
          <w:highlight w:val="none"/>
          <w:lang w:eastAsia="zh-CN"/>
        </w:rPr>
        <w:t>）</w:t>
      </w:r>
      <w:r>
        <w:rPr>
          <w:rFonts w:hint="eastAsia" w:ascii="宋体" w:hAnsi="宋体" w:eastAsia="宋体" w:cs="宋体"/>
          <w:b w:val="0"/>
          <w:color w:val="auto"/>
          <w:sz w:val="28"/>
          <w:szCs w:val="28"/>
          <w:highlight w:val="none"/>
        </w:rPr>
        <w:t>开标邀请：本项目采用电子交易，采购组织机构将按照</w:t>
      </w:r>
      <w:r>
        <w:rPr>
          <w:rFonts w:hint="eastAsia" w:ascii="宋体" w:hAnsi="宋体" w:eastAsia="宋体" w:cs="宋体"/>
          <w:b w:val="0"/>
          <w:color w:val="auto"/>
          <w:sz w:val="28"/>
          <w:szCs w:val="28"/>
          <w:highlight w:val="none"/>
          <w:lang w:eastAsia="zh-CN"/>
        </w:rPr>
        <w:t>竞争性磋商文件</w:t>
      </w:r>
      <w:r>
        <w:rPr>
          <w:rFonts w:hint="eastAsia" w:ascii="宋体" w:hAnsi="宋体" w:eastAsia="宋体" w:cs="宋体"/>
          <w:b w:val="0"/>
          <w:color w:val="auto"/>
          <w:sz w:val="28"/>
          <w:szCs w:val="28"/>
          <w:highlight w:val="none"/>
        </w:rPr>
        <w:t>规定的时间通过“</w:t>
      </w:r>
      <w:r>
        <w:rPr>
          <w:rFonts w:hint="eastAsia" w:ascii="宋体" w:hAnsi="宋体" w:eastAsia="宋体" w:cs="宋体"/>
          <w:b w:val="0"/>
          <w:color w:val="auto"/>
          <w:sz w:val="28"/>
          <w:szCs w:val="28"/>
          <w:highlight w:val="none"/>
          <w:lang w:eastAsia="zh-CN"/>
        </w:rPr>
        <w:t>新疆</w:t>
      </w:r>
      <w:r>
        <w:rPr>
          <w:rFonts w:hint="eastAsia" w:ascii="宋体" w:hAnsi="宋体" w:eastAsia="宋体" w:cs="宋体"/>
          <w:b w:val="0"/>
          <w:color w:val="auto"/>
          <w:sz w:val="28"/>
          <w:szCs w:val="28"/>
          <w:highlight w:val="none"/>
        </w:rPr>
        <w:t>政府采购云平台，网址：</w:t>
      </w:r>
      <w:r>
        <w:rPr>
          <w:rFonts w:hint="eastAsia" w:ascii="宋体" w:hAnsi="宋体" w:eastAsia="宋体" w:cs="宋体"/>
          <w:b w:val="0"/>
          <w:color w:val="auto"/>
          <w:sz w:val="28"/>
          <w:szCs w:val="28"/>
          <w:highlight w:val="none"/>
        </w:rPr>
        <w:fldChar w:fldCharType="begin"/>
      </w:r>
      <w:r>
        <w:rPr>
          <w:rFonts w:hint="eastAsia" w:ascii="宋体" w:hAnsi="宋体" w:eastAsia="宋体" w:cs="宋体"/>
          <w:b w:val="0"/>
          <w:color w:val="auto"/>
          <w:sz w:val="28"/>
          <w:szCs w:val="28"/>
          <w:highlight w:val="none"/>
        </w:rPr>
        <w:instrText xml:space="preserve">HYPERLINK "http://www.zcygov.cn"</w:instrText>
      </w:r>
      <w:r>
        <w:rPr>
          <w:rFonts w:hint="eastAsia" w:ascii="宋体" w:hAnsi="宋体" w:eastAsia="宋体" w:cs="宋体"/>
          <w:b w:val="0"/>
          <w:color w:val="auto"/>
          <w:sz w:val="28"/>
          <w:szCs w:val="28"/>
          <w:highlight w:val="none"/>
        </w:rPr>
        <w:fldChar w:fldCharType="separate"/>
      </w:r>
      <w:r>
        <w:rPr>
          <w:rStyle w:val="51"/>
          <w:rFonts w:hint="eastAsia" w:ascii="宋体" w:hAnsi="宋体" w:eastAsia="宋体" w:cs="宋体"/>
          <w:b w:val="0"/>
          <w:color w:val="auto"/>
          <w:sz w:val="28"/>
          <w:szCs w:val="28"/>
          <w:highlight w:val="none"/>
          <w:u w:val="none"/>
        </w:rPr>
        <w:t>www.zcygov.cn</w:t>
      </w:r>
      <w:r>
        <w:rPr>
          <w:rFonts w:hint="eastAsia" w:ascii="宋体" w:hAnsi="宋体" w:eastAsia="宋体" w:cs="宋体"/>
          <w:color w:val="auto"/>
          <w:sz w:val="28"/>
          <w:szCs w:val="28"/>
          <w:highlight w:val="none"/>
        </w:rPr>
        <w:fldChar w:fldCharType="end"/>
      </w:r>
      <w:r>
        <w:rPr>
          <w:rFonts w:hint="eastAsia" w:ascii="宋体" w:hAnsi="宋体" w:eastAsia="宋体" w:cs="宋体"/>
          <w:b w:val="0"/>
          <w:color w:val="auto"/>
          <w:sz w:val="28"/>
          <w:szCs w:val="28"/>
          <w:highlight w:val="none"/>
        </w:rPr>
        <w:t>”组织开标、开启投标响应文件，所有供应商均应当准时在线参加。</w:t>
      </w:r>
    </w:p>
    <w:p w14:paraId="77D6FE89">
      <w:pPr>
        <w:pStyle w:val="19"/>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lang w:eastAsia="zh-CN"/>
        </w:rPr>
        <w:t>（</w:t>
      </w:r>
      <w:r>
        <w:rPr>
          <w:rFonts w:hint="eastAsia" w:ascii="宋体" w:hAnsi="宋体" w:eastAsia="宋体" w:cs="宋体"/>
          <w:b w:val="0"/>
          <w:color w:val="auto"/>
          <w:sz w:val="28"/>
          <w:szCs w:val="28"/>
          <w:highlight w:val="none"/>
          <w:lang w:val="en-US" w:eastAsia="zh-CN"/>
        </w:rPr>
        <w:t>4</w:t>
      </w:r>
      <w:r>
        <w:rPr>
          <w:rFonts w:hint="eastAsia" w:ascii="宋体" w:hAnsi="宋体" w:eastAsia="宋体" w:cs="宋体"/>
          <w:b w:val="0"/>
          <w:color w:val="auto"/>
          <w:sz w:val="28"/>
          <w:szCs w:val="28"/>
          <w:highlight w:val="none"/>
          <w:lang w:eastAsia="zh-CN"/>
        </w:rPr>
        <w:t>）</w:t>
      </w:r>
      <w:r>
        <w:rPr>
          <w:rFonts w:hint="eastAsia" w:ascii="宋体" w:hAnsi="宋体" w:eastAsia="宋体" w:cs="宋体"/>
          <w:b w:val="0"/>
          <w:color w:val="auto"/>
          <w:sz w:val="28"/>
          <w:szCs w:val="28"/>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w:t>
      </w:r>
      <w:r>
        <w:rPr>
          <w:rFonts w:hint="eastAsia" w:ascii="宋体" w:hAnsi="宋体" w:eastAsia="宋体" w:cs="宋体"/>
          <w:b w:val="0"/>
          <w:color w:val="auto"/>
          <w:sz w:val="28"/>
          <w:szCs w:val="28"/>
          <w:highlight w:val="none"/>
          <w:lang w:eastAsia="zh-CN"/>
        </w:rPr>
        <w:t>供应商</w:t>
      </w:r>
      <w:r>
        <w:rPr>
          <w:rFonts w:hint="eastAsia" w:ascii="宋体" w:hAnsi="宋体" w:eastAsia="宋体" w:cs="宋体"/>
          <w:b w:val="0"/>
          <w:color w:val="auto"/>
          <w:sz w:val="28"/>
          <w:szCs w:val="28"/>
          <w:highlight w:val="none"/>
        </w:rPr>
        <w:t>因未在线参加开标而导致</w:t>
      </w:r>
      <w:r>
        <w:rPr>
          <w:rFonts w:hint="eastAsia" w:ascii="宋体" w:hAnsi="宋体" w:eastAsia="宋体" w:cs="宋体"/>
          <w:b w:val="0"/>
          <w:color w:val="auto"/>
          <w:sz w:val="28"/>
          <w:szCs w:val="28"/>
          <w:highlight w:val="none"/>
          <w:lang w:eastAsia="zh-CN"/>
        </w:rPr>
        <w:t>响应文件</w:t>
      </w:r>
      <w:r>
        <w:rPr>
          <w:rFonts w:hint="eastAsia" w:ascii="宋体" w:hAnsi="宋体" w:eastAsia="宋体" w:cs="宋体"/>
          <w:b w:val="0"/>
          <w:color w:val="auto"/>
          <w:sz w:val="28"/>
          <w:szCs w:val="28"/>
          <w:highlight w:val="none"/>
        </w:rPr>
        <w:t>无法按时解密等一切后果由供应商自行承担。</w:t>
      </w:r>
    </w:p>
    <w:p w14:paraId="72E0B2F7">
      <w:pPr>
        <w:keepNext w:val="0"/>
        <w:keepLines w:val="0"/>
        <w:pageBreakBefore w:val="0"/>
        <w:shd w:val="clear" w:color="auto" w:fill="auto"/>
        <w:kinsoku/>
        <w:wordWrap/>
        <w:overflowPunct/>
        <w:topLinePunct w:val="0"/>
        <w:bidi w:val="0"/>
        <w:snapToGrid w:val="0"/>
        <w:spacing w:line="360" w:lineRule="auto"/>
        <w:ind w:firstLine="562" w:firstLineChars="200"/>
        <w:outlineLvl w:val="9"/>
        <w:rPr>
          <w:rFonts w:hint="eastAsia" w:ascii="宋体" w:hAnsi="宋体" w:eastAsia="宋体" w:cs="宋体"/>
          <w:b/>
          <w:color w:val="auto"/>
          <w:sz w:val="28"/>
          <w:szCs w:val="28"/>
          <w:highlight w:val="none"/>
        </w:rPr>
      </w:pPr>
      <w:bookmarkStart w:id="735" w:name="_Toc21384"/>
      <w:bookmarkStart w:id="736" w:name="_Toc73975823"/>
      <w:bookmarkStart w:id="737" w:name="_Toc32193"/>
      <w:bookmarkStart w:id="738" w:name="_Toc19065"/>
      <w:bookmarkStart w:id="739" w:name="_Toc27602"/>
      <w:bookmarkStart w:id="740" w:name="_Toc22653"/>
      <w:r>
        <w:rPr>
          <w:rFonts w:hint="eastAsia" w:ascii="宋体" w:hAnsi="宋体" w:eastAsia="宋体" w:cs="宋体"/>
          <w:b/>
          <w:color w:val="auto"/>
          <w:sz w:val="28"/>
          <w:szCs w:val="28"/>
          <w:highlight w:val="none"/>
          <w:lang w:val="en-US" w:eastAsia="zh-CN"/>
        </w:rPr>
        <w:t>2.2</w:t>
      </w:r>
      <w:r>
        <w:rPr>
          <w:rFonts w:hint="eastAsia" w:ascii="宋体" w:hAnsi="宋体" w:eastAsia="宋体" w:cs="宋体"/>
          <w:b/>
          <w:bCs/>
          <w:color w:val="auto"/>
          <w:sz w:val="28"/>
          <w:szCs w:val="28"/>
          <w:highlight w:val="none"/>
        </w:rPr>
        <w:t>开标程序（</w:t>
      </w:r>
      <w:r>
        <w:rPr>
          <w:rFonts w:hint="eastAsia" w:ascii="宋体" w:hAnsi="宋体" w:eastAsia="宋体" w:cs="宋体"/>
          <w:b/>
          <w:bCs/>
          <w:color w:val="auto"/>
          <w:sz w:val="28"/>
          <w:szCs w:val="28"/>
          <w:highlight w:val="none"/>
          <w:lang w:val="en-US" w:eastAsia="zh-CN"/>
        </w:rPr>
        <w:t>先资格性</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后符合性、最终报价、再商务</w:t>
      </w:r>
      <w:r>
        <w:rPr>
          <w:rFonts w:hint="eastAsia" w:ascii="宋体" w:hAnsi="宋体" w:eastAsia="宋体" w:cs="宋体"/>
          <w:b/>
          <w:bCs/>
          <w:color w:val="auto"/>
          <w:sz w:val="28"/>
          <w:szCs w:val="28"/>
          <w:highlight w:val="none"/>
        </w:rPr>
        <w:t>技术）</w:t>
      </w:r>
      <w:bookmarkEnd w:id="735"/>
      <w:bookmarkEnd w:id="736"/>
      <w:bookmarkEnd w:id="737"/>
      <w:bookmarkEnd w:id="738"/>
      <w:bookmarkEnd w:id="739"/>
      <w:bookmarkEnd w:id="740"/>
    </w:p>
    <w:p w14:paraId="24ACB862">
      <w:pPr>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开标时间到后，主持人宣布开标会议开始。</w:t>
      </w:r>
    </w:p>
    <w:p w14:paraId="5032B41D">
      <w:pPr>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kern w:val="0"/>
          <w:sz w:val="28"/>
          <w:szCs w:val="28"/>
          <w:highlight w:val="none"/>
          <w:lang w:eastAsia="zh-CN"/>
        </w:rPr>
        <w:t>响应文件</w:t>
      </w:r>
      <w:r>
        <w:rPr>
          <w:rFonts w:hint="eastAsia" w:ascii="宋体" w:hAnsi="宋体" w:eastAsia="宋体" w:cs="宋体"/>
          <w:color w:val="auto"/>
          <w:kern w:val="0"/>
          <w:sz w:val="28"/>
          <w:szCs w:val="28"/>
          <w:highlight w:val="none"/>
        </w:rPr>
        <w:t>解密（</w:t>
      </w:r>
      <w:r>
        <w:rPr>
          <w:rFonts w:hint="eastAsia" w:ascii="宋体" w:hAnsi="宋体" w:eastAsia="宋体" w:cs="宋体"/>
          <w:b/>
          <w:color w:val="auto"/>
          <w:kern w:val="0"/>
          <w:sz w:val="28"/>
          <w:szCs w:val="28"/>
          <w:highlight w:val="none"/>
        </w:rPr>
        <w:t>解密规定见《供应商须知前附表》</w:t>
      </w:r>
      <w:r>
        <w:rPr>
          <w:rFonts w:hint="eastAsia" w:ascii="宋体" w:hAnsi="宋体" w:eastAsia="宋体" w:cs="宋体"/>
          <w:color w:val="auto"/>
          <w:kern w:val="0"/>
          <w:sz w:val="28"/>
          <w:szCs w:val="28"/>
          <w:highlight w:val="none"/>
        </w:rPr>
        <w:t>）</w:t>
      </w:r>
      <w:r>
        <w:rPr>
          <w:rFonts w:hint="eastAsia" w:ascii="宋体" w:hAnsi="宋体" w:eastAsia="宋体" w:cs="宋体"/>
          <w:color w:val="auto"/>
          <w:sz w:val="28"/>
          <w:szCs w:val="28"/>
          <w:highlight w:val="none"/>
        </w:rPr>
        <w:t>。</w:t>
      </w:r>
    </w:p>
    <w:p w14:paraId="7CD6C897">
      <w:pPr>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kern w:val="0"/>
          <w:sz w:val="28"/>
          <w:szCs w:val="28"/>
          <w:highlight w:val="none"/>
          <w:lang w:eastAsia="zh-CN"/>
        </w:rPr>
        <w:t>响应文件</w:t>
      </w:r>
      <w:r>
        <w:rPr>
          <w:rFonts w:hint="eastAsia" w:ascii="宋体" w:hAnsi="宋体" w:eastAsia="宋体" w:cs="宋体"/>
          <w:color w:val="auto"/>
          <w:kern w:val="0"/>
          <w:sz w:val="28"/>
          <w:szCs w:val="28"/>
          <w:highlight w:val="none"/>
        </w:rPr>
        <w:t>解密异常情况处理（</w:t>
      </w:r>
      <w:r>
        <w:rPr>
          <w:rFonts w:hint="eastAsia" w:ascii="宋体" w:hAnsi="宋体" w:eastAsia="宋体" w:cs="宋体"/>
          <w:b/>
          <w:color w:val="auto"/>
          <w:kern w:val="0"/>
          <w:sz w:val="28"/>
          <w:szCs w:val="28"/>
          <w:highlight w:val="none"/>
        </w:rPr>
        <w:t>处理办法见《供应商须知前附表》</w:t>
      </w:r>
      <w:r>
        <w:rPr>
          <w:rFonts w:hint="eastAsia" w:ascii="宋体" w:hAnsi="宋体" w:eastAsia="宋体" w:cs="宋体"/>
          <w:color w:val="auto"/>
          <w:kern w:val="0"/>
          <w:sz w:val="28"/>
          <w:szCs w:val="28"/>
          <w:highlight w:val="none"/>
        </w:rPr>
        <w:t>）</w:t>
      </w:r>
      <w:r>
        <w:rPr>
          <w:rFonts w:hint="eastAsia" w:ascii="宋体" w:hAnsi="宋体" w:eastAsia="宋体" w:cs="宋体"/>
          <w:color w:val="auto"/>
          <w:sz w:val="28"/>
          <w:szCs w:val="28"/>
          <w:highlight w:val="none"/>
        </w:rPr>
        <w:t>。</w:t>
      </w:r>
    </w:p>
    <w:p w14:paraId="31765FD0">
      <w:pPr>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公布</w:t>
      </w:r>
      <w:r>
        <w:rPr>
          <w:rFonts w:hint="eastAsia" w:ascii="宋体" w:hAnsi="宋体" w:eastAsia="宋体" w:cs="宋体"/>
          <w:color w:val="auto"/>
          <w:kern w:val="0"/>
          <w:sz w:val="28"/>
          <w:szCs w:val="28"/>
          <w:highlight w:val="none"/>
          <w:lang w:eastAsia="zh-CN"/>
        </w:rPr>
        <w:t>响应文件</w:t>
      </w:r>
      <w:r>
        <w:rPr>
          <w:rFonts w:hint="eastAsia" w:ascii="宋体" w:hAnsi="宋体" w:eastAsia="宋体" w:cs="宋体"/>
          <w:color w:val="auto"/>
          <w:kern w:val="0"/>
          <w:sz w:val="28"/>
          <w:szCs w:val="28"/>
          <w:highlight w:val="none"/>
        </w:rPr>
        <w:t>解密情况（</w:t>
      </w:r>
      <w:r>
        <w:rPr>
          <w:rFonts w:hint="eastAsia" w:ascii="宋体" w:hAnsi="宋体" w:eastAsia="宋体" w:cs="宋体"/>
          <w:color w:val="auto"/>
          <w:kern w:val="0"/>
          <w:sz w:val="28"/>
          <w:szCs w:val="28"/>
          <w:highlight w:val="none"/>
          <w:lang w:eastAsia="zh-CN"/>
        </w:rPr>
        <w:t>响应文件</w:t>
      </w:r>
      <w:r>
        <w:rPr>
          <w:rFonts w:hint="eastAsia" w:ascii="宋体" w:hAnsi="宋体" w:eastAsia="宋体" w:cs="宋体"/>
          <w:color w:val="auto"/>
          <w:kern w:val="0"/>
          <w:sz w:val="28"/>
          <w:szCs w:val="28"/>
          <w:highlight w:val="none"/>
        </w:rPr>
        <w:t>成功解密的供应商名单等信息）</w:t>
      </w:r>
      <w:r>
        <w:rPr>
          <w:rFonts w:hint="eastAsia" w:ascii="宋体" w:hAnsi="宋体" w:eastAsia="宋体" w:cs="宋体"/>
          <w:color w:val="auto"/>
          <w:kern w:val="0"/>
          <w:sz w:val="28"/>
          <w:szCs w:val="28"/>
          <w:highlight w:val="none"/>
          <w:lang w:eastAsia="zh-CN"/>
        </w:rPr>
        <w:t>。</w:t>
      </w:r>
    </w:p>
    <w:p w14:paraId="164C57EA">
      <w:pPr>
        <w:keepNext w:val="0"/>
        <w:keepLines w:val="0"/>
        <w:pageBreakBefore w:val="0"/>
        <w:shd w:val="clear" w:color="auto" w:fill="auto"/>
        <w:kinsoku/>
        <w:wordWrap/>
        <w:overflowPunct/>
        <w:topLinePunct w:val="0"/>
        <w:bidi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开启标书信息（资格</w:t>
      </w:r>
      <w:r>
        <w:rPr>
          <w:rFonts w:hint="eastAsia" w:ascii="宋体" w:hAnsi="宋体" w:eastAsia="宋体" w:cs="宋体"/>
          <w:color w:val="auto"/>
          <w:kern w:val="0"/>
          <w:sz w:val="28"/>
          <w:szCs w:val="28"/>
          <w:highlight w:val="none"/>
          <w:lang w:eastAsia="zh-CN"/>
        </w:rPr>
        <w:t>证明</w:t>
      </w:r>
      <w:r>
        <w:rPr>
          <w:rFonts w:hint="eastAsia" w:ascii="宋体" w:hAnsi="宋体" w:eastAsia="宋体" w:cs="宋体"/>
          <w:color w:val="auto"/>
          <w:kern w:val="0"/>
          <w:sz w:val="28"/>
          <w:szCs w:val="28"/>
          <w:highlight w:val="none"/>
        </w:rPr>
        <w:t>文件、商务技术文件）。标书信息开启后，首先由采购人或采购代理机构</w:t>
      </w:r>
      <w:r>
        <w:rPr>
          <w:rFonts w:hint="eastAsia" w:ascii="宋体" w:hAnsi="宋体" w:eastAsia="宋体" w:cs="宋体"/>
          <w:color w:val="auto"/>
          <w:kern w:val="0"/>
          <w:sz w:val="28"/>
          <w:szCs w:val="28"/>
          <w:highlight w:val="none"/>
          <w:lang w:eastAsia="zh-CN"/>
        </w:rPr>
        <w:t>或评审小组</w:t>
      </w:r>
      <w:r>
        <w:rPr>
          <w:rFonts w:hint="eastAsia" w:ascii="宋体" w:hAnsi="宋体" w:eastAsia="宋体" w:cs="宋体"/>
          <w:color w:val="auto"/>
          <w:kern w:val="0"/>
          <w:sz w:val="28"/>
          <w:szCs w:val="28"/>
          <w:highlight w:val="none"/>
        </w:rPr>
        <w:t>依法对供应商的资格</w:t>
      </w:r>
      <w:r>
        <w:rPr>
          <w:rFonts w:hint="eastAsia" w:ascii="宋体" w:hAnsi="宋体" w:eastAsia="宋体" w:cs="宋体"/>
          <w:color w:val="auto"/>
          <w:kern w:val="0"/>
          <w:sz w:val="28"/>
          <w:szCs w:val="28"/>
          <w:highlight w:val="none"/>
          <w:lang w:eastAsia="zh-CN"/>
        </w:rPr>
        <w:t>证明</w:t>
      </w:r>
      <w:r>
        <w:rPr>
          <w:rFonts w:hint="eastAsia" w:ascii="宋体" w:hAnsi="宋体" w:eastAsia="宋体" w:cs="宋体"/>
          <w:color w:val="auto"/>
          <w:kern w:val="0"/>
          <w:sz w:val="28"/>
          <w:szCs w:val="28"/>
          <w:highlight w:val="none"/>
        </w:rPr>
        <w:t>文件进行审查， 审查结束公布供应商的资格符合情况。资格审查未获通过的供应商，其</w:t>
      </w:r>
      <w:r>
        <w:rPr>
          <w:rFonts w:hint="eastAsia" w:ascii="宋体" w:hAnsi="宋体" w:eastAsia="宋体" w:cs="宋体"/>
          <w:color w:val="auto"/>
          <w:kern w:val="0"/>
          <w:sz w:val="28"/>
          <w:szCs w:val="28"/>
          <w:highlight w:val="none"/>
          <w:lang w:eastAsia="zh-CN"/>
        </w:rPr>
        <w:t>符合性</w:t>
      </w:r>
      <w:r>
        <w:rPr>
          <w:rFonts w:hint="eastAsia" w:ascii="宋体" w:hAnsi="宋体" w:eastAsia="宋体" w:cs="宋体"/>
          <w:color w:val="auto"/>
          <w:kern w:val="0"/>
          <w:sz w:val="28"/>
          <w:szCs w:val="28"/>
          <w:highlight w:val="none"/>
        </w:rPr>
        <w:t>不再进入评审。</w:t>
      </w:r>
    </w:p>
    <w:p w14:paraId="209E6435">
      <w:pPr>
        <w:keepNext w:val="0"/>
        <w:keepLines w:val="0"/>
        <w:pageBreakBefore w:val="0"/>
        <w:shd w:val="clear" w:color="auto" w:fill="auto"/>
        <w:kinsoku/>
        <w:wordWrap/>
        <w:overflowPunct/>
        <w:topLinePunct w:val="0"/>
        <w:bidi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通过资格性审查的供应商，</w:t>
      </w:r>
      <w:r>
        <w:rPr>
          <w:rFonts w:hint="eastAsia" w:ascii="宋体" w:hAnsi="宋体" w:eastAsia="宋体" w:cs="宋体"/>
          <w:color w:val="auto"/>
          <w:kern w:val="0"/>
          <w:sz w:val="28"/>
          <w:szCs w:val="28"/>
          <w:highlight w:val="none"/>
          <w:lang w:eastAsia="zh-CN"/>
        </w:rPr>
        <w:t>评审小组</w:t>
      </w:r>
      <w:r>
        <w:rPr>
          <w:rFonts w:hint="eastAsia" w:ascii="宋体" w:hAnsi="宋体" w:eastAsia="宋体" w:cs="宋体"/>
          <w:color w:val="auto"/>
          <w:kern w:val="0"/>
          <w:sz w:val="28"/>
          <w:szCs w:val="28"/>
          <w:highlight w:val="none"/>
        </w:rPr>
        <w:t>依法对供应商的</w:t>
      </w:r>
      <w:r>
        <w:rPr>
          <w:rFonts w:hint="eastAsia" w:ascii="宋体" w:hAnsi="宋体" w:eastAsia="宋体" w:cs="宋体"/>
          <w:color w:val="auto"/>
          <w:kern w:val="0"/>
          <w:sz w:val="28"/>
          <w:szCs w:val="28"/>
          <w:highlight w:val="none"/>
          <w:lang w:eastAsia="zh-CN"/>
        </w:rPr>
        <w:t>符合性证明</w:t>
      </w:r>
      <w:r>
        <w:rPr>
          <w:rFonts w:hint="eastAsia" w:ascii="宋体" w:hAnsi="宋体" w:eastAsia="宋体" w:cs="宋体"/>
          <w:color w:val="auto"/>
          <w:kern w:val="0"/>
          <w:sz w:val="28"/>
          <w:szCs w:val="28"/>
          <w:highlight w:val="none"/>
        </w:rPr>
        <w:t>文件进行审查， 审查结束公布</w:t>
      </w:r>
      <w:r>
        <w:rPr>
          <w:rFonts w:hint="eastAsia" w:ascii="宋体" w:hAnsi="宋体" w:eastAsia="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的</w:t>
      </w:r>
      <w:r>
        <w:rPr>
          <w:rFonts w:hint="eastAsia" w:ascii="宋体" w:hAnsi="宋体" w:eastAsia="宋体" w:cs="宋体"/>
          <w:color w:val="auto"/>
          <w:kern w:val="0"/>
          <w:sz w:val="28"/>
          <w:szCs w:val="28"/>
          <w:highlight w:val="none"/>
          <w:lang w:val="en-US" w:eastAsia="zh-CN"/>
        </w:rPr>
        <w:t>符合性</w:t>
      </w:r>
      <w:r>
        <w:rPr>
          <w:rFonts w:hint="eastAsia" w:ascii="宋体" w:hAnsi="宋体" w:eastAsia="宋体" w:cs="宋体"/>
          <w:color w:val="auto"/>
          <w:kern w:val="0"/>
          <w:sz w:val="28"/>
          <w:szCs w:val="28"/>
          <w:highlight w:val="none"/>
        </w:rPr>
        <w:t>审查情况。</w:t>
      </w:r>
      <w:r>
        <w:rPr>
          <w:rFonts w:hint="eastAsia" w:ascii="宋体" w:hAnsi="宋体" w:eastAsia="宋体" w:cs="宋体"/>
          <w:color w:val="auto"/>
          <w:kern w:val="0"/>
          <w:sz w:val="28"/>
          <w:szCs w:val="28"/>
          <w:highlight w:val="none"/>
          <w:lang w:val="en-US" w:eastAsia="zh-CN"/>
        </w:rPr>
        <w:t>符合性</w:t>
      </w:r>
      <w:r>
        <w:rPr>
          <w:rFonts w:hint="eastAsia" w:ascii="宋体" w:hAnsi="宋体" w:eastAsia="宋体" w:cs="宋体"/>
          <w:color w:val="auto"/>
          <w:kern w:val="0"/>
          <w:sz w:val="28"/>
          <w:szCs w:val="28"/>
          <w:highlight w:val="none"/>
        </w:rPr>
        <w:t>审查未获通过的供应商，其</w:t>
      </w:r>
      <w:r>
        <w:rPr>
          <w:rFonts w:hint="eastAsia" w:ascii="宋体" w:hAnsi="宋体" w:eastAsia="宋体" w:cs="宋体"/>
          <w:color w:val="auto"/>
          <w:kern w:val="0"/>
          <w:sz w:val="28"/>
          <w:szCs w:val="28"/>
          <w:highlight w:val="none"/>
          <w:lang w:eastAsia="zh-CN"/>
        </w:rPr>
        <w:t>不再进入磋商环节</w:t>
      </w:r>
      <w:r>
        <w:rPr>
          <w:rFonts w:hint="eastAsia" w:ascii="宋体" w:hAnsi="宋体" w:eastAsia="宋体" w:cs="宋体"/>
          <w:color w:val="auto"/>
          <w:kern w:val="0"/>
          <w:sz w:val="28"/>
          <w:szCs w:val="28"/>
          <w:highlight w:val="none"/>
        </w:rPr>
        <w:t>。</w:t>
      </w:r>
    </w:p>
    <w:p w14:paraId="452A76B3">
      <w:pPr>
        <w:keepNext w:val="0"/>
        <w:keepLines w:val="0"/>
        <w:pageBreakBefore w:val="0"/>
        <w:kinsoku/>
        <w:wordWrap/>
        <w:overflowPunct/>
        <w:topLinePunct w:val="0"/>
        <w:bidi w:val="0"/>
        <w:spacing w:line="360" w:lineRule="auto"/>
        <w:ind w:firstLine="560" w:firstLineChars="200"/>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（7）通过符合性审查的供应商，评审小组所有成员集中于单一供应商分别进行磋商；</w:t>
      </w:r>
      <w:r>
        <w:rPr>
          <w:rFonts w:hint="eastAsia" w:ascii="宋体" w:hAnsi="宋体" w:eastAsia="宋体" w:cs="宋体"/>
          <w:color w:val="auto"/>
          <w:sz w:val="28"/>
          <w:szCs w:val="28"/>
          <w:lang w:val="en-US" w:eastAsia="zh-CN"/>
        </w:rPr>
        <w:t>并给予所有参加磋商的供应商平等的磋商机会。在磋商中，磋商的任何一方不得透露与磋商有关的其他供应商的技术资料、价格和其他信息。磋商文件有实质性变动的，磋商小组应当以书面</w:t>
      </w:r>
      <w:r>
        <w:rPr>
          <w:rFonts w:hint="eastAsia" w:ascii="宋体" w:hAnsi="宋体" w:eastAsia="宋体" w:cs="宋体"/>
          <w:color w:val="auto"/>
          <w:kern w:val="0"/>
          <w:sz w:val="28"/>
          <w:szCs w:val="28"/>
          <w:highlight w:val="none"/>
          <w:lang w:val="en-US" w:eastAsia="zh-CN"/>
        </w:rPr>
        <w:t>形式通知所有参加磋商的供应商。</w:t>
      </w:r>
    </w:p>
    <w:p w14:paraId="783043A6">
      <w:pPr>
        <w:keepNext w:val="0"/>
        <w:keepLines w:val="0"/>
        <w:pageBreakBefore w:val="0"/>
        <w:shd w:val="clear" w:color="auto" w:fill="auto"/>
        <w:kinsoku/>
        <w:wordWrap/>
        <w:overflowPunct/>
        <w:topLinePunct w:val="0"/>
        <w:bidi w:val="0"/>
        <w:snapToGri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（8）磋商结束后，磋商小组应当要求所有实质性响应的供应商在规定时间内提交最终报，</w:t>
      </w:r>
      <w:r>
        <w:rPr>
          <w:rFonts w:hint="eastAsia" w:ascii="宋体" w:hAnsi="宋体" w:eastAsia="宋体" w:cs="宋体"/>
          <w:color w:val="auto"/>
          <w:sz w:val="28"/>
          <w:szCs w:val="28"/>
          <w:highlight w:val="none"/>
          <w:lang w:bidi="zh-CN"/>
        </w:rPr>
        <w:t>供应商对开标纪录进行在线签字确认（不予确认的应说明理由，否则视为无异议）</w:t>
      </w:r>
      <w:r>
        <w:rPr>
          <w:rFonts w:hint="eastAsia" w:ascii="宋体" w:hAnsi="宋体" w:eastAsia="宋体" w:cs="宋体"/>
          <w:color w:val="auto"/>
          <w:kern w:val="0"/>
          <w:sz w:val="28"/>
          <w:szCs w:val="28"/>
          <w:highlight w:val="none"/>
        </w:rPr>
        <w:t>。开标结束后，由评标委员会对报价的合理性、准确性等进行审查核实</w:t>
      </w:r>
      <w:r>
        <w:rPr>
          <w:rFonts w:hint="eastAsia" w:ascii="宋体" w:hAnsi="宋体" w:eastAsia="宋体" w:cs="宋体"/>
          <w:color w:val="auto"/>
          <w:sz w:val="28"/>
          <w:szCs w:val="28"/>
          <w:highlight w:val="none"/>
        </w:rPr>
        <w:t>。</w:t>
      </w:r>
    </w:p>
    <w:p w14:paraId="6F2CD594">
      <w:pPr>
        <w:keepNext w:val="0"/>
        <w:keepLines w:val="0"/>
        <w:pageBreakBefore w:val="0"/>
        <w:shd w:val="clear" w:color="auto" w:fill="auto"/>
        <w:kinsoku/>
        <w:wordWrap/>
        <w:overflowPunct/>
        <w:topLinePunct w:val="0"/>
        <w:bidi w:val="0"/>
        <w:snapToGrid w:val="0"/>
        <w:spacing w:line="360" w:lineRule="auto"/>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kern w:val="0"/>
          <w:sz w:val="28"/>
          <w:szCs w:val="28"/>
          <w:highlight w:val="none"/>
          <w:lang w:val="en-US" w:eastAsia="zh-CN"/>
        </w:rPr>
        <w:t>（9）最终报价结束后，</w:t>
      </w:r>
      <w:r>
        <w:rPr>
          <w:rFonts w:hint="eastAsia" w:ascii="宋体" w:hAnsi="宋体" w:eastAsia="宋体" w:cs="宋体"/>
          <w:color w:val="auto"/>
          <w:kern w:val="0"/>
          <w:sz w:val="28"/>
          <w:szCs w:val="28"/>
          <w:highlight w:val="none"/>
          <w:lang w:eastAsia="zh-CN"/>
        </w:rPr>
        <w:t>评审小组</w:t>
      </w:r>
      <w:r>
        <w:rPr>
          <w:rFonts w:hint="eastAsia" w:ascii="宋体" w:hAnsi="宋体" w:eastAsia="宋体" w:cs="宋体"/>
          <w:color w:val="auto"/>
          <w:kern w:val="0"/>
          <w:sz w:val="28"/>
          <w:szCs w:val="28"/>
          <w:highlight w:val="none"/>
        </w:rPr>
        <w:t>依法对</w:t>
      </w:r>
      <w:r>
        <w:rPr>
          <w:rFonts w:hint="eastAsia" w:ascii="宋体" w:hAnsi="宋体" w:eastAsia="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的</w:t>
      </w:r>
      <w:r>
        <w:rPr>
          <w:rFonts w:hint="eastAsia" w:ascii="宋体" w:hAnsi="宋体" w:eastAsia="宋体" w:cs="宋体"/>
          <w:color w:val="auto"/>
          <w:kern w:val="0"/>
          <w:sz w:val="28"/>
          <w:szCs w:val="28"/>
          <w:highlight w:val="none"/>
          <w:lang w:eastAsia="zh-CN"/>
        </w:rPr>
        <w:t>商务</w:t>
      </w:r>
      <w:r>
        <w:rPr>
          <w:rFonts w:hint="eastAsia" w:ascii="宋体" w:hAnsi="宋体" w:eastAsia="宋体" w:cs="宋体"/>
          <w:color w:val="auto"/>
          <w:kern w:val="0"/>
          <w:sz w:val="28"/>
          <w:szCs w:val="28"/>
          <w:highlight w:val="none"/>
          <w:lang w:val="en-US" w:eastAsia="zh-CN"/>
        </w:rPr>
        <w:t>技术</w:t>
      </w:r>
      <w:r>
        <w:rPr>
          <w:rFonts w:hint="eastAsia" w:ascii="宋体" w:hAnsi="宋体" w:eastAsia="宋体" w:cs="宋体"/>
          <w:color w:val="auto"/>
          <w:kern w:val="0"/>
          <w:sz w:val="28"/>
          <w:szCs w:val="28"/>
          <w:highlight w:val="none"/>
        </w:rPr>
        <w:t>进行</w:t>
      </w:r>
      <w:r>
        <w:rPr>
          <w:rFonts w:hint="eastAsia" w:ascii="宋体" w:hAnsi="宋体" w:eastAsia="宋体" w:cs="宋体"/>
          <w:color w:val="auto"/>
          <w:kern w:val="0"/>
          <w:sz w:val="28"/>
          <w:szCs w:val="28"/>
          <w:highlight w:val="none"/>
          <w:lang w:val="en-US" w:eastAsia="zh-CN"/>
        </w:rPr>
        <w:t>评分</w:t>
      </w:r>
      <w:r>
        <w:rPr>
          <w:rFonts w:hint="eastAsia" w:ascii="宋体" w:hAnsi="宋体" w:eastAsia="宋体" w:cs="宋体"/>
          <w:color w:val="auto"/>
          <w:kern w:val="0"/>
          <w:sz w:val="28"/>
          <w:szCs w:val="28"/>
          <w:highlight w:val="none"/>
          <w:lang w:eastAsia="zh-CN"/>
        </w:rPr>
        <w:t>。</w:t>
      </w:r>
    </w:p>
    <w:p w14:paraId="6F13E2BA">
      <w:pPr>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kern w:val="0"/>
          <w:sz w:val="28"/>
          <w:szCs w:val="28"/>
          <w:highlight w:val="none"/>
        </w:rPr>
        <w:t>评审结束后，采购代理机构在系统上公布评审结果。</w:t>
      </w:r>
    </w:p>
    <w:p w14:paraId="7244FA15">
      <w:pPr>
        <w:keepNext w:val="0"/>
        <w:keepLines w:val="0"/>
        <w:pageBreakBefore w:val="0"/>
        <w:shd w:val="clear" w:color="auto" w:fill="auto"/>
        <w:kinsoku/>
        <w:wordWrap/>
        <w:overflowPunct/>
        <w:topLinePunct w:val="0"/>
        <w:bidi w:val="0"/>
        <w:snapToGrid w:val="0"/>
        <w:spacing w:line="360" w:lineRule="auto"/>
        <w:ind w:left="48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特别情况说明：</w:t>
      </w:r>
    </w:p>
    <w:p w14:paraId="250C61BD">
      <w:pPr>
        <w:keepNext w:val="0"/>
        <w:keepLines w:val="0"/>
        <w:pageBreakBefore w:val="0"/>
        <w:shd w:val="clear" w:color="auto" w:fill="auto"/>
        <w:kinsoku/>
        <w:wordWrap/>
        <w:overflowPunct/>
        <w:topLinePunct w:val="0"/>
        <w:bidi w:val="0"/>
        <w:snapToGrid w:val="0"/>
        <w:spacing w:line="360" w:lineRule="auto"/>
        <w:ind w:firstLine="498" w:firstLineChars="177"/>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（1）本项目采用电子交易，如遇“</w:t>
      </w:r>
      <w:r>
        <w:rPr>
          <w:rFonts w:hint="eastAsia" w:ascii="宋体" w:hAnsi="宋体" w:eastAsia="宋体" w:cs="宋体"/>
          <w:b/>
          <w:color w:val="auto"/>
          <w:kern w:val="0"/>
          <w:sz w:val="28"/>
          <w:szCs w:val="28"/>
          <w:highlight w:val="none"/>
          <w:lang w:eastAsia="zh-CN"/>
        </w:rPr>
        <w:t>新疆</w:t>
      </w:r>
      <w:r>
        <w:rPr>
          <w:rFonts w:hint="eastAsia" w:ascii="宋体" w:hAnsi="宋体" w:eastAsia="宋体" w:cs="宋体"/>
          <w:b/>
          <w:color w:val="auto"/>
          <w:kern w:val="0"/>
          <w:sz w:val="28"/>
          <w:szCs w:val="28"/>
          <w:highlight w:val="none"/>
        </w:rPr>
        <w:t>政府采购云平台”电子化开标或评审程序调整的，按调整后程序执行。</w:t>
      </w:r>
    </w:p>
    <w:p w14:paraId="688B2FCC">
      <w:pPr>
        <w:keepNext w:val="0"/>
        <w:keepLines w:val="0"/>
        <w:pageBreakBefore w:val="0"/>
        <w:shd w:val="clear" w:color="auto" w:fill="auto"/>
        <w:kinsoku/>
        <w:wordWrap/>
        <w:overflowPunct/>
        <w:topLinePunct w:val="0"/>
        <w:bidi w:val="0"/>
        <w:snapToGrid w:val="0"/>
        <w:spacing w:line="360" w:lineRule="auto"/>
        <w:ind w:firstLine="498" w:firstLineChars="177"/>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8"/>
          <w:szCs w:val="28"/>
          <w:highlight w:val="none"/>
          <w:u w:val="single"/>
        </w:rPr>
        <w:t>请供应商保证办理投标事宜人员电话畅通、网络在线，签字或盖章确认的时间为</w:t>
      </w:r>
      <w:r>
        <w:rPr>
          <w:rFonts w:hint="eastAsia" w:ascii="宋体" w:hAnsi="宋体" w:eastAsia="宋体" w:cs="宋体"/>
          <w:b/>
          <w:color w:val="auto"/>
          <w:kern w:val="0"/>
          <w:sz w:val="28"/>
          <w:szCs w:val="28"/>
          <w:highlight w:val="none"/>
          <w:u w:val="single"/>
          <w:lang w:val="en-US" w:eastAsia="zh-CN"/>
        </w:rPr>
        <w:t>3</w:t>
      </w:r>
      <w:r>
        <w:rPr>
          <w:rFonts w:hint="eastAsia" w:ascii="宋体" w:hAnsi="宋体" w:eastAsia="宋体" w:cs="宋体"/>
          <w:b/>
          <w:color w:val="auto"/>
          <w:kern w:val="0"/>
          <w:sz w:val="28"/>
          <w:szCs w:val="28"/>
          <w:highlight w:val="none"/>
          <w:u w:val="single"/>
        </w:rPr>
        <w:t>0分钟。如未及时签字或盖章确认的，视为无异议</w:t>
      </w:r>
      <w:r>
        <w:rPr>
          <w:rFonts w:hint="eastAsia" w:ascii="宋体" w:hAnsi="宋体" w:eastAsia="宋体" w:cs="宋体"/>
          <w:b/>
          <w:color w:val="auto"/>
          <w:kern w:val="0"/>
          <w:sz w:val="28"/>
          <w:szCs w:val="28"/>
          <w:highlight w:val="none"/>
        </w:rPr>
        <w:t>。</w:t>
      </w:r>
    </w:p>
    <w:p w14:paraId="381153BF">
      <w:pPr>
        <w:keepNext w:val="0"/>
        <w:keepLines w:val="0"/>
        <w:pageBreakBefore w:val="0"/>
        <w:shd w:val="clear" w:color="auto" w:fill="auto"/>
        <w:kinsoku/>
        <w:wordWrap/>
        <w:overflowPunct/>
        <w:topLinePunct w:val="0"/>
        <w:bidi w:val="0"/>
        <w:snapToGrid w:val="0"/>
        <w:spacing w:line="360" w:lineRule="auto"/>
        <w:ind w:firstLine="562" w:firstLineChars="20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2.3</w:t>
      </w:r>
      <w:r>
        <w:rPr>
          <w:rFonts w:hint="eastAsia" w:ascii="宋体" w:hAnsi="宋体" w:eastAsia="宋体" w:cs="宋体"/>
          <w:b/>
          <w:color w:val="auto"/>
          <w:kern w:val="0"/>
          <w:sz w:val="28"/>
          <w:szCs w:val="28"/>
          <w:highlight w:val="none"/>
        </w:rPr>
        <w:t xml:space="preserve"> </w:t>
      </w:r>
      <w:r>
        <w:rPr>
          <w:rFonts w:hint="eastAsia" w:ascii="宋体" w:hAnsi="宋体" w:eastAsia="宋体" w:cs="宋体"/>
          <w:b/>
          <w:color w:val="auto"/>
          <w:kern w:val="0"/>
          <w:sz w:val="28"/>
          <w:szCs w:val="28"/>
          <w:highlight w:val="none"/>
          <w:lang w:eastAsia="zh-CN"/>
        </w:rPr>
        <w:t>供应商</w:t>
      </w:r>
      <w:r>
        <w:rPr>
          <w:rFonts w:hint="eastAsia" w:ascii="宋体" w:hAnsi="宋体" w:eastAsia="宋体" w:cs="宋体"/>
          <w:b/>
          <w:color w:val="auto"/>
          <w:kern w:val="0"/>
          <w:sz w:val="28"/>
          <w:szCs w:val="28"/>
          <w:highlight w:val="none"/>
        </w:rPr>
        <w:t>资格审查：</w:t>
      </w:r>
    </w:p>
    <w:p w14:paraId="79DF17E1">
      <w:pPr>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kern w:val="0"/>
          <w:sz w:val="28"/>
          <w:szCs w:val="28"/>
          <w:highlight w:val="none"/>
        </w:rPr>
        <w:t>开标（标书信息开启）后，采购人或采购代理机构</w:t>
      </w:r>
      <w:r>
        <w:rPr>
          <w:rFonts w:hint="eastAsia" w:ascii="宋体" w:hAnsi="宋体" w:eastAsia="宋体" w:cs="宋体"/>
          <w:bCs/>
          <w:color w:val="auto"/>
          <w:kern w:val="0"/>
          <w:sz w:val="28"/>
          <w:szCs w:val="28"/>
          <w:highlight w:val="none"/>
          <w:lang w:eastAsia="zh-CN"/>
        </w:rPr>
        <w:t>或</w:t>
      </w:r>
      <w:r>
        <w:rPr>
          <w:rFonts w:hint="eastAsia" w:ascii="宋体" w:hAnsi="宋体" w:eastAsia="宋体" w:cs="宋体"/>
          <w:color w:val="auto"/>
          <w:kern w:val="0"/>
          <w:sz w:val="28"/>
          <w:szCs w:val="28"/>
          <w:highlight w:val="none"/>
          <w:lang w:eastAsia="zh-CN"/>
        </w:rPr>
        <w:t>评审小组</w:t>
      </w:r>
      <w:r>
        <w:rPr>
          <w:rFonts w:hint="eastAsia" w:ascii="宋体" w:hAnsi="宋体" w:eastAsia="宋体" w:cs="宋体"/>
          <w:bCs/>
          <w:color w:val="auto"/>
          <w:kern w:val="0"/>
          <w:sz w:val="28"/>
          <w:szCs w:val="28"/>
          <w:highlight w:val="none"/>
        </w:rPr>
        <w:t>首先依法对</w:t>
      </w:r>
      <w:r>
        <w:rPr>
          <w:rFonts w:hint="eastAsia" w:ascii="宋体" w:hAnsi="宋体" w:eastAsia="宋体" w:cs="宋体"/>
          <w:bCs/>
          <w:color w:val="auto"/>
          <w:kern w:val="0"/>
          <w:sz w:val="28"/>
          <w:szCs w:val="28"/>
          <w:highlight w:val="none"/>
          <w:lang w:eastAsia="zh-CN"/>
        </w:rPr>
        <w:t>供应商</w:t>
      </w:r>
      <w:r>
        <w:rPr>
          <w:rFonts w:hint="eastAsia" w:ascii="宋体" w:hAnsi="宋体" w:eastAsia="宋体" w:cs="宋体"/>
          <w:bCs/>
          <w:color w:val="auto"/>
          <w:kern w:val="0"/>
          <w:sz w:val="28"/>
          <w:szCs w:val="28"/>
          <w:highlight w:val="none"/>
        </w:rPr>
        <w:t>的资格文件进行审查，审查各</w:t>
      </w:r>
      <w:r>
        <w:rPr>
          <w:rFonts w:hint="eastAsia" w:ascii="宋体" w:hAnsi="宋体" w:eastAsia="宋体" w:cs="宋体"/>
          <w:bCs/>
          <w:color w:val="auto"/>
          <w:kern w:val="0"/>
          <w:sz w:val="28"/>
          <w:szCs w:val="28"/>
          <w:highlight w:val="none"/>
          <w:lang w:eastAsia="zh-CN"/>
        </w:rPr>
        <w:t>供应商</w:t>
      </w:r>
      <w:r>
        <w:rPr>
          <w:rFonts w:hint="eastAsia" w:ascii="宋体" w:hAnsi="宋体" w:eastAsia="宋体" w:cs="宋体"/>
          <w:bCs/>
          <w:color w:val="auto"/>
          <w:kern w:val="0"/>
          <w:sz w:val="28"/>
          <w:szCs w:val="28"/>
          <w:highlight w:val="none"/>
        </w:rPr>
        <w:t>的资格符合情况。</w:t>
      </w:r>
      <w:r>
        <w:rPr>
          <w:rFonts w:hint="eastAsia" w:ascii="宋体" w:hAnsi="宋体" w:eastAsia="宋体" w:cs="宋体"/>
          <w:color w:val="auto"/>
          <w:sz w:val="28"/>
          <w:szCs w:val="28"/>
          <w:highlight w:val="none"/>
        </w:rPr>
        <w:t>采购人或采购代理机构</w:t>
      </w:r>
      <w:r>
        <w:rPr>
          <w:rFonts w:hint="eastAsia" w:ascii="宋体" w:hAnsi="宋体" w:eastAsia="宋体" w:cs="宋体"/>
          <w:bCs/>
          <w:color w:val="auto"/>
          <w:kern w:val="0"/>
          <w:sz w:val="28"/>
          <w:szCs w:val="28"/>
          <w:highlight w:val="none"/>
          <w:lang w:eastAsia="zh-CN"/>
        </w:rPr>
        <w:t>或</w:t>
      </w:r>
      <w:r>
        <w:rPr>
          <w:rFonts w:hint="eastAsia" w:ascii="宋体" w:hAnsi="宋体" w:eastAsia="宋体" w:cs="宋体"/>
          <w:color w:val="auto"/>
          <w:kern w:val="0"/>
          <w:sz w:val="28"/>
          <w:szCs w:val="28"/>
          <w:highlight w:val="none"/>
          <w:lang w:eastAsia="zh-CN"/>
        </w:rPr>
        <w:t>评审小组</w:t>
      </w:r>
      <w:r>
        <w:rPr>
          <w:rFonts w:hint="eastAsia" w:ascii="宋体" w:hAnsi="宋体" w:eastAsia="宋体" w:cs="宋体"/>
          <w:color w:val="auto"/>
          <w:sz w:val="28"/>
          <w:szCs w:val="28"/>
          <w:highlight w:val="none"/>
        </w:rPr>
        <w:t>对</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所提交的资格证明材料仅负审核的责任。如发现</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所提交的资格证明材料不合法或与事实不符，采购人可取消其中标</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资格并追究</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的法律责任。</w:t>
      </w:r>
    </w:p>
    <w:p w14:paraId="46AFBDE1">
      <w:pPr>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b w:val="0"/>
          <w:bCs/>
          <w:color w:val="auto"/>
          <w:sz w:val="28"/>
          <w:szCs w:val="28"/>
          <w:highlight w:val="none"/>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提交的资格证明材料无法证明其符合</w:t>
      </w:r>
      <w:r>
        <w:rPr>
          <w:rFonts w:hint="eastAsia" w:ascii="宋体" w:hAnsi="宋体" w:eastAsia="宋体" w:cs="宋体"/>
          <w:color w:val="auto"/>
          <w:sz w:val="28"/>
          <w:szCs w:val="28"/>
          <w:highlight w:val="none"/>
          <w:lang w:eastAsia="zh-CN"/>
        </w:rPr>
        <w:t>竞争性磋商文件</w:t>
      </w:r>
      <w:r>
        <w:rPr>
          <w:rFonts w:hint="eastAsia" w:ascii="宋体" w:hAnsi="宋体" w:eastAsia="宋体" w:cs="宋体"/>
          <w:color w:val="auto"/>
          <w:sz w:val="28"/>
          <w:szCs w:val="28"/>
          <w:highlight w:val="none"/>
        </w:rPr>
        <w:t>规定的“</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资格要求”的，采购人或采购代理机构将对其作“资格审查不合格”处理（无效投标），并不再将其投标提交评标委员会进行后续评审。</w:t>
      </w:r>
    </w:p>
    <w:p w14:paraId="6AD949EF">
      <w:pPr>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（3）供应商信用记录查询与使用：见《供应商须知前附表》。</w:t>
      </w:r>
    </w:p>
    <w:p w14:paraId="4F1F97D8">
      <w:pPr>
        <w:keepNext w:val="0"/>
        <w:keepLines w:val="0"/>
        <w:pageBreakBefore w:val="0"/>
        <w:shd w:val="clear" w:color="auto" w:fill="auto"/>
        <w:kinsoku/>
        <w:wordWrap/>
        <w:overflowPunct/>
        <w:topLinePunct w:val="0"/>
        <w:bidi w:val="0"/>
        <w:snapToGrid w:val="0"/>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评审工作的组织</w:t>
      </w:r>
    </w:p>
    <w:p w14:paraId="02B2BA32">
      <w:pPr>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采购人或采购代理机构负责组织本项目的评审工作，并依据《政府采购货物和服务招标投标管理办法（财政部第87号令）》第四十五条的相关规定履行职责。</w:t>
      </w:r>
    </w:p>
    <w:p w14:paraId="26524FA1">
      <w:pPr>
        <w:keepNext w:val="0"/>
        <w:keepLines w:val="0"/>
        <w:pageBreakBefore w:val="0"/>
        <w:shd w:val="clear" w:color="auto" w:fill="auto"/>
        <w:kinsoku/>
        <w:wordWrap/>
        <w:overflowPunct/>
        <w:topLinePunct w:val="0"/>
        <w:bidi w:val="0"/>
        <w:snapToGrid w:val="0"/>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评标委员会的组建</w:t>
      </w:r>
    </w:p>
    <w:p w14:paraId="566280B1">
      <w:pPr>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.1评标委员会由采购人或采购代理机构依法组建，成员由采购人代表和评审专家组成，成员人数为</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人或以上单数，其中评审专家不少于成员总数的三分之二。</w:t>
      </w:r>
    </w:p>
    <w:p w14:paraId="5B510474">
      <w:pPr>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.2</w:t>
      </w:r>
      <w:r>
        <w:rPr>
          <w:rFonts w:hint="eastAsia" w:ascii="宋体" w:hAnsi="宋体" w:eastAsia="宋体" w:cs="宋体"/>
          <w:b/>
          <w:bCs/>
          <w:color w:val="auto"/>
          <w:sz w:val="28"/>
          <w:szCs w:val="28"/>
        </w:rPr>
        <w:t>按照《中华人民共和国政府采购法》、《中华人民共和国政府采购法实施条例》及本项目本级和上级财政部门的有关规定依法在政采云平台</w:t>
      </w:r>
      <w:r>
        <w:rPr>
          <w:rFonts w:hint="eastAsia" w:ascii="宋体" w:hAnsi="宋体" w:eastAsia="宋体" w:cs="宋体"/>
          <w:b/>
          <w:bCs/>
          <w:color w:val="auto"/>
          <w:sz w:val="28"/>
          <w:szCs w:val="28"/>
          <w:lang w:eastAsia="zh-CN"/>
        </w:rPr>
        <w:t>随机</w:t>
      </w:r>
      <w:r>
        <w:rPr>
          <w:rFonts w:hint="eastAsia" w:ascii="宋体" w:hAnsi="宋体" w:eastAsia="宋体" w:cs="宋体"/>
          <w:b/>
          <w:bCs/>
          <w:color w:val="auto"/>
          <w:sz w:val="28"/>
          <w:szCs w:val="28"/>
        </w:rPr>
        <w:t>抽取，组成</w:t>
      </w:r>
      <w:r>
        <w:rPr>
          <w:rFonts w:hint="eastAsia" w:ascii="宋体" w:hAnsi="宋体" w:eastAsia="宋体" w:cs="宋体"/>
          <w:b/>
          <w:bCs/>
          <w:color w:val="auto"/>
          <w:sz w:val="28"/>
          <w:szCs w:val="28"/>
          <w:lang w:eastAsia="zh-CN"/>
        </w:rPr>
        <w:t>磋商</w:t>
      </w:r>
      <w:r>
        <w:rPr>
          <w:rFonts w:hint="eastAsia" w:ascii="宋体" w:hAnsi="宋体" w:eastAsia="宋体" w:cs="宋体"/>
          <w:b/>
          <w:bCs/>
          <w:color w:val="auto"/>
          <w:sz w:val="28"/>
          <w:szCs w:val="28"/>
        </w:rPr>
        <w:t>小组，负责评审工作</w:t>
      </w:r>
      <w:r>
        <w:rPr>
          <w:rFonts w:hint="eastAsia" w:ascii="宋体" w:hAnsi="宋体" w:eastAsia="宋体" w:cs="宋体"/>
          <w:color w:val="auto"/>
          <w:sz w:val="28"/>
          <w:szCs w:val="28"/>
          <w:highlight w:val="none"/>
        </w:rPr>
        <w:t>。</w:t>
      </w:r>
    </w:p>
    <w:p w14:paraId="55F7ECD6">
      <w:pPr>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color w:val="auto"/>
          <w:sz w:val="22"/>
          <w:szCs w:val="28"/>
        </w:rPr>
      </w:pPr>
      <w:r>
        <w:rPr>
          <w:rFonts w:hint="eastAsia" w:ascii="宋体" w:hAnsi="宋体" w:eastAsia="宋体" w:cs="宋体"/>
          <w:b w:val="0"/>
          <w:color w:val="auto"/>
          <w:kern w:val="2"/>
          <w:sz w:val="28"/>
          <w:szCs w:val="28"/>
          <w:highlight w:val="none"/>
          <w:u w:val="none"/>
          <w:lang w:val="en-US" w:eastAsia="zh-CN" w:bidi="ar-SA"/>
        </w:rPr>
        <w:t xml:space="preserve">4.3磋商小组成员随机抽取的有关方面的专家 </w:t>
      </w:r>
      <w:r>
        <w:rPr>
          <w:rFonts w:hint="eastAsia" w:ascii="宋体" w:hAnsi="宋体" w:cs="宋体"/>
          <w:b w:val="0"/>
          <w:color w:val="auto"/>
          <w:kern w:val="2"/>
          <w:sz w:val="28"/>
          <w:szCs w:val="28"/>
          <w:highlight w:val="none"/>
          <w:u w:val="none"/>
          <w:lang w:val="en-US" w:eastAsia="zh-CN" w:bidi="ar-SA"/>
        </w:rPr>
        <w:t>3</w:t>
      </w:r>
      <w:r>
        <w:rPr>
          <w:rFonts w:hint="eastAsia" w:ascii="宋体" w:hAnsi="宋体" w:eastAsia="宋体" w:cs="宋体"/>
          <w:b w:val="0"/>
          <w:color w:val="auto"/>
          <w:kern w:val="2"/>
          <w:sz w:val="28"/>
          <w:szCs w:val="28"/>
          <w:highlight w:val="none"/>
          <w:u w:val="none"/>
          <w:lang w:val="en-US" w:eastAsia="zh-CN" w:bidi="ar-SA"/>
        </w:rPr>
        <w:t>名组成，磋商小组的成员在评标过程中必须严格遵守政府采购的有关规定。专家</w:t>
      </w:r>
      <w:r>
        <w:rPr>
          <w:rFonts w:hint="eastAsia" w:ascii="宋体" w:hAnsi="宋体" w:eastAsia="宋体" w:cs="宋体"/>
          <w:b w:val="0"/>
          <w:bCs w:val="0"/>
          <w:color w:val="auto"/>
          <w:sz w:val="28"/>
          <w:szCs w:val="28"/>
        </w:rPr>
        <w:t>依法在政采云平台</w:t>
      </w:r>
      <w:r>
        <w:rPr>
          <w:rFonts w:hint="eastAsia" w:ascii="宋体" w:hAnsi="宋体" w:eastAsia="宋体" w:cs="宋体"/>
          <w:b w:val="0"/>
          <w:bCs w:val="0"/>
          <w:color w:val="auto"/>
          <w:sz w:val="28"/>
          <w:szCs w:val="28"/>
          <w:lang w:eastAsia="zh-CN"/>
        </w:rPr>
        <w:t>随机</w:t>
      </w:r>
      <w:r>
        <w:rPr>
          <w:rFonts w:hint="eastAsia" w:ascii="宋体" w:hAnsi="宋体" w:eastAsia="宋体" w:cs="宋体"/>
          <w:b w:val="0"/>
          <w:bCs w:val="0"/>
          <w:color w:val="auto"/>
          <w:sz w:val="28"/>
          <w:szCs w:val="28"/>
        </w:rPr>
        <w:t>抽取</w:t>
      </w:r>
      <w:r>
        <w:rPr>
          <w:rFonts w:hint="eastAsia" w:ascii="宋体" w:hAnsi="宋体" w:eastAsia="宋体" w:cs="宋体"/>
          <w:b w:val="0"/>
          <w:color w:val="auto"/>
          <w:kern w:val="2"/>
          <w:sz w:val="28"/>
          <w:szCs w:val="28"/>
          <w:highlight w:val="none"/>
          <w:u w:val="none"/>
          <w:lang w:val="en-US" w:eastAsia="zh-CN" w:bidi="ar-SA"/>
        </w:rPr>
        <w:t>。</w:t>
      </w:r>
    </w:p>
    <w:p w14:paraId="2DF78456">
      <w:pPr>
        <w:keepNext w:val="0"/>
        <w:keepLines w:val="0"/>
        <w:pageBreakBefore w:val="0"/>
        <w:shd w:val="clear" w:color="auto" w:fill="auto"/>
        <w:kinsoku/>
        <w:wordWrap/>
        <w:overflowPunct/>
        <w:topLinePunct w:val="0"/>
        <w:bidi w:val="0"/>
        <w:snapToGrid w:val="0"/>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评标委员会的职责</w:t>
      </w:r>
    </w:p>
    <w:p w14:paraId="23AA9574">
      <w:pPr>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.1审查、评价</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是否符合</w:t>
      </w:r>
      <w:r>
        <w:rPr>
          <w:rFonts w:hint="eastAsia" w:ascii="宋体" w:hAnsi="宋体" w:eastAsia="宋体" w:cs="宋体"/>
          <w:color w:val="auto"/>
          <w:sz w:val="28"/>
          <w:szCs w:val="28"/>
          <w:highlight w:val="none"/>
          <w:lang w:eastAsia="zh-CN"/>
        </w:rPr>
        <w:t>竞争性磋商文件</w:t>
      </w:r>
      <w:r>
        <w:rPr>
          <w:rFonts w:hint="eastAsia" w:ascii="宋体" w:hAnsi="宋体" w:eastAsia="宋体" w:cs="宋体"/>
          <w:color w:val="auto"/>
          <w:sz w:val="28"/>
          <w:szCs w:val="28"/>
          <w:highlight w:val="none"/>
        </w:rPr>
        <w:t>的商务、技术等实质性要求。</w:t>
      </w:r>
    </w:p>
    <w:p w14:paraId="07DED183">
      <w:pPr>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.2要求供应商对</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有关事项作出澄清或者说明。</w:t>
      </w:r>
    </w:p>
    <w:p w14:paraId="2AA16CA6">
      <w:pPr>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.3对</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进行比较和评价。</w:t>
      </w:r>
    </w:p>
    <w:p w14:paraId="1C150E8A">
      <w:pPr>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.4确定中标候选人名单，以及根据采购人委托直接确定中标人。</w:t>
      </w:r>
    </w:p>
    <w:p w14:paraId="5C28F682">
      <w:pPr>
        <w:keepNext w:val="0"/>
        <w:keepLines w:val="0"/>
        <w:pageBreakBefore w:val="0"/>
        <w:shd w:val="clear" w:color="auto" w:fill="auto"/>
        <w:kinsoku/>
        <w:wordWrap/>
        <w:overflowPunct/>
        <w:topLinePunct w:val="0"/>
        <w:bidi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.5向采购人、采购代理机构或者有关部门报告评审中发现的违法行为。</w:t>
      </w:r>
    </w:p>
    <w:p w14:paraId="70EECD7E">
      <w:pPr>
        <w:keepNext w:val="0"/>
        <w:keepLines w:val="0"/>
        <w:pageBreakBefore w:val="0"/>
        <w:widowControl/>
        <w:shd w:val="clear" w:color="auto" w:fill="auto"/>
        <w:kinsoku/>
        <w:wordWrap/>
        <w:overflowPunct/>
        <w:topLinePunct w:val="0"/>
        <w:autoSpaceDE/>
        <w:autoSpaceDN/>
        <w:bidi w:val="0"/>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评标原则</w:t>
      </w:r>
    </w:p>
    <w:p w14:paraId="590B2DE0">
      <w:pPr>
        <w:keepNext w:val="0"/>
        <w:keepLines w:val="0"/>
        <w:pageBreakBefore w:val="0"/>
        <w:widowControl/>
        <w:shd w:val="clear" w:color="auto" w:fill="auto"/>
        <w:kinsoku/>
        <w:wordWrap/>
        <w:overflowPunct/>
        <w:topLinePunct w:val="0"/>
        <w:autoSpaceDE/>
        <w:autoSpaceDN/>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.1评标委员会将遵循公平、公正、科学的原则，对供应商提交的</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进行综合评审，评标委员会按照</w:t>
      </w:r>
      <w:r>
        <w:rPr>
          <w:rFonts w:hint="eastAsia" w:ascii="宋体" w:hAnsi="宋体" w:eastAsia="宋体" w:cs="宋体"/>
          <w:color w:val="auto"/>
          <w:sz w:val="28"/>
          <w:szCs w:val="28"/>
          <w:highlight w:val="none"/>
          <w:lang w:eastAsia="zh-CN"/>
        </w:rPr>
        <w:t>竞争性磋商文件</w:t>
      </w:r>
      <w:r>
        <w:rPr>
          <w:rFonts w:hint="eastAsia" w:ascii="宋体" w:hAnsi="宋体" w:eastAsia="宋体" w:cs="宋体"/>
          <w:color w:val="auto"/>
          <w:sz w:val="28"/>
          <w:szCs w:val="28"/>
          <w:highlight w:val="none"/>
        </w:rPr>
        <w:t>规定的评标细则进行评分。</w:t>
      </w:r>
    </w:p>
    <w:p w14:paraId="6DAEF3B9">
      <w:pPr>
        <w:keepNext w:val="0"/>
        <w:keepLines w:val="0"/>
        <w:pageBreakBefore w:val="0"/>
        <w:widowControl/>
        <w:shd w:val="clear" w:color="auto" w:fill="auto"/>
        <w:kinsoku/>
        <w:wordWrap/>
        <w:overflowPunct/>
        <w:topLinePunct w:val="0"/>
        <w:autoSpaceDE/>
        <w:autoSpaceDN/>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 xml:space="preserve">.2客观公正对待所有供应商，对所有投标评价均采用相同的程序和标准。 </w:t>
      </w:r>
    </w:p>
    <w:p w14:paraId="455B73D5">
      <w:pPr>
        <w:keepNext w:val="0"/>
        <w:keepLines w:val="0"/>
        <w:pageBreakBefore w:val="0"/>
        <w:widowControl/>
        <w:shd w:val="clear" w:color="auto" w:fill="auto"/>
        <w:kinsoku/>
        <w:wordWrap/>
        <w:overflowPunct/>
        <w:topLinePunct w:val="0"/>
        <w:autoSpaceDE/>
        <w:autoSpaceDN/>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6EA3D083">
      <w:pPr>
        <w:keepNext w:val="0"/>
        <w:keepLines w:val="0"/>
        <w:pageBreakBefore w:val="0"/>
        <w:widowControl/>
        <w:shd w:val="clear" w:color="auto" w:fill="auto"/>
        <w:kinsoku/>
        <w:wordWrap/>
        <w:overflowPunct/>
        <w:topLinePunct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人推荐资格；评审得分相同的，由采购人或者采购人委托评标委员会按照</w:t>
      </w:r>
      <w:r>
        <w:rPr>
          <w:rFonts w:hint="eastAsia" w:ascii="宋体" w:hAnsi="宋体" w:eastAsia="宋体" w:cs="宋体"/>
          <w:color w:val="auto"/>
          <w:sz w:val="28"/>
          <w:szCs w:val="28"/>
          <w:highlight w:val="none"/>
          <w:lang w:eastAsia="zh-CN"/>
        </w:rPr>
        <w:t>竞争性磋商文件</w:t>
      </w:r>
      <w:r>
        <w:rPr>
          <w:rFonts w:hint="eastAsia" w:ascii="宋体" w:hAnsi="宋体" w:eastAsia="宋体" w:cs="宋体"/>
          <w:color w:val="auto"/>
          <w:sz w:val="28"/>
          <w:szCs w:val="28"/>
          <w:highlight w:val="none"/>
        </w:rPr>
        <w:t>规定的方式确定一个供应商获得中标</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人推荐资格，</w:t>
      </w:r>
      <w:r>
        <w:rPr>
          <w:rFonts w:hint="eastAsia" w:ascii="宋体" w:hAnsi="宋体" w:eastAsia="宋体" w:cs="宋体"/>
          <w:color w:val="auto"/>
          <w:sz w:val="28"/>
          <w:szCs w:val="28"/>
          <w:highlight w:val="none"/>
          <w:lang w:eastAsia="zh-CN"/>
        </w:rPr>
        <w:t>竞争性磋商文件</w:t>
      </w:r>
      <w:r>
        <w:rPr>
          <w:rFonts w:hint="eastAsia" w:ascii="宋体" w:hAnsi="宋体" w:eastAsia="宋体" w:cs="宋体"/>
          <w:color w:val="auto"/>
          <w:sz w:val="28"/>
          <w:szCs w:val="28"/>
          <w:highlight w:val="none"/>
        </w:rPr>
        <w:t>未规定的采取随机抽取方式确定，其他同品牌供应商不作为中标</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候选人。</w:t>
      </w:r>
    </w:p>
    <w:p w14:paraId="05C6213F">
      <w:pPr>
        <w:keepNext w:val="0"/>
        <w:keepLines w:val="0"/>
        <w:pageBreakBefore w:val="0"/>
        <w:widowControl/>
        <w:shd w:val="clear" w:color="auto" w:fill="auto"/>
        <w:kinsoku/>
        <w:wordWrap/>
        <w:overflowPunct/>
        <w:topLinePunct w:val="0"/>
        <w:bidi w:val="0"/>
        <w:spacing w:line="360" w:lineRule="auto"/>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非单一产品采购项目，采购人应当根据采购项目技术构成、产品价格比重等合理确定核心产品，并在</w:t>
      </w:r>
      <w:r>
        <w:rPr>
          <w:rFonts w:hint="eastAsia" w:ascii="宋体" w:hAnsi="宋体" w:eastAsia="宋体" w:cs="宋体"/>
          <w:color w:val="auto"/>
          <w:sz w:val="28"/>
          <w:szCs w:val="28"/>
          <w:highlight w:val="none"/>
          <w:lang w:eastAsia="zh-CN"/>
        </w:rPr>
        <w:t>竞争性磋商文件</w:t>
      </w:r>
      <w:r>
        <w:rPr>
          <w:rFonts w:hint="eastAsia" w:ascii="宋体" w:hAnsi="宋体" w:eastAsia="宋体" w:cs="宋体"/>
          <w:color w:val="auto"/>
          <w:sz w:val="28"/>
          <w:szCs w:val="28"/>
          <w:highlight w:val="none"/>
        </w:rPr>
        <w:t xml:space="preserve">中载明。多家供应商提供的核心产品品牌相同的，按前款规定处理。      </w:t>
      </w:r>
    </w:p>
    <w:p w14:paraId="3D491594">
      <w:pPr>
        <w:keepNext w:val="0"/>
        <w:keepLines w:val="0"/>
        <w:pageBreakBefore w:val="0"/>
        <w:widowControl/>
        <w:shd w:val="clear" w:color="auto" w:fill="auto"/>
        <w:kinsoku/>
        <w:wordWrap/>
        <w:overflowPunct/>
        <w:topLinePunct w:val="0"/>
        <w:bidi w:val="0"/>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评委纪律</w:t>
      </w:r>
    </w:p>
    <w:p w14:paraId="4C4E5187">
      <w:pPr>
        <w:keepNext w:val="0"/>
        <w:keepLines w:val="0"/>
        <w:pageBreakBefore w:val="0"/>
        <w:widowControl/>
        <w:shd w:val="clear" w:color="auto" w:fill="auto"/>
        <w:kinsoku/>
        <w:wordWrap/>
        <w:overflowPunct/>
        <w:topLinePunct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7.1</w:t>
      </w:r>
      <w:r>
        <w:rPr>
          <w:rFonts w:hint="eastAsia" w:ascii="宋体" w:hAnsi="宋体" w:eastAsia="宋体" w:cs="宋体"/>
          <w:color w:val="auto"/>
          <w:sz w:val="28"/>
          <w:szCs w:val="28"/>
          <w:highlight w:val="none"/>
        </w:rPr>
        <w:t>评标委员会成员必须严格遵守保密规定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不得携带手机进入评标场所</w:t>
      </w:r>
      <w:r>
        <w:rPr>
          <w:rFonts w:hint="eastAsia" w:ascii="宋体" w:hAnsi="宋体" w:eastAsia="宋体" w:cs="宋体"/>
          <w:color w:val="auto"/>
          <w:sz w:val="28"/>
          <w:szCs w:val="28"/>
          <w:highlight w:val="none"/>
        </w:rPr>
        <w:t>，不得泄露评审的有关情况，任何单位和个人不得干扰、影响评标的正常进行，评标委员会成员不得私下与</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接触，不得出现</w:t>
      </w:r>
      <w:r>
        <w:rPr>
          <w:rFonts w:hint="eastAsia" w:ascii="宋体" w:hAnsi="宋体" w:eastAsia="宋体" w:cs="宋体"/>
          <w:color w:val="auto"/>
          <w:sz w:val="28"/>
          <w:szCs w:val="28"/>
          <w:highlight w:val="none"/>
          <w:lang w:val="en-US" w:eastAsia="zh-CN"/>
        </w:rPr>
        <w:t>新疆</w:t>
      </w:r>
      <w:r>
        <w:rPr>
          <w:rFonts w:hint="eastAsia" w:ascii="宋体" w:hAnsi="宋体" w:eastAsia="宋体" w:cs="宋体"/>
          <w:color w:val="auto"/>
          <w:sz w:val="28"/>
          <w:szCs w:val="28"/>
          <w:highlight w:val="none"/>
        </w:rPr>
        <w:t>政府采购活动现场组织管理办法中规定的其他禁止行为。</w:t>
      </w:r>
    </w:p>
    <w:p w14:paraId="14188DF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7.2</w:t>
      </w:r>
      <w:r>
        <w:rPr>
          <w:rFonts w:hint="eastAsia" w:ascii="宋体" w:hAnsi="宋体" w:eastAsia="宋体" w:cs="宋体"/>
          <w:b/>
          <w:bCs/>
          <w:color w:val="auto"/>
          <w:sz w:val="28"/>
          <w:szCs w:val="28"/>
        </w:rPr>
        <w:t>评标专家</w:t>
      </w:r>
      <w:r>
        <w:rPr>
          <w:rFonts w:hint="eastAsia" w:ascii="宋体" w:hAnsi="宋体" w:eastAsia="宋体" w:cs="宋体"/>
          <w:b/>
          <w:bCs/>
          <w:color w:val="auto"/>
          <w:kern w:val="0"/>
          <w:sz w:val="28"/>
          <w:szCs w:val="28"/>
        </w:rPr>
        <w:t>与供应商有下列利害关系之一的人员，应当回避</w:t>
      </w:r>
    </w:p>
    <w:p w14:paraId="7C04F781">
      <w:pPr>
        <w:pStyle w:val="6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1）参加采购活动前3年内与供应商存在劳动关系；</w:t>
      </w:r>
    </w:p>
    <w:p w14:paraId="7B6FAB5C">
      <w:pPr>
        <w:pStyle w:val="6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2）参加采购活动前3年内担任供应商的董事、监事；</w:t>
      </w:r>
    </w:p>
    <w:p w14:paraId="7BBCC9C7">
      <w:pPr>
        <w:pStyle w:val="6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3）参加采购活动前3年内是供应商的控股股东或者实际控制人；</w:t>
      </w:r>
    </w:p>
    <w:p w14:paraId="26FFD883">
      <w:pPr>
        <w:pStyle w:val="6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4）与供应商的法定代表人或者负责人有夫妻、直系血亲、三代以内旁系血亲或者近姻亲关系。</w:t>
      </w:r>
    </w:p>
    <w:p w14:paraId="4793E096">
      <w:pPr>
        <w:keepNext w:val="0"/>
        <w:keepLines w:val="0"/>
        <w:pageBreakBefore w:val="0"/>
        <w:widowControl/>
        <w:shd w:val="clear" w:color="auto" w:fill="auto"/>
        <w:kinsoku/>
        <w:wordWrap/>
        <w:overflowPunct/>
        <w:topLinePunct w:val="0"/>
        <w:bidi w:val="0"/>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评标程序</w:t>
      </w:r>
    </w:p>
    <w:p w14:paraId="5579C97E">
      <w:pPr>
        <w:keepNext w:val="0"/>
        <w:keepLines w:val="0"/>
        <w:pageBreakBefore w:val="0"/>
        <w:widowControl/>
        <w:shd w:val="clear" w:color="auto" w:fill="auto"/>
        <w:kinsoku/>
        <w:wordWrap/>
        <w:overflowPunct/>
        <w:topLinePunct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1 在评审专家中推选评标委员会组长，采购人代表不得担任评标委员会组长。</w:t>
      </w:r>
    </w:p>
    <w:p w14:paraId="04112928">
      <w:pPr>
        <w:keepNext w:val="0"/>
        <w:keepLines w:val="0"/>
        <w:pageBreakBefore w:val="0"/>
        <w:widowControl/>
        <w:shd w:val="clear" w:color="auto" w:fill="auto"/>
        <w:kinsoku/>
        <w:wordWrap/>
        <w:overflowPunct/>
        <w:topLinePunct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2 评标委员会组长召集成员认真阅读</w:t>
      </w:r>
      <w:r>
        <w:rPr>
          <w:rFonts w:hint="eastAsia" w:ascii="宋体" w:hAnsi="宋体" w:eastAsia="宋体" w:cs="宋体"/>
          <w:color w:val="auto"/>
          <w:sz w:val="28"/>
          <w:szCs w:val="28"/>
          <w:highlight w:val="none"/>
          <w:lang w:eastAsia="zh-CN"/>
        </w:rPr>
        <w:t>竞争性磋商文件</w:t>
      </w:r>
      <w:r>
        <w:rPr>
          <w:rFonts w:hint="eastAsia" w:ascii="宋体" w:hAnsi="宋体" w:eastAsia="宋体" w:cs="宋体"/>
          <w:color w:val="auto"/>
          <w:sz w:val="28"/>
          <w:szCs w:val="28"/>
          <w:highlight w:val="none"/>
        </w:rPr>
        <w:t>以及相关补充、质疑、答复文件、项目书面说明等材料，熟悉采购项目的基本概况，采购项目的质量要求、数量、主要技术标准或服务需求，采购合同主要条款，</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无效情形，评审方法、评审依据、评审标准等。</w:t>
      </w:r>
    </w:p>
    <w:p w14:paraId="09FD41DA">
      <w:pPr>
        <w:keepNext w:val="0"/>
        <w:keepLines w:val="0"/>
        <w:pageBreakBefore w:val="0"/>
        <w:widowControl/>
        <w:shd w:val="clear" w:color="auto" w:fill="auto"/>
        <w:kinsoku/>
        <w:wordWrap/>
        <w:overflowPunct/>
        <w:topLinePunct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 xml:space="preserve">3 </w:t>
      </w:r>
      <w:r>
        <w:rPr>
          <w:rFonts w:hint="eastAsia" w:ascii="宋体" w:hAnsi="宋体" w:eastAsia="宋体" w:cs="宋体"/>
          <w:color w:val="auto"/>
          <w:sz w:val="28"/>
          <w:szCs w:val="28"/>
          <w:highlight w:val="none"/>
          <w:lang w:eastAsia="zh-CN"/>
        </w:rPr>
        <w:t>评审专家</w:t>
      </w:r>
      <w:r>
        <w:rPr>
          <w:rFonts w:hint="eastAsia" w:ascii="宋体" w:hAnsi="宋体" w:eastAsia="宋体" w:cs="宋体"/>
          <w:color w:val="auto"/>
          <w:sz w:val="28"/>
          <w:szCs w:val="28"/>
          <w:highlight w:val="none"/>
        </w:rPr>
        <w:t>对符合资格的供应商的</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的有效性、符合性、完整性和响应程度进行审查，确定是否对</w:t>
      </w:r>
      <w:r>
        <w:rPr>
          <w:rFonts w:hint="eastAsia" w:ascii="宋体" w:hAnsi="宋体" w:eastAsia="宋体" w:cs="宋体"/>
          <w:color w:val="auto"/>
          <w:sz w:val="28"/>
          <w:szCs w:val="28"/>
          <w:highlight w:val="none"/>
          <w:lang w:eastAsia="zh-CN"/>
        </w:rPr>
        <w:t>竞争性磋商文件</w:t>
      </w:r>
      <w:r>
        <w:rPr>
          <w:rFonts w:hint="eastAsia" w:ascii="宋体" w:hAnsi="宋体" w:eastAsia="宋体" w:cs="宋体"/>
          <w:color w:val="auto"/>
          <w:sz w:val="28"/>
          <w:szCs w:val="28"/>
          <w:highlight w:val="none"/>
        </w:rPr>
        <w:t>作出实质性响应。</w:t>
      </w:r>
    </w:p>
    <w:p w14:paraId="047E6530">
      <w:pPr>
        <w:spacing w:line="360" w:lineRule="auto"/>
        <w:ind w:firstLine="562" w:firstLineChars="200"/>
        <w:jc w:val="both"/>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8.4竞争性磋商共有两次报价，二次报价为最终报价，对竞争性磋商文件做出实质性响应的供应商，评审专家所有成员应当集中与单一供应商分别进行磋商，并给予所有参加磋商的供应商平等的磋商机会。评审专家要求所有实质性响应的供应商在规定时间内提交最后报价（提交最后报价的供应商不得少于3家），最后报价是供应商响应文件的有效组成部分，经磋商确定最终采购需求和提交最后报价的供应商后，由评审专家采用综合评分法对提交最后报价的供应商的响应文件进行综合评分。</w:t>
      </w:r>
    </w:p>
    <w:p w14:paraId="72C80BA2">
      <w:pPr>
        <w:keepNext w:val="0"/>
        <w:keepLines w:val="0"/>
        <w:pageBreakBefore w:val="0"/>
        <w:widowControl/>
        <w:shd w:val="clear" w:color="auto" w:fill="auto"/>
        <w:kinsoku/>
        <w:wordWrap/>
        <w:overflowPunct/>
        <w:topLinePunct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8.5</w:t>
      </w:r>
      <w:r>
        <w:rPr>
          <w:rFonts w:hint="eastAsia" w:ascii="宋体" w:hAnsi="宋体" w:eastAsia="宋体" w:cs="宋体"/>
          <w:color w:val="auto"/>
          <w:sz w:val="28"/>
          <w:szCs w:val="28"/>
          <w:highlight w:val="none"/>
          <w:lang w:eastAsia="zh-CN"/>
        </w:rPr>
        <w:t>评审专家</w:t>
      </w:r>
      <w:r>
        <w:rPr>
          <w:rFonts w:hint="eastAsia" w:ascii="宋体" w:hAnsi="宋体" w:eastAsia="宋体" w:cs="宋体"/>
          <w:color w:val="auto"/>
          <w:sz w:val="28"/>
          <w:szCs w:val="28"/>
          <w:highlight w:val="none"/>
        </w:rPr>
        <w:t>按</w:t>
      </w:r>
      <w:r>
        <w:rPr>
          <w:rFonts w:hint="eastAsia" w:ascii="宋体" w:hAnsi="宋体" w:eastAsia="宋体" w:cs="宋体"/>
          <w:color w:val="auto"/>
          <w:sz w:val="28"/>
          <w:szCs w:val="28"/>
          <w:highlight w:val="none"/>
          <w:lang w:eastAsia="zh-CN"/>
        </w:rPr>
        <w:t>竞争性磋商文件</w:t>
      </w:r>
      <w:r>
        <w:rPr>
          <w:rFonts w:hint="eastAsia" w:ascii="宋体" w:hAnsi="宋体" w:eastAsia="宋体" w:cs="宋体"/>
          <w:color w:val="auto"/>
          <w:sz w:val="28"/>
          <w:szCs w:val="28"/>
          <w:highlight w:val="none"/>
        </w:rPr>
        <w:t>规定的评审方法和评审标准，依法独立对供应商</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进行评估、比较，并给予评价或打分，不受任何单位和个人的干预。</w:t>
      </w:r>
    </w:p>
    <w:p w14:paraId="2B3A1B84">
      <w:pPr>
        <w:keepNext w:val="0"/>
        <w:keepLines w:val="0"/>
        <w:pageBreakBefore w:val="0"/>
        <w:widowControl/>
        <w:shd w:val="clear" w:color="auto" w:fill="auto"/>
        <w:kinsoku/>
        <w:wordWrap/>
        <w:overflowPunct/>
        <w:topLinePunct w:val="0"/>
        <w:bidi w:val="0"/>
        <w:spacing w:line="360" w:lineRule="auto"/>
        <w:ind w:firstLine="48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lang w:eastAsia="zh-CN"/>
        </w:rPr>
        <w:t>本项目采用：</w:t>
      </w:r>
      <w:r>
        <w:rPr>
          <w:rFonts w:hint="eastAsia" w:ascii="宋体" w:hAnsi="宋体" w:eastAsia="宋体" w:cs="宋体"/>
          <w:b/>
          <w:bCs/>
          <w:color w:val="auto"/>
          <w:kern w:val="0"/>
          <w:sz w:val="28"/>
          <w:szCs w:val="28"/>
          <w:highlight w:val="none"/>
        </w:rPr>
        <w:t>综合评分法</w:t>
      </w:r>
      <w:r>
        <w:rPr>
          <w:rFonts w:hint="eastAsia" w:ascii="宋体" w:hAnsi="宋体" w:eastAsia="宋体" w:cs="宋体"/>
          <w:b/>
          <w:bCs/>
          <w:color w:val="auto"/>
          <w:kern w:val="0"/>
          <w:sz w:val="28"/>
          <w:szCs w:val="28"/>
          <w:highlight w:val="none"/>
          <w:lang w:eastAsia="zh-CN"/>
        </w:rPr>
        <w:t>，</w:t>
      </w:r>
      <w:r>
        <w:rPr>
          <w:rFonts w:hint="eastAsia" w:ascii="宋体" w:hAnsi="宋体" w:eastAsia="宋体" w:cs="宋体"/>
          <w:color w:val="auto"/>
          <w:kern w:val="0"/>
          <w:sz w:val="28"/>
          <w:szCs w:val="28"/>
          <w:highlight w:val="none"/>
        </w:rPr>
        <w:t>是指响应文件满足磋商文件全部实质性要求且按评审因素的量化指标评审得分最高的供应商为成交候选供应商的评审方法。</w:t>
      </w:r>
    </w:p>
    <w:p w14:paraId="65DD300B">
      <w:pPr>
        <w:keepNext w:val="0"/>
        <w:keepLines w:val="0"/>
        <w:pageBreakBefore w:val="0"/>
        <w:widowControl/>
        <w:shd w:val="clear" w:color="auto" w:fill="auto"/>
        <w:kinsoku/>
        <w:wordWrap/>
        <w:overflowPunct/>
        <w:topLinePunct w:val="0"/>
        <w:bidi w:val="0"/>
        <w:spacing w:line="360" w:lineRule="auto"/>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综合评分法中的价格分统一采用低价优先法计算，即满足</w:t>
      </w:r>
      <w:r>
        <w:rPr>
          <w:rFonts w:hint="eastAsia" w:ascii="宋体" w:hAnsi="宋体" w:eastAsia="宋体" w:cs="宋体"/>
          <w:color w:val="auto"/>
          <w:kern w:val="0"/>
          <w:sz w:val="28"/>
          <w:szCs w:val="28"/>
          <w:highlight w:val="none"/>
          <w:lang w:eastAsia="zh-CN"/>
        </w:rPr>
        <w:t>磋商文件</w:t>
      </w:r>
      <w:r>
        <w:rPr>
          <w:rFonts w:hint="eastAsia" w:ascii="宋体" w:hAnsi="宋体" w:eastAsia="宋体" w:cs="宋体"/>
          <w:color w:val="auto"/>
          <w:kern w:val="0"/>
          <w:sz w:val="28"/>
          <w:szCs w:val="28"/>
          <w:highlight w:val="none"/>
        </w:rPr>
        <w:t>要求且最后报价最低的供应商的价格为</w:t>
      </w:r>
      <w:r>
        <w:rPr>
          <w:rFonts w:hint="eastAsia" w:ascii="宋体" w:hAnsi="宋体" w:eastAsia="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基准价，其价格分为满分。其他供应商的价格分统一按照下列公式计算：</w:t>
      </w:r>
    </w:p>
    <w:p w14:paraId="76873908">
      <w:pPr>
        <w:keepNext w:val="0"/>
        <w:keepLines w:val="0"/>
        <w:pageBreakBefore w:val="0"/>
        <w:widowControl/>
        <w:shd w:val="clear" w:color="auto" w:fill="auto"/>
        <w:kinsoku/>
        <w:wordWrap/>
        <w:overflowPunct/>
        <w:topLinePunct w:val="0"/>
        <w:bidi w:val="0"/>
        <w:spacing w:line="360" w:lineRule="auto"/>
        <w:ind w:firstLine="480"/>
        <w:rPr>
          <w:rFonts w:hint="eastAsia" w:ascii="宋体" w:hAnsi="宋体" w:eastAsia="宋体" w:cs="宋体"/>
          <w:color w:val="auto"/>
          <w:kern w:val="0"/>
          <w:sz w:val="28"/>
          <w:szCs w:val="28"/>
          <w:highlight w:val="none"/>
          <w:lang w:val="en-US"/>
        </w:rPr>
      </w:pPr>
      <w:r>
        <w:rPr>
          <w:rFonts w:hint="eastAsia" w:ascii="宋体" w:hAnsi="宋体" w:eastAsia="宋体" w:cs="宋体"/>
          <w:color w:val="auto"/>
          <w:kern w:val="0"/>
          <w:sz w:val="28"/>
          <w:szCs w:val="28"/>
          <w:highlight w:val="none"/>
          <w:lang w:eastAsia="zh-CN"/>
        </w:rPr>
        <w:t>投标</w:t>
      </w:r>
      <w:r>
        <w:rPr>
          <w:rFonts w:hint="eastAsia" w:ascii="宋体" w:hAnsi="宋体" w:eastAsia="宋体" w:cs="宋体"/>
          <w:color w:val="auto"/>
          <w:kern w:val="0"/>
          <w:sz w:val="28"/>
          <w:szCs w:val="28"/>
          <w:highlight w:val="none"/>
        </w:rPr>
        <w:t>报价得分=（基准价/</w:t>
      </w:r>
      <w:r>
        <w:rPr>
          <w:rFonts w:hint="eastAsia" w:ascii="宋体" w:hAnsi="宋体" w:eastAsia="宋体" w:cs="宋体"/>
          <w:color w:val="auto"/>
          <w:kern w:val="0"/>
          <w:sz w:val="28"/>
          <w:szCs w:val="28"/>
          <w:highlight w:val="none"/>
          <w:lang w:eastAsia="zh-CN"/>
        </w:rPr>
        <w:t>投标</w:t>
      </w:r>
      <w:r>
        <w:rPr>
          <w:rFonts w:hint="eastAsia" w:ascii="宋体" w:hAnsi="宋体" w:eastAsia="宋体" w:cs="宋体"/>
          <w:color w:val="auto"/>
          <w:kern w:val="0"/>
          <w:sz w:val="28"/>
          <w:szCs w:val="28"/>
          <w:highlight w:val="none"/>
        </w:rPr>
        <w:t>报价）×</w:t>
      </w:r>
      <w:r>
        <w:rPr>
          <w:rFonts w:hint="eastAsia" w:ascii="宋体" w:hAnsi="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lang w:val="en-US" w:eastAsia="zh-CN"/>
        </w:rPr>
        <w:t>0%</w:t>
      </w:r>
    </w:p>
    <w:p w14:paraId="7F957617">
      <w:pPr>
        <w:keepNext w:val="0"/>
        <w:keepLines w:val="0"/>
        <w:pageBreakBefore w:val="0"/>
        <w:widowControl/>
        <w:shd w:val="clear" w:color="auto" w:fill="auto"/>
        <w:kinsoku/>
        <w:wordWrap/>
        <w:overflowPunct/>
        <w:topLinePunct w:val="0"/>
        <w:bidi w:val="0"/>
        <w:spacing w:line="36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8"/>
          <w:szCs w:val="28"/>
          <w:highlight w:val="none"/>
        </w:rPr>
        <w:t>项目评审过程中，不得去掉最后报价中的最高报价和最低报价。</w:t>
      </w:r>
    </w:p>
    <w:p w14:paraId="5EDB9309">
      <w:pPr>
        <w:keepNext w:val="0"/>
        <w:keepLines w:val="0"/>
        <w:pageBreakBefore w:val="0"/>
        <w:widowControl/>
        <w:shd w:val="clear" w:color="auto" w:fill="auto"/>
        <w:kinsoku/>
        <w:wordWrap/>
        <w:overflowPunct/>
        <w:topLinePunct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8.6</w:t>
      </w:r>
      <w:r>
        <w:rPr>
          <w:rFonts w:hint="eastAsia" w:ascii="宋体" w:hAnsi="宋体" w:eastAsia="宋体" w:cs="宋体"/>
          <w:color w:val="auto"/>
          <w:sz w:val="28"/>
          <w:szCs w:val="28"/>
          <w:highlight w:val="none"/>
          <w:lang w:eastAsia="zh-CN"/>
        </w:rPr>
        <w:t>评审专家</w:t>
      </w:r>
      <w:r>
        <w:rPr>
          <w:rFonts w:hint="eastAsia" w:ascii="宋体" w:hAnsi="宋体" w:eastAsia="宋体" w:cs="宋体"/>
          <w:color w:val="auto"/>
          <w:sz w:val="28"/>
          <w:szCs w:val="28"/>
          <w:highlight w:val="none"/>
        </w:rPr>
        <w:t>对各供应商</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3E56943C">
      <w:pPr>
        <w:keepNext w:val="0"/>
        <w:keepLines w:val="0"/>
        <w:pageBreakBefore w:val="0"/>
        <w:widowControl/>
        <w:shd w:val="clear" w:color="auto" w:fill="auto"/>
        <w:kinsoku/>
        <w:wordWrap/>
        <w:overflowPunct/>
        <w:topLinePunct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8.7</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评审专家</w:t>
      </w:r>
      <w:r>
        <w:rPr>
          <w:rFonts w:hint="eastAsia" w:ascii="宋体" w:hAnsi="宋体" w:eastAsia="宋体" w:cs="宋体"/>
          <w:color w:val="auto"/>
          <w:sz w:val="28"/>
          <w:szCs w:val="28"/>
          <w:highlight w:val="none"/>
        </w:rPr>
        <w:t>需对采购方工作人员唱票或统计的评审结果进行确认，现场监督员应对评审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016B7E7B">
      <w:pPr>
        <w:keepNext w:val="0"/>
        <w:keepLines w:val="0"/>
        <w:pageBreakBefore w:val="0"/>
        <w:widowControl/>
        <w:shd w:val="clear" w:color="auto" w:fill="auto"/>
        <w:kinsoku/>
        <w:wordWrap/>
        <w:overflowPunct/>
        <w:topLinePunct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8.8</w:t>
      </w:r>
      <w:r>
        <w:rPr>
          <w:rFonts w:hint="eastAsia" w:ascii="宋体" w:hAnsi="宋体" w:eastAsia="宋体" w:cs="宋体"/>
          <w:color w:val="auto"/>
          <w:sz w:val="28"/>
          <w:szCs w:val="28"/>
          <w:highlight w:val="none"/>
        </w:rPr>
        <w:t xml:space="preserve"> 评标委员会根据评审汇总情况和</w:t>
      </w:r>
      <w:r>
        <w:rPr>
          <w:rFonts w:hint="eastAsia" w:ascii="宋体" w:hAnsi="宋体" w:eastAsia="宋体" w:cs="宋体"/>
          <w:color w:val="auto"/>
          <w:sz w:val="28"/>
          <w:szCs w:val="28"/>
          <w:highlight w:val="none"/>
          <w:lang w:eastAsia="zh-CN"/>
        </w:rPr>
        <w:t>竞争性磋商文件</w:t>
      </w:r>
      <w:r>
        <w:rPr>
          <w:rFonts w:hint="eastAsia" w:ascii="宋体" w:hAnsi="宋体" w:eastAsia="宋体" w:cs="宋体"/>
          <w:color w:val="auto"/>
          <w:sz w:val="28"/>
          <w:szCs w:val="28"/>
          <w:highlight w:val="none"/>
        </w:rPr>
        <w:t>规定</w:t>
      </w:r>
      <w:r>
        <w:rPr>
          <w:rFonts w:hint="eastAsia" w:ascii="宋体" w:hAnsi="宋体" w:eastAsia="宋体" w:cs="宋体"/>
          <w:color w:val="auto"/>
          <w:sz w:val="28"/>
          <w:szCs w:val="28"/>
          <w:highlight w:val="none"/>
          <w:lang w:eastAsia="zh-CN"/>
        </w:rPr>
        <w:t>推荐</w:t>
      </w:r>
      <w:r>
        <w:rPr>
          <w:rFonts w:hint="eastAsia" w:ascii="宋体" w:hAnsi="宋体" w:eastAsia="宋体" w:cs="宋体"/>
          <w:color w:val="auto"/>
          <w:sz w:val="28"/>
          <w:szCs w:val="28"/>
          <w:highlight w:val="none"/>
        </w:rPr>
        <w:t>中标中标</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候选供应商排序名单。</w:t>
      </w:r>
    </w:p>
    <w:p w14:paraId="5B69F030">
      <w:pPr>
        <w:keepNext w:val="0"/>
        <w:keepLines w:val="0"/>
        <w:pageBreakBefore w:val="0"/>
        <w:widowControl/>
        <w:shd w:val="clear" w:color="auto" w:fill="auto"/>
        <w:kinsoku/>
        <w:wordWrap/>
        <w:overflowPunct/>
        <w:topLinePunct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8.9</w:t>
      </w:r>
      <w:r>
        <w:rPr>
          <w:rFonts w:hint="eastAsia" w:ascii="宋体" w:hAnsi="宋体" w:eastAsia="宋体" w:cs="宋体"/>
          <w:color w:val="auto"/>
          <w:sz w:val="28"/>
          <w:szCs w:val="28"/>
          <w:highlight w:val="none"/>
        </w:rPr>
        <w:t xml:space="preserve"> 起草评审报告，所有</w:t>
      </w:r>
      <w:r>
        <w:rPr>
          <w:rFonts w:hint="eastAsia" w:ascii="宋体" w:hAnsi="宋体" w:eastAsia="宋体" w:cs="宋体"/>
          <w:color w:val="auto"/>
          <w:sz w:val="28"/>
          <w:szCs w:val="28"/>
          <w:highlight w:val="none"/>
          <w:lang w:eastAsia="zh-CN"/>
        </w:rPr>
        <w:t>评审专家</w:t>
      </w:r>
      <w:r>
        <w:rPr>
          <w:rFonts w:hint="eastAsia" w:ascii="宋体" w:hAnsi="宋体" w:eastAsia="宋体" w:cs="宋体"/>
          <w:color w:val="auto"/>
          <w:sz w:val="28"/>
          <w:szCs w:val="28"/>
          <w:highlight w:val="none"/>
        </w:rPr>
        <w:t xml:space="preserve">须在评审报告上签字确认，对自己的评审意见承担法律责任。 </w:t>
      </w:r>
    </w:p>
    <w:p w14:paraId="6D1B3669">
      <w:pPr>
        <w:keepNext w:val="0"/>
        <w:keepLines w:val="0"/>
        <w:pageBreakBefore w:val="0"/>
        <w:widowControl/>
        <w:shd w:val="clear" w:color="auto" w:fill="auto"/>
        <w:kinsoku/>
        <w:wordWrap/>
        <w:overflowPunct/>
        <w:topLinePunct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8.10</w:t>
      </w:r>
      <w:r>
        <w:rPr>
          <w:rFonts w:hint="eastAsia" w:ascii="宋体" w:hAnsi="宋体" w:eastAsia="宋体" w:cs="宋体"/>
          <w:color w:val="auto"/>
          <w:sz w:val="28"/>
          <w:szCs w:val="28"/>
          <w:highlight w:val="none"/>
        </w:rPr>
        <w:t xml:space="preserve"> 采购组织机构对评标委员会评审专家进行评价。</w:t>
      </w:r>
    </w:p>
    <w:p w14:paraId="266AFCB7">
      <w:pPr>
        <w:keepNext w:val="0"/>
        <w:keepLines w:val="0"/>
        <w:pageBreakBefore w:val="0"/>
        <w:widowControl/>
        <w:shd w:val="clear" w:color="auto" w:fill="auto"/>
        <w:kinsoku/>
        <w:wordWrap/>
        <w:overflowPunct/>
        <w:topLinePunct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8.11</w:t>
      </w:r>
      <w:r>
        <w:rPr>
          <w:rFonts w:hint="eastAsia" w:ascii="宋体" w:hAnsi="宋体" w:eastAsia="宋体" w:cs="宋体"/>
          <w:color w:val="auto"/>
          <w:sz w:val="28"/>
          <w:szCs w:val="28"/>
          <w:highlight w:val="none"/>
        </w:rPr>
        <w:t>修改评审结果</w:t>
      </w:r>
    </w:p>
    <w:p w14:paraId="6ABCE391">
      <w:pPr>
        <w:keepNext w:val="0"/>
        <w:keepLines w:val="0"/>
        <w:pageBreakBefore w:val="0"/>
        <w:widowControl/>
        <w:shd w:val="clear" w:color="auto" w:fill="auto"/>
        <w:kinsoku/>
        <w:wordWrap/>
        <w:overflowPunct/>
        <w:topLinePunct w:val="0"/>
        <w:bidi w:val="0"/>
        <w:spacing w:line="360" w:lineRule="auto"/>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评标结果汇总完成后，除下列情形外，任何人不得修改评标结果：</w:t>
      </w:r>
    </w:p>
    <w:p w14:paraId="72E53458">
      <w:pPr>
        <w:keepNext w:val="0"/>
        <w:keepLines w:val="0"/>
        <w:pageBreakBefore w:val="0"/>
        <w:widowControl/>
        <w:shd w:val="clear" w:color="auto" w:fill="auto"/>
        <w:kinsoku/>
        <w:wordWrap/>
        <w:overflowPunct/>
        <w:topLinePunct w:val="0"/>
        <w:bidi w:val="0"/>
        <w:spacing w:line="360" w:lineRule="auto"/>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（1）分值汇总计算错误的；</w:t>
      </w:r>
    </w:p>
    <w:p w14:paraId="0CF7F427">
      <w:pPr>
        <w:keepNext w:val="0"/>
        <w:keepLines w:val="0"/>
        <w:pageBreakBefore w:val="0"/>
        <w:widowControl/>
        <w:shd w:val="clear" w:color="auto" w:fill="auto"/>
        <w:kinsoku/>
        <w:wordWrap/>
        <w:overflowPunct/>
        <w:topLinePunct w:val="0"/>
        <w:bidi w:val="0"/>
        <w:spacing w:line="360" w:lineRule="auto"/>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（2）分项评分超出评分标准范围的；</w:t>
      </w:r>
    </w:p>
    <w:p w14:paraId="563E8B38">
      <w:pPr>
        <w:keepNext w:val="0"/>
        <w:keepLines w:val="0"/>
        <w:pageBreakBefore w:val="0"/>
        <w:widowControl/>
        <w:shd w:val="clear" w:color="auto" w:fill="auto"/>
        <w:kinsoku/>
        <w:wordWrap/>
        <w:overflowPunct/>
        <w:topLinePunct w:val="0"/>
        <w:bidi w:val="0"/>
        <w:spacing w:line="360" w:lineRule="auto"/>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（3）评标委员会成员对客观评审因素评分不一致的；</w:t>
      </w:r>
    </w:p>
    <w:p w14:paraId="73E37008">
      <w:pPr>
        <w:keepNext w:val="0"/>
        <w:keepLines w:val="0"/>
        <w:pageBreakBefore w:val="0"/>
        <w:widowControl/>
        <w:shd w:val="clear" w:color="auto" w:fill="auto"/>
        <w:kinsoku/>
        <w:wordWrap/>
        <w:overflowPunct/>
        <w:topLinePunct w:val="0"/>
        <w:bidi w:val="0"/>
        <w:spacing w:line="360" w:lineRule="auto"/>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（4）经评标委员会认定评分畸高、畸低的。</w:t>
      </w:r>
    </w:p>
    <w:p w14:paraId="3CF2F987">
      <w:pPr>
        <w:keepNext w:val="0"/>
        <w:keepLines w:val="0"/>
        <w:pageBreakBefore w:val="0"/>
        <w:widowControl/>
        <w:shd w:val="clear" w:color="auto" w:fill="auto"/>
        <w:kinsoku/>
        <w:wordWrap/>
        <w:overflowPunct/>
        <w:topLinePunct w:val="0"/>
        <w:bidi w:val="0"/>
        <w:spacing w:line="360" w:lineRule="auto"/>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7D9B182">
      <w:pPr>
        <w:keepNext w:val="0"/>
        <w:keepLines w:val="0"/>
        <w:pageBreakBefore w:val="0"/>
        <w:shd w:val="clear" w:color="auto" w:fill="auto"/>
        <w:kinsoku/>
        <w:wordWrap/>
        <w:overflowPunct/>
        <w:topLinePunct w:val="0"/>
        <w:bidi w:val="0"/>
        <w:spacing w:line="36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9、澄清、说明或补正的形式</w:t>
      </w:r>
    </w:p>
    <w:p w14:paraId="6BCDD55B">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9.1对于响应文件中含义不明确、同类问题表述不一致或者有明显文字和计算错误的内容，评标委员会将通过“政府采购云平台”在线询标的方式要求供应商在规定的时间内作出必要的澄清、说明或者补正，</w:t>
      </w:r>
      <w:r>
        <w:rPr>
          <w:rFonts w:hint="eastAsia" w:ascii="宋体" w:hAnsi="宋体" w:eastAsia="宋体" w:cs="宋体"/>
          <w:b/>
          <w:bCs/>
          <w:color w:val="auto"/>
          <w:sz w:val="28"/>
          <w:szCs w:val="28"/>
          <w:highlight w:val="none"/>
          <w:lang w:val="en-US" w:eastAsia="zh-CN"/>
        </w:rPr>
        <w:t>供应商澄清、说明或补正时间为30分钟</w:t>
      </w:r>
      <w:r>
        <w:rPr>
          <w:rFonts w:hint="eastAsia" w:ascii="宋体" w:hAnsi="宋体" w:eastAsia="宋体" w:cs="宋体"/>
          <w:b w:val="0"/>
          <w:bCs w:val="0"/>
          <w:color w:val="auto"/>
          <w:sz w:val="28"/>
          <w:szCs w:val="28"/>
          <w:highlight w:val="none"/>
          <w:lang w:val="en-US" w:eastAsia="zh-CN"/>
        </w:rPr>
        <w:t>。</w:t>
      </w:r>
    </w:p>
    <w:p w14:paraId="71BCBF6D">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9.2供应商的澄清、说明或者补正应当通过“政府采购云平台”在线答复的方式提交，并加盖公章（电子印章），或者由法定代表人（负责人）或其授权的代表签字。供应商的澄清、说明或者补正不得超出响应文件的范围或者改变响应文件的实质性内容，不接受供应商主动对响应文件的澄清、说明或者补正。</w:t>
      </w:r>
    </w:p>
    <w:p w14:paraId="6B021C9B">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3965FCC">
      <w:pPr>
        <w:keepNext w:val="0"/>
        <w:keepLines w:val="0"/>
        <w:pageBreakBefore w:val="0"/>
        <w:shd w:val="clear" w:color="auto" w:fill="auto"/>
        <w:kinsoku/>
        <w:wordWrap/>
        <w:overflowPunct/>
        <w:topLinePunct w:val="0"/>
        <w:bidi w:val="0"/>
        <w:spacing w:line="36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10、错误修正的原则</w:t>
      </w:r>
    </w:p>
    <w:p w14:paraId="4EDD40F8">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10.1电子交易平台客户端里开标一览表录入的投标报价或优惠率与扫描上传的报价文件信息不一致的，以扫描上传的报价文件信息为准进行修正。</w:t>
      </w:r>
    </w:p>
    <w:p w14:paraId="4444ABBD">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10.2响应文件报价出现前后不一致的，除竞争性磋商文件另有规定外，按照下列规定修正：</w:t>
      </w:r>
    </w:p>
    <w:p w14:paraId="78765BC3">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10.3 投标函中表述的内容与报价表中不一致的，以报价表为准；报价表中的内容与报价明细表不一致的，以报价表为准；</w:t>
      </w:r>
    </w:p>
    <w:p w14:paraId="792766B6">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10.4响应文件中的大写金额和小写金额不一致的，以大写金额为准；</w:t>
      </w:r>
    </w:p>
    <w:p w14:paraId="6312C0E7">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10.5 单价金额小数点或者百分比有明显错位的，以开标一览表的总价为准，并修改单价；</w:t>
      </w:r>
    </w:p>
    <w:p w14:paraId="4361FC12">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10.6 总价金额与按单价汇总金额不一致的，以单价金额计算结果为准；</w:t>
      </w:r>
    </w:p>
    <w:p w14:paraId="44FC1529">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10.7若用文字表示的数值与用数字表示的数值不一致，以文字表示的数值为准；</w:t>
      </w:r>
    </w:p>
    <w:p w14:paraId="626941E0">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10.8 如有多报（指数量超出竞争性磋商文件需求）、重报（指同一货物重复报价），其投标总价在评标过程中不予调整，如其中标，其合同价按其投标单价予以调整；</w:t>
      </w:r>
    </w:p>
    <w:p w14:paraId="4B96FC6B">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10.9对不同文字文本响应文件的解释发生异议的，以中文文本为准；</w:t>
      </w:r>
    </w:p>
    <w:p w14:paraId="428A5EB5">
      <w:pPr>
        <w:keepNext w:val="0"/>
        <w:keepLines w:val="0"/>
        <w:pageBreakBefore w:val="0"/>
        <w:shd w:val="clear" w:color="auto" w:fill="auto"/>
        <w:kinsoku/>
        <w:wordWrap/>
        <w:overflowPunct/>
        <w:topLinePunct w:val="0"/>
        <w:bidi w:val="0"/>
        <w:spacing w:line="360" w:lineRule="auto"/>
        <w:ind w:firstLine="280" w:firstLineChars="1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w:t>
      </w:r>
      <w:r>
        <w:rPr>
          <w:rFonts w:hint="eastAsia" w:ascii="宋体" w:hAnsi="宋体" w:eastAsia="宋体" w:cs="宋体"/>
          <w:b/>
          <w:bCs/>
          <w:color w:val="auto"/>
          <w:sz w:val="28"/>
          <w:szCs w:val="28"/>
          <w:highlight w:val="none"/>
          <w:lang w:val="en-US" w:eastAsia="zh-CN"/>
        </w:rPr>
        <w:t>修正应当采用电子标的形式，并加盖公章（电子印章）。</w:t>
      </w:r>
    </w:p>
    <w:p w14:paraId="657B0EF3">
      <w:pPr>
        <w:keepNext w:val="0"/>
        <w:keepLines w:val="0"/>
        <w:pageBreakBefore w:val="0"/>
        <w:shd w:val="clear" w:color="auto" w:fill="auto"/>
        <w:kinsoku/>
        <w:wordWrap/>
        <w:overflowPunct/>
        <w:topLinePunct w:val="0"/>
        <w:bidi w:val="0"/>
        <w:spacing w:line="360" w:lineRule="auto"/>
        <w:ind w:firstLine="562"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11、有下列情形之一的，响应文件按无效标处理：</w:t>
      </w:r>
    </w:p>
    <w:p w14:paraId="37B10377">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11.1 报名的供应商与参加投标的供应商发生实质性变更的且未提供有效证明的；</w:t>
      </w:r>
    </w:p>
    <w:p w14:paraId="6119D800">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11.2供应商提交两份或两份以上内容不同的响应文件，未声明哪一份有效的；</w:t>
      </w:r>
    </w:p>
    <w:p w14:paraId="7B235B66">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11.3 响应文件非供应商法定代表人签署的，未提供或提供无效的法定代表人授权书的；</w:t>
      </w:r>
    </w:p>
    <w:p w14:paraId="50980D6E">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11.4响应文件内容未按</w:t>
      </w:r>
      <w:r>
        <w:rPr>
          <w:rFonts w:hint="eastAsia" w:ascii="宋体" w:hAnsi="宋体" w:eastAsia="宋体" w:cs="宋体"/>
          <w:color w:val="auto"/>
          <w:sz w:val="28"/>
          <w:szCs w:val="28"/>
          <w:highlight w:val="none"/>
          <w:lang w:eastAsia="zh-CN"/>
        </w:rPr>
        <w:t>竞争性</w:t>
      </w:r>
      <w:r>
        <w:rPr>
          <w:rFonts w:hint="eastAsia" w:ascii="宋体" w:hAnsi="宋体" w:eastAsia="宋体" w:cs="宋体"/>
          <w:b w:val="0"/>
          <w:bCs w:val="0"/>
          <w:color w:val="auto"/>
          <w:sz w:val="28"/>
          <w:szCs w:val="28"/>
          <w:highlight w:val="none"/>
          <w:lang w:val="en-US" w:eastAsia="zh-CN"/>
        </w:rPr>
        <w:t>磋商文件规定签字或盖章的；</w:t>
      </w:r>
    </w:p>
    <w:p w14:paraId="2B160F5A">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11.5 响应文件组成漏项或未按规定的格式编制或上传的响应文件内容不全或内容字迹模糊辨认不清的而导致评标活动无法正常进行；</w:t>
      </w:r>
    </w:p>
    <w:p w14:paraId="51DA3FBF">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11.6供应商未按</w:t>
      </w:r>
      <w:r>
        <w:rPr>
          <w:rFonts w:hint="eastAsia" w:ascii="宋体" w:hAnsi="宋体" w:eastAsia="宋体" w:cs="宋体"/>
          <w:color w:val="auto"/>
          <w:sz w:val="28"/>
          <w:szCs w:val="28"/>
          <w:highlight w:val="none"/>
          <w:lang w:eastAsia="zh-CN"/>
        </w:rPr>
        <w:t>竞争性</w:t>
      </w:r>
      <w:r>
        <w:rPr>
          <w:rFonts w:hint="eastAsia" w:ascii="宋体" w:hAnsi="宋体" w:eastAsia="宋体" w:cs="宋体"/>
          <w:b w:val="0"/>
          <w:bCs w:val="0"/>
          <w:color w:val="auto"/>
          <w:sz w:val="28"/>
          <w:szCs w:val="28"/>
          <w:highlight w:val="none"/>
          <w:lang w:val="en-US" w:eastAsia="zh-CN"/>
        </w:rPr>
        <w:t>磋商文件变更通知更改响应文件的；</w:t>
      </w:r>
    </w:p>
    <w:p w14:paraId="3AE849AA">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11.7《开标一览表》和《投标分项报价表》内容不完整且不接受修正意见或字迹不能辨认的或未提供的；</w:t>
      </w:r>
    </w:p>
    <w:p w14:paraId="5F6ADFDB">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11.8标项投标报价超过</w:t>
      </w:r>
      <w:r>
        <w:rPr>
          <w:rFonts w:hint="eastAsia" w:ascii="宋体" w:hAnsi="宋体" w:eastAsia="宋体" w:cs="宋体"/>
          <w:color w:val="auto"/>
          <w:sz w:val="28"/>
          <w:szCs w:val="28"/>
          <w:highlight w:val="none"/>
          <w:lang w:eastAsia="zh-CN"/>
        </w:rPr>
        <w:t>竞争性</w:t>
      </w:r>
      <w:r>
        <w:rPr>
          <w:rFonts w:hint="eastAsia" w:ascii="宋体" w:hAnsi="宋体" w:eastAsia="宋体" w:cs="宋体"/>
          <w:b w:val="0"/>
          <w:bCs w:val="0"/>
          <w:color w:val="auto"/>
          <w:sz w:val="28"/>
          <w:szCs w:val="28"/>
          <w:highlight w:val="none"/>
          <w:lang w:val="en-US" w:eastAsia="zh-CN"/>
        </w:rPr>
        <w:t>磋商文件规定的预算金额或最高限价；</w:t>
      </w:r>
    </w:p>
    <w:p w14:paraId="76E311A4">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11.9 因供应商原因编制错误造成经评标委员会修正后的报价达到或超过投标报价的0.5%；</w:t>
      </w:r>
    </w:p>
    <w:p w14:paraId="78D5B2DB">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11.10供应商的报价明显低于其他通过符合性审查供应商的报价，有可能影响产品质量或者不能诚信履约的，且在规定时间内不能合理说明原因并提供证明材料的；</w:t>
      </w:r>
    </w:p>
    <w:p w14:paraId="7218B932">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11.11 未实质性响应</w:t>
      </w:r>
      <w:r>
        <w:rPr>
          <w:rFonts w:hint="eastAsia" w:ascii="宋体" w:hAnsi="宋体" w:eastAsia="宋体" w:cs="宋体"/>
          <w:color w:val="auto"/>
          <w:sz w:val="28"/>
          <w:szCs w:val="28"/>
          <w:highlight w:val="none"/>
          <w:lang w:eastAsia="zh-CN"/>
        </w:rPr>
        <w:t>竞争性</w:t>
      </w:r>
      <w:r>
        <w:rPr>
          <w:rFonts w:hint="eastAsia" w:ascii="宋体" w:hAnsi="宋体" w:eastAsia="宋体" w:cs="宋体"/>
          <w:b w:val="0"/>
          <w:bCs w:val="0"/>
          <w:color w:val="auto"/>
          <w:sz w:val="28"/>
          <w:szCs w:val="28"/>
          <w:highlight w:val="none"/>
          <w:lang w:val="en-US" w:eastAsia="zh-CN"/>
        </w:rPr>
        <w:t>磋商文件中条款要求的响应文件；</w:t>
      </w:r>
    </w:p>
    <w:p w14:paraId="264213FE">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11.12 不符合招标范围、技术规格、技术标准的要求无法满足采购人使用要求；</w:t>
      </w:r>
    </w:p>
    <w:p w14:paraId="7F8D2B6B">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11.13 响应文件附有采购人不能接受的条款；</w:t>
      </w:r>
    </w:p>
    <w:p w14:paraId="174A64AB">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11.14 响应文件中提供了赠品或者与本项目采购无关的其他商品、服务；</w:t>
      </w:r>
    </w:p>
    <w:p w14:paraId="7CE8AFAA">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11.15响应文件中承诺的投标有效期少于磋商文件中载明的投标有效期；</w:t>
      </w:r>
    </w:p>
    <w:p w14:paraId="1100236B">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11.16供应商串通投标，妨碍其他供应商的竞争行为，损害采购人或者其他供应商的合法权益；</w:t>
      </w:r>
    </w:p>
    <w:p w14:paraId="73574FDD">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11.17违反国家及政府部门相关法律、法规、文件规定或经评标委员会认定的其他属于重大偏离；</w:t>
      </w:r>
    </w:p>
    <w:p w14:paraId="242E9984">
      <w:pPr>
        <w:keepNext w:val="0"/>
        <w:keepLines w:val="0"/>
        <w:pageBreakBefore w:val="0"/>
        <w:shd w:val="clear" w:color="auto" w:fill="auto"/>
        <w:kinsoku/>
        <w:wordWrap/>
        <w:overflowPunct/>
        <w:topLinePunct w:val="0"/>
        <w:bidi w:val="0"/>
        <w:spacing w:line="36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12、废标</w:t>
      </w:r>
    </w:p>
    <w:p w14:paraId="41980081">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12.1 符合</w:t>
      </w:r>
      <w:r>
        <w:rPr>
          <w:rFonts w:hint="eastAsia" w:ascii="宋体" w:hAnsi="宋体" w:eastAsia="宋体" w:cs="宋体"/>
          <w:color w:val="auto"/>
          <w:sz w:val="28"/>
          <w:szCs w:val="28"/>
          <w:highlight w:val="none"/>
          <w:lang w:eastAsia="zh-CN"/>
        </w:rPr>
        <w:t>竞争性</w:t>
      </w:r>
      <w:r>
        <w:rPr>
          <w:rFonts w:hint="eastAsia" w:ascii="宋体" w:hAnsi="宋体" w:eastAsia="宋体" w:cs="宋体"/>
          <w:b w:val="0"/>
          <w:bCs w:val="0"/>
          <w:color w:val="auto"/>
          <w:sz w:val="28"/>
          <w:szCs w:val="28"/>
          <w:highlight w:val="none"/>
          <w:lang w:val="en-US" w:eastAsia="zh-CN"/>
        </w:rPr>
        <w:t>磋商文件规定废标情形的；</w:t>
      </w:r>
    </w:p>
    <w:p w14:paraId="30855EF8">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12.2出现影响采购公正的违法、违规行为的；</w:t>
      </w:r>
    </w:p>
    <w:p w14:paraId="707804C2">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12.3供应商的报价均超过了采购预算（或最高限价），采购人不能支付的;</w:t>
      </w:r>
    </w:p>
    <w:p w14:paraId="26FE951F">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12.4因重大变故，采购任务取消的。</w:t>
      </w:r>
    </w:p>
    <w:p w14:paraId="50507EB5">
      <w:pPr>
        <w:keepNext w:val="0"/>
        <w:keepLines w:val="0"/>
        <w:pageBreakBefore w:val="0"/>
        <w:shd w:val="clear" w:color="auto" w:fill="auto"/>
        <w:kinsoku/>
        <w:wordWrap/>
        <w:overflowPunct/>
        <w:topLinePunct w:val="0"/>
        <w:bidi w:val="0"/>
        <w:spacing w:line="36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13、突发情况处理</w:t>
      </w:r>
    </w:p>
    <w:p w14:paraId="7275AA32">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13.1 采购过程中出现以下情形，导致电子交易平台无法正常运行，或者无法保证电子交易的公平、公正和安全时，采购组织机构可中止电子交易活动：</w:t>
      </w:r>
    </w:p>
    <w:p w14:paraId="08D65027">
      <w:pPr>
        <w:keepNext w:val="0"/>
        <w:keepLines w:val="0"/>
        <w:pageBreakBefore w:val="0"/>
        <w:shd w:val="clear" w:color="auto" w:fill="auto"/>
        <w:kinsoku/>
        <w:wordWrap/>
        <w:overflowPunct/>
        <w:topLinePunct w:val="0"/>
        <w:bidi w:val="0"/>
        <w:spacing w:line="360" w:lineRule="auto"/>
        <w:ind w:firstLine="280" w:firstLineChars="1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（1）电子交易平台发生故障而无法登录访问的； </w:t>
      </w:r>
    </w:p>
    <w:p w14:paraId="53E1D8F9">
      <w:pPr>
        <w:keepNext w:val="0"/>
        <w:keepLines w:val="0"/>
        <w:pageBreakBefore w:val="0"/>
        <w:shd w:val="clear" w:color="auto" w:fill="auto"/>
        <w:kinsoku/>
        <w:wordWrap/>
        <w:overflowPunct/>
        <w:topLinePunct w:val="0"/>
        <w:bidi w:val="0"/>
        <w:spacing w:line="360" w:lineRule="auto"/>
        <w:ind w:firstLine="280" w:firstLineChars="1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（2）电子交易平台应用或数据库出现错误，不能进行正常操作的；</w:t>
      </w:r>
    </w:p>
    <w:p w14:paraId="5140ABE3">
      <w:pPr>
        <w:keepNext w:val="0"/>
        <w:keepLines w:val="0"/>
        <w:pageBreakBefore w:val="0"/>
        <w:shd w:val="clear" w:color="auto" w:fill="auto"/>
        <w:kinsoku/>
        <w:wordWrap/>
        <w:overflowPunct/>
        <w:topLinePunct w:val="0"/>
        <w:bidi w:val="0"/>
        <w:spacing w:line="360" w:lineRule="auto"/>
        <w:ind w:firstLine="280" w:firstLineChars="1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（3）电子交易平台发现严重安全漏洞，有潜在泄密危险的；</w:t>
      </w:r>
    </w:p>
    <w:p w14:paraId="200AB2C5">
      <w:pPr>
        <w:keepNext w:val="0"/>
        <w:keepLines w:val="0"/>
        <w:pageBreakBefore w:val="0"/>
        <w:shd w:val="clear" w:color="auto" w:fill="auto"/>
        <w:kinsoku/>
        <w:wordWrap/>
        <w:overflowPunct/>
        <w:topLinePunct w:val="0"/>
        <w:bidi w:val="0"/>
        <w:spacing w:line="360" w:lineRule="auto"/>
        <w:ind w:firstLine="280" w:firstLineChars="1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（4）病毒发作导致不能进行正常操作的； </w:t>
      </w:r>
    </w:p>
    <w:p w14:paraId="6E12A62A">
      <w:pPr>
        <w:keepNext w:val="0"/>
        <w:keepLines w:val="0"/>
        <w:pageBreakBefore w:val="0"/>
        <w:shd w:val="clear" w:color="auto" w:fill="auto"/>
        <w:kinsoku/>
        <w:wordWrap/>
        <w:overflowPunct/>
        <w:topLinePunct w:val="0"/>
        <w:bidi w:val="0"/>
        <w:spacing w:line="360" w:lineRule="auto"/>
        <w:ind w:firstLine="280" w:firstLineChars="1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（5）其他无法保证电子交易的公平、公正和安全的情况。</w:t>
      </w:r>
    </w:p>
    <w:p w14:paraId="742384CC">
      <w:pPr>
        <w:keepNext w:val="0"/>
        <w:keepLines w:val="0"/>
        <w:pageBreakBefore w:val="0"/>
        <w:shd w:val="clear" w:color="auto" w:fill="auto"/>
        <w:kinsoku/>
        <w:wordWrap/>
        <w:overflowPunct/>
        <w:topLinePunct w:val="0"/>
        <w:bidi w:val="0"/>
        <w:spacing w:line="360" w:lineRule="auto"/>
        <w:ind w:firstLine="280" w:firstLineChars="1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2B70E91D">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13.2 采购代理机构或评审小组因不可抗力（不可抗力包括但不限于自然灾害、断电、传播疫病等）原因造成电子交易活动无法正常运行的，将采取以下措施：</w:t>
      </w:r>
    </w:p>
    <w:p w14:paraId="321F362C">
      <w:pPr>
        <w:keepNext w:val="0"/>
        <w:keepLines w:val="0"/>
        <w:pageBreakBefore w:val="0"/>
        <w:shd w:val="clear" w:color="auto" w:fill="auto"/>
        <w:kinsoku/>
        <w:wordWrap/>
        <w:overflowPunct/>
        <w:topLinePunct w:val="0"/>
        <w:bidi w:val="0"/>
        <w:spacing w:line="360" w:lineRule="auto"/>
        <w:ind w:firstLine="280" w:firstLineChars="1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（1）短时间内能消除不可抗力因素的，采购代理机构或评审小组在消除不可抗力因素后继续组织电子交易活动； </w:t>
      </w:r>
    </w:p>
    <w:p w14:paraId="281012FD">
      <w:pPr>
        <w:keepNext w:val="0"/>
        <w:keepLines w:val="0"/>
        <w:pageBreakBefore w:val="0"/>
        <w:shd w:val="clear" w:color="auto" w:fill="auto"/>
        <w:kinsoku/>
        <w:wordWrap/>
        <w:overflowPunct/>
        <w:topLinePunct w:val="0"/>
        <w:bidi w:val="0"/>
        <w:spacing w:line="360" w:lineRule="auto"/>
        <w:ind w:firstLine="280" w:firstLineChars="1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（2）长时间内无法消除不可抗力因素的，采购代理机构或评审小组将中止电子交易活动。中止电子交易活动的，采购人应当重新组织政府采购活动。</w:t>
      </w:r>
    </w:p>
    <w:p w14:paraId="47C57566">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2" w:firstLineChars="200"/>
        <w:jc w:val="both"/>
        <w:textAlignment w:val="baseline"/>
        <w:rPr>
          <w:rFonts w:hint="eastAsia" w:ascii="宋体" w:hAnsi="宋体" w:eastAsia="宋体" w:cs="宋体"/>
          <w:b/>
          <w:bCs/>
          <w:i w:val="0"/>
          <w:caps w:val="0"/>
          <w:color w:val="auto"/>
          <w:spacing w:val="0"/>
          <w:w w:val="100"/>
          <w:sz w:val="28"/>
          <w:szCs w:val="28"/>
          <w:highlight w:val="none"/>
          <w:lang w:val="en-US" w:eastAsia="zh-CN"/>
        </w:rPr>
      </w:pPr>
      <w:r>
        <w:rPr>
          <w:rFonts w:hint="eastAsia" w:ascii="宋体" w:hAnsi="宋体" w:eastAsia="宋体" w:cs="宋体"/>
          <w:b/>
          <w:bCs/>
          <w:i w:val="0"/>
          <w:caps w:val="0"/>
          <w:color w:val="auto"/>
          <w:spacing w:val="0"/>
          <w:w w:val="100"/>
          <w:sz w:val="28"/>
          <w:szCs w:val="28"/>
          <w:highlight w:val="none"/>
          <w:lang w:val="en-US" w:eastAsia="zh-CN"/>
        </w:rPr>
        <w:t>14.保密要求：</w:t>
      </w:r>
    </w:p>
    <w:p w14:paraId="12E15257">
      <w:pPr>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采购人、采购代理机构确保</w:t>
      </w:r>
      <w:r>
        <w:rPr>
          <w:rFonts w:hint="eastAsia" w:ascii="宋体" w:hAnsi="宋体" w:eastAsia="宋体" w:cs="宋体"/>
          <w:color w:val="auto"/>
          <w:kern w:val="0"/>
          <w:sz w:val="28"/>
          <w:szCs w:val="28"/>
          <w:lang w:val="en-US" w:eastAsia="zh-CN"/>
        </w:rPr>
        <w:t>评标</w:t>
      </w:r>
      <w:r>
        <w:rPr>
          <w:rFonts w:hint="eastAsia" w:ascii="宋体" w:hAnsi="宋体" w:eastAsia="宋体" w:cs="宋体"/>
          <w:color w:val="auto"/>
          <w:kern w:val="0"/>
          <w:sz w:val="28"/>
          <w:szCs w:val="28"/>
        </w:rPr>
        <w:t>活动在严格保密的情况下进行。在采购结果确定前，采购人、采购代理机构对</w:t>
      </w:r>
      <w:r>
        <w:rPr>
          <w:rFonts w:hint="eastAsia" w:ascii="宋体" w:hAnsi="宋体" w:eastAsia="宋体" w:cs="宋体"/>
          <w:color w:val="auto"/>
          <w:kern w:val="0"/>
          <w:sz w:val="28"/>
          <w:szCs w:val="28"/>
          <w:lang w:val="en-US" w:eastAsia="zh-CN"/>
        </w:rPr>
        <w:t>评审专家</w:t>
      </w:r>
      <w:r>
        <w:rPr>
          <w:rFonts w:hint="eastAsia" w:ascii="宋体" w:hAnsi="宋体" w:eastAsia="宋体" w:cs="宋体"/>
          <w:color w:val="auto"/>
          <w:kern w:val="0"/>
          <w:sz w:val="28"/>
          <w:szCs w:val="28"/>
        </w:rPr>
        <w:t>名单保密。</w:t>
      </w:r>
      <w:r>
        <w:rPr>
          <w:rFonts w:hint="eastAsia" w:ascii="宋体" w:hAnsi="宋体" w:eastAsia="宋体" w:cs="宋体"/>
          <w:color w:val="auto"/>
          <w:sz w:val="28"/>
          <w:szCs w:val="28"/>
        </w:rPr>
        <w:t>与</w:t>
      </w:r>
      <w:r>
        <w:rPr>
          <w:rFonts w:hint="eastAsia" w:ascii="宋体" w:hAnsi="宋体" w:eastAsia="宋体" w:cs="宋体"/>
          <w:color w:val="auto"/>
          <w:sz w:val="28"/>
          <w:szCs w:val="28"/>
          <w:lang w:eastAsia="zh-CN"/>
        </w:rPr>
        <w:t>评审</w:t>
      </w:r>
      <w:r>
        <w:rPr>
          <w:rFonts w:hint="eastAsia" w:ascii="宋体" w:hAnsi="宋体" w:eastAsia="宋体" w:cs="宋体"/>
          <w:color w:val="auto"/>
          <w:sz w:val="28"/>
          <w:szCs w:val="28"/>
        </w:rPr>
        <w:t>工作无关的人员不得进入现场</w:t>
      </w:r>
      <w:r>
        <w:rPr>
          <w:rFonts w:hint="eastAsia" w:ascii="宋体" w:hAnsi="宋体" w:eastAsia="宋体" w:cs="宋体"/>
          <w:color w:val="auto"/>
          <w:kern w:val="0"/>
          <w:sz w:val="28"/>
          <w:szCs w:val="28"/>
          <w:lang w:val="en-US" w:eastAsia="zh-CN"/>
        </w:rPr>
        <w:t>。有关人员须对评审情况以及在评审过程中获悉的国家秘密、商业秘密负有保密责任</w:t>
      </w:r>
      <w:r>
        <w:rPr>
          <w:rFonts w:hint="eastAsia" w:ascii="宋体" w:hAnsi="宋体" w:eastAsia="宋体" w:cs="宋体"/>
          <w:color w:val="auto"/>
          <w:kern w:val="0"/>
          <w:sz w:val="28"/>
          <w:szCs w:val="28"/>
        </w:rPr>
        <w:t>。</w:t>
      </w:r>
    </w:p>
    <w:p w14:paraId="535D4EBE">
      <w:pPr>
        <w:keepNext w:val="0"/>
        <w:keepLines w:val="0"/>
        <w:pageBreakBefore w:val="0"/>
        <w:shd w:val="clear" w:color="auto" w:fill="auto"/>
        <w:kinsoku/>
        <w:wordWrap/>
        <w:overflowPunct/>
        <w:topLinePunct w:val="0"/>
        <w:bidi w:val="0"/>
        <w:snapToGrid w:val="0"/>
        <w:spacing w:line="360" w:lineRule="auto"/>
        <w:ind w:firstLine="42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15、</w:t>
      </w:r>
      <w:r>
        <w:rPr>
          <w:rFonts w:hint="eastAsia" w:ascii="宋体" w:hAnsi="宋体" w:eastAsia="宋体" w:cs="宋体"/>
          <w:b/>
          <w:color w:val="auto"/>
          <w:sz w:val="28"/>
          <w:szCs w:val="28"/>
          <w:highlight w:val="none"/>
        </w:rPr>
        <w:t xml:space="preserve"> 定标</w:t>
      </w:r>
    </w:p>
    <w:p w14:paraId="690923A9">
      <w:pPr>
        <w:keepNext w:val="0"/>
        <w:keepLines w:val="0"/>
        <w:pageBreakBefore w:val="0"/>
        <w:shd w:val="clear" w:color="auto" w:fill="auto"/>
        <w:kinsoku/>
        <w:wordWrap/>
        <w:overflowPunct/>
        <w:topLinePunct w:val="0"/>
        <w:bidi w:val="0"/>
        <w:spacing w:line="360" w:lineRule="auto"/>
        <w:ind w:firstLine="280" w:firstLineChars="1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8"/>
          <w:szCs w:val="28"/>
          <w:highlight w:val="none"/>
        </w:rPr>
        <w:t xml:space="preserve">  </w:t>
      </w:r>
      <w:r>
        <w:rPr>
          <w:rFonts w:hint="eastAsia" w:ascii="宋体" w:hAnsi="宋体" w:eastAsia="宋体" w:cs="宋体"/>
          <w:b w:val="0"/>
          <w:bCs w:val="0"/>
          <w:color w:val="auto"/>
          <w:sz w:val="28"/>
          <w:szCs w:val="28"/>
          <w:highlight w:val="none"/>
          <w:lang w:val="en-US" w:eastAsia="zh-CN"/>
        </w:rPr>
        <w:t>15.1采购结果确认（确定</w:t>
      </w:r>
      <w:r>
        <w:rPr>
          <w:rFonts w:hint="eastAsia" w:ascii="宋体" w:hAnsi="宋体" w:eastAsia="宋体" w:cs="宋体"/>
          <w:color w:val="auto"/>
          <w:sz w:val="28"/>
          <w:szCs w:val="28"/>
          <w:highlight w:val="none"/>
        </w:rPr>
        <w:t>中标</w:t>
      </w:r>
      <w:r>
        <w:rPr>
          <w:rFonts w:hint="eastAsia" w:ascii="宋体" w:hAnsi="宋体" w:eastAsia="宋体" w:cs="宋体"/>
          <w:color w:val="auto"/>
          <w:sz w:val="28"/>
          <w:szCs w:val="28"/>
          <w:highlight w:val="none"/>
          <w:lang w:val="en-US" w:eastAsia="zh-CN"/>
        </w:rPr>
        <w:t>(成交)</w:t>
      </w:r>
      <w:r>
        <w:rPr>
          <w:rFonts w:hint="eastAsia" w:ascii="宋体" w:hAnsi="宋体" w:eastAsia="宋体" w:cs="宋体"/>
          <w:b w:val="0"/>
          <w:bCs w:val="0"/>
          <w:color w:val="auto"/>
          <w:sz w:val="28"/>
          <w:szCs w:val="28"/>
          <w:highlight w:val="none"/>
          <w:lang w:val="en-US" w:eastAsia="zh-CN"/>
        </w:rPr>
        <w:t>供应商）</w:t>
      </w:r>
    </w:p>
    <w:p w14:paraId="07161E30">
      <w:pPr>
        <w:keepNext w:val="0"/>
        <w:keepLines w:val="0"/>
        <w:pageBreakBefore w:val="0"/>
        <w:shd w:val="clear" w:color="auto" w:fill="auto"/>
        <w:kinsoku/>
        <w:wordWrap/>
        <w:overflowPunct/>
        <w:topLinePunct w:val="0"/>
        <w:bidi w:val="0"/>
        <w:spacing w:line="360" w:lineRule="auto"/>
        <w:ind w:firstLine="280" w:firstLineChars="1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采购结果确认（确定</w:t>
      </w:r>
      <w:r>
        <w:rPr>
          <w:rFonts w:hint="eastAsia" w:ascii="宋体" w:hAnsi="宋体" w:eastAsia="宋体" w:cs="宋体"/>
          <w:color w:val="auto"/>
          <w:sz w:val="28"/>
          <w:szCs w:val="28"/>
          <w:highlight w:val="none"/>
        </w:rPr>
        <w:t>中标</w:t>
      </w:r>
      <w:r>
        <w:rPr>
          <w:rFonts w:hint="eastAsia" w:ascii="宋体" w:hAnsi="宋体" w:eastAsia="宋体" w:cs="宋体"/>
          <w:color w:val="auto"/>
          <w:sz w:val="28"/>
          <w:szCs w:val="28"/>
          <w:highlight w:val="none"/>
          <w:lang w:val="en-US" w:eastAsia="zh-CN"/>
        </w:rPr>
        <w:t>(成交)</w:t>
      </w:r>
      <w:r>
        <w:rPr>
          <w:rFonts w:hint="eastAsia" w:ascii="宋体" w:hAnsi="宋体" w:eastAsia="宋体" w:cs="宋体"/>
          <w:b w:val="0"/>
          <w:bCs w:val="0"/>
          <w:color w:val="auto"/>
          <w:sz w:val="28"/>
          <w:szCs w:val="28"/>
          <w:highlight w:val="none"/>
          <w:lang w:val="en-US" w:eastAsia="zh-CN"/>
        </w:rPr>
        <w:t>供应商）：本项目由采购人根据评审专家提交的《评审报告》，通过“政府采购云平台”依法确认采购结果、确定</w:t>
      </w:r>
      <w:r>
        <w:rPr>
          <w:rFonts w:hint="eastAsia" w:ascii="宋体" w:hAnsi="宋体" w:eastAsia="宋体" w:cs="宋体"/>
          <w:color w:val="auto"/>
          <w:sz w:val="28"/>
          <w:szCs w:val="28"/>
          <w:highlight w:val="none"/>
        </w:rPr>
        <w:t>中标</w:t>
      </w:r>
      <w:r>
        <w:rPr>
          <w:rFonts w:hint="eastAsia" w:ascii="宋体" w:hAnsi="宋体" w:eastAsia="宋体" w:cs="宋体"/>
          <w:color w:val="auto"/>
          <w:sz w:val="28"/>
          <w:szCs w:val="28"/>
          <w:highlight w:val="none"/>
          <w:lang w:val="en-US" w:eastAsia="zh-CN"/>
        </w:rPr>
        <w:t>(成交)</w:t>
      </w:r>
      <w:r>
        <w:rPr>
          <w:rFonts w:hint="eastAsia" w:ascii="宋体" w:hAnsi="宋体" w:eastAsia="宋体" w:cs="宋体"/>
          <w:b w:val="0"/>
          <w:bCs w:val="0"/>
          <w:color w:val="auto"/>
          <w:sz w:val="28"/>
          <w:szCs w:val="28"/>
          <w:highlight w:val="none"/>
          <w:lang w:val="en-US" w:eastAsia="zh-CN"/>
        </w:rPr>
        <w:t>供应商。具体流程如下：</w:t>
      </w:r>
    </w:p>
    <w:p w14:paraId="30DCE78C">
      <w:pPr>
        <w:keepNext w:val="0"/>
        <w:keepLines w:val="0"/>
        <w:pageBreakBefore w:val="0"/>
        <w:shd w:val="clear" w:color="auto" w:fill="auto"/>
        <w:kinsoku/>
        <w:wordWrap/>
        <w:overflowPunct/>
        <w:topLinePunct w:val="0"/>
        <w:bidi w:val="0"/>
        <w:spacing w:line="360" w:lineRule="auto"/>
        <w:ind w:firstLine="280" w:firstLineChars="1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（1）采购代理机构将在评审结束后2个工作日内将评审报告送采购人，同时在政采云平台提交采购结果至采购人确认。</w:t>
      </w:r>
    </w:p>
    <w:p w14:paraId="76316FEA">
      <w:pPr>
        <w:keepNext w:val="0"/>
        <w:keepLines w:val="0"/>
        <w:pageBreakBefore w:val="0"/>
        <w:shd w:val="clear" w:color="auto" w:fill="auto"/>
        <w:kinsoku/>
        <w:wordWrap/>
        <w:overflowPunct/>
        <w:topLinePunct w:val="0"/>
        <w:bidi w:val="0"/>
        <w:spacing w:line="360" w:lineRule="auto"/>
        <w:ind w:firstLine="280" w:firstLineChars="1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（2）采购人将在收到评审报告之日起5个工作日内，在评审报告推荐的</w:t>
      </w:r>
      <w:r>
        <w:rPr>
          <w:rFonts w:hint="eastAsia" w:ascii="宋体" w:hAnsi="宋体" w:eastAsia="宋体" w:cs="宋体"/>
          <w:color w:val="auto"/>
          <w:sz w:val="28"/>
          <w:szCs w:val="28"/>
          <w:highlight w:val="none"/>
        </w:rPr>
        <w:t>中标</w:t>
      </w:r>
      <w:r>
        <w:rPr>
          <w:rFonts w:hint="eastAsia" w:ascii="宋体" w:hAnsi="宋体" w:eastAsia="宋体" w:cs="宋体"/>
          <w:color w:val="auto"/>
          <w:sz w:val="28"/>
          <w:szCs w:val="28"/>
          <w:highlight w:val="none"/>
          <w:lang w:val="en-US" w:eastAsia="zh-CN"/>
        </w:rPr>
        <w:t>(成交)</w:t>
      </w:r>
      <w:r>
        <w:rPr>
          <w:rFonts w:hint="eastAsia" w:ascii="宋体" w:hAnsi="宋体" w:eastAsia="宋体" w:cs="宋体"/>
          <w:b w:val="0"/>
          <w:bCs w:val="0"/>
          <w:color w:val="auto"/>
          <w:sz w:val="28"/>
          <w:szCs w:val="28"/>
          <w:highlight w:val="none"/>
          <w:lang w:val="en-US" w:eastAsia="zh-CN"/>
        </w:rPr>
        <w:t>候选供应商名单中按顺序确定</w:t>
      </w:r>
      <w:r>
        <w:rPr>
          <w:rFonts w:hint="eastAsia" w:ascii="宋体" w:hAnsi="宋体" w:eastAsia="宋体" w:cs="宋体"/>
          <w:color w:val="auto"/>
          <w:sz w:val="28"/>
          <w:szCs w:val="28"/>
          <w:highlight w:val="none"/>
        </w:rPr>
        <w:t>中标</w:t>
      </w:r>
      <w:r>
        <w:rPr>
          <w:rFonts w:hint="eastAsia" w:ascii="宋体" w:hAnsi="宋体" w:eastAsia="宋体" w:cs="宋体"/>
          <w:color w:val="auto"/>
          <w:sz w:val="28"/>
          <w:szCs w:val="28"/>
          <w:highlight w:val="none"/>
          <w:lang w:val="en-US" w:eastAsia="zh-CN"/>
        </w:rPr>
        <w:t>(成交)</w:t>
      </w:r>
      <w:r>
        <w:rPr>
          <w:rFonts w:hint="eastAsia" w:ascii="宋体" w:hAnsi="宋体" w:eastAsia="宋体" w:cs="宋体"/>
          <w:b w:val="0"/>
          <w:bCs w:val="0"/>
          <w:color w:val="auto"/>
          <w:sz w:val="28"/>
          <w:szCs w:val="28"/>
          <w:highlight w:val="none"/>
          <w:lang w:val="en-US" w:eastAsia="zh-CN"/>
        </w:rPr>
        <w:t xml:space="preserve">供应商，并将确认意见以书面形式回复采购代理机构，同时在政采云平台线上确认采购结果。 </w:t>
      </w:r>
    </w:p>
    <w:p w14:paraId="324F5D2B">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15.2采购结果经采购人确认后2个工作日内，采购代理机构将在</w:t>
      </w:r>
      <w:r>
        <w:rPr>
          <w:rFonts w:hint="eastAsia" w:ascii="宋体" w:hAnsi="宋体" w:eastAsia="宋体" w:cs="宋体"/>
          <w:b/>
          <w:bCs/>
          <w:color w:val="auto"/>
          <w:sz w:val="28"/>
          <w:szCs w:val="28"/>
          <w:highlight w:val="none"/>
          <w:lang w:val="en-US" w:eastAsia="zh-CN"/>
        </w:rPr>
        <w:t>新疆政府采购网（www.zjzfcg.gov.cn）上公示采购结果，中标（成交）公示期限为1个工作日。</w:t>
      </w:r>
    </w:p>
    <w:p w14:paraId="1293FE00">
      <w:pPr>
        <w:keepNext w:val="0"/>
        <w:keepLines w:val="0"/>
        <w:pageBreakBefore w:val="0"/>
        <w:shd w:val="clear" w:color="auto" w:fill="auto"/>
        <w:kinsoku/>
        <w:wordWrap/>
        <w:overflowPunct/>
        <w:topLinePunct w:val="0"/>
        <w:bidi w:val="0"/>
        <w:spacing w:line="36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16、 中标（成交）通知书</w:t>
      </w:r>
    </w:p>
    <w:p w14:paraId="235DB4FB">
      <w:pPr>
        <w:keepNext w:val="0"/>
        <w:keepLines w:val="0"/>
        <w:pageBreakBefore w:val="0"/>
        <w:shd w:val="clear" w:color="auto" w:fill="auto"/>
        <w:kinsoku/>
        <w:wordWrap/>
        <w:overflowPunct/>
        <w:topLinePunct w:val="0"/>
        <w:bidi w:val="0"/>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16.1</w:t>
      </w:r>
      <w:r>
        <w:rPr>
          <w:rFonts w:hint="eastAsia" w:ascii="宋体" w:hAnsi="宋体" w:eastAsia="宋体" w:cs="宋体"/>
          <w:color w:val="auto"/>
          <w:sz w:val="28"/>
          <w:szCs w:val="28"/>
          <w:highlight w:val="none"/>
        </w:rPr>
        <w:t>在</w:t>
      </w:r>
      <w:r>
        <w:rPr>
          <w:rFonts w:hint="eastAsia" w:ascii="宋体" w:hAnsi="宋体" w:eastAsia="宋体" w:cs="宋体"/>
          <w:color w:val="auto"/>
          <w:sz w:val="28"/>
          <w:szCs w:val="28"/>
          <w:highlight w:val="none"/>
          <w:lang w:val="en-US" w:eastAsia="zh-CN"/>
        </w:rPr>
        <w:t>中标（成交）</w:t>
      </w:r>
      <w:r>
        <w:rPr>
          <w:rFonts w:hint="eastAsia" w:ascii="宋体" w:hAnsi="宋体" w:eastAsia="宋体" w:cs="宋体"/>
          <w:color w:val="auto"/>
          <w:sz w:val="28"/>
          <w:szCs w:val="28"/>
          <w:highlight w:val="none"/>
        </w:rPr>
        <w:t>通知书发出前，</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w:t>
      </w:r>
      <w:r>
        <w:rPr>
          <w:rFonts w:hint="eastAsia" w:ascii="宋体" w:hAnsi="宋体" w:eastAsia="宋体" w:cs="宋体"/>
          <w:color w:val="auto"/>
          <w:sz w:val="28"/>
          <w:szCs w:val="28"/>
          <w:highlight w:val="none"/>
          <w:lang w:eastAsia="zh-CN"/>
        </w:rPr>
        <w:t>中标（成交）供应商</w:t>
      </w:r>
      <w:r>
        <w:rPr>
          <w:rFonts w:hint="eastAsia" w:ascii="宋体" w:hAnsi="宋体" w:eastAsia="宋体" w:cs="宋体"/>
          <w:color w:val="auto"/>
          <w:sz w:val="28"/>
          <w:szCs w:val="28"/>
          <w:highlight w:val="none"/>
        </w:rPr>
        <w:t>的情况在</w:t>
      </w:r>
      <w:r>
        <w:rPr>
          <w:rFonts w:hint="eastAsia" w:ascii="宋体" w:hAnsi="宋体" w:eastAsia="宋体" w:cs="宋体"/>
          <w:color w:val="auto"/>
          <w:sz w:val="28"/>
          <w:szCs w:val="28"/>
          <w:highlight w:val="none"/>
          <w:lang w:eastAsia="zh-CN"/>
        </w:rPr>
        <w:t>新疆政府采购网</w:t>
      </w:r>
      <w:r>
        <w:rPr>
          <w:rFonts w:hint="eastAsia" w:ascii="宋体" w:hAnsi="宋体" w:eastAsia="宋体" w:cs="宋体"/>
          <w:color w:val="auto"/>
          <w:sz w:val="28"/>
          <w:szCs w:val="28"/>
          <w:highlight w:val="none"/>
        </w:rPr>
        <w:t>予以公示，</w:t>
      </w:r>
      <w:r>
        <w:rPr>
          <w:rFonts w:hint="eastAsia" w:ascii="宋体" w:hAnsi="宋体" w:eastAsia="宋体" w:cs="宋体"/>
          <w:b/>
          <w:bCs/>
          <w:color w:val="auto"/>
          <w:sz w:val="28"/>
          <w:szCs w:val="28"/>
          <w:highlight w:val="none"/>
        </w:rPr>
        <w:t>公示期为</w:t>
      </w:r>
      <w:r>
        <w:rPr>
          <w:rFonts w:hint="eastAsia" w:ascii="宋体" w:hAnsi="宋体" w:eastAsia="宋体" w:cs="宋体"/>
          <w:b/>
          <w:bCs/>
          <w:color w:val="auto"/>
          <w:sz w:val="28"/>
          <w:szCs w:val="28"/>
          <w:highlight w:val="none"/>
          <w:lang w:eastAsia="zh-CN"/>
        </w:rPr>
        <w:t>一</w:t>
      </w:r>
      <w:r>
        <w:rPr>
          <w:rFonts w:hint="eastAsia" w:ascii="宋体" w:hAnsi="宋体" w:eastAsia="宋体" w:cs="宋体"/>
          <w:b/>
          <w:bCs/>
          <w:color w:val="auto"/>
          <w:sz w:val="28"/>
          <w:szCs w:val="28"/>
          <w:highlight w:val="none"/>
        </w:rPr>
        <w:t>个工作日。</w:t>
      </w:r>
      <w:r>
        <w:rPr>
          <w:rFonts w:hint="eastAsia" w:ascii="宋体" w:hAnsi="宋体" w:eastAsia="宋体" w:cs="宋体"/>
          <w:b/>
          <w:bCs/>
          <w:color w:val="auto"/>
          <w:sz w:val="28"/>
          <w:szCs w:val="28"/>
          <w:highlight w:val="none"/>
          <w:lang w:eastAsia="zh-CN"/>
        </w:rPr>
        <w:t>待公示期结束后，</w:t>
      </w:r>
      <w:r>
        <w:rPr>
          <w:rFonts w:hint="eastAsia" w:ascii="宋体" w:hAnsi="宋体" w:eastAsia="宋体" w:cs="宋体"/>
          <w:b w:val="0"/>
          <w:bCs w:val="0"/>
          <w:color w:val="auto"/>
          <w:sz w:val="28"/>
          <w:szCs w:val="28"/>
          <w:highlight w:val="none"/>
          <w:lang w:val="en-US" w:eastAsia="zh-CN"/>
        </w:rPr>
        <w:t>采购组织机构向</w:t>
      </w:r>
      <w:r>
        <w:rPr>
          <w:rFonts w:hint="eastAsia" w:ascii="宋体" w:hAnsi="宋体" w:eastAsia="宋体" w:cs="宋体"/>
          <w:color w:val="auto"/>
          <w:sz w:val="28"/>
          <w:szCs w:val="28"/>
          <w:highlight w:val="none"/>
        </w:rPr>
        <w:t>中标</w:t>
      </w:r>
      <w:r>
        <w:rPr>
          <w:rFonts w:hint="eastAsia" w:ascii="宋体" w:hAnsi="宋体" w:eastAsia="宋体" w:cs="宋体"/>
          <w:color w:val="auto"/>
          <w:sz w:val="28"/>
          <w:szCs w:val="28"/>
          <w:highlight w:val="none"/>
          <w:lang w:val="en-US" w:eastAsia="zh-CN"/>
        </w:rPr>
        <w:t>(成交)供应商</w:t>
      </w:r>
      <w:r>
        <w:rPr>
          <w:rFonts w:hint="eastAsia" w:ascii="宋体" w:hAnsi="宋体" w:eastAsia="宋体" w:cs="宋体"/>
          <w:b w:val="0"/>
          <w:bCs w:val="0"/>
          <w:color w:val="auto"/>
          <w:sz w:val="28"/>
          <w:szCs w:val="28"/>
          <w:highlight w:val="none"/>
          <w:lang w:val="en-US" w:eastAsia="zh-CN"/>
        </w:rPr>
        <w:t>发出中标</w:t>
      </w:r>
      <w:r>
        <w:rPr>
          <w:rFonts w:hint="eastAsia" w:ascii="宋体" w:hAnsi="宋体" w:eastAsia="宋体" w:cs="宋体"/>
          <w:color w:val="auto"/>
          <w:sz w:val="28"/>
          <w:szCs w:val="28"/>
          <w:highlight w:val="none"/>
          <w:lang w:val="en-US" w:eastAsia="zh-CN"/>
        </w:rPr>
        <w:t>（成交）</w:t>
      </w:r>
      <w:r>
        <w:rPr>
          <w:rFonts w:hint="eastAsia" w:ascii="宋体" w:hAnsi="宋体" w:eastAsia="宋体" w:cs="宋体"/>
          <w:b w:val="0"/>
          <w:bCs w:val="0"/>
          <w:color w:val="auto"/>
          <w:sz w:val="28"/>
          <w:szCs w:val="28"/>
          <w:highlight w:val="none"/>
          <w:lang w:val="en-US" w:eastAsia="zh-CN"/>
        </w:rPr>
        <w:t>通知书。</w:t>
      </w:r>
    </w:p>
    <w:p w14:paraId="634B9D75">
      <w:pPr>
        <w:pStyle w:val="9"/>
        <w:keepNext w:val="0"/>
        <w:keepLines w:val="0"/>
        <w:pageBreakBefore w:val="0"/>
        <w:widowControl w:val="0"/>
        <w:kinsoku/>
        <w:wordWrap/>
        <w:overflowPunct/>
        <w:topLinePunct w:val="0"/>
        <w:bidi w:val="0"/>
        <w:snapToGrid w:val="0"/>
        <w:spacing w:before="0" w:beforeAutospacing="0" w:after="0" w:afterAutospacing="0" w:line="360" w:lineRule="auto"/>
        <w:ind w:firstLine="560" w:firstLineChars="200"/>
        <w:jc w:val="left"/>
        <w:textAlignment w:val="baseline"/>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bCs w:val="0"/>
          <w:color w:val="auto"/>
          <w:kern w:val="2"/>
          <w:sz w:val="28"/>
          <w:szCs w:val="28"/>
          <w:highlight w:val="none"/>
          <w:lang w:val="en-US" w:eastAsia="zh-CN" w:bidi="ar-SA"/>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4D883945">
      <w:pPr>
        <w:pStyle w:val="39"/>
        <w:keepNext w:val="0"/>
        <w:keepLines w:val="0"/>
        <w:pageBreakBefore w:val="0"/>
        <w:numPr>
          <w:ilvl w:val="0"/>
          <w:numId w:val="8"/>
        </w:numPr>
        <w:kinsoku/>
        <w:wordWrap/>
        <w:overflowPunct/>
        <w:topLinePunct w:val="0"/>
        <w:bidi w:val="0"/>
        <w:spacing w:line="360" w:lineRule="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磋商小组推荐成交供应商的数量</w:t>
      </w:r>
      <w:r>
        <w:rPr>
          <w:rFonts w:hint="eastAsia" w:ascii="宋体" w:hAnsi="宋体" w:eastAsia="宋体" w:cs="宋体"/>
          <w:b/>
          <w:bCs/>
          <w:color w:val="auto"/>
          <w:kern w:val="2"/>
          <w:sz w:val="28"/>
          <w:szCs w:val="28"/>
          <w:highlight w:val="none"/>
          <w:u w:val="single"/>
          <w:lang w:val="en-US" w:eastAsia="zh-CN" w:bidi="ar-SA"/>
        </w:rPr>
        <w:t xml:space="preserve">：3 </w:t>
      </w:r>
      <w:r>
        <w:rPr>
          <w:rFonts w:hint="eastAsia" w:ascii="宋体" w:hAnsi="宋体" w:eastAsia="宋体" w:cs="宋体"/>
          <w:b/>
          <w:bCs/>
          <w:color w:val="auto"/>
          <w:kern w:val="2"/>
          <w:sz w:val="28"/>
          <w:szCs w:val="28"/>
          <w:highlight w:val="none"/>
          <w:lang w:val="en-US" w:eastAsia="zh-CN" w:bidi="ar-SA"/>
        </w:rPr>
        <w:t xml:space="preserve">。 </w:t>
      </w:r>
    </w:p>
    <w:p w14:paraId="26C03EA5">
      <w:pPr>
        <w:pStyle w:val="15"/>
        <w:widowControl w:val="0"/>
        <w:numPr>
          <w:ilvl w:val="0"/>
          <w:numId w:val="0"/>
        </w:numPr>
        <w:spacing w:line="360" w:lineRule="auto"/>
        <w:jc w:val="both"/>
        <w:rPr>
          <w:rFonts w:hint="eastAsia" w:ascii="宋体" w:hAnsi="宋体" w:eastAsia="宋体" w:cs="宋体"/>
          <w:color w:val="auto"/>
          <w:sz w:val="28"/>
          <w:szCs w:val="28"/>
        </w:rPr>
      </w:pPr>
    </w:p>
    <w:p w14:paraId="2C1E63DF">
      <w:pPr>
        <w:pStyle w:val="9"/>
        <w:spacing w:line="360" w:lineRule="auto"/>
        <w:rPr>
          <w:rFonts w:hint="eastAsia" w:ascii="宋体" w:hAnsi="宋体" w:eastAsia="宋体" w:cs="宋体"/>
          <w:color w:val="auto"/>
          <w:sz w:val="28"/>
          <w:szCs w:val="21"/>
        </w:rPr>
      </w:pPr>
    </w:p>
    <w:p w14:paraId="1F8B8514">
      <w:pPr>
        <w:spacing w:line="360" w:lineRule="auto"/>
        <w:rPr>
          <w:rFonts w:hint="eastAsia" w:ascii="宋体" w:hAnsi="宋体" w:eastAsia="宋体" w:cs="宋体"/>
          <w:color w:val="auto"/>
          <w:sz w:val="22"/>
          <w:szCs w:val="28"/>
        </w:rPr>
      </w:pPr>
    </w:p>
    <w:p w14:paraId="60B066AC">
      <w:pPr>
        <w:pStyle w:val="9"/>
        <w:spacing w:line="360" w:lineRule="auto"/>
        <w:rPr>
          <w:rFonts w:hint="eastAsia" w:ascii="宋体" w:hAnsi="宋体" w:eastAsia="宋体" w:cs="宋体"/>
          <w:color w:val="auto"/>
          <w:sz w:val="28"/>
          <w:szCs w:val="21"/>
        </w:rPr>
      </w:pPr>
    </w:p>
    <w:p w14:paraId="35BED785">
      <w:pPr>
        <w:pStyle w:val="9"/>
        <w:spacing w:line="360" w:lineRule="auto"/>
        <w:rPr>
          <w:rFonts w:hint="eastAsia" w:ascii="宋体" w:hAnsi="宋体" w:eastAsia="宋体" w:cs="宋体"/>
          <w:color w:val="auto"/>
          <w:sz w:val="28"/>
          <w:szCs w:val="21"/>
        </w:rPr>
      </w:pPr>
    </w:p>
    <w:p w14:paraId="4A384BA5">
      <w:pPr>
        <w:pStyle w:val="9"/>
        <w:spacing w:line="360" w:lineRule="auto"/>
        <w:rPr>
          <w:rFonts w:hint="eastAsia" w:ascii="宋体" w:hAnsi="宋体" w:eastAsia="宋体" w:cs="宋体"/>
          <w:color w:val="auto"/>
          <w:sz w:val="28"/>
          <w:szCs w:val="21"/>
        </w:rPr>
      </w:pPr>
    </w:p>
    <w:p w14:paraId="55F15AC0">
      <w:pPr>
        <w:pStyle w:val="9"/>
        <w:spacing w:line="360" w:lineRule="auto"/>
        <w:rPr>
          <w:rFonts w:hint="eastAsia" w:ascii="宋体" w:hAnsi="宋体" w:eastAsia="宋体" w:cs="宋体"/>
          <w:color w:val="auto"/>
          <w:sz w:val="28"/>
          <w:szCs w:val="21"/>
        </w:rPr>
      </w:pPr>
    </w:p>
    <w:p w14:paraId="4C8BF51E">
      <w:pPr>
        <w:pStyle w:val="11"/>
        <w:spacing w:line="360" w:lineRule="auto"/>
        <w:rPr>
          <w:rFonts w:hint="eastAsia" w:ascii="宋体" w:hAnsi="宋体" w:eastAsia="宋体" w:cs="宋体"/>
          <w:color w:val="auto"/>
          <w:sz w:val="28"/>
          <w:szCs w:val="28"/>
        </w:rPr>
      </w:pPr>
    </w:p>
    <w:p w14:paraId="3D71EA14">
      <w:pPr>
        <w:spacing w:line="360" w:lineRule="auto"/>
        <w:rPr>
          <w:rFonts w:hint="eastAsia" w:ascii="宋体" w:hAnsi="宋体" w:eastAsia="宋体" w:cs="宋体"/>
          <w:b/>
          <w:bCs/>
          <w:color w:val="auto"/>
          <w:sz w:val="28"/>
          <w:szCs w:val="28"/>
        </w:rPr>
      </w:pPr>
      <w:bookmarkStart w:id="741" w:name="_Toc18832"/>
      <w:bookmarkStart w:id="742" w:name="_Toc1826"/>
      <w:bookmarkStart w:id="743" w:name="_Toc10077"/>
      <w:r>
        <w:rPr>
          <w:rFonts w:hint="eastAsia" w:ascii="宋体" w:hAnsi="宋体" w:eastAsia="宋体" w:cs="宋体"/>
          <w:b/>
          <w:bCs/>
          <w:color w:val="auto"/>
          <w:sz w:val="28"/>
          <w:szCs w:val="28"/>
        </w:rPr>
        <w:br w:type="page"/>
      </w:r>
    </w:p>
    <w:p w14:paraId="5857B4C5">
      <w:pPr>
        <w:snapToGrid w:val="0"/>
        <w:spacing w:line="360" w:lineRule="auto"/>
        <w:jc w:val="center"/>
        <w:textAlignment w:val="baseline"/>
        <w:outlineLvl w:val="1"/>
        <w:rPr>
          <w:rFonts w:hint="eastAsia" w:ascii="宋体" w:hAnsi="宋体" w:eastAsia="宋体" w:cs="宋体"/>
          <w:b/>
          <w:bCs/>
          <w:color w:val="auto"/>
          <w:sz w:val="28"/>
          <w:szCs w:val="28"/>
        </w:rPr>
      </w:pPr>
      <w:bookmarkStart w:id="744" w:name="_Toc2505"/>
      <w:r>
        <w:rPr>
          <w:rFonts w:hint="eastAsia" w:ascii="宋体" w:hAnsi="宋体" w:eastAsia="宋体" w:cs="宋体"/>
          <w:b/>
          <w:bCs/>
          <w:color w:val="auto"/>
          <w:sz w:val="28"/>
          <w:szCs w:val="28"/>
        </w:rPr>
        <w:t>初步评审—资格性审查表</w:t>
      </w:r>
      <w:bookmarkEnd w:id="724"/>
      <w:bookmarkEnd w:id="725"/>
      <w:bookmarkEnd w:id="726"/>
      <w:bookmarkEnd w:id="727"/>
      <w:bookmarkEnd w:id="728"/>
      <w:bookmarkEnd w:id="729"/>
      <w:bookmarkEnd w:id="730"/>
      <w:bookmarkEnd w:id="731"/>
      <w:bookmarkEnd w:id="732"/>
      <w:bookmarkEnd w:id="733"/>
      <w:bookmarkEnd w:id="741"/>
      <w:bookmarkEnd w:id="742"/>
      <w:bookmarkEnd w:id="743"/>
      <w:bookmarkEnd w:id="744"/>
    </w:p>
    <w:tbl>
      <w:tblPr>
        <w:tblStyle w:val="40"/>
        <w:tblpPr w:leftFromText="180" w:rightFromText="180" w:vertAnchor="text" w:horzAnchor="page" w:tblpXSpec="center" w:tblpY="116"/>
        <w:tblOverlap w:val="never"/>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225"/>
        <w:gridCol w:w="912"/>
        <w:gridCol w:w="750"/>
        <w:gridCol w:w="727"/>
      </w:tblGrid>
      <w:tr w14:paraId="110E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53" w:type="dxa"/>
            <w:vMerge w:val="restart"/>
            <w:vAlign w:val="center"/>
          </w:tcPr>
          <w:p w14:paraId="0B59DB9E">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7225" w:type="dxa"/>
            <w:vMerge w:val="restart"/>
            <w:vAlign w:val="center"/>
          </w:tcPr>
          <w:p w14:paraId="415900FF">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评审内容</w:t>
            </w:r>
          </w:p>
        </w:tc>
        <w:tc>
          <w:tcPr>
            <w:tcW w:w="2389" w:type="dxa"/>
            <w:gridSpan w:val="3"/>
            <w:vAlign w:val="center"/>
          </w:tcPr>
          <w:p w14:paraId="0EB97605">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p>
        </w:tc>
      </w:tr>
      <w:tr w14:paraId="3D43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53" w:type="dxa"/>
            <w:vMerge w:val="continue"/>
            <w:vAlign w:val="center"/>
          </w:tcPr>
          <w:p w14:paraId="09886D28">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bCs/>
                <w:color w:val="auto"/>
                <w:sz w:val="24"/>
                <w:szCs w:val="24"/>
              </w:rPr>
            </w:pPr>
          </w:p>
        </w:tc>
        <w:tc>
          <w:tcPr>
            <w:tcW w:w="7225" w:type="dxa"/>
            <w:vMerge w:val="continue"/>
            <w:vAlign w:val="center"/>
          </w:tcPr>
          <w:p w14:paraId="492FBC2B">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bCs/>
                <w:color w:val="auto"/>
                <w:sz w:val="24"/>
                <w:szCs w:val="24"/>
              </w:rPr>
            </w:pPr>
          </w:p>
        </w:tc>
        <w:tc>
          <w:tcPr>
            <w:tcW w:w="912" w:type="dxa"/>
            <w:vAlign w:val="center"/>
          </w:tcPr>
          <w:p w14:paraId="0A7A482B">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是否合格</w:t>
            </w:r>
          </w:p>
        </w:tc>
        <w:tc>
          <w:tcPr>
            <w:tcW w:w="750" w:type="dxa"/>
            <w:vAlign w:val="center"/>
          </w:tcPr>
          <w:p w14:paraId="03426584">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是否合格</w:t>
            </w:r>
          </w:p>
        </w:tc>
        <w:tc>
          <w:tcPr>
            <w:tcW w:w="727" w:type="dxa"/>
            <w:vAlign w:val="center"/>
          </w:tcPr>
          <w:p w14:paraId="22D1F90C">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是否合格</w:t>
            </w:r>
          </w:p>
        </w:tc>
      </w:tr>
      <w:tr w14:paraId="15A9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3" w:type="dxa"/>
            <w:vAlign w:val="center"/>
          </w:tcPr>
          <w:p w14:paraId="1E77AA01">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225" w:type="dxa"/>
            <w:vAlign w:val="center"/>
          </w:tcPr>
          <w:p w14:paraId="6595835C">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有效的三证合一营业执照</w:t>
            </w:r>
          </w:p>
        </w:tc>
        <w:tc>
          <w:tcPr>
            <w:tcW w:w="912" w:type="dxa"/>
          </w:tcPr>
          <w:p w14:paraId="52AEFC6D">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50" w:type="dxa"/>
          </w:tcPr>
          <w:p w14:paraId="3D1B7572">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27" w:type="dxa"/>
          </w:tcPr>
          <w:p w14:paraId="2B192ED2">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r>
      <w:tr w14:paraId="2586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53" w:type="dxa"/>
            <w:vAlign w:val="center"/>
          </w:tcPr>
          <w:p w14:paraId="5212C354">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225" w:type="dxa"/>
            <w:vAlign w:val="center"/>
          </w:tcPr>
          <w:p w14:paraId="2D8CAEC9">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企业资质要求：具备【市政公用工程监理专业乙级及以上资质】，并在人员、设备、资金等方面具有相应的监理能力。</w:t>
            </w:r>
          </w:p>
        </w:tc>
        <w:tc>
          <w:tcPr>
            <w:tcW w:w="912" w:type="dxa"/>
          </w:tcPr>
          <w:p w14:paraId="591F4091">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50" w:type="dxa"/>
          </w:tcPr>
          <w:p w14:paraId="74001FE3">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27" w:type="dxa"/>
          </w:tcPr>
          <w:p w14:paraId="5534F017">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r>
      <w:tr w14:paraId="3CD8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3" w:type="dxa"/>
            <w:vAlign w:val="center"/>
          </w:tcPr>
          <w:p w14:paraId="40CAC2E7">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7225" w:type="dxa"/>
            <w:vAlign w:val="center"/>
          </w:tcPr>
          <w:p w14:paraId="44131C9A">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项目总监资质要求：项目总监须具备【市政公用工程专业注册监理工程师执业资格】，且不得有其他在施建设工程，提供近六个月任意一月有效的社保证明。</w:t>
            </w:r>
          </w:p>
        </w:tc>
        <w:tc>
          <w:tcPr>
            <w:tcW w:w="912" w:type="dxa"/>
          </w:tcPr>
          <w:p w14:paraId="10B61DA5">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50" w:type="dxa"/>
          </w:tcPr>
          <w:p w14:paraId="21966385">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27" w:type="dxa"/>
          </w:tcPr>
          <w:p w14:paraId="3411858D">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r>
      <w:tr w14:paraId="063F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53" w:type="dxa"/>
            <w:vAlign w:val="center"/>
          </w:tcPr>
          <w:p w14:paraId="5E880FF6">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bCs/>
                <w:color w:val="auto"/>
                <w:sz w:val="24"/>
                <w:szCs w:val="24"/>
              </w:rPr>
            </w:pPr>
            <w:r>
              <w:rPr>
                <w:rFonts w:hint="eastAsia" w:ascii="宋体" w:hAnsi="宋体" w:eastAsia="宋体" w:cs="宋体"/>
                <w:color w:val="auto"/>
                <w:sz w:val="24"/>
                <w:szCs w:val="24"/>
                <w:highlight w:val="none"/>
                <w:lang w:val="en-US" w:eastAsia="zh-CN"/>
              </w:rPr>
              <w:t>4</w:t>
            </w:r>
          </w:p>
        </w:tc>
        <w:tc>
          <w:tcPr>
            <w:tcW w:w="7225" w:type="dxa"/>
            <w:vAlign w:val="center"/>
          </w:tcPr>
          <w:p w14:paraId="6B5F8408">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法定代表人投标需提供法定代表人资格证明书，委托代理人投标需提供法定代表人授权委托书；</w:t>
            </w:r>
          </w:p>
        </w:tc>
        <w:tc>
          <w:tcPr>
            <w:tcW w:w="912" w:type="dxa"/>
          </w:tcPr>
          <w:p w14:paraId="3EC38D24">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50" w:type="dxa"/>
          </w:tcPr>
          <w:p w14:paraId="3069F77C">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27" w:type="dxa"/>
          </w:tcPr>
          <w:p w14:paraId="5EDE3013">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r>
      <w:tr w14:paraId="3370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53" w:type="dxa"/>
            <w:vAlign w:val="center"/>
          </w:tcPr>
          <w:p w14:paraId="6ADF81BC">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bCs/>
                <w:color w:val="auto"/>
                <w:sz w:val="24"/>
                <w:szCs w:val="24"/>
              </w:rPr>
            </w:pPr>
            <w:r>
              <w:rPr>
                <w:rFonts w:hint="eastAsia" w:ascii="宋体" w:hAnsi="宋体" w:eastAsia="宋体" w:cs="宋体"/>
                <w:color w:val="auto"/>
                <w:sz w:val="24"/>
                <w:szCs w:val="24"/>
                <w:highlight w:val="none"/>
                <w:lang w:val="en-US" w:eastAsia="zh-CN"/>
              </w:rPr>
              <w:t>5</w:t>
            </w:r>
          </w:p>
        </w:tc>
        <w:tc>
          <w:tcPr>
            <w:tcW w:w="7225" w:type="dxa"/>
            <w:vAlign w:val="center"/>
          </w:tcPr>
          <w:p w14:paraId="1AFC090D">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提供本单位缴纳的近六个月任意一个月社保缴纳证明；</w:t>
            </w:r>
          </w:p>
        </w:tc>
        <w:tc>
          <w:tcPr>
            <w:tcW w:w="912" w:type="dxa"/>
          </w:tcPr>
          <w:p w14:paraId="08B4D72B">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50" w:type="dxa"/>
          </w:tcPr>
          <w:p w14:paraId="59649BE5">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27" w:type="dxa"/>
          </w:tcPr>
          <w:p w14:paraId="1194A332">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r>
      <w:tr w14:paraId="6133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53" w:type="dxa"/>
            <w:vAlign w:val="center"/>
          </w:tcPr>
          <w:p w14:paraId="4DCDB7A3">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6</w:t>
            </w:r>
          </w:p>
        </w:tc>
        <w:tc>
          <w:tcPr>
            <w:tcW w:w="7225" w:type="dxa"/>
            <w:vAlign w:val="center"/>
          </w:tcPr>
          <w:p w14:paraId="1A9D5000">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提供近六个月任意一个月税务局开具的完税证明；（完税证明或税务部门出具的其他证明，非社会保险类）；</w:t>
            </w:r>
          </w:p>
        </w:tc>
        <w:tc>
          <w:tcPr>
            <w:tcW w:w="912" w:type="dxa"/>
          </w:tcPr>
          <w:p w14:paraId="5BAC4A46">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50" w:type="dxa"/>
          </w:tcPr>
          <w:p w14:paraId="67B6991E">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27" w:type="dxa"/>
          </w:tcPr>
          <w:p w14:paraId="1B0EA70D">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r>
      <w:tr w14:paraId="50D3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shd w:val="clear" w:color="auto" w:fill="auto"/>
            <w:vAlign w:val="center"/>
          </w:tcPr>
          <w:p w14:paraId="50903CC2">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bCs/>
                <w:color w:val="auto"/>
                <w:sz w:val="24"/>
                <w:szCs w:val="24"/>
                <w:lang w:val="en-US" w:eastAsia="zh-CN"/>
              </w:rPr>
              <w:t>7</w:t>
            </w:r>
          </w:p>
        </w:tc>
        <w:tc>
          <w:tcPr>
            <w:tcW w:w="7225" w:type="dxa"/>
            <w:vAlign w:val="center"/>
          </w:tcPr>
          <w:p w14:paraId="270A46CF">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2023年度财务审计报告(新成立公司提供开标前六个月内任意一个月有效银行资信证明)</w:t>
            </w:r>
          </w:p>
        </w:tc>
        <w:tc>
          <w:tcPr>
            <w:tcW w:w="912" w:type="dxa"/>
          </w:tcPr>
          <w:p w14:paraId="5854A5DA">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50" w:type="dxa"/>
          </w:tcPr>
          <w:p w14:paraId="4EC07DCF">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27" w:type="dxa"/>
          </w:tcPr>
          <w:p w14:paraId="58AF8992">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r>
      <w:tr w14:paraId="7FCA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shd w:val="clear" w:color="auto" w:fill="auto"/>
            <w:vAlign w:val="center"/>
          </w:tcPr>
          <w:p w14:paraId="68995C5D">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rPr>
              <w:t>8</w:t>
            </w:r>
          </w:p>
        </w:tc>
        <w:tc>
          <w:tcPr>
            <w:tcW w:w="7225" w:type="dxa"/>
            <w:vAlign w:val="center"/>
          </w:tcPr>
          <w:p w14:paraId="72D9349C">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参加采购活动前三年内，投标企业未被“信用中国”（www.creditchina.gov.cn）、中国政府采购网（www.ccgp.gov.cn）列入失信被执行人、重大税收违法案件当事人名单、政府采购严重违法失信行为记录名单。</w:t>
            </w:r>
          </w:p>
        </w:tc>
        <w:tc>
          <w:tcPr>
            <w:tcW w:w="912" w:type="dxa"/>
          </w:tcPr>
          <w:p w14:paraId="2EFC8EDF">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50" w:type="dxa"/>
          </w:tcPr>
          <w:p w14:paraId="2E4B1E30">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27" w:type="dxa"/>
          </w:tcPr>
          <w:p w14:paraId="1BCF4DAD">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r>
      <w:tr w14:paraId="5B42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shd w:val="clear" w:color="auto" w:fill="auto"/>
            <w:vAlign w:val="center"/>
          </w:tcPr>
          <w:p w14:paraId="1CE650DA">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w:t>
            </w:r>
          </w:p>
        </w:tc>
        <w:tc>
          <w:tcPr>
            <w:tcW w:w="7225" w:type="dxa"/>
            <w:vAlign w:val="center"/>
          </w:tcPr>
          <w:p w14:paraId="41A722EF">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磋商保证金有效凭证。</w:t>
            </w:r>
          </w:p>
        </w:tc>
        <w:tc>
          <w:tcPr>
            <w:tcW w:w="912" w:type="dxa"/>
          </w:tcPr>
          <w:p w14:paraId="7B81784A">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50" w:type="dxa"/>
          </w:tcPr>
          <w:p w14:paraId="5632DE47">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27" w:type="dxa"/>
          </w:tcPr>
          <w:p w14:paraId="5980E19E">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r>
      <w:tr w14:paraId="7EAE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79D74B10">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7225" w:type="dxa"/>
            <w:vAlign w:val="center"/>
          </w:tcPr>
          <w:p w14:paraId="605B9580">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本项目为专门面向中小企业（供应商须根据招标文件中的法定格式提供中小企业声明函）。</w:t>
            </w:r>
          </w:p>
        </w:tc>
        <w:tc>
          <w:tcPr>
            <w:tcW w:w="912" w:type="dxa"/>
          </w:tcPr>
          <w:p w14:paraId="1EC0AEA8">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50" w:type="dxa"/>
          </w:tcPr>
          <w:p w14:paraId="2EA39485">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27" w:type="dxa"/>
          </w:tcPr>
          <w:p w14:paraId="3A41386F">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r>
      <w:tr w14:paraId="7A84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038F7179">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宋体" w:hAnsi="宋体" w:eastAsia="宋体" w:cs="宋体"/>
                <w:color w:val="auto"/>
                <w:sz w:val="24"/>
                <w:szCs w:val="24"/>
              </w:rPr>
            </w:pPr>
          </w:p>
        </w:tc>
        <w:tc>
          <w:tcPr>
            <w:tcW w:w="7225" w:type="dxa"/>
            <w:vAlign w:val="center"/>
          </w:tcPr>
          <w:p w14:paraId="5D745A07">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结论</w:t>
            </w:r>
          </w:p>
        </w:tc>
        <w:tc>
          <w:tcPr>
            <w:tcW w:w="912" w:type="dxa"/>
          </w:tcPr>
          <w:p w14:paraId="0ED86A3C">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50" w:type="dxa"/>
          </w:tcPr>
          <w:p w14:paraId="607733AB">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c>
          <w:tcPr>
            <w:tcW w:w="727" w:type="dxa"/>
          </w:tcPr>
          <w:p w14:paraId="588DC709">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宋体" w:hAnsi="宋体" w:eastAsia="宋体" w:cs="宋体"/>
                <w:color w:val="auto"/>
                <w:sz w:val="24"/>
                <w:szCs w:val="24"/>
              </w:rPr>
            </w:pPr>
          </w:p>
        </w:tc>
      </w:tr>
    </w:tbl>
    <w:p w14:paraId="2E76FE68">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说明：（1）上述各项中用“√”表示通过，“×”表示不通过；</w:t>
      </w:r>
    </w:p>
    <w:p w14:paraId="053264DD">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（2）上述各项中如有一项为“×”，则结论为“×”，表示该磋商文件中存在重大偏差，不能通过初步评审；评委对某一分项评审认为不合格时，必须要写明原因。</w:t>
      </w:r>
    </w:p>
    <w:p w14:paraId="6BE3797A">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（3）磋商文件最终合格与否，以所有评委的评审意见中少数服从多数为原则定论。</w:t>
      </w:r>
    </w:p>
    <w:p w14:paraId="1FC34614">
      <w:pPr>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备注：如果磋商文件中有一项未通过上述审查标准，评审委员会将认定整个磋商文件未响应磋商文件而予以废标处理。</w:t>
      </w:r>
      <w:bookmarkStart w:id="745" w:name="_Toc19552"/>
      <w:bookmarkStart w:id="746" w:name="_Toc22896"/>
    </w:p>
    <w:p w14:paraId="12577B38">
      <w:pPr>
        <w:pStyle w:val="30"/>
        <w:spacing w:line="360" w:lineRule="auto"/>
        <w:rPr>
          <w:rFonts w:hint="eastAsia" w:ascii="宋体" w:hAnsi="宋体" w:eastAsia="宋体" w:cs="宋体"/>
          <w:b/>
          <w:bCs/>
          <w:color w:val="auto"/>
          <w:sz w:val="28"/>
          <w:szCs w:val="28"/>
        </w:rPr>
      </w:pPr>
    </w:p>
    <w:p w14:paraId="7FD6BBEA">
      <w:pPr>
        <w:pStyle w:val="30"/>
        <w:spacing w:line="360" w:lineRule="auto"/>
        <w:rPr>
          <w:rFonts w:hint="eastAsia" w:ascii="宋体" w:hAnsi="宋体" w:eastAsia="宋体" w:cs="宋体"/>
          <w:b/>
          <w:bCs/>
          <w:color w:val="auto"/>
          <w:sz w:val="28"/>
          <w:szCs w:val="28"/>
        </w:rPr>
      </w:pPr>
    </w:p>
    <w:p w14:paraId="4B926D64">
      <w:pPr>
        <w:spacing w:line="360" w:lineRule="auto"/>
        <w:rPr>
          <w:rFonts w:hint="eastAsia" w:ascii="宋体" w:hAnsi="宋体" w:eastAsia="宋体" w:cs="宋体"/>
          <w:b/>
          <w:color w:val="auto"/>
          <w:sz w:val="32"/>
          <w:szCs w:val="32"/>
        </w:rPr>
      </w:pPr>
      <w:bookmarkStart w:id="747" w:name="_Toc25729"/>
      <w:bookmarkStart w:id="748" w:name="_Toc17473"/>
      <w:bookmarkStart w:id="749" w:name="_Toc23517"/>
      <w:bookmarkStart w:id="750" w:name="_Toc13650"/>
      <w:bookmarkStart w:id="751" w:name="_Toc17652"/>
      <w:bookmarkStart w:id="752" w:name="_Toc22949"/>
      <w:bookmarkStart w:id="753" w:name="_Toc29597"/>
      <w:bookmarkStart w:id="754" w:name="_Toc11623"/>
      <w:bookmarkStart w:id="755" w:name="_Toc347"/>
      <w:bookmarkStart w:id="756" w:name="_Toc10503"/>
      <w:bookmarkStart w:id="757" w:name="_Toc13208"/>
    </w:p>
    <w:p w14:paraId="174C4264">
      <w:pPr>
        <w:rPr>
          <w:rFonts w:hint="eastAsia" w:ascii="宋体" w:hAnsi="宋体" w:eastAsia="宋体" w:cs="宋体"/>
          <w:b/>
          <w:color w:val="auto"/>
          <w:sz w:val="32"/>
          <w:szCs w:val="32"/>
        </w:rPr>
      </w:pPr>
      <w:bookmarkStart w:id="758" w:name="_Toc17081"/>
      <w:r>
        <w:rPr>
          <w:rFonts w:hint="eastAsia" w:ascii="宋体" w:hAnsi="宋体" w:eastAsia="宋体" w:cs="宋体"/>
          <w:b/>
          <w:color w:val="auto"/>
          <w:sz w:val="32"/>
          <w:szCs w:val="32"/>
        </w:rPr>
        <w:br w:type="page"/>
      </w:r>
    </w:p>
    <w:p w14:paraId="78158F17">
      <w:pPr>
        <w:pStyle w:val="9"/>
        <w:snapToGrid w:val="0"/>
        <w:spacing w:line="360" w:lineRule="auto"/>
        <w:ind w:firstLine="0"/>
        <w:jc w:val="center"/>
        <w:textAlignment w:val="baseline"/>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初步评审—符合性审查表</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tbl>
      <w:tblPr>
        <w:tblStyle w:val="40"/>
        <w:tblpPr w:leftFromText="180" w:rightFromText="180" w:vertAnchor="text" w:horzAnchor="page" w:tblpXSpec="center" w:tblpY="262"/>
        <w:tblOverlap w:val="never"/>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887"/>
        <w:gridCol w:w="1668"/>
      </w:tblGrid>
      <w:tr w14:paraId="22D7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51" w:type="dxa"/>
            <w:gridSpan w:val="2"/>
            <w:vAlign w:val="center"/>
          </w:tcPr>
          <w:p w14:paraId="758FA16B">
            <w:pPr>
              <w:spacing w:line="360" w:lineRule="auto"/>
              <w:jc w:val="center"/>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评审内容</w:t>
            </w:r>
          </w:p>
        </w:tc>
        <w:tc>
          <w:tcPr>
            <w:tcW w:w="1668" w:type="dxa"/>
            <w:vAlign w:val="center"/>
          </w:tcPr>
          <w:p w14:paraId="374FC641">
            <w:pPr>
              <w:spacing w:line="360" w:lineRule="auto"/>
              <w:jc w:val="center"/>
              <w:rPr>
                <w:rFonts w:hint="eastAsia" w:ascii="宋体" w:hAnsi="宋体" w:eastAsia="宋体" w:cs="宋体"/>
                <w:color w:val="auto"/>
                <w:spacing w:val="-2"/>
                <w:sz w:val="28"/>
                <w:szCs w:val="28"/>
              </w:rPr>
            </w:pPr>
            <w:r>
              <w:rPr>
                <w:rFonts w:hint="eastAsia" w:ascii="宋体" w:hAnsi="宋体" w:eastAsia="宋体" w:cs="宋体"/>
                <w:b/>
                <w:color w:val="auto"/>
                <w:sz w:val="28"/>
                <w:szCs w:val="28"/>
              </w:rPr>
              <w:t>评审意见</w:t>
            </w:r>
          </w:p>
        </w:tc>
      </w:tr>
      <w:tr w14:paraId="097B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vAlign w:val="center"/>
          </w:tcPr>
          <w:p w14:paraId="2F77DABF">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887" w:type="dxa"/>
            <w:vAlign w:val="center"/>
          </w:tcPr>
          <w:p w14:paraId="69EEF945">
            <w:pPr>
              <w:spacing w:line="360" w:lineRule="auto"/>
              <w:rPr>
                <w:rFonts w:hint="eastAsia" w:ascii="宋体" w:hAnsi="宋体" w:eastAsia="宋体" w:cs="宋体"/>
                <w:color w:val="auto"/>
                <w:spacing w:val="-2"/>
                <w:sz w:val="28"/>
                <w:szCs w:val="28"/>
              </w:rPr>
            </w:pPr>
          </w:p>
        </w:tc>
        <w:tc>
          <w:tcPr>
            <w:tcW w:w="1668" w:type="dxa"/>
            <w:vAlign w:val="center"/>
          </w:tcPr>
          <w:p w14:paraId="5F7904B1">
            <w:pPr>
              <w:spacing w:line="360" w:lineRule="auto"/>
              <w:jc w:val="center"/>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是否合格</w:t>
            </w:r>
          </w:p>
        </w:tc>
      </w:tr>
      <w:tr w14:paraId="5EC5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2311FAB1">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6887" w:type="dxa"/>
            <w:vAlign w:val="center"/>
          </w:tcPr>
          <w:p w14:paraId="7C86E516">
            <w:pPr>
              <w:snapToGrid w:val="0"/>
              <w:spacing w:line="360" w:lineRule="auto"/>
              <w:textAlignment w:val="baseline"/>
              <w:rPr>
                <w:rFonts w:hint="eastAsia" w:ascii="宋体" w:hAnsi="宋体" w:eastAsia="宋体" w:cs="宋体"/>
                <w:color w:val="auto"/>
                <w:spacing w:val="-2"/>
                <w:sz w:val="28"/>
                <w:szCs w:val="28"/>
                <w:lang w:eastAsia="zh-CN"/>
              </w:rPr>
            </w:pPr>
            <w:r>
              <w:rPr>
                <w:rFonts w:hint="eastAsia" w:ascii="宋体" w:hAnsi="宋体" w:eastAsia="宋体" w:cs="宋体"/>
                <w:color w:val="auto"/>
                <w:sz w:val="28"/>
                <w:szCs w:val="28"/>
              </w:rPr>
              <w:t>投标文件按招标文件要求签署、盖章满足</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文件要求。</w:t>
            </w:r>
          </w:p>
        </w:tc>
        <w:tc>
          <w:tcPr>
            <w:tcW w:w="1668" w:type="dxa"/>
            <w:vAlign w:val="center"/>
          </w:tcPr>
          <w:p w14:paraId="17956410">
            <w:pPr>
              <w:spacing w:line="360" w:lineRule="auto"/>
              <w:rPr>
                <w:rFonts w:hint="eastAsia" w:ascii="宋体" w:hAnsi="宋体" w:eastAsia="宋体" w:cs="宋体"/>
                <w:color w:val="auto"/>
                <w:spacing w:val="-2"/>
                <w:sz w:val="28"/>
                <w:szCs w:val="28"/>
              </w:rPr>
            </w:pPr>
          </w:p>
        </w:tc>
      </w:tr>
      <w:tr w14:paraId="20FC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64" w:type="dxa"/>
            <w:vAlign w:val="center"/>
          </w:tcPr>
          <w:p w14:paraId="40ECFCA4">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6887" w:type="dxa"/>
            <w:vAlign w:val="center"/>
          </w:tcPr>
          <w:p w14:paraId="643F6181">
            <w:pPr>
              <w:snapToGrid w:val="0"/>
              <w:spacing w:line="360" w:lineRule="auto"/>
              <w:textAlignment w:val="baseline"/>
              <w:rPr>
                <w:rFonts w:hint="eastAsia" w:ascii="宋体" w:hAnsi="宋体" w:eastAsia="宋体" w:cs="宋体"/>
                <w:color w:val="auto"/>
                <w:spacing w:val="-2"/>
                <w:sz w:val="28"/>
                <w:szCs w:val="28"/>
                <w:lang w:eastAsia="zh-CN"/>
              </w:rPr>
            </w:pPr>
            <w:r>
              <w:rPr>
                <w:rFonts w:hint="eastAsia" w:ascii="宋体" w:hAnsi="宋体" w:eastAsia="宋体" w:cs="宋体"/>
                <w:color w:val="auto"/>
                <w:sz w:val="28"/>
                <w:szCs w:val="28"/>
                <w:lang w:val="en-US" w:eastAsia="zh-CN"/>
              </w:rPr>
              <w:t>供应商未按招标文件要求制作填写投标文件，内容不全或关键字迹模糊、无法辨认的情况；</w:t>
            </w:r>
          </w:p>
        </w:tc>
        <w:tc>
          <w:tcPr>
            <w:tcW w:w="1668" w:type="dxa"/>
            <w:vAlign w:val="center"/>
          </w:tcPr>
          <w:p w14:paraId="146F1ED0">
            <w:pPr>
              <w:spacing w:line="360" w:lineRule="auto"/>
              <w:rPr>
                <w:rFonts w:hint="eastAsia" w:ascii="宋体" w:hAnsi="宋体" w:eastAsia="宋体" w:cs="宋体"/>
                <w:color w:val="auto"/>
                <w:spacing w:val="-2"/>
                <w:sz w:val="28"/>
                <w:szCs w:val="28"/>
              </w:rPr>
            </w:pPr>
          </w:p>
        </w:tc>
      </w:tr>
      <w:tr w14:paraId="4012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64" w:type="dxa"/>
            <w:vAlign w:val="center"/>
          </w:tcPr>
          <w:p w14:paraId="0A1DC3C9">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6887" w:type="dxa"/>
            <w:vAlign w:val="center"/>
          </w:tcPr>
          <w:p w14:paraId="5F61D657">
            <w:pPr>
              <w:snapToGrid w:val="0"/>
              <w:spacing w:line="360" w:lineRule="auto"/>
              <w:textAlignment w:val="baseline"/>
              <w:rPr>
                <w:rFonts w:hint="eastAsia" w:ascii="宋体" w:hAnsi="宋体" w:eastAsia="宋体" w:cs="宋体"/>
                <w:color w:val="auto"/>
                <w:spacing w:val="-2"/>
                <w:sz w:val="28"/>
                <w:szCs w:val="28"/>
              </w:rPr>
            </w:pP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文件有明确要求，投标文件载明的采购项目履约时间、数量等与招标文件要求一致。</w:t>
            </w:r>
          </w:p>
        </w:tc>
        <w:tc>
          <w:tcPr>
            <w:tcW w:w="1668" w:type="dxa"/>
            <w:vAlign w:val="center"/>
          </w:tcPr>
          <w:p w14:paraId="3B947195">
            <w:pPr>
              <w:spacing w:line="360" w:lineRule="auto"/>
              <w:rPr>
                <w:rFonts w:hint="eastAsia" w:ascii="宋体" w:hAnsi="宋体" w:eastAsia="宋体" w:cs="宋体"/>
                <w:color w:val="auto"/>
                <w:spacing w:val="-2"/>
                <w:sz w:val="28"/>
                <w:szCs w:val="28"/>
              </w:rPr>
            </w:pPr>
          </w:p>
        </w:tc>
      </w:tr>
      <w:tr w14:paraId="1ACC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14:paraId="5240FD7C">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6887" w:type="dxa"/>
            <w:vAlign w:val="center"/>
          </w:tcPr>
          <w:p w14:paraId="2C751B84">
            <w:pPr>
              <w:snapToGrid w:val="0"/>
              <w:spacing w:line="360" w:lineRule="auto"/>
              <w:textAlignment w:val="baseline"/>
              <w:rPr>
                <w:rFonts w:hint="eastAsia" w:ascii="宋体" w:hAnsi="宋体" w:eastAsia="宋体" w:cs="宋体"/>
                <w:color w:val="auto"/>
                <w:spacing w:val="-2"/>
                <w:sz w:val="28"/>
                <w:szCs w:val="28"/>
              </w:rPr>
            </w:pPr>
            <w:r>
              <w:rPr>
                <w:rFonts w:hint="eastAsia" w:ascii="宋体" w:hAnsi="宋体" w:eastAsia="宋体" w:cs="宋体"/>
                <w:color w:val="auto"/>
                <w:sz w:val="28"/>
                <w:szCs w:val="28"/>
              </w:rPr>
              <w:t>投标人的报价是投标人响应招标项目要求的全部工作内容的价格体现，包括投标人完成本项目所需的一切费用。</w:t>
            </w:r>
          </w:p>
        </w:tc>
        <w:tc>
          <w:tcPr>
            <w:tcW w:w="1668" w:type="dxa"/>
            <w:vAlign w:val="center"/>
          </w:tcPr>
          <w:p w14:paraId="26ADE138">
            <w:pPr>
              <w:spacing w:line="360" w:lineRule="auto"/>
              <w:rPr>
                <w:rFonts w:hint="eastAsia" w:ascii="宋体" w:hAnsi="宋体" w:eastAsia="宋体" w:cs="宋体"/>
                <w:color w:val="auto"/>
                <w:spacing w:val="-2"/>
                <w:sz w:val="28"/>
                <w:szCs w:val="28"/>
              </w:rPr>
            </w:pPr>
          </w:p>
        </w:tc>
      </w:tr>
      <w:tr w14:paraId="782C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7332C946">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6887" w:type="dxa"/>
            <w:vAlign w:val="center"/>
          </w:tcPr>
          <w:p w14:paraId="71BD7E69">
            <w:pPr>
              <w:snapToGrid w:val="0"/>
              <w:spacing w:line="360" w:lineRule="auto"/>
              <w:textAlignment w:val="baseline"/>
              <w:rPr>
                <w:rFonts w:hint="eastAsia" w:ascii="宋体" w:hAnsi="宋体" w:eastAsia="宋体" w:cs="宋体"/>
                <w:color w:val="auto"/>
                <w:spacing w:val="-2"/>
                <w:sz w:val="28"/>
                <w:szCs w:val="28"/>
                <w:lang w:eastAsia="zh-CN"/>
              </w:rPr>
            </w:pPr>
            <w:r>
              <w:rPr>
                <w:rFonts w:hint="eastAsia" w:ascii="宋体" w:hAnsi="宋体" w:eastAsia="宋体" w:cs="宋体"/>
                <w:color w:val="auto"/>
                <w:sz w:val="28"/>
                <w:szCs w:val="28"/>
              </w:rPr>
              <w:t>不同</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的</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没有错漏一致的情况</w:t>
            </w:r>
          </w:p>
        </w:tc>
        <w:tc>
          <w:tcPr>
            <w:tcW w:w="1668" w:type="dxa"/>
            <w:vAlign w:val="center"/>
          </w:tcPr>
          <w:p w14:paraId="0A694002">
            <w:pPr>
              <w:spacing w:line="360" w:lineRule="auto"/>
              <w:rPr>
                <w:rFonts w:hint="eastAsia" w:ascii="宋体" w:hAnsi="宋体" w:eastAsia="宋体" w:cs="宋体"/>
                <w:color w:val="auto"/>
                <w:spacing w:val="-2"/>
                <w:sz w:val="28"/>
                <w:szCs w:val="28"/>
              </w:rPr>
            </w:pPr>
          </w:p>
        </w:tc>
      </w:tr>
      <w:tr w14:paraId="7420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2F6A8AFD">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6887" w:type="dxa"/>
            <w:vAlign w:val="center"/>
          </w:tcPr>
          <w:p w14:paraId="1B834C4B">
            <w:pPr>
              <w:snapToGrid w:val="0"/>
              <w:spacing w:line="360" w:lineRule="auto"/>
              <w:textAlignment w:val="baseline"/>
              <w:rPr>
                <w:rFonts w:hint="eastAsia" w:ascii="宋体" w:hAnsi="宋体" w:eastAsia="宋体" w:cs="宋体"/>
                <w:color w:val="auto"/>
                <w:spacing w:val="-2"/>
                <w:sz w:val="28"/>
                <w:szCs w:val="28"/>
                <w:lang w:eastAsia="zh-CN"/>
              </w:rPr>
            </w:pPr>
            <w:r>
              <w:rPr>
                <w:rFonts w:hint="eastAsia" w:ascii="宋体" w:hAnsi="宋体" w:eastAsia="宋体" w:cs="宋体"/>
                <w:color w:val="auto"/>
                <w:sz w:val="28"/>
                <w:szCs w:val="28"/>
              </w:rPr>
              <w:t>报价未超过</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文件中规定的预算金额或者最高限价的</w:t>
            </w:r>
          </w:p>
        </w:tc>
        <w:tc>
          <w:tcPr>
            <w:tcW w:w="1668" w:type="dxa"/>
            <w:vAlign w:val="center"/>
          </w:tcPr>
          <w:p w14:paraId="1D04CF1C">
            <w:pPr>
              <w:spacing w:line="360" w:lineRule="auto"/>
              <w:rPr>
                <w:rFonts w:hint="eastAsia" w:ascii="宋体" w:hAnsi="宋体" w:eastAsia="宋体" w:cs="宋体"/>
                <w:color w:val="auto"/>
                <w:spacing w:val="-2"/>
                <w:sz w:val="28"/>
                <w:szCs w:val="28"/>
              </w:rPr>
            </w:pPr>
          </w:p>
        </w:tc>
      </w:tr>
      <w:tr w14:paraId="6D98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50CB1CF9">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7</w:t>
            </w:r>
          </w:p>
        </w:tc>
        <w:tc>
          <w:tcPr>
            <w:tcW w:w="6887" w:type="dxa"/>
            <w:vAlign w:val="center"/>
          </w:tcPr>
          <w:p w14:paraId="3145D84C">
            <w:pPr>
              <w:snapToGrid w:val="0"/>
              <w:spacing w:line="360" w:lineRule="auto"/>
              <w:textAlignment w:val="baseline"/>
              <w:rPr>
                <w:rFonts w:hint="eastAsia" w:ascii="宋体" w:hAnsi="宋体" w:eastAsia="宋体" w:cs="宋体"/>
                <w:color w:val="auto"/>
                <w:spacing w:val="-2"/>
                <w:sz w:val="28"/>
                <w:szCs w:val="28"/>
                <w:lang w:eastAsia="zh-CN"/>
              </w:rPr>
            </w:pPr>
            <w:r>
              <w:rPr>
                <w:rFonts w:hint="eastAsia" w:ascii="宋体" w:hAnsi="宋体" w:eastAsia="宋体" w:cs="宋体"/>
                <w:color w:val="auto"/>
                <w:sz w:val="28"/>
                <w:szCs w:val="28"/>
              </w:rPr>
              <w:t>投标人按照</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文件要求做出的技术应答，主要是针对招标项目的技术指标、参数和技术要求均做出实质性响应</w:t>
            </w:r>
          </w:p>
        </w:tc>
        <w:tc>
          <w:tcPr>
            <w:tcW w:w="1668" w:type="dxa"/>
            <w:vAlign w:val="center"/>
          </w:tcPr>
          <w:p w14:paraId="2B70E832">
            <w:pPr>
              <w:spacing w:line="360" w:lineRule="auto"/>
              <w:rPr>
                <w:rFonts w:hint="eastAsia" w:ascii="宋体" w:hAnsi="宋体" w:eastAsia="宋体" w:cs="宋体"/>
                <w:color w:val="auto"/>
                <w:spacing w:val="-2"/>
                <w:sz w:val="28"/>
                <w:szCs w:val="28"/>
              </w:rPr>
            </w:pPr>
          </w:p>
        </w:tc>
      </w:tr>
      <w:tr w14:paraId="5C2D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64" w:type="dxa"/>
            <w:vAlign w:val="center"/>
          </w:tcPr>
          <w:p w14:paraId="2F8213E7">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8</w:t>
            </w:r>
          </w:p>
        </w:tc>
        <w:tc>
          <w:tcPr>
            <w:tcW w:w="6887" w:type="dxa"/>
            <w:vAlign w:val="center"/>
          </w:tcPr>
          <w:p w14:paraId="7C8049D7">
            <w:pPr>
              <w:snapToGrid w:val="0"/>
              <w:spacing w:line="360" w:lineRule="auto"/>
              <w:textAlignment w:val="baseline"/>
              <w:rPr>
                <w:rFonts w:hint="eastAsia" w:ascii="宋体" w:hAnsi="宋体" w:eastAsia="宋体" w:cs="宋体"/>
                <w:color w:val="auto"/>
                <w:spacing w:val="-2"/>
                <w:sz w:val="28"/>
                <w:szCs w:val="28"/>
              </w:rPr>
            </w:pPr>
            <w:r>
              <w:rPr>
                <w:rFonts w:hint="eastAsia" w:ascii="宋体" w:hAnsi="宋体" w:eastAsia="宋体" w:cs="宋体"/>
                <w:color w:val="auto"/>
                <w:sz w:val="28"/>
                <w:szCs w:val="28"/>
                <w:lang w:val="en-US" w:eastAsia="zh-CN"/>
              </w:rPr>
              <w:t>法定代表人为同一个人的两个及两个以上法人，母公司、全资子公司及其控股公司，在同一项目中同时投标；</w:t>
            </w:r>
          </w:p>
        </w:tc>
        <w:tc>
          <w:tcPr>
            <w:tcW w:w="1668" w:type="dxa"/>
            <w:vAlign w:val="center"/>
          </w:tcPr>
          <w:p w14:paraId="1308668E">
            <w:pPr>
              <w:spacing w:line="360" w:lineRule="auto"/>
              <w:rPr>
                <w:rFonts w:hint="eastAsia" w:ascii="宋体" w:hAnsi="宋体" w:eastAsia="宋体" w:cs="宋体"/>
                <w:color w:val="auto"/>
                <w:spacing w:val="-2"/>
                <w:sz w:val="28"/>
                <w:szCs w:val="28"/>
              </w:rPr>
            </w:pPr>
          </w:p>
        </w:tc>
      </w:tr>
      <w:tr w14:paraId="50C7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587B87DC">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9</w:t>
            </w:r>
          </w:p>
        </w:tc>
        <w:tc>
          <w:tcPr>
            <w:tcW w:w="6887" w:type="dxa"/>
            <w:vAlign w:val="center"/>
          </w:tcPr>
          <w:p w14:paraId="74B190E0">
            <w:pPr>
              <w:snapToGrid w:val="0"/>
              <w:spacing w:line="360" w:lineRule="auto"/>
              <w:textAlignment w:val="baseline"/>
              <w:rPr>
                <w:rFonts w:hint="eastAsia" w:ascii="宋体" w:hAnsi="宋体" w:eastAsia="宋体" w:cs="宋体"/>
                <w:color w:val="auto"/>
                <w:spacing w:val="-2"/>
                <w:sz w:val="28"/>
                <w:szCs w:val="28"/>
              </w:rPr>
            </w:pPr>
            <w:r>
              <w:rPr>
                <w:rFonts w:hint="eastAsia" w:ascii="宋体" w:hAnsi="宋体" w:eastAsia="宋体" w:cs="宋体"/>
                <w:color w:val="auto"/>
                <w:sz w:val="28"/>
                <w:szCs w:val="28"/>
                <w:lang w:val="en-US" w:eastAsia="zh-CN"/>
              </w:rPr>
              <w:t>响应文件中投标有效期不满足招标文件要求的；</w:t>
            </w:r>
          </w:p>
        </w:tc>
        <w:tc>
          <w:tcPr>
            <w:tcW w:w="1668" w:type="dxa"/>
            <w:vAlign w:val="center"/>
          </w:tcPr>
          <w:p w14:paraId="416653BC">
            <w:pPr>
              <w:spacing w:line="360" w:lineRule="auto"/>
              <w:rPr>
                <w:rFonts w:hint="eastAsia" w:ascii="宋体" w:hAnsi="宋体" w:eastAsia="宋体" w:cs="宋体"/>
                <w:color w:val="auto"/>
                <w:spacing w:val="-2"/>
                <w:sz w:val="28"/>
                <w:szCs w:val="28"/>
              </w:rPr>
            </w:pPr>
          </w:p>
        </w:tc>
      </w:tr>
      <w:tr w14:paraId="7405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788EBAAE">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10</w:t>
            </w:r>
          </w:p>
        </w:tc>
        <w:tc>
          <w:tcPr>
            <w:tcW w:w="6887" w:type="dxa"/>
            <w:vAlign w:val="center"/>
          </w:tcPr>
          <w:p w14:paraId="2F3CB21A">
            <w:pPr>
              <w:snapToGrid w:val="0"/>
              <w:spacing w:line="360" w:lineRule="auto"/>
              <w:textAlignment w:val="baseline"/>
              <w:rPr>
                <w:rFonts w:hint="eastAsia" w:ascii="宋体" w:hAnsi="宋体" w:eastAsia="宋体" w:cs="宋体"/>
                <w:color w:val="auto"/>
                <w:spacing w:val="-2"/>
                <w:sz w:val="28"/>
                <w:szCs w:val="28"/>
              </w:rPr>
            </w:pPr>
            <w:r>
              <w:rPr>
                <w:rFonts w:hint="eastAsia" w:ascii="宋体" w:hAnsi="宋体" w:eastAsia="宋体" w:cs="宋体"/>
                <w:color w:val="auto"/>
                <w:sz w:val="28"/>
                <w:szCs w:val="28"/>
              </w:rPr>
              <w:t>投标文件中未出现采购人不能接受的附加条件的</w:t>
            </w:r>
          </w:p>
        </w:tc>
        <w:tc>
          <w:tcPr>
            <w:tcW w:w="1668" w:type="dxa"/>
            <w:vAlign w:val="center"/>
          </w:tcPr>
          <w:p w14:paraId="7734FE3E">
            <w:pPr>
              <w:spacing w:line="360" w:lineRule="auto"/>
              <w:rPr>
                <w:rFonts w:hint="eastAsia" w:ascii="宋体" w:hAnsi="宋体" w:eastAsia="宋体" w:cs="宋体"/>
                <w:color w:val="auto"/>
                <w:spacing w:val="-2"/>
                <w:sz w:val="28"/>
                <w:szCs w:val="28"/>
              </w:rPr>
            </w:pPr>
          </w:p>
        </w:tc>
      </w:tr>
      <w:tr w14:paraId="5B63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7F134B16">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11</w:t>
            </w:r>
          </w:p>
        </w:tc>
        <w:tc>
          <w:tcPr>
            <w:tcW w:w="6887" w:type="dxa"/>
            <w:vAlign w:val="center"/>
          </w:tcPr>
          <w:p w14:paraId="5E975AD6">
            <w:pPr>
              <w:snapToGrid w:val="0"/>
              <w:spacing w:line="360" w:lineRule="auto"/>
              <w:textAlignment w:val="baseline"/>
              <w:rPr>
                <w:rFonts w:hint="eastAsia" w:ascii="宋体" w:hAnsi="宋体" w:eastAsia="宋体" w:cs="宋体"/>
                <w:color w:val="auto"/>
                <w:spacing w:val="-2"/>
                <w:sz w:val="28"/>
                <w:szCs w:val="28"/>
              </w:rPr>
            </w:pPr>
            <w:r>
              <w:rPr>
                <w:rFonts w:hint="eastAsia" w:ascii="宋体" w:hAnsi="宋体" w:eastAsia="宋体" w:cs="宋体"/>
                <w:color w:val="auto"/>
                <w:sz w:val="28"/>
                <w:szCs w:val="28"/>
              </w:rPr>
              <w:t>投标人未发现</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文件中规定的串通投标的情形</w:t>
            </w:r>
          </w:p>
        </w:tc>
        <w:tc>
          <w:tcPr>
            <w:tcW w:w="1668" w:type="dxa"/>
            <w:vAlign w:val="center"/>
          </w:tcPr>
          <w:p w14:paraId="15AB96B6">
            <w:pPr>
              <w:spacing w:line="360" w:lineRule="auto"/>
              <w:rPr>
                <w:rFonts w:hint="eastAsia" w:ascii="宋体" w:hAnsi="宋体" w:eastAsia="宋体" w:cs="宋体"/>
                <w:color w:val="auto"/>
                <w:spacing w:val="-2"/>
                <w:sz w:val="28"/>
                <w:szCs w:val="28"/>
              </w:rPr>
            </w:pPr>
          </w:p>
        </w:tc>
      </w:tr>
      <w:tr w14:paraId="0977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795206C7">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12</w:t>
            </w:r>
          </w:p>
        </w:tc>
        <w:tc>
          <w:tcPr>
            <w:tcW w:w="6887" w:type="dxa"/>
            <w:vAlign w:val="center"/>
          </w:tcPr>
          <w:p w14:paraId="1ABB65F2">
            <w:pPr>
              <w:snapToGrid w:val="0"/>
              <w:spacing w:line="360" w:lineRule="auto"/>
              <w:textAlignment w:val="baseline"/>
              <w:rPr>
                <w:rFonts w:hint="eastAsia" w:ascii="宋体" w:hAnsi="宋体" w:eastAsia="宋体" w:cs="宋体"/>
                <w:color w:val="auto"/>
                <w:spacing w:val="-2"/>
                <w:sz w:val="28"/>
                <w:szCs w:val="28"/>
              </w:rPr>
            </w:pPr>
            <w:r>
              <w:rPr>
                <w:rFonts w:hint="eastAsia" w:ascii="宋体" w:hAnsi="宋体" w:eastAsia="宋体" w:cs="宋体"/>
                <w:color w:val="auto"/>
                <w:sz w:val="28"/>
                <w:szCs w:val="28"/>
              </w:rPr>
              <w:t>投标文件未出现其他不符合</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文件实质性要求的情形</w:t>
            </w:r>
          </w:p>
        </w:tc>
        <w:tc>
          <w:tcPr>
            <w:tcW w:w="1668" w:type="dxa"/>
            <w:vAlign w:val="center"/>
          </w:tcPr>
          <w:p w14:paraId="4A6A8A85">
            <w:pPr>
              <w:spacing w:line="360" w:lineRule="auto"/>
              <w:rPr>
                <w:rFonts w:hint="eastAsia" w:ascii="宋体" w:hAnsi="宋体" w:eastAsia="宋体" w:cs="宋体"/>
                <w:color w:val="auto"/>
                <w:spacing w:val="-2"/>
                <w:sz w:val="28"/>
                <w:szCs w:val="28"/>
              </w:rPr>
            </w:pPr>
          </w:p>
        </w:tc>
      </w:tr>
      <w:tr w14:paraId="7D23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751" w:type="dxa"/>
            <w:gridSpan w:val="2"/>
            <w:vAlign w:val="center"/>
          </w:tcPr>
          <w:p w14:paraId="07F11C37">
            <w:pPr>
              <w:snapToGrid w:val="0"/>
              <w:spacing w:line="360" w:lineRule="auto"/>
              <w:textAlignment w:val="baseline"/>
              <w:rPr>
                <w:rFonts w:hint="eastAsia" w:ascii="宋体" w:hAnsi="宋体" w:eastAsia="宋体" w:cs="宋体"/>
                <w:color w:val="auto"/>
                <w:spacing w:val="-2"/>
                <w:sz w:val="28"/>
                <w:szCs w:val="28"/>
              </w:rPr>
            </w:pPr>
            <w:r>
              <w:rPr>
                <w:rFonts w:hint="eastAsia" w:ascii="宋体" w:hAnsi="宋体" w:eastAsia="宋体" w:cs="宋体"/>
                <w:color w:val="auto"/>
                <w:sz w:val="28"/>
                <w:szCs w:val="28"/>
              </w:rPr>
              <w:t>结论：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通过或不通过</w:t>
            </w:r>
            <w:r>
              <w:rPr>
                <w:rFonts w:hint="eastAsia" w:ascii="宋体" w:hAnsi="宋体" w:eastAsia="宋体" w:cs="宋体"/>
                <w:color w:val="auto"/>
                <w:sz w:val="28"/>
                <w:szCs w:val="28"/>
                <w:lang w:eastAsia="zh-CN"/>
              </w:rPr>
              <w:t>）</w:t>
            </w:r>
          </w:p>
        </w:tc>
        <w:tc>
          <w:tcPr>
            <w:tcW w:w="1668" w:type="dxa"/>
            <w:vAlign w:val="center"/>
          </w:tcPr>
          <w:p w14:paraId="325CC30A">
            <w:pPr>
              <w:spacing w:line="360" w:lineRule="auto"/>
              <w:ind w:firstLine="496" w:firstLineChars="180"/>
              <w:rPr>
                <w:rFonts w:hint="eastAsia" w:ascii="宋体" w:hAnsi="宋体" w:eastAsia="宋体" w:cs="宋体"/>
                <w:color w:val="auto"/>
                <w:spacing w:val="-2"/>
                <w:sz w:val="28"/>
                <w:szCs w:val="28"/>
              </w:rPr>
            </w:pPr>
          </w:p>
        </w:tc>
      </w:tr>
    </w:tbl>
    <w:p w14:paraId="684C7A1B">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说明：</w:t>
      </w:r>
    </w:p>
    <w:p w14:paraId="2D351E88">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（1）上述各项中用“√”表示通过，“×”表示不通过；</w:t>
      </w:r>
    </w:p>
    <w:p w14:paraId="312B5FC2">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（2）上述各项中如有一项为“×”，则结论为“×”，表示该磋商文件中存在重大偏差，不能通过初步评审；评委对某一分项评审认为不合格时，必须要写明原因。</w:t>
      </w:r>
    </w:p>
    <w:p w14:paraId="1881A0D6">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（3）磋商文件最终合格与否，以所有评委的评审意见中少数服从多数为原则定论。</w:t>
      </w:r>
    </w:p>
    <w:p w14:paraId="2B4DE514">
      <w:pPr>
        <w:snapToGrid w:val="0"/>
        <w:spacing w:line="360" w:lineRule="auto"/>
        <w:ind w:left="1080" w:leftChars="257" w:hanging="540"/>
        <w:jc w:val="both"/>
        <w:textAlignment w:val="baseline"/>
        <w:rPr>
          <w:rFonts w:hint="eastAsia" w:ascii="宋体" w:hAnsi="宋体" w:eastAsia="宋体" w:cs="宋体"/>
          <w:color w:val="auto"/>
          <w:sz w:val="22"/>
          <w:szCs w:val="28"/>
        </w:rPr>
      </w:pPr>
      <w:r>
        <w:rPr>
          <w:rFonts w:hint="eastAsia" w:ascii="宋体" w:hAnsi="宋体" w:eastAsia="宋体" w:cs="宋体"/>
          <w:b/>
          <w:bCs/>
          <w:color w:val="auto"/>
          <w:sz w:val="28"/>
          <w:szCs w:val="28"/>
        </w:rPr>
        <w:t>备注：如果磋商文件中有一项未通过上述审查标准，评审委员会将认定整个磋商文件未响应磋商文件而予以废标处理。</w:t>
      </w:r>
      <w:bookmarkStart w:id="759" w:name="_Toc25310"/>
      <w:bookmarkStart w:id="760" w:name="_Toc20930"/>
      <w:bookmarkStart w:id="761" w:name="_Toc507399904"/>
    </w:p>
    <w:p w14:paraId="050B1CA6">
      <w:pPr>
        <w:widowControl/>
        <w:snapToGrid w:val="0"/>
        <w:spacing w:line="360" w:lineRule="auto"/>
        <w:jc w:val="center"/>
        <w:textAlignment w:val="baseline"/>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br w:type="page"/>
      </w:r>
    </w:p>
    <w:bookmarkEnd w:id="759"/>
    <w:bookmarkEnd w:id="760"/>
    <w:p w14:paraId="71A0114A">
      <w:pPr>
        <w:snapToGrid w:val="0"/>
        <w:spacing w:line="360" w:lineRule="auto"/>
        <w:ind w:left="1080" w:leftChars="257" w:hanging="540"/>
        <w:jc w:val="center"/>
        <w:textAlignment w:val="baseline"/>
        <w:outlineLvl w:val="1"/>
      </w:pPr>
      <w:bookmarkStart w:id="762" w:name="_Toc10809"/>
      <w:bookmarkStart w:id="763" w:name="_Toc20547"/>
      <w:bookmarkStart w:id="764" w:name="_Toc11236"/>
      <w:bookmarkStart w:id="765" w:name="_Toc2957"/>
      <w:bookmarkStart w:id="766" w:name="_Toc20034"/>
      <w:bookmarkStart w:id="767" w:name="_Toc9113"/>
      <w:bookmarkStart w:id="768" w:name="_Toc29461"/>
      <w:bookmarkStart w:id="769" w:name="_Toc27185"/>
      <w:bookmarkStart w:id="770" w:name="_Toc26098"/>
      <w:bookmarkStart w:id="771" w:name="_Toc21660"/>
      <w:bookmarkStart w:id="772" w:name="_Toc15320"/>
      <w:bookmarkStart w:id="773" w:name="_Toc19042"/>
      <w:r>
        <w:rPr>
          <w:rFonts w:hint="eastAsia" w:ascii="宋体" w:hAnsi="宋体" w:eastAsia="宋体" w:cs="宋体"/>
          <w:b/>
          <w:color w:val="auto"/>
          <w:sz w:val="32"/>
          <w:szCs w:val="32"/>
        </w:rPr>
        <w:t>综合评分表</w:t>
      </w:r>
      <w:bookmarkEnd w:id="762"/>
      <w:bookmarkEnd w:id="763"/>
      <w:bookmarkEnd w:id="764"/>
      <w:bookmarkEnd w:id="765"/>
      <w:bookmarkEnd w:id="766"/>
      <w:bookmarkEnd w:id="767"/>
      <w:bookmarkEnd w:id="768"/>
      <w:bookmarkEnd w:id="769"/>
      <w:bookmarkEnd w:id="770"/>
      <w:bookmarkEnd w:id="771"/>
      <w:bookmarkEnd w:id="772"/>
      <w:bookmarkEnd w:id="773"/>
      <w:r>
        <w:rPr>
          <w:rFonts w:hint="eastAsia" w:ascii="宋体" w:hAnsi="宋体" w:eastAsia="宋体" w:cs="宋体"/>
          <w:b/>
          <w:color w:val="auto"/>
          <w:sz w:val="32"/>
          <w:szCs w:val="32"/>
        </w:rPr>
        <w:t xml:space="preserve"> </w:t>
      </w:r>
    </w:p>
    <w:tbl>
      <w:tblPr>
        <w:tblStyle w:val="107"/>
        <w:tblW w:w="9828"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0"/>
        <w:gridCol w:w="1334"/>
        <w:gridCol w:w="633"/>
        <w:gridCol w:w="6611"/>
      </w:tblGrid>
      <w:tr w14:paraId="1322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250" w:type="dxa"/>
            <w:vAlign w:val="top"/>
          </w:tcPr>
          <w:p w14:paraId="14250513">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评分项目</w:t>
            </w:r>
          </w:p>
        </w:tc>
        <w:tc>
          <w:tcPr>
            <w:tcW w:w="1334" w:type="dxa"/>
            <w:vAlign w:val="top"/>
          </w:tcPr>
          <w:p w14:paraId="5242F32D">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评审项目</w:t>
            </w:r>
          </w:p>
        </w:tc>
        <w:tc>
          <w:tcPr>
            <w:tcW w:w="633" w:type="dxa"/>
            <w:vAlign w:val="top"/>
          </w:tcPr>
          <w:p w14:paraId="28F075A1">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分值</w:t>
            </w:r>
          </w:p>
        </w:tc>
        <w:tc>
          <w:tcPr>
            <w:tcW w:w="6611" w:type="dxa"/>
            <w:vAlign w:val="top"/>
          </w:tcPr>
          <w:p w14:paraId="77F8536B">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评 标 要 点 及 说 明</w:t>
            </w:r>
          </w:p>
        </w:tc>
      </w:tr>
      <w:tr w14:paraId="03CA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2" w:hRule="atLeast"/>
        </w:trPr>
        <w:tc>
          <w:tcPr>
            <w:tcW w:w="1250" w:type="dxa"/>
            <w:vAlign w:val="top"/>
          </w:tcPr>
          <w:p w14:paraId="20C6DE4C">
            <w:pPr>
              <w:snapToGrid w:val="0"/>
              <w:spacing w:line="360" w:lineRule="auto"/>
              <w:textAlignment w:val="baseline"/>
              <w:rPr>
                <w:rFonts w:hint="eastAsia" w:ascii="宋体" w:hAnsi="宋体" w:eastAsia="宋体" w:cs="宋体"/>
                <w:color w:val="auto"/>
                <w:sz w:val="28"/>
                <w:szCs w:val="28"/>
              </w:rPr>
            </w:pPr>
          </w:p>
          <w:p w14:paraId="0460E9C1">
            <w:pPr>
              <w:snapToGrid w:val="0"/>
              <w:spacing w:line="360" w:lineRule="auto"/>
              <w:textAlignment w:val="baseline"/>
              <w:rPr>
                <w:rFonts w:hint="eastAsia" w:ascii="宋体" w:hAnsi="宋体" w:eastAsia="宋体" w:cs="宋体"/>
                <w:color w:val="auto"/>
                <w:sz w:val="28"/>
                <w:szCs w:val="28"/>
              </w:rPr>
            </w:pPr>
          </w:p>
          <w:p w14:paraId="3840B3FF">
            <w:pPr>
              <w:snapToGrid w:val="0"/>
              <w:spacing w:line="360" w:lineRule="auto"/>
              <w:textAlignment w:val="baseline"/>
              <w:rPr>
                <w:rFonts w:hint="eastAsia" w:ascii="宋体" w:hAnsi="宋体" w:eastAsia="宋体" w:cs="宋体"/>
                <w:color w:val="auto"/>
                <w:sz w:val="28"/>
                <w:szCs w:val="28"/>
              </w:rPr>
            </w:pPr>
          </w:p>
          <w:p w14:paraId="561A576E">
            <w:pPr>
              <w:snapToGrid w:val="0"/>
              <w:spacing w:line="360" w:lineRule="auto"/>
              <w:textAlignment w:val="baseline"/>
              <w:rPr>
                <w:rFonts w:hint="eastAsia" w:ascii="宋体" w:hAnsi="宋体" w:eastAsia="宋体" w:cs="宋体"/>
                <w:color w:val="auto"/>
                <w:sz w:val="28"/>
                <w:szCs w:val="28"/>
              </w:rPr>
            </w:pPr>
          </w:p>
          <w:p w14:paraId="7479967F">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报价部分 （10 分）</w:t>
            </w:r>
          </w:p>
        </w:tc>
        <w:tc>
          <w:tcPr>
            <w:tcW w:w="1334" w:type="dxa"/>
            <w:vAlign w:val="top"/>
          </w:tcPr>
          <w:p w14:paraId="1A0222F3">
            <w:pPr>
              <w:snapToGrid w:val="0"/>
              <w:spacing w:line="360" w:lineRule="auto"/>
              <w:textAlignment w:val="baseline"/>
              <w:rPr>
                <w:rFonts w:hint="eastAsia" w:ascii="宋体" w:hAnsi="宋体" w:eastAsia="宋体" w:cs="宋体"/>
                <w:color w:val="auto"/>
                <w:sz w:val="28"/>
                <w:szCs w:val="28"/>
              </w:rPr>
            </w:pPr>
          </w:p>
          <w:p w14:paraId="0BAA6BDF">
            <w:pPr>
              <w:snapToGrid w:val="0"/>
              <w:spacing w:line="360" w:lineRule="auto"/>
              <w:textAlignment w:val="baseline"/>
              <w:rPr>
                <w:rFonts w:hint="eastAsia" w:ascii="宋体" w:hAnsi="宋体" w:eastAsia="宋体" w:cs="宋体"/>
                <w:color w:val="auto"/>
                <w:sz w:val="28"/>
                <w:szCs w:val="28"/>
              </w:rPr>
            </w:pPr>
          </w:p>
          <w:p w14:paraId="29943FE6">
            <w:pPr>
              <w:snapToGrid w:val="0"/>
              <w:spacing w:line="360" w:lineRule="auto"/>
              <w:textAlignment w:val="baseline"/>
              <w:rPr>
                <w:rFonts w:hint="eastAsia" w:ascii="宋体" w:hAnsi="宋体" w:eastAsia="宋体" w:cs="宋体"/>
                <w:color w:val="auto"/>
                <w:sz w:val="28"/>
                <w:szCs w:val="28"/>
              </w:rPr>
            </w:pPr>
          </w:p>
          <w:p w14:paraId="2BD67C43">
            <w:pPr>
              <w:snapToGrid w:val="0"/>
              <w:spacing w:line="360" w:lineRule="auto"/>
              <w:textAlignment w:val="baseline"/>
              <w:rPr>
                <w:rFonts w:hint="eastAsia" w:ascii="宋体" w:hAnsi="宋体" w:eastAsia="宋体" w:cs="宋体"/>
                <w:color w:val="auto"/>
                <w:sz w:val="28"/>
                <w:szCs w:val="28"/>
              </w:rPr>
            </w:pPr>
          </w:p>
          <w:p w14:paraId="620C93E6">
            <w:pPr>
              <w:snapToGrid w:val="0"/>
              <w:spacing w:line="360" w:lineRule="auto"/>
              <w:textAlignment w:val="baseline"/>
              <w:rPr>
                <w:rFonts w:hint="eastAsia" w:ascii="宋体" w:hAnsi="宋体" w:eastAsia="宋体" w:cs="宋体"/>
                <w:color w:val="auto"/>
                <w:sz w:val="28"/>
                <w:szCs w:val="28"/>
              </w:rPr>
            </w:pPr>
          </w:p>
          <w:p w14:paraId="7E781087">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投标报价</w:t>
            </w:r>
          </w:p>
        </w:tc>
        <w:tc>
          <w:tcPr>
            <w:tcW w:w="633" w:type="dxa"/>
            <w:vAlign w:val="top"/>
          </w:tcPr>
          <w:p w14:paraId="53655867">
            <w:pPr>
              <w:snapToGrid w:val="0"/>
              <w:spacing w:line="360" w:lineRule="auto"/>
              <w:textAlignment w:val="baseline"/>
              <w:rPr>
                <w:rFonts w:hint="eastAsia" w:ascii="宋体" w:hAnsi="宋体" w:eastAsia="宋体" w:cs="宋体"/>
                <w:color w:val="auto"/>
                <w:sz w:val="28"/>
                <w:szCs w:val="28"/>
              </w:rPr>
            </w:pPr>
          </w:p>
          <w:p w14:paraId="2677DC00">
            <w:pPr>
              <w:snapToGrid w:val="0"/>
              <w:spacing w:line="360" w:lineRule="auto"/>
              <w:textAlignment w:val="baseline"/>
              <w:rPr>
                <w:rFonts w:hint="eastAsia" w:ascii="宋体" w:hAnsi="宋体" w:eastAsia="宋体" w:cs="宋体"/>
                <w:color w:val="auto"/>
                <w:sz w:val="28"/>
                <w:szCs w:val="28"/>
              </w:rPr>
            </w:pPr>
          </w:p>
          <w:p w14:paraId="1EC9A41E">
            <w:pPr>
              <w:snapToGrid w:val="0"/>
              <w:spacing w:line="360" w:lineRule="auto"/>
              <w:textAlignment w:val="baseline"/>
              <w:rPr>
                <w:rFonts w:hint="eastAsia" w:ascii="宋体" w:hAnsi="宋体" w:eastAsia="宋体" w:cs="宋体"/>
                <w:color w:val="auto"/>
                <w:sz w:val="28"/>
                <w:szCs w:val="28"/>
              </w:rPr>
            </w:pPr>
          </w:p>
          <w:p w14:paraId="2E66D9F4">
            <w:pPr>
              <w:snapToGrid w:val="0"/>
              <w:spacing w:line="360" w:lineRule="auto"/>
              <w:textAlignment w:val="baseline"/>
              <w:rPr>
                <w:rFonts w:hint="eastAsia" w:ascii="宋体" w:hAnsi="宋体" w:eastAsia="宋体" w:cs="宋体"/>
                <w:color w:val="auto"/>
                <w:sz w:val="28"/>
                <w:szCs w:val="28"/>
              </w:rPr>
            </w:pPr>
          </w:p>
          <w:p w14:paraId="6DD39073">
            <w:pPr>
              <w:snapToGrid w:val="0"/>
              <w:spacing w:line="360" w:lineRule="auto"/>
              <w:textAlignment w:val="baseline"/>
              <w:rPr>
                <w:rFonts w:hint="eastAsia" w:ascii="宋体" w:hAnsi="宋体" w:eastAsia="宋体" w:cs="宋体"/>
                <w:color w:val="auto"/>
                <w:sz w:val="28"/>
                <w:szCs w:val="28"/>
              </w:rPr>
            </w:pPr>
          </w:p>
          <w:p w14:paraId="4A9BBB36">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10 分</w:t>
            </w:r>
          </w:p>
        </w:tc>
        <w:tc>
          <w:tcPr>
            <w:tcW w:w="6611" w:type="dxa"/>
            <w:vAlign w:val="top"/>
          </w:tcPr>
          <w:p w14:paraId="19825603">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按照财政部《政府采购货物和服务招标投标管理办法》（财政  部令第 87 号）的有关规定：价格分采用低价优先法计算，即  满足招标文件要求且投标价格最低的投标报价为评标基准价， 其价格分为满分。其他投标人的价格分统一按照下列公式计  算：投标报价得分=（评标基准价/投标报价）×价格权值× 100  （计算分值时，百分比按四舍五入原则，保留小数点后二位数）</w:t>
            </w:r>
          </w:p>
          <w:p w14:paraId="07B05E9E">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（因落实政府采购政策进行价格调整的，以调整后的价格计算 评标基准价和投标报价）</w:t>
            </w:r>
          </w:p>
        </w:tc>
      </w:tr>
      <w:tr w14:paraId="4D28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1" w:hRule="atLeast"/>
        </w:trPr>
        <w:tc>
          <w:tcPr>
            <w:tcW w:w="1250" w:type="dxa"/>
            <w:vMerge w:val="restart"/>
            <w:vAlign w:val="top"/>
          </w:tcPr>
          <w:p w14:paraId="60B5225E">
            <w:pPr>
              <w:snapToGrid w:val="0"/>
              <w:spacing w:line="360" w:lineRule="auto"/>
              <w:textAlignment w:val="baseline"/>
              <w:rPr>
                <w:rFonts w:hint="eastAsia" w:ascii="宋体" w:hAnsi="宋体" w:eastAsia="宋体" w:cs="宋体"/>
                <w:color w:val="auto"/>
                <w:sz w:val="28"/>
                <w:szCs w:val="28"/>
              </w:rPr>
            </w:pPr>
          </w:p>
          <w:p w14:paraId="666C0B29">
            <w:pPr>
              <w:snapToGrid w:val="0"/>
              <w:spacing w:line="360" w:lineRule="auto"/>
              <w:textAlignment w:val="baseline"/>
              <w:rPr>
                <w:rFonts w:hint="eastAsia" w:ascii="宋体" w:hAnsi="宋体" w:eastAsia="宋体" w:cs="宋体"/>
                <w:color w:val="auto"/>
                <w:sz w:val="28"/>
                <w:szCs w:val="28"/>
              </w:rPr>
            </w:pPr>
          </w:p>
          <w:p w14:paraId="6A641458">
            <w:pPr>
              <w:snapToGrid w:val="0"/>
              <w:spacing w:line="360" w:lineRule="auto"/>
              <w:textAlignment w:val="baseline"/>
              <w:rPr>
                <w:rFonts w:hint="eastAsia" w:ascii="宋体" w:hAnsi="宋体" w:eastAsia="宋体" w:cs="宋体"/>
                <w:color w:val="auto"/>
                <w:sz w:val="28"/>
                <w:szCs w:val="28"/>
              </w:rPr>
            </w:pPr>
          </w:p>
          <w:p w14:paraId="6B77A753">
            <w:pPr>
              <w:snapToGrid w:val="0"/>
              <w:spacing w:line="360" w:lineRule="auto"/>
              <w:textAlignment w:val="baseline"/>
              <w:rPr>
                <w:rFonts w:hint="eastAsia" w:ascii="宋体" w:hAnsi="宋体" w:eastAsia="宋体" w:cs="宋体"/>
                <w:color w:val="auto"/>
                <w:sz w:val="28"/>
                <w:szCs w:val="28"/>
              </w:rPr>
            </w:pPr>
          </w:p>
          <w:p w14:paraId="12290796">
            <w:pPr>
              <w:snapToGrid w:val="0"/>
              <w:spacing w:line="360" w:lineRule="auto"/>
              <w:textAlignment w:val="baseline"/>
              <w:rPr>
                <w:rFonts w:hint="eastAsia" w:ascii="宋体" w:hAnsi="宋体" w:eastAsia="宋体" w:cs="宋体"/>
                <w:color w:val="auto"/>
                <w:sz w:val="28"/>
                <w:szCs w:val="28"/>
              </w:rPr>
            </w:pPr>
          </w:p>
          <w:p w14:paraId="1CF485C2">
            <w:pPr>
              <w:snapToGrid w:val="0"/>
              <w:spacing w:line="360" w:lineRule="auto"/>
              <w:textAlignment w:val="baseline"/>
              <w:rPr>
                <w:rFonts w:hint="eastAsia" w:ascii="宋体" w:hAnsi="宋体" w:eastAsia="宋体" w:cs="宋体"/>
                <w:color w:val="auto"/>
                <w:sz w:val="28"/>
                <w:szCs w:val="28"/>
              </w:rPr>
            </w:pPr>
          </w:p>
          <w:p w14:paraId="64DFD127">
            <w:pPr>
              <w:snapToGrid w:val="0"/>
              <w:spacing w:line="360" w:lineRule="auto"/>
              <w:textAlignment w:val="baseline"/>
              <w:rPr>
                <w:rFonts w:hint="eastAsia" w:ascii="宋体" w:hAnsi="宋体" w:eastAsia="宋体" w:cs="宋体"/>
                <w:color w:val="auto"/>
                <w:sz w:val="28"/>
                <w:szCs w:val="28"/>
              </w:rPr>
            </w:pPr>
          </w:p>
          <w:p w14:paraId="6D9A8772">
            <w:pPr>
              <w:snapToGrid w:val="0"/>
              <w:spacing w:line="360" w:lineRule="auto"/>
              <w:textAlignment w:val="baseline"/>
              <w:rPr>
                <w:rFonts w:hint="eastAsia" w:ascii="宋体" w:hAnsi="宋体" w:eastAsia="宋体" w:cs="宋体"/>
                <w:color w:val="auto"/>
                <w:sz w:val="28"/>
                <w:szCs w:val="28"/>
              </w:rPr>
            </w:pPr>
          </w:p>
          <w:p w14:paraId="4BFDC8BB">
            <w:pPr>
              <w:snapToGrid w:val="0"/>
              <w:spacing w:line="360" w:lineRule="auto"/>
              <w:textAlignment w:val="baseline"/>
              <w:rPr>
                <w:rFonts w:hint="eastAsia" w:ascii="宋体" w:hAnsi="宋体" w:eastAsia="宋体" w:cs="宋体"/>
                <w:color w:val="auto"/>
                <w:sz w:val="28"/>
                <w:szCs w:val="28"/>
              </w:rPr>
            </w:pPr>
          </w:p>
          <w:p w14:paraId="6E2ABB11">
            <w:pPr>
              <w:snapToGrid w:val="0"/>
              <w:spacing w:line="360" w:lineRule="auto"/>
              <w:textAlignment w:val="baseline"/>
              <w:rPr>
                <w:rFonts w:hint="eastAsia" w:ascii="宋体" w:hAnsi="宋体" w:eastAsia="宋体" w:cs="宋体"/>
                <w:color w:val="auto"/>
                <w:sz w:val="28"/>
                <w:szCs w:val="28"/>
              </w:rPr>
            </w:pPr>
          </w:p>
          <w:p w14:paraId="09579501">
            <w:pPr>
              <w:snapToGrid w:val="0"/>
              <w:spacing w:line="360" w:lineRule="auto"/>
              <w:textAlignment w:val="baseline"/>
              <w:rPr>
                <w:rFonts w:hint="eastAsia" w:ascii="宋体" w:hAnsi="宋体" w:eastAsia="宋体" w:cs="宋体"/>
                <w:color w:val="auto"/>
                <w:sz w:val="28"/>
                <w:szCs w:val="28"/>
              </w:rPr>
            </w:pPr>
          </w:p>
          <w:p w14:paraId="6314079E">
            <w:pPr>
              <w:snapToGrid w:val="0"/>
              <w:spacing w:line="360" w:lineRule="auto"/>
              <w:textAlignment w:val="baseline"/>
              <w:rPr>
                <w:rFonts w:hint="eastAsia" w:ascii="宋体" w:hAnsi="宋体" w:eastAsia="宋体" w:cs="宋体"/>
                <w:color w:val="auto"/>
                <w:sz w:val="28"/>
                <w:szCs w:val="28"/>
              </w:rPr>
            </w:pPr>
          </w:p>
          <w:p w14:paraId="552EFC52">
            <w:pPr>
              <w:snapToGrid w:val="0"/>
              <w:spacing w:line="360" w:lineRule="auto"/>
              <w:textAlignment w:val="baseline"/>
              <w:rPr>
                <w:rFonts w:hint="eastAsia" w:ascii="宋体" w:hAnsi="宋体" w:eastAsia="宋体" w:cs="宋体"/>
                <w:color w:val="auto"/>
                <w:sz w:val="28"/>
                <w:szCs w:val="28"/>
              </w:rPr>
            </w:pPr>
          </w:p>
          <w:p w14:paraId="36F1AEAB">
            <w:pPr>
              <w:snapToGrid w:val="0"/>
              <w:spacing w:line="360" w:lineRule="auto"/>
              <w:textAlignment w:val="baseline"/>
              <w:rPr>
                <w:rFonts w:hint="eastAsia" w:ascii="宋体" w:hAnsi="宋体" w:eastAsia="宋体" w:cs="宋体"/>
                <w:color w:val="auto"/>
                <w:sz w:val="28"/>
                <w:szCs w:val="28"/>
              </w:rPr>
            </w:pPr>
          </w:p>
          <w:p w14:paraId="7B92EA17">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商务部分 （26 分）</w:t>
            </w:r>
          </w:p>
        </w:tc>
        <w:tc>
          <w:tcPr>
            <w:tcW w:w="1334" w:type="dxa"/>
            <w:vAlign w:val="top"/>
          </w:tcPr>
          <w:p w14:paraId="1551DD4D">
            <w:pPr>
              <w:snapToGrid w:val="0"/>
              <w:spacing w:line="360" w:lineRule="auto"/>
              <w:textAlignment w:val="baseline"/>
              <w:rPr>
                <w:rFonts w:hint="eastAsia" w:ascii="宋体" w:hAnsi="宋体" w:eastAsia="宋体" w:cs="宋体"/>
                <w:color w:val="auto"/>
                <w:sz w:val="28"/>
                <w:szCs w:val="28"/>
              </w:rPr>
            </w:pPr>
          </w:p>
          <w:p w14:paraId="1A0DA26F">
            <w:pPr>
              <w:snapToGrid w:val="0"/>
              <w:spacing w:line="360" w:lineRule="auto"/>
              <w:textAlignment w:val="baseline"/>
              <w:rPr>
                <w:rFonts w:hint="eastAsia" w:ascii="宋体" w:hAnsi="宋体" w:eastAsia="宋体" w:cs="宋体"/>
                <w:color w:val="auto"/>
                <w:sz w:val="28"/>
                <w:szCs w:val="28"/>
              </w:rPr>
            </w:pPr>
          </w:p>
          <w:p w14:paraId="135BC558">
            <w:pPr>
              <w:snapToGrid w:val="0"/>
              <w:spacing w:line="360" w:lineRule="auto"/>
              <w:textAlignment w:val="baseline"/>
              <w:rPr>
                <w:rFonts w:hint="eastAsia" w:ascii="宋体" w:hAnsi="宋体" w:eastAsia="宋体" w:cs="宋体"/>
                <w:color w:val="auto"/>
                <w:sz w:val="28"/>
                <w:szCs w:val="28"/>
              </w:rPr>
            </w:pPr>
          </w:p>
          <w:p w14:paraId="7C1FA102">
            <w:pPr>
              <w:snapToGrid w:val="0"/>
              <w:spacing w:line="360" w:lineRule="auto"/>
              <w:textAlignment w:val="baseline"/>
              <w:rPr>
                <w:rFonts w:hint="eastAsia" w:ascii="宋体" w:hAnsi="宋体" w:eastAsia="宋体" w:cs="宋体"/>
                <w:color w:val="auto"/>
                <w:sz w:val="28"/>
                <w:szCs w:val="28"/>
              </w:rPr>
            </w:pPr>
          </w:p>
          <w:p w14:paraId="1CC0D90A">
            <w:pPr>
              <w:snapToGrid w:val="0"/>
              <w:spacing w:line="360" w:lineRule="auto"/>
              <w:textAlignment w:val="baseline"/>
              <w:rPr>
                <w:rFonts w:hint="eastAsia" w:ascii="宋体" w:hAnsi="宋体" w:eastAsia="宋体" w:cs="宋体"/>
                <w:color w:val="auto"/>
                <w:sz w:val="28"/>
                <w:szCs w:val="28"/>
              </w:rPr>
            </w:pPr>
          </w:p>
          <w:p w14:paraId="70EFBFD0">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项目监理 机构人员</w:t>
            </w:r>
          </w:p>
        </w:tc>
        <w:tc>
          <w:tcPr>
            <w:tcW w:w="633" w:type="dxa"/>
            <w:vAlign w:val="top"/>
          </w:tcPr>
          <w:p w14:paraId="6C5B6C3B">
            <w:pPr>
              <w:snapToGrid w:val="0"/>
              <w:spacing w:line="360" w:lineRule="auto"/>
              <w:textAlignment w:val="baseline"/>
              <w:rPr>
                <w:rFonts w:hint="eastAsia" w:ascii="宋体" w:hAnsi="宋体" w:eastAsia="宋体" w:cs="宋体"/>
                <w:color w:val="auto"/>
                <w:sz w:val="28"/>
                <w:szCs w:val="28"/>
              </w:rPr>
            </w:pPr>
          </w:p>
          <w:p w14:paraId="736B2702">
            <w:pPr>
              <w:snapToGrid w:val="0"/>
              <w:spacing w:line="360" w:lineRule="auto"/>
              <w:textAlignment w:val="baseline"/>
              <w:rPr>
                <w:rFonts w:hint="eastAsia" w:ascii="宋体" w:hAnsi="宋体" w:eastAsia="宋体" w:cs="宋体"/>
                <w:color w:val="auto"/>
                <w:sz w:val="28"/>
                <w:szCs w:val="28"/>
              </w:rPr>
            </w:pPr>
          </w:p>
          <w:p w14:paraId="6D6640B8">
            <w:pPr>
              <w:snapToGrid w:val="0"/>
              <w:spacing w:line="360" w:lineRule="auto"/>
              <w:textAlignment w:val="baseline"/>
              <w:rPr>
                <w:rFonts w:hint="eastAsia" w:ascii="宋体" w:hAnsi="宋体" w:eastAsia="宋体" w:cs="宋体"/>
                <w:color w:val="auto"/>
                <w:sz w:val="28"/>
                <w:szCs w:val="28"/>
              </w:rPr>
            </w:pPr>
          </w:p>
          <w:p w14:paraId="48199AAA">
            <w:pPr>
              <w:snapToGrid w:val="0"/>
              <w:spacing w:line="360" w:lineRule="auto"/>
              <w:textAlignment w:val="baseline"/>
              <w:rPr>
                <w:rFonts w:hint="eastAsia" w:ascii="宋体" w:hAnsi="宋体" w:eastAsia="宋体" w:cs="宋体"/>
                <w:color w:val="auto"/>
                <w:sz w:val="28"/>
                <w:szCs w:val="28"/>
              </w:rPr>
            </w:pPr>
          </w:p>
          <w:p w14:paraId="2CBCA929">
            <w:pPr>
              <w:snapToGrid w:val="0"/>
              <w:spacing w:line="360" w:lineRule="auto"/>
              <w:textAlignment w:val="baseline"/>
              <w:rPr>
                <w:rFonts w:hint="eastAsia" w:ascii="宋体" w:hAnsi="宋体" w:eastAsia="宋体" w:cs="宋体"/>
                <w:color w:val="auto"/>
                <w:sz w:val="28"/>
                <w:szCs w:val="28"/>
              </w:rPr>
            </w:pPr>
          </w:p>
          <w:p w14:paraId="268792D6">
            <w:pPr>
              <w:snapToGrid w:val="0"/>
              <w:spacing w:line="360" w:lineRule="auto"/>
              <w:textAlignment w:val="baseline"/>
              <w:rPr>
                <w:rFonts w:hint="eastAsia" w:ascii="宋体" w:hAnsi="宋体" w:eastAsia="宋体" w:cs="宋体"/>
                <w:color w:val="auto"/>
                <w:sz w:val="28"/>
                <w:szCs w:val="28"/>
              </w:rPr>
            </w:pPr>
          </w:p>
          <w:p w14:paraId="4CA29033">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10 分</w:t>
            </w:r>
          </w:p>
        </w:tc>
        <w:tc>
          <w:tcPr>
            <w:tcW w:w="6611" w:type="dxa"/>
            <w:vAlign w:val="top"/>
          </w:tcPr>
          <w:p w14:paraId="06BE53DD">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1、现场配置专业监理工程师人员承诺常驻、不更换且不缺勤的，提供</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人得</w:t>
            </w:r>
            <w:r>
              <w:rPr>
                <w:rFonts w:hint="eastAsia" w:ascii="宋体" w:hAnsi="宋体" w:cs="宋体"/>
                <w:color w:val="auto"/>
                <w:sz w:val="28"/>
                <w:szCs w:val="28"/>
                <w:lang w:val="en-US" w:eastAsia="zh-CN"/>
              </w:rPr>
              <w:t>1.5</w:t>
            </w:r>
            <w:r>
              <w:rPr>
                <w:rFonts w:hint="eastAsia" w:ascii="宋体" w:hAnsi="宋体" w:eastAsia="宋体" w:cs="宋体"/>
                <w:color w:val="auto"/>
                <w:sz w:val="28"/>
                <w:szCs w:val="28"/>
              </w:rPr>
              <w:t xml:space="preserve"> 分，每</w:t>
            </w:r>
            <w:r>
              <w:rPr>
                <w:rFonts w:hint="eastAsia" w:ascii="宋体" w:hAnsi="宋体" w:cs="宋体"/>
                <w:color w:val="auto"/>
                <w:sz w:val="28"/>
                <w:szCs w:val="28"/>
                <w:lang w:val="en-US" w:eastAsia="zh-CN"/>
              </w:rPr>
              <w:t>增加</w:t>
            </w:r>
            <w:r>
              <w:rPr>
                <w:rFonts w:hint="eastAsia" w:ascii="宋体" w:hAnsi="宋体" w:eastAsia="宋体" w:cs="宋体"/>
                <w:color w:val="auto"/>
                <w:sz w:val="28"/>
                <w:szCs w:val="28"/>
              </w:rPr>
              <w:t>一人</w:t>
            </w:r>
            <w:r>
              <w:rPr>
                <w:rFonts w:hint="eastAsia" w:ascii="宋体" w:hAnsi="宋体" w:cs="宋体"/>
                <w:color w:val="auto"/>
                <w:sz w:val="28"/>
                <w:szCs w:val="28"/>
                <w:lang w:val="en-US" w:eastAsia="zh-CN"/>
              </w:rPr>
              <w:t>加</w:t>
            </w:r>
            <w:r>
              <w:rPr>
                <w:rFonts w:hint="eastAsia" w:ascii="宋体" w:hAnsi="宋体" w:eastAsia="宋体" w:cs="宋体"/>
                <w:color w:val="auto"/>
                <w:sz w:val="28"/>
                <w:szCs w:val="28"/>
              </w:rPr>
              <w:t>0.5分</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最多加1分，本项最高得2.5分</w:t>
            </w:r>
            <w:r>
              <w:rPr>
                <w:rFonts w:hint="eastAsia" w:ascii="宋体" w:hAnsi="宋体" w:eastAsia="宋体" w:cs="宋体"/>
                <w:color w:val="auto"/>
                <w:sz w:val="28"/>
                <w:szCs w:val="28"/>
              </w:rPr>
              <w:t>。</w:t>
            </w:r>
          </w:p>
          <w:p w14:paraId="2C252276">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2、配备的专业理工程师中，具有注册监理工程师资格的每一人得 1分，最多得 3分。</w:t>
            </w:r>
          </w:p>
          <w:p w14:paraId="6F2861CD">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3、专业监理工程承担的工作内容划分清晰的得 2.5 分，否则 不得分。</w:t>
            </w:r>
          </w:p>
          <w:p w14:paraId="3FA2BA27">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4、投标单位需承诺项目监理工作人员未尽到监理职责做出处 理方案的承诺；提供承诺得 2 分，不提供不得分。（格式自拟， 承诺书扫描件加盖公章上传至电子投标文件内）</w:t>
            </w:r>
          </w:p>
        </w:tc>
      </w:tr>
      <w:tr w14:paraId="6D12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2" w:hRule="atLeast"/>
        </w:trPr>
        <w:tc>
          <w:tcPr>
            <w:tcW w:w="1250" w:type="dxa"/>
            <w:vMerge w:val="continue"/>
            <w:vAlign w:val="top"/>
          </w:tcPr>
          <w:p w14:paraId="01CD3CB9">
            <w:pPr>
              <w:snapToGrid w:val="0"/>
              <w:spacing w:line="360" w:lineRule="auto"/>
              <w:textAlignment w:val="baseline"/>
              <w:rPr>
                <w:rFonts w:hint="eastAsia" w:ascii="宋体" w:hAnsi="宋体" w:eastAsia="宋体" w:cs="宋体"/>
                <w:color w:val="auto"/>
                <w:sz w:val="28"/>
                <w:szCs w:val="28"/>
              </w:rPr>
            </w:pPr>
          </w:p>
        </w:tc>
        <w:tc>
          <w:tcPr>
            <w:tcW w:w="1334" w:type="dxa"/>
            <w:vAlign w:val="top"/>
          </w:tcPr>
          <w:p w14:paraId="697D443D">
            <w:pPr>
              <w:snapToGrid w:val="0"/>
              <w:spacing w:line="360" w:lineRule="auto"/>
              <w:textAlignment w:val="baseline"/>
              <w:rPr>
                <w:rFonts w:hint="eastAsia" w:ascii="宋体" w:hAnsi="宋体" w:eastAsia="宋体" w:cs="宋体"/>
                <w:color w:val="auto"/>
                <w:sz w:val="28"/>
                <w:szCs w:val="28"/>
              </w:rPr>
            </w:pPr>
          </w:p>
          <w:p w14:paraId="56569B59">
            <w:pPr>
              <w:snapToGrid w:val="0"/>
              <w:spacing w:line="360" w:lineRule="auto"/>
              <w:textAlignment w:val="baseline"/>
              <w:rPr>
                <w:rFonts w:hint="eastAsia" w:ascii="宋体" w:hAnsi="宋体" w:eastAsia="宋体" w:cs="宋体"/>
                <w:color w:val="auto"/>
                <w:sz w:val="28"/>
                <w:szCs w:val="28"/>
              </w:rPr>
            </w:pPr>
          </w:p>
          <w:p w14:paraId="6220C2E5">
            <w:pPr>
              <w:snapToGrid w:val="0"/>
              <w:spacing w:line="360" w:lineRule="auto"/>
              <w:textAlignment w:val="baseline"/>
              <w:rPr>
                <w:rFonts w:hint="eastAsia" w:ascii="宋体" w:hAnsi="宋体" w:eastAsia="宋体" w:cs="宋体"/>
                <w:color w:val="auto"/>
                <w:sz w:val="28"/>
                <w:szCs w:val="28"/>
              </w:rPr>
            </w:pPr>
          </w:p>
          <w:p w14:paraId="0A9718D2">
            <w:pPr>
              <w:snapToGrid w:val="0"/>
              <w:spacing w:line="360" w:lineRule="auto"/>
              <w:textAlignment w:val="baseline"/>
              <w:rPr>
                <w:rFonts w:hint="eastAsia" w:ascii="宋体" w:hAnsi="宋体" w:eastAsia="宋体" w:cs="宋体"/>
                <w:color w:val="auto"/>
                <w:sz w:val="28"/>
                <w:szCs w:val="28"/>
              </w:rPr>
            </w:pPr>
          </w:p>
          <w:p w14:paraId="7BB58B14">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企业设备 仪器</w:t>
            </w:r>
          </w:p>
        </w:tc>
        <w:tc>
          <w:tcPr>
            <w:tcW w:w="633" w:type="dxa"/>
            <w:vAlign w:val="top"/>
          </w:tcPr>
          <w:p w14:paraId="7256D159">
            <w:pPr>
              <w:snapToGrid w:val="0"/>
              <w:spacing w:line="360" w:lineRule="auto"/>
              <w:textAlignment w:val="baseline"/>
              <w:rPr>
                <w:rFonts w:hint="eastAsia" w:ascii="宋体" w:hAnsi="宋体" w:eastAsia="宋体" w:cs="宋体"/>
                <w:color w:val="auto"/>
                <w:sz w:val="28"/>
                <w:szCs w:val="28"/>
              </w:rPr>
            </w:pPr>
          </w:p>
          <w:p w14:paraId="3AFA323D">
            <w:pPr>
              <w:snapToGrid w:val="0"/>
              <w:spacing w:line="360" w:lineRule="auto"/>
              <w:textAlignment w:val="baseline"/>
              <w:rPr>
                <w:rFonts w:hint="eastAsia" w:ascii="宋体" w:hAnsi="宋体" w:eastAsia="宋体" w:cs="宋体"/>
                <w:color w:val="auto"/>
                <w:sz w:val="28"/>
                <w:szCs w:val="28"/>
              </w:rPr>
            </w:pPr>
          </w:p>
          <w:p w14:paraId="76E0B1BB">
            <w:pPr>
              <w:snapToGrid w:val="0"/>
              <w:spacing w:line="360" w:lineRule="auto"/>
              <w:textAlignment w:val="baseline"/>
              <w:rPr>
                <w:rFonts w:hint="eastAsia" w:ascii="宋体" w:hAnsi="宋体" w:eastAsia="宋体" w:cs="宋体"/>
                <w:color w:val="auto"/>
                <w:sz w:val="28"/>
                <w:szCs w:val="28"/>
              </w:rPr>
            </w:pPr>
          </w:p>
          <w:p w14:paraId="1240ECB7">
            <w:pPr>
              <w:snapToGrid w:val="0"/>
              <w:spacing w:line="360" w:lineRule="auto"/>
              <w:textAlignment w:val="baseline"/>
              <w:rPr>
                <w:rFonts w:hint="eastAsia" w:ascii="宋体" w:hAnsi="宋体" w:eastAsia="宋体" w:cs="宋体"/>
                <w:color w:val="auto"/>
                <w:sz w:val="28"/>
                <w:szCs w:val="28"/>
              </w:rPr>
            </w:pPr>
          </w:p>
          <w:p w14:paraId="5049930D">
            <w:pPr>
              <w:snapToGrid w:val="0"/>
              <w:spacing w:line="360" w:lineRule="auto"/>
              <w:textAlignment w:val="baseline"/>
              <w:rPr>
                <w:rFonts w:hint="eastAsia" w:ascii="宋体" w:hAnsi="宋体" w:eastAsia="宋体" w:cs="宋体"/>
                <w:color w:val="auto"/>
                <w:sz w:val="28"/>
                <w:szCs w:val="28"/>
              </w:rPr>
            </w:pPr>
          </w:p>
          <w:p w14:paraId="6328D613">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11 分</w:t>
            </w:r>
          </w:p>
        </w:tc>
        <w:tc>
          <w:tcPr>
            <w:tcW w:w="6611" w:type="dxa"/>
            <w:vAlign w:val="top"/>
          </w:tcPr>
          <w:p w14:paraId="6DA2344D">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1、针对招标工程特点，配备的监理设备、仪器切合实际需求， 满足招标工程要求且考虑全面，得 11 分；</w:t>
            </w:r>
          </w:p>
          <w:p w14:paraId="4C6AAFB2">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2、针对招标工程特点，配备的监理设备、仪器基本满足招标工 程要求，考虑全面，得 8 分；</w:t>
            </w:r>
          </w:p>
          <w:p w14:paraId="10A2D760">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3、针对招标工程特点，配备的监理设备、仪器基本满足招标工 程要求，考虑不全面，得 4 分；</w:t>
            </w:r>
          </w:p>
          <w:p w14:paraId="0E657CD6">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4、针对招标工程特点，配备的监理设备、仪器不满足招标工程 要求，不得分；</w:t>
            </w:r>
          </w:p>
        </w:tc>
      </w:tr>
      <w:tr w14:paraId="4D47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1250" w:type="dxa"/>
            <w:vMerge w:val="continue"/>
            <w:vAlign w:val="top"/>
          </w:tcPr>
          <w:p w14:paraId="589B2FD6">
            <w:pPr>
              <w:snapToGrid w:val="0"/>
              <w:spacing w:line="360" w:lineRule="auto"/>
              <w:textAlignment w:val="baseline"/>
              <w:rPr>
                <w:rFonts w:hint="eastAsia" w:ascii="宋体" w:hAnsi="宋体" w:eastAsia="宋体" w:cs="宋体"/>
                <w:color w:val="auto"/>
                <w:sz w:val="28"/>
                <w:szCs w:val="28"/>
              </w:rPr>
            </w:pPr>
          </w:p>
        </w:tc>
        <w:tc>
          <w:tcPr>
            <w:tcW w:w="1334" w:type="dxa"/>
            <w:vAlign w:val="top"/>
          </w:tcPr>
          <w:p w14:paraId="38C8B4FA">
            <w:pPr>
              <w:snapToGrid w:val="0"/>
              <w:spacing w:line="360" w:lineRule="auto"/>
              <w:textAlignment w:val="baseline"/>
              <w:rPr>
                <w:rFonts w:hint="eastAsia" w:ascii="宋体" w:hAnsi="宋体" w:eastAsia="宋体" w:cs="宋体"/>
                <w:color w:val="auto"/>
                <w:sz w:val="28"/>
                <w:szCs w:val="28"/>
              </w:rPr>
            </w:pPr>
          </w:p>
          <w:p w14:paraId="7FFCAF1F">
            <w:pPr>
              <w:snapToGrid w:val="0"/>
              <w:spacing w:line="360" w:lineRule="auto"/>
              <w:textAlignment w:val="baseline"/>
              <w:rPr>
                <w:rFonts w:hint="eastAsia" w:ascii="宋体" w:hAnsi="宋体" w:eastAsia="宋体" w:cs="宋体"/>
                <w:color w:val="auto"/>
                <w:sz w:val="28"/>
                <w:szCs w:val="28"/>
              </w:rPr>
            </w:pPr>
          </w:p>
          <w:p w14:paraId="130D6655">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业 绩</w:t>
            </w:r>
          </w:p>
        </w:tc>
        <w:tc>
          <w:tcPr>
            <w:tcW w:w="633" w:type="dxa"/>
            <w:vAlign w:val="top"/>
          </w:tcPr>
          <w:p w14:paraId="55E366B9">
            <w:pPr>
              <w:snapToGrid w:val="0"/>
              <w:spacing w:line="360" w:lineRule="auto"/>
              <w:textAlignment w:val="baseline"/>
              <w:rPr>
                <w:rFonts w:hint="eastAsia" w:ascii="宋体" w:hAnsi="宋体" w:eastAsia="宋体" w:cs="宋体"/>
                <w:color w:val="auto"/>
                <w:sz w:val="28"/>
                <w:szCs w:val="28"/>
              </w:rPr>
            </w:pPr>
          </w:p>
          <w:p w14:paraId="5A5F295B">
            <w:pPr>
              <w:snapToGrid w:val="0"/>
              <w:spacing w:line="360" w:lineRule="auto"/>
              <w:textAlignment w:val="baseline"/>
              <w:rPr>
                <w:rFonts w:hint="eastAsia" w:ascii="宋体" w:hAnsi="宋体" w:eastAsia="宋体" w:cs="宋体"/>
                <w:color w:val="auto"/>
                <w:sz w:val="28"/>
                <w:szCs w:val="28"/>
              </w:rPr>
            </w:pPr>
          </w:p>
          <w:p w14:paraId="300028D4">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5 分</w:t>
            </w:r>
          </w:p>
        </w:tc>
        <w:tc>
          <w:tcPr>
            <w:tcW w:w="6611" w:type="dxa"/>
            <w:vAlign w:val="top"/>
          </w:tcPr>
          <w:p w14:paraId="0C486F77">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总监理工程师业绩：</w:t>
            </w:r>
          </w:p>
          <w:p w14:paraId="6401098E">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提供近三年（2021 年 </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月-至今）承担过类似或相近工程项目的总监理工程师业绩，每一项得 2.5 分，最多得 5 分。</w:t>
            </w:r>
          </w:p>
          <w:p w14:paraId="019BBF17">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注：（业绩需提供合同协议书及中标通知书扫描件加盖公章）。</w:t>
            </w:r>
          </w:p>
        </w:tc>
      </w:tr>
      <w:tr w14:paraId="18CA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2" w:hRule="atLeast"/>
        </w:trPr>
        <w:tc>
          <w:tcPr>
            <w:tcW w:w="1250" w:type="dxa"/>
            <w:vMerge w:val="restart"/>
            <w:vAlign w:val="top"/>
          </w:tcPr>
          <w:p w14:paraId="31BF7F43">
            <w:pPr>
              <w:snapToGrid w:val="0"/>
              <w:spacing w:line="360" w:lineRule="auto"/>
              <w:textAlignment w:val="baseline"/>
              <w:rPr>
                <w:rFonts w:hint="eastAsia" w:ascii="宋体" w:hAnsi="宋体" w:eastAsia="宋体" w:cs="宋体"/>
                <w:color w:val="auto"/>
                <w:sz w:val="28"/>
                <w:szCs w:val="28"/>
              </w:rPr>
            </w:pPr>
          </w:p>
          <w:p w14:paraId="57CFF3A0">
            <w:pPr>
              <w:snapToGrid w:val="0"/>
              <w:spacing w:line="360" w:lineRule="auto"/>
              <w:textAlignment w:val="baseline"/>
              <w:rPr>
                <w:rFonts w:hint="eastAsia" w:ascii="宋体" w:hAnsi="宋体" w:eastAsia="宋体" w:cs="宋体"/>
                <w:color w:val="auto"/>
                <w:sz w:val="28"/>
                <w:szCs w:val="28"/>
              </w:rPr>
            </w:pPr>
          </w:p>
          <w:p w14:paraId="6BD9FFB1">
            <w:pPr>
              <w:snapToGrid w:val="0"/>
              <w:spacing w:line="360" w:lineRule="auto"/>
              <w:textAlignment w:val="baseline"/>
              <w:rPr>
                <w:rFonts w:hint="eastAsia" w:ascii="宋体" w:hAnsi="宋体" w:eastAsia="宋体" w:cs="宋体"/>
                <w:color w:val="auto"/>
                <w:sz w:val="28"/>
                <w:szCs w:val="28"/>
              </w:rPr>
            </w:pPr>
          </w:p>
          <w:p w14:paraId="4C1BC9AB">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技术部分 （64 分）</w:t>
            </w:r>
          </w:p>
        </w:tc>
        <w:tc>
          <w:tcPr>
            <w:tcW w:w="1334" w:type="dxa"/>
            <w:vAlign w:val="top"/>
          </w:tcPr>
          <w:p w14:paraId="138F7CE1">
            <w:pPr>
              <w:snapToGrid w:val="0"/>
              <w:spacing w:line="360" w:lineRule="auto"/>
              <w:textAlignment w:val="baseline"/>
              <w:rPr>
                <w:rFonts w:hint="eastAsia" w:ascii="宋体" w:hAnsi="宋体" w:eastAsia="宋体" w:cs="宋体"/>
                <w:color w:val="auto"/>
                <w:sz w:val="28"/>
                <w:szCs w:val="28"/>
              </w:rPr>
            </w:pPr>
          </w:p>
          <w:p w14:paraId="062DDB6D">
            <w:pPr>
              <w:snapToGrid w:val="0"/>
              <w:spacing w:line="360" w:lineRule="auto"/>
              <w:textAlignment w:val="baseline"/>
              <w:rPr>
                <w:rFonts w:hint="eastAsia" w:ascii="宋体" w:hAnsi="宋体" w:eastAsia="宋体" w:cs="宋体"/>
                <w:color w:val="auto"/>
                <w:sz w:val="28"/>
                <w:szCs w:val="28"/>
              </w:rPr>
            </w:pPr>
          </w:p>
          <w:p w14:paraId="4156B3FA">
            <w:pPr>
              <w:snapToGrid w:val="0"/>
              <w:spacing w:line="360" w:lineRule="auto"/>
              <w:textAlignment w:val="baseline"/>
              <w:rPr>
                <w:rFonts w:hint="eastAsia" w:ascii="宋体" w:hAnsi="宋体" w:eastAsia="宋体" w:cs="宋体"/>
                <w:color w:val="auto"/>
                <w:sz w:val="28"/>
                <w:szCs w:val="28"/>
              </w:rPr>
            </w:pPr>
          </w:p>
          <w:p w14:paraId="12859AD7">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工程概况</w:t>
            </w:r>
          </w:p>
        </w:tc>
        <w:tc>
          <w:tcPr>
            <w:tcW w:w="633" w:type="dxa"/>
            <w:vAlign w:val="top"/>
          </w:tcPr>
          <w:p w14:paraId="3ACE2ED4">
            <w:pPr>
              <w:snapToGrid w:val="0"/>
              <w:spacing w:line="360" w:lineRule="auto"/>
              <w:textAlignment w:val="baseline"/>
              <w:rPr>
                <w:rFonts w:hint="eastAsia" w:ascii="宋体" w:hAnsi="宋体" w:eastAsia="宋体" w:cs="宋体"/>
                <w:color w:val="auto"/>
                <w:sz w:val="28"/>
                <w:szCs w:val="28"/>
              </w:rPr>
            </w:pPr>
          </w:p>
          <w:p w14:paraId="69536362">
            <w:pPr>
              <w:snapToGrid w:val="0"/>
              <w:spacing w:line="360" w:lineRule="auto"/>
              <w:textAlignment w:val="baseline"/>
              <w:rPr>
                <w:rFonts w:hint="eastAsia" w:ascii="宋体" w:hAnsi="宋体" w:eastAsia="宋体" w:cs="宋体"/>
                <w:color w:val="auto"/>
                <w:sz w:val="28"/>
                <w:szCs w:val="28"/>
              </w:rPr>
            </w:pPr>
          </w:p>
          <w:p w14:paraId="3DC004C2">
            <w:pPr>
              <w:snapToGrid w:val="0"/>
              <w:spacing w:line="360" w:lineRule="auto"/>
              <w:textAlignment w:val="baseline"/>
              <w:rPr>
                <w:rFonts w:hint="eastAsia" w:ascii="宋体" w:hAnsi="宋体" w:eastAsia="宋体" w:cs="宋体"/>
                <w:color w:val="auto"/>
                <w:sz w:val="28"/>
                <w:szCs w:val="28"/>
              </w:rPr>
            </w:pPr>
          </w:p>
          <w:p w14:paraId="6971FECB">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20 分</w:t>
            </w:r>
          </w:p>
        </w:tc>
        <w:tc>
          <w:tcPr>
            <w:tcW w:w="6611" w:type="dxa"/>
            <w:vAlign w:val="top"/>
          </w:tcPr>
          <w:p w14:paraId="3D8EBB28">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1、工程的各项主要参数以及现场状况表述清晰、监理工程涉及 专业阐述全面、准确监理范围、内容、目标及监理依据准确全 面、监理工程实施难点分析合理有针对性，得 20 分；</w:t>
            </w:r>
          </w:p>
          <w:p w14:paraId="63CBB417">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2、工程的各项主要参数以及现场状况表述基本准确、监理工程 涉及专业阐述满足招标需求、准确监理范围、内容、目标及监 理依据准确全面、监理工程实施难点分析合理，得 15 分；</w:t>
            </w:r>
          </w:p>
          <w:p w14:paraId="55F7911C">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3.工程的各项主要参数以及现场状况表述基本准确、监理工程 涉及专业阐述基本满足招标需求、准确监理范围、内容、目标 及监理依据准确全面、监理工程实施难点分析基本合理，得 10 分；</w:t>
            </w:r>
          </w:p>
          <w:p w14:paraId="14903111">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4、工程的各项主要参数以及现场状况表述不明确、监理工程涉 及专业阐述不全面、准确监理范围、内容、目标及监理依据不 够准确全面、监理工程实施难点分析不合理，不得分。</w:t>
            </w:r>
          </w:p>
        </w:tc>
      </w:tr>
      <w:tr w14:paraId="1310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2" w:hRule="atLeast"/>
        </w:trPr>
        <w:tc>
          <w:tcPr>
            <w:tcW w:w="1250" w:type="dxa"/>
            <w:vMerge w:val="continue"/>
            <w:vAlign w:val="top"/>
          </w:tcPr>
          <w:p w14:paraId="43FE5F67">
            <w:pPr>
              <w:snapToGrid w:val="0"/>
              <w:spacing w:line="360" w:lineRule="auto"/>
              <w:textAlignment w:val="baseline"/>
              <w:rPr>
                <w:rFonts w:hint="eastAsia" w:ascii="宋体" w:hAnsi="宋体" w:eastAsia="宋体" w:cs="宋体"/>
                <w:color w:val="auto"/>
                <w:sz w:val="28"/>
                <w:szCs w:val="28"/>
              </w:rPr>
            </w:pPr>
          </w:p>
        </w:tc>
        <w:tc>
          <w:tcPr>
            <w:tcW w:w="1334" w:type="dxa"/>
            <w:vAlign w:val="top"/>
          </w:tcPr>
          <w:p w14:paraId="15727353">
            <w:pPr>
              <w:snapToGrid w:val="0"/>
              <w:spacing w:line="360" w:lineRule="auto"/>
              <w:textAlignment w:val="baseline"/>
              <w:rPr>
                <w:rFonts w:hint="eastAsia" w:ascii="宋体" w:hAnsi="宋体" w:eastAsia="宋体" w:cs="宋体"/>
                <w:color w:val="auto"/>
                <w:sz w:val="28"/>
                <w:szCs w:val="28"/>
              </w:rPr>
            </w:pPr>
          </w:p>
          <w:p w14:paraId="2F787C6D">
            <w:pPr>
              <w:snapToGrid w:val="0"/>
              <w:spacing w:line="360" w:lineRule="auto"/>
              <w:textAlignment w:val="baseline"/>
              <w:rPr>
                <w:rFonts w:hint="eastAsia" w:ascii="宋体" w:hAnsi="宋体" w:eastAsia="宋体" w:cs="宋体"/>
                <w:color w:val="auto"/>
                <w:sz w:val="28"/>
                <w:szCs w:val="28"/>
              </w:rPr>
            </w:pPr>
          </w:p>
          <w:p w14:paraId="109ACD09">
            <w:pPr>
              <w:snapToGrid w:val="0"/>
              <w:spacing w:line="360" w:lineRule="auto"/>
              <w:textAlignment w:val="baseline"/>
              <w:rPr>
                <w:rFonts w:hint="eastAsia" w:ascii="宋体" w:hAnsi="宋体" w:eastAsia="宋体" w:cs="宋体"/>
                <w:color w:val="auto"/>
                <w:sz w:val="28"/>
                <w:szCs w:val="28"/>
              </w:rPr>
            </w:pPr>
          </w:p>
          <w:p w14:paraId="50EDE5AC">
            <w:pPr>
              <w:snapToGrid w:val="0"/>
              <w:spacing w:line="360" w:lineRule="auto"/>
              <w:textAlignment w:val="baseline"/>
              <w:rPr>
                <w:rFonts w:hint="eastAsia" w:ascii="宋体" w:hAnsi="宋体" w:eastAsia="宋体" w:cs="宋体"/>
                <w:color w:val="auto"/>
                <w:sz w:val="28"/>
                <w:szCs w:val="28"/>
              </w:rPr>
            </w:pPr>
          </w:p>
          <w:p w14:paraId="11CCE338">
            <w:pPr>
              <w:snapToGrid w:val="0"/>
              <w:spacing w:line="360" w:lineRule="auto"/>
              <w:textAlignment w:val="baseline"/>
              <w:rPr>
                <w:rFonts w:hint="eastAsia" w:ascii="宋体" w:hAnsi="宋体" w:eastAsia="宋体" w:cs="宋体"/>
                <w:color w:val="auto"/>
                <w:sz w:val="28"/>
                <w:szCs w:val="28"/>
              </w:rPr>
            </w:pPr>
          </w:p>
          <w:p w14:paraId="3B786390">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质量控制</w:t>
            </w:r>
          </w:p>
        </w:tc>
        <w:tc>
          <w:tcPr>
            <w:tcW w:w="633" w:type="dxa"/>
            <w:vAlign w:val="top"/>
          </w:tcPr>
          <w:p w14:paraId="2F5A8A41">
            <w:pPr>
              <w:snapToGrid w:val="0"/>
              <w:spacing w:line="360" w:lineRule="auto"/>
              <w:textAlignment w:val="baseline"/>
              <w:rPr>
                <w:rFonts w:hint="eastAsia" w:ascii="宋体" w:hAnsi="宋体" w:eastAsia="宋体" w:cs="宋体"/>
                <w:color w:val="auto"/>
                <w:sz w:val="28"/>
                <w:szCs w:val="28"/>
              </w:rPr>
            </w:pPr>
          </w:p>
          <w:p w14:paraId="3CE5C939">
            <w:pPr>
              <w:snapToGrid w:val="0"/>
              <w:spacing w:line="360" w:lineRule="auto"/>
              <w:textAlignment w:val="baseline"/>
              <w:rPr>
                <w:rFonts w:hint="eastAsia" w:ascii="宋体" w:hAnsi="宋体" w:eastAsia="宋体" w:cs="宋体"/>
                <w:color w:val="auto"/>
                <w:sz w:val="28"/>
                <w:szCs w:val="28"/>
              </w:rPr>
            </w:pPr>
          </w:p>
          <w:p w14:paraId="6A32F3BB">
            <w:pPr>
              <w:snapToGrid w:val="0"/>
              <w:spacing w:line="360" w:lineRule="auto"/>
              <w:textAlignment w:val="baseline"/>
              <w:rPr>
                <w:rFonts w:hint="eastAsia" w:ascii="宋体" w:hAnsi="宋体" w:eastAsia="宋体" w:cs="宋体"/>
                <w:color w:val="auto"/>
                <w:sz w:val="28"/>
                <w:szCs w:val="28"/>
              </w:rPr>
            </w:pPr>
          </w:p>
          <w:p w14:paraId="38DE3E83">
            <w:pPr>
              <w:snapToGrid w:val="0"/>
              <w:spacing w:line="360" w:lineRule="auto"/>
              <w:textAlignment w:val="baseline"/>
              <w:rPr>
                <w:rFonts w:hint="eastAsia" w:ascii="宋体" w:hAnsi="宋体" w:eastAsia="宋体" w:cs="宋体"/>
                <w:color w:val="auto"/>
                <w:sz w:val="28"/>
                <w:szCs w:val="28"/>
              </w:rPr>
            </w:pPr>
          </w:p>
          <w:p w14:paraId="644112DC">
            <w:pPr>
              <w:snapToGrid w:val="0"/>
              <w:spacing w:line="360" w:lineRule="auto"/>
              <w:textAlignment w:val="baseline"/>
              <w:rPr>
                <w:rFonts w:hint="eastAsia" w:ascii="宋体" w:hAnsi="宋体" w:eastAsia="宋体" w:cs="宋体"/>
                <w:color w:val="auto"/>
                <w:sz w:val="28"/>
                <w:szCs w:val="28"/>
              </w:rPr>
            </w:pPr>
          </w:p>
          <w:p w14:paraId="79D95FF2">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10 分</w:t>
            </w:r>
          </w:p>
        </w:tc>
        <w:tc>
          <w:tcPr>
            <w:tcW w:w="6611" w:type="dxa"/>
            <w:vAlign w:val="top"/>
          </w:tcPr>
          <w:p w14:paraId="36D8CAC2">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1、质量有总目标、质量控制内容，基本程序（包括质量事故的 处理程序）及预控措施切实可行、质量控制方法先进，得 10 分；</w:t>
            </w:r>
          </w:p>
          <w:p w14:paraId="29EAB7D0">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2、质量有总目标、质量控制内容，基本程序（包括质量事故的 处理程序）及预控措施具有一定可行性、质量控制方法基本满 足工程要求，得 5 分；</w:t>
            </w:r>
          </w:p>
          <w:p w14:paraId="2F826690">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3、质量没有总目标、质量控制内容，基本程序（包括质量事故 的处理程序）及预控措施不可行、质量控制方法无法满工程足 要求，不得分。</w:t>
            </w:r>
          </w:p>
        </w:tc>
      </w:tr>
      <w:tr w14:paraId="1B16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2" w:hRule="atLeast"/>
        </w:trPr>
        <w:tc>
          <w:tcPr>
            <w:tcW w:w="1250" w:type="dxa"/>
            <w:vMerge w:val="continue"/>
            <w:vAlign w:val="top"/>
          </w:tcPr>
          <w:p w14:paraId="1C8E82EA">
            <w:pPr>
              <w:snapToGrid w:val="0"/>
              <w:spacing w:line="360" w:lineRule="auto"/>
              <w:textAlignment w:val="baseline"/>
              <w:rPr>
                <w:rFonts w:hint="eastAsia" w:ascii="宋体" w:hAnsi="宋体" w:eastAsia="宋体" w:cs="宋体"/>
                <w:color w:val="auto"/>
                <w:sz w:val="28"/>
                <w:szCs w:val="28"/>
              </w:rPr>
            </w:pPr>
          </w:p>
        </w:tc>
        <w:tc>
          <w:tcPr>
            <w:tcW w:w="1334" w:type="dxa"/>
            <w:vAlign w:val="top"/>
          </w:tcPr>
          <w:p w14:paraId="76875844">
            <w:pPr>
              <w:snapToGrid w:val="0"/>
              <w:spacing w:line="360" w:lineRule="auto"/>
              <w:textAlignment w:val="baseline"/>
              <w:rPr>
                <w:rFonts w:hint="eastAsia" w:ascii="宋体" w:hAnsi="宋体" w:eastAsia="宋体" w:cs="宋体"/>
                <w:color w:val="auto"/>
                <w:sz w:val="28"/>
                <w:szCs w:val="28"/>
              </w:rPr>
            </w:pPr>
          </w:p>
          <w:p w14:paraId="5A936EFE">
            <w:pPr>
              <w:snapToGrid w:val="0"/>
              <w:spacing w:line="360" w:lineRule="auto"/>
              <w:textAlignment w:val="baseline"/>
              <w:rPr>
                <w:rFonts w:hint="eastAsia" w:ascii="宋体" w:hAnsi="宋体" w:eastAsia="宋体" w:cs="宋体"/>
                <w:color w:val="auto"/>
                <w:sz w:val="28"/>
                <w:szCs w:val="28"/>
              </w:rPr>
            </w:pPr>
          </w:p>
          <w:p w14:paraId="03962211">
            <w:pPr>
              <w:snapToGrid w:val="0"/>
              <w:spacing w:line="360" w:lineRule="auto"/>
              <w:textAlignment w:val="baseline"/>
              <w:rPr>
                <w:rFonts w:hint="eastAsia" w:ascii="宋体" w:hAnsi="宋体" w:eastAsia="宋体" w:cs="宋体"/>
                <w:color w:val="auto"/>
                <w:sz w:val="28"/>
                <w:szCs w:val="28"/>
              </w:rPr>
            </w:pPr>
          </w:p>
          <w:p w14:paraId="319E4447">
            <w:pPr>
              <w:snapToGrid w:val="0"/>
              <w:spacing w:line="360" w:lineRule="auto"/>
              <w:textAlignment w:val="baseline"/>
              <w:rPr>
                <w:rFonts w:hint="eastAsia" w:ascii="宋体" w:hAnsi="宋体" w:eastAsia="宋体" w:cs="宋体"/>
                <w:color w:val="auto"/>
                <w:sz w:val="28"/>
                <w:szCs w:val="28"/>
              </w:rPr>
            </w:pPr>
          </w:p>
          <w:p w14:paraId="62EF9908">
            <w:pPr>
              <w:snapToGrid w:val="0"/>
              <w:spacing w:line="360" w:lineRule="auto"/>
              <w:textAlignment w:val="baseline"/>
              <w:rPr>
                <w:rFonts w:hint="eastAsia" w:ascii="宋体" w:hAnsi="宋体" w:eastAsia="宋体" w:cs="宋体"/>
                <w:color w:val="auto"/>
                <w:sz w:val="28"/>
                <w:szCs w:val="28"/>
              </w:rPr>
            </w:pPr>
          </w:p>
          <w:p w14:paraId="08B1B544">
            <w:pPr>
              <w:snapToGrid w:val="0"/>
              <w:spacing w:line="360" w:lineRule="auto"/>
              <w:textAlignment w:val="baseline"/>
              <w:rPr>
                <w:rFonts w:hint="eastAsia" w:ascii="宋体" w:hAnsi="宋体" w:eastAsia="宋体" w:cs="宋体"/>
                <w:color w:val="auto"/>
                <w:sz w:val="28"/>
                <w:szCs w:val="28"/>
              </w:rPr>
            </w:pPr>
          </w:p>
          <w:p w14:paraId="11DCF267">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可行性</w:t>
            </w:r>
          </w:p>
        </w:tc>
        <w:tc>
          <w:tcPr>
            <w:tcW w:w="633" w:type="dxa"/>
            <w:vAlign w:val="top"/>
          </w:tcPr>
          <w:p w14:paraId="1DF08AF1">
            <w:pPr>
              <w:snapToGrid w:val="0"/>
              <w:spacing w:line="360" w:lineRule="auto"/>
              <w:textAlignment w:val="baseline"/>
              <w:rPr>
                <w:rFonts w:hint="eastAsia" w:ascii="宋体" w:hAnsi="宋体" w:eastAsia="宋体" w:cs="宋体"/>
                <w:color w:val="auto"/>
                <w:sz w:val="28"/>
                <w:szCs w:val="28"/>
              </w:rPr>
            </w:pPr>
          </w:p>
          <w:p w14:paraId="62BBDAD4">
            <w:pPr>
              <w:snapToGrid w:val="0"/>
              <w:spacing w:line="360" w:lineRule="auto"/>
              <w:textAlignment w:val="baseline"/>
              <w:rPr>
                <w:rFonts w:hint="eastAsia" w:ascii="宋体" w:hAnsi="宋体" w:eastAsia="宋体" w:cs="宋体"/>
                <w:color w:val="auto"/>
                <w:sz w:val="28"/>
                <w:szCs w:val="28"/>
              </w:rPr>
            </w:pPr>
          </w:p>
          <w:p w14:paraId="3D8FC507">
            <w:pPr>
              <w:snapToGrid w:val="0"/>
              <w:spacing w:line="360" w:lineRule="auto"/>
              <w:textAlignment w:val="baseline"/>
              <w:rPr>
                <w:rFonts w:hint="eastAsia" w:ascii="宋体" w:hAnsi="宋体" w:eastAsia="宋体" w:cs="宋体"/>
                <w:color w:val="auto"/>
                <w:sz w:val="28"/>
                <w:szCs w:val="28"/>
              </w:rPr>
            </w:pPr>
          </w:p>
          <w:p w14:paraId="6CD39963">
            <w:pPr>
              <w:snapToGrid w:val="0"/>
              <w:spacing w:line="360" w:lineRule="auto"/>
              <w:textAlignment w:val="baseline"/>
              <w:rPr>
                <w:rFonts w:hint="eastAsia" w:ascii="宋体" w:hAnsi="宋体" w:eastAsia="宋体" w:cs="宋体"/>
                <w:color w:val="auto"/>
                <w:sz w:val="28"/>
                <w:szCs w:val="28"/>
              </w:rPr>
            </w:pPr>
          </w:p>
          <w:p w14:paraId="6D2A8FE3">
            <w:pPr>
              <w:snapToGrid w:val="0"/>
              <w:spacing w:line="360" w:lineRule="auto"/>
              <w:textAlignment w:val="baseline"/>
              <w:rPr>
                <w:rFonts w:hint="eastAsia" w:ascii="宋体" w:hAnsi="宋体" w:eastAsia="宋体" w:cs="宋体"/>
                <w:color w:val="auto"/>
                <w:sz w:val="28"/>
                <w:szCs w:val="28"/>
              </w:rPr>
            </w:pPr>
          </w:p>
          <w:p w14:paraId="55E33057">
            <w:pPr>
              <w:snapToGrid w:val="0"/>
              <w:spacing w:line="360" w:lineRule="auto"/>
              <w:textAlignment w:val="baseline"/>
              <w:rPr>
                <w:rFonts w:hint="eastAsia" w:ascii="宋体" w:hAnsi="宋体" w:eastAsia="宋体" w:cs="宋体"/>
                <w:color w:val="auto"/>
                <w:sz w:val="28"/>
                <w:szCs w:val="28"/>
              </w:rPr>
            </w:pPr>
          </w:p>
          <w:p w14:paraId="7FF46463">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10 分</w:t>
            </w:r>
          </w:p>
        </w:tc>
        <w:tc>
          <w:tcPr>
            <w:tcW w:w="6611" w:type="dxa"/>
            <w:vAlign w:val="top"/>
          </w:tcPr>
          <w:p w14:paraId="4DE248F3">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1、涉及主要内容齐全措施计划详尽，符合工程实际情况、提高 生产率、提高质量、降低消耗的得 2 分；涉及主要内容齐全措 施较好，能符合工程实际情况、能提高生产率或提高质量的得</w:t>
            </w:r>
          </w:p>
          <w:p w14:paraId="6E6F0BC3">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 分；未体现主要内容齐全措施计划此项不得分。</w:t>
            </w:r>
          </w:p>
          <w:p w14:paraId="64F07886">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2、流水段的划分合理明确、切实可行性强得 2 分；流水段的划 分一般、可行性一般,得 1 分；未体现流水段的划分此项不得分。</w:t>
            </w:r>
          </w:p>
          <w:p w14:paraId="06FF682E">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3、流水作业合理可行得 2 分，未体现流水作业此项不得分；</w:t>
            </w:r>
          </w:p>
          <w:p w14:paraId="7F9B665C">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4、各项交叉作业切合实际得 2 分，未体现各项交叉作业此项不 得分；</w:t>
            </w:r>
          </w:p>
          <w:p w14:paraId="0B6E33B8">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5、机具合理可行得 2 分，未体现机具的此项不得分。</w:t>
            </w:r>
          </w:p>
        </w:tc>
      </w:tr>
      <w:tr w14:paraId="7327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2" w:hRule="atLeast"/>
        </w:trPr>
        <w:tc>
          <w:tcPr>
            <w:tcW w:w="1250" w:type="dxa"/>
            <w:vMerge w:val="continue"/>
            <w:vAlign w:val="top"/>
          </w:tcPr>
          <w:p w14:paraId="6ACC36F4">
            <w:pPr>
              <w:snapToGrid w:val="0"/>
              <w:spacing w:line="360" w:lineRule="auto"/>
              <w:textAlignment w:val="baseline"/>
              <w:rPr>
                <w:rFonts w:hint="eastAsia" w:ascii="宋体" w:hAnsi="宋体" w:eastAsia="宋体" w:cs="宋体"/>
                <w:color w:val="auto"/>
                <w:sz w:val="28"/>
                <w:szCs w:val="28"/>
              </w:rPr>
            </w:pPr>
          </w:p>
        </w:tc>
        <w:tc>
          <w:tcPr>
            <w:tcW w:w="1334" w:type="dxa"/>
            <w:vAlign w:val="top"/>
          </w:tcPr>
          <w:p w14:paraId="5563C9C4">
            <w:pPr>
              <w:snapToGrid w:val="0"/>
              <w:spacing w:line="360" w:lineRule="auto"/>
              <w:textAlignment w:val="baseline"/>
              <w:rPr>
                <w:rFonts w:hint="eastAsia" w:ascii="宋体" w:hAnsi="宋体" w:eastAsia="宋体" w:cs="宋体"/>
                <w:color w:val="auto"/>
                <w:sz w:val="28"/>
                <w:szCs w:val="28"/>
              </w:rPr>
            </w:pPr>
          </w:p>
          <w:p w14:paraId="0B6F2388">
            <w:pPr>
              <w:snapToGrid w:val="0"/>
              <w:spacing w:line="360" w:lineRule="auto"/>
              <w:textAlignment w:val="baseline"/>
              <w:rPr>
                <w:rFonts w:hint="eastAsia" w:ascii="宋体" w:hAnsi="宋体" w:eastAsia="宋体" w:cs="宋体"/>
                <w:color w:val="auto"/>
                <w:sz w:val="28"/>
                <w:szCs w:val="28"/>
              </w:rPr>
            </w:pPr>
          </w:p>
          <w:p w14:paraId="5DDF914E">
            <w:pPr>
              <w:snapToGrid w:val="0"/>
              <w:spacing w:line="360" w:lineRule="auto"/>
              <w:textAlignment w:val="baseline"/>
              <w:rPr>
                <w:rFonts w:hint="eastAsia" w:ascii="宋体" w:hAnsi="宋体" w:eastAsia="宋体" w:cs="宋体"/>
                <w:color w:val="auto"/>
                <w:sz w:val="28"/>
                <w:szCs w:val="28"/>
              </w:rPr>
            </w:pPr>
          </w:p>
          <w:p w14:paraId="5F6FD91F">
            <w:pPr>
              <w:snapToGrid w:val="0"/>
              <w:spacing w:line="360" w:lineRule="auto"/>
              <w:textAlignment w:val="baseline"/>
              <w:rPr>
                <w:rFonts w:hint="eastAsia" w:ascii="宋体" w:hAnsi="宋体" w:eastAsia="宋体" w:cs="宋体"/>
                <w:color w:val="auto"/>
                <w:sz w:val="28"/>
                <w:szCs w:val="28"/>
              </w:rPr>
            </w:pPr>
          </w:p>
          <w:p w14:paraId="2C42E54A">
            <w:pPr>
              <w:snapToGrid w:val="0"/>
              <w:spacing w:line="360" w:lineRule="auto"/>
              <w:textAlignment w:val="baseline"/>
              <w:rPr>
                <w:rFonts w:hint="eastAsia" w:ascii="宋体" w:hAnsi="宋体" w:eastAsia="宋体" w:cs="宋体"/>
                <w:color w:val="auto"/>
                <w:sz w:val="28"/>
                <w:szCs w:val="28"/>
              </w:rPr>
            </w:pPr>
          </w:p>
          <w:p w14:paraId="3B4ED6D8">
            <w:pPr>
              <w:snapToGrid w:val="0"/>
              <w:spacing w:line="360" w:lineRule="auto"/>
              <w:textAlignment w:val="baseline"/>
              <w:rPr>
                <w:rFonts w:hint="eastAsia" w:ascii="宋体" w:hAnsi="宋体" w:eastAsia="宋体" w:cs="宋体"/>
                <w:color w:val="auto"/>
                <w:sz w:val="28"/>
                <w:szCs w:val="28"/>
              </w:rPr>
            </w:pPr>
          </w:p>
          <w:p w14:paraId="59CCCEC2">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先进性</w:t>
            </w:r>
          </w:p>
        </w:tc>
        <w:tc>
          <w:tcPr>
            <w:tcW w:w="633" w:type="dxa"/>
            <w:vAlign w:val="top"/>
          </w:tcPr>
          <w:p w14:paraId="353A1ECA">
            <w:pPr>
              <w:snapToGrid w:val="0"/>
              <w:spacing w:line="360" w:lineRule="auto"/>
              <w:textAlignment w:val="baseline"/>
              <w:rPr>
                <w:rFonts w:hint="eastAsia" w:ascii="宋体" w:hAnsi="宋体" w:eastAsia="宋体" w:cs="宋体"/>
                <w:color w:val="auto"/>
                <w:sz w:val="28"/>
                <w:szCs w:val="28"/>
              </w:rPr>
            </w:pPr>
          </w:p>
          <w:p w14:paraId="1BCFA147">
            <w:pPr>
              <w:snapToGrid w:val="0"/>
              <w:spacing w:line="360" w:lineRule="auto"/>
              <w:textAlignment w:val="baseline"/>
              <w:rPr>
                <w:rFonts w:hint="eastAsia" w:ascii="宋体" w:hAnsi="宋体" w:eastAsia="宋体" w:cs="宋体"/>
                <w:color w:val="auto"/>
                <w:sz w:val="28"/>
                <w:szCs w:val="28"/>
              </w:rPr>
            </w:pPr>
          </w:p>
          <w:p w14:paraId="68180D6C">
            <w:pPr>
              <w:snapToGrid w:val="0"/>
              <w:spacing w:line="360" w:lineRule="auto"/>
              <w:textAlignment w:val="baseline"/>
              <w:rPr>
                <w:rFonts w:hint="eastAsia" w:ascii="宋体" w:hAnsi="宋体" w:eastAsia="宋体" w:cs="宋体"/>
                <w:color w:val="auto"/>
                <w:sz w:val="28"/>
                <w:szCs w:val="28"/>
              </w:rPr>
            </w:pPr>
          </w:p>
          <w:p w14:paraId="5C2A6FA3">
            <w:pPr>
              <w:snapToGrid w:val="0"/>
              <w:spacing w:line="360" w:lineRule="auto"/>
              <w:textAlignment w:val="baseline"/>
              <w:rPr>
                <w:rFonts w:hint="eastAsia" w:ascii="宋体" w:hAnsi="宋体" w:eastAsia="宋体" w:cs="宋体"/>
                <w:color w:val="auto"/>
                <w:sz w:val="28"/>
                <w:szCs w:val="28"/>
              </w:rPr>
            </w:pPr>
          </w:p>
          <w:p w14:paraId="75F1836E">
            <w:pPr>
              <w:snapToGrid w:val="0"/>
              <w:spacing w:line="360" w:lineRule="auto"/>
              <w:textAlignment w:val="baseline"/>
              <w:rPr>
                <w:rFonts w:hint="eastAsia" w:ascii="宋体" w:hAnsi="宋体" w:eastAsia="宋体" w:cs="宋体"/>
                <w:color w:val="auto"/>
                <w:sz w:val="28"/>
                <w:szCs w:val="28"/>
              </w:rPr>
            </w:pPr>
          </w:p>
          <w:p w14:paraId="1D4DCD06">
            <w:pPr>
              <w:snapToGrid w:val="0"/>
              <w:spacing w:line="360" w:lineRule="auto"/>
              <w:textAlignment w:val="baseline"/>
              <w:rPr>
                <w:rFonts w:hint="eastAsia" w:ascii="宋体" w:hAnsi="宋体" w:eastAsia="宋体" w:cs="宋体"/>
                <w:color w:val="auto"/>
                <w:sz w:val="28"/>
                <w:szCs w:val="28"/>
              </w:rPr>
            </w:pPr>
          </w:p>
          <w:p w14:paraId="5D62A51D">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12 分</w:t>
            </w:r>
          </w:p>
        </w:tc>
        <w:tc>
          <w:tcPr>
            <w:tcW w:w="6611" w:type="dxa"/>
            <w:vAlign w:val="top"/>
          </w:tcPr>
          <w:p w14:paraId="1B6D91A2">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1、采用新工艺、新技术、新设备得 4 分；只采用新工艺或新技 术或新设备得 1 分，未体现采用新工艺、新技术、新设备此项 不得分；</w:t>
            </w:r>
          </w:p>
          <w:p w14:paraId="57AEB871">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2、在确保工程质量前提下，有降低成本、缩短工期、减轻劳动 强度、提高进度提案者得 4 分，上述内容不全的得 2 分，未体 现上述内容的此项不得分；</w:t>
            </w:r>
          </w:p>
          <w:p w14:paraId="0048E0A9">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3、执行国家强制性条文得 4 分，有切实可行的保证措施各得 2 分，未体现执行国家强制性条文、有切实可行的保证措施此项 不得分。</w:t>
            </w:r>
          </w:p>
        </w:tc>
      </w:tr>
      <w:tr w14:paraId="3886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2" w:hRule="atLeast"/>
        </w:trPr>
        <w:tc>
          <w:tcPr>
            <w:tcW w:w="1250" w:type="dxa"/>
            <w:vMerge w:val="continue"/>
            <w:vAlign w:val="top"/>
          </w:tcPr>
          <w:p w14:paraId="16FCAB13">
            <w:pPr>
              <w:snapToGrid w:val="0"/>
              <w:spacing w:line="360" w:lineRule="auto"/>
              <w:textAlignment w:val="baseline"/>
              <w:rPr>
                <w:rFonts w:hint="eastAsia" w:ascii="宋体" w:hAnsi="宋体" w:eastAsia="宋体" w:cs="宋体"/>
                <w:color w:val="auto"/>
                <w:sz w:val="28"/>
                <w:szCs w:val="28"/>
              </w:rPr>
            </w:pPr>
          </w:p>
        </w:tc>
        <w:tc>
          <w:tcPr>
            <w:tcW w:w="1334" w:type="dxa"/>
            <w:vAlign w:val="top"/>
          </w:tcPr>
          <w:p w14:paraId="3CDCB5FA">
            <w:pPr>
              <w:snapToGrid w:val="0"/>
              <w:spacing w:line="360" w:lineRule="auto"/>
              <w:textAlignment w:val="baseline"/>
              <w:rPr>
                <w:rFonts w:hint="eastAsia" w:ascii="宋体" w:hAnsi="宋体" w:eastAsia="宋体" w:cs="宋体"/>
                <w:color w:val="auto"/>
                <w:sz w:val="28"/>
                <w:szCs w:val="28"/>
              </w:rPr>
            </w:pPr>
          </w:p>
          <w:p w14:paraId="5CF6F47E">
            <w:pPr>
              <w:snapToGrid w:val="0"/>
              <w:spacing w:line="360" w:lineRule="auto"/>
              <w:textAlignment w:val="baseline"/>
              <w:rPr>
                <w:rFonts w:hint="eastAsia" w:ascii="宋体" w:hAnsi="宋体" w:eastAsia="宋体" w:cs="宋体"/>
                <w:color w:val="auto"/>
                <w:sz w:val="28"/>
                <w:szCs w:val="28"/>
              </w:rPr>
            </w:pPr>
          </w:p>
          <w:p w14:paraId="21AF2285">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针对性</w:t>
            </w:r>
          </w:p>
        </w:tc>
        <w:tc>
          <w:tcPr>
            <w:tcW w:w="633" w:type="dxa"/>
            <w:vAlign w:val="top"/>
          </w:tcPr>
          <w:p w14:paraId="703F349E">
            <w:pPr>
              <w:snapToGrid w:val="0"/>
              <w:spacing w:line="360" w:lineRule="auto"/>
              <w:textAlignment w:val="baseline"/>
              <w:rPr>
                <w:rFonts w:hint="eastAsia" w:ascii="宋体" w:hAnsi="宋体" w:eastAsia="宋体" w:cs="宋体"/>
                <w:color w:val="auto"/>
                <w:sz w:val="28"/>
                <w:szCs w:val="28"/>
              </w:rPr>
            </w:pPr>
          </w:p>
          <w:p w14:paraId="30483554">
            <w:pPr>
              <w:snapToGrid w:val="0"/>
              <w:spacing w:line="360" w:lineRule="auto"/>
              <w:textAlignment w:val="baseline"/>
              <w:rPr>
                <w:rFonts w:hint="eastAsia" w:ascii="宋体" w:hAnsi="宋体" w:eastAsia="宋体" w:cs="宋体"/>
                <w:color w:val="auto"/>
                <w:sz w:val="28"/>
                <w:szCs w:val="28"/>
              </w:rPr>
            </w:pPr>
          </w:p>
          <w:p w14:paraId="0B58F330">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12 分</w:t>
            </w:r>
          </w:p>
        </w:tc>
        <w:tc>
          <w:tcPr>
            <w:tcW w:w="6611" w:type="dxa"/>
            <w:vAlign w:val="top"/>
          </w:tcPr>
          <w:p w14:paraId="25407841">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1、涉及重点内容突出，可行性强得 2 分，重点内容不够突出、 可行性不强得 1 分，不提供不得分；</w:t>
            </w:r>
          </w:p>
          <w:p w14:paraId="378DCCD0">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2、工程项目的质保体系健全得 2 分，质保体系不全面得 1 分， 未体现工程项目的质保体系此项不得分；</w:t>
            </w:r>
          </w:p>
          <w:p w14:paraId="5632615B">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3、安保体系健全有效得 2 分，未体现安保体系的此项不得分；</w:t>
            </w:r>
          </w:p>
          <w:p w14:paraId="50BBCE22">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4、创优措施切实可行得 2 分，一般得 1 分，未体现创优措施的 此项不得分；</w:t>
            </w:r>
          </w:p>
          <w:p w14:paraId="024F1108">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5、工程的安全措施有具体可行，有具体的违约责任得 2 分，未 体现工程的安全措施此项不得分。</w:t>
            </w:r>
          </w:p>
          <w:p w14:paraId="6CD1A8F7">
            <w:pPr>
              <w:snapToGrid w:val="0"/>
              <w:spacing w:line="360" w:lineRule="auto"/>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6、文明施工措施得力得 2 分，未体现文明施工措施此项不得分</w:t>
            </w:r>
          </w:p>
        </w:tc>
      </w:tr>
    </w:tbl>
    <w:p w14:paraId="218EE0D6">
      <w:pPr>
        <w:rPr>
          <w:rFonts w:ascii="Arial" w:hAnsi="Arial" w:eastAsia="Arial" w:cs="Arial"/>
          <w:sz w:val="21"/>
          <w:szCs w:val="21"/>
        </w:rPr>
        <w:sectPr>
          <w:headerReference r:id="rId12" w:type="default"/>
          <w:footerReference r:id="rId13" w:type="default"/>
          <w:pgSz w:w="11906" w:h="16840"/>
          <w:pgMar w:top="1440" w:right="1800" w:bottom="1440" w:left="1800" w:header="872" w:footer="850" w:gutter="0"/>
          <w:pgNumType w:fmt="decimal"/>
          <w:cols w:space="720" w:num="1"/>
        </w:sectPr>
      </w:pPr>
    </w:p>
    <w:p w14:paraId="6FD06C42">
      <w:pPr>
        <w:pStyle w:val="30"/>
        <w:spacing w:line="360" w:lineRule="auto"/>
        <w:rPr>
          <w:rFonts w:hint="eastAsia" w:ascii="宋体" w:hAnsi="宋体" w:eastAsia="宋体" w:cs="宋体"/>
          <w:color w:val="auto"/>
          <w:sz w:val="20"/>
          <w:szCs w:val="28"/>
        </w:rPr>
      </w:pPr>
    </w:p>
    <w:p w14:paraId="424EB0B9">
      <w:pPr>
        <w:spacing w:line="360" w:lineRule="auto"/>
        <w:rPr>
          <w:rFonts w:hint="eastAsia" w:ascii="宋体" w:hAnsi="宋体" w:eastAsia="宋体" w:cs="宋体"/>
          <w:b/>
          <w:color w:val="auto"/>
          <w:sz w:val="48"/>
          <w:szCs w:val="48"/>
          <w:lang w:eastAsia="zh-CN"/>
        </w:rPr>
      </w:pPr>
    </w:p>
    <w:p w14:paraId="5A1B02D2">
      <w:pPr>
        <w:pStyle w:val="39"/>
        <w:spacing w:line="360" w:lineRule="auto"/>
        <w:ind w:left="0" w:leftChars="0" w:firstLine="0" w:firstLineChars="0"/>
        <w:jc w:val="center"/>
        <w:rPr>
          <w:rFonts w:hint="eastAsia" w:ascii="宋体" w:hAnsi="宋体" w:eastAsia="宋体" w:cs="宋体"/>
          <w:color w:val="auto"/>
          <w:sz w:val="28"/>
          <w:szCs w:val="28"/>
        </w:rPr>
      </w:pPr>
      <w:r>
        <w:rPr>
          <w:rFonts w:hint="eastAsia" w:ascii="宋体" w:hAnsi="宋体" w:eastAsia="宋体" w:cs="宋体"/>
          <w:b/>
          <w:color w:val="auto"/>
          <w:sz w:val="48"/>
          <w:szCs w:val="48"/>
          <w:lang w:eastAsia="zh-CN"/>
        </w:rPr>
        <w:t>喀什经济开发区城北加工转化区东区基础设施建设项目（一期）监理服务</w:t>
      </w:r>
    </w:p>
    <w:p w14:paraId="0BE490F1">
      <w:pPr>
        <w:snapToGrid w:val="0"/>
        <w:spacing w:line="360" w:lineRule="auto"/>
        <w:jc w:val="center"/>
        <w:textAlignment w:val="baseline"/>
        <w:rPr>
          <w:rFonts w:hint="eastAsia" w:ascii="宋体" w:hAnsi="宋体" w:eastAsia="宋体" w:cs="宋体"/>
          <w:b/>
          <w:color w:val="auto"/>
          <w:sz w:val="56"/>
          <w:szCs w:val="56"/>
        </w:rPr>
      </w:pPr>
    </w:p>
    <w:p w14:paraId="2EA38D38">
      <w:pPr>
        <w:snapToGrid w:val="0"/>
        <w:spacing w:line="360" w:lineRule="auto"/>
        <w:jc w:val="center"/>
        <w:textAlignment w:val="baseline"/>
        <w:rPr>
          <w:rFonts w:hint="eastAsia" w:ascii="宋体" w:hAnsi="宋体" w:eastAsia="宋体" w:cs="宋体"/>
          <w:b/>
          <w:color w:val="auto"/>
          <w:sz w:val="56"/>
          <w:szCs w:val="56"/>
        </w:rPr>
      </w:pPr>
    </w:p>
    <w:p w14:paraId="038AE1A2">
      <w:pPr>
        <w:snapToGrid w:val="0"/>
        <w:spacing w:line="360" w:lineRule="auto"/>
        <w:jc w:val="center"/>
        <w:textAlignment w:val="baseline"/>
        <w:rPr>
          <w:rFonts w:hint="eastAsia" w:ascii="宋体" w:hAnsi="宋体" w:eastAsia="宋体" w:cs="宋体"/>
          <w:b/>
          <w:color w:val="auto"/>
          <w:sz w:val="56"/>
          <w:szCs w:val="56"/>
        </w:rPr>
      </w:pPr>
      <w:r>
        <w:rPr>
          <w:rFonts w:hint="eastAsia" w:ascii="宋体" w:hAnsi="宋体" w:eastAsia="宋体" w:cs="宋体"/>
          <w:b/>
          <w:color w:val="auto"/>
          <w:sz w:val="56"/>
          <w:szCs w:val="56"/>
        </w:rPr>
        <w:t>磋 商 文 件</w:t>
      </w:r>
    </w:p>
    <w:p w14:paraId="77EDA049">
      <w:pPr>
        <w:pStyle w:val="4"/>
        <w:spacing w:line="360" w:lineRule="auto"/>
        <w:rPr>
          <w:rFonts w:hint="eastAsia" w:ascii="宋体" w:hAnsi="宋体" w:eastAsia="宋体" w:cs="宋体"/>
          <w:color w:val="auto"/>
          <w:sz w:val="28"/>
          <w:szCs w:val="21"/>
        </w:rPr>
      </w:pPr>
    </w:p>
    <w:p w14:paraId="7F4141FF">
      <w:pPr>
        <w:pStyle w:val="30"/>
        <w:spacing w:line="360" w:lineRule="auto"/>
        <w:textAlignment w:val="baseline"/>
        <w:rPr>
          <w:rFonts w:hint="eastAsia" w:ascii="宋体" w:hAnsi="宋体" w:eastAsia="宋体" w:cs="宋体"/>
          <w:color w:val="auto"/>
          <w:sz w:val="22"/>
          <w:szCs w:val="36"/>
        </w:rPr>
      </w:pPr>
    </w:p>
    <w:p w14:paraId="421E35BE">
      <w:pPr>
        <w:snapToGrid w:val="0"/>
        <w:spacing w:line="360" w:lineRule="auto"/>
        <w:jc w:val="center"/>
        <w:textAlignment w:val="baseline"/>
        <w:rPr>
          <w:rFonts w:hint="eastAsia" w:ascii="宋体" w:hAnsi="宋体" w:eastAsia="宋体" w:cs="宋体"/>
          <w:color w:val="auto"/>
          <w:sz w:val="21"/>
          <w:szCs w:val="24"/>
          <w:lang w:val="en-US" w:eastAsia="zh-CN"/>
        </w:rPr>
      </w:pPr>
      <w:r>
        <w:rPr>
          <w:rFonts w:hint="eastAsia" w:ascii="宋体" w:hAnsi="宋体" w:eastAsia="宋体" w:cs="宋体"/>
          <w:b/>
          <w:color w:val="auto"/>
          <w:sz w:val="36"/>
          <w:szCs w:val="36"/>
        </w:rPr>
        <w:t>项目编号：</w:t>
      </w:r>
      <w:r>
        <w:rPr>
          <w:rFonts w:hint="eastAsia" w:ascii="宋体" w:hAnsi="宋体" w:eastAsia="宋体" w:cs="宋体"/>
          <w:b/>
          <w:color w:val="auto"/>
          <w:sz w:val="36"/>
          <w:szCs w:val="36"/>
          <w:lang w:eastAsia="zh-CN"/>
        </w:rPr>
        <w:t>KSJJKFQZFCG(CS)2024-59</w:t>
      </w:r>
    </w:p>
    <w:p w14:paraId="5CE4AE62">
      <w:pPr>
        <w:snapToGrid w:val="0"/>
        <w:spacing w:line="360" w:lineRule="auto"/>
        <w:ind w:left="1080" w:leftChars="257" w:hanging="540"/>
        <w:jc w:val="center"/>
        <w:textAlignment w:val="baseline"/>
        <w:rPr>
          <w:rFonts w:hint="eastAsia" w:ascii="宋体" w:hAnsi="宋体" w:eastAsia="宋体" w:cs="宋体"/>
          <w:b/>
          <w:color w:val="auto"/>
          <w:sz w:val="48"/>
          <w:szCs w:val="48"/>
        </w:rPr>
      </w:pPr>
    </w:p>
    <w:p w14:paraId="1BE724A6">
      <w:pPr>
        <w:snapToGrid w:val="0"/>
        <w:spacing w:line="360" w:lineRule="auto"/>
        <w:textAlignment w:val="baseline"/>
        <w:rPr>
          <w:rFonts w:hint="eastAsia" w:ascii="宋体" w:hAnsi="宋体" w:eastAsia="宋体" w:cs="宋体"/>
          <w:b/>
          <w:color w:val="auto"/>
          <w:sz w:val="28"/>
        </w:rPr>
      </w:pPr>
    </w:p>
    <w:p w14:paraId="2F6CC5A8">
      <w:pPr>
        <w:snapToGrid w:val="0"/>
        <w:spacing w:line="360" w:lineRule="auto"/>
        <w:jc w:val="center"/>
        <w:textAlignment w:val="baseline"/>
        <w:rPr>
          <w:rFonts w:hint="eastAsia" w:ascii="宋体" w:hAnsi="宋体" w:eastAsia="宋体" w:cs="宋体"/>
          <w:b/>
          <w:color w:val="auto"/>
          <w:sz w:val="48"/>
          <w:szCs w:val="48"/>
        </w:rPr>
      </w:pPr>
      <w:r>
        <w:rPr>
          <w:rFonts w:hint="eastAsia" w:ascii="宋体" w:hAnsi="宋体" w:eastAsia="宋体" w:cs="宋体"/>
          <w:b/>
          <w:color w:val="auto"/>
          <w:sz w:val="48"/>
          <w:szCs w:val="48"/>
        </w:rPr>
        <w:t>第三册</w:t>
      </w:r>
    </w:p>
    <w:p w14:paraId="3F486F0B">
      <w:pPr>
        <w:pStyle w:val="9"/>
        <w:spacing w:line="360" w:lineRule="auto"/>
        <w:ind w:left="0" w:leftChars="0" w:firstLine="0" w:firstLineChars="0"/>
        <w:rPr>
          <w:rFonts w:hint="eastAsia" w:ascii="宋体" w:hAnsi="宋体" w:eastAsia="宋体" w:cs="宋体"/>
          <w:b/>
          <w:color w:val="auto"/>
          <w:sz w:val="48"/>
          <w:szCs w:val="48"/>
        </w:rPr>
      </w:pPr>
    </w:p>
    <w:p w14:paraId="4A64C6DB">
      <w:pPr>
        <w:pStyle w:val="9"/>
        <w:spacing w:line="360" w:lineRule="auto"/>
        <w:ind w:left="0" w:leftChars="0" w:firstLine="0" w:firstLineChars="0"/>
        <w:rPr>
          <w:rFonts w:hint="eastAsia" w:ascii="宋体" w:hAnsi="宋体" w:eastAsia="宋体" w:cs="宋体"/>
          <w:b/>
          <w:color w:val="auto"/>
          <w:sz w:val="48"/>
          <w:szCs w:val="48"/>
        </w:rPr>
      </w:pPr>
    </w:p>
    <w:p w14:paraId="36AD3C3C">
      <w:pPr>
        <w:pStyle w:val="9"/>
        <w:spacing w:line="360" w:lineRule="auto"/>
        <w:ind w:left="0" w:leftChars="0" w:firstLine="0" w:firstLineChars="0"/>
        <w:rPr>
          <w:rFonts w:hint="eastAsia" w:ascii="宋体" w:hAnsi="宋体" w:eastAsia="宋体" w:cs="宋体"/>
          <w:b/>
          <w:color w:val="auto"/>
          <w:sz w:val="48"/>
          <w:szCs w:val="48"/>
        </w:rPr>
      </w:pPr>
    </w:p>
    <w:p w14:paraId="2312D739">
      <w:pPr>
        <w:pStyle w:val="9"/>
        <w:spacing w:line="360" w:lineRule="auto"/>
        <w:rPr>
          <w:rFonts w:hint="eastAsia" w:ascii="宋体" w:hAnsi="宋体" w:eastAsia="宋体" w:cs="宋体"/>
          <w:b/>
          <w:color w:val="auto"/>
          <w:sz w:val="48"/>
          <w:szCs w:val="48"/>
        </w:rPr>
      </w:pPr>
    </w:p>
    <w:p w14:paraId="3E0A05B8">
      <w:pPr>
        <w:spacing w:line="360" w:lineRule="auto"/>
        <w:rPr>
          <w:rFonts w:hint="eastAsia" w:ascii="宋体" w:hAnsi="宋体" w:eastAsia="宋体" w:cs="宋体"/>
          <w:color w:val="auto"/>
        </w:rPr>
      </w:pPr>
      <w:bookmarkStart w:id="774" w:name="_Toc5754"/>
      <w:bookmarkStart w:id="775" w:name="_Toc10709"/>
      <w:bookmarkStart w:id="776" w:name="_Toc514"/>
    </w:p>
    <w:bookmarkEnd w:id="774"/>
    <w:bookmarkEnd w:id="775"/>
    <w:bookmarkEnd w:id="776"/>
    <w:p w14:paraId="5CC50BAA">
      <w:pPr>
        <w:pStyle w:val="2"/>
        <w:numPr>
          <w:ilvl w:val="0"/>
          <w:numId w:val="9"/>
        </w:numPr>
        <w:tabs>
          <w:tab w:val="left" w:pos="0"/>
        </w:tabs>
        <w:spacing w:before="0" w:after="0" w:line="360" w:lineRule="auto"/>
        <w:jc w:val="center"/>
        <w:rPr>
          <w:rFonts w:hint="eastAsia" w:ascii="宋体" w:hAnsi="宋体" w:eastAsia="宋体" w:cs="宋体"/>
          <w:color w:val="auto"/>
          <w:sz w:val="40"/>
          <w:szCs w:val="40"/>
        </w:rPr>
      </w:pPr>
      <w:bookmarkStart w:id="777" w:name="_Toc11415"/>
      <w:r>
        <w:rPr>
          <w:rFonts w:hint="eastAsia" w:ascii="宋体" w:hAnsi="宋体" w:eastAsia="宋体" w:cs="宋体"/>
          <w:color w:val="auto"/>
          <w:sz w:val="40"/>
          <w:szCs w:val="40"/>
        </w:rPr>
        <w:t>合同条款及格式</w:t>
      </w:r>
    </w:p>
    <w:p w14:paraId="2865F01E">
      <w:pPr>
        <w:pStyle w:val="2"/>
        <w:numPr>
          <w:ilvl w:val="0"/>
          <w:numId w:val="0"/>
        </w:numPr>
        <w:tabs>
          <w:tab w:val="left" w:pos="0"/>
        </w:tabs>
        <w:spacing w:before="0" w:after="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具体已签订合同为准）</w:t>
      </w:r>
      <w:bookmarkEnd w:id="777"/>
    </w:p>
    <w:p w14:paraId="7B71F96B">
      <w:pPr>
        <w:spacing w:line="360" w:lineRule="auto"/>
        <w:rPr>
          <w:rFonts w:hint="eastAsia" w:ascii="宋体" w:hAnsi="宋体" w:eastAsia="宋体" w:cs="宋体"/>
          <w:color w:val="auto"/>
          <w:sz w:val="20"/>
          <w:szCs w:val="28"/>
        </w:rPr>
      </w:pPr>
    </w:p>
    <w:p w14:paraId="2BC7B2E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第一部分 协议书</w:t>
      </w:r>
    </w:p>
    <w:p w14:paraId="4E71076B">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2B64F84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委托人（全称）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监理人（全称）：</w:t>
      </w:r>
    </w:p>
    <w:p w14:paraId="360766E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根据《中华人民共和国合同法》、《中华人民共和国建筑法》及其他有关法律、法规，遵循平 等、 自愿、公平和诚信的原则， 双方就下述工程委托监理与相关服务事项协商一致，订立本合 同。</w:t>
      </w:r>
    </w:p>
    <w:p w14:paraId="4CFEF5D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一、工程概况</w:t>
      </w:r>
    </w:p>
    <w:p w14:paraId="58D4C86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工程名称：</w:t>
      </w:r>
    </w:p>
    <w:p w14:paraId="0554C4B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工程地点：</w:t>
      </w:r>
    </w:p>
    <w:p w14:paraId="0FC4068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 工程规模：</w:t>
      </w:r>
    </w:p>
    <w:p w14:paraId="57B043D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4. 工程概算投资额费：   </w:t>
      </w:r>
    </w:p>
    <w:p w14:paraId="6A48424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二、词语限定</w:t>
      </w:r>
    </w:p>
    <w:p w14:paraId="6CCA01A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协议书中相关词语的含义与通用条件中的定义与解释相同。</w:t>
      </w:r>
    </w:p>
    <w:p w14:paraId="6C2C8A3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三、组成本合同的文件</w:t>
      </w:r>
    </w:p>
    <w:p w14:paraId="310692F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1.协议书；</w:t>
      </w:r>
    </w:p>
    <w:p w14:paraId="360C865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中标通知书（适用于招标工程）或委托书（适用于非招标工程）；</w:t>
      </w:r>
    </w:p>
    <w:p w14:paraId="2CF8DD7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 投标文件（适用于招标工程）或监理与相关服务建议书 （适用于非招标工程）；</w:t>
      </w:r>
    </w:p>
    <w:p w14:paraId="0371B37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 专用条件；</w:t>
      </w:r>
    </w:p>
    <w:p w14:paraId="25E1BBB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 通用条件；</w:t>
      </w:r>
    </w:p>
    <w:p w14:paraId="43619AE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 附录，即：</w:t>
      </w:r>
    </w:p>
    <w:p w14:paraId="1FC0FFD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附录 A 相关服务的范围和内容</w:t>
      </w:r>
    </w:p>
    <w:p w14:paraId="1169099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附录 B 委托人派遣的人员和提供的房屋、资料、设备。</w:t>
      </w:r>
    </w:p>
    <w:p w14:paraId="509B6C3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本合同签订后，双方依法签订的补充协议也是本合同文件的组成部分。</w:t>
      </w:r>
    </w:p>
    <w:p w14:paraId="0FF5AB6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四、总监理工程师</w:t>
      </w:r>
    </w:p>
    <w:p w14:paraId="11A286E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总监理工程师姓名 ：            ，身份证号码 ：            ，注册号 ：           ，</w:t>
      </w:r>
    </w:p>
    <w:p w14:paraId="0CEF2EF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五、签约酬金</w:t>
      </w:r>
    </w:p>
    <w:p w14:paraId="439196D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签约酬金 （ 大 写 ）  ：            ，  (¥ :              ,   ) 。</w:t>
      </w:r>
    </w:p>
    <w:p w14:paraId="1543350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包括：</w:t>
      </w:r>
    </w:p>
    <w:p w14:paraId="3D1262DD">
      <w:pPr>
        <w:pStyle w:val="30"/>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监理酬金：            。</w:t>
      </w:r>
    </w:p>
    <w:p w14:paraId="4EB49D6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相关服务酬金 ：            。 其中：</w:t>
      </w:r>
    </w:p>
    <w:p w14:paraId="22D5B54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（1）勘察阶段服务</w:t>
      </w:r>
    </w:p>
    <w:p w14:paraId="22AAB6D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酬 金 ：            （2）设计阶段服务</w:t>
      </w:r>
    </w:p>
    <w:p w14:paraId="00A6AFD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酬 金 ：            （3）保修阶段服务</w:t>
      </w:r>
    </w:p>
    <w:p w14:paraId="209228C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酬 金 ：            。 （4） 其他相关服务</w:t>
      </w:r>
    </w:p>
    <w:p w14:paraId="672113D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酬金 ：            。</w:t>
      </w:r>
    </w:p>
    <w:p w14:paraId="4DCACC45">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六、期限</w:t>
      </w:r>
    </w:p>
    <w:p w14:paraId="3593AC1A">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监理期限：</w:t>
      </w:r>
    </w:p>
    <w:p w14:paraId="0C8A388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drawing>
          <wp:anchor distT="0" distB="0" distL="0" distR="0" simplePos="0" relativeHeight="251668480" behindDoc="0" locked="0" layoutInCell="1" allowOverlap="1">
            <wp:simplePos x="0" y="0"/>
            <wp:positionH relativeFrom="column">
              <wp:posOffset>282575</wp:posOffset>
            </wp:positionH>
            <wp:positionV relativeFrom="paragraph">
              <wp:posOffset>240665</wp:posOffset>
            </wp:positionV>
            <wp:extent cx="3418205" cy="7620"/>
            <wp:effectExtent l="0" t="0" r="0" b="0"/>
            <wp:wrapNone/>
            <wp:docPr id="3" name="IM 14"/>
            <wp:cNvGraphicFramePr/>
            <a:graphic xmlns:a="http://schemas.openxmlformats.org/drawingml/2006/main">
              <a:graphicData uri="http://schemas.openxmlformats.org/drawingml/2006/picture">
                <pic:pic xmlns:pic="http://schemas.openxmlformats.org/drawingml/2006/picture">
                  <pic:nvPicPr>
                    <pic:cNvPr id="3" name="IM 14"/>
                    <pic:cNvPicPr/>
                  </pic:nvPicPr>
                  <pic:blipFill>
                    <a:blip r:embed="rId22"/>
                    <a:stretch>
                      <a:fillRect/>
                    </a:stretch>
                  </pic:blipFill>
                  <pic:spPr>
                    <a:xfrm>
                      <a:off x="0" y="0"/>
                      <a:ext cx="3418204" cy="7620"/>
                    </a:xfrm>
                    <a:prstGeom prst="rect">
                      <a:avLst/>
                    </a:prstGeom>
                  </pic:spPr>
                </pic:pic>
              </a:graphicData>
            </a:graphic>
          </wp:anchor>
        </w:drawing>
      </w:r>
      <w:r>
        <w:rPr>
          <w:rFonts w:hint="eastAsia" w:ascii="宋体" w:hAnsi="宋体" w:eastAsia="宋体" w:cs="宋体"/>
          <w:color w:val="auto"/>
          <w:sz w:val="28"/>
          <w:szCs w:val="28"/>
        </w:rPr>
        <w:t>计划    年    月     日始，至     年    月     日止。</w:t>
      </w:r>
    </w:p>
    <w:p w14:paraId="267121B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相关服务期限：</w:t>
      </w:r>
    </w:p>
    <w:p w14:paraId="0E551BC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（1）勘察阶段服务期限自 年 月  日始，至 年 月  日止。</w:t>
      </w:r>
    </w:p>
    <w:p w14:paraId="262509D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（2）设计阶段服务期限自 年 月  日始，至 年 月  日止。</w:t>
      </w:r>
    </w:p>
    <w:p w14:paraId="23AB115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（3）保修阶段服务期限自 年 月  日始，至 年 月  日止。</w:t>
      </w:r>
    </w:p>
    <w:p w14:paraId="7B170BE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（4）其他相关服务期限自 年 月  日始，至 年 月  日止。</w:t>
      </w:r>
    </w:p>
    <w:p w14:paraId="6B57626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七、双方承诺</w:t>
      </w:r>
    </w:p>
    <w:p w14:paraId="30A4084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监理人向委托人承诺，按照本合同约定提供监理与相关服务。</w:t>
      </w:r>
    </w:p>
    <w:p w14:paraId="70739B0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委托人向监理人承诺，按照本合同约定派遣相应的人员，提供房屋、资料、设备，并按本 合同约定支付酬金。</w:t>
      </w:r>
    </w:p>
    <w:p w14:paraId="7126556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八、合同订立</w:t>
      </w:r>
    </w:p>
    <w:p w14:paraId="0358133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1. 订立时间： 年 月 日。   </w:t>
      </w:r>
    </w:p>
    <w:p w14:paraId="0260C2F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订立地点：         。</w:t>
      </w:r>
    </w:p>
    <w:p w14:paraId="4B12222A">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 本合同一式    份，具有同等法律效力，双方各执 份。</w:t>
      </w:r>
    </w:p>
    <w:p w14:paraId="7991B7DB">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sectPr>
          <w:headerReference r:id="rId14" w:type="default"/>
          <w:footerReference r:id="rId15" w:type="default"/>
          <w:pgSz w:w="11906" w:h="16840"/>
          <w:pgMar w:top="1084" w:right="1485" w:bottom="1066" w:left="1445" w:header="872" w:footer="794" w:gutter="0"/>
          <w:pgNumType w:fmt="decimal"/>
          <w:cols w:equalWidth="0" w:num="1">
            <w:col w:w="8975"/>
          </w:cols>
        </w:sectPr>
      </w:pPr>
    </w:p>
    <w:p w14:paraId="20E6259F">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委托人： （盖章）           住所：                     邮政编码：                 </w:t>
      </w:r>
    </w:p>
    <w:p w14:paraId="03CBD132">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法定代表人或其授权的代理人： （签字）  开户银行：                </w:t>
      </w:r>
    </w:p>
    <w:p w14:paraId="3056CA15">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账号：                                                                                                     电话：                                                          传真：                                               电子邮箱：                 </w:t>
      </w:r>
    </w:p>
    <w:p w14:paraId="48FDCF7E">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监理人： （盖章）   </w:t>
      </w:r>
    </w:p>
    <w:p w14:paraId="14DB5ED9">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住所： </w:t>
      </w:r>
    </w:p>
    <w:p w14:paraId="67D89D8E">
      <w:pPr>
        <w:pStyle w:val="30"/>
        <w:keepNext/>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法定代表人或其授权的代理人：（签字） </w:t>
      </w:r>
    </w:p>
    <w:p w14:paraId="30AD8841">
      <w:pPr>
        <w:pStyle w:val="30"/>
        <w:keepNext/>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开户银行：                 </w:t>
      </w:r>
    </w:p>
    <w:p w14:paraId="399347D4">
      <w:pPr>
        <w:pStyle w:val="30"/>
        <w:keepNext/>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邮政编码： </w:t>
      </w:r>
      <w:r>
        <w:rPr>
          <w:rFonts w:hint="eastAsia" w:ascii="宋体" w:hAnsi="宋体" w:eastAsia="宋体" w:cs="宋体"/>
          <w:color w:val="auto"/>
          <w:sz w:val="28"/>
          <w:szCs w:val="28"/>
          <w:u w:val="none"/>
          <w:lang w:val="en-US" w:eastAsia="zh-CN"/>
        </w:rPr>
        <w:t xml:space="preserve">                          </w:t>
      </w:r>
    </w:p>
    <w:p w14:paraId="62EB75CB">
      <w:pPr>
        <w:pStyle w:val="30"/>
        <w:keepNext/>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 账号：   </w:t>
      </w:r>
    </w:p>
    <w:p w14:paraId="2E1F6FBF">
      <w:pPr>
        <w:pStyle w:val="30"/>
        <w:keepNext/>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电话：</w:t>
      </w:r>
    </w:p>
    <w:p w14:paraId="26B4A402">
      <w:pPr>
        <w:pStyle w:val="30"/>
        <w:keepNext/>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传真：</w:t>
      </w:r>
    </w:p>
    <w:p w14:paraId="45C9C2E4">
      <w:pPr>
        <w:pStyle w:val="30"/>
        <w:keepNext/>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8"/>
          <w:szCs w:val="28"/>
        </w:rPr>
        <w:sectPr>
          <w:type w:val="continuous"/>
          <w:pgSz w:w="11906" w:h="16840"/>
          <w:pgMar w:top="1084" w:right="1485" w:bottom="164" w:left="1445" w:header="872" w:footer="0" w:gutter="0"/>
          <w:pgNumType w:fmt="decimal"/>
          <w:cols w:equalWidth="0" w:num="2">
            <w:col w:w="5196" w:space="100"/>
            <w:col w:w="3680"/>
          </w:cols>
        </w:sectPr>
      </w:pPr>
      <w:r>
        <w:rPr>
          <w:rFonts w:hint="eastAsia" w:ascii="宋体" w:hAnsi="宋体" w:eastAsia="宋体" w:cs="宋体"/>
          <w:color w:val="auto"/>
          <w:sz w:val="28"/>
          <w:szCs w:val="28"/>
          <w:u w:val="none"/>
        </w:rPr>
        <w:t xml:space="preserve">电子邮箱：         </w:t>
      </w:r>
      <w:r>
        <w:rPr>
          <w:rFonts w:hint="eastAsia" w:ascii="宋体" w:hAnsi="宋体" w:eastAsia="宋体" w:cs="宋体"/>
          <w:color w:val="auto"/>
          <w:sz w:val="28"/>
          <w:szCs w:val="28"/>
        </w:rPr>
        <w:t xml:space="preserve">  </w:t>
      </w:r>
    </w:p>
    <w:p w14:paraId="35354D9B">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0FC6CC3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第二部分 通用条件</w:t>
      </w:r>
    </w:p>
    <w:p w14:paraId="3EB94FB8">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1815C56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定义与解释</w:t>
      </w:r>
    </w:p>
    <w:p w14:paraId="3FF2D19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 定义</w:t>
      </w:r>
    </w:p>
    <w:p w14:paraId="417BB26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除根据上下文另有其意义外，组成本合同的全部文件中的下列名词和用语应具有本款所赋予的 含义：</w:t>
      </w:r>
    </w:p>
    <w:p w14:paraId="763D184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1.1.1 “工程 ”是指按照本合同约定实施监理与相关服务的建设工程。</w:t>
      </w:r>
    </w:p>
    <w:p w14:paraId="7EC1C0F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1.1.2 “委托人 ”是指本合同中委托监理与相关服务的一方，及其合法的继承人或受让人。</w:t>
      </w:r>
    </w:p>
    <w:p w14:paraId="36B0D21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1.1.3 “监理人 ”是指本合同中提供监理与相关服务的一方，及其合法的继承人。</w:t>
      </w:r>
    </w:p>
    <w:p w14:paraId="088773C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1.1.4 “承包人 ”是指在工程范围内与委托人签订勘察、设计、施工等有关合同的当事人，及 其合法的继承人。</w:t>
      </w:r>
    </w:p>
    <w:p w14:paraId="0E9D08E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1.1.5 “监理 ”是指监理人受委托人的委托 ，依照法律法规、工程建设标准、勘察设计文件及 合同，在施工阶段对建设工程质量、进度、造价进行控制，对合同、信息进行管理，对工程建设相</w:t>
      </w:r>
    </w:p>
    <w:p w14:paraId="48EC4D8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关方的关系进行协调，并履行建设工程安全生产管理法定职责的服务活动。</w:t>
      </w:r>
    </w:p>
    <w:p w14:paraId="336BA03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1.1.6 “相关服务 ”是指监理人受委托人的委托 ，按照本合同约定，在勘察、设计、保修等阶 段提供的服务活动。</w:t>
      </w:r>
    </w:p>
    <w:p w14:paraId="3206AED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1.1.7 “正常工作 ”指本合同订立时通用条件和专用条件中约定的监理人的工作。1.1.8 “附 加工作 ”是指本合同约定的正常工作以外监理人的工作。</w:t>
      </w:r>
    </w:p>
    <w:p w14:paraId="4C2B239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1.1.9 “项目监理机构 ”是指监理人派驻工程负责履行本合同的组织机构。</w:t>
      </w:r>
    </w:p>
    <w:p w14:paraId="4F21482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1.1.10 “总监理工程师 ”是指由监理人的法定代表人书面授权，全面负责履行本合同、主持 项目监理机构工作的注册监理工程师。</w:t>
      </w:r>
    </w:p>
    <w:p w14:paraId="0D1BC76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1.1.11 “酬金 ”是指监理人履行本合同义务，委托人按照本合同约定给付监理人的金额。</w:t>
      </w:r>
    </w:p>
    <w:p w14:paraId="0738012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1.1.12 “正常工作酬金 ”是指监理人完成正常工作，委托人应给付监理人并在协议书中载明 的签约酬金额。</w:t>
      </w:r>
    </w:p>
    <w:p w14:paraId="7C9C853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1.1.13 “附加工作酬金 ”是指监理人完成附加工作，委托人应给付监理人的金额。</w:t>
      </w:r>
    </w:p>
    <w:p w14:paraId="4F7AE2E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1.1.14 “一方 ”是指委托人或监理人；“双方 ”是指委托人和监理人；“第三方 ”是指除委 托人和监理人以外的有关方。</w:t>
      </w:r>
    </w:p>
    <w:p w14:paraId="328D0B4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1.1.15 “书面形式 ”是指合同书、信件和数据电文（包括电报、电传、传真、电子数据交换 和电子邮件）等可以有形地表现所载内容的形式。</w:t>
      </w:r>
    </w:p>
    <w:p w14:paraId="016F8FF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1.1.16 “天 ”是指第一天零时至第二天零时的时间。</w:t>
      </w:r>
    </w:p>
    <w:p w14:paraId="3BBA97B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1.1.17“月 ”是指按公历从一个月中任何一天开始的一个公历月时间。</w:t>
      </w:r>
    </w:p>
    <w:p w14:paraId="4CD2B97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1.1.18 “不可抗力 ”是指委托人和监理人在订立本合同时不可预见，在工程施工过程中不可 避免发生并不能克服的自然灾害和社会性突发事件，如地震、海啸、瘟疫、水灾、骚乱、暴动、战 争和专用条件约定的其他情形。</w:t>
      </w:r>
    </w:p>
    <w:p w14:paraId="0FAB2D3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 解释</w:t>
      </w:r>
    </w:p>
    <w:p w14:paraId="103E216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1.2.1 本合同使用中文书写、解释和说明。如专用条件约定使用两种及以上语言文字时，应以 中文为准。</w:t>
      </w:r>
    </w:p>
    <w:p w14:paraId="61A7FC2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1.2.2 组成本合同的下列文件彼此应能相互解释、互为说明。除专用条件另有约定外，本合同 文件的解释顺序如下：</w:t>
      </w:r>
    </w:p>
    <w:p w14:paraId="3592CC7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（1）协议书；</w:t>
      </w:r>
    </w:p>
    <w:p w14:paraId="01FC7EA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（2）中标通知书（适用于招标工程）或委托书（适用于非招标工程）；</w:t>
      </w:r>
    </w:p>
    <w:p w14:paraId="262E0CB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（3）专用条件及附录 A、附录 B；</w:t>
      </w:r>
    </w:p>
    <w:p w14:paraId="378F446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（4）通用条件；</w:t>
      </w:r>
    </w:p>
    <w:p w14:paraId="4857B08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（5）投标文件（适用于招标工程）或监理与相关服务建议书（适用于非招标工程）。双方签 订的补充协议与其他文件发生矛盾或歧义时，属于同一类内容的文件，应以最新签署的为准。</w:t>
      </w:r>
    </w:p>
    <w:p w14:paraId="6B6AB49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监理人的义务</w:t>
      </w:r>
    </w:p>
    <w:p w14:paraId="5D2B1F6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 监理的范围和工作内容</w:t>
      </w:r>
    </w:p>
    <w:p w14:paraId="56C9366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2.1.1 监理范围在专用条件中约定。</w:t>
      </w:r>
    </w:p>
    <w:p w14:paraId="44F2080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2.1.2 除专用条件另有约定外，监理工作内容包括：</w:t>
      </w:r>
    </w:p>
    <w:p w14:paraId="4686255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（1）收到工程设计文件后编制监理规划，并在第一次工地会议 7 天前报委托人。根据有关规 定和监理工作需要，编制监理实施细则；</w:t>
      </w:r>
    </w:p>
    <w:p w14:paraId="2074D36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（2）熟悉工程设计文件，并参加由委托人主持的图纸会审和设计交底会议；</w:t>
      </w:r>
    </w:p>
    <w:p w14:paraId="50D49E65">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（3）参加由委托人主持的第一次工地会议；主持监理例会并根据工程需要主持或参加专题会 议；</w:t>
      </w:r>
    </w:p>
    <w:p w14:paraId="0C319EEA">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（4）审查施工承包人提交的施工组织设计，重点审查其中的质量安全技术措施、专项施工方</w:t>
      </w:r>
    </w:p>
    <w:p w14:paraId="4085869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案与工程建设强制性标准的符合性；</w:t>
      </w:r>
    </w:p>
    <w:p w14:paraId="5489921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（5）检查施工承包人工程质量、安全生产管理制度及组织机构和人员资格；</w:t>
      </w:r>
    </w:p>
    <w:p w14:paraId="3CD1D925">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（6）检查施工承包人专职安全生产管理人员的配备情况；</w:t>
      </w:r>
    </w:p>
    <w:p w14:paraId="5E911BF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（7）审查施工承包人提交的施工进度计划，核查承包人对施工进度计划的调整；</w:t>
      </w:r>
    </w:p>
    <w:p w14:paraId="0B85C61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（8）检查施工承包人的试验室；</w:t>
      </w:r>
    </w:p>
    <w:p w14:paraId="36A3C77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（9）审核施工分包人资质条件；</w:t>
      </w:r>
    </w:p>
    <w:p w14:paraId="64B6294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（10）查验施工承包人的施工测量放线成果；</w:t>
      </w:r>
    </w:p>
    <w:p w14:paraId="0D584545">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（11）审查工程开工条件，对条件具备的签发开工令；</w:t>
      </w:r>
    </w:p>
    <w:p w14:paraId="0FF58585">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（12）审查施工承包人报送的工程材料、构配件、设备质量证明文件的有效性和符合性，并按 规定对用于工程的材料采取平行检验或见证取样方式进行抽检；</w:t>
      </w:r>
    </w:p>
    <w:p w14:paraId="3CC88E7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（13）审核施工承包人提交的工程款支付申请，签发或出具工程款支付证书，并报委托人审核、 批准；</w:t>
      </w:r>
    </w:p>
    <w:p w14:paraId="349FC0E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（14）在巡视、旁站和检验过程中，发现工程质量、施工安全存在事故隐患的，要求施工承包 人整改并报委托人；</w:t>
      </w:r>
    </w:p>
    <w:p w14:paraId="1103BDD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（15）经委托人同意，签发工程暂停令和复工令；</w:t>
      </w:r>
    </w:p>
    <w:p w14:paraId="492BCF9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（16）审查施工承包人提交的采用新材料、新工艺、新技术、新设备的论证材料及相关验收标 准；</w:t>
      </w:r>
    </w:p>
    <w:p w14:paraId="6577B3E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（17）验收隐蔽工程、分部分项工程；</w:t>
      </w:r>
    </w:p>
    <w:p w14:paraId="7D1C867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（18）审查施工承包人提交的工程变更申请，协调处理施工进度调整、费用索赔、合同争议等 事项；</w:t>
      </w:r>
    </w:p>
    <w:p w14:paraId="00E3792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（19）审查施工承包人提交的竣工验收申请，编写工程质量评估报告；</w:t>
      </w:r>
    </w:p>
    <w:p w14:paraId="550DF6E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（20）参加工程竣工验收，签署竣工验收意见；</w:t>
      </w:r>
    </w:p>
    <w:p w14:paraId="3B37FE0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（21）审查施工承包人提交的竣工结算申请并报委托人；</w:t>
      </w:r>
    </w:p>
    <w:p w14:paraId="4AD8670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（22）编制、整理工程监理归档文件并报委托人。</w:t>
      </w:r>
    </w:p>
    <w:p w14:paraId="5715518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2.1.3 相关服务的范围和内容在附录 A 中约定。</w:t>
      </w:r>
    </w:p>
    <w:p w14:paraId="6A1EDD4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2.2 监理与相关服务依据</w:t>
      </w:r>
    </w:p>
    <w:p w14:paraId="58759A4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2.2.1 监理依据包括：</w:t>
      </w:r>
    </w:p>
    <w:p w14:paraId="31E01FB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（1）适用的法律、行政法规及部门规章；</w:t>
      </w:r>
    </w:p>
    <w:p w14:paraId="2333410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（2）与工程有关的标准；</w:t>
      </w:r>
    </w:p>
    <w:p w14:paraId="41B03AB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（3）工程设计及有关文件；</w:t>
      </w:r>
    </w:p>
    <w:p w14:paraId="0777A7A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（4）本合同及委托人与第三方签订的与实施工程有关的其他合同。 双方根据工程的行业和地域特点，在专用条件中具体约定监理依据。</w:t>
      </w:r>
    </w:p>
    <w:p w14:paraId="3F141E2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2.2.2 相关服务依据在专用条件中约定</w:t>
      </w:r>
    </w:p>
    <w:p w14:paraId="629C4BB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 项目监理机构和人员</w:t>
      </w:r>
    </w:p>
    <w:p w14:paraId="658089E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2.3.1 监理人应组建满足工作需要的项目监理机构，配备必要的检测设备。项目监理机构的主 要人员应具有相应的资格条件。</w:t>
      </w:r>
    </w:p>
    <w:p w14:paraId="3618CAB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2.3.2 本合同履行过程中，总监理工程师及重要岗位监理人员应保持相对稳定，以保证监理工 作正常进行。</w:t>
      </w:r>
    </w:p>
    <w:p w14:paraId="5B168B8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2.3.3 监理人可根据工程进展和工作需要调整项目监理机构人员。监理人更换总监理工程师时， 应提前 7 天向委托人书面报告，经委托人同意后方可更换；监理人更换项目监理机构其他监 理人 员，应以相当资格与能力的人员替换，并通知委托人。</w:t>
      </w:r>
    </w:p>
    <w:p w14:paraId="0845B7A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2.3.4 监理人应及时更换有下列情形之一的监理人员：</w:t>
      </w:r>
    </w:p>
    <w:p w14:paraId="4011320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（1）严重过失行为的；</w:t>
      </w:r>
    </w:p>
    <w:p w14:paraId="5A387E3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（2）有违法行为不能履行职责的；</w:t>
      </w:r>
    </w:p>
    <w:p w14:paraId="7E301F9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（3）涉嫌犯罪的；</w:t>
      </w:r>
    </w:p>
    <w:p w14:paraId="3079099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（4）不能胜任岗位职责的；</w:t>
      </w:r>
    </w:p>
    <w:p w14:paraId="126A7CC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（5）严重违反职业道德的；</w:t>
      </w:r>
    </w:p>
    <w:p w14:paraId="0FDB953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（6）专用条件约定的其他情形。</w:t>
      </w:r>
    </w:p>
    <w:p w14:paraId="0435158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2.3.5 委托人可要求监理人更换不能胜任本职工作的项目监理机构人员。</w:t>
      </w:r>
    </w:p>
    <w:p w14:paraId="5B15D77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 履行职责监理人应遵循职业道德准则和行为规范，严格按照法律法规、工程建设有关标准 及本合同履行职责。</w:t>
      </w:r>
    </w:p>
    <w:p w14:paraId="4C258D65">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2.4.1 在监理与相关服务范围内，委托人和承包人提出的意见和要求，监理人应及时提出处置 意见。当委托人与承包人之间发生合同争议时，监理人应协助委托人、承包人协商解决。</w:t>
      </w:r>
    </w:p>
    <w:p w14:paraId="51C4925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2.4.2 当委托人与承包人之间的合同争议提交仲裁机构仲裁或人民法院审理时，监理人应提供 必要的证明资料。</w:t>
      </w:r>
    </w:p>
    <w:p w14:paraId="1029DA6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2.4.3 监理人应在专用条件约定的授权范围内，处理委托人与承包人所签订合同的变更事宜。 如果变更超过授权范围，应以书面形式报委托人批准。 在紧急情况下，为了保护财产和人身安全， 监理人所发出的指令未能事先报委托人批准时，应在发出指令后的 24 小时内以书面形式报委托人。</w:t>
      </w:r>
    </w:p>
    <w:p w14:paraId="527F0BB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2.4.4 除专用条件另有约定外，监理人发现承包人的人员不能胜任本职工作的，有权要求承包 人予以调换。</w:t>
      </w:r>
    </w:p>
    <w:p w14:paraId="6A9CD24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2.5 提交报告。监理人应按专用条件约定的种类、时间和份数向委托人提交监理与相关服务的 报告。</w:t>
      </w:r>
    </w:p>
    <w:p w14:paraId="24EA675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2.6 文件资料 。在本合同履行期内，监理人应在现场保留工作所用的图纸、报告及记录监理工 作的相关文件。工程竣工后，应当按照档案管理规定将监理有关文件归档。</w:t>
      </w:r>
    </w:p>
    <w:p w14:paraId="5F22C85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2.7 使用委托人的财产</w:t>
      </w:r>
    </w:p>
    <w:p w14:paraId="5ABD8F1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监理人无偿使用附录 B 中由委托人派遣的人员和提供的房屋、资料、设备。除专用条件另有约 定外，委托人提供的房屋、设备属于委托人的财产，监理人应妥善使用和保管，在本合同终止时将 这些房屋、设备的清单提交委托人，并按专用条件约定的时间和方式移交。</w:t>
      </w:r>
    </w:p>
    <w:p w14:paraId="4A09529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3．委托人的义务</w:t>
      </w:r>
    </w:p>
    <w:p w14:paraId="4DA6AA6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3.1 告知委托人应在委托人与承包人签订的合同中明确监理人、总监理工程师和授予项目监理 机构的权限。如有变更，应及时通知承包人。</w:t>
      </w:r>
    </w:p>
    <w:p w14:paraId="0BD1678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3.2 提供资料</w:t>
      </w:r>
    </w:p>
    <w:p w14:paraId="2172ED2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委托人应按照附录 B 约定，无偿向监理人提供工程有关的资料。在本合同履行过程中，委托人 应及时向监理人提供最新的与工程有关的资料。</w:t>
      </w:r>
    </w:p>
    <w:p w14:paraId="01B3D80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3.3 提供工作条件</w:t>
      </w:r>
    </w:p>
    <w:p w14:paraId="6F50D8B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委托人应为监理人完成监理与相关服务提供必要的条件。</w:t>
      </w:r>
    </w:p>
    <w:p w14:paraId="5317B70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3.3.1 委托人应按照附录 B 约定，派遣相应的人员，提供房屋、设备，供监理人无偿使用。</w:t>
      </w:r>
    </w:p>
    <w:p w14:paraId="0412346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3.3.2 委托人应负责协调工程建设中所有外部关系，为监理人履行本合同提供必要的外部条件。</w:t>
      </w:r>
    </w:p>
    <w:p w14:paraId="06BAE01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3.4 委托人代表</w:t>
      </w:r>
    </w:p>
    <w:p w14:paraId="00FFEFB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委托人应授权一名熟悉工程情况的代表，负责与监理人联系。委托人应在双方签订本合同后 7 天内，将委托人代表的姓名和职责书面告知监理人。当委托人更换委托人代表时，应提前 7 天通知 监理人。</w:t>
      </w:r>
    </w:p>
    <w:p w14:paraId="1BC74DF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3.5 委托人意见或要求</w:t>
      </w:r>
    </w:p>
    <w:p w14:paraId="12CF8FC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在本合同约定的监理与相关服务工作范围内，委托人对承包人的任何意见或要求应通知监理人， 由监理人向承包人发出相应指令。</w:t>
      </w:r>
    </w:p>
    <w:p w14:paraId="3667E85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3.6 答复委托人应在专用条件约定的时间内，对监理人以书面形式提交并要求作出决定的事宜， 给予书面答复。逾期未答复的，视为委托人认可。</w:t>
      </w:r>
    </w:p>
    <w:p w14:paraId="3CE2305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3.7 支付</w:t>
      </w:r>
    </w:p>
    <w:p w14:paraId="251D6B3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委托人应按本合同约定，向监理人支付酬金。</w:t>
      </w:r>
    </w:p>
    <w:p w14:paraId="53DDB0C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 违约责任</w:t>
      </w:r>
    </w:p>
    <w:p w14:paraId="36812E4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4.1 监理人的违约责任</w:t>
      </w:r>
    </w:p>
    <w:p w14:paraId="4111D15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监理人未履行本合同义务的，应承担相应的责任。</w:t>
      </w:r>
    </w:p>
    <w:p w14:paraId="71A61C8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4.1.1 因监理人违反本合同约定给委托人造成损失的，监理人应当赔偿委托人损失。赔偿金额</w:t>
      </w:r>
    </w:p>
    <w:p w14:paraId="0CD56AEA">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的确定方法在专用条件中约定。监理人承担部分赔偿责任的，其承担赔偿金额由双方协商确定。</w:t>
      </w:r>
    </w:p>
    <w:p w14:paraId="06E2961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4.1.2 监理人向委托人的索赔不成立时，监理人应赔偿委托人由此发生的费用。</w:t>
      </w:r>
    </w:p>
    <w:p w14:paraId="3E708B6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4.2 委托人的违约责任</w:t>
      </w:r>
    </w:p>
    <w:p w14:paraId="0A991C6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委托人未履行本合同义务的，应承担相应的责任。</w:t>
      </w:r>
    </w:p>
    <w:p w14:paraId="3BB0025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4.2.1 委托人违反本合同约定造成监理人损失的，委托人应予以赔偿。</w:t>
      </w:r>
    </w:p>
    <w:p w14:paraId="45E6D10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4.2.2 委托人向监理人的索赔不成立时，应赔偿监理人由此引起的费用。</w:t>
      </w:r>
    </w:p>
    <w:p w14:paraId="2C8E0A6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4.2.3 委托人未能按期支付酬金超过 28 天，应按专用条件约定支付逾期付款利息。</w:t>
      </w:r>
    </w:p>
    <w:p w14:paraId="20FEC97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4.3 除外责任因非监理人的原因，且监理人无过错，发生工程质量事故、安全事故、工期延误 等造成的损失，监理人不承担赔偿责任。 因不可抗力导致本合同全部或部分不能履行时，双方各 自承担其因此而造成的损失、损害。</w:t>
      </w:r>
    </w:p>
    <w:p w14:paraId="7BF10045">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 支付</w:t>
      </w:r>
    </w:p>
    <w:p w14:paraId="1F73540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5.1 支付货币</w:t>
      </w:r>
    </w:p>
    <w:p w14:paraId="0675008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除专用条件另有约定外，酬金均以人民币支付。涉及外币支付的，所采用的货币种类、比例和 汇率在专用条件中约定。</w:t>
      </w:r>
    </w:p>
    <w:p w14:paraId="0A8CDA4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5.2 支付申请</w:t>
      </w:r>
    </w:p>
    <w:p w14:paraId="7D3AF08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监理人应在本合同约定的每次应付款时间的 7 天前，向委托人提交支付申请书。支付申请书应 当说明当期应付款总额，并列出当期应支付的款项及其金额。</w:t>
      </w:r>
    </w:p>
    <w:p w14:paraId="031E3BA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5.3 支付酬金</w:t>
      </w:r>
    </w:p>
    <w:p w14:paraId="7084391A">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支付的酬金包括正常工作酬金、附加工作酬金、合理化建议奖励金额及费用。</w:t>
      </w:r>
    </w:p>
    <w:p w14:paraId="0842A4A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5.4 有争议部分的付款</w:t>
      </w:r>
    </w:p>
    <w:p w14:paraId="2C874FD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委托人对监理人提交的支付申请书有异议时，应当在收到监理人提交的支付申请书后 7 天内， 以书面形式向监理人发出异议通知。无异议部分的款项应按期支付，有异议部分的款项按第 7 条约 定办理</w:t>
      </w:r>
    </w:p>
    <w:p w14:paraId="504AA59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 合同生效、变更、暂停、解除与终止</w:t>
      </w:r>
    </w:p>
    <w:p w14:paraId="13D7852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6.1 生效</w:t>
      </w:r>
    </w:p>
    <w:p w14:paraId="3B37A83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除法律另有规定或者专用条件另有约定外，委托人和监理人的法定代表人或其授权代理人在协 议书上签字并盖单位章后本合同生效。</w:t>
      </w:r>
    </w:p>
    <w:p w14:paraId="52E0604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 变更</w:t>
      </w:r>
    </w:p>
    <w:p w14:paraId="255AD61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6.2.1 任何一方提出变更请求时，双方经协商一致后可进行变更。</w:t>
      </w:r>
    </w:p>
    <w:p w14:paraId="4996D63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6.2.2 除不可抗力外，因非监理人原因导致监理人履行合同期限延长、内容增加时，监理人应  当将此情况与可能产生的影响及时通知委托人。增加的监理工作时间、工作内容应视为附加工作。</w:t>
      </w:r>
    </w:p>
    <w:p w14:paraId="0882E1F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附加工作酬金的确定方法在专用条件中约定。</w:t>
      </w:r>
    </w:p>
    <w:p w14:paraId="3BD1D85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6.2.3 合同生效后，如果实际情况发生变化使得监理人不能完成全部或部分工作时，监理人应 立即通知委托人。除不可抗力外，其善后工作以及恢复服务的准备工作应为附加工作，附加工作酬 金的确定方法在专用条件中约定。监理人用于恢复服务的准备时间不应超过 28 天。</w:t>
      </w:r>
    </w:p>
    <w:p w14:paraId="592028B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6.2.4 合同签订后，遇有与工程相关的法律法规、标准颁布或修订的，双方应遵照执行。由此 引起监理与相关服务的范围、时间、酬金变化的，双方应通过协商进行相应调整。</w:t>
      </w:r>
    </w:p>
    <w:p w14:paraId="1A95B51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6.2.5 因非监理人原因造成工程概算投资额或建筑安装工程费增加时，正常工作酬金应作相应 调整。调整方法在专用条件中约定。</w:t>
      </w:r>
    </w:p>
    <w:p w14:paraId="0D23972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6.2.6 因工程规模、监理范围的变化导致监理人的正常工作量减少时，正常工作酬金应作相应 调整。调整方法在专用条件中约定。</w:t>
      </w:r>
    </w:p>
    <w:p w14:paraId="030AA19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6.3 暂停与解除除双方协商一致可以解除本合同外，当一方无正当理由未履行本合同约定的义 务时，另一方可以根据本合同约定暂停履行本合同直至解除本合同。</w:t>
      </w:r>
    </w:p>
    <w:p w14:paraId="124652C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6.3.1 在本合同有效期内，由于双方无法预见和控制的原因导致本合同全部或部分无法继续履 行或继续履行已无意义，经双方协商一致，可以解除本合同或监理人的部分义务。在解除之前， 监理人应作出合理安排，使开支减至最小。 因解除本合同或解除监理人的部分义务导致监理人遭 受的损失，除依法可以免除责任的情况外，应由委托人予以补偿，补偿金额由双方协商确定。 解 除本合同的协议必须采取书面形式，协议未达成之前，本合同仍然有效。</w:t>
      </w:r>
    </w:p>
    <w:p w14:paraId="6114441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6.3.2 在本合同有效期内，因非监理人的原因导致工程施工全部或部分暂停，委托人可通知监  理人要求暂停全部或部分工作。监理人应立即安排停止工作，并将开支减至最小。除不可抗力外， 由此导致监理人遭受的损失应由委托人予以补偿。暂停部分监理与相关服务时间超过 182 天，监理  人可发出解除本合同约定的该部分义务的通知；暂停全部工作时间超过 182 天，监理人可发出解除  本合同的通知，本合同自通知到达委托人时解除。委托人应将监理与相关服务的酬金支付至本合同  解除日，且应承担第 4.2 款约定的责任。</w:t>
      </w:r>
    </w:p>
    <w:p w14:paraId="47B8460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6.3.3 当监理人无正当理由未履行本合同约定的义务时，委托人应通知监理人限期改正。若委 托人在监理人接到通知后的 7 天内未收到监理人书面形式的合理解释，则可在 7 天内发出解除本 合同的通知， 自通知到达监理人时本合同解除。委托人应将监理与相关服务的酬金支付至限期改正 通知到达监理人之日，但监 理人应承担第 4.1 款约定的责任。</w:t>
      </w:r>
    </w:p>
    <w:p w14:paraId="1064BAF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6.3.4 监理人在专用条件 5.3 中约定的支付之日起 28 天后仍未收到委托人按本合同约定应付 的款项，可向委托人发出催付通知。委托人接到通知 14 天后仍未支付或未提出监理人可以接受的 延期支付安排，监理人可向委托人发出暂停工作的通知并可自行暂停全部或部分工作。暂停工作后</w:t>
      </w:r>
    </w:p>
    <w:p w14:paraId="035405C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 天内监理人仍未获得委托人应付酬金或委托人的合理答复，监理人可向委托人发出解除本合同的通知， 自通知到达委托人时本合同解除。委托人应承担第 4.2.3 款约定的责任。</w:t>
      </w:r>
    </w:p>
    <w:p w14:paraId="0A58BE8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6.3.5 因不可抗力致使本合同部分或全部不能履行时，一方应立即通知另一方，可暂停或解除 本合同。</w:t>
      </w:r>
    </w:p>
    <w:p w14:paraId="1FCB0A4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6.3.6 本合同解除后，本合同约定的有关结算、清理、争议解决方式的条件仍然有效。</w:t>
      </w:r>
    </w:p>
    <w:p w14:paraId="1BE1843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6.4 终止 以下条件全部满足时，本合同即告终止：</w:t>
      </w:r>
    </w:p>
    <w:p w14:paraId="238E884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（1）监理人完成本合同约定的全部工作；</w:t>
      </w:r>
    </w:p>
    <w:p w14:paraId="496BC7E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（2）委托人与监理人结清并支付全部酬金</w:t>
      </w:r>
    </w:p>
    <w:p w14:paraId="4C88753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 争议解决</w:t>
      </w:r>
    </w:p>
    <w:p w14:paraId="5920488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7.1 协商</w:t>
      </w:r>
    </w:p>
    <w:p w14:paraId="49B39A9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双方应本着诚信原则协商解决彼此间的争议。</w:t>
      </w:r>
    </w:p>
    <w:p w14:paraId="5C04064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 调解</w:t>
      </w:r>
    </w:p>
    <w:p w14:paraId="7D28B1D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如果双方不能在 14 天内或双方商定的其他时间内解决本合同争议，可以将其提交给专用条件 约定的或事后达成协议的调解人进行调解。</w:t>
      </w:r>
    </w:p>
    <w:p w14:paraId="628CD86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7.3 仲裁或诉讼</w:t>
      </w:r>
    </w:p>
    <w:p w14:paraId="3E56DFC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双方均有权不经调解直接向专用条件约定的仲裁机构申请仲裁或向有管辖权的人民法院提起 诉讼。</w:t>
      </w:r>
    </w:p>
    <w:p w14:paraId="31A9081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 其他</w:t>
      </w:r>
    </w:p>
    <w:p w14:paraId="1C6FE6C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8.1 外出考察费用</w:t>
      </w:r>
    </w:p>
    <w:p w14:paraId="1BFB9B5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经委托人同意，监理人员外出考察发生的费用由委托人审核后支付。</w:t>
      </w:r>
    </w:p>
    <w:p w14:paraId="0A7DB7C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8.2 检测费用</w:t>
      </w:r>
    </w:p>
    <w:p w14:paraId="6625560A">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委托人要求监理人进行的材料和设备检测所发生的费用，由委托人支付，支付时间在专用条件 中约定。</w:t>
      </w:r>
    </w:p>
    <w:p w14:paraId="30FAAFC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8.3 咨询费用</w:t>
      </w:r>
    </w:p>
    <w:p w14:paraId="296723D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经委托人同意，根据工程需要由监理人组织的相关咨询论证会以及聘请相关专家等发生的费用 由委托人支付，支付时间在专用条件中约定。</w:t>
      </w:r>
    </w:p>
    <w:p w14:paraId="1A0914F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8.4 奖励</w:t>
      </w:r>
    </w:p>
    <w:p w14:paraId="3116099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监理人在服务过程中提出的合理化建议，使委托人获得经济效益的，双方在专用条件中约定奖 励金额的确定方法。奖励金额在合理化建议被采纳后，与最近一期的正常工作酬金同期支付。</w:t>
      </w:r>
    </w:p>
    <w:p w14:paraId="596D07C8">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75B2874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8.5 守法诚信</w:t>
      </w:r>
    </w:p>
    <w:p w14:paraId="4B17644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监理人及其工作人员不得从与实施工程有关的第三方处获得任何经济利益。</w:t>
      </w:r>
    </w:p>
    <w:p w14:paraId="2097D73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8.6 保密双方不得泄露对方申明的保密资料，亦不得泄露与实施工程有关的第三方所提供的保</w:t>
      </w:r>
    </w:p>
    <w:p w14:paraId="3D95555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密资料，保密事项在专用条件中约定。</w:t>
      </w:r>
    </w:p>
    <w:p w14:paraId="0FFED90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8.7 通知</w:t>
      </w:r>
    </w:p>
    <w:p w14:paraId="51AE787A">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本合同涉及的通知均应当采用书面形式，并在送达对方时生效，收件人应书面签收。</w:t>
      </w:r>
    </w:p>
    <w:p w14:paraId="7897519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8.8 著作权</w:t>
      </w:r>
    </w:p>
    <w:p w14:paraId="4C88562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监理人对其编制的文件拥有著作权。 监理人可单独或与他人联合出版有关监理与相关服务的 资 料。除专用条件另有约定外，如果监理人在本合同履行期间及本合同终止后两年内出版涉及本 工程的有关监理与相关服务的资料，应当征得委托人的同意。</w:t>
      </w:r>
    </w:p>
    <w:p w14:paraId="33E85AC4">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509DF7CF">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62CC7F4F">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2B72D09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第三部分 专用条件</w:t>
      </w:r>
    </w:p>
    <w:p w14:paraId="7D4E7255">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定义与解释</w:t>
      </w:r>
    </w:p>
    <w:p w14:paraId="1216888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 解释</w:t>
      </w:r>
    </w:p>
    <w:p w14:paraId="7C53E02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1.2.1 本合同文件除使用中文外，还可用 / 。  </w:t>
      </w:r>
    </w:p>
    <w:p w14:paraId="692815A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1.2.2 约定本合同文件的解释顺序为：</w:t>
      </w:r>
    </w:p>
    <w:p w14:paraId="280CC8D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1、本合同协议书；</w:t>
      </w:r>
    </w:p>
    <w:p w14:paraId="20A2974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0E4FAE1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 投标书及其附件；</w:t>
      </w:r>
    </w:p>
    <w:p w14:paraId="45FE44DA">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 本合同专用条款；</w:t>
      </w:r>
    </w:p>
    <w:p w14:paraId="5588912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 本合同通用条款；</w:t>
      </w:r>
    </w:p>
    <w:p w14:paraId="34DE49A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 标准规范及有关技术文件；双方有关工程的洽商、变更等书面协议或文件视为本合同的组成 部分。</w:t>
      </w:r>
    </w:p>
    <w:p w14:paraId="03AED8C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监理人义务</w:t>
      </w:r>
    </w:p>
    <w:p w14:paraId="45B39F1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 监理的范围和内容</w:t>
      </w:r>
    </w:p>
    <w:p w14:paraId="4C81A56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2.1.1 监理范围包括：喀什经济开发区城北加工转化区东区基础设施建设项目（一期）提供监理服务</w:t>
      </w:r>
    </w:p>
    <w:p w14:paraId="37FC9CC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2.1.2 监理工作内容还包括：</w:t>
      </w:r>
    </w:p>
    <w:p w14:paraId="5062799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（1）收到工程设计文件后编制监理规划，并在第一次工地会议 7 天前报委托人。根据有关规 定和监理工作需要，编制监理实施细则；   </w:t>
      </w:r>
    </w:p>
    <w:p w14:paraId="6AE0749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（2）熟悉工程设计文件，并参加由委托人主持的图纸会审和设计交底会议，提出监理意见；</w:t>
      </w:r>
    </w:p>
    <w:p w14:paraId="1CF910CE">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（3）参加由委托人主持的第（4）审查承包人提交的施工组织设计，施工技术方案、施工质量保证措施、安全文明施工措 施，重点审查其中的质量安全技术措施、专项施工方案与工程建设强制性标准的符合性；   </w:t>
      </w:r>
    </w:p>
    <w:p w14:paraId="5CE988D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（5）检查承包人工程质量、安全生产管理制度及组织机构和人员资格；   </w:t>
      </w:r>
    </w:p>
    <w:p w14:paraId="2D11C605">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（6）检查承包人专职安全生产管理人员的配备情况；   </w:t>
      </w:r>
    </w:p>
    <w:p w14:paraId="2BCE058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（7）审查承包人提交的进度计划，核查承包人对进度计划的调整；   </w:t>
      </w:r>
    </w:p>
    <w:p w14:paraId="4815B7D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（8）审查承包人质保体系和质保手册并监督实施； （9）审核施工分包人资质条件；检查现 场施工人员中特殊工种持证上岗情况;  </w:t>
      </w:r>
    </w:p>
    <w:p w14:paraId="1AFECA1A">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（10）查验施工承包人的施工测量放线成果；   </w:t>
      </w:r>
    </w:p>
    <w:p w14:paraId="2322D01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（11）审查工程开工条件，对条件具备的签发开工令；   </w:t>
      </w:r>
    </w:p>
    <w:p w14:paraId="3159DE7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（12）审查承包人报送的工程材料、构配件、设备质量证明文件的有效性和 </w:t>
      </w:r>
    </w:p>
    <w:p w14:paraId="400B296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符合性，并按规定对用于工程的材料采取平行检验或见证取样方式进行抽检；   </w:t>
      </w:r>
    </w:p>
    <w:p w14:paraId="433FA0C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（13） 检查施工现场原材料、构件的采购、入库、保管、领用等管理制度及  其执行情况;  </w:t>
      </w:r>
    </w:p>
    <w:p w14:paraId="67982F3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（14）参与主要设备的合同谈判工作并提出监理意见；参加主要设备的现场开箱检查、验收， 对设备保管提出监理意见; 组织对设备基础的检查验收及交接，依据安装要求对设备安装过程跟踪</w:t>
      </w:r>
    </w:p>
    <w:p w14:paraId="5CB2210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检查；   </w:t>
      </w:r>
    </w:p>
    <w:p w14:paraId="6EE7E1A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（15） 遇到威胁安全的重大问题时，有权提出“暂停施工 ”的通知，并通报委托人，协助委 托人制定施工现场安全文明施工管理目标并监督实施 ;  </w:t>
      </w:r>
    </w:p>
    <w:p w14:paraId="543C819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（16）在巡视、旁站和检验过程中，发现工程质量、施工安全存在事故隐患的，要求承包人整 改并报委托人；   </w:t>
      </w:r>
    </w:p>
    <w:p w14:paraId="673E2EB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（17）经委托人同意，签发工程暂停令和复工令；   </w:t>
      </w:r>
    </w:p>
    <w:p w14:paraId="3911164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（18）审查承包人提交的采用新材料、新工艺、新技术、新设备的论证材料及相关验收标准；</w:t>
      </w:r>
    </w:p>
    <w:p w14:paraId="648460A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（19）参与分项、分部工程、关键工序和隐蔽工程的质量检查和验收；   </w:t>
      </w:r>
    </w:p>
    <w:p w14:paraId="563EFEC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（20）审查承包人提交的工程变更申请，协调处理施工进度调整、费用索赔、合同争议等事项；</w:t>
      </w:r>
    </w:p>
    <w:p w14:paraId="0E901B1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（21）审核承包人提交的工程款支付申请，签发或出具工程款支付证书，并报委托人审核、批 准；   </w:t>
      </w:r>
    </w:p>
    <w:p w14:paraId="3DE4BB6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竣工验收阶段的监理工作内容 :</w:t>
      </w:r>
    </w:p>
    <w:p w14:paraId="72E181F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1）对已完工程进行工程质量评估，并及时提供分部、单位工程质量评估报告及监理工作总结。</w:t>
      </w:r>
    </w:p>
    <w:p w14:paraId="6B0CFBB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2）总监组织监理工程师根据规范和强制性标准条文对承包人报送的完工工程的实物质量进行 竣工预验收、竣工资料进行审查，并对存在的问题整改的结果进行复验合格的基础上，向委托人提 出竣工验收的建议。参加工程竣工验收，签署竣工验收意见。   </w:t>
      </w:r>
    </w:p>
    <w:p w14:paraId="2E5E8FB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 审查承包人提交的竣工结算申请并报委托人；</w:t>
      </w:r>
    </w:p>
    <w:p w14:paraId="4BA3F92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(24)  监督合同的履行，维护委托人和承包人的正当权益；   </w:t>
      </w:r>
    </w:p>
    <w:p w14:paraId="0BF64365">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(25) 在保修合同规定的范围内，对工程质量缺陷发生的原因和责任进行调查和确认，并检查 其质量缺陷的修复质量，协助委托人按保修合同规定结算保修金；   </w:t>
      </w:r>
    </w:p>
    <w:p w14:paraId="279ADE9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(26) 整理监理工作的各种文件、通知、记录、检测资料、图纸等。合同完成或终止时交给委 托人；   </w:t>
      </w:r>
    </w:p>
    <w:p w14:paraId="7972F87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(32) 监理合同中约定的其他工作内容。  </w:t>
      </w:r>
    </w:p>
    <w:p w14:paraId="521A82B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2.2 监理与相关服务依据</w:t>
      </w:r>
    </w:p>
    <w:p w14:paraId="2B18444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2.2.1 监理依据包括：</w:t>
      </w:r>
    </w:p>
    <w:p w14:paraId="6F5F578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1）国家和地方现行的有关工程建设的法律、法规、规章和其它有关规定。</w:t>
      </w:r>
    </w:p>
    <w:p w14:paraId="04A05B4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2）现行的工程建设施工及验收规范、质量检验评定标准及地方有关规定。</w:t>
      </w:r>
    </w:p>
    <w:p w14:paraId="2F6BA76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3）依法成立的工程建设合同，包括设计、施工、监理、设备及材料供应等合同。</w:t>
      </w:r>
    </w:p>
    <w:p w14:paraId="0F78563A">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4）经上级主管部门批准的项目建议书、项目可行性研究报告、初步设计、 概（预）算、建设 计划、设计图纸和其它有关文件。</w:t>
      </w:r>
    </w:p>
    <w:p w14:paraId="72ACCAD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5）工程实施过程中委托人、监理人、承包人之间形成的会议纪要及其它文字记录。</w:t>
      </w:r>
    </w:p>
    <w:p w14:paraId="786E997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2.2.2 相关服务依据包括：有关服务项目、服务内容、服务质量、收费依据, 以及收费标准 。</w:t>
      </w:r>
    </w:p>
    <w:p w14:paraId="4DA55A1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 项目监理机构和人员</w:t>
      </w:r>
    </w:p>
    <w:p w14:paraId="1BCFC885">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2.3.4 更换监理人员的其他情形：执行通用条款 。  </w:t>
      </w:r>
    </w:p>
    <w:p w14:paraId="3653122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 履行职责</w:t>
      </w:r>
    </w:p>
    <w:p w14:paraId="6F8C1B0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2.4.3 对监理人的授权范围：按中标后合同约定。</w:t>
      </w:r>
    </w:p>
    <w:p w14:paraId="346F9DE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在涉及工程延期 / 天内和（或）金额 / 万元内的变更， 监理人不需请示委托人即可向承包人</w:t>
      </w:r>
    </w:p>
    <w:p w14:paraId="24144AC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发布变更通知。</w:t>
      </w:r>
    </w:p>
    <w:p w14:paraId="0C13072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2.4.4 监 理 人 有 权 要 求 承 包 人 调 换 其 人 员 的 限 制 条件 ：                。</w:t>
      </w:r>
    </w:p>
    <w:p w14:paraId="609CA8C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2.5 提交报告</w:t>
      </w:r>
    </w:p>
    <w:p w14:paraId="5C3AB68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监理人应提交报告的种类(包括监理规划、监理月报及约定的专项报告)、时间和份数：按中标 后合同约定 。</w:t>
      </w:r>
    </w:p>
    <w:p w14:paraId="11392B15">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2.7 使用委托人的财产</w:t>
      </w:r>
    </w:p>
    <w:p w14:paraId="7B74811A">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附录 B 中由委托人无偿提供的房屋、设备的所有权属于： 委托人。   </w:t>
      </w:r>
    </w:p>
    <w:p w14:paraId="498D7F9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监理人应在本合同终止后 7 天内移交委托人无偿提供的房屋、设备，移交的时间和方式为：按 中标后合同约定</w:t>
      </w:r>
    </w:p>
    <w:p w14:paraId="700BEE5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 委托人义务</w:t>
      </w:r>
    </w:p>
    <w:p w14:paraId="3DD3725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3.4 委托人代表</w:t>
      </w:r>
    </w:p>
    <w:p w14:paraId="319910B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委托人代表为：          。  </w:t>
      </w:r>
    </w:p>
    <w:p w14:paraId="61C1808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3.6 答复</w:t>
      </w:r>
    </w:p>
    <w:p w14:paraId="61B4423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委托人同意在收到书面报告后7天内，对监理人书面提交并要求做出决定的事宜给予书面答复。</w:t>
      </w:r>
    </w:p>
    <w:p w14:paraId="210ED424">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 违约责任</w:t>
      </w:r>
    </w:p>
    <w:p w14:paraId="0D3635C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4.1 监理人的违约责任</w:t>
      </w:r>
    </w:p>
    <w:p w14:paraId="17D6B40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4.1.1 监理人赔偿金额按下列方法确定：</w:t>
      </w:r>
    </w:p>
    <w:p w14:paraId="7A8A82C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赔偿金＝直接经济损失×正常工作酬金÷工程概算投资额 （或建筑安装工程费）</w:t>
      </w:r>
    </w:p>
    <w:p w14:paraId="60DD33BA">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4.2 委托人的违约责任</w:t>
      </w:r>
    </w:p>
    <w:p w14:paraId="5473D8A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4.2.3 委托人逾期付款利息按下列方法确定：逾期付款利息＝当期应付款总额×银行同期贷款 利率×拖延支付天数。</w:t>
      </w:r>
    </w:p>
    <w:p w14:paraId="6DA1F1B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5.1 支付货币</w:t>
      </w:r>
    </w:p>
    <w:p w14:paraId="32D1E17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币种为：           ，比例为：              ，汇率为：             。  5.3 支付酬金</w:t>
      </w:r>
    </w:p>
    <w:p w14:paraId="2FDD07B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正常工作酬金的支付：最终以中标后合同约定为准</w:t>
      </w:r>
    </w:p>
    <w:p w14:paraId="3094EF3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 合同生效、变更、暂停、解除与终止</w:t>
      </w:r>
    </w:p>
    <w:p w14:paraId="5C2BE19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6.1 生效本合同生效条件：执行通用条款。</w:t>
      </w:r>
    </w:p>
    <w:p w14:paraId="7BABCE1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 变更</w:t>
      </w:r>
    </w:p>
    <w:p w14:paraId="5503F2A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6.2.2 除不可抗力外， 因非监理人原因导致本合同期限延长时，附加工作酬金按下列方法确定： 附加工作酬金=本合同期限延长时间（天） ×正常工作酬金 ÷协议书约定的监理与相关服务期</w:t>
      </w:r>
    </w:p>
    <w:p w14:paraId="642A70C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限（天）</w:t>
      </w:r>
    </w:p>
    <w:p w14:paraId="17622AFD">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6.2.3 附加工作酬金按下列方法确定：</w:t>
      </w:r>
    </w:p>
    <w:p w14:paraId="1902604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附加工作酬金=善后工作及恢复服务的准备工作时间（天） ×正常工作酬金÷协议书约定的监 理与相关服务期限（天）</w:t>
      </w:r>
    </w:p>
    <w:p w14:paraId="14E9AD7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6.2.5 正常工作酬金增加额按下列方法确定：</w:t>
      </w:r>
    </w:p>
    <w:p w14:paraId="5CE24F7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正常工作酬金增加额=工程投资额或建筑安装工程费增加额 ×正常工作酬金÷工程概算投资 额（或建筑安装工程费）</w:t>
      </w:r>
    </w:p>
    <w:p w14:paraId="7C464DD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6.2.6 因工程规模、监理范围的变化导致监理人的正常工作量减少时，按减少工作量的比例从 协议书约定的正常工作酬金中扣减相同比例的酬金</w:t>
      </w:r>
    </w:p>
    <w:p w14:paraId="4201C46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 争议解决</w:t>
      </w:r>
    </w:p>
    <w:p w14:paraId="3C09FA7A">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 调解</w:t>
      </w:r>
    </w:p>
    <w:p w14:paraId="5624FEA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本合同争议进行调解时，可提交 / 进行调解。</w:t>
      </w:r>
    </w:p>
    <w:p w14:paraId="10A0213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7.3 仲裁或诉讼</w:t>
      </w:r>
    </w:p>
    <w:p w14:paraId="3BFBD735">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合同争议的最终解决方式为下列第 2 种方式：</w:t>
      </w:r>
    </w:p>
    <w:p w14:paraId="3D0AF935">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（1）提请 工程所在地   仲裁委员会进行仲裁。</w:t>
      </w:r>
    </w:p>
    <w:p w14:paraId="6B7978AA">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（2）工程所在地人民法院提起诉讼。</w:t>
      </w:r>
    </w:p>
    <w:p w14:paraId="67608D0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 其他</w:t>
      </w:r>
    </w:p>
    <w:p w14:paraId="7E5F13D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8.2 检测费用 委托人应在检测工作完成后按中标后合同约定天内支付检测费用。</w:t>
      </w:r>
    </w:p>
    <w:p w14:paraId="0298E5D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8.3 咨询费用</w:t>
      </w:r>
    </w:p>
    <w:p w14:paraId="3822934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委托人应在咨询工作完成后按中标后合同约定天内支付咨询费用。</w:t>
      </w:r>
    </w:p>
    <w:p w14:paraId="7143EB2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8.4 奖励</w:t>
      </w:r>
    </w:p>
    <w:p w14:paraId="776B166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合理化建议的奖励金额按下列方法确定为：</w:t>
      </w:r>
    </w:p>
    <w:p w14:paraId="03B12F6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奖励金额＝工程投资节省额×奖励金额的比率； 奖励金额的比率为 %。   </w:t>
      </w:r>
    </w:p>
    <w:p w14:paraId="0EA5945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8.6 保密</w:t>
      </w:r>
    </w:p>
    <w:p w14:paraId="33AAEA8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委托人申明的保密事项和期限：双方另行约定。  监理人申明的保密事项和期限：双方另行约定。  第三方申明的保密事项和期限：双方另行约定。  </w:t>
      </w:r>
    </w:p>
    <w:p w14:paraId="646120A7">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8.8 著作权</w:t>
      </w:r>
    </w:p>
    <w:p w14:paraId="61D29FE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监理人在本合同履行期间及本合同终止后两年内出版涉及本工程的有关监理与相关服务的资 料的限制条件：  双方另行约定。</w:t>
      </w:r>
    </w:p>
    <w:p w14:paraId="1E129DFF">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 补充条款</w:t>
      </w:r>
    </w:p>
    <w:p w14:paraId="014CB1BA">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1、项目总监必须驻点工程现场，每月在岗不少于 22 日，关键工序必须在现场，除因不可抗力 影响外，不得更换总监理工程师。</w:t>
      </w:r>
    </w:p>
    <w:p w14:paraId="7B302FE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2、监理机构的监理人员专业配备数量须满足项目监理工作的需要，各专业监理工程师不得随 意更换，如确实需要调整监理人应征得委托人同意。</w:t>
      </w:r>
    </w:p>
    <w:p w14:paraId="376F685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3、委托人将采取定期和不定期相结合的形式对总监理工程师、各专业监理工程师及有关人员 的在岗情况进行检查，如果在检查时发现总监理工程师未经批准，擅自离开施工现场，不能达到承 诺的到位时间，每天罚款人民币 2000 元，各专业监理工程师或有关人员未经批准，擅自离开施工 现场，每人每次罚款人民 币 1000 元。</w:t>
      </w:r>
    </w:p>
    <w:p w14:paraId="43356B97">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47768B9A">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4、监理机构的所有人员均不得与任何被监理单位产生或建立与监理工作无关的联系和关系， 以确保监理工作的公正性，维护委托人和其他相关单位的合法权益。</w:t>
      </w:r>
    </w:p>
    <w:p w14:paraId="17CCB16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5、监理人需对关键程序进行旁站监理，对隐蔽工程进行巡视、 平行检查，并做好记录。</w:t>
      </w:r>
    </w:p>
    <w:p w14:paraId="0B1761F0">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6、委托人将实时对总监理工程师、专业监理工程师等履行职责的情况进行检查，总监理工程 师应能及时提供反映这些情况的全套的书面被查材料。</w:t>
      </w:r>
    </w:p>
    <w:p w14:paraId="196330B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7、对专项系统及各分系统的重要部位，监理工程师要加强双控制检查。巡视和旁站相结合， 确保工程质量。监理工程师在巡视和检查中发现工程质量问题，可视质量问题的大小和轻重，以 “监理工作联系单 ”和“监理通知单 ”的形式通知承包人、委托人，并监督解决。</w:t>
      </w:r>
    </w:p>
    <w:p w14:paraId="526A1F83">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8、对承包人报来的各项工程报验单，隐蔽单，监理工程师都要以施工图纸和规范及施工工艺 设计要求认真审查，工程质量不符合要求未经监理工程师签字，不得进行下道工序施工。9、工程 质量保修期内监理人根据监理合同约定，当委托人在使用中对工程质量提出异议或本监理人在回访 中发现影响使用的质量缺陷时，将派专人进行现场查验。其结果在保修范围内，则通知承包方进行 保修。</w:t>
      </w:r>
    </w:p>
    <w:p w14:paraId="78B9D93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10、监理人未履行本合同义务，给委托人造成损失的应承担相应的责任，赔偿委托人损失，赔 偿金额按专用条款 4.1.1 条的方法确定。</w:t>
      </w:r>
    </w:p>
    <w:p w14:paraId="6A3877D9">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3E4321B1">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附录 A 相关服务的范围和内容</w:t>
      </w:r>
    </w:p>
    <w:p w14:paraId="1E09AF36">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1B7A89B4">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4A37BAF2">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A-1 勘察阶段：                          。</w:t>
      </w:r>
      <w:r>
        <w:rPr>
          <w:rFonts w:hint="eastAsia" w:ascii="宋体" w:hAnsi="宋体" w:eastAsia="宋体" w:cs="宋体"/>
          <w:color w:val="auto"/>
          <w:sz w:val="28"/>
          <w:szCs w:val="28"/>
        </w:rPr>
        <w:tab/>
      </w:r>
    </w:p>
    <w:p w14:paraId="6A095E19">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A-2 设计阶段：                            。</w:t>
      </w:r>
      <w:r>
        <w:rPr>
          <w:rFonts w:hint="eastAsia" w:ascii="宋体" w:hAnsi="宋体" w:eastAsia="宋体" w:cs="宋体"/>
          <w:color w:val="auto"/>
          <w:sz w:val="28"/>
          <w:szCs w:val="28"/>
        </w:rPr>
        <w:tab/>
      </w:r>
      <w:r>
        <w:rPr>
          <w:rFonts w:hint="eastAsia" w:ascii="宋体" w:hAnsi="宋体" w:eastAsia="宋体" w:cs="宋体"/>
          <w:color w:val="auto"/>
          <w:sz w:val="28"/>
          <w:szCs w:val="28"/>
        </w:rPr>
        <w:tab/>
      </w:r>
    </w:p>
    <w:p w14:paraId="216C27BA">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A-3 保修阶段：                         </w:t>
      </w:r>
    </w:p>
    <w:p w14:paraId="7082A608">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A-4 其他（专业技术咨询、外部协调工作等）：</w:t>
      </w:r>
    </w:p>
    <w:p w14:paraId="11247D56">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录 B 委托人派遣的人员和提供的房屋、资料、设备 B-1 委托人派遣的人员</w:t>
      </w:r>
    </w:p>
    <w:tbl>
      <w:tblPr>
        <w:tblStyle w:val="10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0"/>
        <w:gridCol w:w="2262"/>
        <w:gridCol w:w="2262"/>
        <w:gridCol w:w="2270"/>
      </w:tblGrid>
      <w:tr w14:paraId="14BA4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2270" w:type="dxa"/>
            <w:vAlign w:val="top"/>
          </w:tcPr>
          <w:p w14:paraId="01653215">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名称</w:t>
            </w:r>
          </w:p>
        </w:tc>
        <w:tc>
          <w:tcPr>
            <w:tcW w:w="2262" w:type="dxa"/>
            <w:vAlign w:val="top"/>
          </w:tcPr>
          <w:p w14:paraId="5D216133">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数量</w:t>
            </w:r>
          </w:p>
        </w:tc>
        <w:tc>
          <w:tcPr>
            <w:tcW w:w="2262" w:type="dxa"/>
            <w:vAlign w:val="top"/>
          </w:tcPr>
          <w:p w14:paraId="523DD92C">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工作要求</w:t>
            </w:r>
          </w:p>
        </w:tc>
        <w:tc>
          <w:tcPr>
            <w:tcW w:w="2270" w:type="dxa"/>
            <w:vAlign w:val="top"/>
          </w:tcPr>
          <w:p w14:paraId="46EA6BA8">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提供时间</w:t>
            </w:r>
          </w:p>
        </w:tc>
      </w:tr>
      <w:tr w14:paraId="71120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2270" w:type="dxa"/>
            <w:vAlign w:val="top"/>
          </w:tcPr>
          <w:p w14:paraId="31D6737B">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1.工程技术人员</w:t>
            </w:r>
          </w:p>
        </w:tc>
        <w:tc>
          <w:tcPr>
            <w:tcW w:w="2262" w:type="dxa"/>
            <w:vAlign w:val="top"/>
          </w:tcPr>
          <w:p w14:paraId="0D3ACC8E">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2" w:type="dxa"/>
            <w:vAlign w:val="top"/>
          </w:tcPr>
          <w:p w14:paraId="55F2AAA0">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18DDB535">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r w14:paraId="7EBC2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2270" w:type="dxa"/>
            <w:vAlign w:val="top"/>
          </w:tcPr>
          <w:p w14:paraId="580F074B">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2.辅助工作人员</w:t>
            </w:r>
          </w:p>
        </w:tc>
        <w:tc>
          <w:tcPr>
            <w:tcW w:w="2262" w:type="dxa"/>
            <w:vAlign w:val="top"/>
          </w:tcPr>
          <w:p w14:paraId="30EAD842">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2" w:type="dxa"/>
            <w:vAlign w:val="top"/>
          </w:tcPr>
          <w:p w14:paraId="22F3573B">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2631E7B1">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r w14:paraId="25B41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2270" w:type="dxa"/>
            <w:vAlign w:val="top"/>
          </w:tcPr>
          <w:p w14:paraId="64964B7E">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3.其他人员</w:t>
            </w:r>
          </w:p>
        </w:tc>
        <w:tc>
          <w:tcPr>
            <w:tcW w:w="2262" w:type="dxa"/>
            <w:vAlign w:val="top"/>
          </w:tcPr>
          <w:p w14:paraId="56801EE6">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2" w:type="dxa"/>
            <w:vAlign w:val="top"/>
          </w:tcPr>
          <w:p w14:paraId="2C913D20">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48117132">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r w14:paraId="51E3C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270" w:type="dxa"/>
            <w:vAlign w:val="top"/>
          </w:tcPr>
          <w:p w14:paraId="61BD2B5F">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2" w:type="dxa"/>
            <w:vAlign w:val="top"/>
          </w:tcPr>
          <w:p w14:paraId="79EBEA4B">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2" w:type="dxa"/>
            <w:vAlign w:val="top"/>
          </w:tcPr>
          <w:p w14:paraId="58072DD3">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0D41A44E">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bl>
    <w:p w14:paraId="16AC2998">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255A9319">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1A128427">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7FB4793E">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B-2 委托人提供的房屋</w:t>
      </w:r>
    </w:p>
    <w:p w14:paraId="4CADDA98">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bl>
      <w:tblPr>
        <w:tblStyle w:val="10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0"/>
        <w:gridCol w:w="2262"/>
        <w:gridCol w:w="2262"/>
        <w:gridCol w:w="2270"/>
      </w:tblGrid>
      <w:tr w14:paraId="5B3B1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2270" w:type="dxa"/>
            <w:vAlign w:val="top"/>
          </w:tcPr>
          <w:p w14:paraId="70212F55">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名称</w:t>
            </w:r>
          </w:p>
        </w:tc>
        <w:tc>
          <w:tcPr>
            <w:tcW w:w="2262" w:type="dxa"/>
            <w:vAlign w:val="top"/>
          </w:tcPr>
          <w:p w14:paraId="3AECC186">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数量</w:t>
            </w:r>
          </w:p>
        </w:tc>
        <w:tc>
          <w:tcPr>
            <w:tcW w:w="2262" w:type="dxa"/>
            <w:vAlign w:val="top"/>
          </w:tcPr>
          <w:p w14:paraId="0C435F49">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面积</w:t>
            </w:r>
          </w:p>
        </w:tc>
        <w:tc>
          <w:tcPr>
            <w:tcW w:w="2270" w:type="dxa"/>
            <w:vAlign w:val="top"/>
          </w:tcPr>
          <w:p w14:paraId="2AE731AC">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提供时间</w:t>
            </w:r>
          </w:p>
        </w:tc>
      </w:tr>
      <w:tr w14:paraId="58FEC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2270" w:type="dxa"/>
            <w:vAlign w:val="top"/>
          </w:tcPr>
          <w:p w14:paraId="009E1BAB">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1.办公用房</w:t>
            </w:r>
          </w:p>
        </w:tc>
        <w:tc>
          <w:tcPr>
            <w:tcW w:w="2262" w:type="dxa"/>
            <w:vAlign w:val="top"/>
          </w:tcPr>
          <w:p w14:paraId="7D8D9C8E">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2" w:type="dxa"/>
            <w:vAlign w:val="top"/>
          </w:tcPr>
          <w:p w14:paraId="4DCFE24D">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250C7EEA">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r w14:paraId="210CA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2270" w:type="dxa"/>
            <w:vAlign w:val="top"/>
          </w:tcPr>
          <w:p w14:paraId="42215B88">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2.生活用房</w:t>
            </w:r>
          </w:p>
        </w:tc>
        <w:tc>
          <w:tcPr>
            <w:tcW w:w="2262" w:type="dxa"/>
            <w:vAlign w:val="top"/>
          </w:tcPr>
          <w:p w14:paraId="7ACB53AC">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2" w:type="dxa"/>
            <w:vAlign w:val="top"/>
          </w:tcPr>
          <w:p w14:paraId="10E4D3DD">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5B747090">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r w14:paraId="159A0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2270" w:type="dxa"/>
            <w:vAlign w:val="top"/>
          </w:tcPr>
          <w:p w14:paraId="1FB217BE">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3.试验用房</w:t>
            </w:r>
          </w:p>
        </w:tc>
        <w:tc>
          <w:tcPr>
            <w:tcW w:w="2262" w:type="dxa"/>
            <w:vAlign w:val="top"/>
          </w:tcPr>
          <w:p w14:paraId="115B0222">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2" w:type="dxa"/>
            <w:vAlign w:val="top"/>
          </w:tcPr>
          <w:p w14:paraId="6CAD6492">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66D9140E">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r w14:paraId="30EEB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2270" w:type="dxa"/>
            <w:vAlign w:val="top"/>
          </w:tcPr>
          <w:p w14:paraId="382443B0">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4.样品用房</w:t>
            </w:r>
          </w:p>
        </w:tc>
        <w:tc>
          <w:tcPr>
            <w:tcW w:w="2262" w:type="dxa"/>
            <w:vAlign w:val="top"/>
          </w:tcPr>
          <w:p w14:paraId="3318D053">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2" w:type="dxa"/>
            <w:vAlign w:val="top"/>
          </w:tcPr>
          <w:p w14:paraId="10E12C18">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108076A5">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r w14:paraId="42A1C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2270" w:type="dxa"/>
            <w:vAlign w:val="top"/>
          </w:tcPr>
          <w:p w14:paraId="2D403101">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用餐及其他生活条件</w:t>
            </w:r>
          </w:p>
        </w:tc>
        <w:tc>
          <w:tcPr>
            <w:tcW w:w="2262" w:type="dxa"/>
            <w:vAlign w:val="top"/>
          </w:tcPr>
          <w:p w14:paraId="76ABB44C">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2" w:type="dxa"/>
            <w:vAlign w:val="top"/>
          </w:tcPr>
          <w:p w14:paraId="1821CF6B">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640756CB">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bl>
    <w:p w14:paraId="0E92A0B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sectPr>
          <w:headerReference r:id="rId16" w:type="default"/>
          <w:footerReference r:id="rId17" w:type="default"/>
          <w:pgSz w:w="11906" w:h="16840"/>
          <w:pgMar w:top="1068" w:right="1560" w:bottom="1066" w:left="1445" w:header="872" w:footer="0" w:gutter="0"/>
          <w:pgNumType w:fmt="decimal"/>
          <w:cols w:space="720" w:num="1"/>
        </w:sectPr>
      </w:pPr>
      <w:r>
        <w:rPr>
          <w:rFonts w:hint="eastAsia" w:ascii="宋体" w:hAnsi="宋体" w:eastAsia="宋体" w:cs="宋体"/>
          <w:color w:val="auto"/>
          <w:sz w:val="28"/>
          <w:szCs w:val="28"/>
        </w:rPr>
        <w:t xml:space="preserve"> </w:t>
      </w:r>
    </w:p>
    <w:p w14:paraId="7B5C2B84">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B-3 委托人提供的资料</w:t>
      </w:r>
    </w:p>
    <w:p w14:paraId="74E15EA2">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bl>
      <w:tblPr>
        <w:tblStyle w:val="107"/>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9"/>
        <w:gridCol w:w="1973"/>
        <w:gridCol w:w="2261"/>
        <w:gridCol w:w="2270"/>
      </w:tblGrid>
      <w:tr w14:paraId="5D9D3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2559" w:type="dxa"/>
            <w:vAlign w:val="top"/>
          </w:tcPr>
          <w:p w14:paraId="5C1DF8B1">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名称</w:t>
            </w:r>
          </w:p>
        </w:tc>
        <w:tc>
          <w:tcPr>
            <w:tcW w:w="1973" w:type="dxa"/>
            <w:vAlign w:val="top"/>
          </w:tcPr>
          <w:p w14:paraId="0702D2E1">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份数</w:t>
            </w:r>
          </w:p>
        </w:tc>
        <w:tc>
          <w:tcPr>
            <w:tcW w:w="2261" w:type="dxa"/>
            <w:vAlign w:val="top"/>
          </w:tcPr>
          <w:p w14:paraId="2C19EB72">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提供时间</w:t>
            </w:r>
          </w:p>
        </w:tc>
        <w:tc>
          <w:tcPr>
            <w:tcW w:w="2270" w:type="dxa"/>
            <w:vAlign w:val="top"/>
          </w:tcPr>
          <w:p w14:paraId="55B940EA">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r>
      <w:tr w14:paraId="712C5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2559" w:type="dxa"/>
            <w:vAlign w:val="top"/>
          </w:tcPr>
          <w:p w14:paraId="2CA84172">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1.工程立项文件</w:t>
            </w:r>
          </w:p>
        </w:tc>
        <w:tc>
          <w:tcPr>
            <w:tcW w:w="1973" w:type="dxa"/>
            <w:vAlign w:val="top"/>
          </w:tcPr>
          <w:p w14:paraId="3B26B86F">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1" w:type="dxa"/>
            <w:vAlign w:val="top"/>
          </w:tcPr>
          <w:p w14:paraId="50762C43">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7A473B1C">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r w14:paraId="784E5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559" w:type="dxa"/>
            <w:vAlign w:val="top"/>
          </w:tcPr>
          <w:p w14:paraId="3D2690E5">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2.工程勘察文件</w:t>
            </w:r>
          </w:p>
        </w:tc>
        <w:tc>
          <w:tcPr>
            <w:tcW w:w="1973" w:type="dxa"/>
            <w:vAlign w:val="top"/>
          </w:tcPr>
          <w:p w14:paraId="2598881B">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1" w:type="dxa"/>
            <w:vAlign w:val="top"/>
          </w:tcPr>
          <w:p w14:paraId="03459513">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6B47FA18">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r w14:paraId="7A29B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559" w:type="dxa"/>
            <w:vAlign w:val="top"/>
          </w:tcPr>
          <w:p w14:paraId="68411332">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3.工程设计及施工图纸</w:t>
            </w:r>
          </w:p>
        </w:tc>
        <w:tc>
          <w:tcPr>
            <w:tcW w:w="1973" w:type="dxa"/>
            <w:vAlign w:val="top"/>
          </w:tcPr>
          <w:p w14:paraId="11F833A1">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1" w:type="dxa"/>
            <w:vAlign w:val="top"/>
          </w:tcPr>
          <w:p w14:paraId="40EB0C7B">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35575C4A">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r w14:paraId="3C3A1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559" w:type="dxa"/>
            <w:vAlign w:val="top"/>
          </w:tcPr>
          <w:p w14:paraId="214A33DD">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4.工程承包合同及其他相 关合同</w:t>
            </w:r>
          </w:p>
        </w:tc>
        <w:tc>
          <w:tcPr>
            <w:tcW w:w="1973" w:type="dxa"/>
            <w:vAlign w:val="top"/>
          </w:tcPr>
          <w:p w14:paraId="2FFD2F42">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1" w:type="dxa"/>
            <w:vAlign w:val="top"/>
          </w:tcPr>
          <w:p w14:paraId="4F7D3FAD">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1CE8048D">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r w14:paraId="3AE28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2559" w:type="dxa"/>
            <w:vAlign w:val="top"/>
          </w:tcPr>
          <w:p w14:paraId="56964C3B">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5.施工许可文件</w:t>
            </w:r>
          </w:p>
        </w:tc>
        <w:tc>
          <w:tcPr>
            <w:tcW w:w="1973" w:type="dxa"/>
            <w:vAlign w:val="top"/>
          </w:tcPr>
          <w:p w14:paraId="64830F3E">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1" w:type="dxa"/>
            <w:vAlign w:val="top"/>
          </w:tcPr>
          <w:p w14:paraId="51E37079">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63C58D05">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r w14:paraId="493BB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559" w:type="dxa"/>
            <w:vAlign w:val="top"/>
          </w:tcPr>
          <w:p w14:paraId="0CBFCC57">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6.其他文件</w:t>
            </w:r>
          </w:p>
        </w:tc>
        <w:tc>
          <w:tcPr>
            <w:tcW w:w="1973" w:type="dxa"/>
            <w:vAlign w:val="top"/>
          </w:tcPr>
          <w:p w14:paraId="1F399F20">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1" w:type="dxa"/>
            <w:vAlign w:val="top"/>
          </w:tcPr>
          <w:p w14:paraId="5D0136ED">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1B54E4EC">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r w14:paraId="21B65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59" w:type="dxa"/>
            <w:vAlign w:val="top"/>
          </w:tcPr>
          <w:p w14:paraId="66D0D974">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1973" w:type="dxa"/>
            <w:vAlign w:val="top"/>
          </w:tcPr>
          <w:p w14:paraId="3E9D07F1">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1" w:type="dxa"/>
            <w:vAlign w:val="top"/>
          </w:tcPr>
          <w:p w14:paraId="20D6631E">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0BF27ED0">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bl>
    <w:p w14:paraId="4C6A78D1">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0DFC2FE2">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41D7D1CB">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B-4 委托人提供的设备</w:t>
      </w:r>
    </w:p>
    <w:p w14:paraId="08E2E275">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bl>
      <w:tblPr>
        <w:tblStyle w:val="10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0"/>
        <w:gridCol w:w="2262"/>
        <w:gridCol w:w="2262"/>
        <w:gridCol w:w="2270"/>
      </w:tblGrid>
      <w:tr w14:paraId="24E26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2270" w:type="dxa"/>
            <w:vAlign w:val="top"/>
          </w:tcPr>
          <w:p w14:paraId="34D1809E">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名称</w:t>
            </w:r>
          </w:p>
        </w:tc>
        <w:tc>
          <w:tcPr>
            <w:tcW w:w="2262" w:type="dxa"/>
            <w:vAlign w:val="top"/>
          </w:tcPr>
          <w:p w14:paraId="583B9275">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数量</w:t>
            </w:r>
          </w:p>
        </w:tc>
        <w:tc>
          <w:tcPr>
            <w:tcW w:w="2262" w:type="dxa"/>
            <w:vAlign w:val="top"/>
          </w:tcPr>
          <w:p w14:paraId="19FA27A5">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型号与规格</w:t>
            </w:r>
          </w:p>
        </w:tc>
        <w:tc>
          <w:tcPr>
            <w:tcW w:w="2270" w:type="dxa"/>
            <w:vAlign w:val="top"/>
          </w:tcPr>
          <w:p w14:paraId="487F86D0">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提供时间</w:t>
            </w:r>
          </w:p>
        </w:tc>
      </w:tr>
      <w:tr w14:paraId="6FB36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2270" w:type="dxa"/>
            <w:vAlign w:val="top"/>
          </w:tcPr>
          <w:p w14:paraId="67C7AD69">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1.通讯设备</w:t>
            </w:r>
          </w:p>
        </w:tc>
        <w:tc>
          <w:tcPr>
            <w:tcW w:w="2262" w:type="dxa"/>
            <w:vAlign w:val="top"/>
          </w:tcPr>
          <w:p w14:paraId="5F1331F8">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2" w:type="dxa"/>
            <w:vAlign w:val="top"/>
          </w:tcPr>
          <w:p w14:paraId="0CABD56B">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1359745F">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r w14:paraId="0C481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270" w:type="dxa"/>
            <w:vAlign w:val="top"/>
          </w:tcPr>
          <w:p w14:paraId="5379BC77">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2.办公设备</w:t>
            </w:r>
          </w:p>
        </w:tc>
        <w:tc>
          <w:tcPr>
            <w:tcW w:w="2262" w:type="dxa"/>
            <w:vAlign w:val="top"/>
          </w:tcPr>
          <w:p w14:paraId="2240A041">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2" w:type="dxa"/>
            <w:vAlign w:val="top"/>
          </w:tcPr>
          <w:p w14:paraId="5B87A332">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26F2AF01">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r w14:paraId="5F5D5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270" w:type="dxa"/>
            <w:vAlign w:val="top"/>
          </w:tcPr>
          <w:p w14:paraId="3627539C">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3.交通工具</w:t>
            </w:r>
          </w:p>
        </w:tc>
        <w:tc>
          <w:tcPr>
            <w:tcW w:w="2262" w:type="dxa"/>
            <w:vAlign w:val="top"/>
          </w:tcPr>
          <w:p w14:paraId="4C509074">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2" w:type="dxa"/>
            <w:vAlign w:val="top"/>
          </w:tcPr>
          <w:p w14:paraId="06BBFC7A">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557A97BD">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r w14:paraId="75820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270" w:type="dxa"/>
            <w:vAlign w:val="top"/>
          </w:tcPr>
          <w:p w14:paraId="1E96F9A6">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4.检测和试验设备</w:t>
            </w:r>
          </w:p>
        </w:tc>
        <w:tc>
          <w:tcPr>
            <w:tcW w:w="2262" w:type="dxa"/>
            <w:vAlign w:val="top"/>
          </w:tcPr>
          <w:p w14:paraId="44B9A283">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2" w:type="dxa"/>
            <w:vAlign w:val="top"/>
          </w:tcPr>
          <w:p w14:paraId="2F9B453F">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5EA8026C">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r w14:paraId="26514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2270" w:type="dxa"/>
            <w:vAlign w:val="top"/>
          </w:tcPr>
          <w:p w14:paraId="48EF41CA">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2" w:type="dxa"/>
            <w:vAlign w:val="top"/>
          </w:tcPr>
          <w:p w14:paraId="5ABE76B8">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62" w:type="dxa"/>
            <w:vAlign w:val="top"/>
          </w:tcPr>
          <w:p w14:paraId="5960B92C">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c>
          <w:tcPr>
            <w:tcW w:w="2270" w:type="dxa"/>
            <w:vAlign w:val="top"/>
          </w:tcPr>
          <w:p w14:paraId="600A0B14">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tc>
      </w:tr>
    </w:tbl>
    <w:p w14:paraId="357C7BE6">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3E4C7BD3">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p>
    <w:p w14:paraId="0A298D5C">
      <w:pPr>
        <w:pStyle w:val="30"/>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附加协议条款：</w:t>
      </w:r>
    </w:p>
    <w:p w14:paraId="79AAA1BE">
      <w:pPr>
        <w:pStyle w:val="30"/>
        <w:spacing w:line="360" w:lineRule="auto"/>
        <w:ind w:firstLine="560" w:firstLineChars="200"/>
        <w:rPr>
          <w:rFonts w:hint="eastAsia" w:ascii="宋体" w:hAnsi="宋体" w:eastAsia="宋体" w:cs="宋体"/>
          <w:sz w:val="32"/>
          <w:szCs w:val="32"/>
        </w:rPr>
      </w:pPr>
      <w:r>
        <w:rPr>
          <w:rFonts w:hint="eastAsia" w:ascii="宋体" w:hAnsi="宋体" w:eastAsia="宋体" w:cs="宋体"/>
          <w:color w:val="auto"/>
          <w:sz w:val="28"/>
          <w:szCs w:val="28"/>
        </w:rPr>
        <w:t>说明：除招标文件中已经约定的内容，专用条件中的其他条款有中标人与业主另行</w:t>
      </w:r>
      <w:r>
        <w:rPr>
          <w:rFonts w:hint="eastAsia" w:ascii="宋体" w:hAnsi="宋体" w:eastAsia="宋体" w:cs="宋体"/>
          <w:color w:val="auto"/>
          <w:sz w:val="28"/>
          <w:szCs w:val="28"/>
          <w:lang w:val="en-US" w:eastAsia="zh-CN"/>
        </w:rPr>
        <w:t>附</w:t>
      </w:r>
      <w:bookmarkEnd w:id="761"/>
    </w:p>
    <w:sectPr>
      <w:headerReference r:id="rId18" w:type="default"/>
      <w:footerReference r:id="rId19" w:type="default"/>
      <w:pgSz w:w="11905" w:h="16838"/>
      <w:pgMar w:top="1440" w:right="1800" w:bottom="1440" w:left="1800" w:header="851" w:footer="992" w:gutter="0"/>
      <w:pgNumType w:fmt="decimal"/>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9F15F">
    <w:pPr>
      <w:spacing w:line="182" w:lineRule="auto"/>
      <w:ind w:left="4059"/>
      <w:rPr>
        <w:rFonts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BC3A1">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5BC3A1">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CC7F4">
    <w:pPr>
      <w:pStyle w:val="2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D71BA">
                          <w:pPr>
                            <w:pStyle w:val="25"/>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B3D71BA">
                    <w:pPr>
                      <w:pStyle w:val="25"/>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8DD0">
    <w:pPr>
      <w:spacing w:line="182" w:lineRule="auto"/>
      <w:ind w:left="4059"/>
      <w:rPr>
        <w:rFonts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6EA46">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66EA46">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98431">
    <w:pPr>
      <w:spacing w:line="182" w:lineRule="auto"/>
      <w:ind w:left="4059"/>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1D8A3">
                          <w:pPr>
                            <w:pStyle w:val="2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61D8A3">
                    <w:pPr>
                      <w:pStyle w:val="2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08F49">
    <w:pPr>
      <w:spacing w:line="182" w:lineRule="auto"/>
      <w:ind w:left="4347"/>
      <w:outlineLvl w:val="1"/>
      <w:rPr>
        <w:rFonts w:ascii="宋体" w:hAnsi="宋体" w:eastAsia="宋体" w:cs="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C6E6E">
                          <w:pPr>
                            <w:pStyle w:val="2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0C6E6E">
                    <w:pPr>
                      <w:pStyle w:val="2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F8DAF">
    <w:pPr>
      <w:spacing w:line="182" w:lineRule="auto"/>
      <w:ind w:left="4151"/>
      <w:rPr>
        <w:rFonts w:ascii="宋体" w:hAnsi="宋体" w:eastAsia="宋体" w:cs="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C5046">
                          <w:pPr>
                            <w:pStyle w:val="2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2CC5046">
                    <w:pPr>
                      <w:pStyle w:val="2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D8B6">
    <w:pPr>
      <w:pStyle w:val="2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DDF0A">
                          <w:pPr>
                            <w:pStyle w:val="2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61DDF0A">
                    <w:pPr>
                      <w:pStyle w:val="25"/>
                    </w:pPr>
                    <w:r>
                      <w:fldChar w:fldCharType="begin"/>
                    </w:r>
                    <w:r>
                      <w:instrText xml:space="preserve"> PAGE  \* MERGEFORMAT </w:instrText>
                    </w:r>
                    <w:r>
                      <w:fldChar w:fldCharType="separate"/>
                    </w:r>
                    <w:r>
                      <w:t>60</w:t>
                    </w:r>
                    <w:r>
                      <w:fldChar w:fldCharType="end"/>
                    </w:r>
                  </w:p>
                </w:txbxContent>
              </v:textbox>
            </v:shape>
          </w:pict>
        </mc:Fallback>
      </mc:AlternateContent>
    </w:r>
  </w:p>
  <w:p w14:paraId="0A83615C">
    <w:pPr>
      <w:pStyle w:val="25"/>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44E2A">
    <w:pPr>
      <w:spacing w:line="179" w:lineRule="auto"/>
      <w:ind w:left="4801"/>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3FAC6">
                          <w:pPr>
                            <w:pStyle w:val="2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543FAC6">
                    <w:pPr>
                      <w:pStyle w:val="2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A6DCB">
    <w:pPr>
      <w:pStyle w:val="2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5D2B2">
                          <w:pPr>
                            <w:pStyle w:val="25"/>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D15D2B2">
                    <w:pPr>
                      <w:pStyle w:val="25"/>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B790B">
    <w:pPr>
      <w:pStyle w:val="13"/>
      <w:spacing w:line="179" w:lineRule="auto"/>
      <w:ind w:left="4358"/>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1DCE7">
                          <w:pPr>
                            <w:pStyle w:val="25"/>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2B1DCE7">
                    <w:pPr>
                      <w:pStyle w:val="25"/>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1F0D1">
    <w:pPr>
      <w:pStyle w:val="26"/>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AFC17">
    <w:pPr>
      <w:pStyle w:val="2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0E6A1">
    <w:pPr>
      <w:pStyle w:val="26"/>
      <w:pBdr>
        <w:bottom w:val="none" w:color="auto" w:sz="0" w:space="1"/>
      </w:pBdr>
      <w:jc w:val="left"/>
    </w:pPr>
    <w:r>
      <w:rPr>
        <w:rFonts w:ascii="Cambria" w:hAnsi="Cambria"/>
        <w:vanish/>
        <w:sz w:val="32"/>
        <w:szCs w:val="32"/>
        <w:highlight w:val="yellow"/>
      </w:rPr>
      <w:t>&lt;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804A9">
    <w:pPr>
      <w:pStyle w:val="2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FEFEB">
    <w:pPr>
      <w:pStyle w:val="2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CFBEF">
    <w:pPr>
      <w:tabs>
        <w:tab w:val="left" w:pos="7515"/>
      </w:tabs>
      <w:spacing w:before="15" w:line="175" w:lineRule="auto"/>
      <w:rPr>
        <w:rFonts w:ascii="宋体" w:hAnsi="宋体" w:eastAsia="宋体" w:cs="宋体"/>
        <w:sz w:val="18"/>
        <w:szCs w:val="18"/>
      </w:rPr>
    </w:pPr>
    <w:r>
      <w:rPr>
        <w:rFonts w:ascii="宋体" w:hAnsi="宋体" w:eastAsia="宋体" w:cs="宋体"/>
        <w:sz w:val="18"/>
        <w:szCs w:val="18"/>
        <w:u w:val="single" w:color="auto"/>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CAB81">
    <w:pPr>
      <w:pStyle w:val="26"/>
      <w:pBdr>
        <w:bottom w:val="none" w:color="auto" w:sz="0" w:space="1"/>
      </w:pBdr>
      <w:tabs>
        <w:tab w:val="clear" w:pos="830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B949A"/>
    <w:multiLevelType w:val="singleLevel"/>
    <w:tmpl w:val="81CB949A"/>
    <w:lvl w:ilvl="0" w:tentative="0">
      <w:start w:val="7"/>
      <w:numFmt w:val="chineseCounting"/>
      <w:suff w:val="nothing"/>
      <w:lvlText w:val="%1、"/>
      <w:lvlJc w:val="left"/>
      <w:rPr>
        <w:rFonts w:hint="eastAsia"/>
      </w:rPr>
    </w:lvl>
  </w:abstractNum>
  <w:abstractNum w:abstractNumId="1">
    <w:nsid w:val="890FEEEB"/>
    <w:multiLevelType w:val="singleLevel"/>
    <w:tmpl w:val="890FEEEB"/>
    <w:lvl w:ilvl="0" w:tentative="0">
      <w:start w:val="1"/>
      <w:numFmt w:val="decimal"/>
      <w:lvlText w:val="%1."/>
      <w:lvlJc w:val="left"/>
      <w:pPr>
        <w:tabs>
          <w:tab w:val="left" w:pos="312"/>
        </w:tabs>
      </w:pPr>
    </w:lvl>
  </w:abstractNum>
  <w:abstractNum w:abstractNumId="2">
    <w:nsid w:val="B7EBFA07"/>
    <w:multiLevelType w:val="singleLevel"/>
    <w:tmpl w:val="B7EBFA07"/>
    <w:lvl w:ilvl="0" w:tentative="0">
      <w:start w:val="7"/>
      <w:numFmt w:val="decimal"/>
      <w:suff w:val="space"/>
      <w:lvlText w:val="第%1章"/>
      <w:lvlJc w:val="left"/>
    </w:lvl>
  </w:abstractNum>
  <w:abstractNum w:abstractNumId="3">
    <w:nsid w:val="C65ECBF2"/>
    <w:multiLevelType w:val="singleLevel"/>
    <w:tmpl w:val="C65ECBF2"/>
    <w:lvl w:ilvl="0" w:tentative="0">
      <w:start w:val="1"/>
      <w:numFmt w:val="decimal"/>
      <w:lvlText w:val="(%1)"/>
      <w:lvlJc w:val="left"/>
      <w:pPr>
        <w:ind w:left="425" w:hanging="425"/>
      </w:pPr>
      <w:rPr>
        <w:rFonts w:hint="default"/>
      </w:rPr>
    </w:lvl>
  </w:abstractNum>
  <w:abstractNum w:abstractNumId="4">
    <w:nsid w:val="DD5BD6A2"/>
    <w:multiLevelType w:val="singleLevel"/>
    <w:tmpl w:val="DD5BD6A2"/>
    <w:lvl w:ilvl="0" w:tentative="0">
      <w:start w:val="17"/>
      <w:numFmt w:val="decimal"/>
      <w:suff w:val="nothing"/>
      <w:lvlText w:val="%1、"/>
      <w:lvlJc w:val="left"/>
    </w:lvl>
  </w:abstractNum>
  <w:abstractNum w:abstractNumId="5">
    <w:nsid w:val="00000001"/>
    <w:multiLevelType w:val="multilevel"/>
    <w:tmpl w:val="00000001"/>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00000003"/>
    <w:multiLevelType w:val="multilevel"/>
    <w:tmpl w:val="00000003"/>
    <w:lvl w:ilvl="0" w:tentative="0">
      <w:start w:val="1"/>
      <w:numFmt w:val="decimal"/>
      <w:lvlText w:val="%1."/>
      <w:lvlJc w:val="left"/>
      <w:pPr>
        <w:ind w:left="432"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rPr>
        <w:rFonts w:ascii="宋体" w:hAnsi="宋体" w:eastAsia="宋体"/>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7">
    <w:nsid w:val="0053208E"/>
    <w:multiLevelType w:val="multilevel"/>
    <w:tmpl w:val="0053208E"/>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8">
    <w:nsid w:val="3CB371C8"/>
    <w:multiLevelType w:val="singleLevel"/>
    <w:tmpl w:val="3CB371C8"/>
    <w:lvl w:ilvl="0" w:tentative="0">
      <w:start w:val="1"/>
      <w:numFmt w:val="decimal"/>
      <w:suff w:val="space"/>
      <w:lvlText w:val="%1."/>
      <w:lvlJc w:val="left"/>
    </w:lvl>
  </w:abstractNum>
  <w:abstractNum w:abstractNumId="9">
    <w:nsid w:val="7046BF4F"/>
    <w:multiLevelType w:val="singleLevel"/>
    <w:tmpl w:val="7046BF4F"/>
    <w:lvl w:ilvl="0" w:tentative="0">
      <w:start w:val="5"/>
      <w:numFmt w:val="decimal"/>
      <w:suff w:val="space"/>
      <w:lvlText w:val="第%1章"/>
      <w:lvlJc w:val="left"/>
    </w:lvl>
  </w:abstractNum>
  <w:num w:numId="1">
    <w:abstractNumId w:val="6"/>
  </w:num>
  <w:num w:numId="2">
    <w:abstractNumId w:val="5"/>
  </w:num>
  <w:num w:numId="3">
    <w:abstractNumId w:val="7"/>
  </w:num>
  <w:num w:numId="4">
    <w:abstractNumId w:val="3"/>
  </w:num>
  <w:num w:numId="5">
    <w:abstractNumId w:val="1"/>
  </w:num>
  <w:num w:numId="6">
    <w:abstractNumId w:val="0"/>
  </w:num>
  <w:num w:numId="7">
    <w:abstractNumId w:val="9"/>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YzIxNzNmOTMxM2UxYWI2MDYwN2NlZWI5OWE4NTUifQ=="/>
  </w:docVars>
  <w:rsids>
    <w:rsidRoot w:val="00A2385F"/>
    <w:rsid w:val="000F38AC"/>
    <w:rsid w:val="0095072D"/>
    <w:rsid w:val="00A2385F"/>
    <w:rsid w:val="019118C8"/>
    <w:rsid w:val="027658DD"/>
    <w:rsid w:val="0285782E"/>
    <w:rsid w:val="0380721E"/>
    <w:rsid w:val="038F46AF"/>
    <w:rsid w:val="03A154BC"/>
    <w:rsid w:val="03BB7203"/>
    <w:rsid w:val="04025BED"/>
    <w:rsid w:val="04CD00B0"/>
    <w:rsid w:val="056362EC"/>
    <w:rsid w:val="073A276E"/>
    <w:rsid w:val="07BB28BC"/>
    <w:rsid w:val="08A62997"/>
    <w:rsid w:val="0B451313"/>
    <w:rsid w:val="0C4C7C7F"/>
    <w:rsid w:val="0CB36C08"/>
    <w:rsid w:val="0CDA1CD4"/>
    <w:rsid w:val="0D53200A"/>
    <w:rsid w:val="0DC45CC1"/>
    <w:rsid w:val="121B68FD"/>
    <w:rsid w:val="15131A1A"/>
    <w:rsid w:val="16585A26"/>
    <w:rsid w:val="16F2592A"/>
    <w:rsid w:val="179067B7"/>
    <w:rsid w:val="1801797C"/>
    <w:rsid w:val="182F6C1F"/>
    <w:rsid w:val="1835197D"/>
    <w:rsid w:val="1A6659FF"/>
    <w:rsid w:val="1AB57B43"/>
    <w:rsid w:val="1BD9519A"/>
    <w:rsid w:val="1C23072A"/>
    <w:rsid w:val="1C5B6B61"/>
    <w:rsid w:val="1C691948"/>
    <w:rsid w:val="1D2D1D04"/>
    <w:rsid w:val="1EEE3414"/>
    <w:rsid w:val="201E3957"/>
    <w:rsid w:val="20237AED"/>
    <w:rsid w:val="207051E3"/>
    <w:rsid w:val="2133386C"/>
    <w:rsid w:val="21AE305D"/>
    <w:rsid w:val="21CD7F24"/>
    <w:rsid w:val="220A31B8"/>
    <w:rsid w:val="23C02704"/>
    <w:rsid w:val="242225F0"/>
    <w:rsid w:val="262D58A1"/>
    <w:rsid w:val="280B3606"/>
    <w:rsid w:val="28B7553A"/>
    <w:rsid w:val="28F54189"/>
    <w:rsid w:val="29B72037"/>
    <w:rsid w:val="29DF1D44"/>
    <w:rsid w:val="2A9D65E3"/>
    <w:rsid w:val="2C16001B"/>
    <w:rsid w:val="2DC931AE"/>
    <w:rsid w:val="2E0332AF"/>
    <w:rsid w:val="2E437C7A"/>
    <w:rsid w:val="2EDD71DD"/>
    <w:rsid w:val="2FB82700"/>
    <w:rsid w:val="3089013A"/>
    <w:rsid w:val="31E33B13"/>
    <w:rsid w:val="31EE13DB"/>
    <w:rsid w:val="332563FB"/>
    <w:rsid w:val="36032AAE"/>
    <w:rsid w:val="39A44E6F"/>
    <w:rsid w:val="39C06A43"/>
    <w:rsid w:val="3AF24ACF"/>
    <w:rsid w:val="3B1456DF"/>
    <w:rsid w:val="3B437D52"/>
    <w:rsid w:val="3CF338D7"/>
    <w:rsid w:val="3DB27889"/>
    <w:rsid w:val="3E232DD9"/>
    <w:rsid w:val="413B181B"/>
    <w:rsid w:val="41EE2462"/>
    <w:rsid w:val="4291742C"/>
    <w:rsid w:val="430123B1"/>
    <w:rsid w:val="43F80AB9"/>
    <w:rsid w:val="440C4CEB"/>
    <w:rsid w:val="463B1C84"/>
    <w:rsid w:val="46BF08D0"/>
    <w:rsid w:val="46E22723"/>
    <w:rsid w:val="475B2AA8"/>
    <w:rsid w:val="4946738E"/>
    <w:rsid w:val="49515627"/>
    <w:rsid w:val="4B566149"/>
    <w:rsid w:val="4C203B98"/>
    <w:rsid w:val="4CE832CA"/>
    <w:rsid w:val="4D212F41"/>
    <w:rsid w:val="4E2B5DFC"/>
    <w:rsid w:val="4F2B5DCC"/>
    <w:rsid w:val="51794F9B"/>
    <w:rsid w:val="534E4DB0"/>
    <w:rsid w:val="535D11F1"/>
    <w:rsid w:val="54C947B5"/>
    <w:rsid w:val="54EC3D45"/>
    <w:rsid w:val="558071F9"/>
    <w:rsid w:val="56420EB5"/>
    <w:rsid w:val="57A829DB"/>
    <w:rsid w:val="590E6D76"/>
    <w:rsid w:val="5936030B"/>
    <w:rsid w:val="59CA2A7A"/>
    <w:rsid w:val="5B1F6372"/>
    <w:rsid w:val="5B2E3BDA"/>
    <w:rsid w:val="5BFE7106"/>
    <w:rsid w:val="60A46C4A"/>
    <w:rsid w:val="613A73B9"/>
    <w:rsid w:val="623202AC"/>
    <w:rsid w:val="62AA56C6"/>
    <w:rsid w:val="62C12083"/>
    <w:rsid w:val="62F3173B"/>
    <w:rsid w:val="637D0ABE"/>
    <w:rsid w:val="643D4D41"/>
    <w:rsid w:val="6489776B"/>
    <w:rsid w:val="648E7C00"/>
    <w:rsid w:val="64A00151"/>
    <w:rsid w:val="65B01829"/>
    <w:rsid w:val="65E7064F"/>
    <w:rsid w:val="66AE299B"/>
    <w:rsid w:val="693D63AD"/>
    <w:rsid w:val="69782146"/>
    <w:rsid w:val="6AAB61B4"/>
    <w:rsid w:val="6DA57E98"/>
    <w:rsid w:val="6EF17CEF"/>
    <w:rsid w:val="6FBD0715"/>
    <w:rsid w:val="70B149C1"/>
    <w:rsid w:val="712C780C"/>
    <w:rsid w:val="7205372D"/>
    <w:rsid w:val="72B15162"/>
    <w:rsid w:val="735A138C"/>
    <w:rsid w:val="74A36296"/>
    <w:rsid w:val="75B91EDE"/>
    <w:rsid w:val="76B9085F"/>
    <w:rsid w:val="77927AB5"/>
    <w:rsid w:val="7969789B"/>
    <w:rsid w:val="7CAE4477"/>
    <w:rsid w:val="7D6E7A2C"/>
    <w:rsid w:val="7F68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6"/>
    <w:autoRedefine/>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83"/>
    <w:autoRedefine/>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95"/>
    <w:autoRedefine/>
    <w:unhideWhenUsed/>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semiHidden/>
    <w:unhideWhenUsed/>
    <w:qFormat/>
    <w:uiPriority w:val="9"/>
    <w:pPr>
      <w:keepNext/>
      <w:keepLines/>
      <w:numPr>
        <w:ilvl w:val="3"/>
        <w:numId w:val="1"/>
      </w:numPr>
      <w:spacing w:before="260" w:after="260"/>
      <w:ind w:firstLine="482" w:firstLineChars="200"/>
      <w:jc w:val="left"/>
      <w:outlineLvl w:val="3"/>
    </w:pPr>
    <w:rPr>
      <w:rFonts w:ascii="Arial" w:hAnsi="Arial"/>
      <w:b/>
      <w:sz w:val="18"/>
    </w:rPr>
  </w:style>
  <w:style w:type="paragraph" w:styleId="6">
    <w:name w:val="heading 5"/>
    <w:basedOn w:val="1"/>
    <w:next w:val="1"/>
    <w:qFormat/>
    <w:uiPriority w:val="1"/>
    <w:pPr>
      <w:ind w:left="220"/>
      <w:outlineLvl w:val="5"/>
    </w:pPr>
    <w:rPr>
      <w:rFonts w:ascii="微软雅黑" w:hAnsi="微软雅黑" w:eastAsia="微软雅黑" w:cs="微软雅黑"/>
      <w:b/>
      <w:bCs/>
      <w:sz w:val="24"/>
      <w:szCs w:val="24"/>
      <w:lang w:val="zh-CN" w:eastAsia="zh-CN" w:bidi="zh-CN"/>
    </w:rPr>
  </w:style>
  <w:style w:type="paragraph" w:styleId="7">
    <w:name w:val="heading 6"/>
    <w:basedOn w:val="1"/>
    <w:next w:val="1"/>
    <w:autoRedefine/>
    <w:qFormat/>
    <w:uiPriority w:val="1"/>
    <w:pPr>
      <w:spacing w:before="161"/>
      <w:ind w:left="220"/>
      <w:outlineLvl w:val="6"/>
    </w:pPr>
    <w:rPr>
      <w:rFonts w:ascii="宋体" w:hAnsi="宋体" w:eastAsia="宋体" w:cs="宋体"/>
      <w:sz w:val="24"/>
      <w:szCs w:val="24"/>
      <w:lang w:val="zh-CN" w:eastAsia="zh-CN" w:bidi="zh-CN"/>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qFormat/>
    <w:uiPriority w:val="39"/>
    <w:pPr>
      <w:ind w:left="2520" w:leftChars="1200"/>
    </w:pPr>
  </w:style>
  <w:style w:type="paragraph" w:styleId="9">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10">
    <w:name w:val="Document Map"/>
    <w:basedOn w:val="1"/>
    <w:link w:val="87"/>
    <w:autoRedefine/>
    <w:qFormat/>
    <w:uiPriority w:val="0"/>
    <w:rPr>
      <w:rFonts w:ascii="宋体"/>
      <w:sz w:val="18"/>
      <w:szCs w:val="18"/>
    </w:rPr>
  </w:style>
  <w:style w:type="paragraph" w:styleId="11">
    <w:name w:val="toa heading"/>
    <w:basedOn w:val="1"/>
    <w:next w:val="1"/>
    <w:autoRedefine/>
    <w:qFormat/>
    <w:uiPriority w:val="0"/>
    <w:pPr>
      <w:spacing w:before="120"/>
    </w:pPr>
    <w:rPr>
      <w:rFonts w:ascii="Cambria" w:hAnsi="Cambria"/>
      <w:sz w:val="24"/>
    </w:rPr>
  </w:style>
  <w:style w:type="paragraph" w:styleId="12">
    <w:name w:val="annotation text"/>
    <w:basedOn w:val="1"/>
    <w:link w:val="93"/>
    <w:autoRedefine/>
    <w:qFormat/>
    <w:uiPriority w:val="99"/>
    <w:pPr>
      <w:jc w:val="left"/>
    </w:pPr>
  </w:style>
  <w:style w:type="paragraph" w:styleId="13">
    <w:name w:val="Body Text"/>
    <w:basedOn w:val="1"/>
    <w:link w:val="92"/>
    <w:autoRedefine/>
    <w:qFormat/>
    <w:uiPriority w:val="0"/>
    <w:pPr>
      <w:tabs>
        <w:tab w:val="left" w:pos="567"/>
      </w:tabs>
      <w:spacing w:before="120" w:line="22" w:lineRule="atLeast"/>
    </w:pPr>
    <w:rPr>
      <w:rFonts w:ascii="宋体" w:hAnsi="宋体"/>
      <w:sz w:val="24"/>
    </w:rPr>
  </w:style>
  <w:style w:type="paragraph" w:styleId="14">
    <w:name w:val="Body Text Indent"/>
    <w:basedOn w:val="1"/>
    <w:next w:val="15"/>
    <w:autoRedefine/>
    <w:qFormat/>
    <w:uiPriority w:val="0"/>
    <w:pPr>
      <w:spacing w:line="360" w:lineRule="auto"/>
      <w:ind w:firstLine="570"/>
    </w:pPr>
    <w:rPr>
      <w:sz w:val="24"/>
    </w:rPr>
  </w:style>
  <w:style w:type="paragraph" w:styleId="15">
    <w:name w:val="Body Text First Indent 2"/>
    <w:basedOn w:val="14"/>
    <w:next w:val="9"/>
    <w:autoRedefine/>
    <w:qFormat/>
    <w:uiPriority w:val="0"/>
    <w:pPr>
      <w:ind w:firstLine="420" w:firstLineChars="200"/>
    </w:pPr>
  </w:style>
  <w:style w:type="paragraph" w:styleId="16">
    <w:name w:val="Block Text"/>
    <w:basedOn w:val="1"/>
    <w:autoRedefine/>
    <w:qFormat/>
    <w:uiPriority w:val="99"/>
    <w:pPr>
      <w:spacing w:after="120"/>
      <w:ind w:left="1440" w:leftChars="700" w:right="1440" w:rightChars="700"/>
    </w:pPr>
  </w:style>
  <w:style w:type="paragraph" w:styleId="17">
    <w:name w:val="toc 5"/>
    <w:basedOn w:val="1"/>
    <w:next w:val="1"/>
    <w:autoRedefine/>
    <w:qFormat/>
    <w:uiPriority w:val="39"/>
    <w:pPr>
      <w:ind w:left="1680" w:leftChars="800"/>
    </w:pPr>
  </w:style>
  <w:style w:type="paragraph" w:styleId="18">
    <w:name w:val="toc 3"/>
    <w:basedOn w:val="1"/>
    <w:next w:val="1"/>
    <w:autoRedefine/>
    <w:qFormat/>
    <w:uiPriority w:val="39"/>
    <w:pPr>
      <w:tabs>
        <w:tab w:val="left" w:pos="1260"/>
        <w:tab w:val="right" w:leader="dot" w:pos="8630"/>
      </w:tabs>
      <w:ind w:left="840" w:leftChars="400"/>
    </w:pPr>
  </w:style>
  <w:style w:type="paragraph" w:styleId="19">
    <w:name w:val="Plain Text"/>
    <w:basedOn w:val="1"/>
    <w:next w:val="20"/>
    <w:link w:val="91"/>
    <w:autoRedefine/>
    <w:qFormat/>
    <w:uiPriority w:val="0"/>
    <w:rPr>
      <w:rFonts w:ascii="宋体" w:hAnsi="Courier New"/>
      <w:szCs w:val="20"/>
    </w:rPr>
  </w:style>
  <w:style w:type="paragraph" w:styleId="20">
    <w:name w:val="index 7"/>
    <w:basedOn w:val="1"/>
    <w:next w:val="1"/>
    <w:autoRedefine/>
    <w:qFormat/>
    <w:uiPriority w:val="0"/>
    <w:pPr>
      <w:autoSpaceDE/>
      <w:autoSpaceDN/>
      <w:adjustRightInd/>
      <w:ind w:left="1200" w:leftChars="1200"/>
    </w:pPr>
    <w:rPr>
      <w:color w:val="auto"/>
      <w:kern w:val="2"/>
      <w:szCs w:val="24"/>
    </w:rPr>
  </w:style>
  <w:style w:type="paragraph" w:styleId="21">
    <w:name w:val="toc 8"/>
    <w:basedOn w:val="1"/>
    <w:next w:val="1"/>
    <w:autoRedefine/>
    <w:qFormat/>
    <w:uiPriority w:val="39"/>
    <w:pPr>
      <w:ind w:left="2940" w:leftChars="1400"/>
    </w:pPr>
  </w:style>
  <w:style w:type="paragraph" w:styleId="22">
    <w:name w:val="Date"/>
    <w:basedOn w:val="1"/>
    <w:next w:val="1"/>
    <w:link w:val="88"/>
    <w:autoRedefine/>
    <w:qFormat/>
    <w:uiPriority w:val="0"/>
    <w:pPr>
      <w:ind w:left="100" w:leftChars="2500"/>
    </w:pPr>
    <w:rPr>
      <w:rFonts w:ascii="仿宋_GB2312" w:hAnsi="宋体" w:eastAsia="仿宋_GB2312"/>
      <w:color w:val="000000"/>
      <w:sz w:val="24"/>
    </w:rPr>
  </w:style>
  <w:style w:type="paragraph" w:styleId="23">
    <w:name w:val="Body Text Indent 2"/>
    <w:basedOn w:val="1"/>
    <w:autoRedefine/>
    <w:qFormat/>
    <w:uiPriority w:val="0"/>
    <w:pPr>
      <w:ind w:firstLine="480" w:firstLineChars="200"/>
    </w:pPr>
    <w:rPr>
      <w:rFonts w:ascii="仿宋_GB2312" w:eastAsia="仿宋_GB2312"/>
      <w:sz w:val="24"/>
    </w:rPr>
  </w:style>
  <w:style w:type="paragraph" w:styleId="24">
    <w:name w:val="Balloon Text"/>
    <w:basedOn w:val="1"/>
    <w:link w:val="84"/>
    <w:autoRedefine/>
    <w:qFormat/>
    <w:uiPriority w:val="0"/>
    <w:rPr>
      <w:sz w:val="18"/>
      <w:szCs w:val="18"/>
    </w:rPr>
  </w:style>
  <w:style w:type="paragraph" w:styleId="25">
    <w:name w:val="footer"/>
    <w:basedOn w:val="1"/>
    <w:link w:val="8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6">
    <w:name w:val="header"/>
    <w:basedOn w:val="1"/>
    <w:link w:val="78"/>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style>
  <w:style w:type="paragraph" w:styleId="28">
    <w:name w:val="toc 4"/>
    <w:basedOn w:val="1"/>
    <w:next w:val="1"/>
    <w:autoRedefine/>
    <w:qFormat/>
    <w:uiPriority w:val="39"/>
    <w:pPr>
      <w:ind w:left="1260" w:leftChars="600"/>
    </w:pPr>
  </w:style>
  <w:style w:type="paragraph" w:styleId="29">
    <w:name w:val="List"/>
    <w:basedOn w:val="1"/>
    <w:qFormat/>
    <w:uiPriority w:val="0"/>
    <w:pPr>
      <w:ind w:left="200" w:hanging="200" w:hangingChars="200"/>
      <w:jc w:val="both"/>
      <w:textAlignment w:val="baseline"/>
    </w:pPr>
    <w:rPr>
      <w:rFonts w:ascii="Times New Roman" w:hAnsi="Times New Roman"/>
      <w:kern w:val="2"/>
      <w:sz w:val="21"/>
      <w:szCs w:val="20"/>
      <w:lang w:val="en-US" w:eastAsia="zh-CN" w:bidi="ar-SA"/>
    </w:rPr>
  </w:style>
  <w:style w:type="paragraph" w:styleId="30">
    <w:name w:val="footnote text"/>
    <w:basedOn w:val="1"/>
    <w:autoRedefine/>
    <w:qFormat/>
    <w:uiPriority w:val="0"/>
    <w:pPr>
      <w:snapToGrid w:val="0"/>
      <w:jc w:val="left"/>
    </w:pPr>
    <w:rPr>
      <w:sz w:val="18"/>
    </w:rPr>
  </w:style>
  <w:style w:type="paragraph" w:styleId="31">
    <w:name w:val="toc 6"/>
    <w:basedOn w:val="1"/>
    <w:next w:val="1"/>
    <w:autoRedefine/>
    <w:qFormat/>
    <w:uiPriority w:val="39"/>
    <w:pPr>
      <w:ind w:left="2100" w:leftChars="1000"/>
    </w:pPr>
  </w:style>
  <w:style w:type="paragraph" w:styleId="32">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3">
    <w:name w:val="toc 2"/>
    <w:basedOn w:val="1"/>
    <w:next w:val="1"/>
    <w:autoRedefine/>
    <w:qFormat/>
    <w:uiPriority w:val="39"/>
    <w:pPr>
      <w:ind w:left="420" w:leftChars="200"/>
    </w:pPr>
  </w:style>
  <w:style w:type="paragraph" w:styleId="34">
    <w:name w:val="toc 9"/>
    <w:basedOn w:val="1"/>
    <w:next w:val="1"/>
    <w:autoRedefine/>
    <w:qFormat/>
    <w:uiPriority w:val="39"/>
    <w:pPr>
      <w:ind w:left="3360" w:leftChars="1600"/>
    </w:pPr>
  </w:style>
  <w:style w:type="paragraph" w:styleId="35">
    <w:name w:val="Normal (Web)"/>
    <w:basedOn w:val="1"/>
    <w:next w:val="36"/>
    <w:autoRedefine/>
    <w:qFormat/>
    <w:uiPriority w:val="99"/>
    <w:pPr>
      <w:spacing w:before="75" w:after="75"/>
      <w:jc w:val="left"/>
    </w:pPr>
    <w:rPr>
      <w:kern w:val="0"/>
      <w:sz w:val="24"/>
    </w:rPr>
  </w:style>
  <w:style w:type="paragraph" w:customStyle="1" w:styleId="36">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37">
    <w:name w:val="index 1"/>
    <w:basedOn w:val="1"/>
    <w:next w:val="1"/>
    <w:autoRedefine/>
    <w:qFormat/>
    <w:uiPriority w:val="0"/>
    <w:rPr>
      <w:szCs w:val="20"/>
    </w:rPr>
  </w:style>
  <w:style w:type="paragraph" w:styleId="38">
    <w:name w:val="annotation subject"/>
    <w:basedOn w:val="12"/>
    <w:next w:val="12"/>
    <w:link w:val="94"/>
    <w:autoRedefine/>
    <w:qFormat/>
    <w:uiPriority w:val="0"/>
    <w:rPr>
      <w:b/>
      <w:bCs/>
    </w:rPr>
  </w:style>
  <w:style w:type="paragraph" w:styleId="39">
    <w:name w:val="Body Text First Indent"/>
    <w:basedOn w:val="13"/>
    <w:next w:val="15"/>
    <w:autoRedefine/>
    <w:qFormat/>
    <w:uiPriority w:val="0"/>
    <w:pPr>
      <w:ind w:firstLine="420" w:firstLineChars="100"/>
    </w:p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basedOn w:val="42"/>
    <w:semiHidden/>
    <w:unhideWhenUsed/>
    <w:qFormat/>
    <w:uiPriority w:val="99"/>
    <w:rPr>
      <w:color w:val="800080"/>
      <w:u w:val="none"/>
    </w:rPr>
  </w:style>
  <w:style w:type="character" w:styleId="46">
    <w:name w:val="Emphasis"/>
    <w:basedOn w:val="42"/>
    <w:qFormat/>
    <w:uiPriority w:val="20"/>
  </w:style>
  <w:style w:type="character" w:styleId="47">
    <w:name w:val="HTML Definition"/>
    <w:basedOn w:val="42"/>
    <w:semiHidden/>
    <w:unhideWhenUsed/>
    <w:qFormat/>
    <w:uiPriority w:val="99"/>
  </w:style>
  <w:style w:type="character" w:styleId="48">
    <w:name w:val="HTML Typewriter"/>
    <w:basedOn w:val="42"/>
    <w:semiHidden/>
    <w:unhideWhenUsed/>
    <w:qFormat/>
    <w:uiPriority w:val="99"/>
    <w:rPr>
      <w:rFonts w:hint="default" w:ascii="monospace" w:hAnsi="monospace" w:eastAsia="monospace" w:cs="monospace"/>
      <w:sz w:val="20"/>
    </w:rPr>
  </w:style>
  <w:style w:type="character" w:styleId="49">
    <w:name w:val="HTML Acronym"/>
    <w:basedOn w:val="42"/>
    <w:semiHidden/>
    <w:unhideWhenUsed/>
    <w:qFormat/>
    <w:uiPriority w:val="99"/>
  </w:style>
  <w:style w:type="character" w:styleId="50">
    <w:name w:val="HTML Variable"/>
    <w:basedOn w:val="42"/>
    <w:semiHidden/>
    <w:unhideWhenUsed/>
    <w:qFormat/>
    <w:uiPriority w:val="99"/>
  </w:style>
  <w:style w:type="character" w:styleId="51">
    <w:name w:val="Hyperlink"/>
    <w:autoRedefine/>
    <w:qFormat/>
    <w:uiPriority w:val="99"/>
    <w:rPr>
      <w:color w:val="0000FF"/>
      <w:u w:val="single"/>
    </w:rPr>
  </w:style>
  <w:style w:type="character" w:styleId="52">
    <w:name w:val="HTML Code"/>
    <w:basedOn w:val="42"/>
    <w:semiHidden/>
    <w:unhideWhenUsed/>
    <w:qFormat/>
    <w:uiPriority w:val="99"/>
    <w:rPr>
      <w:rFonts w:hint="default" w:ascii="monospace" w:hAnsi="monospace" w:eastAsia="monospace" w:cs="monospace"/>
      <w:sz w:val="20"/>
    </w:rPr>
  </w:style>
  <w:style w:type="character" w:styleId="53">
    <w:name w:val="annotation reference"/>
    <w:autoRedefine/>
    <w:qFormat/>
    <w:uiPriority w:val="99"/>
    <w:rPr>
      <w:sz w:val="21"/>
      <w:szCs w:val="21"/>
    </w:rPr>
  </w:style>
  <w:style w:type="character" w:styleId="54">
    <w:name w:val="HTML Cite"/>
    <w:basedOn w:val="42"/>
    <w:semiHidden/>
    <w:unhideWhenUsed/>
    <w:qFormat/>
    <w:uiPriority w:val="99"/>
  </w:style>
  <w:style w:type="character" w:styleId="55">
    <w:name w:val="HTML Keyboard"/>
    <w:basedOn w:val="42"/>
    <w:semiHidden/>
    <w:unhideWhenUsed/>
    <w:qFormat/>
    <w:uiPriority w:val="99"/>
    <w:rPr>
      <w:rFonts w:ascii="monospace" w:hAnsi="monospace" w:eastAsia="monospace" w:cs="monospace"/>
      <w:sz w:val="20"/>
    </w:rPr>
  </w:style>
  <w:style w:type="character" w:styleId="56">
    <w:name w:val="HTML Sample"/>
    <w:basedOn w:val="42"/>
    <w:semiHidden/>
    <w:unhideWhenUsed/>
    <w:qFormat/>
    <w:uiPriority w:val="99"/>
    <w:rPr>
      <w:rFonts w:hint="default" w:ascii="monospace" w:hAnsi="monospace" w:eastAsia="monospace" w:cs="monospace"/>
    </w:rPr>
  </w:style>
  <w:style w:type="paragraph" w:customStyle="1" w:styleId="57">
    <w:name w:val="Char Char Char Char Char Char Char Char Char Char Char Char Char"/>
    <w:basedOn w:val="10"/>
    <w:autoRedefine/>
    <w:qFormat/>
    <w:uiPriority w:val="0"/>
    <w:rPr>
      <w:rFonts w:ascii="Tahoma" w:hAnsi="Tahoma"/>
      <w:sz w:val="24"/>
    </w:rPr>
  </w:style>
  <w:style w:type="paragraph" w:customStyle="1" w:styleId="58">
    <w:name w:val="_Style 2"/>
    <w:basedOn w:val="1"/>
    <w:next w:val="1"/>
    <w:autoRedefine/>
    <w:qFormat/>
    <w:uiPriority w:val="0"/>
    <w:pPr>
      <w:ind w:firstLine="200" w:firstLineChars="200"/>
    </w:pPr>
    <w:rPr>
      <w:rFonts w:ascii="Calibri" w:hAnsi="Calibri"/>
      <w:sz w:val="28"/>
      <w:szCs w:val="22"/>
    </w:rPr>
  </w:style>
  <w:style w:type="paragraph" w:customStyle="1" w:styleId="59">
    <w:name w:val="索引 11"/>
    <w:basedOn w:val="1"/>
    <w:next w:val="1"/>
    <w:autoRedefine/>
    <w:qFormat/>
    <w:uiPriority w:val="0"/>
    <w:pPr>
      <w:spacing w:line="360" w:lineRule="auto"/>
    </w:pPr>
    <w:rPr>
      <w:rFonts w:ascii="仿宋_GB2312" w:eastAsia="仿宋_GB2312"/>
      <w:sz w:val="24"/>
      <w:szCs w:val="20"/>
    </w:rPr>
  </w:style>
  <w:style w:type="paragraph" w:customStyle="1" w:styleId="60">
    <w:name w:val="列出段落1"/>
    <w:basedOn w:val="1"/>
    <w:autoRedefine/>
    <w:qFormat/>
    <w:uiPriority w:val="34"/>
    <w:pPr>
      <w:widowControl/>
      <w:ind w:firstLine="420" w:firstLineChars="200"/>
      <w:jc w:val="left"/>
    </w:pPr>
    <w:rPr>
      <w:kern w:val="0"/>
      <w:sz w:val="24"/>
    </w:rPr>
  </w:style>
  <w:style w:type="paragraph" w:customStyle="1" w:styleId="61">
    <w:name w:val="列出段落11"/>
    <w:basedOn w:val="1"/>
    <w:next w:val="60"/>
    <w:autoRedefine/>
    <w:qFormat/>
    <w:uiPriority w:val="34"/>
    <w:pPr>
      <w:widowControl/>
      <w:ind w:firstLine="420" w:firstLineChars="200"/>
      <w:jc w:val="left"/>
    </w:pPr>
    <w:rPr>
      <w:rFonts w:ascii="宋体" w:hAnsi="宋体" w:cs="宋体"/>
      <w:kern w:val="0"/>
      <w:sz w:val="24"/>
    </w:rPr>
  </w:style>
  <w:style w:type="paragraph" w:customStyle="1" w:styleId="62">
    <w:name w:val="List Paragraph1"/>
    <w:basedOn w:val="1"/>
    <w:autoRedefine/>
    <w:qFormat/>
    <w:uiPriority w:val="34"/>
    <w:pPr>
      <w:ind w:firstLine="420" w:firstLineChars="200"/>
    </w:pPr>
  </w:style>
  <w:style w:type="paragraph" w:customStyle="1" w:styleId="63">
    <w:name w:val="Table Paragraph"/>
    <w:basedOn w:val="1"/>
    <w:autoRedefine/>
    <w:qFormat/>
    <w:uiPriority w:val="1"/>
    <w:pPr>
      <w:widowControl/>
      <w:jc w:val="left"/>
    </w:pPr>
    <w:rPr>
      <w:rFonts w:ascii="宋体" w:hAnsi="宋体" w:cs="宋体"/>
      <w:kern w:val="0"/>
      <w:szCs w:val="20"/>
      <w:lang w:val="zh-CN" w:bidi="zh-CN"/>
    </w:rPr>
  </w:style>
  <w:style w:type="paragraph" w:customStyle="1" w:styleId="64">
    <w:name w:val="p0"/>
    <w:basedOn w:val="1"/>
    <w:autoRedefine/>
    <w:qFormat/>
    <w:uiPriority w:val="0"/>
    <w:pPr>
      <w:widowControl/>
    </w:pPr>
    <w:rPr>
      <w:kern w:val="0"/>
      <w:szCs w:val="21"/>
    </w:rPr>
  </w:style>
  <w:style w:type="paragraph" w:customStyle="1" w:styleId="65">
    <w:name w:val="图例"/>
    <w:basedOn w:val="1"/>
    <w:autoRedefine/>
    <w:qFormat/>
    <w:uiPriority w:val="0"/>
    <w:pPr>
      <w:spacing w:before="120" w:after="120" w:line="360" w:lineRule="auto"/>
      <w:jc w:val="center"/>
    </w:pPr>
    <w:rPr>
      <w:rFonts w:eastAsia="仿宋_GB2312"/>
      <w:b/>
      <w:sz w:val="24"/>
    </w:rPr>
  </w:style>
  <w:style w:type="paragraph" w:customStyle="1" w:styleId="66">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67">
    <w:name w:val="正文段"/>
    <w:basedOn w:val="1"/>
    <w:autoRedefine/>
    <w:qFormat/>
    <w:uiPriority w:val="0"/>
    <w:pPr>
      <w:widowControl/>
      <w:snapToGrid w:val="0"/>
      <w:spacing w:afterLines="50"/>
      <w:ind w:firstLine="200" w:firstLineChars="200"/>
    </w:pPr>
    <w:rPr>
      <w:kern w:val="0"/>
      <w:sz w:val="24"/>
    </w:rPr>
  </w:style>
  <w:style w:type="paragraph" w:customStyle="1" w:styleId="68">
    <w:name w:val="首行缩进"/>
    <w:basedOn w:val="1"/>
    <w:autoRedefine/>
    <w:qFormat/>
    <w:uiPriority w:val="0"/>
    <w:pPr>
      <w:ind w:firstLine="480" w:firstLineChars="200"/>
    </w:pPr>
    <w:rPr>
      <w:lang w:val="zh-CN"/>
    </w:rPr>
  </w:style>
  <w:style w:type="paragraph" w:customStyle="1" w:styleId="69">
    <w:name w:val="纯文本1"/>
    <w:basedOn w:val="1"/>
    <w:link w:val="85"/>
    <w:autoRedefine/>
    <w:qFormat/>
    <w:uiPriority w:val="0"/>
    <w:rPr>
      <w:rFonts w:ascii="宋体" w:hAnsi="Courier New"/>
      <w:kern w:val="0"/>
      <w:sz w:val="20"/>
      <w:szCs w:val="20"/>
    </w:rPr>
  </w:style>
  <w:style w:type="paragraph" w:customStyle="1" w:styleId="70">
    <w:name w:val="Char"/>
    <w:basedOn w:val="1"/>
    <w:autoRedefine/>
    <w:qFormat/>
    <w:uiPriority w:val="0"/>
    <w:pPr>
      <w:tabs>
        <w:tab w:val="left" w:pos="360"/>
      </w:tabs>
    </w:pPr>
    <w:rPr>
      <w:sz w:val="24"/>
    </w:rPr>
  </w:style>
  <w:style w:type="paragraph" w:customStyle="1" w:styleId="71">
    <w:name w:val="正文缩进1"/>
    <w:basedOn w:val="1"/>
    <w:link w:val="74"/>
    <w:autoRedefine/>
    <w:qFormat/>
    <w:uiPriority w:val="0"/>
    <w:pPr>
      <w:autoSpaceDE w:val="0"/>
      <w:autoSpaceDN w:val="0"/>
      <w:adjustRightInd w:val="0"/>
      <w:ind w:firstLine="420"/>
      <w:jc w:val="left"/>
    </w:pPr>
    <w:rPr>
      <w:rFonts w:ascii="宋体"/>
      <w:kern w:val="0"/>
      <w:sz w:val="24"/>
      <w:szCs w:val="20"/>
    </w:rPr>
  </w:style>
  <w:style w:type="paragraph" w:customStyle="1" w:styleId="72">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character" w:customStyle="1" w:styleId="73">
    <w:name w:val="font91"/>
    <w:basedOn w:val="42"/>
    <w:autoRedefine/>
    <w:qFormat/>
    <w:uiPriority w:val="0"/>
    <w:rPr>
      <w:rFonts w:hint="eastAsia" w:ascii="宋体" w:hAnsi="宋体" w:eastAsia="宋体" w:cs="宋体"/>
      <w:color w:val="000000"/>
      <w:sz w:val="20"/>
      <w:szCs w:val="20"/>
      <w:u w:val="none"/>
      <w:vertAlign w:val="subscript"/>
    </w:rPr>
  </w:style>
  <w:style w:type="character" w:customStyle="1" w:styleId="74">
    <w:name w:val="正文缩进 Char1"/>
    <w:link w:val="71"/>
    <w:autoRedefine/>
    <w:qFormat/>
    <w:uiPriority w:val="0"/>
    <w:rPr>
      <w:rFonts w:ascii="宋体"/>
      <w:sz w:val="24"/>
    </w:rPr>
  </w:style>
  <w:style w:type="character" w:customStyle="1" w:styleId="75">
    <w:name w:val="批注主题 Char1"/>
    <w:autoRedefine/>
    <w:qFormat/>
    <w:uiPriority w:val="99"/>
    <w:rPr>
      <w:b/>
      <w:bCs/>
      <w:kern w:val="2"/>
      <w:sz w:val="21"/>
      <w:szCs w:val="24"/>
    </w:rPr>
  </w:style>
  <w:style w:type="character" w:customStyle="1" w:styleId="76">
    <w:name w:val="font31"/>
    <w:basedOn w:val="42"/>
    <w:autoRedefine/>
    <w:qFormat/>
    <w:uiPriority w:val="0"/>
    <w:rPr>
      <w:rFonts w:hint="eastAsia" w:ascii="宋体" w:hAnsi="宋体" w:eastAsia="宋体" w:cs="宋体"/>
      <w:color w:val="404040"/>
      <w:sz w:val="20"/>
      <w:szCs w:val="20"/>
      <w:u w:val="none"/>
    </w:rPr>
  </w:style>
  <w:style w:type="character" w:customStyle="1" w:styleId="77">
    <w:name w:val="font61"/>
    <w:basedOn w:val="42"/>
    <w:autoRedefine/>
    <w:qFormat/>
    <w:uiPriority w:val="0"/>
    <w:rPr>
      <w:rFonts w:hint="eastAsia" w:ascii="宋体" w:hAnsi="宋体" w:eastAsia="宋体" w:cs="宋体"/>
      <w:color w:val="333333"/>
      <w:sz w:val="20"/>
      <w:szCs w:val="20"/>
      <w:u w:val="none"/>
    </w:rPr>
  </w:style>
  <w:style w:type="character" w:customStyle="1" w:styleId="78">
    <w:name w:val="页眉 字符"/>
    <w:link w:val="26"/>
    <w:autoRedefine/>
    <w:qFormat/>
    <w:uiPriority w:val="99"/>
    <w:rPr>
      <w:kern w:val="2"/>
      <w:sz w:val="18"/>
      <w:szCs w:val="18"/>
    </w:rPr>
  </w:style>
  <w:style w:type="character" w:customStyle="1" w:styleId="79">
    <w:name w:val="批注文字 Char1"/>
    <w:autoRedefine/>
    <w:qFormat/>
    <w:uiPriority w:val="99"/>
    <w:rPr>
      <w:kern w:val="2"/>
      <w:sz w:val="21"/>
      <w:szCs w:val="24"/>
    </w:rPr>
  </w:style>
  <w:style w:type="character" w:customStyle="1" w:styleId="80">
    <w:name w:val="font41"/>
    <w:basedOn w:val="42"/>
    <w:autoRedefine/>
    <w:qFormat/>
    <w:uiPriority w:val="0"/>
    <w:rPr>
      <w:rFonts w:hint="eastAsia" w:ascii="宋体" w:hAnsi="宋体" w:eastAsia="宋体" w:cs="宋体"/>
      <w:color w:val="000000"/>
      <w:sz w:val="20"/>
      <w:szCs w:val="20"/>
      <w:u w:val="none"/>
    </w:rPr>
  </w:style>
  <w:style w:type="character" w:customStyle="1" w:styleId="81">
    <w:name w:val="页脚 字符"/>
    <w:link w:val="25"/>
    <w:autoRedefine/>
    <w:qFormat/>
    <w:uiPriority w:val="99"/>
    <w:rPr>
      <w:rFonts w:ascii="宋体"/>
      <w:sz w:val="18"/>
    </w:rPr>
  </w:style>
  <w:style w:type="character" w:customStyle="1" w:styleId="82">
    <w:name w:val="font101"/>
    <w:basedOn w:val="42"/>
    <w:autoRedefine/>
    <w:qFormat/>
    <w:uiPriority w:val="0"/>
    <w:rPr>
      <w:rFonts w:hint="eastAsia" w:ascii="宋体" w:hAnsi="宋体" w:eastAsia="宋体" w:cs="宋体"/>
      <w:color w:val="000000"/>
      <w:sz w:val="20"/>
      <w:szCs w:val="20"/>
      <w:u w:val="none"/>
    </w:rPr>
  </w:style>
  <w:style w:type="character" w:customStyle="1" w:styleId="83">
    <w:name w:val="标题 2 字符"/>
    <w:link w:val="3"/>
    <w:autoRedefine/>
    <w:qFormat/>
    <w:uiPriority w:val="0"/>
    <w:rPr>
      <w:rFonts w:ascii="Arial" w:hAnsi="Arial" w:eastAsia="黑体"/>
      <w:b/>
      <w:sz w:val="30"/>
    </w:rPr>
  </w:style>
  <w:style w:type="character" w:customStyle="1" w:styleId="84">
    <w:name w:val="批注框文本 字符"/>
    <w:link w:val="24"/>
    <w:autoRedefine/>
    <w:qFormat/>
    <w:uiPriority w:val="0"/>
    <w:rPr>
      <w:kern w:val="2"/>
      <w:sz w:val="18"/>
      <w:szCs w:val="18"/>
    </w:rPr>
  </w:style>
  <w:style w:type="character" w:customStyle="1" w:styleId="85">
    <w:name w:val="纯文本 Char1"/>
    <w:link w:val="69"/>
    <w:autoRedefine/>
    <w:qFormat/>
    <w:uiPriority w:val="0"/>
    <w:rPr>
      <w:rFonts w:ascii="宋体" w:hAnsi="Courier New"/>
    </w:rPr>
  </w:style>
  <w:style w:type="character" w:customStyle="1" w:styleId="86">
    <w:name w:val="font81"/>
    <w:basedOn w:val="42"/>
    <w:autoRedefine/>
    <w:qFormat/>
    <w:uiPriority w:val="0"/>
    <w:rPr>
      <w:rFonts w:hint="eastAsia" w:ascii="宋体" w:hAnsi="宋体" w:eastAsia="宋体" w:cs="宋体"/>
      <w:color w:val="404040"/>
      <w:sz w:val="20"/>
      <w:szCs w:val="20"/>
      <w:u w:val="none"/>
    </w:rPr>
  </w:style>
  <w:style w:type="character" w:customStyle="1" w:styleId="87">
    <w:name w:val="文档结构图 字符"/>
    <w:basedOn w:val="42"/>
    <w:link w:val="10"/>
    <w:autoRedefine/>
    <w:qFormat/>
    <w:uiPriority w:val="0"/>
    <w:rPr>
      <w:rFonts w:ascii="宋体"/>
      <w:kern w:val="2"/>
      <w:sz w:val="18"/>
      <w:szCs w:val="18"/>
    </w:rPr>
  </w:style>
  <w:style w:type="character" w:customStyle="1" w:styleId="88">
    <w:name w:val="日期 字符"/>
    <w:link w:val="22"/>
    <w:autoRedefine/>
    <w:qFormat/>
    <w:uiPriority w:val="0"/>
    <w:rPr>
      <w:rFonts w:ascii="仿宋_GB2312" w:hAnsi="宋体" w:eastAsia="仿宋_GB2312"/>
      <w:color w:val="000000"/>
      <w:kern w:val="2"/>
      <w:sz w:val="24"/>
      <w:szCs w:val="24"/>
    </w:rPr>
  </w:style>
  <w:style w:type="character" w:customStyle="1" w:styleId="89">
    <w:name w:val="页眉 Char1"/>
    <w:autoRedefine/>
    <w:qFormat/>
    <w:uiPriority w:val="99"/>
    <w:rPr>
      <w:kern w:val="2"/>
      <w:sz w:val="18"/>
      <w:szCs w:val="18"/>
    </w:rPr>
  </w:style>
  <w:style w:type="character" w:customStyle="1" w:styleId="90">
    <w:name w:val="批注框文本 Char1"/>
    <w:autoRedefine/>
    <w:qFormat/>
    <w:uiPriority w:val="99"/>
    <w:rPr>
      <w:kern w:val="2"/>
      <w:sz w:val="18"/>
      <w:szCs w:val="18"/>
    </w:rPr>
  </w:style>
  <w:style w:type="character" w:customStyle="1" w:styleId="91">
    <w:name w:val="纯文本 字符"/>
    <w:link w:val="19"/>
    <w:autoRedefine/>
    <w:qFormat/>
    <w:uiPriority w:val="0"/>
    <w:rPr>
      <w:rFonts w:ascii="宋体" w:hAnsi="Courier New"/>
      <w:kern w:val="2"/>
      <w:sz w:val="21"/>
    </w:rPr>
  </w:style>
  <w:style w:type="character" w:customStyle="1" w:styleId="92">
    <w:name w:val="正文文本 字符"/>
    <w:link w:val="13"/>
    <w:autoRedefine/>
    <w:qFormat/>
    <w:uiPriority w:val="0"/>
    <w:rPr>
      <w:rFonts w:ascii="宋体" w:hAnsi="宋体"/>
      <w:kern w:val="2"/>
      <w:sz w:val="24"/>
      <w:szCs w:val="24"/>
    </w:rPr>
  </w:style>
  <w:style w:type="character" w:customStyle="1" w:styleId="93">
    <w:name w:val="批注文字 字符"/>
    <w:link w:val="12"/>
    <w:autoRedefine/>
    <w:qFormat/>
    <w:uiPriority w:val="99"/>
    <w:rPr>
      <w:kern w:val="2"/>
      <w:sz w:val="21"/>
      <w:szCs w:val="24"/>
    </w:rPr>
  </w:style>
  <w:style w:type="character" w:customStyle="1" w:styleId="94">
    <w:name w:val="批注主题 字符"/>
    <w:link w:val="38"/>
    <w:autoRedefine/>
    <w:qFormat/>
    <w:uiPriority w:val="0"/>
    <w:rPr>
      <w:b/>
      <w:bCs/>
      <w:kern w:val="2"/>
      <w:sz w:val="21"/>
      <w:szCs w:val="24"/>
    </w:rPr>
  </w:style>
  <w:style w:type="character" w:customStyle="1" w:styleId="95">
    <w:name w:val="标题 3 字符"/>
    <w:link w:val="4"/>
    <w:autoRedefine/>
    <w:qFormat/>
    <w:uiPriority w:val="0"/>
    <w:rPr>
      <w:rFonts w:ascii="宋体"/>
      <w:b/>
      <w:sz w:val="24"/>
      <w:u w:val="single"/>
    </w:rPr>
  </w:style>
  <w:style w:type="character" w:customStyle="1" w:styleId="96">
    <w:name w:val="标题 1 字符"/>
    <w:link w:val="2"/>
    <w:autoRedefine/>
    <w:qFormat/>
    <w:uiPriority w:val="0"/>
    <w:rPr>
      <w:rFonts w:ascii="宋体"/>
      <w:b/>
      <w:kern w:val="44"/>
      <w:sz w:val="32"/>
    </w:rPr>
  </w:style>
  <w:style w:type="paragraph" w:styleId="97">
    <w:name w:val="List Paragraph"/>
    <w:basedOn w:val="1"/>
    <w:autoRedefine/>
    <w:qFormat/>
    <w:uiPriority w:val="34"/>
    <w:pPr>
      <w:ind w:firstLine="420" w:firstLineChars="200"/>
    </w:pPr>
    <w:rPr>
      <w:rFonts w:ascii="Calibri" w:hAnsi="Calibri"/>
      <w:szCs w:val="22"/>
    </w:rPr>
  </w:style>
  <w:style w:type="paragraph" w:customStyle="1" w:styleId="98">
    <w:name w:val="样式 正文（首行缩进两字） + 首行缩进:  2 字符2"/>
    <w:basedOn w:val="9"/>
    <w:autoRedefine/>
    <w:qFormat/>
    <w:uiPriority w:val="0"/>
    <w:pPr>
      <w:spacing w:line="360" w:lineRule="auto"/>
      <w:ind w:firstLine="0"/>
      <w:textAlignment w:val="baseline"/>
    </w:pPr>
    <w:rPr>
      <w:rFonts w:hAnsi="宋体" w:eastAsia="楷体_GB2312" w:cs="宋体"/>
      <w:bCs/>
      <w:kern w:val="2"/>
      <w:sz w:val="21"/>
      <w:szCs w:val="21"/>
    </w:rPr>
  </w:style>
  <w:style w:type="paragraph" w:customStyle="1" w:styleId="99">
    <w:name w:val="PlainText"/>
    <w:basedOn w:val="1"/>
    <w:autoRedefine/>
    <w:qFormat/>
    <w:uiPriority w:val="0"/>
    <w:pPr>
      <w:textAlignment w:val="baseline"/>
    </w:pPr>
    <w:rPr>
      <w:rFonts w:ascii="宋体" w:hAnsi="Courier New"/>
      <w:szCs w:val="20"/>
    </w:rPr>
  </w:style>
  <w:style w:type="character" w:customStyle="1" w:styleId="100">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101">
    <w:name w:val="fontstyle01"/>
    <w:autoRedefine/>
    <w:qFormat/>
    <w:uiPriority w:val="0"/>
    <w:rPr>
      <w:rFonts w:hint="eastAsia" w:ascii="宋体" w:hAnsi="宋体" w:eastAsia="宋体"/>
      <w:color w:val="000000"/>
      <w:sz w:val="22"/>
      <w:szCs w:val="22"/>
    </w:rPr>
  </w:style>
  <w:style w:type="paragraph" w:customStyle="1" w:styleId="102">
    <w:name w:val="正文1"/>
    <w:autoRedefine/>
    <w:qFormat/>
    <w:uiPriority w:val="0"/>
    <w:pPr>
      <w:jc w:val="both"/>
    </w:pPr>
    <w:rPr>
      <w:rFonts w:ascii="Calibri" w:hAnsi="Calibri" w:eastAsia="宋体" w:cs="宋体"/>
      <w:kern w:val="2"/>
      <w:sz w:val="21"/>
      <w:szCs w:val="21"/>
      <w:lang w:val="en-US" w:eastAsia="zh-CN" w:bidi="ar-SA"/>
    </w:rPr>
  </w:style>
  <w:style w:type="character" w:customStyle="1" w:styleId="103">
    <w:name w:val="font11"/>
    <w:basedOn w:val="42"/>
    <w:autoRedefine/>
    <w:qFormat/>
    <w:uiPriority w:val="0"/>
    <w:rPr>
      <w:rFonts w:hint="eastAsia" w:ascii="宋体" w:hAnsi="宋体" w:eastAsia="宋体" w:cs="宋体"/>
      <w:color w:val="000000"/>
      <w:sz w:val="18"/>
      <w:szCs w:val="18"/>
      <w:u w:val="none"/>
    </w:rPr>
  </w:style>
  <w:style w:type="character" w:customStyle="1" w:styleId="104">
    <w:name w:val="font71"/>
    <w:basedOn w:val="42"/>
    <w:autoRedefine/>
    <w:qFormat/>
    <w:uiPriority w:val="0"/>
    <w:rPr>
      <w:rFonts w:hint="eastAsia" w:ascii="宋体" w:hAnsi="宋体" w:eastAsia="宋体" w:cs="宋体"/>
      <w:color w:val="000000"/>
      <w:sz w:val="18"/>
      <w:szCs w:val="18"/>
      <w:u w:val="none"/>
    </w:rPr>
  </w:style>
  <w:style w:type="character" w:customStyle="1" w:styleId="105">
    <w:name w:val="font112"/>
    <w:basedOn w:val="42"/>
    <w:autoRedefine/>
    <w:qFormat/>
    <w:uiPriority w:val="0"/>
    <w:rPr>
      <w:rFonts w:hint="default" w:ascii="Calibri" w:hAnsi="Calibri" w:cs="Calibri"/>
      <w:color w:val="000000"/>
      <w:sz w:val="18"/>
      <w:szCs w:val="18"/>
      <w:u w:val="none"/>
    </w:rPr>
  </w:style>
  <w:style w:type="character" w:customStyle="1" w:styleId="106">
    <w:name w:val="font21"/>
    <w:basedOn w:val="42"/>
    <w:autoRedefine/>
    <w:qFormat/>
    <w:uiPriority w:val="0"/>
    <w:rPr>
      <w:rFonts w:hint="eastAsia" w:ascii="宋体" w:hAnsi="宋体" w:eastAsia="宋体" w:cs="宋体"/>
      <w:color w:val="000000"/>
      <w:sz w:val="12"/>
      <w:szCs w:val="12"/>
      <w:u w:val="none"/>
    </w:rPr>
  </w:style>
  <w:style w:type="table" w:customStyle="1" w:styleId="107">
    <w:name w:val="Table Normal"/>
    <w:autoRedefine/>
    <w:semiHidden/>
    <w:unhideWhenUsed/>
    <w:qFormat/>
    <w:uiPriority w:val="0"/>
    <w:tblPr>
      <w:tblCellMar>
        <w:top w:w="0" w:type="dxa"/>
        <w:left w:w="0" w:type="dxa"/>
        <w:bottom w:w="0" w:type="dxa"/>
        <w:right w:w="0" w:type="dxa"/>
      </w:tblCellMar>
    </w:tblPr>
  </w:style>
  <w:style w:type="paragraph" w:customStyle="1" w:styleId="108">
    <w:name w:val="正文首行缩进1"/>
    <w:basedOn w:val="13"/>
    <w:autoRedefine/>
    <w:qFormat/>
    <w:uiPriority w:val="0"/>
    <w:pPr>
      <w:spacing w:after="0"/>
      <w:ind w:right="-349" w:rightChars="-166" w:firstLine="420" w:firstLineChars="100"/>
    </w:pPr>
    <w:rPr>
      <w:rFonts w:eastAsia="仿宋_GB2312"/>
      <w:sz w:val="32"/>
    </w:rPr>
  </w:style>
  <w:style w:type="paragraph" w:customStyle="1" w:styleId="109">
    <w:name w:val="_Style 6"/>
    <w:basedOn w:val="2"/>
    <w:next w:val="1"/>
    <w:qFormat/>
    <w:uiPriority w:val="0"/>
    <w:pPr>
      <w:outlineLvl w:val="9"/>
    </w:pPr>
  </w:style>
  <w:style w:type="paragraph" w:customStyle="1" w:styleId="110">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jpe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124</Pages>
  <Words>14224</Words>
  <Characters>15042</Characters>
  <Lines>434</Lines>
  <Paragraphs>122</Paragraphs>
  <TotalTime>2</TotalTime>
  <ScaleCrop>false</ScaleCrop>
  <LinksUpToDate>false</LinksUpToDate>
  <CharactersWithSpaces>16936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2018-11-17T02:05:00Z</dcterms:created>
  <dc:creator>USER-</dc:creator>
  <cp:lastModifiedBy>Administrator</cp:lastModifiedBy>
  <cp:lastPrinted>2024-12-19T08:59:00Z</cp:lastPrinted>
  <dcterms:modified xsi:type="dcterms:W3CDTF">2024-12-24T11:11:18Z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C0F2BAF1036B4371B68638D78DC25560_13</vt:lpwstr>
  </property>
  <property fmtid="{D5CDD505-2E9C-101B-9397-08002B2CF9AE}" pid="4" name="KSOTemplateDocerSaveRecord">
    <vt:lpwstr>eyJoZGlkIjoiODkyODcxZDhmZDE3NDg5OWVkYTkyMjBiNjkxNzdmZWMiLCJ1c2VySWQiOiI0ODI2NjE1MTYifQ==</vt:lpwstr>
  </property>
</Properties>
</file>